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55BF8" w14:textId="77777777" w:rsidR="006F5983" w:rsidRPr="003F2418" w:rsidRDefault="006F5983" w:rsidP="006F5983">
      <w:pPr>
        <w:jc w:val="both"/>
        <w:rPr>
          <w:rFonts w:ascii="Verdana" w:hAnsi="Verdana" w:cs="Arial"/>
          <w:b/>
          <w:bCs/>
          <w:lang w:val="es-ES" w:eastAsia="es-ES"/>
        </w:rPr>
      </w:pPr>
      <w:bookmarkStart w:id="0" w:name="_Hlk143780582"/>
      <w:bookmarkStart w:id="1" w:name="_Hlk181166130"/>
      <w:r w:rsidRPr="003F2418">
        <w:rPr>
          <w:rFonts w:ascii="Verdana" w:hAnsi="Verdana" w:cs="Arial"/>
          <w:b/>
          <w:bCs/>
          <w:lang w:val="es-ES" w:eastAsia="es-ES"/>
        </w:rPr>
        <w:t>SELECCIÓN ABREVIADA – Marco normativo</w:t>
      </w:r>
    </w:p>
    <w:p w14:paraId="5DF62E81" w14:textId="77777777" w:rsidR="006F5983" w:rsidRPr="003F2418" w:rsidRDefault="006F5983" w:rsidP="006F5983">
      <w:pPr>
        <w:jc w:val="both"/>
        <w:rPr>
          <w:rFonts w:ascii="Verdana" w:hAnsi="Verdana" w:cs="Arial"/>
          <w:lang w:val="es-ES" w:eastAsia="es-ES"/>
        </w:rPr>
      </w:pPr>
      <w:r w:rsidRPr="003F2418">
        <w:rPr>
          <w:rFonts w:ascii="Verdana" w:eastAsia="Calibri" w:hAnsi="Verdana" w:cs="Arial"/>
          <w:bCs/>
          <w:lang w:val="es-MX" w:eastAsia="es-ES_tradnl"/>
        </w:rPr>
        <w:t xml:space="preserve">Respecto a la selección abreviada, </w:t>
      </w:r>
      <w:r w:rsidRPr="003F2418">
        <w:rPr>
          <w:rFonts w:ascii="Verdana" w:eastAsia="Calibri" w:hAnsi="Verdana" w:cs="Arial"/>
        </w:rPr>
        <w:t>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p>
    <w:p w14:paraId="4862FCE7" w14:textId="77777777" w:rsidR="006F5983" w:rsidRPr="003F2418" w:rsidRDefault="006F5983" w:rsidP="006F5983">
      <w:pPr>
        <w:jc w:val="both"/>
        <w:rPr>
          <w:rFonts w:ascii="Verdana" w:hAnsi="Verdana" w:cs="Arial"/>
          <w:b/>
          <w:bCs/>
          <w:lang w:val="es-ES" w:eastAsia="es-ES"/>
        </w:rPr>
      </w:pPr>
      <w:r w:rsidRPr="003F2418">
        <w:rPr>
          <w:rFonts w:ascii="Verdana" w:hAnsi="Verdana" w:cs="Arial"/>
          <w:b/>
          <w:bCs/>
          <w:lang w:val="es-ES" w:eastAsia="es-ES"/>
        </w:rPr>
        <w:t xml:space="preserve">BIENES Y SERVICIOS DE CARACTERÍSTICAS TÉCNICAS UNIFORMES – Definición </w:t>
      </w:r>
    </w:p>
    <w:p w14:paraId="188D154B" w14:textId="77777777" w:rsidR="006F5983" w:rsidRPr="003F2418" w:rsidRDefault="006F5983" w:rsidP="006F5983">
      <w:pPr>
        <w:jc w:val="both"/>
        <w:rPr>
          <w:rFonts w:ascii="Verdana" w:hAnsi="Verdana" w:cs="Arial"/>
          <w:lang w:val="es-ES" w:eastAsia="es-ES"/>
        </w:rPr>
      </w:pPr>
      <w:r w:rsidRPr="003F2418">
        <w:rPr>
          <w:rFonts w:ascii="Verdana" w:eastAsia="Calibri" w:hAnsi="Verdana" w:cs="Arial"/>
          <w:bCs/>
          <w:color w:val="000000" w:themeColor="text1"/>
        </w:rPr>
        <w:t>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w:t>
      </w:r>
    </w:p>
    <w:p w14:paraId="77769CE2" w14:textId="77777777" w:rsidR="006F5983" w:rsidRPr="003F2418" w:rsidRDefault="006F5983" w:rsidP="006F5983">
      <w:pPr>
        <w:jc w:val="both"/>
        <w:rPr>
          <w:rFonts w:ascii="Verdana" w:hAnsi="Verdana" w:cs="Arial"/>
          <w:b/>
          <w:bCs/>
          <w:lang w:val="es-ES" w:eastAsia="es-ES"/>
        </w:rPr>
      </w:pPr>
      <w:r w:rsidRPr="003F2418">
        <w:rPr>
          <w:rFonts w:ascii="Verdana" w:hAnsi="Verdana" w:cs="Arial"/>
          <w:b/>
          <w:bCs/>
          <w:lang w:val="es-ES" w:eastAsia="es-ES"/>
        </w:rPr>
        <w:t xml:space="preserve">BIENES Y SERVICIOS DE CARACTERÍSTICAS TÉCNICAS UNIFORMES ‒ Características – Formas de adquisición </w:t>
      </w:r>
    </w:p>
    <w:p w14:paraId="1C6D849D" w14:textId="77777777" w:rsidR="006F5983" w:rsidRPr="003F2418" w:rsidRDefault="006F5983" w:rsidP="006F5983">
      <w:pPr>
        <w:jc w:val="both"/>
        <w:rPr>
          <w:rFonts w:ascii="Verdana" w:hAnsi="Verdana" w:cs="Arial"/>
          <w:lang w:val="es-ES" w:eastAsia="es-ES"/>
        </w:rPr>
      </w:pPr>
      <w:r w:rsidRPr="003F2418">
        <w:rPr>
          <w:rFonts w:ascii="Verdana" w:eastAsia="Calibri" w:hAnsi="Verdana" w:cs="Arial"/>
          <w:bCs/>
          <w:color w:val="000000" w:themeColor="text1"/>
        </w:rPr>
        <w:t>Igualmente, el inciso segundo del literal a) del artículo 2, numeral 2 de la Ley 1150 de 2007 dispone que “</w:t>
      </w:r>
      <w:r w:rsidRPr="003F2418">
        <w:rPr>
          <w:rFonts w:ascii="Verdana" w:eastAsia="Calibri" w:hAnsi="Verdana" w:cs="Arial"/>
          <w:bCs/>
          <w:i/>
          <w:iCs/>
          <w:color w:val="000000" w:themeColor="text1"/>
        </w:rPr>
        <w:t>Para la adquisición de estos bienes y servicios las entidades deberán</w:t>
      </w:r>
      <w:r w:rsidRPr="003F2418">
        <w:rPr>
          <w:rFonts w:ascii="Verdana" w:eastAsia="Calibri" w:hAnsi="Verdana" w:cs="Arial"/>
          <w:bCs/>
          <w:color w:val="000000" w:themeColor="text1"/>
        </w:rPr>
        <w:t xml:space="preserve">, siempre que el reglamento así lo señale, </w:t>
      </w:r>
      <w:r w:rsidRPr="003F2418">
        <w:rPr>
          <w:rFonts w:ascii="Verdana" w:eastAsia="Calibri" w:hAnsi="Verdana" w:cs="Arial"/>
          <w:bCs/>
          <w:i/>
          <w:iCs/>
          <w:color w:val="000000" w:themeColor="text1"/>
        </w:rPr>
        <w:t>hacer uso</w:t>
      </w:r>
      <w:r w:rsidRPr="003F2418">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3F2418">
        <w:rPr>
          <w:rFonts w:ascii="Verdana" w:eastAsia="Calibri" w:hAnsi="Verdana" w:cs="Arial"/>
          <w:bCs/>
          <w:i/>
          <w:iCs/>
          <w:color w:val="000000" w:themeColor="text1"/>
        </w:rPr>
        <w:t>de procedimientos de adquisición en bolsas de productos</w:t>
      </w:r>
      <w:r w:rsidRPr="003F2418">
        <w:rPr>
          <w:rFonts w:ascii="Verdana" w:eastAsia="Calibri" w:hAnsi="Verdana" w:cs="Arial"/>
          <w:bCs/>
          <w:color w:val="000000" w:themeColor="text1"/>
        </w:rPr>
        <w:t>” (Énfasis fuera de texto). Estos mecanismos se aplicarán en la forma que disponga el Decreto 1082 de 2015 para para cada uno de ellos.</w:t>
      </w:r>
    </w:p>
    <w:p w14:paraId="30852DEA" w14:textId="77777777" w:rsidR="006F5983" w:rsidRPr="003F2418" w:rsidRDefault="006F5983" w:rsidP="006F5983">
      <w:pPr>
        <w:jc w:val="both"/>
        <w:rPr>
          <w:rFonts w:ascii="Verdana" w:hAnsi="Verdana" w:cs="Arial"/>
          <w:b/>
          <w:bCs/>
          <w:lang w:val="es-ES" w:eastAsia="es-ES"/>
        </w:rPr>
      </w:pPr>
      <w:r w:rsidRPr="003F2418">
        <w:rPr>
          <w:rFonts w:ascii="Verdana" w:hAnsi="Verdana" w:cs="Arial"/>
          <w:b/>
          <w:bCs/>
          <w:lang w:val="es-ES" w:eastAsia="es-ES"/>
        </w:rPr>
        <w:t xml:space="preserve">SERVICIOS DE VIGILANCIA PRIVADA – Modalidad de selección – Licitación pública – Contratación     </w:t>
      </w:r>
    </w:p>
    <w:p w14:paraId="003F2A4D" w14:textId="77777777" w:rsidR="006F5983" w:rsidRPr="003F2418" w:rsidRDefault="006F5983" w:rsidP="006F5983">
      <w:pPr>
        <w:spacing w:after="0"/>
        <w:jc w:val="both"/>
        <w:rPr>
          <w:rFonts w:ascii="Verdana" w:hAnsi="Verdana"/>
        </w:rPr>
      </w:pPr>
      <w:r w:rsidRPr="003F2418">
        <w:rPr>
          <w:rFonts w:ascii="Verdana" w:eastAsia="Calibri" w:hAnsi="Verdana" w:cs="Arial"/>
          <w:bCs/>
          <w:color w:val="000000" w:themeColor="text1"/>
        </w:rPr>
        <w:t xml:space="preserve">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w:t>
      </w:r>
      <w:r w:rsidRPr="003F2418">
        <w:rPr>
          <w:rFonts w:ascii="Verdana" w:eastAsia="Calibri" w:hAnsi="Verdana" w:cs="Arial"/>
          <w:bCs/>
          <w:color w:val="000000" w:themeColor="text1"/>
        </w:rPr>
        <w:lastRenderedPageBreak/>
        <w:t>aplicación de puntajes adicionales y acciones afirmativas previstos en la normativa de la contratación pública</w:t>
      </w:r>
    </w:p>
    <w:p w14:paraId="1246799B" w14:textId="77777777" w:rsidR="006F5983" w:rsidRDefault="006F5983" w:rsidP="006F5983">
      <w:pPr>
        <w:spacing w:after="0"/>
        <w:rPr>
          <w:rFonts w:ascii="Verdana" w:hAnsi="Verdana"/>
        </w:rPr>
      </w:pPr>
    </w:p>
    <w:p w14:paraId="34B3FA8A" w14:textId="77777777" w:rsidR="006F5983" w:rsidRDefault="006F5983" w:rsidP="006F5983">
      <w:pPr>
        <w:spacing w:after="0"/>
        <w:rPr>
          <w:rFonts w:ascii="Verdana" w:hAnsi="Verdana"/>
        </w:rPr>
      </w:pPr>
    </w:p>
    <w:p w14:paraId="779F500F" w14:textId="77777777" w:rsidR="006F5983" w:rsidRDefault="006F5983" w:rsidP="006F5983">
      <w:pPr>
        <w:spacing w:after="0"/>
        <w:rPr>
          <w:rFonts w:ascii="Verdana" w:hAnsi="Verdana"/>
        </w:rPr>
      </w:pPr>
    </w:p>
    <w:p w14:paraId="35CF5040" w14:textId="77777777" w:rsidR="006F5983" w:rsidRDefault="006F5983" w:rsidP="006F5983">
      <w:pPr>
        <w:spacing w:after="0"/>
        <w:rPr>
          <w:rFonts w:ascii="Verdana" w:hAnsi="Verdana"/>
        </w:rPr>
      </w:pPr>
    </w:p>
    <w:p w14:paraId="6D468A61" w14:textId="77777777" w:rsidR="006F5983" w:rsidRDefault="006F5983" w:rsidP="006F5983">
      <w:pPr>
        <w:spacing w:after="0"/>
        <w:rPr>
          <w:rFonts w:ascii="Verdana" w:hAnsi="Verdana"/>
        </w:rPr>
      </w:pPr>
    </w:p>
    <w:p w14:paraId="463790FE" w14:textId="77777777" w:rsidR="006F5983" w:rsidRDefault="006F5983" w:rsidP="006F5983">
      <w:pPr>
        <w:spacing w:after="0"/>
        <w:rPr>
          <w:rFonts w:ascii="Verdana" w:hAnsi="Verdana"/>
        </w:rPr>
      </w:pPr>
    </w:p>
    <w:p w14:paraId="5CC22D86" w14:textId="77777777" w:rsidR="006F5983" w:rsidRDefault="006F5983" w:rsidP="006F5983">
      <w:pPr>
        <w:spacing w:after="0"/>
        <w:rPr>
          <w:rFonts w:ascii="Verdana" w:hAnsi="Verdana"/>
        </w:rPr>
      </w:pPr>
    </w:p>
    <w:p w14:paraId="205951F0" w14:textId="77777777" w:rsidR="006F5983" w:rsidRDefault="006F5983" w:rsidP="006F5983">
      <w:pPr>
        <w:spacing w:after="0"/>
        <w:rPr>
          <w:rFonts w:ascii="Verdana" w:hAnsi="Verdana"/>
        </w:rPr>
      </w:pPr>
    </w:p>
    <w:p w14:paraId="1DA91904" w14:textId="77777777" w:rsidR="006F5983" w:rsidRDefault="006F5983" w:rsidP="006F5983">
      <w:pPr>
        <w:spacing w:after="0"/>
        <w:rPr>
          <w:rFonts w:ascii="Verdana" w:hAnsi="Verdana"/>
        </w:rPr>
      </w:pPr>
    </w:p>
    <w:p w14:paraId="7B316419" w14:textId="77777777" w:rsidR="006F5983" w:rsidRDefault="006F5983" w:rsidP="006F5983">
      <w:pPr>
        <w:spacing w:after="0"/>
        <w:rPr>
          <w:rFonts w:ascii="Verdana" w:hAnsi="Verdana"/>
        </w:rPr>
      </w:pPr>
    </w:p>
    <w:p w14:paraId="30DA1562" w14:textId="77777777" w:rsidR="006F5983" w:rsidRDefault="006F5983" w:rsidP="006F5983">
      <w:pPr>
        <w:spacing w:after="0"/>
        <w:rPr>
          <w:rFonts w:ascii="Verdana" w:hAnsi="Verdana"/>
        </w:rPr>
      </w:pPr>
    </w:p>
    <w:p w14:paraId="397325A5" w14:textId="77777777" w:rsidR="006F5983" w:rsidRDefault="006F5983" w:rsidP="006F5983">
      <w:pPr>
        <w:spacing w:after="0"/>
        <w:rPr>
          <w:rFonts w:ascii="Verdana" w:hAnsi="Verdana"/>
        </w:rPr>
      </w:pPr>
    </w:p>
    <w:p w14:paraId="11780B01" w14:textId="77777777" w:rsidR="006F5983" w:rsidRDefault="006F5983" w:rsidP="006F5983">
      <w:pPr>
        <w:spacing w:after="0"/>
        <w:rPr>
          <w:rFonts w:ascii="Verdana" w:hAnsi="Verdana"/>
        </w:rPr>
      </w:pPr>
    </w:p>
    <w:p w14:paraId="454AD398" w14:textId="77777777" w:rsidR="006F5983" w:rsidRDefault="006F5983" w:rsidP="006F5983">
      <w:pPr>
        <w:spacing w:after="0"/>
        <w:rPr>
          <w:rFonts w:ascii="Verdana" w:hAnsi="Verdana"/>
        </w:rPr>
      </w:pPr>
    </w:p>
    <w:p w14:paraId="62A44AD4" w14:textId="77777777" w:rsidR="006F5983" w:rsidRDefault="006F5983" w:rsidP="006F5983">
      <w:pPr>
        <w:spacing w:after="0"/>
        <w:rPr>
          <w:rFonts w:ascii="Verdana" w:hAnsi="Verdana"/>
        </w:rPr>
      </w:pPr>
    </w:p>
    <w:p w14:paraId="53D79456" w14:textId="77777777" w:rsidR="006F5983" w:rsidRDefault="006F5983" w:rsidP="006F5983">
      <w:pPr>
        <w:spacing w:after="0"/>
        <w:rPr>
          <w:rFonts w:ascii="Verdana" w:hAnsi="Verdana"/>
        </w:rPr>
      </w:pPr>
    </w:p>
    <w:p w14:paraId="1062819C" w14:textId="77777777" w:rsidR="006F5983" w:rsidRDefault="006F5983" w:rsidP="006F5983">
      <w:pPr>
        <w:spacing w:after="0"/>
        <w:rPr>
          <w:rFonts w:ascii="Verdana" w:hAnsi="Verdana"/>
        </w:rPr>
      </w:pPr>
    </w:p>
    <w:p w14:paraId="2E12F366" w14:textId="77777777" w:rsidR="006F5983" w:rsidRDefault="006F5983" w:rsidP="006F5983">
      <w:pPr>
        <w:spacing w:after="0"/>
        <w:rPr>
          <w:rFonts w:ascii="Verdana" w:hAnsi="Verdana"/>
        </w:rPr>
      </w:pPr>
    </w:p>
    <w:p w14:paraId="28104C99" w14:textId="77777777" w:rsidR="006F5983" w:rsidRDefault="006F5983" w:rsidP="006F5983">
      <w:pPr>
        <w:spacing w:after="0"/>
        <w:rPr>
          <w:rFonts w:ascii="Verdana" w:hAnsi="Verdana"/>
        </w:rPr>
      </w:pPr>
    </w:p>
    <w:p w14:paraId="14575A6F" w14:textId="77777777" w:rsidR="006F5983" w:rsidRDefault="006F5983" w:rsidP="006F5983">
      <w:pPr>
        <w:spacing w:after="0"/>
        <w:rPr>
          <w:rFonts w:ascii="Verdana" w:hAnsi="Verdana"/>
        </w:rPr>
      </w:pPr>
    </w:p>
    <w:p w14:paraId="7635076C" w14:textId="77777777" w:rsidR="006F5983" w:rsidRDefault="006F5983" w:rsidP="006F5983">
      <w:pPr>
        <w:spacing w:after="0"/>
        <w:rPr>
          <w:rFonts w:ascii="Verdana" w:hAnsi="Verdana"/>
        </w:rPr>
      </w:pPr>
    </w:p>
    <w:p w14:paraId="6B6AB5CA" w14:textId="77777777" w:rsidR="006F5983" w:rsidRDefault="006F5983" w:rsidP="006F5983">
      <w:pPr>
        <w:spacing w:after="0"/>
        <w:rPr>
          <w:rFonts w:ascii="Verdana" w:hAnsi="Verdana"/>
        </w:rPr>
      </w:pPr>
    </w:p>
    <w:p w14:paraId="77CCF473" w14:textId="77777777" w:rsidR="006F5983" w:rsidRDefault="006F5983" w:rsidP="006F5983">
      <w:pPr>
        <w:spacing w:after="0"/>
        <w:rPr>
          <w:rFonts w:ascii="Verdana" w:hAnsi="Verdana"/>
        </w:rPr>
      </w:pPr>
    </w:p>
    <w:p w14:paraId="0CCAD98A" w14:textId="77777777" w:rsidR="006F5983" w:rsidRDefault="006F5983" w:rsidP="006F5983">
      <w:pPr>
        <w:spacing w:after="0"/>
        <w:rPr>
          <w:rFonts w:ascii="Verdana" w:hAnsi="Verdana"/>
        </w:rPr>
      </w:pPr>
    </w:p>
    <w:p w14:paraId="5D083D0D" w14:textId="77777777" w:rsidR="006F5983" w:rsidRDefault="006F5983" w:rsidP="006F5983">
      <w:pPr>
        <w:spacing w:after="0"/>
        <w:rPr>
          <w:rFonts w:ascii="Verdana" w:hAnsi="Verdana"/>
        </w:rPr>
      </w:pPr>
    </w:p>
    <w:p w14:paraId="201B0539" w14:textId="77777777" w:rsidR="006F5983" w:rsidRDefault="006F5983" w:rsidP="006F5983">
      <w:pPr>
        <w:spacing w:after="0"/>
        <w:rPr>
          <w:rFonts w:ascii="Verdana" w:hAnsi="Verdana"/>
        </w:rPr>
      </w:pPr>
    </w:p>
    <w:p w14:paraId="47A42BF5" w14:textId="77777777" w:rsidR="006F5983" w:rsidRDefault="006F5983" w:rsidP="006F5983">
      <w:pPr>
        <w:spacing w:after="0"/>
        <w:rPr>
          <w:rFonts w:ascii="Verdana" w:hAnsi="Verdana"/>
        </w:rPr>
      </w:pPr>
    </w:p>
    <w:p w14:paraId="00371E17" w14:textId="77777777" w:rsidR="006F5983" w:rsidRDefault="006F5983" w:rsidP="006F5983">
      <w:pPr>
        <w:spacing w:after="0"/>
        <w:rPr>
          <w:rFonts w:ascii="Verdana" w:hAnsi="Verdana"/>
        </w:rPr>
      </w:pPr>
    </w:p>
    <w:p w14:paraId="5D8A01CA" w14:textId="77777777" w:rsidR="006F5983" w:rsidRDefault="006F5983" w:rsidP="006F5983">
      <w:pPr>
        <w:spacing w:after="0"/>
        <w:rPr>
          <w:rFonts w:ascii="Verdana" w:hAnsi="Verdana"/>
        </w:rPr>
      </w:pPr>
    </w:p>
    <w:p w14:paraId="12738D63" w14:textId="77777777" w:rsidR="006F5983" w:rsidRDefault="006F5983" w:rsidP="006F5983">
      <w:pPr>
        <w:spacing w:after="0"/>
        <w:rPr>
          <w:rFonts w:ascii="Verdana" w:hAnsi="Verdana"/>
        </w:rPr>
      </w:pPr>
    </w:p>
    <w:p w14:paraId="7603B926" w14:textId="77777777" w:rsidR="006F5983" w:rsidRDefault="006F5983" w:rsidP="006F5983">
      <w:pPr>
        <w:spacing w:after="0"/>
        <w:rPr>
          <w:rFonts w:ascii="Verdana" w:hAnsi="Verdana"/>
        </w:rPr>
      </w:pPr>
    </w:p>
    <w:p w14:paraId="07E2CAC3" w14:textId="77777777" w:rsidR="006F5983" w:rsidRDefault="006F5983" w:rsidP="006F5983">
      <w:pPr>
        <w:spacing w:after="0"/>
        <w:rPr>
          <w:rFonts w:ascii="Verdana" w:hAnsi="Verdana"/>
        </w:rPr>
      </w:pPr>
    </w:p>
    <w:p w14:paraId="72526682" w14:textId="77777777" w:rsidR="00F62419" w:rsidRDefault="00F62419" w:rsidP="006F5983">
      <w:pPr>
        <w:spacing w:after="0"/>
        <w:rPr>
          <w:rFonts w:ascii="Verdana" w:hAnsi="Verdana"/>
        </w:rPr>
      </w:pPr>
    </w:p>
    <w:p w14:paraId="7AE6EA39" w14:textId="77777777" w:rsidR="00F62419" w:rsidRDefault="00F62419" w:rsidP="006F5983">
      <w:pPr>
        <w:spacing w:after="0"/>
        <w:rPr>
          <w:rFonts w:ascii="Verdana" w:hAnsi="Verdana"/>
        </w:rPr>
      </w:pPr>
    </w:p>
    <w:p w14:paraId="34973814" w14:textId="77777777" w:rsidR="00F62419" w:rsidRDefault="00F62419" w:rsidP="006F5983">
      <w:pPr>
        <w:spacing w:after="0"/>
        <w:rPr>
          <w:rFonts w:ascii="Verdana" w:hAnsi="Verdana"/>
        </w:rPr>
      </w:pPr>
    </w:p>
    <w:p w14:paraId="0146C88B" w14:textId="77777777" w:rsidR="00F62419" w:rsidRDefault="00F62419" w:rsidP="006F5983">
      <w:pPr>
        <w:spacing w:after="0"/>
        <w:rPr>
          <w:rFonts w:ascii="Verdana" w:hAnsi="Verdana"/>
        </w:rPr>
      </w:pPr>
    </w:p>
    <w:p w14:paraId="6CCFFC2B" w14:textId="77777777" w:rsidR="00F62419" w:rsidRDefault="00F62419" w:rsidP="006F5983">
      <w:pPr>
        <w:spacing w:after="0"/>
        <w:rPr>
          <w:rFonts w:ascii="Verdana" w:hAnsi="Verdana"/>
        </w:rPr>
      </w:pPr>
    </w:p>
    <w:p w14:paraId="51CD66C8" w14:textId="77777777" w:rsidR="00F62419" w:rsidRDefault="00F62419" w:rsidP="006F5983">
      <w:pPr>
        <w:spacing w:after="0"/>
        <w:rPr>
          <w:rFonts w:ascii="Verdana" w:hAnsi="Verdana"/>
        </w:rPr>
      </w:pPr>
    </w:p>
    <w:p w14:paraId="22895A4E" w14:textId="77777777" w:rsidR="006F5983" w:rsidRDefault="006F5983" w:rsidP="006F5983">
      <w:pPr>
        <w:spacing w:after="0"/>
        <w:rPr>
          <w:rFonts w:ascii="Verdana" w:hAnsi="Verdana"/>
        </w:rPr>
      </w:pPr>
    </w:p>
    <w:bookmarkEnd w:id="1"/>
    <w:p w14:paraId="41E605FA" w14:textId="01DC8BC8" w:rsidR="006F5983" w:rsidRDefault="001709B8" w:rsidP="006F5983">
      <w:pPr>
        <w:spacing w:after="0"/>
        <w:rPr>
          <w:rFonts w:ascii="Verdana" w:hAnsi="Verdana"/>
        </w:rPr>
      </w:pPr>
      <w:r>
        <w:rPr>
          <w:rFonts w:ascii="Verdana" w:hAnsi="Verdana"/>
          <w:noProof/>
        </w:rPr>
        <w:lastRenderedPageBreak/>
        <w:drawing>
          <wp:anchor distT="0" distB="0" distL="114300" distR="114300" simplePos="0" relativeHeight="251659264" behindDoc="0" locked="0" layoutInCell="1" allowOverlap="1" wp14:anchorId="2754D64D" wp14:editId="04EB35A0">
            <wp:simplePos x="0" y="0"/>
            <wp:positionH relativeFrom="margin">
              <wp:posOffset>3277870</wp:posOffset>
            </wp:positionH>
            <wp:positionV relativeFrom="paragraph">
              <wp:posOffset>0</wp:posOffset>
            </wp:positionV>
            <wp:extent cx="2712085" cy="775970"/>
            <wp:effectExtent l="0" t="0" r="0" b="5080"/>
            <wp:wrapSquare wrapText="bothSides"/>
            <wp:docPr id="38359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20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140" w:rsidRPr="005A6140">
        <w:rPr>
          <w:rFonts w:ascii="Verdana" w:hAnsi="Verdana"/>
        </w:rPr>
        <w:t xml:space="preserve">Bogotá D.C., 02 </w:t>
      </w:r>
      <w:proofErr w:type="gramStart"/>
      <w:r w:rsidR="005A6140" w:rsidRPr="005A6140">
        <w:rPr>
          <w:rFonts w:ascii="Verdana" w:hAnsi="Verdana"/>
        </w:rPr>
        <w:t>Enero</w:t>
      </w:r>
      <w:proofErr w:type="gramEnd"/>
      <w:r w:rsidR="005A6140" w:rsidRPr="005A6140">
        <w:rPr>
          <w:rFonts w:ascii="Verdana" w:hAnsi="Verdana"/>
        </w:rPr>
        <w:t xml:space="preserve"> 2025</w:t>
      </w:r>
    </w:p>
    <w:p w14:paraId="30802BA0" w14:textId="191CD322" w:rsidR="006F5983" w:rsidRDefault="006F5983" w:rsidP="006F5983">
      <w:pPr>
        <w:spacing w:after="0"/>
        <w:rPr>
          <w:rFonts w:ascii="Verdana" w:hAnsi="Verdana"/>
        </w:rPr>
      </w:pPr>
      <w:bookmarkStart w:id="2" w:name="_Hlk180638295"/>
    </w:p>
    <w:p w14:paraId="252BEC5A" w14:textId="77777777" w:rsidR="00CF3B6C" w:rsidRDefault="006F5983" w:rsidP="006F5983">
      <w:pPr>
        <w:spacing w:after="0" w:line="240" w:lineRule="auto"/>
        <w:jc w:val="both"/>
        <w:rPr>
          <w:rFonts w:ascii="Verdana" w:eastAsia="Calibri" w:hAnsi="Verdana" w:cs="Arial"/>
          <w:lang w:eastAsia="es-ES"/>
        </w:rPr>
      </w:pPr>
      <w:bookmarkStart w:id="3" w:name="_Hlk181166167"/>
      <w:r w:rsidRPr="00560511">
        <w:rPr>
          <w:rFonts w:ascii="Verdana" w:eastAsia="Calibri" w:hAnsi="Verdana" w:cs="Arial"/>
          <w:lang w:eastAsia="es-ES"/>
        </w:rPr>
        <w:t>Señor</w:t>
      </w:r>
    </w:p>
    <w:p w14:paraId="1D2B0B05" w14:textId="77777777" w:rsidR="00514686" w:rsidRDefault="00514686" w:rsidP="006F5983">
      <w:pPr>
        <w:spacing w:after="0" w:line="240" w:lineRule="auto"/>
        <w:jc w:val="both"/>
        <w:rPr>
          <w:rFonts w:ascii="Verdana" w:eastAsia="Calibri" w:hAnsi="Verdana" w:cs="Arial"/>
          <w:b/>
          <w:bCs/>
          <w:lang w:eastAsia="es-ES"/>
        </w:rPr>
      </w:pPr>
      <w:r w:rsidRPr="00514686">
        <w:rPr>
          <w:rFonts w:ascii="Verdana" w:eastAsia="Calibri" w:hAnsi="Verdana" w:cs="Arial"/>
          <w:b/>
          <w:bCs/>
          <w:lang w:eastAsia="es-ES"/>
        </w:rPr>
        <w:t>Heriberto Loaiza Marín</w:t>
      </w:r>
    </w:p>
    <w:p w14:paraId="401670DE" w14:textId="19895349" w:rsidR="006F5983" w:rsidRPr="00514686" w:rsidRDefault="00514686" w:rsidP="006F5983">
      <w:pPr>
        <w:spacing w:after="0" w:line="240" w:lineRule="auto"/>
        <w:jc w:val="both"/>
        <w:rPr>
          <w:rFonts w:ascii="Verdana" w:eastAsia="Calibri" w:hAnsi="Verdana" w:cs="Arial"/>
          <w:b/>
          <w:bCs/>
          <w:lang w:eastAsia="es-ES"/>
        </w:rPr>
      </w:pPr>
      <w:r>
        <w:rPr>
          <w:rFonts w:ascii="Verdana" w:eastAsia="Calibri" w:hAnsi="Verdana" w:cs="Arial"/>
          <w:b/>
          <w:bCs/>
          <w:lang w:eastAsia="es-ES"/>
        </w:rPr>
        <w:t>Representante Legal</w:t>
      </w:r>
      <w:r w:rsidR="006F5983" w:rsidRPr="00514686">
        <w:rPr>
          <w:rFonts w:ascii="Verdana" w:eastAsia="Calibri" w:hAnsi="Verdana" w:cs="Arial"/>
          <w:b/>
          <w:bCs/>
          <w:lang w:eastAsia="es-ES"/>
        </w:rPr>
        <w:tab/>
      </w:r>
    </w:p>
    <w:p w14:paraId="5B47D0BD" w14:textId="33913AB1" w:rsidR="00C520A4" w:rsidRDefault="00C520A4" w:rsidP="00C520A4">
      <w:pPr>
        <w:spacing w:after="0" w:line="240" w:lineRule="auto"/>
        <w:jc w:val="both"/>
        <w:rPr>
          <w:rFonts w:ascii="Verdana" w:eastAsia="Calibri" w:hAnsi="Verdana" w:cs="Arial"/>
          <w:b/>
          <w:bCs/>
          <w:color w:val="000000"/>
          <w:lang w:eastAsia="es-ES_tradnl"/>
        </w:rPr>
      </w:pPr>
      <w:r w:rsidRPr="003A2ECF">
        <w:rPr>
          <w:rFonts w:ascii="Verdana" w:eastAsia="Calibri" w:hAnsi="Verdana" w:cs="Arial"/>
          <w:b/>
          <w:bCs/>
          <w:color w:val="000000"/>
          <w:lang w:eastAsia="es-ES_tradnl"/>
        </w:rPr>
        <w:t>Compañía de Vigilancia y Seguridad Privada</w:t>
      </w:r>
      <w:r w:rsidR="006F5983" w:rsidRPr="003A2ECF">
        <w:rPr>
          <w:rFonts w:ascii="Verdana" w:eastAsia="Calibri" w:hAnsi="Verdana" w:cs="Arial"/>
          <w:b/>
          <w:bCs/>
          <w:color w:val="000000"/>
          <w:lang w:eastAsia="es-ES_tradnl"/>
        </w:rPr>
        <w:t xml:space="preserve"> </w:t>
      </w:r>
    </w:p>
    <w:p w14:paraId="43EA96DE" w14:textId="2E13C299" w:rsidR="006F5983" w:rsidRDefault="00C520A4" w:rsidP="00C520A4">
      <w:pPr>
        <w:spacing w:after="0" w:line="240" w:lineRule="auto"/>
        <w:jc w:val="both"/>
        <w:rPr>
          <w:rFonts w:ascii="Verdana" w:eastAsia="Calibri" w:hAnsi="Verdana" w:cs="Arial"/>
          <w:b/>
          <w:bCs/>
          <w:color w:val="000000"/>
          <w:lang w:eastAsia="es-ES_tradnl"/>
        </w:rPr>
      </w:pPr>
      <w:r w:rsidRPr="003A2ECF">
        <w:rPr>
          <w:rFonts w:ascii="Verdana" w:eastAsia="Calibri" w:hAnsi="Verdana" w:cs="Arial"/>
          <w:b/>
          <w:bCs/>
          <w:color w:val="000000"/>
          <w:lang w:eastAsia="es-ES_tradnl"/>
        </w:rPr>
        <w:t xml:space="preserve">Águila </w:t>
      </w:r>
      <w:r>
        <w:rPr>
          <w:rFonts w:ascii="Verdana" w:eastAsia="Calibri" w:hAnsi="Verdana" w:cs="Arial"/>
          <w:b/>
          <w:bCs/>
          <w:color w:val="000000"/>
          <w:lang w:eastAsia="es-ES_tradnl"/>
        </w:rPr>
        <w:t>d</w:t>
      </w:r>
      <w:r w:rsidRPr="003A2ECF">
        <w:rPr>
          <w:rFonts w:ascii="Verdana" w:eastAsia="Calibri" w:hAnsi="Verdana" w:cs="Arial"/>
          <w:b/>
          <w:bCs/>
          <w:color w:val="000000"/>
          <w:lang w:eastAsia="es-ES_tradnl"/>
        </w:rPr>
        <w:t xml:space="preserve">e Oro </w:t>
      </w:r>
      <w:r>
        <w:rPr>
          <w:rFonts w:ascii="Verdana" w:eastAsia="Calibri" w:hAnsi="Verdana" w:cs="Arial"/>
          <w:b/>
          <w:bCs/>
          <w:color w:val="000000"/>
          <w:lang w:eastAsia="es-ES_tradnl"/>
        </w:rPr>
        <w:t>de C</w:t>
      </w:r>
      <w:r w:rsidRPr="003A2ECF">
        <w:rPr>
          <w:rFonts w:ascii="Verdana" w:eastAsia="Calibri" w:hAnsi="Verdana" w:cs="Arial"/>
          <w:b/>
          <w:bCs/>
          <w:color w:val="000000"/>
          <w:lang w:eastAsia="es-ES_tradnl"/>
        </w:rPr>
        <w:t xml:space="preserve">olombia </w:t>
      </w:r>
      <w:proofErr w:type="spellStart"/>
      <w:r w:rsidR="006F5983" w:rsidRPr="003A2ECF">
        <w:rPr>
          <w:rFonts w:ascii="Verdana" w:eastAsia="Calibri" w:hAnsi="Verdana" w:cs="Arial"/>
          <w:b/>
          <w:bCs/>
          <w:color w:val="000000"/>
          <w:lang w:eastAsia="es-ES_tradnl"/>
        </w:rPr>
        <w:t>L</w:t>
      </w:r>
      <w:r w:rsidR="005F435E">
        <w:rPr>
          <w:rFonts w:ascii="Verdana" w:eastAsia="Calibri" w:hAnsi="Verdana" w:cs="Arial"/>
          <w:b/>
          <w:bCs/>
          <w:color w:val="000000"/>
          <w:lang w:eastAsia="es-ES_tradnl"/>
        </w:rPr>
        <w:t>TDA</w:t>
      </w:r>
      <w:proofErr w:type="spellEnd"/>
      <w:r w:rsidR="006F5983" w:rsidRPr="003A2ECF">
        <w:rPr>
          <w:rFonts w:ascii="Verdana" w:eastAsia="Calibri" w:hAnsi="Verdana" w:cs="Arial"/>
          <w:b/>
          <w:bCs/>
          <w:color w:val="000000"/>
          <w:lang w:eastAsia="es-ES_tradnl"/>
        </w:rPr>
        <w:t xml:space="preserve"> </w:t>
      </w:r>
    </w:p>
    <w:p w14:paraId="19AAACC0" w14:textId="77777777" w:rsidR="006F5983" w:rsidRDefault="006F5983" w:rsidP="006F5983">
      <w:pPr>
        <w:spacing w:after="0" w:line="240" w:lineRule="auto"/>
        <w:rPr>
          <w:rFonts w:ascii="Verdana" w:eastAsia="Calibri" w:hAnsi="Verdana" w:cs="Arial"/>
          <w:color w:val="000000"/>
          <w:lang w:eastAsia="es-ES_tradnl"/>
        </w:rPr>
      </w:pPr>
      <w:hyperlink r:id="rId11" w:history="1">
        <w:r w:rsidRPr="00F70E4F">
          <w:rPr>
            <w:rStyle w:val="Hipervnculo"/>
            <w:rFonts w:ascii="Verdana" w:eastAsia="Calibri" w:hAnsi="Verdana" w:cs="Arial"/>
            <w:lang w:eastAsia="es-ES_tradnl"/>
          </w:rPr>
          <w:t>info@aguiladeorodecolombia.com</w:t>
        </w:r>
      </w:hyperlink>
    </w:p>
    <w:p w14:paraId="43B1FD05" w14:textId="77777777" w:rsidR="006F5983" w:rsidRDefault="006F5983" w:rsidP="006F5983">
      <w:pPr>
        <w:spacing w:after="0" w:line="240" w:lineRule="auto"/>
        <w:rPr>
          <w:rFonts w:ascii="Verdana" w:hAnsi="Verdana"/>
        </w:rPr>
      </w:pPr>
      <w:r w:rsidRPr="0044528D">
        <w:rPr>
          <w:rFonts w:ascii="Verdana" w:hAnsi="Verdana"/>
        </w:rPr>
        <w:t>Bogotá D.C.</w:t>
      </w:r>
    </w:p>
    <w:p w14:paraId="1E44764B" w14:textId="77777777" w:rsidR="006F5983" w:rsidRPr="00593A5F" w:rsidRDefault="006F5983" w:rsidP="006F5983">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6F5983" w:rsidRPr="00593A5F" w14:paraId="63DF576C" w14:textId="77777777" w:rsidTr="00C61A56">
        <w:trPr>
          <w:trHeight w:val="884"/>
        </w:trPr>
        <w:tc>
          <w:tcPr>
            <w:tcW w:w="2410" w:type="dxa"/>
          </w:tcPr>
          <w:p w14:paraId="437AEE0B" w14:textId="77777777" w:rsidR="006F5983" w:rsidRPr="00E5644F" w:rsidRDefault="006F5983" w:rsidP="00C61A56">
            <w:pPr>
              <w:jc w:val="both"/>
              <w:rPr>
                <w:rFonts w:ascii="Verdana" w:eastAsia="Calibri" w:hAnsi="Verdana" w:cs="Arial"/>
                <w:b/>
                <w:bCs/>
                <w:color w:val="7030A0"/>
                <w:lang w:val="es-ES_tradnl" w:eastAsia="es-ES_tradnl"/>
              </w:rPr>
            </w:pPr>
          </w:p>
        </w:tc>
        <w:tc>
          <w:tcPr>
            <w:tcW w:w="6804" w:type="dxa"/>
            <w:gridSpan w:val="2"/>
          </w:tcPr>
          <w:p w14:paraId="5E0AEAD2" w14:textId="77777777" w:rsidR="006F5983" w:rsidRPr="00E5644F" w:rsidRDefault="006F5983" w:rsidP="00C61A56">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977 </w:t>
            </w:r>
            <w:r w:rsidRPr="00E5644F">
              <w:rPr>
                <w:rFonts w:ascii="Verdana" w:eastAsia="Calibri" w:hAnsi="Verdana" w:cs="Arial"/>
                <w:b/>
                <w:bCs/>
                <w:lang w:val="es-ES" w:eastAsia="es-ES"/>
              </w:rPr>
              <w:t>de 2024</w:t>
            </w:r>
          </w:p>
        </w:tc>
      </w:tr>
      <w:tr w:rsidR="006F5983" w:rsidRPr="00593A5F" w14:paraId="54C648E0" w14:textId="77777777" w:rsidTr="00C61A56">
        <w:trPr>
          <w:trHeight w:val="884"/>
        </w:trPr>
        <w:tc>
          <w:tcPr>
            <w:tcW w:w="2410" w:type="dxa"/>
          </w:tcPr>
          <w:p w14:paraId="0A29C1F9" w14:textId="77777777" w:rsidR="006F5983" w:rsidRPr="00593A5F" w:rsidRDefault="006F5983" w:rsidP="00C61A56">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7F032AF8" w14:textId="77777777" w:rsidR="006F5983" w:rsidRPr="00185EE9" w:rsidRDefault="006F5983" w:rsidP="00C61A56">
            <w:pPr>
              <w:spacing w:line="276" w:lineRule="auto"/>
              <w:jc w:val="both"/>
              <w:rPr>
                <w:rFonts w:ascii="Verdana" w:hAnsi="Verdana" w:cs="Arial"/>
                <w:lang w:val="es-ES" w:eastAsia="es-ES"/>
              </w:rPr>
            </w:pPr>
            <w:r w:rsidRPr="00185EE9">
              <w:rPr>
                <w:rFonts w:ascii="Verdana" w:hAnsi="Verdana" w:cs="Arial"/>
                <w:lang w:val="es-ES" w:eastAsia="es-ES"/>
              </w:rPr>
              <w:t xml:space="preserve">SELECCIÓN ABREVIADA – Marco normativo / BIENES Y SERVICIOS DE CARACTERÍSTICAS TÉCNICAS UNIFORMES – Definición / BIENES Y SERVICIOS DE CARACTERÍSTICAS TÉCNICAS UNIFORMES ‒ Características – Formas de adquisición / SERVICIOS DE VIGILANCIA PRIVADA – Modalidad de selección – Licitación pública – Contratación      </w:t>
            </w:r>
          </w:p>
          <w:p w14:paraId="3794712B" w14:textId="77777777" w:rsidR="006F5983" w:rsidRPr="003A2ECF" w:rsidRDefault="006F5983" w:rsidP="00C61A56">
            <w:pPr>
              <w:spacing w:line="276" w:lineRule="auto"/>
              <w:jc w:val="both"/>
              <w:rPr>
                <w:rFonts w:ascii="Verdana" w:eastAsia="Calibri" w:hAnsi="Verdana" w:cs="Arial"/>
                <w:highlight w:val="yellow"/>
                <w:lang w:val="es-ES" w:eastAsia="es-ES"/>
              </w:rPr>
            </w:pPr>
            <w:r w:rsidRPr="00185EE9">
              <w:rPr>
                <w:rFonts w:ascii="Verdana" w:hAnsi="Verdana" w:cs="Arial"/>
                <w:lang w:val="es-ES" w:eastAsia="es-ES"/>
              </w:rPr>
              <w:t xml:space="preserve">  </w:t>
            </w:r>
          </w:p>
        </w:tc>
      </w:tr>
      <w:tr w:rsidR="006F5983" w:rsidRPr="00593A5F" w14:paraId="3669FBBB" w14:textId="77777777" w:rsidTr="00C61A56">
        <w:tc>
          <w:tcPr>
            <w:tcW w:w="2410" w:type="dxa"/>
          </w:tcPr>
          <w:p w14:paraId="55E69370" w14:textId="77777777" w:rsidR="006F5983" w:rsidRPr="006730E9" w:rsidRDefault="006F5983" w:rsidP="00C61A56">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09B31645" w14:textId="77777777" w:rsidR="006F5983" w:rsidRPr="006730E9" w:rsidRDefault="006F5983" w:rsidP="00C61A56">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proofErr w:type="spellStart"/>
            <w:r w:rsidRPr="003F2418">
              <w:rPr>
                <w:rFonts w:ascii="Verdana" w:eastAsia="Calibri" w:hAnsi="Verdana" w:cs="Arial"/>
                <w:lang w:val="es-ES_tradnl" w:eastAsia="es-ES_tradnl"/>
              </w:rPr>
              <w:t>P20241209012291</w:t>
            </w:r>
            <w:proofErr w:type="spellEnd"/>
          </w:p>
        </w:tc>
      </w:tr>
      <w:tr w:rsidR="006F5983" w:rsidRPr="00DB23D2" w14:paraId="451025B5" w14:textId="77777777" w:rsidTr="00C61A56">
        <w:trPr>
          <w:gridAfter w:val="1"/>
          <w:wAfter w:w="336" w:type="dxa"/>
          <w:trHeight w:val="233"/>
        </w:trPr>
        <w:tc>
          <w:tcPr>
            <w:tcW w:w="8878" w:type="dxa"/>
            <w:gridSpan w:val="2"/>
          </w:tcPr>
          <w:p w14:paraId="1AEB0449" w14:textId="77777777" w:rsidR="006F5983" w:rsidRPr="00DB23D2" w:rsidRDefault="006F5983" w:rsidP="00C61A56">
            <w:pPr>
              <w:spacing w:after="120" w:line="276" w:lineRule="auto"/>
              <w:jc w:val="both"/>
              <w:rPr>
                <w:rFonts w:ascii="Verdana" w:eastAsia="Calibri" w:hAnsi="Verdana" w:cs="Arial"/>
                <w:lang w:val="es-ES_tradnl" w:eastAsia="es-ES"/>
              </w:rPr>
            </w:pPr>
          </w:p>
        </w:tc>
      </w:tr>
    </w:tbl>
    <w:p w14:paraId="17836BA5" w14:textId="73A27914" w:rsidR="006F5983" w:rsidRPr="006730E9" w:rsidRDefault="006F5983" w:rsidP="006F5983">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señor</w:t>
      </w:r>
      <w:r w:rsidR="005F435E">
        <w:rPr>
          <w:rFonts w:ascii="Verdana" w:eastAsia="Calibri" w:hAnsi="Verdana" w:cs="Arial"/>
          <w:lang w:val="es-ES" w:eastAsia="es-ES"/>
        </w:rPr>
        <w:t xml:space="preserve"> Loaiza</w:t>
      </w:r>
    </w:p>
    <w:p w14:paraId="27C55915" w14:textId="77777777" w:rsidR="006F5983" w:rsidRDefault="006F5983" w:rsidP="006F598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E4D43F4" w14:textId="371ECE4C" w:rsidR="006F5983" w:rsidRPr="00EA7B0A" w:rsidRDefault="006F5983" w:rsidP="00EC3798">
      <w:pPr>
        <w:spacing w:after="120" w:line="276" w:lineRule="auto"/>
        <w:jc w:val="both"/>
        <w:rPr>
          <w:rFonts w:ascii="Verdana" w:eastAsia="Century Gothic" w:hAnsi="Verdana" w:cs="Century Gothic"/>
          <w:i/>
          <w:iC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trasladada por competencia por parte de Departamento Administrativo de Función Pública 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 xml:space="preserve">06 </w:t>
      </w:r>
      <w:r w:rsidRPr="00E5644F">
        <w:rPr>
          <w:rFonts w:ascii="Verdana" w:eastAsia="Calibri" w:hAnsi="Verdana" w:cs="Arial"/>
          <w:lang w:val="es-ES" w:eastAsia="es-ES"/>
        </w:rPr>
        <w:t xml:space="preserve">de </w:t>
      </w:r>
      <w:r>
        <w:rPr>
          <w:rFonts w:ascii="Verdana" w:eastAsia="Calibri" w:hAnsi="Verdana" w:cs="Arial"/>
          <w:lang w:val="es-ES" w:eastAsia="es-ES"/>
        </w:rPr>
        <w:t>diciembre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r w:rsidRPr="00EA7B0A">
        <w:rPr>
          <w:rFonts w:ascii="Verdana" w:eastAsia="Century Gothic" w:hAnsi="Verdana" w:cs="Century Gothic"/>
          <w:i/>
          <w:iCs/>
        </w:rPr>
        <w:t>“¿</w:t>
      </w:r>
      <w:r w:rsidRPr="003A2ECF">
        <w:rPr>
          <w:rFonts w:ascii="Verdana" w:eastAsia="Century Gothic" w:hAnsi="Verdana" w:cs="Century Gothic"/>
          <w:i/>
          <w:iCs/>
        </w:rPr>
        <w:t>Solicito de manera respetuosa a la Agencia Nacional de Contratación Pública</w:t>
      </w:r>
      <w:r>
        <w:rPr>
          <w:rFonts w:ascii="Verdana" w:eastAsia="Century Gothic" w:hAnsi="Verdana" w:cs="Century Gothic"/>
          <w:i/>
          <w:iCs/>
        </w:rPr>
        <w:t xml:space="preserve"> </w:t>
      </w:r>
      <w:r w:rsidRPr="003A2ECF">
        <w:rPr>
          <w:rFonts w:ascii="Verdana" w:eastAsia="Century Gothic" w:hAnsi="Verdana" w:cs="Century Gothic"/>
          <w:i/>
          <w:iCs/>
        </w:rPr>
        <w:t>- Colombia Compra emita concepto respecto a cuál es el más adecuado proceso de</w:t>
      </w:r>
      <w:r>
        <w:rPr>
          <w:rFonts w:ascii="Verdana" w:eastAsia="Century Gothic" w:hAnsi="Verdana" w:cs="Century Gothic"/>
          <w:i/>
          <w:iCs/>
        </w:rPr>
        <w:t xml:space="preserve"> </w:t>
      </w:r>
      <w:r w:rsidRPr="003A2ECF">
        <w:rPr>
          <w:rFonts w:ascii="Verdana" w:eastAsia="Century Gothic" w:hAnsi="Verdana" w:cs="Century Gothic"/>
          <w:i/>
          <w:iCs/>
        </w:rPr>
        <w:t>contratación de los servicios de vigilancia conforme a las normas existentes</w:t>
      </w:r>
      <w:r w:rsidRPr="00EA7B0A">
        <w:rPr>
          <w:rFonts w:ascii="Verdana" w:eastAsia="Century Gothic" w:hAnsi="Verdana" w:cs="Century Gothic"/>
          <w:i/>
          <w:iCs/>
        </w:rPr>
        <w:t>?</w:t>
      </w:r>
      <w:r w:rsidR="00EC3798">
        <w:rPr>
          <w:rFonts w:ascii="Verdana" w:eastAsia="Century Gothic" w:hAnsi="Verdana" w:cs="Century Gothic"/>
          <w:i/>
          <w:iCs/>
        </w:rPr>
        <w:t>”.</w:t>
      </w:r>
    </w:p>
    <w:p w14:paraId="2534EC6A" w14:textId="77777777" w:rsidR="006F5983" w:rsidRPr="00AA3B9F" w:rsidRDefault="006F5983" w:rsidP="006F5983">
      <w:pPr>
        <w:spacing w:after="120" w:line="276" w:lineRule="auto"/>
        <w:ind w:firstLine="709"/>
        <w:jc w:val="both"/>
        <w:rPr>
          <w:rFonts w:ascii="Verdana" w:eastAsia="Calibri" w:hAnsi="Verdana" w:cs="Arial"/>
          <w:lang w:val="es-ES_tradnl" w:eastAsia="es-ES_tradnl"/>
        </w:rPr>
      </w:pPr>
      <w:r w:rsidRPr="00AA3B9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AA3B9F">
        <w:rPr>
          <w:rFonts w:ascii="Verdana" w:eastAsia="Calibri" w:hAnsi="Verdana" w:cs="Arial"/>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w:t>
      </w:r>
      <w:r>
        <w:rPr>
          <w:rFonts w:ascii="Verdana" w:eastAsia="Calibri" w:hAnsi="Verdana" w:cs="Arial"/>
          <w:lang w:val="es-ES" w:eastAsia="es-ES"/>
        </w:rPr>
        <w:t>E</w:t>
      </w:r>
      <w:r w:rsidRPr="00AA3B9F">
        <w:rPr>
          <w:rFonts w:ascii="Verdana" w:eastAsia="Calibri" w:hAnsi="Verdana" w:cs="Arial"/>
          <w:lang w:val="es-ES" w:eastAsia="es-ES"/>
        </w:rPr>
        <w:t xml:space="preserve">ntidades </w:t>
      </w:r>
      <w:r>
        <w:rPr>
          <w:rFonts w:ascii="Verdana" w:eastAsia="Calibri" w:hAnsi="Verdana" w:cs="Arial"/>
          <w:lang w:val="es-ES" w:eastAsia="es-ES"/>
        </w:rPr>
        <w:t xml:space="preserve">Estatales </w:t>
      </w:r>
      <w:r w:rsidRPr="00AA3B9F">
        <w:rPr>
          <w:rFonts w:ascii="Verdana" w:eastAsia="Calibri" w:hAnsi="Verdana" w:cs="Arial"/>
          <w:lang w:val="es-ES" w:eastAsia="es-ES"/>
        </w:rPr>
        <w:t>o de los demás participantes de la contratación pública. Esta competencia de interpretación de normas generales, por definición, no puede extenderse a la resolución de controversias, ni a brindar asesorías sobre casos puntuales.</w:t>
      </w:r>
    </w:p>
    <w:p w14:paraId="7A5E7340" w14:textId="77777777" w:rsidR="006F5983" w:rsidRPr="00AA3B9F" w:rsidRDefault="006F5983" w:rsidP="006F5983">
      <w:pPr>
        <w:spacing w:after="0" w:line="276" w:lineRule="auto"/>
        <w:ind w:firstLine="709"/>
        <w:jc w:val="both"/>
        <w:rPr>
          <w:rFonts w:ascii="Verdana" w:eastAsia="Calibri" w:hAnsi="Verdana" w:cs="Arial"/>
          <w:lang w:val="es-ES" w:eastAsia="es-ES"/>
        </w:rPr>
      </w:pPr>
      <w:r w:rsidRPr="00AA3B9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47848CD" w14:textId="77777777" w:rsidR="006F5983" w:rsidRDefault="006F5983" w:rsidP="006F5983">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658D9F56"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05268F4C" w14:textId="77777777" w:rsidR="006F5983" w:rsidRPr="00593A5F" w:rsidRDefault="006F5983" w:rsidP="006F5983">
      <w:pPr>
        <w:tabs>
          <w:tab w:val="left" w:pos="426"/>
        </w:tabs>
        <w:spacing w:after="0" w:line="276" w:lineRule="auto"/>
        <w:jc w:val="both"/>
        <w:rPr>
          <w:rFonts w:ascii="Verdana" w:eastAsia="Century Gothic" w:hAnsi="Verdana" w:cs="Century Gothic"/>
          <w:lang w:val="es-ES"/>
        </w:rPr>
      </w:pPr>
    </w:p>
    <w:p w14:paraId="3353FD0C" w14:textId="2CD53EAF" w:rsidR="006F5983" w:rsidRPr="00BD77C4" w:rsidRDefault="006F5983" w:rsidP="006F5983">
      <w:pPr>
        <w:pStyle w:val="Prrafodelista"/>
        <w:ind w:left="0" w:right="49"/>
        <w:jc w:val="both"/>
        <w:rPr>
          <w:rFonts w:ascii="Verdana" w:eastAsia="Century Gothic" w:hAnsi="Verdana" w:cs="Century Gothic"/>
        </w:rPr>
      </w:pPr>
      <w:r w:rsidRPr="00B22D91">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los siguientes </w:t>
      </w:r>
      <w:r w:rsidRPr="00B22D91">
        <w:rPr>
          <w:rFonts w:ascii="Verdana" w:eastAsia="Century Gothic" w:hAnsi="Verdana" w:cs="Century Gothic"/>
        </w:rPr>
        <w:t>problema</w:t>
      </w:r>
      <w:r>
        <w:rPr>
          <w:rFonts w:ascii="Verdana" w:eastAsia="Century Gothic" w:hAnsi="Verdana" w:cs="Century Gothic"/>
        </w:rPr>
        <w:t>s</w:t>
      </w:r>
      <w:r w:rsidRPr="00B22D91">
        <w:rPr>
          <w:rFonts w:ascii="Verdana" w:eastAsia="Century Gothic" w:hAnsi="Verdana" w:cs="Century Gothic"/>
        </w:rPr>
        <w:t xml:space="preserve"> jurídico</w:t>
      </w:r>
      <w:r>
        <w:rPr>
          <w:rFonts w:ascii="Verdana" w:eastAsia="Century Gothic" w:hAnsi="Verdana" w:cs="Century Gothic"/>
        </w:rPr>
        <w:t>s</w:t>
      </w:r>
      <w:r w:rsidRPr="00B22D91">
        <w:rPr>
          <w:rFonts w:ascii="Verdana" w:eastAsia="Century Gothic" w:hAnsi="Verdana" w:cs="Century Gothic"/>
        </w:rPr>
        <w:t>:</w:t>
      </w:r>
      <w:r>
        <w:rPr>
          <w:rFonts w:ascii="Verdana" w:eastAsia="Century Gothic" w:hAnsi="Verdana" w:cs="Century Gothic"/>
        </w:rPr>
        <w:t xml:space="preserve"> </w:t>
      </w:r>
      <w:r w:rsidRPr="0036753A">
        <w:rPr>
          <w:rFonts w:ascii="Verdana" w:eastAsia="Calibri" w:hAnsi="Verdana" w:cs="Times New Roman"/>
        </w:rPr>
        <w:t xml:space="preserve">¿cuál es la modalidad de selección </w:t>
      </w:r>
      <w:r w:rsidR="00EC3798">
        <w:rPr>
          <w:rFonts w:ascii="Verdana" w:eastAsia="Calibri" w:hAnsi="Verdana" w:cs="Times New Roman"/>
        </w:rPr>
        <w:t xml:space="preserve">aplicable para </w:t>
      </w:r>
      <w:r w:rsidRPr="0036753A">
        <w:rPr>
          <w:rFonts w:ascii="Verdana" w:eastAsia="Calibri" w:hAnsi="Verdana" w:cs="Times New Roman"/>
        </w:rPr>
        <w:t>la contratación de servicios de vigilancia y seguridad privada?</w:t>
      </w:r>
    </w:p>
    <w:p w14:paraId="381F962B" w14:textId="77777777" w:rsidR="006F5983" w:rsidRDefault="006F5983" w:rsidP="006F5983">
      <w:pPr>
        <w:pStyle w:val="Prrafodelista"/>
        <w:ind w:left="0" w:right="49"/>
        <w:jc w:val="both"/>
        <w:rPr>
          <w:rFonts w:ascii="Verdana" w:eastAsia="Century Gothic" w:hAnsi="Verdana" w:cs="Century Gothic"/>
          <w:i/>
          <w:iCs/>
        </w:rPr>
      </w:pPr>
    </w:p>
    <w:p w14:paraId="2ED0BD2C"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8F61AC0" w14:textId="77777777" w:rsidR="006F5983" w:rsidRPr="00593A5F" w:rsidRDefault="006F5983" w:rsidP="006F598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F5983" w:rsidRPr="00593A5F" w14:paraId="59359B87" w14:textId="77777777" w:rsidTr="00C61A56">
        <w:tc>
          <w:tcPr>
            <w:tcW w:w="8828" w:type="dxa"/>
            <w:shd w:val="clear" w:color="auto" w:fill="auto"/>
          </w:tcPr>
          <w:p w14:paraId="148D4985" w14:textId="556E2BEF" w:rsidR="006F5983" w:rsidRPr="00185EE9" w:rsidRDefault="006F5983" w:rsidP="00C40BFF">
            <w:pPr>
              <w:tabs>
                <w:tab w:val="left" w:pos="567"/>
              </w:tabs>
              <w:spacing w:after="120" w:line="257" w:lineRule="auto"/>
              <w:jc w:val="both"/>
              <w:rPr>
                <w:rFonts w:ascii="Verdana" w:eastAsia="Times New Roman" w:hAnsi="Verdana" w:cs="Arial"/>
                <w:shd w:val="clear" w:color="auto" w:fill="FFFFFF"/>
                <w:lang w:eastAsia="es-CO"/>
              </w:rPr>
            </w:pPr>
            <w:r>
              <w:rPr>
                <w:rFonts w:ascii="Verdana" w:eastAsia="Calibri" w:hAnsi="Verdana" w:cs="Times New Roman"/>
                <w:iCs/>
                <w:lang w:val="es-ES"/>
              </w:rPr>
              <w:t xml:space="preserve">De manera preliminar resulta pertinente indicar que los </w:t>
            </w:r>
            <w:r w:rsidRPr="00185EE9">
              <w:rPr>
                <w:rFonts w:ascii="Verdana" w:eastAsia="Calibri" w:hAnsi="Verdana" w:cs="Arial"/>
                <w:bCs/>
                <w:color w:val="000000" w:themeColor="text1"/>
              </w:rPr>
              <w:t>servicios de vigilancia y seguridad privada</w:t>
            </w:r>
            <w:r w:rsidR="00513036">
              <w:rPr>
                <w:rFonts w:ascii="Verdana" w:eastAsia="Calibri" w:hAnsi="Verdana" w:cs="Arial"/>
                <w:bCs/>
                <w:color w:val="000000" w:themeColor="text1"/>
              </w:rPr>
              <w:t xml:space="preserve"> son susceptibles de ser</w:t>
            </w:r>
            <w:r>
              <w:rPr>
                <w:rFonts w:ascii="Verdana" w:eastAsia="Calibri" w:hAnsi="Verdana" w:cs="Arial"/>
                <w:bCs/>
                <w:color w:val="000000" w:themeColor="text1"/>
              </w:rPr>
              <w:t xml:space="preserve"> </w:t>
            </w:r>
            <w:r w:rsidRPr="00185EE9">
              <w:rPr>
                <w:rFonts w:ascii="Verdana" w:eastAsia="Calibri" w:hAnsi="Verdana" w:cs="Arial"/>
                <w:bCs/>
                <w:color w:val="000000" w:themeColor="text1"/>
              </w:rPr>
              <w:t xml:space="preserve">considerados como </w:t>
            </w:r>
            <w:r w:rsidRPr="00185EE9">
              <w:rPr>
                <w:rFonts w:ascii="Verdana" w:eastAsia="Calibri" w:hAnsi="Verdana" w:cs="Times New Roman"/>
                <w:iCs/>
                <w:lang w:val="es-ES"/>
              </w:rPr>
              <w:t xml:space="preserve">bienes y servicios de características técnicas uniformes y de común utilización </w:t>
            </w:r>
            <w:r>
              <w:rPr>
                <w:rFonts w:ascii="Verdana" w:eastAsia="Calibri" w:hAnsi="Verdana" w:cs="Times New Roman"/>
                <w:iCs/>
                <w:lang w:val="es-ES"/>
              </w:rPr>
              <w:t>ya</w:t>
            </w:r>
            <w:r w:rsidRPr="00185EE9">
              <w:rPr>
                <w:rFonts w:ascii="Verdana" w:eastAsia="Calibri" w:hAnsi="Verdana" w:cs="Times New Roman"/>
                <w:iCs/>
                <w:lang w:val="es-ES"/>
              </w:rPr>
              <w:t xml:space="preserve"> que comparten patrones de desempeño y calidad</w:t>
            </w:r>
            <w:r w:rsidRPr="00185EE9">
              <w:rPr>
                <w:rFonts w:ascii="Verdana" w:eastAsia="Calibri" w:hAnsi="Verdana" w:cs="Arial"/>
                <w:bCs/>
                <w:color w:val="000000" w:themeColor="text1"/>
              </w:rPr>
              <w:t xml:space="preserve"> similares para la satisfacción de la necesidad a la que atienden</w:t>
            </w:r>
            <w:r w:rsidRPr="00185EE9">
              <w:rPr>
                <w:rFonts w:ascii="Verdana" w:eastAsia="Calibri" w:hAnsi="Verdana" w:cs="Times New Roman"/>
                <w:iCs/>
                <w:lang w:val="es-ES"/>
              </w:rPr>
              <w:t xml:space="preserve">. </w:t>
            </w:r>
            <w:r>
              <w:rPr>
                <w:rFonts w:ascii="Verdana" w:eastAsia="Calibri" w:hAnsi="Verdana" w:cs="Times New Roman"/>
                <w:iCs/>
                <w:lang w:val="es-ES"/>
              </w:rPr>
              <w:t xml:space="preserve"> </w:t>
            </w:r>
            <w:r w:rsidR="00C40BFF">
              <w:rPr>
                <w:rFonts w:ascii="Verdana" w:eastAsia="Calibri" w:hAnsi="Verdana" w:cs="Times New Roman"/>
                <w:iCs/>
                <w:lang w:val="es-ES"/>
              </w:rPr>
              <w:t>E</w:t>
            </w:r>
            <w:r w:rsidRPr="00185EE9">
              <w:rPr>
                <w:rFonts w:ascii="Verdana" w:eastAsia="Calibri" w:hAnsi="Verdana" w:cs="Times New Roman"/>
                <w:iCs/>
                <w:lang w:val="es-ES"/>
              </w:rPr>
              <w:t xml:space="preserve">l numeral 2 del artículo 2 de la Ley 1150 de 2007, </w:t>
            </w:r>
            <w:r>
              <w:rPr>
                <w:rFonts w:ascii="Verdana" w:eastAsia="Calibri" w:hAnsi="Verdana" w:cs="Times New Roman"/>
                <w:iCs/>
                <w:lang w:val="es-ES"/>
              </w:rPr>
              <w:t xml:space="preserve">establece que los </w:t>
            </w:r>
            <w:r w:rsidRPr="00185EE9">
              <w:rPr>
                <w:rFonts w:ascii="Verdana" w:eastAsia="Calibri" w:hAnsi="Verdana" w:cs="Times New Roman"/>
                <w:iCs/>
                <w:lang w:val="es-ES"/>
              </w:rPr>
              <w:t xml:space="preserve">bienes y servicios de características técnicas uniformes y de común utilización </w:t>
            </w:r>
            <w:r w:rsidRPr="00185EE9">
              <w:rPr>
                <w:rFonts w:ascii="Verdana" w:eastAsia="Times New Roman" w:hAnsi="Verdana" w:cs="Arial"/>
                <w:shd w:val="clear" w:color="auto" w:fill="FFFFFF"/>
                <w:lang w:eastAsia="es-CO"/>
              </w:rPr>
              <w:t>corresponden a aquellos que poseen las mismas especificaciones técnicas, con independencia de su diseño o de sus características descriptivas, y comparten patrones de desempeño y calidad objetivamente definidos.</w:t>
            </w:r>
          </w:p>
          <w:p w14:paraId="3AE97B70" w14:textId="45C9A323" w:rsidR="006F5983" w:rsidRPr="00185EE9" w:rsidRDefault="00C40BFF" w:rsidP="00C61A56">
            <w:pPr>
              <w:spacing w:after="120" w:line="276" w:lineRule="auto"/>
              <w:ind w:firstLine="709"/>
              <w:jc w:val="both"/>
              <w:rPr>
                <w:rFonts w:ascii="Verdana" w:eastAsia="Calibri" w:hAnsi="Verdana" w:cs="Arial"/>
                <w:bCs/>
                <w:color w:val="000000" w:themeColor="text1"/>
              </w:rPr>
            </w:pPr>
            <w:r>
              <w:rPr>
                <w:rFonts w:ascii="Verdana" w:eastAsia="Calibri" w:hAnsi="Verdana" w:cs="Times New Roman"/>
                <w:iCs/>
              </w:rPr>
              <w:t>Conforme a lo anterior</w:t>
            </w:r>
            <w:r w:rsidR="006F5983" w:rsidRPr="00185EE9">
              <w:rPr>
                <w:rFonts w:ascii="Verdana" w:eastAsia="Calibri" w:hAnsi="Verdana" w:cs="Times New Roman"/>
                <w:iCs/>
                <w:lang w:val="es-ES"/>
              </w:rPr>
              <w:t xml:space="preserve">, </w:t>
            </w:r>
            <w:r w:rsidR="006F5983" w:rsidRPr="00185EE9">
              <w:rPr>
                <w:rFonts w:ascii="Verdana" w:eastAsia="Calibri" w:hAnsi="Verdana" w:cs="Times New Roman"/>
                <w:i/>
                <w:lang w:val="es-ES"/>
              </w:rPr>
              <w:t xml:space="preserve">en principio, </w:t>
            </w:r>
            <w:r w:rsidR="006F5983" w:rsidRPr="00185EE9">
              <w:rPr>
                <w:rFonts w:ascii="Verdana" w:eastAsia="Calibri" w:hAnsi="Verdana" w:cs="Times New Roman"/>
                <w:iCs/>
                <w:lang w:val="es-ES"/>
              </w:rPr>
              <w:t>la modalidad de selección aplicable</w:t>
            </w:r>
            <w:r w:rsidR="006F5983" w:rsidRPr="00185EE9">
              <w:rPr>
                <w:rFonts w:ascii="Verdana" w:eastAsia="Calibri" w:hAnsi="Verdana" w:cs="Arial"/>
                <w:bCs/>
                <w:color w:val="000000" w:themeColor="text1"/>
              </w:rPr>
              <w:t xml:space="preserve"> para la adquisición de</w:t>
            </w:r>
            <w:r w:rsidR="006F5983" w:rsidRPr="00185EE9">
              <w:rPr>
                <w:rFonts w:ascii="Verdana" w:eastAsia="Calibri" w:hAnsi="Verdana" w:cs="Arial"/>
                <w:bCs/>
                <w:i/>
                <w:iCs/>
                <w:color w:val="000000" w:themeColor="text1"/>
              </w:rPr>
              <w:t xml:space="preserve"> </w:t>
            </w:r>
            <w:r w:rsidR="006F5983" w:rsidRPr="00185EE9">
              <w:rPr>
                <w:rFonts w:ascii="Verdana" w:eastAsia="Calibri" w:hAnsi="Verdana" w:cs="Arial"/>
                <w:bCs/>
                <w:color w:val="000000" w:themeColor="text1"/>
              </w:rPr>
              <w:t>bienes y servicios de características técnicas uniformes y común utilización es la selección abreviada a la que hace referencia el</w:t>
            </w:r>
            <w:r w:rsidR="006F5983" w:rsidRPr="00185EE9">
              <w:rPr>
                <w:rFonts w:ascii="Verdana" w:eastAsia="Calibri" w:hAnsi="Verdana" w:cs="Arial"/>
                <w:bCs/>
                <w:i/>
                <w:iCs/>
                <w:color w:val="000000" w:themeColor="text1"/>
              </w:rPr>
              <w:t xml:space="preserve"> </w:t>
            </w:r>
            <w:r w:rsidR="006F5983" w:rsidRPr="00185EE9">
              <w:rPr>
                <w:rFonts w:ascii="Verdana" w:eastAsia="Calibri" w:hAnsi="Verdana" w:cs="Arial"/>
                <w:bCs/>
                <w:color w:val="000000" w:themeColor="text1"/>
              </w:rPr>
              <w:t xml:space="preserve">literal a) del numeral 2 del 2 artículo de la Ley 1150 de 2007. Esto supone que, para la adquisición de estos bienes o servicios, las Entidades Estatales deban escoger a los proponentes habilitados que presenten ofertas de menor valor, </w:t>
            </w:r>
            <w:r w:rsidR="006F5983" w:rsidRPr="00185EE9">
              <w:rPr>
                <w:rFonts w:ascii="Verdana" w:eastAsia="Calibri" w:hAnsi="Verdana" w:cs="Arial"/>
                <w:bCs/>
                <w:color w:val="000000" w:themeColor="text1"/>
              </w:rPr>
              <w:lastRenderedPageBreak/>
              <w:t xml:space="preserve">en el marco de la aplicación del mecanismo de subasta inversa o de instrumentos de compra por catálogo derivados de la celebración de acuerdos marco de precios o de procedimientos de adquisición en bolsas de productos. </w:t>
            </w:r>
          </w:p>
          <w:p w14:paraId="2A3156B3" w14:textId="77777777" w:rsidR="006F5983" w:rsidRPr="00185EE9" w:rsidRDefault="006F5983" w:rsidP="00C61A56">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Sin embargo, si bien nada se opone a que los servicios de vigilancia y seguridad privada regulados por el Decreto Ley 356 de 1994 sean considerados como de características técnicas uniformes, la contratación de estos a través de las modalidades antes indicadas no es funcional para garantizar la selección objetiva. Esto comoquiera que las tarifas mínimas establecidas para estos servicios en la Circular Externa de la Superintendencia de Vigilancia y Seguridad Privada 20231300001105 del 30 de diciembre de 2023 representan una medida regulatoria 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otros bienes o servicios que no tienen un precio mínimo regulado.   </w:t>
            </w:r>
          </w:p>
          <w:p w14:paraId="41D7D0CB" w14:textId="77777777" w:rsidR="006F5983" w:rsidRPr="00185EE9" w:rsidRDefault="006F5983" w:rsidP="00C61A56">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 Esto además resulta coherente con lo dispuesto en el</w:t>
            </w:r>
            <w:r w:rsidRPr="00185EE9">
              <w:rPr>
                <w:rFonts w:ascii="Verdana" w:eastAsia="Calibri" w:hAnsi="Verdana" w:cs="Arial"/>
                <w:color w:val="000000"/>
                <w:lang w:val="es-ES_tradnl"/>
              </w:rPr>
              <w:t xml:space="preserve"> artículo 6 de la 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 xml:space="preserve">servicios de vigilancia y seguridad privada, previendo además la aplicación de factores de evaluación distintos del precio. </w:t>
            </w:r>
          </w:p>
          <w:p w14:paraId="0F71C554" w14:textId="77777777" w:rsidR="006F5983" w:rsidRDefault="006F5983" w:rsidP="00E2597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w:t>
            </w:r>
            <w:r w:rsidRPr="00185EE9">
              <w:rPr>
                <w:rFonts w:ascii="Verdana" w:eastAsia="Calibri" w:hAnsi="Verdana" w:cs="Arial"/>
                <w:bCs/>
                <w:color w:val="000000" w:themeColor="text1"/>
              </w:rPr>
              <w:lastRenderedPageBreak/>
              <w:t xml:space="preserve">modalidad, al igual que en la licitación, la oferta más favorable se determina de acuerdo con lo establecido en el numeral 2 del artículo 5 de la Ley 1150 de 2007, esto es, en atención a la mejor relación calidad-precio. </w:t>
            </w:r>
          </w:p>
          <w:p w14:paraId="501F3B5F" w14:textId="77777777" w:rsidR="006F5983" w:rsidRPr="00831CDD" w:rsidRDefault="006F5983" w:rsidP="00C61A56">
            <w:pPr>
              <w:spacing w:line="276" w:lineRule="auto"/>
              <w:ind w:firstLine="709"/>
              <w:jc w:val="both"/>
              <w:rPr>
                <w:rFonts w:ascii="Verdana" w:hAnsi="Verdana" w:cs="Arial"/>
                <w:bCs/>
                <w:color w:val="000000" w:themeColor="text1"/>
              </w:rPr>
            </w:pPr>
            <w:r>
              <w:rPr>
                <w:rFonts w:ascii="Verdana" w:hAnsi="Verdana" w:cs="Arial"/>
              </w:rPr>
              <w:t>Finalmente</w:t>
            </w:r>
            <w:r w:rsidRPr="00FB7EA8">
              <w:rPr>
                <w:rFonts w:ascii="Verdana" w:hAnsi="Verdana" w:cs="Arial"/>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para atender las necesidades</w:t>
            </w:r>
            <w:r>
              <w:rPr>
                <w:rFonts w:ascii="Verdana" w:hAnsi="Verdana" w:cs="Arial"/>
              </w:rPr>
              <w:t xml:space="preserve"> de la entidad</w:t>
            </w:r>
            <w:r w:rsidRPr="00FB7EA8">
              <w:rPr>
                <w:rFonts w:ascii="Verdana" w:hAnsi="Verdana" w:cs="Arial"/>
              </w:rPr>
              <w:t>.</w:t>
            </w:r>
          </w:p>
        </w:tc>
      </w:tr>
      <w:tr w:rsidR="006F5983" w:rsidRPr="00593A5F" w14:paraId="25DE222D" w14:textId="77777777" w:rsidTr="00C61A56">
        <w:tc>
          <w:tcPr>
            <w:tcW w:w="8828" w:type="dxa"/>
            <w:shd w:val="clear" w:color="auto" w:fill="auto"/>
          </w:tcPr>
          <w:p w14:paraId="789C7915" w14:textId="77777777" w:rsidR="006F5983" w:rsidRPr="002973E9" w:rsidRDefault="006F5983" w:rsidP="00C61A56">
            <w:pPr>
              <w:spacing w:line="276" w:lineRule="auto"/>
              <w:jc w:val="both"/>
              <w:rPr>
                <w:rFonts w:ascii="Verdana" w:eastAsia="Calibri" w:hAnsi="Verdana" w:cs="Arial"/>
                <w:lang w:val="es-ES"/>
              </w:rPr>
            </w:pPr>
          </w:p>
        </w:tc>
      </w:tr>
    </w:tbl>
    <w:p w14:paraId="55D1E273" w14:textId="77777777" w:rsidR="006F5983" w:rsidRDefault="006F5983" w:rsidP="006F5983">
      <w:pPr>
        <w:tabs>
          <w:tab w:val="left" w:pos="142"/>
          <w:tab w:val="left" w:pos="284"/>
        </w:tabs>
        <w:spacing w:after="0" w:line="276" w:lineRule="auto"/>
        <w:jc w:val="both"/>
        <w:rPr>
          <w:rFonts w:ascii="Verdana" w:eastAsia="Century Gothic" w:hAnsi="Verdana" w:cs="Century Gothic"/>
          <w:b/>
          <w:bCs/>
          <w:lang w:val="es-ES"/>
        </w:rPr>
      </w:pPr>
    </w:p>
    <w:p w14:paraId="6FE94844"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3864785" w14:textId="77777777" w:rsidR="006F5983" w:rsidRPr="00593A5F" w:rsidRDefault="006F5983" w:rsidP="006F5983">
      <w:pPr>
        <w:spacing w:after="0" w:line="276" w:lineRule="auto"/>
        <w:jc w:val="both"/>
        <w:rPr>
          <w:rFonts w:ascii="Verdana" w:eastAsia="Calibri" w:hAnsi="Verdana" w:cs="Arial"/>
          <w:color w:val="7030A0"/>
          <w:lang w:val="es-ES"/>
        </w:rPr>
      </w:pPr>
    </w:p>
    <w:p w14:paraId="3172AC08" w14:textId="77777777" w:rsidR="006F5983" w:rsidRDefault="006F5983" w:rsidP="006F5983">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173E8C45" w14:textId="77777777" w:rsidR="006F5983" w:rsidRDefault="006F5983" w:rsidP="006F5983">
      <w:pPr>
        <w:widowControl w:val="0"/>
        <w:autoSpaceDE w:val="0"/>
        <w:autoSpaceDN w:val="0"/>
        <w:spacing w:after="0" w:line="276" w:lineRule="auto"/>
        <w:jc w:val="both"/>
        <w:rPr>
          <w:rFonts w:ascii="Verdana" w:hAnsi="Verdana" w:cs="Arial"/>
        </w:rPr>
      </w:pPr>
    </w:p>
    <w:p w14:paraId="5597F2FB" w14:textId="77777777" w:rsidR="006F5983" w:rsidRPr="00185EE9" w:rsidRDefault="006F5983" w:rsidP="006F5983">
      <w:pPr>
        <w:spacing w:after="120" w:line="276" w:lineRule="auto"/>
        <w:jc w:val="both"/>
        <w:rPr>
          <w:rFonts w:ascii="Verdana" w:eastAsia="Calibri" w:hAnsi="Verdana" w:cs="Arial"/>
          <w:bCs/>
          <w:lang w:val="es-MX" w:eastAsia="es-ES_tradnl"/>
        </w:rPr>
      </w:pPr>
      <w:bookmarkStart w:id="4" w:name="_Hlk185366844"/>
      <w:r w:rsidRPr="00185EE9">
        <w:rPr>
          <w:rFonts w:ascii="Verdana" w:eastAsia="Calibri" w:hAnsi="Verdana" w:cs="Arial"/>
          <w:color w:val="000000"/>
          <w:szCs w:val="24"/>
          <w:lang w:val="es-ES_tradnl" w:eastAsia="es-ES_tradnl"/>
        </w:rPr>
        <w:t>P</w:t>
      </w:r>
      <w:r w:rsidRPr="00185EE9">
        <w:rPr>
          <w:rFonts w:ascii="Verdana" w:hAnsi="Verdana" w:cs="Arial"/>
          <w:lang w:val="es-ES"/>
        </w:rPr>
        <w:t xml:space="preserve">ara las entidades sometidas al Estatuto General de Contratación de la Administración Pública, los procesos de selección se rigen por </w:t>
      </w:r>
      <w:r w:rsidRPr="00185EE9">
        <w:rPr>
          <w:rFonts w:ascii="Verdana" w:hAnsi="Verdana" w:cs="Arial"/>
          <w:bCs/>
          <w:lang w:val="es-ES_tradnl"/>
        </w:rPr>
        <w:t>el artículo 2 de la Ley 1150 de 2007</w:t>
      </w:r>
      <w:r w:rsidRPr="00185EE9">
        <w:rPr>
          <w:rFonts w:ascii="Verdana" w:hAnsi="Verdana" w:cs="Arial"/>
          <w:lang w:val="es-ES"/>
        </w:rPr>
        <w:t xml:space="preserve">. El </w:t>
      </w:r>
      <w:r w:rsidRPr="00185EE9">
        <w:rPr>
          <w:rFonts w:ascii="Verdana" w:eastAsia="Calibri" w:hAnsi="Verdana" w:cs="Arial"/>
          <w:bCs/>
          <w:lang w:val="es-MX" w:eastAsia="es-ES_tradnl"/>
        </w:rPr>
        <w:t>numeral uno, inciso primero, de la norma citada</w:t>
      </w:r>
      <w:r w:rsidRPr="00185EE9">
        <w:rPr>
          <w:rFonts w:ascii="Verdana" w:hAnsi="Verdana" w:cs="Arial"/>
          <w:bCs/>
          <w:lang w:val="es-ES_tradnl"/>
        </w:rPr>
        <w:t xml:space="preserve"> </w:t>
      </w:r>
      <w:r w:rsidRPr="00185EE9">
        <w:rPr>
          <w:rFonts w:ascii="Verdana" w:eastAsia="Calibri" w:hAnsi="Verdana" w:cs="Arial"/>
          <w:bCs/>
          <w:lang w:val="es-MX" w:eastAsia="es-ES_tradnl"/>
        </w:rPr>
        <w:t xml:space="preserve">dispone que “La escogencia del contratista se efectuará por </w:t>
      </w:r>
      <w:r w:rsidRPr="00185EE9">
        <w:rPr>
          <w:rFonts w:ascii="Verdana" w:eastAsia="Calibri" w:hAnsi="Verdana" w:cs="Arial"/>
          <w:bCs/>
          <w:i/>
          <w:iCs/>
          <w:lang w:val="es-MX" w:eastAsia="es-ES_tradnl"/>
        </w:rPr>
        <w:t>regla general</w:t>
      </w:r>
      <w:r w:rsidRPr="00185EE9">
        <w:rPr>
          <w:rFonts w:ascii="Verdana" w:eastAsia="Calibri" w:hAnsi="Verdana" w:cs="Arial"/>
          <w:bCs/>
          <w:lang w:val="es-MX" w:eastAsia="es-ES_tradnl"/>
        </w:rPr>
        <w:t xml:space="preserve"> a través de licitación pública, con las </w:t>
      </w:r>
      <w:r w:rsidRPr="00185EE9">
        <w:rPr>
          <w:rFonts w:ascii="Verdana" w:eastAsia="Calibri" w:hAnsi="Verdana" w:cs="Arial"/>
          <w:bCs/>
          <w:i/>
          <w:iCs/>
          <w:lang w:val="es-MX" w:eastAsia="es-ES_tradnl"/>
        </w:rPr>
        <w:t>excepciones</w:t>
      </w:r>
      <w:r w:rsidRPr="00185EE9">
        <w:rPr>
          <w:rFonts w:ascii="Verdana" w:eastAsia="Calibri" w:hAnsi="Verdana" w:cs="Arial"/>
          <w:bCs/>
          <w:lang w:val="es-MX" w:eastAsia="es-ES_tradnl"/>
        </w:rPr>
        <w:t xml:space="preserve"> que se señalan en los numerales 2, 3 y 4 del presente artículo”, norma que sustituye el derogado numeral 1 del artículo 24 de la Ley 80 de 1993 sobre el principio de transparencia</w:t>
      </w:r>
      <w:r w:rsidRPr="00185EE9">
        <w:rPr>
          <w:rStyle w:val="Refdenotaalpie"/>
          <w:rFonts w:ascii="Verdana" w:eastAsia="Calibri" w:hAnsi="Verdana" w:cs="Arial"/>
          <w:bCs/>
          <w:lang w:val="es-MX" w:eastAsia="es-ES_tradnl"/>
        </w:rPr>
        <w:footnoteReference w:id="1"/>
      </w:r>
      <w:r w:rsidRPr="00185EE9">
        <w:rPr>
          <w:rFonts w:ascii="Verdana" w:eastAsia="Calibri" w:hAnsi="Verdana" w:cs="Arial"/>
          <w:bCs/>
          <w:lang w:val="es-MX" w:eastAsia="es-ES_tradnl"/>
        </w:rPr>
        <w:t xml:space="preserve">. </w:t>
      </w:r>
    </w:p>
    <w:p w14:paraId="41515EB3" w14:textId="77777777" w:rsidR="006F5983" w:rsidRPr="00185EE9" w:rsidRDefault="006F5983" w:rsidP="006F5983">
      <w:pPr>
        <w:spacing w:after="120" w:line="276" w:lineRule="auto"/>
        <w:ind w:firstLine="708"/>
        <w:jc w:val="both"/>
        <w:rPr>
          <w:rFonts w:ascii="Verdana" w:eastAsia="Calibri" w:hAnsi="Verdana" w:cs="Arial"/>
          <w:bCs/>
          <w:lang w:val="es-MX" w:eastAsia="es-ES_tradnl"/>
        </w:rPr>
      </w:pPr>
      <w:r w:rsidRPr="00185EE9">
        <w:rPr>
          <w:rFonts w:ascii="Verdana" w:eastAsia="Calibri" w:hAnsi="Verdana" w:cs="Arial"/>
          <w:bCs/>
          <w:lang w:val="es-MX" w:eastAsia="es-ES_tradnl"/>
        </w:rPr>
        <w:t>Salvo norma especial que ordene la celebración del negocio jurídico por otra modalidad de selección, debe aplicarse la regla general de licitación pública</w:t>
      </w:r>
      <w:r w:rsidRPr="00185EE9">
        <w:rPr>
          <w:rStyle w:val="Refdenotaalpie"/>
          <w:rFonts w:ascii="Verdana" w:eastAsia="Calibri" w:hAnsi="Verdana" w:cs="Arial"/>
          <w:bCs/>
          <w:lang w:val="es-MX" w:eastAsia="es-ES_tradnl"/>
        </w:rPr>
        <w:footnoteReference w:id="2"/>
      </w:r>
      <w:r w:rsidRPr="00185EE9">
        <w:rPr>
          <w:rFonts w:ascii="Verdana" w:eastAsia="Calibri" w:hAnsi="Verdana" w:cs="Arial"/>
          <w:bCs/>
          <w:lang w:val="es-MX" w:eastAsia="es-ES_tradnl"/>
        </w:rPr>
        <w:t xml:space="preserve">. Por ello, dependiendo del objeto o el valor de presupuesto oficial, es </w:t>
      </w:r>
      <w:r w:rsidRPr="00185EE9">
        <w:rPr>
          <w:rFonts w:ascii="Verdana" w:eastAsia="Calibri" w:hAnsi="Verdana" w:cs="Arial"/>
          <w:bCs/>
          <w:lang w:val="es-MX" w:eastAsia="es-ES_tradnl"/>
        </w:rPr>
        <w:lastRenderedPageBreak/>
        <w:t>posible la aplicación de otros procedimientos contractuales. Estos pueden ser con pluralidad de oferentes –v. gr. la selección abreviada de menor cuantía o la mínima cuantía– o sin concurrencia de proponentes –por ejemplo, la contratación directa–.</w:t>
      </w:r>
    </w:p>
    <w:p w14:paraId="69AAD8DC" w14:textId="77777777" w:rsidR="006F5983" w:rsidRPr="00185EE9" w:rsidRDefault="006F5983" w:rsidP="006F5983">
      <w:pPr>
        <w:spacing w:after="120" w:line="276" w:lineRule="auto"/>
        <w:ind w:firstLine="708"/>
        <w:jc w:val="both"/>
        <w:rPr>
          <w:rFonts w:ascii="Verdana" w:eastAsia="Calibri" w:hAnsi="Verdana" w:cs="Arial"/>
        </w:rPr>
      </w:pPr>
      <w:r w:rsidRPr="00185EE9">
        <w:rPr>
          <w:rFonts w:ascii="Verdana" w:eastAsia="Calibri" w:hAnsi="Verdana" w:cs="Arial"/>
          <w:bCs/>
          <w:lang w:val="es-MX" w:eastAsia="es-ES_tradnl"/>
        </w:rPr>
        <w:t xml:space="preserve">Respecto a la selección abreviada, </w:t>
      </w:r>
      <w:bookmarkStart w:id="5" w:name="_Hlk39070608"/>
      <w:r w:rsidRPr="00185EE9">
        <w:rPr>
          <w:rFonts w:ascii="Verdana" w:eastAsia="Calibri" w:hAnsi="Verdana" w:cs="Arial"/>
        </w:rPr>
        <w:t>el numeral 2 del artículo 2 de la Ley 1150 de 2007</w:t>
      </w:r>
      <w:bookmarkEnd w:id="5"/>
      <w:r w:rsidRPr="00185EE9">
        <w:rPr>
          <w:rFonts w:ascii="Verdana" w:eastAsia="Calibri" w:hAnsi="Verdana" w:cs="Arial"/>
        </w:rPr>
        <w:t xml:space="preserve">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sidRPr="00185EE9">
        <w:rPr>
          <w:rStyle w:val="Refdenotaalpie"/>
          <w:rFonts w:ascii="Verdana" w:eastAsia="Calibri" w:hAnsi="Verdana" w:cs="Arial"/>
        </w:rPr>
        <w:footnoteReference w:id="3"/>
      </w:r>
      <w:r w:rsidRPr="00185EE9">
        <w:rPr>
          <w:rFonts w:ascii="Verdana" w:eastAsia="Calibri" w:hAnsi="Verdana" w:cs="Arial"/>
        </w:rPr>
        <w:t xml:space="preserve">. </w:t>
      </w:r>
    </w:p>
    <w:p w14:paraId="5A4E55F9" w14:textId="77777777" w:rsidR="006F5983" w:rsidRPr="00185EE9" w:rsidRDefault="006F5983" w:rsidP="006F5983">
      <w:pPr>
        <w:spacing w:after="0" w:line="276" w:lineRule="auto"/>
        <w:ind w:firstLine="708"/>
        <w:jc w:val="both"/>
        <w:rPr>
          <w:rFonts w:ascii="Verdana" w:eastAsia="Calibri" w:hAnsi="Verdana" w:cs="Arial"/>
        </w:rPr>
      </w:pPr>
      <w:bookmarkStart w:id="6" w:name="_Hlk39174727"/>
      <w:r w:rsidRPr="00185EE9">
        <w:rPr>
          <w:rFonts w:ascii="Verdana" w:eastAsia="Calibri" w:hAnsi="Verdana" w:cs="Arial"/>
        </w:rPr>
        <w:lastRenderedPageBreak/>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6"/>
      <w:r w:rsidRPr="00185EE9">
        <w:rPr>
          <w:rFonts w:ascii="Verdana" w:eastAsia="Calibri" w:hAnsi="Verdana" w:cs="Arial"/>
        </w:rPr>
        <w:t>. En la exposición de motivos se explica lo siguiente:</w:t>
      </w:r>
    </w:p>
    <w:p w14:paraId="0A451A6F" w14:textId="77777777" w:rsidR="006F5983" w:rsidRPr="00185EE9" w:rsidRDefault="006F5983" w:rsidP="006F5983">
      <w:pPr>
        <w:spacing w:after="0" w:line="276" w:lineRule="auto"/>
        <w:jc w:val="both"/>
        <w:rPr>
          <w:rFonts w:ascii="Verdana" w:eastAsia="Calibri" w:hAnsi="Verdana" w:cs="Arial"/>
        </w:rPr>
      </w:pPr>
    </w:p>
    <w:p w14:paraId="1813DA29" w14:textId="77777777" w:rsidR="006F5983" w:rsidRPr="00185EE9" w:rsidRDefault="006F5983" w:rsidP="006F5983">
      <w:pPr>
        <w:spacing w:after="12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p>
    <w:p w14:paraId="4CA51576" w14:textId="77777777" w:rsidR="006F5983" w:rsidRPr="00185EE9" w:rsidRDefault="006F5983" w:rsidP="006F5983">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w:t>
      </w:r>
      <w:r w:rsidRPr="00185EE9">
        <w:rPr>
          <w:rStyle w:val="Refdenotaalpie"/>
          <w:rFonts w:ascii="Verdana" w:eastAsia="Calibri" w:hAnsi="Verdana" w:cs="Arial"/>
          <w:sz w:val="21"/>
          <w:szCs w:val="21"/>
        </w:rPr>
        <w:footnoteReference w:id="4"/>
      </w:r>
      <w:r w:rsidRPr="00185EE9">
        <w:rPr>
          <w:rFonts w:ascii="Verdana" w:eastAsia="Calibri" w:hAnsi="Verdana" w:cs="Arial"/>
          <w:sz w:val="21"/>
          <w:szCs w:val="21"/>
        </w:rPr>
        <w:t>.</w:t>
      </w:r>
    </w:p>
    <w:p w14:paraId="74351D0A" w14:textId="77777777" w:rsidR="006F5983" w:rsidRPr="00185EE9" w:rsidRDefault="006F5983" w:rsidP="006F5983">
      <w:pPr>
        <w:spacing w:after="0" w:line="276" w:lineRule="auto"/>
        <w:jc w:val="both"/>
        <w:rPr>
          <w:rFonts w:ascii="Verdana" w:eastAsia="Calibri" w:hAnsi="Verdana" w:cs="Arial"/>
        </w:rPr>
      </w:pPr>
    </w:p>
    <w:p w14:paraId="34A80C48" w14:textId="77777777" w:rsidR="006F5983" w:rsidRPr="00185EE9" w:rsidRDefault="006F5983" w:rsidP="006F5983">
      <w:pPr>
        <w:spacing w:after="120" w:line="276" w:lineRule="auto"/>
        <w:ind w:firstLine="709"/>
        <w:jc w:val="both"/>
        <w:rPr>
          <w:rFonts w:ascii="Verdana" w:eastAsia="Calibri" w:hAnsi="Verdana" w:cs="Arial"/>
        </w:rPr>
      </w:pPr>
      <w:r w:rsidRPr="00185EE9">
        <w:rPr>
          <w:rFonts w:ascii="Verdana" w:eastAsia="Calibri" w:hAnsi="Verdana" w:cs="Arial"/>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185EE9">
        <w:rPr>
          <w:rStyle w:val="Refdenotaalpie"/>
          <w:rFonts w:ascii="Verdana" w:eastAsia="Calibri" w:hAnsi="Verdana" w:cs="Arial"/>
        </w:rPr>
        <w:footnoteReference w:id="5"/>
      </w:r>
      <w:r w:rsidRPr="00185EE9">
        <w:rPr>
          <w:rFonts w:ascii="Verdana" w:eastAsia="Calibri" w:hAnsi="Verdana" w:cs="Arial"/>
        </w:rPr>
        <w:t xml:space="preserve">. </w:t>
      </w:r>
    </w:p>
    <w:p w14:paraId="2DEC058B" w14:textId="77777777" w:rsidR="006F5983" w:rsidRPr="00185EE9" w:rsidRDefault="006F5983" w:rsidP="006F5983">
      <w:pPr>
        <w:spacing w:after="120" w:line="276" w:lineRule="auto"/>
        <w:ind w:firstLine="709"/>
        <w:jc w:val="both"/>
        <w:rPr>
          <w:rFonts w:ascii="Verdana" w:eastAsia="Calibri" w:hAnsi="Verdana" w:cs="Arial"/>
          <w:color w:val="000000"/>
          <w:szCs w:val="24"/>
          <w:lang w:val="es-ES_tradnl" w:eastAsia="es-ES_tradnl"/>
        </w:rPr>
      </w:pPr>
      <w:r w:rsidRPr="00185EE9">
        <w:rPr>
          <w:rFonts w:ascii="Verdana" w:eastAsia="Calibri" w:hAnsi="Verdana" w:cs="Arial"/>
          <w:color w:val="000000"/>
          <w:szCs w:val="24"/>
          <w:lang w:val="es-ES_tradnl" w:eastAsia="es-ES_tradnl"/>
        </w:rPr>
        <w:t xml:space="preserve">Así, el literal a) del artículo 2.2 de la Ley 1150 de 2007 regula la adquisición o suministro de bienes y servicios de características técnicas uniformes y de común utilización como causal de selección abreviada. Para entender su alcance, es necesario tener en cuenta que </w:t>
      </w:r>
      <w:r w:rsidRPr="00185EE9">
        <w:rPr>
          <w:rFonts w:ascii="Verdana" w:eastAsia="Calibri" w:hAnsi="Verdana" w:cs="Arial"/>
          <w:bCs/>
          <w:color w:val="000000" w:themeColor="text1"/>
        </w:rPr>
        <w:t xml:space="preserve">el artículo 28 del Código </w:t>
      </w:r>
      <w:r w:rsidRPr="00185EE9">
        <w:rPr>
          <w:rFonts w:ascii="Verdana" w:eastAsia="Calibri" w:hAnsi="Verdana" w:cs="Arial"/>
          <w:bCs/>
          <w:color w:val="000000" w:themeColor="text1"/>
        </w:rPr>
        <w:lastRenderedPageBreak/>
        <w:t xml:space="preserve">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185EE9">
        <w:rPr>
          <w:rStyle w:val="Refdenotaalpie"/>
          <w:rFonts w:ascii="Verdana" w:eastAsia="Calibri" w:hAnsi="Verdana" w:cs="Arial"/>
          <w:bCs/>
          <w:color w:val="000000" w:themeColor="text1"/>
        </w:rPr>
        <w:footnoteReference w:id="6"/>
      </w:r>
      <w:r w:rsidRPr="00185EE9">
        <w:rPr>
          <w:rFonts w:ascii="Verdana" w:eastAsia="Calibri" w:hAnsi="Verdana" w:cs="Arial"/>
          <w:bCs/>
          <w:color w:val="000000" w:themeColor="text1"/>
        </w:rPr>
        <w:t xml:space="preserve">. </w:t>
      </w:r>
    </w:p>
    <w:p w14:paraId="529D61BD"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De esta manera, conforme a las normas citadas en el párrafo precedente, prima la definición legal sobre el uso general o el significado técnico.  </w:t>
      </w:r>
    </w:p>
    <w:p w14:paraId="7ABB6AFF"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Para identificar los bienes y servicios que corresponden a este tipo, se destacan dos (2) aspectos importantes: la común utilización y la homogeneidad. Para la doctrina, la </w:t>
      </w:r>
      <w:r w:rsidRPr="00185EE9">
        <w:rPr>
          <w:rFonts w:ascii="Verdana" w:eastAsia="Calibri" w:hAnsi="Verdana" w:cs="Arial"/>
          <w:bCs/>
          <w:i/>
          <w:iCs/>
          <w:color w:val="000000" w:themeColor="text1"/>
        </w:rPr>
        <w:t>común utilización</w:t>
      </w:r>
      <w:r w:rsidRPr="00185EE9">
        <w:rPr>
          <w:rFonts w:ascii="Verdana" w:eastAsia="Calibri" w:hAnsi="Verdana" w:cs="Arial"/>
          <w:bCs/>
          <w:color w:val="000000" w:themeColor="text1"/>
        </w:rPr>
        <w:t xml:space="preserve"> “[…] busca que los bienes o servicios que se compren en esta categoría sean de los que se ofrecen en un mercado con un estándar para quienes los demandan, o lo que es igual, que la oferta de los mismos en el mercado ocurriese en condiciones equivalentes para todo interesado en adquirirlos”</w:t>
      </w:r>
      <w:r w:rsidRPr="00185EE9">
        <w:rPr>
          <w:rStyle w:val="Refdenotaalpie"/>
          <w:rFonts w:ascii="Verdana" w:eastAsia="Calibri" w:hAnsi="Verdana" w:cs="Arial"/>
          <w:bCs/>
          <w:color w:val="000000" w:themeColor="text1"/>
        </w:rPr>
        <w:footnoteReference w:id="7"/>
      </w:r>
      <w:r w:rsidRPr="00185EE9">
        <w:rPr>
          <w:rFonts w:ascii="Verdana" w:eastAsia="Calibri" w:hAnsi="Verdana" w:cs="Arial"/>
          <w:bCs/>
          <w:color w:val="000000" w:themeColor="text1"/>
        </w:rPr>
        <w:t xml:space="preserve">. Por su parte, la </w:t>
      </w:r>
      <w:r w:rsidRPr="00185EE9">
        <w:rPr>
          <w:rFonts w:ascii="Verdana" w:eastAsia="Calibri" w:hAnsi="Verdana" w:cs="Arial"/>
          <w:bCs/>
          <w:i/>
          <w:iCs/>
          <w:color w:val="000000" w:themeColor="text1"/>
        </w:rPr>
        <w:t>homogeneidad</w:t>
      </w:r>
      <w:r w:rsidRPr="00185EE9">
        <w:rPr>
          <w:rFonts w:ascii="Verdana" w:eastAsia="Calibri" w:hAnsi="Verdana" w:cs="Arial"/>
          <w:bCs/>
          <w:color w:val="000000" w:themeColor="text1"/>
        </w:rPr>
        <w:t xml:space="preserve"> se refiere a que “[…] </w:t>
      </w:r>
      <w:r w:rsidRPr="00185EE9">
        <w:rPr>
          <w:rFonts w:ascii="Verdana" w:eastAsia="Calibri" w:hAnsi="Verdana" w:cs="Arial"/>
          <w:bCs/>
          <w:color w:val="000000" w:themeColor="text1"/>
        </w:rPr>
        <w:lastRenderedPageBreak/>
        <w:t>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r w:rsidRPr="00185EE9">
        <w:rPr>
          <w:rStyle w:val="Refdenotaalpie"/>
          <w:rFonts w:ascii="Verdana" w:eastAsia="Calibri" w:hAnsi="Verdana" w:cs="Arial"/>
          <w:bCs/>
          <w:color w:val="000000" w:themeColor="text1"/>
        </w:rPr>
        <w:footnoteReference w:id="8"/>
      </w:r>
      <w:r w:rsidRPr="00185EE9">
        <w:rPr>
          <w:rFonts w:ascii="Verdana" w:eastAsia="Calibri" w:hAnsi="Verdana" w:cs="Arial"/>
          <w:bCs/>
          <w:color w:val="000000" w:themeColor="text1"/>
        </w:rPr>
        <w:t>.</w:t>
      </w:r>
    </w:p>
    <w:p w14:paraId="0304A297" w14:textId="77777777" w:rsidR="006F5983" w:rsidRPr="00185EE9" w:rsidRDefault="006F5983" w:rsidP="006F5983">
      <w:pPr>
        <w:spacing w:after="0" w:line="276" w:lineRule="auto"/>
        <w:ind w:firstLine="708"/>
        <w:jc w:val="both"/>
        <w:rPr>
          <w:rFonts w:ascii="Verdana" w:eastAsia="Calibri" w:hAnsi="Verdana" w:cs="Arial"/>
        </w:rPr>
      </w:pPr>
      <w:r w:rsidRPr="00185EE9">
        <w:rPr>
          <w:rFonts w:ascii="Verdana" w:eastAsia="Calibri" w:hAnsi="Verdana" w:cs="Arial"/>
          <w:bCs/>
          <w:color w:val="000000" w:themeColor="text1"/>
        </w:rPr>
        <w:t xml:space="preserve">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 Al respecto, la exposición de motivos de la Ley 1150 de 2007 explica que: </w:t>
      </w:r>
    </w:p>
    <w:p w14:paraId="63DE2856" w14:textId="77777777" w:rsidR="006F5983" w:rsidRPr="00185EE9" w:rsidRDefault="006F5983" w:rsidP="006F5983">
      <w:pPr>
        <w:spacing w:after="0" w:line="276" w:lineRule="auto"/>
        <w:jc w:val="both"/>
        <w:rPr>
          <w:rFonts w:ascii="Verdana" w:eastAsia="Calibri" w:hAnsi="Verdana" w:cs="Arial"/>
        </w:rPr>
      </w:pPr>
    </w:p>
    <w:p w14:paraId="5CBE4EE6" w14:textId="77777777" w:rsidR="006F5983" w:rsidRPr="00185EE9" w:rsidRDefault="006F5983" w:rsidP="006F5983">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xml:space="preserve">“[…] las innovaciones del proceso de selección abreviada empiezan por una medida trascendental, para llevar a sólo horas los contratos referidos a la adquisición de bienes de ‘características técnicas uniformes y de común utilización’ que según cálculos del Departamento Nacional de Planeación, corresponden a más del 80% en número de contratos. </w:t>
      </w:r>
      <w:r w:rsidRPr="00185EE9">
        <w:rPr>
          <w:rFonts w:ascii="Verdana" w:eastAsia="Calibri" w:hAnsi="Verdana" w:cs="Arial"/>
          <w:i/>
          <w:iCs/>
          <w:sz w:val="21"/>
          <w:szCs w:val="21"/>
        </w:rPr>
        <w:t>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w:t>
      </w:r>
      <w:r w:rsidRPr="00185EE9">
        <w:rPr>
          <w:rFonts w:ascii="Verdana" w:eastAsia="Calibri" w:hAnsi="Verdana" w:cs="Arial"/>
          <w:sz w:val="21"/>
          <w:szCs w:val="21"/>
        </w:rPr>
        <w:t xml:space="preserve"> […]”</w:t>
      </w:r>
      <w:r w:rsidRPr="00185EE9">
        <w:rPr>
          <w:rStyle w:val="Refdenotaalpie"/>
          <w:rFonts w:ascii="Verdana" w:eastAsia="Calibri" w:hAnsi="Verdana" w:cs="Arial"/>
          <w:sz w:val="21"/>
          <w:szCs w:val="21"/>
        </w:rPr>
        <w:footnoteReference w:id="9"/>
      </w:r>
      <w:r w:rsidRPr="00185EE9">
        <w:rPr>
          <w:rFonts w:ascii="Verdana" w:eastAsia="Calibri" w:hAnsi="Verdana" w:cs="Arial"/>
          <w:sz w:val="21"/>
          <w:szCs w:val="21"/>
        </w:rPr>
        <w:t>. (Énfasis fuera de texto)</w:t>
      </w:r>
    </w:p>
    <w:p w14:paraId="0BE5AE5E" w14:textId="77777777" w:rsidR="006F5983" w:rsidRPr="00185EE9" w:rsidRDefault="006F5983" w:rsidP="006F5983">
      <w:pPr>
        <w:spacing w:after="0" w:line="276" w:lineRule="auto"/>
        <w:jc w:val="both"/>
        <w:rPr>
          <w:rFonts w:ascii="Verdana" w:eastAsia="Calibri" w:hAnsi="Verdana" w:cs="Arial"/>
        </w:rPr>
      </w:pPr>
    </w:p>
    <w:p w14:paraId="055EF357" w14:textId="77777777" w:rsidR="006F5983" w:rsidRPr="00185EE9" w:rsidRDefault="006F5983" w:rsidP="006F5983">
      <w:pPr>
        <w:spacing w:after="120" w:line="276" w:lineRule="auto"/>
        <w:ind w:firstLine="709"/>
        <w:jc w:val="both"/>
        <w:rPr>
          <w:rFonts w:ascii="Verdana" w:eastAsia="Calibri" w:hAnsi="Verdana" w:cs="Arial"/>
        </w:rPr>
      </w:pPr>
      <w:r w:rsidRPr="00185EE9">
        <w:rPr>
          <w:rFonts w:ascii="Verdana" w:eastAsia="Calibri" w:hAnsi="Verdana" w:cs="Arial"/>
        </w:rPr>
        <w:t>En este contexto, la doctrina identifica como bienes o servicios de características técnicas los insumos de oficina –bolígrafos, cartuchos de tinta, papel de impresora, tijeras, cuadernos, entre otros–, los insumos de limpieza –bolsas de basura, esponjas, limpiador de pisos, papel higiénico, toallas de papel, entre otros–, y los insumos de cocina –agua, aromáticas, azúcar, café, servilletas, entre otros–. También identifica como tales los muebles y enseres –</w:t>
      </w:r>
      <w:r w:rsidRPr="00185EE9">
        <w:rPr>
          <w:rFonts w:ascii="Verdana" w:eastAsia="Calibri" w:hAnsi="Verdana" w:cs="Arial"/>
        </w:rPr>
        <w:lastRenderedPageBreak/>
        <w:t>archivos, asientos, escritorios, mesas, entre otros–, los equipos –computadores, escáneres, impresoras, proyectores, entre otros–, los combustibles –ACPM, biodiesel, gasolina, combustible diésel, entre otros–, los servicios de mantenimiento –equipos electrónicos, de comunicaciones, entre otros–, etc.</w:t>
      </w:r>
      <w:r w:rsidRPr="00185EE9">
        <w:rPr>
          <w:rStyle w:val="Refdenotaalpie"/>
          <w:rFonts w:ascii="Verdana" w:eastAsia="Calibri" w:hAnsi="Verdana" w:cs="Arial"/>
        </w:rPr>
        <w:footnoteReference w:id="10"/>
      </w:r>
    </w:p>
    <w:p w14:paraId="26AA0402"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definitiva, 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 numeral 2 de la Ley 1150 de 2007 dispone que “</w:t>
      </w:r>
      <w:r w:rsidRPr="00185EE9">
        <w:rPr>
          <w:rFonts w:ascii="Verdana" w:eastAsia="Calibri" w:hAnsi="Verdana" w:cs="Arial"/>
          <w:bCs/>
          <w:i/>
          <w:iCs/>
          <w:color w:val="000000" w:themeColor="text1"/>
        </w:rPr>
        <w:t>Para la adquisición de estos bienes y servicios las entidades deberán</w:t>
      </w:r>
      <w:r w:rsidRPr="00185EE9">
        <w:rPr>
          <w:rFonts w:ascii="Verdana" w:eastAsia="Calibri" w:hAnsi="Verdana" w:cs="Arial"/>
          <w:bCs/>
          <w:color w:val="000000" w:themeColor="text1"/>
        </w:rPr>
        <w:t xml:space="preserve">, siempre que el reglamento así lo señale, </w:t>
      </w:r>
      <w:r w:rsidRPr="00185EE9">
        <w:rPr>
          <w:rFonts w:ascii="Verdana" w:eastAsia="Calibri" w:hAnsi="Verdana" w:cs="Arial"/>
          <w:bCs/>
          <w:i/>
          <w:iCs/>
          <w:color w:val="000000" w:themeColor="text1"/>
        </w:rPr>
        <w:t>hacer uso</w:t>
      </w:r>
      <w:r w:rsidRPr="00185EE9">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185EE9">
        <w:rPr>
          <w:rFonts w:ascii="Verdana" w:eastAsia="Calibri" w:hAnsi="Verdana" w:cs="Arial"/>
          <w:bCs/>
          <w:i/>
          <w:iCs/>
          <w:color w:val="000000" w:themeColor="text1"/>
        </w:rPr>
        <w:t>de procedimientos de adquisición en bolsas de productos</w:t>
      </w:r>
      <w:r w:rsidRPr="00185EE9">
        <w:rPr>
          <w:rFonts w:ascii="Verdana" w:eastAsia="Calibri" w:hAnsi="Verdana" w:cs="Arial"/>
          <w:bCs/>
          <w:color w:val="000000" w:themeColor="text1"/>
        </w:rPr>
        <w:t>” (Énfasis fuera de texto). Estos mecanismos se aplicarán en la forma que disponga el Decreto 1082 de 2015 para para cada uno de ellos.</w:t>
      </w:r>
    </w:p>
    <w:p w14:paraId="63688B6E"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Respecto a los servicios de vigilancia privada, nada se opone a que puedan considerarse como de características técnicas uniformes. Esto en la medida en que –de acuerdo con el artículo 2 del Decreto Ley 356 de 1994– corresponden a “[…] las actividades que en forma remunerada o en beneficio de una organización pública o privada, desarrollan las personas naturales o jurídicas, tendientes a prevenir o detener perturbaciones a la seguridad y tranquilidad individual en lo relacionado con la vida y los bienes propios o de terceros y la fabricación, instalación, comercialización y utilización de equipos para vigilancia y seguridad privada, blindajes y transportes con este mismo fin”. </w:t>
      </w:r>
    </w:p>
    <w:p w14:paraId="3CB9D879"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Su prestación se encuentra estandarizada desde el punto de vista normativo, pues los artículos 5 y 6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autorizan la vigilancia fija, la vigilancia móvil, el servicio de escolta y el transporte de valores, y permite la utilización de armas de fuego, recursos humanos, animales, tecnológicos o materiales, vehículos e instalaciones físicas, y cualquier otro medio autorizado por la Superintendencia de Vigilancia y Seguridad Privada. Asimismo, el decreto ley fija condiciones para el servicio cuando las actividades se ejecutan con o sin armas, imponiéndoles tanto una serie de principios, deberes y obligaciones como de disposiciones comunes.</w:t>
      </w:r>
    </w:p>
    <w:p w14:paraId="40B267CF"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lastRenderedPageBreak/>
        <w:t xml:space="preserve">Estos servicios además se encuentran sujetos a las tarifas mínimas establecidas en la Circular Externa de la Superintendencia de Vigilancia y Seguridad Privada 20231300001105 del 30 de diciembre de 2023. No obstante, este elemento normativo no hace parte de las definiciones del literal a) del artículo 2, numeral 2 de la Ley 1150 de 2007 ni del artículo 2.2.1.1.1.3.1 del Decreto 1082 de 2015. Es decir, mientras que su prestación comparta patrones de desempeño y calidad similares para la satisfacción de la necesidad a la que atienden, éstos son de características técnicas uniformes, con independencia de que el precio se encuentre o no regulado. </w:t>
      </w:r>
    </w:p>
    <w:p w14:paraId="17453F7A"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Sin embargo, las tarifas mínimas establecidas a para este tipo de servicios representan una medida regulatoria que hace que los ofertas para la prestación de este tipo de servicios tiendan al valor mínimo permitido por la regulación tarifaria, lo que hace que dificulta que las Entidades Estatales puedan determinar la oferta más favorable con base en el menor precio, como bien podría suceder con bienes o servicios que no tienen un precio mínimo regulado, de acuerdo con lo previsto en el numeral 3 del artículo 5 de la Ley 1150 de 2007. Es por esto por lo que, la aplicación de mecanismos de subasta, catálogos derivados de acuerdos de precios y bolsa de productos, no resultan funcionales para garantizar la selección objetiva, al no permitir la aplicación de factores de evaluación distintos del precio.      </w:t>
      </w:r>
    </w:p>
    <w:p w14:paraId="56A0E58A" w14:textId="77777777" w:rsidR="006F5983" w:rsidRPr="00185EE9" w:rsidRDefault="006F5983" w:rsidP="006F5983">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Sobre el particular, resulta pertinente traer a colación lo manifestado en el salvamento de voto de la sentencia de 17 de junio de 2024, expedida por la Sección Tercera del Consejo de Estado, en el marco del cual, el consejero Martín Bermúdez Muñoz, realizó las siguientes consideraciones sobre la modalidad de selección aplicable para la contratación de servicios de vigilancia y seguridad privada:   </w:t>
      </w:r>
    </w:p>
    <w:p w14:paraId="7592BE24" w14:textId="77777777" w:rsidR="006F5983" w:rsidRPr="00185EE9" w:rsidRDefault="006F5983" w:rsidP="006F5983">
      <w:pPr>
        <w:spacing w:after="0" w:line="240" w:lineRule="auto"/>
        <w:ind w:left="709" w:right="709"/>
        <w:jc w:val="both"/>
        <w:textAlignment w:val="baseline"/>
        <w:rPr>
          <w:rFonts w:ascii="Verdana" w:eastAsia="Arial" w:hAnsi="Verdana" w:cs="Arial"/>
          <w:sz w:val="20"/>
          <w:szCs w:val="20"/>
        </w:rPr>
      </w:pPr>
      <w:r w:rsidRPr="00185EE9">
        <w:rPr>
          <w:rFonts w:ascii="Verdana" w:eastAsia="Arial" w:hAnsi="Verdana" w:cs="Arial"/>
          <w:sz w:val="20"/>
          <w:szCs w:val="20"/>
        </w:rPr>
        <w:t xml:space="preserve">“Apartándose de la posición mayoritaria de la Sala, que estima que la consideración anterior es suficiente, el ponente consideraba importante incluir una reflexión acerca de si la subasta inversa para adjudicar un contrato de vigilancia en el que la tarifa se encuentra regulada por la ley era el método de selección apropiado y si a través del mismo podía escogerse el contratista que ofreciera el mejor servicio para la entidad, que es lo que debe perseguir cualquier proceso de selección. Adjudicar por un proceso de subasta inversa en el que resulta admisible que la puja sea de un peso ($1) a ($0.1) para celebrar un contrato en el que es evidente que este valor no tiene ningún tipo de incidencia, implica preguntarse si –en serio– este es el proceso que garantiza los propósitos de la contratación pública y evita prácticas colusorias en este tipo de contratos. El hecho de que la tarifa de un servicio esté regulada indica que la selección por subasta inversa no es apropiada porque esa regulación impide competir </w:t>
      </w:r>
      <w:r w:rsidRPr="00185EE9">
        <w:rPr>
          <w:rFonts w:ascii="Verdana" w:eastAsia="Arial" w:hAnsi="Verdana" w:cs="Arial"/>
          <w:sz w:val="20"/>
          <w:szCs w:val="20"/>
        </w:rPr>
        <w:lastRenderedPageBreak/>
        <w:t>ofreciendo el precio más bajo; esta constatación conlleva la necesidad de estudiar oportunamente la opción de escoger un proceso de selección que permita considerar y medir objetivamente otros criterios de adjudicación en los cuales ella dependa de factores distintos que privilegien, entre otras cosas, la calidad del servicio”.</w:t>
      </w:r>
      <w:r w:rsidRPr="00185EE9">
        <w:rPr>
          <w:rStyle w:val="Refdenotaalpie"/>
          <w:rFonts w:ascii="Verdana" w:eastAsia="Arial" w:hAnsi="Verdana" w:cs="Arial"/>
          <w:sz w:val="20"/>
          <w:szCs w:val="20"/>
        </w:rPr>
        <w:footnoteReference w:id="11"/>
      </w:r>
      <w:r w:rsidRPr="00185EE9">
        <w:rPr>
          <w:rFonts w:ascii="Verdana" w:eastAsia="Arial" w:hAnsi="Verdana" w:cs="Arial"/>
          <w:sz w:val="20"/>
          <w:szCs w:val="20"/>
        </w:rPr>
        <w:t xml:space="preserve"> </w:t>
      </w:r>
    </w:p>
    <w:p w14:paraId="19955135" w14:textId="77777777" w:rsidR="006F5983" w:rsidRPr="00185EE9" w:rsidRDefault="006F5983" w:rsidP="006F5983">
      <w:pPr>
        <w:spacing w:after="0" w:line="240" w:lineRule="auto"/>
        <w:ind w:left="709" w:right="709"/>
        <w:jc w:val="both"/>
        <w:textAlignment w:val="baseline"/>
        <w:rPr>
          <w:rFonts w:ascii="Verdana" w:eastAsia="Arial" w:hAnsi="Verdana" w:cs="Arial"/>
          <w:sz w:val="20"/>
          <w:szCs w:val="20"/>
        </w:rPr>
      </w:pPr>
    </w:p>
    <w:p w14:paraId="105927E9" w14:textId="77777777" w:rsidR="006F5983" w:rsidRPr="00185EE9" w:rsidRDefault="006F5983" w:rsidP="006F5983">
      <w:pPr>
        <w:shd w:val="clear" w:color="auto" w:fill="FFFFFF" w:themeFill="background1"/>
        <w:spacing w:after="120" w:line="276" w:lineRule="auto"/>
        <w:ind w:right="51" w:firstLine="709"/>
        <w:jc w:val="both"/>
        <w:rPr>
          <w:rFonts w:ascii="Verdana" w:eastAsia="Calibri" w:hAnsi="Verdana" w:cs="Arial"/>
          <w:color w:val="000000" w:themeColor="text1"/>
          <w:lang w:val="es-ES"/>
        </w:rPr>
      </w:pPr>
      <w:r w:rsidRPr="00185EE9">
        <w:rPr>
          <w:rFonts w:ascii="Verdana" w:eastAsia="Calibri" w:hAnsi="Verdana" w:cs="Arial"/>
          <w:color w:val="000000" w:themeColor="text1"/>
          <w:lang w:val="es-ES"/>
        </w:rPr>
        <w:t xml:space="preserve">Las consideraciones transcritas de este salvamento de voto, si bien no constituyen un criterio jurisprudencial unificado de la Sección Tercera del Consejo de Estado que tengan un efecto directo procesos de contratación en específico, si llaman la atención sobre la necesidad de que la selección objetiva de contratistas para la prestación de servicios de vigilancia y seguridad privada se haga a través de procedimiento que permitan comparar las ofertas a partir de factores distintos del precio. </w:t>
      </w:r>
    </w:p>
    <w:p w14:paraId="475CDE53"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atención a lo anterior, esta Subdirección estima que, la modalidad de selección más adecuada para la contratación de servicios de vigilancia y seguridad privada es la licitación pública, no solo porque de acuerdo con el artículo 2, numeral 1 de la Ley 1150 de 2007 es la regla general para objetos no sujetos a alguna modalidad en específico, sino también por ser el procedimiento donde se cuentan con más elementos para garantizar la selección objetiva a partir de factores distintos del precio. De acuerdo con lo establecido en el numeral 2 del artículo 5 de la Ley 1150 de 2007, reglamentado en el artículo 2.2.1.1.2.2.2. del Decreto 1082 de 2015, en est</w:t>
      </w:r>
      <w:r>
        <w:rPr>
          <w:rFonts w:ascii="Verdana" w:eastAsia="Calibri" w:hAnsi="Verdana" w:cs="Arial"/>
          <w:bCs/>
          <w:color w:val="000000" w:themeColor="text1"/>
        </w:rPr>
        <w:t>a</w:t>
      </w:r>
      <w:r w:rsidRPr="00185EE9">
        <w:rPr>
          <w:rFonts w:ascii="Verdana" w:eastAsia="Calibri" w:hAnsi="Verdana" w:cs="Arial"/>
          <w:bCs/>
          <w:color w:val="000000" w:themeColor="text1"/>
        </w:rPr>
        <w:t xml:space="preserve"> modalidad de selección la oferta más favorable es que represente la mejor relación calidad-precio, la cual se debe determinar ponderando el valor de la oferta económica con factores de calidad, criterios sociales y ambientales, sin perjuicio de la aplicación de puntajes adicionales dispuestos por la normativa de contratación pública –</w:t>
      </w:r>
      <w:r w:rsidRPr="00185EE9">
        <w:rPr>
          <w:rFonts w:ascii="Verdana" w:eastAsia="Calibri" w:hAnsi="Verdana" w:cs="Arial"/>
          <w:bCs/>
          <w:i/>
          <w:iCs/>
          <w:color w:val="000000" w:themeColor="text1"/>
        </w:rPr>
        <w:t>v.g.</w:t>
      </w:r>
      <w:r w:rsidRPr="00185EE9">
        <w:rPr>
          <w:rFonts w:ascii="Verdana" w:eastAsia="Calibri" w:hAnsi="Verdana" w:cs="Arial"/>
          <w:bCs/>
          <w:color w:val="000000" w:themeColor="text1"/>
        </w:rPr>
        <w:t xml:space="preserve"> Ley 816 de 2003, Ley 1920 de 2018, Ley 2069 de 2020, etc.–. </w:t>
      </w:r>
    </w:p>
    <w:p w14:paraId="50C9F755" w14:textId="77777777" w:rsidR="006F5983" w:rsidRPr="00185EE9" w:rsidRDefault="006F5983" w:rsidP="006F5983">
      <w:pPr>
        <w:spacing w:after="120" w:line="276" w:lineRule="auto"/>
        <w:ind w:firstLine="709"/>
        <w:jc w:val="both"/>
        <w:rPr>
          <w:rFonts w:ascii="Verdana" w:eastAsia="Calibri" w:hAnsi="Verdana" w:cs="Arial"/>
          <w:color w:val="000000"/>
          <w:lang w:val="es-ES_tradnl"/>
        </w:rPr>
      </w:pPr>
      <w:r w:rsidRPr="00185EE9">
        <w:rPr>
          <w:rFonts w:ascii="Verdana" w:eastAsia="Calibri" w:hAnsi="Verdana" w:cs="Arial"/>
          <w:bCs/>
          <w:color w:val="000000" w:themeColor="text1"/>
        </w:rPr>
        <w:t>Esto además resulta coherente con lo dispuesto en el</w:t>
      </w:r>
      <w:r w:rsidRPr="00185EE9">
        <w:rPr>
          <w:rFonts w:ascii="Verdana" w:eastAsia="Calibri" w:hAnsi="Verdana" w:cs="Arial"/>
          <w:color w:val="000000"/>
          <w:lang w:val="es-ES_tradnl"/>
        </w:rPr>
        <w:t xml:space="preserve"> artículo 6 de la 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servicios de vigilancia y seguridad privada. E</w:t>
      </w:r>
      <w:r w:rsidRPr="00185EE9">
        <w:rPr>
          <w:rFonts w:ascii="Verdana" w:eastAsia="Calibri" w:hAnsi="Verdana" w:cs="Arial"/>
          <w:color w:val="000000"/>
          <w:lang w:val="es-ES_tradnl"/>
        </w:rPr>
        <w:t xml:space="preserve">l inciso primero del artículo 6 dispone que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w:t>
      </w:r>
      <w:r w:rsidRPr="00185EE9">
        <w:rPr>
          <w:rFonts w:ascii="Verdana" w:eastAsia="Calibri" w:hAnsi="Verdana" w:cs="Arial"/>
          <w:color w:val="000000"/>
          <w:lang w:val="es-ES_tradnl"/>
        </w:rPr>
        <w:lastRenderedPageBreak/>
        <w:t>a personas con discapacidad y/o personas mayores de 45 años, contratadas con todas las exigencias y garantías legalmente establecidas”.</w:t>
      </w:r>
    </w:p>
    <w:p w14:paraId="6F226845" w14:textId="77777777" w:rsidR="006F5983" w:rsidRPr="00185EE9" w:rsidRDefault="006F5983" w:rsidP="006F5983">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color w:val="000000"/>
          <w:sz w:val="21"/>
          <w:szCs w:val="21"/>
          <w:lang w:val="es-ES_tradnl"/>
        </w:rPr>
        <w:tab/>
      </w:r>
      <w:r w:rsidRPr="00185EE9">
        <w:rPr>
          <w:rFonts w:ascii="Verdana" w:eastAsia="Calibri" w:hAnsi="Verdana" w:cs="Arial"/>
          <w:color w:val="000000"/>
          <w:sz w:val="21"/>
          <w:szCs w:val="21"/>
          <w:lang w:val="es-ES_tradnl"/>
        </w:rPr>
        <w:tab/>
      </w:r>
      <w:r w:rsidRPr="00185EE9">
        <w:rPr>
          <w:rFonts w:ascii="Verdana" w:eastAsia="Calibri" w:hAnsi="Verdana" w:cs="Arial"/>
          <w:color w:val="000000"/>
          <w:lang w:val="es-ES_tradnl"/>
        </w:rPr>
        <w:t xml:space="preserve">Este incentivo </w:t>
      </w:r>
      <w:r w:rsidRPr="00185EE9">
        <w:rPr>
          <w:rFonts w:ascii="Verdana" w:eastAsia="Calibri" w:hAnsi="Verdana"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185EE9">
        <w:rPr>
          <w:rFonts w:ascii="Verdana" w:eastAsia="Calibri" w:hAnsi="Verdana" w:cs="Arial"/>
          <w:color w:val="000000"/>
          <w:lang w:val="es-E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185EE9">
        <w:rPr>
          <w:rFonts w:ascii="Verdana" w:eastAsia="Calibri" w:hAnsi="Verdana" w:cs="Arial"/>
          <w:color w:val="000000"/>
          <w:vertAlign w:val="superscript"/>
          <w:lang w:val="es-ES"/>
        </w:rPr>
        <w:footnoteReference w:id="12"/>
      </w:r>
      <w:r w:rsidRPr="00185EE9">
        <w:rPr>
          <w:rFonts w:ascii="Verdana" w:eastAsia="Calibri" w:hAnsi="Verdana" w:cs="Arial"/>
          <w:color w:val="000000"/>
          <w:lang w:val="es-ES"/>
        </w:rPr>
        <w:t>.</w:t>
      </w:r>
    </w:p>
    <w:p w14:paraId="16070A97" w14:textId="77777777" w:rsidR="006F5983" w:rsidRPr="00185EE9" w:rsidRDefault="006F5983" w:rsidP="006F5983">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bCs/>
          <w:color w:val="000000"/>
          <w:lang w:val="es-ES_tradnl"/>
        </w:rPr>
        <w:tab/>
      </w:r>
      <w:r w:rsidRPr="00185EE9">
        <w:rPr>
          <w:rFonts w:ascii="Verdana" w:eastAsia="Calibri" w:hAnsi="Verdana" w:cs="Arial"/>
          <w:bCs/>
          <w:color w:val="000000"/>
          <w:lang w:val="es-ES_tradnl"/>
        </w:rPr>
        <w:tab/>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Aunque el decreto fue suspendido provisionalmente mediante el Auto del 27 de septiembre de 2023 por la Subsección C de la Sección Tercera del Consejo de Estado, posibilitaba que las entidades estatales sometidas al Estatuto General de Contratación de la Administración Pública establecieran puntajes adicionales en los procesos de licitación pública que se iniciaran para la contratación de los servicios que prestan las empresas y cooperativas de vigilancia y seguridad privada, cuando éstos proveedores acreditaran que dentro de su personal operativo contaban con mujeres, personas con discapacidad y personas mayores de 45 años vinculadas con todas las garantías que establece la ley.</w:t>
      </w:r>
    </w:p>
    <w:p w14:paraId="272E0F82" w14:textId="77777777" w:rsidR="006F5983" w:rsidRPr="00185EE9" w:rsidRDefault="006F5983" w:rsidP="006F5983">
      <w:pPr>
        <w:shd w:val="clear" w:color="auto" w:fill="FFFFFF" w:themeFill="background1"/>
        <w:spacing w:after="120" w:line="276" w:lineRule="auto"/>
        <w:ind w:right="51" w:firstLine="709"/>
        <w:jc w:val="both"/>
        <w:rPr>
          <w:rFonts w:ascii="Verdana" w:eastAsia="Calibri" w:hAnsi="Verdana" w:cs="Arial"/>
          <w:color w:val="000000"/>
          <w:lang w:val="es-ES"/>
        </w:rPr>
      </w:pPr>
      <w:r w:rsidRPr="2832C13D">
        <w:rPr>
          <w:rFonts w:ascii="Verdana" w:eastAsia="Calibri" w:hAnsi="Verdana" w:cs="Arial"/>
          <w:color w:val="000000"/>
          <w:lang w:val="es-ES"/>
        </w:rPr>
        <w:t xml:space="preserve">Pese a que 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w:t>
      </w:r>
      <w:r w:rsidRPr="2832C13D">
        <w:rPr>
          <w:rFonts w:ascii="Verdana" w:eastAsia="Calibri" w:hAnsi="Verdana" w:cs="Arial"/>
          <w:color w:val="000000"/>
          <w:lang w:val="es-ES"/>
        </w:rPr>
        <w:lastRenderedPageBreak/>
        <w:t>que es un proceso con un único oferente, pero no significa que se garantice un estudio del sector o del mercado</w:t>
      </w:r>
      <w:r w:rsidRPr="2832C13D">
        <w:rPr>
          <w:rFonts w:ascii="Verdana" w:eastAsia="Calibri" w:hAnsi="Verdana" w:cs="Arial"/>
          <w:color w:val="000000"/>
          <w:vertAlign w:val="superscript"/>
          <w:lang w:val="es-ES"/>
        </w:rPr>
        <w:footnoteReference w:id="13"/>
      </w:r>
      <w:r w:rsidRPr="2832C13D">
        <w:rPr>
          <w:rFonts w:ascii="Verdana" w:eastAsia="Calibri" w:hAnsi="Verdana" w:cs="Arial"/>
          <w:color w:val="000000"/>
          <w:lang w:val="es-ES"/>
        </w:rPr>
        <w:t xml:space="preserve">.  </w:t>
      </w:r>
    </w:p>
    <w:p w14:paraId="2D15C119" w14:textId="77777777" w:rsidR="006F5983" w:rsidRPr="00185EE9" w:rsidRDefault="006F5983" w:rsidP="006F5983">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Aunque el </w:t>
      </w:r>
      <w:r w:rsidRPr="00185EE9">
        <w:rPr>
          <w:rFonts w:ascii="Verdana" w:eastAsia="Calibri" w:hAnsi="Verdana" w:cs="Arial"/>
          <w:bCs/>
          <w:color w:val="000000"/>
          <w:lang w:val="es-ES_tradnl"/>
        </w:rPr>
        <w:t>Decreto 1279 de 2021 es actualmente inaplicable en virtud de la medida cautelar, de</w:t>
      </w:r>
      <w:r w:rsidRPr="00185EE9">
        <w:rPr>
          <w:rFonts w:ascii="Verdana" w:eastAsia="Calibri" w:hAnsi="Verdana" w:cs="Arial"/>
          <w:color w:val="000000"/>
          <w:lang w:val="es-ES_tradnl"/>
        </w:rPr>
        <w:t>l artículo 6 de la Ley 1920 de 2018</w:t>
      </w:r>
      <w:r w:rsidRPr="00185EE9">
        <w:rPr>
          <w:rFonts w:ascii="Verdana" w:eastAsia="Calibri" w:hAnsi="Verdana" w:cs="Arial"/>
          <w:bCs/>
          <w:color w:val="000000"/>
          <w:lang w:val="es-ES_tradnl"/>
        </w:rPr>
        <w:t xml:space="preserve"> se infiere que la licitación pública –al igual que la causal de selección abreviada del literal a) del artículo 2.2 de la Ley 1150 de 2007– también es un proceso de selección adecuado para contratar los servicios </w:t>
      </w:r>
      <w:r w:rsidRPr="00185EE9">
        <w:rPr>
          <w:rFonts w:ascii="Verdana" w:eastAsia="Calibri" w:hAnsi="Verdana" w:cs="Arial"/>
          <w:bCs/>
          <w:color w:val="000000" w:themeColor="text1"/>
        </w:rPr>
        <w:t>servicios de vigilancia privada. En este caso, los puntajes previstos en los artículos 2.2.1.2.4.2.10, 2.2.1.2.4.2.11, 2.2.1.2.4.2.12 y 2.2.1.2.4.2.13 del Decreto 1082 de 2015, eventualmente, regirán nuevamente cuando el Consejo de Estado levante la suspensión provisional.</w:t>
      </w:r>
      <w:r w:rsidRPr="00185EE9">
        <w:rPr>
          <w:rFonts w:ascii="Verdana" w:eastAsia="Calibri" w:hAnsi="Verdana" w:cs="Arial"/>
          <w:bCs/>
          <w:color w:val="000000"/>
          <w:lang w:val="es-ES_tradnl"/>
        </w:rPr>
        <w:t xml:space="preserve"> </w:t>
      </w:r>
      <w:r w:rsidRPr="00185EE9">
        <w:rPr>
          <w:rFonts w:ascii="Verdana" w:eastAsia="Calibri" w:hAnsi="Verdana" w:cs="Arial"/>
          <w:color w:val="000000"/>
          <w:lang w:val="es-ES_tradnl"/>
        </w:rPr>
        <w:t xml:space="preserve"> </w:t>
      </w:r>
    </w:p>
    <w:p w14:paraId="369DB1E0" w14:textId="77777777" w:rsidR="006F5983" w:rsidRPr="00185EE9" w:rsidRDefault="006F5983" w:rsidP="006F5983">
      <w:pPr>
        <w:spacing w:after="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5ABDB763" w14:textId="77777777" w:rsidR="006F5983" w:rsidRPr="00117E40" w:rsidRDefault="006F5983" w:rsidP="006F5983">
      <w:pPr>
        <w:spacing w:after="0" w:line="276" w:lineRule="auto"/>
        <w:jc w:val="both"/>
        <w:rPr>
          <w:rFonts w:ascii="Verdana" w:hAnsi="Verdana" w:cs="Arial"/>
          <w:color w:val="000000" w:themeColor="text1"/>
          <w:lang w:val="es-ES_tradnl"/>
        </w:rPr>
      </w:pPr>
    </w:p>
    <w:p w14:paraId="3B314913" w14:textId="77777777" w:rsidR="006F5983" w:rsidRPr="00117E40" w:rsidRDefault="006F5983" w:rsidP="006F5983">
      <w:pPr>
        <w:spacing w:after="120" w:line="276" w:lineRule="auto"/>
        <w:ind w:firstLine="708"/>
        <w:jc w:val="both"/>
        <w:rPr>
          <w:rFonts w:ascii="Verdana" w:eastAsia="Calibri" w:hAnsi="Verdana" w:cs="Arial"/>
        </w:rPr>
      </w:pPr>
      <w:r w:rsidRPr="00117E40">
        <w:rPr>
          <w:rFonts w:ascii="Verdana" w:hAnsi="Verdana" w:cs="Arial"/>
        </w:rPr>
        <w:t>Finalmente,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para atender las necesidades de la entidad</w:t>
      </w:r>
      <w:r>
        <w:rPr>
          <w:rFonts w:ascii="Verdana" w:hAnsi="Verdana" w:cs="Arial"/>
        </w:rPr>
        <w:t>.</w:t>
      </w:r>
    </w:p>
    <w:bookmarkEnd w:id="4"/>
    <w:p w14:paraId="18DA5A72" w14:textId="4B925429" w:rsidR="006F5983" w:rsidRPr="00E2597D" w:rsidRDefault="006F5983" w:rsidP="00E2597D">
      <w:pPr>
        <w:pStyle w:val="Prrafodelista"/>
        <w:numPr>
          <w:ilvl w:val="0"/>
          <w:numId w:val="16"/>
        </w:numPr>
        <w:spacing w:after="120" w:line="276" w:lineRule="auto"/>
        <w:ind w:left="426"/>
        <w:jc w:val="both"/>
        <w:rPr>
          <w:rFonts w:ascii="Verdana" w:eastAsia="Century Gothic" w:hAnsi="Verdana" w:cs="Century Gothic"/>
          <w:b/>
          <w:bCs/>
        </w:rPr>
      </w:pPr>
      <w:r w:rsidRPr="00E2597D">
        <w:rPr>
          <w:rFonts w:ascii="Verdana" w:eastAsia="Century Gothic" w:hAnsi="Verdana" w:cs="Century Gothic"/>
          <w:b/>
          <w:bCs/>
        </w:rPr>
        <w:t>Referencias normativas, jurisprudenciales y otras fuentes:</w:t>
      </w:r>
    </w:p>
    <w:p w14:paraId="0BCC939F" w14:textId="77777777" w:rsidR="006F5983" w:rsidRPr="00593A5F" w:rsidRDefault="006F5983" w:rsidP="006F598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F5983" w:rsidRPr="00593A5F" w14:paraId="23D786BC" w14:textId="77777777" w:rsidTr="00C61A56">
        <w:trPr>
          <w:trHeight w:val="870"/>
        </w:trPr>
        <w:tc>
          <w:tcPr>
            <w:tcW w:w="8647" w:type="dxa"/>
          </w:tcPr>
          <w:p w14:paraId="4247E3D3"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Decreto Ley 354 de 1994, artículos 2, 5 y 6.</w:t>
            </w:r>
          </w:p>
          <w:p w14:paraId="5AFBDDCF"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 xml:space="preserve">Ley 1150 de 2007, artículo 2. </w:t>
            </w:r>
          </w:p>
          <w:p w14:paraId="0B7924F8"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lastRenderedPageBreak/>
              <w:t>Ley 1920 de 2018, artículo 6.</w:t>
            </w:r>
          </w:p>
          <w:p w14:paraId="418BFE9B"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 xml:space="preserve">Decreto 1082 de 2015, artículos 2.2.2.1.1.1.3.1, </w:t>
            </w:r>
            <w:r w:rsidRPr="00185EE9">
              <w:rPr>
                <w:rFonts w:ascii="Verdana" w:eastAsia="Calibri" w:hAnsi="Verdana" w:cs="Arial"/>
                <w:bCs/>
                <w:color w:val="000000" w:themeColor="text1"/>
              </w:rPr>
              <w:t>2.2.1.1.2.2.2</w:t>
            </w:r>
            <w:r w:rsidRPr="00185EE9">
              <w:rPr>
                <w:rFonts w:ascii="Verdana" w:hAnsi="Verdana" w:cs="Arial"/>
              </w:rPr>
              <w:t xml:space="preserve"> </w:t>
            </w:r>
            <w:r w:rsidRPr="00185EE9">
              <w:rPr>
                <w:rFonts w:ascii="Verdana" w:eastAsia="Calibri" w:hAnsi="Verdana" w:cs="Arial"/>
                <w:bCs/>
                <w:color w:val="000000" w:themeColor="text1"/>
              </w:rPr>
              <w:t>2.2.1.2.4.2.10, 2.2.1.2.4.2.11, 2.2.1.2.4.2.12 y 2.2.1.2.4.2.13</w:t>
            </w:r>
          </w:p>
          <w:p w14:paraId="32B36936"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color w:val="000000" w:themeColor="text1"/>
                <w:lang w:val="es-ES_tradnl"/>
              </w:rPr>
            </w:pPr>
            <w:r w:rsidRPr="00185EE9">
              <w:rPr>
                <w:rFonts w:ascii="Verdana" w:hAnsi="Verdana" w:cs="Arial"/>
              </w:rPr>
              <w:t>Código Civil, artículos 28 y 29.</w:t>
            </w:r>
          </w:p>
          <w:p w14:paraId="27D7FB7C" w14:textId="77777777" w:rsidR="006F5983" w:rsidRPr="000D446F" w:rsidRDefault="006F5983" w:rsidP="00C61A56">
            <w:pPr>
              <w:pStyle w:val="Prrafodelista"/>
              <w:widowControl w:val="0"/>
              <w:autoSpaceDE w:val="0"/>
              <w:autoSpaceDN w:val="0"/>
              <w:spacing w:line="360" w:lineRule="auto"/>
              <w:contextualSpacing w:val="0"/>
              <w:jc w:val="both"/>
              <w:rPr>
                <w:rFonts w:ascii="Verdana" w:hAnsi="Verdana" w:cs="Arial"/>
              </w:rPr>
            </w:pPr>
          </w:p>
        </w:tc>
      </w:tr>
    </w:tbl>
    <w:p w14:paraId="1E58A71A" w14:textId="77777777" w:rsidR="006F5983" w:rsidRPr="00593A5F" w:rsidRDefault="006F5983" w:rsidP="006F5983">
      <w:pPr>
        <w:widowControl w:val="0"/>
        <w:autoSpaceDE w:val="0"/>
        <w:autoSpaceDN w:val="0"/>
        <w:spacing w:after="0" w:line="276" w:lineRule="auto"/>
        <w:jc w:val="both"/>
        <w:rPr>
          <w:rFonts w:ascii="Verdana" w:hAnsi="Verdana" w:cs="Arial"/>
        </w:rPr>
      </w:pPr>
    </w:p>
    <w:p w14:paraId="4A0F4AE4"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7B8DA61" w14:textId="77777777" w:rsidR="006F5983" w:rsidRDefault="006F5983" w:rsidP="006F5983">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199E9501" w14:textId="77777777" w:rsidR="006F5983" w:rsidRPr="00165F2C" w:rsidRDefault="006F5983" w:rsidP="006F598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165F2C">
        <w:rPr>
          <w:rFonts w:ascii="Verdana" w:hAnsi="Verdana" w:cs="Arial"/>
          <w:shd w:val="clear" w:color="auto" w:fill="FFFFFF"/>
        </w:rPr>
        <w:t>Esta Subdirección se ha pronunciado sobre la definición de los bienes y servicios de características técnicas uniformes en los Conceptos C-678 del 24 de noviembre de 2020, C-024 del 24 de febrero de 2021, C-123 del 5 de abril de 2021, C-565 del 12 de septiembre de 2022, C-669 del 18 de octubre de 2022, C-850 del 16 de diciembre de 2022, C-905 del 28 de diciembre de 2022</w:t>
      </w:r>
      <w:r>
        <w:rPr>
          <w:rFonts w:ascii="Verdana" w:hAnsi="Verdana" w:cs="Arial"/>
          <w:shd w:val="clear" w:color="auto" w:fill="FFFFFF"/>
        </w:rPr>
        <w:t>,</w:t>
      </w:r>
      <w:r w:rsidRPr="00165F2C">
        <w:rPr>
          <w:rFonts w:ascii="Verdana" w:hAnsi="Verdana" w:cs="Arial"/>
          <w:shd w:val="clear" w:color="auto" w:fill="FFFFFF"/>
        </w:rPr>
        <w:t xml:space="preserve"> C-456 del 27 de octubre de 2023</w:t>
      </w:r>
      <w:r>
        <w:rPr>
          <w:rFonts w:ascii="Verdana" w:hAnsi="Verdana" w:cs="Arial"/>
          <w:shd w:val="clear" w:color="auto" w:fill="FFFFFF"/>
        </w:rPr>
        <w:t xml:space="preserve"> y C-597 del 08 de noviembre de 2024</w:t>
      </w:r>
      <w:r w:rsidRPr="00165F2C">
        <w:rPr>
          <w:rFonts w:ascii="Verdana" w:hAnsi="Verdana"/>
        </w:rPr>
        <w:t>.</w:t>
      </w:r>
      <w:r w:rsidRPr="00165F2C">
        <w:rPr>
          <w:rFonts w:ascii="Verdana" w:hAnsi="Verdana" w:cs="Arial"/>
          <w:shd w:val="clear" w:color="auto" w:fill="FFFFFF"/>
        </w:rPr>
        <w:t xml:space="preserve"> </w:t>
      </w:r>
    </w:p>
    <w:p w14:paraId="73C71210" w14:textId="77777777" w:rsidR="006F5983" w:rsidRDefault="006F5983" w:rsidP="006F5983">
      <w:pPr>
        <w:widowControl w:val="0"/>
        <w:autoSpaceDE w:val="0"/>
        <w:autoSpaceDN w:val="0"/>
        <w:spacing w:after="0" w:line="276" w:lineRule="auto"/>
        <w:jc w:val="both"/>
        <w:rPr>
          <w:rStyle w:val="normaltextrun"/>
          <w:rFonts w:ascii="Verdana" w:hAnsi="Verdana" w:cs="Arial"/>
          <w:shd w:val="clear" w:color="auto" w:fill="FFFFFF"/>
          <w:lang w:val="es-ES"/>
        </w:rPr>
      </w:pPr>
    </w:p>
    <w:p w14:paraId="370CF3B0" w14:textId="77777777" w:rsidR="006F5983" w:rsidRDefault="006F5983" w:rsidP="006F5983">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3"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06ED74CB" w14:textId="77777777" w:rsidR="006F5983" w:rsidRDefault="006F5983" w:rsidP="006F5983">
      <w:pPr>
        <w:widowControl w:val="0"/>
        <w:autoSpaceDE w:val="0"/>
        <w:autoSpaceDN w:val="0"/>
        <w:spacing w:after="0" w:line="276" w:lineRule="auto"/>
        <w:jc w:val="both"/>
        <w:rPr>
          <w:rStyle w:val="normaltextrun"/>
          <w:rFonts w:ascii="Verdana" w:hAnsi="Verdana" w:cs="Arial"/>
          <w:color w:val="FF0000"/>
          <w:shd w:val="clear" w:color="auto" w:fill="FFFFFF"/>
          <w:lang w:val="es-ES"/>
        </w:rPr>
      </w:pPr>
    </w:p>
    <w:bookmarkEnd w:id="2"/>
    <w:bookmarkEnd w:id="3"/>
    <w:bookmarkEnd w:id="0"/>
    <w:p w14:paraId="4E76C9ED" w14:textId="77777777" w:rsidR="00A371BD" w:rsidRDefault="00A371BD" w:rsidP="00A371BD">
      <w:pPr>
        <w:widowControl w:val="0"/>
        <w:autoSpaceDE w:val="0"/>
        <w:autoSpaceDN w:val="0"/>
        <w:spacing w:after="0" w:line="276" w:lineRule="auto"/>
        <w:jc w:val="both"/>
        <w:rPr>
          <w:rFonts w:ascii="Verdana" w:hAnsi="Verdana" w:cs="Arial"/>
          <w:color w:val="000000" w:themeColor="text1"/>
          <w:shd w:val="clear" w:color="auto" w:fill="FFFFFF"/>
        </w:rPr>
      </w:pPr>
      <w:r>
        <w:rPr>
          <w:rFonts w:ascii="Verdana" w:hAnsi="Verdana" w:cs="Arial"/>
          <w:color w:val="000000" w:themeColor="text1"/>
          <w:shd w:val="clear" w:color="auto" w:fill="FFFFFF"/>
        </w:rPr>
        <w:t>De otra parte, n</w:t>
      </w:r>
      <w:r w:rsidRPr="0007042A">
        <w:rPr>
          <w:rFonts w:ascii="Verdana" w:hAnsi="Verdana" w:cs="Arial"/>
          <w:color w:val="000000" w:themeColor="text1"/>
          <w:shd w:val="clear" w:color="auto" w:fill="FFFFFF"/>
        </w:rPr>
        <w:t xml:space="preserve">os complace informarte que ya están disponibles las nuevas versiones de los Documentos Tipo para Infraestructura de Transporte, recuerda que es de obligatoria observancia por TODAS las entidades sometidas al </w:t>
      </w:r>
      <w:proofErr w:type="spellStart"/>
      <w:r w:rsidRPr="0007042A">
        <w:rPr>
          <w:rFonts w:ascii="Verdana" w:hAnsi="Verdana" w:cs="Arial"/>
          <w:color w:val="000000" w:themeColor="text1"/>
          <w:shd w:val="clear" w:color="auto" w:fill="FFFFFF"/>
        </w:rPr>
        <w:t>EGCAP</w:t>
      </w:r>
      <w:proofErr w:type="spellEnd"/>
      <w:r w:rsidRPr="0007042A">
        <w:rPr>
          <w:rFonts w:ascii="Verdana" w:hAnsi="Verdana" w:cs="Arial"/>
          <w:color w:val="000000" w:themeColor="text1"/>
          <w:shd w:val="clear" w:color="auto" w:fill="FFFFFF"/>
        </w:rPr>
        <w:t xml:space="preserve"> y entidades de régimen especial, con las excepciones de ley:</w:t>
      </w:r>
    </w:p>
    <w:p w14:paraId="3E2D7A51" w14:textId="77777777" w:rsidR="00A371BD" w:rsidRPr="0007042A" w:rsidRDefault="00A371BD" w:rsidP="00A371BD">
      <w:pPr>
        <w:widowControl w:val="0"/>
        <w:autoSpaceDE w:val="0"/>
        <w:autoSpaceDN w:val="0"/>
        <w:spacing w:after="0" w:line="276" w:lineRule="auto"/>
        <w:jc w:val="both"/>
        <w:rPr>
          <w:rFonts w:ascii="Verdana" w:hAnsi="Verdana" w:cs="Arial"/>
          <w:color w:val="000000" w:themeColor="text1"/>
          <w:shd w:val="clear" w:color="auto" w:fill="FFFFFF"/>
        </w:rPr>
      </w:pPr>
    </w:p>
    <w:p w14:paraId="71BA3A82" w14:textId="77777777" w:rsidR="00A371BD" w:rsidRPr="0007042A" w:rsidRDefault="00A371BD" w:rsidP="00A371BD">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07042A">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07042A">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10637934" w14:textId="77777777" w:rsidR="00A371BD" w:rsidRDefault="00A371BD" w:rsidP="00A371BD">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07042A">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07042A">
        <w:rPr>
          <w:rFonts w:ascii="Verdana" w:hAnsi="Verdana" w:cs="Arial"/>
          <w:color w:val="000000" w:themeColor="text1"/>
          <w:shd w:val="clear" w:color="auto" w:fill="FFFFFF"/>
        </w:rPr>
        <w:t> </w:t>
      </w:r>
      <w:hyperlink r:id="rId15" w:tgtFrame="_blank" w:tooltip="Dirección URL original: https://www.colombiacompra.gov.co/content/02-documentos-tipo-para-los-procesos-de-seleccion-de-consultoria-de-obra-publica-de. Haga clic o pulse si confía en este vínculo." w:history="1">
        <w:r w:rsidRPr="0007042A">
          <w:rPr>
            <w:rStyle w:val="Hipervnculo"/>
            <w:rFonts w:ascii="Verdana" w:hAnsi="Verdana" w:cs="Arial"/>
            <w:shd w:val="clear" w:color="auto" w:fill="FFFFFF"/>
          </w:rPr>
          <w:t xml:space="preserve">02. </w:t>
        </w:r>
        <w:r w:rsidRPr="0007042A">
          <w:rPr>
            <w:rStyle w:val="Hipervnculo"/>
            <w:rFonts w:ascii="Verdana" w:hAnsi="Verdana" w:cs="Arial"/>
            <w:shd w:val="clear" w:color="auto" w:fill="FFFFFF"/>
          </w:rPr>
          <w:lastRenderedPageBreak/>
          <w:t>Documentos tipo para los procesos de selección de consultoría de obra pública de infraestructura de transporte – versión 2. | Colombia Compra Eficiente | Agencia Nacional de Contratación Pública</w:t>
        </w:r>
      </w:hyperlink>
    </w:p>
    <w:p w14:paraId="532D69A0" w14:textId="77777777" w:rsidR="00A371BD" w:rsidRPr="0007042A" w:rsidRDefault="00A371BD" w:rsidP="00A371BD">
      <w:pPr>
        <w:widowControl w:val="0"/>
        <w:autoSpaceDE w:val="0"/>
        <w:autoSpaceDN w:val="0"/>
        <w:spacing w:after="0" w:line="276" w:lineRule="auto"/>
        <w:ind w:left="720"/>
        <w:jc w:val="both"/>
        <w:rPr>
          <w:rFonts w:ascii="Verdana" w:hAnsi="Verdana" w:cs="Arial"/>
          <w:color w:val="000000" w:themeColor="text1"/>
          <w:shd w:val="clear" w:color="auto" w:fill="FFFFFF"/>
        </w:rPr>
      </w:pPr>
    </w:p>
    <w:p w14:paraId="1039FFA3" w14:textId="77777777" w:rsidR="00A371BD" w:rsidRPr="0007042A" w:rsidRDefault="00A371BD" w:rsidP="00A371BD">
      <w:pPr>
        <w:widowControl w:val="0"/>
        <w:autoSpaceDE w:val="0"/>
        <w:autoSpaceDN w:val="0"/>
        <w:spacing w:after="0" w:line="276" w:lineRule="auto"/>
        <w:jc w:val="both"/>
        <w:rPr>
          <w:rFonts w:ascii="Verdana" w:hAnsi="Verdana" w:cs="Arial"/>
          <w:color w:val="000000" w:themeColor="text1"/>
          <w:shd w:val="clear" w:color="auto" w:fill="FFFFFF"/>
        </w:rPr>
      </w:pPr>
      <w:r w:rsidRPr="0007042A">
        <w:rPr>
          <w:rFonts w:ascii="Verdana" w:hAnsi="Verdana" w:cs="Arial"/>
          <w:color w:val="000000" w:themeColor="text1"/>
          <w:shd w:val="clear" w:color="auto" w:fill="FFFFFF"/>
        </w:rPr>
        <w:t>También, te contamos que ya publicamos </w:t>
      </w:r>
      <w:r w:rsidRPr="00EB30BA">
        <w:rPr>
          <w:rFonts w:ascii="Verdana" w:hAnsi="Verdana" w:cs="Arial"/>
          <w:color w:val="000000" w:themeColor="text1"/>
          <w:shd w:val="clear" w:color="auto" w:fill="FFFFFF"/>
        </w:rPr>
        <w:t>la nueva</w:t>
      </w:r>
      <w:r w:rsidRPr="0007042A">
        <w:rPr>
          <w:rFonts w:ascii="Verdana" w:hAnsi="Verdana" w:cs="Arial"/>
          <w:b/>
          <w:bCs/>
          <w:color w:val="000000" w:themeColor="text1"/>
          <w:shd w:val="clear" w:color="auto" w:fill="FFFFFF"/>
        </w:rPr>
        <w:t xml:space="preserve"> </w:t>
      </w:r>
      <w:r w:rsidRPr="00EB30BA">
        <w:rPr>
          <w:rFonts w:ascii="Verdana" w:hAnsi="Verdana" w:cs="Arial"/>
          <w:color w:val="000000" w:themeColor="text1"/>
          <w:shd w:val="clear" w:color="auto" w:fill="FFFFFF"/>
        </w:rPr>
        <w:t>de</w:t>
      </w:r>
      <w:r>
        <w:rPr>
          <w:rFonts w:ascii="Verdana" w:hAnsi="Verdana" w:cs="Arial"/>
          <w:b/>
          <w:bCs/>
          <w:color w:val="000000" w:themeColor="text1"/>
          <w:shd w:val="clear" w:color="auto" w:fill="FFFFFF"/>
        </w:rPr>
        <w:t xml:space="preserve"> </w:t>
      </w:r>
      <w:r w:rsidRPr="0007042A">
        <w:rPr>
          <w:rFonts w:ascii="Verdana" w:hAnsi="Verdana" w:cs="Arial"/>
          <w:b/>
          <w:bCs/>
          <w:color w:val="000000" w:themeColor="text1"/>
          <w:shd w:val="clear" w:color="auto" w:fill="FFFFFF"/>
        </w:rPr>
        <w:t>Guía de Contratación Pública Sostenible y Socialmente Responsable</w:t>
      </w:r>
      <w:r w:rsidRPr="0007042A">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07042A">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1C10C1E5" w14:textId="77777777" w:rsidR="00A371BD" w:rsidRDefault="00A371BD" w:rsidP="00A371BD">
      <w:pPr>
        <w:widowControl w:val="0"/>
        <w:autoSpaceDE w:val="0"/>
        <w:autoSpaceDN w:val="0"/>
        <w:spacing w:after="0" w:line="276" w:lineRule="auto"/>
        <w:jc w:val="both"/>
        <w:rPr>
          <w:rFonts w:ascii="Verdana" w:hAnsi="Verdana"/>
        </w:rPr>
      </w:pPr>
    </w:p>
    <w:p w14:paraId="49EB3213"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EECF278" w14:textId="77777777" w:rsidR="00A371BD" w:rsidRPr="003E2460" w:rsidRDefault="00A371BD" w:rsidP="00A371BD">
      <w:pPr>
        <w:spacing w:after="0" w:line="240" w:lineRule="auto"/>
        <w:jc w:val="both"/>
        <w:rPr>
          <w:rFonts w:ascii="Verdana" w:hAnsi="Verdana"/>
        </w:rPr>
      </w:pPr>
    </w:p>
    <w:p w14:paraId="431ED131"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104C1859"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24ED61D"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578F0D3" w14:textId="77777777" w:rsidR="00A371BD" w:rsidRPr="00593A5F" w:rsidRDefault="00A371BD" w:rsidP="00A371BD">
      <w:pPr>
        <w:widowControl w:val="0"/>
        <w:autoSpaceDE w:val="0"/>
        <w:autoSpaceDN w:val="0"/>
        <w:spacing w:after="0" w:line="276" w:lineRule="auto"/>
        <w:jc w:val="both"/>
        <w:rPr>
          <w:rFonts w:ascii="Verdana" w:hAnsi="Verdana" w:cs="Arial"/>
        </w:rPr>
      </w:pPr>
    </w:p>
    <w:p w14:paraId="7BBBA3C4" w14:textId="77777777" w:rsidR="00A371BD" w:rsidRPr="00593A5F" w:rsidRDefault="00A371BD" w:rsidP="00A371B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886A397" w14:textId="77777777" w:rsidR="00A371BD" w:rsidRPr="00593A5F" w:rsidRDefault="00A371BD" w:rsidP="00A371BD">
      <w:pPr>
        <w:widowControl w:val="0"/>
        <w:autoSpaceDE w:val="0"/>
        <w:autoSpaceDN w:val="0"/>
        <w:spacing w:after="0" w:line="276" w:lineRule="auto"/>
        <w:jc w:val="both"/>
        <w:rPr>
          <w:rFonts w:ascii="Verdana" w:hAnsi="Verdana" w:cs="Arial"/>
        </w:rPr>
      </w:pPr>
    </w:p>
    <w:p w14:paraId="103ECEC5" w14:textId="77777777" w:rsidR="00A371BD" w:rsidRPr="00593A5F" w:rsidRDefault="00A371BD" w:rsidP="00A371BD">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48F1928" w14:textId="77777777" w:rsidR="00A371BD" w:rsidRPr="00593A5F" w:rsidRDefault="00A371BD" w:rsidP="00A371BD">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42697EEF" wp14:editId="64376B4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371BD" w:rsidRPr="00EB30BA" w14:paraId="25DE9692" w14:textId="77777777" w:rsidTr="002C3686">
        <w:trPr>
          <w:trHeight w:val="315"/>
        </w:trPr>
        <w:tc>
          <w:tcPr>
            <w:tcW w:w="893" w:type="dxa"/>
            <w:vAlign w:val="center"/>
            <w:hideMark/>
          </w:tcPr>
          <w:p w14:paraId="10C4F936" w14:textId="77777777" w:rsidR="00A371BD" w:rsidRPr="00F06596" w:rsidRDefault="00A371BD" w:rsidP="002C3686">
            <w:pPr>
              <w:contextualSpacing/>
              <w:rPr>
                <w:rFonts w:ascii="Verdana" w:hAnsi="Verdana" w:cs="Arial"/>
                <w:sz w:val="16"/>
                <w:szCs w:val="16"/>
                <w:lang w:val="es-ES" w:eastAsia="es-ES"/>
              </w:rPr>
            </w:pPr>
            <w:r w:rsidRPr="00F0659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F9952BF" w14:textId="77777777" w:rsidR="00A371BD" w:rsidRPr="00F06596" w:rsidRDefault="00A371BD" w:rsidP="002C3686">
            <w:pPr>
              <w:contextualSpacing/>
              <w:rPr>
                <w:rFonts w:ascii="Verdana" w:eastAsia="Arial" w:hAnsi="Verdana" w:cs="Arial"/>
                <w:color w:val="7030A0"/>
                <w:sz w:val="16"/>
                <w:szCs w:val="16"/>
              </w:rPr>
            </w:pPr>
            <w:r w:rsidRPr="00F06596">
              <w:rPr>
                <w:rStyle w:val="normaltextrun"/>
                <w:rFonts w:ascii="Verdana" w:hAnsi="Verdana"/>
                <w:sz w:val="16"/>
                <w:szCs w:val="16"/>
              </w:rPr>
              <w:t xml:space="preserve">Daniel Eduardo Rojas Poveda </w:t>
            </w:r>
          </w:p>
          <w:p w14:paraId="68086A30" w14:textId="77777777" w:rsidR="00A371BD" w:rsidRPr="00F06596" w:rsidRDefault="00A371BD" w:rsidP="002C3686">
            <w:pPr>
              <w:contextualSpacing/>
              <w:rPr>
                <w:rFonts w:ascii="Verdana" w:eastAsia="Arial" w:hAnsi="Verdana" w:cs="Arial"/>
                <w:sz w:val="16"/>
                <w:szCs w:val="16"/>
              </w:rPr>
            </w:pPr>
            <w:r w:rsidRPr="00F06596">
              <w:rPr>
                <w:rStyle w:val="normaltextrun"/>
                <w:rFonts w:ascii="Verdana" w:eastAsia="Arial" w:hAnsi="Verdana" w:cs="Arial"/>
                <w:sz w:val="16"/>
                <w:szCs w:val="16"/>
              </w:rPr>
              <w:t>Contratista de la Subdirección de Gestión Contractual</w:t>
            </w:r>
          </w:p>
        </w:tc>
      </w:tr>
      <w:tr w:rsidR="00A371BD" w:rsidRPr="00EB30BA" w14:paraId="4025886B" w14:textId="77777777" w:rsidTr="002C3686">
        <w:trPr>
          <w:trHeight w:val="330"/>
        </w:trPr>
        <w:tc>
          <w:tcPr>
            <w:tcW w:w="893" w:type="dxa"/>
            <w:vAlign w:val="center"/>
            <w:hideMark/>
          </w:tcPr>
          <w:p w14:paraId="67431E6D" w14:textId="77777777" w:rsidR="00A371BD" w:rsidRPr="00F06596" w:rsidRDefault="00A371BD" w:rsidP="002C3686">
            <w:pPr>
              <w:contextualSpacing/>
              <w:rPr>
                <w:rFonts w:ascii="Verdana" w:hAnsi="Verdana" w:cs="Arial"/>
                <w:sz w:val="16"/>
                <w:szCs w:val="16"/>
                <w:lang w:val="es-ES" w:eastAsia="es-ES"/>
              </w:rPr>
            </w:pPr>
            <w:r w:rsidRPr="00F06596">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4F32F11" w14:textId="77777777" w:rsidR="00A371BD" w:rsidRPr="00F06596" w:rsidRDefault="00A371BD" w:rsidP="002C3686">
            <w:pPr>
              <w:pStyle w:val="paragraph"/>
              <w:spacing w:before="0" w:beforeAutospacing="0" w:after="0" w:afterAutospacing="0"/>
              <w:contextualSpacing/>
              <w:textAlignment w:val="baseline"/>
              <w:rPr>
                <w:rStyle w:val="normaltextrun"/>
                <w:rFonts w:ascii="Verdana" w:hAnsi="Verdana" w:cstheme="minorHAnsi"/>
                <w:sz w:val="16"/>
                <w:szCs w:val="16"/>
              </w:rPr>
            </w:pPr>
            <w:r w:rsidRPr="00F06596">
              <w:rPr>
                <w:rStyle w:val="normaltextrun"/>
                <w:rFonts w:ascii="Verdana" w:hAnsi="Verdana" w:cstheme="minorHAnsi"/>
                <w:sz w:val="16"/>
                <w:szCs w:val="16"/>
              </w:rPr>
              <w:t xml:space="preserve">Alejandro Raúl Sarmiento </w:t>
            </w:r>
            <w:r w:rsidRPr="00EB30BA">
              <w:rPr>
                <w:rStyle w:val="normaltextrun"/>
                <w:rFonts w:ascii="Verdana" w:hAnsi="Verdana" w:cstheme="minorHAnsi"/>
                <w:sz w:val="16"/>
                <w:szCs w:val="16"/>
              </w:rPr>
              <w:t>Cantillo</w:t>
            </w:r>
          </w:p>
          <w:p w14:paraId="50614F21" w14:textId="77777777" w:rsidR="00A371BD" w:rsidRPr="00F06596" w:rsidRDefault="00A371BD" w:rsidP="002C3686">
            <w:pPr>
              <w:pStyle w:val="paragraph"/>
              <w:spacing w:before="0" w:beforeAutospacing="0" w:after="0" w:afterAutospacing="0"/>
              <w:contextualSpacing/>
              <w:textAlignment w:val="baseline"/>
              <w:rPr>
                <w:rFonts w:ascii="Verdana" w:hAnsi="Verdana" w:cstheme="minorHAnsi"/>
                <w:sz w:val="16"/>
                <w:szCs w:val="16"/>
              </w:rPr>
            </w:pPr>
            <w:r w:rsidRPr="00F06596">
              <w:rPr>
                <w:rStyle w:val="normaltextrun"/>
                <w:rFonts w:ascii="Verdana" w:eastAsia="Arial" w:hAnsi="Verdana" w:cs="Arial"/>
                <w:sz w:val="16"/>
                <w:szCs w:val="16"/>
              </w:rPr>
              <w:t>Gestor</w:t>
            </w:r>
            <w:r>
              <w:rPr>
                <w:rStyle w:val="normaltextrun"/>
                <w:rFonts w:ascii="Verdana" w:eastAsia="Arial" w:hAnsi="Verdana" w:cs="Arial"/>
                <w:sz w:val="16"/>
                <w:szCs w:val="16"/>
              </w:rPr>
              <w:t xml:space="preserve"> </w:t>
            </w:r>
            <w:proofErr w:type="spellStart"/>
            <w:r w:rsidRPr="0007042A">
              <w:rPr>
                <w:rStyle w:val="normaltextrun"/>
                <w:rFonts w:ascii="Verdana" w:eastAsia="Arial" w:hAnsi="Verdana" w:cs="Arial"/>
                <w:sz w:val="16"/>
                <w:szCs w:val="16"/>
              </w:rPr>
              <w:t>T</w:t>
            </w:r>
            <w:r w:rsidRPr="00EB30BA">
              <w:rPr>
                <w:rStyle w:val="normaltextrun"/>
                <w:rFonts w:ascii="Verdana" w:eastAsia="Arial" w:hAnsi="Verdana"/>
                <w:sz w:val="16"/>
                <w:szCs w:val="16"/>
              </w:rPr>
              <w:t>1</w:t>
            </w:r>
            <w:proofErr w:type="spellEnd"/>
            <w:r w:rsidRPr="00EB30BA">
              <w:rPr>
                <w:rStyle w:val="normaltextrun"/>
                <w:rFonts w:ascii="Verdana" w:eastAsia="Arial" w:hAnsi="Verdana"/>
                <w:sz w:val="16"/>
                <w:szCs w:val="16"/>
              </w:rPr>
              <w:t>-15 de la</w:t>
            </w:r>
            <w:r w:rsidRPr="00F06596">
              <w:rPr>
                <w:rStyle w:val="normaltextrun"/>
                <w:rFonts w:ascii="Verdana" w:eastAsia="Arial" w:hAnsi="Verdana" w:cs="Arial"/>
                <w:sz w:val="16"/>
                <w:szCs w:val="16"/>
              </w:rPr>
              <w:t xml:space="preserve"> Subdirección de Gestión Contractual</w:t>
            </w:r>
          </w:p>
        </w:tc>
      </w:tr>
      <w:tr w:rsidR="00A371BD" w:rsidRPr="00EB30BA" w14:paraId="09E6B4E2" w14:textId="77777777" w:rsidTr="002C3686">
        <w:trPr>
          <w:trHeight w:val="300"/>
        </w:trPr>
        <w:tc>
          <w:tcPr>
            <w:tcW w:w="893" w:type="dxa"/>
            <w:vAlign w:val="center"/>
          </w:tcPr>
          <w:p w14:paraId="7AEF4C21" w14:textId="77777777" w:rsidR="00A371BD" w:rsidRPr="00F06596" w:rsidRDefault="00A371BD" w:rsidP="002C3686">
            <w:pPr>
              <w:contextualSpacing/>
              <w:rPr>
                <w:rFonts w:ascii="Verdana" w:hAnsi="Verdana" w:cs="Arial"/>
                <w:sz w:val="16"/>
                <w:szCs w:val="16"/>
                <w:lang w:val="es-ES" w:eastAsia="es-ES"/>
              </w:rPr>
            </w:pPr>
            <w:r w:rsidRPr="00F06596">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9489755" w14:textId="77777777" w:rsidR="00A371BD" w:rsidRPr="00F06596" w:rsidRDefault="00A371BD" w:rsidP="002C3686">
            <w:pPr>
              <w:contextualSpacing/>
              <w:rPr>
                <w:rFonts w:ascii="Verdana" w:eastAsia="Calibri" w:hAnsi="Verdana" w:cs="Arial"/>
                <w:sz w:val="16"/>
                <w:szCs w:val="16"/>
                <w:lang w:val="pt-BR" w:eastAsia="es-ES"/>
              </w:rPr>
            </w:pPr>
            <w:r w:rsidRPr="00F06596">
              <w:rPr>
                <w:rFonts w:ascii="Verdana" w:eastAsia="Calibri" w:hAnsi="Verdana" w:cs="Arial"/>
                <w:sz w:val="16"/>
                <w:szCs w:val="16"/>
                <w:lang w:val="pt-BR" w:eastAsia="es-ES"/>
              </w:rPr>
              <w:t xml:space="preserve">Carolina Quintero </w:t>
            </w:r>
            <w:proofErr w:type="spellStart"/>
            <w:r w:rsidRPr="00F06596">
              <w:rPr>
                <w:rFonts w:ascii="Verdana" w:eastAsia="Calibri" w:hAnsi="Verdana" w:cs="Arial"/>
                <w:sz w:val="16"/>
                <w:szCs w:val="16"/>
                <w:lang w:val="pt-BR" w:eastAsia="es-ES"/>
              </w:rPr>
              <w:t>Gacharná</w:t>
            </w:r>
            <w:proofErr w:type="spellEnd"/>
          </w:p>
          <w:p w14:paraId="00E26FC6" w14:textId="77777777" w:rsidR="00A371BD" w:rsidRPr="00F06596" w:rsidRDefault="00A371BD" w:rsidP="002C3686">
            <w:pPr>
              <w:contextualSpacing/>
              <w:rPr>
                <w:rFonts w:ascii="Verdana" w:eastAsia="Calibri" w:hAnsi="Verdana" w:cs="Arial"/>
                <w:sz w:val="16"/>
                <w:szCs w:val="16"/>
                <w:lang w:val="pt-BR" w:eastAsia="es-ES"/>
              </w:rPr>
            </w:pPr>
            <w:r w:rsidRPr="00F06596">
              <w:rPr>
                <w:rFonts w:ascii="Verdana" w:eastAsia="Calibri" w:hAnsi="Verdana" w:cs="Arial"/>
                <w:sz w:val="16"/>
                <w:szCs w:val="16"/>
                <w:lang w:eastAsia="es-ES"/>
              </w:rPr>
              <w:t>Subdirectora</w:t>
            </w:r>
            <w:r w:rsidRPr="00F06596">
              <w:rPr>
                <w:rFonts w:ascii="Verdana" w:eastAsia="Calibri" w:hAnsi="Verdana" w:cs="Arial"/>
                <w:sz w:val="16"/>
                <w:szCs w:val="16"/>
                <w:lang w:val="pt-BR" w:eastAsia="es-ES"/>
              </w:rPr>
              <w:t xml:space="preserve"> de Gestión Contratual ANCP – CCE</w:t>
            </w:r>
          </w:p>
        </w:tc>
      </w:tr>
    </w:tbl>
    <w:p w14:paraId="72B5ED2F" w14:textId="77777777" w:rsidR="00A371BD" w:rsidRPr="00593A5F" w:rsidRDefault="00A371BD" w:rsidP="00A371BD">
      <w:pPr>
        <w:spacing w:after="0" w:line="240" w:lineRule="auto"/>
        <w:rPr>
          <w:rFonts w:ascii="Verdana" w:eastAsia="Times New Roman" w:hAnsi="Verdana" w:cs="Arial"/>
          <w:sz w:val="24"/>
          <w:szCs w:val="24"/>
          <w:lang w:eastAsia="es-ES"/>
        </w:rPr>
      </w:pPr>
    </w:p>
    <w:p w14:paraId="48591A6C" w14:textId="77777777" w:rsidR="00A371BD" w:rsidRPr="0044528D" w:rsidRDefault="00A371BD" w:rsidP="00A371BD">
      <w:pPr>
        <w:spacing w:after="0"/>
        <w:rPr>
          <w:rFonts w:ascii="Verdana" w:hAnsi="Verdana"/>
        </w:rPr>
      </w:pPr>
    </w:p>
    <w:sectPr w:rsidR="00A371BD"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99A6" w14:textId="77777777" w:rsidR="00D95A24" w:rsidRDefault="00D95A24" w:rsidP="004A1847">
      <w:pPr>
        <w:spacing w:after="0" w:line="240" w:lineRule="auto"/>
      </w:pPr>
      <w:r>
        <w:separator/>
      </w:r>
    </w:p>
  </w:endnote>
  <w:endnote w:type="continuationSeparator" w:id="0">
    <w:p w14:paraId="2FDE0C2F" w14:textId="77777777" w:rsidR="00D95A24" w:rsidRDefault="00D95A2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proofErr w:type="spellStart"/>
    <w:r w:rsidR="00FA47C0" w:rsidRPr="004A305D">
      <w:rPr>
        <w:rFonts w:ascii="Century Gothic" w:eastAsia="Geo" w:hAnsi="Century Gothic" w:cs="Geo"/>
        <w:bCs/>
        <w:color w:val="000000"/>
        <w:sz w:val="16"/>
        <w:szCs w:val="16"/>
        <w:lang w:eastAsia="es-CO"/>
      </w:rPr>
      <w:t>CCE</w:t>
    </w:r>
    <w:proofErr w:type="spellEnd"/>
    <w:r w:rsidR="00FA47C0" w:rsidRPr="004A305D">
      <w:rPr>
        <w:rFonts w:ascii="Century Gothic" w:eastAsia="Geo" w:hAnsi="Century Gothic" w:cs="Geo"/>
        <w:bCs/>
        <w:color w:val="000000"/>
        <w:sz w:val="16"/>
        <w:szCs w:val="16"/>
        <w:lang w:eastAsia="es-CO"/>
      </w:rPr>
      <w:t>-</w:t>
    </w:r>
    <w:proofErr w:type="spellStart"/>
    <w:r w:rsidR="00FA47C0">
      <w:rPr>
        <w:rFonts w:ascii="Century Gothic" w:eastAsia="Geo" w:hAnsi="Century Gothic" w:cs="Geo"/>
        <w:bCs/>
        <w:color w:val="000000"/>
        <w:sz w:val="16"/>
        <w:szCs w:val="16"/>
        <w:lang w:eastAsia="es-CO"/>
      </w:rPr>
      <w:t>REC</w:t>
    </w:r>
    <w:proofErr w:type="spellEnd"/>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13D17" w14:textId="77777777" w:rsidR="00D95A24" w:rsidRDefault="00D95A24" w:rsidP="004A1847">
      <w:pPr>
        <w:spacing w:after="0" w:line="240" w:lineRule="auto"/>
      </w:pPr>
      <w:r>
        <w:separator/>
      </w:r>
    </w:p>
  </w:footnote>
  <w:footnote w:type="continuationSeparator" w:id="0">
    <w:p w14:paraId="54A66408" w14:textId="77777777" w:rsidR="00D95A24" w:rsidRDefault="00D95A24" w:rsidP="004A1847">
      <w:pPr>
        <w:spacing w:after="0" w:line="240" w:lineRule="auto"/>
      </w:pPr>
      <w:r>
        <w:continuationSeparator/>
      </w:r>
    </w:p>
  </w:footnote>
  <w:footnote w:id="1">
    <w:p w14:paraId="3BB54D00"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cs="Arial"/>
          <w:sz w:val="16"/>
          <w:szCs w:val="16"/>
        </w:rPr>
        <w:footnoteRef/>
      </w:r>
      <w:r w:rsidRPr="005F435E">
        <w:rPr>
          <w:rFonts w:ascii="Verdana" w:hAnsi="Verdana" w:cs="Arial"/>
          <w:sz w:val="16"/>
          <w:szCs w:val="16"/>
        </w:rPr>
        <w:t xml:space="preserve"> El inciso primero de norma disponía que, conforme al principio de transparencia, “</w:t>
      </w:r>
      <w:r w:rsidRPr="005F435E">
        <w:rPr>
          <w:rFonts w:ascii="Verdana" w:hAnsi="Verdana" w:cs="Arial"/>
          <w:i/>
          <w:iCs/>
          <w:sz w:val="16"/>
          <w:szCs w:val="16"/>
        </w:rPr>
        <w:t>La escogencia del contratista se efectuará siempre a través de licitación o concurso públicos</w:t>
      </w:r>
      <w:r w:rsidRPr="005F435E">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p w14:paraId="76A14F61" w14:textId="77777777" w:rsidR="00E2597D" w:rsidRPr="005F435E" w:rsidRDefault="00E2597D" w:rsidP="006F5983">
      <w:pPr>
        <w:pStyle w:val="Textonotapie"/>
        <w:ind w:firstLine="708"/>
        <w:jc w:val="both"/>
        <w:rPr>
          <w:rFonts w:ascii="Verdana" w:hAnsi="Verdana" w:cs="Arial"/>
          <w:sz w:val="16"/>
          <w:szCs w:val="16"/>
        </w:rPr>
      </w:pPr>
    </w:p>
  </w:footnote>
  <w:footnote w:id="2">
    <w:p w14:paraId="3557C01C"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cs="Arial"/>
          <w:sz w:val="16"/>
          <w:szCs w:val="16"/>
        </w:rPr>
        <w:footnoteRef/>
      </w:r>
      <w:r w:rsidRPr="005F435E">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w:t>
      </w:r>
      <w:proofErr w:type="spellStart"/>
      <w:r w:rsidRPr="005F435E">
        <w:rPr>
          <w:rFonts w:ascii="Verdana" w:hAnsi="Verdana" w:cs="Arial"/>
          <w:sz w:val="16"/>
          <w:szCs w:val="16"/>
        </w:rPr>
        <w:t>C.N</w:t>
      </w:r>
      <w:proofErr w:type="spellEnd"/>
      <w:r w:rsidRPr="005F435E">
        <w:rPr>
          <w:rFonts w:ascii="Verdana" w:hAnsi="Verdana" w:cs="Arial"/>
          <w:sz w:val="16"/>
          <w:szCs w:val="16"/>
        </w:rPr>
        <w:t xml:space="preserve">., y art. 3° </w:t>
      </w:r>
      <w:proofErr w:type="spellStart"/>
      <w:r w:rsidRPr="005F435E">
        <w:rPr>
          <w:rFonts w:ascii="Verdana" w:hAnsi="Verdana" w:cs="Arial"/>
          <w:sz w:val="16"/>
          <w:szCs w:val="16"/>
        </w:rPr>
        <w:t>CPACA</w:t>
      </w:r>
      <w:proofErr w:type="spellEnd"/>
      <w:r w:rsidRPr="005F435E">
        <w:rPr>
          <w:rFonts w:ascii="Verdana" w:hAnsi="Verdana" w:cs="Arial"/>
          <w:sz w:val="16"/>
          <w:szCs w:val="16"/>
        </w:rPr>
        <w:t>)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5F435E">
        <w:rPr>
          <w:rFonts w:ascii="Verdana" w:hAnsi="Verdana" w:cs="Arial"/>
          <w:i/>
          <w:iCs/>
          <w:sz w:val="16"/>
          <w:szCs w:val="16"/>
        </w:rPr>
        <w:t>Presentación de la oferta de manera dinámica</w:t>
      </w:r>
      <w:r w:rsidRPr="005F435E">
        <w:rPr>
          <w:rFonts w:ascii="Verdana" w:hAnsi="Verdana" w:cs="Arial"/>
          <w:sz w:val="16"/>
          <w:szCs w:val="16"/>
        </w:rPr>
        <w:t xml:space="preserve">). Es decir, </w:t>
      </w:r>
      <w:proofErr w:type="gramStart"/>
      <w:r w:rsidRPr="005F435E">
        <w:rPr>
          <w:rFonts w:ascii="Verdana" w:hAnsi="Verdana" w:cs="Arial"/>
          <w:sz w:val="16"/>
          <w:szCs w:val="16"/>
        </w:rPr>
        <w:t>que</w:t>
      </w:r>
      <w:proofErr w:type="gramEnd"/>
      <w:r w:rsidRPr="005F435E">
        <w:rPr>
          <w:rFonts w:ascii="Verdana" w:hAnsi="Verdana" w:cs="Arial"/>
          <w:sz w:val="16"/>
          <w:szCs w:val="16"/>
        </w:rPr>
        <w:t xml:space="preserve"> ante la ausencia de una causal concreta para un determinado evento específico, la selección debe asumir la que el ordenamiento jurídico regula como licitación pública. Por eso es </w:t>
      </w:r>
      <w:proofErr w:type="gramStart"/>
      <w:r w:rsidRPr="005F435E">
        <w:rPr>
          <w:rFonts w:ascii="Verdana" w:hAnsi="Verdana" w:cs="Arial"/>
          <w:sz w:val="16"/>
          <w:szCs w:val="16"/>
        </w:rPr>
        <w:t>que</w:t>
      </w:r>
      <w:proofErr w:type="gramEnd"/>
      <w:r w:rsidRPr="005F435E">
        <w:rPr>
          <w:rFonts w:ascii="Verdana" w:hAnsi="Verdana" w:cs="Arial"/>
          <w:sz w:val="16"/>
          <w:szCs w:val="16"/>
        </w:rPr>
        <w:t xml:space="preserv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3">
    <w:p w14:paraId="0271B41D"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El numeral 2 del artículo 2 de la Ley 1150 de 2007 prescribe: </w:t>
      </w:r>
      <w:r w:rsidRPr="005F435E">
        <w:rPr>
          <w:rFonts w:ascii="Verdana" w:hAnsi="Verdana"/>
          <w:sz w:val="16"/>
          <w:szCs w:val="16"/>
        </w:rPr>
        <w:t xml:space="preserve">“[…] </w:t>
      </w:r>
      <w:r w:rsidRPr="005F435E">
        <w:rPr>
          <w:rFonts w:ascii="Verdana" w:hAnsi="Verdana" w:cs="Arial"/>
          <w:sz w:val="16"/>
          <w:szCs w:val="16"/>
        </w:rPr>
        <w:t>Serán causales de selección abreviada las siguientes:</w:t>
      </w:r>
    </w:p>
    <w:p w14:paraId="5F176A04"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04AFF1D"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7829B5F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14:paraId="73372BBB"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w:t>
      </w:r>
    </w:p>
    <w:p w14:paraId="2695A523"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55ED0176"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14:paraId="005DEC3B"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e) La enajenación de bienes del Estado, con excepción de aquellos a que se refiere la Ley 226 de 1995.</w:t>
      </w:r>
    </w:p>
    <w:p w14:paraId="2E3C372D"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 </w:t>
      </w:r>
    </w:p>
    <w:p w14:paraId="571D857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f) Productos de origen o destinación agropecuarios que se ofrezcan en las bolsas de productos legalmente constituidas; </w:t>
      </w:r>
    </w:p>
    <w:p w14:paraId="2296702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0059C2BE"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0E90B171"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i) La contratación de bienes y servicios que se requieran para la defensa y seguridad nacional.</w:t>
      </w:r>
    </w:p>
    <w:p w14:paraId="5FF3FB4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footnote>
  <w:footnote w:id="4">
    <w:p w14:paraId="2DFC39C8"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CONGRESO DE LA REPÚBLICA. Exposición de motivos de la Ley 1150 de 2007. Gaceta del Congreso No. 458 del 1º de agosto de 2005. p. 8. </w:t>
      </w:r>
    </w:p>
  </w:footnote>
  <w:footnote w:id="5">
    <w:p w14:paraId="404168ED"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CONSEJO DE ESTADO. Sección Tercera. Subsección A. Sentencia del 23 de julio de 2015. </w:t>
      </w:r>
      <w:proofErr w:type="spellStart"/>
      <w:r w:rsidRPr="005F435E">
        <w:rPr>
          <w:rFonts w:ascii="Verdana" w:hAnsi="Verdana" w:cs="Arial"/>
          <w:sz w:val="16"/>
          <w:szCs w:val="16"/>
        </w:rPr>
        <w:t>Exp</w:t>
      </w:r>
      <w:proofErr w:type="spellEnd"/>
      <w:r w:rsidRPr="005F435E">
        <w:rPr>
          <w:rFonts w:ascii="Verdana" w:hAnsi="Verdana" w:cs="Arial"/>
          <w:sz w:val="16"/>
          <w:szCs w:val="16"/>
        </w:rPr>
        <w:t xml:space="preserve">. 36.805. C. P. Hernán Andrade Rincón. </w:t>
      </w:r>
    </w:p>
  </w:footnote>
  <w:footnote w:id="6">
    <w:p w14:paraId="28631993" w14:textId="77777777" w:rsidR="006F5983" w:rsidRPr="005F435E" w:rsidRDefault="006F5983" w:rsidP="006F5983">
      <w:pPr>
        <w:pStyle w:val="Textonotapie"/>
        <w:ind w:firstLine="708"/>
        <w:jc w:val="both"/>
        <w:rPr>
          <w:rFonts w:ascii="Verdana" w:hAnsi="Verdana"/>
          <w:sz w:val="16"/>
          <w:szCs w:val="16"/>
        </w:rPr>
      </w:pPr>
      <w:r w:rsidRPr="005F435E">
        <w:rPr>
          <w:rStyle w:val="Refdenotaalpie"/>
          <w:rFonts w:ascii="Verdana" w:hAnsi="Verdana"/>
          <w:sz w:val="16"/>
          <w:szCs w:val="16"/>
        </w:rPr>
        <w:footnoteRef/>
      </w:r>
      <w:r w:rsidRPr="005F435E">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5F435E">
        <w:rPr>
          <w:rFonts w:ascii="Verdana" w:hAnsi="Verdana"/>
          <w:i/>
          <w:iCs/>
          <w:sz w:val="16"/>
          <w:szCs w:val="16"/>
        </w:rPr>
        <w:t>las palabras de la ley se entenderán en su sentido natural y obvio, según el uso general de las mismas palabras</w:t>
      </w:r>
      <w:r w:rsidRPr="005F435E">
        <w:rPr>
          <w:rFonts w:ascii="Verdana" w:hAnsi="Verdana"/>
          <w:sz w:val="16"/>
          <w:szCs w:val="16"/>
        </w:rPr>
        <w:t>’, es decir, el uso de la gente educada. El Diccionario de la Lengua publicado por la Real Academia Española goza a este respecto de gran autoridad. ‘</w:t>
      </w:r>
      <w:r w:rsidRPr="005F435E">
        <w:rPr>
          <w:rFonts w:ascii="Verdana" w:hAnsi="Verdana"/>
          <w:i/>
          <w:iCs/>
          <w:sz w:val="16"/>
          <w:szCs w:val="16"/>
        </w:rPr>
        <w:t>Pero cuando el legislador</w:t>
      </w:r>
      <w:r w:rsidRPr="005F435E">
        <w:rPr>
          <w:rFonts w:ascii="Verdana" w:hAnsi="Verdana"/>
          <w:sz w:val="16"/>
          <w:szCs w:val="16"/>
        </w:rPr>
        <w:t xml:space="preserve">, agrega el artículo 20, </w:t>
      </w:r>
      <w:r w:rsidRPr="005F435E">
        <w:rPr>
          <w:rFonts w:ascii="Verdana" w:hAnsi="Verdana"/>
          <w:i/>
          <w:iCs/>
          <w:sz w:val="16"/>
          <w:szCs w:val="16"/>
        </w:rPr>
        <w:t>las haya definido expresamente para ciertas materias se les dará en éstas su significado legal</w:t>
      </w:r>
      <w:r w:rsidRPr="005F435E">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p w14:paraId="36325B06" w14:textId="77777777" w:rsidR="00E2597D" w:rsidRPr="005F435E" w:rsidRDefault="00E2597D" w:rsidP="006F5983">
      <w:pPr>
        <w:pStyle w:val="Textonotapie"/>
        <w:ind w:firstLine="708"/>
        <w:jc w:val="both"/>
        <w:rPr>
          <w:rFonts w:ascii="Verdana" w:hAnsi="Verdana"/>
          <w:sz w:val="16"/>
          <w:szCs w:val="16"/>
          <w:lang w:val="es-CO"/>
        </w:rPr>
      </w:pPr>
    </w:p>
  </w:footnote>
  <w:footnote w:id="7">
    <w:p w14:paraId="7CD8EF32" w14:textId="77777777" w:rsidR="006F5983" w:rsidRPr="005F435E" w:rsidRDefault="006F5983" w:rsidP="006F5983">
      <w:pPr>
        <w:pStyle w:val="Textonotapie"/>
        <w:ind w:firstLine="708"/>
        <w:jc w:val="both"/>
        <w:rPr>
          <w:rFonts w:ascii="Verdana" w:hAnsi="Verdana"/>
          <w:sz w:val="16"/>
          <w:szCs w:val="16"/>
        </w:rPr>
      </w:pPr>
      <w:r w:rsidRPr="005F435E">
        <w:rPr>
          <w:rStyle w:val="Refdenotaalpie"/>
          <w:rFonts w:ascii="Verdana" w:hAnsi="Verdana"/>
          <w:sz w:val="16"/>
          <w:szCs w:val="16"/>
        </w:rPr>
        <w:footnoteRef/>
      </w:r>
      <w:r w:rsidRPr="005F435E">
        <w:rPr>
          <w:rFonts w:ascii="Verdana" w:hAnsi="Verdana"/>
          <w:sz w:val="16"/>
          <w:szCs w:val="16"/>
        </w:rPr>
        <w:t xml:space="preserve"> SUÁREZ BELTRÁN, Gonzalo. Estudios de derecho contractual público. Colombia: Bogotá, 2014. p. 72.</w:t>
      </w:r>
    </w:p>
  </w:footnote>
  <w:footnote w:id="8">
    <w:p w14:paraId="295D465B" w14:textId="77777777" w:rsidR="006F5983" w:rsidRPr="005F435E" w:rsidRDefault="006F5983" w:rsidP="006F5983">
      <w:pPr>
        <w:pStyle w:val="Textonotapie"/>
        <w:ind w:firstLine="708"/>
        <w:jc w:val="both"/>
        <w:rPr>
          <w:rFonts w:ascii="Verdana" w:hAnsi="Verdana"/>
          <w:sz w:val="16"/>
          <w:szCs w:val="16"/>
          <w:lang w:val="es-CO"/>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i/>
          <w:iCs/>
          <w:sz w:val="16"/>
          <w:szCs w:val="16"/>
        </w:rPr>
        <w:t>Ibidem</w:t>
      </w:r>
      <w:r w:rsidRPr="005F435E">
        <w:rPr>
          <w:rFonts w:ascii="Verdana" w:hAnsi="Verdana"/>
          <w:sz w:val="16"/>
          <w:szCs w:val="16"/>
        </w:rPr>
        <w:t>.</w:t>
      </w:r>
    </w:p>
  </w:footnote>
  <w:footnote w:id="9">
    <w:p w14:paraId="7A60C7D4"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CONGRESO DE LA REPÚBLICA. Exposición de motivos de la Ley 1150 de 2007. Gaceta del Congreso No. 458 del 1º de agosto de 2005. p. 8. </w:t>
      </w:r>
    </w:p>
  </w:footnote>
  <w:footnote w:id="10">
    <w:p w14:paraId="6DDF07C0" w14:textId="77777777" w:rsidR="006F5983" w:rsidRPr="005F435E" w:rsidRDefault="006F5983" w:rsidP="006F5983">
      <w:pPr>
        <w:pStyle w:val="Textonotapie"/>
        <w:ind w:firstLine="708"/>
        <w:jc w:val="both"/>
        <w:rPr>
          <w:rFonts w:ascii="Verdana" w:hAnsi="Verdana"/>
          <w:sz w:val="16"/>
          <w:szCs w:val="16"/>
          <w:lang w:val="es-CO"/>
        </w:rPr>
      </w:pPr>
      <w:r w:rsidRPr="005F435E">
        <w:rPr>
          <w:rStyle w:val="Refdenotaalpie"/>
          <w:rFonts w:ascii="Verdana" w:hAnsi="Verdana"/>
          <w:sz w:val="16"/>
          <w:szCs w:val="16"/>
        </w:rPr>
        <w:footnoteRef/>
      </w:r>
      <w:r w:rsidRPr="005F435E">
        <w:rPr>
          <w:rFonts w:ascii="Verdana" w:hAnsi="Verdana"/>
          <w:sz w:val="16"/>
          <w:szCs w:val="16"/>
        </w:rPr>
        <w:t xml:space="preserve"> DÁVILA VINUEZA, Luis Guillermo. Régimen jurídico de la contratación estatal. </w:t>
      </w:r>
      <w:r w:rsidRPr="005F435E">
        <w:rPr>
          <w:rFonts w:ascii="Verdana" w:hAnsi="Verdana" w:cs="Arial"/>
          <w:sz w:val="16"/>
          <w:szCs w:val="16"/>
          <w:lang w:val="es-CO"/>
        </w:rPr>
        <w:t>Tercera Edición</w:t>
      </w:r>
      <w:r w:rsidRPr="005F435E">
        <w:rPr>
          <w:rFonts w:ascii="Verdana" w:hAnsi="Verdana"/>
          <w:sz w:val="16"/>
          <w:szCs w:val="16"/>
          <w:lang w:val="es-CO"/>
        </w:rPr>
        <w:t>. Bogotá: Legis, 2016. pp. 466-467.</w:t>
      </w:r>
    </w:p>
  </w:footnote>
  <w:footnote w:id="11">
    <w:p w14:paraId="203934C8" w14:textId="77777777" w:rsidR="006F5983" w:rsidRPr="005F435E" w:rsidRDefault="006F5983" w:rsidP="006F5983">
      <w:pPr>
        <w:pStyle w:val="Textonotapie"/>
        <w:ind w:firstLine="705"/>
        <w:rPr>
          <w:rFonts w:ascii="Verdana" w:hAnsi="Verdana"/>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Style w:val="normaltextrun"/>
          <w:rFonts w:ascii="Verdana" w:hAnsi="Verdana" w:cs="Arial"/>
          <w:color w:val="000000"/>
          <w:sz w:val="16"/>
          <w:szCs w:val="16"/>
          <w:shd w:val="clear" w:color="auto" w:fill="FFFFFF"/>
        </w:rPr>
        <w:t xml:space="preserve">CONSEJO DE ESTADO. Sección Tercera. Subsección C. Sentencia del 17 de junio de 2024. Rad. 69575. C.P. </w:t>
      </w:r>
      <w:r w:rsidRPr="005F435E">
        <w:rPr>
          <w:rFonts w:ascii="Verdana" w:hAnsi="Verdana" w:cs="Arial"/>
          <w:color w:val="000000"/>
          <w:sz w:val="16"/>
          <w:szCs w:val="16"/>
          <w:shd w:val="clear" w:color="auto" w:fill="FFFFFF"/>
          <w:lang w:val="es-CO"/>
        </w:rPr>
        <w:t>Martín Bermúdez Muñoz</w:t>
      </w:r>
      <w:r w:rsidRPr="005F435E">
        <w:rPr>
          <w:rStyle w:val="normaltextrun"/>
          <w:rFonts w:ascii="Verdana" w:hAnsi="Verdana" w:cs="Arial"/>
          <w:color w:val="000000"/>
          <w:sz w:val="16"/>
          <w:szCs w:val="16"/>
          <w:shd w:val="clear" w:color="auto" w:fill="FFFFFF"/>
        </w:rPr>
        <w:t xml:space="preserve">. Nota al pie No. 7. </w:t>
      </w:r>
      <w:r w:rsidRPr="005F435E">
        <w:rPr>
          <w:rStyle w:val="eop"/>
          <w:rFonts w:ascii="Verdana" w:hAnsi="Verdana" w:cs="Arial"/>
          <w:color w:val="000000"/>
          <w:sz w:val="16"/>
          <w:szCs w:val="16"/>
          <w:shd w:val="clear" w:color="auto" w:fill="FFFFFF"/>
        </w:rPr>
        <w:t> </w:t>
      </w:r>
    </w:p>
  </w:footnote>
  <w:footnote w:id="12">
    <w:p w14:paraId="4DAAA303" w14:textId="77777777" w:rsidR="006F5983" w:rsidRPr="005F435E" w:rsidRDefault="006F5983" w:rsidP="006F5983">
      <w:pPr>
        <w:pStyle w:val="Textonotapie"/>
        <w:ind w:firstLine="708"/>
        <w:jc w:val="both"/>
        <w:rPr>
          <w:rFonts w:ascii="Verdana" w:hAnsi="Verdana" w:cs="Arial"/>
          <w:color w:val="000000"/>
          <w:sz w:val="16"/>
          <w:szCs w:val="16"/>
          <w:lang w:val="en-US"/>
        </w:rPr>
      </w:pPr>
      <w:r w:rsidRPr="005F435E">
        <w:rPr>
          <w:rStyle w:val="Refdenotaalpie"/>
          <w:rFonts w:ascii="Verdana" w:hAnsi="Verdana" w:cs="Arial"/>
          <w:color w:val="000000"/>
          <w:sz w:val="16"/>
          <w:szCs w:val="16"/>
        </w:rPr>
        <w:footnoteRef/>
      </w:r>
      <w:r w:rsidRPr="005F435E">
        <w:rPr>
          <w:rFonts w:ascii="Verdana" w:hAnsi="Verdana" w:cs="Arial"/>
          <w:color w:val="000000"/>
          <w:sz w:val="16"/>
          <w:szCs w:val="16"/>
          <w:lang w:val="en-US"/>
        </w:rPr>
        <w:t xml:space="preserve"> EUROPEAN COMMISSION. Buying Green – A handbook on green procurement, 2016, disponible </w:t>
      </w:r>
      <w:proofErr w:type="spellStart"/>
      <w:r w:rsidRPr="005F435E">
        <w:rPr>
          <w:rFonts w:ascii="Verdana" w:hAnsi="Verdana" w:cs="Arial"/>
          <w:color w:val="000000"/>
          <w:sz w:val="16"/>
          <w:szCs w:val="16"/>
          <w:lang w:val="en-US"/>
        </w:rPr>
        <w:t>en</w:t>
      </w:r>
      <w:proofErr w:type="spellEnd"/>
      <w:r w:rsidRPr="005F435E">
        <w:rPr>
          <w:rFonts w:ascii="Verdana" w:hAnsi="Verdana" w:cs="Arial"/>
          <w:color w:val="000000"/>
          <w:sz w:val="16"/>
          <w:szCs w:val="16"/>
          <w:lang w:val="en-US"/>
        </w:rPr>
        <w:t xml:space="preserve">: </w:t>
      </w:r>
      <w:hyperlink r:id="rId1" w:history="1">
        <w:r w:rsidRPr="005F435E">
          <w:rPr>
            <w:rStyle w:val="Hipervnculo"/>
            <w:rFonts w:ascii="Verdana" w:hAnsi="Verdana" w:cs="Arial"/>
            <w:sz w:val="16"/>
            <w:szCs w:val="16"/>
            <w:lang w:val="en-US"/>
          </w:rPr>
          <w:t>https://ec.europa.eu/environment/gpp/pdf/Buying-Green-Handbook-3rd-Edition.pdf</w:t>
        </w:r>
      </w:hyperlink>
      <w:r w:rsidRPr="005F435E">
        <w:rPr>
          <w:rFonts w:ascii="Verdana" w:hAnsi="Verdana" w:cs="Arial"/>
          <w:color w:val="000000"/>
          <w:sz w:val="16"/>
          <w:szCs w:val="16"/>
          <w:lang w:val="en-US"/>
        </w:rPr>
        <w:t>.</w:t>
      </w:r>
    </w:p>
  </w:footnote>
  <w:footnote w:id="13">
    <w:p w14:paraId="263C996F" w14:textId="50670E8A"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cs="Arial"/>
          <w:sz w:val="16"/>
          <w:szCs w:val="16"/>
        </w:rPr>
        <w:footnoteRef/>
      </w:r>
      <w:r w:rsidR="00F62419" w:rsidRPr="005F435E">
        <w:rPr>
          <w:rFonts w:ascii="Verdana" w:hAnsi="Verdana" w:cs="Arial"/>
          <w:sz w:val="16"/>
          <w:szCs w:val="16"/>
        </w:rPr>
        <w:t xml:space="preserve"> </w:t>
      </w:r>
      <w:r w:rsidRPr="005F435E">
        <w:rPr>
          <w:rFonts w:ascii="Verdana" w:hAnsi="Verdana" w:cs="Arial"/>
          <w:sz w:val="16"/>
          <w:szCs w:val="16"/>
        </w:rPr>
        <w:t xml:space="preserve">Cfr. </w:t>
      </w:r>
      <w:hyperlink r:id="rId2" w:history="1">
        <w:r w:rsidRPr="005F435E">
          <w:rPr>
            <w:rStyle w:val="Hipervnculo"/>
            <w:rFonts w:ascii="Verdana" w:hAnsi="Verdana" w:cs="Arial"/>
            <w:sz w:val="16"/>
            <w:szCs w:val="16"/>
          </w:rPr>
          <w:t>https://colaboracion.dnp.gov.co/CDT/DNP/Soporte%20t%c3%a9cnico%20Ley%20del%20Vigilante.pdf</w:t>
        </w:r>
      </w:hyperlink>
      <w:r w:rsidRPr="005F435E">
        <w:rPr>
          <w:rFonts w:ascii="Verdana" w:hAnsi="Verdana" w:cs="Arial"/>
          <w:sz w:val="16"/>
          <w:szCs w:val="16"/>
        </w:rPr>
        <w:t>. Consultado el 5 de noviembre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24549D"/>
    <w:multiLevelType w:val="multilevel"/>
    <w:tmpl w:val="C54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545435981">
    <w:abstractNumId w:val="0"/>
  </w:num>
  <w:num w:numId="17" w16cid:durableId="51126858">
    <w:abstractNumId w:val="14"/>
  </w:num>
  <w:num w:numId="18" w16cid:durableId="1529445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447B"/>
    <w:rsid w:val="00125105"/>
    <w:rsid w:val="00127233"/>
    <w:rsid w:val="001511A0"/>
    <w:rsid w:val="00156D11"/>
    <w:rsid w:val="001709B8"/>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F21C4"/>
    <w:rsid w:val="004F685F"/>
    <w:rsid w:val="00513036"/>
    <w:rsid w:val="00514686"/>
    <w:rsid w:val="005566E8"/>
    <w:rsid w:val="00574867"/>
    <w:rsid w:val="00591460"/>
    <w:rsid w:val="005A6140"/>
    <w:rsid w:val="005B3816"/>
    <w:rsid w:val="005C3777"/>
    <w:rsid w:val="005C5CDC"/>
    <w:rsid w:val="005D476C"/>
    <w:rsid w:val="005F435E"/>
    <w:rsid w:val="006219F8"/>
    <w:rsid w:val="00665D70"/>
    <w:rsid w:val="006900D9"/>
    <w:rsid w:val="006F5983"/>
    <w:rsid w:val="00706C16"/>
    <w:rsid w:val="00734ACF"/>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371BD"/>
    <w:rsid w:val="00AB0ADB"/>
    <w:rsid w:val="00B01B1A"/>
    <w:rsid w:val="00B66319"/>
    <w:rsid w:val="00B72CD3"/>
    <w:rsid w:val="00B72FFF"/>
    <w:rsid w:val="00BC3D36"/>
    <w:rsid w:val="00BD7F72"/>
    <w:rsid w:val="00C04FB3"/>
    <w:rsid w:val="00C330EB"/>
    <w:rsid w:val="00C40BFF"/>
    <w:rsid w:val="00C41061"/>
    <w:rsid w:val="00C520A4"/>
    <w:rsid w:val="00C754BE"/>
    <w:rsid w:val="00C76B1C"/>
    <w:rsid w:val="00CB6357"/>
    <w:rsid w:val="00CC1B26"/>
    <w:rsid w:val="00CE1E5D"/>
    <w:rsid w:val="00CF3B6C"/>
    <w:rsid w:val="00D423A2"/>
    <w:rsid w:val="00D520D8"/>
    <w:rsid w:val="00D63AC2"/>
    <w:rsid w:val="00D7383B"/>
    <w:rsid w:val="00D95A24"/>
    <w:rsid w:val="00DA231B"/>
    <w:rsid w:val="00DC39FC"/>
    <w:rsid w:val="00DF5254"/>
    <w:rsid w:val="00E16408"/>
    <w:rsid w:val="00E20894"/>
    <w:rsid w:val="00E245AB"/>
    <w:rsid w:val="00E2597D"/>
    <w:rsid w:val="00E2764C"/>
    <w:rsid w:val="00E27F2E"/>
    <w:rsid w:val="00E50AFE"/>
    <w:rsid w:val="00E75C92"/>
    <w:rsid w:val="00E771DC"/>
    <w:rsid w:val="00E8772A"/>
    <w:rsid w:val="00E90F6B"/>
    <w:rsid w:val="00E92C27"/>
    <w:rsid w:val="00EA0E3D"/>
    <w:rsid w:val="00EC3798"/>
    <w:rsid w:val="00EC38A7"/>
    <w:rsid w:val="00ED7384"/>
    <w:rsid w:val="00EE1AA8"/>
    <w:rsid w:val="00F31EDC"/>
    <w:rsid w:val="00F462B3"/>
    <w:rsid w:val="00F5664F"/>
    <w:rsid w:val="00F62419"/>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F598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F598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alejandro.sarmiento%40colombiacompra.gov.co%7Cb18b651bca3a4eb8eab008dd269b400d%7C7b09041e245149d08cb179d5e3d8c1be%7C0%7C0%7C638709170414609779%7CUnknown%7CTWFpbGZsb3d8eyJFbXB0eU1hcGkiOnRydWUsIlYiOiIwLjAuMDAwMCIsIlAiOiJXaW4zMiIsIkFOIjoiTWFpbCIsIldUIjoyfQ%3D%3D%7C0%7C%7C%7C&amp;sdata=XCbBvvX%2B69WNCSzeA57rrI74Tnrk7%2B8xOtIfNOVaMPo%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guiladeorodecolombia.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2-documentos-tipo-para-los-procesos-de-seleccion-de-consultoria-de-obra-publica-de&amp;data=05%7C02%7Calejandro.sarmiento%40colombiacompra.gov.co%7Cb18b651bca3a4eb8eab008dd269b400d%7C7b09041e245149d08cb179d5e3d8c1be%7C0%7C0%7C638709170414596725%7CUnknown%7CTWFpbGZsb3d8eyJFbXB0eU1hcGkiOnRydWUsIlYiOiIwLjAuMDAwMCIsIlAiOiJXaW4zMiIsIkFOIjoiTWFpbCIsIldUIjoyfQ%3D%3D%7C0%7C%7C%7C&amp;sdata=xL0roZ3IbIiUy2N2g997q6EIV7V1KpgM1nDuiMkmxxc%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alejandro.sarmiento%40colombiacompra.gov.co%7Cb18b651bca3a4eb8eab008dd269b400d%7C7b09041e245149d08cb179d5e3d8c1be%7C0%7C0%7C638709170414578251%7CUnknown%7CTWFpbGZsb3d8eyJFbXB0eU1hcGkiOnRydWUsIlYiOiIwLjAuMDAwMCIsIlAiOiJXaW4zMiIsIkFOIjoiTWFpbCIsIldUIjoyfQ%3D%3D%7C0%7C%7C%7C&amp;sdata=JqVQK2%2Bl%2FSJQRKxlQbORG4lEaCuZyAshUkxKwj7KENI%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openxmlformats.org/package/2006/metadata/core-properties"/>
    <ds:schemaRef ds:uri="http://schemas.microsoft.com/office/2006/metadata/properties"/>
    <ds:schemaRef ds:uri="36c82cfe-0eda-494d-b392-a9281b89aaf0"/>
    <ds:schemaRef ds:uri="http://www.w3.org/XML/1998/namespace"/>
    <ds:schemaRef ds:uri="http://purl.org/dc/terms/"/>
    <ds:schemaRef ds:uri="8ae15d26-076e-464e-81a7-6f76a0fb3917"/>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4A7D574-092C-4074-B863-20C5B8176CAD}"/>
</file>

<file path=docProps/app.xml><?xml version="1.0" encoding="utf-8"?>
<Properties xmlns="http://schemas.openxmlformats.org/officeDocument/2006/extended-properties" xmlns:vt="http://schemas.openxmlformats.org/officeDocument/2006/docPropsVTypes">
  <Template>Normal</Template>
  <TotalTime>1</TotalTime>
  <Pages>18</Pages>
  <Words>5867</Words>
  <Characters>32273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Agencia Nacional de Contratación Pública </cp:lastModifiedBy>
  <cp:revision>2</cp:revision>
  <cp:lastPrinted>2023-01-10T21:18:00Z</cp:lastPrinted>
  <dcterms:created xsi:type="dcterms:W3CDTF">2025-01-02T14:08:00Z</dcterms:created>
  <dcterms:modified xsi:type="dcterms:W3CDTF">2025-01-02T14:08:00Z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