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8DD85" w14:textId="77777777" w:rsidR="00504561" w:rsidRPr="003E73F3" w:rsidRDefault="00504561" w:rsidP="00504561">
      <w:pPr>
        <w:spacing w:before="120" w:after="120" w:line="276" w:lineRule="auto"/>
        <w:jc w:val="both"/>
        <w:rPr>
          <w:rFonts w:ascii="Verdana" w:eastAsia="Geomanist Light" w:hAnsi="Verdana" w:cs="Arial"/>
          <w:color w:val="000000" w:themeColor="text1"/>
        </w:rPr>
      </w:pPr>
      <w:r w:rsidRPr="003E73F3">
        <w:rPr>
          <w:rFonts w:ascii="Verdana" w:eastAsia="Geomanist Light" w:hAnsi="Verdana" w:cs="Arial"/>
          <w:b/>
          <w:bCs/>
          <w:color w:val="000000" w:themeColor="text1"/>
        </w:rPr>
        <w:t xml:space="preserve">PRINCIPIO DE PUBLICIDAD – </w:t>
      </w:r>
      <w:r w:rsidRPr="0079755D">
        <w:rPr>
          <w:rFonts w:ascii="Verdana" w:eastAsia="Calibri" w:hAnsi="Verdana" w:cs="Arial"/>
          <w:b/>
          <w:bCs/>
          <w:lang w:val="es-MX"/>
        </w:rPr>
        <w:t>Democracia</w:t>
      </w:r>
      <w:r w:rsidRPr="0079755D">
        <w:rPr>
          <w:rFonts w:ascii="Verdana" w:eastAsia="Geomanist Light" w:hAnsi="Verdana" w:cs="Arial"/>
          <w:b/>
          <w:bCs/>
          <w:color w:val="000000" w:themeColor="text1"/>
        </w:rPr>
        <w:t xml:space="preserve"> </w:t>
      </w:r>
      <w:r>
        <w:rPr>
          <w:rFonts w:ascii="Verdana" w:eastAsia="Geomanist Light" w:hAnsi="Verdana" w:cs="Arial"/>
          <w:b/>
          <w:bCs/>
          <w:color w:val="000000" w:themeColor="text1"/>
        </w:rPr>
        <w:t xml:space="preserve">– </w:t>
      </w:r>
      <w:r w:rsidRPr="0079755D">
        <w:rPr>
          <w:rFonts w:ascii="Verdana" w:eastAsia="Geomanist Light" w:hAnsi="Verdana" w:cs="Arial"/>
          <w:b/>
          <w:bCs/>
          <w:color w:val="000000" w:themeColor="text1"/>
        </w:rPr>
        <w:t>Estado social de Derecho</w:t>
      </w:r>
      <w:r w:rsidRPr="003E73F3">
        <w:rPr>
          <w:rFonts w:ascii="Verdana" w:eastAsia="Geomanist Light" w:hAnsi="Verdana" w:cs="Arial"/>
          <w:b/>
          <w:bCs/>
          <w:color w:val="000000" w:themeColor="text1"/>
        </w:rPr>
        <w:t xml:space="preserve"> </w:t>
      </w:r>
    </w:p>
    <w:p w14:paraId="0B57155B" w14:textId="77777777" w:rsidR="00504561" w:rsidRPr="003E73F3" w:rsidRDefault="00504561" w:rsidP="00504561">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w:t>
      </w:r>
    </w:p>
    <w:p w14:paraId="26DAF5F6" w14:textId="77777777" w:rsidR="00504561" w:rsidRPr="003E73F3" w:rsidRDefault="00504561" w:rsidP="00504561">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 </w:t>
      </w:r>
    </w:p>
    <w:p w14:paraId="391AB728" w14:textId="77777777" w:rsidR="00504561" w:rsidRDefault="00504561" w:rsidP="00504561">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w:t>
      </w:r>
    </w:p>
    <w:p w14:paraId="50F15CBC" w14:textId="77777777" w:rsidR="00504561" w:rsidRPr="00F33833" w:rsidRDefault="00504561" w:rsidP="00504561">
      <w:pPr>
        <w:spacing w:after="0" w:line="240" w:lineRule="auto"/>
        <w:jc w:val="both"/>
        <w:rPr>
          <w:rFonts w:ascii="Verdana" w:eastAsia="Geomanist Light" w:hAnsi="Verdana" w:cs="Arial"/>
          <w:color w:val="000000" w:themeColor="text1"/>
          <w:sz w:val="20"/>
          <w:szCs w:val="20"/>
        </w:rPr>
      </w:pPr>
    </w:p>
    <w:p w14:paraId="567F8504" w14:textId="77777777" w:rsidR="00504561" w:rsidRPr="00F33833" w:rsidRDefault="00504561" w:rsidP="00504561">
      <w:pPr>
        <w:spacing w:before="120" w:after="120" w:line="276" w:lineRule="auto"/>
        <w:jc w:val="both"/>
        <w:rPr>
          <w:rFonts w:ascii="Verdana" w:eastAsia="Geomanist Light" w:hAnsi="Verdana" w:cs="Arial"/>
          <w:b/>
          <w:bCs/>
          <w:color w:val="000000" w:themeColor="text1"/>
        </w:rPr>
      </w:pPr>
      <w:r w:rsidRPr="003E73F3">
        <w:rPr>
          <w:rFonts w:ascii="Verdana" w:eastAsia="Geomanist Light" w:hAnsi="Verdana" w:cs="Arial"/>
          <w:b/>
          <w:bCs/>
          <w:color w:val="000000" w:themeColor="text1"/>
        </w:rPr>
        <w:t>SECOP I y II – Principio de Publicidad y Transparencia</w:t>
      </w:r>
    </w:p>
    <w:p w14:paraId="751ED9CB" w14:textId="77777777" w:rsidR="00504561" w:rsidRDefault="00504561" w:rsidP="00504561">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 Aunque no existe norma expresa que indique la necesidad de adelantar una audiencia pública para la apertura de sobres dentro del proceso de selección abreviada de mínima cuantía, debe cumplirse la Circular Externa Única proferida por la Agencia Nacional de Contratación Pública – Colombia Compra Eficiente. Esta indica que aquellos procesos que se adelanten mediante publicación en SECOP I requieren que la apertura de ofertas se realice en presencia de proponentes o veedores y la elaboración de un acta de cierre, mientras que los procesos adelantados en el SECOP II no requieren de dicha asistencia, pues la publicación de la lista de oferentes hace las veces de acta de cierre. Así mismo debe tenerse en cuenta que en la actualidad, por regla general, los procesos contractuales deben adelantarse en el SECOP II y, al tramitarse por esta plataforma, se podrá prescindir de la audiencia pública de selección.</w:t>
      </w:r>
    </w:p>
    <w:p w14:paraId="3B963DCD" w14:textId="77777777" w:rsidR="00504561" w:rsidRDefault="00504561" w:rsidP="00504561">
      <w:pPr>
        <w:spacing w:after="0" w:line="240" w:lineRule="auto"/>
        <w:jc w:val="both"/>
        <w:rPr>
          <w:rFonts w:ascii="Verdana" w:eastAsia="Geomanist Light" w:hAnsi="Verdana" w:cs="Arial"/>
          <w:color w:val="000000" w:themeColor="text1"/>
          <w:sz w:val="20"/>
          <w:szCs w:val="20"/>
        </w:rPr>
      </w:pPr>
    </w:p>
    <w:p w14:paraId="0DCDC176" w14:textId="77777777" w:rsidR="00504561" w:rsidRPr="00F33833" w:rsidRDefault="00504561" w:rsidP="00504561">
      <w:pPr>
        <w:spacing w:before="120" w:after="120" w:line="276" w:lineRule="auto"/>
        <w:jc w:val="both"/>
        <w:rPr>
          <w:rFonts w:ascii="Verdana" w:eastAsia="Geomanist Light" w:hAnsi="Verdana" w:cs="Arial"/>
          <w:b/>
          <w:bCs/>
          <w:color w:val="000000" w:themeColor="text1"/>
        </w:rPr>
      </w:pPr>
      <w:r w:rsidRPr="003E73F3">
        <w:rPr>
          <w:rFonts w:ascii="Verdana" w:eastAsia="Geomanist Light" w:hAnsi="Verdana" w:cs="Arial"/>
          <w:b/>
          <w:bCs/>
          <w:color w:val="000000" w:themeColor="text1"/>
        </w:rPr>
        <w:t xml:space="preserve">SECOP I y II – </w:t>
      </w:r>
      <w:r w:rsidRPr="00237DF6">
        <w:rPr>
          <w:rFonts w:ascii="Verdana" w:eastAsia="Geomanist Light" w:hAnsi="Verdana" w:cs="Arial"/>
          <w:b/>
          <w:bCs/>
          <w:color w:val="000000" w:themeColor="text1"/>
        </w:rPr>
        <w:t>Obligatoriedad</w:t>
      </w:r>
    </w:p>
    <w:p w14:paraId="29837322" w14:textId="77777777" w:rsidR="00504561" w:rsidRPr="003E73F3" w:rsidRDefault="00504561" w:rsidP="00504561">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 xml:space="preserve">[…] </w:t>
      </w:r>
      <w:r w:rsidRPr="00834A8E">
        <w:rPr>
          <w:rFonts w:ascii="Verdana" w:eastAsia="Geomanist Light" w:hAnsi="Verdana" w:cs="Arial"/>
          <w:color w:val="000000" w:themeColor="text1"/>
          <w:sz w:val="20"/>
          <w:szCs w:val="20"/>
        </w:rPr>
        <w:t xml:space="preserve">la obligatoriedad de publicar la información contractual en el Sistema Electrónico para la Contratación Pública (SECOP II) está establecida por la Ley 1150 de 2007, lo cual se desarrolla en la </w:t>
      </w:r>
      <w:r w:rsidRPr="00834A8E">
        <w:rPr>
          <w:rFonts w:ascii="Verdana" w:eastAsia="Geomanist Light" w:hAnsi="Verdana" w:cs="Arial"/>
          <w:color w:val="000000" w:themeColor="text1"/>
          <w:sz w:val="20"/>
          <w:szCs w:val="20"/>
          <w:lang w:val="es-ES"/>
        </w:rPr>
        <w:t>Circular Externa No. 003 de 2024 de Colombia Compra Eficiente</w:t>
      </w:r>
      <w:r w:rsidRPr="00834A8E">
        <w:rPr>
          <w:rFonts w:ascii="Verdana" w:eastAsia="Geomanist Light" w:hAnsi="Verdana" w:cs="Arial"/>
          <w:color w:val="000000" w:themeColor="text1"/>
          <w:sz w:val="20"/>
          <w:szCs w:val="20"/>
        </w:rPr>
        <w:t xml:space="preserve"> exigiendo a todas las entidades estatales, incluidas aquellas con regímenes contractuales especiales, la publicación de documentos relacionados con su actividad contractual en dicha plataforma. Esta obligación incluye todos los documentos generados durante las fases precontractual, contractual y postcontractual, como contratos, actos administrativos e información sobre los involucrados en el proceso. Esto tiene como objetivo garantizar la transparencia, el acceso público a la información y el control social </w:t>
      </w:r>
      <w:r w:rsidRPr="00834A8E">
        <w:rPr>
          <w:rFonts w:ascii="Verdana" w:eastAsia="Geomanist Light" w:hAnsi="Verdana" w:cs="Arial"/>
          <w:color w:val="000000" w:themeColor="text1"/>
          <w:sz w:val="20"/>
          <w:szCs w:val="20"/>
        </w:rPr>
        <w:lastRenderedPageBreak/>
        <w:t>sobre la contratación pública, permitiendo que la ciudadanía tenga acceso a los documentos en un sistema unificado y oficial, el SECOP II o la plataforma transaccional que haga sus veces en el futuro.</w:t>
      </w:r>
    </w:p>
    <w:p w14:paraId="32E499B9" w14:textId="77777777" w:rsidR="00504561" w:rsidRDefault="00504561" w:rsidP="00504561">
      <w:pPr>
        <w:spacing w:after="0" w:line="240" w:lineRule="auto"/>
        <w:jc w:val="both"/>
        <w:rPr>
          <w:rFonts w:ascii="Verdana" w:eastAsia="Geomanist Light" w:hAnsi="Verdana" w:cs="Arial"/>
          <w:color w:val="000000" w:themeColor="text1"/>
          <w:sz w:val="20"/>
          <w:szCs w:val="20"/>
        </w:rPr>
      </w:pPr>
    </w:p>
    <w:p w14:paraId="06EA14CB" w14:textId="77777777" w:rsidR="00504561" w:rsidRPr="00167773" w:rsidRDefault="00504561" w:rsidP="00504561">
      <w:pPr>
        <w:spacing w:before="120" w:after="120" w:line="276" w:lineRule="auto"/>
        <w:jc w:val="both"/>
        <w:rPr>
          <w:rFonts w:ascii="Verdana" w:eastAsia="Geomanist Light" w:hAnsi="Verdana" w:cs="Arial"/>
          <w:b/>
          <w:bCs/>
          <w:color w:val="000000" w:themeColor="text1"/>
        </w:rPr>
      </w:pPr>
      <w:r w:rsidRPr="00AC7AD1">
        <w:rPr>
          <w:rFonts w:ascii="Verdana" w:eastAsia="Geomanist Light" w:hAnsi="Verdana" w:cs="Arial"/>
          <w:b/>
          <w:bCs/>
          <w:color w:val="000000" w:themeColor="text1"/>
        </w:rPr>
        <w:t xml:space="preserve">CONCEJOS MUNICIPALES ‒ Naturaleza jurídica </w:t>
      </w:r>
    </w:p>
    <w:p w14:paraId="5D2C6744" w14:textId="77777777" w:rsidR="00504561" w:rsidRDefault="00504561" w:rsidP="00504561">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 xml:space="preserve">[…] </w:t>
      </w:r>
      <w:r w:rsidRPr="003D633F">
        <w:rPr>
          <w:rFonts w:ascii="Verdana" w:eastAsia="Geomanist Light" w:hAnsi="Verdana" w:cs="Arial"/>
          <w:color w:val="000000" w:themeColor="text1"/>
          <w:sz w:val="20"/>
          <w:szCs w:val="20"/>
        </w:rPr>
        <w:t>los concejos municipales, a pesar de no estar enlistados en el artículo 2 de la Ley 80 de 1993 como entidades estatales, para el EGCAP, en consonancia con el artículo 110 del Estatuto Orgánico del Presupuesto, son Entidades Estatales, por lo que, estos están obligados a publicar toda su actividad contractual en el SECOP II</w:t>
      </w:r>
      <w:r w:rsidRPr="00834A8E">
        <w:rPr>
          <w:rFonts w:ascii="Verdana" w:eastAsia="Geomanist Light" w:hAnsi="Verdana" w:cs="Arial"/>
          <w:color w:val="000000" w:themeColor="text1"/>
          <w:sz w:val="20"/>
          <w:szCs w:val="20"/>
        </w:rPr>
        <w:t>.</w:t>
      </w:r>
    </w:p>
    <w:p w14:paraId="0B828C66" w14:textId="77777777" w:rsidR="00504561" w:rsidRDefault="00504561" w:rsidP="00504561">
      <w:pPr>
        <w:spacing w:after="0" w:line="240" w:lineRule="auto"/>
        <w:jc w:val="both"/>
        <w:rPr>
          <w:rFonts w:ascii="Verdana" w:eastAsia="Geomanist Light" w:hAnsi="Verdana" w:cs="Arial"/>
          <w:color w:val="000000" w:themeColor="text1"/>
          <w:sz w:val="20"/>
          <w:szCs w:val="20"/>
        </w:rPr>
      </w:pPr>
    </w:p>
    <w:p w14:paraId="2A50DFBA" w14:textId="77777777" w:rsidR="00504561" w:rsidRPr="00167773" w:rsidRDefault="00504561" w:rsidP="00504561">
      <w:pPr>
        <w:spacing w:before="120" w:after="120" w:line="276" w:lineRule="auto"/>
        <w:jc w:val="both"/>
        <w:rPr>
          <w:rFonts w:ascii="Verdana" w:eastAsia="Geomanist Light" w:hAnsi="Verdana" w:cs="Arial"/>
          <w:b/>
          <w:bCs/>
          <w:color w:val="000000" w:themeColor="text1"/>
        </w:rPr>
      </w:pPr>
      <w:r w:rsidRPr="003D633F">
        <w:rPr>
          <w:rFonts w:ascii="Verdana" w:eastAsia="Geomanist Light" w:hAnsi="Verdana" w:cs="Arial"/>
          <w:b/>
          <w:bCs/>
          <w:color w:val="000000" w:themeColor="text1"/>
        </w:rPr>
        <w:t xml:space="preserve">CIRCULAR EXTERNA NO.003 – SECOP II – Obligatoriedad – Concejos Municipales </w:t>
      </w:r>
    </w:p>
    <w:p w14:paraId="7BA39EA9" w14:textId="77777777" w:rsidR="00504561" w:rsidRPr="003E73F3" w:rsidRDefault="00504561" w:rsidP="00504561">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w:t>
      </w:r>
      <w:r>
        <w:rPr>
          <w:rFonts w:ascii="Verdana" w:eastAsia="Geomanist Light" w:hAnsi="Verdana" w:cs="Arial"/>
          <w:color w:val="000000" w:themeColor="text1"/>
          <w:sz w:val="20"/>
          <w:szCs w:val="20"/>
        </w:rPr>
        <w:t xml:space="preserve"> </w:t>
      </w:r>
      <w:r w:rsidRPr="00167773">
        <w:rPr>
          <w:rFonts w:ascii="Verdana" w:eastAsia="Geomanist Light" w:hAnsi="Verdana" w:cs="Arial"/>
          <w:color w:val="000000" w:themeColor="text1"/>
          <w:sz w:val="20"/>
          <w:szCs w:val="20"/>
        </w:rPr>
        <w:t>esta Agencia expidió la “Circular Externa No.003” del 18 de septiembre de 2024 “con el propósito de emitir directrices sobre la obligatoriedad del SECOP II para la vigencia 2024 y primer semestre del 2025” dirigida a “Alcaldías Municipales (Administración central y descentralizada), Concejos Municipales y Personerías Municipales”. En esta circular, teniendo en cuenta lo contenido en los boletines trimestrales del sector TIC  publicados por el Ministerio de Tecnologías de la Información y las Comunicaciones de Colombia correspondiente al estado de conectividad en todo el territorio nacional, específicamente respecto del porcentaje de penetración de internet fijo  en los municipios del país, y teniendo en cuenta el análisis efectuado por la Subdirección de Estudios de Mercado y Abastecimiento Estratégico sobre el comportamiento histórico a nivel de procesos de contratación y valor total contratado en la plataforma SECOP I, esta agencia identificó las entidades estatales que ingresarán con uso obligatorio del SECOP II, establecidas en el anexo 1  de esta</w:t>
      </w:r>
      <w:r w:rsidRPr="00834A8E">
        <w:rPr>
          <w:rFonts w:ascii="Verdana" w:eastAsia="Geomanist Light" w:hAnsi="Verdana" w:cs="Arial"/>
          <w:color w:val="000000" w:themeColor="text1"/>
          <w:sz w:val="20"/>
          <w:szCs w:val="20"/>
        </w:rPr>
        <w:t>.</w:t>
      </w:r>
    </w:p>
    <w:p w14:paraId="4F0AAD28" w14:textId="77777777" w:rsidR="00504561" w:rsidRDefault="00504561" w:rsidP="00504561">
      <w:pPr>
        <w:spacing w:after="0" w:line="240" w:lineRule="auto"/>
        <w:rPr>
          <w:rFonts w:ascii="Verdana" w:eastAsia="Geomanist Light" w:hAnsi="Verdana" w:cs="Arial"/>
          <w:color w:val="000000" w:themeColor="text1"/>
          <w:lang w:val="es-MX"/>
        </w:rPr>
      </w:pPr>
    </w:p>
    <w:p w14:paraId="67A1C9CB" w14:textId="77777777" w:rsidR="00504561" w:rsidRDefault="00504561" w:rsidP="00504561">
      <w:pPr>
        <w:rPr>
          <w:rFonts w:ascii="Verdana" w:eastAsia="Geomanist Light" w:hAnsi="Verdana" w:cs="Arial"/>
          <w:color w:val="000000" w:themeColor="text1"/>
          <w:lang w:val="es-MX"/>
        </w:rPr>
      </w:pPr>
      <w:r>
        <w:rPr>
          <w:rFonts w:ascii="Verdana" w:eastAsia="Geomanist Light" w:hAnsi="Verdana" w:cs="Arial"/>
          <w:color w:val="000000" w:themeColor="text1"/>
          <w:lang w:val="es-MX"/>
        </w:rPr>
        <w:br w:type="page"/>
      </w:r>
    </w:p>
    <w:p w14:paraId="5B0F4B50" w14:textId="74EE44FA" w:rsidR="00294A95" w:rsidRPr="00593A5F" w:rsidRDefault="00EB7354" w:rsidP="00294A95">
      <w:pPr>
        <w:spacing w:after="0" w:line="240" w:lineRule="auto"/>
        <w:rPr>
          <w:rFonts w:ascii="Verdana" w:eastAsia="Geomanist Light" w:hAnsi="Verdana" w:cs="Arial"/>
          <w:color w:val="201F1E"/>
          <w:lang w:val="es-MX"/>
        </w:rPr>
      </w:pPr>
      <w:r w:rsidRPr="00EB7354">
        <w:rPr>
          <w:rFonts w:ascii="Verdana" w:eastAsia="Geomanist Light" w:hAnsi="Verdana" w:cs="Arial"/>
          <w:noProof/>
          <w:color w:val="201F1E"/>
          <w:lang w:val="es-MX"/>
        </w:rPr>
        <w:lastRenderedPageBreak/>
        <w:drawing>
          <wp:anchor distT="0" distB="0" distL="114300" distR="114300" simplePos="0" relativeHeight="251658240" behindDoc="0" locked="0" layoutInCell="1" allowOverlap="1" wp14:anchorId="71AC8C18" wp14:editId="3F081C32">
            <wp:simplePos x="0" y="0"/>
            <wp:positionH relativeFrom="column">
              <wp:posOffset>2815590</wp:posOffset>
            </wp:positionH>
            <wp:positionV relativeFrom="paragraph">
              <wp:posOffset>8890</wp:posOffset>
            </wp:positionV>
            <wp:extent cx="3295650" cy="942975"/>
            <wp:effectExtent l="0" t="0" r="0" b="9525"/>
            <wp:wrapNone/>
            <wp:docPr id="175819756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97568"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95650" cy="942975"/>
                    </a:xfrm>
                    <a:prstGeom prst="rect">
                      <a:avLst/>
                    </a:prstGeom>
                  </pic:spPr>
                </pic:pic>
              </a:graphicData>
            </a:graphic>
          </wp:anchor>
        </w:drawing>
      </w:r>
      <w:r w:rsidR="00294A95" w:rsidRPr="00593A5F">
        <w:rPr>
          <w:rFonts w:ascii="Verdana" w:eastAsia="Geomanist Light" w:hAnsi="Verdana" w:cs="Arial"/>
          <w:color w:val="000000" w:themeColor="text1"/>
          <w:lang w:val="es-MX"/>
        </w:rPr>
        <w:t>Bogotá D.C., </w:t>
      </w:r>
      <w:r w:rsidR="002B20FE">
        <w:rPr>
          <w:rFonts w:ascii="Verdana" w:eastAsia="Geomanist Light" w:hAnsi="Verdana" w:cs="Arial"/>
          <w:color w:val="201F1E"/>
          <w:lang w:val="es-MX"/>
        </w:rPr>
        <w:t>23 de enero de 2025</w:t>
      </w:r>
    </w:p>
    <w:p w14:paraId="74C91107" w14:textId="77777777" w:rsidR="00294A95" w:rsidRPr="00593A5F" w:rsidRDefault="00294A95" w:rsidP="00294A95">
      <w:pPr>
        <w:spacing w:after="0" w:line="240" w:lineRule="auto"/>
        <w:jc w:val="both"/>
        <w:rPr>
          <w:rFonts w:ascii="Verdana" w:eastAsia="Calibri" w:hAnsi="Verdana" w:cs="Arial"/>
          <w:color w:val="000000"/>
          <w:lang w:val="es-ES"/>
        </w:rPr>
      </w:pPr>
    </w:p>
    <w:p w14:paraId="609F38FF" w14:textId="77777777" w:rsidR="00294A95" w:rsidRPr="00B96799" w:rsidRDefault="00294A95" w:rsidP="00294A95">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575A676D" w14:textId="77777777" w:rsidR="00294A95" w:rsidRPr="00B96799" w:rsidRDefault="00294A95" w:rsidP="00294A95">
      <w:pPr>
        <w:spacing w:after="0" w:line="240" w:lineRule="auto"/>
        <w:rPr>
          <w:rFonts w:ascii="Verdana" w:eastAsia="Calibri" w:hAnsi="Verdana" w:cs="Arial"/>
          <w:b/>
          <w:lang w:val="es-ES_tradnl" w:eastAsia="es-ES_tradnl"/>
        </w:rPr>
      </w:pPr>
      <w:r w:rsidRPr="00E86130">
        <w:rPr>
          <w:rFonts w:ascii="Verdana" w:eastAsia="Calibri" w:hAnsi="Verdana" w:cs="Arial"/>
          <w:b/>
          <w:lang w:val="es-ES_tradnl" w:eastAsia="es-ES_tradnl"/>
        </w:rPr>
        <w:t>Marisol Graciano Orrego</w:t>
      </w:r>
    </w:p>
    <w:p w14:paraId="423EA3CE" w14:textId="77777777" w:rsidR="00294A95" w:rsidRPr="002E6BA5" w:rsidRDefault="00294A95" w:rsidP="00294A95">
      <w:pPr>
        <w:spacing w:after="0" w:line="240" w:lineRule="auto"/>
        <w:rPr>
          <w:rFonts w:ascii="Verdana" w:eastAsia="Calibri" w:hAnsi="Verdana" w:cs="Arial"/>
          <w:color w:val="4472C4" w:themeColor="accent1"/>
          <w:u w:val="single"/>
          <w:lang w:val="es-ES" w:eastAsia="es-ES"/>
        </w:rPr>
      </w:pPr>
      <w:hyperlink r:id="rId11" w:history="1">
        <w:r w:rsidRPr="002E6BA5">
          <w:rPr>
            <w:rStyle w:val="Hipervnculo"/>
            <w:rFonts w:ascii="Verdana" w:eastAsia="Calibri" w:hAnsi="Verdana" w:cs="Arial"/>
            <w:color w:val="4472C4" w:themeColor="accent1"/>
            <w:lang w:val="es-ES" w:eastAsia="es-ES"/>
          </w:rPr>
          <w:t>marigraciano7@gmail.com</w:t>
        </w:r>
      </w:hyperlink>
    </w:p>
    <w:p w14:paraId="781EDC31" w14:textId="77777777" w:rsidR="00294A95" w:rsidRPr="00B96799" w:rsidRDefault="00294A95" w:rsidP="00294A95">
      <w:pPr>
        <w:spacing w:after="0" w:line="240" w:lineRule="auto"/>
        <w:rPr>
          <w:rFonts w:ascii="Verdana" w:eastAsia="Calibri" w:hAnsi="Verdana" w:cs="Arial"/>
          <w:b/>
          <w:bCs/>
          <w:lang w:val="es-ES" w:eastAsia="es-ES"/>
        </w:rPr>
      </w:pPr>
      <w:r>
        <w:rPr>
          <w:rFonts w:ascii="Verdana" w:eastAsia="Calibri" w:hAnsi="Verdana" w:cs="Arial"/>
          <w:lang w:val="es-ES" w:eastAsia="es-ES"/>
        </w:rPr>
        <w:t>Peque</w:t>
      </w:r>
      <w:r w:rsidRPr="00B96799">
        <w:rPr>
          <w:rFonts w:ascii="Verdana" w:eastAsia="Calibri" w:hAnsi="Verdana" w:cs="Arial"/>
          <w:lang w:val="es-ES" w:eastAsia="es-ES"/>
        </w:rPr>
        <w:t xml:space="preserve">, </w:t>
      </w:r>
      <w:r>
        <w:rPr>
          <w:rFonts w:ascii="Verdana" w:eastAsia="Calibri" w:hAnsi="Verdana" w:cs="Arial"/>
          <w:lang w:val="es-ES" w:eastAsia="es-ES"/>
        </w:rPr>
        <w:t>Antioquia</w:t>
      </w:r>
    </w:p>
    <w:p w14:paraId="52F23325" w14:textId="77777777" w:rsidR="00294A95" w:rsidRPr="00593A5F" w:rsidRDefault="00294A95" w:rsidP="00294A95">
      <w:pPr>
        <w:spacing w:after="0" w:line="240" w:lineRule="auto"/>
        <w:rPr>
          <w:rFonts w:ascii="Verdana" w:eastAsia="Calibri" w:hAnsi="Verdana" w:cs="Arial"/>
          <w:b/>
          <w:bCs/>
          <w:color w:val="000000"/>
          <w:lang w:val="es-ES_tradnl" w:eastAsia="es-ES_tradnl"/>
        </w:rPr>
      </w:pPr>
    </w:p>
    <w:p w14:paraId="30A0E949" w14:textId="77777777" w:rsidR="00294A95" w:rsidRPr="00593A5F" w:rsidRDefault="00294A95" w:rsidP="00294A9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94A95" w:rsidRPr="00593A5F" w14:paraId="1D5590E6" w14:textId="77777777" w:rsidTr="003452CF">
        <w:trPr>
          <w:trHeight w:val="884"/>
        </w:trPr>
        <w:tc>
          <w:tcPr>
            <w:tcW w:w="2689" w:type="dxa"/>
          </w:tcPr>
          <w:p w14:paraId="28225D01" w14:textId="77777777" w:rsidR="00294A95" w:rsidRPr="00C00976" w:rsidRDefault="00294A95" w:rsidP="003452CF">
            <w:pPr>
              <w:jc w:val="both"/>
              <w:rPr>
                <w:rFonts w:ascii="Verdana" w:eastAsia="Calibri" w:hAnsi="Verdana" w:cs="Arial"/>
                <w:b/>
                <w:bCs/>
                <w:color w:val="7030A0"/>
                <w:lang w:val="es-ES_tradnl" w:eastAsia="es-ES_tradnl"/>
              </w:rPr>
            </w:pPr>
          </w:p>
        </w:tc>
        <w:tc>
          <w:tcPr>
            <w:tcW w:w="6100" w:type="dxa"/>
          </w:tcPr>
          <w:p w14:paraId="4956ADC7" w14:textId="77777777" w:rsidR="00294A95" w:rsidRPr="00C00976" w:rsidRDefault="00294A95" w:rsidP="003452CF">
            <w:pPr>
              <w:jc w:val="both"/>
              <w:rPr>
                <w:rFonts w:ascii="Verdana" w:eastAsia="Calibri" w:hAnsi="Verdana" w:cs="Arial"/>
                <w:b/>
                <w:bCs/>
                <w:color w:val="7030A0"/>
                <w:lang w:val="es-ES" w:eastAsia="es-ES"/>
              </w:rPr>
            </w:pPr>
            <w:r w:rsidRPr="00CE3475">
              <w:rPr>
                <w:rFonts w:ascii="Verdana" w:eastAsia="Calibri" w:hAnsi="Verdana" w:cs="Arial"/>
                <w:b/>
                <w:bCs/>
                <w:lang w:val="es-ES" w:eastAsia="es-ES"/>
              </w:rPr>
              <w:t>Concepto C-980 de 2024</w:t>
            </w:r>
          </w:p>
        </w:tc>
      </w:tr>
      <w:tr w:rsidR="00294A95" w:rsidRPr="003E5C0C" w14:paraId="71A08220" w14:textId="77777777" w:rsidTr="003452CF">
        <w:trPr>
          <w:trHeight w:val="884"/>
        </w:trPr>
        <w:tc>
          <w:tcPr>
            <w:tcW w:w="2689" w:type="dxa"/>
          </w:tcPr>
          <w:p w14:paraId="76A486B7" w14:textId="77777777" w:rsidR="00294A95" w:rsidRPr="00593A5F" w:rsidRDefault="00294A95" w:rsidP="003452CF">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20D11F68" w14:textId="14A27314" w:rsidR="00294A95" w:rsidRPr="003E5C0C" w:rsidRDefault="00294A95" w:rsidP="003452CF">
            <w:pPr>
              <w:spacing w:line="276" w:lineRule="auto"/>
              <w:jc w:val="both"/>
              <w:rPr>
                <w:rFonts w:ascii="Verdana" w:eastAsia="Calibri" w:hAnsi="Verdana" w:cs="Arial"/>
                <w:lang w:val="es-ES" w:eastAsia="es-ES"/>
              </w:rPr>
            </w:pPr>
            <w:r w:rsidRPr="003E5C0C">
              <w:rPr>
                <w:rFonts w:ascii="Verdana" w:eastAsia="Calibri" w:hAnsi="Verdana" w:cs="Arial"/>
                <w:lang w:val="es-ES" w:eastAsia="es-ES"/>
              </w:rPr>
              <w:t>PRINCIPIO DE PUBLICIDAD – Democracia – Estado social de Derecho / SECOP I y II – Principio de Publicidad y Transparencia / SECOP II – Obligatoriedad</w:t>
            </w:r>
            <w:r w:rsidR="002377CE">
              <w:rPr>
                <w:rFonts w:ascii="Verdana" w:eastAsia="Calibri" w:hAnsi="Verdana" w:cs="Arial"/>
                <w:lang w:val="es-ES" w:eastAsia="es-ES"/>
              </w:rPr>
              <w:t xml:space="preserve"> / </w:t>
            </w:r>
            <w:r w:rsidR="002377CE" w:rsidRPr="002377CE">
              <w:rPr>
                <w:rFonts w:ascii="Verdana" w:eastAsia="Calibri" w:hAnsi="Verdana" w:cs="Arial"/>
                <w:lang w:val="es-ES" w:eastAsia="es-ES"/>
              </w:rPr>
              <w:t xml:space="preserve">CONCEJOS MUNICIPALES ‒ Naturaleza jurídica </w:t>
            </w:r>
            <w:r w:rsidR="0055061D">
              <w:rPr>
                <w:rFonts w:ascii="Verdana" w:eastAsia="Calibri" w:hAnsi="Verdana" w:cs="Arial"/>
                <w:lang w:val="es-ES" w:eastAsia="es-ES"/>
              </w:rPr>
              <w:t>/ CIRCULAR EXTERNA</w:t>
            </w:r>
            <w:r w:rsidR="006F60F9">
              <w:rPr>
                <w:rFonts w:ascii="Verdana" w:eastAsia="Calibri" w:hAnsi="Verdana" w:cs="Arial"/>
                <w:lang w:val="es-ES" w:eastAsia="es-ES"/>
              </w:rPr>
              <w:t xml:space="preserve"> NO.003 – SECOP II</w:t>
            </w:r>
            <w:r w:rsidR="006C1711">
              <w:rPr>
                <w:rFonts w:ascii="Verdana" w:eastAsia="Calibri" w:hAnsi="Verdana" w:cs="Arial"/>
                <w:lang w:val="es-ES" w:eastAsia="es-ES"/>
              </w:rPr>
              <w:t xml:space="preserve"> </w:t>
            </w:r>
            <w:r w:rsidR="006F60F9">
              <w:rPr>
                <w:rFonts w:ascii="Verdana" w:eastAsia="Calibri" w:hAnsi="Verdana" w:cs="Arial"/>
                <w:lang w:val="es-ES" w:eastAsia="es-ES"/>
              </w:rPr>
              <w:t xml:space="preserve">– Obligatoriedad </w:t>
            </w:r>
            <w:r w:rsidR="0091708F">
              <w:rPr>
                <w:rFonts w:ascii="Verdana" w:eastAsia="Calibri" w:hAnsi="Verdana" w:cs="Arial"/>
                <w:lang w:val="es-ES" w:eastAsia="es-ES"/>
              </w:rPr>
              <w:t>– Concejos Municipales</w:t>
            </w:r>
          </w:p>
          <w:p w14:paraId="11AE9540" w14:textId="77777777" w:rsidR="00294A95" w:rsidRPr="003E5C0C" w:rsidRDefault="00294A95" w:rsidP="003452CF">
            <w:pPr>
              <w:spacing w:line="276" w:lineRule="auto"/>
              <w:jc w:val="both"/>
              <w:rPr>
                <w:rFonts w:ascii="Verdana" w:eastAsia="Calibri" w:hAnsi="Verdana" w:cs="Arial"/>
                <w:lang w:val="es-ES" w:eastAsia="es-ES"/>
              </w:rPr>
            </w:pPr>
          </w:p>
        </w:tc>
      </w:tr>
      <w:tr w:rsidR="00294A95" w:rsidRPr="003E5C0C" w14:paraId="3EEB32BB" w14:textId="77777777" w:rsidTr="003452CF">
        <w:tc>
          <w:tcPr>
            <w:tcW w:w="2689" w:type="dxa"/>
          </w:tcPr>
          <w:p w14:paraId="35AD0993" w14:textId="77777777" w:rsidR="00294A95" w:rsidRPr="003E5C0C" w:rsidRDefault="00294A95" w:rsidP="003452CF">
            <w:pPr>
              <w:jc w:val="both"/>
              <w:rPr>
                <w:rFonts w:ascii="Verdana" w:eastAsia="Calibri" w:hAnsi="Verdana" w:cs="Arial"/>
                <w:b/>
                <w:lang w:val="es-ES_tradnl" w:eastAsia="es-ES_tradnl"/>
              </w:rPr>
            </w:pPr>
            <w:r w:rsidRPr="003E5C0C">
              <w:rPr>
                <w:rFonts w:ascii="Verdana" w:eastAsia="Calibri" w:hAnsi="Verdana" w:cs="Arial"/>
                <w:b/>
                <w:lang w:val="es-ES_tradnl" w:eastAsia="es-ES_tradnl"/>
              </w:rPr>
              <w:t>Radicación:</w:t>
            </w:r>
            <w:r w:rsidRPr="003E5C0C">
              <w:rPr>
                <w:rFonts w:ascii="Verdana" w:eastAsia="Calibri" w:hAnsi="Verdana" w:cs="Arial"/>
                <w:lang w:val="es-ES_tradnl" w:eastAsia="es-ES_tradnl"/>
              </w:rPr>
              <w:t xml:space="preserve">               </w:t>
            </w:r>
          </w:p>
        </w:tc>
        <w:tc>
          <w:tcPr>
            <w:tcW w:w="6100" w:type="dxa"/>
          </w:tcPr>
          <w:p w14:paraId="4A55214C" w14:textId="77777777" w:rsidR="00294A95" w:rsidRPr="003E5C0C" w:rsidRDefault="00294A95" w:rsidP="003452CF">
            <w:pPr>
              <w:jc w:val="both"/>
              <w:rPr>
                <w:rFonts w:ascii="Verdana" w:eastAsia="Calibri" w:hAnsi="Verdana" w:cs="Arial"/>
                <w:lang w:val="es-ES_tradnl" w:eastAsia="es-ES_tradnl"/>
              </w:rPr>
            </w:pPr>
            <w:r w:rsidRPr="003E5C0C">
              <w:rPr>
                <w:rFonts w:ascii="Verdana" w:eastAsia="Calibri" w:hAnsi="Verdana" w:cs="Arial"/>
                <w:lang w:val="es-ES_tradnl" w:eastAsia="es-ES_tradnl"/>
              </w:rPr>
              <w:t>Respuesta a consulta con radicado No. P20241209012334</w:t>
            </w:r>
          </w:p>
        </w:tc>
      </w:tr>
    </w:tbl>
    <w:p w14:paraId="60060CC5" w14:textId="77777777" w:rsidR="00294A95" w:rsidRPr="003E5C0C" w:rsidRDefault="00294A95" w:rsidP="00294A95">
      <w:pPr>
        <w:spacing w:after="0" w:line="240" w:lineRule="auto"/>
        <w:jc w:val="both"/>
        <w:rPr>
          <w:rFonts w:ascii="Verdana" w:eastAsia="Calibri" w:hAnsi="Verdana" w:cs="Arial"/>
          <w:lang w:val="es-ES_tradnl" w:eastAsia="es-ES_tradnl"/>
        </w:rPr>
      </w:pPr>
    </w:p>
    <w:p w14:paraId="6324BD6D" w14:textId="77777777" w:rsidR="00294A95" w:rsidRPr="003E5C0C" w:rsidRDefault="00294A95" w:rsidP="00294A95">
      <w:pPr>
        <w:spacing w:after="0" w:line="240" w:lineRule="auto"/>
        <w:jc w:val="both"/>
        <w:rPr>
          <w:rFonts w:ascii="Verdana" w:eastAsia="Calibri" w:hAnsi="Verdana" w:cs="Arial"/>
          <w:lang w:val="es-ES_tradnl" w:eastAsia="es-ES_tradnl"/>
        </w:rPr>
      </w:pPr>
    </w:p>
    <w:p w14:paraId="1383F2F7" w14:textId="77777777" w:rsidR="00294A95" w:rsidRPr="003E5C0C" w:rsidRDefault="00294A95" w:rsidP="00294A95">
      <w:pPr>
        <w:spacing w:after="0" w:line="276" w:lineRule="auto"/>
        <w:jc w:val="both"/>
        <w:rPr>
          <w:rFonts w:ascii="Verdana" w:eastAsia="Calibri" w:hAnsi="Verdana" w:cs="Arial"/>
          <w:lang w:val="es-ES" w:eastAsia="es-ES"/>
        </w:rPr>
      </w:pPr>
      <w:r w:rsidRPr="003E5C0C">
        <w:rPr>
          <w:rFonts w:ascii="Verdana" w:eastAsia="Calibri" w:hAnsi="Verdana" w:cs="Arial"/>
          <w:lang w:val="es-ES" w:eastAsia="es-ES"/>
        </w:rPr>
        <w:t xml:space="preserve">Estimada señora Marisol: </w:t>
      </w:r>
    </w:p>
    <w:p w14:paraId="480CA494" w14:textId="77777777" w:rsidR="00294A95" w:rsidRPr="003E5C0C" w:rsidRDefault="00294A95" w:rsidP="00294A95">
      <w:pPr>
        <w:tabs>
          <w:tab w:val="left" w:pos="3768"/>
        </w:tabs>
        <w:spacing w:after="0" w:line="276" w:lineRule="auto"/>
        <w:jc w:val="both"/>
        <w:rPr>
          <w:rFonts w:ascii="Verdana" w:eastAsia="Calibri" w:hAnsi="Verdana" w:cs="Arial"/>
          <w:lang w:val="es-ES" w:eastAsia="es-ES"/>
        </w:rPr>
      </w:pPr>
      <w:r w:rsidRPr="003E5C0C">
        <w:rPr>
          <w:rFonts w:ascii="Verdana" w:eastAsia="Calibri" w:hAnsi="Verdana" w:cs="Arial"/>
          <w:lang w:val="es-ES" w:eastAsia="es-ES"/>
        </w:rPr>
        <w:tab/>
      </w:r>
    </w:p>
    <w:p w14:paraId="28129A1C" w14:textId="77777777" w:rsidR="00294A95" w:rsidRPr="003E5C0C" w:rsidRDefault="00294A95" w:rsidP="00294A95">
      <w:pPr>
        <w:spacing w:after="0" w:line="276" w:lineRule="auto"/>
        <w:jc w:val="both"/>
        <w:rPr>
          <w:rFonts w:ascii="Verdana" w:eastAsia="Calibri" w:hAnsi="Verdana" w:cs="Arial"/>
          <w:lang w:val="es-ES" w:eastAsia="es-ES"/>
        </w:rPr>
      </w:pPr>
      <w:r w:rsidRPr="003E5C0C">
        <w:rPr>
          <w:rFonts w:ascii="Verdana" w:eastAsia="Calibri" w:hAnsi="Verdana" w:cs="Arial"/>
          <w:lang w:val="es-ES" w:eastAsia="es-ES"/>
        </w:rPr>
        <w:t>En ejercicio de la competencia otorgada por los artículos 3, numeral 5º, y 11, numeral 8º, del Decreto Ley 4170 de 2011,</w:t>
      </w:r>
      <w:r w:rsidRPr="003E5C0C">
        <w:rPr>
          <w:rFonts w:ascii="Verdana" w:eastAsia="Arial MT" w:hAnsi="Verdana" w:cs="Arial MT"/>
          <w:lang w:val="es-ES" w:eastAsia="es-ES"/>
        </w:rPr>
        <w:t xml:space="preserve"> </w:t>
      </w:r>
      <w:r w:rsidRPr="003E5C0C">
        <w:rPr>
          <w:rFonts w:ascii="Verdana" w:hAnsi="Verdana" w:cs="Arial"/>
        </w:rPr>
        <w:t xml:space="preserve">así como lo establecido en el artículo 4 de la Resolución 1707 de 2018 expedida por esta Entidad, </w:t>
      </w:r>
      <w:r w:rsidRPr="003E5C0C">
        <w:rPr>
          <w:rFonts w:ascii="Verdana" w:eastAsia="Calibri" w:hAnsi="Verdana" w:cs="Arial"/>
          <w:lang w:val="es-ES" w:eastAsia="es-ES"/>
        </w:rPr>
        <w:t xml:space="preserve">la Agencia Nacional de Contratación Pública – Colombia Compra Eficiente– responde su solicitud de consulta de fecha 9 de diciembre de 2024, en la cual manifiesta lo siguiente: </w:t>
      </w:r>
    </w:p>
    <w:p w14:paraId="6CAEDD91" w14:textId="77777777" w:rsidR="00294A95" w:rsidRPr="003E5C0C" w:rsidRDefault="00294A95" w:rsidP="00294A95">
      <w:pPr>
        <w:pStyle w:val="Prrafodelista"/>
        <w:tabs>
          <w:tab w:val="left" w:pos="142"/>
          <w:tab w:val="left" w:pos="284"/>
        </w:tabs>
        <w:spacing w:line="276" w:lineRule="auto"/>
        <w:ind w:left="0"/>
        <w:jc w:val="both"/>
        <w:rPr>
          <w:rFonts w:ascii="Verdana" w:eastAsia="Century Gothic" w:hAnsi="Verdana" w:cs="Century Gothic"/>
          <w:b/>
          <w:bCs/>
        </w:rPr>
      </w:pPr>
    </w:p>
    <w:p w14:paraId="0B76E2C3" w14:textId="77777777" w:rsidR="00294A95" w:rsidRPr="003E5C0C" w:rsidRDefault="00294A95" w:rsidP="00294A95">
      <w:pPr>
        <w:spacing w:after="0" w:line="240" w:lineRule="auto"/>
        <w:ind w:left="709" w:right="709"/>
        <w:jc w:val="both"/>
        <w:rPr>
          <w:rStyle w:val="normaltextrun"/>
          <w:rFonts w:ascii="Verdana" w:hAnsi="Verdana" w:cs="Arial"/>
          <w:sz w:val="20"/>
          <w:szCs w:val="20"/>
          <w:shd w:val="clear" w:color="auto" w:fill="FFFFFF"/>
          <w:lang w:val="es-ES"/>
        </w:rPr>
      </w:pPr>
      <w:bookmarkStart w:id="0" w:name="_Hlk95313578"/>
      <w:r w:rsidRPr="003E5C0C">
        <w:rPr>
          <w:rFonts w:ascii="Verdana" w:eastAsia="Century Gothic" w:hAnsi="Verdana" w:cs="Century Gothic"/>
          <w:sz w:val="20"/>
          <w:szCs w:val="20"/>
          <w:lang w:val="es-ES"/>
        </w:rPr>
        <w:t>“</w:t>
      </w:r>
      <w:r w:rsidRPr="003E5C0C">
        <w:rPr>
          <w:rStyle w:val="normaltextrun"/>
          <w:rFonts w:ascii="Verdana" w:hAnsi="Verdana" w:cs="Arial"/>
          <w:sz w:val="20"/>
          <w:szCs w:val="20"/>
          <w:shd w:val="clear" w:color="auto" w:fill="FFFFFF"/>
          <w:lang w:val="es-ES"/>
        </w:rPr>
        <w:t xml:space="preserve">[…] solicitamos claridad acerca de si esta entidad estatal debe realizar dichos procesos bajo los mismos lineamientos que otras entidades públicas, como la Alcaldía Municipal, utilizando la plataforma SECOP II para la publicación y gestión de los mismos. Esta consulta surge de la necesidad de garantizar el cumplimiento de las disposiciones establecidas en la Ley 80 de 1993, Ley 1150 de 2007, y demás normatividad vigente en materia de contratación pública. </w:t>
      </w:r>
    </w:p>
    <w:p w14:paraId="6AE619A5" w14:textId="77777777" w:rsidR="00294A95" w:rsidRPr="003E5C0C" w:rsidRDefault="00294A95" w:rsidP="00294A95">
      <w:pPr>
        <w:spacing w:after="0" w:line="240" w:lineRule="auto"/>
        <w:ind w:left="709" w:right="709"/>
        <w:jc w:val="both"/>
        <w:rPr>
          <w:rFonts w:ascii="Verdana" w:eastAsia="Century Gothic" w:hAnsi="Verdana" w:cs="Century Gothic"/>
          <w:sz w:val="20"/>
          <w:szCs w:val="20"/>
          <w:lang w:val="es-ES"/>
        </w:rPr>
      </w:pPr>
      <w:r w:rsidRPr="003E5C0C">
        <w:rPr>
          <w:rStyle w:val="normaltextrun"/>
          <w:rFonts w:ascii="Verdana" w:hAnsi="Verdana" w:cs="Arial"/>
          <w:sz w:val="20"/>
          <w:szCs w:val="20"/>
          <w:shd w:val="clear" w:color="auto" w:fill="FFFFFF"/>
          <w:lang w:val="es-ES"/>
        </w:rPr>
        <w:t>[…]</w:t>
      </w:r>
      <w:r w:rsidRPr="003E5C0C">
        <w:rPr>
          <w:rFonts w:ascii="Verdana" w:eastAsia="Century Gothic" w:hAnsi="Verdana" w:cs="Century Gothic"/>
          <w:sz w:val="20"/>
          <w:szCs w:val="20"/>
          <w:lang w:val="es-ES"/>
        </w:rPr>
        <w:t>”</w:t>
      </w:r>
      <w:bookmarkEnd w:id="0"/>
      <w:r w:rsidRPr="003E5C0C">
        <w:rPr>
          <w:rFonts w:ascii="Verdana" w:eastAsia="Century Gothic" w:hAnsi="Verdana" w:cs="Century Gothic"/>
          <w:sz w:val="20"/>
          <w:szCs w:val="20"/>
          <w:lang w:val="es-ES"/>
        </w:rPr>
        <w:t>.</w:t>
      </w:r>
    </w:p>
    <w:p w14:paraId="1872C1BC" w14:textId="77777777" w:rsidR="00294A95" w:rsidRPr="00593A5F" w:rsidRDefault="00294A95" w:rsidP="00294A95">
      <w:pPr>
        <w:pStyle w:val="Prrafodelista"/>
        <w:tabs>
          <w:tab w:val="left" w:pos="142"/>
          <w:tab w:val="left" w:pos="284"/>
        </w:tabs>
        <w:spacing w:line="276" w:lineRule="auto"/>
        <w:ind w:left="0"/>
        <w:jc w:val="both"/>
        <w:rPr>
          <w:rFonts w:ascii="Verdana" w:eastAsia="Century Gothic" w:hAnsi="Verdana" w:cs="Century Gothic"/>
          <w:b/>
          <w:bCs/>
        </w:rPr>
      </w:pPr>
    </w:p>
    <w:p w14:paraId="057F0744" w14:textId="77777777" w:rsidR="00294A95" w:rsidRDefault="00294A95" w:rsidP="00294A95">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7546777E" w14:textId="77777777" w:rsidR="00294A95" w:rsidRDefault="00294A95" w:rsidP="00294A95">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2B631B07" w14:textId="77777777" w:rsidR="00294A95" w:rsidRPr="00593A5F" w:rsidRDefault="00294A95" w:rsidP="00294A95">
      <w:pPr>
        <w:spacing w:after="0" w:line="276" w:lineRule="auto"/>
        <w:ind w:firstLine="709"/>
        <w:jc w:val="both"/>
        <w:rPr>
          <w:rFonts w:ascii="Verdana" w:eastAsia="Calibri" w:hAnsi="Verdana" w:cs="Arial"/>
          <w:color w:val="000000"/>
          <w:lang w:val="es-ES" w:eastAsia="es-ES"/>
        </w:rPr>
      </w:pPr>
    </w:p>
    <w:p w14:paraId="1410B7EF" w14:textId="77777777" w:rsidR="00294A95" w:rsidRPr="00593A5F" w:rsidRDefault="00294A95" w:rsidP="00294A9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06CFDE0" w14:textId="77777777" w:rsidR="00294A95" w:rsidRPr="00593A5F" w:rsidRDefault="00294A95" w:rsidP="00294A95">
      <w:pPr>
        <w:tabs>
          <w:tab w:val="left" w:pos="426"/>
        </w:tabs>
        <w:spacing w:after="0" w:line="276" w:lineRule="auto"/>
        <w:jc w:val="both"/>
        <w:rPr>
          <w:rFonts w:ascii="Verdana" w:eastAsia="Century Gothic" w:hAnsi="Verdana" w:cs="Century Gothic"/>
          <w:lang w:val="es-ES"/>
        </w:rPr>
      </w:pPr>
    </w:p>
    <w:p w14:paraId="5054611A" w14:textId="27EBDC14" w:rsidR="00294A95" w:rsidRPr="003E5C0C" w:rsidRDefault="00294A95" w:rsidP="00294A95">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3E5C0C">
        <w:rPr>
          <w:rFonts w:ascii="Verdana" w:eastAsia="Century Gothic" w:hAnsi="Verdana" w:cs="Century Gothic"/>
        </w:rPr>
        <w:t>su solicitud, esta Agencia resolverá el siguiente problema jurídico: ¿</w:t>
      </w:r>
      <w:r w:rsidR="00D220AC">
        <w:rPr>
          <w:rFonts w:ascii="Verdana" w:eastAsia="Century Gothic" w:hAnsi="Verdana" w:cs="Century Gothic"/>
        </w:rPr>
        <w:t xml:space="preserve">Un concejo municipal </w:t>
      </w:r>
      <w:r w:rsidRPr="003E5C0C">
        <w:rPr>
          <w:rFonts w:ascii="Verdana" w:eastAsia="Century Gothic" w:hAnsi="Verdana" w:cs="Century Gothic"/>
        </w:rPr>
        <w:t>está obligad</w:t>
      </w:r>
      <w:r w:rsidR="00D220AC">
        <w:rPr>
          <w:rFonts w:ascii="Verdana" w:eastAsia="Century Gothic" w:hAnsi="Verdana" w:cs="Century Gothic"/>
        </w:rPr>
        <w:t>o</w:t>
      </w:r>
      <w:r w:rsidRPr="003E5C0C">
        <w:rPr>
          <w:rFonts w:ascii="Verdana" w:eastAsia="Century Gothic" w:hAnsi="Verdana" w:cs="Century Gothic"/>
        </w:rPr>
        <w:t xml:space="preserve"> a publicar su actividad contractual en el SECOP II? </w:t>
      </w:r>
    </w:p>
    <w:p w14:paraId="501DFD68" w14:textId="77777777" w:rsidR="00294A95" w:rsidRPr="00593A5F" w:rsidRDefault="00294A95" w:rsidP="00294A95">
      <w:pPr>
        <w:spacing w:after="0" w:line="276" w:lineRule="auto"/>
        <w:jc w:val="both"/>
        <w:rPr>
          <w:rFonts w:ascii="Verdana" w:eastAsia="Calibri" w:hAnsi="Verdana" w:cs="Arial"/>
          <w:color w:val="7030A0"/>
          <w:lang w:val="es-ES"/>
        </w:rPr>
      </w:pPr>
    </w:p>
    <w:p w14:paraId="298F6C41" w14:textId="77777777" w:rsidR="00294A95" w:rsidRPr="00593A5F" w:rsidRDefault="00294A95" w:rsidP="00294A9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7E38BB8C" w14:textId="77777777" w:rsidR="00294A95" w:rsidRPr="00593A5F" w:rsidRDefault="00294A95" w:rsidP="00294A9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94A95" w:rsidRPr="00593A5F" w14:paraId="6BF7EF72" w14:textId="77777777" w:rsidTr="003452CF">
        <w:tc>
          <w:tcPr>
            <w:tcW w:w="8828" w:type="dxa"/>
            <w:shd w:val="clear" w:color="auto" w:fill="auto"/>
          </w:tcPr>
          <w:p w14:paraId="3E26A796" w14:textId="6B661BC1" w:rsidR="00294A95" w:rsidRPr="002E6BA5" w:rsidRDefault="003F3232" w:rsidP="002E6BA5">
            <w:pPr>
              <w:spacing w:before="120" w:after="120" w:line="276" w:lineRule="auto"/>
              <w:jc w:val="both"/>
              <w:rPr>
                <w:rFonts w:ascii="Verdana" w:eastAsia="Calibri" w:hAnsi="Verdana" w:cs="Arial"/>
                <w:lang w:val="es-ES"/>
              </w:rPr>
            </w:pPr>
            <w:r>
              <w:rPr>
                <w:rFonts w:ascii="Verdana" w:eastAsia="Calibri" w:hAnsi="Verdana" w:cs="Arial"/>
                <w:lang w:val="es-ES"/>
              </w:rPr>
              <w:t xml:space="preserve">La Agencia Nacional de Contratación </w:t>
            </w:r>
            <w:r w:rsidR="00AF29CC">
              <w:rPr>
                <w:rFonts w:ascii="Verdana" w:eastAsia="Calibri" w:hAnsi="Verdana" w:cs="Arial"/>
                <w:lang w:val="es-ES"/>
              </w:rPr>
              <w:t>P</w:t>
            </w:r>
            <w:r>
              <w:rPr>
                <w:rFonts w:ascii="Verdana" w:eastAsia="Calibri" w:hAnsi="Verdana" w:cs="Arial"/>
                <w:lang w:val="es-ES"/>
              </w:rPr>
              <w:t>ública</w:t>
            </w:r>
            <w:r w:rsidR="00AF29CC">
              <w:rPr>
                <w:rFonts w:ascii="Verdana" w:eastAsia="Calibri" w:hAnsi="Verdana" w:cs="Arial"/>
                <w:lang w:val="es-ES"/>
              </w:rPr>
              <w:t xml:space="preserve"> – Colombia Compra Eficiente</w:t>
            </w:r>
            <w:r w:rsidR="00B92345">
              <w:rPr>
                <w:rFonts w:ascii="Verdana" w:eastAsia="Calibri" w:hAnsi="Verdana" w:cs="Arial"/>
                <w:lang w:val="es-ES"/>
              </w:rPr>
              <w:t xml:space="preserve">, en ejercicio de </w:t>
            </w:r>
            <w:r w:rsidR="004E0719">
              <w:rPr>
                <w:rFonts w:ascii="Verdana" w:eastAsia="Calibri" w:hAnsi="Verdana" w:cs="Arial"/>
                <w:lang w:val="es-ES"/>
              </w:rPr>
              <w:t xml:space="preserve">sus competencias, </w:t>
            </w:r>
            <w:r w:rsidR="004E0719" w:rsidRPr="00FF600A">
              <w:rPr>
                <w:rFonts w:ascii="Verdana" w:hAnsi="Verdana" w:cs="Arial"/>
                <w:shd w:val="clear" w:color="auto" w:fill="FFFFFF"/>
              </w:rPr>
              <w:t>expidió la “Circular Externa No.003”</w:t>
            </w:r>
            <w:r w:rsidR="004E0719">
              <w:rPr>
                <w:rFonts w:ascii="Verdana" w:hAnsi="Verdana" w:cs="Arial"/>
                <w:shd w:val="clear" w:color="auto" w:fill="FFFFFF"/>
              </w:rPr>
              <w:t xml:space="preserve"> del 18 de septiembre de 2024 </w:t>
            </w:r>
            <w:r w:rsidR="004E0719" w:rsidRPr="00A53030">
              <w:rPr>
                <w:rFonts w:ascii="Verdana" w:hAnsi="Verdana" w:cs="Arial"/>
                <w:i/>
                <w:iCs/>
                <w:shd w:val="clear" w:color="auto" w:fill="FFFFFF"/>
              </w:rPr>
              <w:t>“con el propósito de emitir directrices sobre la obligatoriedad del SECOP II para la vigencia 2024 y primer semestre del 2025”</w:t>
            </w:r>
            <w:r w:rsidR="004E0719">
              <w:rPr>
                <w:rFonts w:ascii="Verdana" w:hAnsi="Verdana" w:cs="Arial"/>
                <w:shd w:val="clear" w:color="auto" w:fill="FFFFFF"/>
              </w:rPr>
              <w:t xml:space="preserve"> dirigida </w:t>
            </w:r>
            <w:r w:rsidR="004E0719" w:rsidRPr="00A53030">
              <w:rPr>
                <w:rFonts w:ascii="Verdana" w:hAnsi="Verdana" w:cs="Arial"/>
                <w:i/>
                <w:iCs/>
                <w:shd w:val="clear" w:color="auto" w:fill="FFFFFF"/>
              </w:rPr>
              <w:t>a “Alcaldías Municipales (Administración central y descentralizada), Concejos Municipales y Personerías Municipales</w:t>
            </w:r>
            <w:r w:rsidR="004E0719">
              <w:rPr>
                <w:rFonts w:ascii="Verdana" w:hAnsi="Verdana" w:cs="Arial"/>
                <w:i/>
                <w:iCs/>
                <w:shd w:val="clear" w:color="auto" w:fill="FFFFFF"/>
              </w:rPr>
              <w:t>”</w:t>
            </w:r>
            <w:r w:rsidR="00B92345">
              <w:rPr>
                <w:rFonts w:ascii="Verdana" w:eastAsia="Calibri" w:hAnsi="Verdana" w:cs="Arial"/>
                <w:lang w:val="es-ES"/>
              </w:rPr>
              <w:t xml:space="preserve"> </w:t>
            </w:r>
            <w:r w:rsidR="00722624">
              <w:rPr>
                <w:rFonts w:ascii="Verdana" w:eastAsia="Calibri" w:hAnsi="Verdana" w:cs="Arial"/>
                <w:lang w:val="es-ES"/>
              </w:rPr>
              <w:t xml:space="preserve">, </w:t>
            </w:r>
            <w:r w:rsidR="0021715D">
              <w:rPr>
                <w:rFonts w:ascii="Verdana" w:eastAsia="Calibri" w:hAnsi="Verdana" w:cs="Arial"/>
                <w:lang w:val="es-ES"/>
              </w:rPr>
              <w:t xml:space="preserve">en la cual, por un lado, </w:t>
            </w:r>
            <w:r w:rsidR="003C641E">
              <w:rPr>
                <w:rFonts w:ascii="Verdana" w:eastAsia="Calibri" w:hAnsi="Verdana" w:cs="Arial"/>
                <w:lang w:val="es-ES"/>
              </w:rPr>
              <w:t>establece</w:t>
            </w:r>
            <w:r w:rsidR="00947370">
              <w:rPr>
                <w:rFonts w:ascii="Verdana" w:eastAsia="Calibri" w:hAnsi="Verdana" w:cs="Arial"/>
                <w:lang w:val="es-ES"/>
              </w:rPr>
              <w:t>,</w:t>
            </w:r>
            <w:r w:rsidR="00837066">
              <w:rPr>
                <w:rFonts w:ascii="Verdana" w:eastAsia="Calibri" w:hAnsi="Verdana" w:cs="Arial"/>
                <w:lang w:val="es-ES"/>
              </w:rPr>
              <w:t xml:space="preserve"> de forma</w:t>
            </w:r>
            <w:r w:rsidR="00EC7FD1">
              <w:rPr>
                <w:rFonts w:ascii="Verdana" w:eastAsia="Calibri" w:hAnsi="Verdana" w:cs="Arial"/>
                <w:lang w:val="es-ES"/>
              </w:rPr>
              <w:t xml:space="preserve"> articulada</w:t>
            </w:r>
            <w:r w:rsidR="00301D7E">
              <w:rPr>
                <w:rFonts w:ascii="Verdana" w:eastAsia="Calibri" w:hAnsi="Verdana" w:cs="Arial"/>
                <w:lang w:val="es-ES"/>
              </w:rPr>
              <w:t xml:space="preserve"> con el </w:t>
            </w:r>
            <w:r w:rsidR="00AE63DA">
              <w:rPr>
                <w:rFonts w:ascii="Verdana" w:eastAsia="Calibri" w:hAnsi="Verdana" w:cs="Arial"/>
                <w:lang w:val="es-ES"/>
              </w:rPr>
              <w:t xml:space="preserve">Ministerio de </w:t>
            </w:r>
            <w:r w:rsidR="00AE63DA" w:rsidRPr="008F1DED">
              <w:rPr>
                <w:rFonts w:ascii="Verdana" w:hAnsi="Verdana" w:cs="Arial"/>
                <w:shd w:val="clear" w:color="auto" w:fill="FFFFFF"/>
              </w:rPr>
              <w:t>Tecnologías de la Información y las Comunicaciones</w:t>
            </w:r>
            <w:r w:rsidR="00B9251B">
              <w:rPr>
                <w:rFonts w:ascii="Verdana" w:hAnsi="Verdana" w:cs="Arial"/>
                <w:shd w:val="clear" w:color="auto" w:fill="FFFFFF"/>
              </w:rPr>
              <w:t>, la forma en la que se realizará la transición de</w:t>
            </w:r>
            <w:r w:rsidR="00D42ED2">
              <w:rPr>
                <w:rFonts w:ascii="Verdana" w:hAnsi="Verdana" w:cs="Arial"/>
                <w:shd w:val="clear" w:color="auto" w:fill="FFFFFF"/>
              </w:rPr>
              <w:t xml:space="preserve">, entre otros, los concejos municipales </w:t>
            </w:r>
            <w:r w:rsidR="00C91584">
              <w:rPr>
                <w:rFonts w:ascii="Verdana" w:hAnsi="Verdana" w:cs="Arial"/>
                <w:shd w:val="clear" w:color="auto" w:fill="FFFFFF"/>
              </w:rPr>
              <w:t>a</w:t>
            </w:r>
            <w:r w:rsidR="00C41B7F">
              <w:rPr>
                <w:rFonts w:ascii="Verdana" w:hAnsi="Verdana" w:cs="Arial"/>
                <w:shd w:val="clear" w:color="auto" w:fill="FFFFFF"/>
              </w:rPr>
              <w:t xml:space="preserve"> la plataforma del SECOP II, y, por el otro, reafirma la obligación de los mismos </w:t>
            </w:r>
            <w:r w:rsidR="003B0119">
              <w:rPr>
                <w:rFonts w:ascii="Verdana" w:hAnsi="Verdana" w:cs="Arial"/>
                <w:shd w:val="clear" w:color="auto" w:fill="FFFFFF"/>
              </w:rPr>
              <w:t xml:space="preserve">de </w:t>
            </w:r>
            <w:r w:rsidR="00DD68FE">
              <w:rPr>
                <w:rFonts w:ascii="Verdana" w:hAnsi="Verdana" w:cs="Arial"/>
                <w:shd w:val="clear" w:color="auto" w:fill="FFFFFF"/>
              </w:rPr>
              <w:t>publicar toda</w:t>
            </w:r>
            <w:r w:rsidR="00091080">
              <w:rPr>
                <w:rFonts w:ascii="Verdana" w:hAnsi="Verdana" w:cs="Arial"/>
                <w:shd w:val="clear" w:color="auto" w:fill="FFFFFF"/>
              </w:rPr>
              <w:t xml:space="preserve"> su acti</w:t>
            </w:r>
            <w:r w:rsidR="008B307E">
              <w:rPr>
                <w:rFonts w:ascii="Verdana" w:hAnsi="Verdana" w:cs="Arial"/>
                <w:shd w:val="clear" w:color="auto" w:fill="FFFFFF"/>
              </w:rPr>
              <w:t xml:space="preserve">vidad </w:t>
            </w:r>
            <w:r w:rsidR="008B307E">
              <w:rPr>
                <w:rFonts w:ascii="Verdana" w:hAnsi="Verdana" w:cs="Arial"/>
                <w:shd w:val="clear" w:color="auto" w:fill="FFFFFF"/>
              </w:rPr>
              <w:lastRenderedPageBreak/>
              <w:t>contractual</w:t>
            </w:r>
            <w:r w:rsidR="002F0D75">
              <w:rPr>
                <w:rFonts w:ascii="Verdana" w:hAnsi="Verdana" w:cs="Arial"/>
                <w:shd w:val="clear" w:color="auto" w:fill="FFFFFF"/>
              </w:rPr>
              <w:t xml:space="preserve"> en</w:t>
            </w:r>
            <w:r w:rsidR="00BC03F7">
              <w:rPr>
                <w:rFonts w:ascii="Verdana" w:hAnsi="Verdana" w:cs="Arial"/>
                <w:shd w:val="clear" w:color="auto" w:fill="FFFFFF"/>
              </w:rPr>
              <w:t xml:space="preserve"> este sistema</w:t>
            </w:r>
            <w:r w:rsidR="004B3A80">
              <w:rPr>
                <w:rFonts w:ascii="Verdana" w:hAnsi="Verdana" w:cs="Arial"/>
                <w:shd w:val="clear" w:color="auto" w:fill="FFFFFF"/>
              </w:rPr>
              <w:t>. Por ende</w:t>
            </w:r>
            <w:r w:rsidR="00765E32">
              <w:rPr>
                <w:rFonts w:ascii="Verdana" w:hAnsi="Verdana" w:cs="Arial"/>
                <w:shd w:val="clear" w:color="auto" w:fill="FFFFFF"/>
              </w:rPr>
              <w:t xml:space="preserve">, </w:t>
            </w:r>
            <w:r w:rsidR="00785960">
              <w:rPr>
                <w:rFonts w:ascii="Verdana" w:hAnsi="Verdana" w:cs="Arial"/>
                <w:shd w:val="clear" w:color="auto" w:fill="FFFFFF"/>
              </w:rPr>
              <w:t>en principio</w:t>
            </w:r>
            <w:r w:rsidR="000314F9">
              <w:rPr>
                <w:rFonts w:ascii="Verdana" w:hAnsi="Verdana" w:cs="Arial"/>
                <w:shd w:val="clear" w:color="auto" w:fill="FFFFFF"/>
              </w:rPr>
              <w:t>,</w:t>
            </w:r>
            <w:r w:rsidR="00785960">
              <w:rPr>
                <w:rFonts w:ascii="Verdana" w:hAnsi="Verdana" w:cs="Arial"/>
                <w:shd w:val="clear" w:color="auto" w:fill="FFFFFF"/>
              </w:rPr>
              <w:t xml:space="preserve"> </w:t>
            </w:r>
            <w:r w:rsidR="00840499">
              <w:rPr>
                <w:rFonts w:ascii="Verdana" w:hAnsi="Verdana" w:cs="Arial"/>
                <w:shd w:val="clear" w:color="auto" w:fill="FFFFFF"/>
              </w:rPr>
              <w:t xml:space="preserve">un concejo municipal </w:t>
            </w:r>
            <w:r w:rsidR="00E92CA2" w:rsidRPr="000314F9">
              <w:rPr>
                <w:rFonts w:ascii="Verdana" w:hAnsi="Verdana" w:cs="Arial"/>
                <w:u w:val="single"/>
                <w:shd w:val="clear" w:color="auto" w:fill="FFFFFF"/>
              </w:rPr>
              <w:t>sí está obligado a publicar su actividad contractual en el SECOP II</w:t>
            </w:r>
            <w:r w:rsidR="00E92CA2">
              <w:rPr>
                <w:rFonts w:ascii="Verdana" w:hAnsi="Verdana" w:cs="Arial"/>
                <w:shd w:val="clear" w:color="auto" w:fill="FFFFFF"/>
              </w:rPr>
              <w:t>, mas</w:t>
            </w:r>
            <w:r w:rsidR="00A07864">
              <w:rPr>
                <w:rFonts w:ascii="Verdana" w:hAnsi="Verdana" w:cs="Arial"/>
                <w:shd w:val="clear" w:color="auto" w:fill="FFFFFF"/>
              </w:rPr>
              <w:t>, en caso</w:t>
            </w:r>
            <w:r w:rsidR="002C5211">
              <w:rPr>
                <w:rFonts w:ascii="Verdana" w:hAnsi="Verdana" w:cs="Arial"/>
                <w:shd w:val="clear" w:color="auto" w:fill="FFFFFF"/>
              </w:rPr>
              <w:t xml:space="preserve"> de </w:t>
            </w:r>
            <w:r w:rsidR="00A21AB6">
              <w:rPr>
                <w:rFonts w:ascii="Verdana" w:hAnsi="Verdana" w:cs="Arial"/>
                <w:shd w:val="clear" w:color="auto" w:fill="FFFFFF"/>
              </w:rPr>
              <w:t xml:space="preserve">seguir implementando </w:t>
            </w:r>
            <w:r w:rsidR="000314F9">
              <w:rPr>
                <w:rFonts w:ascii="Verdana" w:hAnsi="Verdana" w:cs="Arial"/>
                <w:shd w:val="clear" w:color="auto" w:fill="FFFFFF"/>
              </w:rPr>
              <w:t>la primera versión</w:t>
            </w:r>
            <w:r w:rsidR="00A21AB6">
              <w:rPr>
                <w:rFonts w:ascii="Verdana" w:hAnsi="Verdana" w:cs="Arial"/>
                <w:shd w:val="clear" w:color="auto" w:fill="FFFFFF"/>
              </w:rPr>
              <w:t xml:space="preserve"> SECOP, deberá remitirse a la </w:t>
            </w:r>
            <w:r w:rsidR="00E91B78">
              <w:rPr>
                <w:rFonts w:ascii="Verdana" w:hAnsi="Verdana" w:cs="Arial"/>
                <w:shd w:val="clear" w:color="auto" w:fill="FFFFFF"/>
              </w:rPr>
              <w:t xml:space="preserve">mencionada </w:t>
            </w:r>
            <w:r w:rsidR="00A21AB6">
              <w:rPr>
                <w:rFonts w:ascii="Verdana" w:hAnsi="Verdana" w:cs="Arial"/>
                <w:shd w:val="clear" w:color="auto" w:fill="FFFFFF"/>
              </w:rPr>
              <w:t>circular</w:t>
            </w:r>
            <w:r w:rsidR="000314F9">
              <w:rPr>
                <w:rFonts w:ascii="Verdana" w:hAnsi="Verdana" w:cs="Arial"/>
                <w:shd w:val="clear" w:color="auto" w:fill="FFFFFF"/>
              </w:rPr>
              <w:t xml:space="preserve">, y su anexo 1, </w:t>
            </w:r>
            <w:r w:rsidR="00E91B78">
              <w:rPr>
                <w:rFonts w:ascii="Verdana" w:hAnsi="Verdana" w:cs="Arial"/>
                <w:shd w:val="clear" w:color="auto" w:fill="FFFFFF"/>
              </w:rPr>
              <w:t>para</w:t>
            </w:r>
            <w:r w:rsidR="00B45D8F">
              <w:rPr>
                <w:rFonts w:ascii="Verdana" w:hAnsi="Verdana" w:cs="Arial"/>
                <w:shd w:val="clear" w:color="auto" w:fill="FFFFFF"/>
              </w:rPr>
              <w:t xml:space="preserve"> conocer</w:t>
            </w:r>
            <w:r w:rsidR="00C03BA8">
              <w:rPr>
                <w:rFonts w:ascii="Verdana" w:hAnsi="Verdana" w:cs="Arial"/>
                <w:shd w:val="clear" w:color="auto" w:fill="FFFFFF"/>
              </w:rPr>
              <w:t xml:space="preserve"> </w:t>
            </w:r>
            <w:r w:rsidR="00EE0CF6">
              <w:rPr>
                <w:rFonts w:ascii="Verdana" w:hAnsi="Verdana" w:cs="Arial"/>
                <w:shd w:val="clear" w:color="auto" w:fill="FFFFFF"/>
              </w:rPr>
              <w:t xml:space="preserve">las directrices y </w:t>
            </w:r>
            <w:r w:rsidR="00C03BA8">
              <w:rPr>
                <w:rFonts w:ascii="Verdana" w:hAnsi="Verdana" w:cs="Arial"/>
                <w:shd w:val="clear" w:color="auto" w:fill="FFFFFF"/>
              </w:rPr>
              <w:t xml:space="preserve">fecha </w:t>
            </w:r>
            <w:r w:rsidR="00EE0CF6">
              <w:rPr>
                <w:rFonts w:ascii="Verdana" w:hAnsi="Verdana" w:cs="Arial"/>
                <w:shd w:val="clear" w:color="auto" w:fill="FFFFFF"/>
              </w:rPr>
              <w:t>límite</w:t>
            </w:r>
            <w:r w:rsidR="00C03BA8">
              <w:rPr>
                <w:rFonts w:ascii="Verdana" w:hAnsi="Verdana" w:cs="Arial"/>
                <w:shd w:val="clear" w:color="auto" w:fill="FFFFFF"/>
              </w:rPr>
              <w:t xml:space="preserve"> </w:t>
            </w:r>
            <w:r w:rsidR="000314F9">
              <w:rPr>
                <w:rFonts w:ascii="Verdana" w:hAnsi="Verdana" w:cs="Arial"/>
                <w:shd w:val="clear" w:color="auto" w:fill="FFFFFF"/>
              </w:rPr>
              <w:t xml:space="preserve">para </w:t>
            </w:r>
            <w:r w:rsidR="00C52149">
              <w:rPr>
                <w:rFonts w:ascii="Verdana" w:hAnsi="Verdana" w:cs="Arial"/>
                <w:shd w:val="clear" w:color="auto" w:fill="FFFFFF"/>
              </w:rPr>
              <w:t xml:space="preserve">realizar </w:t>
            </w:r>
            <w:r w:rsidR="000314F9">
              <w:rPr>
                <w:rFonts w:ascii="Verdana" w:hAnsi="Verdana" w:cs="Arial"/>
                <w:shd w:val="clear" w:color="auto" w:fill="FFFFFF"/>
              </w:rPr>
              <w:t>transición al SECOP II</w:t>
            </w:r>
            <w:r w:rsidR="001C5660">
              <w:rPr>
                <w:rFonts w:ascii="Verdana" w:hAnsi="Verdana" w:cs="Arial"/>
                <w:shd w:val="clear" w:color="auto" w:fill="FFFFFF"/>
              </w:rPr>
              <w:t xml:space="preserve"> garantizando las </w:t>
            </w:r>
            <w:r w:rsidR="001C5660" w:rsidRPr="001C5660">
              <w:rPr>
                <w:rFonts w:ascii="Verdana" w:hAnsi="Verdana" w:cs="Arial"/>
                <w:shd w:val="clear" w:color="auto" w:fill="FFFFFF"/>
              </w:rPr>
              <w:t>condiciones técnicas mínimas</w:t>
            </w:r>
            <w:r w:rsidR="00EB1C5D">
              <w:rPr>
                <w:rFonts w:ascii="Verdana" w:hAnsi="Verdana" w:cs="Arial"/>
                <w:shd w:val="clear" w:color="auto" w:fill="FFFFFF"/>
              </w:rPr>
              <w:t xml:space="preserve"> para </w:t>
            </w:r>
            <w:r w:rsidR="00D20D85">
              <w:rPr>
                <w:rFonts w:ascii="Verdana" w:hAnsi="Verdana" w:cs="Arial"/>
                <w:shd w:val="clear" w:color="auto" w:fill="FFFFFF"/>
              </w:rPr>
              <w:t xml:space="preserve">el uso </w:t>
            </w:r>
            <w:r w:rsidR="00FF600A">
              <w:rPr>
                <w:rFonts w:ascii="Verdana" w:hAnsi="Verdana" w:cs="Arial"/>
                <w:shd w:val="clear" w:color="auto" w:fill="FFFFFF"/>
              </w:rPr>
              <w:t xml:space="preserve">eficiente </w:t>
            </w:r>
            <w:r w:rsidR="00D20D85">
              <w:rPr>
                <w:rFonts w:ascii="Verdana" w:hAnsi="Verdana" w:cs="Arial"/>
                <w:shd w:val="clear" w:color="auto" w:fill="FFFFFF"/>
              </w:rPr>
              <w:t>de esta plataforma</w:t>
            </w:r>
            <w:r w:rsidR="008102B8">
              <w:rPr>
                <w:rFonts w:ascii="Verdana" w:hAnsi="Verdana" w:cs="Arial"/>
                <w:shd w:val="clear" w:color="auto" w:fill="FFFFFF"/>
              </w:rPr>
              <w:t xml:space="preserve"> y así cumplir con la obligación que establece el EGCAP para todas las entidades estatales</w:t>
            </w:r>
            <w:r w:rsidR="00762077">
              <w:rPr>
                <w:rFonts w:ascii="Verdana" w:hAnsi="Verdana" w:cs="Arial"/>
                <w:shd w:val="clear" w:color="auto" w:fill="FFFFFF"/>
              </w:rPr>
              <w:t>, sean de régimen común o especial</w:t>
            </w:r>
            <w:r w:rsidR="000314F9">
              <w:rPr>
                <w:rFonts w:ascii="Verdana" w:hAnsi="Verdana" w:cs="Arial"/>
                <w:shd w:val="clear" w:color="auto" w:fill="FFFFFF"/>
              </w:rPr>
              <w:t>.</w:t>
            </w:r>
          </w:p>
        </w:tc>
      </w:tr>
    </w:tbl>
    <w:p w14:paraId="21A9CCF8" w14:textId="77777777" w:rsidR="00294A95" w:rsidRPr="00593A5F" w:rsidRDefault="00294A95" w:rsidP="00294A95">
      <w:pPr>
        <w:tabs>
          <w:tab w:val="left" w:pos="142"/>
          <w:tab w:val="left" w:pos="284"/>
        </w:tabs>
        <w:spacing w:after="0" w:line="276" w:lineRule="auto"/>
        <w:jc w:val="both"/>
        <w:rPr>
          <w:rFonts w:ascii="Verdana" w:eastAsia="Century Gothic" w:hAnsi="Verdana" w:cs="Century Gothic"/>
          <w:b/>
          <w:bCs/>
          <w:lang w:val="es-ES"/>
        </w:rPr>
      </w:pPr>
    </w:p>
    <w:p w14:paraId="0A2916F2" w14:textId="77777777" w:rsidR="00294A95" w:rsidRPr="00593A5F" w:rsidRDefault="00294A95" w:rsidP="00294A9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561F503" w14:textId="77777777" w:rsidR="00294A95" w:rsidRPr="00593A5F" w:rsidRDefault="00294A95" w:rsidP="00294A95">
      <w:pPr>
        <w:spacing w:after="0" w:line="276" w:lineRule="auto"/>
        <w:jc w:val="both"/>
        <w:rPr>
          <w:rFonts w:ascii="Verdana" w:eastAsia="Calibri" w:hAnsi="Verdana" w:cs="Arial"/>
          <w:color w:val="7030A0"/>
          <w:lang w:val="es-ES"/>
        </w:rPr>
      </w:pPr>
    </w:p>
    <w:p w14:paraId="7A016FA5" w14:textId="77777777" w:rsidR="00294A95" w:rsidRPr="00B96799" w:rsidRDefault="00294A95" w:rsidP="00294A95">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2424FAF0" w14:textId="77777777" w:rsidR="00294A95" w:rsidRPr="00593A5F" w:rsidRDefault="00294A95" w:rsidP="00294A95">
      <w:pPr>
        <w:spacing w:after="0" w:line="276" w:lineRule="auto"/>
        <w:jc w:val="both"/>
        <w:rPr>
          <w:rFonts w:ascii="Verdana" w:eastAsia="Calibri" w:hAnsi="Verdana" w:cs="Arial"/>
          <w:color w:val="7030A0"/>
          <w:lang w:val="es-ES"/>
        </w:rPr>
      </w:pPr>
    </w:p>
    <w:p w14:paraId="39BB958A" w14:textId="77777777" w:rsidR="00294A95" w:rsidRPr="005817C0" w:rsidRDefault="00294A95" w:rsidP="00294A95">
      <w:pPr>
        <w:spacing w:before="120" w:after="120" w:line="276" w:lineRule="auto"/>
        <w:jc w:val="both"/>
        <w:rPr>
          <w:rFonts w:ascii="Verdana" w:eastAsia="Times New Roman" w:hAnsi="Verdana" w:cs="Arial"/>
          <w:lang w:val="es-ES" w:eastAsia="es-ES"/>
          <w14:ligatures w14:val="standardContextual"/>
        </w:rPr>
      </w:pPr>
      <w:r w:rsidRPr="42084841">
        <w:rPr>
          <w:rFonts w:ascii="Verdana" w:eastAsia="Times New Roman" w:hAnsi="Verdana" w:cs="Arial"/>
          <w:lang w:val="es-ES" w:eastAsia="es-ES"/>
          <w14:ligatures w14:val="standardContextual"/>
        </w:rPr>
        <w:t>Uno de los postulados más importantes de un Estado Social y Democrático de Derecho es el principio de publicidad,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w:t>
      </w:r>
    </w:p>
    <w:p w14:paraId="6C64AC7E" w14:textId="77777777" w:rsidR="00294A95" w:rsidRDefault="00294A95" w:rsidP="00294A95">
      <w:pPr>
        <w:spacing w:before="120" w:after="120" w:line="276" w:lineRule="auto"/>
        <w:ind w:firstLine="709"/>
        <w:jc w:val="both"/>
        <w:rPr>
          <w:rFonts w:ascii="Verdana" w:eastAsia="Times New Roman" w:hAnsi="Verdana" w:cs="Arial"/>
          <w:lang w:val="es-ES_tradnl" w:eastAsia="es-ES_tradnl"/>
          <w14:ligatures w14:val="standardContextual"/>
        </w:rPr>
      </w:pPr>
      <w:r w:rsidRPr="005817C0">
        <w:rPr>
          <w:rFonts w:ascii="Verdana" w:eastAsia="Times New Roman" w:hAnsi="Verdana" w:cs="Arial"/>
          <w:lang w:val="es-ES_tradnl" w:eastAsia="es-ES_tradnl"/>
          <w14:ligatures w14:val="standardContextual"/>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r>
        <w:rPr>
          <w:rFonts w:ascii="Verdana" w:eastAsia="Times New Roman" w:hAnsi="Verdana" w:cs="Arial"/>
          <w:lang w:val="es-ES_tradnl" w:eastAsia="es-ES_tradnl"/>
          <w14:ligatures w14:val="standardContextual"/>
        </w:rPr>
        <w:t>”</w:t>
      </w:r>
      <w:r w:rsidRPr="005817C0">
        <w:rPr>
          <w:rFonts w:ascii="Verdana" w:eastAsia="Times New Roman" w:hAnsi="Verdana" w:cs="Arial"/>
          <w:vertAlign w:val="superscript"/>
          <w:lang w:val="es-ES_tradnl" w:eastAsia="es-ES_tradnl"/>
          <w14:ligatures w14:val="standardContextual"/>
        </w:rPr>
        <w:footnoteReference w:id="2"/>
      </w:r>
      <w:r w:rsidRPr="005817C0">
        <w:rPr>
          <w:rFonts w:ascii="Verdana" w:eastAsia="Times New Roman" w:hAnsi="Verdana" w:cs="Arial"/>
          <w:lang w:val="es-ES_tradnl" w:eastAsia="es-ES_tradnl"/>
          <w14:ligatures w14:val="standardContextual"/>
        </w:rPr>
        <w:t>.</w:t>
      </w:r>
    </w:p>
    <w:p w14:paraId="6D3A440C" w14:textId="77777777" w:rsidR="00294A95" w:rsidRDefault="00294A95" w:rsidP="00294A95">
      <w:pPr>
        <w:spacing w:before="120" w:after="120" w:line="276" w:lineRule="auto"/>
        <w:ind w:firstLine="709"/>
        <w:jc w:val="both"/>
        <w:rPr>
          <w:rFonts w:ascii="Verdana" w:eastAsia="Times New Roman" w:hAnsi="Verdana" w:cs="Arial"/>
          <w:lang w:val="es-ES_tradnl" w:eastAsia="es-ES_tradnl"/>
          <w14:ligatures w14:val="standardContextual"/>
        </w:rPr>
      </w:pPr>
      <w:r w:rsidRPr="00E806EA">
        <w:rPr>
          <w:rFonts w:ascii="Verdana" w:eastAsia="Times New Roman" w:hAnsi="Verdana" w:cs="Arial"/>
          <w:lang w:val="es-ES_tradnl" w:eastAsia="es-ES_tradnl"/>
          <w14:ligatures w14:val="standardContextual"/>
        </w:rPr>
        <w:lastRenderedPageBreak/>
        <w:t xml:space="preserve">Asimismo, de acuerdo con el literal g) del artículo 11 de </w:t>
      </w:r>
      <w:r>
        <w:rPr>
          <w:rFonts w:ascii="Verdana" w:eastAsia="Times New Roman" w:hAnsi="Verdana" w:cs="Arial"/>
          <w:lang w:val="es-ES_tradnl" w:eastAsia="es-ES_tradnl"/>
          <w14:ligatures w14:val="standardContextual"/>
        </w:rPr>
        <w:t>la L</w:t>
      </w:r>
      <w:r w:rsidRPr="00E806EA">
        <w:rPr>
          <w:rFonts w:ascii="Verdana" w:eastAsia="Times New Roman" w:hAnsi="Verdana" w:cs="Arial"/>
          <w:lang w:val="es-ES_tradnl" w:eastAsia="es-ES_tradnl"/>
          <w14:ligatures w14:val="standardContextual"/>
        </w:rPr>
        <w:t>ey</w:t>
      </w:r>
      <w:r>
        <w:rPr>
          <w:rFonts w:ascii="Verdana" w:eastAsia="Times New Roman" w:hAnsi="Verdana" w:cs="Arial"/>
          <w:lang w:val="es-ES_tradnl" w:eastAsia="es-ES_tradnl"/>
          <w14:ligatures w14:val="standardContextual"/>
        </w:rPr>
        <w:t xml:space="preserve"> 1712 de 2014</w:t>
      </w:r>
      <w:r w:rsidRPr="00E806EA">
        <w:rPr>
          <w:rFonts w:ascii="Verdana" w:eastAsia="Times New Roman" w:hAnsi="Verdana" w:cs="Arial"/>
          <w:lang w:val="es-ES_tradnl" w:eastAsia="es-ES_tradnl"/>
          <w14:ligatures w14:val="standardContextual"/>
        </w:rPr>
        <w:t>,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B300BE">
        <w:rPr>
          <w:rFonts w:ascii="Verdana" w:eastAsia="Times New Roman" w:hAnsi="Verdana" w:cs="Arial"/>
          <w:vertAlign w:val="superscript"/>
          <w:lang w:val="es-ES_tradnl" w:eastAsia="es-ES_tradnl"/>
          <w14:ligatures w14:val="standardContextual"/>
        </w:rPr>
        <w:footnoteReference w:id="3"/>
      </w:r>
      <w:r w:rsidRPr="00E806EA">
        <w:rPr>
          <w:rFonts w:ascii="Verdana" w:eastAsia="Times New Roman" w:hAnsi="Verdana" w:cs="Arial"/>
          <w:lang w:val="es-ES_tradnl" w:eastAsia="es-ES_tradnl"/>
          <w14:ligatures w14:val="standardContextual"/>
        </w:rPr>
        <w:t>. En ese contexto, las Entidades Estatales, conforme al artículo 2.2.1.1.1.7.1 del Decreto 1082 de 2015, tienen la obligación de publicar en el SECOP “[…] los Documentos del Proceso y los actos administrativos del Proceso de Contratación, dentro de los tres (3) días siguientes a su expedición […]”.</w:t>
      </w:r>
    </w:p>
    <w:p w14:paraId="37EF452A" w14:textId="77777777" w:rsidR="00294A95" w:rsidRDefault="00294A95" w:rsidP="00294A95">
      <w:pPr>
        <w:tabs>
          <w:tab w:val="left" w:pos="709"/>
        </w:tabs>
        <w:spacing w:before="120" w:after="120" w:line="276" w:lineRule="auto"/>
        <w:ind w:firstLine="709"/>
        <w:jc w:val="both"/>
        <w:rPr>
          <w:rFonts w:ascii="Verdana" w:hAnsi="Verdana" w:cs="Arial"/>
          <w:shd w:val="clear" w:color="auto" w:fill="FFFFFF"/>
        </w:rPr>
      </w:pPr>
      <w:r w:rsidRPr="00F14C13">
        <w:rPr>
          <w:rFonts w:ascii="Verdana" w:hAnsi="Verdana" w:cs="Arial"/>
          <w:shd w:val="clear" w:color="auto" w:fill="FFFFFF"/>
        </w:rPr>
        <w:t>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713D2217" w14:textId="77777777" w:rsidR="00294A95" w:rsidRPr="007D65AA" w:rsidRDefault="00294A95" w:rsidP="00294A95">
      <w:pPr>
        <w:tabs>
          <w:tab w:val="left" w:pos="709"/>
        </w:tabs>
        <w:spacing w:before="120" w:after="120" w:line="276" w:lineRule="auto"/>
        <w:ind w:firstLine="709"/>
        <w:jc w:val="both"/>
        <w:rPr>
          <w:rFonts w:ascii="Verdana" w:hAnsi="Verdana" w:cs="Arial"/>
          <w:shd w:val="clear" w:color="auto" w:fill="FFFFFF"/>
        </w:rPr>
      </w:pPr>
      <w:r w:rsidRPr="007D65AA">
        <w:rPr>
          <w:rFonts w:ascii="Verdana" w:hAnsi="Verdana" w:cs="Arial"/>
          <w:shd w:val="clear" w:color="auto" w:fill="FFFFFF"/>
        </w:rPr>
        <w:t>Con el propósito de garantizar el cumplimiento del mencionado deber de publicidad, se le asignó a la Agencia Nacional de Contratación Pública - Colombia Compra Eficiente, la función de administrar el SECOP</w:t>
      </w:r>
      <w:r w:rsidRPr="007D65AA">
        <w:rPr>
          <w:rFonts w:ascii="Verdana" w:hAnsi="Verdana" w:cs="Arial"/>
          <w:shd w:val="clear" w:color="auto" w:fill="FFFFFF"/>
          <w:vertAlign w:val="superscript"/>
        </w:rPr>
        <w:footnoteReference w:id="4"/>
      </w:r>
      <w:r w:rsidRPr="007D65AA">
        <w:rPr>
          <w:rFonts w:ascii="Verdana" w:hAnsi="Verdana" w:cs="Arial"/>
          <w:shd w:val="clear" w:color="auto" w:fill="FFFFFF"/>
        </w:rPr>
        <w:t xml:space="preserve">. Dicha plataforma ha tenido dos versiones, esto es, el SECOP I y el SECOP II. La primera versión de la plataforma –SECOP I–, sólo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w:t>
      </w:r>
      <w:r w:rsidRPr="007D65AA">
        <w:rPr>
          <w:rFonts w:ascii="Verdana" w:hAnsi="Verdana" w:cs="Arial"/>
          <w:shd w:val="clear" w:color="auto" w:fill="FFFFFF"/>
        </w:rPr>
        <w:lastRenderedPageBreak/>
        <w:t>la plataforma, por quien tenga la función dentro de la entidad, de acuerdo con su organización interna.</w:t>
      </w:r>
    </w:p>
    <w:p w14:paraId="5151B148" w14:textId="77777777" w:rsidR="00294A95" w:rsidRPr="007D65AA" w:rsidRDefault="00294A95" w:rsidP="00294A95">
      <w:pPr>
        <w:tabs>
          <w:tab w:val="left" w:pos="709"/>
        </w:tabs>
        <w:spacing w:before="120" w:after="120" w:line="276" w:lineRule="auto"/>
        <w:ind w:firstLine="709"/>
        <w:jc w:val="both"/>
        <w:rPr>
          <w:rFonts w:ascii="Verdana" w:hAnsi="Verdana" w:cs="Arial"/>
          <w:shd w:val="clear" w:color="auto" w:fill="FFFFFF"/>
        </w:rPr>
      </w:pPr>
      <w:r w:rsidRPr="007D65AA">
        <w:rPr>
          <w:rFonts w:ascii="Verdana" w:hAnsi="Verdana" w:cs="Arial"/>
          <w:shd w:val="clear" w:color="auto" w:fill="FFFFFF"/>
        </w:rPr>
        <w:t>En cambio, el SECOP II, es una plataforma transaccional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460B0AC5" w14:textId="77777777" w:rsidR="00294A95" w:rsidRDefault="00294A95" w:rsidP="00294A95">
      <w:pPr>
        <w:spacing w:after="120" w:line="276" w:lineRule="auto"/>
        <w:ind w:firstLine="709"/>
        <w:jc w:val="both"/>
        <w:rPr>
          <w:rFonts w:ascii="Verdana" w:eastAsia="Calibri" w:hAnsi="Verdana" w:cs="Arial"/>
          <w:lang w:val="es-ES_tradnl"/>
        </w:rPr>
      </w:pPr>
      <w:r w:rsidRPr="007D65AA">
        <w:rPr>
          <w:rFonts w:ascii="Verdana" w:eastAsia="Calibri" w:hAnsi="Verdana" w:cs="Arial"/>
          <w:lang w:val="es-ES_tradnl"/>
        </w:rPr>
        <w:t xml:space="preserve">Sin embargo, pese a que los documentos que deben publicarse en el SECOP II corresponden a los mismos que deben publicarse en el SECOP I, esto es, todos los expedidos con ocasión el Proceso de Contratación con excepción de los expresamente excluidos, la naturaleza transaccional del SECOP II implica que los procesos contractuales no sólo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w:t>
      </w:r>
    </w:p>
    <w:p w14:paraId="6037527A" w14:textId="454E32BF" w:rsidR="00294A95" w:rsidRDefault="00A94B5C" w:rsidP="0064012E">
      <w:pPr>
        <w:tabs>
          <w:tab w:val="left" w:pos="709"/>
        </w:tabs>
        <w:spacing w:before="120" w:after="120" w:line="276" w:lineRule="auto"/>
        <w:ind w:firstLine="709"/>
        <w:jc w:val="both"/>
        <w:rPr>
          <w:rFonts w:ascii="Verdana" w:hAnsi="Verdana" w:cs="Arial"/>
          <w:shd w:val="clear" w:color="auto" w:fill="FFFFFF"/>
        </w:rPr>
      </w:pPr>
      <w:r>
        <w:rPr>
          <w:rFonts w:ascii="Verdana" w:hAnsi="Verdana" w:cs="Arial"/>
          <w:shd w:val="clear" w:color="auto" w:fill="FFFFFF"/>
        </w:rPr>
        <w:t>E</w:t>
      </w:r>
      <w:r w:rsidR="009047A6">
        <w:rPr>
          <w:rFonts w:ascii="Verdana" w:hAnsi="Verdana" w:cs="Arial"/>
          <w:shd w:val="clear" w:color="auto" w:fill="FFFFFF"/>
        </w:rPr>
        <w:t xml:space="preserve">n consonancia con </w:t>
      </w:r>
      <w:r w:rsidR="00554B83">
        <w:rPr>
          <w:rFonts w:ascii="Verdana" w:hAnsi="Verdana" w:cs="Arial"/>
          <w:shd w:val="clear" w:color="auto" w:fill="FFFFFF"/>
        </w:rPr>
        <w:t xml:space="preserve">la obligación explicada anteriormente, </w:t>
      </w:r>
      <w:r w:rsidR="00554B83" w:rsidRPr="006801EE">
        <w:rPr>
          <w:rFonts w:ascii="Verdana" w:hAnsi="Verdana" w:cs="Arial"/>
          <w:shd w:val="clear" w:color="auto" w:fill="FFFFFF"/>
        </w:rPr>
        <w:t xml:space="preserve">esta Agencia expidió la </w:t>
      </w:r>
      <w:r w:rsidR="00A53030" w:rsidRPr="006801EE">
        <w:rPr>
          <w:rFonts w:ascii="Verdana" w:hAnsi="Verdana" w:cs="Arial"/>
          <w:shd w:val="clear" w:color="auto" w:fill="FFFFFF"/>
        </w:rPr>
        <w:t>“</w:t>
      </w:r>
      <w:r w:rsidR="00554B83" w:rsidRPr="006801EE">
        <w:rPr>
          <w:rFonts w:ascii="Verdana" w:hAnsi="Verdana" w:cs="Arial"/>
          <w:shd w:val="clear" w:color="auto" w:fill="FFFFFF"/>
        </w:rPr>
        <w:t>Circular Externa No.</w:t>
      </w:r>
      <w:r w:rsidR="002907FA" w:rsidRPr="006801EE">
        <w:rPr>
          <w:rFonts w:ascii="Verdana" w:hAnsi="Verdana" w:cs="Arial"/>
          <w:shd w:val="clear" w:color="auto" w:fill="FFFFFF"/>
        </w:rPr>
        <w:t>003</w:t>
      </w:r>
      <w:r w:rsidR="00A53030" w:rsidRPr="006801EE">
        <w:rPr>
          <w:rFonts w:ascii="Verdana" w:hAnsi="Verdana" w:cs="Arial"/>
          <w:shd w:val="clear" w:color="auto" w:fill="FFFFFF"/>
        </w:rPr>
        <w:t>”</w:t>
      </w:r>
      <w:r w:rsidR="00B635CA" w:rsidRPr="006801EE">
        <w:rPr>
          <w:rStyle w:val="Refdenotaalpie"/>
          <w:rFonts w:ascii="Verdana" w:hAnsi="Verdana" w:cs="Arial"/>
          <w:shd w:val="clear" w:color="auto" w:fill="FFFFFF"/>
        </w:rPr>
        <w:footnoteReference w:id="5"/>
      </w:r>
      <w:r w:rsidR="002907FA" w:rsidRPr="006801EE">
        <w:rPr>
          <w:rFonts w:ascii="Verdana" w:hAnsi="Verdana" w:cs="Arial"/>
          <w:shd w:val="clear" w:color="auto" w:fill="FFFFFF"/>
        </w:rPr>
        <w:t xml:space="preserve"> </w:t>
      </w:r>
      <w:r w:rsidR="003A4FEE" w:rsidRPr="006801EE">
        <w:rPr>
          <w:rFonts w:ascii="Verdana" w:hAnsi="Verdana" w:cs="Arial"/>
          <w:shd w:val="clear" w:color="auto" w:fill="FFFFFF"/>
        </w:rPr>
        <w:t>del 18 de septiembre de 2024</w:t>
      </w:r>
      <w:r w:rsidR="009C4335" w:rsidRPr="006801EE">
        <w:rPr>
          <w:rFonts w:ascii="Verdana" w:hAnsi="Verdana" w:cs="Arial"/>
          <w:shd w:val="clear" w:color="auto" w:fill="FFFFFF"/>
        </w:rPr>
        <w:t xml:space="preserve"> </w:t>
      </w:r>
      <w:r w:rsidR="009C4335" w:rsidRPr="006801EE">
        <w:rPr>
          <w:rFonts w:ascii="Verdana" w:hAnsi="Verdana" w:cs="Arial"/>
          <w:i/>
          <w:iCs/>
          <w:shd w:val="clear" w:color="auto" w:fill="FFFFFF"/>
        </w:rPr>
        <w:t>“con el propósito de emitir directrices sobre la obligatoriedad</w:t>
      </w:r>
      <w:r w:rsidR="009C4335" w:rsidRPr="00A53030">
        <w:rPr>
          <w:rFonts w:ascii="Verdana" w:hAnsi="Verdana" w:cs="Arial"/>
          <w:i/>
          <w:iCs/>
          <w:shd w:val="clear" w:color="auto" w:fill="FFFFFF"/>
        </w:rPr>
        <w:t xml:space="preserve"> del SECOP II para la vigencia 2024 y primer semestre del 2025”</w:t>
      </w:r>
      <w:r w:rsidR="0002499D">
        <w:rPr>
          <w:rFonts w:ascii="Verdana" w:hAnsi="Verdana" w:cs="Arial"/>
          <w:shd w:val="clear" w:color="auto" w:fill="FFFFFF"/>
        </w:rPr>
        <w:t xml:space="preserve"> dirigida </w:t>
      </w:r>
      <w:r w:rsidR="006930EE" w:rsidRPr="00A53030">
        <w:rPr>
          <w:rFonts w:ascii="Verdana" w:hAnsi="Verdana" w:cs="Arial"/>
          <w:i/>
          <w:iCs/>
          <w:shd w:val="clear" w:color="auto" w:fill="FFFFFF"/>
        </w:rPr>
        <w:t>a</w:t>
      </w:r>
      <w:r w:rsidR="00AA3AD3" w:rsidRPr="00A53030">
        <w:rPr>
          <w:rFonts w:ascii="Verdana" w:hAnsi="Verdana" w:cs="Arial"/>
          <w:i/>
          <w:iCs/>
          <w:shd w:val="clear" w:color="auto" w:fill="FFFFFF"/>
        </w:rPr>
        <w:t xml:space="preserve"> “Alcaldías Municipales (Administración central y descentralizada), Concejos Municipales y Personerías Municipales</w:t>
      </w:r>
      <w:r w:rsidR="00A53030">
        <w:rPr>
          <w:rFonts w:ascii="Verdana" w:hAnsi="Verdana" w:cs="Arial"/>
          <w:i/>
          <w:iCs/>
          <w:shd w:val="clear" w:color="auto" w:fill="FFFFFF"/>
        </w:rPr>
        <w:t>”</w:t>
      </w:r>
      <w:r w:rsidR="00A53030">
        <w:rPr>
          <w:rFonts w:ascii="Verdana" w:hAnsi="Verdana" w:cs="Arial"/>
          <w:shd w:val="clear" w:color="auto" w:fill="FFFFFF"/>
        </w:rPr>
        <w:t>.</w:t>
      </w:r>
      <w:r w:rsidR="00AA10C6">
        <w:rPr>
          <w:rFonts w:ascii="Verdana" w:hAnsi="Verdana" w:cs="Arial"/>
          <w:shd w:val="clear" w:color="auto" w:fill="FFFFFF"/>
        </w:rPr>
        <w:t xml:space="preserve"> </w:t>
      </w:r>
      <w:r w:rsidR="00A869F2">
        <w:rPr>
          <w:rFonts w:ascii="Verdana" w:hAnsi="Verdana" w:cs="Arial"/>
          <w:shd w:val="clear" w:color="auto" w:fill="FFFFFF"/>
        </w:rPr>
        <w:t>En esta circular</w:t>
      </w:r>
      <w:r w:rsidR="005354D7">
        <w:rPr>
          <w:rFonts w:ascii="Verdana" w:hAnsi="Verdana" w:cs="Arial"/>
          <w:shd w:val="clear" w:color="auto" w:fill="FFFFFF"/>
        </w:rPr>
        <w:t xml:space="preserve">, </w:t>
      </w:r>
      <w:r w:rsidR="00A21C85">
        <w:rPr>
          <w:rFonts w:ascii="Verdana" w:hAnsi="Verdana" w:cs="Arial"/>
          <w:shd w:val="clear" w:color="auto" w:fill="FFFFFF"/>
        </w:rPr>
        <w:t xml:space="preserve">teniendo en cuenta lo contenido en los </w:t>
      </w:r>
      <w:r w:rsidR="008F1DED" w:rsidRPr="008F1DED">
        <w:rPr>
          <w:rFonts w:ascii="Verdana" w:hAnsi="Verdana" w:cs="Arial"/>
          <w:shd w:val="clear" w:color="auto" w:fill="FFFFFF"/>
        </w:rPr>
        <w:t>boletines trimestrales del sector TIC</w:t>
      </w:r>
      <w:r w:rsidR="000B22E1">
        <w:rPr>
          <w:rStyle w:val="Refdenotaalpie"/>
          <w:rFonts w:ascii="Verdana" w:hAnsi="Verdana" w:cs="Arial"/>
          <w:shd w:val="clear" w:color="auto" w:fill="FFFFFF"/>
        </w:rPr>
        <w:footnoteReference w:id="6"/>
      </w:r>
      <w:r w:rsidR="008F1DED" w:rsidRPr="008F1DED">
        <w:rPr>
          <w:rFonts w:ascii="Verdana" w:hAnsi="Verdana" w:cs="Arial"/>
          <w:shd w:val="clear" w:color="auto" w:fill="FFFFFF"/>
        </w:rPr>
        <w:t xml:space="preserve"> publicados por el Ministerio de Tecnologías de la Información y las Comunicaciones de Colombia correspondiente al estado de conectividad en todo el territorio nacional, específicamente respecto del porcentaje de penetración de internet fijo</w:t>
      </w:r>
      <w:r w:rsidR="00FD2AC0">
        <w:rPr>
          <w:rStyle w:val="Refdenotaalpie"/>
          <w:rFonts w:ascii="Verdana" w:hAnsi="Verdana" w:cs="Arial"/>
          <w:shd w:val="clear" w:color="auto" w:fill="FFFFFF"/>
        </w:rPr>
        <w:footnoteReference w:id="7"/>
      </w:r>
      <w:r w:rsidR="008F1DED" w:rsidRPr="008F1DED">
        <w:rPr>
          <w:rFonts w:ascii="Verdana" w:hAnsi="Verdana" w:cs="Arial"/>
          <w:shd w:val="clear" w:color="auto" w:fill="FFFFFF"/>
        </w:rPr>
        <w:t xml:space="preserve"> en los municipios del país</w:t>
      </w:r>
      <w:r w:rsidR="004B0E5C">
        <w:rPr>
          <w:rFonts w:ascii="Verdana" w:hAnsi="Verdana" w:cs="Arial"/>
          <w:shd w:val="clear" w:color="auto" w:fill="FFFFFF"/>
        </w:rPr>
        <w:t xml:space="preserve">, y teniendo </w:t>
      </w:r>
      <w:r w:rsidR="004B0E5C">
        <w:rPr>
          <w:rFonts w:ascii="Verdana" w:hAnsi="Verdana" w:cs="Arial"/>
          <w:shd w:val="clear" w:color="auto" w:fill="FFFFFF"/>
        </w:rPr>
        <w:lastRenderedPageBreak/>
        <w:t>en cuenta</w:t>
      </w:r>
      <w:r w:rsidR="009A5F94">
        <w:rPr>
          <w:rFonts w:ascii="Verdana" w:hAnsi="Verdana" w:cs="Arial"/>
          <w:shd w:val="clear" w:color="auto" w:fill="FFFFFF"/>
        </w:rPr>
        <w:t xml:space="preserve"> </w:t>
      </w:r>
      <w:r w:rsidR="0064012E" w:rsidRPr="0064012E">
        <w:rPr>
          <w:rFonts w:ascii="Verdana" w:hAnsi="Verdana" w:cs="Arial"/>
          <w:shd w:val="clear" w:color="auto" w:fill="FFFFFF"/>
        </w:rPr>
        <w:t xml:space="preserve">el análisis efectuado por la Subdirección de Estudios de Mercado y Abastecimiento Estratégico sobre el comportamiento histórico a nivel de procesos de contratación y valor total contratado en la plataforma SECOP I, </w:t>
      </w:r>
      <w:r w:rsidR="00F54E07">
        <w:rPr>
          <w:rFonts w:ascii="Verdana" w:hAnsi="Verdana" w:cs="Arial"/>
          <w:shd w:val="clear" w:color="auto" w:fill="FFFFFF"/>
        </w:rPr>
        <w:t>esta agencia</w:t>
      </w:r>
      <w:r w:rsidR="0064012E" w:rsidRPr="0064012E">
        <w:rPr>
          <w:rFonts w:ascii="Verdana" w:hAnsi="Verdana" w:cs="Arial"/>
          <w:shd w:val="clear" w:color="auto" w:fill="FFFFFF"/>
        </w:rPr>
        <w:t xml:space="preserve"> identificó las entidades estatales que ingresarán con uso obligatorio del SECOP II</w:t>
      </w:r>
      <w:r w:rsidR="00EF68EA">
        <w:rPr>
          <w:rFonts w:ascii="Verdana" w:hAnsi="Verdana" w:cs="Arial"/>
          <w:shd w:val="clear" w:color="auto" w:fill="FFFFFF"/>
        </w:rPr>
        <w:t xml:space="preserve">, </w:t>
      </w:r>
      <w:r w:rsidR="00B52CF3">
        <w:rPr>
          <w:rFonts w:ascii="Verdana" w:hAnsi="Verdana" w:cs="Arial"/>
          <w:shd w:val="clear" w:color="auto" w:fill="FFFFFF"/>
        </w:rPr>
        <w:t>establecidas en el anexo 1</w:t>
      </w:r>
      <w:r w:rsidR="000E374F">
        <w:rPr>
          <w:rStyle w:val="Refdenotaalpie"/>
          <w:rFonts w:ascii="Verdana" w:hAnsi="Verdana" w:cs="Arial"/>
          <w:shd w:val="clear" w:color="auto" w:fill="FFFFFF"/>
        </w:rPr>
        <w:footnoteReference w:id="8"/>
      </w:r>
      <w:r w:rsidR="00B52CF3">
        <w:rPr>
          <w:rFonts w:ascii="Verdana" w:hAnsi="Verdana" w:cs="Arial"/>
          <w:shd w:val="clear" w:color="auto" w:fill="FFFFFF"/>
        </w:rPr>
        <w:t xml:space="preserve"> </w:t>
      </w:r>
      <w:r w:rsidR="00032D59">
        <w:rPr>
          <w:rFonts w:ascii="Verdana" w:hAnsi="Verdana" w:cs="Arial"/>
          <w:shd w:val="clear" w:color="auto" w:fill="FFFFFF"/>
        </w:rPr>
        <w:t>de esta</w:t>
      </w:r>
      <w:r w:rsidR="004E367E">
        <w:rPr>
          <w:rFonts w:ascii="Verdana" w:hAnsi="Verdana" w:cs="Arial"/>
          <w:shd w:val="clear" w:color="auto" w:fill="FFFFFF"/>
        </w:rPr>
        <w:t>.</w:t>
      </w:r>
    </w:p>
    <w:p w14:paraId="7A701C2E" w14:textId="605B292F" w:rsidR="004E367E" w:rsidRDefault="00454C73" w:rsidP="0064012E">
      <w:pPr>
        <w:tabs>
          <w:tab w:val="left" w:pos="709"/>
        </w:tabs>
        <w:spacing w:before="120" w:after="120" w:line="276" w:lineRule="auto"/>
        <w:ind w:firstLine="709"/>
        <w:jc w:val="both"/>
        <w:rPr>
          <w:rFonts w:ascii="Verdana" w:hAnsi="Verdana" w:cs="Arial"/>
          <w:shd w:val="clear" w:color="auto" w:fill="FFFFFF"/>
        </w:rPr>
      </w:pPr>
      <w:r>
        <w:rPr>
          <w:rFonts w:ascii="Verdana" w:hAnsi="Verdana" w:cs="Arial"/>
          <w:shd w:val="clear" w:color="auto" w:fill="FFFFFF"/>
        </w:rPr>
        <w:t>Cabe resaltar que est</w:t>
      </w:r>
      <w:r w:rsidR="001C5915">
        <w:rPr>
          <w:rFonts w:ascii="Verdana" w:hAnsi="Verdana" w:cs="Arial"/>
          <w:shd w:val="clear" w:color="auto" w:fill="FFFFFF"/>
        </w:rPr>
        <w:t xml:space="preserve">e listado se </w:t>
      </w:r>
      <w:r w:rsidR="00AE6B62">
        <w:rPr>
          <w:rFonts w:ascii="Verdana" w:hAnsi="Verdana" w:cs="Arial"/>
          <w:shd w:val="clear" w:color="auto" w:fill="FFFFFF"/>
        </w:rPr>
        <w:t>estableció</w:t>
      </w:r>
      <w:r w:rsidR="00A2772C">
        <w:rPr>
          <w:rFonts w:ascii="Verdana" w:hAnsi="Verdana" w:cs="Arial"/>
          <w:shd w:val="clear" w:color="auto" w:fill="FFFFFF"/>
        </w:rPr>
        <w:t xml:space="preserve"> teniendo en cuenta las </w:t>
      </w:r>
      <w:r w:rsidR="001D6CE9" w:rsidRPr="0024680F">
        <w:rPr>
          <w:rFonts w:ascii="Verdana" w:hAnsi="Verdana" w:cs="Arial"/>
          <w:u w:val="single"/>
          <w:shd w:val="clear" w:color="auto" w:fill="FFFFFF"/>
        </w:rPr>
        <w:t>condiciones técnicas mínimas</w:t>
      </w:r>
      <w:r w:rsidR="00E77E41">
        <w:rPr>
          <w:rStyle w:val="Refdenotaalpie"/>
          <w:rFonts w:ascii="Verdana" w:hAnsi="Verdana" w:cs="Arial"/>
          <w:u w:val="single"/>
          <w:shd w:val="clear" w:color="auto" w:fill="FFFFFF"/>
        </w:rPr>
        <w:footnoteReference w:id="9"/>
      </w:r>
      <w:r w:rsidR="001D6CE9">
        <w:rPr>
          <w:rFonts w:ascii="Verdana" w:hAnsi="Verdana" w:cs="Arial"/>
          <w:shd w:val="clear" w:color="auto" w:fill="FFFFFF"/>
        </w:rPr>
        <w:t xml:space="preserve"> que deben garantizar las entidades estatales </w:t>
      </w:r>
      <w:r w:rsidR="0042273B">
        <w:rPr>
          <w:rFonts w:ascii="Verdana" w:hAnsi="Verdana" w:cs="Arial"/>
          <w:shd w:val="clear" w:color="auto" w:fill="FFFFFF"/>
        </w:rPr>
        <w:t xml:space="preserve">para garantizar </w:t>
      </w:r>
      <w:r w:rsidR="0064164F">
        <w:rPr>
          <w:rFonts w:ascii="Verdana" w:hAnsi="Verdana" w:cs="Arial"/>
          <w:shd w:val="clear" w:color="auto" w:fill="FFFFFF"/>
        </w:rPr>
        <w:t xml:space="preserve">una efectiva transición hacia </w:t>
      </w:r>
      <w:r w:rsidR="00111E19">
        <w:rPr>
          <w:rFonts w:ascii="Verdana" w:hAnsi="Verdana" w:cs="Arial"/>
          <w:shd w:val="clear" w:color="auto" w:fill="FFFFFF"/>
        </w:rPr>
        <w:t>los sistemas transaccionales</w:t>
      </w:r>
      <w:r w:rsidR="00CC2B2A">
        <w:rPr>
          <w:rFonts w:ascii="Verdana" w:hAnsi="Verdana" w:cs="Arial"/>
          <w:shd w:val="clear" w:color="auto" w:fill="FFFFFF"/>
        </w:rPr>
        <w:t xml:space="preserve"> como lo es el SECOP II.</w:t>
      </w:r>
    </w:p>
    <w:p w14:paraId="536C0E9F" w14:textId="5C0A79C1" w:rsidR="009C0C1D" w:rsidRDefault="009C0C1D" w:rsidP="0064012E">
      <w:pPr>
        <w:tabs>
          <w:tab w:val="left" w:pos="709"/>
        </w:tabs>
        <w:spacing w:before="120" w:after="120" w:line="276" w:lineRule="auto"/>
        <w:ind w:firstLine="709"/>
        <w:jc w:val="both"/>
        <w:rPr>
          <w:rFonts w:ascii="Verdana" w:hAnsi="Verdana" w:cs="Arial"/>
          <w:shd w:val="clear" w:color="auto" w:fill="FFFFFF"/>
        </w:rPr>
      </w:pPr>
      <w:r>
        <w:rPr>
          <w:rFonts w:ascii="Verdana" w:hAnsi="Verdana" w:cs="Arial"/>
          <w:shd w:val="clear" w:color="auto" w:fill="FFFFFF"/>
        </w:rPr>
        <w:t>Con base en lo explicado, e</w:t>
      </w:r>
      <w:r w:rsidR="00AB5724">
        <w:rPr>
          <w:rFonts w:ascii="Verdana" w:hAnsi="Verdana" w:cs="Arial"/>
          <w:shd w:val="clear" w:color="auto" w:fill="FFFFFF"/>
        </w:rPr>
        <w:t xml:space="preserve">n la </w:t>
      </w:r>
      <w:r w:rsidR="002A414A">
        <w:rPr>
          <w:rFonts w:ascii="Verdana" w:hAnsi="Verdana" w:cs="Arial"/>
          <w:shd w:val="clear" w:color="auto" w:fill="FFFFFF"/>
        </w:rPr>
        <w:t>mencionada</w:t>
      </w:r>
      <w:r w:rsidR="00AB5724">
        <w:rPr>
          <w:rFonts w:ascii="Verdana" w:hAnsi="Verdana" w:cs="Arial"/>
          <w:shd w:val="clear" w:color="auto" w:fill="FFFFFF"/>
        </w:rPr>
        <w:t xml:space="preserve"> circular se establecen</w:t>
      </w:r>
      <w:r w:rsidR="000D346C">
        <w:rPr>
          <w:rFonts w:ascii="Verdana" w:hAnsi="Verdana" w:cs="Arial"/>
          <w:shd w:val="clear" w:color="auto" w:fill="FFFFFF"/>
        </w:rPr>
        <w:t xml:space="preserve"> las siguientes directrices </w:t>
      </w:r>
      <w:r w:rsidR="00344EE9">
        <w:rPr>
          <w:rFonts w:ascii="Verdana" w:hAnsi="Verdana" w:cs="Arial"/>
          <w:shd w:val="clear" w:color="auto" w:fill="FFFFFF"/>
        </w:rPr>
        <w:t>dirigidas a las entidades enlistadas en el anexo 1:</w:t>
      </w:r>
    </w:p>
    <w:p w14:paraId="0211907E" w14:textId="46279035" w:rsidR="00BD768B" w:rsidRDefault="00BD768B" w:rsidP="00545718">
      <w:pPr>
        <w:tabs>
          <w:tab w:val="left" w:pos="709"/>
        </w:tabs>
        <w:spacing w:after="0" w:line="240" w:lineRule="auto"/>
        <w:ind w:left="709" w:right="709"/>
        <w:jc w:val="both"/>
        <w:rPr>
          <w:rFonts w:ascii="Verdana" w:hAnsi="Verdana" w:cs="Arial"/>
          <w:sz w:val="20"/>
          <w:szCs w:val="20"/>
          <w:shd w:val="clear" w:color="auto" w:fill="FFFFFF"/>
        </w:rPr>
      </w:pPr>
      <w:r>
        <w:rPr>
          <w:rFonts w:ascii="Verdana" w:hAnsi="Verdana" w:cs="Arial"/>
          <w:sz w:val="20"/>
          <w:szCs w:val="20"/>
          <w:shd w:val="clear" w:color="auto" w:fill="FFFFFF"/>
        </w:rPr>
        <w:t>“[…]</w:t>
      </w:r>
    </w:p>
    <w:p w14:paraId="3772394B" w14:textId="77777777" w:rsidR="00BD768B" w:rsidRDefault="004F16CF" w:rsidP="00BD768B">
      <w:pPr>
        <w:pStyle w:val="Prrafodelista"/>
        <w:numPr>
          <w:ilvl w:val="0"/>
          <w:numId w:val="20"/>
        </w:numPr>
        <w:tabs>
          <w:tab w:val="left" w:pos="709"/>
        </w:tabs>
        <w:spacing w:after="0" w:line="240" w:lineRule="auto"/>
        <w:ind w:right="709"/>
        <w:jc w:val="both"/>
        <w:rPr>
          <w:rFonts w:ascii="Verdana" w:hAnsi="Verdana" w:cs="Arial"/>
          <w:sz w:val="20"/>
          <w:szCs w:val="20"/>
          <w:shd w:val="clear" w:color="auto" w:fill="FFFFFF"/>
        </w:rPr>
      </w:pPr>
      <w:r w:rsidRPr="00BD768B">
        <w:rPr>
          <w:rFonts w:ascii="Verdana" w:hAnsi="Verdana" w:cs="Arial"/>
          <w:sz w:val="20"/>
          <w:szCs w:val="20"/>
          <w:shd w:val="clear" w:color="auto" w:fill="FFFFFF"/>
        </w:rPr>
        <w:t>Los procesos de contratación de las entidades estatales relacionadas en el Anexo No. 1 de esta Circular Externa deberán gestionarse, exclusivamente en el SECOP II. La medida aplica para todas las modalidades de selección del Estatuto General de Contratación de la Administración Pública (licitación pública, selección abreviada, concurso de méritos, contratación directa y contratación de mínima cuantía). Así mismo, es aplicable para los procesos que cuenten con un régimen especial de contratación, así como la</w:t>
      </w:r>
      <w:r w:rsidR="000872A6" w:rsidRPr="00BD768B">
        <w:rPr>
          <w:rFonts w:ascii="Verdana" w:hAnsi="Verdana" w:cs="Arial"/>
          <w:sz w:val="20"/>
          <w:szCs w:val="20"/>
          <w:shd w:val="clear" w:color="auto" w:fill="FFFFFF"/>
        </w:rPr>
        <w:t xml:space="preserve"> publicación del Plan Anual de Adquisiciones de 2024 y 2025 con sus modificaciones o actualizaciones, respectivamente.</w:t>
      </w:r>
    </w:p>
    <w:p w14:paraId="0A3162D4" w14:textId="77777777" w:rsidR="00BD768B" w:rsidRDefault="000872A6" w:rsidP="00BD768B">
      <w:pPr>
        <w:pStyle w:val="Prrafodelista"/>
        <w:numPr>
          <w:ilvl w:val="0"/>
          <w:numId w:val="20"/>
        </w:numPr>
        <w:tabs>
          <w:tab w:val="left" w:pos="709"/>
        </w:tabs>
        <w:spacing w:after="0" w:line="240" w:lineRule="auto"/>
        <w:ind w:right="709"/>
        <w:jc w:val="both"/>
        <w:rPr>
          <w:rFonts w:ascii="Verdana" w:hAnsi="Verdana" w:cs="Arial"/>
          <w:sz w:val="20"/>
          <w:szCs w:val="20"/>
          <w:shd w:val="clear" w:color="auto" w:fill="FFFFFF"/>
        </w:rPr>
      </w:pPr>
      <w:r w:rsidRPr="00BD768B">
        <w:rPr>
          <w:rFonts w:ascii="Verdana" w:hAnsi="Verdana" w:cs="Arial"/>
          <w:sz w:val="20"/>
          <w:szCs w:val="20"/>
          <w:shd w:val="clear" w:color="auto" w:fill="FFFFFF"/>
        </w:rPr>
        <w:t>Están exceptuados de la medida las asociaciones público–privadas-APP- de que trata la Ley 1508 de 2012 y demás normas complementarias, los contratos donde existan más de dos partes, los concursos de arquitectura y la enajenación de bienes a título gratuito, los cuales deberán publicarse a través del SECOP I.</w:t>
      </w:r>
    </w:p>
    <w:p w14:paraId="2ECB5C9B" w14:textId="77777777" w:rsidR="00A111EC" w:rsidRDefault="000872A6" w:rsidP="00A111EC">
      <w:pPr>
        <w:pStyle w:val="Prrafodelista"/>
        <w:numPr>
          <w:ilvl w:val="0"/>
          <w:numId w:val="20"/>
        </w:numPr>
        <w:tabs>
          <w:tab w:val="left" w:pos="709"/>
        </w:tabs>
        <w:spacing w:after="0" w:line="240" w:lineRule="auto"/>
        <w:ind w:right="709"/>
        <w:jc w:val="both"/>
        <w:rPr>
          <w:rFonts w:ascii="Verdana" w:hAnsi="Verdana" w:cs="Arial"/>
          <w:sz w:val="20"/>
          <w:szCs w:val="20"/>
          <w:shd w:val="clear" w:color="auto" w:fill="FFFFFF"/>
        </w:rPr>
      </w:pPr>
      <w:r w:rsidRPr="00BD768B">
        <w:rPr>
          <w:rFonts w:ascii="Verdana" w:hAnsi="Verdana" w:cs="Arial"/>
          <w:sz w:val="20"/>
          <w:szCs w:val="20"/>
          <w:shd w:val="clear" w:color="auto" w:fill="FFFFFF"/>
        </w:rPr>
        <w:t>La obligatoriedad aplicará de acuerdo con la distribución relacionada en el Anexo No. 1 de la presente Circular Externa teniendo en cuenta las entidades ingresarán a partir del 31 de octubre, 31 de diciembre de 2024, 01 de marzo y 01 de mayo de 2025, respectivamente.</w:t>
      </w:r>
    </w:p>
    <w:p w14:paraId="2B376943" w14:textId="77777777" w:rsidR="00822AE5" w:rsidRDefault="000872A6" w:rsidP="00822AE5">
      <w:pPr>
        <w:pStyle w:val="Prrafodelista"/>
        <w:numPr>
          <w:ilvl w:val="0"/>
          <w:numId w:val="20"/>
        </w:numPr>
        <w:tabs>
          <w:tab w:val="left" w:pos="709"/>
        </w:tabs>
        <w:spacing w:after="0" w:line="240" w:lineRule="auto"/>
        <w:ind w:right="709"/>
        <w:jc w:val="both"/>
        <w:rPr>
          <w:rFonts w:ascii="Verdana" w:hAnsi="Verdana" w:cs="Arial"/>
          <w:sz w:val="20"/>
          <w:szCs w:val="20"/>
          <w:shd w:val="clear" w:color="auto" w:fill="FFFFFF"/>
        </w:rPr>
      </w:pPr>
      <w:r w:rsidRPr="00A111EC">
        <w:rPr>
          <w:rFonts w:ascii="Verdana" w:hAnsi="Verdana" w:cs="Arial"/>
          <w:sz w:val="20"/>
          <w:szCs w:val="20"/>
          <w:shd w:val="clear" w:color="auto" w:fill="FFFFFF"/>
        </w:rPr>
        <w:t>Todos los procesos de contratación publicados en el SECOP I antes del 1 de noviembre de 2024, 01 de enero, 01 marzo y 01 mayo de 2025 por parte de las entidades estatales que correspondan de acuerdo con la distribución del Anexo No. 1, podrán continuar siendo gestionados en esta plataforma.</w:t>
      </w:r>
    </w:p>
    <w:p w14:paraId="2EB68012" w14:textId="77777777" w:rsidR="00822AE5" w:rsidRDefault="000872A6" w:rsidP="00822AE5">
      <w:pPr>
        <w:pStyle w:val="Prrafodelista"/>
        <w:numPr>
          <w:ilvl w:val="0"/>
          <w:numId w:val="20"/>
        </w:numPr>
        <w:tabs>
          <w:tab w:val="left" w:pos="709"/>
        </w:tabs>
        <w:spacing w:after="0" w:line="240" w:lineRule="auto"/>
        <w:ind w:right="709"/>
        <w:jc w:val="both"/>
        <w:rPr>
          <w:rFonts w:ascii="Verdana" w:hAnsi="Verdana" w:cs="Arial"/>
          <w:sz w:val="20"/>
          <w:szCs w:val="20"/>
          <w:shd w:val="clear" w:color="auto" w:fill="FFFFFF"/>
        </w:rPr>
      </w:pPr>
      <w:r w:rsidRPr="00822AE5">
        <w:rPr>
          <w:rFonts w:ascii="Verdana" w:hAnsi="Verdana" w:cs="Arial"/>
          <w:sz w:val="20"/>
          <w:szCs w:val="20"/>
          <w:shd w:val="clear" w:color="auto" w:fill="FFFFFF"/>
        </w:rPr>
        <w:lastRenderedPageBreak/>
        <w:t>Se les suspenderá la opción de publicar nuevos procesos en el SECOP I a las entidades estatales que ingresan con uso obligatorio del SECOP II en el</w:t>
      </w:r>
      <w:r w:rsidR="00642C41" w:rsidRPr="00822AE5">
        <w:rPr>
          <w:rFonts w:ascii="Verdana" w:hAnsi="Verdana" w:cs="Arial"/>
          <w:sz w:val="20"/>
          <w:szCs w:val="20"/>
          <w:shd w:val="clear" w:color="auto" w:fill="FFFFFF"/>
        </w:rPr>
        <w:t xml:space="preserve"> </w:t>
      </w:r>
      <w:r w:rsidRPr="00822AE5">
        <w:rPr>
          <w:rFonts w:ascii="Verdana" w:hAnsi="Verdana" w:cs="Arial"/>
          <w:sz w:val="20"/>
          <w:szCs w:val="20"/>
          <w:shd w:val="clear" w:color="auto" w:fill="FFFFFF"/>
        </w:rPr>
        <w:t>2024 y 2025 a partir de las fechas mencionadas anteriormente.</w:t>
      </w:r>
    </w:p>
    <w:p w14:paraId="35B4E94E" w14:textId="77777777" w:rsidR="00822AE5" w:rsidRDefault="000872A6" w:rsidP="00822AE5">
      <w:pPr>
        <w:pStyle w:val="Prrafodelista"/>
        <w:tabs>
          <w:tab w:val="left" w:pos="709"/>
        </w:tabs>
        <w:spacing w:after="0" w:line="240" w:lineRule="auto"/>
        <w:ind w:left="1069" w:right="709"/>
        <w:jc w:val="both"/>
        <w:rPr>
          <w:rFonts w:ascii="Verdana" w:hAnsi="Verdana" w:cs="Arial"/>
          <w:sz w:val="20"/>
          <w:szCs w:val="20"/>
          <w:shd w:val="clear" w:color="auto" w:fill="FFFFFF"/>
        </w:rPr>
      </w:pPr>
      <w:r w:rsidRPr="00822AE5">
        <w:rPr>
          <w:rFonts w:ascii="Verdana" w:hAnsi="Verdana" w:cs="Arial"/>
          <w:sz w:val="20"/>
          <w:szCs w:val="20"/>
          <w:shd w:val="clear" w:color="auto" w:fill="FFFFFF"/>
        </w:rPr>
        <w:t>Antes de la fecha de inicio de publicación en SECOP II las entidades que hayan adelantado procesos de contratación, están en la obligación de cumplir con el deber de publicidad en el SECOP I de los documentos expedidos en virtud de la gestión contractual que se desprende del artículo 3 de la Ley 1150 de 2007, regulado por el artículo 2.2.1.1.1.7.1. del Decreto 1082 de 2015, el cual establece que las entidades estatales están obligadas a publicar los documentos y los actos administrativos del proceso de contratación, dentro de los tres (3) días siguientes a su expedición.</w:t>
      </w:r>
    </w:p>
    <w:p w14:paraId="0DD9FBF3" w14:textId="3CD7DB67" w:rsidR="00DE67C9" w:rsidRPr="00545718" w:rsidRDefault="000872A6" w:rsidP="00822AE5">
      <w:pPr>
        <w:pStyle w:val="Prrafodelista"/>
        <w:tabs>
          <w:tab w:val="left" w:pos="709"/>
        </w:tabs>
        <w:spacing w:after="0" w:line="240" w:lineRule="auto"/>
        <w:ind w:left="1069" w:right="709"/>
        <w:jc w:val="both"/>
        <w:rPr>
          <w:rFonts w:ascii="Verdana" w:hAnsi="Verdana" w:cs="Arial"/>
          <w:sz w:val="20"/>
          <w:szCs w:val="20"/>
          <w:shd w:val="clear" w:color="auto" w:fill="FFFFFF"/>
        </w:rPr>
      </w:pPr>
      <w:r w:rsidRPr="00545718">
        <w:rPr>
          <w:rFonts w:ascii="Verdana" w:hAnsi="Verdana" w:cs="Arial"/>
          <w:sz w:val="20"/>
          <w:szCs w:val="20"/>
          <w:shd w:val="clear" w:color="auto" w:fill="FFFFFF"/>
        </w:rPr>
        <w:t xml:space="preserve">Así las cosas, para dar publicidad a los contratos que hayan sido expedidos por lo menos tres (3) días antes de la fecha de </w:t>
      </w:r>
      <w:proofErr w:type="gramStart"/>
      <w:r w:rsidRPr="00545718">
        <w:rPr>
          <w:rFonts w:ascii="Verdana" w:hAnsi="Verdana" w:cs="Arial"/>
          <w:sz w:val="20"/>
          <w:szCs w:val="20"/>
          <w:shd w:val="clear" w:color="auto" w:fill="FFFFFF"/>
        </w:rPr>
        <w:t>entrada en vigencia</w:t>
      </w:r>
      <w:proofErr w:type="gramEnd"/>
      <w:r w:rsidRPr="00545718">
        <w:rPr>
          <w:rFonts w:ascii="Verdana" w:hAnsi="Verdana" w:cs="Arial"/>
          <w:sz w:val="20"/>
          <w:szCs w:val="20"/>
          <w:shd w:val="clear" w:color="auto" w:fill="FFFFFF"/>
        </w:rPr>
        <w:t xml:space="preserve"> de la obligatoriedad y, en cumplimiento de lo preceptuado en el artículo 2.2.1.1.1.7.1. del Decreto 1082 de 2015, las entidades relacionadas en el Anexo No. 1 deberán solicitar la habilitación del SECOP I mediante un oficio firmado por el ordenador del gasto, a través del canal de PQRSD</w:t>
      </w:r>
      <w:r w:rsidR="00956FA8" w:rsidRPr="00545718">
        <w:rPr>
          <w:rStyle w:val="Refdenotaalpie"/>
          <w:rFonts w:ascii="Verdana" w:hAnsi="Verdana" w:cs="Arial"/>
          <w:sz w:val="20"/>
          <w:szCs w:val="20"/>
          <w:shd w:val="clear" w:color="auto" w:fill="FFFFFF"/>
        </w:rPr>
        <w:footnoteReference w:id="10"/>
      </w:r>
      <w:r w:rsidRPr="00545718">
        <w:rPr>
          <w:rFonts w:ascii="Verdana" w:hAnsi="Verdana" w:cs="Arial"/>
          <w:sz w:val="20"/>
          <w:szCs w:val="20"/>
          <w:shd w:val="clear" w:color="auto" w:fill="FFFFFF"/>
        </w:rPr>
        <w:t xml:space="preserve"> a la ANCP</w:t>
      </w:r>
      <w:r w:rsidR="008C6656">
        <w:rPr>
          <w:rFonts w:ascii="Verdana" w:hAnsi="Verdana" w:cs="Arial"/>
          <w:sz w:val="20"/>
          <w:szCs w:val="20"/>
          <w:shd w:val="clear" w:color="auto" w:fill="FFFFFF"/>
        </w:rPr>
        <w:t>–</w:t>
      </w:r>
      <w:r w:rsidRPr="00545718">
        <w:rPr>
          <w:rFonts w:ascii="Verdana" w:hAnsi="Verdana" w:cs="Arial"/>
          <w:sz w:val="20"/>
          <w:szCs w:val="20"/>
          <w:shd w:val="clear" w:color="auto" w:fill="FFFFFF"/>
        </w:rPr>
        <w:t>CCE, relacionando la cantidad de contratos y los días que requieren la habilitación para dar cumplimiento a la publicación de la información relacionada con su contratación.</w:t>
      </w:r>
      <w:r w:rsidR="00545718" w:rsidRPr="00545718">
        <w:rPr>
          <w:rFonts w:ascii="Verdana" w:hAnsi="Verdana" w:cs="Arial"/>
          <w:sz w:val="20"/>
          <w:szCs w:val="20"/>
          <w:shd w:val="clear" w:color="auto" w:fill="FFFFFF"/>
        </w:rPr>
        <w:t>”</w:t>
      </w:r>
    </w:p>
    <w:p w14:paraId="25BB0ED1" w14:textId="78080CD1" w:rsidR="00294A95" w:rsidRDefault="00441B27" w:rsidP="006801EE">
      <w:pPr>
        <w:tabs>
          <w:tab w:val="left" w:pos="709"/>
        </w:tabs>
        <w:spacing w:before="120" w:after="120" w:line="276" w:lineRule="auto"/>
        <w:ind w:firstLine="709"/>
        <w:jc w:val="both"/>
        <w:rPr>
          <w:rStyle w:val="eop"/>
          <w:rFonts w:ascii="Verdana" w:hAnsi="Verdana" w:cs="Arial"/>
          <w:shd w:val="clear" w:color="auto" w:fill="FFFFFF"/>
        </w:rPr>
      </w:pPr>
      <w:r>
        <w:rPr>
          <w:rFonts w:ascii="Verdana" w:hAnsi="Verdana" w:cs="Arial"/>
          <w:shd w:val="clear" w:color="auto" w:fill="FFFFFF"/>
        </w:rPr>
        <w:t>Estas directrices</w:t>
      </w:r>
      <w:r w:rsidR="009528CF">
        <w:rPr>
          <w:rFonts w:ascii="Verdana" w:hAnsi="Verdana" w:cs="Arial"/>
          <w:shd w:val="clear" w:color="auto" w:fill="FFFFFF"/>
        </w:rPr>
        <w:t xml:space="preserve">, </w:t>
      </w:r>
      <w:r w:rsidR="00C3564C">
        <w:rPr>
          <w:rFonts w:ascii="Verdana" w:hAnsi="Verdana" w:cs="Arial"/>
          <w:shd w:val="clear" w:color="auto" w:fill="FFFFFF"/>
        </w:rPr>
        <w:t>establecidas</w:t>
      </w:r>
      <w:r w:rsidR="009528CF">
        <w:rPr>
          <w:rFonts w:ascii="Verdana" w:hAnsi="Verdana" w:cs="Arial"/>
          <w:shd w:val="clear" w:color="auto" w:fill="FFFFFF"/>
        </w:rPr>
        <w:t xml:space="preserve"> </w:t>
      </w:r>
      <w:r w:rsidR="000C35AE">
        <w:rPr>
          <w:rFonts w:ascii="Verdana" w:hAnsi="Verdana" w:cs="Arial"/>
          <w:shd w:val="clear" w:color="auto" w:fill="FFFFFF"/>
        </w:rPr>
        <w:t>en desarrollo de la competencia</w:t>
      </w:r>
      <w:r w:rsidR="00AE5D9D">
        <w:rPr>
          <w:rFonts w:ascii="Verdana" w:hAnsi="Verdana" w:cs="Arial"/>
          <w:shd w:val="clear" w:color="auto" w:fill="FFFFFF"/>
        </w:rPr>
        <w:t xml:space="preserve"> de esta Agencia para</w:t>
      </w:r>
      <w:r w:rsidR="005C363E">
        <w:rPr>
          <w:rFonts w:ascii="Verdana" w:hAnsi="Verdana" w:cs="Arial"/>
          <w:shd w:val="clear" w:color="auto" w:fill="FFFFFF"/>
        </w:rPr>
        <w:t xml:space="preserve"> </w:t>
      </w:r>
      <w:r w:rsidR="00382A9B" w:rsidRPr="00382A9B">
        <w:rPr>
          <w:rFonts w:ascii="Verdana" w:hAnsi="Verdana" w:cs="Arial"/>
          <w:shd w:val="clear" w:color="auto" w:fill="FFFFFF"/>
        </w:rPr>
        <w:t>promover las mejores prácticas en la gestión contractual del Estado con el fin de lograr una mayor eficiencia, transparencia y optimización de los recursos públicos</w:t>
      </w:r>
      <w:r w:rsidR="00382A9B">
        <w:rPr>
          <w:rFonts w:ascii="Verdana" w:hAnsi="Verdana" w:cs="Arial"/>
          <w:shd w:val="clear" w:color="auto" w:fill="FFFFFF"/>
        </w:rPr>
        <w:t xml:space="preserve">, </w:t>
      </w:r>
      <w:r w:rsidR="00DA36AE">
        <w:rPr>
          <w:rFonts w:ascii="Verdana" w:hAnsi="Verdana" w:cs="Arial"/>
          <w:shd w:val="clear" w:color="auto" w:fill="FFFFFF"/>
        </w:rPr>
        <w:t xml:space="preserve">se </w:t>
      </w:r>
      <w:r w:rsidR="00C3564C">
        <w:rPr>
          <w:rFonts w:ascii="Verdana" w:hAnsi="Verdana" w:cs="Arial"/>
          <w:shd w:val="clear" w:color="auto" w:fill="FFFFFF"/>
        </w:rPr>
        <w:t xml:space="preserve">emiten a modo de reglamento </w:t>
      </w:r>
      <w:r w:rsidR="00E06CC3">
        <w:rPr>
          <w:rFonts w:ascii="Verdana" w:hAnsi="Verdana" w:cs="Arial"/>
          <w:shd w:val="clear" w:color="auto" w:fill="FFFFFF"/>
        </w:rPr>
        <w:t xml:space="preserve">para la transición </w:t>
      </w:r>
      <w:r w:rsidR="00DD22F5">
        <w:rPr>
          <w:rFonts w:ascii="Verdana" w:hAnsi="Verdana" w:cs="Arial"/>
          <w:shd w:val="clear" w:color="auto" w:fill="FFFFFF"/>
        </w:rPr>
        <w:t>de</w:t>
      </w:r>
      <w:r w:rsidR="00467781">
        <w:rPr>
          <w:rFonts w:ascii="Verdana" w:hAnsi="Verdana" w:cs="Arial"/>
          <w:shd w:val="clear" w:color="auto" w:fill="FFFFFF"/>
        </w:rPr>
        <w:t xml:space="preserve"> </w:t>
      </w:r>
      <w:r w:rsidR="007B5049">
        <w:rPr>
          <w:rFonts w:ascii="Verdana" w:hAnsi="Verdana" w:cs="Arial"/>
          <w:shd w:val="clear" w:color="auto" w:fill="FFFFFF"/>
        </w:rPr>
        <w:t xml:space="preserve">las </w:t>
      </w:r>
      <w:r w:rsidR="007B5049" w:rsidRPr="007B5049">
        <w:rPr>
          <w:rFonts w:ascii="Verdana" w:hAnsi="Verdana" w:cs="Arial"/>
          <w:shd w:val="clear" w:color="auto" w:fill="FFFFFF"/>
        </w:rPr>
        <w:t>Alcaldías, Concejos y Personerías Municipales</w:t>
      </w:r>
      <w:r w:rsidR="007B5049">
        <w:rPr>
          <w:rFonts w:ascii="Verdana" w:hAnsi="Verdana" w:cs="Arial"/>
          <w:shd w:val="clear" w:color="auto" w:fill="FFFFFF"/>
        </w:rPr>
        <w:t xml:space="preserve"> hacia el </w:t>
      </w:r>
      <w:r w:rsidR="005274E0">
        <w:rPr>
          <w:rFonts w:ascii="Verdana" w:hAnsi="Verdana" w:cs="Arial"/>
          <w:shd w:val="clear" w:color="auto" w:fill="FFFFFF"/>
        </w:rPr>
        <w:t xml:space="preserve">uso del </w:t>
      </w:r>
      <w:r w:rsidR="007B5049">
        <w:rPr>
          <w:rFonts w:ascii="Verdana" w:hAnsi="Verdana" w:cs="Arial"/>
          <w:shd w:val="clear" w:color="auto" w:fill="FFFFFF"/>
        </w:rPr>
        <w:t>SECOP II</w:t>
      </w:r>
      <w:r w:rsidR="007A0983">
        <w:rPr>
          <w:rFonts w:ascii="Verdana" w:hAnsi="Verdana" w:cs="Arial"/>
          <w:shd w:val="clear" w:color="auto" w:fill="FFFFFF"/>
        </w:rPr>
        <w:t xml:space="preserve"> </w:t>
      </w:r>
      <w:r w:rsidR="00A94815">
        <w:rPr>
          <w:rFonts w:ascii="Verdana" w:hAnsi="Verdana" w:cs="Arial"/>
          <w:shd w:val="clear" w:color="auto" w:fill="FFFFFF"/>
        </w:rPr>
        <w:t>en virtud de</w:t>
      </w:r>
      <w:r w:rsidR="007A0983">
        <w:rPr>
          <w:rFonts w:ascii="Verdana" w:hAnsi="Verdana" w:cs="Arial"/>
          <w:shd w:val="clear" w:color="auto" w:fill="FFFFFF"/>
        </w:rPr>
        <w:t xml:space="preserve"> la obligación establecida por </w:t>
      </w:r>
      <w:r w:rsidR="009A6981">
        <w:rPr>
          <w:rFonts w:ascii="Verdana" w:hAnsi="Verdana" w:cs="Arial"/>
          <w:shd w:val="clear" w:color="auto" w:fill="FFFFFF"/>
        </w:rPr>
        <w:t>la Ley 1150 de 2007</w:t>
      </w:r>
      <w:r w:rsidR="005274E0">
        <w:rPr>
          <w:rFonts w:ascii="Verdana" w:hAnsi="Verdana" w:cs="Arial"/>
          <w:shd w:val="clear" w:color="auto" w:fill="FFFFFF"/>
        </w:rPr>
        <w:t>. Esto</w:t>
      </w:r>
      <w:r w:rsidR="005274E0" w:rsidRPr="00A81666">
        <w:rPr>
          <w:rFonts w:ascii="Verdana" w:hAnsi="Verdana" w:cs="Arial"/>
          <w:shd w:val="clear" w:color="auto" w:fill="FFFFFF"/>
        </w:rPr>
        <w:t xml:space="preserve"> tiene como objetivo garantizar la transparencia, el acceso público a la información y el control social sobre la contratación pública, permitiendo que la ciudadanía tenga acceso a los documentos en un sistema unificado y oficial, el SECOP II o la plataforma transaccional que haga sus veces en el futuro.</w:t>
      </w:r>
    </w:p>
    <w:p w14:paraId="312BDDAC" w14:textId="2FA2CB7C" w:rsidR="006801EE" w:rsidRDefault="004D28BC" w:rsidP="006801EE">
      <w:pPr>
        <w:tabs>
          <w:tab w:val="left" w:pos="709"/>
        </w:tabs>
        <w:spacing w:before="120" w:after="120" w:line="276" w:lineRule="auto"/>
        <w:ind w:firstLine="709"/>
        <w:jc w:val="both"/>
        <w:rPr>
          <w:rFonts w:ascii="Verdana" w:hAnsi="Verdana" w:cs="Arial"/>
          <w:shd w:val="clear" w:color="auto" w:fill="FFFFFF"/>
        </w:rPr>
      </w:pPr>
      <w:r>
        <w:rPr>
          <w:rFonts w:ascii="Verdana" w:hAnsi="Verdana" w:cs="Arial"/>
          <w:shd w:val="clear" w:color="auto" w:fill="FFFFFF"/>
        </w:rPr>
        <w:t xml:space="preserve">Finalmente, es menester </w:t>
      </w:r>
      <w:r w:rsidR="004C0A7F">
        <w:rPr>
          <w:rFonts w:ascii="Verdana" w:hAnsi="Verdana" w:cs="Arial"/>
          <w:shd w:val="clear" w:color="auto" w:fill="FFFFFF"/>
        </w:rPr>
        <w:t>resaltar que l</w:t>
      </w:r>
      <w:r w:rsidR="004C0A7F" w:rsidRPr="004C0A7F">
        <w:rPr>
          <w:rFonts w:ascii="Verdana" w:hAnsi="Verdana" w:cs="Arial"/>
          <w:shd w:val="clear" w:color="auto" w:fill="FFFFFF"/>
        </w:rPr>
        <w:t>os concejos municipales, a pesar de no estar enlistados en el artículo 2 de la Ley 80 de 1993 como entidades estatales, para el EGCAP, en consonancia con el artículo 110 del Estatuto Orgánico del Presupuesto, son Entidades Estatales, por lo que, estos están obligados a publicar toda su actividad contractual en el SECOP II.</w:t>
      </w:r>
    </w:p>
    <w:p w14:paraId="273A41B4" w14:textId="77777777" w:rsidR="004C0A7F" w:rsidRPr="006801EE" w:rsidRDefault="004C0A7F" w:rsidP="006801EE">
      <w:pPr>
        <w:tabs>
          <w:tab w:val="left" w:pos="709"/>
        </w:tabs>
        <w:spacing w:before="120" w:after="120" w:line="276" w:lineRule="auto"/>
        <w:ind w:firstLine="709"/>
        <w:jc w:val="both"/>
        <w:rPr>
          <w:rFonts w:ascii="Verdana" w:hAnsi="Verdana" w:cs="Arial"/>
          <w:shd w:val="clear" w:color="auto" w:fill="FFFFFF"/>
        </w:rPr>
      </w:pPr>
    </w:p>
    <w:p w14:paraId="14343CE6" w14:textId="77777777" w:rsidR="00294A95" w:rsidRPr="00593A5F" w:rsidRDefault="00294A95" w:rsidP="00294A9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3310F648" w14:textId="77777777" w:rsidR="00294A95" w:rsidRPr="00593A5F" w:rsidRDefault="00294A95" w:rsidP="00294A9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94A95" w:rsidRPr="00593A5F" w14:paraId="61D0B27D" w14:textId="77777777" w:rsidTr="003452CF">
        <w:trPr>
          <w:trHeight w:val="870"/>
        </w:trPr>
        <w:tc>
          <w:tcPr>
            <w:tcW w:w="8647" w:type="dxa"/>
          </w:tcPr>
          <w:p w14:paraId="2CC500DF" w14:textId="77777777" w:rsidR="00294A95" w:rsidRPr="0075100A" w:rsidRDefault="00294A95" w:rsidP="00294A95">
            <w:pPr>
              <w:widowControl w:val="0"/>
              <w:numPr>
                <w:ilvl w:val="0"/>
                <w:numId w:val="17"/>
              </w:numPr>
              <w:autoSpaceDE w:val="0"/>
              <w:autoSpaceDN w:val="0"/>
              <w:spacing w:after="160" w:line="276" w:lineRule="auto"/>
              <w:contextualSpacing/>
              <w:jc w:val="both"/>
              <w:rPr>
                <w:rFonts w:ascii="Verdana" w:eastAsia="Calibri" w:hAnsi="Verdana" w:cs="Arial"/>
                <w:lang w:val="es-ES"/>
              </w:rPr>
            </w:pPr>
            <w:r w:rsidRPr="0075100A">
              <w:rPr>
                <w:rFonts w:ascii="Verdana" w:eastAsia="Calibri" w:hAnsi="Verdana" w:cs="Arial"/>
                <w:lang w:val="es-ES"/>
              </w:rPr>
              <w:t>Constitución Política. Artículos 74 y 209</w:t>
            </w:r>
          </w:p>
          <w:p w14:paraId="1CBF4740" w14:textId="77777777" w:rsidR="00294A95" w:rsidRPr="0075100A" w:rsidRDefault="00294A95" w:rsidP="00294A95">
            <w:pPr>
              <w:widowControl w:val="0"/>
              <w:numPr>
                <w:ilvl w:val="0"/>
                <w:numId w:val="17"/>
              </w:numPr>
              <w:autoSpaceDE w:val="0"/>
              <w:autoSpaceDN w:val="0"/>
              <w:spacing w:after="160" w:line="276" w:lineRule="auto"/>
              <w:contextualSpacing/>
              <w:jc w:val="both"/>
              <w:rPr>
                <w:rFonts w:ascii="Verdana" w:eastAsia="Calibri" w:hAnsi="Verdana" w:cs="Arial"/>
                <w:lang w:val="es-ES"/>
              </w:rPr>
            </w:pPr>
            <w:r w:rsidRPr="0075100A">
              <w:rPr>
                <w:rFonts w:ascii="Verdana" w:eastAsia="Calibri" w:hAnsi="Verdana" w:cs="Arial"/>
                <w:lang w:val="es-ES"/>
              </w:rPr>
              <w:t>Ley 1150 de 2007. Literal c), artículo 3</w:t>
            </w:r>
          </w:p>
          <w:p w14:paraId="34EBEA6C" w14:textId="77777777" w:rsidR="00294A95" w:rsidRPr="0075100A" w:rsidRDefault="00294A95" w:rsidP="00294A95">
            <w:pPr>
              <w:widowControl w:val="0"/>
              <w:numPr>
                <w:ilvl w:val="0"/>
                <w:numId w:val="17"/>
              </w:numPr>
              <w:autoSpaceDE w:val="0"/>
              <w:autoSpaceDN w:val="0"/>
              <w:spacing w:after="160" w:line="276" w:lineRule="auto"/>
              <w:contextualSpacing/>
              <w:jc w:val="both"/>
              <w:rPr>
                <w:rFonts w:ascii="Verdana" w:eastAsia="Calibri" w:hAnsi="Verdana" w:cs="Arial"/>
                <w:lang w:val="es-ES"/>
              </w:rPr>
            </w:pPr>
            <w:r w:rsidRPr="0075100A">
              <w:rPr>
                <w:rFonts w:ascii="Verdana" w:eastAsia="Calibri" w:hAnsi="Verdana" w:cs="Arial"/>
                <w:lang w:val="es-ES"/>
              </w:rPr>
              <w:t>Ley 1712 de 2014. Literal g), artículo 11</w:t>
            </w:r>
          </w:p>
          <w:p w14:paraId="459836AE" w14:textId="77777777" w:rsidR="00294A95" w:rsidRPr="0075100A" w:rsidRDefault="00294A95" w:rsidP="00294A95">
            <w:pPr>
              <w:widowControl w:val="0"/>
              <w:numPr>
                <w:ilvl w:val="0"/>
                <w:numId w:val="17"/>
              </w:numPr>
              <w:autoSpaceDE w:val="0"/>
              <w:autoSpaceDN w:val="0"/>
              <w:spacing w:after="160" w:line="276" w:lineRule="auto"/>
              <w:contextualSpacing/>
              <w:jc w:val="both"/>
              <w:rPr>
                <w:rFonts w:ascii="Verdana" w:eastAsia="Calibri" w:hAnsi="Verdana" w:cs="Arial"/>
                <w:lang w:val="es-ES"/>
              </w:rPr>
            </w:pPr>
            <w:r w:rsidRPr="0075100A">
              <w:rPr>
                <w:rFonts w:ascii="Verdana" w:eastAsia="Calibri" w:hAnsi="Verdana" w:cs="Arial"/>
                <w:lang w:val="es-ES"/>
              </w:rPr>
              <w:t xml:space="preserve">Decreto 1082 de 2015. Artículo </w:t>
            </w:r>
            <w:r w:rsidRPr="0075100A">
              <w:rPr>
                <w:rStyle w:val="eop"/>
                <w:rFonts w:ascii="Verdana" w:hAnsi="Verdana"/>
                <w:color w:val="000000"/>
                <w:shd w:val="clear" w:color="auto" w:fill="FFFFFF"/>
              </w:rPr>
              <w:t>2.2.1.1.1.7.1</w:t>
            </w:r>
          </w:p>
          <w:p w14:paraId="0E39FDF7" w14:textId="24DD2F15" w:rsidR="00294A95" w:rsidRPr="00AC742F" w:rsidRDefault="00294A95" w:rsidP="00C745B2">
            <w:pPr>
              <w:widowControl w:val="0"/>
              <w:numPr>
                <w:ilvl w:val="0"/>
                <w:numId w:val="17"/>
              </w:numPr>
              <w:autoSpaceDE w:val="0"/>
              <w:autoSpaceDN w:val="0"/>
              <w:spacing w:after="160" w:line="276" w:lineRule="auto"/>
              <w:contextualSpacing/>
              <w:jc w:val="both"/>
              <w:rPr>
                <w:rFonts w:ascii="Verdana" w:hAnsi="Verdana" w:cs="Arial"/>
              </w:rPr>
            </w:pPr>
            <w:r w:rsidRPr="0075100A">
              <w:rPr>
                <w:rFonts w:ascii="Verdana" w:eastAsia="Calibri" w:hAnsi="Verdana" w:cs="Arial"/>
                <w:lang w:val="es-ES"/>
              </w:rPr>
              <w:t>Colombia Compra Eficiente, Circular Externa No. 003 de 2024.</w:t>
            </w:r>
            <w:r w:rsidR="00C745B2">
              <w:rPr>
                <w:rFonts w:ascii="Verdana" w:eastAsia="Calibri" w:hAnsi="Verdana" w:cs="Arial"/>
                <w:lang w:val="es-ES"/>
              </w:rPr>
              <w:t xml:space="preserve"> </w:t>
            </w:r>
            <w:r w:rsidR="00C745B2" w:rsidRPr="00C745B2">
              <w:rPr>
                <w:rFonts w:ascii="Verdana" w:eastAsia="Calibri" w:hAnsi="Verdana" w:cs="Arial"/>
                <w:lang w:val="es-ES"/>
              </w:rPr>
              <w:t xml:space="preserve">Disponible en: </w:t>
            </w:r>
            <w:hyperlink r:id="rId12" w:history="1">
              <w:r w:rsidR="00C745B2" w:rsidRPr="002E6BA5">
                <w:rPr>
                  <w:rStyle w:val="Hipervnculo"/>
                  <w:rFonts w:ascii="Verdana" w:eastAsia="Calibri" w:hAnsi="Verdana" w:cs="Arial"/>
                  <w:color w:val="4472C4" w:themeColor="accent1"/>
                  <w:lang w:val="es-ES"/>
                </w:rPr>
                <w:t>https://www.colombiacompra.gov.co/sites/cce_public/files/cce_circulares/circular-externa_no._003_-_obligatoriedad_secop_ii_2024-2025.pdf</w:t>
              </w:r>
            </w:hyperlink>
            <w:r w:rsidR="00C745B2">
              <w:rPr>
                <w:rFonts w:ascii="Verdana" w:eastAsia="Calibri" w:hAnsi="Verdana" w:cs="Arial"/>
                <w:lang w:val="es-ES"/>
              </w:rPr>
              <w:t xml:space="preserve"> </w:t>
            </w:r>
          </w:p>
        </w:tc>
      </w:tr>
    </w:tbl>
    <w:p w14:paraId="1E5C435F" w14:textId="77777777" w:rsidR="00294A95" w:rsidRPr="00593A5F" w:rsidRDefault="00294A95" w:rsidP="00294A95">
      <w:pPr>
        <w:widowControl w:val="0"/>
        <w:autoSpaceDE w:val="0"/>
        <w:autoSpaceDN w:val="0"/>
        <w:spacing w:after="0" w:line="276" w:lineRule="auto"/>
        <w:jc w:val="both"/>
        <w:rPr>
          <w:rFonts w:ascii="Verdana" w:hAnsi="Verdana" w:cs="Arial"/>
        </w:rPr>
      </w:pPr>
    </w:p>
    <w:p w14:paraId="549164CF" w14:textId="77777777" w:rsidR="00294A95" w:rsidRPr="00593A5F" w:rsidRDefault="00294A95" w:rsidP="00294A9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68D5361C" w14:textId="77777777" w:rsidR="00294A95" w:rsidRPr="00593A5F" w:rsidRDefault="00294A95" w:rsidP="00294A95">
      <w:pPr>
        <w:widowControl w:val="0"/>
        <w:autoSpaceDE w:val="0"/>
        <w:autoSpaceDN w:val="0"/>
        <w:spacing w:after="0" w:line="276" w:lineRule="auto"/>
        <w:jc w:val="both"/>
        <w:rPr>
          <w:rFonts w:ascii="Verdana" w:hAnsi="Verdana" w:cs="Arial"/>
        </w:rPr>
      </w:pPr>
    </w:p>
    <w:p w14:paraId="5689B300" w14:textId="77777777" w:rsidR="00294A95" w:rsidRDefault="00294A95" w:rsidP="00294A9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47490F">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47490F">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w:t>
      </w:r>
      <w:r>
        <w:rPr>
          <w:rFonts w:ascii="Verdana" w:eastAsia="Calibri" w:hAnsi="Verdana" w:cs="Arial"/>
          <w:lang w:val="es-ES_tradnl" w:eastAsia="es-MX"/>
        </w:rPr>
        <w:t>,</w:t>
      </w:r>
      <w:r w:rsidRPr="0047490F">
        <w:rPr>
          <w:rFonts w:ascii="Verdana" w:eastAsia="Calibri" w:hAnsi="Verdana" w:cs="Arial"/>
          <w:lang w:val="es-ES_tradnl" w:eastAsia="es-MX"/>
        </w:rPr>
        <w:t xml:space="preserve"> C-472 del 6 de septiembre de 2021</w:t>
      </w:r>
      <w:r>
        <w:rPr>
          <w:rFonts w:ascii="Verdana" w:eastAsia="Calibri" w:hAnsi="Verdana" w:cs="Arial"/>
          <w:lang w:val="es-ES_tradnl" w:eastAsia="es-MX"/>
        </w:rPr>
        <w:t>, C-804 de 2024, y C-906 del 27 de diciembre de 2024, entre otros</w:t>
      </w: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3" w:history="1">
        <w:r w:rsidRPr="002E6BA5">
          <w:rPr>
            <w:rStyle w:val="Hipervnculo"/>
            <w:rFonts w:ascii="Verdana" w:hAnsi="Verdana" w:cs="Arial"/>
            <w:color w:val="4472C4" w:themeColor="accent1"/>
            <w:shd w:val="clear" w:color="auto" w:fill="FFFFFF"/>
            <w:lang w:val="es-ES"/>
          </w:rPr>
          <w:t>https://relatoria.colombiacompra.gov.co/busqueda/conceptos</w:t>
        </w:r>
      </w:hyperlink>
      <w:r w:rsidRPr="002E6BA5">
        <w:rPr>
          <w:rStyle w:val="normaltextrun"/>
          <w:rFonts w:ascii="Verdana" w:hAnsi="Verdana" w:cs="Arial"/>
          <w:color w:val="4472C4" w:themeColor="accent1"/>
          <w:shd w:val="clear" w:color="auto" w:fill="FFFFFF"/>
          <w:lang w:val="es-ES"/>
        </w:rPr>
        <w:t xml:space="preserve">. </w:t>
      </w:r>
    </w:p>
    <w:p w14:paraId="7BA4F73D" w14:textId="77777777" w:rsidR="00294A95" w:rsidRDefault="00294A95" w:rsidP="00294A9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2ADE31D" w14:textId="77777777" w:rsidR="00294A95" w:rsidRDefault="00294A95" w:rsidP="00294A95">
      <w:pPr>
        <w:spacing w:after="0" w:line="240" w:lineRule="auto"/>
        <w:jc w:val="both"/>
        <w:rPr>
          <w:rFonts w:ascii="Verdana" w:hAnsi="Verdana" w:cs="Arial"/>
          <w:color w:val="000000" w:themeColor="text1"/>
          <w:shd w:val="clear" w:color="auto" w:fill="FFFFFF"/>
        </w:rPr>
      </w:pPr>
      <w:r w:rsidRPr="003E5C0C">
        <w:rPr>
          <w:rFonts w:ascii="Verdana" w:hAnsi="Verdana" w:cs="Arial"/>
          <w:color w:val="000000" w:themeColor="text1"/>
          <w:shd w:val="clear" w:color="auto" w:fill="FFFFFF"/>
        </w:rPr>
        <w:b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63EE7E10" w14:textId="77777777" w:rsidR="00294A95" w:rsidRPr="003E5C0C" w:rsidRDefault="00294A95" w:rsidP="00294A95">
      <w:pPr>
        <w:spacing w:after="0" w:line="240" w:lineRule="auto"/>
        <w:jc w:val="both"/>
        <w:rPr>
          <w:rFonts w:ascii="Verdana" w:hAnsi="Verdana" w:cs="Arial"/>
          <w:color w:val="000000" w:themeColor="text1"/>
          <w:shd w:val="clear" w:color="auto" w:fill="FFFFFF"/>
        </w:rPr>
      </w:pPr>
    </w:p>
    <w:p w14:paraId="4F67244D" w14:textId="77777777" w:rsidR="00294A95" w:rsidRPr="002E6BA5" w:rsidRDefault="00294A95" w:rsidP="00294A95">
      <w:pPr>
        <w:numPr>
          <w:ilvl w:val="0"/>
          <w:numId w:val="18"/>
        </w:numPr>
        <w:spacing w:after="0" w:line="240" w:lineRule="auto"/>
        <w:jc w:val="both"/>
        <w:rPr>
          <w:rFonts w:ascii="Verdana" w:hAnsi="Verdana" w:cs="Arial"/>
          <w:color w:val="4472C4" w:themeColor="accent1"/>
          <w:shd w:val="clear" w:color="auto" w:fill="FFFFFF"/>
        </w:rPr>
      </w:pPr>
      <w:r w:rsidRPr="003E5C0C">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4" w:tgtFrame="_blank" w:tooltip="Dirección URL original: https://www.colombiacompra.gov.co/content/03-documentos-tipo-para-los-procesos-de-seleccion-de-interventoria-de-obra-publica-de. Haga clic o pulse si confía en este vínculo." w:history="1">
        <w:r w:rsidRPr="002E6BA5">
          <w:rPr>
            <w:rStyle w:val="Hipervnculo"/>
            <w:rFonts w:ascii="Verdana" w:hAnsi="Verdana" w:cs="Arial"/>
            <w:color w:val="4472C4" w:themeColor="accent1"/>
            <w:shd w:val="clear" w:color="auto" w:fill="FFFFFF"/>
          </w:rPr>
          <w:t>03. Documentos tipo para los procesos de selección de interventoría de obra pública de infraestructura de transporte – versión 3 | Colombia Compra Eficiente | Agencia Nacional de Contratación Pública</w:t>
        </w:r>
      </w:hyperlink>
    </w:p>
    <w:p w14:paraId="42E86B73" w14:textId="77777777" w:rsidR="00294A95" w:rsidRPr="003E5C0C" w:rsidRDefault="00294A95" w:rsidP="00294A95">
      <w:pPr>
        <w:spacing w:after="0" w:line="240" w:lineRule="auto"/>
        <w:ind w:left="720"/>
        <w:jc w:val="both"/>
        <w:rPr>
          <w:rFonts w:ascii="Verdana" w:hAnsi="Verdana" w:cs="Arial"/>
          <w:color w:val="000000" w:themeColor="text1"/>
          <w:shd w:val="clear" w:color="auto" w:fill="FFFFFF"/>
        </w:rPr>
      </w:pPr>
    </w:p>
    <w:p w14:paraId="696EED92" w14:textId="77777777" w:rsidR="00294A95" w:rsidRPr="003E5C0C" w:rsidRDefault="00294A95" w:rsidP="00294A95">
      <w:pPr>
        <w:numPr>
          <w:ilvl w:val="0"/>
          <w:numId w:val="18"/>
        </w:numPr>
        <w:spacing w:after="0" w:line="240" w:lineRule="auto"/>
        <w:jc w:val="both"/>
        <w:rPr>
          <w:rFonts w:ascii="Verdana" w:hAnsi="Verdana" w:cs="Arial"/>
          <w:color w:val="000000" w:themeColor="text1"/>
          <w:shd w:val="clear" w:color="auto" w:fill="FFFFFF"/>
        </w:rPr>
      </w:pPr>
      <w:r w:rsidRPr="003E5C0C">
        <w:rPr>
          <w:rFonts w:ascii="Verdana" w:hAnsi="Verdana" w:cs="Arial"/>
          <w:b/>
          <w:bCs/>
          <w:color w:val="000000" w:themeColor="text1"/>
          <w:shd w:val="clear" w:color="auto" w:fill="FFFFFF"/>
        </w:rPr>
        <w:lastRenderedPageBreak/>
        <w:t>Documentos tipo para los procesos de selección de consultoría de obra pública de infraestructura de transporte – versión 2:</w:t>
      </w:r>
      <w:r w:rsidRPr="003E5C0C">
        <w:rPr>
          <w:rFonts w:ascii="Verdana" w:hAnsi="Verdana" w:cs="Arial"/>
          <w:color w:val="000000" w:themeColor="text1"/>
          <w:shd w:val="clear" w:color="auto" w:fill="FFFFFF"/>
        </w:rPr>
        <w:t> </w:t>
      </w:r>
      <w:hyperlink r:id="rId15" w:tgtFrame="_blank" w:tooltip="Dirección URL original: https://www.colombiacompra.gov.co/content/02-documentos-tipo-para-los-procesos-de-seleccion-de-consultoria-de-obra-publica-de. Haga clic o pulse si confía en este vínculo." w:history="1">
        <w:r w:rsidRPr="002E6BA5">
          <w:rPr>
            <w:rStyle w:val="Hipervnculo"/>
            <w:rFonts w:ascii="Verdana" w:hAnsi="Verdana" w:cs="Arial"/>
            <w:color w:val="4472C4" w:themeColor="accent1"/>
            <w:shd w:val="clear" w:color="auto" w:fill="FFFFFF"/>
          </w:rPr>
          <w:t>02. Documentos tipo para los procesos de selección de consultoría de obra pública de infraestructura de transporte – versión 2. | Colombia Compra Eficiente | Agencia Nacional de Contratación Pública</w:t>
        </w:r>
      </w:hyperlink>
    </w:p>
    <w:p w14:paraId="5F9CEF3A" w14:textId="77777777" w:rsidR="00294A95" w:rsidRDefault="00294A95" w:rsidP="00294A95">
      <w:pPr>
        <w:spacing w:after="0" w:line="240" w:lineRule="auto"/>
        <w:jc w:val="both"/>
        <w:rPr>
          <w:rFonts w:ascii="Verdana" w:hAnsi="Verdana" w:cs="Arial"/>
          <w:color w:val="000000" w:themeColor="text1"/>
          <w:shd w:val="clear" w:color="auto" w:fill="FFFFFF"/>
        </w:rPr>
      </w:pPr>
    </w:p>
    <w:p w14:paraId="22926135" w14:textId="77777777" w:rsidR="00294A95" w:rsidRPr="002E6BA5" w:rsidRDefault="00294A95" w:rsidP="00294A95">
      <w:pPr>
        <w:spacing w:after="0" w:line="240" w:lineRule="auto"/>
        <w:jc w:val="both"/>
        <w:rPr>
          <w:rFonts w:ascii="Verdana" w:hAnsi="Verdana" w:cs="Arial"/>
          <w:color w:val="4472C4" w:themeColor="accent1"/>
          <w:shd w:val="clear" w:color="auto" w:fill="FFFFFF"/>
          <w:lang w:val="es-ES"/>
        </w:rPr>
      </w:pPr>
      <w:r w:rsidRPr="003E5C0C">
        <w:rPr>
          <w:rFonts w:ascii="Verdana" w:hAnsi="Verdana" w:cs="Arial"/>
          <w:color w:val="000000" w:themeColor="text1"/>
          <w:shd w:val="clear" w:color="auto" w:fill="FFFFFF"/>
        </w:rPr>
        <w:t>También, te contamos que ya publicamos </w:t>
      </w:r>
      <w:r w:rsidRPr="003E5C0C">
        <w:rPr>
          <w:rFonts w:ascii="Verdana" w:hAnsi="Verdana" w:cs="Arial"/>
          <w:b/>
          <w:bCs/>
          <w:color w:val="000000" w:themeColor="text1"/>
          <w:shd w:val="clear" w:color="auto" w:fill="FFFFFF"/>
        </w:rPr>
        <w:t>la nueva Guía de Contratación Pública Sostenible y Socialmente Responsable</w:t>
      </w:r>
      <w:r w:rsidRPr="003E5C0C">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6" w:tgtFrame="_blank" w:tooltip="Dirección URL original: https://www.colombiacompra.gov.co/manuales-guias-y-pliegos-tipo/manuales-y-guias/guia-de-contratacion-publica-sostenible-y-socialmente. Haga clic o pulse si confía en este vínculo." w:history="1">
        <w:r w:rsidRPr="002E6BA5">
          <w:rPr>
            <w:rStyle w:val="Hipervnculo"/>
            <w:rFonts w:ascii="Verdana" w:hAnsi="Verdana" w:cs="Arial"/>
            <w:color w:val="4472C4" w:themeColor="accent1"/>
            <w:shd w:val="clear" w:color="auto" w:fill="FFFFFF"/>
          </w:rPr>
          <w:t>Guía de Contratación Pública Sostenible y Socialmente Responsable | Colombia Compra Eficiente | Agencia Nacional de Contratación Pública</w:t>
        </w:r>
      </w:hyperlink>
    </w:p>
    <w:p w14:paraId="64A7FFA0" w14:textId="77777777" w:rsidR="00294A95" w:rsidRPr="003E5C0C" w:rsidRDefault="00294A95" w:rsidP="00294A95">
      <w:pPr>
        <w:spacing w:after="0" w:line="240" w:lineRule="auto"/>
        <w:jc w:val="both"/>
        <w:rPr>
          <w:rFonts w:ascii="Verdana" w:hAnsi="Verdana" w:cs="Arial"/>
          <w:color w:val="000000" w:themeColor="text1"/>
          <w:shd w:val="clear" w:color="auto" w:fill="FFFFFF"/>
        </w:rPr>
      </w:pPr>
    </w:p>
    <w:p w14:paraId="1C068102" w14:textId="77777777" w:rsidR="00294A95" w:rsidRPr="003E2460" w:rsidRDefault="00294A95" w:rsidP="00294A9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408FE213" w14:textId="77777777" w:rsidR="00294A95" w:rsidRPr="003E2460" w:rsidRDefault="00294A95" w:rsidP="00294A95">
      <w:pPr>
        <w:spacing w:after="0" w:line="240" w:lineRule="auto"/>
        <w:jc w:val="both"/>
        <w:rPr>
          <w:rFonts w:ascii="Verdana" w:hAnsi="Verdana"/>
        </w:rPr>
      </w:pPr>
    </w:p>
    <w:p w14:paraId="6AE0BD27" w14:textId="77777777" w:rsidR="00294A95" w:rsidRPr="003E2460" w:rsidRDefault="00294A95" w:rsidP="00294A9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4AC58198" w14:textId="77777777" w:rsidR="00294A95" w:rsidRPr="003E2460" w:rsidRDefault="00294A95" w:rsidP="00294A95">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16098AF3" w14:textId="77777777" w:rsidR="00294A95" w:rsidRPr="003E2460" w:rsidRDefault="00294A95" w:rsidP="00294A9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072440E1" w14:textId="77777777" w:rsidR="00294A95" w:rsidRPr="00593A5F" w:rsidRDefault="00294A95" w:rsidP="00294A95">
      <w:pPr>
        <w:widowControl w:val="0"/>
        <w:autoSpaceDE w:val="0"/>
        <w:autoSpaceDN w:val="0"/>
        <w:spacing w:after="0" w:line="276" w:lineRule="auto"/>
        <w:jc w:val="both"/>
        <w:rPr>
          <w:rFonts w:ascii="Verdana" w:hAnsi="Verdana" w:cs="Arial"/>
        </w:rPr>
      </w:pPr>
    </w:p>
    <w:p w14:paraId="14D9BED9" w14:textId="77777777" w:rsidR="00294A95" w:rsidRPr="00593A5F" w:rsidRDefault="00294A95" w:rsidP="00294A95">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007B4CC6" w14:textId="77777777" w:rsidR="00294A95" w:rsidRPr="00593A5F" w:rsidRDefault="00294A95" w:rsidP="00294A95">
      <w:pPr>
        <w:widowControl w:val="0"/>
        <w:autoSpaceDE w:val="0"/>
        <w:autoSpaceDN w:val="0"/>
        <w:spacing w:after="0" w:line="276" w:lineRule="auto"/>
        <w:jc w:val="both"/>
        <w:rPr>
          <w:rFonts w:ascii="Verdana" w:hAnsi="Verdana" w:cs="Arial"/>
        </w:rPr>
      </w:pPr>
    </w:p>
    <w:p w14:paraId="153CF56A" w14:textId="77777777" w:rsidR="00294A95" w:rsidRPr="00593A5F" w:rsidRDefault="00294A95" w:rsidP="00294A95">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5E9FA0CC" w14:textId="053B9BD7" w:rsidR="00294A95" w:rsidRPr="00593A5F" w:rsidRDefault="00EB7354" w:rsidP="00294A95">
      <w:pPr>
        <w:spacing w:line="276" w:lineRule="auto"/>
        <w:jc w:val="center"/>
        <w:rPr>
          <w:rFonts w:ascii="Verdana" w:hAnsi="Verdana" w:cs="Arial"/>
          <w:color w:val="000000"/>
          <w:lang w:val="es-ES_tradnl" w:eastAsia="es-CO"/>
        </w:rPr>
      </w:pPr>
      <w:r>
        <w:rPr>
          <w:noProof/>
        </w:rPr>
        <w:drawing>
          <wp:inline distT="0" distB="0" distL="0" distR="0" wp14:anchorId="70E31191" wp14:editId="63997B35">
            <wp:extent cx="3771429" cy="1400000"/>
            <wp:effectExtent l="0" t="0" r="635" b="0"/>
            <wp:docPr id="106938460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84609" name="Imagen 1" descr="Texto&#10;&#10;Descripción generada automáticamente"/>
                    <pic:cNvPicPr/>
                  </pic:nvPicPr>
                  <pic:blipFill>
                    <a:blip r:embed="rId17"/>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94A95" w:rsidRPr="003E5C0C" w14:paraId="699177EA" w14:textId="77777777" w:rsidTr="003452CF">
        <w:trPr>
          <w:trHeight w:val="315"/>
        </w:trPr>
        <w:tc>
          <w:tcPr>
            <w:tcW w:w="893" w:type="dxa"/>
            <w:vAlign w:val="center"/>
            <w:hideMark/>
          </w:tcPr>
          <w:p w14:paraId="2CE8ADC8" w14:textId="77777777" w:rsidR="00294A95" w:rsidRPr="003E5C0C" w:rsidRDefault="00294A95" w:rsidP="003452CF">
            <w:pPr>
              <w:contextualSpacing/>
              <w:rPr>
                <w:rFonts w:ascii="Verdana" w:hAnsi="Verdana" w:cs="Arial"/>
                <w:sz w:val="16"/>
                <w:szCs w:val="16"/>
                <w:lang w:val="es-ES" w:eastAsia="es-ES"/>
              </w:rPr>
            </w:pPr>
            <w:r w:rsidRPr="003E5C0C">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55F9098" w14:textId="77777777" w:rsidR="00294A95" w:rsidRPr="003E5C0C" w:rsidRDefault="00294A95" w:rsidP="003452CF">
            <w:pPr>
              <w:contextualSpacing/>
              <w:rPr>
                <w:rStyle w:val="normaltextrun"/>
                <w:rFonts w:ascii="Verdana" w:hAnsi="Verdana"/>
                <w:sz w:val="16"/>
                <w:szCs w:val="16"/>
              </w:rPr>
            </w:pPr>
            <w:r w:rsidRPr="003E5C0C">
              <w:rPr>
                <w:rStyle w:val="normaltextrun"/>
                <w:rFonts w:ascii="Verdana" w:hAnsi="Verdana"/>
                <w:sz w:val="16"/>
                <w:szCs w:val="16"/>
              </w:rPr>
              <w:t>Santiago Alberto Herrera Morillo</w:t>
            </w:r>
          </w:p>
          <w:p w14:paraId="6E3B073C" w14:textId="77777777" w:rsidR="00294A95" w:rsidRPr="003E5C0C" w:rsidRDefault="00294A95" w:rsidP="003452CF">
            <w:pPr>
              <w:contextualSpacing/>
              <w:rPr>
                <w:rFonts w:ascii="Verdana" w:eastAsia="Arial" w:hAnsi="Verdana" w:cs="Arial"/>
                <w:sz w:val="16"/>
                <w:szCs w:val="16"/>
              </w:rPr>
            </w:pPr>
            <w:r w:rsidRPr="003E5C0C">
              <w:rPr>
                <w:rStyle w:val="normaltextrun"/>
                <w:rFonts w:ascii="Verdana" w:hAnsi="Verdana"/>
                <w:sz w:val="16"/>
                <w:szCs w:val="16"/>
              </w:rPr>
              <w:t xml:space="preserve">Analista T2-02 </w:t>
            </w:r>
            <w:r w:rsidRPr="003E5C0C">
              <w:rPr>
                <w:rStyle w:val="normaltextrun"/>
                <w:rFonts w:ascii="Verdana" w:eastAsia="Arial" w:hAnsi="Verdana" w:cs="Arial"/>
                <w:sz w:val="16"/>
                <w:szCs w:val="16"/>
              </w:rPr>
              <w:t>de la Subdirección de Gestión Contractual</w:t>
            </w:r>
          </w:p>
        </w:tc>
      </w:tr>
      <w:tr w:rsidR="00294A95" w:rsidRPr="003E5C0C" w14:paraId="1A50A7C6" w14:textId="77777777" w:rsidTr="003452CF">
        <w:trPr>
          <w:trHeight w:val="330"/>
        </w:trPr>
        <w:tc>
          <w:tcPr>
            <w:tcW w:w="893" w:type="dxa"/>
            <w:vAlign w:val="center"/>
            <w:hideMark/>
          </w:tcPr>
          <w:p w14:paraId="0CB2343D" w14:textId="77777777" w:rsidR="00294A95" w:rsidRPr="003E5C0C" w:rsidRDefault="00294A95" w:rsidP="003452CF">
            <w:pPr>
              <w:contextualSpacing/>
              <w:rPr>
                <w:rFonts w:ascii="Verdana" w:hAnsi="Verdana" w:cs="Arial"/>
                <w:sz w:val="16"/>
                <w:szCs w:val="16"/>
                <w:lang w:val="es-ES" w:eastAsia="es-ES"/>
              </w:rPr>
            </w:pPr>
            <w:r w:rsidRPr="003E5C0C">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B8AAEAD" w14:textId="77777777" w:rsidR="00294A95" w:rsidRPr="003E5C0C" w:rsidRDefault="00294A95" w:rsidP="003452CF">
            <w:pPr>
              <w:pStyle w:val="paragraph"/>
              <w:contextualSpacing/>
              <w:textAlignment w:val="baseline"/>
              <w:rPr>
                <w:rFonts w:ascii="Verdana" w:hAnsi="Verdana" w:cs="Segoe UI"/>
                <w:sz w:val="16"/>
                <w:szCs w:val="16"/>
                <w:lang w:eastAsia="es-ES_tradnl"/>
              </w:rPr>
            </w:pPr>
            <w:r w:rsidRPr="003E5C0C">
              <w:rPr>
                <w:rFonts w:ascii="Verdana" w:hAnsi="Verdana" w:cs="Segoe UI"/>
                <w:sz w:val="16"/>
                <w:szCs w:val="16"/>
                <w:lang w:eastAsia="es-ES_tradnl"/>
              </w:rPr>
              <w:t>Ximena Ríos López</w:t>
            </w:r>
          </w:p>
          <w:p w14:paraId="025BE444" w14:textId="77777777" w:rsidR="00294A95" w:rsidRPr="003E5C0C" w:rsidRDefault="00294A95" w:rsidP="003452CF">
            <w:pPr>
              <w:pStyle w:val="paragraph"/>
              <w:spacing w:before="0" w:beforeAutospacing="0" w:after="0" w:afterAutospacing="0"/>
              <w:contextualSpacing/>
              <w:textAlignment w:val="baseline"/>
              <w:rPr>
                <w:rFonts w:ascii="Verdana" w:hAnsi="Verdana" w:cs="Segoe UI"/>
                <w:sz w:val="16"/>
                <w:szCs w:val="16"/>
              </w:rPr>
            </w:pPr>
            <w:r w:rsidRPr="003E5C0C">
              <w:rPr>
                <w:rFonts w:ascii="Verdana" w:hAnsi="Verdana" w:cs="Segoe UI"/>
                <w:sz w:val="16"/>
                <w:szCs w:val="16"/>
              </w:rPr>
              <w:t>Gestor T1-11 de la Subdirección de Gestión Contractual</w:t>
            </w:r>
          </w:p>
        </w:tc>
      </w:tr>
      <w:tr w:rsidR="00294A95" w:rsidRPr="003E5C0C" w14:paraId="15EDECE1" w14:textId="77777777" w:rsidTr="003452CF">
        <w:trPr>
          <w:trHeight w:val="300"/>
        </w:trPr>
        <w:tc>
          <w:tcPr>
            <w:tcW w:w="893" w:type="dxa"/>
            <w:vAlign w:val="center"/>
          </w:tcPr>
          <w:p w14:paraId="23410AB6" w14:textId="77777777" w:rsidR="00294A95" w:rsidRPr="003E5C0C" w:rsidRDefault="00294A95" w:rsidP="003452CF">
            <w:pPr>
              <w:contextualSpacing/>
              <w:rPr>
                <w:rFonts w:ascii="Verdana" w:hAnsi="Verdana" w:cs="Arial"/>
                <w:sz w:val="16"/>
                <w:szCs w:val="16"/>
                <w:lang w:val="es-ES" w:eastAsia="es-ES"/>
              </w:rPr>
            </w:pPr>
            <w:r w:rsidRPr="003E5C0C">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1449FF1" w14:textId="77777777" w:rsidR="00294A95" w:rsidRPr="003E5C0C" w:rsidRDefault="00294A95" w:rsidP="003452CF">
            <w:pPr>
              <w:contextualSpacing/>
              <w:rPr>
                <w:rFonts w:ascii="Verdana" w:eastAsia="Calibri" w:hAnsi="Verdana" w:cs="Arial"/>
                <w:sz w:val="16"/>
                <w:szCs w:val="16"/>
                <w:lang w:val="pt-BR" w:eastAsia="es-ES"/>
              </w:rPr>
            </w:pPr>
            <w:r w:rsidRPr="003E5C0C">
              <w:rPr>
                <w:rFonts w:ascii="Verdana" w:eastAsia="Calibri" w:hAnsi="Verdana" w:cs="Arial"/>
                <w:sz w:val="16"/>
                <w:szCs w:val="16"/>
                <w:lang w:val="pt-BR" w:eastAsia="es-ES"/>
              </w:rPr>
              <w:t>Carolina Quintero Gacharná</w:t>
            </w:r>
          </w:p>
          <w:p w14:paraId="10B8A065" w14:textId="77777777" w:rsidR="00294A95" w:rsidRPr="003E5C0C" w:rsidRDefault="00294A95" w:rsidP="003452CF">
            <w:pPr>
              <w:contextualSpacing/>
              <w:rPr>
                <w:rFonts w:ascii="Verdana" w:eastAsia="Calibri" w:hAnsi="Verdana" w:cs="Arial"/>
                <w:sz w:val="16"/>
                <w:szCs w:val="16"/>
                <w:lang w:val="pt-BR" w:eastAsia="es-ES"/>
              </w:rPr>
            </w:pPr>
            <w:r w:rsidRPr="003E5C0C">
              <w:rPr>
                <w:rFonts w:ascii="Verdana" w:eastAsia="Calibri" w:hAnsi="Verdana" w:cs="Arial"/>
                <w:sz w:val="16"/>
                <w:szCs w:val="16"/>
                <w:lang w:eastAsia="es-ES"/>
              </w:rPr>
              <w:lastRenderedPageBreak/>
              <w:t>Subdirectora</w:t>
            </w:r>
            <w:r w:rsidRPr="003E5C0C">
              <w:rPr>
                <w:rFonts w:ascii="Verdana" w:eastAsia="Calibri" w:hAnsi="Verdana" w:cs="Arial"/>
                <w:sz w:val="16"/>
                <w:szCs w:val="16"/>
                <w:lang w:val="pt-BR" w:eastAsia="es-ES"/>
              </w:rPr>
              <w:t xml:space="preserve"> de Gestión Contractual ANCP – CCE</w:t>
            </w:r>
          </w:p>
        </w:tc>
      </w:tr>
    </w:tbl>
    <w:p w14:paraId="63A53154" w14:textId="77777777" w:rsidR="00294A95" w:rsidRPr="003E5C0C" w:rsidRDefault="00294A95" w:rsidP="00294A95">
      <w:pPr>
        <w:spacing w:after="0" w:line="240" w:lineRule="auto"/>
        <w:rPr>
          <w:rFonts w:ascii="Verdana" w:eastAsia="Times New Roman" w:hAnsi="Verdana" w:cs="Arial"/>
          <w:sz w:val="24"/>
          <w:szCs w:val="24"/>
          <w:lang w:eastAsia="es-ES"/>
        </w:rPr>
      </w:pPr>
    </w:p>
    <w:p w14:paraId="53624931" w14:textId="77777777" w:rsidR="00294A95" w:rsidRPr="00871B59" w:rsidRDefault="00294A95" w:rsidP="00294A95"/>
    <w:p w14:paraId="3900974D" w14:textId="1FB1DD29" w:rsidR="003D5B0D" w:rsidRPr="00294A95" w:rsidRDefault="003D5B0D" w:rsidP="00294A95"/>
    <w:sectPr w:rsidR="003D5B0D" w:rsidRPr="00294A95"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AD57D" w14:textId="77777777" w:rsidR="006D7CA0" w:rsidRDefault="006D7CA0" w:rsidP="004A1847">
      <w:pPr>
        <w:spacing w:after="0" w:line="240" w:lineRule="auto"/>
      </w:pPr>
      <w:r>
        <w:separator/>
      </w:r>
    </w:p>
  </w:endnote>
  <w:endnote w:type="continuationSeparator" w:id="0">
    <w:p w14:paraId="1794AF04" w14:textId="77777777" w:rsidR="006D7CA0" w:rsidRDefault="006D7CA0" w:rsidP="004A1847">
      <w:pPr>
        <w:spacing w:after="0" w:line="240" w:lineRule="auto"/>
      </w:pPr>
      <w:r>
        <w:continuationSeparator/>
      </w:r>
    </w:p>
  </w:endnote>
  <w:endnote w:type="continuationNotice" w:id="1">
    <w:p w14:paraId="43E6EBFE" w14:textId="77777777" w:rsidR="006D7CA0" w:rsidRDefault="006D7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E5780" w14:textId="77777777" w:rsidR="006D7CA0" w:rsidRDefault="006D7CA0" w:rsidP="004A1847">
      <w:pPr>
        <w:spacing w:after="0" w:line="240" w:lineRule="auto"/>
      </w:pPr>
      <w:r>
        <w:separator/>
      </w:r>
    </w:p>
  </w:footnote>
  <w:footnote w:type="continuationSeparator" w:id="0">
    <w:p w14:paraId="61D46757" w14:textId="77777777" w:rsidR="006D7CA0" w:rsidRDefault="006D7CA0" w:rsidP="004A1847">
      <w:pPr>
        <w:spacing w:after="0" w:line="240" w:lineRule="auto"/>
      </w:pPr>
      <w:r>
        <w:continuationSeparator/>
      </w:r>
    </w:p>
  </w:footnote>
  <w:footnote w:type="continuationNotice" w:id="1">
    <w:p w14:paraId="45E4679E" w14:textId="77777777" w:rsidR="006D7CA0" w:rsidRDefault="006D7CA0">
      <w:pPr>
        <w:spacing w:after="0" w:line="240" w:lineRule="auto"/>
      </w:pPr>
    </w:p>
  </w:footnote>
  <w:footnote w:id="2">
    <w:p w14:paraId="1622067E" w14:textId="77777777" w:rsidR="00294A95" w:rsidRPr="002E6BA5" w:rsidRDefault="00294A95" w:rsidP="002E6BA5">
      <w:pPr>
        <w:pStyle w:val="Textonotapie"/>
        <w:ind w:firstLine="709"/>
        <w:jc w:val="both"/>
        <w:rPr>
          <w:rFonts w:ascii="Verdana" w:hAnsi="Verdana" w:cs="Arial"/>
          <w:color w:val="000000" w:themeColor="text1"/>
          <w:sz w:val="12"/>
          <w:szCs w:val="12"/>
        </w:rPr>
      </w:pPr>
      <w:r w:rsidRPr="002E6BA5">
        <w:rPr>
          <w:rStyle w:val="Refdenotaalpie"/>
          <w:rFonts w:ascii="Verdana" w:hAnsi="Verdana" w:cs="Arial"/>
          <w:color w:val="000000" w:themeColor="text1"/>
          <w:sz w:val="12"/>
          <w:szCs w:val="12"/>
        </w:rPr>
        <w:footnoteRef/>
      </w:r>
      <w:r w:rsidRPr="002E6BA5">
        <w:rPr>
          <w:rFonts w:ascii="Verdana" w:hAnsi="Verdana" w:cs="Arial"/>
          <w:color w:val="000000" w:themeColor="text1"/>
          <w:sz w:val="12"/>
          <w:szCs w:val="12"/>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25FCF3D" w14:textId="77777777" w:rsidR="00294A95" w:rsidRPr="002E6BA5" w:rsidRDefault="00294A95" w:rsidP="002E6BA5">
      <w:pPr>
        <w:pStyle w:val="Textonotapie"/>
        <w:ind w:firstLine="709"/>
        <w:jc w:val="both"/>
        <w:rPr>
          <w:rFonts w:ascii="Verdana" w:hAnsi="Verdana" w:cs="Arial"/>
          <w:color w:val="000000" w:themeColor="text1"/>
          <w:sz w:val="12"/>
          <w:szCs w:val="12"/>
        </w:rPr>
      </w:pPr>
      <w:r w:rsidRPr="002E6BA5">
        <w:rPr>
          <w:rFonts w:ascii="Verdana" w:hAnsi="Verdana" w:cs="Arial"/>
          <w:color w:val="000000" w:themeColor="text1"/>
          <w:sz w:val="12"/>
          <w:szCs w:val="12"/>
        </w:rPr>
        <w:t>Lo anterior, sin perjuicio de las publicaciones previstas en el numeral 3 del artículo 30 de la Ley 80 de 1993.</w:t>
      </w:r>
    </w:p>
    <w:p w14:paraId="209E2B3B" w14:textId="77777777" w:rsidR="00294A95" w:rsidRPr="002E6BA5" w:rsidRDefault="00294A95" w:rsidP="002E6BA5">
      <w:pPr>
        <w:pStyle w:val="Textonotapie"/>
        <w:ind w:firstLine="709"/>
        <w:jc w:val="both"/>
        <w:rPr>
          <w:rFonts w:ascii="Verdana" w:hAnsi="Verdana" w:cs="Arial"/>
          <w:color w:val="000000" w:themeColor="text1"/>
          <w:sz w:val="12"/>
          <w:szCs w:val="12"/>
        </w:rPr>
      </w:pPr>
      <w:r w:rsidRPr="002E6BA5">
        <w:rPr>
          <w:rFonts w:ascii="Verdana" w:hAnsi="Verdana" w:cs="Arial"/>
          <w:color w:val="000000" w:themeColor="text1"/>
          <w:sz w:val="12"/>
          <w:szCs w:val="12"/>
        </w:rPr>
        <w:t xml:space="preserve">Con el fin de materializar los objetivos a que se refiere el inciso anterior, el Gobierno Nacional desarrollará el Sistema Electrónico para la Contratación Pública, Secop, el cual: </w:t>
      </w:r>
    </w:p>
    <w:p w14:paraId="6EED48A1" w14:textId="77777777" w:rsidR="00294A95" w:rsidRPr="002E6BA5" w:rsidRDefault="00294A95" w:rsidP="002E6BA5">
      <w:pPr>
        <w:pStyle w:val="Textonotapie"/>
        <w:ind w:firstLine="709"/>
        <w:jc w:val="both"/>
        <w:rPr>
          <w:rFonts w:ascii="Verdana" w:hAnsi="Verdana" w:cs="Arial"/>
          <w:color w:val="000000" w:themeColor="text1"/>
          <w:sz w:val="12"/>
          <w:szCs w:val="12"/>
        </w:rPr>
      </w:pPr>
      <w:r w:rsidRPr="002E6BA5">
        <w:rPr>
          <w:rFonts w:ascii="Verdana" w:hAnsi="Verdana" w:cs="Arial"/>
          <w:color w:val="000000" w:themeColor="text1"/>
          <w:sz w:val="12"/>
          <w:szCs w:val="12"/>
        </w:rPr>
        <w:t>[…]</w:t>
      </w:r>
    </w:p>
    <w:p w14:paraId="20082C4C" w14:textId="77777777" w:rsidR="00294A95" w:rsidRPr="002E6BA5" w:rsidRDefault="00294A95" w:rsidP="002E6BA5">
      <w:pPr>
        <w:pStyle w:val="Textonotapie"/>
        <w:ind w:firstLine="709"/>
        <w:jc w:val="both"/>
        <w:rPr>
          <w:rFonts w:ascii="Verdana" w:hAnsi="Verdana" w:cs="Arial"/>
          <w:color w:val="000000" w:themeColor="text1"/>
          <w:sz w:val="12"/>
          <w:szCs w:val="12"/>
        </w:rPr>
      </w:pPr>
      <w:r w:rsidRPr="002E6BA5">
        <w:rPr>
          <w:rFonts w:ascii="Verdana" w:hAnsi="Verdana" w:cs="Arial"/>
          <w:color w:val="000000" w:themeColor="text1"/>
          <w:sz w:val="12"/>
          <w:szCs w:val="12"/>
        </w:rPr>
        <w:t xml:space="preserve">c) Contará con la información oficial de la contratación realizada con dineros públicos, para lo cual establecerá los patrones a que haya lugar y se encargará de su difusión a través de canales electrónico”. </w:t>
      </w:r>
    </w:p>
    <w:p w14:paraId="749810FC" w14:textId="77777777" w:rsidR="00294A95" w:rsidRPr="002E6BA5" w:rsidRDefault="00294A95" w:rsidP="002E6BA5">
      <w:pPr>
        <w:pStyle w:val="Textonotapie"/>
        <w:ind w:firstLine="709"/>
        <w:jc w:val="both"/>
        <w:rPr>
          <w:rFonts w:ascii="Verdana" w:hAnsi="Verdana" w:cs="Arial"/>
          <w:color w:val="000000" w:themeColor="text1"/>
          <w:sz w:val="12"/>
          <w:szCs w:val="12"/>
          <w:lang w:val="es-CO"/>
        </w:rPr>
      </w:pPr>
    </w:p>
  </w:footnote>
  <w:footnote w:id="3">
    <w:p w14:paraId="08D0884A" w14:textId="77777777" w:rsidR="00294A95" w:rsidRPr="002E6BA5" w:rsidRDefault="00294A95" w:rsidP="002E6BA5">
      <w:pPr>
        <w:pStyle w:val="Textonotapie"/>
        <w:ind w:firstLine="709"/>
        <w:jc w:val="both"/>
        <w:rPr>
          <w:rFonts w:ascii="Verdana" w:hAnsi="Verdana" w:cs="Arial"/>
          <w:color w:val="000000"/>
          <w:sz w:val="12"/>
          <w:szCs w:val="12"/>
        </w:rPr>
      </w:pPr>
      <w:r w:rsidRPr="002E6BA5">
        <w:rPr>
          <w:rStyle w:val="Refdenotaalpie"/>
          <w:rFonts w:ascii="Verdana" w:hAnsi="Verdana" w:cs="Arial"/>
          <w:color w:val="000000"/>
          <w:sz w:val="12"/>
          <w:szCs w:val="12"/>
        </w:rPr>
        <w:footnoteRef/>
      </w:r>
      <w:r w:rsidRPr="002E6BA5">
        <w:rPr>
          <w:rFonts w:ascii="Verdana" w:hAnsi="Verdana" w:cs="Arial"/>
          <w:color w:val="000000"/>
          <w:sz w:val="12"/>
          <w:szCs w:val="12"/>
        </w:rPr>
        <w:t xml:space="preserve"> C</w:t>
      </w:r>
      <w:proofErr w:type="spellStart"/>
      <w:r w:rsidRPr="002E6BA5">
        <w:rPr>
          <w:rFonts w:ascii="Verdana" w:eastAsia="Times New Roman" w:hAnsi="Verdana" w:cs="Arial"/>
          <w:color w:val="000000"/>
          <w:sz w:val="12"/>
          <w:szCs w:val="12"/>
          <w:lang w:val="es-ES" w:eastAsia="es-ES"/>
        </w:rPr>
        <w:t>orte</w:t>
      </w:r>
      <w:proofErr w:type="spellEnd"/>
      <w:r w:rsidRPr="002E6BA5">
        <w:rPr>
          <w:rFonts w:ascii="Verdana" w:eastAsia="Times New Roman" w:hAnsi="Verdana" w:cs="Arial"/>
          <w:color w:val="000000"/>
          <w:sz w:val="12"/>
          <w:szCs w:val="12"/>
          <w:lang w:val="es-ES" w:eastAsia="es-ES"/>
        </w:rPr>
        <w:t xml:space="preserve"> Constitucional. Sentencia C‒274 de 9 de mayo de 2013. M.P. Mar</w:t>
      </w:r>
      <w:r w:rsidRPr="002E6BA5">
        <w:rPr>
          <w:rFonts w:ascii="Verdana" w:eastAsia="Times New Roman" w:hAnsi="Verdana" w:cs="Century Gothic"/>
          <w:color w:val="000000"/>
          <w:sz w:val="12"/>
          <w:szCs w:val="12"/>
          <w:lang w:val="es-ES" w:eastAsia="es-ES"/>
        </w:rPr>
        <w:t>í</w:t>
      </w:r>
      <w:r w:rsidRPr="002E6BA5">
        <w:rPr>
          <w:rFonts w:ascii="Verdana" w:eastAsia="Times New Roman" w:hAnsi="Verdana" w:cs="Arial"/>
          <w:color w:val="000000"/>
          <w:sz w:val="12"/>
          <w:szCs w:val="12"/>
          <w:lang w:val="es-ES" w:eastAsia="es-ES"/>
        </w:rPr>
        <w:t xml:space="preserve">a Victoria Calle Correa. </w:t>
      </w:r>
    </w:p>
    <w:p w14:paraId="4309325C" w14:textId="77777777" w:rsidR="00294A95" w:rsidRPr="002E6BA5" w:rsidRDefault="00294A95" w:rsidP="002E6BA5">
      <w:pPr>
        <w:pStyle w:val="Textonotapie"/>
        <w:ind w:firstLine="709"/>
        <w:jc w:val="both"/>
        <w:rPr>
          <w:rFonts w:ascii="Verdana" w:hAnsi="Verdana" w:cs="Arial"/>
          <w:color w:val="000000"/>
          <w:sz w:val="12"/>
          <w:szCs w:val="12"/>
          <w:lang w:val="es-CO"/>
        </w:rPr>
      </w:pPr>
    </w:p>
  </w:footnote>
  <w:footnote w:id="4">
    <w:p w14:paraId="52DDC518" w14:textId="77777777" w:rsidR="00294A95" w:rsidRPr="002E6BA5" w:rsidRDefault="00294A95" w:rsidP="002E6BA5">
      <w:pPr>
        <w:pStyle w:val="Textonotapie"/>
        <w:ind w:firstLine="708"/>
        <w:jc w:val="both"/>
        <w:rPr>
          <w:rFonts w:ascii="Verdana" w:hAnsi="Verdana" w:cs="Arial"/>
          <w:color w:val="000000"/>
          <w:sz w:val="12"/>
          <w:szCs w:val="12"/>
        </w:rPr>
      </w:pPr>
      <w:r w:rsidRPr="002E6BA5">
        <w:rPr>
          <w:rStyle w:val="Refdenotaalpie"/>
          <w:rFonts w:ascii="Verdana" w:hAnsi="Verdana" w:cs="Arial"/>
          <w:color w:val="000000"/>
          <w:sz w:val="12"/>
          <w:szCs w:val="12"/>
        </w:rPr>
        <w:footnoteRef/>
      </w:r>
      <w:r w:rsidRPr="002E6BA5">
        <w:rPr>
          <w:rFonts w:ascii="Verdana" w:hAnsi="Verdana" w:cs="Arial"/>
          <w:color w:val="000000"/>
          <w:sz w:val="12"/>
          <w:szCs w:val="12"/>
        </w:rPr>
        <w:t xml:space="preserve"> Decreto 4170 de 2011: “Artículo 3. Funciones: La Agencia Nacional de Contratación Pública –Colombia Compra Eficiente– ejercerá las siguientes funciones: [...]</w:t>
      </w:r>
    </w:p>
    <w:p w14:paraId="20DF031C" w14:textId="77777777" w:rsidR="00294A95" w:rsidRPr="002E6BA5" w:rsidRDefault="00294A95" w:rsidP="002E6BA5">
      <w:pPr>
        <w:pStyle w:val="Textonotapie"/>
        <w:ind w:firstLine="708"/>
        <w:jc w:val="both"/>
        <w:rPr>
          <w:rFonts w:ascii="Verdana" w:hAnsi="Verdana" w:cs="Arial"/>
          <w:color w:val="000000"/>
          <w:sz w:val="12"/>
          <w:szCs w:val="12"/>
        </w:rPr>
      </w:pPr>
      <w:r w:rsidRPr="002E6BA5">
        <w:rPr>
          <w:rFonts w:ascii="Verdana" w:hAnsi="Verdana" w:cs="Arial"/>
          <w:color w:val="000000"/>
          <w:sz w:val="12"/>
          <w:szCs w:val="12"/>
        </w:rPr>
        <w:t xml:space="preserve">8. Desarrollar y administrar el Sistema Electrónico para la Contratación Pública (SECOP) o el que haga sus veces, y gestionar nuevos desarrollos tecnológicos en los asuntos de su competencia, teniendo en cuenta los parámetros fijados por el Consejo </w:t>
      </w:r>
      <w:proofErr w:type="gramStart"/>
      <w:r w:rsidRPr="002E6BA5">
        <w:rPr>
          <w:rFonts w:ascii="Verdana" w:hAnsi="Verdana" w:cs="Arial"/>
          <w:color w:val="000000"/>
          <w:sz w:val="12"/>
          <w:szCs w:val="12"/>
        </w:rPr>
        <w:t>Directivo.[...]</w:t>
      </w:r>
      <w:proofErr w:type="gramEnd"/>
      <w:r w:rsidRPr="002E6BA5">
        <w:rPr>
          <w:rFonts w:ascii="Verdana" w:hAnsi="Verdana" w:cs="Arial"/>
          <w:color w:val="000000"/>
          <w:sz w:val="12"/>
          <w:szCs w:val="12"/>
        </w:rPr>
        <w:t>”.</w:t>
      </w:r>
    </w:p>
  </w:footnote>
  <w:footnote w:id="5">
    <w:p w14:paraId="45B0814F" w14:textId="640B1B7E" w:rsidR="00B635CA" w:rsidRPr="002E6BA5" w:rsidRDefault="00B635CA" w:rsidP="002E6BA5">
      <w:pPr>
        <w:pStyle w:val="Textonotapie"/>
        <w:ind w:firstLine="708"/>
        <w:rPr>
          <w:rFonts w:ascii="Verdana" w:hAnsi="Verdana"/>
          <w:sz w:val="12"/>
          <w:szCs w:val="12"/>
          <w:lang w:val="es-CO"/>
        </w:rPr>
      </w:pPr>
      <w:r w:rsidRPr="002E6BA5">
        <w:rPr>
          <w:rStyle w:val="Refdenotaalpie"/>
          <w:rFonts w:ascii="Verdana" w:hAnsi="Verdana"/>
          <w:sz w:val="12"/>
          <w:szCs w:val="12"/>
        </w:rPr>
        <w:footnoteRef/>
      </w:r>
      <w:r w:rsidRPr="002E6BA5">
        <w:rPr>
          <w:rFonts w:ascii="Verdana" w:hAnsi="Verdana"/>
          <w:sz w:val="12"/>
          <w:szCs w:val="12"/>
        </w:rPr>
        <w:t xml:space="preserve"> </w:t>
      </w:r>
      <w:r w:rsidR="004B4539" w:rsidRPr="002E6BA5">
        <w:rPr>
          <w:rFonts w:ascii="Verdana" w:hAnsi="Verdana"/>
          <w:sz w:val="12"/>
          <w:szCs w:val="12"/>
        </w:rPr>
        <w:t xml:space="preserve">Disponible en: </w:t>
      </w:r>
      <w:hyperlink r:id="rId1" w:history="1">
        <w:r w:rsidR="004B4539" w:rsidRPr="002E6BA5">
          <w:rPr>
            <w:rStyle w:val="Hipervnculo"/>
            <w:rFonts w:ascii="Verdana" w:hAnsi="Verdana"/>
            <w:color w:val="4472C4" w:themeColor="accent1"/>
            <w:sz w:val="12"/>
            <w:szCs w:val="12"/>
          </w:rPr>
          <w:t>https://www.colombiacompra.gov.co/sites/cce_public/files/cce_circulares/circular-externa_no._003_-_obligatoriedad_secop_ii_2024-2025.pdf</w:t>
        </w:r>
      </w:hyperlink>
      <w:r w:rsidR="004B4539" w:rsidRPr="002E6BA5">
        <w:rPr>
          <w:rFonts w:ascii="Verdana" w:hAnsi="Verdana"/>
          <w:color w:val="4472C4" w:themeColor="accent1"/>
          <w:sz w:val="12"/>
          <w:szCs w:val="12"/>
        </w:rPr>
        <w:t xml:space="preserve"> </w:t>
      </w:r>
    </w:p>
  </w:footnote>
  <w:footnote w:id="6">
    <w:p w14:paraId="07551423" w14:textId="0E10B2E3" w:rsidR="000B22E1" w:rsidRPr="002E6BA5" w:rsidRDefault="000B22E1" w:rsidP="002E6BA5">
      <w:pPr>
        <w:pStyle w:val="Textonotapie"/>
        <w:ind w:firstLine="708"/>
        <w:rPr>
          <w:rFonts w:ascii="Verdana" w:hAnsi="Verdana"/>
          <w:sz w:val="12"/>
          <w:szCs w:val="12"/>
          <w:lang w:val="es-CO"/>
        </w:rPr>
      </w:pPr>
      <w:r w:rsidRPr="002E6BA5">
        <w:rPr>
          <w:rStyle w:val="Refdenotaalpie"/>
          <w:rFonts w:ascii="Verdana" w:hAnsi="Verdana"/>
          <w:sz w:val="12"/>
          <w:szCs w:val="12"/>
        </w:rPr>
        <w:footnoteRef/>
      </w:r>
      <w:r w:rsidRPr="002E6BA5">
        <w:rPr>
          <w:rFonts w:ascii="Verdana" w:hAnsi="Verdana"/>
          <w:sz w:val="12"/>
          <w:szCs w:val="12"/>
        </w:rPr>
        <w:t xml:space="preserve"> </w:t>
      </w:r>
      <w:r w:rsidR="00F60206" w:rsidRPr="002E6BA5">
        <w:rPr>
          <w:rFonts w:ascii="Verdana" w:hAnsi="Verdana"/>
          <w:sz w:val="12"/>
          <w:szCs w:val="12"/>
          <w:lang w:val="es-CO"/>
        </w:rPr>
        <w:t>Boletines trimestrales del sector TIC</w:t>
      </w:r>
      <w:r w:rsidR="004B4539" w:rsidRPr="002E6BA5">
        <w:rPr>
          <w:rFonts w:ascii="Verdana" w:hAnsi="Verdana"/>
          <w:sz w:val="12"/>
          <w:szCs w:val="12"/>
          <w:lang w:val="es-CO"/>
        </w:rPr>
        <w:t>. Disponible en:</w:t>
      </w:r>
      <w:r w:rsidR="00F60206" w:rsidRPr="002E6BA5">
        <w:rPr>
          <w:rFonts w:ascii="Verdana" w:hAnsi="Verdana"/>
          <w:sz w:val="12"/>
          <w:szCs w:val="12"/>
          <w:lang w:val="es-CO"/>
        </w:rPr>
        <w:t xml:space="preserve"> </w:t>
      </w:r>
      <w:hyperlink r:id="rId2" w:history="1">
        <w:r w:rsidR="00F60206" w:rsidRPr="002E6BA5">
          <w:rPr>
            <w:rStyle w:val="Hipervnculo"/>
            <w:rFonts w:ascii="Verdana" w:hAnsi="Verdana"/>
            <w:color w:val="4472C4" w:themeColor="accent1"/>
            <w:sz w:val="12"/>
            <w:szCs w:val="12"/>
            <w:lang w:val="es-CO"/>
          </w:rPr>
          <w:t>https://colombiatic.mintic.gov.co/679/w3-channel.html</w:t>
        </w:r>
      </w:hyperlink>
      <w:r w:rsidR="00F60206" w:rsidRPr="002E6BA5">
        <w:rPr>
          <w:rFonts w:ascii="Verdana" w:hAnsi="Verdana"/>
          <w:color w:val="4472C4" w:themeColor="accent1"/>
          <w:sz w:val="12"/>
          <w:szCs w:val="12"/>
          <w:lang w:val="es-CO"/>
        </w:rPr>
        <w:t xml:space="preserve"> </w:t>
      </w:r>
    </w:p>
  </w:footnote>
  <w:footnote w:id="7">
    <w:p w14:paraId="67FAD077" w14:textId="650A42AD" w:rsidR="00FD2AC0" w:rsidRPr="002E6BA5" w:rsidRDefault="00FD2AC0" w:rsidP="002E6BA5">
      <w:pPr>
        <w:pStyle w:val="Textonotapie"/>
        <w:ind w:firstLine="708"/>
        <w:rPr>
          <w:rFonts w:ascii="Verdana" w:hAnsi="Verdana"/>
          <w:sz w:val="12"/>
          <w:szCs w:val="12"/>
          <w:lang w:val="es-CO"/>
        </w:rPr>
      </w:pPr>
      <w:r w:rsidRPr="002E6BA5">
        <w:rPr>
          <w:rStyle w:val="Refdenotaalpie"/>
          <w:rFonts w:ascii="Verdana" w:hAnsi="Verdana"/>
          <w:sz w:val="12"/>
          <w:szCs w:val="12"/>
        </w:rPr>
        <w:footnoteRef/>
      </w:r>
      <w:r w:rsidRPr="002E6BA5">
        <w:rPr>
          <w:rFonts w:ascii="Verdana" w:hAnsi="Verdana"/>
          <w:sz w:val="12"/>
          <w:szCs w:val="12"/>
        </w:rPr>
        <w:t xml:space="preserve"> </w:t>
      </w:r>
      <w:r w:rsidRPr="002E6BA5">
        <w:rPr>
          <w:rFonts w:ascii="Verdana" w:hAnsi="Verdana"/>
          <w:sz w:val="12"/>
          <w:szCs w:val="12"/>
          <w:lang w:val="es-CO"/>
        </w:rPr>
        <w:t>El porcentaje de penetración de internet fijo es un insumo que permite tener un panorama general sobre el acceso a internet en los municipios del país que pueden implementar la plataforma transaccional SECOP ll.</w:t>
      </w:r>
    </w:p>
  </w:footnote>
  <w:footnote w:id="8">
    <w:p w14:paraId="5C89EB89" w14:textId="63387E1D" w:rsidR="000E374F" w:rsidRPr="002E6BA5" w:rsidRDefault="000E374F" w:rsidP="002E6BA5">
      <w:pPr>
        <w:pStyle w:val="Textonotapie"/>
        <w:ind w:firstLine="708"/>
        <w:rPr>
          <w:rFonts w:ascii="Verdana" w:hAnsi="Verdana"/>
          <w:sz w:val="12"/>
          <w:szCs w:val="12"/>
          <w:lang w:val="es-CO"/>
        </w:rPr>
      </w:pPr>
      <w:r w:rsidRPr="002E6BA5">
        <w:rPr>
          <w:rStyle w:val="Refdenotaalpie"/>
          <w:rFonts w:ascii="Verdana" w:hAnsi="Verdana"/>
          <w:sz w:val="12"/>
          <w:szCs w:val="12"/>
        </w:rPr>
        <w:footnoteRef/>
      </w:r>
      <w:r w:rsidRPr="002E6BA5">
        <w:rPr>
          <w:rFonts w:ascii="Verdana" w:hAnsi="Verdana"/>
          <w:sz w:val="12"/>
          <w:szCs w:val="12"/>
        </w:rPr>
        <w:t xml:space="preserve"> </w:t>
      </w:r>
      <w:r w:rsidR="00372506" w:rsidRPr="002E6BA5">
        <w:rPr>
          <w:rFonts w:ascii="Verdana" w:hAnsi="Verdana"/>
          <w:sz w:val="12"/>
          <w:szCs w:val="12"/>
        </w:rPr>
        <w:t xml:space="preserve">Disponible en: </w:t>
      </w:r>
      <w:hyperlink r:id="rId3" w:history="1">
        <w:r w:rsidR="00372506" w:rsidRPr="002E6BA5">
          <w:rPr>
            <w:rStyle w:val="Hipervnculo"/>
            <w:rFonts w:ascii="Verdana" w:hAnsi="Verdana"/>
            <w:color w:val="4472C4" w:themeColor="accent1"/>
            <w:sz w:val="12"/>
            <w:szCs w:val="12"/>
          </w:rPr>
          <w:t>https://www.colombiacompra.gov.co/sites/cce_public/files/cce_circulares/anexo_no._1_circular_externa_de_obligatoriedad_2024-2025.pdf</w:t>
        </w:r>
      </w:hyperlink>
      <w:r w:rsidR="00372506" w:rsidRPr="002E6BA5">
        <w:rPr>
          <w:rFonts w:ascii="Verdana" w:hAnsi="Verdana"/>
          <w:color w:val="4472C4" w:themeColor="accent1"/>
          <w:sz w:val="12"/>
          <w:szCs w:val="12"/>
        </w:rPr>
        <w:t xml:space="preserve"> </w:t>
      </w:r>
    </w:p>
  </w:footnote>
  <w:footnote w:id="9">
    <w:p w14:paraId="2447E5CA" w14:textId="09281C41" w:rsidR="00E77E41" w:rsidRPr="002E6BA5" w:rsidRDefault="00E77E41" w:rsidP="002E6BA5">
      <w:pPr>
        <w:pStyle w:val="Textonotapie"/>
        <w:ind w:firstLine="708"/>
        <w:rPr>
          <w:rFonts w:ascii="Verdana" w:hAnsi="Verdana"/>
          <w:sz w:val="12"/>
          <w:szCs w:val="12"/>
          <w:lang w:val="es-CO"/>
        </w:rPr>
      </w:pPr>
      <w:r w:rsidRPr="002E6BA5">
        <w:rPr>
          <w:rStyle w:val="Refdenotaalpie"/>
          <w:rFonts w:ascii="Verdana" w:hAnsi="Verdana"/>
          <w:sz w:val="12"/>
          <w:szCs w:val="12"/>
        </w:rPr>
        <w:footnoteRef/>
      </w:r>
      <w:r w:rsidRPr="002E6BA5">
        <w:rPr>
          <w:rFonts w:ascii="Verdana" w:hAnsi="Verdana"/>
          <w:sz w:val="12"/>
          <w:szCs w:val="12"/>
        </w:rPr>
        <w:t xml:space="preserve"> </w:t>
      </w:r>
      <w:r w:rsidRPr="002E6BA5">
        <w:rPr>
          <w:rFonts w:ascii="Verdana" w:hAnsi="Verdana"/>
          <w:sz w:val="12"/>
          <w:szCs w:val="12"/>
          <w:lang w:val="es-CO"/>
        </w:rPr>
        <w:t>[…] las entidades estatales deben garantizar las condiciones técnicas mínimas, así como, contar con disponibilidad y calidad de conectividad con un ancho de banda superior o igual a los 10 Mbps (Megabits por Segundo – Mbps-) de internet dedicado teniendo en cuenta un uso exclusivo.</w:t>
      </w:r>
    </w:p>
  </w:footnote>
  <w:footnote w:id="10">
    <w:p w14:paraId="0E2BE66C" w14:textId="1F82755F" w:rsidR="00956FA8" w:rsidRPr="002E6BA5" w:rsidRDefault="00956FA8" w:rsidP="002E6BA5">
      <w:pPr>
        <w:pStyle w:val="Textonotapie"/>
        <w:ind w:firstLine="708"/>
        <w:rPr>
          <w:rFonts w:ascii="Verdana" w:hAnsi="Verdana"/>
          <w:sz w:val="12"/>
          <w:szCs w:val="12"/>
          <w:lang w:val="es-CO"/>
        </w:rPr>
      </w:pPr>
      <w:r w:rsidRPr="002E6BA5">
        <w:rPr>
          <w:rStyle w:val="Refdenotaalpie"/>
          <w:rFonts w:ascii="Verdana" w:hAnsi="Verdana"/>
          <w:sz w:val="12"/>
          <w:szCs w:val="12"/>
        </w:rPr>
        <w:footnoteRef/>
      </w:r>
      <w:r w:rsidRPr="002E6BA5">
        <w:rPr>
          <w:rFonts w:ascii="Verdana" w:hAnsi="Verdana"/>
          <w:sz w:val="12"/>
          <w:szCs w:val="12"/>
        </w:rPr>
        <w:t xml:space="preserve"> </w:t>
      </w:r>
      <w:r w:rsidRPr="002E6BA5">
        <w:rPr>
          <w:rFonts w:ascii="Verdana" w:hAnsi="Verdana"/>
          <w:sz w:val="12"/>
          <w:szCs w:val="12"/>
          <w:lang w:val="es-CO"/>
        </w:rPr>
        <w:t xml:space="preserve">Canal PQRSD </w:t>
      </w:r>
      <w:hyperlink r:id="rId4" w:anchor="/home" w:history="1">
        <w:r w:rsidRPr="002E6BA5">
          <w:rPr>
            <w:rStyle w:val="Hipervnculo"/>
            <w:rFonts w:ascii="Verdana" w:hAnsi="Verdana"/>
            <w:color w:val="4472C4" w:themeColor="accent1"/>
            <w:sz w:val="12"/>
            <w:szCs w:val="12"/>
            <w:lang w:val="es-CO"/>
          </w:rPr>
          <w:t>https://pqrs.colombiacompra.gov.co/index.html#/home</w:t>
        </w:r>
      </w:hyperlink>
      <w:r w:rsidRPr="002E6BA5">
        <w:rPr>
          <w:rFonts w:ascii="Verdana" w:hAnsi="Verdana"/>
          <w:color w:val="4472C4" w:themeColor="accent1"/>
          <w:sz w:val="12"/>
          <w:szCs w:val="12"/>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2929BB"/>
    <w:multiLevelType w:val="hybridMultilevel"/>
    <w:tmpl w:val="AACCE868"/>
    <w:lvl w:ilvl="0" w:tplc="2A9E3BE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40844D8"/>
    <w:multiLevelType w:val="hybridMultilevel"/>
    <w:tmpl w:val="A5C4E1CA"/>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3" w15:restartNumberingAfterBreak="0">
    <w:nsid w:val="66EF3708"/>
    <w:multiLevelType w:val="multilevel"/>
    <w:tmpl w:val="E46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3"/>
  </w:num>
  <w:num w:numId="14" w16cid:durableId="895897244">
    <w:abstractNumId w:val="17"/>
  </w:num>
  <w:num w:numId="15" w16cid:durableId="390349800">
    <w:abstractNumId w:val="11"/>
  </w:num>
  <w:num w:numId="16" w16cid:durableId="341274352">
    <w:abstractNumId w:val="0"/>
  </w:num>
  <w:num w:numId="17" w16cid:durableId="679089576">
    <w:abstractNumId w:val="10"/>
  </w:num>
  <w:num w:numId="18" w16cid:durableId="919097288">
    <w:abstractNumId w:val="13"/>
  </w:num>
  <w:num w:numId="19" w16cid:durableId="1251937242">
    <w:abstractNumId w:val="12"/>
  </w:num>
  <w:num w:numId="20" w16cid:durableId="589126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2499D"/>
    <w:rsid w:val="000314F9"/>
    <w:rsid w:val="00032D59"/>
    <w:rsid w:val="00046945"/>
    <w:rsid w:val="00056D0E"/>
    <w:rsid w:val="00061B2A"/>
    <w:rsid w:val="00082362"/>
    <w:rsid w:val="000872A6"/>
    <w:rsid w:val="00091080"/>
    <w:rsid w:val="000948CB"/>
    <w:rsid w:val="000A52E2"/>
    <w:rsid w:val="000A5C53"/>
    <w:rsid w:val="000A683E"/>
    <w:rsid w:val="000B19B9"/>
    <w:rsid w:val="000B22E1"/>
    <w:rsid w:val="000B69B0"/>
    <w:rsid w:val="000C35AE"/>
    <w:rsid w:val="000C63C8"/>
    <w:rsid w:val="000D0334"/>
    <w:rsid w:val="000D346C"/>
    <w:rsid w:val="000E374F"/>
    <w:rsid w:val="000F6486"/>
    <w:rsid w:val="00111E19"/>
    <w:rsid w:val="00113C3E"/>
    <w:rsid w:val="00114BAD"/>
    <w:rsid w:val="00125105"/>
    <w:rsid w:val="00127233"/>
    <w:rsid w:val="001511A0"/>
    <w:rsid w:val="001C5660"/>
    <w:rsid w:val="001C5915"/>
    <w:rsid w:val="001C6269"/>
    <w:rsid w:val="001D6CE9"/>
    <w:rsid w:val="001E4177"/>
    <w:rsid w:val="001F7DC6"/>
    <w:rsid w:val="00200FAE"/>
    <w:rsid w:val="00216FE3"/>
    <w:rsid w:val="0021715D"/>
    <w:rsid w:val="00236661"/>
    <w:rsid w:val="002377CE"/>
    <w:rsid w:val="002421BB"/>
    <w:rsid w:val="0024680F"/>
    <w:rsid w:val="0025796E"/>
    <w:rsid w:val="002707A2"/>
    <w:rsid w:val="002752C3"/>
    <w:rsid w:val="002827E5"/>
    <w:rsid w:val="0029049D"/>
    <w:rsid w:val="002907FA"/>
    <w:rsid w:val="00294A95"/>
    <w:rsid w:val="002951A0"/>
    <w:rsid w:val="002962BC"/>
    <w:rsid w:val="002A093D"/>
    <w:rsid w:val="002A0DD0"/>
    <w:rsid w:val="002A1436"/>
    <w:rsid w:val="002A414A"/>
    <w:rsid w:val="002A49AC"/>
    <w:rsid w:val="002A5A99"/>
    <w:rsid w:val="002A64FD"/>
    <w:rsid w:val="002B20FE"/>
    <w:rsid w:val="002C5211"/>
    <w:rsid w:val="002C7A84"/>
    <w:rsid w:val="002E4FD9"/>
    <w:rsid w:val="002E6BA5"/>
    <w:rsid w:val="002F0D75"/>
    <w:rsid w:val="00301D7E"/>
    <w:rsid w:val="00322A85"/>
    <w:rsid w:val="00324168"/>
    <w:rsid w:val="00324734"/>
    <w:rsid w:val="003325B3"/>
    <w:rsid w:val="003448F4"/>
    <w:rsid w:val="00344EE9"/>
    <w:rsid w:val="003537DC"/>
    <w:rsid w:val="00356EF5"/>
    <w:rsid w:val="00372506"/>
    <w:rsid w:val="00374773"/>
    <w:rsid w:val="00374F5E"/>
    <w:rsid w:val="00377E3E"/>
    <w:rsid w:val="00382A9B"/>
    <w:rsid w:val="003A4FEE"/>
    <w:rsid w:val="003A779E"/>
    <w:rsid w:val="003B0119"/>
    <w:rsid w:val="003C641E"/>
    <w:rsid w:val="003D0F4D"/>
    <w:rsid w:val="003D5B0D"/>
    <w:rsid w:val="003E0499"/>
    <w:rsid w:val="003E6054"/>
    <w:rsid w:val="003F3232"/>
    <w:rsid w:val="003F3941"/>
    <w:rsid w:val="00406575"/>
    <w:rsid w:val="00414C74"/>
    <w:rsid w:val="0042273B"/>
    <w:rsid w:val="0042722E"/>
    <w:rsid w:val="00441B27"/>
    <w:rsid w:val="00441F4B"/>
    <w:rsid w:val="0044528D"/>
    <w:rsid w:val="00454C73"/>
    <w:rsid w:val="00467781"/>
    <w:rsid w:val="004A1847"/>
    <w:rsid w:val="004A305D"/>
    <w:rsid w:val="004B0E5C"/>
    <w:rsid w:val="004B1441"/>
    <w:rsid w:val="004B2826"/>
    <w:rsid w:val="004B3A80"/>
    <w:rsid w:val="004B4539"/>
    <w:rsid w:val="004B75AE"/>
    <w:rsid w:val="004C0A7F"/>
    <w:rsid w:val="004C1D73"/>
    <w:rsid w:val="004D28BC"/>
    <w:rsid w:val="004E0719"/>
    <w:rsid w:val="004E367E"/>
    <w:rsid w:val="004F16CF"/>
    <w:rsid w:val="004F21C4"/>
    <w:rsid w:val="004F538A"/>
    <w:rsid w:val="004F685F"/>
    <w:rsid w:val="00504561"/>
    <w:rsid w:val="0052559A"/>
    <w:rsid w:val="005274E0"/>
    <w:rsid w:val="005354D7"/>
    <w:rsid w:val="00545718"/>
    <w:rsid w:val="0055061D"/>
    <w:rsid w:val="00552834"/>
    <w:rsid w:val="00554B83"/>
    <w:rsid w:val="005566E8"/>
    <w:rsid w:val="005674E2"/>
    <w:rsid w:val="00574867"/>
    <w:rsid w:val="00591460"/>
    <w:rsid w:val="005B3816"/>
    <w:rsid w:val="005C363E"/>
    <w:rsid w:val="005C3777"/>
    <w:rsid w:val="005C3E40"/>
    <w:rsid w:val="005C5CDC"/>
    <w:rsid w:val="005D476C"/>
    <w:rsid w:val="005E6B2B"/>
    <w:rsid w:val="005F254D"/>
    <w:rsid w:val="00617403"/>
    <w:rsid w:val="006219F8"/>
    <w:rsid w:val="00632EAD"/>
    <w:rsid w:val="0064012E"/>
    <w:rsid w:val="0064164F"/>
    <w:rsid w:val="00642C41"/>
    <w:rsid w:val="006502E5"/>
    <w:rsid w:val="00665D70"/>
    <w:rsid w:val="00671E68"/>
    <w:rsid w:val="0067489F"/>
    <w:rsid w:val="006801EE"/>
    <w:rsid w:val="006900D9"/>
    <w:rsid w:val="006930EE"/>
    <w:rsid w:val="00693D2B"/>
    <w:rsid w:val="006A5F25"/>
    <w:rsid w:val="006C1711"/>
    <w:rsid w:val="006C3377"/>
    <w:rsid w:val="006D7CA0"/>
    <w:rsid w:val="006F60F9"/>
    <w:rsid w:val="00706C16"/>
    <w:rsid w:val="00722624"/>
    <w:rsid w:val="00744313"/>
    <w:rsid w:val="00756841"/>
    <w:rsid w:val="0075737A"/>
    <w:rsid w:val="00762077"/>
    <w:rsid w:val="007649AB"/>
    <w:rsid w:val="00765E32"/>
    <w:rsid w:val="00771D0C"/>
    <w:rsid w:val="007833AC"/>
    <w:rsid w:val="00785960"/>
    <w:rsid w:val="00795810"/>
    <w:rsid w:val="00795E35"/>
    <w:rsid w:val="007A0983"/>
    <w:rsid w:val="007B24C9"/>
    <w:rsid w:val="007B268C"/>
    <w:rsid w:val="007B5049"/>
    <w:rsid w:val="007B7171"/>
    <w:rsid w:val="007C0C0F"/>
    <w:rsid w:val="007C3DC2"/>
    <w:rsid w:val="007D0E3D"/>
    <w:rsid w:val="007E5497"/>
    <w:rsid w:val="00806F5F"/>
    <w:rsid w:val="008102B8"/>
    <w:rsid w:val="008126FE"/>
    <w:rsid w:val="00820278"/>
    <w:rsid w:val="00822AE5"/>
    <w:rsid w:val="00837066"/>
    <w:rsid w:val="00840499"/>
    <w:rsid w:val="008561FD"/>
    <w:rsid w:val="00867F95"/>
    <w:rsid w:val="00877FF2"/>
    <w:rsid w:val="008843B6"/>
    <w:rsid w:val="00891928"/>
    <w:rsid w:val="008A446D"/>
    <w:rsid w:val="008B307E"/>
    <w:rsid w:val="008B3418"/>
    <w:rsid w:val="008C6656"/>
    <w:rsid w:val="008D180B"/>
    <w:rsid w:val="008F0EA7"/>
    <w:rsid w:val="008F1DED"/>
    <w:rsid w:val="009047A6"/>
    <w:rsid w:val="0091708F"/>
    <w:rsid w:val="00923EEF"/>
    <w:rsid w:val="009316F7"/>
    <w:rsid w:val="009419F9"/>
    <w:rsid w:val="00947370"/>
    <w:rsid w:val="009528CF"/>
    <w:rsid w:val="0095685E"/>
    <w:rsid w:val="00956FA8"/>
    <w:rsid w:val="00961B09"/>
    <w:rsid w:val="00965334"/>
    <w:rsid w:val="0097093E"/>
    <w:rsid w:val="00986AC5"/>
    <w:rsid w:val="009A0DFA"/>
    <w:rsid w:val="009A5F94"/>
    <w:rsid w:val="009A6981"/>
    <w:rsid w:val="009B2D26"/>
    <w:rsid w:val="009C0C1D"/>
    <w:rsid w:val="009C4335"/>
    <w:rsid w:val="009C654E"/>
    <w:rsid w:val="009C71FA"/>
    <w:rsid w:val="009C72E7"/>
    <w:rsid w:val="009D3058"/>
    <w:rsid w:val="009E716D"/>
    <w:rsid w:val="009F3A13"/>
    <w:rsid w:val="00A07864"/>
    <w:rsid w:val="00A07BDB"/>
    <w:rsid w:val="00A111EC"/>
    <w:rsid w:val="00A122D3"/>
    <w:rsid w:val="00A1457C"/>
    <w:rsid w:val="00A17F13"/>
    <w:rsid w:val="00A17FC4"/>
    <w:rsid w:val="00A20739"/>
    <w:rsid w:val="00A21AB6"/>
    <w:rsid w:val="00A21C85"/>
    <w:rsid w:val="00A2772C"/>
    <w:rsid w:val="00A33C78"/>
    <w:rsid w:val="00A37394"/>
    <w:rsid w:val="00A53030"/>
    <w:rsid w:val="00A54330"/>
    <w:rsid w:val="00A869F2"/>
    <w:rsid w:val="00A92BC2"/>
    <w:rsid w:val="00A94815"/>
    <w:rsid w:val="00A94B5C"/>
    <w:rsid w:val="00AA10C6"/>
    <w:rsid w:val="00AA3AD3"/>
    <w:rsid w:val="00AB0ADB"/>
    <w:rsid w:val="00AB5724"/>
    <w:rsid w:val="00AC4201"/>
    <w:rsid w:val="00AE5D9D"/>
    <w:rsid w:val="00AE63DA"/>
    <w:rsid w:val="00AE6B62"/>
    <w:rsid w:val="00AE7009"/>
    <w:rsid w:val="00AF29CC"/>
    <w:rsid w:val="00B01B1A"/>
    <w:rsid w:val="00B21D53"/>
    <w:rsid w:val="00B233A6"/>
    <w:rsid w:val="00B3274E"/>
    <w:rsid w:val="00B45D8F"/>
    <w:rsid w:val="00B52CF3"/>
    <w:rsid w:val="00B635CA"/>
    <w:rsid w:val="00B66319"/>
    <w:rsid w:val="00B72CD3"/>
    <w:rsid w:val="00B72FFF"/>
    <w:rsid w:val="00B92345"/>
    <w:rsid w:val="00B9251B"/>
    <w:rsid w:val="00BA23E8"/>
    <w:rsid w:val="00BB0503"/>
    <w:rsid w:val="00BC03F7"/>
    <w:rsid w:val="00BC10F4"/>
    <w:rsid w:val="00BC3D36"/>
    <w:rsid w:val="00BD768B"/>
    <w:rsid w:val="00BD7F72"/>
    <w:rsid w:val="00C03BA8"/>
    <w:rsid w:val="00C04FB3"/>
    <w:rsid w:val="00C330EB"/>
    <w:rsid w:val="00C3564C"/>
    <w:rsid w:val="00C366DC"/>
    <w:rsid w:val="00C41061"/>
    <w:rsid w:val="00C41B7F"/>
    <w:rsid w:val="00C52149"/>
    <w:rsid w:val="00C5611D"/>
    <w:rsid w:val="00C641E8"/>
    <w:rsid w:val="00C745B2"/>
    <w:rsid w:val="00C754BE"/>
    <w:rsid w:val="00C76B1C"/>
    <w:rsid w:val="00C91584"/>
    <w:rsid w:val="00C97AA4"/>
    <w:rsid w:val="00CB6357"/>
    <w:rsid w:val="00CC1B26"/>
    <w:rsid w:val="00CC2B2A"/>
    <w:rsid w:val="00CE04C2"/>
    <w:rsid w:val="00D03450"/>
    <w:rsid w:val="00D03FBC"/>
    <w:rsid w:val="00D20D85"/>
    <w:rsid w:val="00D220AC"/>
    <w:rsid w:val="00D35020"/>
    <w:rsid w:val="00D35C31"/>
    <w:rsid w:val="00D423A2"/>
    <w:rsid w:val="00D42ED2"/>
    <w:rsid w:val="00D520D8"/>
    <w:rsid w:val="00D5608C"/>
    <w:rsid w:val="00D63AC2"/>
    <w:rsid w:val="00D7383B"/>
    <w:rsid w:val="00D85632"/>
    <w:rsid w:val="00DA231B"/>
    <w:rsid w:val="00DA2525"/>
    <w:rsid w:val="00DA36AE"/>
    <w:rsid w:val="00DA7F0F"/>
    <w:rsid w:val="00DC39FC"/>
    <w:rsid w:val="00DD22F5"/>
    <w:rsid w:val="00DD68FE"/>
    <w:rsid w:val="00DE538B"/>
    <w:rsid w:val="00DE67C9"/>
    <w:rsid w:val="00DF5254"/>
    <w:rsid w:val="00E00F91"/>
    <w:rsid w:val="00E06CC3"/>
    <w:rsid w:val="00E16408"/>
    <w:rsid w:val="00E20894"/>
    <w:rsid w:val="00E245AB"/>
    <w:rsid w:val="00E2764C"/>
    <w:rsid w:val="00E27F2E"/>
    <w:rsid w:val="00E46984"/>
    <w:rsid w:val="00E50AFE"/>
    <w:rsid w:val="00E75C92"/>
    <w:rsid w:val="00E771DC"/>
    <w:rsid w:val="00E77E41"/>
    <w:rsid w:val="00E8772A"/>
    <w:rsid w:val="00E90F6B"/>
    <w:rsid w:val="00E91B78"/>
    <w:rsid w:val="00E92C27"/>
    <w:rsid w:val="00E92CA2"/>
    <w:rsid w:val="00EA0E3D"/>
    <w:rsid w:val="00EB1C5D"/>
    <w:rsid w:val="00EB7354"/>
    <w:rsid w:val="00EC38A7"/>
    <w:rsid w:val="00EC7FD1"/>
    <w:rsid w:val="00ED7384"/>
    <w:rsid w:val="00EE0CF6"/>
    <w:rsid w:val="00EE1AA8"/>
    <w:rsid w:val="00EF0D74"/>
    <w:rsid w:val="00EF323B"/>
    <w:rsid w:val="00EF68EA"/>
    <w:rsid w:val="00F0464E"/>
    <w:rsid w:val="00F04A0F"/>
    <w:rsid w:val="00F24460"/>
    <w:rsid w:val="00F31EDC"/>
    <w:rsid w:val="00F462B3"/>
    <w:rsid w:val="00F54E07"/>
    <w:rsid w:val="00F5664F"/>
    <w:rsid w:val="00F56EEC"/>
    <w:rsid w:val="00F60206"/>
    <w:rsid w:val="00F64AF0"/>
    <w:rsid w:val="00F666C4"/>
    <w:rsid w:val="00F76AFC"/>
    <w:rsid w:val="00F8074B"/>
    <w:rsid w:val="00FA47C0"/>
    <w:rsid w:val="00FB17F8"/>
    <w:rsid w:val="00FB5DD1"/>
    <w:rsid w:val="00FC2B5D"/>
    <w:rsid w:val="00FD2AC0"/>
    <w:rsid w:val="00FF0DE3"/>
    <w:rsid w:val="00FF1449"/>
    <w:rsid w:val="00FF60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94A9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94A95"/>
    <w:rPr>
      <w:rFonts w:ascii="Geomanist Light" w:hAnsi="Geomanist Light"/>
      <w:lang w:val="es-ES"/>
    </w:rPr>
  </w:style>
  <w:style w:type="character" w:styleId="Refdecomentario">
    <w:name w:val="annotation reference"/>
    <w:basedOn w:val="Fuentedeprrafopredeter"/>
    <w:uiPriority w:val="99"/>
    <w:semiHidden/>
    <w:unhideWhenUsed/>
    <w:rsid w:val="00F04A0F"/>
    <w:rPr>
      <w:sz w:val="16"/>
      <w:szCs w:val="16"/>
    </w:rPr>
  </w:style>
  <w:style w:type="paragraph" w:styleId="Textocomentario">
    <w:name w:val="annotation text"/>
    <w:basedOn w:val="Normal"/>
    <w:link w:val="TextocomentarioCar"/>
    <w:uiPriority w:val="99"/>
    <w:unhideWhenUsed/>
    <w:rsid w:val="00F04A0F"/>
    <w:pPr>
      <w:spacing w:line="240" w:lineRule="auto"/>
    </w:pPr>
    <w:rPr>
      <w:sz w:val="20"/>
      <w:szCs w:val="20"/>
    </w:rPr>
  </w:style>
  <w:style w:type="character" w:customStyle="1" w:styleId="TextocomentarioCar">
    <w:name w:val="Texto comentario Car"/>
    <w:basedOn w:val="Fuentedeprrafopredeter"/>
    <w:link w:val="Textocomentario"/>
    <w:uiPriority w:val="99"/>
    <w:rsid w:val="00F04A0F"/>
    <w:rPr>
      <w:sz w:val="20"/>
      <w:szCs w:val="20"/>
    </w:rPr>
  </w:style>
  <w:style w:type="paragraph" w:styleId="Asuntodelcomentario">
    <w:name w:val="annotation subject"/>
    <w:basedOn w:val="Textocomentario"/>
    <w:next w:val="Textocomentario"/>
    <w:link w:val="AsuntodelcomentarioCar"/>
    <w:uiPriority w:val="99"/>
    <w:semiHidden/>
    <w:unhideWhenUsed/>
    <w:rsid w:val="00F04A0F"/>
    <w:rPr>
      <w:b/>
      <w:bCs/>
    </w:rPr>
  </w:style>
  <w:style w:type="character" w:customStyle="1" w:styleId="AsuntodelcomentarioCar">
    <w:name w:val="Asunto del comentario Car"/>
    <w:basedOn w:val="TextocomentarioCar"/>
    <w:link w:val="Asuntodelcomentario"/>
    <w:uiPriority w:val="99"/>
    <w:semiHidden/>
    <w:rsid w:val="00F04A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lombiacompra.gov.co/sites/cce_public/files/cce_circulares/circular-externa_no._003_-_obligatoriedad_secop_ii_2024-2025.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manuales-guias-y-pliegos-tipo%2Fmanuales-y-guias%2Fguia-de-contratacion-publica-sostenible-y-socialmente&amp;data=05%7C02%7Csantiago.herrera%40colombiacompra.gov.co%7Cb18b651bca3a4eb8eab008dd269b400d%7C7b09041e245149d08cb179d5e3d8c1be%7C0%7C0%7C638709170414849914%7CUnknown%7CTWFpbGZsb3d8eyJFbXB0eU1hcGkiOnRydWUsIlYiOiIwLjAuMDAwMCIsIlAiOiJXaW4zMiIsIkFOIjoiTWFpbCIsIldUIjoyfQ%3D%3D%7C0%7C%7C%7C&amp;sdata=DZcOamOFLr5%2FMvTaEwyrmGH46p0E2EeVRK9EI0%2Fzyss%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graciano7@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02-documentos-tipo-para-los-procesos-de-seleccion-de-consultoria-de-obra-publica-de&amp;data=05%7C02%7Csantiago.herrera%40colombiacompra.gov.co%7Cb18b651bca3a4eb8eab008dd269b400d%7C7b09041e245149d08cb179d5e3d8c1be%7C0%7C0%7C638709170414832391%7CUnknown%7CTWFpbGZsb3d8eyJFbXB0eU1hcGkiOnRydWUsIlYiOiIwLjAuMDAwMCIsIlAiOiJXaW4zMiIsIkFOIjoiTWFpbCIsIldUIjoyfQ%3D%3D%7C0%7C%7C%7C&amp;sdata=QVD3sz0azJZZvNSHi5xF%2FpgT1wYL%2BVLBpdZyrSAKCNU%3D&amp;reserve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03-documentos-tipo-para-los-procesos-de-seleccion-de-interventoria-de-obra-publica-de&amp;data=05%7C02%7Csantiago.herrera%40colombiacompra.gov.co%7Cb18b651bca3a4eb8eab008dd269b400d%7C7b09041e245149d08cb179d5e3d8c1be%7C0%7C0%7C638709170414808332%7CUnknown%7CTWFpbGZsb3d8eyJFbXB0eU1hcGkiOnRydWUsIlYiOiIwLjAuMDAwMCIsIlAiOiJXaW4zMiIsIkFOIjoiTWFpbCIsIldUIjoyfQ%3D%3D%7C0%7C%7C%7C&amp;sdata=K7MA4S7M7cwwIPsP6WrY42WST6d89ZSAhI2oxiyLwXg%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circulares/anexo_no._1_circular_externa_de_obligatoriedad_2024-2025.pdf" TargetMode="External"/><Relationship Id="rId2" Type="http://schemas.openxmlformats.org/officeDocument/2006/relationships/hyperlink" Target="https://colombiatic.mintic.gov.co/679/w3-channel.html" TargetMode="External"/><Relationship Id="rId1" Type="http://schemas.openxmlformats.org/officeDocument/2006/relationships/hyperlink" Target="https://www.colombiacompra.gov.co/sites/cce_public/files/cce_circulares/circular-externa_no._003_-_obligatoriedad_secop_ii_2024-2025.pdf" TargetMode="External"/><Relationship Id="rId4" Type="http://schemas.openxmlformats.org/officeDocument/2006/relationships/hyperlink" Target="https://pqrs.colombiacompra.gov.co/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31b13d-89bf-4629-be1e-22fdf3dd34d4">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C830F35543C1B419FA171669882D1EB" ma:contentTypeVersion="11" ma:contentTypeDescription="Crear nuevo documento." ma:contentTypeScope="" ma:versionID="87ac2e014c1627f3a157934fa1afc361">
  <xsd:schema xmlns:xsd="http://www.w3.org/2001/XMLSchema" xmlns:xs="http://www.w3.org/2001/XMLSchema" xmlns:p="http://schemas.microsoft.com/office/2006/metadata/properties" xmlns:ns2="b531b13d-89bf-4629-be1e-22fdf3dd34d4" xmlns:ns3="8ae15d26-076e-464e-81a7-6f76a0fb3917" targetNamespace="http://schemas.microsoft.com/office/2006/metadata/properties" ma:root="true" ma:fieldsID="133582f7afd32b7a7d2673963f8b7e7b" ns2:_="" ns3:_="">
    <xsd:import namespace="b531b13d-89bf-4629-be1e-22fdf3dd34d4"/>
    <xsd:import namespace="8ae15d26-076e-464e-81a7-6f76a0fb39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b13d-89bf-4629-be1e-22fdf3dd3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b531b13d-89bf-4629-be1e-22fdf3dd34d4"/>
    <ds:schemaRef ds:uri="8ae15d26-076e-464e-81a7-6f76a0fb3917"/>
  </ds:schemaRefs>
</ds:datastoreItem>
</file>

<file path=customXml/itemProps3.xml><?xml version="1.0" encoding="utf-8"?>
<ds:datastoreItem xmlns:ds="http://schemas.openxmlformats.org/officeDocument/2006/customXml" ds:itemID="{C7D89440-89B2-4962-A5A6-DA74CCDA5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b13d-89bf-4629-be1e-22fdf3dd34d4"/>
    <ds:schemaRef ds:uri="8ae15d26-076e-464e-81a7-6f76a0fb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4037</Words>
  <Characters>22205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26190</CharactersWithSpaces>
  <SharedDoc>false</SharedDoc>
  <HLinks>
    <vt:vector size="60" baseType="variant">
      <vt:variant>
        <vt:i4>2162805</vt:i4>
      </vt:variant>
      <vt:variant>
        <vt:i4>15</vt:i4>
      </vt:variant>
      <vt:variant>
        <vt:i4>0</vt:i4>
      </vt:variant>
      <vt:variant>
        <vt:i4>5</vt:i4>
      </vt:variant>
      <vt:variant>
        <vt:lpwstr>https://nam02.safelinks.protection.outlook.com/?url=https%3A%2F%2Fwww.colombiacompra.gov.co%2Fmanuales-guias-y-pliegos-tipo%2Fmanuales-y-guias%2Fguia-de-contratacion-publica-sostenible-y-socialmente&amp;data=05%7C02%7Csantiago.herrera%40colombiacompra.gov.co%7Cb18b651bca3a4eb8eab008dd269b400d%7C7b09041e245149d08cb179d5e3d8c1be%7C0%7C0%7C638709170414849914%7CUnknown%7CTWFpbGZsb3d8eyJFbXB0eU1hcGkiOnRydWUsIlYiOiIwLjAuMDAwMCIsIlAiOiJXaW4zMiIsIkFOIjoiTWFpbCIsIldUIjoyfQ%3D%3D%7C0%7C%7C%7C&amp;sdata=DZcOamOFLr5%2FMvTaEwyrmGH46p0E2EeVRK9EI0%2Fzyss%3D&amp;reserved=0</vt:lpwstr>
      </vt:variant>
      <vt:variant>
        <vt:lpwstr/>
      </vt:variant>
      <vt:variant>
        <vt:i4>2752616</vt:i4>
      </vt:variant>
      <vt:variant>
        <vt:i4>12</vt:i4>
      </vt:variant>
      <vt:variant>
        <vt:i4>0</vt:i4>
      </vt:variant>
      <vt:variant>
        <vt:i4>5</vt:i4>
      </vt:variant>
      <vt:variant>
        <vt:lpwstr>https://nam02.safelinks.protection.outlook.com/?url=https%3A%2F%2Fwww.colombiacompra.gov.co%2Fcontent%2F02-documentos-tipo-para-los-procesos-de-seleccion-de-consultoria-de-obra-publica-de&amp;data=05%7C02%7Csantiago.herrera%40colombiacompra.gov.co%7Cb18b651bca3a4eb8eab008dd269b400d%7C7b09041e245149d08cb179d5e3d8c1be%7C0%7C0%7C638709170414832391%7CUnknown%7CTWFpbGZsb3d8eyJFbXB0eU1hcGkiOnRydWUsIlYiOiIwLjAuMDAwMCIsIlAiOiJXaW4zMiIsIkFOIjoiTWFpbCIsIldUIjoyfQ%3D%3D%7C0%7C%7C%7C&amp;sdata=QVD3sz0azJZZvNSHi5xF%2FpgT1wYL%2BVLBpdZyrSAKCNU%3D&amp;reserved=0</vt:lpwstr>
      </vt:variant>
      <vt:variant>
        <vt:lpwstr/>
      </vt:variant>
      <vt:variant>
        <vt:i4>3866682</vt:i4>
      </vt:variant>
      <vt:variant>
        <vt:i4>9</vt:i4>
      </vt:variant>
      <vt:variant>
        <vt:i4>0</vt:i4>
      </vt:variant>
      <vt:variant>
        <vt:i4>5</vt:i4>
      </vt:variant>
      <vt:variant>
        <vt:lpwstr>https://nam02.safelinks.protection.outlook.com/?url=https%3A%2F%2Fwww.colombiacompra.gov.co%2Fcontent%2F03-documentos-tipo-para-los-procesos-de-seleccion-de-interventoria-de-obra-publica-de&amp;data=05%7C02%7Csantiago.herrera%40colombiacompra.gov.co%7Cb18b651bca3a4eb8eab008dd269b400d%7C7b09041e245149d08cb179d5e3d8c1be%7C0%7C0%7C638709170414808332%7CUnknown%7CTWFpbGZsb3d8eyJFbXB0eU1hcGkiOnRydWUsIlYiOiIwLjAuMDAwMCIsIlAiOiJXaW4zMiIsIkFOIjoiTWFpbCIsIldUIjoyfQ%3D%3D%7C0%7C%7C%7C&amp;sdata=K7MA4S7M7cwwIPsP6WrY42WST6d89ZSAhI2oxiyLwXg%3D&amp;reserved=0</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8257561</vt:i4>
      </vt:variant>
      <vt:variant>
        <vt:i4>3</vt:i4>
      </vt:variant>
      <vt:variant>
        <vt:i4>0</vt:i4>
      </vt:variant>
      <vt:variant>
        <vt:i4>5</vt:i4>
      </vt:variant>
      <vt:variant>
        <vt:lpwstr>https://www.colombiacompra.gov.co/sites/cce_public/files/cce_circulares/circular-externa_no._003_-_obligatoriedad_secop_ii_2024-2025.pdf</vt:lpwstr>
      </vt:variant>
      <vt:variant>
        <vt:lpwstr/>
      </vt:variant>
      <vt:variant>
        <vt:i4>3080280</vt:i4>
      </vt:variant>
      <vt:variant>
        <vt:i4>0</vt:i4>
      </vt:variant>
      <vt:variant>
        <vt:i4>0</vt:i4>
      </vt:variant>
      <vt:variant>
        <vt:i4>5</vt:i4>
      </vt:variant>
      <vt:variant>
        <vt:lpwstr>mailto:marigraciano7@gmail.com</vt:lpwstr>
      </vt:variant>
      <vt:variant>
        <vt:lpwstr/>
      </vt:variant>
      <vt:variant>
        <vt:i4>1114205</vt:i4>
      </vt:variant>
      <vt:variant>
        <vt:i4>9</vt:i4>
      </vt:variant>
      <vt:variant>
        <vt:i4>0</vt:i4>
      </vt:variant>
      <vt:variant>
        <vt:i4>5</vt:i4>
      </vt:variant>
      <vt:variant>
        <vt:lpwstr>https://pqrs.colombiacompra.gov.co/index.html</vt:lpwstr>
      </vt:variant>
      <vt:variant>
        <vt:lpwstr>/home</vt:lpwstr>
      </vt:variant>
      <vt:variant>
        <vt:i4>6553623</vt:i4>
      </vt:variant>
      <vt:variant>
        <vt:i4>6</vt:i4>
      </vt:variant>
      <vt:variant>
        <vt:i4>0</vt:i4>
      </vt:variant>
      <vt:variant>
        <vt:i4>5</vt:i4>
      </vt:variant>
      <vt:variant>
        <vt:lpwstr>https://www.colombiacompra.gov.co/sites/cce_public/files/cce_circulares/anexo_no._1_circular_externa_de_obligatoriedad_2024-2025.pdf</vt:lpwstr>
      </vt:variant>
      <vt:variant>
        <vt:lpwstr/>
      </vt:variant>
      <vt:variant>
        <vt:i4>5767258</vt:i4>
      </vt:variant>
      <vt:variant>
        <vt:i4>3</vt:i4>
      </vt:variant>
      <vt:variant>
        <vt:i4>0</vt:i4>
      </vt:variant>
      <vt:variant>
        <vt:i4>5</vt:i4>
      </vt:variant>
      <vt:variant>
        <vt:lpwstr>https://colombiatic.mintic.gov.co/679/w3-channel.html</vt:lpwstr>
      </vt:variant>
      <vt:variant>
        <vt:lpwstr/>
      </vt:variant>
      <vt:variant>
        <vt:i4>8257561</vt:i4>
      </vt:variant>
      <vt:variant>
        <vt:i4>0</vt:i4>
      </vt:variant>
      <vt:variant>
        <vt:i4>0</vt:i4>
      </vt:variant>
      <vt:variant>
        <vt:i4>5</vt:i4>
      </vt:variant>
      <vt:variant>
        <vt:lpwstr>https://www.colombiacompra.gov.co/sites/cce_public/files/cce_circulares/circular-externa_no._003_-_obligatoriedad_secop_ii_2024-2025.pdf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6</cp:revision>
  <cp:lastPrinted>2023-01-10T21:18:00Z</cp:lastPrinted>
  <dcterms:created xsi:type="dcterms:W3CDTF">2025-01-22T19:24:00Z</dcterms:created>
  <dcterms:modified xsi:type="dcterms:W3CDTF">2025-01-27T21:12:00Z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0x0101009C830F35543C1B419FA171669882D1EB</vt:lpwstr>
  </property>
  <property fmtid="{D5CDD505-2E9C-101B-9397-08002B2CF9AE}" pid="3" name="MediaServiceImageTags">
    <vt:lpwstr/>
  </property>
</Properties>
</file>