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12D57" w14:textId="77777777" w:rsidR="00DB3196" w:rsidRPr="00DB3196" w:rsidRDefault="00DB3196" w:rsidP="00DB3196">
      <w:pPr>
        <w:spacing w:line="276" w:lineRule="auto"/>
        <w:jc w:val="both"/>
        <w:rPr>
          <w:rFonts w:ascii="Verdana" w:eastAsia="Calibri" w:hAnsi="Verdana" w:cs="Arial"/>
          <w:b/>
          <w:bCs/>
          <w:lang w:val="es-ES_tradnl" w:eastAsia="es-ES"/>
        </w:rPr>
      </w:pPr>
      <w:r w:rsidRPr="00DB3196">
        <w:rPr>
          <w:rFonts w:ascii="Verdana" w:eastAsia="Calibri" w:hAnsi="Verdana" w:cs="Arial"/>
          <w:b/>
          <w:bCs/>
          <w:lang w:val="es-ES_tradnl" w:eastAsia="es-ES"/>
        </w:rPr>
        <w:t xml:space="preserve">ENAJENACIÓN DE BIENES – modalidad de contratación </w:t>
      </w:r>
    </w:p>
    <w:p w14:paraId="31DAC7FA" w14:textId="275F53E0" w:rsidR="00DB3196" w:rsidRPr="00412F2D" w:rsidRDefault="00412F2D" w:rsidP="00412F2D">
      <w:pPr>
        <w:spacing w:after="120" w:line="240" w:lineRule="auto"/>
        <w:jc w:val="both"/>
        <w:rPr>
          <w:rFonts w:ascii="Verdana" w:eastAsia="Calibri" w:hAnsi="Verdana" w:cs="Arial"/>
          <w:b/>
          <w:bCs/>
          <w:sz w:val="20"/>
          <w:szCs w:val="20"/>
          <w:lang w:val="es-ES_tradnl" w:eastAsia="es-ES"/>
        </w:rPr>
      </w:pPr>
      <w:r>
        <w:rPr>
          <w:rFonts w:ascii="Verdana" w:hAnsi="Verdana" w:cs="Arial"/>
          <w:sz w:val="20"/>
          <w:szCs w:val="20"/>
        </w:rPr>
        <w:t>E</w:t>
      </w:r>
      <w:r w:rsidRPr="00412F2D">
        <w:rPr>
          <w:rFonts w:ascii="Verdana" w:hAnsi="Verdana" w:cs="Arial"/>
          <w:sz w:val="20"/>
          <w:szCs w:val="20"/>
        </w:rPr>
        <w:t xml:space="preserve">n relación con la modalidad de selección </w:t>
      </w:r>
      <w:r w:rsidRPr="00412F2D">
        <w:rPr>
          <w:rFonts w:ascii="Verdana" w:eastAsia="Arial" w:hAnsi="Verdana" w:cs="Arial"/>
          <w:sz w:val="20"/>
          <w:szCs w:val="20"/>
          <w:lang w:val="es-ES"/>
        </w:rPr>
        <w:t xml:space="preserve">el literal e) del numeral 2 del artículo 2 de la Ley 1150 de 2007 dispone que la enajenación de bienes del Estado, con excepción de aquellos a que se refiere la Ley 226 de 1995, se realiza a través de la modalidad de selección abreviada, para lo cual </w:t>
      </w:r>
      <w:r w:rsidRPr="00412F2D">
        <w:rPr>
          <w:rFonts w:ascii="Verdana" w:eastAsia="Arial" w:hAnsi="Verdana" w:cs="Arial"/>
          <w:sz w:val="20"/>
          <w:szCs w:val="20"/>
        </w:rPr>
        <w:t>se podrán utilizar instrumentos de subasta y en general de todos aquellos mecanismos autorizados por el derecho privado, siempre y cuando en desarrollo del proceso de enajenación se garantice la transparencia, la eficiencia y la selección objetiv</w:t>
      </w:r>
      <w:r w:rsidRPr="00412F2D">
        <w:rPr>
          <w:rFonts w:ascii="Verdana" w:eastAsia="Arial" w:hAnsi="Verdana" w:cs="Arial"/>
          <w:sz w:val="20"/>
          <w:szCs w:val="20"/>
        </w:rPr>
        <w:t>a</w:t>
      </w:r>
      <w:r w:rsidRPr="00412F2D">
        <w:rPr>
          <w:rFonts w:ascii="Verdana" w:eastAsia="Arial" w:hAnsi="Verdana" w:cs="Arial"/>
          <w:sz w:val="20"/>
          <w:szCs w:val="20"/>
        </w:rPr>
        <w:t xml:space="preserve">. </w:t>
      </w:r>
      <w:r w:rsidRPr="00412F2D">
        <w:rPr>
          <w:rFonts w:ascii="Verdana" w:eastAsia="Arial" w:hAnsi="Verdana" w:cs="Arial"/>
          <w:sz w:val="20"/>
          <w:szCs w:val="20"/>
          <w:lang w:val="es-ES"/>
        </w:rPr>
        <w:t xml:space="preserve">Adicionalmente, establece que </w:t>
      </w:r>
      <w:r w:rsidRPr="00412F2D">
        <w:rPr>
          <w:rFonts w:ascii="Verdana" w:eastAsia="Arial" w:hAnsi="Verdana" w:cs="Arial"/>
          <w:sz w:val="20"/>
          <w:szCs w:val="20"/>
        </w:rPr>
        <w:t xml:space="preserve">para la venta de los bienes se debe tener como base el valor del avalúo comercial y ajustar dicho avalúo </w:t>
      </w:r>
      <w:proofErr w:type="gramStart"/>
      <w:r w:rsidRPr="00412F2D">
        <w:rPr>
          <w:rFonts w:ascii="Verdana" w:eastAsia="Arial" w:hAnsi="Verdana" w:cs="Arial"/>
          <w:sz w:val="20"/>
          <w:szCs w:val="20"/>
        </w:rPr>
        <w:t>de acuerdo a</w:t>
      </w:r>
      <w:proofErr w:type="gramEnd"/>
      <w:r w:rsidRPr="00412F2D">
        <w:rPr>
          <w:rFonts w:ascii="Verdana" w:eastAsia="Arial" w:hAnsi="Verdana" w:cs="Arial"/>
          <w:sz w:val="20"/>
          <w:szCs w:val="20"/>
        </w:rPr>
        <w:t xml:space="preserve"> los gastos asociados al tiempo de comercialización esperada, administración, impuestos y mantenimiento, para determinar el precio mínimo al que se debe enajenar el bien, de conformidad con la reglamentación que para el efecto expida el Gobierno Nacional</w:t>
      </w:r>
      <w:r>
        <w:rPr>
          <w:rFonts w:ascii="Verdana" w:eastAsia="Arial" w:hAnsi="Verdana" w:cs="Arial"/>
          <w:sz w:val="20"/>
          <w:szCs w:val="20"/>
        </w:rPr>
        <w:t>.</w:t>
      </w:r>
    </w:p>
    <w:p w14:paraId="5008CB8A" w14:textId="1267C41A" w:rsidR="00DB3196" w:rsidRPr="00DB3196" w:rsidRDefault="00DB3196" w:rsidP="00DB3196">
      <w:pPr>
        <w:spacing w:line="276" w:lineRule="auto"/>
        <w:jc w:val="both"/>
        <w:rPr>
          <w:rFonts w:ascii="Verdana" w:eastAsia="Calibri" w:hAnsi="Verdana" w:cs="Arial"/>
          <w:b/>
          <w:bCs/>
          <w:lang w:val="es-ES_tradnl" w:eastAsia="es-ES"/>
        </w:rPr>
      </w:pPr>
      <w:r w:rsidRPr="00DB3196">
        <w:rPr>
          <w:rFonts w:ascii="Verdana" w:eastAsia="Calibri" w:hAnsi="Verdana" w:cs="Arial"/>
          <w:b/>
          <w:bCs/>
          <w:lang w:val="es-ES_tradnl" w:eastAsia="es-ES"/>
        </w:rPr>
        <w:t xml:space="preserve">MECANISMOS DE ENAJENACIÓN – Decreto 1085 de 2015 </w:t>
      </w:r>
    </w:p>
    <w:p w14:paraId="28BF1763" w14:textId="5F1220E6" w:rsidR="00DB3196" w:rsidRDefault="00412F2D" w:rsidP="00412F2D">
      <w:pPr>
        <w:pStyle w:val="Textonotapie"/>
        <w:jc w:val="both"/>
        <w:rPr>
          <w:rFonts w:ascii="Verdana" w:hAnsi="Verdana"/>
          <w:color w:val="333333"/>
          <w:shd w:val="clear" w:color="auto" w:fill="FFFFFF"/>
        </w:rPr>
      </w:pPr>
      <w:r w:rsidRPr="00412F2D">
        <w:rPr>
          <w:rFonts w:ascii="Verdana" w:eastAsia="Arial" w:hAnsi="Verdana" w:cs="Arial"/>
          <w:lang w:val="es-ES"/>
        </w:rPr>
        <w:t>L</w:t>
      </w:r>
      <w:r w:rsidRPr="00412F2D">
        <w:rPr>
          <w:rFonts w:ascii="Verdana" w:eastAsia="Arial" w:hAnsi="Verdana" w:cs="Arial"/>
          <w:lang w:val="es-ES"/>
        </w:rPr>
        <w:t xml:space="preserve">a subsección 2 de la sección 2 del capítulo II del Decreto 1082 de 2015 establece 3 mecanismos de enajenación de los bienes del Estado: i) la enajenación directa por sobre cerrado, que se llevará a cabo mediante el procedimiento allí contemplado, </w:t>
      </w:r>
      <w:proofErr w:type="spellStart"/>
      <w:r w:rsidRPr="00412F2D">
        <w:rPr>
          <w:rFonts w:ascii="Verdana" w:eastAsia="Arial" w:hAnsi="Verdana" w:cs="Arial"/>
          <w:lang w:val="es-ES"/>
        </w:rPr>
        <w:t>ii</w:t>
      </w:r>
      <w:proofErr w:type="spellEnd"/>
      <w:r w:rsidRPr="00412F2D">
        <w:rPr>
          <w:rFonts w:ascii="Verdana" w:eastAsia="Arial" w:hAnsi="Verdana" w:cs="Arial"/>
          <w:lang w:val="es-ES"/>
        </w:rPr>
        <w:t xml:space="preserve">) la enajenación directa a través de subasta pública, para lo cual la entidad deberá </w:t>
      </w:r>
      <w:r w:rsidRPr="00412F2D">
        <w:rPr>
          <w:rFonts w:ascii="Verdana" w:eastAsia="Arial" w:hAnsi="Verdana" w:cs="Arial"/>
          <w:lang w:val="es-CO"/>
        </w:rPr>
        <w:t xml:space="preserve">seguir el procedimiento establecido en el artículo 2.2.1.2.1.2.2 del Decreto 1082 de 2015 sobre subasta inversa, pero teniendo en cuenta que el bien debe ser adjudicado al oferente que haya ofrecido el mayor valor a pagar por los bienes objeto de enajenación y en consecuencia, el margen mínimo debe ser al alza, y </w:t>
      </w:r>
      <w:proofErr w:type="spellStart"/>
      <w:r w:rsidRPr="00412F2D">
        <w:rPr>
          <w:rFonts w:ascii="Verdana" w:eastAsia="Arial" w:hAnsi="Verdana" w:cs="Arial"/>
          <w:lang w:val="es-CO"/>
        </w:rPr>
        <w:t>iii</w:t>
      </w:r>
      <w:proofErr w:type="spellEnd"/>
      <w:r w:rsidRPr="00412F2D">
        <w:rPr>
          <w:rFonts w:ascii="Verdana" w:eastAsia="Arial" w:hAnsi="Verdana" w:cs="Arial"/>
          <w:lang w:val="es-CO"/>
        </w:rPr>
        <w:t xml:space="preserve">) la enajenación a través de intermediarios idóneos, en cuyo caso </w:t>
      </w:r>
      <w:r w:rsidRPr="00412F2D">
        <w:rPr>
          <w:rFonts w:ascii="Verdana" w:hAnsi="Verdana"/>
          <w:color w:val="333333"/>
          <w:shd w:val="clear" w:color="auto" w:fill="FFFFFF"/>
        </w:rPr>
        <w:t xml:space="preserve">la venta debe realizarse a través de subasta pública, o mediante el mecanismo de derecho privado que se convenga con el intermediario. </w:t>
      </w:r>
    </w:p>
    <w:p w14:paraId="0867BD08" w14:textId="77777777" w:rsidR="00412F2D" w:rsidRPr="00412F2D" w:rsidRDefault="00412F2D" w:rsidP="00412F2D">
      <w:pPr>
        <w:pStyle w:val="Textonotapie"/>
        <w:jc w:val="both"/>
        <w:rPr>
          <w:rFonts w:ascii="Verdana" w:hAnsi="Verdana"/>
          <w:color w:val="333333"/>
          <w:shd w:val="clear" w:color="auto" w:fill="FFFFFF"/>
        </w:rPr>
      </w:pPr>
    </w:p>
    <w:p w14:paraId="7C207E48" w14:textId="2AEB87A2" w:rsidR="00DB3196" w:rsidRPr="00DB3196" w:rsidRDefault="00DB3196" w:rsidP="00DB3196">
      <w:pPr>
        <w:spacing w:line="276" w:lineRule="auto"/>
        <w:jc w:val="both"/>
        <w:rPr>
          <w:rFonts w:ascii="Verdana" w:eastAsia="Calibri" w:hAnsi="Verdana" w:cs="Arial"/>
          <w:b/>
          <w:bCs/>
          <w:lang w:val="es-ES_tradnl" w:eastAsia="es-ES"/>
        </w:rPr>
      </w:pPr>
      <w:r w:rsidRPr="00DB3196">
        <w:rPr>
          <w:rFonts w:ascii="Verdana" w:eastAsia="Calibri" w:hAnsi="Verdana" w:cs="Arial"/>
          <w:b/>
          <w:bCs/>
          <w:lang w:val="es-ES_tradnl" w:eastAsia="es-ES"/>
        </w:rPr>
        <w:t xml:space="preserve">BIENES MUEBLES E INMUEBLES </w:t>
      </w:r>
    </w:p>
    <w:p w14:paraId="3CA9C446" w14:textId="77777777" w:rsidR="00412F2D" w:rsidRDefault="00412F2D" w:rsidP="00412F2D">
      <w:pPr>
        <w:pStyle w:val="Textonotapie"/>
        <w:jc w:val="both"/>
        <w:rPr>
          <w:rFonts w:ascii="Verdana" w:hAnsi="Verdana"/>
          <w:color w:val="333333"/>
          <w:shd w:val="clear" w:color="auto" w:fill="FFFFFF"/>
          <w:lang w:val="es-CO"/>
        </w:rPr>
      </w:pPr>
      <w:r>
        <w:rPr>
          <w:rFonts w:ascii="Verdana" w:hAnsi="Verdana"/>
          <w:color w:val="333333"/>
          <w:shd w:val="clear" w:color="auto" w:fill="FFFFFF"/>
        </w:rPr>
        <w:t>L</w:t>
      </w:r>
      <w:r w:rsidRPr="00412F2D">
        <w:rPr>
          <w:rFonts w:ascii="Verdana" w:hAnsi="Verdana"/>
          <w:color w:val="333333"/>
          <w:shd w:val="clear" w:color="auto" w:fill="FFFFFF"/>
        </w:rPr>
        <w:t>as reglas que deben tener en cuenta las Entidades Estatales varían dependiendo si los bienes sobre los cuales requiere realizar la enajenación son muebles o inmuebles. De esta manera, la subsección 3</w:t>
      </w:r>
      <w:r w:rsidRPr="00412F2D">
        <w:rPr>
          <w:rFonts w:ascii="Verdana" w:eastAsia="Arial" w:hAnsi="Verdana" w:cs="Arial"/>
          <w:lang w:val="es-ES"/>
        </w:rPr>
        <w:t xml:space="preserve"> de la sección 2 del capítulo II del Decreto 1082 de 2015</w:t>
      </w:r>
      <w:r w:rsidRPr="00412F2D">
        <w:rPr>
          <w:rFonts w:ascii="Verdana" w:hAnsi="Verdana"/>
          <w:color w:val="333333"/>
          <w:shd w:val="clear" w:color="auto" w:fill="FFFFFF"/>
        </w:rPr>
        <w:t xml:space="preserve"> se refiere a los bienes inmuebles y establece varios aspectos que se deberán realizar en estos casos: i)</w:t>
      </w:r>
      <w:r w:rsidRPr="00412F2D">
        <w:rPr>
          <w:rStyle w:val="nfasis"/>
          <w:rFonts w:ascii="Verdana" w:hAnsi="Verdana"/>
          <w:i w:val="0"/>
          <w:iCs w:val="0"/>
          <w:color w:val="333333"/>
          <w:shd w:val="clear" w:color="auto" w:fill="FFFFFF"/>
        </w:rPr>
        <w:t xml:space="preserve"> avaluar el bien objeto de enajenación, el cual puede</w:t>
      </w:r>
      <w:r w:rsidRPr="00412F2D">
        <w:rPr>
          <w:rFonts w:ascii="Work Sans" w:hAnsi="Work Sans"/>
          <w:color w:val="333333"/>
          <w:shd w:val="clear" w:color="auto" w:fill="FFFFFF"/>
          <w:lang w:val="es-CO"/>
        </w:rPr>
        <w:t xml:space="preserve"> </w:t>
      </w:r>
      <w:r w:rsidRPr="00412F2D">
        <w:rPr>
          <w:rFonts w:ascii="Verdana" w:hAnsi="Verdana"/>
          <w:color w:val="333333"/>
          <w:shd w:val="clear" w:color="auto" w:fill="FFFFFF"/>
          <w:lang w:val="es-CO"/>
        </w:rPr>
        <w:t xml:space="preserve">estar a cargo del Instituto Geográfico Agustín Codazzi o de una persona especializada inscrita en el Registro Nacional de </w:t>
      </w:r>
      <w:proofErr w:type="spellStart"/>
      <w:r w:rsidRPr="00412F2D">
        <w:rPr>
          <w:rFonts w:ascii="Verdana" w:hAnsi="Verdana"/>
          <w:color w:val="333333"/>
          <w:shd w:val="clear" w:color="auto" w:fill="FFFFFF"/>
          <w:lang w:val="es-CO"/>
        </w:rPr>
        <w:t>Avaluadores</w:t>
      </w:r>
      <w:proofErr w:type="spellEnd"/>
      <w:r w:rsidRPr="00412F2D">
        <w:rPr>
          <w:rFonts w:ascii="Verdana" w:hAnsi="Verdana"/>
          <w:color w:val="333333"/>
          <w:shd w:val="clear" w:color="auto" w:fill="FFFFFF"/>
          <w:lang w:val="es-CO"/>
        </w:rPr>
        <w:t xml:space="preserve"> que lleva la Superintendencia de Industria y Comercio</w:t>
      </w:r>
      <w:r w:rsidRPr="00412F2D">
        <w:rPr>
          <w:rFonts w:ascii="Verdana" w:hAnsi="Verdana"/>
          <w:color w:val="333333"/>
          <w:shd w:val="clear" w:color="auto" w:fill="FFFFFF"/>
        </w:rPr>
        <w:t xml:space="preserve">; </w:t>
      </w:r>
      <w:proofErr w:type="spellStart"/>
      <w:r w:rsidRPr="00412F2D">
        <w:rPr>
          <w:rFonts w:ascii="Verdana" w:hAnsi="Verdana"/>
          <w:color w:val="333333"/>
          <w:shd w:val="clear" w:color="auto" w:fill="FFFFFF"/>
        </w:rPr>
        <w:t>ii</w:t>
      </w:r>
      <w:proofErr w:type="spellEnd"/>
      <w:r w:rsidRPr="00412F2D">
        <w:rPr>
          <w:rFonts w:ascii="Verdana" w:hAnsi="Verdana"/>
          <w:color w:val="333333"/>
          <w:shd w:val="clear" w:color="auto" w:fill="FFFFFF"/>
        </w:rPr>
        <w:t xml:space="preserve">) </w:t>
      </w:r>
      <w:r w:rsidRPr="00412F2D">
        <w:rPr>
          <w:rStyle w:val="nfasis"/>
          <w:rFonts w:ascii="Verdana" w:hAnsi="Verdana"/>
          <w:i w:val="0"/>
          <w:iCs w:val="0"/>
          <w:color w:val="333333"/>
          <w:shd w:val="clear" w:color="auto" w:fill="FFFFFF"/>
        </w:rPr>
        <w:t xml:space="preserve">establecer el precio mínimo de venta con base en las variables señaladas en el artículo </w:t>
      </w:r>
      <w:r w:rsidRPr="00412F2D">
        <w:rPr>
          <w:rFonts w:ascii="Verdana" w:hAnsi="Verdana"/>
          <w:color w:val="333333"/>
          <w:shd w:val="clear" w:color="auto" w:fill="FFFFFF"/>
          <w:lang w:val="es-CO"/>
        </w:rPr>
        <w:t xml:space="preserve">2.2.1.2.2.3.2 del Decreto 1082 de 2015; </w:t>
      </w:r>
      <w:proofErr w:type="spellStart"/>
      <w:r w:rsidRPr="00412F2D">
        <w:rPr>
          <w:rFonts w:ascii="Verdana" w:hAnsi="Verdana"/>
          <w:color w:val="333333"/>
          <w:shd w:val="clear" w:color="auto" w:fill="FFFFFF"/>
          <w:lang w:val="es-CO"/>
        </w:rPr>
        <w:t>iii</w:t>
      </w:r>
      <w:proofErr w:type="spellEnd"/>
      <w:r w:rsidRPr="00412F2D">
        <w:rPr>
          <w:rFonts w:ascii="Verdana" w:hAnsi="Verdana"/>
          <w:color w:val="333333"/>
          <w:shd w:val="clear" w:color="auto" w:fill="FFFFFF"/>
          <w:lang w:val="es-CO"/>
        </w:rPr>
        <w:t xml:space="preserve">) la escritura pública debe otorgarse en la notaría de reparto correspondiente, dentro de los cuarenta y cinco (45) días calendario siguientes a la fecha en la cual el adjudicatario acredite el pago total del precio de venta; </w:t>
      </w:r>
      <w:proofErr w:type="spellStart"/>
      <w:r w:rsidRPr="00412F2D">
        <w:rPr>
          <w:rFonts w:ascii="Verdana" w:hAnsi="Verdana"/>
          <w:color w:val="333333"/>
          <w:shd w:val="clear" w:color="auto" w:fill="FFFFFF"/>
          <w:lang w:val="es-CO"/>
        </w:rPr>
        <w:t>iv</w:t>
      </w:r>
      <w:proofErr w:type="spellEnd"/>
      <w:r w:rsidRPr="00412F2D">
        <w:rPr>
          <w:rFonts w:ascii="Verdana" w:hAnsi="Verdana"/>
          <w:color w:val="333333"/>
          <w:shd w:val="clear" w:color="auto" w:fill="FFFFFF"/>
          <w:lang w:val="es-CO"/>
        </w:rPr>
        <w:t>) Los derechos notariales, los gastos de fotocopias, autenticaciones y los impuestos de venta y registro se liquidarán y pagarán de conformidad con las normas legales vigentes sobre la materia, y v)  se debe entregar el inmueble dentro de los treinta (30) días calendario siguientes a la fecha del registro, previa presentación del certificado de tradición y libertad en el que conste la inscripción de la escritura pública de venta del inmueble</w:t>
      </w:r>
    </w:p>
    <w:p w14:paraId="28047E8C" w14:textId="21143FC6" w:rsidR="00B30448" w:rsidRPr="00412F2D" w:rsidRDefault="00B30448" w:rsidP="00412F2D">
      <w:pPr>
        <w:pStyle w:val="Textonotapie"/>
        <w:jc w:val="both"/>
        <w:rPr>
          <w:rFonts w:ascii="Verdana" w:hAnsi="Verdana"/>
          <w:color w:val="333333"/>
          <w:sz w:val="22"/>
          <w:szCs w:val="22"/>
          <w:shd w:val="clear" w:color="auto" w:fill="FFFFFF"/>
          <w:lang w:val="es-CO"/>
        </w:rPr>
      </w:pPr>
      <w:r w:rsidRPr="00412F2D">
        <w:rPr>
          <w:rFonts w:ascii="Verdana" w:eastAsia="Geomanist Light" w:hAnsi="Verdana" w:cs="Arial"/>
          <w:color w:val="000000" w:themeColor="text1"/>
          <w:sz w:val="22"/>
          <w:szCs w:val="22"/>
        </w:rPr>
        <w:lastRenderedPageBreak/>
        <w:t>Bogotá D.C., </w:t>
      </w:r>
      <w:r w:rsidR="00412F2D" w:rsidRPr="00412F2D">
        <w:rPr>
          <w:rFonts w:ascii="Verdana" w:eastAsia="Geomanist Light" w:hAnsi="Verdana" w:cs="Arial"/>
          <w:color w:val="201F1E"/>
          <w:sz w:val="22"/>
          <w:szCs w:val="22"/>
        </w:rPr>
        <w:t>30 de diciembre de 2024</w:t>
      </w:r>
    </w:p>
    <w:p w14:paraId="1715E5B1" w14:textId="0ED43AD0" w:rsidR="00B30448" w:rsidRDefault="00B30448" w:rsidP="00CE37A3">
      <w:pPr>
        <w:spacing w:after="0" w:line="240" w:lineRule="auto"/>
        <w:jc w:val="both"/>
        <w:rPr>
          <w:rFonts w:ascii="Verdana" w:eastAsia="Calibri" w:hAnsi="Verdana" w:cs="Arial"/>
          <w:color w:val="000000"/>
          <w:lang w:val="es-ES"/>
        </w:rPr>
      </w:pPr>
    </w:p>
    <w:p w14:paraId="1C274B7E" w14:textId="1ED496C6" w:rsidR="00412F2D" w:rsidRDefault="00412F2D" w:rsidP="00412F2D">
      <w:pPr>
        <w:spacing w:after="0" w:line="240" w:lineRule="auto"/>
        <w:jc w:val="right"/>
        <w:rPr>
          <w:rFonts w:ascii="Verdana" w:eastAsia="Calibri" w:hAnsi="Verdana" w:cs="Arial"/>
          <w:color w:val="000000"/>
          <w:lang w:val="es-ES"/>
        </w:rPr>
      </w:pPr>
      <w:r w:rsidRPr="00412F2D">
        <w:rPr>
          <w:rFonts w:ascii="Verdana" w:eastAsia="Calibri" w:hAnsi="Verdana" w:cs="Arial"/>
          <w:noProof/>
          <w:color w:val="000000"/>
          <w:lang w:val="es-ES"/>
        </w:rPr>
        <w:drawing>
          <wp:inline distT="0" distB="0" distL="0" distR="0" wp14:anchorId="06EAED95" wp14:editId="37DF27D6">
            <wp:extent cx="3055620" cy="1097280"/>
            <wp:effectExtent l="0" t="0" r="0" b="7620"/>
            <wp:docPr id="2029523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5620" cy="1097280"/>
                    </a:xfrm>
                    <a:prstGeom prst="rect">
                      <a:avLst/>
                    </a:prstGeom>
                    <a:noFill/>
                    <a:ln>
                      <a:noFill/>
                    </a:ln>
                  </pic:spPr>
                </pic:pic>
              </a:graphicData>
            </a:graphic>
          </wp:inline>
        </w:drawing>
      </w:r>
    </w:p>
    <w:p w14:paraId="387EC611" w14:textId="77777777" w:rsidR="00412F2D" w:rsidRPr="00545857" w:rsidRDefault="00412F2D" w:rsidP="00CE37A3">
      <w:pPr>
        <w:spacing w:after="0" w:line="240" w:lineRule="auto"/>
        <w:jc w:val="both"/>
        <w:rPr>
          <w:rFonts w:ascii="Verdana" w:eastAsia="Calibri" w:hAnsi="Verdana" w:cs="Arial"/>
          <w:color w:val="000000"/>
          <w:lang w:val="es-ES"/>
        </w:rPr>
      </w:pPr>
    </w:p>
    <w:p w14:paraId="62AA4AF4" w14:textId="77777777" w:rsidR="00BB3BE4" w:rsidRPr="00545857" w:rsidRDefault="00BB3BE4" w:rsidP="00CE37A3">
      <w:pPr>
        <w:spacing w:after="0" w:line="240" w:lineRule="auto"/>
        <w:jc w:val="both"/>
        <w:rPr>
          <w:rFonts w:ascii="Verdana" w:eastAsia="Calibri" w:hAnsi="Verdana" w:cs="Arial"/>
          <w:color w:val="000000"/>
          <w:lang w:val="es-ES"/>
        </w:rPr>
      </w:pPr>
    </w:p>
    <w:p w14:paraId="1F7917CC" w14:textId="199C9481" w:rsidR="006D7C99" w:rsidRPr="00545857" w:rsidRDefault="00B30448" w:rsidP="00AC112A">
      <w:pPr>
        <w:spacing w:after="0" w:line="240" w:lineRule="auto"/>
        <w:jc w:val="both"/>
        <w:rPr>
          <w:rFonts w:ascii="Verdana" w:eastAsia="Calibri" w:hAnsi="Verdana" w:cs="Arial"/>
          <w:lang w:val="es-ES" w:eastAsia="es-ES"/>
        </w:rPr>
      </w:pPr>
      <w:r w:rsidRPr="00545857">
        <w:rPr>
          <w:rFonts w:ascii="Verdana" w:eastAsia="Calibri" w:hAnsi="Verdana" w:cs="Arial"/>
          <w:lang w:val="es-ES" w:eastAsia="es-ES"/>
        </w:rPr>
        <w:t>Señor</w:t>
      </w:r>
    </w:p>
    <w:p w14:paraId="5BFDCACA" w14:textId="232FF417" w:rsidR="00AC112A" w:rsidRDefault="00AC112A" w:rsidP="00AC112A">
      <w:pPr>
        <w:spacing w:after="0" w:line="240" w:lineRule="auto"/>
        <w:jc w:val="both"/>
        <w:rPr>
          <w:rFonts w:ascii="Verdana" w:eastAsia="Calibri" w:hAnsi="Verdana" w:cs="Arial"/>
          <w:b/>
          <w:bCs/>
          <w:lang w:val="es-ES" w:eastAsia="es-ES"/>
        </w:rPr>
      </w:pPr>
      <w:r w:rsidRPr="00545857">
        <w:rPr>
          <w:rFonts w:ascii="Verdana" w:eastAsia="Calibri" w:hAnsi="Verdana" w:cs="Arial"/>
          <w:b/>
          <w:bCs/>
          <w:lang w:val="es-ES" w:eastAsia="es-ES"/>
        </w:rPr>
        <w:t>Javier Alfonso Villamil Soto</w:t>
      </w:r>
    </w:p>
    <w:p w14:paraId="626862D2" w14:textId="7A229055" w:rsidR="002C67DA" w:rsidRPr="00545857" w:rsidRDefault="00873B15" w:rsidP="00CE37A3">
      <w:pPr>
        <w:spacing w:after="0" w:line="240" w:lineRule="auto"/>
        <w:rPr>
          <w:rFonts w:ascii="Verdana" w:hAnsi="Verdana"/>
        </w:rPr>
      </w:pPr>
      <w:hyperlink r:id="rId12" w:history="1">
        <w:r w:rsidRPr="00545857">
          <w:rPr>
            <w:rStyle w:val="Hipervnculo"/>
            <w:rFonts w:ascii="Verdana" w:hAnsi="Verdana"/>
          </w:rPr>
          <w:t>Contactenos@fonvichiq.gov.co</w:t>
        </w:r>
      </w:hyperlink>
    </w:p>
    <w:p w14:paraId="083F7B5B" w14:textId="339205F6" w:rsidR="00497575" w:rsidRPr="00545857" w:rsidRDefault="00F150A5" w:rsidP="00CE37A3">
      <w:pPr>
        <w:spacing w:after="0" w:line="240" w:lineRule="auto"/>
        <w:rPr>
          <w:rFonts w:ascii="Verdana" w:eastAsia="Calibri" w:hAnsi="Verdana" w:cs="Arial"/>
          <w:b/>
          <w:bCs/>
          <w:color w:val="000000"/>
          <w:lang w:val="es-ES_tradnl" w:eastAsia="es-ES_tradnl"/>
        </w:rPr>
      </w:pPr>
      <w:r w:rsidRPr="00545857">
        <w:rPr>
          <w:rFonts w:ascii="Verdana" w:eastAsia="Calibri" w:hAnsi="Verdana" w:cs="Arial"/>
          <w:lang w:val="es-ES" w:eastAsia="es-ES"/>
        </w:rPr>
        <w:t>Chiquinquirá, Boyacá</w:t>
      </w:r>
    </w:p>
    <w:p w14:paraId="63F71607" w14:textId="77777777" w:rsidR="00B30448" w:rsidRPr="00545857" w:rsidRDefault="00B30448" w:rsidP="00CE37A3">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E37A3" w:rsidRPr="00545857" w14:paraId="32935393" w14:textId="77777777" w:rsidTr="000F1AD8">
        <w:trPr>
          <w:trHeight w:val="884"/>
        </w:trPr>
        <w:tc>
          <w:tcPr>
            <w:tcW w:w="2689" w:type="dxa"/>
          </w:tcPr>
          <w:p w14:paraId="5615C8B0" w14:textId="77777777" w:rsidR="00CE37A3" w:rsidRPr="00545857" w:rsidRDefault="00CE37A3" w:rsidP="00CE37A3">
            <w:pPr>
              <w:jc w:val="both"/>
              <w:rPr>
                <w:rFonts w:ascii="Verdana" w:eastAsia="Calibri" w:hAnsi="Verdana" w:cs="Arial"/>
                <w:b/>
                <w:bCs/>
                <w:color w:val="7030A0"/>
                <w:lang w:val="es-ES_tradnl" w:eastAsia="es-ES_tradnl"/>
              </w:rPr>
            </w:pPr>
          </w:p>
        </w:tc>
        <w:tc>
          <w:tcPr>
            <w:tcW w:w="6100" w:type="dxa"/>
          </w:tcPr>
          <w:p w14:paraId="1CC0FC14" w14:textId="65CD6411" w:rsidR="00CE37A3" w:rsidRPr="00545857" w:rsidRDefault="00CE37A3" w:rsidP="00CE37A3">
            <w:pPr>
              <w:jc w:val="both"/>
              <w:rPr>
                <w:rFonts w:ascii="Verdana" w:eastAsia="Calibri" w:hAnsi="Verdana" w:cs="Arial"/>
                <w:b/>
                <w:bCs/>
                <w:lang w:val="es-ES" w:eastAsia="es-ES"/>
              </w:rPr>
            </w:pPr>
            <w:r w:rsidRPr="00545857">
              <w:rPr>
                <w:rFonts w:ascii="Verdana" w:eastAsia="Calibri" w:hAnsi="Verdana" w:cs="Arial"/>
                <w:b/>
                <w:bCs/>
                <w:lang w:val="es-ES" w:eastAsia="es-ES"/>
              </w:rPr>
              <w:t>Concepto C</w:t>
            </w:r>
            <w:r w:rsidR="008E6AD9" w:rsidRPr="00545857">
              <w:rPr>
                <w:rFonts w:ascii="Verdana" w:eastAsia="Calibri" w:hAnsi="Verdana" w:cs="Arial"/>
                <w:b/>
                <w:bCs/>
                <w:lang w:val="es-ES" w:eastAsia="es-ES"/>
              </w:rPr>
              <w:t xml:space="preserve"> –</w:t>
            </w:r>
            <w:r w:rsidRPr="00545857">
              <w:rPr>
                <w:rFonts w:ascii="Verdana" w:eastAsia="Calibri" w:hAnsi="Verdana" w:cs="Arial"/>
                <w:b/>
                <w:bCs/>
                <w:lang w:val="es-ES" w:eastAsia="es-ES"/>
              </w:rPr>
              <w:t xml:space="preserve"> </w:t>
            </w:r>
            <w:r w:rsidR="00A51192" w:rsidRPr="00545857">
              <w:rPr>
                <w:rFonts w:ascii="Verdana" w:eastAsia="Calibri" w:hAnsi="Verdana" w:cs="Arial"/>
                <w:b/>
                <w:bCs/>
                <w:lang w:val="es-ES" w:eastAsia="es-ES"/>
              </w:rPr>
              <w:t>9</w:t>
            </w:r>
            <w:r w:rsidR="00437657" w:rsidRPr="00545857">
              <w:rPr>
                <w:rFonts w:ascii="Verdana" w:eastAsia="Calibri" w:hAnsi="Verdana" w:cs="Arial"/>
                <w:b/>
                <w:bCs/>
                <w:lang w:val="es-ES" w:eastAsia="es-ES"/>
              </w:rPr>
              <w:t>85</w:t>
            </w:r>
            <w:r w:rsidRPr="00545857">
              <w:rPr>
                <w:rFonts w:ascii="Verdana" w:eastAsia="Calibri" w:hAnsi="Verdana" w:cs="Arial"/>
                <w:b/>
                <w:bCs/>
                <w:lang w:val="es-ES" w:eastAsia="es-ES"/>
              </w:rPr>
              <w:t xml:space="preserve"> de 2024</w:t>
            </w:r>
          </w:p>
        </w:tc>
      </w:tr>
      <w:tr w:rsidR="00B30448" w:rsidRPr="00545857" w14:paraId="52EC412F" w14:textId="77777777" w:rsidTr="000F1AD8">
        <w:trPr>
          <w:trHeight w:val="884"/>
        </w:trPr>
        <w:tc>
          <w:tcPr>
            <w:tcW w:w="2689" w:type="dxa"/>
          </w:tcPr>
          <w:p w14:paraId="752B683B" w14:textId="77777777" w:rsidR="00B30448" w:rsidRPr="00545857" w:rsidRDefault="00B30448" w:rsidP="00CE37A3">
            <w:pPr>
              <w:jc w:val="both"/>
              <w:rPr>
                <w:rFonts w:ascii="Verdana" w:eastAsia="Calibri" w:hAnsi="Verdana" w:cs="Arial"/>
                <w:color w:val="000000"/>
                <w:lang w:val="es-ES_tradnl" w:eastAsia="es-ES_tradnl"/>
              </w:rPr>
            </w:pPr>
            <w:r w:rsidRPr="00545857">
              <w:rPr>
                <w:rFonts w:ascii="Verdana" w:eastAsia="Calibri" w:hAnsi="Verdana" w:cs="Arial"/>
                <w:b/>
                <w:color w:val="000000"/>
                <w:lang w:val="es-ES_tradnl" w:eastAsia="es-ES_tradnl"/>
              </w:rPr>
              <w:t>Temas:</w:t>
            </w:r>
            <w:r w:rsidRPr="00545857">
              <w:rPr>
                <w:rFonts w:ascii="Verdana" w:eastAsia="Calibri" w:hAnsi="Verdana" w:cs="Arial"/>
                <w:color w:val="000000"/>
                <w:lang w:val="es-ES_tradnl" w:eastAsia="es-ES_tradnl"/>
              </w:rPr>
              <w:t xml:space="preserve">                   </w:t>
            </w:r>
          </w:p>
        </w:tc>
        <w:tc>
          <w:tcPr>
            <w:tcW w:w="6100" w:type="dxa"/>
          </w:tcPr>
          <w:p w14:paraId="30631CE1" w14:textId="45F34532" w:rsidR="00D30A9A" w:rsidRPr="00D30A9A" w:rsidRDefault="00D30A9A" w:rsidP="00D30A9A">
            <w:pPr>
              <w:spacing w:line="276" w:lineRule="auto"/>
              <w:jc w:val="both"/>
              <w:rPr>
                <w:rFonts w:ascii="Verdana" w:eastAsia="Calibri" w:hAnsi="Verdana" w:cs="Arial"/>
                <w:lang w:val="es-ES_tradnl" w:eastAsia="es-ES"/>
              </w:rPr>
            </w:pPr>
            <w:r w:rsidRPr="00D30A9A">
              <w:rPr>
                <w:rFonts w:ascii="Verdana" w:eastAsia="Calibri" w:hAnsi="Verdana" w:cs="Arial"/>
                <w:lang w:val="es-ES_tradnl" w:eastAsia="es-ES"/>
              </w:rPr>
              <w:t>ENAJENACIÓN DE BIENES</w:t>
            </w:r>
            <w:r>
              <w:rPr>
                <w:rFonts w:ascii="Verdana" w:eastAsia="Calibri" w:hAnsi="Verdana" w:cs="Arial"/>
                <w:lang w:val="es-ES_tradnl" w:eastAsia="es-ES"/>
              </w:rPr>
              <w:t xml:space="preserve"> </w:t>
            </w:r>
            <w:r w:rsidRPr="00D30A9A">
              <w:rPr>
                <w:rFonts w:ascii="Verdana" w:eastAsia="Calibri" w:hAnsi="Verdana" w:cs="Arial"/>
                <w:lang w:val="es-ES_tradnl" w:eastAsia="es-ES"/>
              </w:rPr>
              <w:t xml:space="preserve">– </w:t>
            </w:r>
            <w:r w:rsidR="002870F5">
              <w:rPr>
                <w:rFonts w:ascii="Verdana" w:eastAsia="Calibri" w:hAnsi="Verdana" w:cs="Arial"/>
                <w:lang w:val="es-ES_tradnl" w:eastAsia="es-ES"/>
              </w:rPr>
              <w:t xml:space="preserve">modalidad de </w:t>
            </w:r>
            <w:r w:rsidR="00156D27">
              <w:rPr>
                <w:rFonts w:ascii="Verdana" w:eastAsia="Calibri" w:hAnsi="Verdana" w:cs="Arial"/>
                <w:lang w:val="es-ES_tradnl" w:eastAsia="es-ES"/>
              </w:rPr>
              <w:t>contratación</w:t>
            </w:r>
            <w:r w:rsidR="00156D27" w:rsidRPr="00D30A9A">
              <w:rPr>
                <w:rFonts w:ascii="Verdana" w:eastAsia="Calibri" w:hAnsi="Verdana" w:cs="Arial"/>
                <w:lang w:val="es-ES_tradnl" w:eastAsia="es-ES"/>
              </w:rPr>
              <w:t xml:space="preserve"> /</w:t>
            </w:r>
            <w:r w:rsidRPr="00D30A9A">
              <w:rPr>
                <w:rFonts w:ascii="Verdana" w:eastAsia="Calibri" w:hAnsi="Verdana" w:cs="Arial"/>
                <w:lang w:val="es-ES_tradnl" w:eastAsia="es-ES"/>
              </w:rPr>
              <w:t xml:space="preserve"> </w:t>
            </w:r>
            <w:r w:rsidR="00560995">
              <w:rPr>
                <w:rFonts w:ascii="Verdana" w:eastAsia="Calibri" w:hAnsi="Verdana" w:cs="Arial"/>
                <w:lang w:val="es-ES_tradnl" w:eastAsia="es-ES"/>
              </w:rPr>
              <w:t>MECANISMOS DE ENAJENACIÓN</w:t>
            </w:r>
            <w:r w:rsidRPr="00D30A9A">
              <w:rPr>
                <w:rFonts w:ascii="Verdana" w:eastAsia="Calibri" w:hAnsi="Verdana" w:cs="Arial"/>
                <w:lang w:val="es-ES_tradnl" w:eastAsia="es-ES"/>
              </w:rPr>
              <w:t xml:space="preserve"> – </w:t>
            </w:r>
            <w:r w:rsidR="0058610C">
              <w:rPr>
                <w:rFonts w:ascii="Verdana" w:eastAsia="Calibri" w:hAnsi="Verdana" w:cs="Arial"/>
                <w:lang w:val="es-ES_tradnl" w:eastAsia="es-ES"/>
              </w:rPr>
              <w:t>Decreto 1085 de 201</w:t>
            </w:r>
            <w:r w:rsidR="003E73BC">
              <w:rPr>
                <w:rFonts w:ascii="Verdana" w:eastAsia="Calibri" w:hAnsi="Verdana" w:cs="Arial"/>
                <w:lang w:val="es-ES_tradnl" w:eastAsia="es-ES"/>
              </w:rPr>
              <w:t xml:space="preserve">5 </w:t>
            </w:r>
            <w:r w:rsidR="00CC2108">
              <w:rPr>
                <w:rFonts w:ascii="Verdana" w:eastAsia="Calibri" w:hAnsi="Verdana" w:cs="Arial"/>
                <w:lang w:val="es-ES_tradnl" w:eastAsia="es-ES"/>
              </w:rPr>
              <w:t xml:space="preserve">/ BIENES MUEBLES E INMUEBLES </w:t>
            </w:r>
          </w:p>
          <w:p w14:paraId="1D4AA017" w14:textId="6AB07B79" w:rsidR="001F3548" w:rsidRPr="00545857" w:rsidRDefault="001F3548" w:rsidP="00D30A9A">
            <w:pPr>
              <w:spacing w:line="276" w:lineRule="auto"/>
              <w:jc w:val="both"/>
              <w:rPr>
                <w:rFonts w:ascii="Verdana" w:eastAsia="Calibri" w:hAnsi="Verdana" w:cs="Arial"/>
                <w:lang w:val="es-ES" w:eastAsia="es-ES"/>
              </w:rPr>
            </w:pPr>
          </w:p>
        </w:tc>
      </w:tr>
      <w:tr w:rsidR="008E6AD9" w:rsidRPr="00545857" w14:paraId="496C9430" w14:textId="77777777" w:rsidTr="000F1AD8">
        <w:tc>
          <w:tcPr>
            <w:tcW w:w="2689" w:type="dxa"/>
          </w:tcPr>
          <w:p w14:paraId="4C8D9612" w14:textId="77777777" w:rsidR="00B30448" w:rsidRPr="00545857" w:rsidRDefault="00B30448" w:rsidP="00CE37A3">
            <w:pPr>
              <w:jc w:val="both"/>
              <w:rPr>
                <w:rFonts w:ascii="Verdana" w:eastAsia="Calibri" w:hAnsi="Verdana" w:cs="Arial"/>
                <w:b/>
                <w:lang w:val="es-ES_tradnl" w:eastAsia="es-ES_tradnl"/>
              </w:rPr>
            </w:pPr>
            <w:r w:rsidRPr="00545857">
              <w:rPr>
                <w:rFonts w:ascii="Verdana" w:eastAsia="Calibri" w:hAnsi="Verdana" w:cs="Arial"/>
                <w:b/>
                <w:lang w:val="es-ES_tradnl" w:eastAsia="es-ES_tradnl"/>
              </w:rPr>
              <w:t>Radicación:</w:t>
            </w:r>
            <w:r w:rsidRPr="00545857">
              <w:rPr>
                <w:rFonts w:ascii="Verdana" w:eastAsia="Calibri" w:hAnsi="Verdana" w:cs="Arial"/>
                <w:lang w:val="es-ES_tradnl" w:eastAsia="es-ES_tradnl"/>
              </w:rPr>
              <w:t xml:space="preserve">               </w:t>
            </w:r>
          </w:p>
        </w:tc>
        <w:tc>
          <w:tcPr>
            <w:tcW w:w="6100" w:type="dxa"/>
          </w:tcPr>
          <w:p w14:paraId="6EC2FCE3" w14:textId="6DC493E7" w:rsidR="00B30448" w:rsidRPr="00545857" w:rsidRDefault="00B30448" w:rsidP="00CE37A3">
            <w:pPr>
              <w:jc w:val="both"/>
              <w:rPr>
                <w:rFonts w:ascii="Verdana" w:eastAsia="Calibri" w:hAnsi="Verdana" w:cs="Arial"/>
                <w:lang w:eastAsia="es-ES_tradnl"/>
              </w:rPr>
            </w:pPr>
            <w:r w:rsidRPr="00545857">
              <w:rPr>
                <w:rFonts w:ascii="Verdana" w:eastAsia="Calibri" w:hAnsi="Verdana" w:cs="Arial"/>
                <w:lang w:val="es-ES_tradnl" w:eastAsia="es-ES_tradnl"/>
              </w:rPr>
              <w:t xml:space="preserve">Respuesta a </w:t>
            </w:r>
            <w:r w:rsidR="00B71607" w:rsidRPr="00545857">
              <w:rPr>
                <w:rFonts w:ascii="Verdana" w:eastAsia="Calibri" w:hAnsi="Verdana" w:cs="Arial"/>
                <w:lang w:val="es-ES_tradnl" w:eastAsia="es-ES_tradnl"/>
              </w:rPr>
              <w:t xml:space="preserve">la </w:t>
            </w:r>
            <w:r w:rsidRPr="00545857">
              <w:rPr>
                <w:rFonts w:ascii="Verdana" w:eastAsia="Calibri" w:hAnsi="Verdana" w:cs="Arial"/>
                <w:lang w:val="es-ES_tradnl" w:eastAsia="es-ES_tradnl"/>
              </w:rPr>
              <w:t>consulta</w:t>
            </w:r>
            <w:r w:rsidR="009A5453" w:rsidRPr="00545857">
              <w:rPr>
                <w:rFonts w:ascii="Verdana" w:eastAsia="Calibri" w:hAnsi="Verdana" w:cs="Arial"/>
                <w:lang w:val="es-ES_tradnl" w:eastAsia="es-ES_tradnl"/>
              </w:rPr>
              <w:t xml:space="preserve"> con radicado No.</w:t>
            </w:r>
            <w:r w:rsidRPr="00545857">
              <w:rPr>
                <w:rFonts w:ascii="Verdana" w:eastAsia="Calibri" w:hAnsi="Verdana" w:cs="Arial"/>
                <w:lang w:val="es-ES_tradnl" w:eastAsia="es-ES_tradnl"/>
              </w:rPr>
              <w:t xml:space="preserve"> </w:t>
            </w:r>
            <w:r w:rsidR="00437657" w:rsidRPr="00545857">
              <w:rPr>
                <w:rFonts w:ascii="Verdana" w:eastAsia="Calibri" w:hAnsi="Verdana" w:cs="Arial"/>
                <w:lang w:val="es-ES_tradnl" w:eastAsia="es-ES_tradnl"/>
              </w:rPr>
              <w:t>P20241212012441</w:t>
            </w:r>
            <w:r w:rsidR="008E6AD9" w:rsidRPr="00545857">
              <w:rPr>
                <w:rFonts w:ascii="Verdana" w:eastAsia="Calibri" w:hAnsi="Verdana" w:cs="Arial"/>
                <w:lang w:val="es-ES_tradnl" w:eastAsia="es-ES_tradnl"/>
              </w:rPr>
              <w:t xml:space="preserve">                                   </w:t>
            </w:r>
          </w:p>
        </w:tc>
      </w:tr>
    </w:tbl>
    <w:p w14:paraId="657DDBDD" w14:textId="77777777" w:rsidR="00B30448" w:rsidRPr="00545857" w:rsidRDefault="00B30448" w:rsidP="00CE37A3">
      <w:pPr>
        <w:spacing w:after="0" w:line="240" w:lineRule="auto"/>
        <w:jc w:val="both"/>
        <w:rPr>
          <w:rFonts w:ascii="Verdana" w:eastAsia="Calibri" w:hAnsi="Verdana" w:cs="Arial"/>
          <w:color w:val="000000"/>
          <w:lang w:val="es-ES_tradnl" w:eastAsia="es-ES_tradnl"/>
        </w:rPr>
      </w:pPr>
    </w:p>
    <w:p w14:paraId="286892BD" w14:textId="77777777" w:rsidR="00B30448" w:rsidRPr="00545857" w:rsidRDefault="00B30448" w:rsidP="00CE37A3">
      <w:pPr>
        <w:spacing w:after="0" w:line="240" w:lineRule="auto"/>
        <w:jc w:val="both"/>
        <w:rPr>
          <w:rFonts w:ascii="Verdana" w:eastAsia="Calibri" w:hAnsi="Verdana" w:cs="Arial"/>
          <w:color w:val="000000"/>
          <w:lang w:val="es-ES_tradnl" w:eastAsia="es-ES_tradnl"/>
        </w:rPr>
      </w:pPr>
    </w:p>
    <w:p w14:paraId="4ED23440" w14:textId="0F145623" w:rsidR="00B30448" w:rsidRPr="00545857" w:rsidRDefault="00B30448" w:rsidP="00E84D1C">
      <w:pPr>
        <w:spacing w:after="0" w:line="276" w:lineRule="auto"/>
        <w:jc w:val="both"/>
        <w:rPr>
          <w:rFonts w:ascii="Verdana" w:eastAsia="Calibri" w:hAnsi="Verdana" w:cs="Arial"/>
          <w:lang w:val="es-ES" w:eastAsia="es-ES"/>
        </w:rPr>
      </w:pPr>
      <w:r w:rsidRPr="00545857">
        <w:rPr>
          <w:rFonts w:ascii="Verdana" w:eastAsia="Calibri" w:hAnsi="Verdana" w:cs="Arial"/>
          <w:lang w:val="es-ES" w:eastAsia="es-ES"/>
        </w:rPr>
        <w:t>Estimad</w:t>
      </w:r>
      <w:r w:rsidR="00FA0F71" w:rsidRPr="00545857">
        <w:rPr>
          <w:rFonts w:ascii="Verdana" w:eastAsia="Calibri" w:hAnsi="Verdana" w:cs="Arial"/>
          <w:lang w:val="es-ES" w:eastAsia="es-ES"/>
        </w:rPr>
        <w:t>o</w:t>
      </w:r>
      <w:r w:rsidRPr="00545857">
        <w:rPr>
          <w:rFonts w:ascii="Verdana" w:eastAsia="Calibri" w:hAnsi="Verdana" w:cs="Arial"/>
          <w:lang w:val="es-ES" w:eastAsia="es-ES"/>
        </w:rPr>
        <w:t xml:space="preserve"> señor</w:t>
      </w:r>
      <w:r w:rsidR="00270443" w:rsidRPr="00545857">
        <w:rPr>
          <w:rFonts w:ascii="Verdana" w:eastAsia="Calibri" w:hAnsi="Verdana" w:cs="Arial"/>
          <w:lang w:val="es-ES" w:eastAsia="es-ES"/>
        </w:rPr>
        <w:t xml:space="preserve"> </w:t>
      </w:r>
      <w:r w:rsidR="006403F6" w:rsidRPr="00545857">
        <w:rPr>
          <w:rFonts w:ascii="Verdana" w:eastAsia="Calibri" w:hAnsi="Verdana" w:cs="Arial"/>
          <w:lang w:val="es-ES" w:eastAsia="es-ES"/>
        </w:rPr>
        <w:t>Villamil Soto</w:t>
      </w:r>
      <w:r w:rsidRPr="00545857">
        <w:rPr>
          <w:rFonts w:ascii="Verdana" w:eastAsia="Calibri" w:hAnsi="Verdana" w:cs="Arial"/>
          <w:lang w:val="es-ES" w:eastAsia="es-ES"/>
        </w:rPr>
        <w:t xml:space="preserve">: </w:t>
      </w:r>
    </w:p>
    <w:p w14:paraId="47D52CB6" w14:textId="28FC249B" w:rsidR="0013343F" w:rsidRPr="00545857" w:rsidRDefault="00631D4F" w:rsidP="00631D4F">
      <w:pPr>
        <w:tabs>
          <w:tab w:val="left" w:pos="3768"/>
        </w:tabs>
        <w:spacing w:after="0" w:line="276" w:lineRule="auto"/>
        <w:jc w:val="both"/>
        <w:rPr>
          <w:rFonts w:ascii="Verdana" w:eastAsia="Calibri" w:hAnsi="Verdana" w:cs="Arial"/>
          <w:color w:val="000000" w:themeColor="text1"/>
          <w:lang w:val="es-ES" w:eastAsia="es-ES"/>
        </w:rPr>
      </w:pPr>
      <w:r w:rsidRPr="00545857">
        <w:rPr>
          <w:rFonts w:ascii="Verdana" w:eastAsia="Calibri" w:hAnsi="Verdana" w:cs="Arial"/>
          <w:color w:val="000000" w:themeColor="text1"/>
          <w:lang w:val="es-ES" w:eastAsia="es-ES"/>
        </w:rPr>
        <w:tab/>
      </w:r>
    </w:p>
    <w:p w14:paraId="7A40824C" w14:textId="2B2A7ECD" w:rsidR="009442E8" w:rsidRPr="00545857" w:rsidRDefault="00B30448" w:rsidP="00E84D1C">
      <w:pPr>
        <w:spacing w:after="0" w:line="276" w:lineRule="auto"/>
        <w:jc w:val="both"/>
        <w:rPr>
          <w:rFonts w:ascii="Verdana" w:eastAsia="Calibri" w:hAnsi="Verdana" w:cs="Arial"/>
          <w:color w:val="7030A0"/>
          <w:lang w:val="es-ES" w:eastAsia="es-ES"/>
        </w:rPr>
      </w:pPr>
      <w:r w:rsidRPr="00545857">
        <w:rPr>
          <w:rFonts w:ascii="Verdana" w:eastAsia="Calibri" w:hAnsi="Verdana" w:cs="Arial"/>
          <w:color w:val="000000" w:themeColor="text1"/>
          <w:lang w:val="es-ES" w:eastAsia="es-ES"/>
        </w:rPr>
        <w:t xml:space="preserve">En ejercicio de la competencia otorgada por </w:t>
      </w:r>
      <w:r w:rsidR="009A5453" w:rsidRPr="00545857">
        <w:rPr>
          <w:rFonts w:ascii="Verdana" w:eastAsia="Calibri" w:hAnsi="Verdana" w:cs="Arial"/>
          <w:color w:val="000000" w:themeColor="text1"/>
          <w:lang w:val="es-ES" w:eastAsia="es-ES"/>
        </w:rPr>
        <w:t>los artículo</w:t>
      </w:r>
      <w:r w:rsidR="00AB1984" w:rsidRPr="00545857">
        <w:rPr>
          <w:rFonts w:ascii="Verdana" w:eastAsia="Calibri" w:hAnsi="Verdana" w:cs="Arial"/>
          <w:color w:val="000000" w:themeColor="text1"/>
          <w:lang w:val="es-ES" w:eastAsia="es-ES"/>
        </w:rPr>
        <w:t>s</w:t>
      </w:r>
      <w:r w:rsidR="009A5453" w:rsidRPr="00545857">
        <w:rPr>
          <w:rFonts w:ascii="Verdana" w:eastAsia="Calibri" w:hAnsi="Verdana" w:cs="Arial"/>
          <w:color w:val="000000" w:themeColor="text1"/>
          <w:lang w:val="es-ES" w:eastAsia="es-ES"/>
        </w:rPr>
        <w:t xml:space="preserve"> 3,</w:t>
      </w:r>
      <w:r w:rsidRPr="00545857">
        <w:rPr>
          <w:rFonts w:ascii="Verdana" w:eastAsia="Calibri" w:hAnsi="Verdana" w:cs="Arial"/>
          <w:color w:val="000000" w:themeColor="text1"/>
          <w:lang w:val="es-ES" w:eastAsia="es-ES"/>
        </w:rPr>
        <w:t xml:space="preserve"> numeral </w:t>
      </w:r>
      <w:r w:rsidR="009A5453" w:rsidRPr="00545857">
        <w:rPr>
          <w:rFonts w:ascii="Verdana" w:eastAsia="Calibri" w:hAnsi="Verdana" w:cs="Arial"/>
          <w:color w:val="000000" w:themeColor="text1"/>
          <w:lang w:val="es-ES" w:eastAsia="es-ES"/>
        </w:rPr>
        <w:t>5</w:t>
      </w:r>
      <w:r w:rsidR="00215516" w:rsidRPr="00545857">
        <w:rPr>
          <w:rFonts w:ascii="Verdana" w:eastAsia="Calibri" w:hAnsi="Verdana" w:cs="Arial"/>
          <w:color w:val="000000" w:themeColor="text1"/>
          <w:lang w:val="es-ES" w:eastAsia="es-ES"/>
        </w:rPr>
        <w:t>º</w:t>
      </w:r>
      <w:r w:rsidR="00F64D5A" w:rsidRPr="00545857">
        <w:rPr>
          <w:rFonts w:ascii="Verdana" w:eastAsia="Calibri" w:hAnsi="Verdana" w:cs="Arial"/>
          <w:color w:val="000000" w:themeColor="text1"/>
          <w:lang w:val="es-ES" w:eastAsia="es-ES"/>
        </w:rPr>
        <w:t>,</w:t>
      </w:r>
      <w:r w:rsidRPr="00545857">
        <w:rPr>
          <w:rFonts w:ascii="Verdana" w:eastAsia="Calibri" w:hAnsi="Verdana" w:cs="Arial"/>
          <w:color w:val="000000" w:themeColor="text1"/>
          <w:lang w:val="es-ES" w:eastAsia="es-ES"/>
        </w:rPr>
        <w:t xml:space="preserve"> </w:t>
      </w:r>
      <w:r w:rsidR="009A5453" w:rsidRPr="00545857">
        <w:rPr>
          <w:rFonts w:ascii="Verdana" w:eastAsia="Calibri" w:hAnsi="Verdana" w:cs="Arial"/>
          <w:color w:val="000000" w:themeColor="text1"/>
          <w:lang w:val="es-ES" w:eastAsia="es-ES"/>
        </w:rPr>
        <w:t>y</w:t>
      </w:r>
      <w:r w:rsidRPr="00545857">
        <w:rPr>
          <w:rFonts w:ascii="Verdana" w:eastAsia="Calibri" w:hAnsi="Verdana" w:cs="Arial"/>
          <w:color w:val="000000" w:themeColor="text1"/>
          <w:lang w:val="es-ES" w:eastAsia="es-ES"/>
        </w:rPr>
        <w:t xml:space="preserve"> 11</w:t>
      </w:r>
      <w:r w:rsidR="00F64D5A" w:rsidRPr="00545857">
        <w:rPr>
          <w:rFonts w:ascii="Verdana" w:eastAsia="Calibri" w:hAnsi="Verdana" w:cs="Arial"/>
          <w:color w:val="000000" w:themeColor="text1"/>
          <w:lang w:val="es-ES" w:eastAsia="es-ES"/>
        </w:rPr>
        <w:t>,</w:t>
      </w:r>
      <w:r w:rsidR="00AB1984" w:rsidRPr="00545857">
        <w:rPr>
          <w:rFonts w:ascii="Verdana" w:eastAsia="Calibri" w:hAnsi="Verdana" w:cs="Arial"/>
          <w:color w:val="000000" w:themeColor="text1"/>
          <w:lang w:val="es-ES" w:eastAsia="es-ES"/>
        </w:rPr>
        <w:t xml:space="preserve"> </w:t>
      </w:r>
      <w:r w:rsidRPr="00545857">
        <w:rPr>
          <w:rFonts w:ascii="Verdana" w:eastAsia="Calibri" w:hAnsi="Verdana" w:cs="Arial"/>
          <w:color w:val="000000" w:themeColor="text1"/>
          <w:lang w:val="es-ES" w:eastAsia="es-ES"/>
        </w:rPr>
        <w:t xml:space="preserve">numeral </w:t>
      </w:r>
      <w:r w:rsidR="00AB1984" w:rsidRPr="00545857">
        <w:rPr>
          <w:rFonts w:ascii="Verdana" w:eastAsia="Calibri" w:hAnsi="Verdana" w:cs="Arial"/>
          <w:color w:val="000000" w:themeColor="text1"/>
          <w:lang w:val="es-ES" w:eastAsia="es-ES"/>
        </w:rPr>
        <w:t>8</w:t>
      </w:r>
      <w:r w:rsidR="00215516" w:rsidRPr="00545857">
        <w:rPr>
          <w:rFonts w:ascii="Verdana" w:eastAsia="Calibri" w:hAnsi="Verdana" w:cs="Arial"/>
          <w:color w:val="000000" w:themeColor="text1"/>
          <w:lang w:val="es-ES" w:eastAsia="es-ES"/>
        </w:rPr>
        <w:t>º</w:t>
      </w:r>
      <w:r w:rsidR="00F64D5A" w:rsidRPr="00545857">
        <w:rPr>
          <w:rFonts w:ascii="Verdana" w:eastAsia="Calibri" w:hAnsi="Verdana" w:cs="Arial"/>
          <w:color w:val="000000" w:themeColor="text1"/>
          <w:lang w:val="es-ES" w:eastAsia="es-ES"/>
        </w:rPr>
        <w:t>,</w:t>
      </w:r>
      <w:r w:rsidRPr="00545857">
        <w:rPr>
          <w:rFonts w:ascii="Verdana" w:eastAsia="Calibri" w:hAnsi="Verdana" w:cs="Arial"/>
          <w:color w:val="000000" w:themeColor="text1"/>
          <w:lang w:val="es-ES" w:eastAsia="es-ES"/>
        </w:rPr>
        <w:t xml:space="preserve"> del Decreto Ley 4170 de 2011,</w:t>
      </w:r>
      <w:r w:rsidRPr="00545857">
        <w:rPr>
          <w:rFonts w:ascii="Verdana" w:eastAsia="Arial MT" w:hAnsi="Verdana" w:cs="Arial MT"/>
          <w:lang w:val="es-ES" w:eastAsia="es-ES"/>
        </w:rPr>
        <w:t xml:space="preserve"> </w:t>
      </w:r>
      <w:r w:rsidR="002A0F8D" w:rsidRPr="00545857">
        <w:rPr>
          <w:rFonts w:ascii="Verdana" w:hAnsi="Verdana" w:cs="Arial"/>
        </w:rPr>
        <w:t xml:space="preserve">así como lo establecido en </w:t>
      </w:r>
      <w:r w:rsidR="00DC2C48" w:rsidRPr="00545857">
        <w:rPr>
          <w:rFonts w:ascii="Verdana" w:hAnsi="Verdana" w:cs="Arial"/>
        </w:rPr>
        <w:t xml:space="preserve">el artículo 4 de </w:t>
      </w:r>
      <w:r w:rsidR="002A0F8D" w:rsidRPr="00545857">
        <w:rPr>
          <w:rFonts w:ascii="Verdana" w:hAnsi="Verdana" w:cs="Arial"/>
        </w:rPr>
        <w:t xml:space="preserve">la Resolución 1707 de 2018 expedida por esta Entidad, </w:t>
      </w:r>
      <w:r w:rsidRPr="00545857">
        <w:rPr>
          <w:rFonts w:ascii="Verdana" w:eastAsia="Calibri" w:hAnsi="Verdana" w:cs="Arial"/>
          <w:color w:val="000000" w:themeColor="text1"/>
          <w:lang w:val="es-ES" w:eastAsia="es-ES"/>
        </w:rPr>
        <w:t>la Agencia Nacional de Contratación Pública – Colombia Compra Eficiente responde su solicitud</w:t>
      </w:r>
      <w:r w:rsidR="006403F6" w:rsidRPr="00545857">
        <w:rPr>
          <w:rFonts w:ascii="Verdana" w:eastAsia="Calibri" w:hAnsi="Verdana" w:cs="Arial"/>
          <w:color w:val="000000" w:themeColor="text1"/>
          <w:lang w:val="es-ES" w:eastAsia="es-ES"/>
        </w:rPr>
        <w:t xml:space="preserve"> trasladada de la Agencia Nacional de </w:t>
      </w:r>
      <w:r w:rsidR="002A59AE" w:rsidRPr="00545857">
        <w:rPr>
          <w:rFonts w:ascii="Verdana" w:eastAsia="Calibri" w:hAnsi="Verdana" w:cs="Arial"/>
          <w:color w:val="000000" w:themeColor="text1"/>
          <w:lang w:val="es-ES" w:eastAsia="es-ES"/>
        </w:rPr>
        <w:t>Defensa Jurídica del Estado</w:t>
      </w:r>
      <w:r w:rsidRPr="00545857">
        <w:rPr>
          <w:rFonts w:ascii="Verdana" w:eastAsia="Calibri" w:hAnsi="Verdana" w:cs="Arial"/>
          <w:color w:val="000000" w:themeColor="text1"/>
          <w:lang w:val="es-ES" w:eastAsia="es-ES"/>
        </w:rPr>
        <w:t xml:space="preserve"> </w:t>
      </w:r>
      <w:r w:rsidR="002A59AE" w:rsidRPr="00545857">
        <w:rPr>
          <w:rFonts w:ascii="Verdana" w:eastAsia="Calibri" w:hAnsi="Verdana" w:cs="Arial"/>
          <w:color w:val="000000" w:themeColor="text1"/>
          <w:lang w:val="es-ES" w:eastAsia="es-ES"/>
        </w:rPr>
        <w:t>el</w:t>
      </w:r>
      <w:r w:rsidR="00DC2C48" w:rsidRPr="00545857">
        <w:rPr>
          <w:rFonts w:ascii="Verdana" w:eastAsia="Calibri" w:hAnsi="Verdana" w:cs="Arial"/>
          <w:color w:val="000000" w:themeColor="text1"/>
          <w:lang w:val="es-ES" w:eastAsia="es-ES"/>
        </w:rPr>
        <w:t xml:space="preserve"> </w:t>
      </w:r>
      <w:r w:rsidR="002550A7" w:rsidRPr="00545857">
        <w:rPr>
          <w:rFonts w:ascii="Verdana" w:eastAsia="Calibri" w:hAnsi="Verdana" w:cs="Arial"/>
          <w:lang w:val="es-ES" w:eastAsia="es-ES"/>
        </w:rPr>
        <w:t>12</w:t>
      </w:r>
      <w:r w:rsidR="0050386D" w:rsidRPr="00545857">
        <w:rPr>
          <w:rFonts w:ascii="Verdana" w:eastAsia="Calibri" w:hAnsi="Verdana" w:cs="Arial"/>
          <w:lang w:val="es-ES" w:eastAsia="es-ES"/>
        </w:rPr>
        <w:t xml:space="preserve"> </w:t>
      </w:r>
      <w:r w:rsidR="00772B41" w:rsidRPr="00545857">
        <w:rPr>
          <w:rFonts w:ascii="Verdana" w:eastAsia="Calibri" w:hAnsi="Verdana" w:cs="Arial"/>
          <w:lang w:val="es-ES" w:eastAsia="es-ES"/>
        </w:rPr>
        <w:t xml:space="preserve">de </w:t>
      </w:r>
      <w:r w:rsidR="002550A7" w:rsidRPr="00545857">
        <w:rPr>
          <w:rFonts w:ascii="Verdana" w:eastAsia="Calibri" w:hAnsi="Verdana" w:cs="Arial"/>
          <w:lang w:val="es-ES" w:eastAsia="es-ES"/>
        </w:rPr>
        <w:t>diciembre</w:t>
      </w:r>
      <w:r w:rsidRPr="00545857">
        <w:rPr>
          <w:rFonts w:ascii="Verdana" w:eastAsia="Calibri" w:hAnsi="Verdana" w:cs="Arial"/>
          <w:lang w:val="es-ES" w:eastAsia="es-ES"/>
        </w:rPr>
        <w:t xml:space="preserve"> de 20</w:t>
      </w:r>
      <w:r w:rsidR="008E6AD9" w:rsidRPr="00545857">
        <w:rPr>
          <w:rFonts w:ascii="Verdana" w:eastAsia="Calibri" w:hAnsi="Verdana" w:cs="Arial"/>
          <w:lang w:val="es-ES" w:eastAsia="es-ES"/>
        </w:rPr>
        <w:t>24</w:t>
      </w:r>
      <w:r w:rsidR="00057963" w:rsidRPr="00545857">
        <w:rPr>
          <w:rFonts w:ascii="Verdana" w:eastAsia="Calibri" w:hAnsi="Verdana" w:cs="Arial"/>
          <w:lang w:val="es-ES" w:eastAsia="es-ES"/>
        </w:rPr>
        <w:t>,</w:t>
      </w:r>
      <w:r w:rsidR="00772B41" w:rsidRPr="00545857">
        <w:rPr>
          <w:rFonts w:ascii="Verdana" w:eastAsia="Calibri" w:hAnsi="Verdana" w:cs="Arial"/>
          <w:lang w:val="es-ES" w:eastAsia="es-ES"/>
        </w:rPr>
        <w:t xml:space="preserve"> </w:t>
      </w:r>
      <w:r w:rsidR="00057963" w:rsidRPr="00545857">
        <w:rPr>
          <w:rFonts w:ascii="Verdana" w:eastAsia="Calibri" w:hAnsi="Verdana" w:cs="Arial"/>
          <w:lang w:val="es-ES" w:eastAsia="es-ES"/>
        </w:rPr>
        <w:t>en la cua</w:t>
      </w:r>
      <w:r w:rsidR="008E6AD9" w:rsidRPr="00545857">
        <w:rPr>
          <w:rFonts w:ascii="Verdana" w:eastAsia="Calibri" w:hAnsi="Verdana" w:cs="Arial"/>
          <w:lang w:val="es-ES" w:eastAsia="es-ES"/>
        </w:rPr>
        <w:t xml:space="preserve">l </w:t>
      </w:r>
      <w:r w:rsidR="00F535A9" w:rsidRPr="00545857">
        <w:rPr>
          <w:rFonts w:ascii="Verdana" w:eastAsia="Calibri" w:hAnsi="Verdana" w:cs="Arial"/>
          <w:lang w:val="es-ES" w:eastAsia="es-ES"/>
        </w:rPr>
        <w:t>pregunta sobre</w:t>
      </w:r>
      <w:r w:rsidR="006021B1" w:rsidRPr="00545857">
        <w:rPr>
          <w:rFonts w:ascii="Verdana" w:eastAsia="Calibri" w:hAnsi="Verdana" w:cs="Arial"/>
          <w:lang w:val="es-ES" w:eastAsia="es-ES"/>
        </w:rPr>
        <w:t xml:space="preserve"> lo siguiente</w:t>
      </w:r>
      <w:r w:rsidR="00057963" w:rsidRPr="00545857">
        <w:rPr>
          <w:rFonts w:ascii="Verdana" w:eastAsia="Calibri" w:hAnsi="Verdana" w:cs="Arial"/>
          <w:lang w:val="es-ES" w:eastAsia="es-ES"/>
        </w:rPr>
        <w:t xml:space="preserve">: </w:t>
      </w:r>
    </w:p>
    <w:p w14:paraId="38A0ECFE" w14:textId="24979823" w:rsidR="00057963" w:rsidRPr="00545857" w:rsidRDefault="00057963" w:rsidP="00057963">
      <w:pPr>
        <w:pStyle w:val="Prrafodelista"/>
        <w:tabs>
          <w:tab w:val="left" w:pos="142"/>
          <w:tab w:val="left" w:pos="284"/>
        </w:tabs>
        <w:spacing w:line="276" w:lineRule="auto"/>
        <w:ind w:left="0"/>
        <w:jc w:val="both"/>
        <w:rPr>
          <w:rFonts w:ascii="Verdana" w:eastAsia="Century Gothic" w:hAnsi="Verdana" w:cs="Century Gothic"/>
          <w:b/>
          <w:bCs/>
          <w:sz w:val="22"/>
          <w:lang w:val="es-ES"/>
        </w:rPr>
      </w:pPr>
    </w:p>
    <w:p w14:paraId="5F9EA5FB" w14:textId="0C863068" w:rsidR="00CE2BC0" w:rsidRPr="00545857" w:rsidRDefault="00CE2BC0" w:rsidP="006B0927">
      <w:pPr>
        <w:pStyle w:val="Prrafodelista"/>
        <w:ind w:left="709" w:right="709"/>
        <w:jc w:val="both"/>
        <w:rPr>
          <w:rFonts w:ascii="Verdana" w:eastAsia="Century Gothic" w:hAnsi="Verdana" w:cs="Century Gothic"/>
          <w:i/>
          <w:iCs/>
          <w:sz w:val="21"/>
          <w:szCs w:val="21"/>
          <w:lang w:val="es-CO"/>
        </w:rPr>
      </w:pPr>
      <w:r w:rsidRPr="00545857">
        <w:rPr>
          <w:rFonts w:ascii="Verdana" w:eastAsia="Century Gothic" w:hAnsi="Verdana" w:cs="Century Gothic"/>
          <w:i/>
          <w:iCs/>
          <w:sz w:val="21"/>
          <w:szCs w:val="21"/>
          <w:lang w:val="es-CO"/>
        </w:rPr>
        <w:t>“</w:t>
      </w:r>
      <w:r w:rsidR="00B622A2" w:rsidRPr="00545857">
        <w:rPr>
          <w:rFonts w:ascii="Verdana" w:eastAsia="Century Gothic" w:hAnsi="Verdana" w:cs="Century Gothic"/>
          <w:i/>
          <w:iCs/>
          <w:sz w:val="21"/>
          <w:szCs w:val="21"/>
          <w:lang w:val="es-CO"/>
        </w:rPr>
        <w:t xml:space="preserve">Específicamente, solicitamos su orientación para </w:t>
      </w:r>
      <w:r w:rsidRPr="00545857">
        <w:rPr>
          <w:rFonts w:ascii="Verdana" w:eastAsia="Century Gothic" w:hAnsi="Verdana" w:cs="Century Gothic"/>
          <w:i/>
          <w:iCs/>
          <w:sz w:val="21"/>
          <w:szCs w:val="21"/>
          <w:lang w:val="es-CO"/>
        </w:rPr>
        <w:t xml:space="preserve">determinar si la enajenación de bienes mediante subasta, conforme al Decreto 1510 de 2013, es el mecanismo adecuado y comúnmente utilizado para la venta </w:t>
      </w:r>
      <w:r w:rsidRPr="00545857">
        <w:rPr>
          <w:rFonts w:ascii="Verdana" w:eastAsia="Century Gothic" w:hAnsi="Verdana" w:cs="Century Gothic"/>
          <w:i/>
          <w:iCs/>
          <w:sz w:val="21"/>
          <w:szCs w:val="21"/>
          <w:lang w:val="es-CO"/>
        </w:rPr>
        <w:lastRenderedPageBreak/>
        <w:t>de bienes fiscales, y cuáles serían los pasos específicos que debemos seguir en el marco del SECOP”.</w:t>
      </w:r>
    </w:p>
    <w:p w14:paraId="484DE146" w14:textId="77777777" w:rsidR="00CE2BC0" w:rsidRPr="00545857" w:rsidRDefault="00CE2BC0" w:rsidP="006B0927">
      <w:pPr>
        <w:pStyle w:val="Prrafodelista"/>
        <w:ind w:left="709" w:right="709"/>
        <w:jc w:val="both"/>
        <w:rPr>
          <w:rFonts w:ascii="Verdana" w:eastAsia="Century Gothic" w:hAnsi="Verdana" w:cs="Century Gothic"/>
          <w:i/>
          <w:iCs/>
          <w:sz w:val="21"/>
          <w:szCs w:val="21"/>
          <w:lang w:val="es-CO"/>
        </w:rPr>
      </w:pPr>
    </w:p>
    <w:p w14:paraId="4ACC697B" w14:textId="03ADFEDB" w:rsidR="00992986" w:rsidRPr="00545857" w:rsidRDefault="008F27E3" w:rsidP="00A652FF">
      <w:pPr>
        <w:spacing w:after="120" w:line="276" w:lineRule="auto"/>
        <w:ind w:firstLine="709"/>
        <w:jc w:val="both"/>
        <w:rPr>
          <w:rFonts w:ascii="Verdana" w:eastAsia="Calibri" w:hAnsi="Verdana" w:cs="Arial"/>
          <w:color w:val="000000"/>
          <w:lang w:val="es-ES" w:eastAsia="es-ES"/>
        </w:rPr>
      </w:pPr>
      <w:r w:rsidRPr="00545857">
        <w:rPr>
          <w:rFonts w:ascii="Verdana" w:eastAsia="Calibri" w:hAnsi="Verdana" w:cs="Arial"/>
          <w:color w:val="000000"/>
          <w:lang w:val="es-ES" w:eastAsia="es-ES"/>
        </w:rPr>
        <w:t>De manera preliminar</w:t>
      </w:r>
      <w:r w:rsidR="00FC6D4E" w:rsidRPr="00545857">
        <w:rPr>
          <w:rFonts w:ascii="Verdana" w:eastAsia="Calibri" w:hAnsi="Verdana" w:cs="Arial"/>
          <w:color w:val="000000"/>
          <w:lang w:val="es-ES" w:eastAsia="es-ES"/>
        </w:rPr>
        <w:t xml:space="preserve">,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00FC6D4E" w:rsidRPr="00545857">
        <w:rPr>
          <w:rFonts w:ascii="Verdana" w:eastAsia="Calibri" w:hAnsi="Verdana" w:cs="Arial"/>
          <w:color w:val="000000"/>
          <w:szCs w:val="24"/>
          <w:lang w:val="es-ES_tradnl" w:eastAsia="es-ES_tradnl"/>
        </w:rPr>
        <w:tab/>
      </w:r>
    </w:p>
    <w:p w14:paraId="07856852" w14:textId="3C3CEEED" w:rsidR="00FC6D4E" w:rsidRPr="00545857" w:rsidRDefault="00FC6D4E" w:rsidP="001918F1">
      <w:pPr>
        <w:spacing w:after="0" w:line="276" w:lineRule="auto"/>
        <w:ind w:firstLine="709"/>
        <w:jc w:val="both"/>
        <w:rPr>
          <w:rFonts w:ascii="Verdana" w:eastAsia="Calibri" w:hAnsi="Verdana" w:cs="Arial"/>
          <w:color w:val="000000"/>
          <w:lang w:val="es-ES" w:eastAsia="es-ES"/>
        </w:rPr>
      </w:pPr>
      <w:r w:rsidRPr="00545857">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sidR="00992986" w:rsidRPr="00545857">
        <w:rPr>
          <w:rFonts w:ascii="Verdana" w:eastAsia="Calibri" w:hAnsi="Verdana" w:cs="Arial"/>
          <w:color w:val="000000"/>
          <w:lang w:val="es-ES" w:eastAsia="es-ES"/>
        </w:rPr>
        <w:t>s circunstancias</w:t>
      </w:r>
      <w:r w:rsidRPr="00545857">
        <w:rPr>
          <w:rFonts w:ascii="Verdana" w:eastAsia="Calibri" w:hAnsi="Verdana" w:cs="Arial"/>
          <w:color w:val="000000"/>
          <w:lang w:val="es-ES" w:eastAsia="es-ES"/>
        </w:rPr>
        <w:t xml:space="preserve"> particular</w:t>
      </w:r>
      <w:r w:rsidR="00992986" w:rsidRPr="00545857">
        <w:rPr>
          <w:rFonts w:ascii="Verdana" w:eastAsia="Calibri" w:hAnsi="Verdana" w:cs="Arial"/>
          <w:color w:val="000000"/>
          <w:lang w:val="es-ES" w:eastAsia="es-ES"/>
        </w:rPr>
        <w:t>es</w:t>
      </w:r>
      <w:r w:rsidRPr="00545857">
        <w:rPr>
          <w:rFonts w:ascii="Verdana" w:eastAsia="Calibri" w:hAnsi="Verdana" w:cs="Arial"/>
          <w:color w:val="000000"/>
          <w:lang w:val="es-ES" w:eastAsia="es-ES"/>
        </w:rPr>
        <w:t xml:space="preserve"> y concreta</w:t>
      </w:r>
      <w:r w:rsidR="00992986" w:rsidRPr="00545857">
        <w:rPr>
          <w:rFonts w:ascii="Verdana" w:eastAsia="Calibri" w:hAnsi="Verdana" w:cs="Arial"/>
          <w:color w:val="000000"/>
          <w:lang w:val="es-ES" w:eastAsia="es-ES"/>
        </w:rPr>
        <w:t>s</w:t>
      </w:r>
      <w:r w:rsidRPr="00545857">
        <w:rPr>
          <w:rFonts w:ascii="Verdana" w:eastAsia="Calibri" w:hAnsi="Verdana" w:cs="Arial"/>
          <w:color w:val="000000"/>
          <w:lang w:val="es-ES" w:eastAsia="es-ES"/>
        </w:rPr>
        <w:t xml:space="preserve"> mencionada</w:t>
      </w:r>
      <w:r w:rsidR="00992986" w:rsidRPr="00545857">
        <w:rPr>
          <w:rFonts w:ascii="Verdana" w:eastAsia="Calibri" w:hAnsi="Verdana" w:cs="Arial"/>
          <w:color w:val="000000"/>
          <w:lang w:val="es-ES" w:eastAsia="es-ES"/>
        </w:rPr>
        <w:t>s</w:t>
      </w:r>
      <w:r w:rsidRPr="00545857">
        <w:rPr>
          <w:rFonts w:ascii="Verdana" w:eastAsia="Calibri" w:hAnsi="Verdana" w:cs="Arial"/>
          <w:color w:val="000000"/>
          <w:lang w:val="es-ES" w:eastAsia="es-ES"/>
        </w:rPr>
        <w:t xml:space="preserve"> en </w:t>
      </w:r>
      <w:r w:rsidR="00C638A6" w:rsidRPr="00545857">
        <w:rPr>
          <w:rFonts w:ascii="Verdana" w:eastAsia="Calibri" w:hAnsi="Verdana" w:cs="Arial"/>
          <w:color w:val="000000"/>
          <w:lang w:val="es-ES" w:eastAsia="es-ES"/>
        </w:rPr>
        <w:t>la</w:t>
      </w:r>
      <w:r w:rsidR="00D76E76" w:rsidRPr="00545857">
        <w:rPr>
          <w:rFonts w:ascii="Verdana" w:eastAsia="Calibri" w:hAnsi="Verdana" w:cs="Arial"/>
          <w:color w:val="000000"/>
          <w:lang w:val="es-ES" w:eastAsia="es-ES"/>
        </w:rPr>
        <w:t xml:space="preserve">s </w:t>
      </w:r>
      <w:r w:rsidR="00C638A6" w:rsidRPr="00545857">
        <w:rPr>
          <w:rFonts w:ascii="Verdana" w:eastAsia="Calibri" w:hAnsi="Verdana" w:cs="Arial"/>
          <w:color w:val="000000"/>
          <w:lang w:val="es-ES" w:eastAsia="es-ES"/>
        </w:rPr>
        <w:t>pregunta</w:t>
      </w:r>
      <w:r w:rsidR="00D76E76" w:rsidRPr="00545857">
        <w:rPr>
          <w:rFonts w:ascii="Verdana" w:eastAsia="Calibri" w:hAnsi="Verdana" w:cs="Arial"/>
          <w:color w:val="000000"/>
          <w:lang w:val="es-ES" w:eastAsia="es-ES"/>
        </w:rPr>
        <w:t>s</w:t>
      </w:r>
      <w:r w:rsidR="00C638A6" w:rsidRPr="00545857">
        <w:rPr>
          <w:rFonts w:ascii="Verdana" w:eastAsia="Calibri" w:hAnsi="Verdana" w:cs="Arial"/>
          <w:color w:val="000000"/>
          <w:lang w:val="es-ES" w:eastAsia="es-ES"/>
        </w:rPr>
        <w:t xml:space="preserve"> de la</w:t>
      </w:r>
      <w:r w:rsidRPr="00545857">
        <w:rPr>
          <w:rFonts w:ascii="Verdana" w:eastAsia="Calibri" w:hAnsi="Verdana" w:cs="Arial"/>
          <w:color w:val="000000"/>
          <w:lang w:val="es-ES" w:eastAsia="es-ES"/>
        </w:rPr>
        <w:t xml:space="preserve"> petición, pero haciendo unas consideraciones sobre las normas generales relacionadas con </w:t>
      </w:r>
      <w:r w:rsidR="00A513FD" w:rsidRPr="00545857">
        <w:rPr>
          <w:rFonts w:ascii="Verdana" w:eastAsia="Calibri" w:hAnsi="Verdana" w:cs="Arial"/>
          <w:color w:val="000000"/>
          <w:lang w:val="es-ES" w:eastAsia="es-ES"/>
        </w:rPr>
        <w:t>el</w:t>
      </w:r>
      <w:r w:rsidR="00A513FD" w:rsidRPr="00545857">
        <w:rPr>
          <w:rFonts w:ascii="Verdana" w:eastAsia="Calibri" w:hAnsi="Verdana" w:cs="Arial"/>
          <w:color w:val="7030A0"/>
          <w:lang w:val="es-ES" w:eastAsia="es-ES"/>
        </w:rPr>
        <w:t xml:space="preserve"> </w:t>
      </w:r>
      <w:r w:rsidR="00A513FD" w:rsidRPr="00545857">
        <w:rPr>
          <w:rFonts w:ascii="Verdana" w:eastAsia="Calibri" w:hAnsi="Verdana" w:cs="Arial"/>
          <w:color w:val="000000"/>
          <w:lang w:val="es-ES" w:eastAsia="es-ES"/>
        </w:rPr>
        <w:t>problema</w:t>
      </w:r>
      <w:r w:rsidR="00A513FD" w:rsidRPr="00545857">
        <w:rPr>
          <w:rFonts w:ascii="Verdana" w:eastAsia="Calibri" w:hAnsi="Verdana" w:cs="Arial"/>
          <w:color w:val="7030A0"/>
          <w:lang w:val="es-ES" w:eastAsia="es-ES"/>
        </w:rPr>
        <w:t xml:space="preserve"> </w:t>
      </w:r>
      <w:r w:rsidR="00A513FD" w:rsidRPr="00545857">
        <w:rPr>
          <w:rFonts w:ascii="Verdana" w:eastAsia="Calibri" w:hAnsi="Verdana" w:cs="Arial"/>
          <w:color w:val="000000"/>
          <w:lang w:val="es-ES" w:eastAsia="es-ES"/>
        </w:rPr>
        <w:t>jurídico</w:t>
      </w:r>
      <w:r w:rsidR="00A513FD" w:rsidRPr="00545857">
        <w:rPr>
          <w:rFonts w:ascii="Verdana" w:eastAsia="Calibri" w:hAnsi="Verdana" w:cs="Arial"/>
          <w:color w:val="7030A0"/>
          <w:lang w:val="es-ES" w:eastAsia="es-ES"/>
        </w:rPr>
        <w:t xml:space="preserve"> </w:t>
      </w:r>
      <w:r w:rsidR="00343B47" w:rsidRPr="00545857">
        <w:rPr>
          <w:rFonts w:ascii="Verdana" w:eastAsia="Calibri" w:hAnsi="Verdana" w:cs="Arial"/>
          <w:color w:val="000000"/>
          <w:lang w:val="es-ES" w:eastAsia="es-ES"/>
        </w:rPr>
        <w:t>de su</w:t>
      </w:r>
      <w:r w:rsidRPr="00545857">
        <w:rPr>
          <w:rFonts w:ascii="Verdana" w:eastAsia="Calibri" w:hAnsi="Verdana" w:cs="Arial"/>
          <w:color w:val="000000"/>
          <w:lang w:val="es-ES" w:eastAsia="es-ES"/>
        </w:rPr>
        <w:t xml:space="preserve"> consulta. </w:t>
      </w:r>
    </w:p>
    <w:p w14:paraId="10320261" w14:textId="77777777" w:rsidR="001918F1" w:rsidRPr="00545857" w:rsidRDefault="001918F1" w:rsidP="001918F1">
      <w:pPr>
        <w:spacing w:after="0" w:line="276" w:lineRule="auto"/>
        <w:ind w:firstLine="709"/>
        <w:jc w:val="both"/>
        <w:rPr>
          <w:rFonts w:ascii="Verdana" w:eastAsia="Calibri" w:hAnsi="Verdana" w:cs="Arial"/>
          <w:color w:val="000000"/>
          <w:lang w:val="es-ES" w:eastAsia="es-ES"/>
        </w:rPr>
      </w:pPr>
    </w:p>
    <w:p w14:paraId="1DF0C9FE" w14:textId="2A6D862D" w:rsidR="00E84D1C" w:rsidRPr="00545857" w:rsidRDefault="00E84D1C" w:rsidP="00E84D1C">
      <w:pPr>
        <w:pStyle w:val="Prrafodelista"/>
        <w:numPr>
          <w:ilvl w:val="0"/>
          <w:numId w:val="1"/>
        </w:numPr>
        <w:tabs>
          <w:tab w:val="left" w:pos="142"/>
          <w:tab w:val="left" w:pos="284"/>
        </w:tabs>
        <w:spacing w:line="276" w:lineRule="auto"/>
        <w:ind w:left="0" w:firstLine="0"/>
        <w:jc w:val="both"/>
        <w:rPr>
          <w:rFonts w:ascii="Verdana" w:eastAsia="Century Gothic" w:hAnsi="Verdana" w:cs="Century Gothic"/>
          <w:b/>
          <w:bCs/>
          <w:sz w:val="22"/>
          <w:lang w:val="es-ES"/>
        </w:rPr>
      </w:pPr>
      <w:r w:rsidRPr="00545857">
        <w:rPr>
          <w:rFonts w:ascii="Verdana" w:eastAsia="Century Gothic" w:hAnsi="Verdana" w:cs="Century Gothic"/>
          <w:b/>
          <w:bCs/>
          <w:sz w:val="22"/>
          <w:lang w:val="es-ES"/>
        </w:rPr>
        <w:t>Problema</w:t>
      </w:r>
      <w:r w:rsidR="000C42A9" w:rsidRPr="00545857">
        <w:rPr>
          <w:rFonts w:ascii="Verdana" w:eastAsia="Century Gothic" w:hAnsi="Verdana" w:cs="Century Gothic"/>
          <w:b/>
          <w:bCs/>
          <w:sz w:val="22"/>
          <w:lang w:val="es-ES"/>
        </w:rPr>
        <w:t>s</w:t>
      </w:r>
      <w:r w:rsidRPr="00545857">
        <w:rPr>
          <w:rFonts w:ascii="Verdana" w:eastAsia="Century Gothic" w:hAnsi="Verdana" w:cs="Century Gothic"/>
          <w:b/>
          <w:bCs/>
          <w:sz w:val="22"/>
          <w:lang w:val="es-ES"/>
        </w:rPr>
        <w:t xml:space="preserve"> planteado</w:t>
      </w:r>
      <w:r w:rsidR="000C42A9" w:rsidRPr="00545857">
        <w:rPr>
          <w:rFonts w:ascii="Verdana" w:eastAsia="Century Gothic" w:hAnsi="Verdana" w:cs="Century Gothic"/>
          <w:b/>
          <w:bCs/>
          <w:sz w:val="22"/>
          <w:lang w:val="es-ES"/>
        </w:rPr>
        <w:t>s</w:t>
      </w:r>
      <w:r w:rsidRPr="00545857">
        <w:rPr>
          <w:rFonts w:ascii="Verdana" w:eastAsia="Century Gothic" w:hAnsi="Verdana" w:cs="Century Gothic"/>
          <w:b/>
          <w:bCs/>
          <w:sz w:val="22"/>
          <w:lang w:val="es-ES"/>
        </w:rPr>
        <w:t>:</w:t>
      </w:r>
    </w:p>
    <w:p w14:paraId="3981D497" w14:textId="77777777" w:rsidR="00E84D1C" w:rsidRPr="00545857" w:rsidRDefault="00E84D1C" w:rsidP="00E84D1C">
      <w:pPr>
        <w:tabs>
          <w:tab w:val="left" w:pos="426"/>
        </w:tabs>
        <w:spacing w:after="0" w:line="276" w:lineRule="auto"/>
        <w:jc w:val="both"/>
        <w:rPr>
          <w:rFonts w:ascii="Verdana" w:eastAsia="Century Gothic" w:hAnsi="Verdana" w:cs="Century Gothic"/>
          <w:lang w:val="es-ES"/>
        </w:rPr>
      </w:pPr>
    </w:p>
    <w:p w14:paraId="348E2D36" w14:textId="03BC1B3D" w:rsidR="00E84D1C" w:rsidRPr="00545857" w:rsidRDefault="008F27E3" w:rsidP="00E84D1C">
      <w:pPr>
        <w:spacing w:after="0" w:line="276" w:lineRule="auto"/>
        <w:jc w:val="both"/>
        <w:rPr>
          <w:rFonts w:ascii="Verdana" w:eastAsia="Century Gothic" w:hAnsi="Verdana" w:cs="Century Gothic"/>
        </w:rPr>
      </w:pPr>
      <w:r w:rsidRPr="00545857">
        <w:rPr>
          <w:rFonts w:ascii="Verdana" w:eastAsia="Century Gothic" w:hAnsi="Verdana" w:cs="Century Gothic"/>
        </w:rPr>
        <w:t>D</w:t>
      </w:r>
      <w:r w:rsidR="00343B47" w:rsidRPr="00545857">
        <w:rPr>
          <w:rFonts w:ascii="Verdana" w:eastAsia="Century Gothic" w:hAnsi="Verdana" w:cs="Century Gothic"/>
        </w:rPr>
        <w:t xml:space="preserve">e acuerdo con el contenido de </w:t>
      </w:r>
      <w:r w:rsidR="00FC6D4E" w:rsidRPr="00545857">
        <w:rPr>
          <w:rFonts w:ascii="Verdana" w:eastAsia="Century Gothic" w:hAnsi="Verdana" w:cs="Century Gothic"/>
        </w:rPr>
        <w:t xml:space="preserve">su solicitud, esta Agencia resolverá </w:t>
      </w:r>
      <w:r w:rsidR="00E37346" w:rsidRPr="00545857">
        <w:rPr>
          <w:rFonts w:ascii="Verdana" w:eastAsia="Century Gothic" w:hAnsi="Verdana" w:cs="Century Gothic"/>
        </w:rPr>
        <w:t>el</w:t>
      </w:r>
      <w:r w:rsidR="00CF5BE0" w:rsidRPr="00545857">
        <w:rPr>
          <w:rFonts w:ascii="Verdana" w:eastAsia="Century Gothic" w:hAnsi="Verdana" w:cs="Century Gothic"/>
        </w:rPr>
        <w:t xml:space="preserve"> siguient</w:t>
      </w:r>
      <w:r w:rsidR="000870EF" w:rsidRPr="00545857">
        <w:rPr>
          <w:rFonts w:ascii="Verdana" w:eastAsia="Century Gothic" w:hAnsi="Verdana" w:cs="Century Gothic"/>
        </w:rPr>
        <w:t>e</w:t>
      </w:r>
      <w:r w:rsidR="00D86D55" w:rsidRPr="00545857">
        <w:rPr>
          <w:rFonts w:ascii="Verdana" w:eastAsia="Century Gothic" w:hAnsi="Verdana" w:cs="Century Gothic"/>
        </w:rPr>
        <w:t xml:space="preserve"> </w:t>
      </w:r>
      <w:r w:rsidR="00FC6D4E" w:rsidRPr="00545857">
        <w:rPr>
          <w:rFonts w:ascii="Verdana" w:eastAsia="Century Gothic" w:hAnsi="Verdana" w:cs="Century Gothic"/>
        </w:rPr>
        <w:t>problema jurídico</w:t>
      </w:r>
      <w:r w:rsidR="00E37346" w:rsidRPr="00545857">
        <w:rPr>
          <w:rFonts w:ascii="Verdana" w:eastAsia="Century Gothic" w:hAnsi="Verdana" w:cs="Century Gothic"/>
        </w:rPr>
        <w:t xml:space="preserve">: </w:t>
      </w:r>
      <w:r w:rsidR="004401B9">
        <w:rPr>
          <w:rFonts w:ascii="Verdana" w:eastAsia="Century Gothic" w:hAnsi="Verdana" w:cs="Century Gothic"/>
        </w:rPr>
        <w:t>¿Cuáles son los</w:t>
      </w:r>
      <w:r w:rsidR="000066E6">
        <w:rPr>
          <w:rFonts w:ascii="Verdana" w:eastAsia="Century Gothic" w:hAnsi="Verdana" w:cs="Century Gothic"/>
        </w:rPr>
        <w:t xml:space="preserve"> mecanismo</w:t>
      </w:r>
      <w:r w:rsidR="004401B9">
        <w:rPr>
          <w:rFonts w:ascii="Verdana" w:eastAsia="Century Gothic" w:hAnsi="Verdana" w:cs="Century Gothic"/>
        </w:rPr>
        <w:t>s</w:t>
      </w:r>
      <w:r w:rsidR="00903EEB" w:rsidRPr="00545857">
        <w:rPr>
          <w:rFonts w:ascii="Verdana" w:eastAsia="Century Gothic" w:hAnsi="Verdana" w:cs="Century Gothic"/>
        </w:rPr>
        <w:t xml:space="preserve"> </w:t>
      </w:r>
      <w:r w:rsidR="00D613CA" w:rsidRPr="00545857">
        <w:rPr>
          <w:rFonts w:ascii="Verdana" w:eastAsia="Century Gothic" w:hAnsi="Verdana" w:cs="Century Gothic"/>
        </w:rPr>
        <w:t>para l</w:t>
      </w:r>
      <w:r w:rsidR="00D867B9" w:rsidRPr="00545857">
        <w:rPr>
          <w:rFonts w:ascii="Verdana" w:eastAsia="Century Gothic" w:hAnsi="Verdana" w:cs="Century Gothic"/>
        </w:rPr>
        <w:t xml:space="preserve">a enajenación de bienes </w:t>
      </w:r>
      <w:r w:rsidR="00D613CA" w:rsidRPr="00545857">
        <w:rPr>
          <w:rFonts w:ascii="Verdana" w:eastAsia="Century Gothic" w:hAnsi="Verdana" w:cs="Century Gothic"/>
        </w:rPr>
        <w:t>fiscales</w:t>
      </w:r>
      <w:r w:rsidR="00A77C94" w:rsidRPr="00545857">
        <w:rPr>
          <w:rFonts w:ascii="Verdana" w:eastAsia="Century Gothic" w:hAnsi="Verdana" w:cs="Century Gothic"/>
          <w:sz w:val="21"/>
          <w:szCs w:val="21"/>
        </w:rPr>
        <w:t xml:space="preserve">? </w:t>
      </w:r>
    </w:p>
    <w:p w14:paraId="31CA4CF9" w14:textId="77777777" w:rsidR="00E84D1C" w:rsidRPr="00545857" w:rsidRDefault="00E84D1C" w:rsidP="00E84D1C">
      <w:pPr>
        <w:spacing w:after="0" w:line="276" w:lineRule="auto"/>
        <w:jc w:val="both"/>
        <w:rPr>
          <w:rFonts w:ascii="Verdana" w:eastAsia="Calibri" w:hAnsi="Verdana" w:cs="Arial"/>
          <w:color w:val="7030A0"/>
        </w:rPr>
      </w:pPr>
    </w:p>
    <w:p w14:paraId="74205EE3" w14:textId="46C13E2B" w:rsidR="00E84D1C" w:rsidRPr="00545857" w:rsidRDefault="00E84D1C" w:rsidP="00E84D1C">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545857">
        <w:rPr>
          <w:rFonts w:ascii="Verdana" w:eastAsia="Century Gothic" w:hAnsi="Verdana" w:cs="Century Gothic"/>
          <w:b/>
          <w:bCs/>
          <w:sz w:val="22"/>
          <w:lang w:val="es-ES"/>
        </w:rPr>
        <w:t>Respuesta</w:t>
      </w:r>
      <w:r w:rsidR="000C42A9" w:rsidRPr="00545857">
        <w:rPr>
          <w:rFonts w:ascii="Verdana" w:eastAsia="Century Gothic" w:hAnsi="Verdana" w:cs="Century Gothic"/>
          <w:b/>
          <w:bCs/>
          <w:sz w:val="22"/>
          <w:lang w:val="es-ES"/>
        </w:rPr>
        <w:t>s</w:t>
      </w:r>
      <w:r w:rsidRPr="00545857">
        <w:rPr>
          <w:rFonts w:ascii="Verdana" w:eastAsia="Century Gothic" w:hAnsi="Verdana" w:cs="Century Gothic"/>
          <w:b/>
          <w:bCs/>
          <w:sz w:val="22"/>
          <w:lang w:val="es-ES"/>
        </w:rPr>
        <w:t>:</w:t>
      </w:r>
    </w:p>
    <w:p w14:paraId="4FCBB89E" w14:textId="1BF4BDFA" w:rsidR="00E84D1C" w:rsidRPr="00545857" w:rsidRDefault="00E84D1C" w:rsidP="00E84D1C">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84D1C" w:rsidRPr="00545857" w14:paraId="0E1945DC" w14:textId="77777777" w:rsidTr="006E429F">
        <w:trPr>
          <w:jc w:val="center"/>
        </w:trPr>
        <w:tc>
          <w:tcPr>
            <w:tcW w:w="8828" w:type="dxa"/>
            <w:shd w:val="clear" w:color="auto" w:fill="auto"/>
          </w:tcPr>
          <w:p w14:paraId="281A625A" w14:textId="16544800" w:rsidR="00172323" w:rsidRPr="00545857" w:rsidRDefault="00172323" w:rsidP="00172323">
            <w:pPr>
              <w:spacing w:after="120" w:line="276" w:lineRule="auto"/>
              <w:ind w:right="79"/>
              <w:jc w:val="both"/>
              <w:rPr>
                <w:rFonts w:ascii="Verdana" w:hAnsi="Verdana" w:cs="Arial"/>
              </w:rPr>
            </w:pPr>
            <w:bookmarkStart w:id="0" w:name="_Hlk171694685"/>
            <w:r w:rsidRPr="00545857">
              <w:rPr>
                <w:rFonts w:ascii="Verdana" w:hAnsi="Verdana" w:cs="Arial"/>
              </w:rPr>
              <w:t>El literal e) del numeral 2 del artículo 2 de la Ley 1150 de 2007 dispone que la enajenación de bienes del Estado, con excepción de aquellos a que se refiere la Ley 226 de 1995, se realiza a través de la modalidad de selección abreviada</w:t>
            </w:r>
            <w:r w:rsidR="005B6162">
              <w:rPr>
                <w:rFonts w:ascii="Verdana" w:hAnsi="Verdana" w:cs="Arial"/>
              </w:rPr>
              <w:t>.</w:t>
            </w:r>
          </w:p>
          <w:p w14:paraId="7C5B35B6" w14:textId="351BCF18" w:rsidR="00A8600C" w:rsidRDefault="00C403B0" w:rsidP="00A8600C">
            <w:pPr>
              <w:pStyle w:val="Textonotapie"/>
              <w:spacing w:after="120" w:line="276" w:lineRule="auto"/>
              <w:ind w:firstLine="720"/>
              <w:jc w:val="both"/>
              <w:rPr>
                <w:rFonts w:ascii="Verdana" w:hAnsi="Verdana"/>
                <w:color w:val="333333"/>
                <w:sz w:val="22"/>
                <w:szCs w:val="22"/>
                <w:shd w:val="clear" w:color="auto" w:fill="FFFFFF"/>
              </w:rPr>
            </w:pPr>
            <w:r w:rsidRPr="00191A48">
              <w:rPr>
                <w:rFonts w:ascii="Verdana" w:eastAsia="Arial" w:hAnsi="Verdana" w:cs="Arial"/>
                <w:sz w:val="22"/>
                <w:szCs w:val="22"/>
                <w:lang w:val="es-ES"/>
              </w:rPr>
              <w:t>En virtud de lo anterior</w:t>
            </w:r>
            <w:r w:rsidR="00F64444">
              <w:rPr>
                <w:rFonts w:ascii="Verdana" w:eastAsia="Arial" w:hAnsi="Verdana" w:cs="Arial"/>
                <w:lang w:val="es-ES"/>
              </w:rPr>
              <w:t xml:space="preserve">, </w:t>
            </w:r>
            <w:r w:rsidR="00A8600C">
              <w:rPr>
                <w:rFonts w:ascii="Verdana" w:eastAsia="Arial" w:hAnsi="Verdana" w:cs="Arial"/>
                <w:sz w:val="22"/>
                <w:szCs w:val="22"/>
                <w:lang w:val="es-ES"/>
              </w:rPr>
              <w:t xml:space="preserve">la subsección 2 de la sección 2 del capítulo II del </w:t>
            </w:r>
            <w:r w:rsidR="00A8600C" w:rsidRPr="00191A48">
              <w:rPr>
                <w:rFonts w:ascii="Verdana" w:eastAsia="Arial" w:hAnsi="Verdana" w:cs="Arial"/>
                <w:sz w:val="22"/>
                <w:szCs w:val="22"/>
                <w:lang w:val="es-ES"/>
              </w:rPr>
              <w:t>Decreto 1082 de 2015</w:t>
            </w:r>
            <w:r w:rsidR="00A8600C">
              <w:rPr>
                <w:rFonts w:ascii="Verdana" w:eastAsia="Arial" w:hAnsi="Verdana" w:cs="Arial"/>
                <w:sz w:val="22"/>
                <w:szCs w:val="22"/>
                <w:lang w:val="es-ES"/>
              </w:rPr>
              <w:t xml:space="preserve"> </w:t>
            </w:r>
            <w:r w:rsidR="00DD5B52">
              <w:rPr>
                <w:rFonts w:ascii="Verdana" w:eastAsia="Arial" w:hAnsi="Verdana" w:cs="Arial"/>
                <w:sz w:val="22"/>
                <w:szCs w:val="22"/>
                <w:lang w:val="es-ES"/>
              </w:rPr>
              <w:t xml:space="preserve">regula la materia y </w:t>
            </w:r>
            <w:r w:rsidR="00A8600C">
              <w:rPr>
                <w:rFonts w:ascii="Verdana" w:eastAsia="Arial" w:hAnsi="Verdana" w:cs="Arial"/>
                <w:sz w:val="22"/>
                <w:szCs w:val="22"/>
                <w:lang w:val="es-ES"/>
              </w:rPr>
              <w:t xml:space="preserve">establece 3 mecanismos de </w:t>
            </w:r>
            <w:r w:rsidR="00A8600C">
              <w:rPr>
                <w:rFonts w:ascii="Verdana" w:eastAsia="Arial" w:hAnsi="Verdana" w:cs="Arial"/>
                <w:sz w:val="22"/>
                <w:szCs w:val="22"/>
                <w:lang w:val="es-ES"/>
              </w:rPr>
              <w:lastRenderedPageBreak/>
              <w:t xml:space="preserve">enajenación de los bienes del Estado: i) la enajenación directa por sobre cerrado, que se llevará a cabo mediante el procedimiento allí contemplado, </w:t>
            </w:r>
            <w:proofErr w:type="spellStart"/>
            <w:r w:rsidR="00A8600C">
              <w:rPr>
                <w:rFonts w:ascii="Verdana" w:eastAsia="Arial" w:hAnsi="Verdana" w:cs="Arial"/>
                <w:sz w:val="22"/>
                <w:szCs w:val="22"/>
                <w:lang w:val="es-ES"/>
              </w:rPr>
              <w:t>ii</w:t>
            </w:r>
            <w:proofErr w:type="spellEnd"/>
            <w:r w:rsidR="00A8600C">
              <w:rPr>
                <w:rFonts w:ascii="Verdana" w:eastAsia="Arial" w:hAnsi="Verdana" w:cs="Arial"/>
                <w:sz w:val="22"/>
                <w:szCs w:val="22"/>
                <w:lang w:val="es-ES"/>
              </w:rPr>
              <w:t xml:space="preserve">) la enajenación directa a través de subasta pública, para lo cual la entidad deberá </w:t>
            </w:r>
            <w:r w:rsidR="00A8600C" w:rsidRPr="009C24EB">
              <w:rPr>
                <w:rFonts w:ascii="Verdana" w:eastAsia="Arial" w:hAnsi="Verdana" w:cs="Arial"/>
                <w:sz w:val="22"/>
                <w:szCs w:val="22"/>
                <w:lang w:val="es-CO"/>
              </w:rPr>
              <w:t xml:space="preserve">seguir el procedimiento establecido en el artículo 2.2.1.2.1.2.2 </w:t>
            </w:r>
            <w:r w:rsidR="00A8600C">
              <w:rPr>
                <w:rFonts w:ascii="Verdana" w:eastAsia="Arial" w:hAnsi="Verdana" w:cs="Arial"/>
                <w:sz w:val="22"/>
                <w:szCs w:val="22"/>
                <w:lang w:val="es-CO"/>
              </w:rPr>
              <w:t xml:space="preserve">del Decreto 1082 de 2015 sobre subasta inversa, pero </w:t>
            </w:r>
            <w:r w:rsidR="00A8600C" w:rsidRPr="009C24EB">
              <w:rPr>
                <w:rFonts w:ascii="Verdana" w:eastAsia="Arial" w:hAnsi="Verdana" w:cs="Arial"/>
                <w:sz w:val="22"/>
                <w:szCs w:val="22"/>
                <w:lang w:val="es-CO"/>
              </w:rPr>
              <w:t xml:space="preserve">teniendo en cuenta que el bien debe ser adjudicado al oferente que haya ofrecido el mayor valor a pagar por los bienes objeto de enajenación y en consecuencia, el </w:t>
            </w:r>
            <w:r w:rsidR="00A8600C">
              <w:rPr>
                <w:rFonts w:ascii="Verdana" w:eastAsia="Arial" w:hAnsi="Verdana" w:cs="Arial"/>
                <w:sz w:val="22"/>
                <w:szCs w:val="22"/>
                <w:lang w:val="es-CO"/>
              </w:rPr>
              <w:t>m</w:t>
            </w:r>
            <w:r w:rsidR="00A8600C" w:rsidRPr="009C24EB">
              <w:rPr>
                <w:rFonts w:ascii="Verdana" w:eastAsia="Arial" w:hAnsi="Verdana" w:cs="Arial"/>
                <w:sz w:val="22"/>
                <w:szCs w:val="22"/>
                <w:lang w:val="es-CO"/>
              </w:rPr>
              <w:t xml:space="preserve">argen </w:t>
            </w:r>
            <w:r w:rsidR="00A8600C">
              <w:rPr>
                <w:rFonts w:ascii="Verdana" w:eastAsia="Arial" w:hAnsi="Verdana" w:cs="Arial"/>
                <w:sz w:val="22"/>
                <w:szCs w:val="22"/>
                <w:lang w:val="es-CO"/>
              </w:rPr>
              <w:t>m</w:t>
            </w:r>
            <w:r w:rsidR="00A8600C" w:rsidRPr="009C24EB">
              <w:rPr>
                <w:rFonts w:ascii="Verdana" w:eastAsia="Arial" w:hAnsi="Verdana" w:cs="Arial"/>
                <w:sz w:val="22"/>
                <w:szCs w:val="22"/>
                <w:lang w:val="es-CO"/>
              </w:rPr>
              <w:t>ínimo debe ser al alza</w:t>
            </w:r>
            <w:r w:rsidR="00A8600C">
              <w:rPr>
                <w:rFonts w:ascii="Verdana" w:eastAsia="Arial" w:hAnsi="Verdana" w:cs="Arial"/>
                <w:sz w:val="22"/>
                <w:szCs w:val="22"/>
                <w:lang w:val="es-CO"/>
              </w:rPr>
              <w:t xml:space="preserve">, y </w:t>
            </w:r>
            <w:proofErr w:type="spellStart"/>
            <w:r w:rsidR="00A8600C">
              <w:rPr>
                <w:rFonts w:ascii="Verdana" w:eastAsia="Arial" w:hAnsi="Verdana" w:cs="Arial"/>
                <w:sz w:val="22"/>
                <w:szCs w:val="22"/>
                <w:lang w:val="es-CO"/>
              </w:rPr>
              <w:t>iii</w:t>
            </w:r>
            <w:proofErr w:type="spellEnd"/>
            <w:r w:rsidR="00A8600C">
              <w:rPr>
                <w:rFonts w:ascii="Verdana" w:eastAsia="Arial" w:hAnsi="Verdana" w:cs="Arial"/>
                <w:sz w:val="22"/>
                <w:szCs w:val="22"/>
                <w:lang w:val="es-CO"/>
              </w:rPr>
              <w:t xml:space="preserve">) la enajenación a través de intermediarios idóneos, en cuyo caso </w:t>
            </w:r>
            <w:r w:rsidR="00A8600C">
              <w:rPr>
                <w:rFonts w:ascii="Verdana" w:hAnsi="Verdana"/>
                <w:color w:val="333333"/>
                <w:sz w:val="22"/>
                <w:szCs w:val="22"/>
                <w:shd w:val="clear" w:color="auto" w:fill="FFFFFF"/>
              </w:rPr>
              <w:t>l</w:t>
            </w:r>
            <w:r w:rsidR="00A8600C" w:rsidRPr="008F4E95">
              <w:rPr>
                <w:rFonts w:ascii="Verdana" w:hAnsi="Verdana"/>
                <w:color w:val="333333"/>
                <w:sz w:val="22"/>
                <w:szCs w:val="22"/>
                <w:shd w:val="clear" w:color="auto" w:fill="FFFFFF"/>
              </w:rPr>
              <w:t>a venta debe realizarse a través de subasta pública, o mediante el mecanismo de derecho privado que se convenga con el intermediario.</w:t>
            </w:r>
            <w:r w:rsidR="00A8600C">
              <w:rPr>
                <w:rFonts w:ascii="Verdana" w:hAnsi="Verdana"/>
                <w:color w:val="333333"/>
                <w:sz w:val="22"/>
                <w:szCs w:val="22"/>
                <w:shd w:val="clear" w:color="auto" w:fill="FFFFFF"/>
              </w:rPr>
              <w:t xml:space="preserve"> </w:t>
            </w:r>
          </w:p>
          <w:p w14:paraId="073EC507" w14:textId="5B659C78" w:rsidR="00D72C13" w:rsidRPr="002C4918" w:rsidRDefault="00074CA6" w:rsidP="00074CA6">
            <w:pPr>
              <w:spacing w:after="120" w:line="276" w:lineRule="auto"/>
              <w:ind w:firstLine="708"/>
              <w:jc w:val="both"/>
              <w:rPr>
                <w:rFonts w:ascii="Verdana" w:hAnsi="Verdana"/>
                <w:color w:val="333333"/>
                <w:shd w:val="clear" w:color="auto" w:fill="FFFFFF"/>
              </w:rPr>
            </w:pPr>
            <w:r>
              <w:rPr>
                <w:rFonts w:ascii="Verdana" w:hAnsi="Verdana"/>
                <w:color w:val="333333"/>
                <w:shd w:val="clear" w:color="auto" w:fill="FFFFFF"/>
              </w:rPr>
              <w:t xml:space="preserve">Asimismo, </w:t>
            </w:r>
            <w:r>
              <w:rPr>
                <w:rFonts w:ascii="Verdana" w:eastAsia="Arial" w:hAnsi="Verdana" w:cs="Arial"/>
                <w:lang w:val="es-ES"/>
              </w:rPr>
              <w:t>la</w:t>
            </w:r>
            <w:r w:rsidR="009D02FA">
              <w:rPr>
                <w:rFonts w:ascii="Verdana" w:eastAsia="Arial" w:hAnsi="Verdana" w:cs="Arial"/>
                <w:lang w:val="es-ES"/>
              </w:rPr>
              <w:t>s</w:t>
            </w:r>
            <w:r>
              <w:rPr>
                <w:rFonts w:ascii="Verdana" w:eastAsia="Arial" w:hAnsi="Verdana" w:cs="Arial"/>
                <w:lang w:val="es-ES"/>
              </w:rPr>
              <w:t xml:space="preserve"> subsecci</w:t>
            </w:r>
            <w:r w:rsidR="005E1444">
              <w:rPr>
                <w:rFonts w:ascii="Verdana" w:eastAsia="Arial" w:hAnsi="Verdana" w:cs="Arial"/>
                <w:lang w:val="es-ES"/>
              </w:rPr>
              <w:t>ones 3 y 4</w:t>
            </w:r>
            <w:r>
              <w:rPr>
                <w:rFonts w:ascii="Verdana" w:eastAsia="Arial" w:hAnsi="Verdana" w:cs="Arial"/>
                <w:lang w:val="es-ES"/>
              </w:rPr>
              <w:t xml:space="preserve"> de la sección 2 del capítulo II del </w:t>
            </w:r>
            <w:r w:rsidRPr="00191A48">
              <w:rPr>
                <w:rFonts w:ascii="Verdana" w:eastAsia="Arial" w:hAnsi="Verdana" w:cs="Arial"/>
                <w:lang w:val="es-ES"/>
              </w:rPr>
              <w:t>Decreto 1082 de 2015</w:t>
            </w:r>
            <w:r>
              <w:rPr>
                <w:rFonts w:ascii="Verdana" w:eastAsia="Arial" w:hAnsi="Verdana" w:cs="Arial"/>
                <w:lang w:val="es-ES"/>
              </w:rPr>
              <w:t xml:space="preserve"> </w:t>
            </w:r>
            <w:r w:rsidR="005E1444">
              <w:rPr>
                <w:rFonts w:ascii="Verdana" w:eastAsia="Arial" w:hAnsi="Verdana" w:cs="Arial"/>
                <w:lang w:val="es-ES"/>
              </w:rPr>
              <w:t>establece unas reglas particulares que las entidades deberán tener en cuenta para la enajenación de bienes muebles e inmuebles</w:t>
            </w:r>
            <w:r w:rsidR="009D02FA">
              <w:rPr>
                <w:rFonts w:ascii="Verdana" w:eastAsia="Arial" w:hAnsi="Verdana" w:cs="Arial"/>
                <w:lang w:val="es-ES"/>
              </w:rPr>
              <w:t xml:space="preserve">. </w:t>
            </w:r>
            <w:r w:rsidR="00EC2B14" w:rsidRPr="00EC2B14">
              <w:rPr>
                <w:rFonts w:ascii="Verdana" w:hAnsi="Verdana"/>
                <w:color w:val="333333"/>
                <w:shd w:val="clear" w:color="auto" w:fill="FFFFFF"/>
              </w:rPr>
              <w:t>En tal sentido, se advierte que será la entidad estatal contratante la llamada a establecer con precisión el mecanismo idóneo para la enajenación de sus bienes, teniendo en cuenta sus necesidades específicas, los procedimientos señalados y las reglas sobre los bienes muebles e inmuebles aplicables según sea el caso</w:t>
            </w:r>
            <w:r w:rsidR="009D02FA">
              <w:rPr>
                <w:rFonts w:ascii="Verdana" w:hAnsi="Verdana"/>
                <w:color w:val="333333"/>
                <w:shd w:val="clear" w:color="auto" w:fill="FFFFFF"/>
              </w:rPr>
              <w:t>.</w:t>
            </w:r>
          </w:p>
        </w:tc>
      </w:tr>
    </w:tbl>
    <w:p w14:paraId="1728E2BC" w14:textId="77777777" w:rsidR="00E84D1C" w:rsidRPr="00545857" w:rsidRDefault="00E84D1C" w:rsidP="00E84D1C">
      <w:pPr>
        <w:tabs>
          <w:tab w:val="left" w:pos="142"/>
          <w:tab w:val="left" w:pos="284"/>
        </w:tabs>
        <w:spacing w:after="0" w:line="276" w:lineRule="auto"/>
        <w:jc w:val="both"/>
        <w:rPr>
          <w:rFonts w:ascii="Verdana" w:eastAsia="Century Gothic" w:hAnsi="Verdana" w:cs="Century Gothic"/>
          <w:b/>
          <w:bCs/>
          <w:lang w:val="es-ES"/>
        </w:rPr>
      </w:pPr>
    </w:p>
    <w:bookmarkEnd w:id="0"/>
    <w:p w14:paraId="7BD5B662" w14:textId="4AC7D643" w:rsidR="00E84D1C" w:rsidRPr="00545857" w:rsidRDefault="00071AB8" w:rsidP="00E84D1C">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545857">
        <w:rPr>
          <w:rFonts w:ascii="Verdana" w:eastAsia="Century Gothic" w:hAnsi="Verdana" w:cs="Century Gothic"/>
          <w:b/>
          <w:bCs/>
          <w:sz w:val="22"/>
          <w:lang w:val="es-ES"/>
        </w:rPr>
        <w:t>Razones de la</w:t>
      </w:r>
      <w:r w:rsidR="000C42A9" w:rsidRPr="00545857">
        <w:rPr>
          <w:rFonts w:ascii="Verdana" w:eastAsia="Century Gothic" w:hAnsi="Verdana" w:cs="Century Gothic"/>
          <w:b/>
          <w:bCs/>
          <w:sz w:val="22"/>
          <w:lang w:val="es-ES"/>
        </w:rPr>
        <w:t>s</w:t>
      </w:r>
      <w:r w:rsidRPr="00545857">
        <w:rPr>
          <w:rFonts w:ascii="Verdana" w:eastAsia="Century Gothic" w:hAnsi="Verdana" w:cs="Century Gothic"/>
          <w:b/>
          <w:bCs/>
          <w:sz w:val="22"/>
          <w:lang w:val="es-ES"/>
        </w:rPr>
        <w:t xml:space="preserve"> respuesta</w:t>
      </w:r>
      <w:r w:rsidR="000C42A9" w:rsidRPr="00545857">
        <w:rPr>
          <w:rFonts w:ascii="Verdana" w:eastAsia="Century Gothic" w:hAnsi="Verdana" w:cs="Century Gothic"/>
          <w:b/>
          <w:bCs/>
          <w:sz w:val="22"/>
          <w:lang w:val="es-ES"/>
        </w:rPr>
        <w:t>s</w:t>
      </w:r>
      <w:r w:rsidR="00E84D1C" w:rsidRPr="00545857">
        <w:rPr>
          <w:rFonts w:ascii="Verdana" w:eastAsia="Century Gothic" w:hAnsi="Verdana" w:cs="Century Gothic"/>
          <w:b/>
          <w:bCs/>
          <w:sz w:val="22"/>
          <w:lang w:val="es-ES"/>
        </w:rPr>
        <w:t>:</w:t>
      </w:r>
    </w:p>
    <w:p w14:paraId="267A31E4" w14:textId="77777777" w:rsidR="00FB5FC4" w:rsidRPr="00545857" w:rsidRDefault="00FB5FC4" w:rsidP="00E84D1C">
      <w:pPr>
        <w:spacing w:after="0" w:line="276" w:lineRule="auto"/>
        <w:jc w:val="both"/>
        <w:rPr>
          <w:rFonts w:ascii="Verdana" w:eastAsia="Calibri" w:hAnsi="Verdana" w:cs="Arial"/>
          <w:color w:val="7030A0"/>
          <w:lang w:val="es-ES"/>
        </w:rPr>
      </w:pPr>
    </w:p>
    <w:p w14:paraId="71802283" w14:textId="026D0B12" w:rsidR="0025575F" w:rsidRPr="00545857" w:rsidRDefault="00C00976" w:rsidP="001B47A4">
      <w:pPr>
        <w:spacing w:after="0" w:line="276" w:lineRule="auto"/>
        <w:jc w:val="both"/>
        <w:rPr>
          <w:rFonts w:ascii="Verdana" w:eastAsia="Calibri" w:hAnsi="Verdana" w:cs="Arial"/>
          <w:lang w:val="es-ES"/>
        </w:rPr>
      </w:pPr>
      <w:r w:rsidRPr="00545857">
        <w:rPr>
          <w:rFonts w:ascii="Verdana" w:eastAsia="Calibri" w:hAnsi="Verdana" w:cs="Arial"/>
          <w:lang w:val="es-ES"/>
        </w:rPr>
        <w:t>L</w:t>
      </w:r>
      <w:r w:rsidR="00D5798B" w:rsidRPr="00545857">
        <w:rPr>
          <w:rFonts w:ascii="Verdana" w:eastAsia="Calibri" w:hAnsi="Verdana" w:cs="Arial"/>
          <w:lang w:val="es-ES"/>
        </w:rPr>
        <w:t>o</w:t>
      </w:r>
      <w:r w:rsidRPr="00545857">
        <w:rPr>
          <w:rFonts w:ascii="Verdana" w:eastAsia="Calibri" w:hAnsi="Verdana" w:cs="Arial"/>
          <w:lang w:val="es-ES"/>
        </w:rPr>
        <w:t xml:space="preserve"> anterior</w:t>
      </w:r>
      <w:r w:rsidR="00F95CCE" w:rsidRPr="00545857">
        <w:rPr>
          <w:rFonts w:ascii="Verdana" w:eastAsia="Calibri" w:hAnsi="Verdana" w:cs="Arial"/>
          <w:lang w:val="es-ES"/>
        </w:rPr>
        <w:t xml:space="preserve"> </w:t>
      </w:r>
      <w:r w:rsidR="00E84D1C" w:rsidRPr="00545857">
        <w:rPr>
          <w:rFonts w:ascii="Verdana" w:eastAsia="Calibri" w:hAnsi="Verdana" w:cs="Arial"/>
          <w:lang w:val="es-ES"/>
        </w:rPr>
        <w:t xml:space="preserve">se </w:t>
      </w:r>
      <w:r w:rsidRPr="00545857">
        <w:rPr>
          <w:rFonts w:ascii="Verdana" w:eastAsia="Calibri" w:hAnsi="Verdana" w:cs="Arial"/>
          <w:lang w:val="es-ES"/>
        </w:rPr>
        <w:t xml:space="preserve">sustenta en </w:t>
      </w:r>
      <w:r w:rsidR="00E84D1C" w:rsidRPr="00545857">
        <w:rPr>
          <w:rFonts w:ascii="Verdana" w:eastAsia="Calibri" w:hAnsi="Verdana" w:cs="Arial"/>
          <w:lang w:val="es-ES"/>
        </w:rPr>
        <w:t>las siguientes consideraciones:</w:t>
      </w:r>
    </w:p>
    <w:p w14:paraId="3A753937" w14:textId="77777777" w:rsidR="0054236A" w:rsidRPr="00545857" w:rsidRDefault="0054236A" w:rsidP="001B47A4">
      <w:pPr>
        <w:spacing w:after="0" w:line="276" w:lineRule="auto"/>
        <w:jc w:val="both"/>
        <w:rPr>
          <w:rFonts w:ascii="Verdana" w:eastAsia="Calibri" w:hAnsi="Verdana" w:cs="Arial"/>
          <w:lang w:val="es-ES"/>
        </w:rPr>
      </w:pPr>
    </w:p>
    <w:p w14:paraId="506F724D" w14:textId="658CC6CC" w:rsidR="00DB582D" w:rsidRPr="00545857" w:rsidRDefault="00DB582D" w:rsidP="00DB582D">
      <w:pPr>
        <w:spacing w:after="120" w:line="276" w:lineRule="auto"/>
        <w:jc w:val="both"/>
        <w:rPr>
          <w:rFonts w:ascii="Verdana" w:hAnsi="Verdana" w:cs="Arial"/>
          <w:color w:val="000000" w:themeColor="text1"/>
        </w:rPr>
      </w:pPr>
      <w:r w:rsidRPr="00545857">
        <w:rPr>
          <w:rFonts w:ascii="Verdana" w:hAnsi="Verdana" w:cs="Arial"/>
          <w:color w:val="000000" w:themeColor="text1"/>
        </w:rPr>
        <w:t xml:space="preserve">La </w:t>
      </w:r>
      <w:r w:rsidRPr="00545857">
        <w:rPr>
          <w:rFonts w:ascii="Verdana" w:hAnsi="Verdana" w:cs="Arial"/>
          <w:color w:val="000000" w:themeColor="text1"/>
          <w:lang w:val="es-ES"/>
        </w:rPr>
        <w:t>enajenación</w:t>
      </w:r>
      <w:r w:rsidRPr="00545857">
        <w:rPr>
          <w:rFonts w:ascii="Verdana" w:hAnsi="Verdana" w:cs="Arial"/>
          <w:color w:val="000000" w:themeColor="text1"/>
        </w:rPr>
        <w:t xml:space="preserve"> se define como la transferencia del derecho real</w:t>
      </w:r>
      <w:r w:rsidRPr="00545857">
        <w:rPr>
          <w:rStyle w:val="Refdenotaalpie"/>
          <w:rFonts w:ascii="Verdana" w:hAnsi="Verdana" w:cs="Arial"/>
          <w:color w:val="000000" w:themeColor="text1"/>
        </w:rPr>
        <w:footnoteReference w:id="2"/>
      </w:r>
      <w:r w:rsidRPr="00545857">
        <w:rPr>
          <w:rFonts w:ascii="Verdana" w:hAnsi="Verdana" w:cs="Arial"/>
          <w:color w:val="000000" w:themeColor="text1"/>
        </w:rPr>
        <w:t xml:space="preserve"> sobre un bien</w:t>
      </w:r>
      <w:r w:rsidRPr="00545857">
        <w:rPr>
          <w:rStyle w:val="Refdenotaalpie"/>
          <w:rFonts w:ascii="Verdana" w:hAnsi="Verdana" w:cs="Arial"/>
          <w:color w:val="000000" w:themeColor="text1"/>
        </w:rPr>
        <w:footnoteReference w:id="3"/>
      </w:r>
      <w:r w:rsidRPr="00545857">
        <w:rPr>
          <w:rFonts w:ascii="Verdana" w:hAnsi="Verdana" w:cs="Arial"/>
          <w:color w:val="000000" w:themeColor="text1"/>
        </w:rPr>
        <w:t xml:space="preserve">. Como indica la doctrina, </w:t>
      </w:r>
      <w:r w:rsidR="00047341">
        <w:rPr>
          <w:rFonts w:ascii="Verdana" w:hAnsi="Verdana" w:cs="Arial"/>
          <w:color w:val="000000" w:themeColor="text1"/>
        </w:rPr>
        <w:t>“</w:t>
      </w:r>
      <w:r w:rsidRPr="00545857">
        <w:rPr>
          <w:rFonts w:ascii="Verdana" w:hAnsi="Verdana" w:cs="Arial"/>
          <w:i/>
          <w:iCs/>
          <w:color w:val="000000" w:themeColor="text1"/>
        </w:rPr>
        <w:t xml:space="preserve">Dar –en sentido restringido–, </w:t>
      </w:r>
      <w:proofErr w:type="spellStart"/>
      <w:r w:rsidRPr="00545857">
        <w:rPr>
          <w:rFonts w:ascii="Verdana" w:hAnsi="Verdana" w:cs="Arial"/>
          <w:i/>
          <w:iCs/>
          <w:color w:val="000000" w:themeColor="text1"/>
        </w:rPr>
        <w:t>traditar</w:t>
      </w:r>
      <w:proofErr w:type="spellEnd"/>
      <w:r w:rsidRPr="00545857">
        <w:rPr>
          <w:rFonts w:ascii="Verdana" w:hAnsi="Verdana" w:cs="Arial"/>
          <w:i/>
          <w:iCs/>
          <w:color w:val="000000" w:themeColor="text1"/>
        </w:rPr>
        <w:t xml:space="preserve">, enajenar, </w:t>
      </w:r>
      <w:r w:rsidRPr="00545857">
        <w:rPr>
          <w:rFonts w:ascii="Verdana" w:hAnsi="Verdana" w:cs="Arial"/>
          <w:i/>
          <w:iCs/>
          <w:color w:val="000000" w:themeColor="text1"/>
        </w:rPr>
        <w:lastRenderedPageBreak/>
        <w:t xml:space="preserve">disponer, son conceptos sinónimos en el Código Civil. Cuando se da, se enajena. Cuando se </w:t>
      </w:r>
      <w:proofErr w:type="spellStart"/>
      <w:r w:rsidRPr="00545857">
        <w:rPr>
          <w:rFonts w:ascii="Verdana" w:hAnsi="Verdana" w:cs="Arial"/>
          <w:i/>
          <w:iCs/>
          <w:color w:val="000000" w:themeColor="text1"/>
        </w:rPr>
        <w:t>tradita</w:t>
      </w:r>
      <w:proofErr w:type="spellEnd"/>
      <w:r w:rsidRPr="00545857">
        <w:rPr>
          <w:rFonts w:ascii="Verdana" w:hAnsi="Verdana" w:cs="Arial"/>
          <w:i/>
          <w:iCs/>
          <w:color w:val="000000" w:themeColor="text1"/>
        </w:rPr>
        <w:t xml:space="preserve">, se enajena, Cuando se enajena, se da o se </w:t>
      </w:r>
      <w:proofErr w:type="spellStart"/>
      <w:r w:rsidRPr="00545857">
        <w:rPr>
          <w:rFonts w:ascii="Verdana" w:hAnsi="Verdana" w:cs="Arial"/>
          <w:i/>
          <w:iCs/>
          <w:color w:val="000000" w:themeColor="text1"/>
        </w:rPr>
        <w:t>tradita</w:t>
      </w:r>
      <w:proofErr w:type="spellEnd"/>
      <w:r w:rsidRPr="00545857">
        <w:rPr>
          <w:rFonts w:ascii="Verdana" w:hAnsi="Verdana" w:cs="Arial"/>
          <w:i/>
          <w:iCs/>
          <w:color w:val="000000" w:themeColor="text1"/>
        </w:rPr>
        <w:t>. Y, finalmente, cuando ocurre cualquiera de tales fenómenos, se dispone</w:t>
      </w:r>
      <w:r w:rsidR="00047341">
        <w:rPr>
          <w:rFonts w:ascii="Verdana" w:hAnsi="Verdana" w:cs="Arial"/>
          <w:i/>
          <w:iCs/>
          <w:color w:val="000000" w:themeColor="text1"/>
        </w:rPr>
        <w:t>”</w:t>
      </w:r>
      <w:r w:rsidRPr="00545857">
        <w:rPr>
          <w:rStyle w:val="Refdenotaalpie"/>
          <w:rFonts w:ascii="Verdana" w:hAnsi="Verdana" w:cs="Arial"/>
          <w:i/>
          <w:iCs/>
          <w:color w:val="000000" w:themeColor="text1"/>
        </w:rPr>
        <w:footnoteReference w:id="4"/>
      </w:r>
      <w:r w:rsidRPr="00545857">
        <w:rPr>
          <w:rFonts w:ascii="Verdana" w:hAnsi="Verdana" w:cs="Arial"/>
          <w:i/>
          <w:iCs/>
          <w:color w:val="000000" w:themeColor="text1"/>
        </w:rPr>
        <w:t>.</w:t>
      </w:r>
      <w:r w:rsidRPr="00545857">
        <w:rPr>
          <w:rFonts w:ascii="Verdana" w:hAnsi="Verdana" w:cs="Arial"/>
          <w:color w:val="000000" w:themeColor="text1"/>
        </w:rPr>
        <w:t xml:space="preserve"> Lo más usual es que la enajenación se lleve a cabo respecto del derecho de propiedad</w:t>
      </w:r>
      <w:r w:rsidRPr="00545857">
        <w:rPr>
          <w:rStyle w:val="Refdenotaalpie"/>
          <w:rFonts w:ascii="Verdana" w:hAnsi="Verdana" w:cs="Arial"/>
          <w:color w:val="000000" w:themeColor="text1"/>
        </w:rPr>
        <w:footnoteReference w:id="5"/>
      </w:r>
      <w:r w:rsidRPr="00545857">
        <w:rPr>
          <w:rFonts w:ascii="Verdana" w:hAnsi="Verdana" w:cs="Arial"/>
          <w:color w:val="000000" w:themeColor="text1"/>
        </w:rPr>
        <w:t>; y en tal caso se efectúa a través de los modos señalados en el artículo 673 del Código Civil</w:t>
      </w:r>
      <w:r w:rsidRPr="00545857">
        <w:rPr>
          <w:rStyle w:val="Refdenotaalpie"/>
          <w:rFonts w:ascii="Verdana" w:hAnsi="Verdana" w:cs="Arial"/>
          <w:color w:val="000000" w:themeColor="text1"/>
        </w:rPr>
        <w:footnoteReference w:id="6"/>
      </w:r>
      <w:r w:rsidRPr="00545857">
        <w:rPr>
          <w:rFonts w:ascii="Verdana" w:hAnsi="Verdana" w:cs="Arial"/>
          <w:color w:val="000000" w:themeColor="text1"/>
        </w:rPr>
        <w:t>, pudiendo recaer tanto sobre los bienes muebles, como inmuebles, aunque frente a estos la ley exige solemnidades especiales</w:t>
      </w:r>
      <w:r w:rsidRPr="00545857">
        <w:rPr>
          <w:rStyle w:val="Refdenotaalpie"/>
          <w:rFonts w:ascii="Verdana" w:hAnsi="Verdana" w:cs="Arial"/>
          <w:color w:val="000000" w:themeColor="text1"/>
        </w:rPr>
        <w:footnoteReference w:id="7"/>
      </w:r>
      <w:r w:rsidRPr="00545857">
        <w:rPr>
          <w:rFonts w:ascii="Verdana" w:hAnsi="Verdana" w:cs="Arial"/>
          <w:color w:val="000000" w:themeColor="text1"/>
        </w:rPr>
        <w:t xml:space="preserve">. Entretanto, el artículo 1521 del Código Civil dispone que se presenta objeto ilícito en la enajenación: i) «De las cosas que no están en el comercio», </w:t>
      </w:r>
      <w:proofErr w:type="spellStart"/>
      <w:r w:rsidRPr="00545857">
        <w:rPr>
          <w:rFonts w:ascii="Verdana" w:hAnsi="Verdana" w:cs="Arial"/>
          <w:color w:val="000000" w:themeColor="text1"/>
        </w:rPr>
        <w:t>ii</w:t>
      </w:r>
      <w:proofErr w:type="spellEnd"/>
      <w:r w:rsidRPr="00545857">
        <w:rPr>
          <w:rFonts w:ascii="Verdana" w:hAnsi="Verdana" w:cs="Arial"/>
          <w:color w:val="000000" w:themeColor="text1"/>
        </w:rPr>
        <w:t xml:space="preserve">) «De los derechos o privilegios que no pueden transferirse a otra persona» y </w:t>
      </w:r>
      <w:proofErr w:type="spellStart"/>
      <w:r w:rsidRPr="00545857">
        <w:rPr>
          <w:rFonts w:ascii="Verdana" w:hAnsi="Verdana" w:cs="Arial"/>
          <w:color w:val="000000" w:themeColor="text1"/>
        </w:rPr>
        <w:t>iii</w:t>
      </w:r>
      <w:proofErr w:type="spellEnd"/>
      <w:r w:rsidRPr="00545857">
        <w:rPr>
          <w:rFonts w:ascii="Verdana" w:hAnsi="Verdana" w:cs="Arial"/>
          <w:color w:val="000000" w:themeColor="text1"/>
        </w:rPr>
        <w:t>) «De las cosas embargadas por decreto judicial, a menos que el juez lo autorice o el acreedor consienta en ello».</w:t>
      </w:r>
    </w:p>
    <w:p w14:paraId="0ED1B153" w14:textId="7F1EBAAF" w:rsidR="00DB582D" w:rsidRPr="00545857" w:rsidRDefault="00DB582D" w:rsidP="00DB582D">
      <w:pPr>
        <w:spacing w:after="120" w:line="276" w:lineRule="auto"/>
        <w:ind w:firstLine="708"/>
        <w:jc w:val="both"/>
        <w:rPr>
          <w:rFonts w:ascii="Verdana" w:hAnsi="Verdana" w:cs="Arial"/>
          <w:color w:val="000000" w:themeColor="text1"/>
          <w:lang w:val="es-ES"/>
        </w:rPr>
      </w:pPr>
      <w:r w:rsidRPr="00545857">
        <w:rPr>
          <w:rFonts w:ascii="Verdana" w:hAnsi="Verdana" w:cs="Arial"/>
          <w:color w:val="000000" w:themeColor="text1"/>
        </w:rPr>
        <w:t>Respecto del tipo de bienes que pueden ser objeto de</w:t>
      </w:r>
      <w:r w:rsidR="006378BE">
        <w:rPr>
          <w:rFonts w:ascii="Verdana" w:hAnsi="Verdana" w:cs="Arial"/>
          <w:color w:val="000000" w:themeColor="text1"/>
        </w:rPr>
        <w:t xml:space="preserve"> enajenación</w:t>
      </w:r>
      <w:r w:rsidRPr="00545857">
        <w:rPr>
          <w:rFonts w:ascii="Verdana" w:hAnsi="Verdana" w:cs="Arial"/>
          <w:color w:val="000000" w:themeColor="text1"/>
        </w:rPr>
        <w:t xml:space="preserve"> es importante resaltar, en primer lugar, que e</w:t>
      </w:r>
      <w:r w:rsidRPr="00545857">
        <w:rPr>
          <w:rFonts w:ascii="Verdana" w:hAnsi="Verdana" w:cs="Arial"/>
          <w:color w:val="000000" w:themeColor="text1"/>
          <w:lang w:val="es-ES"/>
        </w:rPr>
        <w:t xml:space="preserve">l artículo 654 del Código Civil clasifica las cosas corporales en muebles e inmuebles. El artículo 655 define los bienes muebles como los que </w:t>
      </w:r>
      <w:r w:rsidRPr="00545857">
        <w:rPr>
          <w:rFonts w:ascii="Verdana" w:hAnsi="Verdana" w:cs="Arial"/>
          <w:i/>
          <w:iCs/>
          <w:color w:val="000000" w:themeColor="text1"/>
          <w:lang w:val="es-ES"/>
        </w:rPr>
        <w:t>«pueden transportarse de un lugar a otro, sea moviéndose ellas a sí mismas como los animales</w:t>
      </w:r>
      <w:r w:rsidRPr="00545857">
        <w:rPr>
          <w:rFonts w:ascii="Verdana" w:hAnsi="Verdana" w:cs="Arial"/>
          <w:color w:val="000000" w:themeColor="text1"/>
          <w:lang w:val="es-ES"/>
        </w:rPr>
        <w:t xml:space="preserve"> (</w:t>
      </w:r>
      <w:r w:rsidRPr="00545857">
        <w:rPr>
          <w:rFonts w:ascii="Verdana" w:hAnsi="Verdana" w:cs="Arial"/>
          <w:i/>
          <w:iCs/>
          <w:color w:val="000000" w:themeColor="text1"/>
          <w:lang w:val="es-ES"/>
        </w:rPr>
        <w:t>que por eso se llaman semovientes), sea que sólo se muevan por una fuerza externa, como las cosas inanimadas»</w:t>
      </w:r>
      <w:r w:rsidRPr="00545857">
        <w:rPr>
          <w:rFonts w:ascii="Verdana" w:hAnsi="Verdana" w:cs="Arial"/>
          <w:color w:val="000000" w:themeColor="text1"/>
          <w:lang w:val="es-ES"/>
        </w:rPr>
        <w:t xml:space="preserve">, mientras que el artículo 656 define los inmuebles así: </w:t>
      </w:r>
      <w:r w:rsidRPr="00545857">
        <w:rPr>
          <w:rFonts w:ascii="Verdana" w:hAnsi="Verdana" w:cs="Arial"/>
          <w:i/>
          <w:iCs/>
          <w:color w:val="000000" w:themeColor="text1"/>
          <w:lang w:val="es-ES"/>
        </w:rPr>
        <w:t>«Inmuebles o fincas o bienes raíces son las cosas que no pueden transportarse de un lugar a otro; como las tierras y minas, y las que adhieren permanentemente a ellas, como los edificios, los árboles. Las casas y veredas se llaman predios o fundos».</w:t>
      </w:r>
      <w:r w:rsidRPr="00545857">
        <w:rPr>
          <w:rFonts w:ascii="Verdana" w:hAnsi="Verdana" w:cs="Arial"/>
          <w:color w:val="000000" w:themeColor="text1"/>
          <w:lang w:val="es-ES"/>
        </w:rPr>
        <w:t xml:space="preserve"> No obstante, esta definición se refiere a los inmuebles por naturaleza, pues el Código también considera inmuebles a las cosas que en principio eran muebles, pero que por su destinación o adhesión mutan su categoría. </w:t>
      </w:r>
    </w:p>
    <w:p w14:paraId="1D8C6D09" w14:textId="77777777" w:rsidR="00DB582D" w:rsidRPr="00545857" w:rsidRDefault="00DB582D" w:rsidP="00DB582D">
      <w:pPr>
        <w:pStyle w:val="Textonotapie"/>
        <w:spacing w:after="120" w:line="276" w:lineRule="auto"/>
        <w:ind w:firstLine="708"/>
        <w:jc w:val="both"/>
        <w:rPr>
          <w:rFonts w:ascii="Verdana" w:hAnsi="Verdana" w:cs="Arial"/>
          <w:i/>
          <w:iCs/>
          <w:sz w:val="22"/>
          <w:szCs w:val="22"/>
        </w:rPr>
      </w:pPr>
      <w:r w:rsidRPr="00545857">
        <w:rPr>
          <w:rFonts w:ascii="Verdana" w:hAnsi="Verdana" w:cs="Arial"/>
          <w:sz w:val="22"/>
          <w:szCs w:val="22"/>
          <w:lang w:val="es-ES"/>
        </w:rPr>
        <w:t>Por otro lado, e</w:t>
      </w:r>
      <w:r w:rsidRPr="00545857">
        <w:rPr>
          <w:rFonts w:ascii="Verdana" w:hAnsi="Verdana" w:cs="Arial"/>
          <w:sz w:val="22"/>
          <w:szCs w:val="22"/>
        </w:rPr>
        <w:t xml:space="preserve">l artículo 674 del Código Civil define los bienes de dominio público como aquellos que </w:t>
      </w:r>
      <w:r w:rsidRPr="00545857">
        <w:rPr>
          <w:rFonts w:ascii="Verdana" w:hAnsi="Verdana" w:cs="Arial"/>
          <w:i/>
          <w:iCs/>
          <w:sz w:val="22"/>
          <w:szCs w:val="22"/>
        </w:rPr>
        <w:t xml:space="preserve">«(…) pertenece a todos los habitantes de un </w:t>
      </w:r>
      <w:r w:rsidRPr="00545857">
        <w:rPr>
          <w:rFonts w:ascii="Verdana" w:hAnsi="Verdana" w:cs="Arial"/>
          <w:i/>
          <w:iCs/>
          <w:sz w:val="22"/>
          <w:szCs w:val="22"/>
        </w:rPr>
        <w:lastRenderedPageBreak/>
        <w:t xml:space="preserve">Territorio, como el de calles, plazas, puentes y caminos, se llaman bienes de la Unión o de </w:t>
      </w:r>
      <w:proofErr w:type="gramStart"/>
      <w:r w:rsidRPr="00545857">
        <w:rPr>
          <w:rFonts w:ascii="Verdana" w:hAnsi="Verdana" w:cs="Arial"/>
          <w:i/>
          <w:iCs/>
          <w:sz w:val="22"/>
          <w:szCs w:val="22"/>
        </w:rPr>
        <w:t>uso público o bienes públicos</w:t>
      </w:r>
      <w:proofErr w:type="gramEnd"/>
      <w:r w:rsidRPr="00545857">
        <w:rPr>
          <w:rFonts w:ascii="Verdana" w:hAnsi="Verdana" w:cs="Arial"/>
          <w:i/>
          <w:iCs/>
          <w:sz w:val="22"/>
          <w:szCs w:val="22"/>
        </w:rPr>
        <w:t xml:space="preserve"> del Territorio».</w:t>
      </w:r>
    </w:p>
    <w:p w14:paraId="2F3FA85E" w14:textId="77777777" w:rsidR="00DB582D" w:rsidRPr="00545857" w:rsidRDefault="00DB582D" w:rsidP="00DB582D">
      <w:pPr>
        <w:pStyle w:val="Textonotapie"/>
        <w:spacing w:after="120" w:line="276" w:lineRule="auto"/>
        <w:ind w:firstLine="720"/>
        <w:jc w:val="both"/>
        <w:rPr>
          <w:rFonts w:ascii="Verdana" w:hAnsi="Verdana" w:cs="Arial"/>
          <w:sz w:val="22"/>
          <w:szCs w:val="22"/>
        </w:rPr>
      </w:pPr>
      <w:r w:rsidRPr="00545857">
        <w:rPr>
          <w:rFonts w:ascii="Verdana" w:hAnsi="Verdana" w:cs="Arial"/>
          <w:sz w:val="22"/>
          <w:szCs w:val="22"/>
        </w:rPr>
        <w:t>Los bienes de dominio público, de acuerdo con la sentencia C- 183 de 2003 de la Corte Constitucional, son «</w:t>
      </w:r>
      <w:r w:rsidRPr="00545857">
        <w:rPr>
          <w:rFonts w:ascii="Verdana" w:hAnsi="Verdana" w:cs="Arial"/>
          <w:i/>
          <w:iCs/>
          <w:sz w:val="22"/>
          <w:szCs w:val="22"/>
        </w:rPr>
        <w:t>el conjunto de bienes que la administración afecta al uso directo de la comunidad o que lo utiliza para servir a la sociedad»</w:t>
      </w:r>
      <w:r w:rsidRPr="00545857">
        <w:rPr>
          <w:rFonts w:ascii="Verdana" w:hAnsi="Verdana" w:cs="Arial"/>
          <w:sz w:val="22"/>
          <w:szCs w:val="22"/>
        </w:rPr>
        <w:t>. Dentro de esta categoría se encuentran los bienes fiscales y los bienes de uso público.</w:t>
      </w:r>
      <w:r w:rsidRPr="00545857">
        <w:rPr>
          <w:rStyle w:val="Refdenotaalpie"/>
          <w:rFonts w:ascii="Verdana" w:hAnsi="Verdana" w:cs="Arial"/>
          <w:sz w:val="22"/>
          <w:szCs w:val="22"/>
        </w:rPr>
        <w:footnoteReference w:id="8"/>
      </w:r>
      <w:r w:rsidRPr="00545857">
        <w:rPr>
          <w:rFonts w:ascii="Verdana" w:hAnsi="Verdana" w:cs="Arial"/>
          <w:sz w:val="22"/>
          <w:szCs w:val="22"/>
        </w:rPr>
        <w:t xml:space="preserve"> Los bienes fiscales, de acuerdo con el Alto Tribunal Constitucional</w:t>
      </w:r>
      <w:r w:rsidRPr="00545857">
        <w:rPr>
          <w:rStyle w:val="Refdenotaalpie"/>
          <w:rFonts w:ascii="Verdana" w:hAnsi="Verdana" w:cs="Arial"/>
          <w:sz w:val="22"/>
          <w:szCs w:val="22"/>
        </w:rPr>
        <w:footnoteReference w:id="9"/>
      </w:r>
      <w:r w:rsidRPr="00545857">
        <w:rPr>
          <w:rFonts w:ascii="Verdana" w:hAnsi="Verdana" w:cs="Arial"/>
          <w:sz w:val="22"/>
          <w:szCs w:val="22"/>
        </w:rPr>
        <w:t xml:space="preserve">, están destinados a la prestación de servicios públicos que la Administración utiliza de forma inmediata, como los edificios donde funcionan las oficinas públicas. </w:t>
      </w:r>
    </w:p>
    <w:p w14:paraId="382AFD88" w14:textId="77777777" w:rsidR="00DB582D" w:rsidRPr="00545857" w:rsidRDefault="00DB582D" w:rsidP="00DB582D">
      <w:pPr>
        <w:pStyle w:val="Textonotapie"/>
        <w:spacing w:after="120" w:line="276" w:lineRule="auto"/>
        <w:ind w:firstLine="720"/>
        <w:jc w:val="both"/>
        <w:rPr>
          <w:rFonts w:ascii="Verdana" w:hAnsi="Verdana" w:cs="Arial"/>
          <w:sz w:val="22"/>
          <w:szCs w:val="22"/>
        </w:rPr>
      </w:pPr>
      <w:r w:rsidRPr="00545857">
        <w:rPr>
          <w:rFonts w:ascii="Verdana" w:hAnsi="Verdana" w:cs="Arial"/>
          <w:sz w:val="22"/>
          <w:szCs w:val="22"/>
        </w:rPr>
        <w:t xml:space="preserve">A su vez, el Consejo de Estado, define los bienes fiscales como </w:t>
      </w:r>
      <w:r w:rsidRPr="00545857">
        <w:rPr>
          <w:rFonts w:ascii="Verdana" w:hAnsi="Verdana" w:cs="Arial"/>
          <w:i/>
          <w:iCs/>
          <w:sz w:val="22"/>
          <w:szCs w:val="22"/>
        </w:rPr>
        <w:t xml:space="preserve">«aquellos que pertenecen  </w:t>
      </w:r>
      <w:r w:rsidRPr="00545857">
        <w:rPr>
          <w:rFonts w:ascii="Verdana" w:hAnsi="Verdana" w:cs="Arial"/>
          <w:i/>
          <w:iCs/>
          <w:color w:val="000000" w:themeColor="text1"/>
          <w:sz w:val="22"/>
          <w:szCs w:val="22"/>
        </w:rPr>
        <w:t>a sujetos de derecho público de cualquier naturaleza u orden y que, por lo general, están destinados al cumplimiento de las funciones públicas o servicios públicos, tales como los terrenos, edificios, fincas, granjas, equipos, enseres, acciones, rentas y bienes del presupuesto, etc., es decir, afectos al desarrollo de su misión y utilizados para sus actividades, o pueden constituir una reserva patrimonial para fines de utilidad común. Su dominio corresponde a la República, pero su uso no pertenece generalmente a los habitantes, de manera que el Estado los posee y los administra en forma similar a como lo hacen los particulares con los bienes de su</w:t>
      </w:r>
      <w:r w:rsidRPr="00545857">
        <w:rPr>
          <w:rFonts w:ascii="Verdana" w:hAnsi="Verdana" w:cs="Arial"/>
          <w:i/>
          <w:iCs/>
          <w:color w:val="000000" w:themeColor="text1"/>
          <w:spacing w:val="-27"/>
          <w:sz w:val="22"/>
          <w:szCs w:val="22"/>
        </w:rPr>
        <w:t xml:space="preserve"> </w:t>
      </w:r>
      <w:r w:rsidRPr="00545857">
        <w:rPr>
          <w:rFonts w:ascii="Verdana" w:hAnsi="Verdana" w:cs="Arial"/>
          <w:i/>
          <w:iCs/>
          <w:color w:val="000000" w:themeColor="text1"/>
          <w:sz w:val="22"/>
          <w:szCs w:val="22"/>
        </w:rPr>
        <w:t>propiedad»</w:t>
      </w:r>
      <w:r w:rsidRPr="00545857">
        <w:rPr>
          <w:rStyle w:val="Refdenotaalpie"/>
          <w:rFonts w:ascii="Verdana" w:hAnsi="Verdana" w:cs="Arial"/>
          <w:i/>
          <w:iCs/>
          <w:sz w:val="22"/>
          <w:szCs w:val="22"/>
        </w:rPr>
        <w:footnoteReference w:id="10"/>
      </w:r>
      <w:r w:rsidRPr="00545857">
        <w:rPr>
          <w:rStyle w:val="Refdenotaalpie"/>
          <w:rFonts w:ascii="Verdana" w:hAnsi="Verdana" w:cs="Arial"/>
          <w:sz w:val="22"/>
          <w:szCs w:val="22"/>
        </w:rPr>
        <w:t>.</w:t>
      </w:r>
      <w:r w:rsidRPr="00545857">
        <w:rPr>
          <w:rFonts w:ascii="Verdana" w:hAnsi="Verdana" w:cs="Arial"/>
          <w:color w:val="000000" w:themeColor="text1"/>
          <w:sz w:val="22"/>
          <w:szCs w:val="22"/>
        </w:rPr>
        <w:t xml:space="preserve"> </w:t>
      </w:r>
      <w:r w:rsidRPr="00545857">
        <w:rPr>
          <w:rFonts w:ascii="Verdana" w:hAnsi="Verdana" w:cs="Arial"/>
          <w:sz w:val="22"/>
          <w:szCs w:val="22"/>
        </w:rPr>
        <w:t>De esta forma, sobre los bienes fiscales, a pesar de estar destinados a la prestación de servicios públicos, las Entidades Estatales tienen la facultad de disponer de ellos a través de un acto jurídico como la compraventa, la donación, el arriendo, entre</w:t>
      </w:r>
      <w:r w:rsidRPr="00545857">
        <w:rPr>
          <w:rFonts w:ascii="Verdana" w:hAnsi="Verdana" w:cs="Arial"/>
          <w:spacing w:val="-3"/>
          <w:sz w:val="22"/>
          <w:szCs w:val="22"/>
        </w:rPr>
        <w:t xml:space="preserve"> </w:t>
      </w:r>
      <w:r w:rsidRPr="00545857">
        <w:rPr>
          <w:rFonts w:ascii="Verdana" w:hAnsi="Verdana" w:cs="Arial"/>
          <w:sz w:val="22"/>
          <w:szCs w:val="22"/>
        </w:rPr>
        <w:t>otros.</w:t>
      </w:r>
      <w:r w:rsidRPr="00545857">
        <w:rPr>
          <w:rStyle w:val="Refdenotaalpie"/>
          <w:rFonts w:ascii="Verdana" w:hAnsi="Verdana" w:cs="Arial"/>
          <w:sz w:val="22"/>
          <w:szCs w:val="22"/>
        </w:rPr>
        <w:t xml:space="preserve"> </w:t>
      </w:r>
    </w:p>
    <w:p w14:paraId="4CCF7D6F" w14:textId="77777777" w:rsidR="009B0D3A" w:rsidRPr="00191A48" w:rsidRDefault="00DB582D" w:rsidP="009B0D3A">
      <w:pPr>
        <w:pStyle w:val="Textonotapie"/>
        <w:spacing w:after="120" w:line="276" w:lineRule="auto"/>
        <w:ind w:firstLine="720"/>
        <w:jc w:val="both"/>
        <w:rPr>
          <w:rFonts w:ascii="Verdana" w:hAnsi="Verdana" w:cs="Arial"/>
          <w:sz w:val="22"/>
          <w:szCs w:val="22"/>
        </w:rPr>
      </w:pPr>
      <w:r w:rsidRPr="00545857">
        <w:rPr>
          <w:rFonts w:ascii="Verdana" w:hAnsi="Verdana" w:cs="Arial"/>
          <w:sz w:val="22"/>
          <w:szCs w:val="22"/>
        </w:rPr>
        <w:t xml:space="preserve">Acerca de los bienes de uso público, el Consejo de Estado los define como </w:t>
      </w:r>
      <w:r w:rsidRPr="00545857">
        <w:rPr>
          <w:rFonts w:ascii="Verdana" w:hAnsi="Verdana" w:cs="Arial"/>
          <w:i/>
          <w:iCs/>
          <w:sz w:val="22"/>
          <w:szCs w:val="22"/>
        </w:rPr>
        <w:t xml:space="preserve">«aquellos cuya titularidad pertenece al Estado y se hallan destinados al uso, goce y disfrute de todos los habitantes del territorio, están sometidos al régimen de derecho público y sobre ellos el Estado ejerce derechos de administración y de policía, con miras a garantizar y proteger su uso y goce común, por motivos </w:t>
      </w:r>
      <w:r w:rsidRPr="00545857">
        <w:rPr>
          <w:rFonts w:ascii="Verdana" w:hAnsi="Verdana" w:cs="Arial"/>
          <w:i/>
          <w:iCs/>
          <w:sz w:val="22"/>
          <w:szCs w:val="22"/>
        </w:rPr>
        <w:lastRenderedPageBreak/>
        <w:t>de interés general»</w:t>
      </w:r>
      <w:r w:rsidRPr="00545857">
        <w:rPr>
          <w:rStyle w:val="Refdenotaalpie"/>
          <w:rFonts w:ascii="Verdana" w:hAnsi="Verdana" w:cs="Arial"/>
          <w:i/>
          <w:iCs/>
          <w:sz w:val="22"/>
          <w:szCs w:val="22"/>
        </w:rPr>
        <w:footnoteReference w:id="11"/>
      </w:r>
      <w:r w:rsidRPr="00545857">
        <w:rPr>
          <w:rFonts w:ascii="Verdana" w:hAnsi="Verdana" w:cs="Arial"/>
          <w:i/>
          <w:iCs/>
          <w:sz w:val="22"/>
          <w:szCs w:val="22"/>
        </w:rPr>
        <w:t>.</w:t>
      </w:r>
      <w:r w:rsidRPr="00545857">
        <w:rPr>
          <w:rFonts w:ascii="Verdana" w:hAnsi="Verdana" w:cs="Arial"/>
          <w:sz w:val="22"/>
          <w:szCs w:val="22"/>
        </w:rPr>
        <w:t xml:space="preserve"> Por lo tanto, como estos bienes están destinados al uso de los</w:t>
      </w:r>
      <w:r w:rsidRPr="00191A48">
        <w:rPr>
          <w:rFonts w:ascii="Verdana" w:hAnsi="Verdana" w:cs="Arial"/>
          <w:sz w:val="22"/>
          <w:szCs w:val="22"/>
        </w:rPr>
        <w:t xml:space="preserve"> habitantes de un territorio, el Estado no puede disponer de ellos por encontrarse fuera del comercio</w:t>
      </w:r>
      <w:r w:rsidRPr="00191A48">
        <w:rPr>
          <w:rStyle w:val="Refdenotaalpie"/>
          <w:rFonts w:ascii="Verdana" w:hAnsi="Verdana" w:cs="Arial"/>
          <w:sz w:val="22"/>
          <w:szCs w:val="22"/>
        </w:rPr>
        <w:footnoteReference w:id="12"/>
      </w:r>
      <w:r w:rsidRPr="00191A48">
        <w:rPr>
          <w:rFonts w:ascii="Verdana" w:hAnsi="Verdana" w:cs="Arial"/>
          <w:sz w:val="22"/>
          <w:szCs w:val="22"/>
        </w:rPr>
        <w:t>.</w:t>
      </w:r>
      <w:r w:rsidRPr="00191A48">
        <w:rPr>
          <w:rStyle w:val="Refdenotaalpie"/>
          <w:rFonts w:ascii="Verdana" w:hAnsi="Verdana" w:cs="Arial"/>
          <w:sz w:val="22"/>
          <w:szCs w:val="22"/>
        </w:rPr>
        <w:t xml:space="preserve"> </w:t>
      </w:r>
      <w:r w:rsidR="009B0D3A" w:rsidRPr="00191A48">
        <w:rPr>
          <w:rFonts w:ascii="Verdana" w:hAnsi="Verdana" w:cs="Arial"/>
          <w:sz w:val="22"/>
          <w:szCs w:val="22"/>
        </w:rPr>
        <w:t>Así</w:t>
      </w:r>
      <w:r w:rsidRPr="00191A48">
        <w:rPr>
          <w:rFonts w:ascii="Verdana" w:hAnsi="Verdana" w:cs="Arial"/>
          <w:sz w:val="22"/>
          <w:szCs w:val="22"/>
        </w:rPr>
        <w:t xml:space="preserve">, los bienes sobre los </w:t>
      </w:r>
      <w:r w:rsidR="004C704C" w:rsidRPr="00191A48">
        <w:rPr>
          <w:rFonts w:ascii="Verdana" w:hAnsi="Verdana" w:cs="Arial"/>
          <w:sz w:val="22"/>
          <w:szCs w:val="22"/>
        </w:rPr>
        <w:t>cuales puede recaer el acto de enajenación son los bienes fiscales muebles o inmuebles y no los bienes de uso público.</w:t>
      </w:r>
    </w:p>
    <w:p w14:paraId="65B913CB" w14:textId="0CF4299A" w:rsidR="00EB7892" w:rsidRPr="00191A48" w:rsidRDefault="009B0D3A" w:rsidP="007A37F7">
      <w:pPr>
        <w:pStyle w:val="Textonotapie"/>
        <w:spacing w:after="120" w:line="276" w:lineRule="auto"/>
        <w:ind w:firstLine="720"/>
        <w:jc w:val="both"/>
        <w:rPr>
          <w:rFonts w:ascii="Verdana" w:eastAsia="Arial" w:hAnsi="Verdana" w:cs="Arial"/>
          <w:sz w:val="22"/>
          <w:szCs w:val="22"/>
          <w:lang w:val="es-CO"/>
        </w:rPr>
      </w:pPr>
      <w:r w:rsidRPr="00191A48">
        <w:rPr>
          <w:rFonts w:ascii="Verdana" w:hAnsi="Verdana" w:cs="Arial"/>
          <w:sz w:val="22"/>
          <w:szCs w:val="22"/>
        </w:rPr>
        <w:t xml:space="preserve">Ahora bien, </w:t>
      </w:r>
      <w:bookmarkStart w:id="1" w:name="_Hlk186536766"/>
      <w:r w:rsidRPr="00191A48">
        <w:rPr>
          <w:rFonts w:ascii="Verdana" w:hAnsi="Verdana" w:cs="Arial"/>
          <w:sz w:val="22"/>
          <w:szCs w:val="22"/>
        </w:rPr>
        <w:t xml:space="preserve">en relación con la modalidad </w:t>
      </w:r>
      <w:r w:rsidR="00EF741C" w:rsidRPr="00191A48">
        <w:rPr>
          <w:rFonts w:ascii="Verdana" w:hAnsi="Verdana" w:cs="Arial"/>
          <w:sz w:val="22"/>
          <w:szCs w:val="22"/>
        </w:rPr>
        <w:t>de selección</w:t>
      </w:r>
      <w:r w:rsidRPr="00191A48">
        <w:rPr>
          <w:rFonts w:ascii="Verdana" w:hAnsi="Verdana" w:cs="Arial"/>
          <w:sz w:val="22"/>
          <w:szCs w:val="22"/>
        </w:rPr>
        <w:t xml:space="preserve"> </w:t>
      </w:r>
      <w:r w:rsidRPr="00191A48">
        <w:rPr>
          <w:rFonts w:ascii="Verdana" w:eastAsia="Arial" w:hAnsi="Verdana" w:cs="Arial"/>
          <w:sz w:val="22"/>
          <w:szCs w:val="22"/>
          <w:lang w:val="es-ES"/>
        </w:rPr>
        <w:t>e</w:t>
      </w:r>
      <w:r w:rsidR="00581E37" w:rsidRPr="00191A48">
        <w:rPr>
          <w:rFonts w:ascii="Verdana" w:eastAsia="Arial" w:hAnsi="Verdana" w:cs="Arial"/>
          <w:sz w:val="22"/>
          <w:szCs w:val="22"/>
          <w:lang w:val="es-ES"/>
        </w:rPr>
        <w:t>l literal e) del numeral 2 del artículo 2 de la Ley 1150 de 2007 dispone que la enajenación de bienes del Estado, con excepción de aquellos a que se refiere la Ley 226 de 1995, se realiza a través de la modalidad de selección abreviada</w:t>
      </w:r>
      <w:r w:rsidR="007F43C7" w:rsidRPr="00191A48">
        <w:rPr>
          <w:rFonts w:ascii="Verdana" w:eastAsia="Arial" w:hAnsi="Verdana" w:cs="Arial"/>
          <w:sz w:val="22"/>
          <w:szCs w:val="22"/>
          <w:lang w:val="es-ES"/>
        </w:rPr>
        <w:t xml:space="preserve">, para lo cual </w:t>
      </w:r>
      <w:r w:rsidR="007F43C7" w:rsidRPr="00533193">
        <w:rPr>
          <w:rFonts w:ascii="Verdana" w:eastAsia="Arial" w:hAnsi="Verdana" w:cs="Arial"/>
          <w:sz w:val="22"/>
          <w:szCs w:val="22"/>
          <w:lang w:val="es-CO"/>
        </w:rPr>
        <w:t>se podrán utilizar instrumentos de subasta y en general de todos aquellos mecanismos autorizados por el derecho privado, siempre y cuando en desarrollo del proceso de enajenación se garantice la transparencia, la eficiencia y la selección objetiva</w:t>
      </w:r>
      <w:r w:rsidR="007A37F7" w:rsidRPr="00191A48">
        <w:rPr>
          <w:rStyle w:val="Refdenotaalpie"/>
          <w:rFonts w:ascii="Verdana" w:eastAsia="Arial" w:hAnsi="Verdana" w:cs="Arial"/>
          <w:sz w:val="22"/>
          <w:szCs w:val="22"/>
          <w:lang w:val="es-CO"/>
        </w:rPr>
        <w:footnoteReference w:id="13"/>
      </w:r>
      <w:r w:rsidR="007F43C7" w:rsidRPr="00533193">
        <w:rPr>
          <w:rFonts w:ascii="Verdana" w:eastAsia="Arial" w:hAnsi="Verdana" w:cs="Arial"/>
          <w:sz w:val="22"/>
          <w:szCs w:val="22"/>
          <w:lang w:val="es-CO"/>
        </w:rPr>
        <w:t>.</w:t>
      </w:r>
      <w:r w:rsidR="007F43C7" w:rsidRPr="00191A48">
        <w:rPr>
          <w:rFonts w:ascii="Verdana" w:eastAsia="Arial" w:hAnsi="Verdana" w:cs="Arial"/>
          <w:sz w:val="22"/>
          <w:szCs w:val="22"/>
          <w:lang w:val="es-CO"/>
        </w:rPr>
        <w:t xml:space="preserve"> </w:t>
      </w:r>
      <w:r w:rsidR="006467F5" w:rsidRPr="00191A48">
        <w:rPr>
          <w:rFonts w:ascii="Verdana" w:eastAsia="Arial" w:hAnsi="Verdana" w:cs="Arial"/>
          <w:sz w:val="22"/>
          <w:szCs w:val="22"/>
          <w:lang w:val="es-ES"/>
        </w:rPr>
        <w:t>Adicionalmente</w:t>
      </w:r>
      <w:r w:rsidR="007F43C7" w:rsidRPr="00191A48">
        <w:rPr>
          <w:rFonts w:ascii="Verdana" w:eastAsia="Arial" w:hAnsi="Verdana" w:cs="Arial"/>
          <w:sz w:val="22"/>
          <w:szCs w:val="22"/>
          <w:lang w:val="es-ES"/>
        </w:rPr>
        <w:t>,</w:t>
      </w:r>
      <w:r w:rsidR="006E468B" w:rsidRPr="00191A48">
        <w:rPr>
          <w:rFonts w:ascii="Verdana" w:eastAsia="Arial" w:hAnsi="Verdana" w:cs="Arial"/>
          <w:sz w:val="22"/>
          <w:szCs w:val="22"/>
          <w:lang w:val="es-ES"/>
        </w:rPr>
        <w:t xml:space="preserve"> establece que</w:t>
      </w:r>
      <w:r w:rsidR="007F43C7" w:rsidRPr="00191A48">
        <w:rPr>
          <w:rFonts w:ascii="Verdana" w:eastAsia="Arial" w:hAnsi="Verdana" w:cs="Arial"/>
          <w:sz w:val="22"/>
          <w:szCs w:val="22"/>
          <w:lang w:val="es-ES"/>
        </w:rPr>
        <w:t xml:space="preserve"> </w:t>
      </w:r>
      <w:r w:rsidR="007F43C7" w:rsidRPr="00533193">
        <w:rPr>
          <w:rFonts w:ascii="Verdana" w:eastAsia="Arial" w:hAnsi="Verdana" w:cs="Arial"/>
          <w:sz w:val="22"/>
          <w:szCs w:val="22"/>
          <w:lang w:val="es-CO"/>
        </w:rPr>
        <w:t xml:space="preserve">para la venta de los bienes se debe </w:t>
      </w:r>
      <w:r w:rsidR="007F43C7" w:rsidRPr="00533193">
        <w:rPr>
          <w:rFonts w:ascii="Verdana" w:eastAsia="Arial" w:hAnsi="Verdana" w:cs="Arial"/>
          <w:sz w:val="22"/>
          <w:szCs w:val="22"/>
          <w:lang w:val="es-CO"/>
        </w:rPr>
        <w:lastRenderedPageBreak/>
        <w:t xml:space="preserve">tener como base el valor del avalúo comercial y ajustar dicho avalúo </w:t>
      </w:r>
      <w:proofErr w:type="gramStart"/>
      <w:r w:rsidR="007F43C7" w:rsidRPr="00533193">
        <w:rPr>
          <w:rFonts w:ascii="Verdana" w:eastAsia="Arial" w:hAnsi="Verdana" w:cs="Arial"/>
          <w:sz w:val="22"/>
          <w:szCs w:val="22"/>
          <w:lang w:val="es-CO"/>
        </w:rPr>
        <w:t>de acuerdo a</w:t>
      </w:r>
      <w:proofErr w:type="gramEnd"/>
      <w:r w:rsidR="007F43C7" w:rsidRPr="00533193">
        <w:rPr>
          <w:rFonts w:ascii="Verdana" w:eastAsia="Arial" w:hAnsi="Verdana" w:cs="Arial"/>
          <w:sz w:val="22"/>
          <w:szCs w:val="22"/>
          <w:lang w:val="es-CO"/>
        </w:rPr>
        <w:t xml:space="preserve"> los gastos asociados al tiempo de comercialización esperada, administración, impuestos y mantenimiento, para determinar el precio mínimo al que se debe enajenar el bien, de conformidad con la reglamentación que para el efecto expida el Gobierno Nacional</w:t>
      </w:r>
      <w:bookmarkEnd w:id="1"/>
      <w:r w:rsidR="007F43C7" w:rsidRPr="00533193">
        <w:rPr>
          <w:rFonts w:ascii="Verdana" w:eastAsia="Arial" w:hAnsi="Verdana" w:cs="Arial"/>
          <w:sz w:val="22"/>
          <w:szCs w:val="22"/>
          <w:lang w:val="es-CO"/>
        </w:rPr>
        <w:t>.</w:t>
      </w:r>
    </w:p>
    <w:p w14:paraId="58154F2B" w14:textId="728F2377" w:rsidR="008123F2" w:rsidRPr="00191A48" w:rsidRDefault="00581E37" w:rsidP="009B0D3A">
      <w:pPr>
        <w:pStyle w:val="Textonotapie"/>
        <w:spacing w:after="120" w:line="276" w:lineRule="auto"/>
        <w:ind w:firstLine="720"/>
        <w:jc w:val="both"/>
        <w:rPr>
          <w:rFonts w:ascii="Verdana" w:eastAsia="Arial" w:hAnsi="Verdana" w:cs="Arial"/>
          <w:sz w:val="22"/>
          <w:szCs w:val="22"/>
          <w:lang w:val="es-CO"/>
        </w:rPr>
      </w:pPr>
      <w:r w:rsidRPr="00191A48">
        <w:rPr>
          <w:rFonts w:ascii="Verdana" w:eastAsia="Arial" w:hAnsi="Verdana" w:cs="Arial"/>
          <w:sz w:val="22"/>
          <w:szCs w:val="22"/>
          <w:lang w:val="es-ES"/>
        </w:rPr>
        <w:t xml:space="preserve">En virtud de </w:t>
      </w:r>
      <w:r w:rsidR="00EB7892" w:rsidRPr="00191A48">
        <w:rPr>
          <w:rFonts w:ascii="Verdana" w:eastAsia="Arial" w:hAnsi="Verdana" w:cs="Arial"/>
          <w:sz w:val="22"/>
          <w:szCs w:val="22"/>
          <w:lang w:val="es-ES"/>
        </w:rPr>
        <w:t>lo anterior</w:t>
      </w:r>
      <w:r w:rsidRPr="00191A48">
        <w:rPr>
          <w:rFonts w:ascii="Verdana" w:eastAsia="Arial" w:hAnsi="Verdana" w:cs="Arial"/>
          <w:sz w:val="22"/>
          <w:szCs w:val="22"/>
          <w:lang w:val="es-ES"/>
        </w:rPr>
        <w:t>,</w:t>
      </w:r>
      <w:bookmarkStart w:id="2" w:name="_Hlk186265498"/>
      <w:r w:rsidR="00C470E1">
        <w:rPr>
          <w:rFonts w:ascii="Verdana" w:eastAsia="Arial" w:hAnsi="Verdana" w:cs="Arial"/>
          <w:sz w:val="22"/>
          <w:szCs w:val="22"/>
          <w:lang w:val="es-ES"/>
        </w:rPr>
        <w:t xml:space="preserve"> </w:t>
      </w:r>
      <w:r w:rsidR="008665F9">
        <w:rPr>
          <w:rFonts w:ascii="Verdana" w:eastAsia="Arial" w:hAnsi="Verdana" w:cs="Arial"/>
          <w:sz w:val="22"/>
          <w:szCs w:val="22"/>
          <w:lang w:val="es-ES"/>
        </w:rPr>
        <w:t xml:space="preserve">la </w:t>
      </w:r>
      <w:r w:rsidR="00FC08C6">
        <w:rPr>
          <w:rFonts w:ascii="Verdana" w:eastAsia="Arial" w:hAnsi="Verdana" w:cs="Arial"/>
          <w:sz w:val="22"/>
          <w:szCs w:val="22"/>
          <w:lang w:val="es-ES"/>
        </w:rPr>
        <w:t>subsección 1</w:t>
      </w:r>
      <w:r w:rsidR="00F71AE0">
        <w:rPr>
          <w:rFonts w:ascii="Verdana" w:eastAsia="Arial" w:hAnsi="Verdana" w:cs="Arial"/>
          <w:sz w:val="22"/>
          <w:szCs w:val="22"/>
          <w:lang w:val="es-ES"/>
        </w:rPr>
        <w:t xml:space="preserve"> de la</w:t>
      </w:r>
      <w:r w:rsidR="00F71AE0" w:rsidRPr="00F71AE0">
        <w:rPr>
          <w:rFonts w:ascii="Verdana" w:eastAsia="Arial" w:hAnsi="Verdana" w:cs="Arial"/>
          <w:sz w:val="22"/>
          <w:szCs w:val="22"/>
          <w:lang w:val="es-ES"/>
        </w:rPr>
        <w:t xml:space="preserve"> </w:t>
      </w:r>
      <w:r w:rsidR="00F71AE0">
        <w:rPr>
          <w:rFonts w:ascii="Verdana" w:eastAsia="Arial" w:hAnsi="Verdana" w:cs="Arial"/>
          <w:sz w:val="22"/>
          <w:szCs w:val="22"/>
          <w:lang w:val="es-ES"/>
        </w:rPr>
        <w:t>sección 2</w:t>
      </w:r>
      <w:r w:rsidR="00FC08C6">
        <w:rPr>
          <w:rFonts w:ascii="Verdana" w:eastAsia="Arial" w:hAnsi="Verdana" w:cs="Arial"/>
          <w:sz w:val="22"/>
          <w:szCs w:val="22"/>
          <w:lang w:val="es-ES"/>
        </w:rPr>
        <w:t xml:space="preserve"> </w:t>
      </w:r>
      <w:bookmarkStart w:id="3" w:name="_Hlk186316048"/>
      <w:r w:rsidR="008665F9">
        <w:rPr>
          <w:rFonts w:ascii="Verdana" w:eastAsia="Arial" w:hAnsi="Verdana" w:cs="Arial"/>
          <w:sz w:val="22"/>
          <w:szCs w:val="22"/>
          <w:lang w:val="es-ES"/>
        </w:rPr>
        <w:t xml:space="preserve">del capítulo II del </w:t>
      </w:r>
      <w:r w:rsidRPr="00191A48">
        <w:rPr>
          <w:rFonts w:ascii="Verdana" w:eastAsia="Arial" w:hAnsi="Verdana" w:cs="Arial"/>
          <w:sz w:val="22"/>
          <w:szCs w:val="22"/>
          <w:lang w:val="es-ES"/>
        </w:rPr>
        <w:t>Decreto 1082 de 2015</w:t>
      </w:r>
      <w:bookmarkEnd w:id="3"/>
      <w:r w:rsidR="00EB7892" w:rsidRPr="00191A48">
        <w:rPr>
          <w:rFonts w:ascii="Verdana" w:eastAsia="Arial" w:hAnsi="Verdana" w:cs="Arial"/>
          <w:sz w:val="22"/>
          <w:szCs w:val="22"/>
          <w:lang w:val="es-ES"/>
        </w:rPr>
        <w:t xml:space="preserve"> </w:t>
      </w:r>
      <w:bookmarkEnd w:id="2"/>
      <w:r w:rsidRPr="00191A48">
        <w:rPr>
          <w:rFonts w:ascii="Verdana" w:eastAsia="Arial" w:hAnsi="Verdana" w:cs="Arial"/>
          <w:sz w:val="22"/>
          <w:szCs w:val="22"/>
          <w:lang w:val="es-ES"/>
        </w:rPr>
        <w:t>dispuso en los artículos 2.2.1.2.2.1.1. y siguientes, las reglas</w:t>
      </w:r>
      <w:r w:rsidR="00FC08C6">
        <w:rPr>
          <w:rFonts w:ascii="Verdana" w:eastAsia="Arial" w:hAnsi="Verdana" w:cs="Arial"/>
          <w:sz w:val="22"/>
          <w:szCs w:val="22"/>
          <w:lang w:val="es-ES"/>
        </w:rPr>
        <w:t xml:space="preserve"> generales</w:t>
      </w:r>
      <w:r w:rsidRPr="00191A48">
        <w:rPr>
          <w:rFonts w:ascii="Verdana" w:eastAsia="Arial" w:hAnsi="Verdana" w:cs="Arial"/>
          <w:sz w:val="22"/>
          <w:szCs w:val="22"/>
          <w:lang w:val="es-ES"/>
        </w:rPr>
        <w:t xml:space="preserve"> que </w:t>
      </w:r>
      <w:r w:rsidR="00684461" w:rsidRPr="00191A48">
        <w:rPr>
          <w:rFonts w:ascii="Verdana" w:eastAsia="Arial" w:hAnsi="Verdana" w:cs="Arial"/>
          <w:sz w:val="22"/>
          <w:szCs w:val="22"/>
          <w:lang w:val="es-ES"/>
        </w:rPr>
        <w:t xml:space="preserve">deben aplicar </w:t>
      </w:r>
      <w:r w:rsidRPr="00191A48">
        <w:rPr>
          <w:rFonts w:ascii="Verdana" w:eastAsia="Arial" w:hAnsi="Verdana" w:cs="Arial"/>
          <w:sz w:val="22"/>
          <w:szCs w:val="22"/>
          <w:lang w:val="es-ES"/>
        </w:rPr>
        <w:t>las Entidades Estatales</w:t>
      </w:r>
      <w:r w:rsidR="00684461" w:rsidRPr="00191A48">
        <w:rPr>
          <w:rFonts w:ascii="Verdana" w:eastAsia="Arial" w:hAnsi="Verdana" w:cs="Arial"/>
          <w:sz w:val="22"/>
          <w:szCs w:val="22"/>
          <w:lang w:val="es-ES"/>
        </w:rPr>
        <w:t xml:space="preserve"> para la enajenación de los bienes el Estado </w:t>
      </w:r>
      <w:r w:rsidR="00825BB5" w:rsidRPr="00191A48">
        <w:rPr>
          <w:rFonts w:ascii="Verdana" w:eastAsia="Arial" w:hAnsi="Verdana" w:cs="Arial"/>
          <w:sz w:val="22"/>
          <w:szCs w:val="22"/>
          <w:lang w:val="es-ES"/>
        </w:rPr>
        <w:t>señalando que “</w:t>
      </w:r>
      <w:r w:rsidR="00825BB5" w:rsidRPr="00191A48">
        <w:rPr>
          <w:rFonts w:ascii="Verdana" w:eastAsia="Arial" w:hAnsi="Verdana" w:cs="Arial"/>
          <w:sz w:val="22"/>
          <w:szCs w:val="22"/>
          <w:lang w:val="es-CO"/>
        </w:rPr>
        <w:t>La selección abreviada es la modalidad para la enajenación de bienes del Estado, la cual se rige por las disposiciones contenidas en el presente capítulo, salvo por las normas aplicables a la enajenación de los bienes a cargo del Fondo para la Reha</w:t>
      </w:r>
      <w:r w:rsidR="00825BB5" w:rsidRPr="00191A48">
        <w:rPr>
          <w:rFonts w:ascii="Verdana" w:eastAsia="Arial" w:hAnsi="Verdana" w:cs="Arial"/>
          <w:color w:val="000000" w:themeColor="text1"/>
          <w:sz w:val="22"/>
          <w:szCs w:val="22"/>
          <w:lang w:val="es-CO"/>
        </w:rPr>
        <w:t>bilitación, Inversión Social y Lucha contra el Crimen Organizado y la enajenación de que tratan la Ley </w:t>
      </w:r>
      <w:hyperlink r:id="rId13" w:anchor="0" w:tooltip="vinculo" w:history="1">
        <w:r w:rsidR="00825BB5" w:rsidRPr="00191A48">
          <w:rPr>
            <w:rStyle w:val="Hipervnculo"/>
            <w:rFonts w:ascii="Verdana" w:eastAsia="Arial" w:hAnsi="Verdana" w:cs="Arial"/>
            <w:color w:val="000000" w:themeColor="text1"/>
            <w:sz w:val="22"/>
            <w:szCs w:val="22"/>
            <w:u w:val="none"/>
            <w:lang w:val="es-CO"/>
          </w:rPr>
          <w:t>226</w:t>
        </w:r>
      </w:hyperlink>
      <w:r w:rsidR="00825BB5" w:rsidRPr="00191A48">
        <w:rPr>
          <w:rFonts w:ascii="Verdana" w:eastAsia="Arial" w:hAnsi="Verdana" w:cs="Arial"/>
          <w:color w:val="000000" w:themeColor="text1"/>
          <w:sz w:val="22"/>
          <w:szCs w:val="22"/>
          <w:lang w:val="es-CO"/>
        </w:rPr>
        <w:t> de 1995, el Decreto-Ley </w:t>
      </w:r>
      <w:hyperlink r:id="rId14" w:anchor="0" w:tooltip="vinculo" w:history="1">
        <w:r w:rsidR="00825BB5" w:rsidRPr="00191A48">
          <w:rPr>
            <w:rStyle w:val="Hipervnculo"/>
            <w:rFonts w:ascii="Verdana" w:eastAsia="Arial" w:hAnsi="Verdana" w:cs="Arial"/>
            <w:color w:val="000000" w:themeColor="text1"/>
            <w:sz w:val="22"/>
            <w:szCs w:val="22"/>
            <w:u w:val="none"/>
            <w:lang w:val="es-CO"/>
          </w:rPr>
          <w:t>254</w:t>
        </w:r>
      </w:hyperlink>
      <w:r w:rsidR="00825BB5" w:rsidRPr="00191A48">
        <w:rPr>
          <w:rFonts w:ascii="Verdana" w:eastAsia="Arial" w:hAnsi="Verdana" w:cs="Arial"/>
          <w:color w:val="000000" w:themeColor="text1"/>
          <w:sz w:val="22"/>
          <w:szCs w:val="22"/>
          <w:lang w:val="es-CO"/>
        </w:rPr>
        <w:t> de 2000 y la Ley </w:t>
      </w:r>
      <w:hyperlink r:id="rId15" w:anchor="0" w:tooltip="vinculo" w:history="1">
        <w:r w:rsidR="00825BB5" w:rsidRPr="00191A48">
          <w:rPr>
            <w:rStyle w:val="Hipervnculo"/>
            <w:rFonts w:ascii="Verdana" w:eastAsia="Arial" w:hAnsi="Verdana" w:cs="Arial"/>
            <w:color w:val="000000" w:themeColor="text1"/>
            <w:sz w:val="22"/>
            <w:szCs w:val="22"/>
            <w:u w:val="none"/>
            <w:lang w:val="es-CO"/>
          </w:rPr>
          <w:t>1105</w:t>
        </w:r>
      </w:hyperlink>
      <w:r w:rsidR="00825BB5" w:rsidRPr="00191A48">
        <w:rPr>
          <w:rFonts w:ascii="Verdana" w:eastAsia="Arial" w:hAnsi="Verdana" w:cs="Arial"/>
          <w:color w:val="000000" w:themeColor="text1"/>
          <w:sz w:val="22"/>
          <w:szCs w:val="22"/>
          <w:lang w:val="es-CO"/>
        </w:rPr>
        <w:t> de 2006”.</w:t>
      </w:r>
      <w:r w:rsidR="005207D7" w:rsidRPr="00191A48">
        <w:rPr>
          <w:rFonts w:ascii="Verdana" w:eastAsia="Arial" w:hAnsi="Verdana" w:cs="Arial"/>
          <w:color w:val="000000" w:themeColor="text1"/>
          <w:sz w:val="22"/>
          <w:szCs w:val="22"/>
          <w:lang w:val="es-CO"/>
        </w:rPr>
        <w:t xml:space="preserve"> </w:t>
      </w:r>
    </w:p>
    <w:p w14:paraId="0B20E398" w14:textId="51CD10F3" w:rsidR="001E6B9E" w:rsidRDefault="00837F18" w:rsidP="009B0D3A">
      <w:pPr>
        <w:pStyle w:val="Textonotapie"/>
        <w:spacing w:after="120" w:line="276" w:lineRule="auto"/>
        <w:ind w:firstLine="720"/>
        <w:jc w:val="both"/>
        <w:rPr>
          <w:rFonts w:ascii="Verdana" w:eastAsia="Arial" w:hAnsi="Verdana" w:cs="Arial"/>
          <w:color w:val="000000" w:themeColor="text1"/>
          <w:sz w:val="22"/>
          <w:szCs w:val="22"/>
          <w:lang w:val="es-CO"/>
        </w:rPr>
      </w:pPr>
      <w:r>
        <w:rPr>
          <w:rFonts w:ascii="Verdana" w:eastAsia="Arial" w:hAnsi="Verdana" w:cs="Arial"/>
          <w:sz w:val="22"/>
          <w:szCs w:val="22"/>
          <w:lang w:val="es-CO"/>
        </w:rPr>
        <w:t>Al respecto,</w:t>
      </w:r>
      <w:r w:rsidR="00FC08C6">
        <w:rPr>
          <w:rFonts w:ascii="Verdana" w:eastAsia="Arial" w:hAnsi="Verdana" w:cs="Arial"/>
          <w:sz w:val="22"/>
          <w:szCs w:val="22"/>
          <w:lang w:val="es-CO"/>
        </w:rPr>
        <w:t xml:space="preserve"> </w:t>
      </w:r>
      <w:r>
        <w:rPr>
          <w:rFonts w:ascii="Verdana" w:eastAsia="Arial" w:hAnsi="Verdana" w:cs="Arial"/>
          <w:sz w:val="22"/>
          <w:szCs w:val="22"/>
          <w:lang w:val="es-CO"/>
        </w:rPr>
        <w:t>e</w:t>
      </w:r>
      <w:r w:rsidR="008123F2" w:rsidRPr="00191A48">
        <w:rPr>
          <w:rFonts w:ascii="Verdana" w:eastAsia="Arial" w:hAnsi="Verdana" w:cs="Arial"/>
          <w:sz w:val="22"/>
          <w:szCs w:val="22"/>
          <w:lang w:val="es-CO"/>
        </w:rPr>
        <w:t>l</w:t>
      </w:r>
      <w:r w:rsidR="00E771E4" w:rsidRPr="00191A48">
        <w:rPr>
          <w:rFonts w:ascii="Verdana" w:eastAsia="Arial" w:hAnsi="Verdana" w:cs="Arial"/>
          <w:sz w:val="22"/>
          <w:szCs w:val="22"/>
          <w:lang w:val="es-CO"/>
        </w:rPr>
        <w:t xml:space="preserve"> artículo </w:t>
      </w:r>
      <w:bookmarkStart w:id="4" w:name="_Hlk186315464"/>
      <w:r w:rsidR="001C5EC0" w:rsidRPr="00191A48">
        <w:rPr>
          <w:rFonts w:ascii="Verdana" w:eastAsia="Arial" w:hAnsi="Verdana" w:cs="Arial"/>
          <w:sz w:val="22"/>
          <w:szCs w:val="22"/>
          <w:lang w:val="es-CO"/>
        </w:rPr>
        <w:t>2.2.1.2.2.1.3</w:t>
      </w:r>
      <w:r w:rsidR="0070020B" w:rsidRPr="00191A48">
        <w:rPr>
          <w:rFonts w:ascii="Verdana" w:eastAsia="Arial" w:hAnsi="Verdana" w:cs="Arial"/>
          <w:sz w:val="22"/>
          <w:szCs w:val="22"/>
          <w:lang w:val="es-ES"/>
        </w:rPr>
        <w:t xml:space="preserve"> </w:t>
      </w:r>
      <w:r>
        <w:rPr>
          <w:rFonts w:ascii="Verdana" w:eastAsia="Arial" w:hAnsi="Verdana" w:cs="Arial"/>
          <w:sz w:val="22"/>
          <w:szCs w:val="22"/>
          <w:lang w:val="es-ES"/>
        </w:rPr>
        <w:t xml:space="preserve">del Decreto </w:t>
      </w:r>
      <w:r w:rsidR="0070020B" w:rsidRPr="00191A48">
        <w:rPr>
          <w:rFonts w:ascii="Verdana" w:eastAsia="Arial" w:hAnsi="Verdana" w:cs="Arial"/>
          <w:sz w:val="22"/>
          <w:szCs w:val="22"/>
          <w:lang w:val="es-ES"/>
        </w:rPr>
        <w:t xml:space="preserve">1082 de 2015 </w:t>
      </w:r>
      <w:bookmarkEnd w:id="4"/>
      <w:r w:rsidR="00DA4AFF" w:rsidRPr="00191A48">
        <w:rPr>
          <w:rFonts w:ascii="Verdana" w:eastAsia="Arial" w:hAnsi="Verdana" w:cs="Arial"/>
          <w:sz w:val="22"/>
          <w:szCs w:val="22"/>
          <w:lang w:val="es-ES"/>
        </w:rPr>
        <w:t>estableció una</w:t>
      </w:r>
      <w:r w:rsidR="00B411B3" w:rsidRPr="00191A48">
        <w:rPr>
          <w:rFonts w:ascii="Verdana" w:eastAsia="Arial" w:hAnsi="Verdana" w:cs="Arial"/>
          <w:sz w:val="22"/>
          <w:szCs w:val="22"/>
          <w:lang w:val="es-ES"/>
        </w:rPr>
        <w:t xml:space="preserve"> regla particular </w:t>
      </w:r>
      <w:r w:rsidR="00644833" w:rsidRPr="00191A48">
        <w:rPr>
          <w:rFonts w:ascii="Verdana" w:eastAsia="Arial" w:hAnsi="Verdana" w:cs="Arial"/>
          <w:sz w:val="22"/>
          <w:szCs w:val="22"/>
          <w:lang w:val="es-ES"/>
        </w:rPr>
        <w:t xml:space="preserve">según la cual </w:t>
      </w:r>
      <w:r w:rsidR="00644833" w:rsidRPr="00191A48">
        <w:rPr>
          <w:rFonts w:ascii="Verdana" w:eastAsia="Arial" w:hAnsi="Verdana" w:cs="Arial"/>
          <w:sz w:val="22"/>
          <w:szCs w:val="22"/>
          <w:lang w:val="es-CO"/>
        </w:rPr>
        <w:t xml:space="preserve">la enajenación de bienes de las </w:t>
      </w:r>
      <w:r w:rsidR="00644833" w:rsidRPr="00191A48">
        <w:rPr>
          <w:rFonts w:ascii="Verdana" w:eastAsia="Arial" w:hAnsi="Verdana" w:cs="Arial"/>
          <w:color w:val="000000" w:themeColor="text1"/>
          <w:sz w:val="22"/>
          <w:szCs w:val="22"/>
          <w:lang w:val="es-CO"/>
        </w:rPr>
        <w:t>entidades estatales del orden nacional a la Central de Inversiones CISA S. A., de que trata el artículo </w:t>
      </w:r>
      <w:hyperlink r:id="rId16" w:anchor="238" w:tooltip="vinculo" w:history="1">
        <w:r w:rsidR="00644833" w:rsidRPr="00191A48">
          <w:rPr>
            <w:rStyle w:val="Hipervnculo"/>
            <w:rFonts w:ascii="Verdana" w:eastAsia="Arial" w:hAnsi="Verdana" w:cs="Arial"/>
            <w:color w:val="000000" w:themeColor="text1"/>
            <w:sz w:val="22"/>
            <w:szCs w:val="22"/>
            <w:u w:val="none"/>
            <w:lang w:val="es-CO"/>
          </w:rPr>
          <w:t>238</w:t>
        </w:r>
      </w:hyperlink>
      <w:r w:rsidR="00644833" w:rsidRPr="00191A48">
        <w:rPr>
          <w:rFonts w:ascii="Verdana" w:eastAsia="Arial" w:hAnsi="Verdana" w:cs="Arial"/>
          <w:color w:val="000000" w:themeColor="text1"/>
          <w:sz w:val="22"/>
          <w:szCs w:val="22"/>
          <w:lang w:val="es-CO"/>
        </w:rPr>
        <w:t> de la Ley 1450 de 2011 y el Decreto </w:t>
      </w:r>
      <w:hyperlink r:id="rId17" w:anchor="0" w:tooltip="vinculo" w:history="1">
        <w:r w:rsidR="00644833" w:rsidRPr="00191A48">
          <w:rPr>
            <w:rStyle w:val="Hipervnculo"/>
            <w:rFonts w:ascii="Verdana" w:eastAsia="Arial" w:hAnsi="Verdana" w:cs="Arial"/>
            <w:color w:val="000000" w:themeColor="text1"/>
            <w:sz w:val="22"/>
            <w:szCs w:val="22"/>
            <w:u w:val="none"/>
            <w:lang w:val="es-CO"/>
          </w:rPr>
          <w:t>047</w:t>
        </w:r>
      </w:hyperlink>
      <w:r w:rsidR="00644833" w:rsidRPr="00191A48">
        <w:rPr>
          <w:rFonts w:ascii="Verdana" w:eastAsia="Arial" w:hAnsi="Verdana" w:cs="Arial"/>
          <w:color w:val="000000" w:themeColor="text1"/>
          <w:sz w:val="22"/>
          <w:szCs w:val="22"/>
          <w:lang w:val="es-CO"/>
        </w:rPr>
        <w:t> de 2014 y las normas que los modifiquen, adicionen o sustituyan, debe hacerse de conformidad con las reglas establecidas en tales normas.</w:t>
      </w:r>
      <w:r w:rsidR="00EA2BE9" w:rsidRPr="00191A48">
        <w:rPr>
          <w:rFonts w:ascii="Verdana" w:eastAsia="Arial" w:hAnsi="Verdana" w:cs="Arial"/>
          <w:color w:val="000000" w:themeColor="text1"/>
          <w:sz w:val="22"/>
          <w:szCs w:val="22"/>
          <w:lang w:val="es-ES"/>
        </w:rPr>
        <w:t xml:space="preserve"> </w:t>
      </w:r>
      <w:bookmarkStart w:id="5" w:name="2.2.1.2.2.1.4"/>
      <w:bookmarkEnd w:id="5"/>
      <w:r w:rsidR="00F71AE0">
        <w:rPr>
          <w:rFonts w:ascii="Verdana" w:eastAsia="Arial" w:hAnsi="Verdana" w:cs="Arial"/>
          <w:color w:val="000000" w:themeColor="text1"/>
          <w:sz w:val="22"/>
          <w:szCs w:val="22"/>
          <w:lang w:val="es-ES"/>
        </w:rPr>
        <w:t xml:space="preserve">A su vez, </w:t>
      </w:r>
      <w:r w:rsidR="00F71AE0">
        <w:rPr>
          <w:rFonts w:ascii="Verdana" w:eastAsia="Arial" w:hAnsi="Verdana" w:cs="Arial"/>
          <w:color w:val="000000" w:themeColor="text1"/>
          <w:sz w:val="22"/>
          <w:szCs w:val="22"/>
          <w:lang w:val="es-CO"/>
        </w:rPr>
        <w:t>e</w:t>
      </w:r>
      <w:r w:rsidR="00D169E0" w:rsidRPr="00191A48">
        <w:rPr>
          <w:rFonts w:ascii="Verdana" w:eastAsia="Arial" w:hAnsi="Verdana" w:cs="Arial"/>
          <w:color w:val="000000" w:themeColor="text1"/>
          <w:sz w:val="22"/>
          <w:szCs w:val="22"/>
          <w:lang w:val="es-CO"/>
        </w:rPr>
        <w:t>l artículo 2.2.1.2.2.1.4</w:t>
      </w:r>
      <w:r w:rsidR="0007676F" w:rsidRPr="00191A48">
        <w:rPr>
          <w:rFonts w:ascii="Verdana" w:eastAsia="Arial" w:hAnsi="Verdana" w:cs="Arial"/>
          <w:color w:val="000000" w:themeColor="text1"/>
          <w:sz w:val="22"/>
          <w:szCs w:val="22"/>
          <w:lang w:val="es-CO"/>
        </w:rPr>
        <w:t xml:space="preserve"> </w:t>
      </w:r>
      <w:r w:rsidR="0007676F" w:rsidRPr="00191A48">
        <w:rPr>
          <w:rFonts w:ascii="Verdana" w:eastAsia="Arial" w:hAnsi="Verdana" w:cs="Arial"/>
          <w:i/>
          <w:iCs/>
          <w:color w:val="000000" w:themeColor="text1"/>
          <w:sz w:val="22"/>
          <w:szCs w:val="22"/>
          <w:lang w:val="es-CO"/>
        </w:rPr>
        <w:t>ibidem</w:t>
      </w:r>
      <w:r w:rsidR="00EE0067" w:rsidRPr="00191A48">
        <w:rPr>
          <w:rFonts w:ascii="Verdana" w:eastAsia="Arial" w:hAnsi="Verdana" w:cs="Arial"/>
          <w:color w:val="000000" w:themeColor="text1"/>
          <w:sz w:val="22"/>
          <w:szCs w:val="22"/>
          <w:lang w:val="es-CO"/>
        </w:rPr>
        <w:t xml:space="preserve"> </w:t>
      </w:r>
      <w:r w:rsidR="001E6B9E" w:rsidRPr="00191A48">
        <w:rPr>
          <w:rFonts w:ascii="Verdana" w:eastAsia="Arial" w:hAnsi="Verdana" w:cs="Arial"/>
          <w:color w:val="000000" w:themeColor="text1"/>
          <w:sz w:val="22"/>
          <w:szCs w:val="22"/>
          <w:lang w:val="es-CO"/>
        </w:rPr>
        <w:t>determinó que cuando</w:t>
      </w:r>
      <w:r w:rsidR="001E6B9E" w:rsidRPr="00191A48">
        <w:rPr>
          <w:rFonts w:ascii="Work Sans" w:hAnsi="Work Sans"/>
          <w:color w:val="333333"/>
          <w:sz w:val="22"/>
          <w:szCs w:val="22"/>
          <w:shd w:val="clear" w:color="auto" w:fill="FFFFFF"/>
          <w:lang w:val="es-CO"/>
        </w:rPr>
        <w:t xml:space="preserve"> </w:t>
      </w:r>
      <w:r w:rsidR="00191A48" w:rsidRPr="00191A48">
        <w:rPr>
          <w:rFonts w:ascii="Verdana" w:eastAsia="Arial" w:hAnsi="Verdana" w:cs="Arial"/>
          <w:color w:val="000000" w:themeColor="text1"/>
          <w:sz w:val="22"/>
          <w:szCs w:val="22"/>
          <w:lang w:val="es-CO"/>
        </w:rPr>
        <w:t>las</w:t>
      </w:r>
      <w:r w:rsidR="001E6B9E" w:rsidRPr="00191A48">
        <w:rPr>
          <w:rFonts w:ascii="Verdana" w:eastAsia="Arial" w:hAnsi="Verdana" w:cs="Arial"/>
          <w:color w:val="000000" w:themeColor="text1"/>
          <w:sz w:val="22"/>
          <w:szCs w:val="22"/>
          <w:lang w:val="es-CO"/>
        </w:rPr>
        <w:t xml:space="preserve"> Entidades Estatales no están obligadas a cumplir con l</w:t>
      </w:r>
      <w:r w:rsidR="00567494" w:rsidRPr="00191A48">
        <w:rPr>
          <w:rFonts w:ascii="Verdana" w:eastAsia="Arial" w:hAnsi="Verdana" w:cs="Arial"/>
          <w:color w:val="000000" w:themeColor="text1"/>
          <w:sz w:val="22"/>
          <w:szCs w:val="22"/>
          <w:lang w:val="es-CO"/>
        </w:rPr>
        <w:t>a transferencia a CISA</w:t>
      </w:r>
      <w:r w:rsidR="00E771E4" w:rsidRPr="00191A48">
        <w:rPr>
          <w:rFonts w:ascii="Verdana" w:eastAsia="Arial" w:hAnsi="Verdana" w:cs="Arial"/>
          <w:color w:val="000000" w:themeColor="text1"/>
          <w:sz w:val="22"/>
          <w:szCs w:val="22"/>
          <w:lang w:val="es-CO"/>
        </w:rPr>
        <w:t xml:space="preserve"> S.A. </w:t>
      </w:r>
      <w:r w:rsidR="001E6B9E" w:rsidRPr="00191A48">
        <w:rPr>
          <w:rFonts w:ascii="Verdana" w:eastAsia="Arial" w:hAnsi="Verdana" w:cs="Arial"/>
          <w:color w:val="000000" w:themeColor="text1"/>
          <w:sz w:val="22"/>
          <w:szCs w:val="22"/>
          <w:lang w:val="es-CO"/>
        </w:rPr>
        <w:t>pueden realizar directamente la enajenación, o contratar para ello promotores, bancas de inversión, martillos, comisionistas de bolsas de bienes y productos, o cualquier otro intermediario idóneo, según corresponda al tipo de bien a enajenar.</w:t>
      </w:r>
      <w:r w:rsidR="00145630">
        <w:rPr>
          <w:rStyle w:val="Textoennegrita"/>
          <w:rFonts w:ascii="Work Sans" w:hAnsi="Work Sans"/>
          <w:color w:val="333333"/>
          <w:sz w:val="25"/>
          <w:szCs w:val="25"/>
          <w:shd w:val="clear" w:color="auto" w:fill="FFFFFF"/>
        </w:rPr>
        <w:t xml:space="preserve"> </w:t>
      </w:r>
    </w:p>
    <w:p w14:paraId="64F3A717" w14:textId="1BE1E00B" w:rsidR="00DC7B1D" w:rsidRDefault="00E40B1F" w:rsidP="008B0634">
      <w:pPr>
        <w:pStyle w:val="Textonotapie"/>
        <w:spacing w:after="120" w:line="276" w:lineRule="auto"/>
        <w:ind w:firstLine="720"/>
        <w:jc w:val="both"/>
        <w:rPr>
          <w:rFonts w:ascii="Verdana" w:eastAsia="Arial" w:hAnsi="Verdana" w:cs="Arial"/>
          <w:sz w:val="22"/>
          <w:szCs w:val="22"/>
          <w:lang w:val="es-ES"/>
        </w:rPr>
      </w:pPr>
      <w:r>
        <w:rPr>
          <w:rFonts w:ascii="Verdana" w:eastAsia="Arial" w:hAnsi="Verdana" w:cs="Arial"/>
          <w:color w:val="000000" w:themeColor="text1"/>
          <w:sz w:val="22"/>
          <w:szCs w:val="22"/>
          <w:lang w:val="es-CO"/>
        </w:rPr>
        <w:t xml:space="preserve">En este sentido, </w:t>
      </w:r>
      <w:r w:rsidR="00EC4E9B" w:rsidRPr="00EC4E9B">
        <w:rPr>
          <w:rFonts w:ascii="Verdana" w:eastAsia="Arial" w:hAnsi="Verdana" w:cs="Arial"/>
          <w:color w:val="000000" w:themeColor="text1"/>
          <w:sz w:val="22"/>
          <w:szCs w:val="22"/>
          <w:lang w:val="es-CO"/>
        </w:rPr>
        <w:t xml:space="preserve">para la enajenación de los bienes del Estado las entidades </w:t>
      </w:r>
      <w:r w:rsidR="00A97F67">
        <w:rPr>
          <w:rFonts w:ascii="Verdana" w:eastAsia="Arial" w:hAnsi="Verdana" w:cs="Arial"/>
          <w:color w:val="000000" w:themeColor="text1"/>
          <w:sz w:val="22"/>
          <w:szCs w:val="22"/>
          <w:lang w:val="es-CO"/>
        </w:rPr>
        <w:t xml:space="preserve">del orden nacional </w:t>
      </w:r>
      <w:r w:rsidR="00EC4E9B" w:rsidRPr="00EC4E9B">
        <w:rPr>
          <w:rFonts w:ascii="Verdana" w:eastAsia="Arial" w:hAnsi="Verdana" w:cs="Arial"/>
          <w:color w:val="000000" w:themeColor="text1"/>
          <w:sz w:val="22"/>
          <w:szCs w:val="22"/>
          <w:lang w:val="es-CO"/>
        </w:rPr>
        <w:t xml:space="preserve">deben realizar una revisión para determinar si les resulta aplicable el supuesto de </w:t>
      </w:r>
      <w:r w:rsidR="00F43048">
        <w:rPr>
          <w:rFonts w:ascii="Verdana" w:eastAsia="Arial" w:hAnsi="Verdana" w:cs="Arial"/>
          <w:color w:val="000000" w:themeColor="text1"/>
          <w:sz w:val="22"/>
          <w:szCs w:val="22"/>
          <w:lang w:val="es-CO"/>
        </w:rPr>
        <w:t>transferencia de bienes a</w:t>
      </w:r>
      <w:r w:rsidR="00EC4E9B" w:rsidRPr="00EC4E9B">
        <w:rPr>
          <w:rFonts w:ascii="Verdana" w:eastAsia="Arial" w:hAnsi="Verdana" w:cs="Arial"/>
          <w:color w:val="000000" w:themeColor="text1"/>
          <w:sz w:val="22"/>
          <w:szCs w:val="22"/>
          <w:lang w:val="es-CO"/>
        </w:rPr>
        <w:t xml:space="preserve"> CISA</w:t>
      </w:r>
      <w:r w:rsidR="006E4C93">
        <w:rPr>
          <w:rFonts w:ascii="Verdana" w:eastAsia="Arial" w:hAnsi="Verdana" w:cs="Arial"/>
          <w:color w:val="000000" w:themeColor="text1"/>
          <w:sz w:val="22"/>
          <w:szCs w:val="22"/>
          <w:lang w:val="es-CO"/>
        </w:rPr>
        <w:t xml:space="preserve"> S.A.</w:t>
      </w:r>
      <w:r w:rsidR="008F4A52">
        <w:rPr>
          <w:rFonts w:ascii="Verdana" w:eastAsia="Arial" w:hAnsi="Verdana" w:cs="Arial"/>
          <w:color w:val="000000" w:themeColor="text1"/>
          <w:sz w:val="22"/>
          <w:szCs w:val="22"/>
          <w:lang w:val="es-CO"/>
        </w:rPr>
        <w:t xml:space="preserve"> </w:t>
      </w:r>
      <w:r w:rsidR="006E4C93">
        <w:rPr>
          <w:rFonts w:ascii="Verdana" w:eastAsia="Arial" w:hAnsi="Verdana" w:cs="Arial"/>
          <w:color w:val="000000" w:themeColor="text1"/>
          <w:sz w:val="22"/>
          <w:szCs w:val="22"/>
          <w:lang w:val="es-CO"/>
        </w:rPr>
        <w:t>y e</w:t>
      </w:r>
      <w:r w:rsidR="00EC4E9B" w:rsidRPr="00EC4E9B">
        <w:rPr>
          <w:rFonts w:ascii="Verdana" w:eastAsia="Arial" w:hAnsi="Verdana" w:cs="Arial"/>
          <w:color w:val="000000" w:themeColor="text1"/>
          <w:sz w:val="22"/>
          <w:szCs w:val="22"/>
          <w:lang w:val="es-CO"/>
        </w:rPr>
        <w:t xml:space="preserve">n caso de que </w:t>
      </w:r>
      <w:r w:rsidR="00EC4E9B" w:rsidRPr="00EC4E9B">
        <w:rPr>
          <w:rFonts w:ascii="Verdana" w:eastAsia="Arial" w:hAnsi="Verdana" w:cs="Arial"/>
          <w:color w:val="000000" w:themeColor="text1"/>
          <w:sz w:val="22"/>
          <w:szCs w:val="22"/>
          <w:lang w:val="es-CO"/>
        </w:rPr>
        <w:lastRenderedPageBreak/>
        <w:t>no se cumpla dicho supuesto, podrán proceder con la enajenación de los bienes, ya sea de manera directa o mediante</w:t>
      </w:r>
      <w:r w:rsidR="00680926">
        <w:rPr>
          <w:rFonts w:ascii="Verdana" w:eastAsia="Arial" w:hAnsi="Verdana" w:cs="Arial"/>
          <w:color w:val="000000" w:themeColor="text1"/>
          <w:sz w:val="22"/>
          <w:szCs w:val="22"/>
          <w:lang w:val="es-CO"/>
        </w:rPr>
        <w:t xml:space="preserve"> intermediario</w:t>
      </w:r>
      <w:r w:rsidR="00EC4E9B" w:rsidRPr="00EC4E9B">
        <w:rPr>
          <w:rFonts w:ascii="Verdana" w:eastAsia="Arial" w:hAnsi="Verdana" w:cs="Arial"/>
          <w:color w:val="000000" w:themeColor="text1"/>
          <w:sz w:val="22"/>
          <w:szCs w:val="22"/>
          <w:lang w:val="es-CO"/>
        </w:rPr>
        <w:t xml:space="preserve">, </w:t>
      </w:r>
      <w:r w:rsidR="00D31BB1">
        <w:rPr>
          <w:rFonts w:ascii="Verdana" w:eastAsia="Arial" w:hAnsi="Verdana" w:cs="Arial"/>
          <w:color w:val="000000" w:themeColor="text1"/>
          <w:sz w:val="22"/>
          <w:szCs w:val="22"/>
          <w:lang w:val="es-CO"/>
        </w:rPr>
        <w:t xml:space="preserve">el cual </w:t>
      </w:r>
      <w:r w:rsidR="00680926">
        <w:rPr>
          <w:rFonts w:ascii="Verdana" w:eastAsia="Arial" w:hAnsi="Verdana" w:cs="Arial"/>
          <w:color w:val="000000" w:themeColor="text1"/>
          <w:sz w:val="22"/>
          <w:szCs w:val="22"/>
          <w:lang w:val="es-CO"/>
        </w:rPr>
        <w:t xml:space="preserve">deberán escoger </w:t>
      </w:r>
      <w:r w:rsidR="00D31BB1">
        <w:rPr>
          <w:rFonts w:ascii="Verdana" w:eastAsia="Arial" w:hAnsi="Verdana" w:cs="Arial"/>
          <w:color w:val="000000" w:themeColor="text1"/>
          <w:sz w:val="22"/>
          <w:szCs w:val="22"/>
          <w:lang w:val="es-CO"/>
        </w:rPr>
        <w:t xml:space="preserve">mediante selección abreviada </w:t>
      </w:r>
      <w:r w:rsidR="00A46DD6">
        <w:rPr>
          <w:rFonts w:ascii="Verdana" w:eastAsia="Arial" w:hAnsi="Verdana" w:cs="Arial"/>
          <w:color w:val="000000" w:themeColor="text1"/>
          <w:sz w:val="22"/>
          <w:szCs w:val="22"/>
          <w:lang w:val="es-CO"/>
        </w:rPr>
        <w:t>conforme con l</w:t>
      </w:r>
      <w:r w:rsidR="006B5938">
        <w:rPr>
          <w:rFonts w:ascii="Verdana" w:eastAsia="Arial" w:hAnsi="Verdana" w:cs="Arial"/>
          <w:color w:val="000000" w:themeColor="text1"/>
          <w:sz w:val="22"/>
          <w:szCs w:val="22"/>
          <w:lang w:val="es-CO"/>
        </w:rPr>
        <w:t>o dispone el</w:t>
      </w:r>
      <w:r w:rsidR="009F081B">
        <w:rPr>
          <w:rFonts w:ascii="Verdana" w:eastAsia="Arial" w:hAnsi="Verdana" w:cs="Arial"/>
          <w:color w:val="000000" w:themeColor="text1"/>
          <w:sz w:val="22"/>
          <w:szCs w:val="22"/>
          <w:lang w:val="es-CO"/>
        </w:rPr>
        <w:t xml:space="preserve"> </w:t>
      </w:r>
      <w:r w:rsidR="00A46DD6">
        <w:rPr>
          <w:rFonts w:ascii="Verdana" w:eastAsia="Arial" w:hAnsi="Verdana" w:cs="Arial"/>
          <w:color w:val="000000" w:themeColor="text1"/>
          <w:sz w:val="22"/>
          <w:szCs w:val="22"/>
          <w:lang w:val="es-CO"/>
        </w:rPr>
        <w:t>artícul</w:t>
      </w:r>
      <w:r w:rsidR="00A46DD6" w:rsidRPr="00D31BB1">
        <w:rPr>
          <w:rFonts w:ascii="Verdana" w:eastAsia="Arial" w:hAnsi="Verdana" w:cs="Arial"/>
          <w:color w:val="000000" w:themeColor="text1"/>
          <w:sz w:val="22"/>
          <w:szCs w:val="22"/>
          <w:lang w:val="es-CO"/>
        </w:rPr>
        <w:t xml:space="preserve">o </w:t>
      </w:r>
      <w:bookmarkStart w:id="6" w:name="2.2.1.2.2.1.5"/>
      <w:bookmarkEnd w:id="6"/>
      <w:r w:rsidR="00A46DD6" w:rsidRPr="00D31BB1">
        <w:rPr>
          <w:rStyle w:val="Textoennegrita"/>
          <w:rFonts w:ascii="Verdana" w:hAnsi="Verdana"/>
          <w:b w:val="0"/>
          <w:bCs w:val="0"/>
          <w:color w:val="333333"/>
          <w:sz w:val="22"/>
          <w:szCs w:val="22"/>
          <w:shd w:val="clear" w:color="auto" w:fill="FFFFFF"/>
        </w:rPr>
        <w:t>2.2.1.2.2.1.5</w:t>
      </w:r>
      <w:r w:rsidR="00A97F67">
        <w:rPr>
          <w:rStyle w:val="Textoennegrita"/>
          <w:rFonts w:ascii="Verdana" w:hAnsi="Verdana"/>
          <w:b w:val="0"/>
          <w:bCs w:val="0"/>
          <w:color w:val="333333"/>
          <w:sz w:val="22"/>
          <w:szCs w:val="22"/>
          <w:shd w:val="clear" w:color="auto" w:fill="FFFFFF"/>
        </w:rPr>
        <w:t xml:space="preserve">. </w:t>
      </w:r>
      <w:r w:rsidR="000A524F">
        <w:rPr>
          <w:rStyle w:val="Textoennegrita"/>
          <w:rFonts w:ascii="Verdana" w:hAnsi="Verdana"/>
          <w:b w:val="0"/>
          <w:bCs w:val="0"/>
          <w:color w:val="333333"/>
          <w:sz w:val="22"/>
          <w:szCs w:val="22"/>
          <w:shd w:val="clear" w:color="auto" w:fill="FFFFFF"/>
        </w:rPr>
        <w:t xml:space="preserve">Vale aclarar que </w:t>
      </w:r>
      <w:r w:rsidR="00565F4B">
        <w:rPr>
          <w:rStyle w:val="Textoennegrita"/>
          <w:rFonts w:ascii="Verdana" w:hAnsi="Verdana"/>
          <w:b w:val="0"/>
          <w:bCs w:val="0"/>
          <w:color w:val="333333"/>
          <w:sz w:val="22"/>
          <w:szCs w:val="22"/>
          <w:shd w:val="clear" w:color="auto" w:fill="FFFFFF"/>
        </w:rPr>
        <w:t>debido a que</w:t>
      </w:r>
      <w:r w:rsidR="000A524F">
        <w:rPr>
          <w:rStyle w:val="Textoennegrita"/>
          <w:rFonts w:ascii="Verdana" w:hAnsi="Verdana"/>
          <w:b w:val="0"/>
          <w:bCs w:val="0"/>
          <w:color w:val="333333"/>
          <w:sz w:val="22"/>
          <w:szCs w:val="22"/>
          <w:shd w:val="clear" w:color="auto" w:fill="FFFFFF"/>
        </w:rPr>
        <w:t xml:space="preserve"> el </w:t>
      </w:r>
      <w:r w:rsidR="000A524F" w:rsidRPr="00191A48">
        <w:rPr>
          <w:rFonts w:ascii="Verdana" w:eastAsia="Arial" w:hAnsi="Verdana" w:cs="Arial"/>
          <w:sz w:val="22"/>
          <w:szCs w:val="22"/>
          <w:lang w:val="es-CO"/>
        </w:rPr>
        <w:t>2.2.1.2.2.1.3</w:t>
      </w:r>
      <w:r w:rsidR="000A524F" w:rsidRPr="00191A48">
        <w:rPr>
          <w:rFonts w:ascii="Verdana" w:eastAsia="Arial" w:hAnsi="Verdana" w:cs="Arial"/>
          <w:sz w:val="22"/>
          <w:szCs w:val="22"/>
          <w:lang w:val="es-ES"/>
        </w:rPr>
        <w:t xml:space="preserve"> </w:t>
      </w:r>
      <w:r w:rsidR="000A524F">
        <w:rPr>
          <w:rFonts w:ascii="Verdana" w:eastAsia="Arial" w:hAnsi="Verdana" w:cs="Arial"/>
          <w:sz w:val="22"/>
          <w:szCs w:val="22"/>
          <w:lang w:val="es-ES"/>
        </w:rPr>
        <w:t xml:space="preserve">del Decreto </w:t>
      </w:r>
      <w:r w:rsidR="000A524F" w:rsidRPr="00191A48">
        <w:rPr>
          <w:rFonts w:ascii="Verdana" w:eastAsia="Arial" w:hAnsi="Verdana" w:cs="Arial"/>
          <w:sz w:val="22"/>
          <w:szCs w:val="22"/>
          <w:lang w:val="es-ES"/>
        </w:rPr>
        <w:t>1082 de 2015</w:t>
      </w:r>
      <w:r w:rsidR="000A524F">
        <w:rPr>
          <w:rFonts w:ascii="Verdana" w:eastAsia="Arial" w:hAnsi="Verdana" w:cs="Arial"/>
          <w:sz w:val="22"/>
          <w:szCs w:val="22"/>
          <w:lang w:val="es-ES"/>
        </w:rPr>
        <w:t xml:space="preserve"> se refiere a las entidades del orden nacional, </w:t>
      </w:r>
      <w:r w:rsidR="004762D8">
        <w:rPr>
          <w:rFonts w:ascii="Verdana" w:eastAsia="Arial" w:hAnsi="Verdana" w:cs="Arial"/>
          <w:sz w:val="22"/>
          <w:szCs w:val="22"/>
          <w:lang w:val="es-ES"/>
        </w:rPr>
        <w:t xml:space="preserve">dicho supuesto no sería aplicable tratándose de entidades territoriales. </w:t>
      </w:r>
    </w:p>
    <w:p w14:paraId="0090A6A3" w14:textId="54AB7577" w:rsidR="00AB4BA0" w:rsidRDefault="00EC0481" w:rsidP="008B0634">
      <w:pPr>
        <w:pStyle w:val="Textonotapie"/>
        <w:spacing w:after="120" w:line="276" w:lineRule="auto"/>
        <w:ind w:firstLine="720"/>
        <w:jc w:val="both"/>
        <w:rPr>
          <w:rFonts w:ascii="Verdana" w:hAnsi="Verdana"/>
          <w:color w:val="333333"/>
          <w:sz w:val="22"/>
          <w:szCs w:val="22"/>
          <w:shd w:val="clear" w:color="auto" w:fill="FFFFFF"/>
        </w:rPr>
      </w:pPr>
      <w:r>
        <w:rPr>
          <w:rFonts w:ascii="Verdana" w:eastAsia="Arial" w:hAnsi="Verdana" w:cs="Arial"/>
          <w:sz w:val="22"/>
          <w:szCs w:val="22"/>
          <w:lang w:val="es-ES"/>
        </w:rPr>
        <w:t>Por su parte</w:t>
      </w:r>
      <w:r w:rsidR="00AB4BA0">
        <w:rPr>
          <w:rFonts w:ascii="Verdana" w:eastAsia="Arial" w:hAnsi="Verdana" w:cs="Arial"/>
          <w:sz w:val="22"/>
          <w:szCs w:val="22"/>
          <w:lang w:val="es-ES"/>
        </w:rPr>
        <w:t xml:space="preserve">, </w:t>
      </w:r>
      <w:bookmarkStart w:id="7" w:name="_Hlk186536804"/>
      <w:r w:rsidR="002D342D">
        <w:rPr>
          <w:rFonts w:ascii="Verdana" w:eastAsia="Arial" w:hAnsi="Verdana" w:cs="Arial"/>
          <w:sz w:val="22"/>
          <w:szCs w:val="22"/>
          <w:lang w:val="es-ES"/>
        </w:rPr>
        <w:t xml:space="preserve">la subsección 2 </w:t>
      </w:r>
      <w:bookmarkStart w:id="8" w:name="_Hlk186385112"/>
      <w:r w:rsidR="0025249C">
        <w:rPr>
          <w:rFonts w:ascii="Verdana" w:eastAsia="Arial" w:hAnsi="Verdana" w:cs="Arial"/>
          <w:sz w:val="22"/>
          <w:szCs w:val="22"/>
          <w:lang w:val="es-ES"/>
        </w:rPr>
        <w:t xml:space="preserve">de la sección 2 </w:t>
      </w:r>
      <w:r w:rsidR="00F71AE0">
        <w:rPr>
          <w:rFonts w:ascii="Verdana" w:eastAsia="Arial" w:hAnsi="Verdana" w:cs="Arial"/>
          <w:sz w:val="22"/>
          <w:szCs w:val="22"/>
          <w:lang w:val="es-ES"/>
        </w:rPr>
        <w:t xml:space="preserve">del capítulo II del </w:t>
      </w:r>
      <w:r w:rsidR="00F71AE0" w:rsidRPr="00191A48">
        <w:rPr>
          <w:rFonts w:ascii="Verdana" w:eastAsia="Arial" w:hAnsi="Verdana" w:cs="Arial"/>
          <w:sz w:val="22"/>
          <w:szCs w:val="22"/>
          <w:lang w:val="es-ES"/>
        </w:rPr>
        <w:t>Decreto 1082 de 2015</w:t>
      </w:r>
      <w:bookmarkEnd w:id="8"/>
      <w:r w:rsidR="00565698">
        <w:rPr>
          <w:rFonts w:ascii="Verdana" w:eastAsia="Arial" w:hAnsi="Verdana" w:cs="Arial"/>
          <w:sz w:val="22"/>
          <w:szCs w:val="22"/>
          <w:lang w:val="es-ES"/>
        </w:rPr>
        <w:t xml:space="preserve"> establece 3</w:t>
      </w:r>
      <w:r w:rsidR="00A851CE">
        <w:rPr>
          <w:rFonts w:ascii="Verdana" w:eastAsia="Arial" w:hAnsi="Verdana" w:cs="Arial"/>
          <w:sz w:val="22"/>
          <w:szCs w:val="22"/>
          <w:lang w:val="es-ES"/>
        </w:rPr>
        <w:t xml:space="preserve"> mecanismo</w:t>
      </w:r>
      <w:r w:rsidR="00A34466">
        <w:rPr>
          <w:rFonts w:ascii="Verdana" w:eastAsia="Arial" w:hAnsi="Verdana" w:cs="Arial"/>
          <w:sz w:val="22"/>
          <w:szCs w:val="22"/>
          <w:lang w:val="es-ES"/>
        </w:rPr>
        <w:t>s</w:t>
      </w:r>
      <w:r w:rsidR="00A851CE">
        <w:rPr>
          <w:rFonts w:ascii="Verdana" w:eastAsia="Arial" w:hAnsi="Verdana" w:cs="Arial"/>
          <w:sz w:val="22"/>
          <w:szCs w:val="22"/>
          <w:lang w:val="es-ES"/>
        </w:rPr>
        <w:t xml:space="preserve"> de enajenación</w:t>
      </w:r>
      <w:r w:rsidR="006B5938">
        <w:rPr>
          <w:rFonts w:ascii="Verdana" w:eastAsia="Arial" w:hAnsi="Verdana" w:cs="Arial"/>
          <w:sz w:val="22"/>
          <w:szCs w:val="22"/>
          <w:lang w:val="es-ES"/>
        </w:rPr>
        <w:t xml:space="preserve"> de los bienes del Estado</w:t>
      </w:r>
      <w:r w:rsidR="00565698">
        <w:rPr>
          <w:rFonts w:ascii="Verdana" w:eastAsia="Arial" w:hAnsi="Verdana" w:cs="Arial"/>
          <w:sz w:val="22"/>
          <w:szCs w:val="22"/>
          <w:lang w:val="es-ES"/>
        </w:rPr>
        <w:t xml:space="preserve">: </w:t>
      </w:r>
      <w:r w:rsidR="000975FA">
        <w:rPr>
          <w:rFonts w:ascii="Verdana" w:eastAsia="Arial" w:hAnsi="Verdana" w:cs="Arial"/>
          <w:sz w:val="22"/>
          <w:szCs w:val="22"/>
          <w:lang w:val="es-ES"/>
        </w:rPr>
        <w:t>i)</w:t>
      </w:r>
      <w:r w:rsidR="006B5938">
        <w:rPr>
          <w:rFonts w:ascii="Verdana" w:eastAsia="Arial" w:hAnsi="Verdana" w:cs="Arial"/>
          <w:sz w:val="22"/>
          <w:szCs w:val="22"/>
          <w:lang w:val="es-ES"/>
        </w:rPr>
        <w:t xml:space="preserve"> </w:t>
      </w:r>
      <w:r w:rsidR="000975FA">
        <w:rPr>
          <w:rFonts w:ascii="Verdana" w:eastAsia="Arial" w:hAnsi="Verdana" w:cs="Arial"/>
          <w:sz w:val="22"/>
          <w:szCs w:val="22"/>
          <w:lang w:val="es-ES"/>
        </w:rPr>
        <w:t xml:space="preserve">la </w:t>
      </w:r>
      <w:r w:rsidR="003F06B7">
        <w:rPr>
          <w:rFonts w:ascii="Verdana" w:eastAsia="Arial" w:hAnsi="Verdana" w:cs="Arial"/>
          <w:sz w:val="22"/>
          <w:szCs w:val="22"/>
          <w:lang w:val="es-ES"/>
        </w:rPr>
        <w:t>enajenación</w:t>
      </w:r>
      <w:r w:rsidR="000975FA">
        <w:rPr>
          <w:rFonts w:ascii="Verdana" w:eastAsia="Arial" w:hAnsi="Verdana" w:cs="Arial"/>
          <w:sz w:val="22"/>
          <w:szCs w:val="22"/>
          <w:lang w:val="es-ES"/>
        </w:rPr>
        <w:t xml:space="preserve"> directa por sobre cerrado</w:t>
      </w:r>
      <w:r w:rsidR="00005C08">
        <w:rPr>
          <w:rFonts w:ascii="Verdana" w:eastAsia="Arial" w:hAnsi="Verdana" w:cs="Arial"/>
          <w:sz w:val="22"/>
          <w:szCs w:val="22"/>
          <w:lang w:val="es-ES"/>
        </w:rPr>
        <w:t>, que se llevará a cabo</w:t>
      </w:r>
      <w:r w:rsidR="009C24EB">
        <w:rPr>
          <w:rFonts w:ascii="Verdana" w:eastAsia="Arial" w:hAnsi="Verdana" w:cs="Arial"/>
          <w:sz w:val="22"/>
          <w:szCs w:val="22"/>
          <w:lang w:val="es-ES"/>
        </w:rPr>
        <w:t xml:space="preserve"> </w:t>
      </w:r>
      <w:r w:rsidR="001E2531">
        <w:rPr>
          <w:rFonts w:ascii="Verdana" w:eastAsia="Arial" w:hAnsi="Verdana" w:cs="Arial"/>
          <w:sz w:val="22"/>
          <w:szCs w:val="22"/>
          <w:lang w:val="es-ES"/>
        </w:rPr>
        <w:t>mediante</w:t>
      </w:r>
      <w:r w:rsidR="009C24EB">
        <w:rPr>
          <w:rFonts w:ascii="Verdana" w:eastAsia="Arial" w:hAnsi="Verdana" w:cs="Arial"/>
          <w:sz w:val="22"/>
          <w:szCs w:val="22"/>
          <w:lang w:val="es-ES"/>
        </w:rPr>
        <w:t xml:space="preserve"> el procedimiento </w:t>
      </w:r>
      <w:r w:rsidR="00005C08">
        <w:rPr>
          <w:rFonts w:ascii="Verdana" w:eastAsia="Arial" w:hAnsi="Verdana" w:cs="Arial"/>
          <w:sz w:val="22"/>
          <w:szCs w:val="22"/>
          <w:lang w:val="es-ES"/>
        </w:rPr>
        <w:t>allí</w:t>
      </w:r>
      <w:r w:rsidR="009C24EB">
        <w:rPr>
          <w:rFonts w:ascii="Verdana" w:eastAsia="Arial" w:hAnsi="Verdana" w:cs="Arial"/>
          <w:sz w:val="22"/>
          <w:szCs w:val="22"/>
          <w:lang w:val="es-ES"/>
        </w:rPr>
        <w:t xml:space="preserve"> contemplado</w:t>
      </w:r>
      <w:r w:rsidR="00901459">
        <w:rPr>
          <w:rFonts w:ascii="Verdana" w:eastAsia="Arial" w:hAnsi="Verdana" w:cs="Arial"/>
          <w:sz w:val="22"/>
          <w:szCs w:val="22"/>
          <w:lang w:val="es-ES"/>
        </w:rPr>
        <w:t>,</w:t>
      </w:r>
      <w:r w:rsidR="000975FA">
        <w:rPr>
          <w:rFonts w:ascii="Verdana" w:eastAsia="Arial" w:hAnsi="Verdana" w:cs="Arial"/>
          <w:sz w:val="22"/>
          <w:szCs w:val="22"/>
          <w:lang w:val="es-ES"/>
        </w:rPr>
        <w:t xml:space="preserve"> </w:t>
      </w:r>
      <w:proofErr w:type="spellStart"/>
      <w:r w:rsidR="000975FA">
        <w:rPr>
          <w:rFonts w:ascii="Verdana" w:eastAsia="Arial" w:hAnsi="Verdana" w:cs="Arial"/>
          <w:sz w:val="22"/>
          <w:szCs w:val="22"/>
          <w:lang w:val="es-ES"/>
        </w:rPr>
        <w:t>ii</w:t>
      </w:r>
      <w:proofErr w:type="spellEnd"/>
      <w:r w:rsidR="000975FA">
        <w:rPr>
          <w:rFonts w:ascii="Verdana" w:eastAsia="Arial" w:hAnsi="Verdana" w:cs="Arial"/>
          <w:sz w:val="22"/>
          <w:szCs w:val="22"/>
          <w:lang w:val="es-ES"/>
        </w:rPr>
        <w:t>)</w:t>
      </w:r>
      <w:r w:rsidR="00DF2040">
        <w:rPr>
          <w:rFonts w:ascii="Verdana" w:eastAsia="Arial" w:hAnsi="Verdana" w:cs="Arial"/>
          <w:sz w:val="22"/>
          <w:szCs w:val="22"/>
          <w:lang w:val="es-ES"/>
        </w:rPr>
        <w:t xml:space="preserve"> la enaje</w:t>
      </w:r>
      <w:r w:rsidR="009D654F">
        <w:rPr>
          <w:rFonts w:ascii="Verdana" w:eastAsia="Arial" w:hAnsi="Verdana" w:cs="Arial"/>
          <w:sz w:val="22"/>
          <w:szCs w:val="22"/>
          <w:lang w:val="es-ES"/>
        </w:rPr>
        <w:t xml:space="preserve">nación directa a través de subasta pública, </w:t>
      </w:r>
      <w:r w:rsidR="009C24EB">
        <w:rPr>
          <w:rFonts w:ascii="Verdana" w:eastAsia="Arial" w:hAnsi="Verdana" w:cs="Arial"/>
          <w:sz w:val="22"/>
          <w:szCs w:val="22"/>
          <w:lang w:val="es-ES"/>
        </w:rPr>
        <w:t xml:space="preserve">para lo cual la entidad deberá </w:t>
      </w:r>
      <w:r w:rsidR="009C24EB" w:rsidRPr="009C24EB">
        <w:rPr>
          <w:rFonts w:ascii="Verdana" w:eastAsia="Arial" w:hAnsi="Verdana" w:cs="Arial"/>
          <w:sz w:val="22"/>
          <w:szCs w:val="22"/>
          <w:lang w:val="es-CO"/>
        </w:rPr>
        <w:t xml:space="preserve">seguir el procedimiento establecido en el artículo 2.2.1.2.1.2.2 </w:t>
      </w:r>
      <w:r w:rsidR="00957DD6">
        <w:rPr>
          <w:rFonts w:ascii="Verdana" w:eastAsia="Arial" w:hAnsi="Verdana" w:cs="Arial"/>
          <w:sz w:val="22"/>
          <w:szCs w:val="22"/>
          <w:lang w:val="es-CO"/>
        </w:rPr>
        <w:t xml:space="preserve">del Decreto 1082 de 2015 </w:t>
      </w:r>
      <w:r w:rsidR="009C24EB">
        <w:rPr>
          <w:rFonts w:ascii="Verdana" w:eastAsia="Arial" w:hAnsi="Verdana" w:cs="Arial"/>
          <w:sz w:val="22"/>
          <w:szCs w:val="22"/>
          <w:lang w:val="es-CO"/>
        </w:rPr>
        <w:t>sobre subasta inversa</w:t>
      </w:r>
      <w:r w:rsidR="006B5938">
        <w:rPr>
          <w:rFonts w:ascii="Verdana" w:eastAsia="Arial" w:hAnsi="Verdana" w:cs="Arial"/>
          <w:sz w:val="22"/>
          <w:szCs w:val="22"/>
          <w:lang w:val="es-CO"/>
        </w:rPr>
        <w:t>,</w:t>
      </w:r>
      <w:r w:rsidR="009C24EB">
        <w:rPr>
          <w:rFonts w:ascii="Verdana" w:eastAsia="Arial" w:hAnsi="Verdana" w:cs="Arial"/>
          <w:sz w:val="22"/>
          <w:szCs w:val="22"/>
          <w:lang w:val="es-CO"/>
        </w:rPr>
        <w:t xml:space="preserve"> pero </w:t>
      </w:r>
      <w:r w:rsidR="009C24EB" w:rsidRPr="009C24EB">
        <w:rPr>
          <w:rFonts w:ascii="Verdana" w:eastAsia="Arial" w:hAnsi="Verdana" w:cs="Arial"/>
          <w:sz w:val="22"/>
          <w:szCs w:val="22"/>
          <w:lang w:val="es-CO"/>
        </w:rPr>
        <w:t xml:space="preserve">teniendo en cuenta que el bien debe ser adjudicado al oferente que haya ofrecido el mayor valor a pagar por los bienes objeto de enajenación y en consecuencia, el </w:t>
      </w:r>
      <w:r w:rsidR="00005C08">
        <w:rPr>
          <w:rFonts w:ascii="Verdana" w:eastAsia="Arial" w:hAnsi="Verdana" w:cs="Arial"/>
          <w:sz w:val="22"/>
          <w:szCs w:val="22"/>
          <w:lang w:val="es-CO"/>
        </w:rPr>
        <w:t>m</w:t>
      </w:r>
      <w:r w:rsidR="009C24EB" w:rsidRPr="009C24EB">
        <w:rPr>
          <w:rFonts w:ascii="Verdana" w:eastAsia="Arial" w:hAnsi="Verdana" w:cs="Arial"/>
          <w:sz w:val="22"/>
          <w:szCs w:val="22"/>
          <w:lang w:val="es-CO"/>
        </w:rPr>
        <w:t xml:space="preserve">argen </w:t>
      </w:r>
      <w:r w:rsidR="00005C08">
        <w:rPr>
          <w:rFonts w:ascii="Verdana" w:eastAsia="Arial" w:hAnsi="Verdana" w:cs="Arial"/>
          <w:sz w:val="22"/>
          <w:szCs w:val="22"/>
          <w:lang w:val="es-CO"/>
        </w:rPr>
        <w:t>m</w:t>
      </w:r>
      <w:r w:rsidR="009C24EB" w:rsidRPr="009C24EB">
        <w:rPr>
          <w:rFonts w:ascii="Verdana" w:eastAsia="Arial" w:hAnsi="Verdana" w:cs="Arial"/>
          <w:sz w:val="22"/>
          <w:szCs w:val="22"/>
          <w:lang w:val="es-CO"/>
        </w:rPr>
        <w:t>ínimo debe ser al alza</w:t>
      </w:r>
      <w:r w:rsidR="00005C08">
        <w:rPr>
          <w:rFonts w:ascii="Verdana" w:eastAsia="Arial" w:hAnsi="Verdana" w:cs="Arial"/>
          <w:sz w:val="22"/>
          <w:szCs w:val="22"/>
          <w:lang w:val="es-CO"/>
        </w:rPr>
        <w:t xml:space="preserve">, y </w:t>
      </w:r>
      <w:proofErr w:type="spellStart"/>
      <w:r w:rsidR="00005C08">
        <w:rPr>
          <w:rFonts w:ascii="Verdana" w:eastAsia="Arial" w:hAnsi="Verdana" w:cs="Arial"/>
          <w:sz w:val="22"/>
          <w:szCs w:val="22"/>
          <w:lang w:val="es-CO"/>
        </w:rPr>
        <w:t>iii</w:t>
      </w:r>
      <w:proofErr w:type="spellEnd"/>
      <w:r w:rsidR="00005C08">
        <w:rPr>
          <w:rFonts w:ascii="Verdana" w:eastAsia="Arial" w:hAnsi="Verdana" w:cs="Arial"/>
          <w:sz w:val="22"/>
          <w:szCs w:val="22"/>
          <w:lang w:val="es-CO"/>
        </w:rPr>
        <w:t>)</w:t>
      </w:r>
      <w:r w:rsidR="00901459">
        <w:rPr>
          <w:rFonts w:ascii="Verdana" w:eastAsia="Arial" w:hAnsi="Verdana" w:cs="Arial"/>
          <w:sz w:val="22"/>
          <w:szCs w:val="22"/>
          <w:lang w:val="es-CO"/>
        </w:rPr>
        <w:t xml:space="preserve"> la enajenación a través de intermediarios idóneos, </w:t>
      </w:r>
      <w:r w:rsidR="008F4E95">
        <w:rPr>
          <w:rFonts w:ascii="Verdana" w:eastAsia="Arial" w:hAnsi="Verdana" w:cs="Arial"/>
          <w:sz w:val="22"/>
          <w:szCs w:val="22"/>
          <w:lang w:val="es-CO"/>
        </w:rPr>
        <w:t>en cuyo caso</w:t>
      </w:r>
      <w:r w:rsidR="00005C08">
        <w:rPr>
          <w:rFonts w:ascii="Verdana" w:eastAsia="Arial" w:hAnsi="Verdana" w:cs="Arial"/>
          <w:sz w:val="22"/>
          <w:szCs w:val="22"/>
          <w:lang w:val="es-CO"/>
        </w:rPr>
        <w:t xml:space="preserve"> </w:t>
      </w:r>
      <w:r w:rsidR="008F4E95">
        <w:rPr>
          <w:rFonts w:ascii="Verdana" w:hAnsi="Verdana"/>
          <w:color w:val="333333"/>
          <w:sz w:val="22"/>
          <w:szCs w:val="22"/>
          <w:shd w:val="clear" w:color="auto" w:fill="FFFFFF"/>
        </w:rPr>
        <w:t>l</w:t>
      </w:r>
      <w:r w:rsidR="008F4E95" w:rsidRPr="008F4E95">
        <w:rPr>
          <w:rFonts w:ascii="Verdana" w:hAnsi="Verdana"/>
          <w:color w:val="333333"/>
          <w:sz w:val="22"/>
          <w:szCs w:val="22"/>
          <w:shd w:val="clear" w:color="auto" w:fill="FFFFFF"/>
        </w:rPr>
        <w:t>a venta debe realizarse a través de subasta pública, o mediante el mecanismo de derecho privado que se convenga con el intermediario.</w:t>
      </w:r>
      <w:r w:rsidR="00576795">
        <w:rPr>
          <w:rFonts w:ascii="Verdana" w:hAnsi="Verdana"/>
          <w:color w:val="333333"/>
          <w:sz w:val="22"/>
          <w:szCs w:val="22"/>
          <w:shd w:val="clear" w:color="auto" w:fill="FFFFFF"/>
        </w:rPr>
        <w:t xml:space="preserve"> </w:t>
      </w:r>
    </w:p>
    <w:bookmarkEnd w:id="7"/>
    <w:p w14:paraId="3BCCB96E" w14:textId="7565D5FA" w:rsidR="00957DD6" w:rsidRDefault="00123DA7" w:rsidP="00797DDE">
      <w:pPr>
        <w:pStyle w:val="Textonotapie"/>
        <w:spacing w:after="120" w:line="276" w:lineRule="auto"/>
        <w:ind w:firstLine="720"/>
        <w:jc w:val="both"/>
        <w:rPr>
          <w:rFonts w:ascii="Verdana" w:hAnsi="Verdana"/>
          <w:color w:val="333333"/>
          <w:sz w:val="22"/>
          <w:szCs w:val="22"/>
          <w:shd w:val="clear" w:color="auto" w:fill="FFFFFF"/>
          <w:lang w:val="es-CO"/>
        </w:rPr>
      </w:pPr>
      <w:r>
        <w:rPr>
          <w:rFonts w:ascii="Verdana" w:hAnsi="Verdana"/>
          <w:color w:val="333333"/>
          <w:sz w:val="22"/>
          <w:szCs w:val="22"/>
          <w:shd w:val="clear" w:color="auto" w:fill="FFFFFF"/>
        </w:rPr>
        <w:t>Ahora bien, l</w:t>
      </w:r>
      <w:r w:rsidRPr="00123DA7">
        <w:rPr>
          <w:rFonts w:ascii="Verdana" w:hAnsi="Verdana"/>
          <w:color w:val="333333"/>
          <w:sz w:val="22"/>
          <w:szCs w:val="22"/>
          <w:shd w:val="clear" w:color="auto" w:fill="FFFFFF"/>
        </w:rPr>
        <w:t>as reglas que deben tener en cuenta las Entidades Estatales</w:t>
      </w:r>
      <w:r w:rsidR="00216B06">
        <w:rPr>
          <w:rFonts w:ascii="Verdana" w:hAnsi="Verdana"/>
          <w:color w:val="333333"/>
          <w:sz w:val="22"/>
          <w:szCs w:val="22"/>
          <w:shd w:val="clear" w:color="auto" w:fill="FFFFFF"/>
        </w:rPr>
        <w:t xml:space="preserve"> </w:t>
      </w:r>
      <w:r w:rsidR="00797DDE">
        <w:rPr>
          <w:rFonts w:ascii="Verdana" w:hAnsi="Verdana"/>
          <w:color w:val="333333"/>
          <w:sz w:val="22"/>
          <w:szCs w:val="22"/>
          <w:shd w:val="clear" w:color="auto" w:fill="FFFFFF"/>
        </w:rPr>
        <w:t xml:space="preserve">varían dependiendo </w:t>
      </w:r>
      <w:r w:rsidRPr="00123DA7">
        <w:rPr>
          <w:rFonts w:ascii="Verdana" w:hAnsi="Verdana"/>
          <w:color w:val="333333"/>
          <w:sz w:val="22"/>
          <w:szCs w:val="22"/>
          <w:shd w:val="clear" w:color="auto" w:fill="FFFFFF"/>
        </w:rPr>
        <w:t>si los bienes sobre los cuales requiere realizar la enajenación son muebles o inmuebles</w:t>
      </w:r>
      <w:r w:rsidR="00AA1298">
        <w:rPr>
          <w:rFonts w:ascii="Verdana" w:hAnsi="Verdana"/>
          <w:color w:val="333333"/>
          <w:sz w:val="22"/>
          <w:szCs w:val="22"/>
          <w:shd w:val="clear" w:color="auto" w:fill="FFFFFF"/>
        </w:rPr>
        <w:t>. De esta manera, l</w:t>
      </w:r>
      <w:r w:rsidR="00957DD6">
        <w:rPr>
          <w:rFonts w:ascii="Verdana" w:hAnsi="Verdana"/>
          <w:color w:val="333333"/>
          <w:sz w:val="22"/>
          <w:szCs w:val="22"/>
          <w:shd w:val="clear" w:color="auto" w:fill="FFFFFF"/>
        </w:rPr>
        <w:t>a subsección 3</w:t>
      </w:r>
      <w:r w:rsidR="004A476F" w:rsidRPr="004A476F">
        <w:rPr>
          <w:rFonts w:ascii="Verdana" w:eastAsia="Arial" w:hAnsi="Verdana" w:cs="Arial"/>
          <w:sz w:val="22"/>
          <w:szCs w:val="22"/>
          <w:lang w:val="es-ES"/>
        </w:rPr>
        <w:t xml:space="preserve"> </w:t>
      </w:r>
      <w:r w:rsidR="004A476F">
        <w:rPr>
          <w:rFonts w:ascii="Verdana" w:eastAsia="Arial" w:hAnsi="Verdana" w:cs="Arial"/>
          <w:sz w:val="22"/>
          <w:szCs w:val="22"/>
          <w:lang w:val="es-ES"/>
        </w:rPr>
        <w:t xml:space="preserve">de la sección 2 del capítulo II del </w:t>
      </w:r>
      <w:r w:rsidR="004A476F" w:rsidRPr="00191A48">
        <w:rPr>
          <w:rFonts w:ascii="Verdana" w:eastAsia="Arial" w:hAnsi="Verdana" w:cs="Arial"/>
          <w:sz w:val="22"/>
          <w:szCs w:val="22"/>
          <w:lang w:val="es-ES"/>
        </w:rPr>
        <w:t>Decreto 1082 de 2015</w:t>
      </w:r>
      <w:r w:rsidR="00957DD6">
        <w:rPr>
          <w:rFonts w:ascii="Verdana" w:hAnsi="Verdana"/>
          <w:color w:val="333333"/>
          <w:sz w:val="22"/>
          <w:szCs w:val="22"/>
          <w:shd w:val="clear" w:color="auto" w:fill="FFFFFF"/>
        </w:rPr>
        <w:t xml:space="preserve"> </w:t>
      </w:r>
      <w:r w:rsidR="00D82669">
        <w:rPr>
          <w:rFonts w:ascii="Verdana" w:hAnsi="Verdana"/>
          <w:color w:val="333333"/>
          <w:sz w:val="22"/>
          <w:szCs w:val="22"/>
          <w:shd w:val="clear" w:color="auto" w:fill="FFFFFF"/>
        </w:rPr>
        <w:t xml:space="preserve">se refiere </w:t>
      </w:r>
      <w:r w:rsidR="00957DD6">
        <w:rPr>
          <w:rFonts w:ascii="Verdana" w:hAnsi="Verdana"/>
          <w:color w:val="333333"/>
          <w:sz w:val="22"/>
          <w:szCs w:val="22"/>
          <w:shd w:val="clear" w:color="auto" w:fill="FFFFFF"/>
        </w:rPr>
        <w:t xml:space="preserve">a los bienes </w:t>
      </w:r>
      <w:r w:rsidR="000F0493">
        <w:rPr>
          <w:rFonts w:ascii="Verdana" w:hAnsi="Verdana"/>
          <w:color w:val="333333"/>
          <w:sz w:val="22"/>
          <w:szCs w:val="22"/>
          <w:shd w:val="clear" w:color="auto" w:fill="FFFFFF"/>
        </w:rPr>
        <w:t xml:space="preserve">inmuebles </w:t>
      </w:r>
      <w:r w:rsidR="00571CF1">
        <w:rPr>
          <w:rFonts w:ascii="Verdana" w:hAnsi="Verdana"/>
          <w:color w:val="333333"/>
          <w:sz w:val="22"/>
          <w:szCs w:val="22"/>
          <w:shd w:val="clear" w:color="auto" w:fill="FFFFFF"/>
        </w:rPr>
        <w:t>y establece</w:t>
      </w:r>
      <w:r w:rsidR="000D4455">
        <w:rPr>
          <w:rFonts w:ascii="Verdana" w:hAnsi="Verdana"/>
          <w:color w:val="333333"/>
          <w:sz w:val="22"/>
          <w:szCs w:val="22"/>
          <w:shd w:val="clear" w:color="auto" w:fill="FFFFFF"/>
        </w:rPr>
        <w:t xml:space="preserve"> </w:t>
      </w:r>
      <w:r w:rsidR="00E94196">
        <w:rPr>
          <w:rFonts w:ascii="Verdana" w:hAnsi="Verdana"/>
          <w:color w:val="333333"/>
          <w:sz w:val="22"/>
          <w:szCs w:val="22"/>
          <w:shd w:val="clear" w:color="auto" w:fill="FFFFFF"/>
        </w:rPr>
        <w:t>varios</w:t>
      </w:r>
      <w:r w:rsidR="0085789E">
        <w:rPr>
          <w:rFonts w:ascii="Verdana" w:hAnsi="Verdana"/>
          <w:color w:val="333333"/>
          <w:sz w:val="22"/>
          <w:szCs w:val="22"/>
          <w:shd w:val="clear" w:color="auto" w:fill="FFFFFF"/>
        </w:rPr>
        <w:t xml:space="preserve"> aspectos</w:t>
      </w:r>
      <w:r w:rsidR="00D531F4">
        <w:rPr>
          <w:rFonts w:ascii="Verdana" w:hAnsi="Verdana"/>
          <w:color w:val="333333"/>
          <w:sz w:val="22"/>
          <w:szCs w:val="22"/>
          <w:shd w:val="clear" w:color="auto" w:fill="FFFFFF"/>
        </w:rPr>
        <w:t xml:space="preserve"> </w:t>
      </w:r>
      <w:r w:rsidR="00A01DF9">
        <w:rPr>
          <w:rFonts w:ascii="Verdana" w:hAnsi="Verdana"/>
          <w:color w:val="333333"/>
          <w:sz w:val="22"/>
          <w:szCs w:val="22"/>
          <w:shd w:val="clear" w:color="auto" w:fill="FFFFFF"/>
        </w:rPr>
        <w:t>que se deberán realizar en estos casos</w:t>
      </w:r>
      <w:r w:rsidR="007C7FD8">
        <w:rPr>
          <w:rFonts w:ascii="Verdana" w:hAnsi="Verdana"/>
          <w:color w:val="333333"/>
          <w:sz w:val="22"/>
          <w:szCs w:val="22"/>
          <w:shd w:val="clear" w:color="auto" w:fill="FFFFFF"/>
        </w:rPr>
        <w:t>: i</w:t>
      </w:r>
      <w:r w:rsidR="00516518">
        <w:rPr>
          <w:rFonts w:ascii="Verdana" w:hAnsi="Verdana"/>
          <w:color w:val="333333"/>
          <w:sz w:val="22"/>
          <w:szCs w:val="22"/>
          <w:shd w:val="clear" w:color="auto" w:fill="FFFFFF"/>
        </w:rPr>
        <w:t>)</w:t>
      </w:r>
      <w:r w:rsidR="00ED654B" w:rsidRPr="00ED654B">
        <w:rPr>
          <w:rStyle w:val="nfasis"/>
          <w:rFonts w:ascii="Verdana" w:hAnsi="Verdana"/>
          <w:i w:val="0"/>
          <w:iCs w:val="0"/>
          <w:color w:val="333333"/>
          <w:sz w:val="22"/>
          <w:szCs w:val="22"/>
          <w:shd w:val="clear" w:color="auto" w:fill="FFFFFF"/>
        </w:rPr>
        <w:t xml:space="preserve"> avaluar el bien objeto de enajenación</w:t>
      </w:r>
      <w:r w:rsidR="00CA34D4">
        <w:rPr>
          <w:rStyle w:val="nfasis"/>
          <w:rFonts w:ascii="Verdana" w:hAnsi="Verdana"/>
          <w:i w:val="0"/>
          <w:iCs w:val="0"/>
          <w:color w:val="333333"/>
          <w:sz w:val="22"/>
          <w:szCs w:val="22"/>
          <w:shd w:val="clear" w:color="auto" w:fill="FFFFFF"/>
        </w:rPr>
        <w:t>, el cual puede</w:t>
      </w:r>
      <w:r w:rsidR="00CA34D4" w:rsidRPr="00CA34D4">
        <w:rPr>
          <w:rFonts w:ascii="Work Sans" w:hAnsi="Work Sans"/>
          <w:color w:val="333333"/>
          <w:sz w:val="25"/>
          <w:szCs w:val="25"/>
          <w:shd w:val="clear" w:color="auto" w:fill="FFFFFF"/>
          <w:lang w:val="es-CO"/>
        </w:rPr>
        <w:t xml:space="preserve"> </w:t>
      </w:r>
      <w:r w:rsidR="00CA34D4" w:rsidRPr="00CA34D4">
        <w:rPr>
          <w:rFonts w:ascii="Verdana" w:hAnsi="Verdana"/>
          <w:color w:val="333333"/>
          <w:sz w:val="22"/>
          <w:szCs w:val="22"/>
          <w:shd w:val="clear" w:color="auto" w:fill="FFFFFF"/>
          <w:lang w:val="es-CO"/>
        </w:rPr>
        <w:t xml:space="preserve">estar a cargo del Instituto Geográfico Agustín Codazzi o de una persona especializada inscrita en el Registro Nacional de </w:t>
      </w:r>
      <w:proofErr w:type="spellStart"/>
      <w:r w:rsidR="00CA34D4" w:rsidRPr="00CA34D4">
        <w:rPr>
          <w:rFonts w:ascii="Verdana" w:hAnsi="Verdana"/>
          <w:color w:val="333333"/>
          <w:sz w:val="22"/>
          <w:szCs w:val="22"/>
          <w:shd w:val="clear" w:color="auto" w:fill="FFFFFF"/>
          <w:lang w:val="es-CO"/>
        </w:rPr>
        <w:t>Avaluadores</w:t>
      </w:r>
      <w:proofErr w:type="spellEnd"/>
      <w:r w:rsidR="00CA34D4" w:rsidRPr="00CA34D4">
        <w:rPr>
          <w:rFonts w:ascii="Verdana" w:hAnsi="Verdana"/>
          <w:color w:val="333333"/>
          <w:sz w:val="22"/>
          <w:szCs w:val="22"/>
          <w:shd w:val="clear" w:color="auto" w:fill="FFFFFF"/>
          <w:lang w:val="es-CO"/>
        </w:rPr>
        <w:t xml:space="preserve"> que lleva la Superintendencia de Industria y Comercio</w:t>
      </w:r>
      <w:r w:rsidR="00DD0B24">
        <w:rPr>
          <w:rFonts w:ascii="Verdana" w:hAnsi="Verdana"/>
          <w:color w:val="333333"/>
          <w:sz w:val="22"/>
          <w:szCs w:val="22"/>
          <w:shd w:val="clear" w:color="auto" w:fill="FFFFFF"/>
        </w:rPr>
        <w:t xml:space="preserve">; </w:t>
      </w:r>
      <w:proofErr w:type="spellStart"/>
      <w:r w:rsidR="00DD0B24">
        <w:rPr>
          <w:rFonts w:ascii="Verdana" w:hAnsi="Verdana"/>
          <w:color w:val="333333"/>
          <w:sz w:val="22"/>
          <w:szCs w:val="22"/>
          <w:shd w:val="clear" w:color="auto" w:fill="FFFFFF"/>
        </w:rPr>
        <w:t>ii</w:t>
      </w:r>
      <w:proofErr w:type="spellEnd"/>
      <w:r w:rsidR="00DD0B24">
        <w:rPr>
          <w:rFonts w:ascii="Verdana" w:hAnsi="Verdana"/>
          <w:color w:val="333333"/>
          <w:sz w:val="22"/>
          <w:szCs w:val="22"/>
          <w:shd w:val="clear" w:color="auto" w:fill="FFFFFF"/>
        </w:rPr>
        <w:t xml:space="preserve">) </w:t>
      </w:r>
      <w:r w:rsidR="0079677E">
        <w:rPr>
          <w:rStyle w:val="nfasis"/>
          <w:rFonts w:ascii="Verdana" w:hAnsi="Verdana"/>
          <w:i w:val="0"/>
          <w:iCs w:val="0"/>
          <w:color w:val="333333"/>
          <w:sz w:val="22"/>
          <w:szCs w:val="22"/>
          <w:shd w:val="clear" w:color="auto" w:fill="FFFFFF"/>
        </w:rPr>
        <w:t>establecer el precio mínimo de venta con base en la</w:t>
      </w:r>
      <w:r w:rsidR="00052C00">
        <w:rPr>
          <w:rStyle w:val="nfasis"/>
          <w:rFonts w:ascii="Verdana" w:hAnsi="Verdana"/>
          <w:i w:val="0"/>
          <w:iCs w:val="0"/>
          <w:color w:val="333333"/>
          <w:sz w:val="22"/>
          <w:szCs w:val="22"/>
          <w:shd w:val="clear" w:color="auto" w:fill="FFFFFF"/>
        </w:rPr>
        <w:t>s</w:t>
      </w:r>
      <w:r w:rsidR="00835F55">
        <w:rPr>
          <w:rStyle w:val="nfasis"/>
          <w:rFonts w:ascii="Verdana" w:hAnsi="Verdana"/>
          <w:i w:val="0"/>
          <w:iCs w:val="0"/>
          <w:color w:val="333333"/>
          <w:sz w:val="22"/>
          <w:szCs w:val="22"/>
          <w:shd w:val="clear" w:color="auto" w:fill="FFFFFF"/>
        </w:rPr>
        <w:t xml:space="preserve"> variables </w:t>
      </w:r>
      <w:r w:rsidR="00052C00">
        <w:rPr>
          <w:rStyle w:val="nfasis"/>
          <w:rFonts w:ascii="Verdana" w:hAnsi="Verdana"/>
          <w:i w:val="0"/>
          <w:iCs w:val="0"/>
          <w:color w:val="333333"/>
          <w:sz w:val="22"/>
          <w:szCs w:val="22"/>
          <w:shd w:val="clear" w:color="auto" w:fill="FFFFFF"/>
        </w:rPr>
        <w:t xml:space="preserve">señaladas en el artículo </w:t>
      </w:r>
      <w:r w:rsidR="00D85093" w:rsidRPr="00D85093">
        <w:rPr>
          <w:rFonts w:ascii="Verdana" w:hAnsi="Verdana"/>
          <w:color w:val="333333"/>
          <w:sz w:val="22"/>
          <w:szCs w:val="22"/>
          <w:shd w:val="clear" w:color="auto" w:fill="FFFFFF"/>
          <w:lang w:val="es-CO"/>
        </w:rPr>
        <w:t>2.2.1.2.2.3.2</w:t>
      </w:r>
      <w:r w:rsidR="00516518">
        <w:rPr>
          <w:rFonts w:ascii="Verdana" w:hAnsi="Verdana"/>
          <w:color w:val="333333"/>
          <w:sz w:val="22"/>
          <w:szCs w:val="22"/>
          <w:shd w:val="clear" w:color="auto" w:fill="FFFFFF"/>
          <w:lang w:val="es-CO"/>
        </w:rPr>
        <w:t xml:space="preserve"> del Decreto 10</w:t>
      </w:r>
      <w:r w:rsidR="00CA34D4">
        <w:rPr>
          <w:rFonts w:ascii="Verdana" w:hAnsi="Verdana"/>
          <w:color w:val="333333"/>
          <w:sz w:val="22"/>
          <w:szCs w:val="22"/>
          <w:shd w:val="clear" w:color="auto" w:fill="FFFFFF"/>
          <w:lang w:val="es-CO"/>
        </w:rPr>
        <w:t>82 de 2015</w:t>
      </w:r>
      <w:r w:rsidR="00EE04A9">
        <w:rPr>
          <w:rFonts w:ascii="Verdana" w:hAnsi="Verdana"/>
          <w:color w:val="333333"/>
          <w:sz w:val="22"/>
          <w:szCs w:val="22"/>
          <w:shd w:val="clear" w:color="auto" w:fill="FFFFFF"/>
          <w:lang w:val="es-CO"/>
        </w:rPr>
        <w:t xml:space="preserve">; </w:t>
      </w:r>
      <w:proofErr w:type="spellStart"/>
      <w:r w:rsidR="00EE04A9">
        <w:rPr>
          <w:rFonts w:ascii="Verdana" w:hAnsi="Verdana"/>
          <w:color w:val="333333"/>
          <w:sz w:val="22"/>
          <w:szCs w:val="22"/>
          <w:shd w:val="clear" w:color="auto" w:fill="FFFFFF"/>
          <w:lang w:val="es-CO"/>
        </w:rPr>
        <w:t>iii</w:t>
      </w:r>
      <w:proofErr w:type="spellEnd"/>
      <w:r w:rsidR="00EE04A9">
        <w:rPr>
          <w:rFonts w:ascii="Verdana" w:hAnsi="Verdana"/>
          <w:color w:val="333333"/>
          <w:sz w:val="22"/>
          <w:szCs w:val="22"/>
          <w:shd w:val="clear" w:color="auto" w:fill="FFFFFF"/>
          <w:lang w:val="es-CO"/>
        </w:rPr>
        <w:t>) l</w:t>
      </w:r>
      <w:r w:rsidR="00EE04A9" w:rsidRPr="00EE04A9">
        <w:rPr>
          <w:rFonts w:ascii="Verdana" w:hAnsi="Verdana"/>
          <w:color w:val="333333"/>
          <w:sz w:val="22"/>
          <w:szCs w:val="22"/>
          <w:shd w:val="clear" w:color="auto" w:fill="FFFFFF"/>
          <w:lang w:val="es-CO"/>
        </w:rPr>
        <w:t>a escritura pública debe otorgarse en la notaría de reparto correspondiente, dentro de los cuarenta y cinco (45) días calendario siguientes a la fecha en la cual el adjudicatario acredite el pago total del precio de venta</w:t>
      </w:r>
      <w:r w:rsidR="000A5EFB">
        <w:rPr>
          <w:rFonts w:ascii="Verdana" w:hAnsi="Verdana"/>
          <w:color w:val="333333"/>
          <w:sz w:val="22"/>
          <w:szCs w:val="22"/>
          <w:shd w:val="clear" w:color="auto" w:fill="FFFFFF"/>
          <w:lang w:val="es-CO"/>
        </w:rPr>
        <w:t xml:space="preserve">; </w:t>
      </w:r>
      <w:proofErr w:type="spellStart"/>
      <w:r w:rsidR="000A5EFB">
        <w:rPr>
          <w:rFonts w:ascii="Verdana" w:hAnsi="Verdana"/>
          <w:color w:val="333333"/>
          <w:sz w:val="22"/>
          <w:szCs w:val="22"/>
          <w:shd w:val="clear" w:color="auto" w:fill="FFFFFF"/>
          <w:lang w:val="es-CO"/>
        </w:rPr>
        <w:t>iv</w:t>
      </w:r>
      <w:proofErr w:type="spellEnd"/>
      <w:r w:rsidR="000A5EFB">
        <w:rPr>
          <w:rFonts w:ascii="Verdana" w:hAnsi="Verdana"/>
          <w:color w:val="333333"/>
          <w:sz w:val="22"/>
          <w:szCs w:val="22"/>
          <w:shd w:val="clear" w:color="auto" w:fill="FFFFFF"/>
          <w:lang w:val="es-CO"/>
        </w:rPr>
        <w:t xml:space="preserve">) </w:t>
      </w:r>
      <w:r w:rsidR="00A41E90" w:rsidRPr="00A41E90">
        <w:rPr>
          <w:rFonts w:ascii="Verdana" w:hAnsi="Verdana"/>
          <w:color w:val="333333"/>
          <w:sz w:val="22"/>
          <w:szCs w:val="22"/>
          <w:shd w:val="clear" w:color="auto" w:fill="FFFFFF"/>
          <w:lang w:val="es-CO"/>
        </w:rPr>
        <w:t>Los derechos notariales, los gastos de fotocopias, autenticaciones y los impuestos de venta y registro se liquidarán y pagarán de conformidad con las normas legales vigentes sobre la materia</w:t>
      </w:r>
      <w:r w:rsidR="00E77394">
        <w:rPr>
          <w:rFonts w:ascii="Verdana" w:hAnsi="Verdana"/>
          <w:color w:val="333333"/>
          <w:sz w:val="22"/>
          <w:szCs w:val="22"/>
          <w:shd w:val="clear" w:color="auto" w:fill="FFFFFF"/>
          <w:lang w:val="es-CO"/>
        </w:rPr>
        <w:t xml:space="preserve">, y v) </w:t>
      </w:r>
      <w:r w:rsidR="00C13CD0" w:rsidRPr="00C13CD0">
        <w:rPr>
          <w:rFonts w:ascii="Verdana" w:hAnsi="Verdana"/>
          <w:color w:val="333333"/>
          <w:sz w:val="22"/>
          <w:szCs w:val="22"/>
          <w:shd w:val="clear" w:color="auto" w:fill="FFFFFF"/>
          <w:lang w:val="es-CO"/>
        </w:rPr>
        <w:t> </w:t>
      </w:r>
      <w:r w:rsidR="00C13CD0">
        <w:rPr>
          <w:rFonts w:ascii="Verdana" w:hAnsi="Verdana"/>
          <w:color w:val="333333"/>
          <w:sz w:val="22"/>
          <w:szCs w:val="22"/>
          <w:shd w:val="clear" w:color="auto" w:fill="FFFFFF"/>
          <w:lang w:val="es-CO"/>
        </w:rPr>
        <w:t>se</w:t>
      </w:r>
      <w:r w:rsidR="00C13CD0" w:rsidRPr="00C13CD0">
        <w:rPr>
          <w:rFonts w:ascii="Verdana" w:hAnsi="Verdana"/>
          <w:color w:val="333333"/>
          <w:sz w:val="22"/>
          <w:szCs w:val="22"/>
          <w:shd w:val="clear" w:color="auto" w:fill="FFFFFF"/>
          <w:lang w:val="es-CO"/>
        </w:rPr>
        <w:t xml:space="preserve"> debe entregar el inmueble dentro de los treinta (30) días calendario siguientes a la fecha del registro, previa presentación del certificado de tradición </w:t>
      </w:r>
      <w:r w:rsidR="00C13CD0" w:rsidRPr="00C13CD0">
        <w:rPr>
          <w:rFonts w:ascii="Verdana" w:hAnsi="Verdana"/>
          <w:color w:val="333333"/>
          <w:sz w:val="22"/>
          <w:szCs w:val="22"/>
          <w:shd w:val="clear" w:color="auto" w:fill="FFFFFF"/>
          <w:lang w:val="es-CO"/>
        </w:rPr>
        <w:lastRenderedPageBreak/>
        <w:t>y libertad en el que conste la inscripción de la escritura pública de venta del inmueble.</w:t>
      </w:r>
    </w:p>
    <w:p w14:paraId="71FBBC44" w14:textId="5ECECB95" w:rsidR="009566A2" w:rsidRDefault="00B25BC1" w:rsidP="00797DDE">
      <w:pPr>
        <w:pStyle w:val="Textonotapie"/>
        <w:spacing w:after="120" w:line="276" w:lineRule="auto"/>
        <w:ind w:firstLine="720"/>
        <w:jc w:val="both"/>
        <w:rPr>
          <w:rFonts w:ascii="Verdana" w:hAnsi="Verdana"/>
          <w:color w:val="333333"/>
          <w:sz w:val="22"/>
          <w:szCs w:val="22"/>
          <w:shd w:val="clear" w:color="auto" w:fill="FFFFFF"/>
          <w:lang w:val="es-CO"/>
        </w:rPr>
      </w:pPr>
      <w:r>
        <w:rPr>
          <w:rFonts w:ascii="Verdana" w:hAnsi="Verdana"/>
          <w:color w:val="333333"/>
          <w:sz w:val="22"/>
          <w:szCs w:val="22"/>
          <w:shd w:val="clear" w:color="auto" w:fill="FFFFFF"/>
          <w:lang w:val="es-CO"/>
        </w:rPr>
        <w:t xml:space="preserve">Por otro lado, la subsección 4 establece las reglas aplicables a la enajenación de los bienes muebles que comprenden </w:t>
      </w:r>
      <w:r w:rsidR="005B7007">
        <w:rPr>
          <w:rFonts w:ascii="Verdana" w:hAnsi="Verdana"/>
          <w:color w:val="333333"/>
          <w:sz w:val="22"/>
          <w:szCs w:val="22"/>
          <w:shd w:val="clear" w:color="auto" w:fill="FFFFFF"/>
          <w:lang w:val="es-CO"/>
        </w:rPr>
        <w:t>la determinación de un precio mínimo de venta</w:t>
      </w:r>
      <w:r w:rsidR="006F0A6E">
        <w:rPr>
          <w:rFonts w:ascii="Verdana" w:hAnsi="Verdana"/>
          <w:color w:val="333333"/>
          <w:sz w:val="22"/>
          <w:szCs w:val="22"/>
          <w:shd w:val="clear" w:color="auto" w:fill="FFFFFF"/>
          <w:lang w:val="es-CO"/>
        </w:rPr>
        <w:t xml:space="preserve"> de bienes sujetos a registro y lo que no se encuentra sujetos. </w:t>
      </w:r>
      <w:r w:rsidR="00C41AB7">
        <w:rPr>
          <w:rFonts w:ascii="Verdana" w:hAnsi="Verdana"/>
          <w:color w:val="333333"/>
          <w:sz w:val="22"/>
          <w:szCs w:val="22"/>
          <w:shd w:val="clear" w:color="auto" w:fill="FFFFFF"/>
          <w:lang w:val="es-CO"/>
        </w:rPr>
        <w:t xml:space="preserve">Asimismo, señala </w:t>
      </w:r>
      <w:r w:rsidR="00F43881">
        <w:rPr>
          <w:rFonts w:ascii="Verdana" w:hAnsi="Verdana"/>
          <w:color w:val="333333"/>
          <w:sz w:val="22"/>
          <w:szCs w:val="22"/>
          <w:shd w:val="clear" w:color="auto" w:fill="FFFFFF"/>
          <w:lang w:val="es-CO"/>
        </w:rPr>
        <w:t xml:space="preserve">las reglas sobre la </w:t>
      </w:r>
      <w:r w:rsidR="008863A9">
        <w:rPr>
          <w:rFonts w:ascii="Verdana" w:hAnsi="Verdana"/>
          <w:color w:val="333333"/>
          <w:sz w:val="22"/>
          <w:szCs w:val="22"/>
          <w:shd w:val="clear" w:color="auto" w:fill="FFFFFF"/>
          <w:lang w:val="es-CO"/>
        </w:rPr>
        <w:t>enajenación</w:t>
      </w:r>
      <w:r w:rsidR="00F43881">
        <w:rPr>
          <w:rFonts w:ascii="Verdana" w:hAnsi="Verdana"/>
          <w:color w:val="333333"/>
          <w:sz w:val="22"/>
          <w:szCs w:val="22"/>
          <w:shd w:val="clear" w:color="auto" w:fill="FFFFFF"/>
          <w:lang w:val="es-CO"/>
        </w:rPr>
        <w:t xml:space="preserve"> de bienes muebles a </w:t>
      </w:r>
      <w:proofErr w:type="spellStart"/>
      <w:r w:rsidR="00F43881">
        <w:rPr>
          <w:rFonts w:ascii="Verdana" w:hAnsi="Verdana"/>
          <w:color w:val="333333"/>
          <w:sz w:val="22"/>
          <w:szCs w:val="22"/>
          <w:shd w:val="clear" w:color="auto" w:fill="FFFFFF"/>
          <w:lang w:val="es-CO"/>
        </w:rPr>
        <w:t>titulo</w:t>
      </w:r>
      <w:proofErr w:type="spellEnd"/>
      <w:r w:rsidR="00F43881">
        <w:rPr>
          <w:rFonts w:ascii="Verdana" w:hAnsi="Verdana"/>
          <w:color w:val="333333"/>
          <w:sz w:val="22"/>
          <w:szCs w:val="22"/>
          <w:shd w:val="clear" w:color="auto" w:fill="FFFFFF"/>
          <w:lang w:val="es-CO"/>
        </w:rPr>
        <w:t xml:space="preserve"> gratuito entre entidades estatales y la enajenación de otros bienes como</w:t>
      </w:r>
      <w:r w:rsidR="007721C7">
        <w:rPr>
          <w:rFonts w:ascii="Verdana" w:hAnsi="Verdana"/>
          <w:color w:val="333333"/>
          <w:sz w:val="22"/>
          <w:szCs w:val="22"/>
          <w:shd w:val="clear" w:color="auto" w:fill="FFFFFF"/>
          <w:lang w:val="es-CO"/>
        </w:rPr>
        <w:t xml:space="preserve"> cartera, cuentas por cobrar</w:t>
      </w:r>
      <w:r w:rsidR="008863A9">
        <w:rPr>
          <w:rFonts w:ascii="Verdana" w:hAnsi="Verdana"/>
          <w:color w:val="333333"/>
          <w:sz w:val="22"/>
          <w:szCs w:val="22"/>
          <w:shd w:val="clear" w:color="auto" w:fill="FFFFFF"/>
          <w:lang w:val="es-CO"/>
        </w:rPr>
        <w:t xml:space="preserve"> y </w:t>
      </w:r>
      <w:r w:rsidR="007721C7">
        <w:rPr>
          <w:rFonts w:ascii="Verdana" w:hAnsi="Verdana"/>
          <w:color w:val="333333"/>
          <w:sz w:val="22"/>
          <w:szCs w:val="22"/>
          <w:shd w:val="clear" w:color="auto" w:fill="FFFFFF"/>
          <w:lang w:val="es-CO"/>
        </w:rPr>
        <w:t>fideicomisos de cartera</w:t>
      </w:r>
      <w:r w:rsidR="008863A9">
        <w:rPr>
          <w:rFonts w:ascii="Verdana" w:hAnsi="Verdana"/>
          <w:color w:val="333333"/>
          <w:sz w:val="22"/>
          <w:szCs w:val="22"/>
          <w:shd w:val="clear" w:color="auto" w:fill="FFFFFF"/>
          <w:lang w:val="es-CO"/>
        </w:rPr>
        <w:t>.</w:t>
      </w:r>
    </w:p>
    <w:p w14:paraId="3EE32AA3" w14:textId="35C936C5" w:rsidR="00B25BC1" w:rsidRPr="0027765A" w:rsidRDefault="009566A2" w:rsidP="00D03934">
      <w:pPr>
        <w:spacing w:after="120" w:line="276" w:lineRule="auto"/>
        <w:ind w:firstLine="708"/>
        <w:jc w:val="both"/>
        <w:rPr>
          <w:rStyle w:val="nfasis"/>
          <w:rFonts w:ascii="Verdana" w:eastAsia="Arial MT" w:hAnsi="Verdana" w:cs="Arial"/>
          <w:i w:val="0"/>
          <w:iCs w:val="0"/>
          <w:lang w:eastAsia="es-ES" w:bidi="es-ES"/>
        </w:rPr>
      </w:pPr>
      <w:r>
        <w:rPr>
          <w:rFonts w:ascii="Verdana" w:hAnsi="Verdana"/>
          <w:color w:val="333333"/>
          <w:shd w:val="clear" w:color="auto" w:fill="FFFFFF"/>
        </w:rPr>
        <w:t>Así las cosas,</w:t>
      </w:r>
      <w:r w:rsidR="004A476F">
        <w:rPr>
          <w:rFonts w:ascii="Verdana" w:hAnsi="Verdana"/>
          <w:color w:val="333333"/>
          <w:shd w:val="clear" w:color="auto" w:fill="FFFFFF"/>
        </w:rPr>
        <w:t xml:space="preserve"> </w:t>
      </w:r>
      <w:r w:rsidR="00B20334">
        <w:rPr>
          <w:rFonts w:ascii="Verdana" w:hAnsi="Verdana"/>
          <w:color w:val="333333"/>
          <w:shd w:val="clear" w:color="auto" w:fill="FFFFFF"/>
        </w:rPr>
        <w:t>e</w:t>
      </w:r>
      <w:r w:rsidR="00343FC4" w:rsidRPr="00343FC4">
        <w:rPr>
          <w:rFonts w:ascii="Verdana" w:hAnsi="Verdana"/>
          <w:color w:val="333333"/>
          <w:shd w:val="clear" w:color="auto" w:fill="FFFFFF"/>
        </w:rPr>
        <w:t xml:space="preserve">l Decreto 1082 de 2015 reglamentó los mecanismos que pueden utilizar las entidades públicas para la enajenación de </w:t>
      </w:r>
      <w:r w:rsidR="00962510">
        <w:rPr>
          <w:rFonts w:ascii="Verdana" w:hAnsi="Verdana"/>
          <w:color w:val="333333"/>
          <w:shd w:val="clear" w:color="auto" w:fill="FFFFFF"/>
        </w:rPr>
        <w:t xml:space="preserve">sus </w:t>
      </w:r>
      <w:r w:rsidR="00343FC4" w:rsidRPr="00343FC4">
        <w:rPr>
          <w:rFonts w:ascii="Verdana" w:hAnsi="Verdana"/>
          <w:color w:val="333333"/>
          <w:shd w:val="clear" w:color="auto" w:fill="FFFFFF"/>
        </w:rPr>
        <w:t xml:space="preserve">bienes, tanto muebles como inmuebles. </w:t>
      </w:r>
      <w:r w:rsidR="00962510">
        <w:rPr>
          <w:rFonts w:ascii="Verdana" w:hAnsi="Verdana"/>
          <w:color w:val="333333"/>
          <w:shd w:val="clear" w:color="auto" w:fill="FFFFFF"/>
        </w:rPr>
        <w:t>En tal sentido,</w:t>
      </w:r>
      <w:r w:rsidR="0027765A" w:rsidRPr="0027765A">
        <w:rPr>
          <w:rFonts w:ascii="Verdana" w:hAnsi="Verdana" w:cs="Arial"/>
          <w:lang w:val="es-ES_tradnl" w:eastAsia="es-ES_tradnl"/>
        </w:rPr>
        <w:t xml:space="preserve"> </w:t>
      </w:r>
      <w:r w:rsidR="0027765A">
        <w:rPr>
          <w:rFonts w:ascii="Verdana" w:hAnsi="Verdana" w:cs="Arial"/>
          <w:lang w:val="es-ES_tradnl" w:eastAsia="es-ES_tradnl"/>
        </w:rPr>
        <w:t>se advierte que</w:t>
      </w:r>
      <w:r w:rsidR="0027765A">
        <w:rPr>
          <w:rFonts w:ascii="Verdana" w:eastAsia="Arial MT" w:hAnsi="Verdana" w:cs="Arial"/>
          <w:lang w:eastAsia="es-ES" w:bidi="es-ES"/>
        </w:rPr>
        <w:t xml:space="preserve"> será la entidad estatal contratante la llamada a establecer con precisión</w:t>
      </w:r>
      <w:r w:rsidR="00962510">
        <w:rPr>
          <w:rFonts w:ascii="Verdana" w:hAnsi="Verdana"/>
          <w:color w:val="333333"/>
          <w:shd w:val="clear" w:color="auto" w:fill="FFFFFF"/>
        </w:rPr>
        <w:t xml:space="preserve"> </w:t>
      </w:r>
      <w:r w:rsidR="00343FC4" w:rsidRPr="00343FC4">
        <w:rPr>
          <w:rFonts w:ascii="Verdana" w:hAnsi="Verdana"/>
          <w:color w:val="333333"/>
          <w:shd w:val="clear" w:color="auto" w:fill="FFFFFF"/>
        </w:rPr>
        <w:t>el mecanismo idóneo para la enajenación de sus bienes, teniendo en cuenta sus necesidades específicas</w:t>
      </w:r>
      <w:r w:rsidR="00B20334">
        <w:rPr>
          <w:rFonts w:ascii="Verdana" w:hAnsi="Verdana"/>
          <w:color w:val="333333"/>
          <w:shd w:val="clear" w:color="auto" w:fill="FFFFFF"/>
        </w:rPr>
        <w:t>,</w:t>
      </w:r>
      <w:r w:rsidR="006C6A61">
        <w:rPr>
          <w:rFonts w:ascii="Verdana" w:hAnsi="Verdana"/>
          <w:color w:val="333333"/>
          <w:shd w:val="clear" w:color="auto" w:fill="FFFFFF"/>
        </w:rPr>
        <w:t xml:space="preserve"> los p</w:t>
      </w:r>
      <w:r w:rsidR="00EA3ECD" w:rsidRPr="00EA3ECD">
        <w:rPr>
          <w:rFonts w:ascii="Verdana" w:hAnsi="Verdana"/>
          <w:color w:val="333333"/>
          <w:shd w:val="clear" w:color="auto" w:fill="FFFFFF"/>
        </w:rPr>
        <w:t>rocedimiento</w:t>
      </w:r>
      <w:r w:rsidR="00D5357D">
        <w:rPr>
          <w:rFonts w:ascii="Verdana" w:hAnsi="Verdana"/>
          <w:color w:val="333333"/>
          <w:shd w:val="clear" w:color="auto" w:fill="FFFFFF"/>
        </w:rPr>
        <w:t>s señalados</w:t>
      </w:r>
      <w:r w:rsidR="00EA3ECD" w:rsidRPr="00EA3ECD">
        <w:rPr>
          <w:rFonts w:ascii="Verdana" w:hAnsi="Verdana"/>
          <w:color w:val="333333"/>
          <w:shd w:val="clear" w:color="auto" w:fill="FFFFFF"/>
        </w:rPr>
        <w:t xml:space="preserve"> y </w:t>
      </w:r>
      <w:r w:rsidR="003B57F9">
        <w:rPr>
          <w:rFonts w:ascii="Verdana" w:hAnsi="Verdana"/>
          <w:color w:val="333333"/>
          <w:shd w:val="clear" w:color="auto" w:fill="FFFFFF"/>
        </w:rPr>
        <w:t xml:space="preserve">las reglas sobre </w:t>
      </w:r>
      <w:r w:rsidR="00EA3ECD" w:rsidRPr="00EA3ECD">
        <w:rPr>
          <w:rFonts w:ascii="Verdana" w:hAnsi="Verdana"/>
          <w:color w:val="333333"/>
          <w:shd w:val="clear" w:color="auto" w:fill="FFFFFF"/>
        </w:rPr>
        <w:t xml:space="preserve">los bienes muebles </w:t>
      </w:r>
      <w:r w:rsidR="0056672C">
        <w:rPr>
          <w:rFonts w:ascii="Verdana" w:hAnsi="Verdana"/>
          <w:color w:val="333333"/>
          <w:shd w:val="clear" w:color="auto" w:fill="FFFFFF"/>
        </w:rPr>
        <w:t>e</w:t>
      </w:r>
      <w:r w:rsidR="00EA3ECD" w:rsidRPr="00EA3ECD">
        <w:rPr>
          <w:rFonts w:ascii="Verdana" w:hAnsi="Verdana"/>
          <w:color w:val="333333"/>
          <w:shd w:val="clear" w:color="auto" w:fill="FFFFFF"/>
        </w:rPr>
        <w:t xml:space="preserve"> inmuebles</w:t>
      </w:r>
      <w:r w:rsidR="00F05612">
        <w:rPr>
          <w:rFonts w:ascii="Verdana" w:hAnsi="Verdana"/>
          <w:color w:val="333333"/>
          <w:shd w:val="clear" w:color="auto" w:fill="FFFFFF"/>
        </w:rPr>
        <w:t xml:space="preserve"> aplicables según</w:t>
      </w:r>
      <w:r w:rsidR="005D3A00">
        <w:rPr>
          <w:rFonts w:ascii="Verdana" w:hAnsi="Verdana"/>
          <w:color w:val="333333"/>
          <w:shd w:val="clear" w:color="auto" w:fill="FFFFFF"/>
        </w:rPr>
        <w:t xml:space="preserve"> sea</w:t>
      </w:r>
      <w:r w:rsidR="00F05612">
        <w:rPr>
          <w:rFonts w:ascii="Verdana" w:hAnsi="Verdana"/>
          <w:color w:val="333333"/>
          <w:shd w:val="clear" w:color="auto" w:fill="FFFFFF"/>
        </w:rPr>
        <w:t xml:space="preserve"> el caso.</w:t>
      </w:r>
      <w:r w:rsidR="0052647F" w:rsidRPr="0052647F">
        <w:rPr>
          <w:rFonts w:ascii="Verdana" w:hAnsi="Verdana" w:cs="Arial"/>
          <w:lang w:val="es-ES_tradnl" w:eastAsia="es-ES_tradnl"/>
        </w:rPr>
        <w:t xml:space="preserve"> </w:t>
      </w:r>
    </w:p>
    <w:p w14:paraId="3E8F0AE9" w14:textId="7C06DC1E" w:rsidR="005432A9" w:rsidRPr="005432A9" w:rsidRDefault="00EC65D5" w:rsidP="00D03934">
      <w:pPr>
        <w:spacing w:after="120" w:line="276" w:lineRule="auto"/>
        <w:ind w:firstLine="709"/>
        <w:jc w:val="both"/>
        <w:rPr>
          <w:rFonts w:ascii="Verdana" w:eastAsia="Calibri" w:hAnsi="Verdana" w:cs="Arial"/>
          <w:lang w:val="es-ES"/>
        </w:rPr>
      </w:pPr>
      <w:r>
        <w:rPr>
          <w:rFonts w:ascii="Verdana" w:eastAsia="Calibri" w:hAnsi="Verdana" w:cs="Arial"/>
          <w:lang w:val="es-ES"/>
        </w:rPr>
        <w:t>Finalmente, se precisa que</w:t>
      </w:r>
      <w:r w:rsidR="00284793">
        <w:rPr>
          <w:rFonts w:ascii="Verdana" w:eastAsia="Calibri" w:hAnsi="Verdana" w:cs="Arial"/>
          <w:lang w:val="es-ES"/>
        </w:rPr>
        <w:t xml:space="preserve"> debido a que</w:t>
      </w:r>
      <w:r>
        <w:rPr>
          <w:rFonts w:ascii="Verdana" w:eastAsia="Calibri" w:hAnsi="Verdana" w:cs="Arial"/>
          <w:lang w:val="es-ES"/>
        </w:rPr>
        <w:t xml:space="preserve"> l</w:t>
      </w:r>
      <w:r w:rsidR="005432A9" w:rsidRPr="005432A9">
        <w:rPr>
          <w:rFonts w:ascii="Verdana" w:eastAsia="Calibri" w:hAnsi="Verdana" w:cs="Arial"/>
          <w:lang w:val="es-ES"/>
        </w:rPr>
        <w:t xml:space="preserve">a </w:t>
      </w:r>
      <w:r w:rsidR="00195B81">
        <w:rPr>
          <w:rFonts w:ascii="Verdana" w:eastAsia="Calibri" w:hAnsi="Verdana" w:cs="Arial"/>
          <w:lang w:val="es-ES"/>
        </w:rPr>
        <w:t xml:space="preserve">enajenación </w:t>
      </w:r>
      <w:r w:rsidR="005432A9" w:rsidRPr="005432A9">
        <w:rPr>
          <w:rFonts w:ascii="Verdana" w:eastAsia="Calibri" w:hAnsi="Verdana" w:cs="Arial"/>
          <w:lang w:val="es-ES"/>
        </w:rPr>
        <w:t xml:space="preserve">de bienes </w:t>
      </w:r>
      <w:r>
        <w:rPr>
          <w:rFonts w:ascii="Verdana" w:eastAsia="Calibri" w:hAnsi="Verdana" w:cs="Arial"/>
          <w:lang w:val="es-ES"/>
        </w:rPr>
        <w:t xml:space="preserve">de </w:t>
      </w:r>
      <w:r w:rsidR="005432A9" w:rsidRPr="005432A9">
        <w:rPr>
          <w:rFonts w:ascii="Verdana" w:eastAsia="Calibri" w:hAnsi="Verdana" w:cs="Arial"/>
          <w:lang w:val="es-ES"/>
        </w:rPr>
        <w:t>entidades estatales se realiza por medio de la modalidad de selección abreviada</w:t>
      </w:r>
      <w:r w:rsidR="00B01ADF">
        <w:rPr>
          <w:rFonts w:ascii="Verdana" w:eastAsia="Calibri" w:hAnsi="Verdana" w:cs="Arial"/>
          <w:lang w:val="es-ES"/>
        </w:rPr>
        <w:t>,</w:t>
      </w:r>
      <w:r w:rsidR="005432A9" w:rsidRPr="005432A9">
        <w:rPr>
          <w:rFonts w:ascii="Verdana" w:eastAsia="Calibri" w:hAnsi="Verdana" w:cs="Arial"/>
          <w:lang w:val="es-ES"/>
        </w:rPr>
        <w:t xml:space="preserve"> </w:t>
      </w:r>
      <w:r w:rsidR="00B01ADF">
        <w:rPr>
          <w:rFonts w:ascii="Verdana" w:eastAsia="Calibri" w:hAnsi="Verdana" w:cs="Arial"/>
          <w:lang w:val="es-ES"/>
        </w:rPr>
        <w:t>e</w:t>
      </w:r>
      <w:r w:rsidR="005432A9" w:rsidRPr="005432A9">
        <w:rPr>
          <w:rFonts w:ascii="Verdana" w:eastAsia="Calibri" w:hAnsi="Verdana" w:cs="Arial"/>
          <w:lang w:val="es-ES"/>
        </w:rPr>
        <w:t xml:space="preserve">n el SECOP II </w:t>
      </w:r>
      <w:r w:rsidR="00297ECA">
        <w:rPr>
          <w:rFonts w:ascii="Verdana" w:eastAsia="Calibri" w:hAnsi="Verdana" w:cs="Arial"/>
          <w:lang w:val="es-ES"/>
        </w:rPr>
        <w:t xml:space="preserve">se deberá publicar </w:t>
      </w:r>
      <w:r w:rsidR="00C55CA3">
        <w:rPr>
          <w:rFonts w:ascii="Verdana" w:eastAsia="Calibri" w:hAnsi="Verdana" w:cs="Arial"/>
          <w:lang w:val="es-ES"/>
        </w:rPr>
        <w:t>el procedimiento en esta</w:t>
      </w:r>
      <w:r w:rsidR="00530F6D">
        <w:rPr>
          <w:rFonts w:ascii="Verdana" w:eastAsia="Calibri" w:hAnsi="Verdana" w:cs="Arial"/>
          <w:lang w:val="es-ES"/>
        </w:rPr>
        <w:t xml:space="preserve"> sección de acuerdo con el mecanismo de</w:t>
      </w:r>
      <w:r w:rsidR="00413248">
        <w:rPr>
          <w:rFonts w:ascii="Verdana" w:eastAsia="Calibri" w:hAnsi="Verdana" w:cs="Arial"/>
          <w:lang w:val="es-ES"/>
        </w:rPr>
        <w:t xml:space="preserve"> enajenación determinado por la entidad y según </w:t>
      </w:r>
      <w:r w:rsidR="001703DE">
        <w:rPr>
          <w:rFonts w:ascii="Verdana" w:eastAsia="Calibri" w:hAnsi="Verdana" w:cs="Arial"/>
          <w:lang w:val="es-ES"/>
        </w:rPr>
        <w:t xml:space="preserve">los lineamientos </w:t>
      </w:r>
      <w:r w:rsidR="009325C3">
        <w:rPr>
          <w:rFonts w:ascii="Verdana" w:eastAsia="Calibri" w:hAnsi="Verdana" w:cs="Arial"/>
          <w:lang w:val="es-ES"/>
        </w:rPr>
        <w:t xml:space="preserve">señados en </w:t>
      </w:r>
      <w:r w:rsidR="001703DE">
        <w:rPr>
          <w:rFonts w:ascii="Verdana" w:eastAsia="Calibri" w:hAnsi="Verdana" w:cs="Arial"/>
          <w:lang w:val="es-ES"/>
        </w:rPr>
        <w:t xml:space="preserve">las </w:t>
      </w:r>
      <w:r w:rsidR="009325C3">
        <w:rPr>
          <w:rFonts w:ascii="Verdana" w:eastAsia="Calibri" w:hAnsi="Verdana" w:cs="Arial"/>
          <w:lang w:val="es-ES"/>
        </w:rPr>
        <w:t>G</w:t>
      </w:r>
      <w:r w:rsidR="001703DE">
        <w:rPr>
          <w:rFonts w:ascii="Verdana" w:eastAsia="Calibri" w:hAnsi="Verdana" w:cs="Arial"/>
          <w:lang w:val="es-ES"/>
        </w:rPr>
        <w:t>uías para el uso del SECOP II expedidas por la ANCP – CCE</w:t>
      </w:r>
      <w:r w:rsidR="009325C3">
        <w:rPr>
          <w:rFonts w:ascii="Verdana" w:eastAsia="Calibri" w:hAnsi="Verdana" w:cs="Arial"/>
          <w:lang w:val="es-ES"/>
        </w:rPr>
        <w:t>.</w:t>
      </w:r>
    </w:p>
    <w:p w14:paraId="5732945E" w14:textId="77777777" w:rsidR="001B47A4" w:rsidRPr="00545857" w:rsidRDefault="001B47A4" w:rsidP="001B47A4">
      <w:pPr>
        <w:spacing w:after="0" w:line="276" w:lineRule="auto"/>
        <w:jc w:val="both"/>
        <w:rPr>
          <w:rFonts w:ascii="Verdana" w:eastAsia="Calibri" w:hAnsi="Verdana" w:cs="Arial"/>
          <w:lang w:val="es-ES"/>
        </w:rPr>
      </w:pPr>
    </w:p>
    <w:p w14:paraId="450B1F84" w14:textId="3CEA7915" w:rsidR="00CD2E70" w:rsidRPr="00545857" w:rsidRDefault="00CD2E70" w:rsidP="00CD2E70">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545857">
        <w:rPr>
          <w:rFonts w:ascii="Verdana" w:eastAsia="Century Gothic" w:hAnsi="Verdana" w:cs="Century Gothic"/>
          <w:b/>
          <w:bCs/>
          <w:sz w:val="22"/>
          <w:lang w:val="es-ES"/>
        </w:rPr>
        <w:t>Referencia</w:t>
      </w:r>
      <w:r w:rsidR="00CE37A3" w:rsidRPr="00545857">
        <w:rPr>
          <w:rFonts w:ascii="Verdana" w:eastAsia="Century Gothic" w:hAnsi="Verdana" w:cs="Century Gothic"/>
          <w:b/>
          <w:bCs/>
          <w:sz w:val="22"/>
          <w:lang w:val="es-ES"/>
        </w:rPr>
        <w:t>s</w:t>
      </w:r>
      <w:r w:rsidRPr="00545857">
        <w:rPr>
          <w:rFonts w:ascii="Verdana" w:eastAsia="Century Gothic" w:hAnsi="Verdana" w:cs="Century Gothic"/>
          <w:b/>
          <w:bCs/>
          <w:sz w:val="22"/>
          <w:lang w:val="es-ES"/>
        </w:rPr>
        <w:t xml:space="preserve"> normativa</w:t>
      </w:r>
      <w:r w:rsidR="00CE37A3" w:rsidRPr="00545857">
        <w:rPr>
          <w:rFonts w:ascii="Verdana" w:eastAsia="Century Gothic" w:hAnsi="Verdana" w:cs="Century Gothic"/>
          <w:b/>
          <w:bCs/>
          <w:sz w:val="22"/>
          <w:lang w:val="es-ES"/>
        </w:rPr>
        <w:t>s</w:t>
      </w:r>
      <w:r w:rsidR="00097CA2">
        <w:rPr>
          <w:rFonts w:ascii="Verdana" w:eastAsia="Century Gothic" w:hAnsi="Verdana" w:cs="Century Gothic"/>
          <w:b/>
          <w:bCs/>
          <w:sz w:val="22"/>
          <w:lang w:val="es-ES"/>
        </w:rPr>
        <w:t xml:space="preserve"> y jurisprudenciales</w:t>
      </w:r>
      <w:r w:rsidRPr="00545857">
        <w:rPr>
          <w:rFonts w:ascii="Verdana" w:eastAsia="Century Gothic" w:hAnsi="Verdana" w:cs="Century Gothic"/>
          <w:b/>
          <w:bCs/>
          <w:sz w:val="22"/>
          <w:lang w:val="es-ES"/>
        </w:rPr>
        <w:t>:</w:t>
      </w:r>
    </w:p>
    <w:p w14:paraId="61D4F996" w14:textId="1A993A87" w:rsidR="00CD2E70" w:rsidRPr="00545857" w:rsidRDefault="00CD2E70" w:rsidP="00E84D1C">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2407CE" w:rsidRPr="00545857" w14:paraId="28F1D869" w14:textId="77777777" w:rsidTr="006E429F">
        <w:trPr>
          <w:trHeight w:val="870"/>
          <w:jc w:val="center"/>
        </w:trPr>
        <w:tc>
          <w:tcPr>
            <w:tcW w:w="8647" w:type="dxa"/>
          </w:tcPr>
          <w:p w14:paraId="2A6F6889" w14:textId="2FADE260" w:rsidR="00CB4923" w:rsidRPr="007A1C46" w:rsidRDefault="00CB4923" w:rsidP="00CB4923">
            <w:pPr>
              <w:pStyle w:val="Prrafodelista"/>
              <w:widowControl w:val="0"/>
              <w:numPr>
                <w:ilvl w:val="0"/>
                <w:numId w:val="7"/>
              </w:numPr>
              <w:autoSpaceDE w:val="0"/>
              <w:autoSpaceDN w:val="0"/>
              <w:spacing w:line="276" w:lineRule="auto"/>
              <w:jc w:val="both"/>
              <w:rPr>
                <w:rFonts w:ascii="Verdana" w:hAnsi="Verdana" w:cs="Arial"/>
                <w:sz w:val="22"/>
              </w:rPr>
            </w:pPr>
            <w:r w:rsidRPr="00545857">
              <w:rPr>
                <w:rFonts w:ascii="Verdana" w:hAnsi="Verdana" w:cs="Arial"/>
                <w:sz w:val="22"/>
              </w:rPr>
              <w:t>Ley 1150 de 2007.</w:t>
            </w:r>
            <w:r w:rsidR="00063727">
              <w:rPr>
                <w:rFonts w:ascii="Verdana" w:hAnsi="Verdana" w:cs="Arial"/>
                <w:sz w:val="22"/>
              </w:rPr>
              <w:t xml:space="preserve"> </w:t>
            </w:r>
            <w:r w:rsidR="00063727" w:rsidRPr="00191A48">
              <w:rPr>
                <w:rFonts w:ascii="Verdana" w:eastAsia="Arial" w:hAnsi="Verdana" w:cs="Arial"/>
                <w:sz w:val="22"/>
                <w:lang w:val="es-ES"/>
              </w:rPr>
              <w:t xml:space="preserve">literal e) del numeral 2 del artículo 2 </w:t>
            </w:r>
          </w:p>
          <w:p w14:paraId="15DD0845" w14:textId="3ED7F8A2" w:rsidR="007A1C46" w:rsidRPr="00412F2D" w:rsidRDefault="007A1C46" w:rsidP="007A1C46">
            <w:pPr>
              <w:pStyle w:val="Prrafodelista"/>
              <w:widowControl w:val="0"/>
              <w:numPr>
                <w:ilvl w:val="0"/>
                <w:numId w:val="7"/>
              </w:numPr>
              <w:autoSpaceDE w:val="0"/>
              <w:autoSpaceDN w:val="0"/>
              <w:spacing w:line="276" w:lineRule="auto"/>
              <w:jc w:val="both"/>
              <w:rPr>
                <w:rFonts w:ascii="Verdana" w:hAnsi="Verdana" w:cs="Arial"/>
                <w:sz w:val="22"/>
              </w:rPr>
            </w:pPr>
            <w:r w:rsidRPr="00412F2D">
              <w:rPr>
                <w:rFonts w:ascii="Verdana" w:eastAsia="Arial" w:hAnsi="Verdana" w:cs="Arial"/>
                <w:sz w:val="22"/>
                <w:lang w:val="es-ES"/>
              </w:rPr>
              <w:t xml:space="preserve">Decreto 1082 de 2015. Artículos 2.2.1.2.2.1.1 y </w:t>
            </w:r>
            <w:proofErr w:type="spellStart"/>
            <w:r w:rsidRPr="00412F2D">
              <w:rPr>
                <w:rFonts w:ascii="Verdana" w:eastAsia="Arial" w:hAnsi="Verdana" w:cs="Arial"/>
                <w:sz w:val="22"/>
                <w:lang w:val="es-ES"/>
              </w:rPr>
              <w:t>ss</w:t>
            </w:r>
            <w:proofErr w:type="spellEnd"/>
          </w:p>
          <w:p w14:paraId="6C79BBC1" w14:textId="6F1B0522" w:rsidR="00097CA2" w:rsidRPr="00097CA2" w:rsidRDefault="00097CA2" w:rsidP="00097CA2">
            <w:pPr>
              <w:pStyle w:val="Prrafodelista"/>
              <w:widowControl w:val="0"/>
              <w:numPr>
                <w:ilvl w:val="0"/>
                <w:numId w:val="7"/>
              </w:numPr>
              <w:autoSpaceDE w:val="0"/>
              <w:autoSpaceDN w:val="0"/>
              <w:spacing w:line="276" w:lineRule="auto"/>
              <w:jc w:val="both"/>
              <w:rPr>
                <w:rFonts w:ascii="Verdana" w:hAnsi="Verdana" w:cs="Arial"/>
                <w:sz w:val="22"/>
              </w:rPr>
            </w:pPr>
            <w:r w:rsidRPr="00097CA2">
              <w:rPr>
                <w:rFonts w:ascii="Verdana" w:hAnsi="Verdana" w:cs="Arial"/>
                <w:sz w:val="22"/>
              </w:rPr>
              <w:t xml:space="preserve">Consejo de Estado. Sala de lo Contencioso Administrativo. Sección Tercera. Sentencia del 30 de abril de 2012. Expediente 21.699. C.P. Ruth Stella Correa Palacio. </w:t>
            </w:r>
          </w:p>
          <w:p w14:paraId="1524C18B" w14:textId="33282904" w:rsidR="00097CA2" w:rsidRPr="00097CA2" w:rsidRDefault="00097CA2" w:rsidP="00097CA2">
            <w:pPr>
              <w:pStyle w:val="Prrafodelista"/>
              <w:widowControl w:val="0"/>
              <w:numPr>
                <w:ilvl w:val="0"/>
                <w:numId w:val="7"/>
              </w:numPr>
              <w:autoSpaceDE w:val="0"/>
              <w:autoSpaceDN w:val="0"/>
              <w:spacing w:line="276" w:lineRule="auto"/>
              <w:jc w:val="both"/>
              <w:rPr>
                <w:rFonts w:ascii="Verdana" w:hAnsi="Verdana" w:cs="Arial"/>
                <w:sz w:val="22"/>
              </w:rPr>
            </w:pPr>
            <w:r w:rsidRPr="00097CA2">
              <w:rPr>
                <w:rFonts w:ascii="Verdana" w:hAnsi="Verdana" w:cs="Arial"/>
                <w:sz w:val="22"/>
              </w:rPr>
              <w:t>Consejo de Estado.  Sala de lo Contencioso Administrativo. Sección Tercera. Sentencia del 19 de julio de 2018, Expediente 36.711. C.P. Carlos Alberto Zambrano Barrera.</w:t>
            </w:r>
          </w:p>
          <w:p w14:paraId="6B255868" w14:textId="51DAB4F5" w:rsidR="00097CA2" w:rsidRPr="007A1C46" w:rsidRDefault="00097CA2" w:rsidP="00097CA2">
            <w:pPr>
              <w:pStyle w:val="Prrafodelista"/>
              <w:widowControl w:val="0"/>
              <w:numPr>
                <w:ilvl w:val="0"/>
                <w:numId w:val="7"/>
              </w:numPr>
              <w:autoSpaceDE w:val="0"/>
              <w:autoSpaceDN w:val="0"/>
              <w:spacing w:line="276" w:lineRule="auto"/>
              <w:jc w:val="both"/>
              <w:rPr>
                <w:rFonts w:ascii="Verdana" w:hAnsi="Verdana" w:cs="Arial"/>
                <w:sz w:val="22"/>
              </w:rPr>
            </w:pPr>
            <w:r w:rsidRPr="00097CA2">
              <w:rPr>
                <w:rFonts w:ascii="Verdana" w:hAnsi="Verdana" w:cs="Arial"/>
                <w:sz w:val="22"/>
              </w:rPr>
              <w:t>Corte Constitucional. Sala Plena. M.P. Alfredo Beltrán Sierra. Sentencia C-183 de 2003. Expediente D-4244</w:t>
            </w:r>
          </w:p>
          <w:p w14:paraId="3E9D05BC" w14:textId="1145860D" w:rsidR="004A0B15" w:rsidRPr="00C64B7B" w:rsidRDefault="004A0B15" w:rsidP="00C64B7B">
            <w:pPr>
              <w:widowControl w:val="0"/>
              <w:autoSpaceDE w:val="0"/>
              <w:autoSpaceDN w:val="0"/>
              <w:spacing w:line="276" w:lineRule="auto"/>
              <w:ind w:left="360"/>
              <w:jc w:val="both"/>
              <w:rPr>
                <w:rFonts w:ascii="Verdana" w:hAnsi="Verdana" w:cs="Arial"/>
              </w:rPr>
            </w:pPr>
          </w:p>
        </w:tc>
      </w:tr>
    </w:tbl>
    <w:p w14:paraId="30F3A1CE" w14:textId="77777777" w:rsidR="00CD2E70" w:rsidRPr="00545857" w:rsidRDefault="00CD2E70" w:rsidP="00E84D1C">
      <w:pPr>
        <w:widowControl w:val="0"/>
        <w:autoSpaceDE w:val="0"/>
        <w:autoSpaceDN w:val="0"/>
        <w:spacing w:after="0" w:line="276" w:lineRule="auto"/>
        <w:jc w:val="both"/>
        <w:rPr>
          <w:rFonts w:ascii="Verdana" w:hAnsi="Verdana" w:cs="Arial"/>
        </w:rPr>
      </w:pPr>
    </w:p>
    <w:p w14:paraId="763AF15E" w14:textId="5C1DC823" w:rsidR="00057963" w:rsidRPr="00545857" w:rsidRDefault="00E53F2E" w:rsidP="00057963">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545857">
        <w:rPr>
          <w:rFonts w:ascii="Verdana" w:eastAsia="Century Gothic" w:hAnsi="Verdana" w:cs="Century Gothic"/>
          <w:b/>
          <w:bCs/>
          <w:sz w:val="22"/>
          <w:lang w:val="es-ES"/>
        </w:rPr>
        <w:t>Doctrina de la Agencia Nacional de Contratación Pública</w:t>
      </w:r>
      <w:r w:rsidR="00057963" w:rsidRPr="00545857">
        <w:rPr>
          <w:rFonts w:ascii="Verdana" w:eastAsia="Century Gothic" w:hAnsi="Verdana" w:cs="Century Gothic"/>
          <w:b/>
          <w:bCs/>
          <w:sz w:val="22"/>
          <w:lang w:val="es-ES"/>
        </w:rPr>
        <w:t>:</w:t>
      </w:r>
    </w:p>
    <w:p w14:paraId="2E26A5BD" w14:textId="31F0C1BB" w:rsidR="00E84D1C" w:rsidRPr="00545857" w:rsidRDefault="00E84D1C" w:rsidP="00E84D1C">
      <w:pPr>
        <w:widowControl w:val="0"/>
        <w:autoSpaceDE w:val="0"/>
        <w:autoSpaceDN w:val="0"/>
        <w:spacing w:after="0" w:line="276" w:lineRule="auto"/>
        <w:jc w:val="both"/>
        <w:rPr>
          <w:rFonts w:ascii="Verdana" w:hAnsi="Verdana" w:cs="Arial"/>
        </w:rPr>
      </w:pPr>
    </w:p>
    <w:p w14:paraId="3FA1F51C" w14:textId="15559852" w:rsidR="00BD658C" w:rsidRPr="00545857" w:rsidRDefault="000660CD" w:rsidP="00785491">
      <w:pPr>
        <w:widowControl w:val="0"/>
        <w:autoSpaceDE w:val="0"/>
        <w:autoSpaceDN w:val="0"/>
        <w:spacing w:after="0" w:line="276" w:lineRule="auto"/>
        <w:jc w:val="both"/>
        <w:rPr>
          <w:rFonts w:ascii="Verdana" w:hAnsi="Verdana" w:cs="Arial"/>
          <w:color w:val="000000" w:themeColor="text1"/>
          <w:shd w:val="clear" w:color="auto" w:fill="FFFFFF"/>
        </w:rPr>
      </w:pPr>
      <w:r w:rsidRPr="00763183">
        <w:rPr>
          <w:rFonts w:ascii="Verdana" w:hAnsi="Verdana"/>
        </w:rPr>
        <w:t xml:space="preserve">La Agencia Nacional de Contratación Pública – Colombia Compra Eficiente, </w:t>
      </w:r>
      <w:r w:rsidR="0066039A" w:rsidRPr="00763183">
        <w:rPr>
          <w:rFonts w:ascii="Verdana" w:hAnsi="Verdana"/>
        </w:rPr>
        <w:t>analiz</w:t>
      </w:r>
      <w:r w:rsidR="003C0965" w:rsidRPr="00763183">
        <w:rPr>
          <w:rFonts w:ascii="Verdana" w:hAnsi="Verdana"/>
        </w:rPr>
        <w:t xml:space="preserve">ó la </w:t>
      </w:r>
      <w:r w:rsidR="00301CB1" w:rsidRPr="00763183">
        <w:rPr>
          <w:rFonts w:ascii="Verdana" w:hAnsi="Verdana"/>
        </w:rPr>
        <w:t>enajenación</w:t>
      </w:r>
      <w:r w:rsidR="003C0965" w:rsidRPr="00763183">
        <w:rPr>
          <w:rFonts w:ascii="Verdana" w:hAnsi="Verdana"/>
        </w:rPr>
        <w:t xml:space="preserve"> de bienes del</w:t>
      </w:r>
      <w:r w:rsidR="00301CB1" w:rsidRPr="00763183">
        <w:rPr>
          <w:rFonts w:ascii="Verdana" w:hAnsi="Verdana"/>
        </w:rPr>
        <w:t xml:space="preserve"> Estado</w:t>
      </w:r>
      <w:r w:rsidRPr="00763183">
        <w:rPr>
          <w:rFonts w:ascii="Verdana" w:hAnsi="Verdana"/>
        </w:rPr>
        <w:t xml:space="preserve"> en los </w:t>
      </w:r>
      <w:r w:rsidR="00763183" w:rsidRPr="00763183">
        <w:rPr>
          <w:rFonts w:ascii="Verdana" w:hAnsi="Verdana"/>
        </w:rPr>
        <w:t>siguientes conceptos:</w:t>
      </w:r>
      <w:r w:rsidRPr="00763183">
        <w:rPr>
          <w:rFonts w:ascii="Verdana" w:hAnsi="Verdana"/>
        </w:rPr>
        <w:t xml:space="preserve"> 2201913000007905 del 23 de octubre de 2019, 2201913000008259 del 6 de noviembre de 2019, C-186 del 17 de marzo de 2020, C-661 del 17 de noviembre de 2020, C-397 del 18 de julio de 2022 y C-704 de 2022, entre otros</w:t>
      </w:r>
      <w:r w:rsidR="007C6DAA" w:rsidRPr="00763183">
        <w:rPr>
          <w:rFonts w:ascii="Verdana" w:eastAsia="Aptos" w:hAnsi="Verdana" w:cs="Arial"/>
          <w:shd w:val="clear" w:color="auto" w:fill="FFFFFF"/>
          <w:lang w:val="es-ES"/>
        </w:rPr>
        <w:t>.</w:t>
      </w:r>
      <w:r w:rsidR="007C6DAA" w:rsidRPr="00545857">
        <w:rPr>
          <w:rFonts w:ascii="Verdana" w:eastAsia="Aptos" w:hAnsi="Verdana" w:cs="Arial"/>
          <w:shd w:val="clear" w:color="auto" w:fill="FFFFFF"/>
          <w:lang w:val="es-ES"/>
        </w:rPr>
        <w:t xml:space="preserve"> </w:t>
      </w:r>
      <w:r w:rsidR="00A82DA0" w:rsidRPr="00545857">
        <w:rPr>
          <w:rStyle w:val="normaltextrun"/>
          <w:rFonts w:ascii="Verdana" w:hAnsi="Verdana" w:cs="Arial"/>
          <w:shd w:val="clear" w:color="auto" w:fill="FFFFFF"/>
          <w:lang w:val="es-ES"/>
        </w:rPr>
        <w:t>Es</w:t>
      </w:r>
      <w:r w:rsidR="00A82DA0" w:rsidRPr="00545857">
        <w:rPr>
          <w:rFonts w:ascii="Verdana" w:hAnsi="Verdana"/>
        </w:rPr>
        <w:t>t</w:t>
      </w:r>
      <w:r w:rsidR="007C6DAA" w:rsidRPr="00545857">
        <w:rPr>
          <w:rFonts w:ascii="Verdana" w:hAnsi="Verdana"/>
        </w:rPr>
        <w:t>os</w:t>
      </w:r>
      <w:r w:rsidR="00A82DA0" w:rsidRPr="00545857">
        <w:rPr>
          <w:rFonts w:ascii="Verdana" w:hAnsi="Verdana"/>
        </w:rPr>
        <w:t xml:space="preserve"> y otros conceptos se encuentran disponibles para consulta en el Sistema de relatoría de la Agencia, al cual se puede acceder a través del siguiente enlace</w:t>
      </w:r>
      <w:r w:rsidR="00D8321A" w:rsidRPr="00545857">
        <w:rPr>
          <w:rFonts w:ascii="Verdana" w:hAnsi="Verdana"/>
        </w:rPr>
        <w:t>:</w:t>
      </w:r>
      <w:r w:rsidR="00DC525E" w:rsidRPr="00545857">
        <w:rPr>
          <w:rStyle w:val="normaltextrun"/>
          <w:rFonts w:ascii="Verdana" w:hAnsi="Verdana" w:cs="Arial"/>
          <w:shd w:val="clear" w:color="auto" w:fill="FFFFFF"/>
          <w:lang w:val="es-ES"/>
        </w:rPr>
        <w:t xml:space="preserve"> </w:t>
      </w:r>
      <w:hyperlink r:id="rId18" w:history="1">
        <w:r w:rsidR="00D8321A" w:rsidRPr="00545857">
          <w:rPr>
            <w:rStyle w:val="Hipervnculo"/>
            <w:rFonts w:ascii="Verdana" w:hAnsi="Verdana" w:cs="Arial"/>
            <w:shd w:val="clear" w:color="auto" w:fill="FFFFFF"/>
            <w:lang w:val="es-ES"/>
          </w:rPr>
          <w:t>https://relatoria.colombiacompra.gov.co/busqueda/conceptos</w:t>
        </w:r>
      </w:hyperlink>
      <w:r w:rsidR="008D1079" w:rsidRPr="00545857">
        <w:rPr>
          <w:rStyle w:val="normaltextrun"/>
          <w:rFonts w:ascii="Verdana" w:hAnsi="Verdana" w:cs="Arial"/>
          <w:shd w:val="clear" w:color="auto" w:fill="FFFFFF"/>
          <w:lang w:val="es-ES"/>
        </w:rPr>
        <w:t>.</w:t>
      </w:r>
      <w:r w:rsidR="008D1079" w:rsidRPr="00545857">
        <w:rPr>
          <w:rStyle w:val="normaltextrun"/>
          <w:rFonts w:ascii="Verdana" w:hAnsi="Verdana" w:cs="Arial"/>
          <w:color w:val="FF0000"/>
          <w:shd w:val="clear" w:color="auto" w:fill="FFFFFF"/>
          <w:lang w:val="es-ES"/>
        </w:rPr>
        <w:t xml:space="preserve"> </w:t>
      </w:r>
      <w:r w:rsidR="00BD658C" w:rsidRPr="00545857">
        <w:rPr>
          <w:rFonts w:ascii="Verdana" w:hAnsi="Verdana" w:cs="Arial"/>
          <w:color w:val="000000" w:themeColor="text1"/>
          <w:shd w:val="clear" w:color="auto" w:fill="FFFFFF"/>
        </w:rPr>
        <w:t>  </w:t>
      </w:r>
    </w:p>
    <w:p w14:paraId="13277EB1" w14:textId="77777777" w:rsidR="00E37E18" w:rsidRPr="00545857" w:rsidRDefault="00E37E18" w:rsidP="00785491">
      <w:pPr>
        <w:widowControl w:val="0"/>
        <w:autoSpaceDE w:val="0"/>
        <w:autoSpaceDN w:val="0"/>
        <w:spacing w:after="0" w:line="276" w:lineRule="auto"/>
        <w:jc w:val="both"/>
        <w:rPr>
          <w:rFonts w:ascii="Verdana" w:hAnsi="Verdana" w:cs="Arial"/>
          <w:color w:val="000000" w:themeColor="text1"/>
          <w:shd w:val="clear" w:color="auto" w:fill="FFFFFF"/>
        </w:rPr>
      </w:pPr>
    </w:p>
    <w:p w14:paraId="0F4BE0E8" w14:textId="77777777" w:rsidR="00E37E18" w:rsidRPr="00545857" w:rsidRDefault="00E37E18" w:rsidP="00E37E18">
      <w:pPr>
        <w:widowControl w:val="0"/>
        <w:autoSpaceDE w:val="0"/>
        <w:autoSpaceDN w:val="0"/>
        <w:spacing w:after="0" w:line="276" w:lineRule="auto"/>
        <w:jc w:val="both"/>
        <w:rPr>
          <w:rFonts w:ascii="Verdana" w:hAnsi="Verdana" w:cs="Arial"/>
          <w:color w:val="000000" w:themeColor="text1"/>
          <w:shd w:val="clear" w:color="auto" w:fill="FFFFFF"/>
        </w:rPr>
      </w:pPr>
      <w:r w:rsidRPr="00545857">
        <w:rPr>
          <w:rFonts w:ascii="Verdana" w:hAnsi="Verdana" w:cs="Arial"/>
          <w:color w:val="000000" w:themeColor="text1"/>
          <w:shd w:val="clear" w:color="auto" w:fill="FFFFFF"/>
        </w:rPr>
        <w:t>Nos complace informarte que ya están disponibles las nuevas versiones de los Documentos Tipo para Infraestructura de Transporte, recuerda que es de obligatoria observancia por TODAS las entidades sometidas al EGCAP y entidades de régimen especial, con las excepciones de ley:</w:t>
      </w:r>
    </w:p>
    <w:p w14:paraId="05989707" w14:textId="77777777" w:rsidR="00E37E18" w:rsidRPr="00545857" w:rsidRDefault="00E37E18" w:rsidP="00E37E18">
      <w:pPr>
        <w:widowControl w:val="0"/>
        <w:autoSpaceDE w:val="0"/>
        <w:autoSpaceDN w:val="0"/>
        <w:spacing w:after="0" w:line="276" w:lineRule="auto"/>
        <w:jc w:val="both"/>
        <w:rPr>
          <w:rFonts w:ascii="Verdana" w:hAnsi="Verdana" w:cs="Arial"/>
          <w:color w:val="000000" w:themeColor="text1"/>
          <w:shd w:val="clear" w:color="auto" w:fill="FFFFFF"/>
        </w:rPr>
      </w:pPr>
    </w:p>
    <w:p w14:paraId="6CFFEC96" w14:textId="77777777" w:rsidR="00E37E18" w:rsidRPr="00545857" w:rsidRDefault="00E37E18" w:rsidP="00E37E18">
      <w:pPr>
        <w:widowControl w:val="0"/>
        <w:numPr>
          <w:ilvl w:val="0"/>
          <w:numId w:val="9"/>
        </w:numPr>
        <w:autoSpaceDE w:val="0"/>
        <w:autoSpaceDN w:val="0"/>
        <w:spacing w:after="0" w:line="276" w:lineRule="auto"/>
        <w:jc w:val="both"/>
        <w:rPr>
          <w:rFonts w:ascii="Verdana" w:hAnsi="Verdana" w:cs="Arial"/>
          <w:color w:val="000000" w:themeColor="text1"/>
          <w:shd w:val="clear" w:color="auto" w:fill="FFFFFF"/>
        </w:rPr>
      </w:pPr>
      <w:r w:rsidRPr="00545857">
        <w:rPr>
          <w:rFonts w:ascii="Verdana" w:hAnsi="Verdana" w:cs="Arial"/>
          <w:b/>
          <w:bCs/>
          <w:color w:val="000000" w:themeColor="text1"/>
          <w:shd w:val="clear" w:color="auto" w:fill="FFFFFF"/>
        </w:rPr>
        <w:t>Documentos tipo para los procesos de selección de interventoría de obra pública de infraestructura de transporte – versión 3: </w:t>
      </w:r>
      <w:hyperlink r:id="rId19" w:tgtFrame="_blank" w:tooltip="Dirección URL original: https://www.colombiacompra.gov.co/content/03-documentos-tipo-para-los-procesos-de-seleccion-de-interventoria-de-obra-publica-de. Haga clic o pulse si confía en este vínculo." w:history="1">
        <w:r w:rsidRPr="00545857">
          <w:rPr>
            <w:rStyle w:val="Hipervnculo"/>
            <w:rFonts w:ascii="Verdana" w:hAnsi="Verdana" w:cs="Arial"/>
            <w:shd w:val="clear" w:color="auto" w:fill="FFFFFF"/>
          </w:rPr>
          <w:t>03. Documentos tipo para los procesos de selección de interventoría de obra pública de infraestructura de transporte – versión 3 | Colombia Compra Eficiente | Agencia Nacional de Contratación Pública</w:t>
        </w:r>
      </w:hyperlink>
    </w:p>
    <w:p w14:paraId="31241B32" w14:textId="77777777" w:rsidR="00E37E18" w:rsidRPr="00545857" w:rsidRDefault="00E37E18" w:rsidP="00E37E18">
      <w:pPr>
        <w:widowControl w:val="0"/>
        <w:numPr>
          <w:ilvl w:val="0"/>
          <w:numId w:val="9"/>
        </w:numPr>
        <w:autoSpaceDE w:val="0"/>
        <w:autoSpaceDN w:val="0"/>
        <w:spacing w:after="0" w:line="276" w:lineRule="auto"/>
        <w:jc w:val="both"/>
        <w:rPr>
          <w:rFonts w:ascii="Verdana" w:hAnsi="Verdana" w:cs="Arial"/>
          <w:color w:val="000000" w:themeColor="text1"/>
          <w:shd w:val="clear" w:color="auto" w:fill="FFFFFF"/>
        </w:rPr>
      </w:pPr>
      <w:r w:rsidRPr="00545857">
        <w:rPr>
          <w:rFonts w:ascii="Verdana" w:hAnsi="Verdana" w:cs="Arial"/>
          <w:b/>
          <w:bCs/>
          <w:color w:val="000000" w:themeColor="text1"/>
          <w:shd w:val="clear" w:color="auto" w:fill="FFFFFF"/>
        </w:rPr>
        <w:t>Documentos tipo para los procesos de selección de consultoría de obra pública de infraestructura de transporte – versión 2:</w:t>
      </w:r>
      <w:r w:rsidRPr="00545857">
        <w:rPr>
          <w:rFonts w:ascii="Verdana" w:hAnsi="Verdana" w:cs="Arial"/>
          <w:color w:val="000000" w:themeColor="text1"/>
          <w:shd w:val="clear" w:color="auto" w:fill="FFFFFF"/>
        </w:rPr>
        <w:t> </w:t>
      </w:r>
      <w:hyperlink r:id="rId20" w:tgtFrame="_blank" w:tooltip="Dirección URL original: https://www.colombiacompra.gov.co/content/02-documentos-tipo-para-los-procesos-de-seleccion-de-consultoria-de-obra-publica-de. Haga clic o pulse si confía en este vínculo." w:history="1">
        <w:r w:rsidRPr="00545857">
          <w:rPr>
            <w:rStyle w:val="Hipervnculo"/>
            <w:rFonts w:ascii="Verdana" w:hAnsi="Verdana" w:cs="Arial"/>
            <w:shd w:val="clear" w:color="auto" w:fill="FFFFFF"/>
          </w:rPr>
          <w:t>02. Documentos tipo para los procesos de selección de consultoría de obra pública de infraestructura de transporte – versión 2. | Colombia Compra Eficiente | Agencia Nacional de Contratación Pública</w:t>
        </w:r>
      </w:hyperlink>
    </w:p>
    <w:p w14:paraId="7F27841E" w14:textId="77777777" w:rsidR="00E37E18" w:rsidRPr="00545857" w:rsidRDefault="00E37E18" w:rsidP="00E37E18">
      <w:pPr>
        <w:widowControl w:val="0"/>
        <w:autoSpaceDE w:val="0"/>
        <w:autoSpaceDN w:val="0"/>
        <w:spacing w:after="0" w:line="276" w:lineRule="auto"/>
        <w:ind w:left="720"/>
        <w:jc w:val="both"/>
        <w:rPr>
          <w:rFonts w:ascii="Verdana" w:hAnsi="Verdana" w:cs="Arial"/>
          <w:color w:val="000000" w:themeColor="text1"/>
          <w:shd w:val="clear" w:color="auto" w:fill="FFFFFF"/>
        </w:rPr>
      </w:pPr>
    </w:p>
    <w:p w14:paraId="07589F35" w14:textId="41DE8BFA" w:rsidR="007853B2" w:rsidRPr="00545857" w:rsidRDefault="00E37E18" w:rsidP="007853B2">
      <w:pPr>
        <w:widowControl w:val="0"/>
        <w:autoSpaceDE w:val="0"/>
        <w:autoSpaceDN w:val="0"/>
        <w:spacing w:after="0" w:line="276" w:lineRule="auto"/>
        <w:jc w:val="both"/>
        <w:rPr>
          <w:rFonts w:ascii="Verdana" w:hAnsi="Verdana" w:cs="Arial"/>
          <w:color w:val="000000" w:themeColor="text1"/>
          <w:shd w:val="clear" w:color="auto" w:fill="FFFFFF"/>
        </w:rPr>
      </w:pPr>
      <w:r w:rsidRPr="00545857">
        <w:rPr>
          <w:rFonts w:ascii="Verdana" w:hAnsi="Verdana" w:cs="Arial"/>
          <w:color w:val="000000" w:themeColor="text1"/>
          <w:shd w:val="clear" w:color="auto" w:fill="FFFFFF"/>
        </w:rPr>
        <w:t>También, te contamos que ya publicamos </w:t>
      </w:r>
      <w:r w:rsidRPr="00545857">
        <w:rPr>
          <w:rFonts w:ascii="Verdana" w:hAnsi="Verdana" w:cs="Arial"/>
          <w:b/>
          <w:bCs/>
          <w:color w:val="000000" w:themeColor="text1"/>
          <w:shd w:val="clear" w:color="auto" w:fill="FFFFFF"/>
        </w:rPr>
        <w:t>la nueva Guía de Contratación Pública Sostenible y Socialmente Responsable</w:t>
      </w:r>
      <w:r w:rsidRPr="00545857">
        <w:rPr>
          <w:rFonts w:ascii="Verdana" w:hAnsi="Verdana" w:cs="Arial"/>
          <w:color w:val="000000" w:themeColor="text1"/>
          <w:shd w:val="clear" w:color="auto" w:fill="FFFFFF"/>
        </w:rPr>
        <w:t xml:space="preserve">. Esta guía es un instrumento clave para integrar buenas prácticas en la contratación estatal, promoviendo los Objetivos de Desarrollo Sostenible (ODS) a través de criterios y obligaciones ambientales y sociales en todas las etapas del proceso. Puede consultar la guía </w:t>
      </w:r>
      <w:r w:rsidRPr="00545857">
        <w:rPr>
          <w:rFonts w:ascii="Verdana" w:hAnsi="Verdana" w:cs="Arial"/>
          <w:color w:val="000000" w:themeColor="text1"/>
          <w:shd w:val="clear" w:color="auto" w:fill="FFFFFF"/>
        </w:rPr>
        <w:lastRenderedPageBreak/>
        <w:t>en el siguiente enlace: </w:t>
      </w:r>
      <w:hyperlink r:id="rId21" w:tgtFrame="_blank" w:tooltip="Dirección URL original: https://www.colombiacompra.gov.co/manuales-guias-y-pliegos-tipo/manuales-y-guias/guia-de-contratacion-publica-sostenible-y-socialmente. Haga clic o pulse si confía en este vínculo." w:history="1">
        <w:r w:rsidRPr="00545857">
          <w:rPr>
            <w:rStyle w:val="Hipervnculo"/>
            <w:rFonts w:ascii="Verdana" w:hAnsi="Verdana" w:cs="Arial"/>
            <w:shd w:val="clear" w:color="auto" w:fill="FFFFFF"/>
          </w:rPr>
          <w:t>Guía de Contratación Pública Sostenible y Socialmente Responsable | Colombia Compra Eficiente | Agencia Nacional de Contratación Pública</w:t>
        </w:r>
      </w:hyperlink>
    </w:p>
    <w:p w14:paraId="40034497" w14:textId="77777777" w:rsidR="007853B2" w:rsidRPr="00545857" w:rsidRDefault="007853B2" w:rsidP="007853B2">
      <w:pPr>
        <w:widowControl w:val="0"/>
        <w:autoSpaceDE w:val="0"/>
        <w:autoSpaceDN w:val="0"/>
        <w:spacing w:after="0" w:line="276" w:lineRule="auto"/>
        <w:jc w:val="both"/>
        <w:rPr>
          <w:rFonts w:ascii="Verdana" w:hAnsi="Verdana" w:cs="Arial"/>
          <w:color w:val="FF0000"/>
          <w:shd w:val="clear" w:color="auto" w:fill="FFFFFF"/>
          <w:lang w:val="es-ES"/>
        </w:rPr>
      </w:pPr>
    </w:p>
    <w:p w14:paraId="61A80AFE" w14:textId="51B759DF" w:rsidR="00A91FB7" w:rsidRPr="00545857" w:rsidRDefault="00A91FB7" w:rsidP="00A91FB7">
      <w:pPr>
        <w:widowControl w:val="0"/>
        <w:autoSpaceDE w:val="0"/>
        <w:autoSpaceDN w:val="0"/>
        <w:spacing w:after="0" w:line="276" w:lineRule="auto"/>
        <w:jc w:val="both"/>
        <w:rPr>
          <w:rFonts w:ascii="Verdana" w:hAnsi="Verdana" w:cs="Arial"/>
          <w:lang w:val="es-ES_tradnl"/>
        </w:rPr>
      </w:pPr>
      <w:r w:rsidRPr="00545857">
        <w:rPr>
          <w:rFonts w:ascii="Verdana" w:hAnsi="Verdana" w:cs="Arial"/>
        </w:rPr>
        <w:t>Este concepto tiene el alcance previsto en el artículo 28 del Código de Procedimiento Administrativo y de lo Contencioso Administrativo</w:t>
      </w:r>
      <w:r w:rsidR="00172F3A" w:rsidRPr="00545857">
        <w:rPr>
          <w:rFonts w:ascii="Verdana" w:hAnsi="Verdana" w:cs="Arial"/>
        </w:rPr>
        <w:t xml:space="preserve"> </w:t>
      </w:r>
      <w:r w:rsidR="00172F3A" w:rsidRPr="00545857">
        <w:rPr>
          <w:rFonts w:ascii="Verdana" w:hAnsi="Verdana" w:cs="Arial"/>
          <w:lang w:val="es-ES_tradnl"/>
        </w:rPr>
        <w:t>y las expresiones aquí utilizadas con mayúscula inicial deben ser entendidas con el significado que les otorga el artículo 2.2.1.1.1.3.1. del Decreto 1082 de 2015.</w:t>
      </w:r>
    </w:p>
    <w:p w14:paraId="00BDA056" w14:textId="05BCB72C" w:rsidR="00A91FB7" w:rsidRPr="00545857" w:rsidRDefault="00A91FB7" w:rsidP="00A91FB7">
      <w:pPr>
        <w:widowControl w:val="0"/>
        <w:autoSpaceDE w:val="0"/>
        <w:autoSpaceDN w:val="0"/>
        <w:spacing w:after="0" w:line="276" w:lineRule="auto"/>
        <w:jc w:val="both"/>
        <w:rPr>
          <w:rFonts w:ascii="Verdana" w:hAnsi="Verdana" w:cs="Arial"/>
        </w:rPr>
      </w:pPr>
    </w:p>
    <w:p w14:paraId="3CECADB7" w14:textId="00F7F1BF" w:rsidR="00CD2E70" w:rsidRPr="00545857" w:rsidRDefault="00A91FB7" w:rsidP="00CD2E70">
      <w:pPr>
        <w:spacing w:after="0" w:line="240" w:lineRule="auto"/>
        <w:rPr>
          <w:rFonts w:ascii="Verdana" w:hAnsi="Verdana" w:cs="Arial"/>
          <w:lang w:eastAsia="es-CO"/>
        </w:rPr>
      </w:pPr>
      <w:r w:rsidRPr="00545857">
        <w:rPr>
          <w:rFonts w:ascii="Verdana" w:eastAsia="Times New Roman" w:hAnsi="Verdana" w:cs="Arial"/>
          <w:lang w:eastAsia="es-CO"/>
        </w:rPr>
        <w:t>Atentamente,</w:t>
      </w:r>
      <w:r w:rsidR="00CD2E70" w:rsidRPr="00545857">
        <w:rPr>
          <w:rFonts w:ascii="Verdana" w:hAnsi="Verdana" w:cs="Arial"/>
          <w:lang w:eastAsia="es-CO"/>
        </w:rPr>
        <w:t xml:space="preserve"> </w:t>
      </w:r>
    </w:p>
    <w:p w14:paraId="5ED111D5" w14:textId="2466E7F8" w:rsidR="00CD2E70" w:rsidRPr="00545857" w:rsidRDefault="00412F2D" w:rsidP="00CD2E70">
      <w:pPr>
        <w:spacing w:line="276" w:lineRule="auto"/>
        <w:jc w:val="center"/>
        <w:rPr>
          <w:rFonts w:ascii="Verdana" w:hAnsi="Verdana" w:cs="Arial"/>
          <w:color w:val="000000"/>
          <w:lang w:val="es-ES_tradnl" w:eastAsia="es-CO"/>
        </w:rPr>
      </w:pPr>
      <w:r>
        <w:rPr>
          <w:noProof/>
        </w:rPr>
        <w:drawing>
          <wp:inline distT="0" distB="0" distL="0" distR="0" wp14:anchorId="1ADDCDE4" wp14:editId="4A307187">
            <wp:extent cx="3771900" cy="1400175"/>
            <wp:effectExtent l="0" t="0" r="381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22"/>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D2E70" w:rsidRPr="00545857" w14:paraId="2DBC770D" w14:textId="77777777" w:rsidTr="003751C7">
        <w:trPr>
          <w:trHeight w:val="315"/>
        </w:trPr>
        <w:tc>
          <w:tcPr>
            <w:tcW w:w="893" w:type="dxa"/>
            <w:vAlign w:val="center"/>
            <w:hideMark/>
          </w:tcPr>
          <w:p w14:paraId="15A5F5BE" w14:textId="77777777" w:rsidR="00CD2E70" w:rsidRPr="00545857" w:rsidRDefault="00CD2E70" w:rsidP="0044122F">
            <w:pPr>
              <w:contextualSpacing/>
              <w:rPr>
                <w:rFonts w:ascii="Verdana" w:hAnsi="Verdana" w:cs="Arial"/>
                <w:sz w:val="16"/>
                <w:szCs w:val="16"/>
                <w:lang w:val="es-ES" w:eastAsia="es-ES"/>
              </w:rPr>
            </w:pPr>
            <w:r w:rsidRPr="0054585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CEF9E9C" w14:textId="64EDEF3A" w:rsidR="00254A7A" w:rsidRPr="00545857" w:rsidRDefault="00490FD5" w:rsidP="00254A7A">
            <w:pPr>
              <w:contextualSpacing/>
              <w:rPr>
                <w:rStyle w:val="normaltextrun"/>
                <w:rFonts w:ascii="Verdana" w:hAnsi="Verdana"/>
                <w:sz w:val="16"/>
                <w:szCs w:val="16"/>
              </w:rPr>
            </w:pPr>
            <w:r w:rsidRPr="00545857">
              <w:rPr>
                <w:rStyle w:val="normaltextrun"/>
                <w:rFonts w:ascii="Verdana" w:hAnsi="Verdana"/>
                <w:sz w:val="16"/>
                <w:szCs w:val="16"/>
              </w:rPr>
              <w:t>Tatiana Baquero Iguarán</w:t>
            </w:r>
          </w:p>
          <w:p w14:paraId="6AB49B73" w14:textId="0FA4CDFF" w:rsidR="00CD2E70" w:rsidRPr="00545857" w:rsidRDefault="00254A7A" w:rsidP="00254A7A">
            <w:pPr>
              <w:contextualSpacing/>
              <w:rPr>
                <w:rFonts w:ascii="Verdana" w:eastAsia="Arial" w:hAnsi="Verdana" w:cs="Arial"/>
                <w:sz w:val="16"/>
                <w:szCs w:val="16"/>
              </w:rPr>
            </w:pPr>
            <w:r w:rsidRPr="00545857">
              <w:rPr>
                <w:rStyle w:val="normaltextrun"/>
                <w:rFonts w:ascii="Verdana" w:hAnsi="Verdana"/>
                <w:sz w:val="16"/>
                <w:szCs w:val="16"/>
              </w:rPr>
              <w:t>Contratista de la Subdirección de Gestión Contractual</w:t>
            </w:r>
          </w:p>
        </w:tc>
      </w:tr>
      <w:tr w:rsidR="00CD2E70" w:rsidRPr="00545857" w14:paraId="54ECFA9D" w14:textId="77777777" w:rsidTr="003751C7">
        <w:trPr>
          <w:trHeight w:val="330"/>
        </w:trPr>
        <w:tc>
          <w:tcPr>
            <w:tcW w:w="893" w:type="dxa"/>
            <w:vAlign w:val="center"/>
            <w:hideMark/>
          </w:tcPr>
          <w:p w14:paraId="322FF342" w14:textId="77777777" w:rsidR="00CD2E70" w:rsidRPr="00545857" w:rsidRDefault="00CD2E70" w:rsidP="0044122F">
            <w:pPr>
              <w:contextualSpacing/>
              <w:rPr>
                <w:rFonts w:ascii="Verdana" w:hAnsi="Verdana" w:cs="Arial"/>
                <w:sz w:val="16"/>
                <w:szCs w:val="16"/>
                <w:lang w:val="es-ES" w:eastAsia="es-ES"/>
              </w:rPr>
            </w:pPr>
            <w:r w:rsidRPr="0054585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1F942CE" w14:textId="77777777" w:rsidR="00254A7A" w:rsidRPr="00545857" w:rsidRDefault="00254A7A" w:rsidP="00254A7A">
            <w:pPr>
              <w:pStyle w:val="paragraph"/>
              <w:spacing w:after="0"/>
              <w:contextualSpacing/>
              <w:textAlignment w:val="baseline"/>
              <w:rPr>
                <w:rStyle w:val="normaltextrun"/>
                <w:rFonts w:ascii="Verdana" w:hAnsi="Verdana" w:cs="Arial"/>
                <w:sz w:val="16"/>
                <w:szCs w:val="16"/>
                <w:lang w:val="es-ES"/>
              </w:rPr>
            </w:pPr>
            <w:r w:rsidRPr="00545857">
              <w:rPr>
                <w:rStyle w:val="normaltextrun"/>
                <w:rFonts w:ascii="Verdana" w:hAnsi="Verdana" w:cs="Arial"/>
                <w:sz w:val="16"/>
                <w:szCs w:val="16"/>
                <w:lang w:val="es-ES"/>
              </w:rPr>
              <w:t>Alejandro Sarmiento Cantillo</w:t>
            </w:r>
          </w:p>
          <w:p w14:paraId="6B05B490" w14:textId="5284924E" w:rsidR="00CD2E70" w:rsidRPr="00545857" w:rsidRDefault="00254A7A" w:rsidP="00254A7A">
            <w:pPr>
              <w:pStyle w:val="paragraph"/>
              <w:spacing w:before="0" w:beforeAutospacing="0" w:after="0" w:afterAutospacing="0"/>
              <w:contextualSpacing/>
              <w:textAlignment w:val="baseline"/>
              <w:rPr>
                <w:rFonts w:ascii="Verdana" w:hAnsi="Verdana" w:cs="Segoe UI"/>
                <w:sz w:val="16"/>
                <w:szCs w:val="16"/>
              </w:rPr>
            </w:pPr>
            <w:r w:rsidRPr="00545857">
              <w:rPr>
                <w:rStyle w:val="normaltextrun"/>
                <w:rFonts w:ascii="Verdana" w:hAnsi="Verdana" w:cs="Arial"/>
                <w:sz w:val="16"/>
                <w:szCs w:val="16"/>
                <w:lang w:val="es-ES"/>
              </w:rPr>
              <w:t>Gestor T1 ‒ 15 de la Subdirección de Gestión Contractual</w:t>
            </w:r>
            <w:r w:rsidR="00CD2E70" w:rsidRPr="00545857">
              <w:rPr>
                <w:rStyle w:val="eop"/>
                <w:rFonts w:ascii="Verdana" w:hAnsi="Verdana" w:cs="Arial"/>
                <w:sz w:val="16"/>
                <w:szCs w:val="16"/>
              </w:rPr>
              <w:t> </w:t>
            </w:r>
          </w:p>
        </w:tc>
      </w:tr>
      <w:tr w:rsidR="00CD2E70" w:rsidRPr="00545857" w14:paraId="3D2C2D00" w14:textId="77777777" w:rsidTr="003751C7">
        <w:trPr>
          <w:trHeight w:val="300"/>
        </w:trPr>
        <w:tc>
          <w:tcPr>
            <w:tcW w:w="893" w:type="dxa"/>
            <w:vAlign w:val="center"/>
          </w:tcPr>
          <w:p w14:paraId="22572E15" w14:textId="77777777" w:rsidR="00CD2E70" w:rsidRPr="00545857" w:rsidRDefault="00CD2E70" w:rsidP="0044122F">
            <w:pPr>
              <w:contextualSpacing/>
              <w:rPr>
                <w:rFonts w:ascii="Verdana" w:hAnsi="Verdana" w:cs="Arial"/>
                <w:sz w:val="16"/>
                <w:szCs w:val="16"/>
                <w:lang w:val="es-ES" w:eastAsia="es-ES"/>
              </w:rPr>
            </w:pPr>
            <w:r w:rsidRPr="0054585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58F9554" w14:textId="77777777" w:rsidR="00CD2E70" w:rsidRPr="00545857" w:rsidRDefault="00CD2E70" w:rsidP="0044122F">
            <w:pPr>
              <w:contextualSpacing/>
              <w:rPr>
                <w:rFonts w:ascii="Verdana" w:eastAsia="Calibri" w:hAnsi="Verdana" w:cs="Arial"/>
                <w:sz w:val="16"/>
                <w:szCs w:val="16"/>
                <w:lang w:val="pt-BR" w:eastAsia="es-ES"/>
              </w:rPr>
            </w:pPr>
            <w:r w:rsidRPr="00545857">
              <w:rPr>
                <w:rFonts w:ascii="Verdana" w:eastAsia="Calibri" w:hAnsi="Verdana" w:cs="Arial"/>
                <w:sz w:val="16"/>
                <w:szCs w:val="16"/>
                <w:lang w:val="pt-BR" w:eastAsia="es-ES"/>
              </w:rPr>
              <w:t xml:space="preserve">Carolina Quintero </w:t>
            </w:r>
            <w:proofErr w:type="spellStart"/>
            <w:r w:rsidRPr="00545857">
              <w:rPr>
                <w:rFonts w:ascii="Verdana" w:eastAsia="Calibri" w:hAnsi="Verdana" w:cs="Arial"/>
                <w:sz w:val="16"/>
                <w:szCs w:val="16"/>
                <w:lang w:val="pt-BR" w:eastAsia="es-ES"/>
              </w:rPr>
              <w:t>Gacharná</w:t>
            </w:r>
            <w:proofErr w:type="spellEnd"/>
          </w:p>
          <w:p w14:paraId="706065BE" w14:textId="77777777" w:rsidR="00CD2E70" w:rsidRPr="00545857" w:rsidRDefault="00CD2E70" w:rsidP="0044122F">
            <w:pPr>
              <w:contextualSpacing/>
              <w:rPr>
                <w:rFonts w:ascii="Verdana" w:eastAsia="Calibri" w:hAnsi="Verdana" w:cs="Arial"/>
                <w:sz w:val="16"/>
                <w:szCs w:val="16"/>
                <w:lang w:val="pt-BR" w:eastAsia="es-ES"/>
              </w:rPr>
            </w:pPr>
            <w:r w:rsidRPr="00545857">
              <w:rPr>
                <w:rFonts w:ascii="Verdana" w:eastAsia="Calibri" w:hAnsi="Verdana" w:cs="Arial"/>
                <w:sz w:val="16"/>
                <w:szCs w:val="16"/>
                <w:lang w:eastAsia="es-ES"/>
              </w:rPr>
              <w:t>Subdirectora</w:t>
            </w:r>
            <w:r w:rsidRPr="00545857">
              <w:rPr>
                <w:rFonts w:ascii="Verdana" w:eastAsia="Calibri" w:hAnsi="Verdana" w:cs="Arial"/>
                <w:sz w:val="16"/>
                <w:szCs w:val="16"/>
                <w:lang w:val="pt-BR" w:eastAsia="es-ES"/>
              </w:rPr>
              <w:t xml:space="preserve"> de Gestión </w:t>
            </w:r>
            <w:proofErr w:type="spellStart"/>
            <w:r w:rsidRPr="00545857">
              <w:rPr>
                <w:rFonts w:ascii="Verdana" w:eastAsia="Calibri" w:hAnsi="Verdana" w:cs="Arial"/>
                <w:sz w:val="16"/>
                <w:szCs w:val="16"/>
                <w:lang w:val="pt-BR" w:eastAsia="es-ES"/>
              </w:rPr>
              <w:t>Contractual</w:t>
            </w:r>
            <w:proofErr w:type="spellEnd"/>
            <w:r w:rsidRPr="00545857">
              <w:rPr>
                <w:rFonts w:ascii="Verdana" w:eastAsia="Calibri" w:hAnsi="Verdana" w:cs="Arial"/>
                <w:sz w:val="16"/>
                <w:szCs w:val="16"/>
                <w:lang w:val="pt-BR" w:eastAsia="es-ES"/>
              </w:rPr>
              <w:t xml:space="preserve"> ANCP – CCE</w:t>
            </w:r>
          </w:p>
        </w:tc>
      </w:tr>
    </w:tbl>
    <w:p w14:paraId="0083C991" w14:textId="62C71FF5" w:rsidR="5D8505AD" w:rsidRPr="00545857" w:rsidRDefault="5D8505AD" w:rsidP="00BE73FA">
      <w:pPr>
        <w:spacing w:after="0" w:line="240" w:lineRule="auto"/>
        <w:rPr>
          <w:rFonts w:ascii="Verdana" w:eastAsia="Times New Roman" w:hAnsi="Verdana" w:cs="Arial"/>
          <w:sz w:val="24"/>
          <w:szCs w:val="24"/>
          <w:lang w:eastAsia="es-ES"/>
        </w:rPr>
      </w:pPr>
    </w:p>
    <w:sectPr w:rsidR="5D8505AD" w:rsidRPr="00545857" w:rsidSect="00C44B4C">
      <w:headerReference w:type="default" r:id="rId23"/>
      <w:footerReference w:type="default" r:id="rId24"/>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91167" w14:textId="77777777" w:rsidR="00047CDF" w:rsidRDefault="00047CDF" w:rsidP="00B30448">
      <w:pPr>
        <w:spacing w:after="0" w:line="240" w:lineRule="auto"/>
      </w:pPr>
      <w:r>
        <w:separator/>
      </w:r>
    </w:p>
  </w:endnote>
  <w:endnote w:type="continuationSeparator" w:id="0">
    <w:p w14:paraId="29AB9492" w14:textId="77777777" w:rsidR="00047CDF" w:rsidRDefault="00047CDF" w:rsidP="00B30448">
      <w:pPr>
        <w:spacing w:after="0" w:line="240" w:lineRule="auto"/>
      </w:pPr>
      <w:r>
        <w:continuationSeparator/>
      </w:r>
    </w:p>
  </w:endnote>
  <w:endnote w:type="continuationNotice" w:id="1">
    <w:p w14:paraId="6DE4D519" w14:textId="77777777" w:rsidR="00047CDF" w:rsidRDefault="00047C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charset w:val="00"/>
    <w:family w:val="auto"/>
    <w:pitch w:val="variable"/>
    <w:sig w:usb0="A00000FF" w:usb1="5000E07B" w:usb2="00000000" w:usb3="00000000" w:csb0="00000193" w:csb1="00000000"/>
  </w:font>
  <w:font w:name="Geomanist Light">
    <w:altName w:val="Corbel"/>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9C0E4" w14:textId="77777777" w:rsidR="00A81E50" w:rsidRPr="00174B77" w:rsidRDefault="00A81E50" w:rsidP="00A81E50">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036F9C">
      <w:rPr>
        <w:rFonts w:ascii="Verdana" w:eastAsia="MS Gothic" w:hAnsi="Verdana" w:cs="Times New Roman"/>
        <w:b/>
        <w:bCs/>
        <w:sz w:val="16"/>
        <w:szCs w:val="16"/>
        <w:lang w:val="es-ES"/>
      </w:rPr>
      <w:t xml:space="preserve">pág. </w:t>
    </w:r>
    <w:r w:rsidRPr="00036F9C">
      <w:rPr>
        <w:rFonts w:ascii="Verdana" w:eastAsia="MS Mincho" w:hAnsi="Verdana"/>
        <w:b/>
        <w:bCs/>
        <w:sz w:val="16"/>
        <w:szCs w:val="16"/>
      </w:rPr>
      <w:fldChar w:fldCharType="begin"/>
    </w:r>
    <w:r w:rsidRPr="002E1330">
      <w:rPr>
        <w:rFonts w:ascii="Verdana" w:hAnsi="Verdana"/>
        <w:b/>
        <w:bCs/>
        <w:sz w:val="16"/>
        <w:szCs w:val="16"/>
      </w:rPr>
      <w:instrText>PAGE    \* MERGEFORMAT</w:instrText>
    </w:r>
    <w:r w:rsidRPr="00036F9C">
      <w:rPr>
        <w:rFonts w:ascii="Verdana" w:eastAsia="MS Mincho" w:hAnsi="Verdana"/>
        <w:b/>
        <w:bCs/>
        <w:sz w:val="16"/>
        <w:szCs w:val="16"/>
      </w:rPr>
      <w:fldChar w:fldCharType="separate"/>
    </w:r>
    <w:r w:rsidRPr="00036F9C">
      <w:rPr>
        <w:rFonts w:ascii="Verdana" w:eastAsia="MS Mincho" w:hAnsi="Verdana"/>
        <w:b/>
        <w:bCs/>
        <w:sz w:val="16"/>
        <w:szCs w:val="16"/>
      </w:rPr>
      <w:t>1</w:t>
    </w:r>
    <w:r w:rsidRPr="00036F9C">
      <w:rPr>
        <w:rFonts w:ascii="Verdana" w:eastAsia="MS Gothic"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FC9CAA9" w14:textId="77777777" w:rsidR="00A81E50" w:rsidRDefault="00A81E50" w:rsidP="00A81E50">
    <w:pPr>
      <w:spacing w:after="0"/>
      <w:jc w:val="both"/>
      <w:rPr>
        <w:rFonts w:ascii="Verdana" w:hAnsi="Verdana"/>
        <w:sz w:val="18"/>
        <w:szCs w:val="18"/>
      </w:rPr>
    </w:pPr>
    <w:r w:rsidRPr="00E41027">
      <w:rPr>
        <w:rFonts w:ascii="Verdana" w:hAnsi="Verdana"/>
        <w:sz w:val="18"/>
        <w:szCs w:val="18"/>
      </w:rPr>
      <w:t>Dirección: Carrera 7 # 26 – 20 - Bogotá, Colombia</w:t>
    </w:r>
  </w:p>
  <w:p w14:paraId="0B709B73" w14:textId="77777777" w:rsidR="00A81E50" w:rsidRPr="00E41027" w:rsidRDefault="00A81E50" w:rsidP="00A81E50">
    <w:pPr>
      <w:spacing w:after="0"/>
      <w:jc w:val="both"/>
      <w:rPr>
        <w:rFonts w:ascii="Verdana" w:hAnsi="Verdana"/>
        <w:sz w:val="18"/>
        <w:szCs w:val="18"/>
      </w:rPr>
    </w:pPr>
    <w:r w:rsidRPr="00E41027">
      <w:rPr>
        <w:rFonts w:ascii="Verdana" w:hAnsi="Verdana"/>
        <w:sz w:val="18"/>
        <w:szCs w:val="18"/>
      </w:rPr>
      <w:t>Mesa de servicio: (+57) 601 7456788</w:t>
    </w:r>
  </w:p>
  <w:p w14:paraId="224AB27F" w14:textId="77777777" w:rsidR="00DD7A2C" w:rsidRDefault="00A81E50" w:rsidP="00C00976">
    <w:pPr>
      <w:pBdr>
        <w:top w:val="nil"/>
        <w:left w:val="nil"/>
        <w:bottom w:val="nil"/>
        <w:right w:val="nil"/>
        <w:between w:val="nil"/>
      </w:pBdr>
      <w:tabs>
        <w:tab w:val="center" w:pos="4419"/>
        <w:tab w:val="right" w:pos="8838"/>
        <w:tab w:val="center" w:pos="5400"/>
      </w:tabs>
      <w:spacing w:after="0"/>
      <w:rPr>
        <w:rFonts w:ascii="Verdana" w:hAnsi="Verdana"/>
        <w:sz w:val="20"/>
        <w:szCs w:val="20"/>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p>
  <w:p w14:paraId="2B8DBB2A" w14:textId="26AE77D2" w:rsidR="00A81E50" w:rsidRDefault="00A81E50" w:rsidP="00DD7A2C">
    <w:pPr>
      <w:pBdr>
        <w:top w:val="nil"/>
        <w:left w:val="nil"/>
        <w:bottom w:val="nil"/>
        <w:right w:val="nil"/>
        <w:between w:val="nil"/>
      </w:pBdr>
      <w:tabs>
        <w:tab w:val="center" w:pos="4419"/>
        <w:tab w:val="right" w:pos="8838"/>
        <w:tab w:val="center" w:pos="5400"/>
      </w:tabs>
      <w:spacing w:after="0"/>
      <w:jc w:val="right"/>
    </w:pP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C336B" w14:textId="77777777" w:rsidR="00047CDF" w:rsidRDefault="00047CDF" w:rsidP="00B30448">
      <w:pPr>
        <w:spacing w:after="0" w:line="240" w:lineRule="auto"/>
      </w:pPr>
      <w:r>
        <w:separator/>
      </w:r>
    </w:p>
  </w:footnote>
  <w:footnote w:type="continuationSeparator" w:id="0">
    <w:p w14:paraId="161FAAB0" w14:textId="77777777" w:rsidR="00047CDF" w:rsidRDefault="00047CDF" w:rsidP="00B30448">
      <w:pPr>
        <w:spacing w:after="0" w:line="240" w:lineRule="auto"/>
      </w:pPr>
      <w:r>
        <w:continuationSeparator/>
      </w:r>
    </w:p>
  </w:footnote>
  <w:footnote w:type="continuationNotice" w:id="1">
    <w:p w14:paraId="5A34588A" w14:textId="77777777" w:rsidR="00047CDF" w:rsidRDefault="00047CDF">
      <w:pPr>
        <w:spacing w:after="0" w:line="240" w:lineRule="auto"/>
      </w:pPr>
    </w:p>
  </w:footnote>
  <w:footnote w:id="2">
    <w:p w14:paraId="3657EA8C" w14:textId="65A91F19" w:rsidR="00DB582D" w:rsidRPr="00191A48" w:rsidRDefault="00DB582D" w:rsidP="00DB582D">
      <w:pPr>
        <w:pStyle w:val="Textonotapie"/>
        <w:ind w:firstLine="709"/>
        <w:jc w:val="both"/>
        <w:rPr>
          <w:rFonts w:ascii="Verdana" w:hAnsi="Verdana" w:cs="Arial"/>
          <w:color w:val="000000" w:themeColor="text1"/>
          <w:sz w:val="16"/>
          <w:szCs w:val="16"/>
        </w:rPr>
      </w:pPr>
      <w:r w:rsidRPr="00191A48">
        <w:rPr>
          <w:rStyle w:val="Refdenotaalpie"/>
          <w:rFonts w:ascii="Verdana" w:hAnsi="Verdana" w:cs="Arial"/>
          <w:color w:val="000000" w:themeColor="text1"/>
          <w:sz w:val="16"/>
          <w:szCs w:val="16"/>
        </w:rPr>
        <w:footnoteRef/>
      </w:r>
      <w:r w:rsidRPr="00191A48">
        <w:rPr>
          <w:rFonts w:ascii="Verdana" w:hAnsi="Verdana" w:cs="Arial"/>
          <w:color w:val="000000" w:themeColor="text1"/>
          <w:sz w:val="16"/>
          <w:szCs w:val="16"/>
        </w:rPr>
        <w:t xml:space="preserve"> En los términos del artículo 665 del Código Civil: </w:t>
      </w:r>
      <w:r w:rsidR="00047341">
        <w:rPr>
          <w:rFonts w:ascii="Verdana" w:hAnsi="Verdana" w:cs="Arial"/>
          <w:color w:val="000000" w:themeColor="text1"/>
          <w:sz w:val="16"/>
          <w:szCs w:val="16"/>
        </w:rPr>
        <w:t>“</w:t>
      </w:r>
      <w:r w:rsidRPr="00191A48">
        <w:rPr>
          <w:rFonts w:ascii="Verdana" w:hAnsi="Verdana" w:cs="Arial"/>
          <w:color w:val="000000" w:themeColor="text1"/>
          <w:sz w:val="16"/>
          <w:szCs w:val="16"/>
        </w:rPr>
        <w:t>Derecho real es el que tenemos sobre una cosa sin especto a determinada persona.</w:t>
      </w:r>
    </w:p>
    <w:p w14:paraId="65CDD0B4" w14:textId="7E5228F5" w:rsidR="00DB582D" w:rsidRPr="00191A48" w:rsidRDefault="00DB582D" w:rsidP="00DB582D">
      <w:pPr>
        <w:pStyle w:val="Textonotapie"/>
        <w:ind w:firstLine="709"/>
        <w:jc w:val="both"/>
        <w:rPr>
          <w:rFonts w:ascii="Verdana" w:hAnsi="Verdana" w:cs="Arial"/>
          <w:color w:val="000000" w:themeColor="text1"/>
          <w:sz w:val="16"/>
          <w:szCs w:val="16"/>
        </w:rPr>
      </w:pPr>
      <w:r w:rsidRPr="00191A48">
        <w:rPr>
          <w:rFonts w:ascii="Verdana" w:hAnsi="Verdana" w:cs="Arial"/>
          <w:color w:val="000000" w:themeColor="text1"/>
          <w:sz w:val="16"/>
          <w:szCs w:val="16"/>
        </w:rPr>
        <w:t>Son</w:t>
      </w:r>
      <w:r w:rsidR="00047341">
        <w:rPr>
          <w:rFonts w:ascii="Verdana" w:hAnsi="Verdana" w:cs="Arial"/>
          <w:color w:val="000000" w:themeColor="text1"/>
          <w:sz w:val="16"/>
          <w:szCs w:val="16"/>
        </w:rPr>
        <w:t xml:space="preserve"> </w:t>
      </w:r>
      <w:r w:rsidRPr="00191A48">
        <w:rPr>
          <w:rFonts w:ascii="Verdana" w:hAnsi="Verdana" w:cs="Arial"/>
          <w:color w:val="000000" w:themeColor="text1"/>
          <w:sz w:val="16"/>
          <w:szCs w:val="16"/>
        </w:rPr>
        <w:t>derechos reales el de dominio, el de herencia, los de usufructo, uso o habitación, los de servidumbres activas, el de prenda y el de hipoteca. De estos derechos nacen las acciones reales</w:t>
      </w:r>
      <w:r w:rsidR="00047341">
        <w:rPr>
          <w:rFonts w:ascii="Verdana" w:hAnsi="Verdana" w:cs="Arial"/>
          <w:color w:val="000000" w:themeColor="text1"/>
          <w:sz w:val="16"/>
          <w:szCs w:val="16"/>
        </w:rPr>
        <w:t>”</w:t>
      </w:r>
      <w:r w:rsidRPr="00191A48">
        <w:rPr>
          <w:rFonts w:ascii="Verdana" w:hAnsi="Verdana" w:cs="Arial"/>
          <w:color w:val="000000" w:themeColor="text1"/>
          <w:sz w:val="16"/>
          <w:szCs w:val="16"/>
        </w:rPr>
        <w:t>.</w:t>
      </w:r>
    </w:p>
    <w:p w14:paraId="23CC6D0C" w14:textId="77777777" w:rsidR="00DB582D" w:rsidRPr="00191A48" w:rsidRDefault="00DB582D" w:rsidP="00DB582D">
      <w:pPr>
        <w:pStyle w:val="Textonotapie"/>
        <w:ind w:firstLine="709"/>
        <w:jc w:val="both"/>
        <w:rPr>
          <w:rFonts w:ascii="Verdana" w:hAnsi="Verdana" w:cs="Arial"/>
          <w:color w:val="000000" w:themeColor="text1"/>
          <w:sz w:val="16"/>
          <w:szCs w:val="16"/>
        </w:rPr>
      </w:pPr>
    </w:p>
  </w:footnote>
  <w:footnote w:id="3">
    <w:p w14:paraId="74802F29" w14:textId="3BF2FE3B" w:rsidR="00DB582D" w:rsidRPr="00191A48" w:rsidRDefault="00DB582D" w:rsidP="00DB582D">
      <w:pPr>
        <w:pStyle w:val="Textonotapie"/>
        <w:ind w:firstLine="709"/>
        <w:jc w:val="both"/>
        <w:rPr>
          <w:rFonts w:ascii="Verdana" w:hAnsi="Verdana" w:cs="Arial"/>
          <w:color w:val="000000" w:themeColor="text1"/>
          <w:sz w:val="16"/>
          <w:szCs w:val="16"/>
        </w:rPr>
      </w:pPr>
      <w:r w:rsidRPr="00191A48">
        <w:rPr>
          <w:rStyle w:val="Refdenotaalpie"/>
          <w:rFonts w:ascii="Verdana" w:hAnsi="Verdana" w:cs="Arial"/>
          <w:color w:val="000000" w:themeColor="text1"/>
          <w:sz w:val="16"/>
          <w:szCs w:val="16"/>
        </w:rPr>
        <w:footnoteRef/>
      </w:r>
      <w:r w:rsidRPr="00191A48">
        <w:rPr>
          <w:rFonts w:ascii="Verdana" w:hAnsi="Verdana" w:cs="Arial"/>
          <w:color w:val="000000" w:themeColor="text1"/>
          <w:sz w:val="16"/>
          <w:szCs w:val="16"/>
        </w:rPr>
        <w:t xml:space="preserve"> Según el Diccionario del español jurídico, enajenar es </w:t>
      </w:r>
      <w:r w:rsidR="00047341">
        <w:rPr>
          <w:rFonts w:ascii="Verdana" w:hAnsi="Verdana" w:cs="Arial"/>
          <w:color w:val="000000" w:themeColor="text1"/>
          <w:sz w:val="16"/>
          <w:szCs w:val="16"/>
        </w:rPr>
        <w:t>“</w:t>
      </w:r>
      <w:r w:rsidRPr="00191A48">
        <w:rPr>
          <w:rFonts w:ascii="Verdana" w:hAnsi="Verdana" w:cs="Arial"/>
          <w:color w:val="000000" w:themeColor="text1"/>
          <w:sz w:val="16"/>
          <w:szCs w:val="16"/>
        </w:rPr>
        <w:t>Disponer de un bien o derecho transmitiendo su titularidad</w:t>
      </w:r>
      <w:r w:rsidR="00047341">
        <w:rPr>
          <w:rFonts w:ascii="Verdana" w:hAnsi="Verdana" w:cs="Arial"/>
          <w:color w:val="000000" w:themeColor="text1"/>
          <w:sz w:val="16"/>
          <w:szCs w:val="16"/>
        </w:rPr>
        <w:t>”</w:t>
      </w:r>
      <w:r w:rsidRPr="00191A48">
        <w:rPr>
          <w:rFonts w:ascii="Verdana" w:hAnsi="Verdana" w:cs="Arial"/>
          <w:color w:val="000000" w:themeColor="text1"/>
          <w:sz w:val="16"/>
          <w:szCs w:val="16"/>
        </w:rPr>
        <w:t>. En sitio web: https://dej.rae.es/lema/enajenar. Por su parte, la jurisprudencia ha definido la enajenación del siguiente modo: «En términos jurídicos "enajenación" significa "La transmisión de la propiedad de una cosa, a cambio de otra (como en la compraventa y en la permuta) o gratuitamente (como en la donación y el préstamo sin interés).</w:t>
      </w:r>
    </w:p>
    <w:p w14:paraId="745F4E50" w14:textId="74821BC6" w:rsidR="00DB582D" w:rsidRPr="00191A48" w:rsidRDefault="00DB582D" w:rsidP="00047341">
      <w:pPr>
        <w:ind w:firstLine="709"/>
        <w:jc w:val="both"/>
        <w:rPr>
          <w:rFonts w:ascii="Verdana" w:hAnsi="Verdana" w:cs="Arial"/>
          <w:color w:val="000000" w:themeColor="text1"/>
          <w:sz w:val="16"/>
          <w:szCs w:val="16"/>
        </w:rPr>
      </w:pPr>
      <w:r w:rsidRPr="00191A48">
        <w:rPr>
          <w:rFonts w:ascii="Verdana" w:hAnsi="Verdana" w:cs="Arial"/>
          <w:color w:val="000000" w:themeColor="text1"/>
          <w:sz w:val="16"/>
          <w:szCs w:val="16"/>
        </w:rPr>
        <w:t>Igualmente, para la doctrina la palabra enajenación en su sentido natural indica la transmisión de cualquier derecho patrimonial de una cabeza a otra, por lo que constituye una adquisición derivada por acto entre vivos del contenido total o parcial de un derecho» (Consejo de Estado. Sección Cuarta. Sentencia del 6 de febrero de 2006. Consejera Ponente: María Inés Ortiz Barbosa. Expediente: 14.123).</w:t>
      </w:r>
    </w:p>
  </w:footnote>
  <w:footnote w:id="4">
    <w:p w14:paraId="074C4448" w14:textId="77777777" w:rsidR="00DB582D" w:rsidRPr="00191A48" w:rsidRDefault="00DB582D" w:rsidP="00DB582D">
      <w:pPr>
        <w:pStyle w:val="Textonotapie"/>
        <w:ind w:firstLine="709"/>
        <w:jc w:val="both"/>
        <w:rPr>
          <w:rFonts w:ascii="Verdana" w:hAnsi="Verdana" w:cs="Arial"/>
          <w:color w:val="000000" w:themeColor="text1"/>
          <w:sz w:val="16"/>
          <w:szCs w:val="16"/>
        </w:rPr>
      </w:pPr>
      <w:r w:rsidRPr="00191A48">
        <w:rPr>
          <w:rStyle w:val="Refdenotaalpie"/>
          <w:rFonts w:ascii="Verdana" w:hAnsi="Verdana" w:cs="Arial"/>
          <w:color w:val="000000" w:themeColor="text1"/>
          <w:sz w:val="16"/>
          <w:szCs w:val="16"/>
        </w:rPr>
        <w:footnoteRef/>
      </w:r>
      <w:r w:rsidRPr="00191A48">
        <w:rPr>
          <w:rFonts w:ascii="Verdana" w:hAnsi="Verdana" w:cs="Arial"/>
          <w:color w:val="000000" w:themeColor="text1"/>
          <w:sz w:val="16"/>
          <w:szCs w:val="16"/>
        </w:rPr>
        <w:t xml:space="preserve"> VELÁSQUEZ, Hernán Darío. Estudio sobre obligaciones. Bogotá: Temis, 2010. p. 10.</w:t>
      </w:r>
    </w:p>
    <w:p w14:paraId="13E44351" w14:textId="77777777" w:rsidR="00DB582D" w:rsidRPr="00191A48" w:rsidRDefault="00DB582D" w:rsidP="00DB582D">
      <w:pPr>
        <w:pStyle w:val="Textonotapie"/>
        <w:ind w:firstLine="709"/>
        <w:jc w:val="both"/>
        <w:rPr>
          <w:rFonts w:ascii="Verdana" w:hAnsi="Verdana" w:cs="Arial"/>
          <w:color w:val="000000" w:themeColor="text1"/>
          <w:sz w:val="16"/>
          <w:szCs w:val="16"/>
        </w:rPr>
      </w:pPr>
    </w:p>
  </w:footnote>
  <w:footnote w:id="5">
    <w:p w14:paraId="36F74701" w14:textId="77777777" w:rsidR="00DB582D" w:rsidRPr="00191A48" w:rsidRDefault="00DB582D" w:rsidP="00DB582D">
      <w:pPr>
        <w:pStyle w:val="Textonotapie"/>
        <w:ind w:firstLine="709"/>
        <w:jc w:val="both"/>
        <w:rPr>
          <w:rFonts w:ascii="Verdana" w:hAnsi="Verdana" w:cs="Arial"/>
          <w:color w:val="000000" w:themeColor="text1"/>
          <w:sz w:val="16"/>
          <w:szCs w:val="16"/>
        </w:rPr>
      </w:pPr>
      <w:r w:rsidRPr="00191A48">
        <w:rPr>
          <w:rStyle w:val="Refdenotaalpie"/>
          <w:rFonts w:ascii="Verdana" w:hAnsi="Verdana" w:cs="Arial"/>
          <w:color w:val="000000" w:themeColor="text1"/>
          <w:sz w:val="16"/>
          <w:szCs w:val="16"/>
        </w:rPr>
        <w:footnoteRef/>
      </w:r>
      <w:r w:rsidRPr="00191A48">
        <w:rPr>
          <w:rFonts w:ascii="Verdana" w:hAnsi="Verdana" w:cs="Arial"/>
          <w:color w:val="000000" w:themeColor="text1"/>
          <w:sz w:val="16"/>
          <w:szCs w:val="16"/>
        </w:rPr>
        <w:t xml:space="preserve"> Así, para Dávila, «enajenar es comprensivo de un acto traslaticio de dominio» (DÁVILA, Op.cit., p. 475).</w:t>
      </w:r>
    </w:p>
    <w:p w14:paraId="476BBD44" w14:textId="77777777" w:rsidR="00DB582D" w:rsidRPr="00191A48" w:rsidRDefault="00DB582D" w:rsidP="00DB582D">
      <w:pPr>
        <w:pStyle w:val="Textonotapie"/>
        <w:ind w:firstLine="709"/>
        <w:jc w:val="both"/>
        <w:rPr>
          <w:rFonts w:ascii="Verdana" w:hAnsi="Verdana" w:cs="Arial"/>
          <w:color w:val="000000" w:themeColor="text1"/>
          <w:sz w:val="16"/>
          <w:szCs w:val="16"/>
        </w:rPr>
      </w:pPr>
    </w:p>
  </w:footnote>
  <w:footnote w:id="6">
    <w:p w14:paraId="0B48B39F" w14:textId="4FEB09E7" w:rsidR="00DB582D" w:rsidRPr="00191A48" w:rsidRDefault="00DB582D" w:rsidP="00047341">
      <w:pPr>
        <w:pStyle w:val="Textonotapie"/>
        <w:ind w:firstLine="709"/>
        <w:jc w:val="both"/>
        <w:rPr>
          <w:rFonts w:ascii="Verdana" w:hAnsi="Verdana" w:cs="Arial"/>
          <w:color w:val="000000" w:themeColor="text1"/>
          <w:sz w:val="16"/>
          <w:szCs w:val="16"/>
        </w:rPr>
      </w:pPr>
      <w:r w:rsidRPr="00191A48">
        <w:rPr>
          <w:rStyle w:val="Refdenotaalpie"/>
          <w:rFonts w:ascii="Verdana" w:hAnsi="Verdana" w:cs="Arial"/>
          <w:color w:val="000000" w:themeColor="text1"/>
          <w:sz w:val="16"/>
          <w:szCs w:val="16"/>
        </w:rPr>
        <w:footnoteRef/>
      </w:r>
      <w:r w:rsidRPr="00191A48">
        <w:rPr>
          <w:rFonts w:ascii="Verdana" w:hAnsi="Verdana" w:cs="Arial"/>
          <w:color w:val="000000" w:themeColor="text1"/>
          <w:sz w:val="16"/>
          <w:szCs w:val="16"/>
        </w:rPr>
        <w:t xml:space="preserve"> </w:t>
      </w:r>
      <w:r w:rsidR="00047341">
        <w:rPr>
          <w:rFonts w:ascii="Verdana" w:hAnsi="Verdana" w:cs="Arial"/>
          <w:color w:val="000000" w:themeColor="text1"/>
          <w:sz w:val="16"/>
          <w:szCs w:val="16"/>
        </w:rPr>
        <w:t>“</w:t>
      </w:r>
      <w:r w:rsidRPr="00191A48">
        <w:rPr>
          <w:rFonts w:ascii="Verdana" w:hAnsi="Verdana" w:cs="Arial"/>
          <w:color w:val="000000" w:themeColor="text1"/>
          <w:sz w:val="16"/>
          <w:szCs w:val="16"/>
        </w:rPr>
        <w:t>Los modos de adquirir el dominio son la ocupación, la accesión, la tradición, la sucesión por causa de muerte y la prescripción</w:t>
      </w:r>
      <w:r w:rsidR="00047341">
        <w:rPr>
          <w:rFonts w:ascii="Verdana" w:hAnsi="Verdana" w:cs="Arial"/>
          <w:color w:val="000000" w:themeColor="text1"/>
          <w:sz w:val="16"/>
          <w:szCs w:val="16"/>
        </w:rPr>
        <w:t>”</w:t>
      </w:r>
      <w:r w:rsidRPr="00191A48">
        <w:rPr>
          <w:rFonts w:ascii="Verdana" w:hAnsi="Verdana" w:cs="Arial"/>
          <w:color w:val="000000" w:themeColor="text1"/>
          <w:sz w:val="16"/>
          <w:szCs w:val="16"/>
        </w:rPr>
        <w:t>.</w:t>
      </w:r>
    </w:p>
    <w:p w14:paraId="7F1F8D09" w14:textId="77777777" w:rsidR="00DB582D" w:rsidRPr="00191A48" w:rsidRDefault="00DB582D" w:rsidP="00DB582D">
      <w:pPr>
        <w:pStyle w:val="Textonotapie"/>
        <w:ind w:firstLine="709"/>
        <w:jc w:val="both"/>
        <w:rPr>
          <w:rFonts w:ascii="Verdana" w:hAnsi="Verdana" w:cs="Arial"/>
          <w:color w:val="000000" w:themeColor="text1"/>
          <w:sz w:val="16"/>
          <w:szCs w:val="16"/>
        </w:rPr>
      </w:pPr>
    </w:p>
  </w:footnote>
  <w:footnote w:id="7">
    <w:p w14:paraId="5DBAA5AB" w14:textId="0C95C7E9" w:rsidR="00DB582D" w:rsidRPr="00191A48" w:rsidRDefault="00DB582D" w:rsidP="00047341">
      <w:pPr>
        <w:ind w:firstLine="709"/>
        <w:jc w:val="both"/>
        <w:rPr>
          <w:rFonts w:ascii="Verdana" w:hAnsi="Verdana" w:cs="Arial"/>
          <w:color w:val="000000" w:themeColor="text1"/>
          <w:sz w:val="16"/>
          <w:szCs w:val="16"/>
          <w:lang w:val="es-ES"/>
        </w:rPr>
      </w:pPr>
      <w:r w:rsidRPr="00191A48">
        <w:rPr>
          <w:rStyle w:val="Refdenotaalpie"/>
          <w:rFonts w:ascii="Verdana" w:hAnsi="Verdana" w:cs="Arial"/>
          <w:color w:val="000000" w:themeColor="text1"/>
          <w:sz w:val="16"/>
          <w:szCs w:val="16"/>
        </w:rPr>
        <w:footnoteRef/>
      </w:r>
      <w:r w:rsidRPr="00191A48">
        <w:rPr>
          <w:rFonts w:ascii="Verdana" w:hAnsi="Verdana" w:cs="Arial"/>
          <w:color w:val="000000" w:themeColor="text1"/>
          <w:sz w:val="16"/>
          <w:szCs w:val="16"/>
        </w:rPr>
        <w:t xml:space="preserve"> </w:t>
      </w:r>
      <w:r w:rsidRPr="00191A48">
        <w:rPr>
          <w:rFonts w:ascii="Verdana" w:hAnsi="Verdana" w:cs="Arial"/>
          <w:color w:val="000000" w:themeColor="text1"/>
          <w:sz w:val="16"/>
          <w:szCs w:val="16"/>
          <w:lang w:val="es-ES"/>
        </w:rPr>
        <w:t>Según el artículo 749 del Código Civil «Si la ley exige solemnidades especiales para la enajenación, no se transfiere el dominio sin ellas».</w:t>
      </w:r>
    </w:p>
  </w:footnote>
  <w:footnote w:id="8">
    <w:p w14:paraId="52F84B45" w14:textId="4EFABF07" w:rsidR="00DB582D" w:rsidRPr="00047341" w:rsidRDefault="00DB582D" w:rsidP="00047341">
      <w:pPr>
        <w:ind w:firstLine="708"/>
        <w:jc w:val="both"/>
        <w:rPr>
          <w:rFonts w:ascii="Verdana" w:hAnsi="Verdana" w:cs="Arial"/>
          <w:color w:val="000000" w:themeColor="text1"/>
          <w:sz w:val="16"/>
          <w:szCs w:val="16"/>
        </w:rPr>
      </w:pPr>
      <w:r w:rsidRPr="00191A48">
        <w:rPr>
          <w:rStyle w:val="Refdenotaalpie"/>
          <w:rFonts w:ascii="Verdana" w:hAnsi="Verdana" w:cs="Arial"/>
          <w:sz w:val="16"/>
          <w:szCs w:val="16"/>
        </w:rPr>
        <w:footnoteRef/>
      </w:r>
      <w:r w:rsidRPr="00191A48">
        <w:rPr>
          <w:rFonts w:ascii="Verdana" w:hAnsi="Verdana" w:cs="Arial"/>
          <w:sz w:val="16"/>
          <w:szCs w:val="16"/>
        </w:rPr>
        <w:t xml:space="preserve"> </w:t>
      </w:r>
      <w:r w:rsidRPr="00191A48">
        <w:rPr>
          <w:rFonts w:ascii="Verdana" w:hAnsi="Verdana" w:cs="Arial"/>
          <w:color w:val="000000" w:themeColor="text1"/>
          <w:sz w:val="16"/>
          <w:szCs w:val="16"/>
        </w:rPr>
        <w:t>Corte Constitucional. Sala Plena. M.P. Alfredo Beltrán Sierra. Sentencia C-183 de 2003. Expediente D-4244.</w:t>
      </w:r>
    </w:p>
  </w:footnote>
  <w:footnote w:id="9">
    <w:p w14:paraId="1A6C78AD" w14:textId="77777777" w:rsidR="00DB582D" w:rsidRPr="00191A48" w:rsidRDefault="00DB582D" w:rsidP="00047341">
      <w:pPr>
        <w:pStyle w:val="Textonotapie"/>
        <w:ind w:firstLine="709"/>
        <w:jc w:val="both"/>
        <w:rPr>
          <w:rFonts w:ascii="Verdana" w:hAnsi="Verdana" w:cs="Arial"/>
          <w:sz w:val="16"/>
          <w:szCs w:val="16"/>
          <w:lang w:val="es-ES"/>
        </w:rPr>
      </w:pPr>
      <w:r w:rsidRPr="00191A48">
        <w:rPr>
          <w:rStyle w:val="Refdenotaalpie"/>
          <w:rFonts w:ascii="Verdana" w:hAnsi="Verdana" w:cs="Arial"/>
          <w:sz w:val="16"/>
          <w:szCs w:val="16"/>
        </w:rPr>
        <w:footnoteRef/>
      </w:r>
      <w:r w:rsidRPr="00191A48">
        <w:rPr>
          <w:rFonts w:ascii="Verdana" w:hAnsi="Verdana" w:cs="Arial"/>
          <w:sz w:val="16"/>
          <w:szCs w:val="16"/>
        </w:rPr>
        <w:t xml:space="preserve"> </w:t>
      </w:r>
      <w:r w:rsidRPr="00191A48">
        <w:rPr>
          <w:rFonts w:ascii="Verdana" w:hAnsi="Verdana" w:cs="Arial"/>
          <w:sz w:val="16"/>
          <w:szCs w:val="16"/>
          <w:lang w:val="es-ES"/>
        </w:rPr>
        <w:t>Ibídem</w:t>
      </w:r>
    </w:p>
  </w:footnote>
  <w:footnote w:id="10">
    <w:p w14:paraId="4E5E39D2" w14:textId="77777777" w:rsidR="00DB582D" w:rsidRPr="00191A48" w:rsidRDefault="00DB582D" w:rsidP="00DB582D">
      <w:pPr>
        <w:pStyle w:val="Textonotapie"/>
        <w:jc w:val="both"/>
        <w:rPr>
          <w:rFonts w:ascii="Verdana" w:hAnsi="Verdana" w:cs="Arial"/>
          <w:color w:val="000000" w:themeColor="text1"/>
          <w:sz w:val="16"/>
          <w:szCs w:val="16"/>
        </w:rPr>
      </w:pPr>
    </w:p>
    <w:p w14:paraId="0FDD173E" w14:textId="77777777" w:rsidR="00DB582D" w:rsidRPr="00191A48" w:rsidRDefault="00DB582D" w:rsidP="00DB582D">
      <w:pPr>
        <w:pStyle w:val="Textonotapie"/>
        <w:ind w:firstLine="708"/>
        <w:jc w:val="both"/>
        <w:rPr>
          <w:rFonts w:ascii="Verdana" w:hAnsi="Verdana" w:cs="Arial"/>
          <w:color w:val="000000" w:themeColor="text1"/>
          <w:sz w:val="16"/>
          <w:szCs w:val="16"/>
        </w:rPr>
      </w:pPr>
      <w:r w:rsidRPr="00191A48">
        <w:rPr>
          <w:rStyle w:val="Refdenotaalpie"/>
          <w:rFonts w:ascii="Verdana" w:hAnsi="Verdana" w:cs="Arial"/>
          <w:color w:val="000000" w:themeColor="text1"/>
          <w:sz w:val="16"/>
          <w:szCs w:val="16"/>
        </w:rPr>
        <w:footnoteRef/>
      </w:r>
      <w:r w:rsidRPr="00191A48">
        <w:rPr>
          <w:rFonts w:ascii="Verdana" w:hAnsi="Verdana" w:cs="Arial"/>
          <w:color w:val="000000" w:themeColor="text1"/>
          <w:sz w:val="16"/>
          <w:szCs w:val="16"/>
        </w:rPr>
        <w:t xml:space="preserve"> Consejo de Estado. Sala de lo Contencioso Administrativo. Sección Tercera. Sentencia del 30 de abril de 2012. Expediente 21.699. C.P. Ruth Stella Correa Palacio. </w:t>
      </w:r>
    </w:p>
  </w:footnote>
  <w:footnote w:id="11">
    <w:p w14:paraId="2FD152DB" w14:textId="77777777" w:rsidR="00DB582D" w:rsidRPr="00191A48" w:rsidRDefault="00DB582D" w:rsidP="00DB582D">
      <w:pPr>
        <w:ind w:firstLine="708"/>
        <w:jc w:val="both"/>
        <w:rPr>
          <w:rFonts w:ascii="Verdana" w:hAnsi="Verdana" w:cs="Arial"/>
          <w:color w:val="000000" w:themeColor="text1"/>
          <w:sz w:val="16"/>
          <w:szCs w:val="16"/>
        </w:rPr>
      </w:pPr>
    </w:p>
    <w:p w14:paraId="0C647148" w14:textId="77777777" w:rsidR="00DB582D" w:rsidRPr="00191A48" w:rsidRDefault="00DB582D" w:rsidP="00DB582D">
      <w:pPr>
        <w:ind w:firstLine="708"/>
        <w:jc w:val="both"/>
        <w:rPr>
          <w:rFonts w:ascii="Verdana" w:hAnsi="Verdana" w:cs="Arial"/>
          <w:color w:val="000000" w:themeColor="text1"/>
          <w:sz w:val="16"/>
          <w:szCs w:val="16"/>
        </w:rPr>
      </w:pPr>
      <w:r w:rsidRPr="00191A48">
        <w:rPr>
          <w:rStyle w:val="Refdenotaalpie"/>
          <w:rFonts w:ascii="Verdana" w:hAnsi="Verdana" w:cs="Arial"/>
          <w:color w:val="000000" w:themeColor="text1"/>
          <w:sz w:val="16"/>
          <w:szCs w:val="16"/>
        </w:rPr>
        <w:footnoteRef/>
      </w:r>
      <w:r w:rsidRPr="00191A48">
        <w:rPr>
          <w:rFonts w:ascii="Verdana" w:hAnsi="Verdana" w:cs="Arial"/>
          <w:color w:val="000000" w:themeColor="text1"/>
          <w:sz w:val="16"/>
          <w:szCs w:val="16"/>
        </w:rPr>
        <w:t xml:space="preserve"> Consejo de Estado.  Sala de lo Contencioso Administrativo. Sección Tercera. Sentencia del 19 de julio de 2018, Expediente 36.711. C.P. Carlos Alberto Zambrano Barrera.</w:t>
      </w:r>
    </w:p>
  </w:footnote>
  <w:footnote w:id="12">
    <w:p w14:paraId="6587FB70" w14:textId="32946087" w:rsidR="00DB582D" w:rsidRPr="00191A48" w:rsidRDefault="00DB582D" w:rsidP="00191A48">
      <w:pPr>
        <w:ind w:firstLine="708"/>
        <w:jc w:val="both"/>
        <w:rPr>
          <w:rFonts w:ascii="Verdana" w:hAnsi="Verdana" w:cs="Arial"/>
          <w:sz w:val="16"/>
          <w:szCs w:val="16"/>
        </w:rPr>
      </w:pPr>
      <w:r w:rsidRPr="00191A48">
        <w:rPr>
          <w:rStyle w:val="Refdenotaalpie"/>
          <w:rFonts w:ascii="Verdana" w:hAnsi="Verdana" w:cs="Arial"/>
          <w:color w:val="000000" w:themeColor="text1"/>
          <w:sz w:val="16"/>
          <w:szCs w:val="16"/>
        </w:rPr>
        <w:footnoteRef/>
      </w:r>
      <w:r w:rsidRPr="00191A48">
        <w:rPr>
          <w:rFonts w:ascii="Verdana" w:hAnsi="Verdana" w:cs="Arial"/>
          <w:color w:val="000000" w:themeColor="text1"/>
          <w:sz w:val="16"/>
          <w:szCs w:val="16"/>
        </w:rPr>
        <w:t xml:space="preserve"> Corte Constitucional. Sala Plena. M.P. Alfredo Beltrán Sierra. Sentencia C-183 de 2003. Expediente D-4244</w:t>
      </w:r>
    </w:p>
  </w:footnote>
  <w:footnote w:id="13">
    <w:p w14:paraId="1B510FCA" w14:textId="28A32EFE" w:rsidR="001E6EF9" w:rsidRPr="00191A48" w:rsidRDefault="007A37F7" w:rsidP="00191A48">
      <w:pPr>
        <w:pStyle w:val="Textonotapie"/>
        <w:ind w:firstLine="709"/>
        <w:rPr>
          <w:rFonts w:ascii="Verdana" w:hAnsi="Verdana"/>
          <w:sz w:val="16"/>
          <w:szCs w:val="16"/>
          <w:lang w:val="es-CO"/>
        </w:rPr>
      </w:pPr>
      <w:r w:rsidRPr="00191A48">
        <w:rPr>
          <w:rStyle w:val="Refdenotaalpie"/>
          <w:rFonts w:ascii="Verdana" w:hAnsi="Verdana"/>
          <w:sz w:val="16"/>
          <w:szCs w:val="16"/>
        </w:rPr>
        <w:footnoteRef/>
      </w:r>
      <w:r w:rsidRPr="00191A48">
        <w:rPr>
          <w:rFonts w:ascii="Verdana" w:hAnsi="Verdana"/>
          <w:sz w:val="16"/>
          <w:szCs w:val="16"/>
        </w:rPr>
        <w:t xml:space="preserve"> </w:t>
      </w:r>
      <w:r w:rsidR="001E6EF9" w:rsidRPr="00191A48">
        <w:rPr>
          <w:rFonts w:ascii="Verdana" w:hAnsi="Verdana"/>
          <w:sz w:val="16"/>
          <w:szCs w:val="16"/>
        </w:rPr>
        <w:t>e) La enajenación de bienes del Estado, con excepción de aquellos a que se refiere la Ley 226 de 1995.</w:t>
      </w:r>
    </w:p>
    <w:p w14:paraId="0FD7893C" w14:textId="77777777" w:rsidR="001E6EF9" w:rsidRPr="00191A48" w:rsidRDefault="001E6EF9" w:rsidP="001E6EF9">
      <w:pPr>
        <w:pStyle w:val="Textonotapie"/>
        <w:jc w:val="both"/>
        <w:rPr>
          <w:rFonts w:ascii="Verdana" w:hAnsi="Verdana"/>
          <w:sz w:val="16"/>
          <w:szCs w:val="16"/>
        </w:rPr>
      </w:pPr>
    </w:p>
    <w:p w14:paraId="5AB875E6" w14:textId="77777777" w:rsidR="001E6EF9" w:rsidRPr="00191A48" w:rsidRDefault="001E6EF9" w:rsidP="00191A48">
      <w:pPr>
        <w:pStyle w:val="Textonotapie"/>
        <w:ind w:firstLine="709"/>
        <w:jc w:val="both"/>
        <w:rPr>
          <w:rFonts w:ascii="Verdana" w:hAnsi="Verdana"/>
          <w:sz w:val="16"/>
          <w:szCs w:val="16"/>
        </w:rPr>
      </w:pPr>
      <w:r w:rsidRPr="00191A48">
        <w:rPr>
          <w:rFonts w:ascii="Verdana" w:hAnsi="Verdana"/>
          <w:sz w:val="16"/>
          <w:szCs w:val="16"/>
        </w:rPr>
        <w:t>En los procesos de enajenación de los bienes del Estado se podrán utilizar instrumentos de subasta y en general de todos aquellos mecanismos autorizados por el derecho privado, siempre y cuando en desarrollo del proceso de enajenación se garantice la transparencia, la eficiencia y la selección objetiva.</w:t>
      </w:r>
    </w:p>
    <w:p w14:paraId="718FCDBF" w14:textId="77777777" w:rsidR="001E6EF9" w:rsidRPr="00191A48" w:rsidRDefault="001E6EF9" w:rsidP="001E6EF9">
      <w:pPr>
        <w:pStyle w:val="Textonotapie"/>
        <w:jc w:val="both"/>
        <w:rPr>
          <w:rFonts w:ascii="Verdana" w:hAnsi="Verdana"/>
          <w:sz w:val="16"/>
          <w:szCs w:val="16"/>
        </w:rPr>
      </w:pPr>
    </w:p>
    <w:p w14:paraId="34D50662" w14:textId="77777777" w:rsidR="001E6EF9" w:rsidRPr="00191A48" w:rsidRDefault="001E6EF9" w:rsidP="00191A48">
      <w:pPr>
        <w:pStyle w:val="Textonotapie"/>
        <w:ind w:firstLine="709"/>
        <w:jc w:val="both"/>
        <w:rPr>
          <w:rFonts w:ascii="Verdana" w:hAnsi="Verdana"/>
          <w:sz w:val="16"/>
          <w:szCs w:val="16"/>
        </w:rPr>
      </w:pPr>
      <w:r w:rsidRPr="00191A48">
        <w:rPr>
          <w:rFonts w:ascii="Verdana" w:hAnsi="Verdana"/>
          <w:sz w:val="16"/>
          <w:szCs w:val="16"/>
        </w:rPr>
        <w:t>En todo caso, para la venta de los bienes se debe tener como base el valor del avalúo comercial y ajustar dicho avalúo de acuerdo a los gastos asociados al tiempo de comercialización esperada, administración, impuestos y mantenimiento, para determinar el precio mínimo al que se debe enajenar el bien, de conformidad con la reglamentación que para el efecto expida el Gobierno Nacional.</w:t>
      </w:r>
    </w:p>
    <w:p w14:paraId="6B62A9F3" w14:textId="77777777" w:rsidR="001E6EF9" w:rsidRPr="00191A48" w:rsidRDefault="001E6EF9" w:rsidP="001E6EF9">
      <w:pPr>
        <w:pStyle w:val="Textonotapie"/>
        <w:jc w:val="both"/>
        <w:rPr>
          <w:rFonts w:ascii="Verdana" w:hAnsi="Verdana"/>
          <w:sz w:val="16"/>
          <w:szCs w:val="16"/>
        </w:rPr>
      </w:pPr>
    </w:p>
    <w:p w14:paraId="431ED300" w14:textId="77777777" w:rsidR="001E6EF9" w:rsidRPr="00191A48" w:rsidRDefault="001E6EF9" w:rsidP="00191A48">
      <w:pPr>
        <w:pStyle w:val="Textonotapie"/>
        <w:ind w:firstLine="709"/>
        <w:jc w:val="both"/>
        <w:rPr>
          <w:rFonts w:ascii="Verdana" w:hAnsi="Verdana"/>
          <w:sz w:val="16"/>
          <w:szCs w:val="16"/>
        </w:rPr>
      </w:pPr>
      <w:r w:rsidRPr="00191A48">
        <w:rPr>
          <w:rFonts w:ascii="Verdana" w:hAnsi="Verdana"/>
          <w:sz w:val="16"/>
          <w:szCs w:val="16"/>
        </w:rPr>
        <w:t>La enajenación de los bienes que formen parte del Fondo para la Rehabilitación, Inversión Social y Lucha contra el Crimen Organizado, Frisco, se hará por la Dirección Nacional de Estupefacientes, observando los principios del artículo 209 de la Constitución Política y la reglamentación que expida el Gobierno Nacional, teniendo en cuenta las recomendaciones que para el efecto imparta el Consejo Nacional de Estupefacientes.</w:t>
      </w:r>
    </w:p>
    <w:p w14:paraId="10918D6E" w14:textId="77777777" w:rsidR="001E6EF9" w:rsidRPr="00191A48" w:rsidRDefault="001E6EF9" w:rsidP="001E6EF9">
      <w:pPr>
        <w:pStyle w:val="Textonotapie"/>
        <w:jc w:val="both"/>
        <w:rPr>
          <w:rFonts w:ascii="Verdana" w:hAnsi="Verdana"/>
          <w:sz w:val="16"/>
          <w:szCs w:val="16"/>
        </w:rPr>
      </w:pPr>
    </w:p>
    <w:p w14:paraId="3AEB740D" w14:textId="77777777" w:rsidR="001E6EF9" w:rsidRPr="00191A48" w:rsidRDefault="001E6EF9" w:rsidP="00191A48">
      <w:pPr>
        <w:pStyle w:val="Textonotapie"/>
        <w:ind w:firstLine="709"/>
        <w:jc w:val="both"/>
        <w:rPr>
          <w:rFonts w:ascii="Verdana" w:hAnsi="Verdana"/>
          <w:sz w:val="16"/>
          <w:szCs w:val="16"/>
        </w:rPr>
      </w:pPr>
      <w:r w:rsidRPr="00191A48">
        <w:rPr>
          <w:rFonts w:ascii="Verdana" w:hAnsi="Verdana"/>
          <w:sz w:val="16"/>
          <w:szCs w:val="16"/>
        </w:rPr>
        <w:t>El Reglamento deberá determinar la forma de selección, a través de invitación pública de los profesionales inmobiliarios, que actuarán como promotores de las ventas, que a su vez, a efecto de avalúos de los bienes, se servirán de avaluadores debidamente inscritos en el Registro Nacional de Avaluadores y quienes responderán por sus actos solidariamente con los promotores.</w:t>
      </w:r>
    </w:p>
    <w:p w14:paraId="75CFEE50" w14:textId="77777777" w:rsidR="001E6EF9" w:rsidRPr="00191A48" w:rsidRDefault="001E6EF9" w:rsidP="001E6EF9">
      <w:pPr>
        <w:pStyle w:val="Textonotapie"/>
        <w:jc w:val="both"/>
        <w:rPr>
          <w:rFonts w:ascii="Verdana" w:hAnsi="Verdana"/>
          <w:sz w:val="16"/>
          <w:szCs w:val="16"/>
        </w:rPr>
      </w:pPr>
    </w:p>
    <w:p w14:paraId="39E25538" w14:textId="59C6C48F" w:rsidR="001E6EF9" w:rsidRPr="00191A48" w:rsidRDefault="001E6EF9" w:rsidP="00191A48">
      <w:pPr>
        <w:pStyle w:val="Textonotapie"/>
        <w:ind w:firstLine="709"/>
        <w:jc w:val="both"/>
        <w:rPr>
          <w:rFonts w:ascii="Verdana" w:hAnsi="Verdana"/>
          <w:sz w:val="16"/>
          <w:szCs w:val="16"/>
        </w:rPr>
      </w:pPr>
      <w:r w:rsidRPr="00191A48">
        <w:rPr>
          <w:rFonts w:ascii="Verdana" w:hAnsi="Verdana"/>
          <w:sz w:val="16"/>
          <w:szCs w:val="16"/>
        </w:rPr>
        <w:t>Las reglas y procedimientos que deberán atender la administración y los promotores y la publicidad del proceso deberán garantizar la libre concurrencia y oportunidad de quienes participen en el mismo.</w:t>
      </w:r>
    </w:p>
    <w:p w14:paraId="07EC4387" w14:textId="77777777" w:rsidR="00191A48" w:rsidRPr="00191A48" w:rsidRDefault="00191A48" w:rsidP="00191A48">
      <w:pPr>
        <w:pStyle w:val="Textonotapie"/>
        <w:jc w:val="both"/>
        <w:rPr>
          <w:rFonts w:ascii="Verdana" w:hAnsi="Verdana"/>
          <w:sz w:val="16"/>
          <w:szCs w:val="16"/>
        </w:rPr>
      </w:pPr>
    </w:p>
    <w:p w14:paraId="3AEC0855" w14:textId="77777777" w:rsidR="001E6EF9" w:rsidRPr="00191A48" w:rsidRDefault="001E6EF9" w:rsidP="00191A48">
      <w:pPr>
        <w:pStyle w:val="Textonotapie"/>
        <w:ind w:firstLine="709"/>
        <w:jc w:val="both"/>
        <w:rPr>
          <w:rFonts w:ascii="Verdana" w:hAnsi="Verdana"/>
          <w:sz w:val="16"/>
          <w:szCs w:val="16"/>
        </w:rPr>
      </w:pPr>
      <w:r w:rsidRPr="00191A48">
        <w:rPr>
          <w:rFonts w:ascii="Verdana" w:hAnsi="Verdana"/>
          <w:sz w:val="16"/>
          <w:szCs w:val="16"/>
        </w:rPr>
        <w:t>Los bienes serán enajenados a través de venta directa en sobre cerrado o en pública subasta. La adjudicación para la venta directa deberá hacerse en audiencia pública, en donde se conozcan las ofertas iniciales y se efectúe un segundo ofrecimiento, frente al cual se adjudicará el bien a quien oferte el mejor precio. En la subasta pública, de acuerdo con el reglamento definido para su realización, el bien será adjudicado al mejor postor.</w:t>
      </w:r>
    </w:p>
    <w:p w14:paraId="0C086732" w14:textId="77777777" w:rsidR="001E6EF9" w:rsidRPr="00191A48" w:rsidRDefault="001E6EF9" w:rsidP="00191A48">
      <w:pPr>
        <w:pStyle w:val="Textonotapie"/>
        <w:jc w:val="both"/>
        <w:rPr>
          <w:rFonts w:ascii="Verdana" w:hAnsi="Verdana"/>
          <w:sz w:val="16"/>
          <w:szCs w:val="16"/>
        </w:rPr>
      </w:pPr>
    </w:p>
    <w:p w14:paraId="71C83C06" w14:textId="396B9320" w:rsidR="007A37F7" w:rsidRPr="00191A48" w:rsidRDefault="001E6EF9" w:rsidP="00191A48">
      <w:pPr>
        <w:pStyle w:val="Textonotapie"/>
        <w:ind w:firstLine="709"/>
        <w:jc w:val="both"/>
        <w:rPr>
          <w:rFonts w:ascii="Verdana" w:hAnsi="Verdana"/>
          <w:sz w:val="16"/>
          <w:szCs w:val="16"/>
          <w:lang w:val="es-CO"/>
        </w:rPr>
      </w:pPr>
      <w:r w:rsidRPr="00191A48">
        <w:rPr>
          <w:rFonts w:ascii="Verdana" w:hAnsi="Verdana"/>
          <w:sz w:val="16"/>
          <w:szCs w:val="16"/>
        </w:rPr>
        <w:t>La venta implica la publicación previa de los bienes en un diario de amplia circulación nacional, con la determinación del precio base. El interesado en adquirir bienes deberá consignar al menos el 20% del valor base de venta para participar en la oferta;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49BFF" w14:textId="77777777" w:rsidR="00006F59" w:rsidRDefault="00006F59" w:rsidP="00006F59">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4812B632" wp14:editId="2E35C64A">
          <wp:simplePos x="0" y="0"/>
          <wp:positionH relativeFrom="margin">
            <wp:align>center</wp:align>
          </wp:positionH>
          <wp:positionV relativeFrom="paragraph">
            <wp:posOffset>-250190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8240" behindDoc="0" locked="0" layoutInCell="1" allowOverlap="1" wp14:anchorId="292DC36A" wp14:editId="6004C65E">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34B171C2" w14:textId="77777777" w:rsidR="00006F59" w:rsidRDefault="00006F59" w:rsidP="00006F59">
    <w:pPr>
      <w:pStyle w:val="Encabezado"/>
      <w:jc w:val="center"/>
    </w:pPr>
  </w:p>
  <w:p w14:paraId="1665FD71" w14:textId="77777777" w:rsidR="00006F59" w:rsidRDefault="00006F59" w:rsidP="00006F59">
    <w:pPr>
      <w:pStyle w:val="Encabezado"/>
    </w:pPr>
  </w:p>
  <w:p w14:paraId="61B882FC" w14:textId="77777777" w:rsidR="00006F59" w:rsidRDefault="00006F59" w:rsidP="00006F59">
    <w:pPr>
      <w:spacing w:after="0"/>
      <w:rPr>
        <w:rFonts w:ascii="Verdana" w:hAnsi="Verdana"/>
        <w:b/>
        <w:bCs/>
        <w:sz w:val="24"/>
        <w:szCs w:val="24"/>
      </w:rPr>
    </w:pPr>
  </w:p>
  <w:p w14:paraId="701A9D55" w14:textId="29EB49FC" w:rsidR="00006F59" w:rsidRPr="00A211EE" w:rsidRDefault="00006F59" w:rsidP="001918F1">
    <w:pPr>
      <w:tabs>
        <w:tab w:val="left" w:pos="6217"/>
      </w:tabs>
      <w:spacing w:after="0"/>
      <w:rPr>
        <w:rFonts w:ascii="Verdana" w:hAnsi="Verdana"/>
        <w:b/>
        <w:bCs/>
        <w:sz w:val="24"/>
        <w:szCs w:val="24"/>
      </w:rPr>
    </w:pPr>
    <w:r w:rsidRPr="00A211EE">
      <w:rPr>
        <w:rFonts w:ascii="Verdana" w:hAnsi="Verdana"/>
        <w:b/>
        <w:bCs/>
        <w:sz w:val="24"/>
        <w:szCs w:val="24"/>
      </w:rPr>
      <w:t>FORMATO PQRSD</w:t>
    </w:r>
  </w:p>
  <w:p w14:paraId="68E0C024" w14:textId="62811F13" w:rsidR="00B30448" w:rsidRPr="00006F59" w:rsidRDefault="00B30448" w:rsidP="00006F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5FB293F"/>
    <w:multiLevelType w:val="multilevel"/>
    <w:tmpl w:val="0564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D63F5"/>
    <w:multiLevelType w:val="hybridMultilevel"/>
    <w:tmpl w:val="F538EEB4"/>
    <w:lvl w:ilvl="0" w:tplc="DB68C6FA">
      <w:numFmt w:val="bullet"/>
      <w:lvlText w:val="-"/>
      <w:lvlJc w:val="left"/>
      <w:pPr>
        <w:ind w:left="1069" w:hanging="360"/>
      </w:pPr>
      <w:rPr>
        <w:rFonts w:ascii="Verdana" w:eastAsia="Calibri" w:hAnsi="Verdana"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 w15:restartNumberingAfterBreak="0">
    <w:nsid w:val="2A497730"/>
    <w:multiLevelType w:val="multilevel"/>
    <w:tmpl w:val="7558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FAE5CC4"/>
    <w:multiLevelType w:val="hybridMultilevel"/>
    <w:tmpl w:val="4274E4EA"/>
    <w:lvl w:ilvl="0" w:tplc="779C095A">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77681820"/>
    <w:multiLevelType w:val="hybridMultilevel"/>
    <w:tmpl w:val="978A04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DD23916"/>
    <w:multiLevelType w:val="multilevel"/>
    <w:tmpl w:val="89F2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0140246">
    <w:abstractNumId w:val="0"/>
  </w:num>
  <w:num w:numId="2" w16cid:durableId="1492209491">
    <w:abstractNumId w:val="4"/>
  </w:num>
  <w:num w:numId="3" w16cid:durableId="679089576">
    <w:abstractNumId w:val="5"/>
  </w:num>
  <w:num w:numId="4" w16cid:durableId="893472101">
    <w:abstractNumId w:val="2"/>
  </w:num>
  <w:num w:numId="5" w16cid:durableId="120923485">
    <w:abstractNumId w:val="1"/>
  </w:num>
  <w:num w:numId="6" w16cid:durableId="1178350876">
    <w:abstractNumId w:val="6"/>
  </w:num>
  <w:num w:numId="7" w16cid:durableId="262541512">
    <w:abstractNumId w:val="7"/>
  </w:num>
  <w:num w:numId="8" w16cid:durableId="277570398">
    <w:abstractNumId w:val="3"/>
  </w:num>
  <w:num w:numId="9" w16cid:durableId="19822999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2D55"/>
    <w:rsid w:val="000059AE"/>
    <w:rsid w:val="00005BB0"/>
    <w:rsid w:val="00005C08"/>
    <w:rsid w:val="000066E6"/>
    <w:rsid w:val="00006F59"/>
    <w:rsid w:val="00006F93"/>
    <w:rsid w:val="0001025F"/>
    <w:rsid w:val="0001155E"/>
    <w:rsid w:val="00011613"/>
    <w:rsid w:val="0001222D"/>
    <w:rsid w:val="00013B3F"/>
    <w:rsid w:val="00016280"/>
    <w:rsid w:val="00016F04"/>
    <w:rsid w:val="0002083C"/>
    <w:rsid w:val="000219D1"/>
    <w:rsid w:val="00021C3A"/>
    <w:rsid w:val="0002202D"/>
    <w:rsid w:val="000267DD"/>
    <w:rsid w:val="00030B3D"/>
    <w:rsid w:val="00030BFB"/>
    <w:rsid w:val="00031EAF"/>
    <w:rsid w:val="00033390"/>
    <w:rsid w:val="000361EA"/>
    <w:rsid w:val="000369C0"/>
    <w:rsid w:val="00036E27"/>
    <w:rsid w:val="00036F9C"/>
    <w:rsid w:val="00037A8B"/>
    <w:rsid w:val="000408AD"/>
    <w:rsid w:val="00041469"/>
    <w:rsid w:val="00042B71"/>
    <w:rsid w:val="00042DD7"/>
    <w:rsid w:val="000442CC"/>
    <w:rsid w:val="00044B24"/>
    <w:rsid w:val="00046DC1"/>
    <w:rsid w:val="00047341"/>
    <w:rsid w:val="00047CDF"/>
    <w:rsid w:val="00050C95"/>
    <w:rsid w:val="00050CAD"/>
    <w:rsid w:val="000526A8"/>
    <w:rsid w:val="00052C00"/>
    <w:rsid w:val="00053626"/>
    <w:rsid w:val="0005420B"/>
    <w:rsid w:val="0005620B"/>
    <w:rsid w:val="00057392"/>
    <w:rsid w:val="000577D3"/>
    <w:rsid w:val="00057963"/>
    <w:rsid w:val="000579AB"/>
    <w:rsid w:val="00060F19"/>
    <w:rsid w:val="00061C31"/>
    <w:rsid w:val="0006223F"/>
    <w:rsid w:val="000622B9"/>
    <w:rsid w:val="00063375"/>
    <w:rsid w:val="00063727"/>
    <w:rsid w:val="00064721"/>
    <w:rsid w:val="00065C6D"/>
    <w:rsid w:val="000660CD"/>
    <w:rsid w:val="00066646"/>
    <w:rsid w:val="00066A9F"/>
    <w:rsid w:val="00066C7A"/>
    <w:rsid w:val="00067108"/>
    <w:rsid w:val="000716AB"/>
    <w:rsid w:val="00071AB8"/>
    <w:rsid w:val="0007243A"/>
    <w:rsid w:val="00073024"/>
    <w:rsid w:val="00074510"/>
    <w:rsid w:val="00074CA6"/>
    <w:rsid w:val="000762C0"/>
    <w:rsid w:val="0007676F"/>
    <w:rsid w:val="00076C2B"/>
    <w:rsid w:val="00076F81"/>
    <w:rsid w:val="00080D93"/>
    <w:rsid w:val="00085A6F"/>
    <w:rsid w:val="00087073"/>
    <w:rsid w:val="000870EF"/>
    <w:rsid w:val="000878E7"/>
    <w:rsid w:val="00087B05"/>
    <w:rsid w:val="00087C01"/>
    <w:rsid w:val="0009000D"/>
    <w:rsid w:val="00090075"/>
    <w:rsid w:val="000903E4"/>
    <w:rsid w:val="00091D73"/>
    <w:rsid w:val="000933BC"/>
    <w:rsid w:val="000934C3"/>
    <w:rsid w:val="00093544"/>
    <w:rsid w:val="00094663"/>
    <w:rsid w:val="00095410"/>
    <w:rsid w:val="00096637"/>
    <w:rsid w:val="00097347"/>
    <w:rsid w:val="000975FA"/>
    <w:rsid w:val="00097CA2"/>
    <w:rsid w:val="000A1F38"/>
    <w:rsid w:val="000A2030"/>
    <w:rsid w:val="000A413A"/>
    <w:rsid w:val="000A524F"/>
    <w:rsid w:val="000A5356"/>
    <w:rsid w:val="000A5EFB"/>
    <w:rsid w:val="000B1FF7"/>
    <w:rsid w:val="000B2529"/>
    <w:rsid w:val="000B2B7C"/>
    <w:rsid w:val="000B2C62"/>
    <w:rsid w:val="000B381D"/>
    <w:rsid w:val="000B4024"/>
    <w:rsid w:val="000B688A"/>
    <w:rsid w:val="000C02AD"/>
    <w:rsid w:val="000C060A"/>
    <w:rsid w:val="000C09DF"/>
    <w:rsid w:val="000C0AA8"/>
    <w:rsid w:val="000C42A9"/>
    <w:rsid w:val="000C557B"/>
    <w:rsid w:val="000C5CF4"/>
    <w:rsid w:val="000C5F29"/>
    <w:rsid w:val="000C6B4C"/>
    <w:rsid w:val="000D0372"/>
    <w:rsid w:val="000D0BEA"/>
    <w:rsid w:val="000D2914"/>
    <w:rsid w:val="000D2AE8"/>
    <w:rsid w:val="000D3A1B"/>
    <w:rsid w:val="000D4455"/>
    <w:rsid w:val="000D570C"/>
    <w:rsid w:val="000D5A0F"/>
    <w:rsid w:val="000D5B1E"/>
    <w:rsid w:val="000D5E3F"/>
    <w:rsid w:val="000D6532"/>
    <w:rsid w:val="000E0622"/>
    <w:rsid w:val="000E1D6F"/>
    <w:rsid w:val="000E3381"/>
    <w:rsid w:val="000E3744"/>
    <w:rsid w:val="000E3CD9"/>
    <w:rsid w:val="000F0144"/>
    <w:rsid w:val="000F0493"/>
    <w:rsid w:val="000F0807"/>
    <w:rsid w:val="000F10B6"/>
    <w:rsid w:val="000F1AD8"/>
    <w:rsid w:val="000F2F4C"/>
    <w:rsid w:val="000F38D9"/>
    <w:rsid w:val="000F414C"/>
    <w:rsid w:val="000F64FC"/>
    <w:rsid w:val="000F6583"/>
    <w:rsid w:val="000F718E"/>
    <w:rsid w:val="00100207"/>
    <w:rsid w:val="001010D3"/>
    <w:rsid w:val="00101C11"/>
    <w:rsid w:val="00102F4F"/>
    <w:rsid w:val="00103421"/>
    <w:rsid w:val="001034DD"/>
    <w:rsid w:val="0011037E"/>
    <w:rsid w:val="00110F73"/>
    <w:rsid w:val="00111E35"/>
    <w:rsid w:val="001128B4"/>
    <w:rsid w:val="00112EBD"/>
    <w:rsid w:val="001132C2"/>
    <w:rsid w:val="00113AF2"/>
    <w:rsid w:val="001159AD"/>
    <w:rsid w:val="00116616"/>
    <w:rsid w:val="00116FC5"/>
    <w:rsid w:val="00117BBD"/>
    <w:rsid w:val="00121E9E"/>
    <w:rsid w:val="00122164"/>
    <w:rsid w:val="00123DA7"/>
    <w:rsid w:val="001248AB"/>
    <w:rsid w:val="00124B2E"/>
    <w:rsid w:val="00125D81"/>
    <w:rsid w:val="0012611D"/>
    <w:rsid w:val="0012661F"/>
    <w:rsid w:val="001269B0"/>
    <w:rsid w:val="00127D5B"/>
    <w:rsid w:val="00131A1F"/>
    <w:rsid w:val="00131A66"/>
    <w:rsid w:val="0013343F"/>
    <w:rsid w:val="001344F9"/>
    <w:rsid w:val="00135F76"/>
    <w:rsid w:val="001363C7"/>
    <w:rsid w:val="00136E87"/>
    <w:rsid w:val="00140793"/>
    <w:rsid w:val="00142191"/>
    <w:rsid w:val="001422BD"/>
    <w:rsid w:val="0014286D"/>
    <w:rsid w:val="00143B8E"/>
    <w:rsid w:val="00143F21"/>
    <w:rsid w:val="0014420C"/>
    <w:rsid w:val="001446C3"/>
    <w:rsid w:val="00145630"/>
    <w:rsid w:val="00151465"/>
    <w:rsid w:val="00151AD8"/>
    <w:rsid w:val="00153287"/>
    <w:rsid w:val="00153C33"/>
    <w:rsid w:val="001548B7"/>
    <w:rsid w:val="00154CD5"/>
    <w:rsid w:val="00155EF1"/>
    <w:rsid w:val="00156192"/>
    <w:rsid w:val="00156D27"/>
    <w:rsid w:val="00156E57"/>
    <w:rsid w:val="0015710D"/>
    <w:rsid w:val="00157DEB"/>
    <w:rsid w:val="00161171"/>
    <w:rsid w:val="00161847"/>
    <w:rsid w:val="00161E13"/>
    <w:rsid w:val="00162B8D"/>
    <w:rsid w:val="00164803"/>
    <w:rsid w:val="00164AE0"/>
    <w:rsid w:val="00165768"/>
    <w:rsid w:val="0016646A"/>
    <w:rsid w:val="00167C43"/>
    <w:rsid w:val="001703DE"/>
    <w:rsid w:val="0017120C"/>
    <w:rsid w:val="00172323"/>
    <w:rsid w:val="00172C96"/>
    <w:rsid w:val="00172DDC"/>
    <w:rsid w:val="00172F3A"/>
    <w:rsid w:val="00173477"/>
    <w:rsid w:val="0017414F"/>
    <w:rsid w:val="00174636"/>
    <w:rsid w:val="00174BD8"/>
    <w:rsid w:val="001752B9"/>
    <w:rsid w:val="001763D1"/>
    <w:rsid w:val="0017667E"/>
    <w:rsid w:val="00176AE8"/>
    <w:rsid w:val="00177B2B"/>
    <w:rsid w:val="00177E95"/>
    <w:rsid w:val="001811FC"/>
    <w:rsid w:val="00183F50"/>
    <w:rsid w:val="00186037"/>
    <w:rsid w:val="00186D14"/>
    <w:rsid w:val="001918F1"/>
    <w:rsid w:val="0019196E"/>
    <w:rsid w:val="00191A48"/>
    <w:rsid w:val="00191FF5"/>
    <w:rsid w:val="001926D7"/>
    <w:rsid w:val="00192CCE"/>
    <w:rsid w:val="00192FE9"/>
    <w:rsid w:val="0019385B"/>
    <w:rsid w:val="00193F1C"/>
    <w:rsid w:val="00195B81"/>
    <w:rsid w:val="00196131"/>
    <w:rsid w:val="00197205"/>
    <w:rsid w:val="001A2D8F"/>
    <w:rsid w:val="001A3D89"/>
    <w:rsid w:val="001A3F68"/>
    <w:rsid w:val="001A44DD"/>
    <w:rsid w:val="001A54DA"/>
    <w:rsid w:val="001A5789"/>
    <w:rsid w:val="001A6861"/>
    <w:rsid w:val="001B143B"/>
    <w:rsid w:val="001B1777"/>
    <w:rsid w:val="001B19C5"/>
    <w:rsid w:val="001B1B6D"/>
    <w:rsid w:val="001B1C93"/>
    <w:rsid w:val="001B21CA"/>
    <w:rsid w:val="001B47A4"/>
    <w:rsid w:val="001B5A00"/>
    <w:rsid w:val="001B5F59"/>
    <w:rsid w:val="001B63A7"/>
    <w:rsid w:val="001B6EBF"/>
    <w:rsid w:val="001C0461"/>
    <w:rsid w:val="001C1074"/>
    <w:rsid w:val="001C20B3"/>
    <w:rsid w:val="001C25F5"/>
    <w:rsid w:val="001C4249"/>
    <w:rsid w:val="001C5EC0"/>
    <w:rsid w:val="001C6573"/>
    <w:rsid w:val="001C6785"/>
    <w:rsid w:val="001C7D03"/>
    <w:rsid w:val="001D0D32"/>
    <w:rsid w:val="001D17C9"/>
    <w:rsid w:val="001D1AB9"/>
    <w:rsid w:val="001D2337"/>
    <w:rsid w:val="001D2756"/>
    <w:rsid w:val="001D3795"/>
    <w:rsid w:val="001D4006"/>
    <w:rsid w:val="001D54BD"/>
    <w:rsid w:val="001D60B7"/>
    <w:rsid w:val="001D626E"/>
    <w:rsid w:val="001D733B"/>
    <w:rsid w:val="001E0902"/>
    <w:rsid w:val="001E1801"/>
    <w:rsid w:val="001E2531"/>
    <w:rsid w:val="001E3A17"/>
    <w:rsid w:val="001E3FCB"/>
    <w:rsid w:val="001E6B9E"/>
    <w:rsid w:val="001E6BCB"/>
    <w:rsid w:val="001E6EF9"/>
    <w:rsid w:val="001E7FBC"/>
    <w:rsid w:val="001F0822"/>
    <w:rsid w:val="001F15F6"/>
    <w:rsid w:val="001F179C"/>
    <w:rsid w:val="001F228B"/>
    <w:rsid w:val="001F2649"/>
    <w:rsid w:val="001F3496"/>
    <w:rsid w:val="001F3548"/>
    <w:rsid w:val="001F41CA"/>
    <w:rsid w:val="001F4355"/>
    <w:rsid w:val="001F61DE"/>
    <w:rsid w:val="002000AA"/>
    <w:rsid w:val="00200A99"/>
    <w:rsid w:val="0020302A"/>
    <w:rsid w:val="002032A0"/>
    <w:rsid w:val="00203532"/>
    <w:rsid w:val="00204106"/>
    <w:rsid w:val="00204109"/>
    <w:rsid w:val="00205335"/>
    <w:rsid w:val="002059E3"/>
    <w:rsid w:val="00212390"/>
    <w:rsid w:val="00212897"/>
    <w:rsid w:val="0021386A"/>
    <w:rsid w:val="00215516"/>
    <w:rsid w:val="00216B06"/>
    <w:rsid w:val="00216EFA"/>
    <w:rsid w:val="0021798E"/>
    <w:rsid w:val="0022180C"/>
    <w:rsid w:val="002221CD"/>
    <w:rsid w:val="002225AB"/>
    <w:rsid w:val="002250D1"/>
    <w:rsid w:val="002267D2"/>
    <w:rsid w:val="002307B6"/>
    <w:rsid w:val="00230839"/>
    <w:rsid w:val="00232178"/>
    <w:rsid w:val="00232D12"/>
    <w:rsid w:val="00232DD1"/>
    <w:rsid w:val="002353E3"/>
    <w:rsid w:val="00235F30"/>
    <w:rsid w:val="00236287"/>
    <w:rsid w:val="002407CE"/>
    <w:rsid w:val="00243A38"/>
    <w:rsid w:val="00243D5E"/>
    <w:rsid w:val="0024474F"/>
    <w:rsid w:val="002450F2"/>
    <w:rsid w:val="00245B7F"/>
    <w:rsid w:val="002469C2"/>
    <w:rsid w:val="00247BDE"/>
    <w:rsid w:val="002514FA"/>
    <w:rsid w:val="002521BD"/>
    <w:rsid w:val="0025249C"/>
    <w:rsid w:val="00252503"/>
    <w:rsid w:val="00252ED7"/>
    <w:rsid w:val="00254A7A"/>
    <w:rsid w:val="00254EA4"/>
    <w:rsid w:val="002550A7"/>
    <w:rsid w:val="0025575F"/>
    <w:rsid w:val="002571E3"/>
    <w:rsid w:val="00260496"/>
    <w:rsid w:val="00260542"/>
    <w:rsid w:val="00260A38"/>
    <w:rsid w:val="00261651"/>
    <w:rsid w:val="00264C7C"/>
    <w:rsid w:val="00267C53"/>
    <w:rsid w:val="00270443"/>
    <w:rsid w:val="00270EE2"/>
    <w:rsid w:val="00272A7B"/>
    <w:rsid w:val="00273527"/>
    <w:rsid w:val="002747EF"/>
    <w:rsid w:val="00274B06"/>
    <w:rsid w:val="00274F3C"/>
    <w:rsid w:val="002769AE"/>
    <w:rsid w:val="00276CE2"/>
    <w:rsid w:val="0027765A"/>
    <w:rsid w:val="00284793"/>
    <w:rsid w:val="00285237"/>
    <w:rsid w:val="00285E3F"/>
    <w:rsid w:val="00286BFE"/>
    <w:rsid w:val="00286C81"/>
    <w:rsid w:val="0028709F"/>
    <w:rsid w:val="002870F5"/>
    <w:rsid w:val="00290119"/>
    <w:rsid w:val="002908F8"/>
    <w:rsid w:val="00291EC3"/>
    <w:rsid w:val="00295002"/>
    <w:rsid w:val="002971F2"/>
    <w:rsid w:val="00297785"/>
    <w:rsid w:val="00297ECA"/>
    <w:rsid w:val="002A0444"/>
    <w:rsid w:val="002A0F8D"/>
    <w:rsid w:val="002A264B"/>
    <w:rsid w:val="002A4B33"/>
    <w:rsid w:val="002A5311"/>
    <w:rsid w:val="002A59AE"/>
    <w:rsid w:val="002B05D1"/>
    <w:rsid w:val="002B0A72"/>
    <w:rsid w:val="002B1933"/>
    <w:rsid w:val="002B20BD"/>
    <w:rsid w:val="002B28EA"/>
    <w:rsid w:val="002B3A46"/>
    <w:rsid w:val="002B3F1C"/>
    <w:rsid w:val="002B4EF4"/>
    <w:rsid w:val="002B6CA2"/>
    <w:rsid w:val="002B6E44"/>
    <w:rsid w:val="002B726F"/>
    <w:rsid w:val="002B7A68"/>
    <w:rsid w:val="002C103C"/>
    <w:rsid w:val="002C10B3"/>
    <w:rsid w:val="002C12C7"/>
    <w:rsid w:val="002C30F0"/>
    <w:rsid w:val="002C3640"/>
    <w:rsid w:val="002C3E53"/>
    <w:rsid w:val="002C401A"/>
    <w:rsid w:val="002C4918"/>
    <w:rsid w:val="002C67DA"/>
    <w:rsid w:val="002C6D15"/>
    <w:rsid w:val="002C7E5B"/>
    <w:rsid w:val="002D0907"/>
    <w:rsid w:val="002D0E9E"/>
    <w:rsid w:val="002D2D68"/>
    <w:rsid w:val="002D342D"/>
    <w:rsid w:val="002D38D9"/>
    <w:rsid w:val="002D4012"/>
    <w:rsid w:val="002D7417"/>
    <w:rsid w:val="002E26E8"/>
    <w:rsid w:val="002E38D8"/>
    <w:rsid w:val="002E3DD8"/>
    <w:rsid w:val="002E5A01"/>
    <w:rsid w:val="002E6727"/>
    <w:rsid w:val="002E717C"/>
    <w:rsid w:val="002E7A61"/>
    <w:rsid w:val="002F0106"/>
    <w:rsid w:val="002F03C8"/>
    <w:rsid w:val="002F188D"/>
    <w:rsid w:val="002F18A5"/>
    <w:rsid w:val="002F317F"/>
    <w:rsid w:val="002F40AF"/>
    <w:rsid w:val="002F6D2E"/>
    <w:rsid w:val="002F7AA9"/>
    <w:rsid w:val="00301C0D"/>
    <w:rsid w:val="00301CB1"/>
    <w:rsid w:val="00302A61"/>
    <w:rsid w:val="00305087"/>
    <w:rsid w:val="00311B66"/>
    <w:rsid w:val="00311D22"/>
    <w:rsid w:val="003126D5"/>
    <w:rsid w:val="00314FAF"/>
    <w:rsid w:val="003162A5"/>
    <w:rsid w:val="00316591"/>
    <w:rsid w:val="00320C6D"/>
    <w:rsid w:val="00321FFD"/>
    <w:rsid w:val="00322E18"/>
    <w:rsid w:val="00323F8A"/>
    <w:rsid w:val="00326011"/>
    <w:rsid w:val="00327069"/>
    <w:rsid w:val="00327AFB"/>
    <w:rsid w:val="00327D10"/>
    <w:rsid w:val="0033595E"/>
    <w:rsid w:val="0033601B"/>
    <w:rsid w:val="00340039"/>
    <w:rsid w:val="0034024F"/>
    <w:rsid w:val="00340DFB"/>
    <w:rsid w:val="003417FA"/>
    <w:rsid w:val="00341941"/>
    <w:rsid w:val="0034278F"/>
    <w:rsid w:val="00343B47"/>
    <w:rsid w:val="00343FC4"/>
    <w:rsid w:val="0034404F"/>
    <w:rsid w:val="00344ACC"/>
    <w:rsid w:val="00345647"/>
    <w:rsid w:val="00345F01"/>
    <w:rsid w:val="003463DA"/>
    <w:rsid w:val="0034654F"/>
    <w:rsid w:val="00347685"/>
    <w:rsid w:val="00351E21"/>
    <w:rsid w:val="0035200F"/>
    <w:rsid w:val="00352327"/>
    <w:rsid w:val="00354405"/>
    <w:rsid w:val="0035635F"/>
    <w:rsid w:val="00356BFD"/>
    <w:rsid w:val="003607EE"/>
    <w:rsid w:val="003617AE"/>
    <w:rsid w:val="003630F7"/>
    <w:rsid w:val="003651AC"/>
    <w:rsid w:val="00365E28"/>
    <w:rsid w:val="00366120"/>
    <w:rsid w:val="003661FF"/>
    <w:rsid w:val="00366A0C"/>
    <w:rsid w:val="00367462"/>
    <w:rsid w:val="00370507"/>
    <w:rsid w:val="00372A01"/>
    <w:rsid w:val="003733DF"/>
    <w:rsid w:val="003751C7"/>
    <w:rsid w:val="00375C84"/>
    <w:rsid w:val="00376524"/>
    <w:rsid w:val="00380DBB"/>
    <w:rsid w:val="003819F5"/>
    <w:rsid w:val="00381D47"/>
    <w:rsid w:val="003835F0"/>
    <w:rsid w:val="003853ED"/>
    <w:rsid w:val="00386313"/>
    <w:rsid w:val="0039082A"/>
    <w:rsid w:val="0039101F"/>
    <w:rsid w:val="00393EEE"/>
    <w:rsid w:val="0039493D"/>
    <w:rsid w:val="00394E4F"/>
    <w:rsid w:val="00395752"/>
    <w:rsid w:val="00395D99"/>
    <w:rsid w:val="003968DF"/>
    <w:rsid w:val="003A3927"/>
    <w:rsid w:val="003A6E29"/>
    <w:rsid w:val="003B1844"/>
    <w:rsid w:val="003B2041"/>
    <w:rsid w:val="003B211E"/>
    <w:rsid w:val="003B24EA"/>
    <w:rsid w:val="003B3FF1"/>
    <w:rsid w:val="003B4217"/>
    <w:rsid w:val="003B5716"/>
    <w:rsid w:val="003B57F9"/>
    <w:rsid w:val="003B71F4"/>
    <w:rsid w:val="003B7F07"/>
    <w:rsid w:val="003C0965"/>
    <w:rsid w:val="003C0F87"/>
    <w:rsid w:val="003C141E"/>
    <w:rsid w:val="003C1B83"/>
    <w:rsid w:val="003C21B3"/>
    <w:rsid w:val="003C3503"/>
    <w:rsid w:val="003C40DE"/>
    <w:rsid w:val="003C4851"/>
    <w:rsid w:val="003C4C96"/>
    <w:rsid w:val="003C55E0"/>
    <w:rsid w:val="003C5E39"/>
    <w:rsid w:val="003C6DF9"/>
    <w:rsid w:val="003D0079"/>
    <w:rsid w:val="003D0398"/>
    <w:rsid w:val="003D10EC"/>
    <w:rsid w:val="003D29B9"/>
    <w:rsid w:val="003D37B6"/>
    <w:rsid w:val="003D7709"/>
    <w:rsid w:val="003E0E25"/>
    <w:rsid w:val="003E1409"/>
    <w:rsid w:val="003E1F2E"/>
    <w:rsid w:val="003E2CCE"/>
    <w:rsid w:val="003E723C"/>
    <w:rsid w:val="003E73BC"/>
    <w:rsid w:val="003E7912"/>
    <w:rsid w:val="003F06B7"/>
    <w:rsid w:val="003F162C"/>
    <w:rsid w:val="003F5717"/>
    <w:rsid w:val="003F5A39"/>
    <w:rsid w:val="003F5B56"/>
    <w:rsid w:val="003F5B9F"/>
    <w:rsid w:val="003F6A6A"/>
    <w:rsid w:val="003F738D"/>
    <w:rsid w:val="00402E56"/>
    <w:rsid w:val="00403634"/>
    <w:rsid w:val="00404592"/>
    <w:rsid w:val="00404B58"/>
    <w:rsid w:val="00404B7A"/>
    <w:rsid w:val="0040544F"/>
    <w:rsid w:val="0040625C"/>
    <w:rsid w:val="00411B17"/>
    <w:rsid w:val="0041222D"/>
    <w:rsid w:val="00412F2D"/>
    <w:rsid w:val="00413248"/>
    <w:rsid w:val="00413F2C"/>
    <w:rsid w:val="00417083"/>
    <w:rsid w:val="00417215"/>
    <w:rsid w:val="0042057C"/>
    <w:rsid w:val="00420787"/>
    <w:rsid w:val="00421608"/>
    <w:rsid w:val="0042261E"/>
    <w:rsid w:val="00422749"/>
    <w:rsid w:val="004233DC"/>
    <w:rsid w:val="00424B32"/>
    <w:rsid w:val="00432F78"/>
    <w:rsid w:val="004334A2"/>
    <w:rsid w:val="00434723"/>
    <w:rsid w:val="00437657"/>
    <w:rsid w:val="00437D17"/>
    <w:rsid w:val="00437D2F"/>
    <w:rsid w:val="004401B9"/>
    <w:rsid w:val="0044046D"/>
    <w:rsid w:val="004410D3"/>
    <w:rsid w:val="00441DAF"/>
    <w:rsid w:val="00443A34"/>
    <w:rsid w:val="00443D38"/>
    <w:rsid w:val="00444140"/>
    <w:rsid w:val="00444F43"/>
    <w:rsid w:val="00450054"/>
    <w:rsid w:val="00450744"/>
    <w:rsid w:val="00450BE7"/>
    <w:rsid w:val="0045230E"/>
    <w:rsid w:val="004528FA"/>
    <w:rsid w:val="00452D67"/>
    <w:rsid w:val="00452E53"/>
    <w:rsid w:val="00453739"/>
    <w:rsid w:val="00455702"/>
    <w:rsid w:val="00455B00"/>
    <w:rsid w:val="00455B97"/>
    <w:rsid w:val="00456BFD"/>
    <w:rsid w:val="004576A4"/>
    <w:rsid w:val="004607D0"/>
    <w:rsid w:val="00460CE3"/>
    <w:rsid w:val="004612A4"/>
    <w:rsid w:val="00464BF1"/>
    <w:rsid w:val="004676E4"/>
    <w:rsid w:val="00467790"/>
    <w:rsid w:val="00470C48"/>
    <w:rsid w:val="00471429"/>
    <w:rsid w:val="00473C0A"/>
    <w:rsid w:val="00474415"/>
    <w:rsid w:val="0047550D"/>
    <w:rsid w:val="004762D8"/>
    <w:rsid w:val="00477459"/>
    <w:rsid w:val="0048026E"/>
    <w:rsid w:val="004807A9"/>
    <w:rsid w:val="00481318"/>
    <w:rsid w:val="004813EE"/>
    <w:rsid w:val="00482CDC"/>
    <w:rsid w:val="004834D9"/>
    <w:rsid w:val="00483B03"/>
    <w:rsid w:val="00485702"/>
    <w:rsid w:val="004867EC"/>
    <w:rsid w:val="00487662"/>
    <w:rsid w:val="004876C6"/>
    <w:rsid w:val="00487D7B"/>
    <w:rsid w:val="00490F7A"/>
    <w:rsid w:val="00490FD5"/>
    <w:rsid w:val="00491241"/>
    <w:rsid w:val="00491813"/>
    <w:rsid w:val="00492AA7"/>
    <w:rsid w:val="00492B75"/>
    <w:rsid w:val="00492CA3"/>
    <w:rsid w:val="00493278"/>
    <w:rsid w:val="004959B1"/>
    <w:rsid w:val="00497575"/>
    <w:rsid w:val="0049764B"/>
    <w:rsid w:val="004A08FB"/>
    <w:rsid w:val="004A0AD9"/>
    <w:rsid w:val="004A0B15"/>
    <w:rsid w:val="004A12C0"/>
    <w:rsid w:val="004A191A"/>
    <w:rsid w:val="004A1A70"/>
    <w:rsid w:val="004A419E"/>
    <w:rsid w:val="004A476F"/>
    <w:rsid w:val="004A6B58"/>
    <w:rsid w:val="004A7F06"/>
    <w:rsid w:val="004B06C3"/>
    <w:rsid w:val="004B0B09"/>
    <w:rsid w:val="004B140F"/>
    <w:rsid w:val="004B53F1"/>
    <w:rsid w:val="004B5D6E"/>
    <w:rsid w:val="004B60BA"/>
    <w:rsid w:val="004C016E"/>
    <w:rsid w:val="004C11B6"/>
    <w:rsid w:val="004C1619"/>
    <w:rsid w:val="004C1B59"/>
    <w:rsid w:val="004C3E31"/>
    <w:rsid w:val="004C3E59"/>
    <w:rsid w:val="004C4EA2"/>
    <w:rsid w:val="004C596B"/>
    <w:rsid w:val="004C60E7"/>
    <w:rsid w:val="004C704C"/>
    <w:rsid w:val="004D020F"/>
    <w:rsid w:val="004D03D1"/>
    <w:rsid w:val="004D11AF"/>
    <w:rsid w:val="004D40A8"/>
    <w:rsid w:val="004D502C"/>
    <w:rsid w:val="004D5B3E"/>
    <w:rsid w:val="004D60A3"/>
    <w:rsid w:val="004E016A"/>
    <w:rsid w:val="004E0461"/>
    <w:rsid w:val="004E29B1"/>
    <w:rsid w:val="004E2E2A"/>
    <w:rsid w:val="004E461B"/>
    <w:rsid w:val="004E477D"/>
    <w:rsid w:val="004E54AE"/>
    <w:rsid w:val="004E5890"/>
    <w:rsid w:val="004E7B33"/>
    <w:rsid w:val="004F01B1"/>
    <w:rsid w:val="004F0D19"/>
    <w:rsid w:val="004F121B"/>
    <w:rsid w:val="004F2811"/>
    <w:rsid w:val="004F54A3"/>
    <w:rsid w:val="004F60F4"/>
    <w:rsid w:val="004F62E8"/>
    <w:rsid w:val="004F78B1"/>
    <w:rsid w:val="004F78F8"/>
    <w:rsid w:val="005001A5"/>
    <w:rsid w:val="00500958"/>
    <w:rsid w:val="005019AA"/>
    <w:rsid w:val="00501F0D"/>
    <w:rsid w:val="0050386D"/>
    <w:rsid w:val="00503C3B"/>
    <w:rsid w:val="00503CE7"/>
    <w:rsid w:val="005042DB"/>
    <w:rsid w:val="0050458E"/>
    <w:rsid w:val="00510452"/>
    <w:rsid w:val="005108EC"/>
    <w:rsid w:val="00514272"/>
    <w:rsid w:val="005147DA"/>
    <w:rsid w:val="005153C3"/>
    <w:rsid w:val="00515745"/>
    <w:rsid w:val="00515862"/>
    <w:rsid w:val="00516518"/>
    <w:rsid w:val="00516942"/>
    <w:rsid w:val="00516DC0"/>
    <w:rsid w:val="0051740E"/>
    <w:rsid w:val="005207D7"/>
    <w:rsid w:val="005233F3"/>
    <w:rsid w:val="0052365C"/>
    <w:rsid w:val="005245D2"/>
    <w:rsid w:val="00524C98"/>
    <w:rsid w:val="00524C9C"/>
    <w:rsid w:val="00524EDD"/>
    <w:rsid w:val="00525B59"/>
    <w:rsid w:val="0052647F"/>
    <w:rsid w:val="005269C4"/>
    <w:rsid w:val="00530F6D"/>
    <w:rsid w:val="00533193"/>
    <w:rsid w:val="00533DBF"/>
    <w:rsid w:val="00536442"/>
    <w:rsid w:val="00536919"/>
    <w:rsid w:val="005415DD"/>
    <w:rsid w:val="0054236A"/>
    <w:rsid w:val="005423F3"/>
    <w:rsid w:val="005426DB"/>
    <w:rsid w:val="00542C2D"/>
    <w:rsid w:val="005432A9"/>
    <w:rsid w:val="00545857"/>
    <w:rsid w:val="00550113"/>
    <w:rsid w:val="0055082B"/>
    <w:rsid w:val="00550F00"/>
    <w:rsid w:val="00551ED7"/>
    <w:rsid w:val="0055211C"/>
    <w:rsid w:val="0055263A"/>
    <w:rsid w:val="00552B57"/>
    <w:rsid w:val="00553E34"/>
    <w:rsid w:val="005551E9"/>
    <w:rsid w:val="0055786C"/>
    <w:rsid w:val="00560995"/>
    <w:rsid w:val="00560C62"/>
    <w:rsid w:val="00562A61"/>
    <w:rsid w:val="005652D5"/>
    <w:rsid w:val="00565698"/>
    <w:rsid w:val="00565F4B"/>
    <w:rsid w:val="0056672C"/>
    <w:rsid w:val="00567494"/>
    <w:rsid w:val="00571BC2"/>
    <w:rsid w:val="00571CF1"/>
    <w:rsid w:val="00574614"/>
    <w:rsid w:val="00574A70"/>
    <w:rsid w:val="005759D1"/>
    <w:rsid w:val="00575C75"/>
    <w:rsid w:val="00576795"/>
    <w:rsid w:val="00577AC3"/>
    <w:rsid w:val="00577D57"/>
    <w:rsid w:val="00577FF1"/>
    <w:rsid w:val="005811EC"/>
    <w:rsid w:val="005815A8"/>
    <w:rsid w:val="00581E37"/>
    <w:rsid w:val="00583431"/>
    <w:rsid w:val="005846C0"/>
    <w:rsid w:val="00584D04"/>
    <w:rsid w:val="0058567E"/>
    <w:rsid w:val="0058610C"/>
    <w:rsid w:val="0058659E"/>
    <w:rsid w:val="005872DD"/>
    <w:rsid w:val="00587D3A"/>
    <w:rsid w:val="00590346"/>
    <w:rsid w:val="00590E93"/>
    <w:rsid w:val="005915E1"/>
    <w:rsid w:val="00591C75"/>
    <w:rsid w:val="00592A87"/>
    <w:rsid w:val="00592D10"/>
    <w:rsid w:val="00593A5F"/>
    <w:rsid w:val="0059404E"/>
    <w:rsid w:val="00594269"/>
    <w:rsid w:val="00594E32"/>
    <w:rsid w:val="00595539"/>
    <w:rsid w:val="005A2E02"/>
    <w:rsid w:val="005A3E82"/>
    <w:rsid w:val="005A4DB0"/>
    <w:rsid w:val="005A5597"/>
    <w:rsid w:val="005A6AC2"/>
    <w:rsid w:val="005A7A65"/>
    <w:rsid w:val="005A7B26"/>
    <w:rsid w:val="005A7B8E"/>
    <w:rsid w:val="005B012B"/>
    <w:rsid w:val="005B0C87"/>
    <w:rsid w:val="005B0D20"/>
    <w:rsid w:val="005B2195"/>
    <w:rsid w:val="005B2441"/>
    <w:rsid w:val="005B2D65"/>
    <w:rsid w:val="005B3877"/>
    <w:rsid w:val="005B3CC1"/>
    <w:rsid w:val="005B442C"/>
    <w:rsid w:val="005B45AB"/>
    <w:rsid w:val="005B4D8F"/>
    <w:rsid w:val="005B610B"/>
    <w:rsid w:val="005B6162"/>
    <w:rsid w:val="005B6551"/>
    <w:rsid w:val="005B7007"/>
    <w:rsid w:val="005B71A8"/>
    <w:rsid w:val="005C3D2C"/>
    <w:rsid w:val="005C3E9E"/>
    <w:rsid w:val="005C410C"/>
    <w:rsid w:val="005C4BF1"/>
    <w:rsid w:val="005C4BF2"/>
    <w:rsid w:val="005C5BED"/>
    <w:rsid w:val="005C5D86"/>
    <w:rsid w:val="005C6167"/>
    <w:rsid w:val="005C6EE2"/>
    <w:rsid w:val="005C7A07"/>
    <w:rsid w:val="005C7DDC"/>
    <w:rsid w:val="005D123A"/>
    <w:rsid w:val="005D2506"/>
    <w:rsid w:val="005D3A00"/>
    <w:rsid w:val="005D4923"/>
    <w:rsid w:val="005D5605"/>
    <w:rsid w:val="005D5B5E"/>
    <w:rsid w:val="005D5C85"/>
    <w:rsid w:val="005D70D3"/>
    <w:rsid w:val="005D72FC"/>
    <w:rsid w:val="005E035A"/>
    <w:rsid w:val="005E1218"/>
    <w:rsid w:val="005E1444"/>
    <w:rsid w:val="005E1B6B"/>
    <w:rsid w:val="005E1DB7"/>
    <w:rsid w:val="005E2281"/>
    <w:rsid w:val="005E347B"/>
    <w:rsid w:val="005E38A8"/>
    <w:rsid w:val="005E39F9"/>
    <w:rsid w:val="005E55BB"/>
    <w:rsid w:val="005E58E0"/>
    <w:rsid w:val="005E5D11"/>
    <w:rsid w:val="005E667C"/>
    <w:rsid w:val="005E6A1D"/>
    <w:rsid w:val="005E6CA4"/>
    <w:rsid w:val="005E6F12"/>
    <w:rsid w:val="005F077C"/>
    <w:rsid w:val="005F1627"/>
    <w:rsid w:val="005F3678"/>
    <w:rsid w:val="005F3CE8"/>
    <w:rsid w:val="005F4F41"/>
    <w:rsid w:val="005F56DB"/>
    <w:rsid w:val="005F68C3"/>
    <w:rsid w:val="00601E94"/>
    <w:rsid w:val="006021B1"/>
    <w:rsid w:val="006037C5"/>
    <w:rsid w:val="006040CE"/>
    <w:rsid w:val="0060467D"/>
    <w:rsid w:val="00605B9D"/>
    <w:rsid w:val="0060676F"/>
    <w:rsid w:val="00606B57"/>
    <w:rsid w:val="00606B85"/>
    <w:rsid w:val="00607390"/>
    <w:rsid w:val="006076D8"/>
    <w:rsid w:val="00607E6D"/>
    <w:rsid w:val="00611565"/>
    <w:rsid w:val="00612871"/>
    <w:rsid w:val="00612A8E"/>
    <w:rsid w:val="006135DA"/>
    <w:rsid w:val="006155E2"/>
    <w:rsid w:val="00615F26"/>
    <w:rsid w:val="00620579"/>
    <w:rsid w:val="00621FB4"/>
    <w:rsid w:val="00623BC7"/>
    <w:rsid w:val="006241D0"/>
    <w:rsid w:val="00625434"/>
    <w:rsid w:val="00626032"/>
    <w:rsid w:val="00626743"/>
    <w:rsid w:val="00627643"/>
    <w:rsid w:val="00627788"/>
    <w:rsid w:val="006300CD"/>
    <w:rsid w:val="0063017E"/>
    <w:rsid w:val="006306D3"/>
    <w:rsid w:val="00631D4F"/>
    <w:rsid w:val="00633496"/>
    <w:rsid w:val="006338D2"/>
    <w:rsid w:val="00635FD8"/>
    <w:rsid w:val="00636F7B"/>
    <w:rsid w:val="006378BE"/>
    <w:rsid w:val="0064019C"/>
    <w:rsid w:val="00640288"/>
    <w:rsid w:val="006403F6"/>
    <w:rsid w:val="006405AC"/>
    <w:rsid w:val="00640606"/>
    <w:rsid w:val="006413D8"/>
    <w:rsid w:val="00641C55"/>
    <w:rsid w:val="00642405"/>
    <w:rsid w:val="00642645"/>
    <w:rsid w:val="00644833"/>
    <w:rsid w:val="00644BED"/>
    <w:rsid w:val="006467F5"/>
    <w:rsid w:val="00652092"/>
    <w:rsid w:val="00652472"/>
    <w:rsid w:val="006556BD"/>
    <w:rsid w:val="00656385"/>
    <w:rsid w:val="0066039A"/>
    <w:rsid w:val="00660DBE"/>
    <w:rsid w:val="0066127D"/>
    <w:rsid w:val="006619B9"/>
    <w:rsid w:val="00661AEE"/>
    <w:rsid w:val="0066351C"/>
    <w:rsid w:val="00664693"/>
    <w:rsid w:val="00664DC0"/>
    <w:rsid w:val="006651CC"/>
    <w:rsid w:val="00665CA1"/>
    <w:rsid w:val="006663E0"/>
    <w:rsid w:val="00667A31"/>
    <w:rsid w:val="00670702"/>
    <w:rsid w:val="00670C14"/>
    <w:rsid w:val="006713F2"/>
    <w:rsid w:val="0067147C"/>
    <w:rsid w:val="00672A8A"/>
    <w:rsid w:val="00673F50"/>
    <w:rsid w:val="0067462C"/>
    <w:rsid w:val="006759B0"/>
    <w:rsid w:val="00677012"/>
    <w:rsid w:val="00680926"/>
    <w:rsid w:val="00680D0E"/>
    <w:rsid w:val="006825B4"/>
    <w:rsid w:val="006829BA"/>
    <w:rsid w:val="00682AF2"/>
    <w:rsid w:val="006837DE"/>
    <w:rsid w:val="00684040"/>
    <w:rsid w:val="00684461"/>
    <w:rsid w:val="0068537F"/>
    <w:rsid w:val="00686AB6"/>
    <w:rsid w:val="00687628"/>
    <w:rsid w:val="00687CFE"/>
    <w:rsid w:val="00690EB8"/>
    <w:rsid w:val="006915E5"/>
    <w:rsid w:val="00692401"/>
    <w:rsid w:val="0069758B"/>
    <w:rsid w:val="006A07DF"/>
    <w:rsid w:val="006A0B6C"/>
    <w:rsid w:val="006A16E1"/>
    <w:rsid w:val="006A3C8A"/>
    <w:rsid w:val="006A3E61"/>
    <w:rsid w:val="006A5105"/>
    <w:rsid w:val="006A590B"/>
    <w:rsid w:val="006A6107"/>
    <w:rsid w:val="006A6737"/>
    <w:rsid w:val="006B0927"/>
    <w:rsid w:val="006B236C"/>
    <w:rsid w:val="006B26B1"/>
    <w:rsid w:val="006B2E45"/>
    <w:rsid w:val="006B441C"/>
    <w:rsid w:val="006B5938"/>
    <w:rsid w:val="006B5D32"/>
    <w:rsid w:val="006B758B"/>
    <w:rsid w:val="006B7BF8"/>
    <w:rsid w:val="006C01C8"/>
    <w:rsid w:val="006C0783"/>
    <w:rsid w:val="006C25D5"/>
    <w:rsid w:val="006C262B"/>
    <w:rsid w:val="006C27EB"/>
    <w:rsid w:val="006C3A2D"/>
    <w:rsid w:val="006C4666"/>
    <w:rsid w:val="006C49BF"/>
    <w:rsid w:val="006C63D7"/>
    <w:rsid w:val="006C6A61"/>
    <w:rsid w:val="006C7535"/>
    <w:rsid w:val="006D2F09"/>
    <w:rsid w:val="006D3DC0"/>
    <w:rsid w:val="006D403A"/>
    <w:rsid w:val="006D40CB"/>
    <w:rsid w:val="006D5A5F"/>
    <w:rsid w:val="006D5E84"/>
    <w:rsid w:val="006D7271"/>
    <w:rsid w:val="006D7C99"/>
    <w:rsid w:val="006E0443"/>
    <w:rsid w:val="006E0A17"/>
    <w:rsid w:val="006E0B61"/>
    <w:rsid w:val="006E0DCF"/>
    <w:rsid w:val="006E1647"/>
    <w:rsid w:val="006E310A"/>
    <w:rsid w:val="006E3C3E"/>
    <w:rsid w:val="006E429F"/>
    <w:rsid w:val="006E468B"/>
    <w:rsid w:val="006E4C93"/>
    <w:rsid w:val="006E6F30"/>
    <w:rsid w:val="006E7082"/>
    <w:rsid w:val="006F030F"/>
    <w:rsid w:val="006F084B"/>
    <w:rsid w:val="006F0A6E"/>
    <w:rsid w:val="006F193C"/>
    <w:rsid w:val="006F1B58"/>
    <w:rsid w:val="006F2B89"/>
    <w:rsid w:val="006F3B81"/>
    <w:rsid w:val="006F4D59"/>
    <w:rsid w:val="006F4F79"/>
    <w:rsid w:val="006F4F80"/>
    <w:rsid w:val="006F5532"/>
    <w:rsid w:val="006F556E"/>
    <w:rsid w:val="006F5F22"/>
    <w:rsid w:val="006F62CC"/>
    <w:rsid w:val="006F681D"/>
    <w:rsid w:val="006F69D6"/>
    <w:rsid w:val="006F7B1F"/>
    <w:rsid w:val="0070020B"/>
    <w:rsid w:val="0070235F"/>
    <w:rsid w:val="00702BC3"/>
    <w:rsid w:val="007032B5"/>
    <w:rsid w:val="00703496"/>
    <w:rsid w:val="007036FE"/>
    <w:rsid w:val="00705B37"/>
    <w:rsid w:val="0070658A"/>
    <w:rsid w:val="00706B65"/>
    <w:rsid w:val="00707C1A"/>
    <w:rsid w:val="0071023D"/>
    <w:rsid w:val="00710530"/>
    <w:rsid w:val="00712912"/>
    <w:rsid w:val="00712DA5"/>
    <w:rsid w:val="00716395"/>
    <w:rsid w:val="007168A0"/>
    <w:rsid w:val="00716C95"/>
    <w:rsid w:val="00717762"/>
    <w:rsid w:val="00721A63"/>
    <w:rsid w:val="00721FF9"/>
    <w:rsid w:val="00725735"/>
    <w:rsid w:val="00731224"/>
    <w:rsid w:val="00734BB9"/>
    <w:rsid w:val="00736395"/>
    <w:rsid w:val="00736459"/>
    <w:rsid w:val="00737821"/>
    <w:rsid w:val="00741175"/>
    <w:rsid w:val="007419FB"/>
    <w:rsid w:val="00742606"/>
    <w:rsid w:val="00743575"/>
    <w:rsid w:val="00743D9D"/>
    <w:rsid w:val="00743FA5"/>
    <w:rsid w:val="007441FF"/>
    <w:rsid w:val="00744B0E"/>
    <w:rsid w:val="00744EE8"/>
    <w:rsid w:val="007467E4"/>
    <w:rsid w:val="00747569"/>
    <w:rsid w:val="00750238"/>
    <w:rsid w:val="0075023C"/>
    <w:rsid w:val="007523E7"/>
    <w:rsid w:val="00754252"/>
    <w:rsid w:val="0075482A"/>
    <w:rsid w:val="007577B1"/>
    <w:rsid w:val="00757D87"/>
    <w:rsid w:val="00760D3F"/>
    <w:rsid w:val="00760EED"/>
    <w:rsid w:val="0076109F"/>
    <w:rsid w:val="007619CE"/>
    <w:rsid w:val="00761F4F"/>
    <w:rsid w:val="007620DC"/>
    <w:rsid w:val="00762102"/>
    <w:rsid w:val="0076255D"/>
    <w:rsid w:val="007625F6"/>
    <w:rsid w:val="00762B8B"/>
    <w:rsid w:val="00763183"/>
    <w:rsid w:val="00764AF9"/>
    <w:rsid w:val="00765D18"/>
    <w:rsid w:val="00770C54"/>
    <w:rsid w:val="007721C7"/>
    <w:rsid w:val="00772613"/>
    <w:rsid w:val="00772B41"/>
    <w:rsid w:val="00777617"/>
    <w:rsid w:val="00777D6B"/>
    <w:rsid w:val="0078265B"/>
    <w:rsid w:val="00782E10"/>
    <w:rsid w:val="007853B2"/>
    <w:rsid w:val="00785491"/>
    <w:rsid w:val="00786448"/>
    <w:rsid w:val="00790A93"/>
    <w:rsid w:val="007911FF"/>
    <w:rsid w:val="0079134E"/>
    <w:rsid w:val="0079278E"/>
    <w:rsid w:val="00792E3C"/>
    <w:rsid w:val="007930C1"/>
    <w:rsid w:val="007960E3"/>
    <w:rsid w:val="0079677E"/>
    <w:rsid w:val="00796F7C"/>
    <w:rsid w:val="00797131"/>
    <w:rsid w:val="00797DDE"/>
    <w:rsid w:val="007A1C46"/>
    <w:rsid w:val="007A343D"/>
    <w:rsid w:val="007A37F7"/>
    <w:rsid w:val="007A5ACE"/>
    <w:rsid w:val="007A6528"/>
    <w:rsid w:val="007A7B48"/>
    <w:rsid w:val="007B18C6"/>
    <w:rsid w:val="007B18D2"/>
    <w:rsid w:val="007B20C2"/>
    <w:rsid w:val="007B27E4"/>
    <w:rsid w:val="007B35F6"/>
    <w:rsid w:val="007B3F87"/>
    <w:rsid w:val="007B404F"/>
    <w:rsid w:val="007B5B15"/>
    <w:rsid w:val="007B6E28"/>
    <w:rsid w:val="007B7B52"/>
    <w:rsid w:val="007C2F60"/>
    <w:rsid w:val="007C5613"/>
    <w:rsid w:val="007C6BC6"/>
    <w:rsid w:val="007C6DAA"/>
    <w:rsid w:val="007C73B2"/>
    <w:rsid w:val="007C7FD8"/>
    <w:rsid w:val="007D0435"/>
    <w:rsid w:val="007D0643"/>
    <w:rsid w:val="007D400A"/>
    <w:rsid w:val="007D4B0E"/>
    <w:rsid w:val="007D4DD2"/>
    <w:rsid w:val="007E2419"/>
    <w:rsid w:val="007E3FF5"/>
    <w:rsid w:val="007E4219"/>
    <w:rsid w:val="007E4B3E"/>
    <w:rsid w:val="007E577E"/>
    <w:rsid w:val="007E635E"/>
    <w:rsid w:val="007E6C0C"/>
    <w:rsid w:val="007F038C"/>
    <w:rsid w:val="007F0F24"/>
    <w:rsid w:val="007F1E9D"/>
    <w:rsid w:val="007F222B"/>
    <w:rsid w:val="007F3092"/>
    <w:rsid w:val="007F39B8"/>
    <w:rsid w:val="007F43C7"/>
    <w:rsid w:val="007F4A6F"/>
    <w:rsid w:val="007F4FBC"/>
    <w:rsid w:val="007F5975"/>
    <w:rsid w:val="007F7DF2"/>
    <w:rsid w:val="00800A35"/>
    <w:rsid w:val="00801A0E"/>
    <w:rsid w:val="00804E4C"/>
    <w:rsid w:val="0080662C"/>
    <w:rsid w:val="008070B2"/>
    <w:rsid w:val="00807D79"/>
    <w:rsid w:val="00810102"/>
    <w:rsid w:val="00811079"/>
    <w:rsid w:val="008117C4"/>
    <w:rsid w:val="008123F2"/>
    <w:rsid w:val="0081344A"/>
    <w:rsid w:val="008149D8"/>
    <w:rsid w:val="00815E69"/>
    <w:rsid w:val="00817C07"/>
    <w:rsid w:val="00817CFC"/>
    <w:rsid w:val="00821D81"/>
    <w:rsid w:val="008221DC"/>
    <w:rsid w:val="00823654"/>
    <w:rsid w:val="00823A90"/>
    <w:rsid w:val="00825BB5"/>
    <w:rsid w:val="0082757E"/>
    <w:rsid w:val="00827D77"/>
    <w:rsid w:val="00830561"/>
    <w:rsid w:val="00831115"/>
    <w:rsid w:val="008325CA"/>
    <w:rsid w:val="00832D42"/>
    <w:rsid w:val="00833419"/>
    <w:rsid w:val="008335D4"/>
    <w:rsid w:val="008342A5"/>
    <w:rsid w:val="00834BE2"/>
    <w:rsid w:val="00834EA4"/>
    <w:rsid w:val="00835DCB"/>
    <w:rsid w:val="00835F55"/>
    <w:rsid w:val="00837F18"/>
    <w:rsid w:val="0084139B"/>
    <w:rsid w:val="0084143B"/>
    <w:rsid w:val="00842547"/>
    <w:rsid w:val="008427D3"/>
    <w:rsid w:val="0084324C"/>
    <w:rsid w:val="008451F8"/>
    <w:rsid w:val="008457D2"/>
    <w:rsid w:val="00846212"/>
    <w:rsid w:val="008468E0"/>
    <w:rsid w:val="00847BE7"/>
    <w:rsid w:val="00850EAB"/>
    <w:rsid w:val="00851DA2"/>
    <w:rsid w:val="008529B3"/>
    <w:rsid w:val="00852ADD"/>
    <w:rsid w:val="00853883"/>
    <w:rsid w:val="008547D5"/>
    <w:rsid w:val="0085789E"/>
    <w:rsid w:val="00860D70"/>
    <w:rsid w:val="008616A2"/>
    <w:rsid w:val="00861C6C"/>
    <w:rsid w:val="00861CAC"/>
    <w:rsid w:val="0086308A"/>
    <w:rsid w:val="008665F9"/>
    <w:rsid w:val="00873736"/>
    <w:rsid w:val="0087378E"/>
    <w:rsid w:val="00873B15"/>
    <w:rsid w:val="008755E7"/>
    <w:rsid w:val="00877D03"/>
    <w:rsid w:val="00877E96"/>
    <w:rsid w:val="008803CE"/>
    <w:rsid w:val="00882077"/>
    <w:rsid w:val="00883613"/>
    <w:rsid w:val="00886393"/>
    <w:rsid w:val="008863A9"/>
    <w:rsid w:val="00886579"/>
    <w:rsid w:val="00886F19"/>
    <w:rsid w:val="00887865"/>
    <w:rsid w:val="00887B37"/>
    <w:rsid w:val="00890598"/>
    <w:rsid w:val="0089065A"/>
    <w:rsid w:val="00891D7A"/>
    <w:rsid w:val="00891DFC"/>
    <w:rsid w:val="008925FB"/>
    <w:rsid w:val="00892B98"/>
    <w:rsid w:val="00894EA4"/>
    <w:rsid w:val="008959FC"/>
    <w:rsid w:val="008A1D0E"/>
    <w:rsid w:val="008A31C7"/>
    <w:rsid w:val="008A3CA6"/>
    <w:rsid w:val="008A4AEC"/>
    <w:rsid w:val="008A5609"/>
    <w:rsid w:val="008A6DF0"/>
    <w:rsid w:val="008A6FA0"/>
    <w:rsid w:val="008B0634"/>
    <w:rsid w:val="008B2B19"/>
    <w:rsid w:val="008B2F40"/>
    <w:rsid w:val="008B3627"/>
    <w:rsid w:val="008B540C"/>
    <w:rsid w:val="008B5E61"/>
    <w:rsid w:val="008B7914"/>
    <w:rsid w:val="008B7FCB"/>
    <w:rsid w:val="008C127A"/>
    <w:rsid w:val="008C2C7F"/>
    <w:rsid w:val="008C2F0D"/>
    <w:rsid w:val="008C35FA"/>
    <w:rsid w:val="008C39B6"/>
    <w:rsid w:val="008C5D2A"/>
    <w:rsid w:val="008C74FB"/>
    <w:rsid w:val="008C7AF4"/>
    <w:rsid w:val="008C7DA4"/>
    <w:rsid w:val="008D0210"/>
    <w:rsid w:val="008D0851"/>
    <w:rsid w:val="008D0DEF"/>
    <w:rsid w:val="008D1074"/>
    <w:rsid w:val="008D1079"/>
    <w:rsid w:val="008D280F"/>
    <w:rsid w:val="008D318B"/>
    <w:rsid w:val="008D3994"/>
    <w:rsid w:val="008D3C3D"/>
    <w:rsid w:val="008D478E"/>
    <w:rsid w:val="008D534E"/>
    <w:rsid w:val="008D6E81"/>
    <w:rsid w:val="008D7739"/>
    <w:rsid w:val="008E1267"/>
    <w:rsid w:val="008E22F8"/>
    <w:rsid w:val="008E39D8"/>
    <w:rsid w:val="008E4703"/>
    <w:rsid w:val="008E606F"/>
    <w:rsid w:val="008E6AD9"/>
    <w:rsid w:val="008F022A"/>
    <w:rsid w:val="008F22A6"/>
    <w:rsid w:val="008F27E3"/>
    <w:rsid w:val="008F28C5"/>
    <w:rsid w:val="008F29F0"/>
    <w:rsid w:val="008F3485"/>
    <w:rsid w:val="008F3AC3"/>
    <w:rsid w:val="008F4A52"/>
    <w:rsid w:val="008F4E95"/>
    <w:rsid w:val="008F51FF"/>
    <w:rsid w:val="008F5DEF"/>
    <w:rsid w:val="009004EC"/>
    <w:rsid w:val="009011BE"/>
    <w:rsid w:val="009011C7"/>
    <w:rsid w:val="00901459"/>
    <w:rsid w:val="009026CB"/>
    <w:rsid w:val="00903EEB"/>
    <w:rsid w:val="00904038"/>
    <w:rsid w:val="009041AF"/>
    <w:rsid w:val="009049AB"/>
    <w:rsid w:val="009050B7"/>
    <w:rsid w:val="00905130"/>
    <w:rsid w:val="009061B8"/>
    <w:rsid w:val="009105B8"/>
    <w:rsid w:val="009130CC"/>
    <w:rsid w:val="00914683"/>
    <w:rsid w:val="009147B8"/>
    <w:rsid w:val="00914861"/>
    <w:rsid w:val="009148D8"/>
    <w:rsid w:val="0091583E"/>
    <w:rsid w:val="00915CD5"/>
    <w:rsid w:val="00916093"/>
    <w:rsid w:val="009160E3"/>
    <w:rsid w:val="0091639C"/>
    <w:rsid w:val="00922BF0"/>
    <w:rsid w:val="009255FA"/>
    <w:rsid w:val="009262E4"/>
    <w:rsid w:val="00927D4E"/>
    <w:rsid w:val="00930D2A"/>
    <w:rsid w:val="00931B84"/>
    <w:rsid w:val="00931F90"/>
    <w:rsid w:val="009325C3"/>
    <w:rsid w:val="00932E7E"/>
    <w:rsid w:val="0093442D"/>
    <w:rsid w:val="00934CD2"/>
    <w:rsid w:val="009375E5"/>
    <w:rsid w:val="00941208"/>
    <w:rsid w:val="00941848"/>
    <w:rsid w:val="009437F2"/>
    <w:rsid w:val="009442E8"/>
    <w:rsid w:val="009444B5"/>
    <w:rsid w:val="009452E7"/>
    <w:rsid w:val="0094759C"/>
    <w:rsid w:val="00951666"/>
    <w:rsid w:val="00952524"/>
    <w:rsid w:val="009526A8"/>
    <w:rsid w:val="0095278F"/>
    <w:rsid w:val="0095290A"/>
    <w:rsid w:val="00953AD4"/>
    <w:rsid w:val="0095426C"/>
    <w:rsid w:val="009566A2"/>
    <w:rsid w:val="00956BF5"/>
    <w:rsid w:val="009571C2"/>
    <w:rsid w:val="0095770C"/>
    <w:rsid w:val="00957CC8"/>
    <w:rsid w:val="00957DD6"/>
    <w:rsid w:val="00957EE7"/>
    <w:rsid w:val="00961453"/>
    <w:rsid w:val="009616D4"/>
    <w:rsid w:val="00962510"/>
    <w:rsid w:val="00964166"/>
    <w:rsid w:val="0096429B"/>
    <w:rsid w:val="0096475C"/>
    <w:rsid w:val="0096546E"/>
    <w:rsid w:val="0096562A"/>
    <w:rsid w:val="00965644"/>
    <w:rsid w:val="00965865"/>
    <w:rsid w:val="00967730"/>
    <w:rsid w:val="00970E50"/>
    <w:rsid w:val="00971074"/>
    <w:rsid w:val="00971E8B"/>
    <w:rsid w:val="009747AA"/>
    <w:rsid w:val="00974BCB"/>
    <w:rsid w:val="0097507B"/>
    <w:rsid w:val="009763E4"/>
    <w:rsid w:val="00980A22"/>
    <w:rsid w:val="009830B9"/>
    <w:rsid w:val="00983599"/>
    <w:rsid w:val="00983C94"/>
    <w:rsid w:val="00985B04"/>
    <w:rsid w:val="00986BEF"/>
    <w:rsid w:val="00990683"/>
    <w:rsid w:val="00992499"/>
    <w:rsid w:val="009927F5"/>
    <w:rsid w:val="00992986"/>
    <w:rsid w:val="00994B55"/>
    <w:rsid w:val="00995D86"/>
    <w:rsid w:val="009A1C63"/>
    <w:rsid w:val="009A1F6B"/>
    <w:rsid w:val="009A2C4C"/>
    <w:rsid w:val="009A2DD8"/>
    <w:rsid w:val="009A30DE"/>
    <w:rsid w:val="009A3A0D"/>
    <w:rsid w:val="009A5453"/>
    <w:rsid w:val="009A7883"/>
    <w:rsid w:val="009B0D3A"/>
    <w:rsid w:val="009B2760"/>
    <w:rsid w:val="009B308D"/>
    <w:rsid w:val="009B3B62"/>
    <w:rsid w:val="009B4FFB"/>
    <w:rsid w:val="009B7489"/>
    <w:rsid w:val="009B7B0A"/>
    <w:rsid w:val="009C07C9"/>
    <w:rsid w:val="009C08D7"/>
    <w:rsid w:val="009C24EB"/>
    <w:rsid w:val="009C255E"/>
    <w:rsid w:val="009C303B"/>
    <w:rsid w:val="009C4E0D"/>
    <w:rsid w:val="009C4F1B"/>
    <w:rsid w:val="009C503B"/>
    <w:rsid w:val="009D02FA"/>
    <w:rsid w:val="009D07C4"/>
    <w:rsid w:val="009D0C5A"/>
    <w:rsid w:val="009D3AD2"/>
    <w:rsid w:val="009D3E06"/>
    <w:rsid w:val="009D638D"/>
    <w:rsid w:val="009D654F"/>
    <w:rsid w:val="009E11AB"/>
    <w:rsid w:val="009E1CC8"/>
    <w:rsid w:val="009E30D2"/>
    <w:rsid w:val="009E4885"/>
    <w:rsid w:val="009E508B"/>
    <w:rsid w:val="009E6457"/>
    <w:rsid w:val="009E7F53"/>
    <w:rsid w:val="009F081B"/>
    <w:rsid w:val="009F0A85"/>
    <w:rsid w:val="009F1B71"/>
    <w:rsid w:val="009F220A"/>
    <w:rsid w:val="009F3519"/>
    <w:rsid w:val="009F36D6"/>
    <w:rsid w:val="009F4BFD"/>
    <w:rsid w:val="009F708E"/>
    <w:rsid w:val="00A01DF9"/>
    <w:rsid w:val="00A02FA8"/>
    <w:rsid w:val="00A03525"/>
    <w:rsid w:val="00A03F74"/>
    <w:rsid w:val="00A05C04"/>
    <w:rsid w:val="00A07DB6"/>
    <w:rsid w:val="00A10BA7"/>
    <w:rsid w:val="00A11406"/>
    <w:rsid w:val="00A132A1"/>
    <w:rsid w:val="00A1554D"/>
    <w:rsid w:val="00A158E3"/>
    <w:rsid w:val="00A172E0"/>
    <w:rsid w:val="00A221A3"/>
    <w:rsid w:val="00A223D5"/>
    <w:rsid w:val="00A233B6"/>
    <w:rsid w:val="00A23E0E"/>
    <w:rsid w:val="00A23F41"/>
    <w:rsid w:val="00A25547"/>
    <w:rsid w:val="00A30628"/>
    <w:rsid w:val="00A31E14"/>
    <w:rsid w:val="00A34466"/>
    <w:rsid w:val="00A36CEB"/>
    <w:rsid w:val="00A37B0C"/>
    <w:rsid w:val="00A37D1C"/>
    <w:rsid w:val="00A37FFE"/>
    <w:rsid w:val="00A41E90"/>
    <w:rsid w:val="00A41FEF"/>
    <w:rsid w:val="00A42476"/>
    <w:rsid w:val="00A433CA"/>
    <w:rsid w:val="00A43F3C"/>
    <w:rsid w:val="00A468FD"/>
    <w:rsid w:val="00A46921"/>
    <w:rsid w:val="00A46DD6"/>
    <w:rsid w:val="00A47249"/>
    <w:rsid w:val="00A501C7"/>
    <w:rsid w:val="00A51192"/>
    <w:rsid w:val="00A513FD"/>
    <w:rsid w:val="00A52BC1"/>
    <w:rsid w:val="00A52E3C"/>
    <w:rsid w:val="00A534A0"/>
    <w:rsid w:val="00A539AD"/>
    <w:rsid w:val="00A540B2"/>
    <w:rsid w:val="00A56819"/>
    <w:rsid w:val="00A5784A"/>
    <w:rsid w:val="00A60E9C"/>
    <w:rsid w:val="00A61879"/>
    <w:rsid w:val="00A6444F"/>
    <w:rsid w:val="00A652FF"/>
    <w:rsid w:val="00A65A0D"/>
    <w:rsid w:val="00A65C27"/>
    <w:rsid w:val="00A65F3C"/>
    <w:rsid w:val="00A714A3"/>
    <w:rsid w:val="00A71B8B"/>
    <w:rsid w:val="00A75089"/>
    <w:rsid w:val="00A75EDC"/>
    <w:rsid w:val="00A77C94"/>
    <w:rsid w:val="00A80404"/>
    <w:rsid w:val="00A817A8"/>
    <w:rsid w:val="00A81E50"/>
    <w:rsid w:val="00A82DA0"/>
    <w:rsid w:val="00A831DE"/>
    <w:rsid w:val="00A83E49"/>
    <w:rsid w:val="00A8415A"/>
    <w:rsid w:val="00A841A6"/>
    <w:rsid w:val="00A84221"/>
    <w:rsid w:val="00A84B7A"/>
    <w:rsid w:val="00A851CE"/>
    <w:rsid w:val="00A8600C"/>
    <w:rsid w:val="00A86FBC"/>
    <w:rsid w:val="00A902AD"/>
    <w:rsid w:val="00A9099E"/>
    <w:rsid w:val="00A91FB7"/>
    <w:rsid w:val="00A9298F"/>
    <w:rsid w:val="00A9301E"/>
    <w:rsid w:val="00A940B1"/>
    <w:rsid w:val="00A9456D"/>
    <w:rsid w:val="00A95186"/>
    <w:rsid w:val="00A97F67"/>
    <w:rsid w:val="00AA1224"/>
    <w:rsid w:val="00AA1298"/>
    <w:rsid w:val="00AA14F2"/>
    <w:rsid w:val="00AA180B"/>
    <w:rsid w:val="00AA1D43"/>
    <w:rsid w:val="00AA3301"/>
    <w:rsid w:val="00AA3360"/>
    <w:rsid w:val="00AA3CFA"/>
    <w:rsid w:val="00AA6B93"/>
    <w:rsid w:val="00AA7A06"/>
    <w:rsid w:val="00AB1984"/>
    <w:rsid w:val="00AB1CBB"/>
    <w:rsid w:val="00AB215B"/>
    <w:rsid w:val="00AB333E"/>
    <w:rsid w:val="00AB37DB"/>
    <w:rsid w:val="00AB3C07"/>
    <w:rsid w:val="00AB4952"/>
    <w:rsid w:val="00AB4BA0"/>
    <w:rsid w:val="00AB5F48"/>
    <w:rsid w:val="00AB716D"/>
    <w:rsid w:val="00AB7BF3"/>
    <w:rsid w:val="00AC112A"/>
    <w:rsid w:val="00AC1AA3"/>
    <w:rsid w:val="00AC1F8E"/>
    <w:rsid w:val="00AC286B"/>
    <w:rsid w:val="00AC4CB3"/>
    <w:rsid w:val="00AC4D7C"/>
    <w:rsid w:val="00AC6EF2"/>
    <w:rsid w:val="00AC71A6"/>
    <w:rsid w:val="00AC742F"/>
    <w:rsid w:val="00AC754B"/>
    <w:rsid w:val="00AC774F"/>
    <w:rsid w:val="00AC780D"/>
    <w:rsid w:val="00AC787B"/>
    <w:rsid w:val="00AC7956"/>
    <w:rsid w:val="00AC7E18"/>
    <w:rsid w:val="00AD0B5C"/>
    <w:rsid w:val="00AD1120"/>
    <w:rsid w:val="00AD1B79"/>
    <w:rsid w:val="00AD50F8"/>
    <w:rsid w:val="00AE3E11"/>
    <w:rsid w:val="00AE4BDC"/>
    <w:rsid w:val="00AE55AD"/>
    <w:rsid w:val="00AE6D49"/>
    <w:rsid w:val="00AE78ED"/>
    <w:rsid w:val="00AF1117"/>
    <w:rsid w:val="00AF1555"/>
    <w:rsid w:val="00AF18BA"/>
    <w:rsid w:val="00AF228C"/>
    <w:rsid w:val="00AF2DB9"/>
    <w:rsid w:val="00AF3B55"/>
    <w:rsid w:val="00AF3D62"/>
    <w:rsid w:val="00AF6373"/>
    <w:rsid w:val="00AF6AC5"/>
    <w:rsid w:val="00AF7809"/>
    <w:rsid w:val="00AF7F7B"/>
    <w:rsid w:val="00B0104B"/>
    <w:rsid w:val="00B0164D"/>
    <w:rsid w:val="00B01ADF"/>
    <w:rsid w:val="00B021E0"/>
    <w:rsid w:val="00B03A35"/>
    <w:rsid w:val="00B048E3"/>
    <w:rsid w:val="00B04F99"/>
    <w:rsid w:val="00B057B6"/>
    <w:rsid w:val="00B05BA2"/>
    <w:rsid w:val="00B07F41"/>
    <w:rsid w:val="00B11C80"/>
    <w:rsid w:val="00B12DCA"/>
    <w:rsid w:val="00B13ECB"/>
    <w:rsid w:val="00B1524F"/>
    <w:rsid w:val="00B15D58"/>
    <w:rsid w:val="00B20334"/>
    <w:rsid w:val="00B215D5"/>
    <w:rsid w:val="00B22870"/>
    <w:rsid w:val="00B22A22"/>
    <w:rsid w:val="00B2328E"/>
    <w:rsid w:val="00B23F4C"/>
    <w:rsid w:val="00B24BA7"/>
    <w:rsid w:val="00B25BC1"/>
    <w:rsid w:val="00B268D0"/>
    <w:rsid w:val="00B269D3"/>
    <w:rsid w:val="00B30448"/>
    <w:rsid w:val="00B30D75"/>
    <w:rsid w:val="00B31315"/>
    <w:rsid w:val="00B34D6A"/>
    <w:rsid w:val="00B35749"/>
    <w:rsid w:val="00B35EF5"/>
    <w:rsid w:val="00B3704D"/>
    <w:rsid w:val="00B40162"/>
    <w:rsid w:val="00B40FDB"/>
    <w:rsid w:val="00B411B3"/>
    <w:rsid w:val="00B430F6"/>
    <w:rsid w:val="00B45528"/>
    <w:rsid w:val="00B478FA"/>
    <w:rsid w:val="00B50156"/>
    <w:rsid w:val="00B509AE"/>
    <w:rsid w:val="00B50E13"/>
    <w:rsid w:val="00B51581"/>
    <w:rsid w:val="00B518AD"/>
    <w:rsid w:val="00B52D81"/>
    <w:rsid w:val="00B56866"/>
    <w:rsid w:val="00B604BB"/>
    <w:rsid w:val="00B60A96"/>
    <w:rsid w:val="00B60DD7"/>
    <w:rsid w:val="00B60EB6"/>
    <w:rsid w:val="00B61023"/>
    <w:rsid w:val="00B622A2"/>
    <w:rsid w:val="00B6386F"/>
    <w:rsid w:val="00B67346"/>
    <w:rsid w:val="00B6793A"/>
    <w:rsid w:val="00B71607"/>
    <w:rsid w:val="00B72361"/>
    <w:rsid w:val="00B75345"/>
    <w:rsid w:val="00B76327"/>
    <w:rsid w:val="00B76400"/>
    <w:rsid w:val="00B76C94"/>
    <w:rsid w:val="00B76D4E"/>
    <w:rsid w:val="00B76F42"/>
    <w:rsid w:val="00B771AA"/>
    <w:rsid w:val="00B772D0"/>
    <w:rsid w:val="00B83117"/>
    <w:rsid w:val="00B8319C"/>
    <w:rsid w:val="00B834A5"/>
    <w:rsid w:val="00B906F2"/>
    <w:rsid w:val="00B90D9B"/>
    <w:rsid w:val="00B91B81"/>
    <w:rsid w:val="00B91FF0"/>
    <w:rsid w:val="00B92FFF"/>
    <w:rsid w:val="00B951B8"/>
    <w:rsid w:val="00B96799"/>
    <w:rsid w:val="00B96DE5"/>
    <w:rsid w:val="00B9741B"/>
    <w:rsid w:val="00B97A76"/>
    <w:rsid w:val="00BA0166"/>
    <w:rsid w:val="00BA0584"/>
    <w:rsid w:val="00BA0A83"/>
    <w:rsid w:val="00BA1E78"/>
    <w:rsid w:val="00BA249D"/>
    <w:rsid w:val="00BA4D00"/>
    <w:rsid w:val="00BA5665"/>
    <w:rsid w:val="00BB0AB5"/>
    <w:rsid w:val="00BB33E9"/>
    <w:rsid w:val="00BB3BE4"/>
    <w:rsid w:val="00BB57D3"/>
    <w:rsid w:val="00BB58EE"/>
    <w:rsid w:val="00BB6675"/>
    <w:rsid w:val="00BB7589"/>
    <w:rsid w:val="00BC077E"/>
    <w:rsid w:val="00BC5EF6"/>
    <w:rsid w:val="00BC7632"/>
    <w:rsid w:val="00BC7C9E"/>
    <w:rsid w:val="00BD15B8"/>
    <w:rsid w:val="00BD1E79"/>
    <w:rsid w:val="00BD23A5"/>
    <w:rsid w:val="00BD2937"/>
    <w:rsid w:val="00BD2AFC"/>
    <w:rsid w:val="00BD48A9"/>
    <w:rsid w:val="00BD5712"/>
    <w:rsid w:val="00BD658C"/>
    <w:rsid w:val="00BD7EC6"/>
    <w:rsid w:val="00BE0FF2"/>
    <w:rsid w:val="00BE1345"/>
    <w:rsid w:val="00BE2147"/>
    <w:rsid w:val="00BE3C67"/>
    <w:rsid w:val="00BE73FA"/>
    <w:rsid w:val="00BE7A60"/>
    <w:rsid w:val="00BF0353"/>
    <w:rsid w:val="00BF1C5F"/>
    <w:rsid w:val="00BF2001"/>
    <w:rsid w:val="00BF2575"/>
    <w:rsid w:val="00BF3F0A"/>
    <w:rsid w:val="00BF4E35"/>
    <w:rsid w:val="00BF57FE"/>
    <w:rsid w:val="00C0083F"/>
    <w:rsid w:val="00C00976"/>
    <w:rsid w:val="00C03E74"/>
    <w:rsid w:val="00C04E51"/>
    <w:rsid w:val="00C060B0"/>
    <w:rsid w:val="00C072F0"/>
    <w:rsid w:val="00C07344"/>
    <w:rsid w:val="00C07C1F"/>
    <w:rsid w:val="00C11A79"/>
    <w:rsid w:val="00C13607"/>
    <w:rsid w:val="00C136B5"/>
    <w:rsid w:val="00C137B1"/>
    <w:rsid w:val="00C13B43"/>
    <w:rsid w:val="00C13CD0"/>
    <w:rsid w:val="00C15A01"/>
    <w:rsid w:val="00C15E81"/>
    <w:rsid w:val="00C174C9"/>
    <w:rsid w:val="00C17B6E"/>
    <w:rsid w:val="00C20754"/>
    <w:rsid w:val="00C22307"/>
    <w:rsid w:val="00C22573"/>
    <w:rsid w:val="00C228C4"/>
    <w:rsid w:val="00C22A2C"/>
    <w:rsid w:val="00C23150"/>
    <w:rsid w:val="00C24533"/>
    <w:rsid w:val="00C24908"/>
    <w:rsid w:val="00C2515F"/>
    <w:rsid w:val="00C26AEA"/>
    <w:rsid w:val="00C276EC"/>
    <w:rsid w:val="00C311F1"/>
    <w:rsid w:val="00C31AD4"/>
    <w:rsid w:val="00C31C63"/>
    <w:rsid w:val="00C32481"/>
    <w:rsid w:val="00C3394C"/>
    <w:rsid w:val="00C3516D"/>
    <w:rsid w:val="00C361A6"/>
    <w:rsid w:val="00C3670F"/>
    <w:rsid w:val="00C36E1A"/>
    <w:rsid w:val="00C371DF"/>
    <w:rsid w:val="00C37818"/>
    <w:rsid w:val="00C37EFC"/>
    <w:rsid w:val="00C37FF9"/>
    <w:rsid w:val="00C40126"/>
    <w:rsid w:val="00C40315"/>
    <w:rsid w:val="00C403B0"/>
    <w:rsid w:val="00C41425"/>
    <w:rsid w:val="00C41AB7"/>
    <w:rsid w:val="00C41B4A"/>
    <w:rsid w:val="00C42C11"/>
    <w:rsid w:val="00C43ADB"/>
    <w:rsid w:val="00C44B4C"/>
    <w:rsid w:val="00C45CCD"/>
    <w:rsid w:val="00C46734"/>
    <w:rsid w:val="00C470E1"/>
    <w:rsid w:val="00C503B5"/>
    <w:rsid w:val="00C5105D"/>
    <w:rsid w:val="00C511F0"/>
    <w:rsid w:val="00C51639"/>
    <w:rsid w:val="00C53220"/>
    <w:rsid w:val="00C533A0"/>
    <w:rsid w:val="00C53E9D"/>
    <w:rsid w:val="00C55CA3"/>
    <w:rsid w:val="00C5781B"/>
    <w:rsid w:val="00C621A7"/>
    <w:rsid w:val="00C62BF2"/>
    <w:rsid w:val="00C62D1B"/>
    <w:rsid w:val="00C638A6"/>
    <w:rsid w:val="00C64266"/>
    <w:rsid w:val="00C647DF"/>
    <w:rsid w:val="00C64B7B"/>
    <w:rsid w:val="00C66CE8"/>
    <w:rsid w:val="00C67B0C"/>
    <w:rsid w:val="00C67B80"/>
    <w:rsid w:val="00C70DF4"/>
    <w:rsid w:val="00C71252"/>
    <w:rsid w:val="00C7277F"/>
    <w:rsid w:val="00C74930"/>
    <w:rsid w:val="00C74B47"/>
    <w:rsid w:val="00C754BD"/>
    <w:rsid w:val="00C76814"/>
    <w:rsid w:val="00C769A9"/>
    <w:rsid w:val="00C80524"/>
    <w:rsid w:val="00C80987"/>
    <w:rsid w:val="00C82933"/>
    <w:rsid w:val="00C82BE2"/>
    <w:rsid w:val="00C85DEF"/>
    <w:rsid w:val="00C91106"/>
    <w:rsid w:val="00C91D19"/>
    <w:rsid w:val="00C94A14"/>
    <w:rsid w:val="00C96647"/>
    <w:rsid w:val="00CA007B"/>
    <w:rsid w:val="00CA0AA4"/>
    <w:rsid w:val="00CA1D4C"/>
    <w:rsid w:val="00CA261B"/>
    <w:rsid w:val="00CA3247"/>
    <w:rsid w:val="00CA3347"/>
    <w:rsid w:val="00CA34D4"/>
    <w:rsid w:val="00CA6FDA"/>
    <w:rsid w:val="00CA77CF"/>
    <w:rsid w:val="00CA7B58"/>
    <w:rsid w:val="00CB08EA"/>
    <w:rsid w:val="00CB2518"/>
    <w:rsid w:val="00CB3920"/>
    <w:rsid w:val="00CB4143"/>
    <w:rsid w:val="00CB4923"/>
    <w:rsid w:val="00CB6413"/>
    <w:rsid w:val="00CB696F"/>
    <w:rsid w:val="00CB6D4C"/>
    <w:rsid w:val="00CC0F1C"/>
    <w:rsid w:val="00CC2108"/>
    <w:rsid w:val="00CC299A"/>
    <w:rsid w:val="00CC3ACD"/>
    <w:rsid w:val="00CC3E43"/>
    <w:rsid w:val="00CC4F99"/>
    <w:rsid w:val="00CC6369"/>
    <w:rsid w:val="00CC67E6"/>
    <w:rsid w:val="00CC73F3"/>
    <w:rsid w:val="00CD11B5"/>
    <w:rsid w:val="00CD1B5A"/>
    <w:rsid w:val="00CD1E9C"/>
    <w:rsid w:val="00CD2A5A"/>
    <w:rsid w:val="00CD2E70"/>
    <w:rsid w:val="00CD3D06"/>
    <w:rsid w:val="00CD4A09"/>
    <w:rsid w:val="00CD4C7B"/>
    <w:rsid w:val="00CD5397"/>
    <w:rsid w:val="00CD5E93"/>
    <w:rsid w:val="00CD7051"/>
    <w:rsid w:val="00CE221C"/>
    <w:rsid w:val="00CE2BC0"/>
    <w:rsid w:val="00CE37A3"/>
    <w:rsid w:val="00CE5990"/>
    <w:rsid w:val="00CE60E6"/>
    <w:rsid w:val="00CE6855"/>
    <w:rsid w:val="00CE6B6F"/>
    <w:rsid w:val="00CE7033"/>
    <w:rsid w:val="00CE770A"/>
    <w:rsid w:val="00CF02A6"/>
    <w:rsid w:val="00CF06CF"/>
    <w:rsid w:val="00CF0A97"/>
    <w:rsid w:val="00CF2DC1"/>
    <w:rsid w:val="00CF2EE2"/>
    <w:rsid w:val="00CF3948"/>
    <w:rsid w:val="00CF3ACF"/>
    <w:rsid w:val="00CF441D"/>
    <w:rsid w:val="00CF4FCF"/>
    <w:rsid w:val="00CF4FDC"/>
    <w:rsid w:val="00CF52F8"/>
    <w:rsid w:val="00CF56AF"/>
    <w:rsid w:val="00CF5BE0"/>
    <w:rsid w:val="00CF61CB"/>
    <w:rsid w:val="00D00DBF"/>
    <w:rsid w:val="00D01084"/>
    <w:rsid w:val="00D01F5D"/>
    <w:rsid w:val="00D03934"/>
    <w:rsid w:val="00D03DBE"/>
    <w:rsid w:val="00D03EED"/>
    <w:rsid w:val="00D0530C"/>
    <w:rsid w:val="00D0597D"/>
    <w:rsid w:val="00D062E9"/>
    <w:rsid w:val="00D11949"/>
    <w:rsid w:val="00D11A69"/>
    <w:rsid w:val="00D146E9"/>
    <w:rsid w:val="00D1484F"/>
    <w:rsid w:val="00D169E0"/>
    <w:rsid w:val="00D1707A"/>
    <w:rsid w:val="00D21435"/>
    <w:rsid w:val="00D2242C"/>
    <w:rsid w:val="00D22BC4"/>
    <w:rsid w:val="00D243B4"/>
    <w:rsid w:val="00D25660"/>
    <w:rsid w:val="00D258EB"/>
    <w:rsid w:val="00D271CD"/>
    <w:rsid w:val="00D30A9A"/>
    <w:rsid w:val="00D315CC"/>
    <w:rsid w:val="00D31989"/>
    <w:rsid w:val="00D31BB1"/>
    <w:rsid w:val="00D327A3"/>
    <w:rsid w:val="00D34C82"/>
    <w:rsid w:val="00D36550"/>
    <w:rsid w:val="00D379EC"/>
    <w:rsid w:val="00D41E42"/>
    <w:rsid w:val="00D41F6B"/>
    <w:rsid w:val="00D4348D"/>
    <w:rsid w:val="00D44CEC"/>
    <w:rsid w:val="00D44E42"/>
    <w:rsid w:val="00D44FC3"/>
    <w:rsid w:val="00D50130"/>
    <w:rsid w:val="00D50961"/>
    <w:rsid w:val="00D50A02"/>
    <w:rsid w:val="00D512A1"/>
    <w:rsid w:val="00D52AB4"/>
    <w:rsid w:val="00D531F4"/>
    <w:rsid w:val="00D5357D"/>
    <w:rsid w:val="00D538D5"/>
    <w:rsid w:val="00D54258"/>
    <w:rsid w:val="00D54640"/>
    <w:rsid w:val="00D559B5"/>
    <w:rsid w:val="00D56071"/>
    <w:rsid w:val="00D56420"/>
    <w:rsid w:val="00D56C0C"/>
    <w:rsid w:val="00D57626"/>
    <w:rsid w:val="00D5798B"/>
    <w:rsid w:val="00D60736"/>
    <w:rsid w:val="00D61139"/>
    <w:rsid w:val="00D613CA"/>
    <w:rsid w:val="00D6307D"/>
    <w:rsid w:val="00D63632"/>
    <w:rsid w:val="00D64601"/>
    <w:rsid w:val="00D65893"/>
    <w:rsid w:val="00D658EC"/>
    <w:rsid w:val="00D6742A"/>
    <w:rsid w:val="00D67B9B"/>
    <w:rsid w:val="00D71733"/>
    <w:rsid w:val="00D718AC"/>
    <w:rsid w:val="00D72C13"/>
    <w:rsid w:val="00D7302F"/>
    <w:rsid w:val="00D74D14"/>
    <w:rsid w:val="00D75E82"/>
    <w:rsid w:val="00D767B6"/>
    <w:rsid w:val="00D769C5"/>
    <w:rsid w:val="00D76CEA"/>
    <w:rsid w:val="00D76E76"/>
    <w:rsid w:val="00D772CA"/>
    <w:rsid w:val="00D80631"/>
    <w:rsid w:val="00D80FB6"/>
    <w:rsid w:val="00D818EC"/>
    <w:rsid w:val="00D81A20"/>
    <w:rsid w:val="00D81F55"/>
    <w:rsid w:val="00D82669"/>
    <w:rsid w:val="00D8321A"/>
    <w:rsid w:val="00D84039"/>
    <w:rsid w:val="00D85093"/>
    <w:rsid w:val="00D867B9"/>
    <w:rsid w:val="00D86D55"/>
    <w:rsid w:val="00D8789C"/>
    <w:rsid w:val="00D87FDA"/>
    <w:rsid w:val="00D90558"/>
    <w:rsid w:val="00D914EB"/>
    <w:rsid w:val="00D94085"/>
    <w:rsid w:val="00D9642B"/>
    <w:rsid w:val="00D96D4F"/>
    <w:rsid w:val="00DA1357"/>
    <w:rsid w:val="00DA1806"/>
    <w:rsid w:val="00DA2D09"/>
    <w:rsid w:val="00DA3A76"/>
    <w:rsid w:val="00DA4AFF"/>
    <w:rsid w:val="00DA4DBC"/>
    <w:rsid w:val="00DA62D7"/>
    <w:rsid w:val="00DA6593"/>
    <w:rsid w:val="00DA73C1"/>
    <w:rsid w:val="00DA770D"/>
    <w:rsid w:val="00DB00EE"/>
    <w:rsid w:val="00DB3196"/>
    <w:rsid w:val="00DB3687"/>
    <w:rsid w:val="00DB582D"/>
    <w:rsid w:val="00DC0445"/>
    <w:rsid w:val="00DC2C48"/>
    <w:rsid w:val="00DC46B5"/>
    <w:rsid w:val="00DC525E"/>
    <w:rsid w:val="00DC535C"/>
    <w:rsid w:val="00DC5DCB"/>
    <w:rsid w:val="00DC7B1D"/>
    <w:rsid w:val="00DD074A"/>
    <w:rsid w:val="00DD0B24"/>
    <w:rsid w:val="00DD1941"/>
    <w:rsid w:val="00DD2159"/>
    <w:rsid w:val="00DD26A5"/>
    <w:rsid w:val="00DD326F"/>
    <w:rsid w:val="00DD34F2"/>
    <w:rsid w:val="00DD3C6B"/>
    <w:rsid w:val="00DD5B52"/>
    <w:rsid w:val="00DD6739"/>
    <w:rsid w:val="00DD7631"/>
    <w:rsid w:val="00DD781E"/>
    <w:rsid w:val="00DD7A2C"/>
    <w:rsid w:val="00DE1238"/>
    <w:rsid w:val="00DE1FFE"/>
    <w:rsid w:val="00DE31D7"/>
    <w:rsid w:val="00DE32E7"/>
    <w:rsid w:val="00DE3BB8"/>
    <w:rsid w:val="00DE5117"/>
    <w:rsid w:val="00DE560B"/>
    <w:rsid w:val="00DE5648"/>
    <w:rsid w:val="00DE595E"/>
    <w:rsid w:val="00DE5CD9"/>
    <w:rsid w:val="00DE70B5"/>
    <w:rsid w:val="00DE7113"/>
    <w:rsid w:val="00DF0576"/>
    <w:rsid w:val="00DF1981"/>
    <w:rsid w:val="00DF2040"/>
    <w:rsid w:val="00DF2144"/>
    <w:rsid w:val="00DF2EA5"/>
    <w:rsid w:val="00DF310B"/>
    <w:rsid w:val="00DF3E47"/>
    <w:rsid w:val="00DF56E8"/>
    <w:rsid w:val="00DF7133"/>
    <w:rsid w:val="00DF764C"/>
    <w:rsid w:val="00E01D76"/>
    <w:rsid w:val="00E02671"/>
    <w:rsid w:val="00E04ECF"/>
    <w:rsid w:val="00E067C4"/>
    <w:rsid w:val="00E06BE9"/>
    <w:rsid w:val="00E07855"/>
    <w:rsid w:val="00E103B5"/>
    <w:rsid w:val="00E126B2"/>
    <w:rsid w:val="00E127E3"/>
    <w:rsid w:val="00E14818"/>
    <w:rsid w:val="00E148E8"/>
    <w:rsid w:val="00E158A3"/>
    <w:rsid w:val="00E1610C"/>
    <w:rsid w:val="00E16660"/>
    <w:rsid w:val="00E16C78"/>
    <w:rsid w:val="00E16D73"/>
    <w:rsid w:val="00E17833"/>
    <w:rsid w:val="00E17981"/>
    <w:rsid w:val="00E17CD2"/>
    <w:rsid w:val="00E17E36"/>
    <w:rsid w:val="00E206D8"/>
    <w:rsid w:val="00E2352B"/>
    <w:rsid w:val="00E23F9B"/>
    <w:rsid w:val="00E26649"/>
    <w:rsid w:val="00E27F0A"/>
    <w:rsid w:val="00E352C3"/>
    <w:rsid w:val="00E37146"/>
    <w:rsid w:val="00E372F7"/>
    <w:rsid w:val="00E37346"/>
    <w:rsid w:val="00E37DC0"/>
    <w:rsid w:val="00E37E18"/>
    <w:rsid w:val="00E37EC6"/>
    <w:rsid w:val="00E40432"/>
    <w:rsid w:val="00E40B1F"/>
    <w:rsid w:val="00E40D52"/>
    <w:rsid w:val="00E41262"/>
    <w:rsid w:val="00E4220D"/>
    <w:rsid w:val="00E4231E"/>
    <w:rsid w:val="00E4279A"/>
    <w:rsid w:val="00E42D00"/>
    <w:rsid w:val="00E4364B"/>
    <w:rsid w:val="00E44AC7"/>
    <w:rsid w:val="00E45B2D"/>
    <w:rsid w:val="00E47A20"/>
    <w:rsid w:val="00E5084C"/>
    <w:rsid w:val="00E508C8"/>
    <w:rsid w:val="00E5384D"/>
    <w:rsid w:val="00E53F2E"/>
    <w:rsid w:val="00E54781"/>
    <w:rsid w:val="00E54BB9"/>
    <w:rsid w:val="00E54D3F"/>
    <w:rsid w:val="00E550AA"/>
    <w:rsid w:val="00E55805"/>
    <w:rsid w:val="00E55895"/>
    <w:rsid w:val="00E55F1F"/>
    <w:rsid w:val="00E56866"/>
    <w:rsid w:val="00E57DFD"/>
    <w:rsid w:val="00E60423"/>
    <w:rsid w:val="00E607E5"/>
    <w:rsid w:val="00E60A16"/>
    <w:rsid w:val="00E60F02"/>
    <w:rsid w:val="00E6125B"/>
    <w:rsid w:val="00E6170A"/>
    <w:rsid w:val="00E62ADF"/>
    <w:rsid w:val="00E637A3"/>
    <w:rsid w:val="00E66BA2"/>
    <w:rsid w:val="00E677DB"/>
    <w:rsid w:val="00E67D0E"/>
    <w:rsid w:val="00E71C2D"/>
    <w:rsid w:val="00E72BB6"/>
    <w:rsid w:val="00E73352"/>
    <w:rsid w:val="00E75156"/>
    <w:rsid w:val="00E76295"/>
    <w:rsid w:val="00E771E4"/>
    <w:rsid w:val="00E77394"/>
    <w:rsid w:val="00E778DC"/>
    <w:rsid w:val="00E80D00"/>
    <w:rsid w:val="00E815CE"/>
    <w:rsid w:val="00E81611"/>
    <w:rsid w:val="00E81800"/>
    <w:rsid w:val="00E81863"/>
    <w:rsid w:val="00E81C42"/>
    <w:rsid w:val="00E81C5C"/>
    <w:rsid w:val="00E82064"/>
    <w:rsid w:val="00E82B6E"/>
    <w:rsid w:val="00E82DC6"/>
    <w:rsid w:val="00E835C5"/>
    <w:rsid w:val="00E848F0"/>
    <w:rsid w:val="00E84D1C"/>
    <w:rsid w:val="00E8628F"/>
    <w:rsid w:val="00E876D4"/>
    <w:rsid w:val="00E87D53"/>
    <w:rsid w:val="00E94196"/>
    <w:rsid w:val="00E942B8"/>
    <w:rsid w:val="00E945AF"/>
    <w:rsid w:val="00E94A0B"/>
    <w:rsid w:val="00E94A2C"/>
    <w:rsid w:val="00E94C85"/>
    <w:rsid w:val="00E95799"/>
    <w:rsid w:val="00E9683D"/>
    <w:rsid w:val="00E970B7"/>
    <w:rsid w:val="00EA010D"/>
    <w:rsid w:val="00EA0507"/>
    <w:rsid w:val="00EA0D5C"/>
    <w:rsid w:val="00EA25EB"/>
    <w:rsid w:val="00EA2775"/>
    <w:rsid w:val="00EA2BE9"/>
    <w:rsid w:val="00EA3ECD"/>
    <w:rsid w:val="00EA585A"/>
    <w:rsid w:val="00EA612E"/>
    <w:rsid w:val="00EA761C"/>
    <w:rsid w:val="00EA7D7F"/>
    <w:rsid w:val="00EB0B5F"/>
    <w:rsid w:val="00EB1CF7"/>
    <w:rsid w:val="00EB2B6F"/>
    <w:rsid w:val="00EB2FA2"/>
    <w:rsid w:val="00EB3272"/>
    <w:rsid w:val="00EB769A"/>
    <w:rsid w:val="00EB7892"/>
    <w:rsid w:val="00EC0481"/>
    <w:rsid w:val="00EC11E4"/>
    <w:rsid w:val="00EC14E1"/>
    <w:rsid w:val="00EC242A"/>
    <w:rsid w:val="00EC2A3F"/>
    <w:rsid w:val="00EC2B14"/>
    <w:rsid w:val="00EC2E64"/>
    <w:rsid w:val="00EC2F81"/>
    <w:rsid w:val="00EC3A35"/>
    <w:rsid w:val="00EC3E69"/>
    <w:rsid w:val="00EC4E9B"/>
    <w:rsid w:val="00EC5554"/>
    <w:rsid w:val="00EC65D5"/>
    <w:rsid w:val="00EC6C35"/>
    <w:rsid w:val="00EC75F6"/>
    <w:rsid w:val="00ED0065"/>
    <w:rsid w:val="00ED353D"/>
    <w:rsid w:val="00ED3F40"/>
    <w:rsid w:val="00ED588C"/>
    <w:rsid w:val="00ED5FDC"/>
    <w:rsid w:val="00ED654B"/>
    <w:rsid w:val="00EE0067"/>
    <w:rsid w:val="00EE04A9"/>
    <w:rsid w:val="00EE1062"/>
    <w:rsid w:val="00EE17F2"/>
    <w:rsid w:val="00EE188A"/>
    <w:rsid w:val="00EE1B01"/>
    <w:rsid w:val="00EE2746"/>
    <w:rsid w:val="00EE2ADC"/>
    <w:rsid w:val="00EE391B"/>
    <w:rsid w:val="00EE6755"/>
    <w:rsid w:val="00EF0199"/>
    <w:rsid w:val="00EF0338"/>
    <w:rsid w:val="00EF03DC"/>
    <w:rsid w:val="00EF0437"/>
    <w:rsid w:val="00EF12DE"/>
    <w:rsid w:val="00EF232D"/>
    <w:rsid w:val="00EF2AC7"/>
    <w:rsid w:val="00EF35EF"/>
    <w:rsid w:val="00EF493F"/>
    <w:rsid w:val="00EF741C"/>
    <w:rsid w:val="00F0091A"/>
    <w:rsid w:val="00F02C54"/>
    <w:rsid w:val="00F0448C"/>
    <w:rsid w:val="00F05612"/>
    <w:rsid w:val="00F1377B"/>
    <w:rsid w:val="00F150A5"/>
    <w:rsid w:val="00F1601A"/>
    <w:rsid w:val="00F1675C"/>
    <w:rsid w:val="00F17428"/>
    <w:rsid w:val="00F17C8A"/>
    <w:rsid w:val="00F20046"/>
    <w:rsid w:val="00F20D22"/>
    <w:rsid w:val="00F21A58"/>
    <w:rsid w:val="00F27F06"/>
    <w:rsid w:val="00F30A39"/>
    <w:rsid w:val="00F31199"/>
    <w:rsid w:val="00F314E8"/>
    <w:rsid w:val="00F316A2"/>
    <w:rsid w:val="00F323A2"/>
    <w:rsid w:val="00F33B57"/>
    <w:rsid w:val="00F33D5C"/>
    <w:rsid w:val="00F356D6"/>
    <w:rsid w:val="00F37D37"/>
    <w:rsid w:val="00F400E3"/>
    <w:rsid w:val="00F43048"/>
    <w:rsid w:val="00F43881"/>
    <w:rsid w:val="00F44642"/>
    <w:rsid w:val="00F454A2"/>
    <w:rsid w:val="00F45E89"/>
    <w:rsid w:val="00F47845"/>
    <w:rsid w:val="00F47B6C"/>
    <w:rsid w:val="00F50675"/>
    <w:rsid w:val="00F50BD6"/>
    <w:rsid w:val="00F50E16"/>
    <w:rsid w:val="00F51520"/>
    <w:rsid w:val="00F53151"/>
    <w:rsid w:val="00F535A9"/>
    <w:rsid w:val="00F5480F"/>
    <w:rsid w:val="00F56509"/>
    <w:rsid w:val="00F567A4"/>
    <w:rsid w:val="00F56C90"/>
    <w:rsid w:val="00F605BE"/>
    <w:rsid w:val="00F6138F"/>
    <w:rsid w:val="00F61C7A"/>
    <w:rsid w:val="00F625F7"/>
    <w:rsid w:val="00F64444"/>
    <w:rsid w:val="00F64D5A"/>
    <w:rsid w:val="00F65EC9"/>
    <w:rsid w:val="00F66CB1"/>
    <w:rsid w:val="00F70815"/>
    <w:rsid w:val="00F709F4"/>
    <w:rsid w:val="00F710A9"/>
    <w:rsid w:val="00F71AE0"/>
    <w:rsid w:val="00F7284D"/>
    <w:rsid w:val="00F72CFE"/>
    <w:rsid w:val="00F72FB0"/>
    <w:rsid w:val="00F73423"/>
    <w:rsid w:val="00F737A4"/>
    <w:rsid w:val="00F73D92"/>
    <w:rsid w:val="00F75481"/>
    <w:rsid w:val="00F76A4C"/>
    <w:rsid w:val="00F82D62"/>
    <w:rsid w:val="00F82E2E"/>
    <w:rsid w:val="00F83601"/>
    <w:rsid w:val="00F837E6"/>
    <w:rsid w:val="00F8389A"/>
    <w:rsid w:val="00F83AE9"/>
    <w:rsid w:val="00F843D4"/>
    <w:rsid w:val="00F8516E"/>
    <w:rsid w:val="00F86741"/>
    <w:rsid w:val="00F86EDD"/>
    <w:rsid w:val="00F90613"/>
    <w:rsid w:val="00F906F4"/>
    <w:rsid w:val="00F915F3"/>
    <w:rsid w:val="00F91800"/>
    <w:rsid w:val="00F91853"/>
    <w:rsid w:val="00F91987"/>
    <w:rsid w:val="00F91A59"/>
    <w:rsid w:val="00F9208E"/>
    <w:rsid w:val="00F93797"/>
    <w:rsid w:val="00F95425"/>
    <w:rsid w:val="00F95CCE"/>
    <w:rsid w:val="00F9692D"/>
    <w:rsid w:val="00F97D7B"/>
    <w:rsid w:val="00FA0F71"/>
    <w:rsid w:val="00FA220E"/>
    <w:rsid w:val="00FA2779"/>
    <w:rsid w:val="00FA3A7D"/>
    <w:rsid w:val="00FA3A97"/>
    <w:rsid w:val="00FA3AEA"/>
    <w:rsid w:val="00FA3EC2"/>
    <w:rsid w:val="00FA4219"/>
    <w:rsid w:val="00FA4245"/>
    <w:rsid w:val="00FA48C7"/>
    <w:rsid w:val="00FA50AC"/>
    <w:rsid w:val="00FA54FF"/>
    <w:rsid w:val="00FA5570"/>
    <w:rsid w:val="00FA5C0B"/>
    <w:rsid w:val="00FA70F5"/>
    <w:rsid w:val="00FB005D"/>
    <w:rsid w:val="00FB178B"/>
    <w:rsid w:val="00FB183E"/>
    <w:rsid w:val="00FB39CE"/>
    <w:rsid w:val="00FB4629"/>
    <w:rsid w:val="00FB577F"/>
    <w:rsid w:val="00FB5FC4"/>
    <w:rsid w:val="00FB6A07"/>
    <w:rsid w:val="00FB6FB1"/>
    <w:rsid w:val="00FC08C6"/>
    <w:rsid w:val="00FC57C4"/>
    <w:rsid w:val="00FC6761"/>
    <w:rsid w:val="00FC6D4E"/>
    <w:rsid w:val="00FC736F"/>
    <w:rsid w:val="00FD1D53"/>
    <w:rsid w:val="00FD39CF"/>
    <w:rsid w:val="00FE012C"/>
    <w:rsid w:val="00FE1370"/>
    <w:rsid w:val="00FE1510"/>
    <w:rsid w:val="00FE2121"/>
    <w:rsid w:val="00FE321B"/>
    <w:rsid w:val="00FE3C42"/>
    <w:rsid w:val="00FE3D07"/>
    <w:rsid w:val="00FE4B6F"/>
    <w:rsid w:val="00FE6818"/>
    <w:rsid w:val="00FF0CF5"/>
    <w:rsid w:val="00FF0D6F"/>
    <w:rsid w:val="00FF1365"/>
    <w:rsid w:val="00FF1712"/>
    <w:rsid w:val="00FF2EFA"/>
    <w:rsid w:val="00FF37DC"/>
    <w:rsid w:val="00FF37F2"/>
    <w:rsid w:val="00FF4DF7"/>
    <w:rsid w:val="00FF69C8"/>
    <w:rsid w:val="00FF6D3D"/>
    <w:rsid w:val="024D7E2C"/>
    <w:rsid w:val="0D2EB883"/>
    <w:rsid w:val="0D8163B6"/>
    <w:rsid w:val="1BB32F19"/>
    <w:rsid w:val="1F2C3AF5"/>
    <w:rsid w:val="1FF4886A"/>
    <w:rsid w:val="22D2584A"/>
    <w:rsid w:val="28751A95"/>
    <w:rsid w:val="29FA8189"/>
    <w:rsid w:val="2C00A012"/>
    <w:rsid w:val="389994B3"/>
    <w:rsid w:val="3B30A011"/>
    <w:rsid w:val="3B93C128"/>
    <w:rsid w:val="3CFBE104"/>
    <w:rsid w:val="467F9A7B"/>
    <w:rsid w:val="510454D8"/>
    <w:rsid w:val="5395A1E2"/>
    <w:rsid w:val="5D8505AD"/>
    <w:rsid w:val="6F81B597"/>
    <w:rsid w:val="71443FBB"/>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E2A"/>
  </w:style>
  <w:style w:type="paragraph" w:styleId="Ttulo1">
    <w:name w:val="heading 1"/>
    <w:basedOn w:val="Normal"/>
    <w:link w:val="Ttulo1Car"/>
    <w:uiPriority w:val="9"/>
    <w:qFormat/>
    <w:rsid w:val="00CD2E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paragraph" w:styleId="Ttulo3">
    <w:name w:val="heading 3"/>
    <w:basedOn w:val="Normal"/>
    <w:next w:val="Normal"/>
    <w:link w:val="Ttulo3Car"/>
    <w:uiPriority w:val="9"/>
    <w:unhideWhenUsed/>
    <w:qFormat/>
    <w:rsid w:val="009412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E84D1C"/>
    <w:pPr>
      <w:spacing w:after="0" w:line="240" w:lineRule="auto"/>
      <w:ind w:left="720"/>
      <w:contextualSpacing/>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84D1C"/>
    <w:rPr>
      <w:sz w:val="24"/>
      <w:lang w:val="es-MX"/>
    </w:rPr>
  </w:style>
  <w:style w:type="character" w:customStyle="1" w:styleId="Ttulo1Car">
    <w:name w:val="Título 1 Car"/>
    <w:basedOn w:val="Fuentedeprrafopredeter"/>
    <w:link w:val="Ttulo1"/>
    <w:uiPriority w:val="9"/>
    <w:rsid w:val="00CD2E70"/>
    <w:rPr>
      <w:rFonts w:ascii="Times New Roman" w:eastAsia="Times New Roman" w:hAnsi="Times New Roman" w:cs="Times New Roman"/>
      <w:b/>
      <w:bCs/>
      <w:kern w:val="36"/>
      <w:sz w:val="48"/>
      <w:szCs w:val="48"/>
      <w:lang w:eastAsia="es-ES_tradnl"/>
    </w:rPr>
  </w:style>
  <w:style w:type="paragraph" w:customStyle="1" w:styleId="paragraph">
    <w:name w:val="paragraph"/>
    <w:basedOn w:val="Normal"/>
    <w:rsid w:val="00CD2E7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superscript">
    <w:name w:val="superscript"/>
    <w:basedOn w:val="Fuentedeprrafopredeter"/>
    <w:rsid w:val="003651AC"/>
  </w:style>
  <w:style w:type="paragraph" w:styleId="NormalWeb">
    <w:name w:val="Normal (Web)"/>
    <w:basedOn w:val="Normal"/>
    <w:uiPriority w:val="99"/>
    <w:unhideWhenUsed/>
    <w:rsid w:val="00FB5FC4"/>
    <w:rPr>
      <w:rFonts w:ascii="Times New Roman" w:hAnsi="Times New Roman" w:cs="Times New Roman"/>
      <w:sz w:val="24"/>
      <w:szCs w:val="24"/>
    </w:rPr>
  </w:style>
  <w:style w:type="character" w:customStyle="1" w:styleId="Hipervnculo1">
    <w:name w:val="Hipervínculo1"/>
    <w:basedOn w:val="Fuentedeprrafopredeter"/>
    <w:uiPriority w:val="99"/>
    <w:unhideWhenUsed/>
    <w:rsid w:val="00FB5FC4"/>
    <w:rPr>
      <w:color w:val="F2F2F2"/>
      <w:u w:val="single"/>
    </w:rPr>
  </w:style>
  <w:style w:type="character" w:styleId="Textoennegrita">
    <w:name w:val="Strong"/>
    <w:basedOn w:val="Fuentedeprrafopredeter"/>
    <w:uiPriority w:val="22"/>
    <w:qFormat/>
    <w:rsid w:val="00FB5FC4"/>
    <w:rPr>
      <w:b/>
      <w:bCs/>
    </w:rPr>
  </w:style>
  <w:style w:type="character" w:styleId="nfasis">
    <w:name w:val="Emphasis"/>
    <w:basedOn w:val="Fuentedeprrafopredeter"/>
    <w:uiPriority w:val="20"/>
    <w:qFormat/>
    <w:rsid w:val="00FB5FC4"/>
    <w:rPr>
      <w:i/>
      <w:iCs/>
    </w:rPr>
  </w:style>
  <w:style w:type="paragraph" w:customStyle="1" w:styleId="Textoindependiente21">
    <w:name w:val="Texto independiente 21"/>
    <w:basedOn w:val="Normal"/>
    <w:rsid w:val="007A6528"/>
    <w:pPr>
      <w:overflowPunct w:val="0"/>
      <w:autoSpaceDE w:val="0"/>
      <w:autoSpaceDN w:val="0"/>
      <w:adjustRightInd w:val="0"/>
      <w:spacing w:after="0" w:line="360" w:lineRule="auto"/>
      <w:ind w:firstLine="710"/>
      <w:jc w:val="both"/>
      <w:textAlignment w:val="baseline"/>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002D5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002D55"/>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rsid w:val="0094120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8447">
      <w:bodyDiv w:val="1"/>
      <w:marLeft w:val="0"/>
      <w:marRight w:val="0"/>
      <w:marTop w:val="0"/>
      <w:marBottom w:val="0"/>
      <w:divBdr>
        <w:top w:val="none" w:sz="0" w:space="0" w:color="auto"/>
        <w:left w:val="none" w:sz="0" w:space="0" w:color="auto"/>
        <w:bottom w:val="none" w:sz="0" w:space="0" w:color="auto"/>
        <w:right w:val="none" w:sz="0" w:space="0" w:color="auto"/>
      </w:divBdr>
    </w:div>
    <w:div w:id="53281144">
      <w:bodyDiv w:val="1"/>
      <w:marLeft w:val="0"/>
      <w:marRight w:val="0"/>
      <w:marTop w:val="0"/>
      <w:marBottom w:val="0"/>
      <w:divBdr>
        <w:top w:val="none" w:sz="0" w:space="0" w:color="auto"/>
        <w:left w:val="none" w:sz="0" w:space="0" w:color="auto"/>
        <w:bottom w:val="none" w:sz="0" w:space="0" w:color="auto"/>
        <w:right w:val="none" w:sz="0" w:space="0" w:color="auto"/>
      </w:divBdr>
    </w:div>
    <w:div w:id="71391705">
      <w:bodyDiv w:val="1"/>
      <w:marLeft w:val="0"/>
      <w:marRight w:val="0"/>
      <w:marTop w:val="0"/>
      <w:marBottom w:val="0"/>
      <w:divBdr>
        <w:top w:val="none" w:sz="0" w:space="0" w:color="auto"/>
        <w:left w:val="none" w:sz="0" w:space="0" w:color="auto"/>
        <w:bottom w:val="none" w:sz="0" w:space="0" w:color="auto"/>
        <w:right w:val="none" w:sz="0" w:space="0" w:color="auto"/>
      </w:divBdr>
    </w:div>
    <w:div w:id="79370202">
      <w:bodyDiv w:val="1"/>
      <w:marLeft w:val="0"/>
      <w:marRight w:val="0"/>
      <w:marTop w:val="0"/>
      <w:marBottom w:val="0"/>
      <w:divBdr>
        <w:top w:val="none" w:sz="0" w:space="0" w:color="auto"/>
        <w:left w:val="none" w:sz="0" w:space="0" w:color="auto"/>
        <w:bottom w:val="none" w:sz="0" w:space="0" w:color="auto"/>
        <w:right w:val="none" w:sz="0" w:space="0" w:color="auto"/>
      </w:divBdr>
    </w:div>
    <w:div w:id="83454939">
      <w:bodyDiv w:val="1"/>
      <w:marLeft w:val="0"/>
      <w:marRight w:val="0"/>
      <w:marTop w:val="0"/>
      <w:marBottom w:val="0"/>
      <w:divBdr>
        <w:top w:val="none" w:sz="0" w:space="0" w:color="auto"/>
        <w:left w:val="none" w:sz="0" w:space="0" w:color="auto"/>
        <w:bottom w:val="none" w:sz="0" w:space="0" w:color="auto"/>
        <w:right w:val="none" w:sz="0" w:space="0" w:color="auto"/>
      </w:divBdr>
    </w:div>
    <w:div w:id="112671991">
      <w:bodyDiv w:val="1"/>
      <w:marLeft w:val="0"/>
      <w:marRight w:val="0"/>
      <w:marTop w:val="0"/>
      <w:marBottom w:val="0"/>
      <w:divBdr>
        <w:top w:val="none" w:sz="0" w:space="0" w:color="auto"/>
        <w:left w:val="none" w:sz="0" w:space="0" w:color="auto"/>
        <w:bottom w:val="none" w:sz="0" w:space="0" w:color="auto"/>
        <w:right w:val="none" w:sz="0" w:space="0" w:color="auto"/>
      </w:divBdr>
    </w:div>
    <w:div w:id="146291302">
      <w:bodyDiv w:val="1"/>
      <w:marLeft w:val="0"/>
      <w:marRight w:val="0"/>
      <w:marTop w:val="0"/>
      <w:marBottom w:val="0"/>
      <w:divBdr>
        <w:top w:val="none" w:sz="0" w:space="0" w:color="auto"/>
        <w:left w:val="none" w:sz="0" w:space="0" w:color="auto"/>
        <w:bottom w:val="none" w:sz="0" w:space="0" w:color="auto"/>
        <w:right w:val="none" w:sz="0" w:space="0" w:color="auto"/>
      </w:divBdr>
    </w:div>
    <w:div w:id="182283863">
      <w:bodyDiv w:val="1"/>
      <w:marLeft w:val="0"/>
      <w:marRight w:val="0"/>
      <w:marTop w:val="0"/>
      <w:marBottom w:val="0"/>
      <w:divBdr>
        <w:top w:val="none" w:sz="0" w:space="0" w:color="auto"/>
        <w:left w:val="none" w:sz="0" w:space="0" w:color="auto"/>
        <w:bottom w:val="none" w:sz="0" w:space="0" w:color="auto"/>
        <w:right w:val="none" w:sz="0" w:space="0" w:color="auto"/>
      </w:divBdr>
    </w:div>
    <w:div w:id="224611609">
      <w:bodyDiv w:val="1"/>
      <w:marLeft w:val="0"/>
      <w:marRight w:val="0"/>
      <w:marTop w:val="0"/>
      <w:marBottom w:val="0"/>
      <w:divBdr>
        <w:top w:val="none" w:sz="0" w:space="0" w:color="auto"/>
        <w:left w:val="none" w:sz="0" w:space="0" w:color="auto"/>
        <w:bottom w:val="none" w:sz="0" w:space="0" w:color="auto"/>
        <w:right w:val="none" w:sz="0" w:space="0" w:color="auto"/>
      </w:divBdr>
    </w:div>
    <w:div w:id="304701363">
      <w:bodyDiv w:val="1"/>
      <w:marLeft w:val="0"/>
      <w:marRight w:val="0"/>
      <w:marTop w:val="0"/>
      <w:marBottom w:val="0"/>
      <w:divBdr>
        <w:top w:val="none" w:sz="0" w:space="0" w:color="auto"/>
        <w:left w:val="none" w:sz="0" w:space="0" w:color="auto"/>
        <w:bottom w:val="none" w:sz="0" w:space="0" w:color="auto"/>
        <w:right w:val="none" w:sz="0" w:space="0" w:color="auto"/>
      </w:divBdr>
      <w:divsChild>
        <w:div w:id="1342392508">
          <w:marLeft w:val="0"/>
          <w:marRight w:val="0"/>
          <w:marTop w:val="0"/>
          <w:marBottom w:val="160"/>
          <w:divBdr>
            <w:top w:val="none" w:sz="0" w:space="0" w:color="auto"/>
            <w:left w:val="none" w:sz="0" w:space="0" w:color="auto"/>
            <w:bottom w:val="none" w:sz="0" w:space="0" w:color="auto"/>
            <w:right w:val="none" w:sz="0" w:space="0" w:color="auto"/>
          </w:divBdr>
        </w:div>
        <w:div w:id="792361768">
          <w:marLeft w:val="0"/>
          <w:marRight w:val="0"/>
          <w:marTop w:val="0"/>
          <w:marBottom w:val="0"/>
          <w:divBdr>
            <w:top w:val="none" w:sz="0" w:space="0" w:color="auto"/>
            <w:left w:val="none" w:sz="0" w:space="0" w:color="auto"/>
            <w:bottom w:val="none" w:sz="0" w:space="0" w:color="auto"/>
            <w:right w:val="none" w:sz="0" w:space="0" w:color="auto"/>
          </w:divBdr>
        </w:div>
        <w:div w:id="1275290444">
          <w:marLeft w:val="0"/>
          <w:marRight w:val="0"/>
          <w:marTop w:val="0"/>
          <w:marBottom w:val="0"/>
          <w:divBdr>
            <w:top w:val="none" w:sz="0" w:space="0" w:color="auto"/>
            <w:left w:val="none" w:sz="0" w:space="0" w:color="auto"/>
            <w:bottom w:val="none" w:sz="0" w:space="0" w:color="auto"/>
            <w:right w:val="none" w:sz="0" w:space="0" w:color="auto"/>
          </w:divBdr>
        </w:div>
      </w:divsChild>
    </w:div>
    <w:div w:id="337804836">
      <w:bodyDiv w:val="1"/>
      <w:marLeft w:val="0"/>
      <w:marRight w:val="0"/>
      <w:marTop w:val="0"/>
      <w:marBottom w:val="0"/>
      <w:divBdr>
        <w:top w:val="none" w:sz="0" w:space="0" w:color="auto"/>
        <w:left w:val="none" w:sz="0" w:space="0" w:color="auto"/>
        <w:bottom w:val="none" w:sz="0" w:space="0" w:color="auto"/>
        <w:right w:val="none" w:sz="0" w:space="0" w:color="auto"/>
      </w:divBdr>
    </w:div>
    <w:div w:id="437457004">
      <w:bodyDiv w:val="1"/>
      <w:marLeft w:val="0"/>
      <w:marRight w:val="0"/>
      <w:marTop w:val="0"/>
      <w:marBottom w:val="0"/>
      <w:divBdr>
        <w:top w:val="none" w:sz="0" w:space="0" w:color="auto"/>
        <w:left w:val="none" w:sz="0" w:space="0" w:color="auto"/>
        <w:bottom w:val="none" w:sz="0" w:space="0" w:color="auto"/>
        <w:right w:val="none" w:sz="0" w:space="0" w:color="auto"/>
      </w:divBdr>
    </w:div>
    <w:div w:id="567230522">
      <w:bodyDiv w:val="1"/>
      <w:marLeft w:val="0"/>
      <w:marRight w:val="0"/>
      <w:marTop w:val="0"/>
      <w:marBottom w:val="0"/>
      <w:divBdr>
        <w:top w:val="none" w:sz="0" w:space="0" w:color="auto"/>
        <w:left w:val="none" w:sz="0" w:space="0" w:color="auto"/>
        <w:bottom w:val="none" w:sz="0" w:space="0" w:color="auto"/>
        <w:right w:val="none" w:sz="0" w:space="0" w:color="auto"/>
      </w:divBdr>
    </w:div>
    <w:div w:id="628560024">
      <w:bodyDiv w:val="1"/>
      <w:marLeft w:val="0"/>
      <w:marRight w:val="0"/>
      <w:marTop w:val="0"/>
      <w:marBottom w:val="0"/>
      <w:divBdr>
        <w:top w:val="none" w:sz="0" w:space="0" w:color="auto"/>
        <w:left w:val="none" w:sz="0" w:space="0" w:color="auto"/>
        <w:bottom w:val="none" w:sz="0" w:space="0" w:color="auto"/>
        <w:right w:val="none" w:sz="0" w:space="0" w:color="auto"/>
      </w:divBdr>
    </w:div>
    <w:div w:id="751506518">
      <w:bodyDiv w:val="1"/>
      <w:marLeft w:val="0"/>
      <w:marRight w:val="0"/>
      <w:marTop w:val="0"/>
      <w:marBottom w:val="0"/>
      <w:divBdr>
        <w:top w:val="none" w:sz="0" w:space="0" w:color="auto"/>
        <w:left w:val="none" w:sz="0" w:space="0" w:color="auto"/>
        <w:bottom w:val="none" w:sz="0" w:space="0" w:color="auto"/>
        <w:right w:val="none" w:sz="0" w:space="0" w:color="auto"/>
      </w:divBdr>
    </w:div>
    <w:div w:id="788938886">
      <w:bodyDiv w:val="1"/>
      <w:marLeft w:val="0"/>
      <w:marRight w:val="0"/>
      <w:marTop w:val="0"/>
      <w:marBottom w:val="0"/>
      <w:divBdr>
        <w:top w:val="none" w:sz="0" w:space="0" w:color="auto"/>
        <w:left w:val="none" w:sz="0" w:space="0" w:color="auto"/>
        <w:bottom w:val="none" w:sz="0" w:space="0" w:color="auto"/>
        <w:right w:val="none" w:sz="0" w:space="0" w:color="auto"/>
      </w:divBdr>
    </w:div>
    <w:div w:id="789475127">
      <w:bodyDiv w:val="1"/>
      <w:marLeft w:val="0"/>
      <w:marRight w:val="0"/>
      <w:marTop w:val="0"/>
      <w:marBottom w:val="0"/>
      <w:divBdr>
        <w:top w:val="none" w:sz="0" w:space="0" w:color="auto"/>
        <w:left w:val="none" w:sz="0" w:space="0" w:color="auto"/>
        <w:bottom w:val="none" w:sz="0" w:space="0" w:color="auto"/>
        <w:right w:val="none" w:sz="0" w:space="0" w:color="auto"/>
      </w:divBdr>
    </w:div>
    <w:div w:id="824780668">
      <w:bodyDiv w:val="1"/>
      <w:marLeft w:val="0"/>
      <w:marRight w:val="0"/>
      <w:marTop w:val="0"/>
      <w:marBottom w:val="0"/>
      <w:divBdr>
        <w:top w:val="none" w:sz="0" w:space="0" w:color="auto"/>
        <w:left w:val="none" w:sz="0" w:space="0" w:color="auto"/>
        <w:bottom w:val="none" w:sz="0" w:space="0" w:color="auto"/>
        <w:right w:val="none" w:sz="0" w:space="0" w:color="auto"/>
      </w:divBdr>
    </w:div>
    <w:div w:id="873225882">
      <w:bodyDiv w:val="1"/>
      <w:marLeft w:val="0"/>
      <w:marRight w:val="0"/>
      <w:marTop w:val="0"/>
      <w:marBottom w:val="0"/>
      <w:divBdr>
        <w:top w:val="none" w:sz="0" w:space="0" w:color="auto"/>
        <w:left w:val="none" w:sz="0" w:space="0" w:color="auto"/>
        <w:bottom w:val="none" w:sz="0" w:space="0" w:color="auto"/>
        <w:right w:val="none" w:sz="0" w:space="0" w:color="auto"/>
      </w:divBdr>
    </w:div>
    <w:div w:id="905454849">
      <w:bodyDiv w:val="1"/>
      <w:marLeft w:val="0"/>
      <w:marRight w:val="0"/>
      <w:marTop w:val="0"/>
      <w:marBottom w:val="0"/>
      <w:divBdr>
        <w:top w:val="none" w:sz="0" w:space="0" w:color="auto"/>
        <w:left w:val="none" w:sz="0" w:space="0" w:color="auto"/>
        <w:bottom w:val="none" w:sz="0" w:space="0" w:color="auto"/>
        <w:right w:val="none" w:sz="0" w:space="0" w:color="auto"/>
      </w:divBdr>
      <w:divsChild>
        <w:div w:id="591283175">
          <w:marLeft w:val="0"/>
          <w:marRight w:val="0"/>
          <w:marTop w:val="0"/>
          <w:marBottom w:val="160"/>
          <w:divBdr>
            <w:top w:val="none" w:sz="0" w:space="0" w:color="auto"/>
            <w:left w:val="none" w:sz="0" w:space="0" w:color="auto"/>
            <w:bottom w:val="none" w:sz="0" w:space="0" w:color="auto"/>
            <w:right w:val="none" w:sz="0" w:space="0" w:color="auto"/>
          </w:divBdr>
        </w:div>
        <w:div w:id="2145074026">
          <w:marLeft w:val="0"/>
          <w:marRight w:val="0"/>
          <w:marTop w:val="0"/>
          <w:marBottom w:val="160"/>
          <w:divBdr>
            <w:top w:val="none" w:sz="0" w:space="0" w:color="auto"/>
            <w:left w:val="none" w:sz="0" w:space="0" w:color="auto"/>
            <w:bottom w:val="none" w:sz="0" w:space="0" w:color="auto"/>
            <w:right w:val="none" w:sz="0" w:space="0" w:color="auto"/>
          </w:divBdr>
        </w:div>
        <w:div w:id="1578511561">
          <w:marLeft w:val="0"/>
          <w:marRight w:val="0"/>
          <w:marTop w:val="0"/>
          <w:marBottom w:val="160"/>
          <w:divBdr>
            <w:top w:val="none" w:sz="0" w:space="0" w:color="auto"/>
            <w:left w:val="none" w:sz="0" w:space="0" w:color="auto"/>
            <w:bottom w:val="none" w:sz="0" w:space="0" w:color="auto"/>
            <w:right w:val="none" w:sz="0" w:space="0" w:color="auto"/>
          </w:divBdr>
        </w:div>
      </w:divsChild>
    </w:div>
    <w:div w:id="995841486">
      <w:bodyDiv w:val="1"/>
      <w:marLeft w:val="0"/>
      <w:marRight w:val="0"/>
      <w:marTop w:val="0"/>
      <w:marBottom w:val="0"/>
      <w:divBdr>
        <w:top w:val="none" w:sz="0" w:space="0" w:color="auto"/>
        <w:left w:val="none" w:sz="0" w:space="0" w:color="auto"/>
        <w:bottom w:val="none" w:sz="0" w:space="0" w:color="auto"/>
        <w:right w:val="none" w:sz="0" w:space="0" w:color="auto"/>
      </w:divBdr>
    </w:div>
    <w:div w:id="1017928047">
      <w:bodyDiv w:val="1"/>
      <w:marLeft w:val="0"/>
      <w:marRight w:val="0"/>
      <w:marTop w:val="0"/>
      <w:marBottom w:val="0"/>
      <w:divBdr>
        <w:top w:val="none" w:sz="0" w:space="0" w:color="auto"/>
        <w:left w:val="none" w:sz="0" w:space="0" w:color="auto"/>
        <w:bottom w:val="none" w:sz="0" w:space="0" w:color="auto"/>
        <w:right w:val="none" w:sz="0" w:space="0" w:color="auto"/>
      </w:divBdr>
    </w:div>
    <w:div w:id="1049112728">
      <w:bodyDiv w:val="1"/>
      <w:marLeft w:val="0"/>
      <w:marRight w:val="0"/>
      <w:marTop w:val="0"/>
      <w:marBottom w:val="0"/>
      <w:divBdr>
        <w:top w:val="none" w:sz="0" w:space="0" w:color="auto"/>
        <w:left w:val="none" w:sz="0" w:space="0" w:color="auto"/>
        <w:bottom w:val="none" w:sz="0" w:space="0" w:color="auto"/>
        <w:right w:val="none" w:sz="0" w:space="0" w:color="auto"/>
      </w:divBdr>
    </w:div>
    <w:div w:id="1107583370">
      <w:bodyDiv w:val="1"/>
      <w:marLeft w:val="0"/>
      <w:marRight w:val="0"/>
      <w:marTop w:val="0"/>
      <w:marBottom w:val="0"/>
      <w:divBdr>
        <w:top w:val="none" w:sz="0" w:space="0" w:color="auto"/>
        <w:left w:val="none" w:sz="0" w:space="0" w:color="auto"/>
        <w:bottom w:val="none" w:sz="0" w:space="0" w:color="auto"/>
        <w:right w:val="none" w:sz="0" w:space="0" w:color="auto"/>
      </w:divBdr>
    </w:div>
    <w:div w:id="1153371148">
      <w:bodyDiv w:val="1"/>
      <w:marLeft w:val="0"/>
      <w:marRight w:val="0"/>
      <w:marTop w:val="0"/>
      <w:marBottom w:val="0"/>
      <w:divBdr>
        <w:top w:val="none" w:sz="0" w:space="0" w:color="auto"/>
        <w:left w:val="none" w:sz="0" w:space="0" w:color="auto"/>
        <w:bottom w:val="none" w:sz="0" w:space="0" w:color="auto"/>
        <w:right w:val="none" w:sz="0" w:space="0" w:color="auto"/>
      </w:divBdr>
      <w:divsChild>
        <w:div w:id="578834935">
          <w:marLeft w:val="0"/>
          <w:marRight w:val="0"/>
          <w:marTop w:val="0"/>
          <w:marBottom w:val="160"/>
          <w:divBdr>
            <w:top w:val="none" w:sz="0" w:space="0" w:color="auto"/>
            <w:left w:val="none" w:sz="0" w:space="0" w:color="auto"/>
            <w:bottom w:val="none" w:sz="0" w:space="0" w:color="auto"/>
            <w:right w:val="none" w:sz="0" w:space="0" w:color="auto"/>
          </w:divBdr>
        </w:div>
        <w:div w:id="86193346">
          <w:marLeft w:val="0"/>
          <w:marRight w:val="0"/>
          <w:marTop w:val="0"/>
          <w:marBottom w:val="160"/>
          <w:divBdr>
            <w:top w:val="none" w:sz="0" w:space="0" w:color="auto"/>
            <w:left w:val="none" w:sz="0" w:space="0" w:color="auto"/>
            <w:bottom w:val="none" w:sz="0" w:space="0" w:color="auto"/>
            <w:right w:val="none" w:sz="0" w:space="0" w:color="auto"/>
          </w:divBdr>
        </w:div>
        <w:div w:id="185557124">
          <w:marLeft w:val="0"/>
          <w:marRight w:val="0"/>
          <w:marTop w:val="0"/>
          <w:marBottom w:val="160"/>
          <w:divBdr>
            <w:top w:val="none" w:sz="0" w:space="0" w:color="auto"/>
            <w:left w:val="none" w:sz="0" w:space="0" w:color="auto"/>
            <w:bottom w:val="none" w:sz="0" w:space="0" w:color="auto"/>
            <w:right w:val="none" w:sz="0" w:space="0" w:color="auto"/>
          </w:divBdr>
        </w:div>
      </w:divsChild>
    </w:div>
    <w:div w:id="1153915828">
      <w:bodyDiv w:val="1"/>
      <w:marLeft w:val="0"/>
      <w:marRight w:val="0"/>
      <w:marTop w:val="0"/>
      <w:marBottom w:val="0"/>
      <w:divBdr>
        <w:top w:val="none" w:sz="0" w:space="0" w:color="auto"/>
        <w:left w:val="none" w:sz="0" w:space="0" w:color="auto"/>
        <w:bottom w:val="none" w:sz="0" w:space="0" w:color="auto"/>
        <w:right w:val="none" w:sz="0" w:space="0" w:color="auto"/>
      </w:divBdr>
      <w:divsChild>
        <w:div w:id="625045676">
          <w:marLeft w:val="0"/>
          <w:marRight w:val="0"/>
          <w:marTop w:val="0"/>
          <w:marBottom w:val="160"/>
          <w:divBdr>
            <w:top w:val="none" w:sz="0" w:space="0" w:color="auto"/>
            <w:left w:val="none" w:sz="0" w:space="0" w:color="auto"/>
            <w:bottom w:val="none" w:sz="0" w:space="0" w:color="auto"/>
            <w:right w:val="none" w:sz="0" w:space="0" w:color="auto"/>
          </w:divBdr>
        </w:div>
        <w:div w:id="1433821828">
          <w:marLeft w:val="0"/>
          <w:marRight w:val="0"/>
          <w:marTop w:val="0"/>
          <w:marBottom w:val="0"/>
          <w:divBdr>
            <w:top w:val="none" w:sz="0" w:space="0" w:color="auto"/>
            <w:left w:val="none" w:sz="0" w:space="0" w:color="auto"/>
            <w:bottom w:val="none" w:sz="0" w:space="0" w:color="auto"/>
            <w:right w:val="none" w:sz="0" w:space="0" w:color="auto"/>
          </w:divBdr>
        </w:div>
        <w:div w:id="2019118024">
          <w:marLeft w:val="0"/>
          <w:marRight w:val="0"/>
          <w:marTop w:val="0"/>
          <w:marBottom w:val="0"/>
          <w:divBdr>
            <w:top w:val="none" w:sz="0" w:space="0" w:color="auto"/>
            <w:left w:val="none" w:sz="0" w:space="0" w:color="auto"/>
            <w:bottom w:val="none" w:sz="0" w:space="0" w:color="auto"/>
            <w:right w:val="none" w:sz="0" w:space="0" w:color="auto"/>
          </w:divBdr>
        </w:div>
      </w:divsChild>
    </w:div>
    <w:div w:id="1158882792">
      <w:bodyDiv w:val="1"/>
      <w:marLeft w:val="0"/>
      <w:marRight w:val="0"/>
      <w:marTop w:val="0"/>
      <w:marBottom w:val="0"/>
      <w:divBdr>
        <w:top w:val="none" w:sz="0" w:space="0" w:color="auto"/>
        <w:left w:val="none" w:sz="0" w:space="0" w:color="auto"/>
        <w:bottom w:val="none" w:sz="0" w:space="0" w:color="auto"/>
        <w:right w:val="none" w:sz="0" w:space="0" w:color="auto"/>
      </w:divBdr>
    </w:div>
    <w:div w:id="1174763162">
      <w:bodyDiv w:val="1"/>
      <w:marLeft w:val="0"/>
      <w:marRight w:val="0"/>
      <w:marTop w:val="0"/>
      <w:marBottom w:val="0"/>
      <w:divBdr>
        <w:top w:val="none" w:sz="0" w:space="0" w:color="auto"/>
        <w:left w:val="none" w:sz="0" w:space="0" w:color="auto"/>
        <w:bottom w:val="none" w:sz="0" w:space="0" w:color="auto"/>
        <w:right w:val="none" w:sz="0" w:space="0" w:color="auto"/>
      </w:divBdr>
    </w:div>
    <w:div w:id="1199778934">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281231290">
      <w:bodyDiv w:val="1"/>
      <w:marLeft w:val="0"/>
      <w:marRight w:val="0"/>
      <w:marTop w:val="0"/>
      <w:marBottom w:val="0"/>
      <w:divBdr>
        <w:top w:val="none" w:sz="0" w:space="0" w:color="auto"/>
        <w:left w:val="none" w:sz="0" w:space="0" w:color="auto"/>
        <w:bottom w:val="none" w:sz="0" w:space="0" w:color="auto"/>
        <w:right w:val="none" w:sz="0" w:space="0" w:color="auto"/>
      </w:divBdr>
    </w:div>
    <w:div w:id="1331056652">
      <w:bodyDiv w:val="1"/>
      <w:marLeft w:val="0"/>
      <w:marRight w:val="0"/>
      <w:marTop w:val="0"/>
      <w:marBottom w:val="0"/>
      <w:divBdr>
        <w:top w:val="none" w:sz="0" w:space="0" w:color="auto"/>
        <w:left w:val="none" w:sz="0" w:space="0" w:color="auto"/>
        <w:bottom w:val="none" w:sz="0" w:space="0" w:color="auto"/>
        <w:right w:val="none" w:sz="0" w:space="0" w:color="auto"/>
      </w:divBdr>
    </w:div>
    <w:div w:id="1357925651">
      <w:bodyDiv w:val="1"/>
      <w:marLeft w:val="0"/>
      <w:marRight w:val="0"/>
      <w:marTop w:val="0"/>
      <w:marBottom w:val="0"/>
      <w:divBdr>
        <w:top w:val="none" w:sz="0" w:space="0" w:color="auto"/>
        <w:left w:val="none" w:sz="0" w:space="0" w:color="auto"/>
        <w:bottom w:val="none" w:sz="0" w:space="0" w:color="auto"/>
        <w:right w:val="none" w:sz="0" w:space="0" w:color="auto"/>
      </w:divBdr>
    </w:div>
    <w:div w:id="1433745028">
      <w:bodyDiv w:val="1"/>
      <w:marLeft w:val="0"/>
      <w:marRight w:val="0"/>
      <w:marTop w:val="0"/>
      <w:marBottom w:val="0"/>
      <w:divBdr>
        <w:top w:val="none" w:sz="0" w:space="0" w:color="auto"/>
        <w:left w:val="none" w:sz="0" w:space="0" w:color="auto"/>
        <w:bottom w:val="none" w:sz="0" w:space="0" w:color="auto"/>
        <w:right w:val="none" w:sz="0" w:space="0" w:color="auto"/>
      </w:divBdr>
    </w:div>
    <w:div w:id="1448692339">
      <w:bodyDiv w:val="1"/>
      <w:marLeft w:val="0"/>
      <w:marRight w:val="0"/>
      <w:marTop w:val="0"/>
      <w:marBottom w:val="0"/>
      <w:divBdr>
        <w:top w:val="none" w:sz="0" w:space="0" w:color="auto"/>
        <w:left w:val="none" w:sz="0" w:space="0" w:color="auto"/>
        <w:bottom w:val="none" w:sz="0" w:space="0" w:color="auto"/>
        <w:right w:val="none" w:sz="0" w:space="0" w:color="auto"/>
      </w:divBdr>
    </w:div>
    <w:div w:id="1498619727">
      <w:bodyDiv w:val="1"/>
      <w:marLeft w:val="0"/>
      <w:marRight w:val="0"/>
      <w:marTop w:val="0"/>
      <w:marBottom w:val="0"/>
      <w:divBdr>
        <w:top w:val="none" w:sz="0" w:space="0" w:color="auto"/>
        <w:left w:val="none" w:sz="0" w:space="0" w:color="auto"/>
        <w:bottom w:val="none" w:sz="0" w:space="0" w:color="auto"/>
        <w:right w:val="none" w:sz="0" w:space="0" w:color="auto"/>
      </w:divBdr>
      <w:divsChild>
        <w:div w:id="797839195">
          <w:marLeft w:val="0"/>
          <w:marRight w:val="0"/>
          <w:marTop w:val="0"/>
          <w:marBottom w:val="160"/>
          <w:divBdr>
            <w:top w:val="none" w:sz="0" w:space="0" w:color="auto"/>
            <w:left w:val="none" w:sz="0" w:space="0" w:color="auto"/>
            <w:bottom w:val="none" w:sz="0" w:space="0" w:color="auto"/>
            <w:right w:val="none" w:sz="0" w:space="0" w:color="auto"/>
          </w:divBdr>
        </w:div>
        <w:div w:id="560681091">
          <w:marLeft w:val="0"/>
          <w:marRight w:val="0"/>
          <w:marTop w:val="0"/>
          <w:marBottom w:val="160"/>
          <w:divBdr>
            <w:top w:val="none" w:sz="0" w:space="0" w:color="auto"/>
            <w:left w:val="none" w:sz="0" w:space="0" w:color="auto"/>
            <w:bottom w:val="none" w:sz="0" w:space="0" w:color="auto"/>
            <w:right w:val="none" w:sz="0" w:space="0" w:color="auto"/>
          </w:divBdr>
        </w:div>
        <w:div w:id="1153833297">
          <w:marLeft w:val="0"/>
          <w:marRight w:val="0"/>
          <w:marTop w:val="0"/>
          <w:marBottom w:val="160"/>
          <w:divBdr>
            <w:top w:val="none" w:sz="0" w:space="0" w:color="auto"/>
            <w:left w:val="none" w:sz="0" w:space="0" w:color="auto"/>
            <w:bottom w:val="none" w:sz="0" w:space="0" w:color="auto"/>
            <w:right w:val="none" w:sz="0" w:space="0" w:color="auto"/>
          </w:divBdr>
        </w:div>
      </w:divsChild>
    </w:div>
    <w:div w:id="1550414708">
      <w:bodyDiv w:val="1"/>
      <w:marLeft w:val="0"/>
      <w:marRight w:val="0"/>
      <w:marTop w:val="0"/>
      <w:marBottom w:val="0"/>
      <w:divBdr>
        <w:top w:val="none" w:sz="0" w:space="0" w:color="auto"/>
        <w:left w:val="none" w:sz="0" w:space="0" w:color="auto"/>
        <w:bottom w:val="none" w:sz="0" w:space="0" w:color="auto"/>
        <w:right w:val="none" w:sz="0" w:space="0" w:color="auto"/>
      </w:divBdr>
    </w:div>
    <w:div w:id="1568610026">
      <w:bodyDiv w:val="1"/>
      <w:marLeft w:val="0"/>
      <w:marRight w:val="0"/>
      <w:marTop w:val="0"/>
      <w:marBottom w:val="0"/>
      <w:divBdr>
        <w:top w:val="none" w:sz="0" w:space="0" w:color="auto"/>
        <w:left w:val="none" w:sz="0" w:space="0" w:color="auto"/>
        <w:bottom w:val="none" w:sz="0" w:space="0" w:color="auto"/>
        <w:right w:val="none" w:sz="0" w:space="0" w:color="auto"/>
      </w:divBdr>
    </w:div>
    <w:div w:id="1606376211">
      <w:bodyDiv w:val="1"/>
      <w:marLeft w:val="0"/>
      <w:marRight w:val="0"/>
      <w:marTop w:val="0"/>
      <w:marBottom w:val="0"/>
      <w:divBdr>
        <w:top w:val="none" w:sz="0" w:space="0" w:color="auto"/>
        <w:left w:val="none" w:sz="0" w:space="0" w:color="auto"/>
        <w:bottom w:val="none" w:sz="0" w:space="0" w:color="auto"/>
        <w:right w:val="none" w:sz="0" w:space="0" w:color="auto"/>
      </w:divBdr>
      <w:divsChild>
        <w:div w:id="729840230">
          <w:marLeft w:val="0"/>
          <w:marRight w:val="0"/>
          <w:marTop w:val="0"/>
          <w:marBottom w:val="160"/>
          <w:divBdr>
            <w:top w:val="none" w:sz="0" w:space="0" w:color="auto"/>
            <w:left w:val="none" w:sz="0" w:space="0" w:color="auto"/>
            <w:bottom w:val="none" w:sz="0" w:space="0" w:color="auto"/>
            <w:right w:val="none" w:sz="0" w:space="0" w:color="auto"/>
          </w:divBdr>
        </w:div>
        <w:div w:id="1459761652">
          <w:marLeft w:val="0"/>
          <w:marRight w:val="0"/>
          <w:marTop w:val="0"/>
          <w:marBottom w:val="160"/>
          <w:divBdr>
            <w:top w:val="none" w:sz="0" w:space="0" w:color="auto"/>
            <w:left w:val="none" w:sz="0" w:space="0" w:color="auto"/>
            <w:bottom w:val="none" w:sz="0" w:space="0" w:color="auto"/>
            <w:right w:val="none" w:sz="0" w:space="0" w:color="auto"/>
          </w:divBdr>
        </w:div>
        <w:div w:id="2021463511">
          <w:marLeft w:val="0"/>
          <w:marRight w:val="0"/>
          <w:marTop w:val="0"/>
          <w:marBottom w:val="160"/>
          <w:divBdr>
            <w:top w:val="none" w:sz="0" w:space="0" w:color="auto"/>
            <w:left w:val="none" w:sz="0" w:space="0" w:color="auto"/>
            <w:bottom w:val="none" w:sz="0" w:space="0" w:color="auto"/>
            <w:right w:val="none" w:sz="0" w:space="0" w:color="auto"/>
          </w:divBdr>
        </w:div>
      </w:divsChild>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646666864">
      <w:bodyDiv w:val="1"/>
      <w:marLeft w:val="0"/>
      <w:marRight w:val="0"/>
      <w:marTop w:val="0"/>
      <w:marBottom w:val="0"/>
      <w:divBdr>
        <w:top w:val="none" w:sz="0" w:space="0" w:color="auto"/>
        <w:left w:val="none" w:sz="0" w:space="0" w:color="auto"/>
        <w:bottom w:val="none" w:sz="0" w:space="0" w:color="auto"/>
        <w:right w:val="none" w:sz="0" w:space="0" w:color="auto"/>
      </w:divBdr>
    </w:div>
    <w:div w:id="1669096844">
      <w:bodyDiv w:val="1"/>
      <w:marLeft w:val="0"/>
      <w:marRight w:val="0"/>
      <w:marTop w:val="0"/>
      <w:marBottom w:val="0"/>
      <w:divBdr>
        <w:top w:val="none" w:sz="0" w:space="0" w:color="auto"/>
        <w:left w:val="none" w:sz="0" w:space="0" w:color="auto"/>
        <w:bottom w:val="none" w:sz="0" w:space="0" w:color="auto"/>
        <w:right w:val="none" w:sz="0" w:space="0" w:color="auto"/>
      </w:divBdr>
      <w:divsChild>
        <w:div w:id="518936356">
          <w:marLeft w:val="0"/>
          <w:marRight w:val="0"/>
          <w:marTop w:val="0"/>
          <w:marBottom w:val="160"/>
          <w:divBdr>
            <w:top w:val="none" w:sz="0" w:space="0" w:color="auto"/>
            <w:left w:val="none" w:sz="0" w:space="0" w:color="auto"/>
            <w:bottom w:val="none" w:sz="0" w:space="0" w:color="auto"/>
            <w:right w:val="none" w:sz="0" w:space="0" w:color="auto"/>
          </w:divBdr>
        </w:div>
        <w:div w:id="528104072">
          <w:marLeft w:val="0"/>
          <w:marRight w:val="0"/>
          <w:marTop w:val="0"/>
          <w:marBottom w:val="160"/>
          <w:divBdr>
            <w:top w:val="none" w:sz="0" w:space="0" w:color="auto"/>
            <w:left w:val="none" w:sz="0" w:space="0" w:color="auto"/>
            <w:bottom w:val="none" w:sz="0" w:space="0" w:color="auto"/>
            <w:right w:val="none" w:sz="0" w:space="0" w:color="auto"/>
          </w:divBdr>
        </w:div>
        <w:div w:id="273513336">
          <w:marLeft w:val="0"/>
          <w:marRight w:val="0"/>
          <w:marTop w:val="0"/>
          <w:marBottom w:val="160"/>
          <w:divBdr>
            <w:top w:val="none" w:sz="0" w:space="0" w:color="auto"/>
            <w:left w:val="none" w:sz="0" w:space="0" w:color="auto"/>
            <w:bottom w:val="none" w:sz="0" w:space="0" w:color="auto"/>
            <w:right w:val="none" w:sz="0" w:space="0" w:color="auto"/>
          </w:divBdr>
        </w:div>
      </w:divsChild>
    </w:div>
    <w:div w:id="1676493951">
      <w:bodyDiv w:val="1"/>
      <w:marLeft w:val="0"/>
      <w:marRight w:val="0"/>
      <w:marTop w:val="0"/>
      <w:marBottom w:val="0"/>
      <w:divBdr>
        <w:top w:val="none" w:sz="0" w:space="0" w:color="auto"/>
        <w:left w:val="none" w:sz="0" w:space="0" w:color="auto"/>
        <w:bottom w:val="none" w:sz="0" w:space="0" w:color="auto"/>
        <w:right w:val="none" w:sz="0" w:space="0" w:color="auto"/>
      </w:divBdr>
    </w:div>
    <w:div w:id="1695689083">
      <w:bodyDiv w:val="1"/>
      <w:marLeft w:val="0"/>
      <w:marRight w:val="0"/>
      <w:marTop w:val="0"/>
      <w:marBottom w:val="0"/>
      <w:divBdr>
        <w:top w:val="none" w:sz="0" w:space="0" w:color="auto"/>
        <w:left w:val="none" w:sz="0" w:space="0" w:color="auto"/>
        <w:bottom w:val="none" w:sz="0" w:space="0" w:color="auto"/>
        <w:right w:val="none" w:sz="0" w:space="0" w:color="auto"/>
      </w:divBdr>
    </w:div>
    <w:div w:id="1761637096">
      <w:bodyDiv w:val="1"/>
      <w:marLeft w:val="0"/>
      <w:marRight w:val="0"/>
      <w:marTop w:val="0"/>
      <w:marBottom w:val="0"/>
      <w:divBdr>
        <w:top w:val="none" w:sz="0" w:space="0" w:color="auto"/>
        <w:left w:val="none" w:sz="0" w:space="0" w:color="auto"/>
        <w:bottom w:val="none" w:sz="0" w:space="0" w:color="auto"/>
        <w:right w:val="none" w:sz="0" w:space="0" w:color="auto"/>
      </w:divBdr>
      <w:divsChild>
        <w:div w:id="423385161">
          <w:marLeft w:val="0"/>
          <w:marRight w:val="0"/>
          <w:marTop w:val="0"/>
          <w:marBottom w:val="160"/>
          <w:divBdr>
            <w:top w:val="none" w:sz="0" w:space="0" w:color="auto"/>
            <w:left w:val="none" w:sz="0" w:space="0" w:color="auto"/>
            <w:bottom w:val="none" w:sz="0" w:space="0" w:color="auto"/>
            <w:right w:val="none" w:sz="0" w:space="0" w:color="auto"/>
          </w:divBdr>
        </w:div>
        <w:div w:id="2126801678">
          <w:marLeft w:val="0"/>
          <w:marRight w:val="0"/>
          <w:marTop w:val="0"/>
          <w:marBottom w:val="160"/>
          <w:divBdr>
            <w:top w:val="none" w:sz="0" w:space="0" w:color="auto"/>
            <w:left w:val="none" w:sz="0" w:space="0" w:color="auto"/>
            <w:bottom w:val="none" w:sz="0" w:space="0" w:color="auto"/>
            <w:right w:val="none" w:sz="0" w:space="0" w:color="auto"/>
          </w:divBdr>
        </w:div>
        <w:div w:id="827133892">
          <w:marLeft w:val="0"/>
          <w:marRight w:val="0"/>
          <w:marTop w:val="0"/>
          <w:marBottom w:val="160"/>
          <w:divBdr>
            <w:top w:val="none" w:sz="0" w:space="0" w:color="auto"/>
            <w:left w:val="none" w:sz="0" w:space="0" w:color="auto"/>
            <w:bottom w:val="none" w:sz="0" w:space="0" w:color="auto"/>
            <w:right w:val="none" w:sz="0" w:space="0" w:color="auto"/>
          </w:divBdr>
        </w:div>
      </w:divsChild>
    </w:div>
    <w:div w:id="1895584965">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96949255">
      <w:bodyDiv w:val="1"/>
      <w:marLeft w:val="0"/>
      <w:marRight w:val="0"/>
      <w:marTop w:val="0"/>
      <w:marBottom w:val="0"/>
      <w:divBdr>
        <w:top w:val="none" w:sz="0" w:space="0" w:color="auto"/>
        <w:left w:val="none" w:sz="0" w:space="0" w:color="auto"/>
        <w:bottom w:val="none" w:sz="0" w:space="0" w:color="auto"/>
        <w:right w:val="none" w:sz="0" w:space="0" w:color="auto"/>
      </w:divBdr>
    </w:div>
    <w:div w:id="2107262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317" TargetMode="External"/><Relationship Id="rId18" Type="http://schemas.openxmlformats.org/officeDocument/2006/relationships/hyperlink" Target="https://relatoria.colombiacompra.gov.co/busqueda/concepto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nam02.safelinks.protection.outlook.com/?url=https%3A%2F%2Fwww.colombiacompra.gov.co%2Fmanuales-guias-y-pliegos-tipo%2Fmanuales-y-guias%2Fguia-de-contratacion-publica-sostenible-y-socialmente&amp;data=05%7C02%7Ctatiana.baquero%40colombiacompra.gov.co%7Cb18b651bca3a4eb8eab008dd269b400d%7C7b09041e245149d08cb179d5e3d8c1be%7C0%7C0%7C638709170413433972%7CUnknown%7CTWFpbGZsb3d8eyJFbXB0eU1hcGkiOnRydWUsIlYiOiIwLjAuMDAwMCIsIlAiOiJXaW4zMiIsIkFOIjoiTWFpbCIsIldUIjoyfQ%3D%3D%7C0%7C%7C%7C&amp;sdata=KcIZjNQCyhSYqCBJKaUzRmkm%2F%2BX5KfyJ0BFpHPOyyuQ%3D&amp;reserved=0" TargetMode="External"/><Relationship Id="rId7" Type="http://schemas.openxmlformats.org/officeDocument/2006/relationships/settings" Target="settings.xml"/><Relationship Id="rId12" Type="http://schemas.openxmlformats.org/officeDocument/2006/relationships/hyperlink" Target="mailto:Contactenos@fonvichiq.gov.co" TargetMode="External"/><Relationship Id="rId17" Type="http://schemas.openxmlformats.org/officeDocument/2006/relationships/hyperlink" Target="https://www.funcionpublica.gov.co/eva/gestornormativo/norma.php?i=5640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uncionpublica.gov.co/eva/gestornormativo/norma.php?i=43101" TargetMode="External"/><Relationship Id="rId20" Type="http://schemas.openxmlformats.org/officeDocument/2006/relationships/hyperlink" Target="https://nam02.safelinks.protection.outlook.com/?url=https%3A%2F%2Fwww.colombiacompra.gov.co%2Fcontent%2F02-documentos-tipo-para-los-procesos-de-seleccion-de-consultoria-de-obra-publica-de&amp;data=05%7C02%7Ctatiana.baquero%40colombiacompra.gov.co%7Cb18b651bca3a4eb8eab008dd269b400d%7C7b09041e245149d08cb179d5e3d8c1be%7C0%7C0%7C638709170413412866%7CUnknown%7CTWFpbGZsb3d8eyJFbXB0eU1hcGkiOnRydWUsIlYiOiIwLjAuMDAwMCIsIlAiOiJXaW4zMiIsIkFOIjoiTWFpbCIsIldUIjoyfQ%3D%3D%7C0%7C%7C%7C&amp;sdata=PAnHKU3mzjh606XwuurlqFiVuXeZ%2Fam6YwLEN4IyFu0%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uncionpublica.gov.co/eva/gestornormativo/norma.php?i=22431"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nam02.safelinks.protection.outlook.com/?url=https%3A%2F%2Fwww.colombiacompra.gov.co%2Fcontent%2F03-documentos-tipo-para-los-procesos-de-seleccion-de-interventoria-de-obra-publica-de&amp;data=05%7C02%7Ctatiana.baquero%40colombiacompra.gov.co%7Cb18b651bca3a4eb8eab008dd269b400d%7C7b09041e245149d08cb179d5e3d8c1be%7C0%7C0%7C638709170413398117%7CUnknown%7CTWFpbGZsb3d8eyJFbXB0eU1hcGkiOnRydWUsIlYiOiIwLjAuMDAwMCIsIlAiOiJXaW4zMiIsIkFOIjoiTWFpbCIsIldUIjoyfQ%3D%3D%7C0%7C%7C%7C&amp;sdata=H%2Bi4oqFOijFnEd25YmVyIY5nqS9u05elRgoH8ytBTRc%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cionpublica.gov.co/eva/gestornormativo/norma.php?i=6050" TargetMode="External"/><Relationship Id="rId22"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SharedWithUsers xmlns="a6cb9e4b-f1d1-4245-83ec-6cad768d538a">
      <UserInfo>
        <DisplayName>Alejandro Sarmiento</DisplayName>
        <AccountId>129</AccountId>
        <AccountType/>
      </UserInfo>
    </SharedWithUsers>
  </documentManagement>
</p:properties>
</file>

<file path=customXml/itemProps1.xml><?xml version="1.0" encoding="utf-8"?>
<ds:datastoreItem xmlns:ds="http://schemas.openxmlformats.org/officeDocument/2006/customXml" ds:itemID="{06F8AB61-4B8C-4292-AD00-5B9AA853C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3.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4.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3920</Words>
  <Characters>21564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25434</CharactersWithSpaces>
  <SharedDoc>false</SharedDoc>
  <HLinks>
    <vt:vector size="48" baseType="variant">
      <vt:variant>
        <vt:i4>5439494</vt:i4>
      </vt:variant>
      <vt:variant>
        <vt:i4>15</vt:i4>
      </vt:variant>
      <vt:variant>
        <vt:i4>0</vt:i4>
      </vt:variant>
      <vt:variant>
        <vt:i4>5</vt:i4>
      </vt:variant>
      <vt:variant>
        <vt:lpwstr>https://www.colombiacompra.gov.co/sala-de-prensa/boletin-digital</vt:lpwstr>
      </vt:variant>
      <vt:variant>
        <vt:lpwstr/>
      </vt:variant>
      <vt:variant>
        <vt:i4>7471218</vt:i4>
      </vt:variant>
      <vt:variant>
        <vt:i4>12</vt:i4>
      </vt:variant>
      <vt:variant>
        <vt:i4>0</vt:i4>
      </vt:variant>
      <vt:variant>
        <vt:i4>5</vt:i4>
      </vt:variant>
      <vt:variant>
        <vt:lpwstr>https://relatoria.colombiacompra.gov.co/busqueda/conceptos</vt:lpwstr>
      </vt:variant>
      <vt:variant>
        <vt:lpwstr/>
      </vt:variant>
      <vt:variant>
        <vt:i4>5111895</vt:i4>
      </vt:variant>
      <vt:variant>
        <vt:i4>9</vt:i4>
      </vt:variant>
      <vt:variant>
        <vt:i4>0</vt:i4>
      </vt:variant>
      <vt:variant>
        <vt:i4>5</vt:i4>
      </vt:variant>
      <vt:variant>
        <vt:lpwstr>https://www.colombiacompra.gov.co/manuales-guias-y-pliegos-tipo/manuales-y-guias</vt:lpwstr>
      </vt:variant>
      <vt:variant>
        <vt:lpwstr/>
      </vt:variant>
      <vt:variant>
        <vt:i4>3801145</vt:i4>
      </vt:variant>
      <vt:variant>
        <vt:i4>6</vt:i4>
      </vt:variant>
      <vt:variant>
        <vt:i4>0</vt:i4>
      </vt:variant>
      <vt:variant>
        <vt:i4>5</vt:i4>
      </vt:variant>
      <vt:variant>
        <vt:lpwstr>https://relatoria.colombiacompra.gov.co/providencias-consejo-de-estado/</vt:lpwstr>
      </vt:variant>
      <vt:variant>
        <vt:lpwstr/>
      </vt:variant>
      <vt:variant>
        <vt:i4>3145787</vt:i4>
      </vt:variant>
      <vt:variant>
        <vt:i4>3</vt:i4>
      </vt:variant>
      <vt:variant>
        <vt:i4>0</vt:i4>
      </vt:variant>
      <vt:variant>
        <vt:i4>5</vt:i4>
      </vt:variant>
      <vt:variant>
        <vt:lpwstr>https://www.colombiacompra.gov.co/content/04-documentos-tipo-de-licitacion-de-obra-publica-para-proyectos-de-infraestructura-social</vt:lpwstr>
      </vt:variant>
      <vt:variant>
        <vt:lpwstr/>
      </vt:variant>
      <vt:variant>
        <vt:i4>7208987</vt:i4>
      </vt:variant>
      <vt:variant>
        <vt:i4>0</vt:i4>
      </vt:variant>
      <vt:variant>
        <vt:i4>0</vt:i4>
      </vt:variant>
      <vt:variant>
        <vt:i4>5</vt:i4>
      </vt:variant>
      <vt:variant>
        <vt:lpwstr>https://www.colombiacompra.gov.co/sites/cce_public/files/cce_circulares/circular_externa_unica_version_3_vf49.pdf</vt:lpwstr>
      </vt:variant>
      <vt:variant>
        <vt:lpwstr/>
      </vt:variant>
      <vt:variant>
        <vt:i4>6619182</vt:i4>
      </vt:variant>
      <vt:variant>
        <vt:i4>3</vt:i4>
      </vt:variant>
      <vt:variant>
        <vt:i4>0</vt:i4>
      </vt:variant>
      <vt:variant>
        <vt:i4>5</vt:i4>
      </vt:variant>
      <vt:variant>
        <vt:lpwstr>https://www.culturarecreacionydeporte.gov.co/es/bogotanitos/bogodatos/las-plazas-de-mercado-de-bogota</vt:lpwstr>
      </vt:variant>
      <vt:variant>
        <vt:lpwstr>:~:text=Muchos%20tienen%20diferentes%20conceptos%20sobre,en%20un%20sitio%20abierto%20o</vt:lpwstr>
      </vt:variant>
      <vt:variant>
        <vt:i4>2883621</vt:i4>
      </vt:variant>
      <vt:variant>
        <vt:i4>0</vt:i4>
      </vt:variant>
      <vt:variant>
        <vt:i4>0</vt:i4>
      </vt:variant>
      <vt:variant>
        <vt:i4>5</vt:i4>
      </vt:variant>
      <vt:variant>
        <vt:lpwstr>https://www.colombiacompra.gov.co/content/03-documentos-tipo-transversales-de-licitacion-de-obra-publica-de-infraestructura-social-con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Tatiana Baquero Iguaran</cp:lastModifiedBy>
  <cp:revision>3</cp:revision>
  <dcterms:created xsi:type="dcterms:W3CDTF">2024-12-31T16:25:00Z</dcterms:created>
  <dcterms:modified xsi:type="dcterms:W3CDTF">2024-12-31T16:30:00Z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