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58402" w14:textId="77777777" w:rsidR="00C25277" w:rsidRPr="00BA5F9B" w:rsidRDefault="00C25277" w:rsidP="00C25277">
      <w:pPr>
        <w:spacing w:after="0" w:line="240" w:lineRule="auto"/>
        <w:rPr>
          <w:rFonts w:ascii="Verdana" w:eastAsia="Geomanist Light" w:hAnsi="Verdana" w:cs="Arial"/>
          <w:lang w:val="es-MX"/>
        </w:rPr>
      </w:pPr>
    </w:p>
    <w:p w14:paraId="47458403" w14:textId="77777777" w:rsidR="00C25277" w:rsidRPr="00BA5F9B" w:rsidRDefault="00C25277" w:rsidP="00C25277">
      <w:pPr>
        <w:spacing w:after="0" w:line="240" w:lineRule="auto"/>
        <w:rPr>
          <w:rFonts w:ascii="Verdana" w:eastAsia="Geomanist Light" w:hAnsi="Verdana" w:cs="Arial"/>
          <w:lang w:val="es-MX"/>
        </w:rPr>
      </w:pPr>
    </w:p>
    <w:p w14:paraId="47458404" w14:textId="77777777" w:rsidR="00C25277" w:rsidRPr="00BA5F9B" w:rsidRDefault="00C25277" w:rsidP="00C25277">
      <w:pPr>
        <w:spacing w:after="0" w:line="240" w:lineRule="auto"/>
        <w:rPr>
          <w:rFonts w:ascii="Verdana" w:eastAsia="Calibri" w:hAnsi="Verdana" w:cs="Arial"/>
          <w:b/>
          <w:bCs/>
          <w:lang w:val="es-ES" w:eastAsia="es-ES"/>
        </w:rPr>
      </w:pPr>
      <w:r w:rsidRPr="00BA5F9B">
        <w:rPr>
          <w:rFonts w:ascii="Verdana" w:eastAsia="Calibri" w:hAnsi="Verdana" w:cs="Arial"/>
          <w:b/>
          <w:bCs/>
          <w:lang w:val="es-ES" w:eastAsia="es-ES"/>
        </w:rPr>
        <w:t>INHABILIDADES E INCOMPATIBILIDADES ― Límites a la capacidad ― Régimen</w:t>
      </w:r>
    </w:p>
    <w:p w14:paraId="47458405" w14:textId="77777777" w:rsidR="00C25277" w:rsidRPr="00BA5F9B" w:rsidRDefault="00C25277" w:rsidP="00C25277">
      <w:pPr>
        <w:spacing w:after="0" w:line="240" w:lineRule="auto"/>
        <w:rPr>
          <w:rFonts w:ascii="Verdana" w:eastAsia="Calibri" w:hAnsi="Verdana" w:cs="Arial"/>
          <w:b/>
          <w:bCs/>
          <w:lang w:val="es-ES" w:eastAsia="es-ES"/>
        </w:rPr>
      </w:pPr>
    </w:p>
    <w:p w14:paraId="47458406" w14:textId="77777777" w:rsidR="00C25277" w:rsidRPr="00BA5F9B" w:rsidRDefault="00C25277" w:rsidP="00C25277">
      <w:pPr>
        <w:spacing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47458407" w14:textId="77777777" w:rsidR="00C25277" w:rsidRPr="00BA5F9B" w:rsidRDefault="00C25277" w:rsidP="00C25277">
      <w:pPr>
        <w:spacing w:line="240" w:lineRule="auto"/>
        <w:jc w:val="both"/>
        <w:rPr>
          <w:rFonts w:ascii="Verdana" w:eastAsia="Calibri" w:hAnsi="Verdana" w:cs="Arial"/>
          <w:sz w:val="20"/>
          <w:szCs w:val="20"/>
          <w:lang w:val="es-ES"/>
        </w:rPr>
      </w:pPr>
    </w:p>
    <w:p w14:paraId="47458408" w14:textId="77777777" w:rsidR="00C25277" w:rsidRPr="00BA5F9B" w:rsidRDefault="00C25277" w:rsidP="00C25277">
      <w:pPr>
        <w:spacing w:after="0" w:line="276" w:lineRule="auto"/>
        <w:jc w:val="both"/>
        <w:rPr>
          <w:rFonts w:ascii="Verdana" w:eastAsia="Calibri" w:hAnsi="Verdana" w:cs="Arial"/>
          <w:b/>
          <w:bCs/>
        </w:rPr>
      </w:pPr>
      <w:r w:rsidRPr="00BA5F9B">
        <w:rPr>
          <w:rFonts w:ascii="Verdana" w:eastAsia="Calibri" w:hAnsi="Verdana" w:cs="Arial"/>
          <w:b/>
          <w:bCs/>
          <w:lang w:val="es-ES" w:eastAsia="es-ES"/>
        </w:rPr>
        <w:t xml:space="preserve">INHABILIDADES E INCOMPATIBILIDADES ― Concepto </w:t>
      </w:r>
    </w:p>
    <w:p w14:paraId="47458409" w14:textId="77777777" w:rsidR="00C25277" w:rsidRPr="00BA5F9B" w:rsidRDefault="00C25277" w:rsidP="00C25277">
      <w:pPr>
        <w:spacing w:after="0" w:line="240" w:lineRule="auto"/>
        <w:rPr>
          <w:rFonts w:ascii="Verdana" w:eastAsia="Geomanist Light" w:hAnsi="Verdana" w:cs="Arial"/>
          <w:b/>
          <w:bCs/>
          <w:lang w:val="es-ES"/>
        </w:rPr>
      </w:pPr>
    </w:p>
    <w:p w14:paraId="4745840A" w14:textId="77777777" w:rsidR="00C25277" w:rsidRPr="00BA5F9B" w:rsidRDefault="00C25277" w:rsidP="00C25277">
      <w:pPr>
        <w:spacing w:after="0"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las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w:t>
      </w:r>
    </w:p>
    <w:p w14:paraId="4745840B" w14:textId="77777777" w:rsidR="00C25277" w:rsidRPr="00BA5F9B" w:rsidRDefault="00C25277" w:rsidP="00C25277">
      <w:pPr>
        <w:spacing w:after="0" w:line="240" w:lineRule="auto"/>
        <w:jc w:val="both"/>
        <w:rPr>
          <w:rFonts w:ascii="Verdana" w:eastAsia="Geomanist Light" w:hAnsi="Verdana" w:cs="Arial"/>
          <w:b/>
          <w:bCs/>
          <w:sz w:val="20"/>
          <w:szCs w:val="20"/>
          <w:lang w:val="es-ES"/>
        </w:rPr>
      </w:pPr>
    </w:p>
    <w:p w14:paraId="4745840C" w14:textId="77777777" w:rsidR="00C25277" w:rsidRPr="00BA5F9B" w:rsidRDefault="00C25277" w:rsidP="00C25277">
      <w:pPr>
        <w:spacing w:after="0" w:line="240" w:lineRule="auto"/>
        <w:rPr>
          <w:rFonts w:ascii="Verdana" w:eastAsia="Geomanist Light" w:hAnsi="Verdana" w:cs="Arial"/>
          <w:lang w:val="es-MX"/>
        </w:rPr>
      </w:pPr>
    </w:p>
    <w:p w14:paraId="4745840D" w14:textId="77777777" w:rsidR="00C25277" w:rsidRPr="00BA5F9B" w:rsidRDefault="00C25277" w:rsidP="00C25277">
      <w:pPr>
        <w:spacing w:after="0" w:line="240" w:lineRule="auto"/>
        <w:rPr>
          <w:rFonts w:ascii="Verdana" w:eastAsia="Calibri" w:hAnsi="Verdana" w:cs="Arial"/>
          <w:b/>
          <w:bCs/>
          <w:lang w:val="es-ES" w:eastAsia="es-ES"/>
        </w:rPr>
      </w:pPr>
      <w:r w:rsidRPr="00BA5F9B">
        <w:rPr>
          <w:rFonts w:ascii="Verdana" w:eastAsia="Calibri" w:hAnsi="Verdana" w:cs="Arial"/>
          <w:b/>
          <w:bCs/>
          <w:lang w:val="es-ES" w:eastAsia="es-ES"/>
        </w:rPr>
        <w:t>INHABILIDADES E INCOMPATIBILIDADES ― Interpretación restrictiva ― Principio pro libertate</w:t>
      </w:r>
    </w:p>
    <w:p w14:paraId="4745840E" w14:textId="77777777" w:rsidR="00C25277" w:rsidRPr="00BA5F9B" w:rsidRDefault="00C25277" w:rsidP="00C25277">
      <w:pPr>
        <w:spacing w:after="0" w:line="240" w:lineRule="auto"/>
        <w:rPr>
          <w:rFonts w:ascii="Verdana" w:eastAsia="Geomanist Light" w:hAnsi="Verdana" w:cs="Arial"/>
          <w:b/>
          <w:bCs/>
          <w:lang w:val="es-ES"/>
        </w:rPr>
      </w:pPr>
    </w:p>
    <w:p w14:paraId="4745840F" w14:textId="77777777" w:rsidR="00C25277" w:rsidRDefault="00C25277" w:rsidP="00C25277">
      <w:pPr>
        <w:spacing w:after="0"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w:t>
      </w:r>
    </w:p>
    <w:p w14:paraId="47458410" w14:textId="77777777" w:rsidR="00C25277" w:rsidRPr="00BA5F9B" w:rsidRDefault="00C25277" w:rsidP="00C25277">
      <w:pPr>
        <w:spacing w:after="0" w:line="240" w:lineRule="auto"/>
        <w:jc w:val="both"/>
        <w:rPr>
          <w:rFonts w:ascii="Verdana" w:eastAsia="Calibri" w:hAnsi="Verdana" w:cs="Arial"/>
          <w:sz w:val="20"/>
          <w:szCs w:val="20"/>
          <w:lang w:val="es-ES"/>
        </w:rPr>
      </w:pPr>
    </w:p>
    <w:p w14:paraId="47458411" w14:textId="77777777" w:rsidR="00C25277" w:rsidRPr="00BA5F9B" w:rsidRDefault="00C25277" w:rsidP="00C25277">
      <w:pPr>
        <w:spacing w:after="0" w:line="240" w:lineRule="auto"/>
        <w:jc w:val="both"/>
        <w:rPr>
          <w:rFonts w:ascii="Verdana" w:eastAsia="Calibri" w:hAnsi="Verdana" w:cs="Arial"/>
          <w:sz w:val="20"/>
          <w:szCs w:val="20"/>
          <w:lang w:val="es-ES"/>
        </w:rPr>
      </w:pPr>
      <w:r w:rsidRPr="00BA5F9B">
        <w:rPr>
          <w:rFonts w:ascii="Verdana" w:eastAsia="Calibri" w:hAnsi="Verdana" w:cs="Arial"/>
          <w:sz w:val="20"/>
          <w:szCs w:val="20"/>
          <w:lang w:val="es-ES"/>
        </w:rPr>
        <w:t>[…] el principio pro libertate es el que debe dirigir la interpretación de las disposiciones normativas que consagran restricciones de derechos, como sucede con las causales de inhabilidad e incompatibilidad en la contratación estatal. 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47458412" w14:textId="77777777" w:rsidR="00C25277" w:rsidRPr="00BA5F9B" w:rsidRDefault="00C25277" w:rsidP="00C25277">
      <w:pPr>
        <w:spacing w:after="0" w:line="240" w:lineRule="auto"/>
        <w:jc w:val="both"/>
        <w:rPr>
          <w:rFonts w:ascii="Verdana" w:eastAsia="Geomanist Light" w:hAnsi="Verdana" w:cs="Arial"/>
          <w:b/>
          <w:bCs/>
          <w:sz w:val="20"/>
          <w:szCs w:val="20"/>
          <w:lang w:val="es-ES"/>
        </w:rPr>
      </w:pPr>
    </w:p>
    <w:p w14:paraId="47458413" w14:textId="77777777" w:rsidR="00C25277" w:rsidRPr="00BA5F9B" w:rsidRDefault="00C25277" w:rsidP="00C25277">
      <w:pPr>
        <w:spacing w:after="0" w:line="240" w:lineRule="auto"/>
        <w:rPr>
          <w:rFonts w:ascii="Verdana" w:eastAsia="Geomanist Light" w:hAnsi="Verdana" w:cs="Arial"/>
          <w:lang w:val="es-MX"/>
        </w:rPr>
      </w:pPr>
    </w:p>
    <w:p w14:paraId="47458414" w14:textId="77777777" w:rsidR="00C25277" w:rsidRDefault="00C25277" w:rsidP="00C25277">
      <w:pPr>
        <w:spacing w:after="0" w:line="240" w:lineRule="auto"/>
        <w:rPr>
          <w:rFonts w:ascii="Verdana" w:eastAsia="Geomanist Light" w:hAnsi="Verdana" w:cs="Arial"/>
          <w:lang w:val="es-MX"/>
        </w:rPr>
      </w:pPr>
    </w:p>
    <w:p w14:paraId="47458415" w14:textId="77777777" w:rsidR="00C25277" w:rsidRDefault="00C25277" w:rsidP="00C25277">
      <w:pPr>
        <w:spacing w:after="0" w:line="240" w:lineRule="auto"/>
        <w:rPr>
          <w:rFonts w:ascii="Verdana" w:eastAsia="Geomanist Light" w:hAnsi="Verdana" w:cs="Arial"/>
          <w:color w:val="000000" w:themeColor="text1"/>
          <w:lang w:val="es-MX"/>
        </w:rPr>
      </w:pPr>
    </w:p>
    <w:p w14:paraId="47458416" w14:textId="77777777" w:rsidR="00C25277" w:rsidRPr="00AA0A90" w:rsidRDefault="00C25277" w:rsidP="00C25277">
      <w:pPr>
        <w:spacing w:after="0" w:line="240" w:lineRule="auto"/>
        <w:rPr>
          <w:rFonts w:ascii="Verdana" w:eastAsia="Geomanist Light" w:hAnsi="Verdana" w:cs="Arial"/>
          <w:color w:val="201F1E"/>
          <w:lang w:val="es-MX"/>
        </w:rPr>
      </w:pPr>
      <w:r w:rsidRPr="00AA0A90">
        <w:rPr>
          <w:rFonts w:ascii="Verdana" w:eastAsia="Geomanist Light" w:hAnsi="Verdana" w:cs="Arial"/>
          <w:color w:val="000000" w:themeColor="text1"/>
          <w:lang w:val="es-MX"/>
        </w:rPr>
        <w:lastRenderedPageBreak/>
        <w:t>Bogotá D.C., </w:t>
      </w:r>
      <w:r>
        <w:rPr>
          <w:rFonts w:ascii="Verdana" w:eastAsia="Geomanist Light" w:hAnsi="Verdana" w:cs="Arial"/>
          <w:color w:val="201F1E"/>
          <w:lang w:val="es-MX"/>
        </w:rPr>
        <w:t>30 de Julio de 2024</w:t>
      </w:r>
    </w:p>
    <w:p w14:paraId="47458417" w14:textId="77777777" w:rsidR="00C25277" w:rsidRPr="00AA0A90" w:rsidRDefault="00172DC6" w:rsidP="00C25277">
      <w:pPr>
        <w:spacing w:after="0" w:line="240" w:lineRule="auto"/>
        <w:jc w:val="both"/>
        <w:rPr>
          <w:rFonts w:ascii="Verdana" w:eastAsia="Calibri" w:hAnsi="Verdana" w:cs="Arial"/>
          <w:color w:val="000000"/>
          <w:lang w:val="es-ES"/>
        </w:rPr>
      </w:pPr>
      <w:r w:rsidRPr="00172DC6">
        <w:rPr>
          <w:rFonts w:ascii="Verdana" w:eastAsia="Calibri" w:hAnsi="Verdana" w:cs="Arial"/>
          <w:b/>
          <w:bCs/>
          <w:noProof/>
          <w:color w:val="000000"/>
          <w:lang w:val="es-ES_tradnl" w:eastAsia="es-ES_tradnl"/>
        </w:rPr>
        <w:drawing>
          <wp:anchor distT="0" distB="0" distL="114300" distR="114300" simplePos="0" relativeHeight="251658240" behindDoc="1" locked="0" layoutInCell="1" allowOverlap="1" wp14:anchorId="47458497" wp14:editId="42573DB1">
            <wp:simplePos x="0" y="0"/>
            <wp:positionH relativeFrom="column">
              <wp:posOffset>3177540</wp:posOffset>
            </wp:positionH>
            <wp:positionV relativeFrom="paragraph">
              <wp:posOffset>111125</wp:posOffset>
            </wp:positionV>
            <wp:extent cx="2659380" cy="739140"/>
            <wp:effectExtent l="0" t="0" r="0" b="0"/>
            <wp:wrapNone/>
            <wp:docPr id="1427528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2851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9380" cy="739140"/>
                    </a:xfrm>
                    <a:prstGeom prst="rect">
                      <a:avLst/>
                    </a:prstGeom>
                  </pic:spPr>
                </pic:pic>
              </a:graphicData>
            </a:graphic>
            <wp14:sizeRelH relativeFrom="page">
              <wp14:pctWidth>0</wp14:pctWidth>
            </wp14:sizeRelH>
            <wp14:sizeRelV relativeFrom="page">
              <wp14:pctHeight>0</wp14:pctHeight>
            </wp14:sizeRelV>
          </wp:anchor>
        </w:drawing>
      </w:r>
    </w:p>
    <w:p w14:paraId="47458418" w14:textId="77777777" w:rsidR="00C25277" w:rsidRPr="00AA0A90" w:rsidRDefault="00C25277" w:rsidP="00C25277">
      <w:pPr>
        <w:spacing w:after="0" w:line="240" w:lineRule="auto"/>
        <w:jc w:val="both"/>
        <w:rPr>
          <w:rFonts w:ascii="Verdana" w:eastAsia="Calibri" w:hAnsi="Verdana" w:cs="Arial"/>
          <w:lang w:val="es-ES" w:eastAsia="es-ES"/>
        </w:rPr>
      </w:pPr>
      <w:r w:rsidRPr="00AA0A90">
        <w:rPr>
          <w:rFonts w:ascii="Verdana" w:eastAsia="Calibri" w:hAnsi="Verdana" w:cs="Arial"/>
          <w:lang w:val="es-ES" w:eastAsia="es-ES"/>
        </w:rPr>
        <w:t>Señora</w:t>
      </w:r>
    </w:p>
    <w:p w14:paraId="47458419" w14:textId="77777777" w:rsidR="00C25277" w:rsidRPr="00AA0A90" w:rsidRDefault="00C25277" w:rsidP="00C25277">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Brenda Ester García Arrieta</w:t>
      </w:r>
    </w:p>
    <w:p w14:paraId="4745841A" w14:textId="77777777" w:rsidR="00C25277" w:rsidRPr="00FB4F13" w:rsidRDefault="00C25277" w:rsidP="00C25277">
      <w:pPr>
        <w:spacing w:after="0" w:line="240" w:lineRule="auto"/>
        <w:rPr>
          <w:rFonts w:ascii="Verdana" w:hAnsi="Verdana"/>
        </w:rPr>
      </w:pPr>
      <w:hyperlink r:id="rId11" w:history="1">
        <w:r w:rsidRPr="00FB4F13">
          <w:rPr>
            <w:rStyle w:val="Hipervnculo"/>
            <w:rFonts w:ascii="Verdana" w:hAnsi="Verdana"/>
          </w:rPr>
          <w:t>brendagarcia_26@hotmail.com</w:t>
        </w:r>
      </w:hyperlink>
    </w:p>
    <w:p w14:paraId="4745841B" w14:textId="77777777" w:rsidR="00C25277" w:rsidRPr="00AA0A90" w:rsidRDefault="00C25277" w:rsidP="00C25277">
      <w:pPr>
        <w:spacing w:after="0" w:line="240" w:lineRule="auto"/>
        <w:rPr>
          <w:rFonts w:ascii="Verdana" w:eastAsia="Calibri" w:hAnsi="Verdana" w:cs="Arial"/>
          <w:b/>
          <w:bCs/>
          <w:lang w:val="es-ES" w:eastAsia="es-ES"/>
        </w:rPr>
      </w:pPr>
      <w:r>
        <w:rPr>
          <w:rFonts w:ascii="Verdana" w:eastAsia="Calibri" w:hAnsi="Verdana" w:cs="Arial"/>
          <w:lang w:val="es-ES" w:eastAsia="es-ES"/>
        </w:rPr>
        <w:t>Sincelejo - Sucre</w:t>
      </w:r>
    </w:p>
    <w:p w14:paraId="4745841C" w14:textId="77777777" w:rsidR="00C25277" w:rsidRPr="00AA0A90" w:rsidRDefault="00C25277" w:rsidP="00C25277">
      <w:pPr>
        <w:spacing w:after="0" w:line="240" w:lineRule="auto"/>
        <w:rPr>
          <w:rFonts w:ascii="Verdana" w:eastAsia="Calibri" w:hAnsi="Verdana" w:cs="Arial"/>
          <w:b/>
          <w:bCs/>
          <w:color w:val="000000"/>
          <w:lang w:val="es-ES_tradnl" w:eastAsia="es-ES_tradnl"/>
        </w:rPr>
      </w:pPr>
    </w:p>
    <w:p w14:paraId="4745841D" w14:textId="77777777" w:rsidR="00C25277" w:rsidRPr="00AA0A90" w:rsidRDefault="00C25277" w:rsidP="00C25277">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25277" w:rsidRPr="00AA0A90" w14:paraId="47458420" w14:textId="77777777" w:rsidTr="00D755B9">
        <w:trPr>
          <w:trHeight w:val="884"/>
        </w:trPr>
        <w:tc>
          <w:tcPr>
            <w:tcW w:w="2689" w:type="dxa"/>
          </w:tcPr>
          <w:p w14:paraId="4745841E" w14:textId="77777777" w:rsidR="00C25277" w:rsidRPr="00AA0A90" w:rsidRDefault="00C25277" w:rsidP="00D755B9">
            <w:pPr>
              <w:jc w:val="both"/>
              <w:rPr>
                <w:rFonts w:ascii="Verdana" w:eastAsia="Calibri" w:hAnsi="Verdana" w:cs="Arial"/>
                <w:b/>
                <w:bCs/>
                <w:lang w:val="es-ES_tradnl" w:eastAsia="es-ES_tradnl"/>
              </w:rPr>
            </w:pPr>
          </w:p>
        </w:tc>
        <w:tc>
          <w:tcPr>
            <w:tcW w:w="6100" w:type="dxa"/>
          </w:tcPr>
          <w:p w14:paraId="4745841F" w14:textId="77777777" w:rsidR="00C25277" w:rsidRPr="00AA0A90" w:rsidRDefault="00C25277" w:rsidP="00D755B9">
            <w:pPr>
              <w:jc w:val="both"/>
              <w:rPr>
                <w:rFonts w:ascii="Verdana" w:eastAsia="Calibri" w:hAnsi="Verdana" w:cs="Arial"/>
                <w:b/>
                <w:bCs/>
                <w:lang w:val="es-ES" w:eastAsia="es-ES"/>
              </w:rPr>
            </w:pPr>
            <w:r w:rsidRPr="00AA0A90">
              <w:rPr>
                <w:rFonts w:ascii="Verdana" w:eastAsia="Calibri" w:hAnsi="Verdana" w:cs="Arial"/>
                <w:b/>
                <w:bCs/>
                <w:lang w:val="es-ES" w:eastAsia="es-ES"/>
              </w:rPr>
              <w:t>Concepto C</w:t>
            </w:r>
            <w:r>
              <w:rPr>
                <w:rFonts w:ascii="Verdana" w:eastAsia="Calibri" w:hAnsi="Verdana" w:cs="Arial"/>
                <w:b/>
                <w:bCs/>
                <w:lang w:val="es-ES" w:eastAsia="es-ES"/>
              </w:rPr>
              <w:t xml:space="preserve">-989 </w:t>
            </w:r>
            <w:r w:rsidRPr="00AA0A90">
              <w:rPr>
                <w:rFonts w:ascii="Verdana" w:eastAsia="Calibri" w:hAnsi="Verdana" w:cs="Arial"/>
                <w:b/>
                <w:bCs/>
                <w:lang w:val="es-ES" w:eastAsia="es-ES"/>
              </w:rPr>
              <w:t>de 2024</w:t>
            </w:r>
          </w:p>
        </w:tc>
      </w:tr>
      <w:tr w:rsidR="00C25277" w:rsidRPr="00AA0A90" w14:paraId="47458424" w14:textId="77777777" w:rsidTr="00D755B9">
        <w:trPr>
          <w:trHeight w:val="884"/>
        </w:trPr>
        <w:tc>
          <w:tcPr>
            <w:tcW w:w="2689" w:type="dxa"/>
          </w:tcPr>
          <w:p w14:paraId="47458421" w14:textId="77777777" w:rsidR="00C25277" w:rsidRPr="00AA0A90" w:rsidRDefault="00C25277" w:rsidP="00D755B9">
            <w:pPr>
              <w:jc w:val="both"/>
              <w:rPr>
                <w:rFonts w:ascii="Verdana" w:eastAsia="Calibri" w:hAnsi="Verdana" w:cs="Arial"/>
                <w:lang w:val="es-ES_tradnl" w:eastAsia="es-ES_tradnl"/>
              </w:rPr>
            </w:pPr>
            <w:r w:rsidRPr="00AA0A90">
              <w:rPr>
                <w:rFonts w:ascii="Verdana" w:eastAsia="Calibri" w:hAnsi="Verdana" w:cs="Arial"/>
                <w:b/>
                <w:lang w:val="es-ES_tradnl" w:eastAsia="es-ES_tradnl"/>
              </w:rPr>
              <w:t>Temas:</w:t>
            </w:r>
            <w:r w:rsidRPr="00AA0A90">
              <w:rPr>
                <w:rFonts w:ascii="Verdana" w:eastAsia="Calibri" w:hAnsi="Verdana" w:cs="Arial"/>
                <w:lang w:val="es-ES_tradnl" w:eastAsia="es-ES_tradnl"/>
              </w:rPr>
              <w:t xml:space="preserve">                   </w:t>
            </w:r>
          </w:p>
        </w:tc>
        <w:tc>
          <w:tcPr>
            <w:tcW w:w="6100" w:type="dxa"/>
          </w:tcPr>
          <w:p w14:paraId="47458422" w14:textId="77777777" w:rsidR="00C25277" w:rsidRPr="00AA0A90" w:rsidRDefault="00C25277" w:rsidP="00D755B9">
            <w:pPr>
              <w:spacing w:line="276" w:lineRule="auto"/>
              <w:jc w:val="both"/>
              <w:rPr>
                <w:rFonts w:ascii="Verdana" w:eastAsia="Calibri" w:hAnsi="Verdana" w:cs="Arial"/>
                <w:lang w:val="es-ES" w:eastAsia="es-ES"/>
              </w:rPr>
            </w:pPr>
            <w:r w:rsidRPr="00AA0A90">
              <w:rPr>
                <w:rFonts w:ascii="Verdana" w:eastAsia="Calibri" w:hAnsi="Verdana" w:cs="Arial"/>
                <w:lang w:val="es-ES" w:eastAsia="es-ES"/>
              </w:rPr>
              <w:t xml:space="preserve">INHABILIDADES E INCOMPATIBILIDADES ― Límites a la capacidad ― Régimen / </w:t>
            </w:r>
            <w:bookmarkStart w:id="0" w:name="_Hlk174096995"/>
            <w:r w:rsidRPr="00AA0A90">
              <w:rPr>
                <w:rFonts w:ascii="Verdana" w:eastAsia="Calibri" w:hAnsi="Verdana" w:cs="Arial"/>
                <w:lang w:val="es-ES" w:eastAsia="es-ES"/>
              </w:rPr>
              <w:t>INHABILIDADES E INCOMPATIBILIDADES ― Concepto</w:t>
            </w:r>
            <w:bookmarkEnd w:id="0"/>
            <w:r w:rsidRPr="00AA0A90">
              <w:rPr>
                <w:rFonts w:ascii="Verdana" w:eastAsia="Calibri" w:hAnsi="Verdana" w:cs="Arial"/>
                <w:lang w:val="es-ES" w:eastAsia="es-ES"/>
              </w:rPr>
              <w:t xml:space="preserve"> / INHABILIDADES E INCOMPATIBILIDADES ― Interpretación restrictiva ― Principio pro libertate / INHABILIDADES ― Interpretación restrictiva ― Artículo 8 ― Ley 80 de 1993</w:t>
            </w:r>
          </w:p>
          <w:p w14:paraId="47458423" w14:textId="77777777" w:rsidR="00C25277" w:rsidRPr="00AA0A90" w:rsidRDefault="00C25277" w:rsidP="00D755B9">
            <w:pPr>
              <w:spacing w:line="276" w:lineRule="auto"/>
              <w:jc w:val="both"/>
              <w:rPr>
                <w:rFonts w:ascii="Verdana" w:eastAsia="Calibri" w:hAnsi="Verdana" w:cs="Arial"/>
                <w:lang w:val="es-ES" w:eastAsia="es-ES"/>
              </w:rPr>
            </w:pPr>
          </w:p>
        </w:tc>
      </w:tr>
      <w:tr w:rsidR="00C25277" w:rsidRPr="00AA0A90" w14:paraId="47458427" w14:textId="77777777" w:rsidTr="00D755B9">
        <w:tc>
          <w:tcPr>
            <w:tcW w:w="2689" w:type="dxa"/>
          </w:tcPr>
          <w:p w14:paraId="47458425" w14:textId="77777777" w:rsidR="00C25277" w:rsidRPr="00AA0A90" w:rsidRDefault="00C25277" w:rsidP="00D755B9">
            <w:pPr>
              <w:jc w:val="both"/>
              <w:rPr>
                <w:rFonts w:ascii="Verdana" w:eastAsia="Calibri" w:hAnsi="Verdana" w:cs="Arial"/>
                <w:b/>
                <w:lang w:val="es-ES_tradnl" w:eastAsia="es-ES_tradnl"/>
              </w:rPr>
            </w:pPr>
            <w:r w:rsidRPr="00AA0A90">
              <w:rPr>
                <w:rFonts w:ascii="Verdana" w:eastAsia="Calibri" w:hAnsi="Verdana" w:cs="Arial"/>
                <w:b/>
                <w:lang w:val="es-ES_tradnl" w:eastAsia="es-ES_tradnl"/>
              </w:rPr>
              <w:t>Radicación:</w:t>
            </w:r>
            <w:r w:rsidRPr="00AA0A90">
              <w:rPr>
                <w:rFonts w:ascii="Verdana" w:eastAsia="Calibri" w:hAnsi="Verdana" w:cs="Arial"/>
                <w:lang w:val="es-ES_tradnl" w:eastAsia="es-ES_tradnl"/>
              </w:rPr>
              <w:t xml:space="preserve">               </w:t>
            </w:r>
          </w:p>
        </w:tc>
        <w:tc>
          <w:tcPr>
            <w:tcW w:w="6100" w:type="dxa"/>
          </w:tcPr>
          <w:p w14:paraId="47458426" w14:textId="77777777" w:rsidR="00C25277" w:rsidRPr="00AA0A90" w:rsidRDefault="00C25277" w:rsidP="00D755B9">
            <w:pPr>
              <w:jc w:val="both"/>
              <w:rPr>
                <w:rFonts w:ascii="Verdana" w:eastAsia="Calibri" w:hAnsi="Verdana" w:cs="Arial"/>
                <w:lang w:val="es-ES_tradnl" w:eastAsia="es-ES_tradnl"/>
              </w:rPr>
            </w:pPr>
            <w:r w:rsidRPr="00AA0A90">
              <w:rPr>
                <w:rFonts w:ascii="Verdana" w:eastAsia="Calibri" w:hAnsi="Verdana" w:cs="Arial"/>
                <w:lang w:val="es-ES_tradnl" w:eastAsia="es-ES_tradnl"/>
              </w:rPr>
              <w:t xml:space="preserve">Respuesta a consulta con radicado No. </w:t>
            </w:r>
            <w:r w:rsidRPr="00FB4F13">
              <w:rPr>
                <w:rFonts w:ascii="Verdana" w:eastAsia="Calibri" w:hAnsi="Verdana" w:cs="Arial"/>
                <w:lang w:val="es-ES_tradnl" w:eastAsia="es-ES_tradnl"/>
              </w:rPr>
              <w:t>P20241212012477</w:t>
            </w:r>
          </w:p>
        </w:tc>
      </w:tr>
    </w:tbl>
    <w:p w14:paraId="47458428" w14:textId="77777777" w:rsidR="00C25277" w:rsidRPr="00AA0A90" w:rsidRDefault="00C25277" w:rsidP="00C25277">
      <w:pPr>
        <w:spacing w:after="0" w:line="240" w:lineRule="auto"/>
        <w:jc w:val="both"/>
        <w:rPr>
          <w:rFonts w:ascii="Verdana" w:eastAsia="Calibri" w:hAnsi="Verdana" w:cs="Arial"/>
          <w:lang w:val="es-ES_tradnl" w:eastAsia="es-ES_tradnl"/>
        </w:rPr>
      </w:pPr>
    </w:p>
    <w:p w14:paraId="47458429" w14:textId="77777777" w:rsidR="00C25277" w:rsidRPr="00AA0A90" w:rsidRDefault="00C25277" w:rsidP="00C25277">
      <w:pPr>
        <w:spacing w:after="0" w:line="240" w:lineRule="auto"/>
        <w:jc w:val="both"/>
        <w:rPr>
          <w:rFonts w:ascii="Verdana" w:eastAsia="Calibri" w:hAnsi="Verdana" w:cs="Arial"/>
          <w:lang w:val="es-ES_tradnl" w:eastAsia="es-ES_tradnl"/>
        </w:rPr>
      </w:pPr>
    </w:p>
    <w:p w14:paraId="4745842A" w14:textId="77777777" w:rsidR="00C25277" w:rsidRPr="00AA0A90" w:rsidRDefault="00C25277" w:rsidP="00C25277">
      <w:pPr>
        <w:spacing w:after="0" w:line="276" w:lineRule="auto"/>
        <w:jc w:val="both"/>
        <w:rPr>
          <w:rFonts w:ascii="Verdana" w:eastAsia="Calibri" w:hAnsi="Verdana" w:cs="Arial"/>
          <w:lang w:val="es-ES" w:eastAsia="es-ES"/>
        </w:rPr>
      </w:pPr>
      <w:r w:rsidRPr="00AA0A90">
        <w:rPr>
          <w:rFonts w:ascii="Verdana" w:eastAsia="Calibri" w:hAnsi="Verdana" w:cs="Arial"/>
          <w:lang w:val="es-ES" w:eastAsia="es-ES"/>
        </w:rPr>
        <w:t>Estimad</w:t>
      </w:r>
      <w:r>
        <w:rPr>
          <w:rFonts w:ascii="Verdana" w:eastAsia="Calibri" w:hAnsi="Verdana" w:cs="Arial"/>
          <w:lang w:val="es-ES" w:eastAsia="es-ES"/>
        </w:rPr>
        <w:t>a</w:t>
      </w:r>
      <w:r w:rsidRPr="00AA0A90">
        <w:rPr>
          <w:rFonts w:ascii="Verdana" w:eastAsia="Calibri" w:hAnsi="Verdana" w:cs="Arial"/>
          <w:lang w:val="es-ES" w:eastAsia="es-ES"/>
        </w:rPr>
        <w:t xml:space="preserve"> señora </w:t>
      </w:r>
      <w:r>
        <w:rPr>
          <w:rFonts w:ascii="Verdana" w:eastAsia="Calibri" w:hAnsi="Verdana" w:cs="Arial"/>
          <w:lang w:val="es-ES" w:eastAsia="es-ES"/>
        </w:rPr>
        <w:t>Brenda Ester</w:t>
      </w:r>
      <w:r w:rsidRPr="00AA0A90">
        <w:rPr>
          <w:rFonts w:ascii="Verdana" w:eastAsia="Calibri" w:hAnsi="Verdana" w:cs="Arial"/>
          <w:lang w:val="es-ES" w:eastAsia="es-ES"/>
        </w:rPr>
        <w:t xml:space="preserve">: </w:t>
      </w:r>
    </w:p>
    <w:p w14:paraId="4745842B" w14:textId="77777777" w:rsidR="00C25277" w:rsidRPr="00AA0A90" w:rsidRDefault="00C25277" w:rsidP="00C25277">
      <w:pPr>
        <w:tabs>
          <w:tab w:val="left" w:pos="3768"/>
        </w:tabs>
        <w:spacing w:after="0" w:line="276" w:lineRule="auto"/>
        <w:jc w:val="both"/>
        <w:rPr>
          <w:rFonts w:ascii="Verdana" w:eastAsia="Calibri" w:hAnsi="Verdana" w:cs="Arial"/>
          <w:lang w:val="es-ES" w:eastAsia="es-ES"/>
        </w:rPr>
      </w:pPr>
      <w:r w:rsidRPr="00AA0A90">
        <w:rPr>
          <w:rFonts w:ascii="Verdana" w:eastAsia="Calibri" w:hAnsi="Verdana" w:cs="Arial"/>
          <w:lang w:val="es-ES" w:eastAsia="es-ES"/>
        </w:rPr>
        <w:tab/>
      </w:r>
    </w:p>
    <w:p w14:paraId="4745842C" w14:textId="77777777" w:rsidR="00C25277" w:rsidRPr="00AA0A90" w:rsidRDefault="00C25277" w:rsidP="00C25277">
      <w:pPr>
        <w:spacing w:after="0" w:line="276" w:lineRule="auto"/>
        <w:jc w:val="both"/>
        <w:rPr>
          <w:rFonts w:ascii="Verdana" w:eastAsia="Calibri" w:hAnsi="Verdana" w:cs="Arial"/>
          <w:lang w:val="es-ES" w:eastAsia="es-ES"/>
        </w:rPr>
      </w:pPr>
      <w:r w:rsidRPr="00AA0A90">
        <w:rPr>
          <w:rFonts w:ascii="Verdana" w:eastAsia="Calibri" w:hAnsi="Verdana" w:cs="Arial"/>
          <w:lang w:val="es-ES" w:eastAsia="es-ES"/>
        </w:rPr>
        <w:t>En ejercicio de la competencia otorgada por los artículos 3, numeral 5º, y 11, numeral 8º, del Decreto Ley 4170 de 2011,</w:t>
      </w:r>
      <w:r w:rsidRPr="00AA0A90">
        <w:rPr>
          <w:rFonts w:ascii="Verdana" w:eastAsia="Arial MT" w:hAnsi="Verdana" w:cs="Arial MT"/>
          <w:lang w:val="es-ES" w:eastAsia="es-ES"/>
        </w:rPr>
        <w:t xml:space="preserve"> </w:t>
      </w:r>
      <w:r w:rsidRPr="00AA0A90">
        <w:rPr>
          <w:rFonts w:ascii="Verdana" w:hAnsi="Verdana" w:cs="Arial"/>
        </w:rPr>
        <w:t xml:space="preserve">así como lo establecido en el artículo 4 de la Resolución 1707 de 2018 expedida por esta Entidad, </w:t>
      </w:r>
      <w:r w:rsidRPr="00AA0A90">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16</w:t>
      </w:r>
      <w:r w:rsidRPr="00AA0A90">
        <w:rPr>
          <w:rFonts w:ascii="Verdana" w:eastAsia="Calibri" w:hAnsi="Verdana" w:cs="Arial"/>
          <w:lang w:val="es-ES" w:eastAsia="es-ES"/>
        </w:rPr>
        <w:t xml:space="preserve"> de </w:t>
      </w:r>
      <w:r>
        <w:rPr>
          <w:rFonts w:ascii="Verdana" w:eastAsia="Calibri" w:hAnsi="Verdana" w:cs="Arial"/>
          <w:lang w:val="es-ES" w:eastAsia="es-ES"/>
        </w:rPr>
        <w:t>diciembre</w:t>
      </w:r>
      <w:r w:rsidRPr="00AA0A90">
        <w:rPr>
          <w:rFonts w:ascii="Verdana" w:eastAsia="Calibri" w:hAnsi="Verdana" w:cs="Arial"/>
          <w:lang w:val="es-ES" w:eastAsia="es-ES"/>
        </w:rPr>
        <w:t xml:space="preserve"> de 2024, en la cual manifiesta lo siguiente: </w:t>
      </w:r>
    </w:p>
    <w:p w14:paraId="4745842D" w14:textId="77777777" w:rsidR="00C25277" w:rsidRPr="00AA0A90" w:rsidRDefault="00C25277" w:rsidP="00C25277">
      <w:pPr>
        <w:pStyle w:val="Prrafodelista"/>
        <w:tabs>
          <w:tab w:val="left" w:pos="142"/>
          <w:tab w:val="left" w:pos="284"/>
        </w:tabs>
        <w:spacing w:line="276" w:lineRule="auto"/>
        <w:ind w:left="0"/>
        <w:jc w:val="both"/>
        <w:rPr>
          <w:rFonts w:ascii="Verdana" w:eastAsia="Century Gothic" w:hAnsi="Verdana" w:cs="Century Gothic"/>
          <w:b/>
          <w:bCs/>
        </w:rPr>
      </w:pPr>
    </w:p>
    <w:p w14:paraId="4745842E" w14:textId="77777777" w:rsidR="00C25277" w:rsidRPr="00AA0A90" w:rsidRDefault="00C25277" w:rsidP="00C25277">
      <w:pPr>
        <w:spacing w:after="0" w:line="240" w:lineRule="auto"/>
        <w:ind w:left="709" w:right="709"/>
        <w:jc w:val="both"/>
        <w:rPr>
          <w:rFonts w:ascii="Verdana" w:eastAsia="Century Gothic" w:hAnsi="Verdana" w:cs="Century Gothic"/>
          <w:sz w:val="20"/>
          <w:szCs w:val="20"/>
          <w:lang w:val="es-ES"/>
        </w:rPr>
      </w:pPr>
      <w:bookmarkStart w:id="1" w:name="_Hlk95313578"/>
      <w:r w:rsidRPr="00AA0A90">
        <w:rPr>
          <w:rFonts w:ascii="Verdana" w:eastAsia="Century Gothic" w:hAnsi="Verdana" w:cs="Century Gothic"/>
          <w:sz w:val="20"/>
          <w:szCs w:val="20"/>
          <w:lang w:val="es-ES"/>
        </w:rPr>
        <w:t>“</w:t>
      </w:r>
      <w:r w:rsidRPr="00FB4F13">
        <w:rPr>
          <w:rStyle w:val="normaltextrun"/>
          <w:rFonts w:ascii="Verdana" w:hAnsi="Verdana" w:cs="Arial"/>
          <w:sz w:val="20"/>
          <w:szCs w:val="20"/>
          <w:shd w:val="clear" w:color="auto" w:fill="FFFFFF"/>
          <w:lang w:val="es-ES"/>
        </w:rPr>
        <w:t>Buenas tardes, deseo consultar si una persona que tenga una sanción de medidas correctivas estado (abierto) puede contratar con una entidad del estado, cabe anotar que la medida fue interpuesta en la vigencia 2023, y ya transcurrieron 6 meses de hacer sido interpuesta.</w:t>
      </w:r>
      <w:r w:rsidRPr="00AA0A90">
        <w:rPr>
          <w:rStyle w:val="normaltextrun"/>
          <w:rFonts w:ascii="Verdana" w:hAnsi="Verdana" w:cs="Arial"/>
          <w:sz w:val="20"/>
          <w:szCs w:val="20"/>
          <w:shd w:val="clear" w:color="auto" w:fill="FFFFFF"/>
          <w:lang w:val="es-ES"/>
        </w:rPr>
        <w:t>?</w:t>
      </w:r>
      <w:r w:rsidRPr="00AA0A90">
        <w:rPr>
          <w:rFonts w:ascii="Verdana" w:eastAsia="Century Gothic" w:hAnsi="Verdana" w:cs="Century Gothic"/>
          <w:sz w:val="20"/>
          <w:szCs w:val="20"/>
          <w:lang w:val="es-ES"/>
        </w:rPr>
        <w:t>”</w:t>
      </w:r>
      <w:bookmarkEnd w:id="1"/>
      <w:r w:rsidRPr="00AA0A90">
        <w:rPr>
          <w:rFonts w:ascii="Verdana" w:eastAsia="Century Gothic" w:hAnsi="Verdana" w:cs="Century Gothic"/>
          <w:sz w:val="20"/>
          <w:szCs w:val="20"/>
          <w:lang w:val="es-ES"/>
        </w:rPr>
        <w:t>.</w:t>
      </w:r>
    </w:p>
    <w:p w14:paraId="4745842F" w14:textId="77777777" w:rsidR="00C25277" w:rsidRPr="00AA0A90" w:rsidRDefault="00C25277" w:rsidP="00C25277">
      <w:pPr>
        <w:pStyle w:val="Prrafodelista"/>
        <w:tabs>
          <w:tab w:val="left" w:pos="142"/>
          <w:tab w:val="left" w:pos="284"/>
        </w:tabs>
        <w:spacing w:line="276" w:lineRule="auto"/>
        <w:ind w:left="0"/>
        <w:jc w:val="both"/>
        <w:rPr>
          <w:rFonts w:ascii="Verdana" w:eastAsia="Century Gothic" w:hAnsi="Verdana" w:cs="Century Gothic"/>
          <w:b/>
          <w:bCs/>
        </w:rPr>
      </w:pPr>
    </w:p>
    <w:p w14:paraId="47458430" w14:textId="77777777" w:rsidR="00C25277" w:rsidRPr="00AA0A90" w:rsidRDefault="00C25277" w:rsidP="00C25277">
      <w:pPr>
        <w:spacing w:after="120" w:line="276" w:lineRule="auto"/>
        <w:ind w:firstLine="709"/>
        <w:jc w:val="both"/>
        <w:rPr>
          <w:rFonts w:ascii="Verdana" w:eastAsia="Calibri" w:hAnsi="Verdana" w:cs="Arial"/>
          <w:szCs w:val="24"/>
          <w:lang w:val="es-ES_tradnl" w:eastAsia="es-ES_tradnl"/>
        </w:rPr>
      </w:pPr>
      <w:r w:rsidRPr="00AA0A90">
        <w:rPr>
          <w:rFonts w:ascii="Verdana" w:eastAsia="Calibri" w:hAnsi="Verdana" w:cs="Arial"/>
          <w:lang w:val="es-ES" w:eastAsia="es-ES"/>
        </w:rPr>
        <w:t xml:space="preserve">De manera preliminar, resulta necesario acotar que esta entidad solo tiene competencia para responder consultas sobre la aplicación de normas de carácter </w:t>
      </w:r>
      <w:r w:rsidRPr="00AA0A90">
        <w:rPr>
          <w:rFonts w:ascii="Verdana" w:eastAsia="Calibri" w:hAnsi="Verdana" w:cs="Arial"/>
          <w:lang w:val="es-ES" w:eastAsia="es-ES"/>
        </w:rPr>
        <w:lastRenderedPageBreak/>
        <w:t xml:space="preserve">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A0A90">
        <w:rPr>
          <w:rFonts w:ascii="Verdana" w:eastAsia="Calibri" w:hAnsi="Verdana" w:cs="Arial"/>
          <w:szCs w:val="24"/>
          <w:lang w:val="es-ES_tradnl" w:eastAsia="es-ES_tradnl"/>
        </w:rPr>
        <w:tab/>
      </w:r>
    </w:p>
    <w:p w14:paraId="47458431" w14:textId="77777777" w:rsidR="00C25277" w:rsidRPr="00AA0A90" w:rsidRDefault="00C25277" w:rsidP="00C25277">
      <w:pPr>
        <w:spacing w:after="0" w:line="276" w:lineRule="auto"/>
        <w:ind w:firstLine="709"/>
        <w:jc w:val="both"/>
        <w:rPr>
          <w:rFonts w:ascii="Verdana" w:eastAsia="Calibri" w:hAnsi="Verdana" w:cs="Arial"/>
          <w:lang w:val="es-ES" w:eastAsia="es-ES"/>
        </w:rPr>
      </w:pPr>
      <w:r w:rsidRPr="00AA0A90">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47458432" w14:textId="77777777" w:rsidR="00C25277" w:rsidRPr="00AA0A90" w:rsidRDefault="00C25277" w:rsidP="00C25277">
      <w:pPr>
        <w:spacing w:after="0" w:line="276" w:lineRule="auto"/>
        <w:ind w:firstLine="709"/>
        <w:jc w:val="both"/>
        <w:rPr>
          <w:rFonts w:ascii="Verdana" w:eastAsia="Calibri" w:hAnsi="Verdana" w:cs="Arial"/>
          <w:lang w:val="es-ES" w:eastAsia="es-ES"/>
        </w:rPr>
      </w:pPr>
    </w:p>
    <w:p w14:paraId="47458433" w14:textId="77777777" w:rsidR="00C25277" w:rsidRPr="00AA0A90" w:rsidRDefault="00C25277" w:rsidP="00C25277">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A0A90">
        <w:rPr>
          <w:rFonts w:ascii="Verdana" w:eastAsia="Century Gothic" w:hAnsi="Verdana" w:cs="Century Gothic"/>
          <w:b/>
          <w:bCs/>
        </w:rPr>
        <w:t>Problema planteado:</w:t>
      </w:r>
    </w:p>
    <w:p w14:paraId="47458434" w14:textId="77777777" w:rsidR="00C25277" w:rsidRPr="00AA0A90" w:rsidRDefault="00C25277" w:rsidP="00C25277">
      <w:pPr>
        <w:tabs>
          <w:tab w:val="left" w:pos="426"/>
        </w:tabs>
        <w:spacing w:after="0" w:line="276" w:lineRule="auto"/>
        <w:jc w:val="both"/>
        <w:rPr>
          <w:rFonts w:ascii="Verdana" w:eastAsia="Century Gothic" w:hAnsi="Verdana" w:cs="Century Gothic"/>
          <w:lang w:val="es-ES"/>
        </w:rPr>
      </w:pPr>
    </w:p>
    <w:p w14:paraId="47458435" w14:textId="77777777" w:rsidR="00C25277" w:rsidRPr="00AA0A90" w:rsidRDefault="00C25277" w:rsidP="00C25277">
      <w:pPr>
        <w:spacing w:after="0" w:line="276" w:lineRule="auto"/>
        <w:jc w:val="both"/>
        <w:rPr>
          <w:rFonts w:ascii="Verdana" w:eastAsia="Century Gothic" w:hAnsi="Verdana" w:cs="Century Gothic"/>
        </w:rPr>
      </w:pPr>
      <w:r w:rsidRPr="00AA0A90">
        <w:rPr>
          <w:rFonts w:ascii="Verdana" w:eastAsia="Century Gothic" w:hAnsi="Verdana" w:cs="Century Gothic"/>
        </w:rPr>
        <w:t xml:space="preserve">De acuerdo con el contenido de su solicitud, esta Agencia resolverá el siguiente problema jurídico: ¿la incursión en una sanción por medidas correctivas configura una inhabilidad para contratar con el estado? </w:t>
      </w:r>
    </w:p>
    <w:p w14:paraId="47458436" w14:textId="77777777" w:rsidR="00C25277" w:rsidRPr="00AA0A90" w:rsidRDefault="00C25277" w:rsidP="00C25277">
      <w:pPr>
        <w:spacing w:after="0" w:line="276" w:lineRule="auto"/>
        <w:jc w:val="both"/>
        <w:rPr>
          <w:rFonts w:ascii="Verdana" w:eastAsia="Calibri" w:hAnsi="Verdana" w:cs="Arial"/>
          <w:lang w:val="es-ES"/>
        </w:rPr>
      </w:pPr>
    </w:p>
    <w:p w14:paraId="47458437" w14:textId="77777777" w:rsidR="00C25277" w:rsidRPr="00AA0A90" w:rsidRDefault="00C25277" w:rsidP="00C2527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Respuesta:</w:t>
      </w:r>
    </w:p>
    <w:p w14:paraId="47458438" w14:textId="77777777" w:rsidR="00C25277" w:rsidRPr="00AA0A90" w:rsidRDefault="00C25277" w:rsidP="00C25277">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25277" w:rsidRPr="00AA0A90" w14:paraId="4745843E" w14:textId="77777777" w:rsidTr="00D755B9">
        <w:tc>
          <w:tcPr>
            <w:tcW w:w="8828" w:type="dxa"/>
            <w:shd w:val="clear" w:color="auto" w:fill="auto"/>
          </w:tcPr>
          <w:p w14:paraId="47458439" w14:textId="77777777" w:rsidR="00C25277" w:rsidRPr="00AA0A90" w:rsidRDefault="00C25277" w:rsidP="00D755B9">
            <w:pPr>
              <w:spacing w:line="276" w:lineRule="auto"/>
              <w:jc w:val="both"/>
              <w:rPr>
                <w:rFonts w:ascii="Verdana" w:eastAsia="Times New Roman" w:hAnsi="Verdana" w:cs="Arial"/>
                <w:lang w:val="es-ES_tradnl" w:eastAsia="es-ES"/>
              </w:rPr>
            </w:pPr>
            <w:r w:rsidRPr="00AA0A90">
              <w:rPr>
                <w:rFonts w:ascii="Verdana" w:eastAsia="Calibri" w:hAnsi="Verdana" w:cs="Arial"/>
                <w:lang w:val="es-ES"/>
              </w:rPr>
              <w:t xml:space="preserve">Las </w:t>
            </w:r>
            <w:r w:rsidRPr="00AA0A90">
              <w:rPr>
                <w:rFonts w:ascii="Verdana" w:eastAsia="Times New Roman" w:hAnsi="Verdana" w:cs="Arial"/>
                <w:lang w:val="es-ES_tradnl" w:eastAsia="es-ES"/>
              </w:rPr>
              <w:t xml:space="preserve">inhabilidades e incompatibilidades son restricciones que establece el legislador para limitar la capacidad de contratación de las personas naturales o jurídicas para contratar con el estado, estas son </w:t>
            </w:r>
            <w:r w:rsidRPr="00AA0A90">
              <w:rPr>
                <w:rFonts w:ascii="Verdana" w:eastAsia="Times New Roman" w:hAnsi="Verdana" w:cs="Arial"/>
                <w:lang w:eastAsia="es-ES"/>
              </w:rPr>
              <w:t xml:space="preserve">taxativas, expresas y </w:t>
            </w:r>
            <w:r w:rsidRPr="00AA0A90">
              <w:rPr>
                <w:rFonts w:ascii="Verdana" w:eastAsia="Times New Roman" w:hAnsi="Verdana" w:cs="Arial"/>
                <w:lang w:val="es-ES_tradnl" w:eastAsia="es-ES"/>
              </w:rPr>
              <w:t xml:space="preserve">gozan de una interpretación restrictiva, la cual excluye cualquier analogía o entendimiento de la norma alejado a lo estrictamente expresado en la Ley. </w:t>
            </w:r>
          </w:p>
          <w:p w14:paraId="4745843A" w14:textId="77777777" w:rsidR="00C25277" w:rsidRPr="00AA0A90" w:rsidRDefault="00C25277" w:rsidP="00D755B9">
            <w:pPr>
              <w:spacing w:line="276" w:lineRule="auto"/>
              <w:jc w:val="both"/>
              <w:rPr>
                <w:rFonts w:ascii="Verdana" w:eastAsia="Times New Roman" w:hAnsi="Verdana" w:cs="Arial"/>
                <w:lang w:val="es-ES_tradnl" w:eastAsia="es-ES"/>
              </w:rPr>
            </w:pPr>
          </w:p>
          <w:p w14:paraId="4745843B" w14:textId="77777777" w:rsidR="00C25277" w:rsidRDefault="00C25277" w:rsidP="00D755B9">
            <w:pPr>
              <w:spacing w:line="276" w:lineRule="auto"/>
              <w:jc w:val="both"/>
              <w:rPr>
                <w:rFonts w:ascii="Verdana" w:eastAsia="Calibri" w:hAnsi="Verdana" w:cs="Arial"/>
                <w:lang w:val="es-ES"/>
              </w:rPr>
            </w:pPr>
            <w:r w:rsidRPr="73915305">
              <w:rPr>
                <w:rFonts w:ascii="Verdana" w:eastAsia="Times New Roman" w:hAnsi="Verdana" w:cs="Arial"/>
                <w:lang w:val="es-ES" w:eastAsia="es-ES"/>
              </w:rPr>
              <w:t xml:space="preserve">Por lo tanto, respecto al objeto de su consulta, dentro del </w:t>
            </w:r>
            <w:r w:rsidRPr="73915305">
              <w:rPr>
                <w:rFonts w:ascii="Verdana" w:eastAsia="Calibri" w:hAnsi="Verdana" w:cs="Arial"/>
                <w:lang w:val="es-ES"/>
              </w:rPr>
              <w:t>artículo 8 de la Ley 80 de 1993 no se contempla expresamente una inhabilidad que se refiera estrictamente a limitar la capacidad de contratación para quien esté incurso en medidas correctivas.</w:t>
            </w:r>
            <w:r w:rsidRPr="73915305">
              <w:rPr>
                <w:rFonts w:ascii="Verdana" w:eastAsia="Times New Roman" w:hAnsi="Verdana" w:cs="Arial"/>
                <w:lang w:val="es-ES" w:eastAsia="es-ES"/>
              </w:rPr>
              <w:t xml:space="preserve"> Ahora bien, será la entidad estatal contratante dentro de sus facultades, quien deba conocer el contexto de la sanción producto del </w:t>
            </w:r>
            <w:r w:rsidRPr="73915305">
              <w:rPr>
                <w:rFonts w:ascii="Verdana" w:eastAsia="Times New Roman" w:hAnsi="Verdana" w:cs="Arial"/>
                <w:lang w:val="es-ES" w:eastAsia="es-ES"/>
              </w:rPr>
              <w:lastRenderedPageBreak/>
              <w:t>expediente mencionado en la consulta y si esta lleva consigo una responsabilidad penal, hecho que podrá contrastarse con lo que reposa en el artículo antes mencionado, para determinar la existencia, o no, de una causal de inhabilidad o incompatibilidad</w:t>
            </w:r>
            <w:r w:rsidRPr="73915305">
              <w:rPr>
                <w:rFonts w:ascii="Verdana" w:eastAsia="Calibri" w:hAnsi="Verdana" w:cs="Arial"/>
                <w:lang w:val="es-ES"/>
              </w:rPr>
              <w:t xml:space="preserve">. </w:t>
            </w:r>
          </w:p>
          <w:p w14:paraId="4745843C" w14:textId="77777777" w:rsidR="00C25277" w:rsidRDefault="00C25277" w:rsidP="00D755B9">
            <w:pPr>
              <w:spacing w:line="276" w:lineRule="auto"/>
              <w:jc w:val="both"/>
              <w:rPr>
                <w:rFonts w:ascii="Verdana" w:eastAsia="Calibri" w:hAnsi="Verdana" w:cs="Arial"/>
                <w:lang w:val="es-ES"/>
              </w:rPr>
            </w:pPr>
          </w:p>
          <w:p w14:paraId="4745843D" w14:textId="77777777" w:rsidR="00C25277" w:rsidRPr="00AA0A90" w:rsidRDefault="00C25277" w:rsidP="00D755B9">
            <w:pPr>
              <w:spacing w:line="276" w:lineRule="auto"/>
              <w:jc w:val="both"/>
              <w:rPr>
                <w:rFonts w:ascii="Verdana" w:eastAsia="Calibri" w:hAnsi="Verdana" w:cs="Arial"/>
                <w:lang w:val="es-ES"/>
              </w:rPr>
            </w:pPr>
            <w:r>
              <w:rPr>
                <w:rFonts w:ascii="Verdana" w:eastAsia="Calibri" w:hAnsi="Verdana" w:cs="Arial"/>
                <w:lang w:val="es-ES"/>
              </w:rPr>
              <w:t xml:space="preserve">Ahora bien, vale la pena precisar que las medidas correctivas dispuestas en Código nacional de policía ley 1801 de 2016, en ninguna de sus disposiciones determina causal de inhabilidad para la suscripción de contratos con el estado, ni es norma que regula materia contractual con entidades públicas, en razón a ello no se estaría inmerso en causales de las inhabilidades contenidas en el artículo 8 de la ley 80 de 1993. </w:t>
            </w:r>
          </w:p>
        </w:tc>
      </w:tr>
    </w:tbl>
    <w:p w14:paraId="4745843F" w14:textId="77777777" w:rsidR="00C25277" w:rsidRPr="00AA0A90" w:rsidRDefault="00C25277" w:rsidP="00C25277">
      <w:pPr>
        <w:tabs>
          <w:tab w:val="left" w:pos="142"/>
          <w:tab w:val="left" w:pos="284"/>
        </w:tabs>
        <w:spacing w:after="0" w:line="276" w:lineRule="auto"/>
        <w:jc w:val="both"/>
        <w:rPr>
          <w:rFonts w:ascii="Verdana" w:eastAsia="Century Gothic" w:hAnsi="Verdana" w:cs="Century Gothic"/>
          <w:b/>
          <w:bCs/>
          <w:lang w:val="es-ES"/>
        </w:rPr>
      </w:pPr>
    </w:p>
    <w:p w14:paraId="47458440" w14:textId="77777777" w:rsidR="00C25277" w:rsidRPr="00AA0A90" w:rsidRDefault="00C25277" w:rsidP="00C2527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Razones de la respuesta:</w:t>
      </w:r>
    </w:p>
    <w:p w14:paraId="47458441" w14:textId="77777777" w:rsidR="00C25277" w:rsidRPr="00AA0A90" w:rsidRDefault="00C25277" w:rsidP="00C25277">
      <w:pPr>
        <w:spacing w:after="0" w:line="276" w:lineRule="auto"/>
        <w:jc w:val="both"/>
        <w:rPr>
          <w:rFonts w:ascii="Verdana" w:eastAsia="Calibri" w:hAnsi="Verdana" w:cs="Arial"/>
          <w:lang w:val="es-ES"/>
        </w:rPr>
      </w:pPr>
    </w:p>
    <w:p w14:paraId="47458442" w14:textId="77777777" w:rsidR="00C25277" w:rsidRPr="00AA0A90" w:rsidRDefault="00C25277" w:rsidP="00C25277">
      <w:pPr>
        <w:spacing w:after="0" w:line="276" w:lineRule="auto"/>
        <w:jc w:val="both"/>
        <w:rPr>
          <w:rFonts w:ascii="Verdana" w:eastAsia="Calibri" w:hAnsi="Verdana" w:cs="Arial"/>
          <w:lang w:val="es-ES"/>
        </w:rPr>
      </w:pPr>
      <w:r w:rsidRPr="00AA0A90">
        <w:rPr>
          <w:rFonts w:ascii="Verdana" w:eastAsia="Calibri" w:hAnsi="Verdana" w:cs="Arial"/>
          <w:lang w:val="es-ES"/>
        </w:rPr>
        <w:t xml:space="preserve">Lo anterior se sustenta en las siguientes consideraciones: </w:t>
      </w:r>
    </w:p>
    <w:p w14:paraId="47458443" w14:textId="77777777" w:rsidR="00C25277" w:rsidRPr="00AA0A90" w:rsidRDefault="00C25277" w:rsidP="00C25277">
      <w:pPr>
        <w:spacing w:after="0" w:line="276" w:lineRule="auto"/>
        <w:jc w:val="both"/>
        <w:rPr>
          <w:rFonts w:ascii="Verdana" w:eastAsia="Calibri" w:hAnsi="Verdana" w:cs="Arial"/>
          <w:lang w:val="es-ES"/>
        </w:rPr>
      </w:pPr>
    </w:p>
    <w:p w14:paraId="47458444" w14:textId="77777777" w:rsidR="00C25277" w:rsidRPr="00AA0A90" w:rsidRDefault="00C25277" w:rsidP="00C25277">
      <w:pPr>
        <w:pStyle w:val="Prrafodelista"/>
        <w:numPr>
          <w:ilvl w:val="0"/>
          <w:numId w:val="2"/>
        </w:numPr>
        <w:spacing w:after="0" w:line="276" w:lineRule="auto"/>
        <w:jc w:val="both"/>
        <w:rPr>
          <w:rFonts w:ascii="Verdana" w:eastAsia="Calibri" w:hAnsi="Verdana" w:cs="Arial"/>
        </w:rPr>
      </w:pPr>
      <w:r w:rsidRPr="00AA0A90">
        <w:rPr>
          <w:rFonts w:ascii="Verdana" w:eastAsia="Calibri" w:hAnsi="Verdana" w:cs="Arial"/>
        </w:rPr>
        <w:t xml:space="preserve">En primer lugar, debe advertirse que, las inhabilidades son circunstancias establecidas por la Constitución o en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47458445" w14:textId="77777777" w:rsidR="00C25277" w:rsidRPr="00AA0A90" w:rsidRDefault="00C25277" w:rsidP="00C25277">
      <w:pPr>
        <w:pStyle w:val="Prrafodelista"/>
        <w:spacing w:line="276" w:lineRule="auto"/>
        <w:jc w:val="both"/>
        <w:rPr>
          <w:rFonts w:ascii="Verdana" w:eastAsia="Calibri" w:hAnsi="Verdana" w:cs="Arial"/>
        </w:rPr>
      </w:pPr>
    </w:p>
    <w:p w14:paraId="47458446" w14:textId="77777777" w:rsidR="00C25277" w:rsidRPr="00AA0A90" w:rsidRDefault="00C25277" w:rsidP="00C25277">
      <w:pPr>
        <w:pStyle w:val="Prrafodelista"/>
        <w:numPr>
          <w:ilvl w:val="0"/>
          <w:numId w:val="2"/>
        </w:numPr>
        <w:spacing w:after="120" w:line="276" w:lineRule="auto"/>
        <w:jc w:val="both"/>
        <w:rPr>
          <w:rFonts w:ascii="Verdana" w:eastAsia="Aptos" w:hAnsi="Verdana" w:cs="Arial"/>
          <w:lang w:val="es-MX"/>
        </w:rPr>
      </w:pPr>
      <w:r w:rsidRPr="00AA0A90">
        <w:rPr>
          <w:rFonts w:ascii="Verdana" w:eastAsia="Aptos" w:hAnsi="Verdana" w:cs="Arial"/>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Al respecto,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AA0A90">
        <w:rPr>
          <w:rFonts w:ascii="Verdana" w:hAnsi="Verdana"/>
          <w:vertAlign w:val="superscript"/>
          <w:lang w:val="es-MX"/>
        </w:rPr>
        <w:footnoteReference w:id="1"/>
      </w:r>
      <w:r w:rsidRPr="00AA0A90">
        <w:rPr>
          <w:rFonts w:ascii="Verdana" w:eastAsia="Aptos" w:hAnsi="Verdana" w:cs="Arial"/>
          <w:lang w:val="es-MX"/>
        </w:rPr>
        <w:t xml:space="preserve">. </w:t>
      </w:r>
    </w:p>
    <w:p w14:paraId="47458447" w14:textId="77777777" w:rsidR="00C25277" w:rsidRPr="00AA0A90" w:rsidRDefault="00C25277" w:rsidP="00C25277">
      <w:pPr>
        <w:pStyle w:val="Prrafodelista"/>
        <w:rPr>
          <w:rFonts w:ascii="Verdana" w:eastAsia="Aptos" w:hAnsi="Verdana" w:cs="Arial"/>
          <w:lang w:val="es-MX"/>
        </w:rPr>
      </w:pPr>
    </w:p>
    <w:p w14:paraId="47458448" w14:textId="77777777" w:rsidR="00C25277" w:rsidRPr="00AA0A90" w:rsidRDefault="00C25277" w:rsidP="00C25277">
      <w:pPr>
        <w:pStyle w:val="Prrafodelista"/>
        <w:numPr>
          <w:ilvl w:val="0"/>
          <w:numId w:val="2"/>
        </w:numPr>
        <w:spacing w:after="0" w:line="276" w:lineRule="auto"/>
        <w:jc w:val="both"/>
        <w:rPr>
          <w:rFonts w:ascii="Verdana" w:eastAsia="Aptos" w:hAnsi="Verdana" w:cs="Arial"/>
          <w:lang w:val="es-MX"/>
        </w:rPr>
      </w:pPr>
      <w:r w:rsidRPr="00AA0A90">
        <w:rPr>
          <w:rFonts w:ascii="Verdana" w:eastAsia="Aptos" w:hAnsi="Verdana" w:cs="Arial"/>
          <w:lang w:val="es-MX"/>
        </w:rPr>
        <w:lastRenderedPageBreak/>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47458449" w14:textId="77777777" w:rsidR="00C25277" w:rsidRPr="00AA0A90" w:rsidRDefault="00C25277" w:rsidP="00C25277">
      <w:pPr>
        <w:pStyle w:val="Prrafodelista"/>
        <w:spacing w:after="0" w:line="276" w:lineRule="auto"/>
        <w:jc w:val="both"/>
        <w:rPr>
          <w:rFonts w:ascii="Verdana" w:eastAsia="Times New Roman" w:hAnsi="Verdana" w:cs="Arial"/>
          <w:shd w:val="clear" w:color="auto" w:fill="FFFFFF"/>
          <w:lang w:eastAsia="es-ES_tradnl"/>
        </w:rPr>
      </w:pPr>
    </w:p>
    <w:p w14:paraId="4745844A" w14:textId="77777777" w:rsidR="00C25277" w:rsidRPr="00AA0A90" w:rsidRDefault="00C25277" w:rsidP="00C25277">
      <w:pPr>
        <w:pStyle w:val="Prrafodelista"/>
        <w:spacing w:after="0" w:line="240" w:lineRule="auto"/>
        <w:ind w:left="709" w:right="709"/>
        <w:jc w:val="both"/>
        <w:rPr>
          <w:rFonts w:ascii="Verdana" w:eastAsia="Times New Roman" w:hAnsi="Verdana" w:cs="Arial"/>
          <w:sz w:val="20"/>
          <w:szCs w:val="20"/>
          <w:lang w:eastAsia="es-MX"/>
        </w:rPr>
      </w:pPr>
      <w:r w:rsidRPr="00AA0A90">
        <w:rPr>
          <w:rFonts w:ascii="Verdana" w:eastAsia="Times New Roman" w:hAnsi="Verdana" w:cs="Arial"/>
          <w:sz w:val="20"/>
          <w:szCs w:val="20"/>
          <w:lang w:eastAsia="es-MX"/>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4745844B" w14:textId="77777777" w:rsidR="00C25277" w:rsidRPr="00AA0A90" w:rsidRDefault="00C25277" w:rsidP="00C25277">
      <w:pPr>
        <w:pStyle w:val="Prrafodelista"/>
        <w:spacing w:after="0" w:line="240" w:lineRule="auto"/>
        <w:ind w:left="709" w:right="709"/>
        <w:jc w:val="both"/>
        <w:rPr>
          <w:rFonts w:ascii="Verdana" w:eastAsia="Times New Roman" w:hAnsi="Verdana" w:cs="Arial"/>
          <w:sz w:val="20"/>
          <w:szCs w:val="20"/>
          <w:lang w:eastAsia="es-MX"/>
        </w:rPr>
      </w:pPr>
    </w:p>
    <w:p w14:paraId="4745844C" w14:textId="77777777" w:rsidR="00C25277" w:rsidRPr="00AA0A90" w:rsidRDefault="00C25277" w:rsidP="00C25277">
      <w:pPr>
        <w:pStyle w:val="Prrafodelista"/>
        <w:spacing w:after="0" w:line="240" w:lineRule="auto"/>
        <w:ind w:left="709" w:right="709"/>
        <w:jc w:val="both"/>
        <w:rPr>
          <w:rFonts w:ascii="Verdana" w:eastAsia="Times New Roman" w:hAnsi="Verdana" w:cs="Arial"/>
          <w:sz w:val="20"/>
          <w:szCs w:val="20"/>
          <w:lang w:eastAsia="es-MX"/>
        </w:rPr>
      </w:pPr>
      <w:r w:rsidRPr="00AA0A90">
        <w:rPr>
          <w:rFonts w:ascii="Verdana" w:eastAsia="Times New Roman" w:hAnsi="Verdana" w:cs="Arial"/>
          <w:sz w:val="20"/>
          <w:szCs w:val="20"/>
          <w:lang w:eastAsia="es-MX"/>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AA0A90">
        <w:rPr>
          <w:rFonts w:ascii="Verdana" w:hAnsi="Verdana"/>
          <w:sz w:val="20"/>
          <w:szCs w:val="20"/>
          <w:vertAlign w:val="superscript"/>
          <w:lang w:eastAsia="es-MX"/>
        </w:rPr>
        <w:footnoteReference w:id="2"/>
      </w:r>
      <w:r w:rsidRPr="00AA0A90">
        <w:rPr>
          <w:rFonts w:ascii="Verdana" w:eastAsia="Times New Roman" w:hAnsi="Verdana" w:cs="Arial"/>
          <w:sz w:val="20"/>
          <w:szCs w:val="20"/>
          <w:lang w:eastAsia="es-MX"/>
        </w:rPr>
        <w:t>.</w:t>
      </w:r>
    </w:p>
    <w:p w14:paraId="4745844D" w14:textId="77777777" w:rsidR="00C25277" w:rsidRPr="00AA0A90" w:rsidRDefault="00C25277" w:rsidP="00C25277">
      <w:pPr>
        <w:pStyle w:val="Prrafodelista"/>
        <w:spacing w:after="0" w:line="240" w:lineRule="auto"/>
        <w:ind w:right="709"/>
        <w:jc w:val="both"/>
        <w:rPr>
          <w:rFonts w:ascii="Verdana" w:eastAsia="Times New Roman" w:hAnsi="Verdana" w:cs="Arial"/>
          <w:sz w:val="20"/>
          <w:szCs w:val="20"/>
          <w:lang w:eastAsia="es-MX"/>
        </w:rPr>
      </w:pPr>
    </w:p>
    <w:p w14:paraId="4745844E" w14:textId="77777777" w:rsidR="00C25277" w:rsidRPr="00AA0A90" w:rsidRDefault="00C25277" w:rsidP="00C25277">
      <w:pPr>
        <w:pStyle w:val="Prrafodelista"/>
        <w:numPr>
          <w:ilvl w:val="0"/>
          <w:numId w:val="2"/>
        </w:numPr>
        <w:spacing w:after="120" w:line="276" w:lineRule="auto"/>
        <w:jc w:val="both"/>
        <w:rPr>
          <w:rFonts w:ascii="Verdana" w:eastAsia="Times New Roman" w:hAnsi="Verdana" w:cs="Arial"/>
          <w:szCs w:val="24"/>
          <w:lang w:eastAsia="es-MX"/>
        </w:rPr>
      </w:pPr>
      <w:r w:rsidRPr="00AA0A90">
        <w:rPr>
          <w:rFonts w:ascii="Verdana" w:eastAsia="Times New Roman" w:hAnsi="Verdana" w:cs="Arial"/>
          <w:szCs w:val="24"/>
          <w:lang w:eastAsia="es-MX"/>
        </w:rPr>
        <w:t xml:space="preserve">Conviene también distinguir las fuentes de las inhabilidades, las cuales han sido clasificadas en dos (2) grupos: i) inhabilidades-sanción y ii) inhabilidades-requisito. En el </w:t>
      </w:r>
      <w:r w:rsidRPr="00AA0A90">
        <w:rPr>
          <w:rFonts w:ascii="Verdana" w:eastAsia="Times New Roman" w:hAnsi="Verdana" w:cs="Arial"/>
          <w:i/>
          <w:iCs/>
          <w:szCs w:val="24"/>
          <w:lang w:eastAsia="es-MX"/>
        </w:rPr>
        <w:t>primer</w:t>
      </w:r>
      <w:r w:rsidRPr="00AA0A90">
        <w:rPr>
          <w:rFonts w:ascii="Verdana" w:eastAsia="Times New Roman" w:hAnsi="Verdana" w:cs="Arial"/>
          <w:szCs w:val="24"/>
          <w:lang w:eastAsia="es-MX"/>
        </w:rPr>
        <w:t xml:space="preserve"> grupo se encuentran las inhabilidades que surgen como consecuencia de un proceso sancionatorio, en los ámbitos penal, disciplinario, contravencional o de pérdida de investidura. En el </w:t>
      </w:r>
      <w:r w:rsidRPr="00AA0A90">
        <w:rPr>
          <w:rFonts w:ascii="Verdana" w:eastAsia="Times New Roman" w:hAnsi="Verdana" w:cs="Arial"/>
          <w:i/>
          <w:iCs/>
          <w:szCs w:val="24"/>
          <w:lang w:eastAsia="es-MX"/>
        </w:rPr>
        <w:t>segundo</w:t>
      </w:r>
      <w:r w:rsidRPr="00AA0A90">
        <w:rPr>
          <w:rFonts w:ascii="Verdana" w:eastAsia="Times New Roman" w:hAnsi="Verdana" w:cs="Arial"/>
          <w:szCs w:val="24"/>
          <w:lang w:eastAsia="es-MX"/>
        </w:rPr>
        <w:t xml:space="preserve"> grupo están aquellas que no devienen de un proceso sancionatorio, sino de condiciones propias de la persona y garantizan la moralidad, la imparcialidad, la eficacia y la transparencia</w:t>
      </w:r>
      <w:r w:rsidRPr="00AA0A90">
        <w:rPr>
          <w:rFonts w:ascii="Verdana" w:hAnsi="Verdana"/>
          <w:vertAlign w:val="superscript"/>
          <w:lang w:eastAsia="es-MX"/>
        </w:rPr>
        <w:footnoteReference w:id="3"/>
      </w:r>
      <w:r w:rsidRPr="00AA0A90">
        <w:rPr>
          <w:rFonts w:ascii="Verdana" w:eastAsia="Times New Roman" w:hAnsi="Verdana" w:cs="Arial"/>
          <w:szCs w:val="24"/>
          <w:lang w:eastAsia="es-MX"/>
        </w:rPr>
        <w:t xml:space="preserve">. </w:t>
      </w:r>
    </w:p>
    <w:p w14:paraId="4745844F" w14:textId="77777777" w:rsidR="00C25277" w:rsidRPr="00AA0A90" w:rsidRDefault="00C25277" w:rsidP="00C25277">
      <w:pPr>
        <w:pStyle w:val="Prrafodelista"/>
        <w:spacing w:after="120" w:line="276" w:lineRule="auto"/>
        <w:jc w:val="both"/>
        <w:rPr>
          <w:rFonts w:ascii="Verdana" w:eastAsia="Times New Roman" w:hAnsi="Verdana" w:cs="Arial"/>
          <w:szCs w:val="24"/>
          <w:lang w:eastAsia="es-MX"/>
        </w:rPr>
      </w:pPr>
    </w:p>
    <w:p w14:paraId="47458450" w14:textId="77777777" w:rsidR="00C25277" w:rsidRPr="00AA0A90" w:rsidRDefault="00C25277" w:rsidP="00C25277">
      <w:pPr>
        <w:pStyle w:val="Prrafodelista"/>
        <w:numPr>
          <w:ilvl w:val="0"/>
          <w:numId w:val="2"/>
        </w:numPr>
        <w:spacing w:after="120" w:line="276" w:lineRule="auto"/>
        <w:jc w:val="both"/>
        <w:rPr>
          <w:rFonts w:ascii="Verdana" w:eastAsia="Calibri" w:hAnsi="Verdana" w:cs="Arial"/>
          <w:szCs w:val="24"/>
          <w:lang w:val="es-ES_tradnl" w:eastAsia="es-ES_tradnl"/>
        </w:rPr>
      </w:pPr>
      <w:r w:rsidRPr="00AA0A90">
        <w:rPr>
          <w:rFonts w:ascii="Verdana" w:eastAsia="Calibri" w:hAnsi="Verdana" w:cs="Arial"/>
          <w:szCs w:val="24"/>
          <w:lang w:val="es-ES_tradnl" w:eastAsia="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AA0A90">
        <w:rPr>
          <w:rFonts w:ascii="Verdana" w:eastAsia="Calibri" w:hAnsi="Verdana" w:cs="Arial"/>
          <w:i/>
          <w:iCs/>
          <w:szCs w:val="24"/>
          <w:lang w:val="es-ES_tradnl" w:eastAsia="es-ES_tradnl"/>
        </w:rPr>
        <w:t>restrictiva</w:t>
      </w:r>
      <w:r w:rsidRPr="00AA0A90">
        <w:rPr>
          <w:rFonts w:ascii="Verdana" w:eastAsia="Calibri" w:hAnsi="Verdana" w:cs="Arial"/>
          <w:szCs w:val="24"/>
          <w:lang w:val="es-ES_tradnl" w:eastAsia="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w:t>
      </w:r>
    </w:p>
    <w:p w14:paraId="47458451" w14:textId="77777777" w:rsidR="00C25277" w:rsidRPr="00AA0A90" w:rsidRDefault="00C25277" w:rsidP="00C25277">
      <w:pPr>
        <w:pStyle w:val="Prrafodelista"/>
        <w:spacing w:after="120" w:line="276" w:lineRule="auto"/>
        <w:jc w:val="both"/>
        <w:rPr>
          <w:rFonts w:ascii="Verdana" w:eastAsia="Calibri" w:hAnsi="Verdana" w:cs="Arial"/>
          <w:szCs w:val="24"/>
          <w:lang w:val="es-ES_tradnl" w:eastAsia="es-ES_tradnl"/>
        </w:rPr>
      </w:pPr>
    </w:p>
    <w:p w14:paraId="47458452" w14:textId="77777777" w:rsidR="00C25277" w:rsidRPr="00AA0A90" w:rsidRDefault="00C25277" w:rsidP="00C25277">
      <w:pPr>
        <w:pStyle w:val="Prrafodelista"/>
        <w:numPr>
          <w:ilvl w:val="0"/>
          <w:numId w:val="2"/>
        </w:numPr>
        <w:spacing w:after="0" w:line="276" w:lineRule="auto"/>
        <w:jc w:val="both"/>
        <w:rPr>
          <w:rFonts w:ascii="Verdana" w:hAnsi="Verdana"/>
        </w:rPr>
      </w:pPr>
      <w:r w:rsidRPr="00AA0A90">
        <w:rPr>
          <w:rFonts w:ascii="Verdana" w:eastAsia="Calibri" w:hAnsi="Verdana" w:cs="Arial"/>
          <w:szCs w:val="24"/>
          <w:lang w:val="es-ES_tradnl" w:eastAsia="es-ES_tradnl"/>
        </w:rPr>
        <w:t>Al respecto, la Corte Constitucional ha indicado que, al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AA0A90">
        <w:rPr>
          <w:rFonts w:ascii="Verdana" w:eastAsia="Aptos" w:hAnsi="Verdana" w:cs="Times New Roman"/>
          <w:vertAlign w:val="superscript"/>
        </w:rPr>
        <w:footnoteReference w:id="4"/>
      </w:r>
      <w:r w:rsidRPr="00AA0A90">
        <w:rPr>
          <w:rFonts w:ascii="Verdana" w:eastAsia="Calibri" w:hAnsi="Verdana" w:cs="Arial"/>
          <w:szCs w:val="24"/>
          <w:lang w:val="es-ES_tradnl" w:eastAsia="es-ES_tradnl"/>
        </w:rPr>
        <w:t xml:space="preserve">. </w:t>
      </w:r>
    </w:p>
    <w:p w14:paraId="47458453" w14:textId="77777777" w:rsidR="00C25277" w:rsidRPr="00AA0A90" w:rsidRDefault="00C25277" w:rsidP="00C25277">
      <w:pPr>
        <w:pStyle w:val="Prrafodelista"/>
        <w:spacing w:after="0" w:line="276" w:lineRule="auto"/>
        <w:jc w:val="both"/>
        <w:rPr>
          <w:rFonts w:ascii="Verdana" w:hAnsi="Verdana"/>
        </w:rPr>
      </w:pPr>
    </w:p>
    <w:p w14:paraId="47458454" w14:textId="77777777" w:rsidR="00C25277" w:rsidRPr="00AA0A90" w:rsidRDefault="00C25277" w:rsidP="00C25277">
      <w:pPr>
        <w:pStyle w:val="Prrafodelista"/>
        <w:numPr>
          <w:ilvl w:val="0"/>
          <w:numId w:val="2"/>
        </w:numPr>
        <w:spacing w:after="0" w:line="276" w:lineRule="auto"/>
        <w:jc w:val="both"/>
        <w:rPr>
          <w:rFonts w:ascii="Verdana" w:hAnsi="Verdana"/>
        </w:rPr>
      </w:pPr>
      <w:r w:rsidRPr="00AA0A90">
        <w:rPr>
          <w:rFonts w:ascii="Verdana" w:eastAsia="Calibri" w:hAnsi="Verdana" w:cs="Arial"/>
          <w:szCs w:val="24"/>
          <w:lang w:val="es-ES_tradnl" w:eastAsia="es-ES_tradnl"/>
        </w:rPr>
        <w:t>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AA0A90">
        <w:rPr>
          <w:rFonts w:ascii="Verdana" w:eastAsia="Aptos" w:hAnsi="Verdana" w:cs="Times New Roman"/>
          <w:vertAlign w:val="superscript"/>
        </w:rPr>
        <w:footnoteReference w:id="5"/>
      </w:r>
      <w:r w:rsidRPr="00AA0A90">
        <w:rPr>
          <w:rFonts w:ascii="Verdana" w:eastAsia="Calibri" w:hAnsi="Verdana" w:cs="Arial"/>
          <w:szCs w:val="24"/>
          <w:lang w:val="es-ES_tradnl" w:eastAsia="es-ES_tradnl"/>
        </w:rPr>
        <w:t>.</w:t>
      </w:r>
    </w:p>
    <w:p w14:paraId="47458455" w14:textId="77777777" w:rsidR="00C25277" w:rsidRPr="00AA0A90" w:rsidRDefault="00C25277" w:rsidP="00C25277">
      <w:pPr>
        <w:pStyle w:val="Prrafodelista"/>
        <w:spacing w:after="0" w:line="276" w:lineRule="auto"/>
        <w:jc w:val="both"/>
        <w:rPr>
          <w:rFonts w:ascii="Verdana" w:hAnsi="Verdana"/>
        </w:rPr>
      </w:pPr>
    </w:p>
    <w:p w14:paraId="47458456" w14:textId="77777777" w:rsidR="00C25277" w:rsidRPr="00AA0A90" w:rsidRDefault="00C25277" w:rsidP="00C25277">
      <w:pPr>
        <w:pStyle w:val="Prrafodelista"/>
        <w:numPr>
          <w:ilvl w:val="0"/>
          <w:numId w:val="2"/>
        </w:numPr>
        <w:spacing w:after="0" w:line="276" w:lineRule="auto"/>
        <w:jc w:val="both"/>
        <w:rPr>
          <w:rFonts w:ascii="Verdana" w:eastAsia="Calibri" w:hAnsi="Verdana" w:cs="Arial"/>
          <w:szCs w:val="24"/>
          <w:lang w:val="es-ES_tradnl" w:eastAsia="es-ES_tradnl"/>
        </w:rPr>
      </w:pPr>
      <w:r w:rsidRPr="00AA0A90">
        <w:rPr>
          <w:rFonts w:ascii="Verdana" w:eastAsia="Calibri" w:hAnsi="Verdana" w:cs="Arial"/>
          <w:szCs w:val="24"/>
          <w:lang w:val="es-ES_tradnl" w:eastAsia="es-ES_tradnl"/>
        </w:rPr>
        <w:t>En tal sentido, la Sección Tercera del Consejo de Estado ha señalado que:</w:t>
      </w:r>
    </w:p>
    <w:p w14:paraId="47458457" w14:textId="77777777" w:rsidR="00C25277" w:rsidRPr="00AA0A90" w:rsidRDefault="00C25277" w:rsidP="00C25277">
      <w:pPr>
        <w:pStyle w:val="Prrafodelista"/>
        <w:spacing w:after="0" w:line="276" w:lineRule="auto"/>
        <w:jc w:val="both"/>
        <w:rPr>
          <w:rFonts w:ascii="Verdana" w:eastAsia="Calibri" w:hAnsi="Verdana" w:cs="Arial"/>
          <w:szCs w:val="24"/>
          <w:lang w:val="es-ES_tradnl" w:eastAsia="es-ES_tradnl"/>
        </w:rPr>
      </w:pPr>
    </w:p>
    <w:p w14:paraId="47458458" w14:textId="77777777" w:rsidR="00C25277" w:rsidRPr="00AA0A90" w:rsidRDefault="00C25277" w:rsidP="00C25277">
      <w:pPr>
        <w:pStyle w:val="Prrafodelista"/>
        <w:spacing w:after="0" w:line="240" w:lineRule="auto"/>
        <w:ind w:right="709"/>
        <w:jc w:val="both"/>
        <w:rPr>
          <w:rFonts w:ascii="Verdana" w:eastAsia="Times New Roman" w:hAnsi="Verdana" w:cs="Arial"/>
          <w:bCs/>
          <w:sz w:val="20"/>
          <w:szCs w:val="20"/>
          <w:lang w:val="es-ES_tradnl" w:eastAsia="es-ES_tradnl"/>
        </w:rPr>
      </w:pPr>
      <w:r w:rsidRPr="00AA0A90">
        <w:rPr>
          <w:rFonts w:ascii="Verdana" w:eastAsia="Times New Roman" w:hAnsi="Verdana" w:cs="Arial"/>
          <w:sz w:val="20"/>
          <w:szCs w:val="20"/>
          <w:lang w:val="es-ES_tradnl" w:eastAsia="es-ES_tradnl"/>
        </w:rPr>
        <w:t xml:space="preserve">“[…] de conformidad con la jurisprudencia uniforme y reiterada de esta Corporación, la aplicación de las normas que contemplan inhabilidades e incompatibilidades, como en general de todas aquellas que comportan prohibiciones o limitaciones, deben responder a una interpretación </w:t>
      </w:r>
      <w:r w:rsidRPr="00AA0A90">
        <w:rPr>
          <w:rFonts w:ascii="Verdana" w:eastAsia="Times New Roman" w:hAnsi="Verdana" w:cs="Arial"/>
          <w:sz w:val="20"/>
          <w:szCs w:val="20"/>
          <w:lang w:val="es-ES_tradnl" w:eastAsia="es-ES_tradnl"/>
        </w:rPr>
        <w:lastRenderedPageBreak/>
        <w:t>restrictiva que no permite su extensión, por vía de la figura de la analogía, a supuestos no contemplados por el ordenamiento</w:t>
      </w:r>
      <w:r w:rsidRPr="00AA0A90">
        <w:rPr>
          <w:rFonts w:ascii="Verdana" w:eastAsia="Aptos" w:hAnsi="Verdana" w:cs="Times New Roman"/>
          <w:vertAlign w:val="superscript"/>
        </w:rPr>
        <w:footnoteReference w:id="6"/>
      </w:r>
      <w:r w:rsidRPr="00AA0A90">
        <w:rPr>
          <w:rFonts w:ascii="Verdana" w:eastAsia="Times New Roman" w:hAnsi="Verdana" w:cs="Arial"/>
          <w:sz w:val="20"/>
          <w:szCs w:val="20"/>
          <w:lang w:val="es-ES_tradnl" w:eastAsia="es-ES_tradnl"/>
        </w:rPr>
        <w:t>.</w:t>
      </w:r>
    </w:p>
    <w:p w14:paraId="47458459" w14:textId="77777777" w:rsidR="00C25277" w:rsidRPr="00AA0A90" w:rsidRDefault="00C25277" w:rsidP="00C25277">
      <w:pPr>
        <w:pStyle w:val="Prrafodelista"/>
        <w:spacing w:after="0" w:line="240" w:lineRule="auto"/>
        <w:ind w:right="709"/>
        <w:jc w:val="both"/>
        <w:rPr>
          <w:rFonts w:ascii="Verdana" w:eastAsia="Times New Roman" w:hAnsi="Verdana" w:cs="Arial"/>
          <w:bCs/>
          <w:sz w:val="20"/>
          <w:szCs w:val="20"/>
          <w:lang w:val="es-ES_tradnl" w:eastAsia="es-ES_tradnl"/>
        </w:rPr>
      </w:pPr>
    </w:p>
    <w:p w14:paraId="4745845A" w14:textId="77777777" w:rsidR="00C25277" w:rsidRPr="00AA0A90" w:rsidRDefault="00C25277" w:rsidP="00C25277">
      <w:pPr>
        <w:pStyle w:val="Prrafodelista"/>
        <w:spacing w:after="0" w:line="240" w:lineRule="auto"/>
        <w:ind w:right="709"/>
        <w:jc w:val="both"/>
        <w:rPr>
          <w:rFonts w:ascii="Verdana" w:eastAsia="Times New Roman" w:hAnsi="Verdana" w:cs="Arial"/>
          <w:bCs/>
          <w:sz w:val="20"/>
          <w:szCs w:val="20"/>
          <w:lang w:val="es-ES_tradnl" w:eastAsia="es-ES_tradnl"/>
        </w:rPr>
      </w:pPr>
      <w:r w:rsidRPr="00AA0A90">
        <w:rPr>
          <w:rFonts w:ascii="Verdana" w:eastAsia="Calibri" w:hAnsi="Verdana" w:cs="Arial"/>
          <w:sz w:val="20"/>
          <w:szCs w:val="20"/>
          <w:lang w:val="es-ES_tradnl" w:eastAsia="es-ES_tradnl"/>
        </w:rPr>
        <w:t>También ha dicho que:</w:t>
      </w:r>
    </w:p>
    <w:p w14:paraId="4745845B" w14:textId="77777777" w:rsidR="00C25277" w:rsidRPr="00AA0A90" w:rsidRDefault="00C25277" w:rsidP="00C25277">
      <w:pPr>
        <w:pStyle w:val="Prrafodelista"/>
        <w:spacing w:after="0" w:line="240" w:lineRule="auto"/>
        <w:ind w:right="709"/>
        <w:jc w:val="both"/>
        <w:rPr>
          <w:rFonts w:ascii="Verdana" w:eastAsia="Calibri" w:hAnsi="Verdana" w:cs="Arial"/>
          <w:sz w:val="20"/>
          <w:szCs w:val="20"/>
          <w:lang w:val="es-ES_tradnl" w:eastAsia="es-ES_tradnl"/>
        </w:rPr>
      </w:pPr>
    </w:p>
    <w:p w14:paraId="4745845C" w14:textId="77777777" w:rsidR="00C25277" w:rsidRPr="00AA0A90" w:rsidRDefault="00C25277" w:rsidP="00C25277">
      <w:pPr>
        <w:pStyle w:val="Prrafodelista"/>
        <w:spacing w:after="0" w:line="240" w:lineRule="auto"/>
        <w:ind w:right="709"/>
        <w:jc w:val="both"/>
        <w:rPr>
          <w:rFonts w:ascii="Verdana" w:eastAsia="Times New Roman" w:hAnsi="Verdana" w:cs="Arial"/>
          <w:sz w:val="20"/>
          <w:szCs w:val="20"/>
          <w:lang w:val="es-ES_tradnl" w:eastAsia="es-ES_tradnl"/>
        </w:rPr>
      </w:pPr>
      <w:r w:rsidRPr="00AA0A90">
        <w:rPr>
          <w:rFonts w:ascii="Verdana" w:eastAsia="Times New Roman" w:hAnsi="Verdana" w:cs="Arial"/>
          <w:sz w:val="20"/>
          <w:szCs w:val="20"/>
          <w:lang w:val="es-ES_tradnl" w:eastAsia="es-ES_tradnl"/>
        </w:rPr>
        <w:t xml:space="preserve">[…] la aplicación de estos preceptos exige una interpretación restrictiva, dado que según el principio hermenéutico </w:t>
      </w:r>
      <w:r w:rsidRPr="00AA0A90">
        <w:rPr>
          <w:rFonts w:ascii="Verdana" w:eastAsia="Times New Roman" w:hAnsi="Verdana" w:cs="Arial"/>
          <w:i/>
          <w:iCs/>
          <w:sz w:val="20"/>
          <w:szCs w:val="20"/>
          <w:lang w:val="es-ES_tradnl" w:eastAsia="es-ES_tradnl"/>
        </w:rPr>
        <w:t>pro libertate</w:t>
      </w:r>
      <w:r w:rsidRPr="00AA0A90">
        <w:rPr>
          <w:rFonts w:ascii="Verdana" w:eastAsia="Times New Roman" w:hAnsi="Verdana" w:cs="Arial"/>
          <w:sz w:val="20"/>
          <w:szCs w:val="20"/>
          <w:lang w:val="es-ES_tradnl" w:eastAsia="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AA0A90">
        <w:rPr>
          <w:rFonts w:ascii="Verdana" w:eastAsia="Aptos" w:hAnsi="Verdana" w:cs="Times New Roman"/>
          <w:vertAlign w:val="superscript"/>
        </w:rPr>
        <w:footnoteReference w:id="7"/>
      </w:r>
      <w:r w:rsidRPr="00AA0A90">
        <w:rPr>
          <w:rFonts w:ascii="Verdana" w:eastAsia="Times New Roman" w:hAnsi="Verdana" w:cs="Arial"/>
          <w:sz w:val="20"/>
          <w:szCs w:val="20"/>
          <w:lang w:val="es-ES_tradnl" w:eastAsia="es-ES_tradnl"/>
        </w:rPr>
        <w:t>.</w:t>
      </w:r>
    </w:p>
    <w:p w14:paraId="4745845D" w14:textId="77777777" w:rsidR="00C25277" w:rsidRPr="00AA0A90" w:rsidRDefault="00C25277" w:rsidP="00C25277">
      <w:pPr>
        <w:pStyle w:val="Prrafodelista"/>
        <w:spacing w:after="0" w:line="276" w:lineRule="auto"/>
        <w:jc w:val="both"/>
        <w:rPr>
          <w:rFonts w:ascii="Verdana" w:hAnsi="Verdana"/>
        </w:rPr>
      </w:pPr>
    </w:p>
    <w:p w14:paraId="4745845E" w14:textId="77777777" w:rsidR="00C25277" w:rsidRPr="00AA0A90" w:rsidRDefault="00C25277" w:rsidP="00C25277">
      <w:pPr>
        <w:pStyle w:val="Prrafodelista"/>
        <w:numPr>
          <w:ilvl w:val="0"/>
          <w:numId w:val="2"/>
        </w:numPr>
        <w:spacing w:after="120" w:line="276" w:lineRule="auto"/>
        <w:jc w:val="both"/>
        <w:rPr>
          <w:rFonts w:ascii="Verdana" w:eastAsia="Times New Roman" w:hAnsi="Verdana" w:cs="Arial"/>
          <w:shd w:val="clear" w:color="auto" w:fill="FFFFFF"/>
          <w:lang w:eastAsia="es-ES_tradnl"/>
        </w:rPr>
      </w:pPr>
      <w:r w:rsidRPr="00AA0A90">
        <w:rPr>
          <w:rFonts w:ascii="Verdana" w:eastAsia="Calibri" w:hAnsi="Verdana" w:cs="Arial"/>
          <w:szCs w:val="24"/>
          <w:lang w:val="es-ES_tradnl" w:eastAsia="es-ES_tradnl"/>
        </w:rPr>
        <w:t xml:space="preserve">Ahora bien, como se aprecia, el principio </w:t>
      </w:r>
      <w:r w:rsidRPr="00AA0A90">
        <w:rPr>
          <w:rFonts w:ascii="Verdana" w:eastAsia="Calibri" w:hAnsi="Verdana" w:cs="Arial"/>
          <w:i/>
          <w:iCs/>
          <w:szCs w:val="24"/>
          <w:lang w:val="es-ES_tradnl" w:eastAsia="es-ES_tradnl"/>
        </w:rPr>
        <w:t>pro libertate</w:t>
      </w:r>
      <w:r w:rsidRPr="00AA0A90">
        <w:rPr>
          <w:rFonts w:ascii="Verdana" w:eastAsia="Calibri" w:hAnsi="Verdana" w:cs="Arial"/>
          <w:szCs w:val="24"/>
          <w:lang w:val="es-ES_tradnl" w:eastAsia="es-ES_tradnl"/>
        </w:rPr>
        <w:t xml:space="preserve"> es el que debe dirigir la interpretación de las disposiciones normativas que consagran restricciones de derechos, como sucede con las causales de inhabilidad e incompatibilidad en la contratación estatal. </w:t>
      </w:r>
      <w:r w:rsidRPr="00AA0A90">
        <w:rPr>
          <w:rFonts w:ascii="Verdana" w:eastAsia="Times New Roman" w:hAnsi="Verdana" w:cs="Arial"/>
          <w:shd w:val="clear" w:color="auto" w:fill="FFFFFF"/>
          <w:lang w:eastAsia="es-ES_tradnl"/>
        </w:rPr>
        <w:t>Por lo tanto, no es posible llevar a cabo la interpretación extensiva de estas, debiendo preferirse aquella que menos limita el derecho de las personas, salvaguardando el interés general en la contratación pública de manera que implique el menor sacrificio posible al derecho de igualdad.</w:t>
      </w:r>
    </w:p>
    <w:p w14:paraId="4745845F" w14:textId="77777777" w:rsidR="00C25277" w:rsidRPr="00AA0A90" w:rsidRDefault="00C25277" w:rsidP="00C25277">
      <w:pPr>
        <w:pStyle w:val="Prrafodelista"/>
        <w:spacing w:after="120" w:line="276" w:lineRule="auto"/>
        <w:jc w:val="both"/>
        <w:rPr>
          <w:rFonts w:ascii="Verdana" w:eastAsia="Times New Roman" w:hAnsi="Verdana" w:cs="Arial"/>
          <w:shd w:val="clear" w:color="auto" w:fill="FFFFFF"/>
          <w:lang w:eastAsia="es-ES_tradnl"/>
        </w:rPr>
      </w:pPr>
    </w:p>
    <w:p w14:paraId="47458460" w14:textId="77777777" w:rsidR="00C25277" w:rsidRPr="00AA0A90" w:rsidRDefault="00C25277" w:rsidP="00C25277">
      <w:pPr>
        <w:pStyle w:val="Prrafodelista"/>
        <w:numPr>
          <w:ilvl w:val="0"/>
          <w:numId w:val="2"/>
        </w:numPr>
        <w:spacing w:after="0" w:line="240" w:lineRule="auto"/>
        <w:jc w:val="both"/>
        <w:rPr>
          <w:rFonts w:ascii="Verdana" w:hAnsi="Verdana"/>
          <w:sz w:val="20"/>
          <w:szCs w:val="20"/>
        </w:rPr>
      </w:pPr>
      <w:r w:rsidRPr="00AA0A90">
        <w:rPr>
          <w:rFonts w:ascii="Verdana" w:hAnsi="Verdana"/>
        </w:rPr>
        <w:t>Por su parte, el artículo 25 de la Ley 1801 de 2016, define las medidas correctivas como:</w:t>
      </w:r>
    </w:p>
    <w:p w14:paraId="47458461" w14:textId="77777777" w:rsidR="00C25277" w:rsidRPr="00AA0A90" w:rsidRDefault="00C25277" w:rsidP="00C25277">
      <w:pPr>
        <w:pStyle w:val="Prrafodelista"/>
        <w:rPr>
          <w:rFonts w:ascii="Verdana" w:hAnsi="Verdana"/>
          <w:sz w:val="20"/>
          <w:szCs w:val="20"/>
        </w:rPr>
      </w:pPr>
    </w:p>
    <w:p w14:paraId="47458462" w14:textId="77777777" w:rsidR="00C25277" w:rsidRPr="00AA0A90" w:rsidRDefault="00C25277" w:rsidP="00C25277">
      <w:pPr>
        <w:pStyle w:val="Prrafodelista"/>
        <w:spacing w:after="0" w:line="240" w:lineRule="auto"/>
        <w:ind w:right="709"/>
        <w:jc w:val="both"/>
        <w:rPr>
          <w:rFonts w:ascii="Verdana" w:hAnsi="Verdana"/>
          <w:sz w:val="20"/>
          <w:szCs w:val="20"/>
        </w:rPr>
      </w:pPr>
      <w:r w:rsidRPr="00AA0A90">
        <w:rPr>
          <w:rFonts w:ascii="Verdana" w:hAnsi="Verdana"/>
          <w:sz w:val="20"/>
          <w:szCs w:val="20"/>
        </w:rPr>
        <w:t>“Comportamientos contrarios a la convivencia y medidas correctivas. Quienes incurran en comportamientos contrarios a la convivencia serán objeto de medidas correctivas de conformidad con esta ley, sin perjuicio de las demás acciones que en derecho correspondan.</w:t>
      </w:r>
    </w:p>
    <w:p w14:paraId="47458463" w14:textId="77777777" w:rsidR="00C25277" w:rsidRPr="00AA0A90" w:rsidRDefault="00C25277" w:rsidP="00C25277">
      <w:pPr>
        <w:pStyle w:val="Prrafodelista"/>
        <w:spacing w:after="0" w:line="240" w:lineRule="auto"/>
        <w:ind w:right="709"/>
        <w:jc w:val="both"/>
        <w:rPr>
          <w:rFonts w:ascii="Verdana" w:hAnsi="Verdana"/>
          <w:sz w:val="20"/>
          <w:szCs w:val="20"/>
        </w:rPr>
      </w:pPr>
    </w:p>
    <w:p w14:paraId="47458464" w14:textId="77777777" w:rsidR="00C25277" w:rsidRPr="00AA0A90" w:rsidRDefault="00C25277" w:rsidP="00C25277">
      <w:pPr>
        <w:pStyle w:val="Prrafodelista"/>
        <w:spacing w:after="0" w:line="240" w:lineRule="auto"/>
        <w:ind w:right="709"/>
        <w:jc w:val="both"/>
        <w:rPr>
          <w:rFonts w:ascii="Verdana" w:hAnsi="Verdana"/>
          <w:sz w:val="20"/>
          <w:szCs w:val="20"/>
        </w:rPr>
      </w:pPr>
      <w:r w:rsidRPr="00AA0A90">
        <w:rPr>
          <w:rFonts w:ascii="Verdana" w:hAnsi="Verdana"/>
          <w:sz w:val="20"/>
          <w:szCs w:val="20"/>
        </w:rPr>
        <w:t>PARÁGRAFO 1. En atención a los comportamientos relacionados en el presente Código, corresponde a las autoridades de Policía dentro del ámbito de su competencia adelantar las acciones que en derecho correspondan respetando las garantías constitucionales.</w:t>
      </w:r>
    </w:p>
    <w:p w14:paraId="47458465" w14:textId="77777777" w:rsidR="00C25277" w:rsidRPr="00AA0A90" w:rsidRDefault="00C25277" w:rsidP="00C25277">
      <w:pPr>
        <w:pStyle w:val="Prrafodelista"/>
        <w:spacing w:after="0" w:line="240" w:lineRule="auto"/>
        <w:ind w:right="709"/>
        <w:jc w:val="both"/>
        <w:rPr>
          <w:rFonts w:ascii="Verdana" w:hAnsi="Verdana"/>
          <w:sz w:val="20"/>
          <w:szCs w:val="20"/>
        </w:rPr>
      </w:pPr>
    </w:p>
    <w:p w14:paraId="47458466" w14:textId="77777777" w:rsidR="00C25277" w:rsidRPr="00AA0A90" w:rsidRDefault="00C25277" w:rsidP="00C25277">
      <w:pPr>
        <w:pStyle w:val="Prrafodelista"/>
        <w:spacing w:after="0" w:line="240" w:lineRule="auto"/>
        <w:ind w:right="709"/>
        <w:jc w:val="both"/>
        <w:rPr>
          <w:rFonts w:ascii="Verdana" w:hAnsi="Verdana"/>
          <w:sz w:val="20"/>
          <w:szCs w:val="20"/>
        </w:rPr>
      </w:pPr>
      <w:r w:rsidRPr="00AA0A90">
        <w:rPr>
          <w:rFonts w:ascii="Verdana" w:hAnsi="Verdana"/>
          <w:sz w:val="20"/>
          <w:szCs w:val="20"/>
        </w:rPr>
        <w:t xml:space="preserve">PARÁGRAFO 2. En caso de que el comportamiento contrario a la con-vivencia también constituya una conducta tipificada en el Código Penal, la </w:t>
      </w:r>
      <w:r w:rsidRPr="00AA0A90">
        <w:rPr>
          <w:rFonts w:ascii="Verdana" w:hAnsi="Verdana"/>
          <w:sz w:val="20"/>
          <w:szCs w:val="20"/>
        </w:rPr>
        <w:lastRenderedPageBreak/>
        <w:t>medida correctiva a imponer no podrá tener la misma naturaleza que la sanción prevista en este último. La autoridad de Policía lo pondrá en conocimiento de la Fiscalía General de la Nación e impondrá las medidas de naturaleza distinta previstas en el presente Código.”</w:t>
      </w:r>
      <w:r w:rsidRPr="00AA0A90">
        <w:rPr>
          <w:rStyle w:val="Refdenotaalpie"/>
          <w:rFonts w:ascii="Verdana" w:hAnsi="Verdana"/>
        </w:rPr>
        <w:footnoteReference w:id="8"/>
      </w:r>
    </w:p>
    <w:p w14:paraId="47458467" w14:textId="77777777" w:rsidR="00C25277" w:rsidRPr="00AA0A90" w:rsidRDefault="00C25277" w:rsidP="00C25277">
      <w:pPr>
        <w:pStyle w:val="Prrafodelista"/>
        <w:rPr>
          <w:rFonts w:ascii="Verdana" w:eastAsia="Calibri" w:hAnsi="Verdana" w:cs="Arial"/>
        </w:rPr>
      </w:pPr>
    </w:p>
    <w:p w14:paraId="47458468" w14:textId="77777777" w:rsidR="00C25277" w:rsidRPr="00FB4F13" w:rsidRDefault="00C25277" w:rsidP="00C25277">
      <w:pPr>
        <w:pStyle w:val="Prrafodelista"/>
        <w:numPr>
          <w:ilvl w:val="0"/>
          <w:numId w:val="2"/>
        </w:numPr>
        <w:spacing w:after="0" w:line="276" w:lineRule="auto"/>
        <w:jc w:val="both"/>
        <w:rPr>
          <w:rFonts w:ascii="Verdana" w:hAnsi="Verdana"/>
        </w:rPr>
      </w:pPr>
      <w:r w:rsidRPr="00AA0A90">
        <w:rPr>
          <w:rFonts w:ascii="Verdana" w:eastAsia="Calibri" w:hAnsi="Verdana" w:cs="Arial"/>
        </w:rPr>
        <w:t>En ese orden de ideas, dentro del artículo 8 de la Ley 80 de 1993, no se encuentra tipificada una causal que establezca estrecha relación con las medidas correctivas que indique que estas introducen a una inhabilidad o incompatibilidad para contratar con el estado.</w:t>
      </w:r>
    </w:p>
    <w:p w14:paraId="47458469" w14:textId="77777777" w:rsidR="00C25277" w:rsidRPr="00AA0A90" w:rsidRDefault="00C25277" w:rsidP="00C25277">
      <w:pPr>
        <w:pStyle w:val="Prrafodelista"/>
        <w:spacing w:after="0" w:line="276" w:lineRule="auto"/>
        <w:jc w:val="both"/>
        <w:rPr>
          <w:rFonts w:ascii="Verdana" w:hAnsi="Verdana"/>
        </w:rPr>
      </w:pPr>
    </w:p>
    <w:p w14:paraId="4745846A" w14:textId="77777777" w:rsidR="00C25277" w:rsidRPr="00AA0A90" w:rsidRDefault="00C25277" w:rsidP="00C25277">
      <w:pPr>
        <w:pStyle w:val="Prrafodelista"/>
        <w:numPr>
          <w:ilvl w:val="0"/>
          <w:numId w:val="2"/>
        </w:numPr>
        <w:spacing w:after="0" w:line="276" w:lineRule="auto"/>
        <w:jc w:val="both"/>
        <w:rPr>
          <w:rFonts w:ascii="Verdana" w:eastAsia="Calibri" w:hAnsi="Verdana" w:cs="Arial"/>
        </w:rPr>
      </w:pPr>
      <w:r w:rsidRPr="00AA0A90">
        <w:rPr>
          <w:rFonts w:ascii="Verdana" w:hAnsi="Verdana" w:cs="Arial"/>
        </w:rPr>
        <w:t xml:space="preserve">Téngase presente que las </w:t>
      </w:r>
      <w:r w:rsidRPr="00AA0A90">
        <w:rPr>
          <w:rFonts w:ascii="Verdana" w:hAnsi="Verdana" w:cs="Arial"/>
          <w:i/>
          <w:iCs/>
          <w:lang w:eastAsia="es-ES_tradnl"/>
        </w:rPr>
        <w:t xml:space="preserve">Inhabilidades e Incompatibilidades </w:t>
      </w:r>
      <w:r w:rsidRPr="00AA0A90">
        <w:rPr>
          <w:rFonts w:ascii="Verdana" w:eastAsia="Times New Roman" w:hAnsi="Verdana" w:cs="Arial"/>
          <w:lang w:val="es-ES_tradnl" w:eastAsia="es-ES"/>
        </w:rPr>
        <w:t xml:space="preserve">restricciones que establece el legislador para limitar la capacidad de contratación de las personas naturales o jurídicas para contratar con el estado, y las mismas gozan de una interpretación restrictiva, la cual aleja cualquier analogía o entendimiento de la norma alejado a lo estrictamente expresado en la norma. Por lo tanto, respecto al objeto de su consulta, dentro del </w:t>
      </w:r>
      <w:r w:rsidRPr="00AA0A90">
        <w:rPr>
          <w:rFonts w:ascii="Verdana" w:eastAsia="Calibri" w:hAnsi="Verdana" w:cs="Arial"/>
        </w:rPr>
        <w:t>artículo 8 de la Ley 80 de 1993 no se contempla expresamente una inhabilidad que se refiera estrictamente a limitar la capacidad de contratación para quien esté incurso en medidas correctivas, tal y como se indicó previamente.</w:t>
      </w:r>
    </w:p>
    <w:p w14:paraId="4745846B" w14:textId="77777777" w:rsidR="00C25277" w:rsidRPr="00AA0A90" w:rsidRDefault="00C25277" w:rsidP="00C25277">
      <w:pPr>
        <w:pStyle w:val="Prrafodelista"/>
        <w:spacing w:line="276" w:lineRule="auto"/>
        <w:rPr>
          <w:rFonts w:ascii="Verdana" w:eastAsia="Times New Roman" w:hAnsi="Verdana" w:cs="Arial"/>
          <w:lang w:eastAsia="es-ES"/>
        </w:rPr>
      </w:pPr>
    </w:p>
    <w:p w14:paraId="4745846C" w14:textId="77777777" w:rsidR="00C25277" w:rsidRPr="00AA0A90" w:rsidRDefault="00C25277" w:rsidP="00C25277">
      <w:pPr>
        <w:pStyle w:val="Prrafodelista"/>
        <w:numPr>
          <w:ilvl w:val="0"/>
          <w:numId w:val="2"/>
        </w:numPr>
        <w:spacing w:after="0" w:line="276" w:lineRule="auto"/>
        <w:jc w:val="both"/>
        <w:rPr>
          <w:rFonts w:ascii="Verdana" w:eastAsia="Calibri" w:hAnsi="Verdana" w:cs="Arial"/>
        </w:rPr>
      </w:pPr>
      <w:r w:rsidRPr="00AA0A90">
        <w:rPr>
          <w:rFonts w:ascii="Verdana" w:eastAsia="Times New Roman" w:hAnsi="Verdana" w:cs="Arial"/>
          <w:lang w:eastAsia="es-ES"/>
        </w:rPr>
        <w:t xml:space="preserve">Sin perjuicio de lo anterior debe advertirse que este concepto tiene un sentido ilustrativo por medio del cual se busca orientar al peticionario en relación con el objeto de su consulta, por lo mismo será la entidad estatal contratante, dentro de sus facultades, quien deba conocer el contexto de la sanción producto del expediente mencionado en la consulta y si esta lleva consigo una responsabilidad penal, hecho que podrá contrastarse con lo que reposa en el artículo antes mencionado. De esta manera, lo explicado en el presente concepto no puede ser interpretado como un pronunciamiento respecto del objeto contractual aludido en la petición, ni las afirmaciones aquí realizadas pueden ser interpretadas como juicios de valor sobre circunstancias relacionadas con los hechos que motivan la petición. </w:t>
      </w:r>
    </w:p>
    <w:p w14:paraId="4745846D" w14:textId="77777777" w:rsidR="00C25277" w:rsidRPr="00AA0A90" w:rsidRDefault="00C25277" w:rsidP="00C25277">
      <w:pPr>
        <w:widowControl w:val="0"/>
        <w:autoSpaceDE w:val="0"/>
        <w:autoSpaceDN w:val="0"/>
        <w:spacing w:after="0" w:line="276" w:lineRule="auto"/>
        <w:jc w:val="both"/>
        <w:rPr>
          <w:rFonts w:ascii="Verdana" w:hAnsi="Verdana" w:cs="Arial"/>
        </w:rPr>
      </w:pPr>
    </w:p>
    <w:p w14:paraId="4745846E" w14:textId="77777777" w:rsidR="00C25277" w:rsidRPr="00AA0A90" w:rsidRDefault="00C25277" w:rsidP="00C2527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Referencias normativas, jurisprudenciales y otras fuentes:</w:t>
      </w:r>
    </w:p>
    <w:p w14:paraId="4745846F" w14:textId="77777777" w:rsidR="00C25277" w:rsidRPr="00AA0A90" w:rsidRDefault="00C25277" w:rsidP="00C25277">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25277" w:rsidRPr="00AA0A90" w14:paraId="47458472" w14:textId="77777777" w:rsidTr="00D755B9">
        <w:trPr>
          <w:trHeight w:val="870"/>
        </w:trPr>
        <w:tc>
          <w:tcPr>
            <w:tcW w:w="8647" w:type="dxa"/>
          </w:tcPr>
          <w:p w14:paraId="47458470" w14:textId="77777777" w:rsidR="00C25277" w:rsidRPr="00AA0A90" w:rsidRDefault="00C25277" w:rsidP="00C25277">
            <w:pPr>
              <w:pStyle w:val="Prrafodelista"/>
              <w:widowControl w:val="0"/>
              <w:numPr>
                <w:ilvl w:val="0"/>
                <w:numId w:val="3"/>
              </w:numPr>
              <w:autoSpaceDE w:val="0"/>
              <w:autoSpaceDN w:val="0"/>
              <w:spacing w:after="120" w:line="276" w:lineRule="auto"/>
              <w:jc w:val="both"/>
              <w:rPr>
                <w:rFonts w:ascii="Verdana" w:hAnsi="Verdana" w:cs="Arial"/>
              </w:rPr>
            </w:pPr>
            <w:r w:rsidRPr="00AA0A90">
              <w:rPr>
                <w:rFonts w:ascii="Verdana" w:hAnsi="Verdana" w:cs="Arial"/>
              </w:rPr>
              <w:lastRenderedPageBreak/>
              <w:t xml:space="preserve">Ley 1801 de 2016: artículo 25 </w:t>
            </w:r>
          </w:p>
          <w:p w14:paraId="47458471" w14:textId="77777777" w:rsidR="00C25277" w:rsidRPr="00AA0A90" w:rsidRDefault="00C25277" w:rsidP="00C25277">
            <w:pPr>
              <w:pStyle w:val="Prrafodelista"/>
              <w:widowControl w:val="0"/>
              <w:numPr>
                <w:ilvl w:val="0"/>
                <w:numId w:val="3"/>
              </w:numPr>
              <w:autoSpaceDE w:val="0"/>
              <w:autoSpaceDN w:val="0"/>
              <w:spacing w:after="120" w:line="276" w:lineRule="auto"/>
              <w:jc w:val="both"/>
              <w:rPr>
                <w:rFonts w:ascii="Verdana" w:hAnsi="Verdana" w:cs="Arial"/>
              </w:rPr>
            </w:pPr>
            <w:r w:rsidRPr="00AA0A90">
              <w:rPr>
                <w:rFonts w:ascii="Verdana" w:hAnsi="Verdana" w:cs="Arial"/>
              </w:rPr>
              <w:t>Ley 80 de 1993: artículo 8</w:t>
            </w:r>
          </w:p>
        </w:tc>
      </w:tr>
    </w:tbl>
    <w:p w14:paraId="47458473" w14:textId="77777777" w:rsidR="00C25277" w:rsidRPr="00AA0A90" w:rsidRDefault="00C25277" w:rsidP="00C25277">
      <w:pPr>
        <w:widowControl w:val="0"/>
        <w:autoSpaceDE w:val="0"/>
        <w:autoSpaceDN w:val="0"/>
        <w:spacing w:after="0" w:line="276" w:lineRule="auto"/>
        <w:jc w:val="both"/>
        <w:rPr>
          <w:rFonts w:ascii="Verdana" w:hAnsi="Verdana" w:cs="Arial"/>
        </w:rPr>
      </w:pPr>
    </w:p>
    <w:p w14:paraId="47458474" w14:textId="77777777" w:rsidR="00C25277" w:rsidRPr="00AA0A90" w:rsidRDefault="00C25277" w:rsidP="00C25277">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A0A90">
        <w:rPr>
          <w:rFonts w:ascii="Verdana" w:eastAsia="Century Gothic" w:hAnsi="Verdana" w:cs="Century Gothic"/>
          <w:b/>
          <w:bCs/>
        </w:rPr>
        <w:t>Doctrina de la Agencia Nacional de Contratación Pública:</w:t>
      </w:r>
    </w:p>
    <w:p w14:paraId="47458475" w14:textId="77777777" w:rsidR="00C25277" w:rsidRPr="00AA0A90" w:rsidRDefault="00C25277" w:rsidP="00C25277">
      <w:pPr>
        <w:widowControl w:val="0"/>
        <w:autoSpaceDE w:val="0"/>
        <w:autoSpaceDN w:val="0"/>
        <w:spacing w:after="0" w:line="276" w:lineRule="auto"/>
        <w:jc w:val="both"/>
        <w:rPr>
          <w:rFonts w:ascii="Verdana" w:hAnsi="Verdana" w:cs="Arial"/>
        </w:rPr>
      </w:pPr>
    </w:p>
    <w:p w14:paraId="47458476" w14:textId="77777777" w:rsidR="00C25277" w:rsidRDefault="00C25277" w:rsidP="00C25277">
      <w:pPr>
        <w:spacing w:after="120" w:line="276" w:lineRule="auto"/>
        <w:jc w:val="both"/>
        <w:rPr>
          <w:rStyle w:val="normaltextrun"/>
          <w:rFonts w:ascii="Verdana" w:eastAsia="Calibri" w:hAnsi="Verdana" w:cs="Arial"/>
          <w:lang w:val="es-ES" w:eastAsia="es-ES"/>
        </w:rPr>
      </w:pPr>
      <w:r w:rsidRPr="00AA0A90">
        <w:rPr>
          <w:rStyle w:val="normaltextrun"/>
          <w:rFonts w:ascii="Verdana" w:hAnsi="Verdana" w:cs="Arial"/>
          <w:shd w:val="clear" w:color="auto" w:fill="FFFFFF"/>
          <w:lang w:val="es-ES"/>
        </w:rPr>
        <w:t xml:space="preserve">Sobre el régimen de inhabilidades e incompatibilidades en la contratación pública, sus criterios de interpretación –restrictivo y pro libertate– y sus efectos en la capacidad contractual, entre otros, en los conceptos: C-090 del 24 de febrero de 2020, C-125 del 3 de marzo de 2020, C-157 del 17 de marzo de 2020, C-273 del 21 de mayo de 2020, C-402 del 26 de junio de 2020, C-386 del 24 de julio de 2020, C-701 del 6 de enero de 2021, C-004 del 12 de febrero de 2021, C-210 del 12 de mayo de 2021, C-275 del 11 de junio de 2021, C-449 del 31 de agosto de 2021, C-028 del 28 de febrero de 2022, C-318 del 18 de mayo de 2022, C-252 del 30 de mayo de 2022, C-619 del 27 de septiembre de 2022, C-731 de 10 de noviembre de 2022, C-059 de 13 de junio de 2023, </w:t>
      </w:r>
      <w:r w:rsidRPr="00AA0A90">
        <w:rPr>
          <w:rFonts w:ascii="Verdana" w:hAnsi="Verdana" w:cs="Arial"/>
          <w:shd w:val="clear" w:color="auto" w:fill="FFFFFF"/>
        </w:rPr>
        <w:t>C-352 del 22 de diciembre de 2023, C-010 del 31 de enero de 2024, C-023 del 26 de febrero de 2024, C-035 del 24 de abril de 2024, C-039 del 23 de abril de 2024, C-041 del 29 de mayo de 2024</w:t>
      </w:r>
      <w:r w:rsidRPr="00AA0A90">
        <w:rPr>
          <w:rStyle w:val="normaltextrun"/>
          <w:rFonts w:ascii="Verdana" w:hAnsi="Verdana" w:cs="Arial"/>
          <w:shd w:val="clear" w:color="auto" w:fill="FFFFFF"/>
          <w:lang w:val="es-ES"/>
        </w:rPr>
        <w:t xml:space="preserve">, </w:t>
      </w:r>
      <w:r w:rsidRPr="00AA0A90">
        <w:rPr>
          <w:rFonts w:ascii="Verdana" w:hAnsi="Verdana" w:cs="Arial"/>
          <w:shd w:val="clear" w:color="auto" w:fill="FFFFFF"/>
        </w:rPr>
        <w:t>C-067 del 16 de mayo de 2024</w:t>
      </w:r>
      <w:r w:rsidRPr="00AA0A90">
        <w:rPr>
          <w:rStyle w:val="normaltextrun"/>
          <w:rFonts w:ascii="Verdana" w:hAnsi="Verdana" w:cs="Arial"/>
          <w:shd w:val="clear" w:color="auto" w:fill="FFFFFF"/>
          <w:lang w:val="es-ES"/>
        </w:rPr>
        <w:t xml:space="preserve">, </w:t>
      </w:r>
      <w:r w:rsidRPr="00AA0A90">
        <w:rPr>
          <w:rFonts w:ascii="Verdana" w:hAnsi="Verdana" w:cs="Arial"/>
          <w:shd w:val="clear" w:color="auto" w:fill="FFFFFF"/>
        </w:rPr>
        <w:t>C-078 del 4 de junio de 2024,</w:t>
      </w:r>
      <w:r w:rsidRPr="00AA0A90">
        <w:rPr>
          <w:rStyle w:val="normaltextrun"/>
          <w:rFonts w:ascii="Verdana" w:hAnsi="Verdana" w:cs="Arial"/>
          <w:shd w:val="clear" w:color="auto" w:fill="FFFFFF"/>
          <w:lang w:val="es-ES"/>
        </w:rPr>
        <w:t xml:space="preserve"> C-289 del 15 de agosto de 2023, C-172 de 25 de julio de 2024, C-271 del 22 de julio de 2024entre otros. </w:t>
      </w:r>
      <w:r w:rsidRPr="00EE174D">
        <w:rPr>
          <w:rFonts w:ascii="Verdana" w:hAnsi="Verdana" w:cs="Arial"/>
          <w:color w:val="000000" w:themeColor="text1"/>
          <w:shd w:val="clear" w:color="auto" w:fill="FFFFFF"/>
        </w:rPr>
        <w:t>Estos y otros conceptos se encuentran disponibles para consulta en el Sistema d</w:t>
      </w:r>
      <w:r w:rsidRPr="003D2146">
        <w:rPr>
          <w:rFonts w:ascii="Verdana" w:hAnsi="Verdana" w:cs="Arial"/>
          <w:color w:val="000000" w:themeColor="text1"/>
          <w:shd w:val="clear" w:color="auto" w:fill="FFFFFF"/>
        </w:rPr>
        <w:t>e Relatoría de la Agencia, en el cual también podrá</w:t>
      </w:r>
      <w:r>
        <w:rPr>
          <w:rFonts w:ascii="Verdana" w:hAnsi="Verdana" w:cs="Arial"/>
          <w:color w:val="000000" w:themeColor="text1"/>
          <w:shd w:val="clear" w:color="auto" w:fill="FFFFFF"/>
        </w:rPr>
        <w:t>n</w:t>
      </w:r>
      <w:r w:rsidRPr="003D2146">
        <w:rPr>
          <w:rFonts w:ascii="Verdana" w:hAnsi="Verdana" w:cs="Arial"/>
          <w:color w:val="000000" w:themeColor="text1"/>
          <w:shd w:val="clear" w:color="auto" w:fill="FFFFFF"/>
        </w:rPr>
        <w:t xml:space="preserve"> encontrar jurisprudencia del Consejo de Estado, laudos arbitrales y la normativa de la contratación concordada con la doctrina de la Subdirección de Gestión Contractual</w:t>
      </w:r>
      <w:r w:rsidRPr="00CC5C68">
        <w:rPr>
          <w:rFonts w:ascii="Verdana" w:hAnsi="Verdana"/>
        </w:rPr>
        <w:t>, al cual se puede acceder a través del siguiente enlace:</w:t>
      </w:r>
      <w:r>
        <w:rPr>
          <w:rFonts w:ascii="Verdana" w:eastAsia="Calibri" w:hAnsi="Verdana" w:cs="Arial"/>
          <w:lang w:eastAsia="es-ES"/>
        </w:rPr>
        <w:t xml:space="preserve"> </w:t>
      </w:r>
      <w:hyperlink r:id="rId12" w:history="1">
        <w:r w:rsidRPr="00D94C94">
          <w:rPr>
            <w:rStyle w:val="Hipervnculo"/>
            <w:rFonts w:ascii="Verdana" w:hAnsi="Verdana" w:cs="Arial"/>
            <w:shd w:val="clear" w:color="auto" w:fill="FFFFFF"/>
            <w:lang w:val="es-ES"/>
          </w:rPr>
          <w:t>https://relatoria.colombiacompra.gov.co/busqueda/conceptos</w:t>
        </w:r>
      </w:hyperlink>
    </w:p>
    <w:p w14:paraId="47458477" w14:textId="77777777" w:rsidR="00C25277" w:rsidRPr="00951490" w:rsidRDefault="00C25277" w:rsidP="00C25277">
      <w:pPr>
        <w:shd w:val="clear" w:color="auto" w:fill="FFFFFF"/>
        <w:jc w:val="both"/>
        <w:textAlignment w:val="baseline"/>
        <w:rPr>
          <w:rFonts w:ascii="Verdana" w:hAnsi="Verdana"/>
          <w:color w:val="000000"/>
        </w:rPr>
      </w:pPr>
      <w:r w:rsidRPr="00951490">
        <w:rPr>
          <w:rFonts w:ascii="Verdana" w:hAnsi="Verdana"/>
          <w:color w:val="000000"/>
        </w:rPr>
        <w:t>Nos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47458478" w14:textId="77777777" w:rsidR="00C25277" w:rsidRPr="00951490" w:rsidRDefault="00C25277" w:rsidP="00C25277">
      <w:pPr>
        <w:numPr>
          <w:ilvl w:val="0"/>
          <w:numId w:val="5"/>
        </w:numPr>
        <w:shd w:val="clear" w:color="auto" w:fill="FFFFFF"/>
        <w:spacing w:beforeAutospacing="1" w:after="0" w:afterAutospacing="1" w:line="240" w:lineRule="auto"/>
        <w:jc w:val="both"/>
        <w:textAlignment w:val="baseline"/>
        <w:rPr>
          <w:rFonts w:ascii="Verdana" w:hAnsi="Verdana" w:cs="Segoe UI"/>
          <w:color w:val="000000"/>
        </w:rPr>
      </w:pPr>
      <w:r w:rsidRPr="00951490">
        <w:rPr>
          <w:rFonts w:ascii="Verdana" w:hAnsi="Verdana" w:cs="Segoe UI"/>
          <w:b/>
          <w:bCs/>
          <w:color w:val="000000"/>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951490">
          <w:rPr>
            <w:rFonts w:ascii="Verdana" w:hAnsi="Verdana" w:cs="Segoe UI"/>
            <w:color w:val="467886"/>
            <w:u w:val="single"/>
            <w:bdr w:val="none" w:sz="0" w:space="0" w:color="auto" w:frame="1"/>
          </w:rPr>
          <w:t>03. Documentos tipo para los procesos de selección de interventoría de obra pública de infraestructura de transporte – versión 3 | Colombia Compra Eficiente | Agencia Nacional de Contratación Pública</w:t>
        </w:r>
      </w:hyperlink>
    </w:p>
    <w:p w14:paraId="47458479" w14:textId="77777777" w:rsidR="00C25277" w:rsidRPr="00951490" w:rsidRDefault="00C25277" w:rsidP="00C25277">
      <w:pPr>
        <w:numPr>
          <w:ilvl w:val="0"/>
          <w:numId w:val="5"/>
        </w:numPr>
        <w:shd w:val="clear" w:color="auto" w:fill="FFFFFF"/>
        <w:spacing w:beforeAutospacing="1" w:after="0" w:afterAutospacing="1" w:line="240" w:lineRule="auto"/>
        <w:jc w:val="both"/>
        <w:textAlignment w:val="baseline"/>
        <w:rPr>
          <w:rFonts w:ascii="Verdana" w:hAnsi="Verdana" w:cs="Segoe UI"/>
          <w:color w:val="000000"/>
        </w:rPr>
      </w:pPr>
      <w:r w:rsidRPr="00951490">
        <w:rPr>
          <w:rFonts w:ascii="Verdana" w:hAnsi="Verdana" w:cs="Segoe UI"/>
          <w:b/>
          <w:bCs/>
          <w:color w:val="000000"/>
        </w:rPr>
        <w:t>Documentos tipo para los procesos de selección de consultoría de obra pública de infraestructura de transporte – versión 2:</w:t>
      </w:r>
      <w:r w:rsidRPr="00951490">
        <w:rPr>
          <w:rFonts w:ascii="Verdana" w:hAnsi="Verdana" w:cs="Segoe UI"/>
          <w:color w:val="000000"/>
        </w:rPr>
        <w:t> </w:t>
      </w:r>
      <w:hyperlink r:id="rId14" w:tgtFrame="_blank" w:tooltip="Dirección URL original: https://www.colombiacompra.gov.co/content/02-documentos-tipo-para-los-procesos-de-seleccion-de-consultoria-de-obra-publica-de. Haga clic o pulse si confía en este vínculo." w:history="1">
        <w:r w:rsidRPr="00951490">
          <w:rPr>
            <w:rFonts w:ascii="Verdana" w:hAnsi="Verdana" w:cs="Segoe UI"/>
            <w:color w:val="467886"/>
            <w:u w:val="single"/>
            <w:bdr w:val="none" w:sz="0" w:space="0" w:color="auto" w:frame="1"/>
          </w:rPr>
          <w:t xml:space="preserve">02. Documentos tipo para los procesos de selección de consultoría de obra </w:t>
        </w:r>
        <w:r w:rsidRPr="00951490">
          <w:rPr>
            <w:rFonts w:ascii="Verdana" w:hAnsi="Verdana" w:cs="Segoe UI"/>
            <w:color w:val="467886"/>
            <w:u w:val="single"/>
            <w:bdr w:val="none" w:sz="0" w:space="0" w:color="auto" w:frame="1"/>
          </w:rPr>
          <w:lastRenderedPageBreak/>
          <w:t>pública de infraestructura de transporte – versión 2. | Colombia Compra Eficiente | Agencia Nacional de Contratación Pública</w:t>
        </w:r>
      </w:hyperlink>
    </w:p>
    <w:p w14:paraId="4745847A" w14:textId="77777777" w:rsidR="00C25277" w:rsidRPr="00951490" w:rsidRDefault="00C25277" w:rsidP="00C25277">
      <w:pPr>
        <w:shd w:val="clear" w:color="auto" w:fill="FFFFFF"/>
        <w:jc w:val="both"/>
        <w:textAlignment w:val="baseline"/>
        <w:rPr>
          <w:rFonts w:ascii="Verdana" w:hAnsi="Verdana"/>
          <w:color w:val="242424"/>
        </w:rPr>
      </w:pPr>
      <w:r w:rsidRPr="00951490">
        <w:rPr>
          <w:rFonts w:ascii="Verdana" w:hAnsi="Verdana"/>
          <w:color w:val="000000"/>
          <w:bdr w:val="none" w:sz="0" w:space="0" w:color="auto" w:frame="1"/>
        </w:rPr>
        <w:t>También, te contamos que ya publicamos </w:t>
      </w:r>
      <w:r w:rsidRPr="00951490">
        <w:rPr>
          <w:rFonts w:ascii="Verdana" w:hAnsi="Verdana"/>
          <w:b/>
          <w:bCs/>
          <w:color w:val="000000"/>
          <w:bdr w:val="none" w:sz="0" w:space="0" w:color="auto" w:frame="1"/>
        </w:rPr>
        <w:t>la nueva Guía de Contratación Pública Sostenible y Socialmente Responsable</w:t>
      </w:r>
      <w:r w:rsidRPr="00951490">
        <w:rPr>
          <w:rFonts w:ascii="Verdana" w:hAnsi="Verdana"/>
          <w:color w:val="000000"/>
          <w:bdr w:val="none" w:sz="0" w:space="0" w:color="auto" w:frame="1"/>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951490">
          <w:rPr>
            <w:rFonts w:ascii="Verdana" w:hAnsi="Verdana"/>
            <w:color w:val="467886"/>
            <w:u w:val="single"/>
            <w:bdr w:val="none" w:sz="0" w:space="0" w:color="auto" w:frame="1"/>
          </w:rPr>
          <w:t>Guía de Contratación Pública Sostenible y Socialmente Responsable | Colombia Compra Eficiente | Agencia Nacional de Contratación Pública</w:t>
        </w:r>
      </w:hyperlink>
    </w:p>
    <w:p w14:paraId="4745847B" w14:textId="77777777" w:rsidR="00C25277" w:rsidRDefault="00C25277" w:rsidP="00C25277">
      <w:pPr>
        <w:spacing w:after="0" w:line="240" w:lineRule="auto"/>
        <w:jc w:val="both"/>
        <w:rPr>
          <w:rFonts w:ascii="Verdana" w:hAnsi="Verdana"/>
        </w:rPr>
      </w:pPr>
    </w:p>
    <w:p w14:paraId="4745847C" w14:textId="77777777" w:rsidR="00C25277" w:rsidRPr="00CC5C68" w:rsidRDefault="00C25277" w:rsidP="00C25277">
      <w:pPr>
        <w:spacing w:after="0" w:line="240" w:lineRule="auto"/>
        <w:jc w:val="both"/>
        <w:rPr>
          <w:rFonts w:ascii="Verdana" w:hAnsi="Verdana"/>
        </w:rPr>
      </w:pPr>
      <w:r w:rsidRPr="00CC5C68">
        <w:rPr>
          <w:rFonts w:ascii="Verdana" w:hAnsi="Verdana"/>
        </w:rPr>
        <w:t xml:space="preserve">Por último, lo invitamos a seguirnos en las redes sociales en las cuales se difunde información institucional: </w:t>
      </w:r>
    </w:p>
    <w:p w14:paraId="4745847D" w14:textId="77777777" w:rsidR="00C25277" w:rsidRPr="00CC5C68" w:rsidRDefault="00C25277" w:rsidP="00C25277">
      <w:pPr>
        <w:spacing w:after="0" w:line="240" w:lineRule="auto"/>
        <w:jc w:val="both"/>
        <w:rPr>
          <w:rFonts w:ascii="Verdana" w:hAnsi="Verdana"/>
        </w:rPr>
      </w:pPr>
    </w:p>
    <w:p w14:paraId="4745847E" w14:textId="77777777" w:rsidR="00C25277" w:rsidRPr="00CC5C68" w:rsidRDefault="00C25277" w:rsidP="00C25277">
      <w:pPr>
        <w:spacing w:after="0" w:line="240" w:lineRule="auto"/>
        <w:jc w:val="both"/>
        <w:rPr>
          <w:rFonts w:ascii="Verdana" w:hAnsi="Verdana"/>
        </w:rPr>
      </w:pPr>
      <w:r w:rsidRPr="00CC5C68">
        <w:rPr>
          <w:rFonts w:ascii="Verdana" w:hAnsi="Verdana"/>
        </w:rPr>
        <w:t xml:space="preserve">Twitter: </w:t>
      </w:r>
      <w:r w:rsidRPr="00CC5C68">
        <w:rPr>
          <w:rStyle w:val="Hipervnculo"/>
          <w:rFonts w:ascii="Verdana" w:hAnsi="Verdana"/>
          <w:color w:val="4472C4" w:themeColor="accent1"/>
        </w:rPr>
        <w:t>@colombiacompra</w:t>
      </w:r>
      <w:r w:rsidRPr="00CC5C68">
        <w:rPr>
          <w:rFonts w:ascii="Verdana" w:hAnsi="Verdana"/>
          <w:color w:val="4472C4" w:themeColor="accent1"/>
        </w:rPr>
        <w:t xml:space="preserve"> </w:t>
      </w:r>
    </w:p>
    <w:p w14:paraId="4745847F" w14:textId="77777777" w:rsidR="00C25277" w:rsidRPr="00CC5C68" w:rsidRDefault="00C25277" w:rsidP="00C25277">
      <w:pPr>
        <w:spacing w:after="0" w:line="240" w:lineRule="auto"/>
        <w:jc w:val="both"/>
        <w:rPr>
          <w:rFonts w:ascii="Verdana" w:hAnsi="Verdana"/>
        </w:rPr>
      </w:pPr>
      <w:r w:rsidRPr="00CC5C68">
        <w:rPr>
          <w:rFonts w:ascii="Verdana" w:hAnsi="Verdana"/>
        </w:rPr>
        <w:t xml:space="preserve">Facebook: </w:t>
      </w:r>
      <w:proofErr w:type="spellStart"/>
      <w:r w:rsidRPr="00CC5C68">
        <w:rPr>
          <w:rStyle w:val="Hipervnculo"/>
          <w:rFonts w:ascii="Verdana" w:hAnsi="Verdana"/>
          <w:color w:val="4472C4" w:themeColor="accent1"/>
        </w:rPr>
        <w:t>ColombiaCompraEficiente</w:t>
      </w:r>
      <w:proofErr w:type="spellEnd"/>
    </w:p>
    <w:p w14:paraId="47458480" w14:textId="77777777" w:rsidR="00C25277" w:rsidRPr="00CC5C68" w:rsidRDefault="00C25277" w:rsidP="00C25277">
      <w:pPr>
        <w:spacing w:after="0" w:line="240" w:lineRule="auto"/>
        <w:jc w:val="both"/>
        <w:rPr>
          <w:rFonts w:ascii="Verdana" w:hAnsi="Verdana"/>
        </w:rPr>
      </w:pPr>
      <w:r w:rsidRPr="00CC5C68">
        <w:rPr>
          <w:rFonts w:ascii="Verdana" w:hAnsi="Verdana"/>
        </w:rPr>
        <w:t xml:space="preserve">LinkedIn: </w:t>
      </w:r>
      <w:r w:rsidRPr="00CC5C68">
        <w:rPr>
          <w:rStyle w:val="Hipervnculo"/>
          <w:rFonts w:ascii="Verdana" w:hAnsi="Verdana"/>
          <w:color w:val="4472C4" w:themeColor="accent1"/>
        </w:rPr>
        <w:t>Agencia Nacional de Contratación Pública - Colombia Compra Eficiente</w:t>
      </w:r>
      <w:r w:rsidRPr="00CC5C68">
        <w:rPr>
          <w:rFonts w:ascii="Verdana" w:hAnsi="Verdana"/>
          <w:color w:val="4472C4" w:themeColor="accent1"/>
        </w:rPr>
        <w:t xml:space="preserve"> </w:t>
      </w:r>
      <w:r w:rsidRPr="00CC5C68">
        <w:rPr>
          <w:rFonts w:ascii="Verdana" w:hAnsi="Verdana"/>
        </w:rPr>
        <w:t xml:space="preserve">Instagram: </w:t>
      </w:r>
      <w:r w:rsidRPr="00CC5C68">
        <w:rPr>
          <w:rStyle w:val="Hipervnculo"/>
          <w:rFonts w:ascii="Verdana" w:hAnsi="Verdana"/>
          <w:color w:val="4472C4" w:themeColor="accent1"/>
        </w:rPr>
        <w:t>@colombiacompraeficiente_cce</w:t>
      </w:r>
    </w:p>
    <w:p w14:paraId="47458481" w14:textId="77777777" w:rsidR="00C25277" w:rsidRPr="0044528D" w:rsidRDefault="00C25277" w:rsidP="00C25277">
      <w:pPr>
        <w:widowControl w:val="0"/>
        <w:autoSpaceDE w:val="0"/>
        <w:autoSpaceDN w:val="0"/>
        <w:spacing w:after="0" w:line="276" w:lineRule="auto"/>
        <w:jc w:val="both"/>
        <w:rPr>
          <w:rFonts w:ascii="Verdana" w:hAnsi="Verdana"/>
        </w:rPr>
      </w:pPr>
    </w:p>
    <w:p w14:paraId="47458482" w14:textId="77777777" w:rsidR="00C25277" w:rsidRPr="00CC5C68" w:rsidRDefault="00C25277" w:rsidP="00C25277">
      <w:pPr>
        <w:widowControl w:val="0"/>
        <w:autoSpaceDE w:val="0"/>
        <w:autoSpaceDN w:val="0"/>
        <w:spacing w:after="0" w:line="276" w:lineRule="auto"/>
        <w:jc w:val="both"/>
        <w:rPr>
          <w:rFonts w:ascii="Verdana" w:hAnsi="Verdana" w:cs="Arial"/>
          <w:lang w:val="es-ES_tradnl"/>
        </w:rPr>
      </w:pPr>
      <w:r w:rsidRPr="00CC5C68">
        <w:rPr>
          <w:rFonts w:ascii="Verdana" w:hAnsi="Verdana" w:cs="Arial"/>
        </w:rPr>
        <w:t xml:space="preserve">Este concepto tiene el alcance previsto en el artículo 28 del Código de Procedimiento Administrativo y de lo Contencioso Administrativo </w:t>
      </w:r>
      <w:r w:rsidRPr="00CC5C68">
        <w:rPr>
          <w:rFonts w:ascii="Verdana" w:hAnsi="Verdana" w:cs="Arial"/>
          <w:lang w:val="es-ES_tradnl"/>
        </w:rPr>
        <w:t>y las expresiones aquí utilizadas con mayúscula inicial deben ser entendidas con el significado que les otorga el artículo 2.2.1.1.1.3.1. del Decreto 1082 de 2015.</w:t>
      </w:r>
    </w:p>
    <w:p w14:paraId="47458483" w14:textId="77777777" w:rsidR="00C25277" w:rsidRPr="00CC5C68" w:rsidRDefault="00C25277" w:rsidP="00C25277">
      <w:pPr>
        <w:spacing w:after="0" w:line="276" w:lineRule="auto"/>
        <w:ind w:firstLine="709"/>
        <w:jc w:val="both"/>
        <w:rPr>
          <w:rFonts w:ascii="Verdana" w:eastAsia="Times New Roman" w:hAnsi="Verdana" w:cs="Arial"/>
          <w:szCs w:val="24"/>
          <w:lang w:val="es-ES_tradnl" w:eastAsia="es-ES_tradnl"/>
        </w:rPr>
      </w:pPr>
    </w:p>
    <w:p w14:paraId="47458484" w14:textId="77777777" w:rsidR="00C25277" w:rsidRDefault="00C25277" w:rsidP="00C25277">
      <w:pPr>
        <w:spacing w:after="0" w:line="276" w:lineRule="auto"/>
        <w:jc w:val="both"/>
        <w:rPr>
          <w:rFonts w:ascii="Verdana" w:eastAsia="Times New Roman" w:hAnsi="Verdana" w:cs="Arial"/>
          <w:lang w:val="es-ES_tradnl" w:eastAsia="es-CO"/>
        </w:rPr>
      </w:pPr>
      <w:bookmarkStart w:id="2" w:name="_Hlk117695077"/>
      <w:r w:rsidRPr="00CC5C68">
        <w:rPr>
          <w:rFonts w:ascii="Verdana" w:eastAsia="Times New Roman" w:hAnsi="Verdana" w:cs="Arial"/>
          <w:lang w:val="es-ES_tradnl" w:eastAsia="es-CO"/>
        </w:rPr>
        <w:t>Atentamente,</w:t>
      </w:r>
    </w:p>
    <w:p w14:paraId="47458485" w14:textId="77777777" w:rsidR="00C25277" w:rsidRPr="00CC5C68" w:rsidRDefault="00172DC6" w:rsidP="00C25277">
      <w:pPr>
        <w:spacing w:after="0" w:line="276" w:lineRule="auto"/>
        <w:jc w:val="center"/>
        <w:rPr>
          <w:rFonts w:ascii="Verdana" w:eastAsia="Times New Roman" w:hAnsi="Verdana" w:cs="Arial"/>
          <w:lang w:val="es-ES_tradnl" w:eastAsia="es-CO"/>
        </w:rPr>
      </w:pPr>
      <w:r w:rsidRPr="004D5C25">
        <w:rPr>
          <w:rFonts w:ascii="Century Gothic" w:hAnsi="Century Gothic"/>
          <w:noProof/>
        </w:rPr>
        <w:drawing>
          <wp:inline distT="0" distB="0" distL="0" distR="0" wp14:anchorId="47458499" wp14:editId="4745849A">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bookmarkEnd w:id="2"/>
    <w:p w14:paraId="47458486" w14:textId="77777777" w:rsidR="00C25277" w:rsidRPr="00CC5C68" w:rsidRDefault="00C25277" w:rsidP="00C25277">
      <w:pPr>
        <w:spacing w:after="18" w:line="240" w:lineRule="auto"/>
        <w:jc w:val="center"/>
        <w:rPr>
          <w:rFonts w:ascii="Verdana" w:eastAsia="Times New Roman" w:hAnsi="Verdana" w:cs="Arial"/>
          <w:sz w:val="24"/>
          <w:szCs w:val="24"/>
          <w:lang w:eastAsia="es-CO"/>
        </w:rPr>
      </w:pP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4777"/>
      </w:tblGrid>
      <w:tr w:rsidR="00C25277" w:rsidRPr="00F938DD" w14:paraId="4745848A" w14:textId="77777777" w:rsidTr="00D755B9">
        <w:trPr>
          <w:trHeight w:val="286"/>
        </w:trPr>
        <w:tc>
          <w:tcPr>
            <w:tcW w:w="893" w:type="dxa"/>
            <w:vAlign w:val="center"/>
            <w:hideMark/>
          </w:tcPr>
          <w:p w14:paraId="47458487" w14:textId="77777777" w:rsidR="00C25277" w:rsidRPr="00F938DD" w:rsidRDefault="00C25277" w:rsidP="00C25277">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Elaboró:</w:t>
            </w:r>
          </w:p>
        </w:tc>
        <w:tc>
          <w:tcPr>
            <w:tcW w:w="4777" w:type="dxa"/>
            <w:vAlign w:val="center"/>
            <w:hideMark/>
          </w:tcPr>
          <w:p w14:paraId="47458488" w14:textId="77777777" w:rsidR="00C25277" w:rsidRPr="00F938DD" w:rsidRDefault="00C25277" w:rsidP="00C25277">
            <w:pPr>
              <w:spacing w:after="0"/>
              <w:rPr>
                <w:rFonts w:ascii="Verdana" w:eastAsia="Times New Roman" w:hAnsi="Verdana" w:cs="Arial"/>
                <w:sz w:val="16"/>
                <w:szCs w:val="16"/>
                <w:lang w:val="es-ES" w:eastAsia="es-ES"/>
              </w:rPr>
            </w:pPr>
            <w:proofErr w:type="spellStart"/>
            <w:r w:rsidRPr="73915305">
              <w:rPr>
                <w:rFonts w:ascii="Verdana" w:eastAsia="Times New Roman" w:hAnsi="Verdana" w:cs="Arial"/>
                <w:sz w:val="16"/>
                <w:szCs w:val="16"/>
                <w:lang w:val="es-ES" w:eastAsia="es-ES"/>
              </w:rPr>
              <w:t>Jhonattan</w:t>
            </w:r>
            <w:proofErr w:type="spellEnd"/>
            <w:r w:rsidRPr="73915305">
              <w:rPr>
                <w:rFonts w:ascii="Verdana" w:eastAsia="Times New Roman" w:hAnsi="Verdana" w:cs="Arial"/>
                <w:sz w:val="16"/>
                <w:szCs w:val="16"/>
                <w:lang w:val="es-ES" w:eastAsia="es-ES"/>
              </w:rPr>
              <w:t xml:space="preserve"> </w:t>
            </w:r>
            <w:proofErr w:type="spellStart"/>
            <w:r w:rsidRPr="73915305">
              <w:rPr>
                <w:rFonts w:ascii="Verdana" w:eastAsia="Times New Roman" w:hAnsi="Verdana" w:cs="Arial"/>
                <w:sz w:val="16"/>
                <w:szCs w:val="16"/>
                <w:lang w:val="es-ES" w:eastAsia="es-ES"/>
              </w:rPr>
              <w:t>Gualdrón</w:t>
            </w:r>
            <w:proofErr w:type="spellEnd"/>
            <w:r w:rsidRPr="73915305">
              <w:rPr>
                <w:rFonts w:ascii="Verdana" w:eastAsia="Times New Roman" w:hAnsi="Verdana" w:cs="Arial"/>
                <w:sz w:val="16"/>
                <w:szCs w:val="16"/>
                <w:lang w:val="es-ES" w:eastAsia="es-ES"/>
              </w:rPr>
              <w:t xml:space="preserve"> Salazar</w:t>
            </w:r>
          </w:p>
          <w:p w14:paraId="47458489" w14:textId="77777777" w:rsidR="00C25277" w:rsidRPr="00F938DD" w:rsidRDefault="00C25277" w:rsidP="00C25277">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Contratista de la Subdirección de Gestión Contractual</w:t>
            </w:r>
          </w:p>
        </w:tc>
      </w:tr>
      <w:tr w:rsidR="00C25277" w:rsidRPr="00F938DD" w14:paraId="4745848E" w14:textId="77777777" w:rsidTr="00D755B9">
        <w:trPr>
          <w:trHeight w:val="299"/>
        </w:trPr>
        <w:tc>
          <w:tcPr>
            <w:tcW w:w="893" w:type="dxa"/>
            <w:vAlign w:val="center"/>
            <w:hideMark/>
          </w:tcPr>
          <w:p w14:paraId="4745848B" w14:textId="77777777" w:rsidR="00C25277" w:rsidRPr="00F938DD" w:rsidRDefault="00C25277" w:rsidP="00C25277">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Revisó:</w:t>
            </w:r>
          </w:p>
        </w:tc>
        <w:tc>
          <w:tcPr>
            <w:tcW w:w="4777" w:type="dxa"/>
            <w:vAlign w:val="center"/>
            <w:hideMark/>
          </w:tcPr>
          <w:p w14:paraId="4745848C" w14:textId="77777777" w:rsidR="00C25277" w:rsidRDefault="00C25277" w:rsidP="00C25277">
            <w:pPr>
              <w:spacing w:after="0"/>
              <w:rPr>
                <w:rFonts w:ascii="Verdana" w:eastAsia="Times New Roman" w:hAnsi="Verdana" w:cs="Arial"/>
                <w:sz w:val="16"/>
                <w:szCs w:val="16"/>
                <w:lang w:val="es-ES" w:eastAsia="es-ES"/>
              </w:rPr>
            </w:pPr>
            <w:r>
              <w:rPr>
                <w:rFonts w:ascii="Verdana" w:eastAsia="Times New Roman" w:hAnsi="Verdana" w:cs="Arial"/>
                <w:sz w:val="16"/>
                <w:szCs w:val="16"/>
                <w:lang w:val="es-ES" w:eastAsia="es-ES"/>
              </w:rPr>
              <w:t>Juan Carlos González</w:t>
            </w:r>
          </w:p>
          <w:p w14:paraId="4745848D" w14:textId="77777777" w:rsidR="00C25277" w:rsidRPr="00F938DD" w:rsidRDefault="00C25277" w:rsidP="00C25277">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Contratista de la Subdirección de Gestión Contractual</w:t>
            </w:r>
          </w:p>
        </w:tc>
      </w:tr>
      <w:tr w:rsidR="00C25277" w:rsidRPr="00F938DD" w14:paraId="47458492" w14:textId="77777777" w:rsidTr="00D755B9">
        <w:trPr>
          <w:trHeight w:val="272"/>
        </w:trPr>
        <w:tc>
          <w:tcPr>
            <w:tcW w:w="893" w:type="dxa"/>
            <w:vAlign w:val="center"/>
            <w:hideMark/>
          </w:tcPr>
          <w:p w14:paraId="4745848F" w14:textId="77777777" w:rsidR="00C25277" w:rsidRPr="00F938DD" w:rsidRDefault="00C25277" w:rsidP="00C25277">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Aprobó:</w:t>
            </w:r>
          </w:p>
        </w:tc>
        <w:tc>
          <w:tcPr>
            <w:tcW w:w="4777" w:type="dxa"/>
            <w:vAlign w:val="center"/>
            <w:hideMark/>
          </w:tcPr>
          <w:p w14:paraId="47458490" w14:textId="77777777" w:rsidR="00C25277" w:rsidRPr="00F938DD" w:rsidRDefault="00C25277" w:rsidP="00C25277">
            <w:pPr>
              <w:spacing w:after="0"/>
              <w:rPr>
                <w:rFonts w:ascii="Verdana" w:eastAsia="Times New Roman" w:hAnsi="Verdana" w:cs="Arial"/>
                <w:sz w:val="16"/>
                <w:szCs w:val="16"/>
                <w:lang w:eastAsia="es-ES"/>
              </w:rPr>
            </w:pPr>
            <w:r w:rsidRPr="00F938DD">
              <w:rPr>
                <w:rFonts w:ascii="Verdana" w:eastAsia="Times New Roman" w:hAnsi="Verdana" w:cs="Arial"/>
                <w:sz w:val="16"/>
                <w:szCs w:val="16"/>
                <w:lang w:eastAsia="es-ES"/>
              </w:rPr>
              <w:t>Carolina Quintero Gacharná</w:t>
            </w:r>
          </w:p>
          <w:p w14:paraId="47458491" w14:textId="77777777" w:rsidR="00C25277" w:rsidRPr="00F938DD" w:rsidRDefault="00C25277" w:rsidP="00C25277">
            <w:pPr>
              <w:spacing w:after="0"/>
              <w:rPr>
                <w:rFonts w:ascii="Verdana" w:eastAsia="Times New Roman" w:hAnsi="Verdana" w:cs="Arial"/>
                <w:sz w:val="14"/>
                <w:szCs w:val="14"/>
                <w:lang w:eastAsia="es-ES"/>
              </w:rPr>
            </w:pPr>
            <w:r w:rsidRPr="00F938DD">
              <w:rPr>
                <w:rFonts w:ascii="Verdana" w:eastAsia="Times New Roman" w:hAnsi="Verdana" w:cs="Arial"/>
                <w:sz w:val="16"/>
                <w:szCs w:val="16"/>
                <w:lang w:eastAsia="es-ES"/>
              </w:rPr>
              <w:t>Subdirectora de Gestión Contractual ANCP – CCE</w:t>
            </w:r>
          </w:p>
        </w:tc>
      </w:tr>
    </w:tbl>
    <w:p w14:paraId="47458493" w14:textId="77777777" w:rsidR="00C25277" w:rsidRPr="00FB4F13" w:rsidRDefault="00C25277" w:rsidP="00C25277">
      <w:pPr>
        <w:spacing w:after="0" w:line="276" w:lineRule="auto"/>
        <w:jc w:val="both"/>
        <w:rPr>
          <w:rFonts w:ascii="Verdana" w:eastAsia="Times New Roman" w:hAnsi="Verdana" w:cs="Arial"/>
        </w:rPr>
      </w:pPr>
    </w:p>
    <w:p w14:paraId="47458494" w14:textId="77777777" w:rsidR="00C25277" w:rsidRPr="00CC5C68" w:rsidRDefault="00C25277" w:rsidP="00C25277">
      <w:pPr>
        <w:spacing w:after="0" w:line="240" w:lineRule="auto"/>
        <w:rPr>
          <w:rFonts w:ascii="Verdana" w:eastAsia="Times New Roman" w:hAnsi="Verdana" w:cs="Arial"/>
          <w:sz w:val="24"/>
          <w:szCs w:val="24"/>
          <w:lang w:eastAsia="es-ES_tradnl"/>
        </w:rPr>
      </w:pPr>
    </w:p>
    <w:p w14:paraId="47458495" w14:textId="77777777" w:rsidR="00C25277" w:rsidRPr="00CC5C68" w:rsidRDefault="00C25277" w:rsidP="00C25277">
      <w:pPr>
        <w:rPr>
          <w:rFonts w:ascii="Verdana" w:hAnsi="Verdana"/>
        </w:rPr>
      </w:pPr>
    </w:p>
    <w:p w14:paraId="47458496" w14:textId="77777777" w:rsidR="00231498" w:rsidRPr="00C25277" w:rsidRDefault="00231498" w:rsidP="00C25277"/>
    <w:sectPr w:rsidR="00231498" w:rsidRPr="00C25277"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849D" w14:textId="77777777" w:rsidR="005933F1" w:rsidRDefault="005933F1" w:rsidP="00FB4F13">
      <w:pPr>
        <w:spacing w:after="0" w:line="240" w:lineRule="auto"/>
      </w:pPr>
      <w:r>
        <w:separator/>
      </w:r>
    </w:p>
  </w:endnote>
  <w:endnote w:type="continuationSeparator" w:id="0">
    <w:p w14:paraId="4745849E" w14:textId="77777777" w:rsidR="005933F1" w:rsidRDefault="005933F1" w:rsidP="00FB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84A4" w14:textId="77777777" w:rsidR="00231498" w:rsidRDefault="00231498">
    <w:pPr>
      <w:pStyle w:val="Piedepgina"/>
    </w:pPr>
  </w:p>
  <w:p w14:paraId="474584A5" w14:textId="77777777" w:rsidR="00231498" w:rsidRPr="00174B77" w:rsidRDefault="008059FC"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74584A6" w14:textId="77777777" w:rsidR="00231498" w:rsidRDefault="008059FC"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474584A7" w14:textId="77777777" w:rsidR="00231498" w:rsidRPr="00E41027" w:rsidRDefault="008059FC" w:rsidP="00D520D8">
    <w:pPr>
      <w:spacing w:after="0"/>
      <w:jc w:val="both"/>
      <w:rPr>
        <w:rFonts w:ascii="Verdana" w:hAnsi="Verdana"/>
        <w:sz w:val="18"/>
        <w:szCs w:val="18"/>
      </w:rPr>
    </w:pPr>
    <w:r w:rsidRPr="00E41027">
      <w:rPr>
        <w:rFonts w:ascii="Verdana" w:hAnsi="Verdana"/>
        <w:sz w:val="18"/>
        <w:szCs w:val="18"/>
      </w:rPr>
      <w:t>Mesa de servicio: (+57) 601 7456788</w:t>
    </w:r>
  </w:p>
  <w:p w14:paraId="474584A8" w14:textId="77777777" w:rsidR="00231498" w:rsidRDefault="008059FC"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5849B" w14:textId="77777777" w:rsidR="005933F1" w:rsidRDefault="005933F1" w:rsidP="00FB4F13">
      <w:pPr>
        <w:spacing w:after="0" w:line="240" w:lineRule="auto"/>
      </w:pPr>
      <w:r>
        <w:separator/>
      </w:r>
    </w:p>
  </w:footnote>
  <w:footnote w:type="continuationSeparator" w:id="0">
    <w:p w14:paraId="4745849C" w14:textId="77777777" w:rsidR="005933F1" w:rsidRDefault="005933F1" w:rsidP="00FB4F13">
      <w:pPr>
        <w:spacing w:after="0" w:line="240" w:lineRule="auto"/>
      </w:pPr>
      <w:r>
        <w:continuationSeparator/>
      </w:r>
    </w:p>
  </w:footnote>
  <w:footnote w:id="1">
    <w:p w14:paraId="474584AD" w14:textId="77777777" w:rsidR="00C25277" w:rsidRPr="004C5849" w:rsidRDefault="00C25277" w:rsidP="00C25277">
      <w:pPr>
        <w:pStyle w:val="Textonotapie"/>
        <w:ind w:firstLine="708"/>
        <w:contextualSpacing/>
        <w:jc w:val="both"/>
        <w:rPr>
          <w:rFonts w:ascii="Verdana" w:hAnsi="Verdana" w:cs="Arial"/>
          <w:sz w:val="16"/>
          <w:szCs w:val="16"/>
          <w:lang w:val="pt-BR"/>
        </w:rPr>
      </w:pPr>
      <w:r w:rsidRPr="004C5849">
        <w:rPr>
          <w:rStyle w:val="Refdenotaalpie"/>
          <w:rFonts w:ascii="Verdana" w:hAnsi="Verdana" w:cs="Arial"/>
          <w:sz w:val="16"/>
          <w:szCs w:val="16"/>
        </w:rPr>
        <w:footnoteRef/>
      </w:r>
      <w:r w:rsidRPr="004C5849">
        <w:rPr>
          <w:rFonts w:ascii="Verdana" w:hAnsi="Verdana" w:cs="Arial"/>
          <w:sz w:val="16"/>
          <w:szCs w:val="16"/>
          <w:lang w:val="pt-BR"/>
        </w:rPr>
        <w:t xml:space="preserve"> Corte Constitucional. Sentencia C-1016 de 2012. M.P. Jorge Iván Palacio. </w:t>
      </w:r>
    </w:p>
    <w:p w14:paraId="474584AE" w14:textId="77777777" w:rsidR="00C25277" w:rsidRPr="004C5849" w:rsidRDefault="00C25277" w:rsidP="00C25277">
      <w:pPr>
        <w:pStyle w:val="Textonotapie"/>
        <w:ind w:firstLine="708"/>
        <w:contextualSpacing/>
        <w:jc w:val="both"/>
        <w:rPr>
          <w:rFonts w:ascii="Verdana" w:hAnsi="Verdana" w:cs="Arial"/>
          <w:sz w:val="16"/>
          <w:szCs w:val="16"/>
          <w:lang w:val="pt-BR"/>
        </w:rPr>
      </w:pPr>
    </w:p>
  </w:footnote>
  <w:footnote w:id="2">
    <w:p w14:paraId="474584AF" w14:textId="77777777" w:rsidR="00C25277" w:rsidRPr="004C5849" w:rsidRDefault="00C25277" w:rsidP="00C25277">
      <w:pPr>
        <w:pStyle w:val="Textonotapie"/>
        <w:ind w:firstLine="708"/>
        <w:contextualSpacing/>
        <w:jc w:val="both"/>
        <w:rPr>
          <w:rFonts w:ascii="Verdana" w:hAnsi="Verdana" w:cs="Arial"/>
          <w:sz w:val="16"/>
          <w:szCs w:val="16"/>
          <w:lang w:val="pt-BR"/>
        </w:rPr>
      </w:pPr>
      <w:r w:rsidRPr="004C5849">
        <w:rPr>
          <w:rFonts w:ascii="Verdana" w:hAnsi="Verdana" w:cs="Arial"/>
          <w:sz w:val="16"/>
          <w:szCs w:val="16"/>
          <w:vertAlign w:val="superscript"/>
        </w:rPr>
        <w:footnoteRef/>
      </w:r>
      <w:r w:rsidRPr="004C5849">
        <w:rPr>
          <w:rFonts w:ascii="Verdana" w:hAnsi="Verdana" w:cs="Arial"/>
          <w:sz w:val="16"/>
          <w:szCs w:val="16"/>
          <w:lang w:val="pt-BR"/>
        </w:rPr>
        <w:t xml:space="preserve"> Corte Constitucional. Sentencia C-415 de 1994. M.P. Eduardo </w:t>
      </w:r>
      <w:r w:rsidRPr="004C5849">
        <w:rPr>
          <w:rFonts w:ascii="Verdana" w:hAnsi="Verdana" w:cs="Arial"/>
          <w:sz w:val="16"/>
          <w:szCs w:val="16"/>
          <w:lang w:val="es-CO"/>
        </w:rPr>
        <w:t>Cifuentes Muñoz.</w:t>
      </w:r>
      <w:r w:rsidRPr="004C5849">
        <w:rPr>
          <w:rFonts w:ascii="Verdana" w:hAnsi="Verdana" w:cs="Arial"/>
          <w:sz w:val="16"/>
          <w:szCs w:val="16"/>
          <w:lang w:val="pt-BR"/>
        </w:rPr>
        <w:t xml:space="preserve"> </w:t>
      </w:r>
    </w:p>
    <w:p w14:paraId="474584B0" w14:textId="77777777" w:rsidR="00C25277" w:rsidRPr="004C5849" w:rsidRDefault="00C25277" w:rsidP="00C25277">
      <w:pPr>
        <w:pStyle w:val="Textonotapie"/>
        <w:ind w:firstLine="708"/>
        <w:contextualSpacing/>
        <w:jc w:val="both"/>
        <w:rPr>
          <w:rFonts w:ascii="Verdana" w:hAnsi="Verdana" w:cs="Arial"/>
          <w:sz w:val="16"/>
          <w:szCs w:val="16"/>
          <w:lang w:val="pt-BR"/>
        </w:rPr>
      </w:pPr>
    </w:p>
  </w:footnote>
  <w:footnote w:id="3">
    <w:p w14:paraId="474584B1" w14:textId="77777777" w:rsidR="00C25277" w:rsidRPr="004C5849" w:rsidRDefault="00C25277" w:rsidP="00C25277">
      <w:pPr>
        <w:pStyle w:val="Textonotapie"/>
        <w:ind w:firstLine="708"/>
        <w:contextualSpacing/>
        <w:jc w:val="both"/>
        <w:rPr>
          <w:rFonts w:ascii="Verdana" w:hAnsi="Verdana" w:cs="Arial"/>
          <w:sz w:val="16"/>
          <w:szCs w:val="16"/>
        </w:rPr>
      </w:pPr>
      <w:r w:rsidRPr="004C5849">
        <w:rPr>
          <w:rStyle w:val="Refdenotaalpie"/>
          <w:rFonts w:ascii="Verdana" w:hAnsi="Verdana" w:cs="Arial"/>
          <w:sz w:val="16"/>
          <w:szCs w:val="16"/>
        </w:rPr>
        <w:footnoteRef/>
      </w:r>
      <w:r w:rsidRPr="004C5849">
        <w:rPr>
          <w:rFonts w:ascii="Verdana" w:hAnsi="Verdana" w:cs="Arial"/>
          <w:sz w:val="16"/>
          <w:szCs w:val="16"/>
          <w:lang w:val="pt-BR"/>
        </w:rPr>
        <w:t xml:space="preserve"> Corte Constitucional. </w:t>
      </w:r>
      <w:r w:rsidRPr="004C5849">
        <w:rPr>
          <w:rFonts w:ascii="Verdana" w:hAnsi="Verdana" w:cs="Arial"/>
          <w:sz w:val="16"/>
          <w:szCs w:val="16"/>
        </w:rPr>
        <w:t xml:space="preserve">Sentencia C-780 de 2001. M.P. Jaime Córdoba Triviño. </w:t>
      </w:r>
    </w:p>
    <w:p w14:paraId="474584B2" w14:textId="77777777" w:rsidR="00C25277" w:rsidRPr="004C5849" w:rsidRDefault="00C25277" w:rsidP="00C25277">
      <w:pPr>
        <w:pStyle w:val="Textonotapie"/>
        <w:ind w:firstLine="708"/>
        <w:contextualSpacing/>
        <w:jc w:val="both"/>
        <w:rPr>
          <w:rFonts w:ascii="Verdana" w:hAnsi="Verdana" w:cs="Arial"/>
          <w:sz w:val="16"/>
          <w:szCs w:val="16"/>
        </w:rPr>
      </w:pPr>
    </w:p>
  </w:footnote>
  <w:footnote w:id="4">
    <w:p w14:paraId="474584B3" w14:textId="77777777" w:rsidR="00C25277" w:rsidRPr="004C5849" w:rsidRDefault="00C25277" w:rsidP="00C25277">
      <w:pPr>
        <w:pStyle w:val="Textonotapie"/>
        <w:ind w:firstLine="709"/>
        <w:contextualSpacing/>
        <w:jc w:val="both"/>
        <w:rPr>
          <w:rFonts w:ascii="Verdana" w:hAnsi="Verdana" w:cs="Arial"/>
          <w:color w:val="000000"/>
          <w:sz w:val="16"/>
          <w:szCs w:val="16"/>
          <w:lang w:val="es-ES"/>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w:t>
      </w:r>
      <w:r w:rsidRPr="004C5849">
        <w:rPr>
          <w:rFonts w:ascii="Verdana" w:hAnsi="Verdana" w:cs="Arial"/>
          <w:color w:val="000000"/>
          <w:sz w:val="16"/>
          <w:szCs w:val="16"/>
          <w:lang w:val="es-ES"/>
        </w:rPr>
        <w:t xml:space="preserve">Corte Constitucional. Sentencia T-1039 de 2006. </w:t>
      </w:r>
      <w:r w:rsidRPr="004C5849">
        <w:rPr>
          <w:rFonts w:ascii="Verdana" w:hAnsi="Verdana" w:cs="Arial"/>
          <w:color w:val="000000"/>
          <w:sz w:val="16"/>
          <w:szCs w:val="16"/>
          <w:lang w:val="it-IT"/>
        </w:rPr>
        <w:t xml:space="preserve">Magistrado Ponente: Humberto Sierra Porto. </w:t>
      </w:r>
      <w:r w:rsidRPr="004C5849">
        <w:rPr>
          <w:rFonts w:ascii="Verdana" w:hAnsi="Verdana" w:cs="Arial"/>
          <w:color w:val="000000"/>
          <w:sz w:val="16"/>
          <w:szCs w:val="16"/>
          <w:lang w:val="es-ES"/>
        </w:rPr>
        <w:t xml:space="preserve">La Corte ha mantenido este criterio en las sentencias: C-903 de 2008. Magistrado Ponente: Jaime Araujo Rentería; C-101 de 2018. Magistrada Ponente Gloria Stella Ortiz Delgado; entre otras. </w:t>
      </w:r>
    </w:p>
    <w:p w14:paraId="474584B4" w14:textId="77777777" w:rsidR="00C25277" w:rsidRPr="004C5849" w:rsidRDefault="00C25277" w:rsidP="00C25277">
      <w:pPr>
        <w:pStyle w:val="Textonotapie"/>
        <w:ind w:firstLine="709"/>
        <w:contextualSpacing/>
        <w:jc w:val="both"/>
        <w:rPr>
          <w:rFonts w:ascii="Verdana" w:hAnsi="Verdana" w:cs="Arial"/>
          <w:color w:val="000000"/>
          <w:sz w:val="16"/>
          <w:szCs w:val="16"/>
          <w:lang w:val="es-ES"/>
        </w:rPr>
      </w:pPr>
    </w:p>
  </w:footnote>
  <w:footnote w:id="5">
    <w:p w14:paraId="474584B5" w14:textId="77777777" w:rsidR="00C25277" w:rsidRPr="004C5849" w:rsidRDefault="00C25277" w:rsidP="00C25277">
      <w:pPr>
        <w:pStyle w:val="Textonotapie"/>
        <w:ind w:firstLine="709"/>
        <w:contextualSpacing/>
        <w:jc w:val="both"/>
        <w:rPr>
          <w:rFonts w:ascii="Verdana" w:hAnsi="Verdana" w:cs="Arial"/>
          <w:color w:val="000000"/>
          <w:sz w:val="16"/>
          <w:szCs w:val="16"/>
          <w:lang w:val="es-ES"/>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w:t>
      </w:r>
      <w:r w:rsidRPr="004C5849">
        <w:rPr>
          <w:rFonts w:ascii="Verdana" w:hAnsi="Verdana" w:cs="Arial"/>
          <w:color w:val="000000"/>
          <w:sz w:val="16"/>
          <w:szCs w:val="16"/>
          <w:lang w:val="es-ES"/>
        </w:rPr>
        <w:t>Consejo de Estado. Sala de Consulta y Servicio Civil. Concepto del 30 de abril de 2015. Expediente: 2.251. Consejero Ponente: Álvaro Namén Vargas.</w:t>
      </w:r>
    </w:p>
    <w:p w14:paraId="474584B6" w14:textId="77777777" w:rsidR="00C25277" w:rsidRPr="004C5849" w:rsidRDefault="00C25277" w:rsidP="00C25277">
      <w:pPr>
        <w:pStyle w:val="Textonotapie"/>
        <w:ind w:firstLine="709"/>
        <w:contextualSpacing/>
        <w:jc w:val="both"/>
        <w:rPr>
          <w:rFonts w:ascii="Verdana" w:hAnsi="Verdana" w:cs="Arial"/>
          <w:color w:val="000000"/>
          <w:sz w:val="16"/>
          <w:szCs w:val="16"/>
          <w:lang w:val="es-ES"/>
        </w:rPr>
      </w:pPr>
    </w:p>
  </w:footnote>
  <w:footnote w:id="6">
    <w:p w14:paraId="474584B7" w14:textId="77777777" w:rsidR="00C25277" w:rsidRPr="004C5849" w:rsidRDefault="00C25277" w:rsidP="00C25277">
      <w:pPr>
        <w:pStyle w:val="Textonotapie"/>
        <w:ind w:firstLine="709"/>
        <w:contextualSpacing/>
        <w:jc w:val="both"/>
        <w:rPr>
          <w:rFonts w:ascii="Verdana" w:hAnsi="Verdana" w:cs="Arial"/>
          <w:color w:val="000000"/>
          <w:sz w:val="16"/>
          <w:szCs w:val="16"/>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Consejo de Estado. Sección Tercera. Subsección A. Sentencia del 24 de junio de 2015. Exp. 40.635. Consejero Ponente: Hernán Andrade Rincón (E).</w:t>
      </w:r>
    </w:p>
    <w:p w14:paraId="474584B8" w14:textId="77777777" w:rsidR="00C25277" w:rsidRPr="004C5849" w:rsidRDefault="00C25277" w:rsidP="00C25277">
      <w:pPr>
        <w:pStyle w:val="Textonotapie"/>
        <w:ind w:firstLine="709"/>
        <w:contextualSpacing/>
        <w:jc w:val="both"/>
        <w:rPr>
          <w:rFonts w:ascii="Verdana" w:hAnsi="Verdana" w:cs="Arial"/>
          <w:color w:val="000000"/>
          <w:sz w:val="16"/>
          <w:szCs w:val="16"/>
          <w:lang w:val="es-ES"/>
        </w:rPr>
      </w:pPr>
    </w:p>
  </w:footnote>
  <w:footnote w:id="7">
    <w:p w14:paraId="474584B9" w14:textId="77777777" w:rsidR="00C25277" w:rsidRPr="004C5849" w:rsidRDefault="00C25277" w:rsidP="00C25277">
      <w:pPr>
        <w:pStyle w:val="Textonotapie"/>
        <w:ind w:firstLine="709"/>
        <w:contextualSpacing/>
        <w:jc w:val="both"/>
        <w:rPr>
          <w:rFonts w:ascii="Verdana" w:hAnsi="Verdana" w:cs="Arial"/>
          <w:color w:val="000000"/>
          <w:sz w:val="16"/>
          <w:szCs w:val="16"/>
        </w:rPr>
      </w:pPr>
      <w:r w:rsidRPr="004C5849">
        <w:rPr>
          <w:rStyle w:val="Refdenotaalpie"/>
          <w:rFonts w:ascii="Verdana" w:hAnsi="Verdana"/>
          <w:sz w:val="16"/>
          <w:szCs w:val="16"/>
        </w:rPr>
        <w:footnoteRef/>
      </w:r>
      <w:r w:rsidRPr="004C5849">
        <w:rPr>
          <w:rFonts w:ascii="Verdana" w:hAnsi="Verdana" w:cs="Arial"/>
          <w:color w:val="000000"/>
          <w:sz w:val="16"/>
          <w:szCs w:val="16"/>
        </w:rPr>
        <w:t xml:space="preserve"> Consejo de Estado. Sección Tercera. Subsección C. Sentencia del 22 de mayo de 2013. Exp. 24.057. Consejera Ponente: Olga Melida Valle De De La Hoz.</w:t>
      </w:r>
    </w:p>
    <w:p w14:paraId="474584BA" w14:textId="77777777" w:rsidR="00C25277" w:rsidRPr="004C5849" w:rsidRDefault="00C25277" w:rsidP="00C25277">
      <w:pPr>
        <w:pStyle w:val="Textonotapie"/>
        <w:ind w:firstLine="709"/>
        <w:contextualSpacing/>
        <w:jc w:val="both"/>
        <w:rPr>
          <w:rFonts w:ascii="Verdana" w:hAnsi="Verdana" w:cs="Arial"/>
          <w:color w:val="000000"/>
          <w:sz w:val="16"/>
          <w:szCs w:val="16"/>
          <w:lang w:val="es-ES"/>
        </w:rPr>
      </w:pPr>
    </w:p>
  </w:footnote>
  <w:footnote w:id="8">
    <w:p w14:paraId="474584BB" w14:textId="77777777" w:rsidR="00C25277" w:rsidRPr="004C5849" w:rsidRDefault="00C25277" w:rsidP="00C25277">
      <w:pPr>
        <w:pStyle w:val="Textonotapie"/>
        <w:ind w:firstLine="708"/>
        <w:rPr>
          <w:rFonts w:ascii="Verdana" w:hAnsi="Verdana"/>
          <w:sz w:val="16"/>
          <w:szCs w:val="16"/>
          <w:lang w:val="es-CO"/>
        </w:rPr>
      </w:pPr>
      <w:r w:rsidRPr="004C5849">
        <w:rPr>
          <w:rStyle w:val="Refdenotaalpie"/>
          <w:rFonts w:ascii="Verdana" w:hAnsi="Verdana"/>
          <w:sz w:val="16"/>
          <w:szCs w:val="16"/>
        </w:rPr>
        <w:footnoteRef/>
      </w:r>
      <w:r w:rsidRPr="004C5849">
        <w:rPr>
          <w:rFonts w:ascii="Verdana" w:hAnsi="Verdana"/>
          <w:sz w:val="16"/>
          <w:szCs w:val="16"/>
        </w:rPr>
        <w:t xml:space="preserve"> </w:t>
      </w:r>
      <w:r w:rsidRPr="004C5849">
        <w:rPr>
          <w:rFonts w:ascii="Verdana" w:hAnsi="Verdana"/>
          <w:sz w:val="16"/>
          <w:szCs w:val="16"/>
          <w:lang w:val="es-CO"/>
        </w:rPr>
        <w:t>Ley 1801 de 2016. Artículo 25. Comportamientos contrarios a la convivencia y medidas correctivas.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849F" w14:textId="77777777" w:rsidR="00231498" w:rsidRDefault="008059FC">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474584A9" wp14:editId="474584AA">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474584AB" wp14:editId="474584A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74584A0" w14:textId="77777777" w:rsidR="00231498" w:rsidRDefault="00231498">
    <w:pPr>
      <w:pStyle w:val="Encabezado"/>
    </w:pPr>
  </w:p>
  <w:p w14:paraId="474584A1" w14:textId="77777777" w:rsidR="00231498" w:rsidRDefault="00231498" w:rsidP="004A305D">
    <w:pPr>
      <w:spacing w:after="0"/>
      <w:rPr>
        <w:rFonts w:ascii="Verdana" w:hAnsi="Verdana"/>
        <w:b/>
        <w:bCs/>
      </w:rPr>
    </w:pPr>
  </w:p>
  <w:p w14:paraId="474584A2" w14:textId="77777777" w:rsidR="00231498" w:rsidRPr="004A305D" w:rsidRDefault="00231498" w:rsidP="00B01B1A">
    <w:pPr>
      <w:spacing w:after="0" w:line="120" w:lineRule="auto"/>
      <w:rPr>
        <w:rFonts w:ascii="Century Gothic" w:eastAsia="Geo" w:hAnsi="Century Gothic" w:cs="Geo"/>
        <w:sz w:val="16"/>
        <w:szCs w:val="16"/>
        <w:lang w:eastAsia="es-CO"/>
      </w:rPr>
    </w:pPr>
  </w:p>
  <w:p w14:paraId="474584A3" w14:textId="77777777" w:rsidR="00231498" w:rsidRDefault="00231498"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5638AA"/>
    <w:multiLevelType w:val="multilevel"/>
    <w:tmpl w:val="29A0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4446F"/>
    <w:multiLevelType w:val="multilevel"/>
    <w:tmpl w:val="103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2994928">
    <w:abstractNumId w:val="0"/>
  </w:num>
  <w:num w:numId="2" w16cid:durableId="1470629983">
    <w:abstractNumId w:val="1"/>
  </w:num>
  <w:num w:numId="3" w16cid:durableId="1798452014">
    <w:abstractNumId w:val="2"/>
  </w:num>
  <w:num w:numId="4" w16cid:durableId="1811940746">
    <w:abstractNumId w:val="3"/>
  </w:num>
  <w:num w:numId="5" w16cid:durableId="524710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13"/>
    <w:rsid w:val="00172DC6"/>
    <w:rsid w:val="00174BEE"/>
    <w:rsid w:val="002005BE"/>
    <w:rsid w:val="00231498"/>
    <w:rsid w:val="002870A5"/>
    <w:rsid w:val="00295A28"/>
    <w:rsid w:val="0041593C"/>
    <w:rsid w:val="0043496D"/>
    <w:rsid w:val="00454699"/>
    <w:rsid w:val="005933F1"/>
    <w:rsid w:val="005D5775"/>
    <w:rsid w:val="005E0268"/>
    <w:rsid w:val="006113E1"/>
    <w:rsid w:val="00644FA7"/>
    <w:rsid w:val="008059FC"/>
    <w:rsid w:val="00856C97"/>
    <w:rsid w:val="00B30A71"/>
    <w:rsid w:val="00B92F35"/>
    <w:rsid w:val="00C25277"/>
    <w:rsid w:val="00FB4F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8402"/>
  <w15:chartTrackingRefBased/>
  <w15:docId w15:val="{E04EDA19-A990-7C4A-AED1-0AAE7C21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13"/>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4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F13"/>
    <w:rPr>
      <w:kern w:val="0"/>
      <w:sz w:val="22"/>
      <w:szCs w:val="22"/>
      <w14:ligatures w14:val="none"/>
    </w:rPr>
  </w:style>
  <w:style w:type="paragraph" w:styleId="Piedepgina">
    <w:name w:val="footer"/>
    <w:basedOn w:val="Normal"/>
    <w:link w:val="PiedepginaCar"/>
    <w:uiPriority w:val="99"/>
    <w:unhideWhenUsed/>
    <w:rsid w:val="00FB4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F13"/>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FB4F1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FB4F13"/>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FB4F13"/>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FB4F13"/>
    <w:rPr>
      <w:vertAlign w:val="superscript"/>
    </w:rPr>
  </w:style>
  <w:style w:type="character" w:customStyle="1" w:styleId="normaltextrun">
    <w:name w:val="normaltextrun"/>
    <w:basedOn w:val="Fuentedeprrafopredeter"/>
    <w:rsid w:val="00FB4F13"/>
  </w:style>
  <w:style w:type="table" w:styleId="Tablaconcuadrcula">
    <w:name w:val="Table Grid"/>
    <w:basedOn w:val="Tablanormal"/>
    <w:uiPriority w:val="39"/>
    <w:qFormat/>
    <w:rsid w:val="00FB4F1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FB4F13"/>
    <w:pPr>
      <w:ind w:left="720"/>
      <w:contextualSpacing/>
    </w:pPr>
    <w:rPr>
      <w:rFonts w:ascii="Geomanist Light" w:hAnsi="Geomanist Light"/>
      <w:lang w:val="es-ES"/>
    </w:rPr>
  </w:style>
  <w:style w:type="character" w:styleId="Hipervnculo">
    <w:name w:val="Hyperlink"/>
    <w:basedOn w:val="Fuentedeprrafopredeter"/>
    <w:uiPriority w:val="99"/>
    <w:unhideWhenUsed/>
    <w:rsid w:val="00FB4F13"/>
    <w:rPr>
      <w:color w:val="0000FF"/>
      <w:u w:val="single"/>
    </w:rPr>
  </w:style>
  <w:style w:type="paragraph" w:customStyle="1" w:styleId="paragraph">
    <w:name w:val="paragraph"/>
    <w:basedOn w:val="Normal"/>
    <w:rsid w:val="00FB4F1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rsid w:val="00FB4F13"/>
    <w:pPr>
      <w:spacing w:line="240" w:lineRule="exact"/>
    </w:pPr>
    <w:rPr>
      <w:kern w:val="2"/>
      <w:sz w:val="24"/>
      <w:szCs w:val="24"/>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B4F13"/>
    <w:rPr>
      <w:rFonts w:ascii="Geomanist Light" w:hAnsi="Geomanist Light"/>
      <w:kern w:val="0"/>
      <w:sz w:val="22"/>
      <w:szCs w:val="22"/>
      <w:lang w:val="es-ES"/>
      <w14:ligatures w14:val="none"/>
    </w:rPr>
  </w:style>
  <w:style w:type="table" w:customStyle="1" w:styleId="Tablaconcuadrcula1">
    <w:name w:val="Tabla con cuadrícula1"/>
    <w:basedOn w:val="Tablanormal"/>
    <w:next w:val="Tablaconcuadrcula"/>
    <w:uiPriority w:val="59"/>
    <w:rsid w:val="00FB4F13"/>
    <w:pPr>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B4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03-documentos-tipo-para-los-procesos-de-seleccion-de-interventoria-de-obra-publica-de&amp;data=05%7C02%7Cjhonattan.gualdron%40colombiacompra.gov.co%7Cb18b651bca3a4eb8eab008dd269b400d%7C7b09041e245149d08cb179d5e3d8c1be%7C0%7C0%7C638709170415868401%7CUnknown%7CTWFpbGZsb3d8eyJFbXB0eU1hcGkiOnRydWUsIlYiOiIwLjAuMDAwMCIsIlAiOiJXaW4zMiIsIkFOIjoiTWFpbCIsIldUIjoyfQ%3D%3D%7C0%7C%7C%7C&amp;sdata=IZ6YiGxw57oRWwJwDPU1A5c%2B7F4Aw6SBtFDNgFBfxu4%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ndagarcia_26@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jhonattan.gualdron%40colombiacompra.gov.co%7Cb18b651bca3a4eb8eab008dd269b400d%7C7b09041e245149d08cb179d5e3d8c1be%7C0%7C0%7C638709170415908932%7CUnknown%7CTWFpbGZsb3d8eyJFbXB0eU1hcGkiOnRydWUsIlYiOiIwLjAuMDAwMCIsIlAiOiJXaW4zMiIsIkFOIjoiTWFpbCIsIldUIjoyfQ%3D%3D%7C0%7C%7C%7C&amp;sdata=HOuS1fSieFF3mTUIqftw0NH9%2B2pQLn5qlOLlpS9u4Ms%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2-documentos-tipo-para-los-procesos-de-seleccion-de-consultoria-de-obra-publica-de&amp;data=05%7C02%7Cjhonattan.gualdron%40colombiacompra.gov.co%7Cb18b651bca3a4eb8eab008dd269b400d%7C7b09041e245149d08cb179d5e3d8c1be%7C0%7C0%7C638709170415889316%7CUnknown%7CTWFpbGZsb3d8eyJFbXB0eU1hcGkiOnRydWUsIlYiOiIwLjAuMDAwMCIsIlAiOiJXaW4zMiIsIkFOIjoiTWFpbCIsIldUIjoyfQ%3D%3D%7C0%7C%7C%7C&amp;sdata=RGe55Kg2Nh9BCfza7WcPiPxMjEqF78pgbwPe7wVmby0%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31EFC-7C8A-48FA-90AA-2D0C405404AA}">
  <ds:schemaRefs>
    <ds:schemaRef ds:uri="http://schemas.openxmlformats.org/package/2006/metadata/core-properties"/>
    <ds:schemaRef ds:uri="http://schemas.microsoft.com/office/2006/documentManagement/types"/>
    <ds:schemaRef ds:uri="http://purl.org/dc/dcmitype/"/>
    <ds:schemaRef ds:uri="9d85dbaf-23eb-4e57-a637-93dcacc8b1a1"/>
    <ds:schemaRef ds:uri="http://purl.org/dc/elements/1.1/"/>
    <ds:schemaRef ds:uri="http://purl.org/dc/terms/"/>
    <ds:schemaRef ds:uri="http://www.w3.org/XML/1998/namespace"/>
    <ds:schemaRef ds:uri="http://schemas.microsoft.com/office/infopath/2007/PartnerControls"/>
    <ds:schemaRef ds:uri="a6cb9e4b-f1d1-4245-83ec-6cad768d538a"/>
    <ds:schemaRef ds:uri="http://schemas.microsoft.com/office/2006/metadata/properties"/>
  </ds:schemaRefs>
</ds:datastoreItem>
</file>

<file path=customXml/itemProps2.xml><?xml version="1.0" encoding="utf-8"?>
<ds:datastoreItem xmlns:ds="http://schemas.openxmlformats.org/officeDocument/2006/customXml" ds:itemID="{3797CCEE-D6B2-420E-AFD3-A99AA40247CB}">
  <ds:schemaRefs>
    <ds:schemaRef ds:uri="http://schemas.microsoft.com/sharepoint/v3/contenttype/forms"/>
  </ds:schemaRefs>
</ds:datastoreItem>
</file>

<file path=customXml/itemProps3.xml><?xml version="1.0" encoding="utf-8"?>
<ds:datastoreItem xmlns:ds="http://schemas.openxmlformats.org/officeDocument/2006/customXml" ds:itemID="{F5B9EFB7-9B2E-43CE-A09F-5AFCF4F89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19465</Characters>
  <Application>Microsoft Office Word</Application>
  <DocSecurity>0</DocSecurity>
  <Lines>162</Lines>
  <Paragraphs>45</Paragraphs>
  <ScaleCrop>false</ScaleCrop>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2025-01-08T19:41:00Z</dcterms:created>
  <dcterms:modified xsi:type="dcterms:W3CDTF">2025-01-08T19:41:00Z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