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7A0BE" w14:textId="77777777" w:rsidR="002433B0" w:rsidRPr="00AF1555" w:rsidRDefault="002433B0" w:rsidP="002433B0">
      <w:pPr>
        <w:tabs>
          <w:tab w:val="left" w:pos="709"/>
        </w:tabs>
        <w:spacing w:after="0" w:line="240" w:lineRule="auto"/>
        <w:jc w:val="both"/>
        <w:rPr>
          <w:rFonts w:ascii="Verdana" w:eastAsia="Calibri" w:hAnsi="Verdana" w:cs="Arial"/>
          <w:bCs/>
          <w:sz w:val="20"/>
          <w:szCs w:val="20"/>
          <w:lang w:val="es-ES_tradnl" w:eastAsia="es-ES_tradnl"/>
        </w:rPr>
      </w:pPr>
    </w:p>
    <w:p w14:paraId="33AE4D8D" w14:textId="77777777" w:rsidR="002433B0" w:rsidRPr="00AF1555" w:rsidRDefault="002433B0" w:rsidP="002433B0">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EGCAP</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Ámbito de aplicación</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Entidades estatales</w:t>
      </w:r>
      <w:r w:rsidRPr="00AF1555">
        <w:rPr>
          <w:rFonts w:ascii="Verdana" w:eastAsia="Calibri" w:hAnsi="Verdana" w:cs="Arial"/>
          <w:b/>
          <w:color w:val="000000" w:themeColor="text1"/>
          <w:lang w:val="es-ES"/>
        </w:rPr>
        <w:t xml:space="preserve"> </w:t>
      </w:r>
    </w:p>
    <w:p w14:paraId="40E1DA5D" w14:textId="77777777" w:rsidR="002433B0" w:rsidRPr="00AF1555" w:rsidRDefault="002433B0" w:rsidP="002433B0">
      <w:pPr>
        <w:spacing w:after="0" w:line="240" w:lineRule="auto"/>
        <w:jc w:val="both"/>
        <w:rPr>
          <w:rFonts w:ascii="Verdana" w:eastAsia="Calibri" w:hAnsi="Verdana" w:cs="Arial"/>
          <w:bCs/>
          <w:color w:val="000000" w:themeColor="text1"/>
          <w:sz w:val="20"/>
          <w:szCs w:val="20"/>
          <w:lang w:val="es-ES"/>
        </w:rPr>
      </w:pPr>
    </w:p>
    <w:p w14:paraId="3382E7D8" w14:textId="77777777" w:rsidR="002433B0" w:rsidRDefault="002433B0" w:rsidP="002433B0">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De acuerdo con el inciso final del artículo 150 superior, corresponde al Congreso de la República expedir el Estatuto General de Contratación de la Administración Pública y, en especial, de la Administración Nacional. Esta competencia fue ejercida con la expedición de la Ley 80 de 1993, la cual rige para las </w:t>
      </w:r>
      <w:r w:rsidRPr="0006328C">
        <w:rPr>
          <w:rFonts w:ascii="Verdana" w:eastAsia="Calibri" w:hAnsi="Verdana" w:cs="Arial"/>
          <w:bCs/>
          <w:i/>
          <w:iCs/>
          <w:color w:val="000000" w:themeColor="text1"/>
          <w:sz w:val="20"/>
          <w:szCs w:val="20"/>
          <w:lang w:val="es-ES" w:eastAsia="es-ES_tradnl"/>
        </w:rPr>
        <w:t>entidades estatales</w:t>
      </w:r>
      <w:r w:rsidRPr="0006328C">
        <w:rPr>
          <w:rFonts w:ascii="Verdana" w:eastAsia="Calibri" w:hAnsi="Verdana" w:cs="Arial"/>
          <w:bCs/>
          <w:color w:val="000000" w:themeColor="text1"/>
          <w:sz w:val="20"/>
          <w:szCs w:val="20"/>
          <w:lang w:val="es-ES" w:eastAsia="es-ES_tradnl"/>
        </w:rPr>
        <w:t xml:space="preserve">, esto es, aquellas previstas en los literales a) y b) del numeral 1 del artículo 2 </w:t>
      </w:r>
      <w:r w:rsidRPr="0006328C">
        <w:rPr>
          <w:rFonts w:ascii="Verdana" w:eastAsia="Calibri" w:hAnsi="Verdana" w:cs="Arial"/>
          <w:bCs/>
          <w:i/>
          <w:iCs/>
          <w:color w:val="000000" w:themeColor="text1"/>
          <w:sz w:val="20"/>
          <w:szCs w:val="20"/>
          <w:lang w:val="es-ES" w:eastAsia="es-ES_tradnl"/>
        </w:rPr>
        <w:t>ibidem</w:t>
      </w:r>
      <w:r w:rsidRPr="0006328C">
        <w:rPr>
          <w:rFonts w:ascii="Verdana" w:eastAsia="Calibri" w:hAnsi="Verdana" w:cs="Arial"/>
          <w:bCs/>
          <w:color w:val="000000" w:themeColor="text1"/>
          <w:sz w:val="20"/>
          <w:szCs w:val="20"/>
          <w:lang w:val="es-ES" w:eastAsia="es-ES_tradnl"/>
        </w:rPr>
        <w:t xml:space="preserve">. La norma citada define la competencia contractual en los siguientes términos: </w:t>
      </w:r>
    </w:p>
    <w:p w14:paraId="40051CF0" w14:textId="77777777" w:rsidR="002433B0" w:rsidRPr="0006328C" w:rsidRDefault="002433B0" w:rsidP="002433B0">
      <w:pPr>
        <w:spacing w:after="0" w:line="240" w:lineRule="auto"/>
        <w:jc w:val="both"/>
        <w:rPr>
          <w:rFonts w:ascii="Verdana" w:eastAsia="Calibri" w:hAnsi="Verdana" w:cs="Arial"/>
          <w:bCs/>
          <w:color w:val="000000" w:themeColor="text1"/>
          <w:sz w:val="20"/>
          <w:szCs w:val="20"/>
          <w:lang w:val="es-ES" w:eastAsia="es-ES_tradnl"/>
        </w:rPr>
      </w:pPr>
    </w:p>
    <w:p w14:paraId="1F340A5E" w14:textId="77777777" w:rsidR="002433B0" w:rsidRDefault="002433B0" w:rsidP="002433B0">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El literal a) aplica a las entidades con personería jurídica. Alude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2A7E7032" w14:textId="77777777" w:rsidR="002433B0" w:rsidRPr="0006328C" w:rsidRDefault="002433B0" w:rsidP="002433B0">
      <w:pPr>
        <w:spacing w:after="0" w:line="240" w:lineRule="auto"/>
        <w:jc w:val="both"/>
        <w:rPr>
          <w:rFonts w:ascii="Verdana" w:eastAsia="Calibri" w:hAnsi="Verdana" w:cs="Arial"/>
          <w:bCs/>
          <w:color w:val="000000" w:themeColor="text1"/>
          <w:sz w:val="20"/>
          <w:szCs w:val="20"/>
          <w:lang w:val="es-ES" w:eastAsia="es-ES_tradnl"/>
        </w:rPr>
      </w:pPr>
      <w:r w:rsidRPr="0006328C">
        <w:rPr>
          <w:rFonts w:ascii="Verdana" w:eastAsia="Calibri" w:hAnsi="Verdana" w:cs="Arial"/>
          <w:bCs/>
          <w:color w:val="000000" w:themeColor="text1"/>
          <w:sz w:val="20"/>
          <w:szCs w:val="20"/>
          <w:lang w:val="es-ES" w:eastAsia="es-ES_tradnl"/>
        </w:rPr>
        <w:t xml:space="preserve"> </w:t>
      </w:r>
    </w:p>
    <w:p w14:paraId="4FA302E8" w14:textId="77777777" w:rsidR="002433B0" w:rsidRPr="00EB0B5F" w:rsidRDefault="002433B0" w:rsidP="002433B0">
      <w:pPr>
        <w:spacing w:after="0" w:line="240" w:lineRule="auto"/>
        <w:jc w:val="both"/>
        <w:rPr>
          <w:rFonts w:ascii="Verdana" w:eastAsia="Calibri" w:hAnsi="Verdana" w:cs="Arial"/>
          <w:iCs/>
          <w:color w:val="000000" w:themeColor="text1"/>
          <w:sz w:val="20"/>
          <w:szCs w:val="20"/>
          <w:lang w:eastAsia="es-ES_tradnl"/>
        </w:rPr>
      </w:pPr>
      <w:r w:rsidRPr="0006328C">
        <w:rPr>
          <w:rFonts w:ascii="Verdana" w:eastAsia="Calibri" w:hAnsi="Verdana" w:cs="Arial"/>
          <w:bCs/>
          <w:color w:val="000000" w:themeColor="text1"/>
          <w:sz w:val="20"/>
          <w:szCs w:val="20"/>
          <w:lang w:val="es-ES" w:eastAsia="es-ES_tradnl"/>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AF1555">
        <w:rPr>
          <w:rFonts w:ascii="Verdana" w:eastAsia="Calibri" w:hAnsi="Verdana" w:cs="Arial"/>
          <w:color w:val="000000" w:themeColor="text1"/>
          <w:sz w:val="20"/>
          <w:szCs w:val="20"/>
          <w:lang w:val="es-ES_tradnl"/>
        </w:rPr>
        <w:t>.</w:t>
      </w:r>
    </w:p>
    <w:p w14:paraId="3BB368D4" w14:textId="77777777" w:rsidR="002433B0" w:rsidRPr="00AF1555" w:rsidRDefault="002433B0" w:rsidP="002433B0">
      <w:pPr>
        <w:spacing w:after="0" w:line="240" w:lineRule="auto"/>
        <w:rPr>
          <w:rFonts w:ascii="Verdana" w:eastAsia="Geomanist Light" w:hAnsi="Verdana" w:cs="Arial"/>
          <w:color w:val="000000" w:themeColor="text1"/>
          <w:sz w:val="20"/>
          <w:szCs w:val="20"/>
          <w:lang w:val="es-ES_tradnl"/>
        </w:rPr>
      </w:pPr>
    </w:p>
    <w:p w14:paraId="6CC97217" w14:textId="77777777" w:rsidR="002433B0" w:rsidRPr="00AF1555" w:rsidRDefault="002433B0" w:rsidP="002433B0">
      <w:pPr>
        <w:spacing w:after="0" w:line="240" w:lineRule="auto"/>
        <w:jc w:val="both"/>
        <w:rPr>
          <w:rFonts w:ascii="Verdana" w:eastAsia="Calibri" w:hAnsi="Verdana" w:cs="Arial"/>
          <w:b/>
          <w:lang w:val="es-ES"/>
        </w:rPr>
      </w:pPr>
      <w:r>
        <w:rPr>
          <w:rFonts w:ascii="Verdana" w:eastAsia="Calibri" w:hAnsi="Verdana" w:cs="Arial"/>
          <w:b/>
          <w:lang w:val="es-ES"/>
        </w:rPr>
        <w:t>ENTIDADES EXCEPTUADAS</w:t>
      </w:r>
      <w:r w:rsidRPr="00E95799">
        <w:rPr>
          <w:rFonts w:ascii="Verdana" w:eastAsia="Calibri" w:hAnsi="Verdana" w:cs="Arial"/>
          <w:b/>
          <w:lang w:val="es-ES"/>
        </w:rPr>
        <w:t xml:space="preserve"> – </w:t>
      </w:r>
      <w:r>
        <w:rPr>
          <w:rFonts w:ascii="Verdana" w:eastAsia="Calibri" w:hAnsi="Verdana" w:cs="Arial"/>
          <w:b/>
          <w:lang w:val="es-ES"/>
        </w:rPr>
        <w:t>Aplicación de normas de derecho público</w:t>
      </w:r>
    </w:p>
    <w:p w14:paraId="072ADDD6" w14:textId="77777777" w:rsidR="002433B0" w:rsidRPr="00AF1555" w:rsidRDefault="002433B0" w:rsidP="002433B0">
      <w:pPr>
        <w:spacing w:after="0" w:line="240" w:lineRule="auto"/>
        <w:jc w:val="both"/>
        <w:rPr>
          <w:rFonts w:ascii="Verdana" w:eastAsia="Calibri" w:hAnsi="Verdana" w:cs="Arial"/>
          <w:b/>
          <w:sz w:val="20"/>
          <w:szCs w:val="20"/>
          <w:lang w:val="es-ES"/>
        </w:rPr>
      </w:pPr>
    </w:p>
    <w:p w14:paraId="128D096D" w14:textId="77777777" w:rsidR="002433B0" w:rsidRPr="00EB0B5F" w:rsidRDefault="002433B0" w:rsidP="002433B0">
      <w:pPr>
        <w:spacing w:after="0" w:line="240" w:lineRule="auto"/>
        <w:jc w:val="both"/>
        <w:rPr>
          <w:rFonts w:ascii="Verdana" w:eastAsia="Calibri" w:hAnsi="Verdana" w:cs="Arial"/>
          <w:bCs/>
          <w:sz w:val="20"/>
          <w:szCs w:val="20"/>
        </w:rPr>
      </w:pPr>
      <w:r>
        <w:rPr>
          <w:rFonts w:ascii="Verdana" w:eastAsia="Calibri" w:hAnsi="Verdana" w:cs="Arial"/>
          <w:bCs/>
          <w:sz w:val="20"/>
          <w:szCs w:val="20"/>
        </w:rPr>
        <w:t xml:space="preserve">[…] </w:t>
      </w:r>
      <w:r w:rsidRPr="00FB2E1F">
        <w:rPr>
          <w:rFonts w:ascii="Verdana" w:eastAsia="Calibri" w:hAnsi="Verdana" w:cs="Arial"/>
          <w:bCs/>
          <w:sz w:val="20"/>
          <w:szCs w:val="20"/>
        </w:rPr>
        <w:t xml:space="preserve">aunque tenga una influencia limitada, las </w:t>
      </w:r>
      <w:r w:rsidRPr="00FB2E1F">
        <w:rPr>
          <w:rFonts w:ascii="Verdana" w:eastAsia="Calibri" w:hAnsi="Verdana" w:cs="Arial"/>
          <w:bCs/>
          <w:i/>
          <w:iCs/>
          <w:sz w:val="20"/>
          <w:szCs w:val="20"/>
        </w:rPr>
        <w:t>entidades del régimen exceptuado</w:t>
      </w:r>
      <w:r w:rsidRPr="00FB2E1F">
        <w:rPr>
          <w:rFonts w:ascii="Verdana" w:eastAsia="Calibri" w:hAnsi="Verdana" w:cs="Arial"/>
          <w:bCs/>
          <w:sz w:val="20"/>
          <w:szCs w:val="20"/>
        </w:rPr>
        <w:t xml:space="preserve"> no se deslingan por completo de las normas de derecho público. Esto en la medida que el inciso primero del artículo 13 de la Ley 1150 de 2007 prescribe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AF1555">
        <w:rPr>
          <w:rFonts w:ascii="Verdana" w:eastAsia="Calibri" w:hAnsi="Verdana" w:cs="Arial"/>
          <w:color w:val="000000"/>
          <w:sz w:val="20"/>
          <w:szCs w:val="20"/>
          <w:lang w:val="es-ES_tradnl"/>
        </w:rPr>
        <w:t>.</w:t>
      </w:r>
    </w:p>
    <w:p w14:paraId="47AF544B" w14:textId="77777777" w:rsidR="002433B0" w:rsidRPr="00F70F88" w:rsidRDefault="002433B0" w:rsidP="002433B0">
      <w:pPr>
        <w:spacing w:after="0" w:line="240" w:lineRule="auto"/>
        <w:jc w:val="both"/>
        <w:rPr>
          <w:rFonts w:ascii="Verdana" w:hAnsi="Verdana" w:cs="Arial"/>
          <w:color w:val="000000" w:themeColor="text1"/>
          <w:sz w:val="21"/>
          <w:szCs w:val="21"/>
        </w:rPr>
      </w:pPr>
    </w:p>
    <w:p w14:paraId="2C4195D7" w14:textId="77777777" w:rsidR="002433B0" w:rsidRPr="009B46EA" w:rsidRDefault="002433B0" w:rsidP="002433B0">
      <w:pPr>
        <w:spacing w:after="0" w:line="240" w:lineRule="auto"/>
        <w:jc w:val="both"/>
        <w:rPr>
          <w:rFonts w:ascii="Verdana" w:eastAsia="Calibri" w:hAnsi="Verdana" w:cs="Arial"/>
          <w:b/>
          <w:color w:val="000000" w:themeColor="text1"/>
          <w:lang w:val="es-ES_tradnl"/>
        </w:rPr>
      </w:pPr>
      <w:bookmarkStart w:id="0" w:name="_Hlk109118876"/>
      <w:r>
        <w:rPr>
          <w:rFonts w:ascii="Verdana" w:eastAsia="Calibri" w:hAnsi="Verdana" w:cs="Arial"/>
          <w:b/>
          <w:color w:val="000000" w:themeColor="text1"/>
          <w:lang w:val="es-ES_tradnl"/>
        </w:rPr>
        <w:t>CONTRATOS ESTATALES</w:t>
      </w:r>
      <w:r w:rsidRPr="009B46EA">
        <w:rPr>
          <w:rFonts w:ascii="Verdana" w:eastAsia="Calibri" w:hAnsi="Verdana" w:cs="Arial"/>
          <w:b/>
          <w:color w:val="000000" w:themeColor="text1"/>
          <w:lang w:val="es-ES_tradnl"/>
        </w:rPr>
        <w:t xml:space="preserve"> –</w:t>
      </w:r>
      <w:bookmarkEnd w:id="0"/>
      <w:r w:rsidRPr="009B46EA">
        <w:rPr>
          <w:rFonts w:ascii="Verdana" w:eastAsia="Calibri" w:hAnsi="Verdana" w:cs="Arial"/>
          <w:b/>
          <w:color w:val="000000" w:themeColor="text1"/>
          <w:lang w:val="es-ES_tradnl"/>
        </w:rPr>
        <w:t xml:space="preserve"> </w:t>
      </w:r>
      <w:r>
        <w:rPr>
          <w:rFonts w:ascii="Verdana" w:eastAsia="Calibri" w:hAnsi="Verdana" w:cs="Arial"/>
          <w:b/>
          <w:color w:val="000000" w:themeColor="text1"/>
          <w:lang w:val="es-ES_tradnl"/>
        </w:rPr>
        <w:t>Régimen especial</w:t>
      </w:r>
      <w:r w:rsidRPr="009B46EA">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Obligaciones transversales – Manual de contratación – Límites</w:t>
      </w:r>
      <w:r w:rsidRPr="009B46EA">
        <w:rPr>
          <w:rFonts w:ascii="Verdana" w:eastAsia="Calibri" w:hAnsi="Verdana" w:cs="Arial"/>
          <w:b/>
          <w:color w:val="000000" w:themeColor="text1"/>
          <w:lang w:val="es-ES_tradnl"/>
        </w:rPr>
        <w:t xml:space="preserve"> </w:t>
      </w:r>
    </w:p>
    <w:p w14:paraId="6B1E35B7" w14:textId="77777777" w:rsidR="002433B0" w:rsidRPr="009B46EA" w:rsidRDefault="002433B0" w:rsidP="002433B0">
      <w:pPr>
        <w:spacing w:after="0" w:line="240" w:lineRule="auto"/>
        <w:jc w:val="both"/>
        <w:rPr>
          <w:rFonts w:ascii="Verdana" w:eastAsia="Calibri" w:hAnsi="Verdana" w:cs="Arial"/>
          <w:b/>
          <w:color w:val="000000" w:themeColor="text1"/>
          <w:lang w:val="es-ES_tradnl"/>
        </w:rPr>
      </w:pPr>
    </w:p>
    <w:p w14:paraId="00FF9ACE" w14:textId="77777777" w:rsidR="002433B0" w:rsidRDefault="002433B0" w:rsidP="002433B0">
      <w:pPr>
        <w:spacing w:after="0" w:line="240" w:lineRule="auto"/>
        <w:jc w:val="both"/>
        <w:rPr>
          <w:rFonts w:ascii="Verdana" w:hAnsi="Verdana" w:cs="Arial"/>
          <w:color w:val="000000" w:themeColor="text1"/>
          <w:sz w:val="20"/>
          <w:szCs w:val="20"/>
          <w:lang w:val="es-ES"/>
        </w:rPr>
      </w:pPr>
      <w:r>
        <w:rPr>
          <w:rFonts w:ascii="Verdana" w:hAnsi="Verdana" w:cs="Arial"/>
          <w:color w:val="000000" w:themeColor="text1"/>
          <w:sz w:val="20"/>
          <w:szCs w:val="20"/>
          <w:lang w:val="es-ES"/>
        </w:rPr>
        <w:t>E</w:t>
      </w:r>
      <w:r w:rsidRPr="00F70F88">
        <w:rPr>
          <w:rFonts w:ascii="Verdana" w:hAnsi="Verdana" w:cs="Arial"/>
          <w:color w:val="000000" w:themeColor="text1"/>
          <w:sz w:val="20"/>
          <w:szCs w:val="20"/>
          <w:lang w:val="es-ES"/>
        </w:rPr>
        <w:t>l hecho de que algunas entidades estatales se rijan por el derecho privado en materia contractual no puede entenderse como una negación de lo que establece el artículo 13 de la Ley 1150 de 2007. Este enunciado normativo significó un “retorno del derecho administrativo” para las entidades excluidas, al reiterar que deben cumplir los principios constitucionales de la función administrativa y de la gestión fiscal, así como el régimen de inhabilidades e incompatibilidades previsto legalmente para la contratación estatal; y ahora también publicar su actividad contractual en el SECOP II, de conformidad con el artículo 53 de la Ley 2195 de 2022.</w:t>
      </w:r>
    </w:p>
    <w:p w14:paraId="68E284E9" w14:textId="77777777" w:rsidR="002433B0" w:rsidRPr="00F70F88" w:rsidRDefault="002433B0" w:rsidP="002433B0">
      <w:pPr>
        <w:spacing w:after="0" w:line="240" w:lineRule="auto"/>
        <w:jc w:val="both"/>
        <w:rPr>
          <w:rFonts w:ascii="Verdana" w:hAnsi="Verdana" w:cs="Arial"/>
          <w:color w:val="000000" w:themeColor="text1"/>
          <w:sz w:val="20"/>
          <w:szCs w:val="20"/>
        </w:rPr>
      </w:pPr>
    </w:p>
    <w:p w14:paraId="5511C1B3" w14:textId="77777777" w:rsidR="002433B0" w:rsidRPr="00F70F88" w:rsidRDefault="002433B0" w:rsidP="002433B0">
      <w:pPr>
        <w:spacing w:after="0" w:line="240" w:lineRule="auto"/>
        <w:jc w:val="both"/>
        <w:rPr>
          <w:rFonts w:ascii="Verdana" w:hAnsi="Verdana" w:cs="Arial"/>
          <w:color w:val="000000" w:themeColor="text1"/>
          <w:sz w:val="20"/>
          <w:szCs w:val="20"/>
          <w:lang w:val="es-ES_tradnl"/>
        </w:rPr>
      </w:pPr>
      <w:r w:rsidRPr="00F70F88">
        <w:rPr>
          <w:rFonts w:ascii="Verdana" w:hAnsi="Verdana" w:cs="Arial"/>
          <w:color w:val="000000" w:themeColor="text1"/>
          <w:sz w:val="20"/>
          <w:szCs w:val="20"/>
          <w:lang w:val="es-ES_tradnl"/>
        </w:rPr>
        <w:t xml:space="preserve">Adicionalmente, las entidades estatales que, por disposición legal, cuentan con un régimen especial, exceptuado del Estatuto General de Contratación de la Administración Pública –Leyes 80 de 1993, 1150 de 2007 y normas complementarias– pueden expedir un reglamento interno de contratación –comúnmente denominado </w:t>
      </w:r>
      <w:r w:rsidRPr="00F70F88">
        <w:rPr>
          <w:rFonts w:ascii="Verdana" w:hAnsi="Verdana" w:cs="Arial"/>
          <w:i/>
          <w:color w:val="000000" w:themeColor="text1"/>
          <w:sz w:val="20"/>
          <w:szCs w:val="20"/>
          <w:lang w:val="es-ES_tradnl"/>
        </w:rPr>
        <w:t>manual de contratación</w:t>
      </w:r>
      <w:r w:rsidRPr="00F70F88">
        <w:rPr>
          <w:rFonts w:ascii="Verdana" w:hAnsi="Verdana" w:cs="Arial"/>
          <w:color w:val="000000" w:themeColor="text1"/>
          <w:sz w:val="20"/>
          <w:szCs w:val="20"/>
          <w:lang w:val="es-ES_tradnl"/>
        </w:rPr>
        <w:t>–,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w:t>
      </w:r>
    </w:p>
    <w:p w14:paraId="2540DA47" w14:textId="77777777" w:rsidR="002433B0" w:rsidRDefault="002433B0" w:rsidP="002433B0">
      <w:pPr>
        <w:spacing w:after="0" w:line="240" w:lineRule="auto"/>
        <w:jc w:val="both"/>
        <w:rPr>
          <w:rFonts w:ascii="Verdana" w:hAnsi="Verdana" w:cs="Arial"/>
          <w:color w:val="000000" w:themeColor="text1"/>
          <w:sz w:val="20"/>
          <w:szCs w:val="20"/>
          <w:lang w:val="es-ES_tradnl"/>
        </w:rPr>
      </w:pPr>
    </w:p>
    <w:p w14:paraId="44029EFF" w14:textId="77777777" w:rsidR="002433B0" w:rsidRPr="009B46EA" w:rsidRDefault="002433B0" w:rsidP="002433B0">
      <w:pPr>
        <w:spacing w:after="0" w:line="240" w:lineRule="auto"/>
        <w:jc w:val="both"/>
        <w:rPr>
          <w:rFonts w:ascii="Verdana" w:hAnsi="Verdana" w:cs="Arial"/>
          <w:color w:val="000000" w:themeColor="text1"/>
          <w:sz w:val="20"/>
          <w:szCs w:val="20"/>
          <w:lang w:val="es-ES_tradnl"/>
        </w:rPr>
      </w:pPr>
      <w:r w:rsidRPr="00F70F88">
        <w:rPr>
          <w:rFonts w:ascii="Verdana" w:hAnsi="Verdana" w:cs="Arial"/>
          <w:color w:val="000000" w:themeColor="text1"/>
          <w:sz w:val="20"/>
          <w:szCs w:val="20"/>
          <w:lang w:val="es-ES_tradnl"/>
        </w:rPr>
        <w:t xml:space="preserve">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w:t>
      </w:r>
      <w:proofErr w:type="spellStart"/>
      <w:r w:rsidRPr="00F70F88">
        <w:rPr>
          <w:rFonts w:ascii="Verdana" w:hAnsi="Verdana" w:cs="Arial"/>
          <w:color w:val="000000" w:themeColor="text1"/>
          <w:sz w:val="20"/>
          <w:szCs w:val="20"/>
          <w:lang w:val="es-ES_tradnl"/>
        </w:rPr>
        <w:t>ii</w:t>
      </w:r>
      <w:proofErr w:type="spellEnd"/>
      <w:r w:rsidRPr="00F70F88">
        <w:rPr>
          <w:rFonts w:ascii="Verdana" w:hAnsi="Verdana" w:cs="Arial"/>
          <w:color w:val="000000" w:themeColor="text1"/>
          <w:sz w:val="20"/>
          <w:szCs w:val="20"/>
          <w:lang w:val="es-ES_tradnl"/>
        </w:rPr>
        <w:t xml:space="preserve">) sanciones, sin perjuicio de las que pueden pactar de acuerdo con las normas civiles y comerciales, </w:t>
      </w:r>
      <w:proofErr w:type="spellStart"/>
      <w:r w:rsidRPr="00F70F88">
        <w:rPr>
          <w:rFonts w:ascii="Verdana" w:hAnsi="Verdana" w:cs="Arial"/>
          <w:color w:val="000000" w:themeColor="text1"/>
          <w:sz w:val="20"/>
          <w:szCs w:val="20"/>
          <w:lang w:val="es-ES_tradnl"/>
        </w:rPr>
        <w:t>iii</w:t>
      </w:r>
      <w:proofErr w:type="spellEnd"/>
      <w:r w:rsidRPr="00F70F88">
        <w:rPr>
          <w:rFonts w:ascii="Verdana" w:hAnsi="Verdana" w:cs="Arial"/>
          <w:color w:val="000000" w:themeColor="text1"/>
          <w:sz w:val="20"/>
          <w:szCs w:val="20"/>
          <w:lang w:val="es-ES_tradnl"/>
        </w:rPr>
        <w:t xml:space="preserve">) procedimientos para su imposición, </w:t>
      </w:r>
      <w:proofErr w:type="spellStart"/>
      <w:r w:rsidRPr="00F70F88">
        <w:rPr>
          <w:rFonts w:ascii="Verdana" w:hAnsi="Verdana" w:cs="Arial"/>
          <w:color w:val="000000" w:themeColor="text1"/>
          <w:sz w:val="20"/>
          <w:szCs w:val="20"/>
          <w:lang w:val="es-ES_tradnl"/>
        </w:rPr>
        <w:t>iv</w:t>
      </w:r>
      <w:proofErr w:type="spellEnd"/>
      <w:r w:rsidRPr="00F70F88">
        <w:rPr>
          <w:rFonts w:ascii="Verdana" w:hAnsi="Verdana" w:cs="Arial"/>
          <w:color w:val="000000" w:themeColor="text1"/>
          <w:sz w:val="20"/>
          <w:szCs w:val="20"/>
          <w:lang w:val="es-ES_tradnl"/>
        </w:rPr>
        <w:t>)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r>
        <w:rPr>
          <w:rFonts w:ascii="Verdana" w:hAnsi="Verdana" w:cs="Arial"/>
          <w:color w:val="000000" w:themeColor="text1"/>
          <w:sz w:val="20"/>
          <w:szCs w:val="20"/>
          <w:lang w:val="es-ES_tradnl"/>
        </w:rPr>
        <w:t>.</w:t>
      </w:r>
    </w:p>
    <w:p w14:paraId="339A883C" w14:textId="77777777" w:rsidR="002433B0" w:rsidRPr="009B46EA" w:rsidRDefault="002433B0" w:rsidP="002433B0">
      <w:pPr>
        <w:spacing w:after="0" w:line="240" w:lineRule="auto"/>
        <w:jc w:val="both"/>
        <w:rPr>
          <w:rFonts w:ascii="Verdana" w:hAnsi="Verdana" w:cs="Arial"/>
          <w:color w:val="000000" w:themeColor="text1"/>
          <w:sz w:val="20"/>
          <w:szCs w:val="20"/>
          <w:lang w:val="es-ES_tradnl"/>
        </w:rPr>
      </w:pPr>
    </w:p>
    <w:p w14:paraId="4A693957" w14:textId="77777777" w:rsidR="002433B0" w:rsidRPr="009B46EA" w:rsidRDefault="002433B0" w:rsidP="002433B0">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LEY DE TRANSPARENCIA</w:t>
      </w:r>
      <w:r w:rsidRPr="009B46EA">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EGCAP y decretos reglamentarios</w:t>
      </w:r>
      <w:r w:rsidRPr="009B46EA">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Documentos tipo – Entidades exceptuadas – Aplicación excepcional</w:t>
      </w:r>
    </w:p>
    <w:p w14:paraId="41C9ACC0" w14:textId="77777777" w:rsidR="002433B0" w:rsidRPr="009B46EA" w:rsidRDefault="002433B0" w:rsidP="002433B0">
      <w:pPr>
        <w:spacing w:after="0" w:line="240" w:lineRule="auto"/>
        <w:jc w:val="both"/>
        <w:rPr>
          <w:rFonts w:ascii="Verdana" w:hAnsi="Verdana" w:cs="Arial"/>
          <w:color w:val="000000" w:themeColor="text1"/>
          <w:sz w:val="20"/>
          <w:szCs w:val="20"/>
          <w:lang w:val="es-ES_tradnl"/>
        </w:rPr>
      </w:pPr>
    </w:p>
    <w:p w14:paraId="70F51C09" w14:textId="77777777" w:rsidR="002433B0" w:rsidRPr="00F70F88" w:rsidRDefault="002433B0" w:rsidP="002433B0">
      <w:pPr>
        <w:pStyle w:val="Sinespaciado"/>
        <w:jc w:val="both"/>
        <w:rPr>
          <w:rFonts w:ascii="Verdana" w:hAnsi="Verdana" w:cs="Arial"/>
          <w:color w:val="000000" w:themeColor="text1"/>
          <w:sz w:val="20"/>
          <w:szCs w:val="20"/>
          <w:lang w:val="es-ES_tradnl"/>
        </w:rPr>
      </w:pPr>
      <w:r>
        <w:rPr>
          <w:rFonts w:ascii="Verdana" w:hAnsi="Verdana" w:cs="Arial"/>
          <w:color w:val="000000" w:themeColor="text1"/>
          <w:sz w:val="20"/>
          <w:szCs w:val="20"/>
          <w:lang w:val="es-ES_tradnl"/>
        </w:rPr>
        <w:t>E</w:t>
      </w:r>
      <w:r w:rsidRPr="00F70F88">
        <w:rPr>
          <w:rFonts w:ascii="Verdana" w:hAnsi="Verdana" w:cs="Arial"/>
          <w:color w:val="000000" w:themeColor="text1"/>
          <w:sz w:val="20"/>
          <w:szCs w:val="20"/>
          <w:lang w:val="es-ES_tradnl"/>
        </w:rPr>
        <w:t xml:space="preserve">l artículo 56 de la Ley 2195 de 2022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con otra Entidad Estatal o con patrimonios autónomos o con personas naturales o jurídicas de derecho privado, cuyo régimen de contratación sea especial o de derecho privado. En este caso, prima el </w:t>
      </w:r>
      <w:r w:rsidRPr="00F70F88">
        <w:rPr>
          <w:rFonts w:ascii="Verdana" w:hAnsi="Verdana" w:cs="Arial"/>
          <w:color w:val="000000" w:themeColor="text1"/>
          <w:sz w:val="20"/>
          <w:szCs w:val="20"/>
          <w:lang w:val="es-ES_tradnl"/>
        </w:rPr>
        <w:lastRenderedPageBreak/>
        <w:t>contenido de la Ley 80 de 1993 –junto con su reglamentación– y de los documentos tipo sobre el manual de contratación de la entidad con régimen especial.</w:t>
      </w:r>
    </w:p>
    <w:p w14:paraId="064180C1" w14:textId="77777777" w:rsidR="002433B0" w:rsidRPr="009B46EA" w:rsidRDefault="002433B0" w:rsidP="002433B0">
      <w:pPr>
        <w:pStyle w:val="Sinespaciado"/>
        <w:rPr>
          <w:rFonts w:ascii="Verdana" w:hAnsi="Verdana" w:cs="Arial"/>
          <w:color w:val="000000" w:themeColor="text1"/>
          <w:sz w:val="20"/>
          <w:szCs w:val="20"/>
          <w:lang w:val="es-ES_tradnl"/>
        </w:rPr>
      </w:pPr>
    </w:p>
    <w:p w14:paraId="1C3DDB6E" w14:textId="77777777" w:rsidR="002433B0" w:rsidRPr="002433B0" w:rsidRDefault="002433B0" w:rsidP="00C924DD">
      <w:pPr>
        <w:spacing w:after="0" w:line="240" w:lineRule="auto"/>
        <w:rPr>
          <w:rFonts w:ascii="Verdana" w:eastAsia="Geomanist Light" w:hAnsi="Verdana" w:cs="Arial"/>
          <w:color w:val="000000" w:themeColor="text1"/>
          <w:lang w:val="es-ES_tradnl"/>
        </w:rPr>
      </w:pPr>
    </w:p>
    <w:p w14:paraId="0A94CAF4" w14:textId="77777777" w:rsidR="002433B0" w:rsidRDefault="002433B0" w:rsidP="00C924DD">
      <w:pPr>
        <w:spacing w:after="0" w:line="240" w:lineRule="auto"/>
        <w:rPr>
          <w:rFonts w:ascii="Verdana" w:eastAsia="Geomanist Light" w:hAnsi="Verdana" w:cs="Arial"/>
          <w:color w:val="000000" w:themeColor="text1"/>
          <w:lang w:val="es-MX"/>
        </w:rPr>
      </w:pPr>
    </w:p>
    <w:p w14:paraId="27D8D788" w14:textId="77777777" w:rsidR="002433B0" w:rsidRDefault="002433B0" w:rsidP="00C924DD">
      <w:pPr>
        <w:spacing w:after="0" w:line="240" w:lineRule="auto"/>
        <w:rPr>
          <w:rFonts w:ascii="Verdana" w:eastAsia="Geomanist Light" w:hAnsi="Verdana" w:cs="Arial"/>
          <w:color w:val="000000" w:themeColor="text1"/>
          <w:lang w:val="es-MX"/>
        </w:rPr>
      </w:pPr>
    </w:p>
    <w:p w14:paraId="2C4B730E" w14:textId="77777777" w:rsidR="002433B0" w:rsidRDefault="002433B0" w:rsidP="00C924DD">
      <w:pPr>
        <w:spacing w:after="0" w:line="240" w:lineRule="auto"/>
        <w:rPr>
          <w:rFonts w:ascii="Verdana" w:eastAsia="Geomanist Light" w:hAnsi="Verdana" w:cs="Arial"/>
          <w:color w:val="000000" w:themeColor="text1"/>
          <w:lang w:val="es-MX"/>
        </w:rPr>
      </w:pPr>
    </w:p>
    <w:p w14:paraId="2881FFD7" w14:textId="77777777" w:rsidR="002433B0" w:rsidRDefault="002433B0" w:rsidP="00C924DD">
      <w:pPr>
        <w:spacing w:after="0" w:line="240" w:lineRule="auto"/>
        <w:rPr>
          <w:rFonts w:ascii="Verdana" w:eastAsia="Geomanist Light" w:hAnsi="Verdana" w:cs="Arial"/>
          <w:color w:val="000000" w:themeColor="text1"/>
          <w:lang w:val="es-MX"/>
        </w:rPr>
      </w:pPr>
    </w:p>
    <w:p w14:paraId="2EAD702A" w14:textId="77777777" w:rsidR="002433B0" w:rsidRDefault="002433B0" w:rsidP="00C924DD">
      <w:pPr>
        <w:spacing w:after="0" w:line="240" w:lineRule="auto"/>
        <w:rPr>
          <w:rFonts w:ascii="Verdana" w:eastAsia="Geomanist Light" w:hAnsi="Verdana" w:cs="Arial"/>
          <w:color w:val="000000" w:themeColor="text1"/>
          <w:lang w:val="es-MX"/>
        </w:rPr>
      </w:pPr>
    </w:p>
    <w:p w14:paraId="06779EC3" w14:textId="77777777" w:rsidR="002433B0" w:rsidRDefault="002433B0" w:rsidP="00C924DD">
      <w:pPr>
        <w:spacing w:after="0" w:line="240" w:lineRule="auto"/>
        <w:rPr>
          <w:rFonts w:ascii="Verdana" w:eastAsia="Geomanist Light" w:hAnsi="Verdana" w:cs="Arial"/>
          <w:color w:val="000000" w:themeColor="text1"/>
          <w:lang w:val="es-MX"/>
        </w:rPr>
      </w:pPr>
    </w:p>
    <w:p w14:paraId="7A0EE686" w14:textId="77777777" w:rsidR="002433B0" w:rsidRDefault="002433B0" w:rsidP="00C924DD">
      <w:pPr>
        <w:spacing w:after="0" w:line="240" w:lineRule="auto"/>
        <w:rPr>
          <w:rFonts w:ascii="Verdana" w:eastAsia="Geomanist Light" w:hAnsi="Verdana" w:cs="Arial"/>
          <w:color w:val="000000" w:themeColor="text1"/>
          <w:lang w:val="es-MX"/>
        </w:rPr>
      </w:pPr>
    </w:p>
    <w:p w14:paraId="4C3EA5C8" w14:textId="77777777" w:rsidR="002433B0" w:rsidRDefault="002433B0" w:rsidP="00C924DD">
      <w:pPr>
        <w:spacing w:after="0" w:line="240" w:lineRule="auto"/>
        <w:rPr>
          <w:rFonts w:ascii="Verdana" w:eastAsia="Geomanist Light" w:hAnsi="Verdana" w:cs="Arial"/>
          <w:color w:val="000000" w:themeColor="text1"/>
          <w:lang w:val="es-MX"/>
        </w:rPr>
      </w:pPr>
    </w:p>
    <w:p w14:paraId="0EFFB81C" w14:textId="77777777" w:rsidR="002433B0" w:rsidRDefault="002433B0" w:rsidP="00C924DD">
      <w:pPr>
        <w:spacing w:after="0" w:line="240" w:lineRule="auto"/>
        <w:rPr>
          <w:rFonts w:ascii="Verdana" w:eastAsia="Geomanist Light" w:hAnsi="Verdana" w:cs="Arial"/>
          <w:color w:val="000000" w:themeColor="text1"/>
          <w:lang w:val="es-MX"/>
        </w:rPr>
      </w:pPr>
    </w:p>
    <w:p w14:paraId="4E9B1BCF" w14:textId="77777777" w:rsidR="002433B0" w:rsidRDefault="002433B0" w:rsidP="00C924DD">
      <w:pPr>
        <w:spacing w:after="0" w:line="240" w:lineRule="auto"/>
        <w:rPr>
          <w:rFonts w:ascii="Verdana" w:eastAsia="Geomanist Light" w:hAnsi="Verdana" w:cs="Arial"/>
          <w:color w:val="000000" w:themeColor="text1"/>
          <w:lang w:val="es-MX"/>
        </w:rPr>
      </w:pPr>
    </w:p>
    <w:p w14:paraId="5D6237B6" w14:textId="77777777" w:rsidR="002433B0" w:rsidRDefault="002433B0" w:rsidP="00C924DD">
      <w:pPr>
        <w:spacing w:after="0" w:line="240" w:lineRule="auto"/>
        <w:rPr>
          <w:rFonts w:ascii="Verdana" w:eastAsia="Geomanist Light" w:hAnsi="Verdana" w:cs="Arial"/>
          <w:color w:val="000000" w:themeColor="text1"/>
          <w:lang w:val="es-MX"/>
        </w:rPr>
      </w:pPr>
    </w:p>
    <w:p w14:paraId="4CA96892" w14:textId="77777777" w:rsidR="002433B0" w:rsidRDefault="002433B0" w:rsidP="00C924DD">
      <w:pPr>
        <w:spacing w:after="0" w:line="240" w:lineRule="auto"/>
        <w:rPr>
          <w:rFonts w:ascii="Verdana" w:eastAsia="Geomanist Light" w:hAnsi="Verdana" w:cs="Arial"/>
          <w:color w:val="000000" w:themeColor="text1"/>
          <w:lang w:val="es-MX"/>
        </w:rPr>
      </w:pPr>
    </w:p>
    <w:p w14:paraId="78E806C5" w14:textId="77777777" w:rsidR="002433B0" w:rsidRDefault="002433B0" w:rsidP="00C924DD">
      <w:pPr>
        <w:spacing w:after="0" w:line="240" w:lineRule="auto"/>
        <w:rPr>
          <w:rFonts w:ascii="Verdana" w:eastAsia="Geomanist Light" w:hAnsi="Verdana" w:cs="Arial"/>
          <w:color w:val="000000" w:themeColor="text1"/>
          <w:lang w:val="es-MX"/>
        </w:rPr>
      </w:pPr>
    </w:p>
    <w:p w14:paraId="7CB36CCB" w14:textId="77777777" w:rsidR="002433B0" w:rsidRDefault="002433B0" w:rsidP="00C924DD">
      <w:pPr>
        <w:spacing w:after="0" w:line="240" w:lineRule="auto"/>
        <w:rPr>
          <w:rFonts w:ascii="Verdana" w:eastAsia="Geomanist Light" w:hAnsi="Verdana" w:cs="Arial"/>
          <w:color w:val="000000" w:themeColor="text1"/>
          <w:lang w:val="es-MX"/>
        </w:rPr>
      </w:pPr>
    </w:p>
    <w:p w14:paraId="609FD993" w14:textId="77777777" w:rsidR="002433B0" w:rsidRDefault="002433B0" w:rsidP="00C924DD">
      <w:pPr>
        <w:spacing w:after="0" w:line="240" w:lineRule="auto"/>
        <w:rPr>
          <w:rFonts w:ascii="Verdana" w:eastAsia="Geomanist Light" w:hAnsi="Verdana" w:cs="Arial"/>
          <w:color w:val="000000" w:themeColor="text1"/>
          <w:lang w:val="es-MX"/>
        </w:rPr>
      </w:pPr>
    </w:p>
    <w:p w14:paraId="6BDB5A52" w14:textId="77777777" w:rsidR="002433B0" w:rsidRDefault="002433B0" w:rsidP="00C924DD">
      <w:pPr>
        <w:spacing w:after="0" w:line="240" w:lineRule="auto"/>
        <w:rPr>
          <w:rFonts w:ascii="Verdana" w:eastAsia="Geomanist Light" w:hAnsi="Verdana" w:cs="Arial"/>
          <w:color w:val="000000" w:themeColor="text1"/>
          <w:lang w:val="es-MX"/>
        </w:rPr>
      </w:pPr>
    </w:p>
    <w:p w14:paraId="7B73CA8D" w14:textId="77777777" w:rsidR="002433B0" w:rsidRDefault="002433B0" w:rsidP="00C924DD">
      <w:pPr>
        <w:spacing w:after="0" w:line="240" w:lineRule="auto"/>
        <w:rPr>
          <w:rFonts w:ascii="Verdana" w:eastAsia="Geomanist Light" w:hAnsi="Verdana" w:cs="Arial"/>
          <w:color w:val="000000" w:themeColor="text1"/>
          <w:lang w:val="es-MX"/>
        </w:rPr>
      </w:pPr>
    </w:p>
    <w:p w14:paraId="264CAB98" w14:textId="77777777" w:rsidR="002433B0" w:rsidRDefault="002433B0" w:rsidP="00C924DD">
      <w:pPr>
        <w:spacing w:after="0" w:line="240" w:lineRule="auto"/>
        <w:rPr>
          <w:rFonts w:ascii="Verdana" w:eastAsia="Geomanist Light" w:hAnsi="Verdana" w:cs="Arial"/>
          <w:color w:val="000000" w:themeColor="text1"/>
          <w:lang w:val="es-MX"/>
        </w:rPr>
      </w:pPr>
    </w:p>
    <w:p w14:paraId="7CE5AFD7" w14:textId="77777777" w:rsidR="002433B0" w:rsidRDefault="002433B0" w:rsidP="00C924DD">
      <w:pPr>
        <w:spacing w:after="0" w:line="240" w:lineRule="auto"/>
        <w:rPr>
          <w:rFonts w:ascii="Verdana" w:eastAsia="Geomanist Light" w:hAnsi="Verdana" w:cs="Arial"/>
          <w:color w:val="000000" w:themeColor="text1"/>
          <w:lang w:val="es-MX"/>
        </w:rPr>
      </w:pPr>
    </w:p>
    <w:p w14:paraId="64E0C18D" w14:textId="77777777" w:rsidR="002433B0" w:rsidRDefault="002433B0" w:rsidP="00C924DD">
      <w:pPr>
        <w:spacing w:after="0" w:line="240" w:lineRule="auto"/>
        <w:rPr>
          <w:rFonts w:ascii="Verdana" w:eastAsia="Geomanist Light" w:hAnsi="Verdana" w:cs="Arial"/>
          <w:color w:val="000000" w:themeColor="text1"/>
          <w:lang w:val="es-MX"/>
        </w:rPr>
      </w:pPr>
    </w:p>
    <w:p w14:paraId="24810545" w14:textId="77777777" w:rsidR="002433B0" w:rsidRDefault="002433B0" w:rsidP="00C924DD">
      <w:pPr>
        <w:spacing w:after="0" w:line="240" w:lineRule="auto"/>
        <w:rPr>
          <w:rFonts w:ascii="Verdana" w:eastAsia="Geomanist Light" w:hAnsi="Verdana" w:cs="Arial"/>
          <w:color w:val="000000" w:themeColor="text1"/>
          <w:lang w:val="es-MX"/>
        </w:rPr>
      </w:pPr>
    </w:p>
    <w:p w14:paraId="05DCF3EF" w14:textId="77777777" w:rsidR="002433B0" w:rsidRDefault="002433B0" w:rsidP="00C924DD">
      <w:pPr>
        <w:spacing w:after="0" w:line="240" w:lineRule="auto"/>
        <w:rPr>
          <w:rFonts w:ascii="Verdana" w:eastAsia="Geomanist Light" w:hAnsi="Verdana" w:cs="Arial"/>
          <w:color w:val="000000" w:themeColor="text1"/>
          <w:lang w:val="es-MX"/>
        </w:rPr>
      </w:pPr>
    </w:p>
    <w:p w14:paraId="3862A16D" w14:textId="77777777" w:rsidR="002433B0" w:rsidRDefault="002433B0" w:rsidP="00C924DD">
      <w:pPr>
        <w:spacing w:after="0" w:line="240" w:lineRule="auto"/>
        <w:rPr>
          <w:rFonts w:ascii="Verdana" w:eastAsia="Geomanist Light" w:hAnsi="Verdana" w:cs="Arial"/>
          <w:color w:val="000000" w:themeColor="text1"/>
          <w:lang w:val="es-MX"/>
        </w:rPr>
      </w:pPr>
    </w:p>
    <w:p w14:paraId="7F3B73A4" w14:textId="77777777" w:rsidR="002433B0" w:rsidRDefault="002433B0" w:rsidP="00C924DD">
      <w:pPr>
        <w:spacing w:after="0" w:line="240" w:lineRule="auto"/>
        <w:rPr>
          <w:rFonts w:ascii="Verdana" w:eastAsia="Geomanist Light" w:hAnsi="Verdana" w:cs="Arial"/>
          <w:color w:val="000000" w:themeColor="text1"/>
          <w:lang w:val="es-MX"/>
        </w:rPr>
      </w:pPr>
    </w:p>
    <w:p w14:paraId="20ADAE0C" w14:textId="77777777" w:rsidR="002433B0" w:rsidRDefault="002433B0" w:rsidP="00C924DD">
      <w:pPr>
        <w:spacing w:after="0" w:line="240" w:lineRule="auto"/>
        <w:rPr>
          <w:rFonts w:ascii="Verdana" w:eastAsia="Geomanist Light" w:hAnsi="Verdana" w:cs="Arial"/>
          <w:color w:val="000000" w:themeColor="text1"/>
          <w:lang w:val="es-MX"/>
        </w:rPr>
      </w:pPr>
    </w:p>
    <w:p w14:paraId="4E2C55BA" w14:textId="77777777" w:rsidR="002433B0" w:rsidRDefault="002433B0" w:rsidP="00C924DD">
      <w:pPr>
        <w:spacing w:after="0" w:line="240" w:lineRule="auto"/>
        <w:rPr>
          <w:rFonts w:ascii="Verdana" w:eastAsia="Geomanist Light" w:hAnsi="Verdana" w:cs="Arial"/>
          <w:color w:val="000000" w:themeColor="text1"/>
          <w:lang w:val="es-MX"/>
        </w:rPr>
      </w:pPr>
    </w:p>
    <w:p w14:paraId="0C2111FB" w14:textId="77777777" w:rsidR="002433B0" w:rsidRDefault="002433B0" w:rsidP="00C924DD">
      <w:pPr>
        <w:spacing w:after="0" w:line="240" w:lineRule="auto"/>
        <w:rPr>
          <w:rFonts w:ascii="Verdana" w:eastAsia="Geomanist Light" w:hAnsi="Verdana" w:cs="Arial"/>
          <w:color w:val="000000" w:themeColor="text1"/>
          <w:lang w:val="es-MX"/>
        </w:rPr>
      </w:pPr>
    </w:p>
    <w:p w14:paraId="15A7CD5A" w14:textId="77777777" w:rsidR="002433B0" w:rsidRDefault="002433B0" w:rsidP="00C924DD">
      <w:pPr>
        <w:spacing w:after="0" w:line="240" w:lineRule="auto"/>
        <w:rPr>
          <w:rFonts w:ascii="Verdana" w:eastAsia="Geomanist Light" w:hAnsi="Verdana" w:cs="Arial"/>
          <w:color w:val="000000" w:themeColor="text1"/>
          <w:lang w:val="es-MX"/>
        </w:rPr>
      </w:pPr>
    </w:p>
    <w:p w14:paraId="2BBBDB13" w14:textId="77777777" w:rsidR="002433B0" w:rsidRDefault="002433B0" w:rsidP="00C924DD">
      <w:pPr>
        <w:spacing w:after="0" w:line="240" w:lineRule="auto"/>
        <w:rPr>
          <w:rFonts w:ascii="Verdana" w:eastAsia="Geomanist Light" w:hAnsi="Verdana" w:cs="Arial"/>
          <w:color w:val="000000" w:themeColor="text1"/>
          <w:lang w:val="es-MX"/>
        </w:rPr>
      </w:pPr>
    </w:p>
    <w:p w14:paraId="2C71D5FF" w14:textId="77777777" w:rsidR="002433B0" w:rsidRDefault="002433B0" w:rsidP="00C924DD">
      <w:pPr>
        <w:spacing w:after="0" w:line="240" w:lineRule="auto"/>
        <w:rPr>
          <w:rFonts w:ascii="Verdana" w:eastAsia="Geomanist Light" w:hAnsi="Verdana" w:cs="Arial"/>
          <w:color w:val="000000" w:themeColor="text1"/>
          <w:lang w:val="es-MX"/>
        </w:rPr>
      </w:pPr>
    </w:p>
    <w:p w14:paraId="687CCBB8" w14:textId="77777777" w:rsidR="002433B0" w:rsidRDefault="002433B0" w:rsidP="00C924DD">
      <w:pPr>
        <w:spacing w:after="0" w:line="240" w:lineRule="auto"/>
        <w:rPr>
          <w:rFonts w:ascii="Verdana" w:eastAsia="Geomanist Light" w:hAnsi="Verdana" w:cs="Arial"/>
          <w:color w:val="000000" w:themeColor="text1"/>
          <w:lang w:val="es-MX"/>
        </w:rPr>
      </w:pPr>
    </w:p>
    <w:p w14:paraId="1C92C966" w14:textId="77777777" w:rsidR="002433B0" w:rsidRDefault="002433B0" w:rsidP="00C924DD">
      <w:pPr>
        <w:spacing w:after="0" w:line="240" w:lineRule="auto"/>
        <w:rPr>
          <w:rFonts w:ascii="Verdana" w:eastAsia="Geomanist Light" w:hAnsi="Verdana" w:cs="Arial"/>
          <w:color w:val="000000" w:themeColor="text1"/>
          <w:lang w:val="es-MX"/>
        </w:rPr>
      </w:pPr>
    </w:p>
    <w:p w14:paraId="64636185" w14:textId="77777777" w:rsidR="002433B0" w:rsidRDefault="002433B0" w:rsidP="00C924DD">
      <w:pPr>
        <w:spacing w:after="0" w:line="240" w:lineRule="auto"/>
        <w:rPr>
          <w:rFonts w:ascii="Verdana" w:eastAsia="Geomanist Light" w:hAnsi="Verdana" w:cs="Arial"/>
          <w:color w:val="000000" w:themeColor="text1"/>
          <w:lang w:val="es-MX"/>
        </w:rPr>
      </w:pPr>
    </w:p>
    <w:p w14:paraId="65214C40" w14:textId="77777777" w:rsidR="002433B0" w:rsidRDefault="002433B0" w:rsidP="00C924DD">
      <w:pPr>
        <w:spacing w:after="0" w:line="240" w:lineRule="auto"/>
        <w:rPr>
          <w:rFonts w:ascii="Verdana" w:eastAsia="Geomanist Light" w:hAnsi="Verdana" w:cs="Arial"/>
          <w:color w:val="000000" w:themeColor="text1"/>
          <w:lang w:val="es-MX"/>
        </w:rPr>
      </w:pPr>
    </w:p>
    <w:p w14:paraId="7A9C563A" w14:textId="77777777" w:rsidR="002433B0" w:rsidRDefault="002433B0" w:rsidP="00C924DD">
      <w:pPr>
        <w:spacing w:after="0" w:line="240" w:lineRule="auto"/>
        <w:rPr>
          <w:rFonts w:ascii="Verdana" w:eastAsia="Geomanist Light" w:hAnsi="Verdana" w:cs="Arial"/>
          <w:color w:val="000000" w:themeColor="text1"/>
          <w:lang w:val="es-MX"/>
        </w:rPr>
      </w:pPr>
    </w:p>
    <w:p w14:paraId="031D71F5" w14:textId="77777777" w:rsidR="002433B0" w:rsidRDefault="002433B0" w:rsidP="00C924DD">
      <w:pPr>
        <w:spacing w:after="0" w:line="240" w:lineRule="auto"/>
        <w:rPr>
          <w:rFonts w:ascii="Verdana" w:eastAsia="Geomanist Light" w:hAnsi="Verdana" w:cs="Arial"/>
          <w:color w:val="000000" w:themeColor="text1"/>
          <w:lang w:val="es-MX"/>
        </w:rPr>
      </w:pPr>
    </w:p>
    <w:p w14:paraId="50EEC91F" w14:textId="77777777" w:rsidR="002433B0" w:rsidRDefault="002433B0" w:rsidP="00C924DD">
      <w:pPr>
        <w:spacing w:after="0" w:line="240" w:lineRule="auto"/>
        <w:rPr>
          <w:rFonts w:ascii="Verdana" w:eastAsia="Geomanist Light" w:hAnsi="Verdana" w:cs="Arial"/>
          <w:color w:val="000000" w:themeColor="text1"/>
          <w:lang w:val="es-MX"/>
        </w:rPr>
      </w:pPr>
    </w:p>
    <w:p w14:paraId="58B04DE3" w14:textId="77777777" w:rsidR="002433B0" w:rsidRDefault="002433B0" w:rsidP="00C924DD">
      <w:pPr>
        <w:spacing w:after="0" w:line="240" w:lineRule="auto"/>
        <w:rPr>
          <w:rFonts w:ascii="Verdana" w:eastAsia="Geomanist Light" w:hAnsi="Verdana" w:cs="Arial"/>
          <w:color w:val="000000" w:themeColor="text1"/>
          <w:lang w:val="es-MX"/>
        </w:rPr>
      </w:pPr>
    </w:p>
    <w:p w14:paraId="326EEDEF" w14:textId="77777777" w:rsidR="002433B0" w:rsidRDefault="002433B0" w:rsidP="00C924DD">
      <w:pPr>
        <w:spacing w:after="0" w:line="240" w:lineRule="auto"/>
        <w:rPr>
          <w:rFonts w:ascii="Verdana" w:eastAsia="Geomanist Light" w:hAnsi="Verdana" w:cs="Arial"/>
          <w:color w:val="000000" w:themeColor="text1"/>
          <w:lang w:val="es-MX"/>
        </w:rPr>
      </w:pPr>
    </w:p>
    <w:p w14:paraId="67181577" w14:textId="7EA8F293" w:rsidR="00C924DD" w:rsidRPr="00593A5F" w:rsidRDefault="00C924DD" w:rsidP="00C924DD">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80074C" w:rsidRPr="0080074C">
        <w:rPr>
          <w:rFonts w:ascii="Verdana" w:eastAsia="Geomanist Light" w:hAnsi="Verdana" w:cs="Arial"/>
          <w:color w:val="201F1E"/>
          <w:lang w:val="es-MX"/>
        </w:rPr>
        <w:t>18 de Diciembre de 2024</w:t>
      </w:r>
    </w:p>
    <w:p w14:paraId="21FC7370" w14:textId="77777777" w:rsidR="00C924DD" w:rsidRDefault="00C924DD" w:rsidP="00C924DD">
      <w:pPr>
        <w:spacing w:after="0" w:line="240" w:lineRule="auto"/>
        <w:jc w:val="both"/>
        <w:rPr>
          <w:rFonts w:ascii="Verdana" w:eastAsia="Calibri" w:hAnsi="Verdana" w:cs="Arial"/>
          <w:color w:val="000000"/>
          <w:lang w:val="es-ES"/>
        </w:rPr>
      </w:pPr>
    </w:p>
    <w:p w14:paraId="5C6985BA" w14:textId="719491A1" w:rsidR="0080074C" w:rsidRDefault="0080074C" w:rsidP="0080074C">
      <w:pPr>
        <w:spacing w:after="0" w:line="240" w:lineRule="auto"/>
        <w:jc w:val="right"/>
        <w:rPr>
          <w:rFonts w:ascii="Verdana" w:eastAsia="Calibri" w:hAnsi="Verdana" w:cs="Arial"/>
          <w:color w:val="000000"/>
          <w:lang w:val="es-ES"/>
        </w:rPr>
      </w:pPr>
      <w:r w:rsidRPr="0080074C">
        <w:rPr>
          <w:rFonts w:ascii="Verdana" w:eastAsia="Calibri" w:hAnsi="Verdana" w:cs="Arial"/>
          <w:color w:val="000000"/>
          <w:lang w:val="es-ES"/>
        </w:rPr>
        <w:drawing>
          <wp:inline distT="0" distB="0" distL="0" distR="0" wp14:anchorId="6BA3CC90" wp14:editId="05EBB2EB">
            <wp:extent cx="3238500" cy="901700"/>
            <wp:effectExtent l="0" t="0" r="0" b="0"/>
            <wp:docPr id="1581406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06113" name=""/>
                    <pic:cNvPicPr/>
                  </pic:nvPicPr>
                  <pic:blipFill>
                    <a:blip r:embed="rId10"/>
                    <a:stretch>
                      <a:fillRect/>
                    </a:stretch>
                  </pic:blipFill>
                  <pic:spPr>
                    <a:xfrm>
                      <a:off x="0" y="0"/>
                      <a:ext cx="3238500" cy="901700"/>
                    </a:xfrm>
                    <a:prstGeom prst="rect">
                      <a:avLst/>
                    </a:prstGeom>
                  </pic:spPr>
                </pic:pic>
              </a:graphicData>
            </a:graphic>
          </wp:inline>
        </w:drawing>
      </w:r>
    </w:p>
    <w:p w14:paraId="6CE5572B" w14:textId="77777777" w:rsidR="00C924DD" w:rsidRPr="00593A5F" w:rsidRDefault="00C924DD" w:rsidP="00C924DD">
      <w:pPr>
        <w:spacing w:after="0" w:line="240" w:lineRule="auto"/>
        <w:jc w:val="both"/>
        <w:rPr>
          <w:rFonts w:ascii="Verdana" w:eastAsia="Calibri" w:hAnsi="Verdana" w:cs="Arial"/>
          <w:color w:val="000000"/>
          <w:lang w:val="es-ES"/>
        </w:rPr>
      </w:pPr>
    </w:p>
    <w:p w14:paraId="354DF167" w14:textId="77777777" w:rsidR="00C924DD" w:rsidRPr="00362C75" w:rsidRDefault="00C924DD" w:rsidP="00C924DD">
      <w:pPr>
        <w:spacing w:after="0" w:line="240" w:lineRule="auto"/>
        <w:jc w:val="both"/>
        <w:rPr>
          <w:rFonts w:ascii="Verdana" w:eastAsia="Calibri" w:hAnsi="Verdana" w:cs="Arial"/>
          <w:lang w:val="en-US" w:eastAsia="es-ES"/>
        </w:rPr>
      </w:pPr>
      <w:proofErr w:type="spellStart"/>
      <w:r w:rsidRPr="00362C75">
        <w:rPr>
          <w:rFonts w:ascii="Verdana" w:eastAsia="Calibri" w:hAnsi="Verdana" w:cs="Arial"/>
          <w:lang w:val="en-US" w:eastAsia="es-ES"/>
        </w:rPr>
        <w:t>Señora</w:t>
      </w:r>
      <w:proofErr w:type="spellEnd"/>
    </w:p>
    <w:p w14:paraId="0A32BBBC" w14:textId="77777777" w:rsidR="00C924DD" w:rsidRPr="00362C75" w:rsidRDefault="00C924DD" w:rsidP="00C924DD">
      <w:pPr>
        <w:spacing w:after="0" w:line="240" w:lineRule="auto"/>
        <w:rPr>
          <w:rFonts w:ascii="Verdana" w:eastAsia="Calibri" w:hAnsi="Verdana" w:cs="Arial"/>
          <w:b/>
          <w:lang w:val="en-US" w:eastAsia="es-ES_tradnl"/>
        </w:rPr>
      </w:pPr>
      <w:r w:rsidRPr="00362C75">
        <w:rPr>
          <w:rFonts w:ascii="Verdana" w:eastAsia="Calibri" w:hAnsi="Verdana" w:cs="Arial"/>
          <w:b/>
          <w:lang w:val="en-US" w:eastAsia="es-ES_tradnl"/>
        </w:rPr>
        <w:t xml:space="preserve">Katherin </w:t>
      </w:r>
      <w:proofErr w:type="spellStart"/>
      <w:r w:rsidRPr="00362C75">
        <w:rPr>
          <w:rFonts w:ascii="Verdana" w:eastAsia="Calibri" w:hAnsi="Verdana" w:cs="Arial"/>
          <w:b/>
          <w:lang w:val="en-US" w:eastAsia="es-ES_tradnl"/>
        </w:rPr>
        <w:t>Daianney</w:t>
      </w:r>
      <w:proofErr w:type="spellEnd"/>
      <w:r w:rsidRPr="00362C75">
        <w:rPr>
          <w:rFonts w:ascii="Verdana" w:eastAsia="Calibri" w:hAnsi="Verdana" w:cs="Arial"/>
          <w:b/>
          <w:lang w:val="en-US" w:eastAsia="es-ES_tradnl"/>
        </w:rPr>
        <w:t xml:space="preserve"> Hernández Ortiz   </w:t>
      </w:r>
    </w:p>
    <w:p w14:paraId="5758E16E" w14:textId="77777777" w:rsidR="00C924DD" w:rsidRPr="00A87B70" w:rsidRDefault="00C924DD" w:rsidP="00C924DD">
      <w:pPr>
        <w:spacing w:after="0" w:line="240" w:lineRule="auto"/>
        <w:rPr>
          <w:rFonts w:ascii="Verdana" w:eastAsia="Calibri" w:hAnsi="Verdana" w:cs="Arial"/>
          <w:lang w:val="en-US" w:eastAsia="es-ES"/>
        </w:rPr>
      </w:pPr>
      <w:hyperlink r:id="rId11" w:history="1">
        <w:r w:rsidRPr="00902384">
          <w:rPr>
            <w:rStyle w:val="Hipervnculo"/>
            <w:rFonts w:ascii="Verdana" w:hAnsi="Verdana"/>
            <w:lang w:val="en-US"/>
          </w:rPr>
          <w:t>daianneyhedez@gmail.com</w:t>
        </w:r>
      </w:hyperlink>
      <w:r>
        <w:rPr>
          <w:rFonts w:ascii="Verdana" w:hAnsi="Verdana"/>
          <w:lang w:val="en-US"/>
        </w:rPr>
        <w:t xml:space="preserve"> </w:t>
      </w:r>
      <w:r w:rsidRPr="00A87B70">
        <w:rPr>
          <w:rFonts w:ascii="Verdana" w:hAnsi="Verdana"/>
          <w:lang w:val="en-US"/>
        </w:rPr>
        <w:t xml:space="preserve">         </w:t>
      </w:r>
      <w:r w:rsidRPr="00A87B70">
        <w:rPr>
          <w:rFonts w:ascii="Verdana" w:eastAsia="Calibri" w:hAnsi="Verdana" w:cs="Arial"/>
          <w:lang w:val="en-US" w:eastAsia="es-ES"/>
        </w:rPr>
        <w:t xml:space="preserve">    </w:t>
      </w:r>
    </w:p>
    <w:p w14:paraId="07CD1367" w14:textId="77777777" w:rsidR="00C924DD" w:rsidRDefault="00C924DD" w:rsidP="00C924DD">
      <w:pPr>
        <w:spacing w:after="0" w:line="240" w:lineRule="auto"/>
        <w:rPr>
          <w:rFonts w:ascii="Verdana" w:eastAsia="Calibri" w:hAnsi="Verdana" w:cs="Arial"/>
          <w:lang w:val="es-ES" w:eastAsia="es-ES"/>
        </w:rPr>
      </w:pPr>
      <w:r w:rsidRPr="00593A5F">
        <w:rPr>
          <w:rFonts w:ascii="Verdana" w:eastAsia="Geomanist Light" w:hAnsi="Verdana" w:cs="Arial"/>
          <w:color w:val="000000" w:themeColor="text1"/>
          <w:lang w:val="es-MX"/>
        </w:rPr>
        <w:t>Bogotá D.C.</w:t>
      </w:r>
    </w:p>
    <w:p w14:paraId="616E131C" w14:textId="77777777" w:rsidR="00C924DD" w:rsidRPr="00593A5F" w:rsidRDefault="00C924DD" w:rsidP="00C924DD">
      <w:pPr>
        <w:spacing w:after="0" w:line="240" w:lineRule="auto"/>
        <w:rPr>
          <w:rFonts w:ascii="Verdana" w:eastAsia="Calibri" w:hAnsi="Verdana" w:cs="Arial"/>
          <w:b/>
          <w:bCs/>
          <w:color w:val="000000"/>
          <w:lang w:val="es-ES_tradnl" w:eastAsia="es-ES_tradnl"/>
        </w:rPr>
      </w:pPr>
    </w:p>
    <w:p w14:paraId="56DFF7F5" w14:textId="77777777" w:rsidR="00C924DD" w:rsidRPr="00593A5F" w:rsidRDefault="00C924DD" w:rsidP="00C924DD">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924DD" w:rsidRPr="00593A5F" w14:paraId="478D000B" w14:textId="77777777" w:rsidTr="00B80C9F">
        <w:trPr>
          <w:trHeight w:val="884"/>
        </w:trPr>
        <w:tc>
          <w:tcPr>
            <w:tcW w:w="2689" w:type="dxa"/>
          </w:tcPr>
          <w:p w14:paraId="69384339" w14:textId="77777777" w:rsidR="00C924DD" w:rsidRPr="00C00976" w:rsidRDefault="00C924DD" w:rsidP="00B80C9F">
            <w:pPr>
              <w:jc w:val="both"/>
              <w:rPr>
                <w:rFonts w:ascii="Verdana" w:eastAsia="Calibri" w:hAnsi="Verdana" w:cs="Arial"/>
                <w:b/>
                <w:bCs/>
                <w:color w:val="7030A0"/>
                <w:lang w:val="es-ES_tradnl" w:eastAsia="es-ES_tradnl"/>
              </w:rPr>
            </w:pPr>
          </w:p>
        </w:tc>
        <w:tc>
          <w:tcPr>
            <w:tcW w:w="6100" w:type="dxa"/>
          </w:tcPr>
          <w:p w14:paraId="2E77DE04" w14:textId="77777777" w:rsidR="00C924DD" w:rsidRPr="00C00976" w:rsidRDefault="00C924DD" w:rsidP="00B80C9F">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998</w:t>
            </w:r>
            <w:r w:rsidRPr="008E6AD9">
              <w:rPr>
                <w:rFonts w:ascii="Verdana" w:eastAsia="Calibri" w:hAnsi="Verdana" w:cs="Arial"/>
                <w:b/>
                <w:bCs/>
                <w:lang w:val="es-ES" w:eastAsia="es-ES"/>
              </w:rPr>
              <w:t xml:space="preserve"> de 2024</w:t>
            </w:r>
          </w:p>
        </w:tc>
      </w:tr>
      <w:tr w:rsidR="00C924DD" w:rsidRPr="00593A5F" w14:paraId="6CD79E93" w14:textId="77777777" w:rsidTr="00B80C9F">
        <w:trPr>
          <w:trHeight w:val="884"/>
        </w:trPr>
        <w:tc>
          <w:tcPr>
            <w:tcW w:w="2689" w:type="dxa"/>
          </w:tcPr>
          <w:p w14:paraId="07476F81" w14:textId="77777777" w:rsidR="00C924DD" w:rsidRPr="00593A5F" w:rsidRDefault="00C924DD" w:rsidP="00B80C9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A8D629B" w14:textId="77777777" w:rsidR="00C924DD" w:rsidRPr="00A11406" w:rsidRDefault="00C924DD" w:rsidP="00B80C9F">
            <w:pPr>
              <w:spacing w:line="276" w:lineRule="auto"/>
              <w:jc w:val="both"/>
              <w:rPr>
                <w:rFonts w:ascii="Verdana" w:eastAsia="Calibri" w:hAnsi="Verdana" w:cs="Arial"/>
                <w:lang w:val="es-ES" w:eastAsia="es-ES"/>
              </w:rPr>
            </w:pPr>
            <w:r w:rsidRPr="00F70F88">
              <w:rPr>
                <w:rFonts w:ascii="Verdana" w:eastAsia="Calibri" w:hAnsi="Verdana" w:cs="Arial"/>
                <w:lang w:val="es-ES" w:eastAsia="es-ES"/>
              </w:rPr>
              <w:t>EGCAP – Ámbito de aplicación – Entidades estatales</w:t>
            </w:r>
            <w:r>
              <w:rPr>
                <w:rFonts w:ascii="Verdana" w:eastAsia="Calibri" w:hAnsi="Verdana" w:cs="Arial"/>
                <w:lang w:val="es-ES" w:eastAsia="es-ES"/>
              </w:rPr>
              <w:t xml:space="preserve"> / </w:t>
            </w:r>
            <w:r w:rsidRPr="00F70F88">
              <w:rPr>
                <w:rFonts w:ascii="Verdana" w:eastAsia="Calibri" w:hAnsi="Verdana" w:cs="Arial"/>
                <w:lang w:val="es-ES" w:eastAsia="es-ES"/>
              </w:rPr>
              <w:t>ENTIDADES EXCEPTUADAS – Aplicación de normas de derecho público</w:t>
            </w:r>
            <w:r>
              <w:rPr>
                <w:rFonts w:ascii="Verdana" w:eastAsia="Calibri" w:hAnsi="Verdana" w:cs="Arial"/>
                <w:lang w:val="es-ES" w:eastAsia="es-ES"/>
              </w:rPr>
              <w:t xml:space="preserve"> / </w:t>
            </w:r>
            <w:r w:rsidRPr="00F70F88">
              <w:rPr>
                <w:rFonts w:ascii="Verdana" w:eastAsia="Calibri" w:hAnsi="Verdana" w:cs="Arial"/>
                <w:lang w:val="es-ES" w:eastAsia="es-ES"/>
              </w:rPr>
              <w:t>CONTRATOS ESTATALES – Régimen especial – Obligaciones transversales – Manual de contratación – Límites</w:t>
            </w:r>
            <w:r>
              <w:rPr>
                <w:rFonts w:ascii="Verdana" w:eastAsia="Calibri" w:hAnsi="Verdana" w:cs="Arial"/>
                <w:lang w:val="es-ES" w:eastAsia="es-ES"/>
              </w:rPr>
              <w:t xml:space="preserve"> / </w:t>
            </w:r>
            <w:r w:rsidRPr="00F70F88">
              <w:rPr>
                <w:rFonts w:ascii="Verdana" w:eastAsia="Calibri" w:hAnsi="Verdana" w:cs="Arial"/>
                <w:lang w:val="es-ES" w:eastAsia="es-ES"/>
              </w:rPr>
              <w:t>LEY DE TRANSPARENCIA – EGCAP y decretos reglamentarios – Documentos tipo – Entidades exceptuadas – Aplicación excepcional</w:t>
            </w:r>
            <w:r w:rsidRPr="008251D0">
              <w:rPr>
                <w:rFonts w:ascii="Verdana" w:eastAsia="Calibri" w:hAnsi="Verdana" w:cs="Arial"/>
                <w:lang w:val="es-ES" w:eastAsia="es-ES"/>
              </w:rPr>
              <w:t xml:space="preserve">  </w:t>
            </w:r>
            <w:r w:rsidRPr="000307C2">
              <w:rPr>
                <w:rFonts w:ascii="Verdana" w:eastAsia="Calibri" w:hAnsi="Verdana" w:cs="Arial"/>
                <w:lang w:val="es-ES" w:eastAsia="es-ES"/>
              </w:rPr>
              <w:t xml:space="preserve">  </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7D0CBDBB" w14:textId="77777777" w:rsidR="00C924DD" w:rsidRPr="00593A5F" w:rsidRDefault="00C924DD" w:rsidP="00B80C9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C924DD" w:rsidRPr="008E6AD9" w14:paraId="1C31A258" w14:textId="77777777" w:rsidTr="00B80C9F">
        <w:tc>
          <w:tcPr>
            <w:tcW w:w="2689" w:type="dxa"/>
          </w:tcPr>
          <w:p w14:paraId="26EB5FF8" w14:textId="77777777" w:rsidR="00C924DD" w:rsidRPr="008E6AD9" w:rsidRDefault="00C924DD" w:rsidP="00B80C9F">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2ECD7C98" w14:textId="77777777" w:rsidR="00C924DD" w:rsidRPr="008E6AD9" w:rsidRDefault="00C924DD" w:rsidP="00B80C9F">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A87B70">
              <w:rPr>
                <w:rFonts w:ascii="Verdana" w:eastAsia="Calibri" w:hAnsi="Verdana" w:cs="Arial"/>
                <w:lang w:val="es-ES_tradnl" w:eastAsia="es-ES_tradnl"/>
              </w:rPr>
              <w:t>P20241216012544</w:t>
            </w:r>
            <w:r>
              <w:rPr>
                <w:rFonts w:ascii="Verdana" w:eastAsia="Calibri" w:hAnsi="Verdana" w:cs="Arial"/>
                <w:lang w:val="es-ES_tradnl" w:eastAsia="es-ES_tradnl"/>
              </w:rPr>
              <w:t xml:space="preserve"> </w:t>
            </w:r>
          </w:p>
        </w:tc>
      </w:tr>
    </w:tbl>
    <w:p w14:paraId="372DDC9E" w14:textId="77777777" w:rsidR="00C924DD" w:rsidRPr="00593A5F" w:rsidRDefault="00C924DD" w:rsidP="00C924DD">
      <w:pPr>
        <w:spacing w:after="0" w:line="240" w:lineRule="auto"/>
        <w:jc w:val="both"/>
        <w:rPr>
          <w:rFonts w:ascii="Verdana" w:eastAsia="Calibri" w:hAnsi="Verdana" w:cs="Arial"/>
          <w:color w:val="000000"/>
          <w:lang w:val="es-ES_tradnl" w:eastAsia="es-ES_tradnl"/>
        </w:rPr>
      </w:pPr>
    </w:p>
    <w:p w14:paraId="75755A49" w14:textId="77777777" w:rsidR="00C924DD" w:rsidRPr="00593A5F" w:rsidRDefault="00C924DD" w:rsidP="00C924DD">
      <w:pPr>
        <w:spacing w:after="0" w:line="240" w:lineRule="auto"/>
        <w:jc w:val="both"/>
        <w:rPr>
          <w:rFonts w:ascii="Verdana" w:eastAsia="Calibri" w:hAnsi="Verdana" w:cs="Arial"/>
          <w:color w:val="000000"/>
          <w:lang w:val="es-ES_tradnl" w:eastAsia="es-ES_tradnl"/>
        </w:rPr>
      </w:pPr>
    </w:p>
    <w:p w14:paraId="321587E6" w14:textId="77777777" w:rsidR="00C924DD" w:rsidRPr="008E6AD9" w:rsidRDefault="00C924DD" w:rsidP="00C924DD">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señora </w:t>
      </w:r>
      <w:r w:rsidRPr="00A87B70">
        <w:rPr>
          <w:rFonts w:ascii="Verdana" w:eastAsia="Calibri" w:hAnsi="Verdana" w:cs="Arial"/>
          <w:lang w:val="es-ES" w:eastAsia="es-ES"/>
        </w:rPr>
        <w:t>Hernández Ortiz</w:t>
      </w:r>
      <w:r w:rsidRPr="008E6AD9">
        <w:rPr>
          <w:rFonts w:ascii="Verdana" w:eastAsia="Calibri" w:hAnsi="Verdana" w:cs="Arial"/>
          <w:lang w:val="es-ES" w:eastAsia="es-ES"/>
        </w:rPr>
        <w:t xml:space="preserve">: </w:t>
      </w:r>
    </w:p>
    <w:p w14:paraId="7F0B5340" w14:textId="77777777" w:rsidR="00C924DD" w:rsidRDefault="00C924DD" w:rsidP="00C924DD">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085B023" w14:textId="77777777" w:rsidR="00C924DD" w:rsidRPr="00593A5F" w:rsidRDefault="00C924DD" w:rsidP="00C924DD">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15 de diciembre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53C33283" w14:textId="77777777" w:rsidR="00C924DD" w:rsidRPr="00272A7B" w:rsidRDefault="00C924DD" w:rsidP="009A3A0C">
      <w:pPr>
        <w:pStyle w:val="Prrafodelista"/>
        <w:tabs>
          <w:tab w:val="left" w:pos="142"/>
          <w:tab w:val="left" w:pos="284"/>
        </w:tabs>
        <w:spacing w:after="0" w:line="276" w:lineRule="auto"/>
        <w:ind w:left="0"/>
        <w:jc w:val="both"/>
        <w:rPr>
          <w:rFonts w:ascii="Verdana" w:eastAsia="Century Gothic" w:hAnsi="Verdana" w:cs="Century Gothic"/>
          <w:b/>
          <w:bCs/>
        </w:rPr>
      </w:pPr>
    </w:p>
    <w:p w14:paraId="0275B8EA" w14:textId="77777777" w:rsidR="00C924DD" w:rsidRPr="00A87B70" w:rsidRDefault="00C924DD" w:rsidP="00C924DD">
      <w:pPr>
        <w:spacing w:after="120" w:line="240" w:lineRule="auto"/>
        <w:ind w:left="709" w:right="709"/>
        <w:jc w:val="both"/>
        <w:rPr>
          <w:rFonts w:ascii="Verdana" w:eastAsia="Century Gothic" w:hAnsi="Verdana" w:cs="Century Gothic"/>
          <w:sz w:val="21"/>
          <w:szCs w:val="21"/>
          <w:lang w:val="es-ES"/>
        </w:rPr>
      </w:pPr>
      <w:bookmarkStart w:id="1" w:name="_Hlk95313578"/>
      <w:r w:rsidRPr="006E7258">
        <w:rPr>
          <w:rFonts w:ascii="Verdana" w:eastAsia="Century Gothic" w:hAnsi="Verdana" w:cs="Century Gothic"/>
          <w:sz w:val="21"/>
          <w:szCs w:val="21"/>
          <w:lang w:val="es-ES"/>
        </w:rPr>
        <w:t>“</w:t>
      </w:r>
      <w:bookmarkEnd w:id="1"/>
      <w:r>
        <w:rPr>
          <w:rFonts w:ascii="Verdana" w:eastAsia="Century Gothic" w:hAnsi="Verdana" w:cs="Century Gothic"/>
          <w:sz w:val="21"/>
          <w:szCs w:val="21"/>
          <w:lang w:val="es-ES"/>
        </w:rPr>
        <w:t xml:space="preserve">[…] </w:t>
      </w:r>
      <w:r w:rsidRPr="00A87B70">
        <w:rPr>
          <w:rFonts w:ascii="Verdana" w:eastAsia="Century Gothic" w:hAnsi="Verdana" w:cs="Century Gothic"/>
          <w:sz w:val="21"/>
          <w:szCs w:val="21"/>
          <w:lang w:val="es-ES"/>
        </w:rPr>
        <w:t xml:space="preserve">¿en qué casos las empresas sociales del estado sujetas a régimen especial deben remitirse al apartado de contratación estatal del </w:t>
      </w:r>
      <w:r w:rsidRPr="00A87B70">
        <w:rPr>
          <w:rFonts w:ascii="Verdana" w:eastAsia="Century Gothic" w:hAnsi="Verdana" w:cs="Century Gothic"/>
          <w:sz w:val="21"/>
          <w:szCs w:val="21"/>
          <w:lang w:val="es-ES"/>
        </w:rPr>
        <w:lastRenderedPageBreak/>
        <w:t xml:space="preserve">decreto 1082 de 2015?, excepto del deber de publicidad que además de estar regulado para las entidades no sujetas al EGCAP como es el caso del deber de publicidad art. 53 de la Ley 2195 de 2022, también la circular externa 002 de 2024 nos precisa que en virtud de la remisión dispuesta por el artículo 2.1.1.2.1.7 del Decreto 1081 de 2015 al artículo 19 del Decreto 1510 de 2013 y sus “modificaciones” teniendo en cuenta que este fue compilado,  en el artículo 2.2.1.1.1.7.1. del Decreto 1082 de 2015 Ese apartado del decreto sí sería aplicable a las </w:t>
      </w:r>
      <w:proofErr w:type="spellStart"/>
      <w:r w:rsidRPr="00A87B70">
        <w:rPr>
          <w:rFonts w:ascii="Verdana" w:eastAsia="Century Gothic" w:hAnsi="Verdana" w:cs="Century Gothic"/>
          <w:sz w:val="21"/>
          <w:szCs w:val="21"/>
          <w:lang w:val="es-ES"/>
        </w:rPr>
        <w:t>E.S.E.s</w:t>
      </w:r>
      <w:proofErr w:type="spellEnd"/>
    </w:p>
    <w:p w14:paraId="79439D01" w14:textId="77777777" w:rsidR="00C924DD" w:rsidRPr="005B7798" w:rsidRDefault="00C924DD" w:rsidP="00C924DD">
      <w:pPr>
        <w:spacing w:after="0" w:line="240" w:lineRule="auto"/>
        <w:ind w:left="709" w:right="709"/>
        <w:jc w:val="both"/>
        <w:rPr>
          <w:rFonts w:ascii="Verdana" w:eastAsia="Century Gothic" w:hAnsi="Verdana" w:cs="Century Gothic"/>
          <w:sz w:val="21"/>
          <w:szCs w:val="21"/>
          <w:lang w:val="es-ES"/>
        </w:rPr>
      </w:pPr>
      <w:r w:rsidRPr="00A87B70">
        <w:rPr>
          <w:rFonts w:ascii="Verdana" w:eastAsia="Century Gothic" w:hAnsi="Verdana" w:cs="Century Gothic"/>
          <w:sz w:val="21"/>
          <w:szCs w:val="21"/>
          <w:lang w:val="es-ES"/>
        </w:rPr>
        <w:t>No obstante, teniendo en cuenta que las Empresas Sociales del Estado por disposición legal cuentan con un régimen contractual excepcional al del Estatuto General de Contratación de la Administración Pública y en consecuencia se rigen por los principios de la función administrativa y de gestión fiscal, por sus estatutos y manuales de contratación los cuales deben estar acorde con los lineamientos de la Resolución 5185 de 2013 y sus modificaciones como por ejemplo una de las más recientes que es la Resolución 1440 de 2024, entre otras. ¿En qué casos además del ya referenciado aplica la remisión al Decreto 1082 de 2015 para los procesos de contratación que adelantan las Empresas Sociales del Estado?</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31EB31D1" w14:textId="77777777" w:rsidR="00C924DD" w:rsidRPr="008E6AD9" w:rsidRDefault="00C924DD" w:rsidP="009A3A0C">
      <w:pPr>
        <w:pStyle w:val="Prrafodelista"/>
        <w:tabs>
          <w:tab w:val="left" w:pos="142"/>
          <w:tab w:val="left" w:pos="284"/>
        </w:tabs>
        <w:spacing w:after="0" w:line="276" w:lineRule="auto"/>
        <w:ind w:left="0"/>
        <w:jc w:val="both"/>
        <w:rPr>
          <w:rFonts w:ascii="Verdana" w:eastAsia="Century Gothic" w:hAnsi="Verdana" w:cs="Century Gothic"/>
          <w:b/>
          <w:bCs/>
        </w:rPr>
      </w:pPr>
    </w:p>
    <w:p w14:paraId="26E2F279" w14:textId="77777777" w:rsidR="00C924DD" w:rsidRPr="00A652FF" w:rsidRDefault="00C924DD" w:rsidP="00C924DD">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B7CD3BC" w14:textId="77777777" w:rsidR="00C924DD" w:rsidRPr="00F23895" w:rsidRDefault="00C924DD" w:rsidP="00C924DD">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r w:rsidRPr="000B43B3">
        <w:rPr>
          <w:rFonts w:ascii="Verdana" w:eastAsia="Calibri" w:hAnsi="Verdana" w:cs="Arial"/>
          <w:lang w:val="es-ES" w:eastAsia="es-ES"/>
        </w:rPr>
        <w:t xml:space="preserve"> </w:t>
      </w:r>
    </w:p>
    <w:p w14:paraId="2ED3D3F3" w14:textId="77777777" w:rsidR="00C924DD" w:rsidRPr="00B92624" w:rsidRDefault="00C924DD" w:rsidP="00C924DD">
      <w:pPr>
        <w:spacing w:after="0" w:line="276" w:lineRule="auto"/>
        <w:ind w:firstLine="708"/>
        <w:jc w:val="both"/>
        <w:rPr>
          <w:rFonts w:ascii="Verdana" w:eastAsia="Calibri" w:hAnsi="Verdana" w:cs="Arial"/>
          <w:lang w:val="es-ES" w:eastAsia="es-ES"/>
        </w:rPr>
      </w:pPr>
    </w:p>
    <w:p w14:paraId="0F76E679" w14:textId="77777777" w:rsidR="00C924DD" w:rsidRPr="00593A5F" w:rsidRDefault="00C924DD" w:rsidP="00C924D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5F747796" w14:textId="77777777" w:rsidR="00C924DD" w:rsidRPr="00593A5F" w:rsidRDefault="00C924DD" w:rsidP="00C924DD">
      <w:pPr>
        <w:tabs>
          <w:tab w:val="left" w:pos="426"/>
        </w:tabs>
        <w:spacing w:after="0" w:line="276" w:lineRule="auto"/>
        <w:jc w:val="both"/>
        <w:rPr>
          <w:rFonts w:ascii="Verdana" w:eastAsia="Century Gothic" w:hAnsi="Verdana" w:cs="Century Gothic"/>
          <w:lang w:val="es-ES"/>
        </w:rPr>
      </w:pPr>
    </w:p>
    <w:p w14:paraId="121CA836" w14:textId="77777777" w:rsidR="00C924DD" w:rsidRPr="00593A5F" w:rsidRDefault="00C924DD" w:rsidP="00C924DD">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 es el marco jurídico de </w:t>
      </w:r>
      <w:r w:rsidRPr="008254BC">
        <w:rPr>
          <w:rFonts w:ascii="Verdana" w:eastAsia="Century Gothic" w:hAnsi="Verdana" w:cs="Century Gothic"/>
        </w:rPr>
        <w:t>los contratos</w:t>
      </w:r>
      <w:r>
        <w:rPr>
          <w:rFonts w:ascii="Verdana" w:eastAsia="Century Gothic" w:hAnsi="Verdana" w:cs="Century Gothic"/>
        </w:rPr>
        <w:t xml:space="preserve"> de las entidades exceptuadas del EGCAP y qué casos deben aplicar la Ley 80 de 1993 y sus decretos reglamentarios?       </w:t>
      </w:r>
      <w:r w:rsidRPr="00C00976">
        <w:rPr>
          <w:rFonts w:ascii="Verdana" w:eastAsia="Century Gothic" w:hAnsi="Verdana" w:cs="Century Gothic"/>
          <w:color w:val="7030A0"/>
        </w:rPr>
        <w:t xml:space="preserve"> </w:t>
      </w:r>
    </w:p>
    <w:p w14:paraId="706DD69D" w14:textId="77777777" w:rsidR="00C924DD" w:rsidRPr="004B140F" w:rsidRDefault="00C924DD" w:rsidP="00C924DD">
      <w:pPr>
        <w:spacing w:after="0" w:line="276" w:lineRule="auto"/>
        <w:jc w:val="both"/>
        <w:rPr>
          <w:rFonts w:ascii="Verdana" w:eastAsia="Calibri" w:hAnsi="Verdana" w:cs="Arial"/>
          <w:color w:val="7030A0"/>
        </w:rPr>
      </w:pPr>
    </w:p>
    <w:p w14:paraId="40CF2B50" w14:textId="77777777" w:rsidR="00C924DD" w:rsidRPr="00593A5F" w:rsidRDefault="00C924DD" w:rsidP="00C924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6BD73A7" w14:textId="77777777" w:rsidR="00C924DD" w:rsidRPr="00593A5F" w:rsidRDefault="00C924DD" w:rsidP="00C924D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924DD" w:rsidRPr="00593A5F" w14:paraId="6B5DE8BD" w14:textId="77777777" w:rsidTr="00B80C9F">
        <w:trPr>
          <w:jc w:val="center"/>
        </w:trPr>
        <w:tc>
          <w:tcPr>
            <w:tcW w:w="8828" w:type="dxa"/>
            <w:shd w:val="clear" w:color="auto" w:fill="auto"/>
          </w:tcPr>
          <w:p w14:paraId="0D0AB479" w14:textId="77777777" w:rsidR="00C924DD" w:rsidRDefault="00C924DD" w:rsidP="00B80C9F">
            <w:pPr>
              <w:spacing w:after="120" w:line="276" w:lineRule="auto"/>
              <w:jc w:val="both"/>
              <w:rPr>
                <w:rFonts w:ascii="Verdana" w:hAnsi="Verdana" w:cs="Arial"/>
                <w:color w:val="000000" w:themeColor="text1"/>
              </w:rPr>
            </w:pPr>
            <w:bookmarkStart w:id="2" w:name="_Hlk171694685"/>
            <w:r w:rsidRPr="00D32286">
              <w:rPr>
                <w:rFonts w:ascii="Verdana" w:eastAsia="Calibri" w:hAnsi="Verdana" w:cs="Arial"/>
                <w:color w:val="000000" w:themeColor="text1"/>
                <w:lang w:val="es-ES"/>
              </w:rPr>
              <w:t>Conforme a la interpretación general de las normas del sistema de compras públicas,</w:t>
            </w:r>
            <w:r>
              <w:rPr>
                <w:rFonts w:ascii="Verdana" w:eastAsia="Calibri" w:hAnsi="Verdana" w:cs="Arial"/>
                <w:color w:val="000000" w:themeColor="text1"/>
                <w:lang w:val="es-ES"/>
              </w:rPr>
              <w:t xml:space="preserve"> </w:t>
            </w:r>
            <w:r w:rsidRPr="00E33D48">
              <w:rPr>
                <w:rFonts w:ascii="Verdana" w:eastAsia="Calibri" w:hAnsi="Verdana" w:cs="Arial"/>
                <w:color w:val="000000" w:themeColor="text1"/>
                <w:lang w:val="es-ES"/>
              </w:rPr>
              <w:t xml:space="preserve">el hecho de que algunas entidades estatales se rijan por el derecho privado en materia contractual no puede entenderse como una negación de lo que establece el artículo 13 de la Ley 1150 de 2007. Este enunciado normativo significó un </w:t>
            </w:r>
            <w:r>
              <w:rPr>
                <w:rFonts w:ascii="Verdana" w:eastAsia="Calibri" w:hAnsi="Verdana" w:cs="Arial"/>
                <w:color w:val="000000" w:themeColor="text1"/>
                <w:lang w:val="es-ES"/>
              </w:rPr>
              <w:t>“</w:t>
            </w:r>
            <w:r w:rsidRPr="00E33D48">
              <w:rPr>
                <w:rFonts w:ascii="Verdana" w:eastAsia="Calibri" w:hAnsi="Verdana" w:cs="Arial"/>
                <w:color w:val="000000" w:themeColor="text1"/>
                <w:lang w:val="es-ES"/>
              </w:rPr>
              <w:t>retorno del derecho administrativo</w:t>
            </w:r>
            <w:r>
              <w:rPr>
                <w:rFonts w:ascii="Verdana" w:eastAsia="Calibri" w:hAnsi="Verdana" w:cs="Arial"/>
                <w:color w:val="000000" w:themeColor="text1"/>
                <w:lang w:val="es-ES"/>
              </w:rPr>
              <w:t>”</w:t>
            </w:r>
            <w:r w:rsidRPr="00E33D48">
              <w:rPr>
                <w:rFonts w:ascii="Verdana" w:eastAsia="Calibri" w:hAnsi="Verdana" w:cs="Arial"/>
                <w:color w:val="000000" w:themeColor="text1"/>
                <w:lang w:val="es-ES"/>
              </w:rPr>
              <w:t xml:space="preserve"> para las entidades excluidas, al reiterar que deben cumplir los principios constitucionales de la función administrativa y de la gestión fiscal, así como el régimen de inhabilidades e incompatibilidades previsto legalmente para la contratación estatal; y ahora también publicar su actividad contractual en el SECOP II, de conformidad con el artículo 53 de la Ley 2195 de 2022</w:t>
            </w:r>
            <w:r>
              <w:rPr>
                <w:rFonts w:ascii="Verdana" w:eastAsia="Calibri" w:hAnsi="Verdana" w:cs="Arial"/>
                <w:color w:val="000000" w:themeColor="text1"/>
                <w:lang w:val="es-ES"/>
              </w:rPr>
              <w:t>.</w:t>
            </w:r>
          </w:p>
          <w:p w14:paraId="6EBA4186" w14:textId="77777777" w:rsidR="00C924DD" w:rsidRDefault="00C924DD" w:rsidP="00B80C9F">
            <w:pPr>
              <w:spacing w:after="120" w:line="276" w:lineRule="auto"/>
              <w:ind w:firstLine="709"/>
              <w:jc w:val="both"/>
              <w:rPr>
                <w:rFonts w:ascii="Verdana" w:eastAsia="Calibri" w:hAnsi="Verdana" w:cs="Arial"/>
                <w:color w:val="000000" w:themeColor="text1"/>
                <w:lang w:val="es-ES_tradnl"/>
              </w:rPr>
            </w:pPr>
            <w:r w:rsidRPr="00E33D48">
              <w:rPr>
                <w:rFonts w:ascii="Verdana" w:eastAsia="Calibri" w:hAnsi="Verdana" w:cs="Arial"/>
                <w:color w:val="000000" w:themeColor="text1"/>
                <w:lang w:val="es-ES_tradnl"/>
              </w:rPr>
              <w:t xml:space="preserve">Adicionalmente, las entidades estatales que, por disposición legal, cuentan con un régimen especial, exceptuado del Estatuto General de Contratación de la Administración Pública –Leyes 80 de 1993, 1150 de 2007 y normas complementarias– pueden expedir un reglamento interno de contratación –comúnmente denominado </w:t>
            </w:r>
            <w:r w:rsidRPr="00E33D48">
              <w:rPr>
                <w:rFonts w:ascii="Verdana" w:eastAsia="Calibri" w:hAnsi="Verdana" w:cs="Arial"/>
                <w:i/>
                <w:color w:val="000000" w:themeColor="text1"/>
                <w:lang w:val="es-ES_tradnl"/>
              </w:rPr>
              <w:t>manual de contratación</w:t>
            </w:r>
            <w:r w:rsidRPr="00E33D48">
              <w:rPr>
                <w:rFonts w:ascii="Verdana" w:eastAsia="Calibri" w:hAnsi="Verdana" w:cs="Arial"/>
                <w:color w:val="000000" w:themeColor="text1"/>
                <w:lang w:val="es-ES_tradnl"/>
              </w:rPr>
              <w:t>–,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w:t>
            </w:r>
          </w:p>
          <w:p w14:paraId="7A709B07" w14:textId="77777777" w:rsidR="00C924DD" w:rsidRPr="00D32286" w:rsidRDefault="00C924DD" w:rsidP="00B80C9F">
            <w:pPr>
              <w:spacing w:after="120" w:line="276" w:lineRule="auto"/>
              <w:ind w:firstLine="709"/>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 xml:space="preserve">No obstante, </w:t>
            </w:r>
            <w:r w:rsidRPr="00D3374F">
              <w:rPr>
                <w:rFonts w:ascii="Verdana" w:eastAsia="Calibri" w:hAnsi="Verdana" w:cs="Arial"/>
                <w:color w:val="000000" w:themeColor="text1"/>
                <w:lang w:val="es-ES_tradnl"/>
              </w:rPr>
              <w:t xml:space="preserve">el artículo 56 de la Ley 2195 de 2022 se presenta como una norma que complementa al parágrafo 7 del artículo 2 de la Ley 1150 de 2007, modificado por la Ley 2022 de 2020, que establece el mandato de </w:t>
            </w:r>
            <w:r w:rsidRPr="00D3374F">
              <w:rPr>
                <w:rFonts w:ascii="Verdana" w:eastAsia="Calibri" w:hAnsi="Verdana" w:cs="Arial"/>
                <w:color w:val="000000" w:themeColor="text1"/>
                <w:lang w:val="es-ES_tradnl"/>
              </w:rPr>
              <w:lastRenderedPageBreak/>
              <w:t>aplicación obligatoria de los documentos tipo para las entidades sometidas al EGCAP cuando celebren contratos o convenios interadministrativos o de cualquier otra índole, con otra Entidad Estatal o con patrimonios autónomos o con personas naturales o jurídicas de derecho privado, cuyo régimen de contratación sea especial o de derecho privado.</w:t>
            </w:r>
            <w:r>
              <w:rPr>
                <w:rFonts w:ascii="Verdana" w:eastAsia="Calibri" w:hAnsi="Verdana" w:cs="Arial"/>
                <w:color w:val="000000" w:themeColor="text1"/>
                <w:lang w:val="es-ES_tradnl"/>
              </w:rPr>
              <w:t xml:space="preserve"> </w:t>
            </w:r>
            <w:r w:rsidRPr="00D3374F">
              <w:rPr>
                <w:rFonts w:ascii="Verdana" w:eastAsia="Calibri" w:hAnsi="Verdana" w:cs="Arial"/>
                <w:color w:val="000000" w:themeColor="text1"/>
                <w:lang w:val="es-ES_tradnl"/>
              </w:rPr>
              <w:t>En este caso, prima el contenido de la Ley 80 de 1993 –junto con su reglamentación– y de los documentos tipo sobre el manual de contratación de la entidad con régimen especial.</w:t>
            </w:r>
          </w:p>
          <w:p w14:paraId="4CF84438" w14:textId="77777777" w:rsidR="00C924DD" w:rsidRPr="00EA07C6" w:rsidRDefault="00C924DD" w:rsidP="00B80C9F">
            <w:pPr>
              <w:spacing w:line="276" w:lineRule="auto"/>
              <w:ind w:firstLine="709"/>
              <w:jc w:val="both"/>
              <w:rPr>
                <w:rFonts w:ascii="Verdana" w:eastAsia="Calibri" w:hAnsi="Verdana" w:cs="Arial"/>
                <w:color w:val="000000" w:themeColor="text1"/>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la contratación de las entidades estatales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0CB6970B" w14:textId="77777777" w:rsidR="00C924DD" w:rsidRPr="00593A5F" w:rsidRDefault="00C924DD" w:rsidP="00C924DD">
      <w:pPr>
        <w:tabs>
          <w:tab w:val="left" w:pos="142"/>
          <w:tab w:val="left" w:pos="284"/>
        </w:tabs>
        <w:spacing w:after="0" w:line="276" w:lineRule="auto"/>
        <w:jc w:val="both"/>
        <w:rPr>
          <w:rFonts w:ascii="Verdana" w:eastAsia="Century Gothic" w:hAnsi="Verdana" w:cs="Century Gothic"/>
          <w:b/>
          <w:bCs/>
          <w:lang w:val="es-ES"/>
        </w:rPr>
      </w:pPr>
    </w:p>
    <w:bookmarkEnd w:id="2"/>
    <w:p w14:paraId="53CD488D" w14:textId="77777777" w:rsidR="00C924DD" w:rsidRPr="00593A5F" w:rsidRDefault="00C924DD" w:rsidP="00C924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56534F9" w14:textId="77777777" w:rsidR="00C924DD" w:rsidRPr="00593A5F" w:rsidRDefault="00C924DD" w:rsidP="00C924DD">
      <w:pPr>
        <w:spacing w:after="0" w:line="276" w:lineRule="auto"/>
        <w:jc w:val="both"/>
        <w:rPr>
          <w:rFonts w:ascii="Verdana" w:eastAsia="Calibri" w:hAnsi="Verdana" w:cs="Arial"/>
          <w:color w:val="7030A0"/>
          <w:lang w:val="es-ES"/>
        </w:rPr>
      </w:pPr>
    </w:p>
    <w:p w14:paraId="16ADEF94" w14:textId="77777777" w:rsidR="00C924DD" w:rsidRDefault="00C924DD" w:rsidP="00C924DD">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29CCC04E" w14:textId="77777777" w:rsidR="00C924DD" w:rsidRDefault="00C924DD" w:rsidP="00C924DD">
      <w:pPr>
        <w:spacing w:after="0" w:line="276" w:lineRule="auto"/>
        <w:jc w:val="both"/>
        <w:rPr>
          <w:rFonts w:ascii="Verdana" w:eastAsia="Calibri" w:hAnsi="Verdana" w:cs="Arial"/>
          <w:lang w:val="es-ES"/>
        </w:rPr>
      </w:pPr>
    </w:p>
    <w:p w14:paraId="2EFA4B60" w14:textId="77777777" w:rsidR="00C924DD" w:rsidRPr="0035328D" w:rsidRDefault="00C924DD" w:rsidP="00C924DD">
      <w:pPr>
        <w:spacing w:after="120" w:line="276" w:lineRule="auto"/>
        <w:jc w:val="both"/>
        <w:rPr>
          <w:rFonts w:ascii="Verdana" w:hAnsi="Verdana" w:cs="Arial"/>
          <w:lang w:val="es-ES"/>
        </w:rPr>
      </w:pPr>
      <w:r>
        <w:rPr>
          <w:rFonts w:ascii="Verdana" w:hAnsi="Verdana" w:cs="Arial"/>
          <w:lang w:val="es-ES"/>
        </w:rPr>
        <w:t>i. D</w:t>
      </w:r>
      <w:r w:rsidRPr="0035328D">
        <w:rPr>
          <w:rFonts w:ascii="Verdana" w:hAnsi="Verdana" w:cs="Arial"/>
          <w:lang w:val="es-ES"/>
        </w:rPr>
        <w:t xml:space="preserve">e acuerdo con el inciso final del artículo 150 superior, corresponde al Congreso de la República expedir el </w:t>
      </w:r>
      <w:r>
        <w:rPr>
          <w:rFonts w:ascii="Verdana" w:hAnsi="Verdana" w:cs="Arial"/>
          <w:lang w:val="es-ES"/>
        </w:rPr>
        <w:t>E</w:t>
      </w:r>
      <w:r w:rsidRPr="0035328D">
        <w:rPr>
          <w:rFonts w:ascii="Verdana" w:hAnsi="Verdana" w:cs="Arial"/>
          <w:lang w:val="es-ES"/>
        </w:rPr>
        <w:t xml:space="preserve">statuto </w:t>
      </w:r>
      <w:r>
        <w:rPr>
          <w:rFonts w:ascii="Verdana" w:hAnsi="Verdana" w:cs="Arial"/>
          <w:lang w:val="es-ES"/>
        </w:rPr>
        <w:t>G</w:t>
      </w:r>
      <w:r w:rsidRPr="0035328D">
        <w:rPr>
          <w:rFonts w:ascii="Verdana" w:hAnsi="Verdana" w:cs="Arial"/>
          <w:lang w:val="es-ES"/>
        </w:rPr>
        <w:t xml:space="preserve">eneral de </w:t>
      </w:r>
      <w:r>
        <w:rPr>
          <w:rFonts w:ascii="Verdana" w:hAnsi="Verdana" w:cs="Arial"/>
          <w:lang w:val="es-ES"/>
        </w:rPr>
        <w:t>C</w:t>
      </w:r>
      <w:r w:rsidRPr="0035328D">
        <w:rPr>
          <w:rFonts w:ascii="Verdana" w:hAnsi="Verdana" w:cs="Arial"/>
          <w:lang w:val="es-ES"/>
        </w:rPr>
        <w:t xml:space="preserve">ontratación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P</w:t>
      </w:r>
      <w:r w:rsidRPr="0035328D">
        <w:rPr>
          <w:rFonts w:ascii="Verdana" w:hAnsi="Verdana" w:cs="Arial"/>
          <w:lang w:val="es-ES"/>
        </w:rPr>
        <w:t xml:space="preserve">ública y, en especial, de la </w:t>
      </w:r>
      <w:r>
        <w:rPr>
          <w:rFonts w:ascii="Verdana" w:hAnsi="Verdana" w:cs="Arial"/>
          <w:lang w:val="es-ES"/>
        </w:rPr>
        <w:t>A</w:t>
      </w:r>
      <w:r w:rsidRPr="0035328D">
        <w:rPr>
          <w:rFonts w:ascii="Verdana" w:hAnsi="Verdana" w:cs="Arial"/>
          <w:lang w:val="es-ES"/>
        </w:rPr>
        <w:t xml:space="preserve">dministración </w:t>
      </w:r>
      <w:r>
        <w:rPr>
          <w:rFonts w:ascii="Verdana" w:hAnsi="Verdana" w:cs="Arial"/>
          <w:lang w:val="es-ES"/>
        </w:rPr>
        <w:t>N</w:t>
      </w:r>
      <w:r w:rsidRPr="0035328D">
        <w:rPr>
          <w:rFonts w:ascii="Verdana" w:hAnsi="Verdana" w:cs="Arial"/>
          <w:lang w:val="es-ES"/>
        </w:rPr>
        <w:t xml:space="preserve">acional. Esta competencia fue ejercida con la expedición de la Ley 80 de 1993, la cual rige para las </w:t>
      </w:r>
      <w:r w:rsidRPr="00F34258">
        <w:rPr>
          <w:rFonts w:ascii="Verdana" w:hAnsi="Verdana" w:cs="Arial"/>
          <w:i/>
          <w:iCs/>
          <w:lang w:val="es-ES"/>
        </w:rPr>
        <w:t>entidades estatales</w:t>
      </w:r>
      <w:r w:rsidRPr="0035328D">
        <w:rPr>
          <w:rFonts w:ascii="Verdana" w:hAnsi="Verdana" w:cs="Arial"/>
          <w:lang w:val="es-ES"/>
        </w:rPr>
        <w:t xml:space="preserve">, esto es, aquellas previstas en los literales a) y b) del numeral 1 del artículo 2 </w:t>
      </w:r>
      <w:r w:rsidRPr="0035328D">
        <w:rPr>
          <w:rFonts w:ascii="Verdana" w:hAnsi="Verdana" w:cs="Arial"/>
          <w:i/>
          <w:iCs/>
          <w:lang w:val="es-ES"/>
        </w:rPr>
        <w:t>ibidem</w:t>
      </w:r>
      <w:r w:rsidRPr="0035328D">
        <w:rPr>
          <w:rFonts w:ascii="Verdana" w:hAnsi="Verdana" w:cs="Arial"/>
          <w:lang w:val="es-ES"/>
        </w:rPr>
        <w:t xml:space="preserve">. La norma citada define la competencia contractual en los siguientes términos: </w:t>
      </w:r>
    </w:p>
    <w:p w14:paraId="532A6FF3" w14:textId="77777777" w:rsidR="00C924DD" w:rsidRPr="0035328D" w:rsidRDefault="00C924DD" w:rsidP="00C924DD">
      <w:pPr>
        <w:spacing w:after="120" w:line="276" w:lineRule="auto"/>
        <w:ind w:firstLine="708"/>
        <w:jc w:val="both"/>
        <w:rPr>
          <w:rFonts w:ascii="Verdana" w:hAnsi="Verdana" w:cs="Arial"/>
          <w:lang w:val="es-ES"/>
        </w:rPr>
      </w:pPr>
      <w:r w:rsidRPr="0035328D">
        <w:rPr>
          <w:rFonts w:ascii="Verdana" w:hAnsi="Verdana" w:cs="Arial"/>
          <w:lang w:val="es-ES"/>
        </w:rPr>
        <w:t>El literal a) aplica a las entidades con personería jurídica</w:t>
      </w:r>
      <w:r>
        <w:rPr>
          <w:rFonts w:ascii="Verdana" w:hAnsi="Verdana" w:cs="Arial"/>
          <w:lang w:val="es-ES"/>
        </w:rPr>
        <w:t>.</w:t>
      </w:r>
      <w:r w:rsidRPr="0035328D">
        <w:rPr>
          <w:rFonts w:ascii="Verdana" w:hAnsi="Verdana" w:cs="Arial"/>
          <w:lang w:val="es-ES"/>
        </w:rPr>
        <w:t xml:space="preserve"> </w:t>
      </w:r>
      <w:r>
        <w:rPr>
          <w:rFonts w:ascii="Verdana" w:hAnsi="Verdana" w:cs="Arial"/>
          <w:lang w:val="es-ES"/>
        </w:rPr>
        <w:t>A</w:t>
      </w:r>
      <w:r w:rsidRPr="0035328D">
        <w:rPr>
          <w:rFonts w:ascii="Verdana" w:hAnsi="Verdana" w:cs="Arial"/>
          <w:lang w:val="es-ES"/>
        </w:rPr>
        <w:t xml:space="preserve">lude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w:t>
      </w:r>
      <w:r w:rsidRPr="0035328D">
        <w:rPr>
          <w:rFonts w:ascii="Verdana" w:hAnsi="Verdana" w:cs="Arial"/>
          <w:lang w:val="es-ES"/>
        </w:rPr>
        <w:lastRenderedPageBreak/>
        <w:t xml:space="preserve">jurídicas en las que exista dicha participación pública mayoritaria, cualquiera sea la denominación que ellas adopten, en todos los órdenes y niveles.  </w:t>
      </w:r>
    </w:p>
    <w:p w14:paraId="1E15A175" w14:textId="77777777" w:rsidR="00C924DD" w:rsidRDefault="00C924DD" w:rsidP="00C924DD">
      <w:pPr>
        <w:spacing w:after="120" w:line="276" w:lineRule="auto"/>
        <w:ind w:firstLine="708"/>
        <w:jc w:val="both"/>
        <w:rPr>
          <w:rFonts w:ascii="Verdana" w:hAnsi="Verdana" w:cs="Arial"/>
          <w:lang w:val="es-ES"/>
        </w:rPr>
      </w:pPr>
      <w:r w:rsidRPr="0035328D">
        <w:rPr>
          <w:rFonts w:ascii="Verdana" w:hAnsi="Verdana" w:cs="Arial"/>
          <w:lang w:val="es-ES"/>
        </w:rPr>
        <w:t>En contraste, el literal b) rige para las autoridades que carecen de personería, pero a las que el ordenamiento les otorga “capacidad” para celebrar contratos. Estas entidades son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De acuerdo con el artículo 352 superior, este último apartado debe armonizarse con el artículo 110 del Decreto 111 de 1996, modificado por el artículo 124 de la Ley 1957 de 2019</w:t>
      </w:r>
      <w:r w:rsidRPr="0035328D">
        <w:rPr>
          <w:rStyle w:val="Refdenotaalpie"/>
          <w:rFonts w:ascii="Verdana" w:hAnsi="Verdana" w:cs="Arial"/>
          <w:lang w:val="es-ES"/>
        </w:rPr>
        <w:footnoteReference w:id="1"/>
      </w:r>
      <w:r w:rsidRPr="0035328D">
        <w:rPr>
          <w:rFonts w:ascii="Verdana" w:hAnsi="Verdana" w:cs="Arial"/>
          <w:lang w:val="es-ES"/>
        </w:rPr>
        <w:t xml:space="preserve">. </w:t>
      </w:r>
    </w:p>
    <w:p w14:paraId="3EDFD9B9" w14:textId="77777777" w:rsidR="00C924DD" w:rsidRDefault="00C924DD" w:rsidP="00C924DD">
      <w:pPr>
        <w:spacing w:after="0" w:line="276" w:lineRule="auto"/>
        <w:ind w:firstLine="709"/>
        <w:jc w:val="both"/>
        <w:rPr>
          <w:rFonts w:ascii="Verdana" w:hAnsi="Verdana" w:cs="Arial"/>
          <w:bCs/>
          <w:lang w:val="es-MX"/>
        </w:rPr>
      </w:pPr>
      <w:r w:rsidRPr="00F34258">
        <w:rPr>
          <w:rFonts w:ascii="Verdana" w:hAnsi="Verdana" w:cs="Arial"/>
          <w:lang w:val="es-ES"/>
        </w:rPr>
        <w:t xml:space="preserve">Para las entidades de los párrafos anteriores, </w:t>
      </w:r>
      <w:r>
        <w:rPr>
          <w:rFonts w:ascii="Verdana" w:hAnsi="Verdana" w:cs="Arial"/>
          <w:lang w:val="es-ES"/>
        </w:rPr>
        <w:t xml:space="preserve">sin perjuicio de las excepciones puntales a la aplicación del EGCAP, </w:t>
      </w:r>
      <w:r w:rsidRPr="00F34258">
        <w:rPr>
          <w:rFonts w:ascii="Verdana" w:hAnsi="Verdana" w:cs="Arial"/>
          <w:lang w:val="es-ES"/>
        </w:rPr>
        <w:t xml:space="preserve">los procesos de selección se rigen por el artículo 2 de la Ley 1150 de 2007. El </w:t>
      </w:r>
      <w:r w:rsidRPr="00F34258">
        <w:rPr>
          <w:rFonts w:ascii="Verdana" w:hAnsi="Verdana" w:cs="Arial"/>
          <w:bCs/>
          <w:lang w:val="es-MX"/>
        </w:rPr>
        <w:t xml:space="preserve">numeral uno, inciso primero, dispone que “La escogencia del contratista se efectuará por </w:t>
      </w:r>
      <w:r w:rsidRPr="00F34258">
        <w:rPr>
          <w:rFonts w:ascii="Verdana" w:hAnsi="Verdana" w:cs="Arial"/>
          <w:bCs/>
          <w:i/>
          <w:iCs/>
          <w:lang w:val="es-MX"/>
        </w:rPr>
        <w:t>regla general</w:t>
      </w:r>
      <w:r w:rsidRPr="00F34258">
        <w:rPr>
          <w:rFonts w:ascii="Verdana" w:hAnsi="Verdana" w:cs="Arial"/>
          <w:bCs/>
          <w:lang w:val="es-MX"/>
        </w:rPr>
        <w:t xml:space="preserve"> a través de licitación pública, con las </w:t>
      </w:r>
      <w:r w:rsidRPr="00F34258">
        <w:rPr>
          <w:rFonts w:ascii="Verdana" w:hAnsi="Verdana" w:cs="Arial"/>
          <w:bCs/>
          <w:i/>
          <w:iCs/>
          <w:lang w:val="es-MX"/>
        </w:rPr>
        <w:t>excepciones</w:t>
      </w:r>
      <w:r w:rsidRPr="00F34258">
        <w:rPr>
          <w:rFonts w:ascii="Verdana" w:hAnsi="Verdana" w:cs="Arial"/>
          <w:bCs/>
          <w:lang w:val="es-MX"/>
        </w:rPr>
        <w:t xml:space="preserve"> que se señalan en los numerales 2, 3 y 4 del presente artículo”</w:t>
      </w:r>
      <w:r>
        <w:rPr>
          <w:rFonts w:ascii="Verdana" w:hAnsi="Verdana" w:cs="Arial"/>
          <w:bCs/>
          <w:lang w:val="es-MX"/>
        </w:rPr>
        <w:t xml:space="preserve"> (Énfasis fuera de texto)</w:t>
      </w:r>
      <w:r w:rsidRPr="00F34258">
        <w:rPr>
          <w:rFonts w:ascii="Verdana" w:hAnsi="Verdana" w:cs="Arial"/>
          <w:bCs/>
          <w:lang w:val="es-MX"/>
        </w:rPr>
        <w:t>, norma que sustituye el derogado numeral 1 del artículo 24 de la Ley 80 de 1993 sobre el principio de transparencia</w:t>
      </w:r>
      <w:r w:rsidRPr="00F34258">
        <w:rPr>
          <w:rFonts w:ascii="Verdana" w:hAnsi="Verdana" w:cs="Arial"/>
          <w:bCs/>
          <w:vertAlign w:val="superscript"/>
          <w:lang w:val="es-MX"/>
        </w:rPr>
        <w:footnoteReference w:id="2"/>
      </w:r>
      <w:r w:rsidRPr="00F34258">
        <w:rPr>
          <w:rFonts w:ascii="Verdana" w:hAnsi="Verdana" w:cs="Arial"/>
          <w:bCs/>
          <w:lang w:val="es-MX"/>
        </w:rPr>
        <w:t xml:space="preserve">. En este contexto, salvo norma especial que ordene la celebración del negocio jurídico por </w:t>
      </w:r>
      <w:r>
        <w:rPr>
          <w:rFonts w:ascii="Verdana" w:hAnsi="Verdana" w:cs="Arial"/>
          <w:bCs/>
          <w:lang w:val="es-MX"/>
        </w:rPr>
        <w:t xml:space="preserve">selección abreviada, concurso de méritos, mínima </w:t>
      </w:r>
      <w:r>
        <w:rPr>
          <w:rFonts w:ascii="Verdana" w:hAnsi="Verdana" w:cs="Arial"/>
          <w:bCs/>
          <w:lang w:val="es-MX"/>
        </w:rPr>
        <w:lastRenderedPageBreak/>
        <w:t>cuantía o contratación directa</w:t>
      </w:r>
      <w:r w:rsidRPr="00F34258">
        <w:rPr>
          <w:rFonts w:ascii="Verdana" w:hAnsi="Verdana" w:cs="Arial"/>
          <w:bCs/>
          <w:lang w:val="es-MX"/>
        </w:rPr>
        <w:t>, debe aplicarse la regla general de licitación pública</w:t>
      </w:r>
      <w:r w:rsidRPr="00F34258">
        <w:rPr>
          <w:rFonts w:ascii="Verdana" w:hAnsi="Verdana" w:cs="Arial"/>
          <w:bCs/>
          <w:vertAlign w:val="superscript"/>
          <w:lang w:val="es-MX"/>
        </w:rPr>
        <w:footnoteReference w:id="3"/>
      </w:r>
      <w:r w:rsidRPr="00F34258">
        <w:rPr>
          <w:rFonts w:ascii="Verdana" w:hAnsi="Verdana" w:cs="Arial"/>
          <w:bCs/>
          <w:lang w:val="es-MX"/>
        </w:rPr>
        <w:t>.</w:t>
      </w:r>
    </w:p>
    <w:p w14:paraId="2CB06E57" w14:textId="77777777" w:rsidR="00C924DD" w:rsidRDefault="00C924DD" w:rsidP="00C924DD">
      <w:pPr>
        <w:spacing w:after="0" w:line="276" w:lineRule="auto"/>
        <w:ind w:firstLine="709"/>
        <w:jc w:val="both"/>
        <w:rPr>
          <w:rFonts w:ascii="Verdana" w:hAnsi="Verdana" w:cs="Arial"/>
          <w:bCs/>
          <w:lang w:val="es-MX"/>
        </w:rPr>
      </w:pPr>
    </w:p>
    <w:p w14:paraId="0785DB2C" w14:textId="77777777" w:rsidR="00C924DD" w:rsidRPr="00AD2699" w:rsidRDefault="00C924DD" w:rsidP="00C924DD">
      <w:pPr>
        <w:spacing w:after="120" w:line="276" w:lineRule="auto"/>
        <w:jc w:val="both"/>
        <w:rPr>
          <w:rFonts w:ascii="Verdana" w:hAnsi="Verdana" w:cs="Arial"/>
          <w:bCs/>
          <w:lang w:val="es-MX"/>
        </w:rPr>
      </w:pPr>
      <w:proofErr w:type="spellStart"/>
      <w:r>
        <w:rPr>
          <w:rFonts w:ascii="Verdana" w:hAnsi="Verdana" w:cs="Arial"/>
          <w:bCs/>
        </w:rPr>
        <w:t>ii</w:t>
      </w:r>
      <w:proofErr w:type="spellEnd"/>
      <w:r>
        <w:rPr>
          <w:rFonts w:ascii="Verdana" w:hAnsi="Verdana" w:cs="Arial"/>
          <w:bCs/>
        </w:rPr>
        <w:t>. Pese a lo anterior, no resulta extraño que el sistema de compras públicas</w:t>
      </w:r>
      <w:r w:rsidRPr="00FB2E1F">
        <w:rPr>
          <w:rFonts w:ascii="Verdana" w:hAnsi="Verdana" w:cs="Arial"/>
          <w:bCs/>
        </w:rPr>
        <w:t xml:space="preserve"> se apoy</w:t>
      </w:r>
      <w:r>
        <w:rPr>
          <w:rFonts w:ascii="Verdana" w:hAnsi="Verdana" w:cs="Arial"/>
          <w:bCs/>
        </w:rPr>
        <w:t>e</w:t>
      </w:r>
      <w:r w:rsidRPr="00FB2E1F">
        <w:rPr>
          <w:rFonts w:ascii="Verdana" w:hAnsi="Verdana" w:cs="Arial"/>
          <w:bCs/>
        </w:rPr>
        <w:t xml:space="preserve"> en normas de derecho civil y comercial, ya que la figura del contrato es transversal a todo el ordenamiento jurídico. Respecto a las </w:t>
      </w:r>
      <w:r w:rsidRPr="00FB2E1F">
        <w:rPr>
          <w:rFonts w:ascii="Verdana" w:hAnsi="Verdana" w:cs="Arial"/>
          <w:bCs/>
          <w:i/>
          <w:iCs/>
        </w:rPr>
        <w:t>entidades sometidas a la Ley 80 de 1993</w:t>
      </w:r>
      <w:r w:rsidRPr="00FB2E1F">
        <w:rPr>
          <w:rFonts w:ascii="Verdana" w:hAnsi="Verdana" w:cs="Arial"/>
          <w:bCs/>
        </w:rPr>
        <w:t>, el inciso primero del artículo 13 dispone que “Los contratos que celebren las entidades a que se refiere el artículo 2o. del presente estatuto se regirán por las disposiciones comerciales y civiles pertinentes, salvo en las materias particularmente reguladas en esta ley”. 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y que “Las estipulaciones de los contratos serán las que de acuerdo con las normas civiles, comerciales y las previstas en esta ley, correspondan a su esencia y naturaleza” –art. 40, inciso primero–.</w:t>
      </w:r>
    </w:p>
    <w:p w14:paraId="3535D91D" w14:textId="77777777" w:rsidR="00C924DD" w:rsidRPr="00FB2E1F" w:rsidRDefault="00C924DD" w:rsidP="00C924DD">
      <w:pPr>
        <w:spacing w:after="120" w:line="276" w:lineRule="auto"/>
        <w:ind w:firstLine="708"/>
        <w:jc w:val="both"/>
        <w:rPr>
          <w:rFonts w:ascii="Verdana" w:hAnsi="Verdana" w:cs="Arial"/>
          <w:bCs/>
        </w:rPr>
      </w:pPr>
      <w:r w:rsidRPr="00FB2E1F">
        <w:rPr>
          <w:rFonts w:ascii="Verdana" w:hAnsi="Verdana" w:cs="Arial"/>
          <w:bCs/>
        </w:rPr>
        <w:t xml:space="preserve">No obstante, aunque tenga una influencia limitada, las </w:t>
      </w:r>
      <w:r w:rsidRPr="00FB2E1F">
        <w:rPr>
          <w:rFonts w:ascii="Verdana" w:hAnsi="Verdana" w:cs="Arial"/>
          <w:bCs/>
          <w:i/>
          <w:iCs/>
        </w:rPr>
        <w:t>entidades del régimen exceptuado</w:t>
      </w:r>
      <w:r w:rsidRPr="00FB2E1F">
        <w:rPr>
          <w:rFonts w:ascii="Verdana" w:hAnsi="Verdana" w:cs="Arial"/>
          <w:bCs/>
        </w:rPr>
        <w:t xml:space="preserve"> no se deslingan por completo de las normas de derecho público. Esto en la medida que el inciso primero del artículo 13 de la Ley 1150 de 2007 prescribe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w:t>
      </w:r>
      <w:r w:rsidRPr="00FB2E1F">
        <w:rPr>
          <w:rFonts w:ascii="Verdana" w:hAnsi="Verdana" w:cs="Arial"/>
          <w:bCs/>
        </w:rPr>
        <w:lastRenderedPageBreak/>
        <w:t>Constitución Política, respectivamente según sea el caso y estarán sometidas al régimen de inhabilidades e incompatibilidades previsto legalmente para la contratación estatal”.</w:t>
      </w:r>
    </w:p>
    <w:p w14:paraId="6DD6F4DD" w14:textId="77777777" w:rsidR="00C924DD" w:rsidRDefault="00C924DD" w:rsidP="00C924DD">
      <w:pPr>
        <w:spacing w:after="0" w:line="276" w:lineRule="auto"/>
        <w:ind w:firstLine="709"/>
        <w:jc w:val="both"/>
        <w:rPr>
          <w:rFonts w:ascii="Verdana" w:hAnsi="Verdana" w:cs="Arial"/>
          <w:bCs/>
        </w:rPr>
      </w:pPr>
      <w:r w:rsidRPr="00FB2E1F">
        <w:rPr>
          <w:rFonts w:ascii="Verdana" w:hAnsi="Verdana" w:cs="Arial"/>
          <w:bCs/>
        </w:rPr>
        <w:t xml:space="preserve">La existencia de entidades exceptuadas del EGCAP se ha justificado por alguna de las siguientes tres (3) circunstancias: i) facilitar la competencia económica –como ocurre actualmente respecto al régimen de los servicios públicos domiciliarios–, </w:t>
      </w:r>
      <w:proofErr w:type="spellStart"/>
      <w:r w:rsidRPr="00FB2E1F">
        <w:rPr>
          <w:rFonts w:ascii="Verdana" w:hAnsi="Verdana" w:cs="Arial"/>
          <w:bCs/>
        </w:rPr>
        <w:t>ii</w:t>
      </w:r>
      <w:proofErr w:type="spellEnd"/>
      <w:r w:rsidRPr="00FB2E1F">
        <w:rPr>
          <w:rFonts w:ascii="Verdana" w:hAnsi="Verdana" w:cs="Arial"/>
          <w:bCs/>
        </w:rPr>
        <w:t xml:space="preserve">) flexibilizar el ejercicio de la función administrativa –como en los contratos del Banco de la República o los de ciencia y tecnología– o </w:t>
      </w:r>
      <w:proofErr w:type="spellStart"/>
      <w:r w:rsidRPr="00FB2E1F">
        <w:rPr>
          <w:rFonts w:ascii="Verdana" w:hAnsi="Verdana" w:cs="Arial"/>
          <w:bCs/>
        </w:rPr>
        <w:t>iii</w:t>
      </w:r>
      <w:proofErr w:type="spellEnd"/>
      <w:r w:rsidRPr="00FB2E1F">
        <w:rPr>
          <w:rFonts w:ascii="Verdana" w:hAnsi="Verdana" w:cs="Arial"/>
          <w:bCs/>
        </w:rPr>
        <w:t>) establecer un régimen especial sin excluir por completo la aplicación de la Ley 80 de 1993 –como ocurre en la operaciones del crédito público–</w:t>
      </w:r>
      <w:r w:rsidRPr="00FB2E1F">
        <w:rPr>
          <w:rFonts w:ascii="Verdana" w:hAnsi="Verdana" w:cs="Arial"/>
          <w:bCs/>
          <w:vertAlign w:val="superscript"/>
        </w:rPr>
        <w:footnoteReference w:id="4"/>
      </w:r>
      <w:r w:rsidRPr="00FB2E1F">
        <w:rPr>
          <w:rFonts w:ascii="Verdana" w:hAnsi="Verdana" w:cs="Arial"/>
          <w:bCs/>
        </w:rPr>
        <w:t xml:space="preserve">.  Para estos efectos, la doctrina ha identificado 171 entidades y contratos que manejan un régimen excepcional, los cuales se clasifican de acuerdo i) al sector económico, </w:t>
      </w:r>
      <w:proofErr w:type="spellStart"/>
      <w:r w:rsidRPr="00FB2E1F">
        <w:rPr>
          <w:rFonts w:ascii="Verdana" w:hAnsi="Verdana" w:cs="Arial"/>
          <w:bCs/>
        </w:rPr>
        <w:t>ii</w:t>
      </w:r>
      <w:proofErr w:type="spellEnd"/>
      <w:r w:rsidRPr="00FB2E1F">
        <w:rPr>
          <w:rFonts w:ascii="Verdana" w:hAnsi="Verdana" w:cs="Arial"/>
          <w:bCs/>
        </w:rPr>
        <w:t xml:space="preserve">) la asignación de un esquema legal especial, </w:t>
      </w:r>
      <w:proofErr w:type="spellStart"/>
      <w:r w:rsidRPr="00FB2E1F">
        <w:rPr>
          <w:rFonts w:ascii="Verdana" w:hAnsi="Verdana" w:cs="Arial"/>
          <w:bCs/>
        </w:rPr>
        <w:t>iii</w:t>
      </w:r>
      <w:proofErr w:type="spellEnd"/>
      <w:r w:rsidRPr="00FB2E1F">
        <w:rPr>
          <w:rFonts w:ascii="Verdana" w:hAnsi="Verdana" w:cs="Arial"/>
          <w:bCs/>
        </w:rPr>
        <w:t xml:space="preserve">) el objeto del contrato celebrado y </w:t>
      </w:r>
      <w:proofErr w:type="spellStart"/>
      <w:r w:rsidRPr="00FB2E1F">
        <w:rPr>
          <w:rFonts w:ascii="Verdana" w:hAnsi="Verdana" w:cs="Arial"/>
          <w:bCs/>
        </w:rPr>
        <w:t>iv</w:t>
      </w:r>
      <w:proofErr w:type="spellEnd"/>
      <w:r w:rsidRPr="00FB2E1F">
        <w:rPr>
          <w:rFonts w:ascii="Verdana" w:hAnsi="Verdana" w:cs="Arial"/>
          <w:bCs/>
        </w:rPr>
        <w:t>) la existencia de fondos que administran recursos públicos</w:t>
      </w:r>
      <w:r w:rsidRPr="00FB2E1F">
        <w:rPr>
          <w:rFonts w:ascii="Verdana" w:hAnsi="Verdana" w:cs="Arial"/>
          <w:bCs/>
          <w:vertAlign w:val="superscript"/>
        </w:rPr>
        <w:footnoteReference w:id="5"/>
      </w:r>
      <w:r w:rsidRPr="00FB2E1F">
        <w:rPr>
          <w:rFonts w:ascii="Verdana" w:hAnsi="Verdana" w:cs="Arial"/>
          <w:bCs/>
        </w:rPr>
        <w:t>.</w:t>
      </w:r>
    </w:p>
    <w:p w14:paraId="6A7CBF7D" w14:textId="77777777" w:rsidR="00C924DD" w:rsidRDefault="00C924DD" w:rsidP="00C924DD">
      <w:pPr>
        <w:spacing w:after="0" w:line="276" w:lineRule="auto"/>
        <w:ind w:firstLine="709"/>
        <w:jc w:val="both"/>
        <w:rPr>
          <w:rFonts w:ascii="Verdana" w:hAnsi="Verdana" w:cs="Arial"/>
          <w:bCs/>
        </w:rPr>
      </w:pPr>
    </w:p>
    <w:p w14:paraId="4ECB0C54" w14:textId="77777777" w:rsidR="00C924DD" w:rsidRPr="00E33D48" w:rsidRDefault="00C924DD" w:rsidP="00C924DD">
      <w:pPr>
        <w:tabs>
          <w:tab w:val="left" w:pos="426"/>
        </w:tabs>
        <w:spacing w:line="276" w:lineRule="auto"/>
        <w:jc w:val="both"/>
        <w:rPr>
          <w:rFonts w:ascii="Verdana" w:eastAsia="Calibri" w:hAnsi="Verdana" w:cs="Arial"/>
          <w:b/>
          <w:bCs/>
          <w:color w:val="000000" w:themeColor="text1"/>
          <w:lang w:val="es-ES"/>
        </w:rPr>
      </w:pPr>
      <w:proofErr w:type="spellStart"/>
      <w:r w:rsidRPr="00E33D48">
        <w:rPr>
          <w:rFonts w:ascii="Verdana" w:hAnsi="Verdana" w:cs="Arial"/>
          <w:bCs/>
        </w:rPr>
        <w:t>iii</w:t>
      </w:r>
      <w:proofErr w:type="spellEnd"/>
      <w:r w:rsidRPr="00E33D48">
        <w:rPr>
          <w:rFonts w:ascii="Verdana" w:hAnsi="Verdana" w:cs="Arial"/>
          <w:bCs/>
        </w:rPr>
        <w:t xml:space="preserve">. </w:t>
      </w:r>
      <w:r w:rsidRPr="00E33D48">
        <w:rPr>
          <w:rFonts w:ascii="Verdana" w:eastAsia="Calibri" w:hAnsi="Verdana" w:cs="Arial"/>
          <w:color w:val="000000" w:themeColor="text1"/>
          <w:lang w:val="es-ES"/>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5EA4DE43" w14:textId="77777777" w:rsidR="00C924DD" w:rsidRPr="00E33D48" w:rsidRDefault="00C924DD" w:rsidP="00C924DD">
      <w:pPr>
        <w:spacing w:before="120" w:after="120" w:line="276" w:lineRule="auto"/>
        <w:jc w:val="both"/>
        <w:rPr>
          <w:rFonts w:ascii="Verdana" w:eastAsia="Calibri" w:hAnsi="Verdana" w:cs="Arial"/>
          <w:color w:val="000000" w:themeColor="text1"/>
          <w:lang w:val="es-ES"/>
        </w:rPr>
      </w:pPr>
      <w:r w:rsidRPr="00E33D48">
        <w:rPr>
          <w:rFonts w:ascii="Verdana" w:eastAsia="Calibri" w:hAnsi="Verdana" w:cs="Arial"/>
          <w:color w:val="000000" w:themeColor="text1"/>
          <w:lang w:val="es-ES_tradnl"/>
        </w:rPr>
        <w:tab/>
      </w:r>
      <w:r w:rsidRPr="00E33D48">
        <w:rPr>
          <w:rFonts w:ascii="Verdana" w:eastAsia="Calibri" w:hAnsi="Verdana" w:cs="Arial"/>
          <w:color w:val="000000" w:themeColor="text1"/>
          <w:lang w:val="es-ES"/>
        </w:rPr>
        <w:t xml:space="preserve">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w:t>
      </w:r>
      <w:r>
        <w:rPr>
          <w:rFonts w:ascii="Verdana" w:eastAsia="Calibri" w:hAnsi="Verdana" w:cs="Arial"/>
          <w:color w:val="000000" w:themeColor="text1"/>
          <w:lang w:val="es-ES"/>
        </w:rPr>
        <w:t>–</w:t>
      </w:r>
      <w:r w:rsidRPr="00E33D48">
        <w:rPr>
          <w:rFonts w:ascii="Verdana" w:eastAsia="Calibri" w:hAnsi="Verdana" w:cs="Arial"/>
          <w:color w:val="000000" w:themeColor="text1"/>
          <w:lang w:val="es-ES"/>
        </w:rPr>
        <w:t xml:space="preserve"> Colombia Compra Eficiente expidió la Guía para las entidades estatales con régimen especial de contratación, que las define como </w:t>
      </w:r>
      <w:r w:rsidRPr="00E33D48">
        <w:rPr>
          <w:rFonts w:ascii="Verdana" w:eastAsia="Calibri" w:hAnsi="Verdana" w:cs="Arial"/>
          <w:color w:val="000000" w:themeColor="text1"/>
          <w:lang w:val="es-ES"/>
        </w:rPr>
        <w:lastRenderedPageBreak/>
        <w:t>aquellas que contratan con un régimen distinto a las Leyes 80 de 1993 y 1150 de 2007</w:t>
      </w:r>
      <w:r w:rsidRPr="00E33D48">
        <w:rPr>
          <w:rStyle w:val="Refdenotaalpie"/>
          <w:rFonts w:ascii="Verdana" w:eastAsia="Calibri" w:hAnsi="Verdana" w:cs="Arial"/>
          <w:color w:val="000000" w:themeColor="text1"/>
          <w:lang w:val="es-ES"/>
        </w:rPr>
        <w:footnoteReference w:id="6"/>
      </w:r>
      <w:r w:rsidRPr="00E33D48">
        <w:rPr>
          <w:rFonts w:ascii="Verdana" w:eastAsia="Calibri" w:hAnsi="Verdana" w:cs="Arial"/>
          <w:color w:val="000000" w:themeColor="text1"/>
          <w:lang w:val="es-ES"/>
        </w:rPr>
        <w:t>.</w:t>
      </w:r>
    </w:p>
    <w:p w14:paraId="75EF91D2" w14:textId="77777777" w:rsidR="00C924DD" w:rsidRDefault="00C924DD" w:rsidP="00C924DD">
      <w:pPr>
        <w:spacing w:after="0" w:line="276" w:lineRule="auto"/>
        <w:jc w:val="both"/>
        <w:rPr>
          <w:rFonts w:ascii="Verdana" w:eastAsia="Calibri" w:hAnsi="Verdana" w:cs="Arial"/>
          <w:color w:val="000000" w:themeColor="text1"/>
          <w:lang w:val="es-ES"/>
        </w:rPr>
      </w:pPr>
      <w:r w:rsidRPr="00E33D48">
        <w:rPr>
          <w:rFonts w:ascii="Verdana" w:eastAsia="Calibri" w:hAnsi="Verdana" w:cs="Arial"/>
          <w:color w:val="000000" w:themeColor="text1"/>
          <w:lang w:val="es-ES_tradnl"/>
        </w:rPr>
        <w:tab/>
      </w:r>
      <w:r w:rsidRPr="00E33D48">
        <w:rPr>
          <w:rFonts w:ascii="Verdana" w:eastAsia="Calibri" w:hAnsi="Verdana" w:cs="Arial"/>
          <w:color w:val="000000" w:themeColor="text1"/>
          <w:lang w:val="es-ES"/>
        </w:rPr>
        <w:t>No obstante,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02BA0B32" w14:textId="77777777" w:rsidR="00C924DD" w:rsidRPr="00E33D48" w:rsidRDefault="00C924DD" w:rsidP="00C924DD">
      <w:pPr>
        <w:spacing w:after="0" w:line="276" w:lineRule="auto"/>
        <w:jc w:val="both"/>
        <w:rPr>
          <w:rFonts w:ascii="Verdana" w:eastAsia="Calibri" w:hAnsi="Verdana" w:cs="Arial"/>
          <w:color w:val="000000" w:themeColor="text1"/>
          <w:lang w:val="es-ES"/>
        </w:rPr>
      </w:pPr>
    </w:p>
    <w:p w14:paraId="364C31D7" w14:textId="77777777" w:rsidR="00C924DD" w:rsidRPr="00E33D48" w:rsidRDefault="00C924DD" w:rsidP="00C924DD">
      <w:pPr>
        <w:spacing w:line="240" w:lineRule="auto"/>
        <w:ind w:left="709" w:right="709"/>
        <w:jc w:val="both"/>
        <w:rPr>
          <w:rFonts w:ascii="Verdana" w:eastAsia="Calibri" w:hAnsi="Verdana" w:cs="Arial"/>
          <w:color w:val="000000" w:themeColor="text1"/>
          <w:sz w:val="21"/>
          <w:szCs w:val="21"/>
          <w:lang w:val="es-ES_tradnl"/>
        </w:rPr>
      </w:pPr>
      <w:r w:rsidRPr="00E33D48">
        <w:rPr>
          <w:rFonts w:ascii="Verdana" w:eastAsia="Calibri" w:hAnsi="Verdana"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2420D32F" w14:textId="77777777" w:rsidR="00C924DD" w:rsidRPr="00E33D48" w:rsidRDefault="00C924DD" w:rsidP="00C924DD">
      <w:pPr>
        <w:spacing w:line="240" w:lineRule="auto"/>
        <w:ind w:left="709" w:right="709"/>
        <w:jc w:val="both"/>
        <w:rPr>
          <w:rFonts w:ascii="Verdana" w:eastAsia="Calibri" w:hAnsi="Verdana" w:cs="Arial"/>
          <w:color w:val="000000" w:themeColor="text1"/>
          <w:sz w:val="21"/>
          <w:szCs w:val="21"/>
          <w:lang w:val="es-ES"/>
        </w:rPr>
      </w:pPr>
      <w:r w:rsidRPr="00E33D48">
        <w:rPr>
          <w:rFonts w:ascii="Verdana" w:eastAsia="Calibri" w:hAnsi="Verdana" w:cs="Arial"/>
          <w:color w:val="000000" w:themeColor="text1"/>
          <w:sz w:val="21"/>
          <w:szCs w:val="21"/>
          <w:lang w:val="es-ES"/>
        </w:rPr>
        <w:t xml:space="preserve">La Sala entiende que el régimen preponderante domina y aporta el gran volumen de normas contractuales y que el régimen inspirador influye y ayuda a </w:t>
      </w:r>
      <w:proofErr w:type="gramStart"/>
      <w:r w:rsidRPr="00E33D48">
        <w:rPr>
          <w:rFonts w:ascii="Verdana" w:eastAsia="Calibri" w:hAnsi="Verdana" w:cs="Arial"/>
          <w:color w:val="000000" w:themeColor="text1"/>
          <w:sz w:val="21"/>
          <w:szCs w:val="21"/>
          <w:lang w:val="es-ES"/>
        </w:rPr>
        <w:t>interpretar</w:t>
      </w:r>
      <w:proofErr w:type="gramEnd"/>
      <w:r w:rsidRPr="00E33D48">
        <w:rPr>
          <w:rFonts w:ascii="Verdana" w:eastAsia="Calibri" w:hAnsi="Verdana" w:cs="Arial"/>
          <w:color w:val="000000" w:themeColor="text1"/>
          <w:sz w:val="21"/>
          <w:szCs w:val="21"/>
          <w:lang w:val="es-ES"/>
        </w:rPr>
        <w:t xml:space="preserve"> pero también transforma parte de esas instituciones, porque se suma a ellas, lo que no siempre se logra conservando intacta la institución privada sino introduciéndole modificaciones. </w:t>
      </w:r>
    </w:p>
    <w:p w14:paraId="1A5286E5" w14:textId="77777777" w:rsidR="00C924DD" w:rsidRPr="00E33D48" w:rsidRDefault="00C924DD" w:rsidP="00C924DD">
      <w:pPr>
        <w:spacing w:after="0" w:line="240" w:lineRule="auto"/>
        <w:ind w:left="709" w:right="709"/>
        <w:jc w:val="both"/>
        <w:rPr>
          <w:rFonts w:ascii="Verdana" w:eastAsia="Calibri" w:hAnsi="Verdana" w:cs="Arial"/>
          <w:color w:val="000000" w:themeColor="text1"/>
          <w:sz w:val="21"/>
          <w:szCs w:val="21"/>
          <w:lang w:val="es-ES_tradnl"/>
        </w:rPr>
      </w:pPr>
      <w:r w:rsidRPr="00E33D48">
        <w:rPr>
          <w:rFonts w:ascii="Verdana" w:eastAsia="Calibri" w:hAnsi="Verdana"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E33D48">
        <w:rPr>
          <w:rStyle w:val="Refdenotaalpie"/>
          <w:rFonts w:ascii="Verdana" w:eastAsia="Calibri" w:hAnsi="Verdana" w:cs="Arial"/>
          <w:color w:val="000000" w:themeColor="text1"/>
          <w:sz w:val="21"/>
          <w:szCs w:val="21"/>
          <w:lang w:val="es-ES_tradnl"/>
        </w:rPr>
        <w:footnoteReference w:id="7"/>
      </w:r>
      <w:r w:rsidRPr="00E33D48">
        <w:rPr>
          <w:rFonts w:ascii="Verdana" w:eastAsia="Calibri" w:hAnsi="Verdana" w:cs="Arial"/>
          <w:color w:val="000000" w:themeColor="text1"/>
          <w:sz w:val="21"/>
          <w:szCs w:val="21"/>
          <w:lang w:val="es-ES_tradnl"/>
        </w:rPr>
        <w:t>.</w:t>
      </w:r>
    </w:p>
    <w:p w14:paraId="6B0DCA58" w14:textId="77777777" w:rsidR="00C924DD" w:rsidRPr="00E33D48" w:rsidRDefault="00C924DD" w:rsidP="00C924DD">
      <w:pPr>
        <w:spacing w:after="0" w:line="276" w:lineRule="auto"/>
        <w:ind w:left="709" w:right="709"/>
        <w:jc w:val="both"/>
        <w:rPr>
          <w:rFonts w:ascii="Verdana" w:eastAsia="Calibri" w:hAnsi="Verdana" w:cs="Arial"/>
          <w:color w:val="000000" w:themeColor="text1"/>
          <w:lang w:val="es-ES_tradnl"/>
        </w:rPr>
      </w:pPr>
    </w:p>
    <w:p w14:paraId="0B1872EE" w14:textId="77777777" w:rsidR="00C924DD" w:rsidRPr="00E33D48" w:rsidRDefault="00C924DD" w:rsidP="00C924DD">
      <w:pPr>
        <w:spacing w:line="276" w:lineRule="auto"/>
        <w:ind w:firstLine="708"/>
        <w:jc w:val="both"/>
        <w:rPr>
          <w:rFonts w:ascii="Verdana" w:eastAsia="Calibri" w:hAnsi="Verdana" w:cs="Arial"/>
          <w:color w:val="000000" w:themeColor="text1"/>
          <w:lang w:val="es-ES_tradnl"/>
        </w:rPr>
      </w:pPr>
      <w:r w:rsidRPr="00E33D48">
        <w:rPr>
          <w:rFonts w:ascii="Verdana" w:eastAsia="Calibri" w:hAnsi="Verdana" w:cs="Arial"/>
          <w:color w:val="000000" w:themeColor="text1"/>
          <w:lang w:val="es-ES_tradnl"/>
        </w:rPr>
        <w:lastRenderedPageBreak/>
        <w:t>Considerando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43FDC996" w14:textId="77777777" w:rsidR="00C924DD" w:rsidRPr="00E33D48" w:rsidRDefault="00C924DD" w:rsidP="00C924DD">
      <w:pPr>
        <w:spacing w:before="120" w:after="120" w:line="276" w:lineRule="auto"/>
        <w:ind w:firstLine="708"/>
        <w:jc w:val="both"/>
        <w:rPr>
          <w:rFonts w:ascii="Verdana" w:eastAsia="Calibri" w:hAnsi="Verdana" w:cs="Arial"/>
          <w:color w:val="000000" w:themeColor="text1"/>
          <w:lang w:val="es-ES"/>
        </w:rPr>
      </w:pPr>
      <w:r w:rsidRPr="00E33D48">
        <w:rPr>
          <w:rFonts w:ascii="Verdana" w:eastAsia="Calibri" w:hAnsi="Verdana" w:cs="Arial"/>
          <w:color w:val="000000" w:themeColor="text1"/>
          <w:lang w:val="es-ES"/>
        </w:rPr>
        <w:t>As</w:t>
      </w:r>
      <w:r>
        <w:rPr>
          <w:rFonts w:ascii="Verdana" w:eastAsia="Calibri" w:hAnsi="Verdana" w:cs="Arial"/>
          <w:color w:val="000000" w:themeColor="text1"/>
          <w:lang w:val="es-ES"/>
        </w:rPr>
        <w:t>i</w:t>
      </w:r>
      <w:r w:rsidRPr="00E33D48">
        <w:rPr>
          <w:rFonts w:ascii="Verdana" w:eastAsia="Calibri" w:hAnsi="Verdana" w:cs="Arial"/>
          <w:color w:val="000000" w:themeColor="text1"/>
          <w:lang w:val="es-ES"/>
        </w:rPr>
        <w:t xml:space="preserve">mismo, estas entidades deben cumplir unas obligaciones transversales a la contratación pública, entre ellas la elaboración del Plan Anual de Adquisiciones, la publicación de sus procedimientos de selección a través de la herramienta SECOP </w:t>
      </w:r>
      <w:r>
        <w:rPr>
          <w:rFonts w:ascii="Verdana" w:eastAsia="Calibri" w:hAnsi="Verdana" w:cs="Arial"/>
          <w:color w:val="000000" w:themeColor="text1"/>
          <w:lang w:val="es-ES"/>
        </w:rPr>
        <w:t>–</w:t>
      </w:r>
      <w:r w:rsidRPr="00E33D48">
        <w:rPr>
          <w:rFonts w:ascii="Verdana" w:eastAsia="Calibri" w:hAnsi="Verdana" w:cs="Arial"/>
          <w:color w:val="000000" w:themeColor="text1"/>
          <w:lang w:val="es-ES"/>
        </w:rPr>
        <w:t>en la sección Régimen Especial</w:t>
      </w:r>
      <w:r>
        <w:rPr>
          <w:rFonts w:ascii="Verdana" w:eastAsia="Calibri" w:hAnsi="Verdana" w:cs="Arial"/>
          <w:color w:val="000000" w:themeColor="text1"/>
          <w:lang w:val="es-ES"/>
        </w:rPr>
        <w:t>–</w:t>
      </w:r>
      <w:r w:rsidRPr="00E33D48">
        <w:rPr>
          <w:rFonts w:ascii="Verdana" w:eastAsia="Calibri" w:hAnsi="Verdana" w:cs="Arial"/>
          <w:color w:val="000000" w:themeColor="text1"/>
          <w:lang w:val="es-ES"/>
        </w:rPr>
        <w:t>, hacer uso del clasificador de bienes y servicios de las Naciones Unidas, reportar inhabilidades e incompatibilidades de los proveedores de la entidad y analizar el sector económico de los oferentes, entre otras.</w:t>
      </w:r>
    </w:p>
    <w:p w14:paraId="7A2B5103" w14:textId="77777777" w:rsidR="00C924DD" w:rsidRPr="00E33D48" w:rsidRDefault="00C924DD" w:rsidP="00C924DD">
      <w:pPr>
        <w:spacing w:line="276" w:lineRule="auto"/>
        <w:ind w:firstLine="709"/>
        <w:jc w:val="both"/>
        <w:rPr>
          <w:rFonts w:ascii="Verdana" w:eastAsia="Calibri" w:hAnsi="Verdana" w:cs="Arial"/>
          <w:color w:val="000000" w:themeColor="text1"/>
          <w:lang w:val="es-ES"/>
        </w:rPr>
      </w:pPr>
      <w:r w:rsidRPr="00E33D48">
        <w:rPr>
          <w:rFonts w:ascii="Verdana" w:eastAsia="Calibri" w:hAnsi="Verdana" w:cs="Arial"/>
          <w:color w:val="000000" w:themeColor="text1"/>
          <w:lang w:val="es-ES"/>
        </w:rPr>
        <w:t>Además, debe tener</w:t>
      </w:r>
      <w:r>
        <w:rPr>
          <w:rFonts w:ascii="Verdana" w:eastAsia="Calibri" w:hAnsi="Verdana" w:cs="Arial"/>
          <w:color w:val="000000" w:themeColor="text1"/>
          <w:lang w:val="es-ES"/>
        </w:rPr>
        <w:t>se</w:t>
      </w:r>
      <w:r w:rsidRPr="00E33D48">
        <w:rPr>
          <w:rFonts w:ascii="Verdana" w:eastAsia="Calibri" w:hAnsi="Verdana" w:cs="Arial"/>
          <w:color w:val="000000" w:themeColor="text1"/>
          <w:lang w:val="es-ES"/>
        </w:rPr>
        <w:t xml:space="preserv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como sucede con las empresas sociales del Estado. De modo </w:t>
      </w:r>
      <w:proofErr w:type="gramStart"/>
      <w:r w:rsidRPr="00E33D48">
        <w:rPr>
          <w:rFonts w:ascii="Verdana" w:eastAsia="Calibri" w:hAnsi="Verdana" w:cs="Arial"/>
          <w:color w:val="000000" w:themeColor="text1"/>
          <w:lang w:val="es-ES"/>
        </w:rPr>
        <w:t>que</w:t>
      </w:r>
      <w:proofErr w:type="gramEnd"/>
      <w:r w:rsidRPr="00E33D48">
        <w:rPr>
          <w:rFonts w:ascii="Verdana" w:eastAsia="Calibri" w:hAnsi="Verdana" w:cs="Arial"/>
          <w:color w:val="000000" w:themeColor="text1"/>
          <w:lang w:val="es-ES"/>
        </w:rPr>
        <w:t xml:space="preserve"> si una Entidad sujeta al régimen especial requiere sancionar o dar por terminado el contrato, por regla general, debe acudir al juez competente.</w:t>
      </w:r>
    </w:p>
    <w:p w14:paraId="6ACFD1E7" w14:textId="77777777" w:rsidR="00C924DD" w:rsidRPr="00E33D48" w:rsidRDefault="00C924DD" w:rsidP="00C924DD">
      <w:pPr>
        <w:spacing w:before="120" w:line="276" w:lineRule="auto"/>
        <w:ind w:firstLine="709"/>
        <w:jc w:val="both"/>
        <w:rPr>
          <w:rFonts w:ascii="Verdana" w:eastAsia="Calibri" w:hAnsi="Verdana" w:cs="Arial"/>
          <w:color w:val="000000" w:themeColor="text1"/>
          <w:lang w:val="es-ES"/>
        </w:rPr>
      </w:pPr>
      <w:r w:rsidRPr="00E33D48">
        <w:rPr>
          <w:rFonts w:ascii="Verdana" w:eastAsia="Calibri" w:hAnsi="Verdana" w:cs="Arial"/>
          <w:color w:val="000000" w:themeColor="text1"/>
          <w:lang w:val="es-ES"/>
        </w:rPr>
        <w:t xml:space="preserve">Como se explicó, el hecho de que algunas entidades estatales se rijan por el derecho privado en materia contractual no puede entenderse como una negación de lo que establece el artículo 13 de la Ley 1150 de 2007. Este enunciado normativo significó un </w:t>
      </w:r>
      <w:r>
        <w:rPr>
          <w:rFonts w:ascii="Verdana" w:eastAsia="Calibri" w:hAnsi="Verdana" w:cs="Arial"/>
          <w:color w:val="000000" w:themeColor="text1"/>
          <w:lang w:val="es-ES"/>
        </w:rPr>
        <w:t>“</w:t>
      </w:r>
      <w:r w:rsidRPr="00E33D48">
        <w:rPr>
          <w:rFonts w:ascii="Verdana" w:eastAsia="Calibri" w:hAnsi="Verdana" w:cs="Arial"/>
          <w:color w:val="000000" w:themeColor="text1"/>
          <w:lang w:val="es-ES"/>
        </w:rPr>
        <w:t>retorno del derecho administrativo</w:t>
      </w:r>
      <w:r>
        <w:rPr>
          <w:rFonts w:ascii="Verdana" w:eastAsia="Calibri" w:hAnsi="Verdana" w:cs="Arial"/>
          <w:color w:val="000000" w:themeColor="text1"/>
          <w:lang w:val="es-ES"/>
        </w:rPr>
        <w:t>”</w:t>
      </w:r>
      <w:r w:rsidRPr="00E33D48">
        <w:rPr>
          <w:rFonts w:ascii="Verdana" w:eastAsia="Calibri" w:hAnsi="Verdana" w:cs="Arial"/>
          <w:color w:val="000000" w:themeColor="text1"/>
          <w:lang w:val="es-ES"/>
        </w:rPr>
        <w:t xml:space="preserve"> para las entidades excluidas, al reiterar que deben cumplir los principios constitucionales de la función administrativa y de la gestión fiscal, así como el régimen de inhabilidades e incompatibilidades previsto legalmente para la contratación </w:t>
      </w:r>
      <w:r w:rsidRPr="00E33D48">
        <w:rPr>
          <w:rFonts w:ascii="Verdana" w:eastAsia="Calibri" w:hAnsi="Verdana" w:cs="Arial"/>
          <w:color w:val="000000" w:themeColor="text1"/>
          <w:lang w:val="es-ES"/>
        </w:rPr>
        <w:lastRenderedPageBreak/>
        <w:t>estatal; y ahora también publicar su actividad contractual en el SECOP II, de conformidad con el artículo 53 de la Ley 2195 de 2022</w:t>
      </w:r>
      <w:r w:rsidRPr="00E33D48">
        <w:rPr>
          <w:rStyle w:val="Refdenotaalpie"/>
          <w:rFonts w:ascii="Verdana" w:eastAsia="Calibri" w:hAnsi="Verdana" w:cs="Arial"/>
          <w:color w:val="000000" w:themeColor="text1"/>
          <w:lang w:val="es-ES"/>
        </w:rPr>
        <w:footnoteReference w:id="8"/>
      </w:r>
      <w:r w:rsidRPr="00E33D48">
        <w:rPr>
          <w:rFonts w:ascii="Verdana" w:eastAsia="Calibri" w:hAnsi="Verdana" w:cs="Arial"/>
          <w:color w:val="000000" w:themeColor="text1"/>
          <w:lang w:val="es-ES"/>
        </w:rPr>
        <w:t xml:space="preserve">. </w:t>
      </w:r>
    </w:p>
    <w:p w14:paraId="41B487D3" w14:textId="77777777" w:rsidR="00C924DD" w:rsidRDefault="00C924DD" w:rsidP="00C924DD">
      <w:pPr>
        <w:spacing w:before="120" w:line="276" w:lineRule="auto"/>
        <w:ind w:firstLine="709"/>
        <w:jc w:val="both"/>
        <w:rPr>
          <w:rFonts w:ascii="Verdana" w:eastAsia="Calibri" w:hAnsi="Verdana" w:cs="Arial"/>
          <w:color w:val="000000" w:themeColor="text1"/>
          <w:lang w:val="es-ES_tradnl"/>
        </w:rPr>
      </w:pPr>
      <w:r w:rsidRPr="00E33D48">
        <w:rPr>
          <w:rFonts w:ascii="Verdana" w:eastAsia="Calibri" w:hAnsi="Verdana" w:cs="Arial"/>
          <w:color w:val="000000" w:themeColor="text1"/>
          <w:lang w:val="es-ES_tradnl"/>
        </w:rPr>
        <w:t>Adicionalmente, las entidades estatales que, por disposición legal, cuentan con un régimen especial</w:t>
      </w:r>
      <w:r w:rsidRPr="00E33D48">
        <w:rPr>
          <w:rStyle w:val="Refdenotaalpie"/>
          <w:rFonts w:ascii="Verdana" w:eastAsia="Calibri" w:hAnsi="Verdana" w:cs="Arial"/>
          <w:color w:val="000000" w:themeColor="text1"/>
          <w:lang w:val="es-ES_tradnl"/>
        </w:rPr>
        <w:footnoteReference w:id="9"/>
      </w:r>
      <w:r w:rsidRPr="00E33D48">
        <w:rPr>
          <w:rFonts w:ascii="Verdana" w:eastAsia="Calibri" w:hAnsi="Verdana" w:cs="Arial"/>
          <w:color w:val="000000" w:themeColor="text1"/>
          <w:lang w:val="es-ES_tradnl"/>
        </w:rPr>
        <w:t>, exceptuado del Estatuto General de Contratación de la Administración Pública –Leyes 80 de 1993, 1150 de 2007 y normas complementarias</w:t>
      </w:r>
      <w:r w:rsidRPr="00E33D48">
        <w:rPr>
          <w:rStyle w:val="Refdenotaalpie"/>
          <w:rFonts w:ascii="Verdana" w:eastAsia="Calibri" w:hAnsi="Verdana" w:cs="Arial"/>
          <w:color w:val="000000" w:themeColor="text1"/>
          <w:lang w:val="es-ES_tradnl"/>
        </w:rPr>
        <w:footnoteReference w:id="10"/>
      </w:r>
      <w:r w:rsidRPr="00E33D48">
        <w:rPr>
          <w:rFonts w:ascii="Verdana" w:eastAsia="Calibri" w:hAnsi="Verdana" w:cs="Arial"/>
          <w:color w:val="000000" w:themeColor="text1"/>
          <w:lang w:val="es-ES_tradnl"/>
        </w:rPr>
        <w:t xml:space="preserve">– pueden expedir un reglamento interno de contratación –comúnmente denominado </w:t>
      </w:r>
      <w:r w:rsidRPr="00E33D48">
        <w:rPr>
          <w:rFonts w:ascii="Verdana" w:eastAsia="Calibri" w:hAnsi="Verdana" w:cs="Arial"/>
          <w:i/>
          <w:color w:val="000000" w:themeColor="text1"/>
          <w:lang w:val="es-ES_tradnl"/>
        </w:rPr>
        <w:t>manual de contratación</w:t>
      </w:r>
      <w:r w:rsidRPr="00E33D48">
        <w:rPr>
          <w:rFonts w:ascii="Verdana" w:eastAsia="Calibri" w:hAnsi="Verdana" w:cs="Arial"/>
          <w:color w:val="000000" w:themeColor="text1"/>
          <w:lang w:val="es-ES_tradnl"/>
        </w:rPr>
        <w:t>–,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w:t>
      </w:r>
    </w:p>
    <w:p w14:paraId="45CB7BB3" w14:textId="77777777" w:rsidR="00C924DD" w:rsidRDefault="00C924DD" w:rsidP="00C924DD">
      <w:pPr>
        <w:spacing w:before="120" w:after="0" w:line="276" w:lineRule="auto"/>
        <w:ind w:firstLine="709"/>
        <w:jc w:val="both"/>
        <w:rPr>
          <w:rFonts w:ascii="Verdana" w:eastAsia="Calibri" w:hAnsi="Verdana" w:cs="Arial"/>
          <w:color w:val="000000" w:themeColor="text1"/>
          <w:lang w:val="es-ES"/>
        </w:rPr>
      </w:pPr>
      <w:r w:rsidRPr="00E33D48">
        <w:rPr>
          <w:rFonts w:ascii="Verdana" w:eastAsia="Calibri" w:hAnsi="Verdana" w:cs="Arial"/>
          <w:color w:val="000000" w:themeColor="text1"/>
          <w:lang w:val="es-ES"/>
        </w:rPr>
        <w:t xml:space="preserve">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w:t>
      </w:r>
      <w:proofErr w:type="spellStart"/>
      <w:r w:rsidRPr="00E33D48">
        <w:rPr>
          <w:rFonts w:ascii="Verdana" w:eastAsia="Calibri" w:hAnsi="Verdana" w:cs="Arial"/>
          <w:color w:val="000000" w:themeColor="text1"/>
          <w:lang w:val="es-ES"/>
        </w:rPr>
        <w:t>ii</w:t>
      </w:r>
      <w:proofErr w:type="spellEnd"/>
      <w:r w:rsidRPr="00E33D48">
        <w:rPr>
          <w:rFonts w:ascii="Verdana" w:eastAsia="Calibri" w:hAnsi="Verdana" w:cs="Arial"/>
          <w:color w:val="000000" w:themeColor="text1"/>
          <w:lang w:val="es-ES"/>
        </w:rPr>
        <w:t xml:space="preserve">) sanciones, sin perjuicio de las que pueden pactar de acuerdo con las normas civiles y comerciales, </w:t>
      </w:r>
      <w:proofErr w:type="spellStart"/>
      <w:r w:rsidRPr="00E33D48">
        <w:rPr>
          <w:rFonts w:ascii="Verdana" w:eastAsia="Calibri" w:hAnsi="Verdana" w:cs="Arial"/>
          <w:color w:val="000000" w:themeColor="text1"/>
          <w:lang w:val="es-ES"/>
        </w:rPr>
        <w:t>iii</w:t>
      </w:r>
      <w:proofErr w:type="spellEnd"/>
      <w:r w:rsidRPr="00E33D48">
        <w:rPr>
          <w:rFonts w:ascii="Verdana" w:eastAsia="Calibri" w:hAnsi="Verdana" w:cs="Arial"/>
          <w:color w:val="000000" w:themeColor="text1"/>
          <w:lang w:val="es-ES"/>
        </w:rPr>
        <w:t xml:space="preserve">) procedimientos para su imposición, </w:t>
      </w:r>
      <w:proofErr w:type="spellStart"/>
      <w:r w:rsidRPr="00E33D48">
        <w:rPr>
          <w:rFonts w:ascii="Verdana" w:eastAsia="Calibri" w:hAnsi="Verdana" w:cs="Arial"/>
          <w:color w:val="000000" w:themeColor="text1"/>
          <w:lang w:val="es-ES"/>
        </w:rPr>
        <w:t>iv</w:t>
      </w:r>
      <w:proofErr w:type="spellEnd"/>
      <w:r w:rsidRPr="00E33D48">
        <w:rPr>
          <w:rFonts w:ascii="Verdana" w:eastAsia="Calibri" w:hAnsi="Verdana" w:cs="Arial"/>
          <w:color w:val="000000" w:themeColor="text1"/>
          <w:lang w:val="es-ES"/>
        </w:rPr>
        <w:t xml:space="preserve">) causales de inhabilidad e incompatibilidad, v) el principio de anualidad del gasto, y vi) restricciones al acceso a la administración de justicia para discutir las controversias contractuales, son, entre otros, temas cuya </w:t>
      </w:r>
      <w:r w:rsidRPr="00E33D48">
        <w:rPr>
          <w:rFonts w:ascii="Verdana" w:eastAsia="Calibri" w:hAnsi="Verdana" w:cs="Arial"/>
          <w:color w:val="000000" w:themeColor="text1"/>
          <w:lang w:val="es-ES"/>
        </w:rPr>
        <w:lastRenderedPageBreak/>
        <w:t>regulación está reservada al legislador y que, por tanto, las entidades exceptuadas no pueden reglamentar en su manual de contratación</w:t>
      </w:r>
      <w:r w:rsidRPr="00E33D48">
        <w:rPr>
          <w:rStyle w:val="Refdenotaalpie"/>
          <w:rFonts w:ascii="Verdana" w:eastAsia="Calibri" w:hAnsi="Verdana" w:cs="Arial"/>
          <w:color w:val="000000" w:themeColor="text1"/>
          <w:lang w:val="es-ES"/>
        </w:rPr>
        <w:footnoteReference w:id="11"/>
      </w:r>
      <w:r w:rsidRPr="00E33D48">
        <w:rPr>
          <w:rFonts w:ascii="Verdana" w:eastAsia="Calibri" w:hAnsi="Verdana" w:cs="Arial"/>
          <w:color w:val="000000" w:themeColor="text1"/>
          <w:lang w:val="es-ES"/>
        </w:rPr>
        <w:t>.</w:t>
      </w:r>
    </w:p>
    <w:p w14:paraId="2A5557E6" w14:textId="77777777" w:rsidR="00C924DD" w:rsidRDefault="00C924DD" w:rsidP="00C924DD">
      <w:pPr>
        <w:spacing w:after="0" w:line="276" w:lineRule="auto"/>
        <w:ind w:firstLine="709"/>
        <w:jc w:val="both"/>
        <w:rPr>
          <w:rFonts w:ascii="Verdana" w:eastAsia="Calibri" w:hAnsi="Verdana" w:cs="Arial"/>
          <w:color w:val="000000" w:themeColor="text1"/>
          <w:lang w:val="es-ES"/>
        </w:rPr>
      </w:pPr>
    </w:p>
    <w:p w14:paraId="2719CC2D" w14:textId="77777777" w:rsidR="00C924DD" w:rsidRPr="00C96580" w:rsidRDefault="00C924DD" w:rsidP="00C924DD">
      <w:pPr>
        <w:spacing w:after="0" w:line="276" w:lineRule="auto"/>
        <w:jc w:val="both"/>
        <w:rPr>
          <w:rFonts w:ascii="Verdana" w:eastAsia="Calibri" w:hAnsi="Verdana" w:cs="Arial"/>
          <w:bCs/>
          <w:lang w:val="es-ES_tradnl" w:eastAsia="es-ES_tradnl"/>
        </w:rPr>
      </w:pPr>
      <w:proofErr w:type="spellStart"/>
      <w:r>
        <w:rPr>
          <w:rFonts w:ascii="Verdana" w:hAnsi="Verdana" w:cs="Arial"/>
          <w:bCs/>
        </w:rPr>
        <w:t>iv</w:t>
      </w:r>
      <w:proofErr w:type="spellEnd"/>
      <w:r>
        <w:rPr>
          <w:rFonts w:ascii="Verdana" w:hAnsi="Verdana" w:cs="Arial"/>
          <w:bCs/>
        </w:rPr>
        <w:t xml:space="preserve">. </w:t>
      </w:r>
      <w:r>
        <w:rPr>
          <w:rFonts w:ascii="Verdana" w:eastAsia="Calibri" w:hAnsi="Verdana" w:cs="Arial"/>
          <w:color w:val="000000" w:themeColor="text1"/>
        </w:rPr>
        <w:t>En todo caso</w:t>
      </w:r>
      <w:r w:rsidRPr="001B71D2">
        <w:rPr>
          <w:rFonts w:ascii="Verdana" w:eastAsia="Calibri" w:hAnsi="Verdana" w:cs="Arial"/>
          <w:color w:val="000000" w:themeColor="text1"/>
        </w:rPr>
        <w:t xml:space="preserve">, </w:t>
      </w:r>
      <w:r>
        <w:rPr>
          <w:rFonts w:ascii="Verdana" w:eastAsia="Calibri" w:hAnsi="Verdana" w:cs="Arial"/>
          <w:color w:val="000000" w:themeColor="text1"/>
        </w:rPr>
        <w:t>es necesario resaltar la expedición de</w:t>
      </w:r>
      <w:r w:rsidRPr="00C96580">
        <w:rPr>
          <w:rFonts w:ascii="Verdana" w:eastAsia="Calibri" w:hAnsi="Verdana" w:cs="Arial"/>
          <w:bCs/>
          <w:lang w:val="es-ES_tradnl" w:eastAsia="es-ES_tradnl"/>
        </w:rPr>
        <w:t xml:space="preserve"> la Ley 2195 de 2022, “Por medio de la cual se adoptan medidas en materia de transparencia, prevención y lucha contra la corrupción y se dictan otras disposiciones”. Según su artículo 1°, este cuerpo normativo </w:t>
      </w:r>
      <w:r w:rsidRPr="00C96580">
        <w:rPr>
          <w:rFonts w:ascii="Verdana" w:eastAsia="Calibri" w:hAnsi="Verdana" w:cs="Arial"/>
          <w:lang w:val="es-ES_tradnl" w:eastAsia="es-ES_tradnl"/>
        </w:rPr>
        <w:t>“</w:t>
      </w:r>
      <w:r w:rsidRPr="00C96580">
        <w:rPr>
          <w:rFonts w:ascii="Verdana" w:eastAsia="Times New Roman" w:hAnsi="Verdana" w:cs="Arial"/>
          <w:lang w:val="es-ES_tradnl" w:eastAsia="es-ES_tradnl"/>
        </w:rPr>
        <w:t xml:space="preserve">[…] </w:t>
      </w:r>
      <w:r w:rsidRPr="00C96580">
        <w:rPr>
          <w:rFonts w:ascii="Verdana" w:eastAsia="Calibri" w:hAnsi="Verdana"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w:t>
      </w:r>
      <w:r>
        <w:rPr>
          <w:rFonts w:ascii="Verdana" w:eastAsia="Calibri" w:hAnsi="Verdana" w:cs="Arial"/>
          <w:lang w:val="es-ES_tradnl" w:eastAsia="es-ES_tradnl"/>
        </w:rPr>
        <w:t>l</w:t>
      </w:r>
      <w:r w:rsidRPr="00C96580">
        <w:rPr>
          <w:rFonts w:ascii="Verdana" w:eastAsia="Calibri" w:hAnsi="Verdana" w:cs="Arial"/>
          <w:lang w:val="es-ES_tradnl" w:eastAsia="es-ES_tradnl"/>
        </w:rPr>
        <w:t xml:space="preserve">ey en mención, que lleva por título “Disposiciones en materia contractual para la moralización y la transparencia”, se </w:t>
      </w:r>
      <w:r w:rsidRPr="00C96580">
        <w:rPr>
          <w:rFonts w:ascii="Verdana" w:eastAsia="Calibri" w:hAnsi="Verdana" w:cs="Arial"/>
          <w:bCs/>
          <w:lang w:val="es-ES_tradnl" w:eastAsia="es-ES_tradnl"/>
        </w:rPr>
        <w:t>destaca el artículo 56</w:t>
      </w:r>
      <w:r>
        <w:rPr>
          <w:rFonts w:ascii="Verdana" w:eastAsia="Calibri" w:hAnsi="Verdana" w:cs="Arial"/>
          <w:bCs/>
          <w:lang w:val="es-ES_tradnl" w:eastAsia="es-ES_tradnl"/>
        </w:rPr>
        <w:t>, el cual dispone lo sigui</w:t>
      </w:r>
      <w:r w:rsidRPr="00C96580">
        <w:rPr>
          <w:rFonts w:ascii="Verdana" w:eastAsia="Calibri" w:hAnsi="Verdana" w:cs="Arial"/>
          <w:bCs/>
          <w:lang w:val="es-ES_tradnl" w:eastAsia="es-ES_tradnl"/>
        </w:rPr>
        <w:t xml:space="preserve">ente: </w:t>
      </w:r>
    </w:p>
    <w:p w14:paraId="23BAA7FA" w14:textId="77777777" w:rsidR="00C924DD" w:rsidRPr="00C96580" w:rsidRDefault="00C924DD" w:rsidP="00C924DD">
      <w:pPr>
        <w:spacing w:after="0" w:line="276" w:lineRule="auto"/>
        <w:jc w:val="both"/>
        <w:rPr>
          <w:rFonts w:ascii="Verdana" w:eastAsia="Calibri" w:hAnsi="Verdana" w:cs="Arial"/>
          <w:bCs/>
          <w:lang w:val="es-ES_tradnl" w:eastAsia="es-ES_tradnl"/>
        </w:rPr>
      </w:pPr>
    </w:p>
    <w:p w14:paraId="4ACADC30" w14:textId="77777777" w:rsidR="00C924DD" w:rsidRPr="00C96580" w:rsidRDefault="00C924DD" w:rsidP="00C924DD">
      <w:pPr>
        <w:tabs>
          <w:tab w:val="left" w:pos="0"/>
        </w:tabs>
        <w:spacing w:after="0" w:line="240" w:lineRule="auto"/>
        <w:ind w:left="709" w:right="709"/>
        <w:contextualSpacing/>
        <w:jc w:val="both"/>
        <w:rPr>
          <w:rFonts w:ascii="Verdana" w:eastAsia="Times New Roman" w:hAnsi="Verdana" w:cs="Arial"/>
          <w:sz w:val="21"/>
          <w:szCs w:val="21"/>
          <w:lang w:val="es-ES_tradnl" w:eastAsia="es-ES_tradnl"/>
        </w:rPr>
      </w:pPr>
      <w:r w:rsidRPr="00C96580">
        <w:rPr>
          <w:rFonts w:ascii="Verdana" w:eastAsia="Times New Roman" w:hAnsi="Verdana" w:cs="Arial"/>
          <w:sz w:val="21"/>
          <w:szCs w:val="21"/>
          <w:lang w:val="es-ES_tradnl" w:eastAsia="es-ES_tradnl"/>
        </w:rPr>
        <w:t xml:space="preserve">“Para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w:t>
      </w:r>
      <w:r w:rsidRPr="00C96580">
        <w:rPr>
          <w:rFonts w:ascii="Verdana" w:eastAsia="Times New Roman" w:hAnsi="Verdana" w:cs="Arial"/>
          <w:sz w:val="21"/>
          <w:szCs w:val="21"/>
          <w:lang w:val="es-ES_tradnl" w:eastAsia="es-ES_tradnl"/>
        </w:rPr>
        <w:lastRenderedPageBreak/>
        <w:t xml:space="preserve">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36E0A62" w14:textId="77777777" w:rsidR="00C924DD" w:rsidRPr="00C96580" w:rsidRDefault="00C924DD" w:rsidP="00C924DD">
      <w:pPr>
        <w:tabs>
          <w:tab w:val="left" w:pos="0"/>
        </w:tabs>
        <w:spacing w:after="0" w:line="240" w:lineRule="auto"/>
        <w:ind w:left="709" w:right="709"/>
        <w:contextualSpacing/>
        <w:jc w:val="both"/>
        <w:rPr>
          <w:rFonts w:ascii="Verdana" w:eastAsia="Times New Roman" w:hAnsi="Verdana" w:cs="Arial"/>
          <w:sz w:val="12"/>
          <w:szCs w:val="12"/>
          <w:lang w:val="es-ES_tradnl" w:eastAsia="es-ES_tradnl"/>
        </w:rPr>
      </w:pPr>
    </w:p>
    <w:p w14:paraId="0F912F7D" w14:textId="77777777" w:rsidR="00C924DD" w:rsidRPr="000A721F" w:rsidRDefault="00C924DD" w:rsidP="00C924DD">
      <w:pPr>
        <w:tabs>
          <w:tab w:val="left" w:pos="0"/>
        </w:tabs>
        <w:spacing w:after="0" w:line="240" w:lineRule="auto"/>
        <w:ind w:left="709" w:right="709"/>
        <w:contextualSpacing/>
        <w:jc w:val="both"/>
        <w:rPr>
          <w:rFonts w:ascii="Verdana" w:eastAsia="Times New Roman" w:hAnsi="Verdana" w:cs="Arial"/>
          <w:i/>
          <w:iCs/>
          <w:sz w:val="21"/>
          <w:szCs w:val="21"/>
          <w:lang w:val="es-ES_tradnl" w:eastAsia="es-ES_tradnl"/>
        </w:rPr>
      </w:pPr>
      <w:r w:rsidRPr="000A721F">
        <w:rPr>
          <w:rFonts w:ascii="Verdana" w:eastAsia="Times New Roman" w:hAnsi="Verdana" w:cs="Arial"/>
          <w:i/>
          <w:iCs/>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4FD798BD" w14:textId="77777777" w:rsidR="00C924DD" w:rsidRPr="00C96580" w:rsidRDefault="00C924DD" w:rsidP="00C924DD">
      <w:pPr>
        <w:tabs>
          <w:tab w:val="left" w:pos="0"/>
        </w:tabs>
        <w:spacing w:after="0" w:line="240" w:lineRule="auto"/>
        <w:ind w:left="709" w:right="709"/>
        <w:contextualSpacing/>
        <w:jc w:val="both"/>
        <w:rPr>
          <w:rFonts w:ascii="Verdana" w:eastAsia="Times New Roman" w:hAnsi="Verdana" w:cs="Arial"/>
          <w:sz w:val="12"/>
          <w:szCs w:val="12"/>
          <w:lang w:val="es-ES_tradnl" w:eastAsia="es-ES_tradnl"/>
        </w:rPr>
      </w:pPr>
    </w:p>
    <w:p w14:paraId="1D0B6BB2" w14:textId="77777777" w:rsidR="00C924DD" w:rsidRPr="00C96580" w:rsidRDefault="00C924DD" w:rsidP="00C924DD">
      <w:pPr>
        <w:tabs>
          <w:tab w:val="left" w:pos="0"/>
        </w:tabs>
        <w:spacing w:after="0" w:line="240" w:lineRule="auto"/>
        <w:ind w:left="709" w:right="709"/>
        <w:contextualSpacing/>
        <w:jc w:val="both"/>
        <w:rPr>
          <w:rFonts w:ascii="Verdana" w:eastAsia="Calibri" w:hAnsi="Verdana" w:cs="Arial"/>
          <w:bCs/>
          <w:sz w:val="21"/>
          <w:szCs w:val="21"/>
          <w:lang w:val="es-ES_tradnl" w:eastAsia="es-ES_tradnl"/>
        </w:rPr>
      </w:pPr>
      <w:r w:rsidRPr="00C96580">
        <w:rPr>
          <w:rFonts w:ascii="Verdana" w:eastAsia="Times New Roman" w:hAnsi="Verdana" w:cs="Arial"/>
          <w:sz w:val="21"/>
          <w:szCs w:val="21"/>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r>
        <w:rPr>
          <w:rFonts w:ascii="Verdana" w:eastAsia="Times New Roman" w:hAnsi="Verdana" w:cs="Arial"/>
          <w:sz w:val="21"/>
          <w:szCs w:val="21"/>
          <w:lang w:val="es-ES_tradnl" w:eastAsia="es-ES_tradnl"/>
        </w:rPr>
        <w:t xml:space="preserve"> (Énfasis fuera de texto)</w:t>
      </w:r>
    </w:p>
    <w:p w14:paraId="5A2F47C1" w14:textId="77777777" w:rsidR="00C924DD" w:rsidRPr="00C96580" w:rsidRDefault="00C924DD" w:rsidP="00C924DD">
      <w:pPr>
        <w:spacing w:after="0" w:line="276" w:lineRule="auto"/>
        <w:jc w:val="both"/>
        <w:rPr>
          <w:rFonts w:ascii="Verdana" w:eastAsia="Calibri" w:hAnsi="Verdana" w:cs="Arial"/>
          <w:bCs/>
          <w:lang w:val="es-ES_tradnl" w:eastAsia="es-ES_tradnl"/>
        </w:rPr>
      </w:pPr>
    </w:p>
    <w:p w14:paraId="62E0AAE0" w14:textId="77777777" w:rsidR="00C924DD" w:rsidRPr="00C96580" w:rsidRDefault="00C924DD" w:rsidP="00C924DD">
      <w:pPr>
        <w:tabs>
          <w:tab w:val="left" w:pos="0"/>
        </w:tabs>
        <w:spacing w:after="120" w:line="276" w:lineRule="auto"/>
        <w:jc w:val="both"/>
        <w:rPr>
          <w:rFonts w:ascii="Verdana" w:eastAsia="Calibri" w:hAnsi="Verdana" w:cs="Arial"/>
          <w:bCs/>
          <w:lang w:val="es-ES_tradnl" w:eastAsia="es-ES_tradnl"/>
        </w:rPr>
      </w:pPr>
      <w:r w:rsidRPr="00C96580">
        <w:rPr>
          <w:rFonts w:ascii="Verdana" w:eastAsia="Calibri" w:hAnsi="Verdana" w:cs="Arial"/>
          <w:bCs/>
          <w:lang w:val="es-ES_tradnl" w:eastAsia="es-ES_tradnl"/>
        </w:rPr>
        <w:tab/>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60084590" w14:textId="77777777" w:rsidR="00C924DD" w:rsidRDefault="00C924DD" w:rsidP="00C924DD">
      <w:pPr>
        <w:spacing w:after="120" w:line="276" w:lineRule="auto"/>
        <w:jc w:val="both"/>
        <w:rPr>
          <w:rFonts w:ascii="Verdana" w:eastAsia="Calibri" w:hAnsi="Verdana" w:cs="Arial"/>
          <w:lang w:val="es-ES_tradnl" w:eastAsia="es-ES_tradnl"/>
        </w:rPr>
      </w:pPr>
      <w:r w:rsidRPr="00C96580">
        <w:rPr>
          <w:rFonts w:ascii="Verdana" w:eastAsia="Calibri" w:hAnsi="Verdana" w:cs="Arial"/>
          <w:bCs/>
          <w:lang w:val="es-ES_tradnl" w:eastAsia="es-ES_tradnl"/>
        </w:rPr>
        <w:tab/>
      </w:r>
      <w:r w:rsidRPr="00C96580">
        <w:rPr>
          <w:rFonts w:ascii="Verdana" w:eastAsia="Calibri" w:hAnsi="Verdana" w:cs="Arial"/>
          <w:lang w:val="es-ES_tradnl" w:eastAsia="es-ES_tradnl"/>
        </w:rPr>
        <w:t>De acuerdo con lo anterior, el artículo 56 de la Ley 2195 de 2022</w:t>
      </w:r>
      <w:r>
        <w:rPr>
          <w:rFonts w:ascii="Verdana" w:eastAsia="Calibri" w:hAnsi="Verdana" w:cs="Arial"/>
          <w:lang w:val="es-ES_tradnl" w:eastAsia="es-ES_tradnl"/>
        </w:rPr>
        <w:t xml:space="preserve"> </w:t>
      </w:r>
      <w:r w:rsidRPr="00C96580">
        <w:rPr>
          <w:rFonts w:ascii="Verdana" w:eastAsia="Calibri" w:hAnsi="Verdana" w:cs="Arial"/>
          <w:lang w:val="es-ES_tradnl" w:eastAsia="es-ES_tradnl"/>
        </w:rPr>
        <w:t>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w:t>
      </w:r>
      <w:r>
        <w:rPr>
          <w:rFonts w:ascii="Verdana" w:eastAsia="Calibri" w:hAnsi="Verdana" w:cs="Arial"/>
          <w:lang w:val="es-ES_tradnl" w:eastAsia="es-ES_tradnl"/>
        </w:rPr>
        <w:t>, c</w:t>
      </w:r>
      <w:r w:rsidRPr="000A721F">
        <w:rPr>
          <w:rFonts w:ascii="Verdana" w:eastAsia="Calibri" w:hAnsi="Verdana" w:cs="Arial"/>
          <w:lang w:val="es-ES_tradnl" w:eastAsia="es-ES_tradnl"/>
        </w:rPr>
        <w:t>on otra Entidad Estatal o con patrimonios autónomos o con personas naturales o jurídicas de derecho privado, cuyo régimen de contratación sea especial o de derecho privado</w:t>
      </w:r>
      <w:r>
        <w:rPr>
          <w:rFonts w:ascii="Verdana" w:eastAsia="Calibri" w:hAnsi="Verdana" w:cs="Arial"/>
          <w:lang w:val="es-ES_tradnl" w:eastAsia="es-ES_tradnl"/>
        </w:rPr>
        <w:t>.</w:t>
      </w:r>
    </w:p>
    <w:p w14:paraId="38619E9F" w14:textId="77777777" w:rsidR="00C924DD" w:rsidRPr="000A721F" w:rsidRDefault="00C924DD" w:rsidP="00C924DD">
      <w:pPr>
        <w:tabs>
          <w:tab w:val="left" w:pos="0"/>
        </w:tabs>
        <w:spacing w:after="120" w:line="276" w:lineRule="auto"/>
        <w:jc w:val="both"/>
        <w:rPr>
          <w:rFonts w:ascii="Verdana" w:eastAsia="Calibri" w:hAnsi="Verdana" w:cs="Arial"/>
          <w:bCs/>
          <w:lang w:val="es-ES_tradnl" w:eastAsia="es-ES_tradnl"/>
        </w:rPr>
      </w:pPr>
      <w:r w:rsidRPr="000A721F">
        <w:rPr>
          <w:rFonts w:ascii="Verdana" w:eastAsia="Calibri" w:hAnsi="Verdana" w:cs="Arial"/>
          <w:lang w:val="es-ES_tradnl" w:eastAsia="es-ES_tradnl"/>
        </w:rPr>
        <w:tab/>
      </w:r>
      <w:bookmarkStart w:id="3" w:name="_Hlk113023365"/>
      <w:r w:rsidRPr="000A721F">
        <w:rPr>
          <w:rFonts w:ascii="Verdana" w:eastAsia="Calibri" w:hAnsi="Verdana" w:cs="Arial"/>
          <w:bCs/>
          <w:lang w:val="es-ES_tradnl" w:eastAsia="es-ES_tradnl"/>
        </w:rPr>
        <w:t xml:space="preserve">El segundo inciso de la norma bajo estudio usa la expresión </w:t>
      </w:r>
      <w:r w:rsidRPr="000A721F">
        <w:rPr>
          <w:rFonts w:ascii="Verdana" w:eastAsia="Calibri" w:hAnsi="Verdana" w:cs="Arial"/>
          <w:lang w:val="es-ES_tradnl" w:eastAsia="es-ES_tradnl"/>
        </w:rPr>
        <w:t>“</w:t>
      </w:r>
      <w:r w:rsidRPr="000A721F">
        <w:rPr>
          <w:rFonts w:ascii="Verdana" w:eastAsia="Times New Roman" w:hAnsi="Verdana" w:cs="Arial"/>
          <w:lang w:eastAsia="es-ES_tradnl"/>
        </w:rPr>
        <w:t>los procedimientos de selección y contratos que realicen en desarrollo de los anteriores negocios jurídicos</w:t>
      </w:r>
      <w:r w:rsidRPr="000A721F">
        <w:rPr>
          <w:rFonts w:ascii="Verdana" w:eastAsia="Calibri" w:hAnsi="Verdana" w:cs="Arial"/>
          <w:lang w:val="es-ES_tradnl" w:eastAsia="es-ES_tradnl"/>
        </w:rPr>
        <w:t>”</w:t>
      </w:r>
      <w:r w:rsidRPr="000A721F">
        <w:rPr>
          <w:rFonts w:ascii="Verdana" w:eastAsia="Times New Roman" w:hAnsi="Verdana" w:cs="Arial"/>
          <w:lang w:eastAsia="es-ES_tradnl"/>
        </w:rPr>
        <w:t xml:space="preserve">. Pudiera entenderse que alude a los negocios jurídicos descritos en el primer inciso, es decir, aquellos a través de los cuales </w:t>
      </w:r>
      <w:r w:rsidRPr="000A721F">
        <w:rPr>
          <w:rFonts w:ascii="Verdana" w:eastAsia="Times New Roman" w:hAnsi="Verdana" w:cs="Arial"/>
          <w:lang w:eastAsia="es-ES_tradnl"/>
        </w:rPr>
        <w:lastRenderedPageBreak/>
        <w:t xml:space="preserve">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w:t>
      </w:r>
      <w:r w:rsidRPr="000A721F">
        <w:rPr>
          <w:rFonts w:ascii="Verdana" w:eastAsia="Times New Roman" w:hAnsi="Verdana" w:cs="Arial"/>
          <w:i/>
          <w:iCs/>
          <w:lang w:eastAsia="es-ES_tradnl"/>
        </w:rPr>
        <w:t>desarrollar</w:t>
      </w:r>
      <w:r w:rsidRPr="000A721F">
        <w:rPr>
          <w:rFonts w:ascii="Verdana" w:eastAsia="Times New Roman" w:hAnsi="Verdana"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140F1687" w14:textId="77777777" w:rsidR="00C924DD" w:rsidRPr="000A721F" w:rsidRDefault="00C924DD" w:rsidP="00C924DD">
      <w:pPr>
        <w:tabs>
          <w:tab w:val="left" w:pos="0"/>
        </w:tabs>
        <w:spacing w:after="120" w:line="276" w:lineRule="auto"/>
        <w:jc w:val="both"/>
        <w:rPr>
          <w:rFonts w:ascii="Verdana" w:eastAsia="Calibri" w:hAnsi="Verdana" w:cs="Arial"/>
          <w:bCs/>
          <w:lang w:val="es-ES_tradnl" w:eastAsia="es-ES_tradnl"/>
        </w:rPr>
      </w:pPr>
      <w:r w:rsidRPr="000A721F">
        <w:rPr>
          <w:rFonts w:ascii="Verdana" w:eastAsia="Calibri" w:hAnsi="Verdana" w:cs="Arial"/>
          <w:bCs/>
          <w:lang w:val="es-ES_tradnl" w:eastAsia="es-ES_tradnl"/>
        </w:rPr>
        <w:tab/>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bookmarkStart w:id="4" w:name="_Hlk113023433"/>
      <w:bookmarkEnd w:id="3"/>
      <w:r w:rsidRPr="000A721F">
        <w:rPr>
          <w:rFonts w:ascii="Verdana" w:eastAsia="Calibri" w:hAnsi="Verdana" w:cs="Arial"/>
          <w:bCs/>
          <w:lang w:val="es-ES_tradnl" w:eastAsia="es-ES_tradnl"/>
        </w:rPr>
        <w:t xml:space="preserve">. De esto se desprende que el propósito del legislador con la expedición de la norma objeto de </w:t>
      </w:r>
      <w:r>
        <w:rPr>
          <w:rFonts w:ascii="Verdana" w:eastAsia="Calibri" w:hAnsi="Verdana" w:cs="Arial"/>
          <w:bCs/>
          <w:lang w:val="es-ES_tradnl" w:eastAsia="es-ES_tradnl"/>
        </w:rPr>
        <w:t>análisis</w:t>
      </w:r>
      <w:r w:rsidRPr="000A721F">
        <w:rPr>
          <w:rFonts w:ascii="Verdana" w:eastAsia="Calibri" w:hAnsi="Verdana" w:cs="Arial"/>
          <w:bCs/>
          <w:lang w:val="es-ES_tradnl" w:eastAsia="es-ES_tradnl"/>
        </w:rPr>
        <w:t xml:space="preserve">,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4"/>
    </w:p>
    <w:p w14:paraId="21DFE793" w14:textId="77777777" w:rsidR="00C924DD" w:rsidRDefault="00C924DD" w:rsidP="00C924DD">
      <w:pPr>
        <w:spacing w:after="120" w:line="276" w:lineRule="auto"/>
        <w:jc w:val="both"/>
        <w:rPr>
          <w:rFonts w:ascii="Verdana" w:eastAsia="Calibri" w:hAnsi="Verdana" w:cs="Arial"/>
          <w:bCs/>
          <w:lang w:val="es-ES_tradnl" w:eastAsia="es-ES_tradnl"/>
        </w:rPr>
      </w:pPr>
      <w:r w:rsidRPr="000A721F">
        <w:rPr>
          <w:rFonts w:ascii="Verdana" w:eastAsia="Calibri" w:hAnsi="Verdana" w:cs="Arial"/>
          <w:bCs/>
          <w:lang w:val="es-ES_tradnl" w:eastAsia="es-ES_tradnl"/>
        </w:rPr>
        <w:tab/>
        <w:t>Por tanto, el hecho de que la norma esté dirigida a las entidades sometidas al EGCAP,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w:t>
      </w:r>
      <w:r>
        <w:rPr>
          <w:rFonts w:ascii="Verdana" w:eastAsia="Calibri" w:hAnsi="Verdana" w:cs="Arial"/>
          <w:bCs/>
          <w:lang w:val="es-ES_tradnl" w:eastAsia="es-ES_tradnl"/>
        </w:rPr>
        <w:t xml:space="preserve"> En este caso, prima el contenido de la Ley 80 de 1993 –junto con su reglamentación– y de los documentos tipo sobre el manual de contratación de la entidad con régimen especial. </w:t>
      </w:r>
    </w:p>
    <w:p w14:paraId="25C3C487" w14:textId="77777777" w:rsidR="00C924DD" w:rsidRDefault="00C924DD" w:rsidP="00C924DD">
      <w:pPr>
        <w:spacing w:after="120" w:line="276" w:lineRule="auto"/>
        <w:jc w:val="both"/>
        <w:rPr>
          <w:rFonts w:ascii="Verdana" w:eastAsia="Calibri" w:hAnsi="Verdana" w:cs="Arial"/>
          <w:bCs/>
          <w:color w:val="000000" w:themeColor="text1"/>
          <w:lang w:val="es-ES_tradnl"/>
        </w:rPr>
      </w:pPr>
      <w:r>
        <w:rPr>
          <w:rFonts w:ascii="Verdana" w:eastAsia="Calibri" w:hAnsi="Verdana" w:cs="Arial"/>
          <w:bCs/>
          <w:lang w:val="es-ES_tradnl" w:eastAsia="es-ES_tradnl"/>
        </w:rPr>
        <w:tab/>
      </w:r>
      <w:r w:rsidRPr="00B324A4">
        <w:rPr>
          <w:rFonts w:ascii="Verdana" w:eastAsia="Calibri" w:hAnsi="Verdana" w:cs="Arial"/>
          <w:bCs/>
          <w:color w:val="000000" w:themeColor="text1"/>
          <w:lang w:val="es-ES_tradnl"/>
        </w:rPr>
        <w:t xml:space="preserve">Respecto a las excepciones, el parágrafo del artículo 56 de la Ley 2195 de 2022 sólo aplica a los órganos del Estado cuya naturaleza jurídica coincida con la de las entidades allí indicadas de manera </w:t>
      </w:r>
      <w:r w:rsidRPr="00B324A4">
        <w:rPr>
          <w:rFonts w:ascii="Verdana" w:eastAsia="Calibri" w:hAnsi="Verdana" w:cs="Arial"/>
          <w:bCs/>
          <w:i/>
          <w:iCs/>
          <w:color w:val="000000" w:themeColor="text1"/>
          <w:lang w:val="es-ES_tradnl"/>
        </w:rPr>
        <w:t>taxativa</w:t>
      </w:r>
      <w:r w:rsidRPr="00B324A4">
        <w:rPr>
          <w:rFonts w:ascii="Verdana" w:eastAsia="Calibri" w:hAnsi="Verdana" w:cs="Arial"/>
          <w:bCs/>
          <w:color w:val="000000" w:themeColor="text1"/>
          <w:lang w:val="es-ES_tradnl"/>
        </w:rPr>
        <w:t>, esto es, a “</w:t>
      </w:r>
      <w:r w:rsidRPr="00B324A4">
        <w:rPr>
          <w:rFonts w:ascii="Verdana" w:hAnsi="Verdana" w:cs="Arial"/>
          <w:color w:val="000000" w:themeColor="text1"/>
        </w:rPr>
        <w:t xml:space="preserve">[…] </w:t>
      </w:r>
      <w:r w:rsidRPr="00B324A4">
        <w:rPr>
          <w:rFonts w:ascii="Verdana" w:eastAsia="Calibri" w:hAnsi="Verdana" w:cs="Arial"/>
          <w:bCs/>
          <w:color w:val="000000" w:themeColor="text1"/>
          <w:lang w:val="es-ES_tradnl"/>
        </w:rPr>
        <w:t xml:space="preserve">las Instituciones de Educación Superior públicas, las empresas sociales del Estado, </w:t>
      </w:r>
      <w:r w:rsidRPr="00B324A4">
        <w:rPr>
          <w:rFonts w:ascii="Verdana" w:eastAsia="Calibri" w:hAnsi="Verdana" w:cs="Arial"/>
          <w:bCs/>
          <w:color w:val="000000" w:themeColor="text1"/>
          <w:lang w:val="es-ES_tradnl"/>
        </w:rPr>
        <w:lastRenderedPageBreak/>
        <w:t>las sociedades de economía mixta y las empresas industriales y comerciales del Estado, únicamente en cuanto a la contratación de su giro ordinario”. Por consiguiente, cada entidad estatal deberá analizar su naturaleza jurídica y hacer una interpretación restrictiva de este parágrafo, pues las excepciones deben leerse de manera acorde con dicho parámetro hermenéutico.</w:t>
      </w:r>
    </w:p>
    <w:p w14:paraId="62572584" w14:textId="77777777" w:rsidR="00C924DD" w:rsidRPr="00B324A4" w:rsidRDefault="00C924DD" w:rsidP="00C924DD">
      <w:pPr>
        <w:spacing w:after="120" w:line="276" w:lineRule="auto"/>
        <w:jc w:val="both"/>
        <w:rPr>
          <w:rFonts w:ascii="Verdana" w:eastAsia="Arial" w:hAnsi="Verdana" w:cs="Arial"/>
          <w:lang w:val="es-ES_tradnl" w:eastAsia="es-ES_tradnl"/>
        </w:rPr>
      </w:pPr>
      <w:r>
        <w:rPr>
          <w:rFonts w:ascii="Verdana" w:eastAsia="Calibri" w:hAnsi="Verdana" w:cs="Arial"/>
          <w:bCs/>
          <w:color w:val="000000" w:themeColor="text1"/>
          <w:lang w:val="es-ES_tradnl"/>
        </w:rPr>
        <w:tab/>
      </w:r>
      <w:r w:rsidRPr="00B324A4">
        <w:rPr>
          <w:rFonts w:ascii="Verdana" w:eastAsia="Calibri" w:hAnsi="Verdana" w:cs="Arial"/>
          <w:bCs/>
          <w:lang w:val="es-ES_tradnl" w:eastAsia="es-ES_tradnl"/>
        </w:rPr>
        <w:t xml:space="preserve">Ahora, es importante tener en cuenta que cuando la norma se refiere a la contratación del </w:t>
      </w:r>
      <w:r w:rsidRPr="00B324A4">
        <w:rPr>
          <w:rFonts w:ascii="Verdana" w:eastAsia="Calibri" w:hAnsi="Verdana" w:cs="Arial"/>
          <w:bCs/>
          <w:i/>
          <w:iCs/>
          <w:lang w:val="es-ES_tradnl" w:eastAsia="es-ES_tradnl"/>
        </w:rPr>
        <w:t>giro ordinario</w:t>
      </w:r>
      <w:r w:rsidRPr="00B324A4">
        <w:rPr>
          <w:rFonts w:ascii="Verdana" w:eastAsia="Calibri" w:hAnsi="Verdana" w:cs="Arial"/>
          <w:bCs/>
          <w:lang w:val="es-ES_tradnl" w:eastAsia="es-ES_tradnl"/>
        </w:rPr>
        <w:t>, emplea un concepto jurídico indeterminado</w:t>
      </w:r>
      <w:r w:rsidRPr="00B324A4">
        <w:rPr>
          <w:rFonts w:ascii="Verdana" w:eastAsia="Calibri" w:hAnsi="Verdana" w:cs="Arial"/>
          <w:vertAlign w:val="superscript"/>
          <w:lang w:eastAsia="es-ES_tradnl"/>
        </w:rPr>
        <w:footnoteReference w:id="12"/>
      </w:r>
      <w:r w:rsidRPr="00B324A4">
        <w:rPr>
          <w:rFonts w:ascii="Verdana" w:eastAsia="Calibri" w:hAnsi="Verdana" w:cs="Arial"/>
          <w:bCs/>
          <w:lang w:val="es-ES_tradnl" w:eastAsia="es-ES_tradnl"/>
        </w:rPr>
        <w:t xml:space="preserve">. </w:t>
      </w:r>
      <w:r w:rsidRPr="00B324A4">
        <w:rPr>
          <w:rFonts w:ascii="Verdana" w:eastAsia="Arial" w:hAnsi="Verdana" w:cs="Arial"/>
          <w:lang w:val="es-ES_tradnl" w:eastAsia="es-ES_tradnl"/>
        </w:rPr>
        <w:t>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w:t>
      </w:r>
    </w:p>
    <w:p w14:paraId="444714D1" w14:textId="77777777" w:rsidR="00C924DD" w:rsidRDefault="00C924DD" w:rsidP="00C924DD">
      <w:pPr>
        <w:tabs>
          <w:tab w:val="left" w:pos="0"/>
        </w:tabs>
        <w:spacing w:after="0" w:line="276" w:lineRule="auto"/>
        <w:contextualSpacing/>
        <w:jc w:val="both"/>
        <w:rPr>
          <w:rFonts w:ascii="Verdana" w:eastAsia="Calibri" w:hAnsi="Verdana" w:cs="Arial"/>
          <w:bCs/>
          <w:lang w:val="es-ES_tradnl" w:eastAsia="es-ES_tradnl"/>
        </w:rPr>
      </w:pPr>
      <w:r w:rsidRPr="00B324A4">
        <w:rPr>
          <w:rFonts w:ascii="Verdana" w:eastAsia="Arial" w:hAnsi="Verdana" w:cs="Arial"/>
          <w:lang w:val="es-ES_tradnl" w:eastAsia="es-ES_tradnl"/>
        </w:rPr>
        <w:tab/>
      </w:r>
      <w:r w:rsidRPr="00B324A4">
        <w:rPr>
          <w:rFonts w:ascii="Verdana" w:eastAsia="Calibri" w:hAnsi="Verdana" w:cs="Arial"/>
          <w:bCs/>
          <w:lang w:val="es-ES_tradnl" w:eastAsia="es-ES_tradnl"/>
        </w:rPr>
        <w:t xml:space="preserve">A juicio de esta Agencia, la expresión </w:t>
      </w:r>
      <w:r w:rsidRPr="00B324A4">
        <w:rPr>
          <w:rFonts w:ascii="Verdana" w:eastAsia="Calibri" w:hAnsi="Verdana" w:cs="Arial"/>
          <w:bCs/>
          <w:i/>
          <w:iCs/>
          <w:lang w:val="es-ES_tradnl" w:eastAsia="es-ES_tradnl"/>
        </w:rPr>
        <w:t xml:space="preserve">giro ordinario </w:t>
      </w:r>
      <w:r w:rsidRPr="00B324A4">
        <w:rPr>
          <w:rFonts w:ascii="Verdana" w:eastAsia="Calibri" w:hAnsi="Verdana" w:cs="Arial"/>
          <w:bCs/>
          <w:lang w:val="es-ES_tradnl" w:eastAsia="es-ES_tradnl"/>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B324A4">
        <w:rPr>
          <w:rFonts w:ascii="Verdana" w:eastAsia="Calibri" w:hAnsi="Verdana" w:cs="Arial"/>
          <w:bCs/>
          <w:i/>
          <w:iCs/>
          <w:lang w:val="es-ES_tradnl" w:eastAsia="es-ES_tradnl"/>
        </w:rPr>
        <w:t>giro ordinario</w:t>
      </w:r>
      <w:r w:rsidRPr="00B324A4">
        <w:rPr>
          <w:rFonts w:ascii="Verdana" w:eastAsia="Calibri" w:hAnsi="Verdana" w:cs="Arial"/>
          <w:bCs/>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B324A4">
        <w:rPr>
          <w:rFonts w:ascii="Verdana" w:eastAsia="Calibri" w:hAnsi="Verdana" w:cs="Arial"/>
          <w:bCs/>
          <w:i/>
          <w:iCs/>
          <w:lang w:val="es-ES_tradnl" w:eastAsia="es-ES_tradnl"/>
        </w:rPr>
        <w:t>ejusdem</w:t>
      </w:r>
      <w:proofErr w:type="spellEnd"/>
      <w:r w:rsidRPr="00B324A4">
        <w:rPr>
          <w:rFonts w:ascii="Verdana" w:eastAsia="Calibri" w:hAnsi="Verdana" w:cs="Arial"/>
          <w:bCs/>
          <w:lang w:val="es-ES_tradnl" w:eastAsia="es-ES_tradnl"/>
        </w:rPr>
        <w:t xml:space="preserve"> se limita a enunciar algunos tipos de entidades estatales, las cuales no solo difieren en su naturaleza jurídica, sino también en las actividades que realizan. </w:t>
      </w:r>
    </w:p>
    <w:p w14:paraId="75F663EC" w14:textId="77777777" w:rsidR="00C924DD" w:rsidRPr="001F4636" w:rsidRDefault="00C924DD" w:rsidP="00C924DD">
      <w:pPr>
        <w:spacing w:after="0" w:line="276" w:lineRule="auto"/>
        <w:jc w:val="both"/>
        <w:rPr>
          <w:rFonts w:ascii="Verdana" w:eastAsia="Calibri" w:hAnsi="Verdana" w:cs="Arial"/>
          <w:color w:val="000000" w:themeColor="text1"/>
        </w:rPr>
      </w:pPr>
    </w:p>
    <w:p w14:paraId="08645850" w14:textId="77777777" w:rsidR="00C924DD" w:rsidRPr="007A47F9" w:rsidRDefault="00C924DD" w:rsidP="00C924DD">
      <w:pPr>
        <w:widowControl w:val="0"/>
        <w:autoSpaceDE w:val="0"/>
        <w:autoSpaceDN w:val="0"/>
        <w:spacing w:after="0" w:line="276" w:lineRule="auto"/>
        <w:jc w:val="both"/>
        <w:rPr>
          <w:rFonts w:ascii="Verdana" w:hAnsi="Verdana" w:cs="Arial"/>
          <w:lang w:eastAsia="es-ES"/>
        </w:rPr>
      </w:pPr>
      <w:r>
        <w:rPr>
          <w:rFonts w:ascii="Verdana" w:hAnsi="Verdana" w:cs="Arial"/>
          <w:lang w:eastAsia="es-ES"/>
        </w:rPr>
        <w:t xml:space="preserve">v.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la contratación de las entidades estatales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 xml:space="preserve">Por lo anterior, previo concepto de sus asesores, la solución </w:t>
      </w:r>
      <w:r w:rsidRPr="00301910">
        <w:rPr>
          <w:rFonts w:ascii="Verdana" w:hAnsi="Verdana" w:cs="Arial"/>
          <w:lang w:eastAsia="es-ES"/>
        </w:rPr>
        <w:lastRenderedPageBreak/>
        <w:t>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0C9CA70B" w14:textId="77777777" w:rsidR="00C924DD" w:rsidRDefault="00C924DD" w:rsidP="00C924DD">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70C10A63" w14:textId="77777777" w:rsidR="00C924DD" w:rsidRPr="00F23895" w:rsidRDefault="00C924DD" w:rsidP="00C924DD">
      <w:pPr>
        <w:spacing w:after="0" w:line="276" w:lineRule="auto"/>
        <w:ind w:firstLine="709"/>
        <w:jc w:val="both"/>
        <w:rPr>
          <w:rFonts w:ascii="Verdana" w:hAnsi="Verdana" w:cs="Arial"/>
          <w:lang w:eastAsia="es-ES"/>
        </w:rPr>
      </w:pPr>
    </w:p>
    <w:p w14:paraId="38B87D6A" w14:textId="77777777" w:rsidR="00C924DD" w:rsidRPr="00593A5F" w:rsidRDefault="00C924DD" w:rsidP="00C924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18B01251" w14:textId="77777777" w:rsidR="00C924DD" w:rsidRPr="00593A5F" w:rsidRDefault="00C924DD" w:rsidP="00C924DD">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924DD" w:rsidRPr="002407CE" w14:paraId="680556B4" w14:textId="77777777" w:rsidTr="00B80C9F">
        <w:trPr>
          <w:trHeight w:val="870"/>
          <w:jc w:val="center"/>
        </w:trPr>
        <w:tc>
          <w:tcPr>
            <w:tcW w:w="8647" w:type="dxa"/>
          </w:tcPr>
          <w:p w14:paraId="35BB79DB" w14:textId="77777777" w:rsidR="00C924DD" w:rsidRPr="00B954AE" w:rsidRDefault="00C924DD" w:rsidP="00C924D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 150.</w:t>
            </w:r>
          </w:p>
          <w:p w14:paraId="743E8485" w14:textId="77777777" w:rsidR="00C924DD" w:rsidRPr="00666BC2" w:rsidRDefault="00C924DD" w:rsidP="00C924D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artículos 2, 13, 32 y 40.</w:t>
            </w:r>
          </w:p>
          <w:p w14:paraId="1D6EEAD7" w14:textId="77777777" w:rsidR="00C924DD" w:rsidRPr="00666BC2" w:rsidRDefault="00C924DD" w:rsidP="00C924D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artículos 2 y 13.</w:t>
            </w:r>
          </w:p>
          <w:p w14:paraId="4333EBA2" w14:textId="77777777" w:rsidR="00C924DD" w:rsidRPr="00B954AE" w:rsidRDefault="00C924DD" w:rsidP="00C924DD">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2195 de 2022, artículo 56.</w:t>
            </w:r>
          </w:p>
          <w:p w14:paraId="39E3822A" w14:textId="77777777" w:rsidR="00C924DD" w:rsidRPr="00666BC2" w:rsidRDefault="00C924DD" w:rsidP="00C924DD">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 xml:space="preserve">Decreto 111 de 1996, artículo 110. </w:t>
            </w:r>
          </w:p>
        </w:tc>
      </w:tr>
    </w:tbl>
    <w:p w14:paraId="2FDC223D" w14:textId="77777777" w:rsidR="00C924DD" w:rsidRPr="002407CE" w:rsidRDefault="00C924DD" w:rsidP="00C924DD">
      <w:pPr>
        <w:widowControl w:val="0"/>
        <w:autoSpaceDE w:val="0"/>
        <w:autoSpaceDN w:val="0"/>
        <w:spacing w:after="0" w:line="276" w:lineRule="auto"/>
        <w:jc w:val="both"/>
        <w:rPr>
          <w:rFonts w:ascii="Verdana" w:hAnsi="Verdana" w:cs="Arial"/>
        </w:rPr>
      </w:pPr>
    </w:p>
    <w:p w14:paraId="2B1A58C0" w14:textId="77777777" w:rsidR="00C924DD" w:rsidRPr="00593A5F" w:rsidRDefault="00C924DD" w:rsidP="00C924D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CCB8861" w14:textId="77777777" w:rsidR="00C924DD" w:rsidRPr="00593A5F" w:rsidRDefault="00C924DD" w:rsidP="00C924DD">
      <w:pPr>
        <w:widowControl w:val="0"/>
        <w:autoSpaceDE w:val="0"/>
        <w:autoSpaceDN w:val="0"/>
        <w:spacing w:after="0" w:line="276" w:lineRule="auto"/>
        <w:jc w:val="both"/>
        <w:rPr>
          <w:rFonts w:ascii="Verdana" w:hAnsi="Verdana" w:cs="Arial"/>
        </w:rPr>
      </w:pPr>
    </w:p>
    <w:p w14:paraId="173BC7C9" w14:textId="77777777" w:rsidR="00C924DD" w:rsidRPr="00ED0098" w:rsidRDefault="00C924DD" w:rsidP="00C924DD">
      <w:pPr>
        <w:widowControl w:val="0"/>
        <w:autoSpaceDE w:val="0"/>
        <w:autoSpaceDN w:val="0"/>
        <w:spacing w:after="0" w:line="276" w:lineRule="auto"/>
        <w:jc w:val="both"/>
        <w:rPr>
          <w:rStyle w:val="normaltextrun"/>
          <w:rFonts w:ascii="Verdana" w:hAnsi="Verdana" w:cs="Arial"/>
          <w:shd w:val="clear" w:color="auto" w:fill="FFFFFF"/>
        </w:rPr>
      </w:pPr>
      <w:r w:rsidRPr="002965A0">
        <w:rPr>
          <w:rStyle w:val="normaltextrun"/>
          <w:rFonts w:ascii="Verdana" w:hAnsi="Verdana" w:cs="Arial"/>
          <w:shd w:val="clear" w:color="auto" w:fill="FFFFFF"/>
          <w:lang w:val="es-ES"/>
        </w:rPr>
        <w:t>Esta Subdirección se ha</w:t>
      </w:r>
      <w:r>
        <w:rPr>
          <w:rStyle w:val="normaltextrun"/>
          <w:rFonts w:ascii="Verdana" w:hAnsi="Verdana" w:cs="Arial"/>
          <w:shd w:val="clear" w:color="auto" w:fill="FFFFFF"/>
          <w:lang w:val="es-ES"/>
        </w:rPr>
        <w:t xml:space="preserve"> </w:t>
      </w:r>
      <w:r w:rsidRPr="00F3026D">
        <w:rPr>
          <w:rStyle w:val="normaltextrun"/>
          <w:rFonts w:ascii="Verdana" w:hAnsi="Verdana" w:cs="Arial"/>
          <w:shd w:val="clear" w:color="auto" w:fill="FFFFFF"/>
          <w:lang w:val="es-ES"/>
        </w:rPr>
        <w:t xml:space="preserve">pronunciado sobre el alcance del artículo 56 de la Ley 2195 de 2022, específicamente, a partir del Concepto C-066 del 28 de enero de 2022, cuya tesis se desarrolló y complementó los Conceptos C-320 del 20 de mayo de 2022, C-333 del 24 de mayo de 2022, C-404 del 26 de mayo de 2023, C-382 del 27 de mayo de 2022, C-388 del 15 de junio de 2022, C-423 del 5 de julio de 2022, C-435 del 6 de julio de 2023, C-453 del 15 de julio de 2022, C-494 del 26 de julio de 2022, C-483 del 5 de agosto de 2022, C-496 del 3 de agosto de 2022, C-556 del 3 de agosto de 2022 y C-532 del 22 de agosto de 2022, pronunciándose específicamente sobre las empresas de servicios públicos en los Conceptos C-341 del 27 de mayo de 2022, C-382 del 27 de mayo de 2022, C-449 del 25 de julio de 2022, C-453 del 14 de julio de 2022,  C-488 del 29 de julio de 2022, C-494 del 28 de julio de 2022 y C-501 del del 29 de julio </w:t>
      </w:r>
      <w:r w:rsidRPr="00F3026D">
        <w:rPr>
          <w:rStyle w:val="normaltextrun"/>
          <w:rFonts w:ascii="Verdana" w:hAnsi="Verdana" w:cs="Arial"/>
          <w:shd w:val="clear" w:color="auto" w:fill="FFFFFF"/>
          <w:lang w:val="es-ES"/>
        </w:rPr>
        <w:lastRenderedPageBreak/>
        <w:t>de 2022 y C-056 del 26 de abril de 2023. El mismo tema ha sido estudiado por esta Subdirección en los Conceptos C-486 del 2 de septiembre de 2022, C-671 del 19 de octubre de 2022, C-576 del 25 de octubre de 2022, C-042 del 29 de marzo de 2023 y C-299 del 24 de julio de 2023, entre otros</w:t>
      </w:r>
      <w:r>
        <w:rPr>
          <w:rFonts w:ascii="Verdana" w:hAnsi="Verdana"/>
        </w:rPr>
        <w:t>.</w:t>
      </w:r>
      <w:r>
        <w:rPr>
          <w:rFonts w:ascii="Verdana" w:hAnsi="Verdana" w:cs="Arial"/>
          <w:shd w:val="clear" w:color="auto" w:fill="FFFFFF"/>
        </w:rPr>
        <w:t xml:space="preserve"> </w:t>
      </w:r>
      <w:r w:rsidRPr="00DD0AFF">
        <w:rPr>
          <w:rFonts w:ascii="Verdana" w:hAnsi="Verdana" w:cs="Arial"/>
          <w:shd w:val="clear" w:color="auto" w:fill="FFFFFF"/>
        </w:rPr>
        <w:t>Estos y otros</w:t>
      </w:r>
      <w:r>
        <w:rPr>
          <w:rFonts w:ascii="Verdana" w:hAnsi="Verdana" w:cs="Arial"/>
          <w:shd w:val="clear" w:color="auto" w:fill="FFFFFF"/>
        </w:rPr>
        <w:t xml:space="preserve">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6B6C15A0" w14:textId="77777777" w:rsidR="00C924DD" w:rsidRDefault="00C924DD" w:rsidP="00C924DD">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C869064" w14:textId="77777777" w:rsidR="00C924DD" w:rsidRPr="00A1554D" w:rsidRDefault="00C924DD" w:rsidP="00C924DD">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invitamos a consultar las versiones V</w:t>
      </w:r>
      <w:r>
        <w:rPr>
          <w:rFonts w:ascii="Verdana" w:hAnsi="Verdana" w:cs="Arial"/>
          <w:color w:val="000000" w:themeColor="text1"/>
          <w:shd w:val="clear" w:color="auto" w:fill="FFFFFF"/>
        </w:rPr>
        <w:t>II</w:t>
      </w:r>
      <w:r w:rsidRPr="00096788">
        <w:rPr>
          <w:rFonts w:ascii="Verdana" w:hAnsi="Verdana" w:cs="Arial"/>
          <w:color w:val="000000" w:themeColor="text1"/>
          <w:shd w:val="clear" w:color="auto" w:fill="FFFFFF"/>
        </w:rPr>
        <w:t xml:space="preserve"> y VI</w:t>
      </w:r>
      <w:r>
        <w:rPr>
          <w:rFonts w:ascii="Verdana" w:hAnsi="Verdana" w:cs="Arial"/>
          <w:color w:val="000000" w:themeColor="text1"/>
          <w:shd w:val="clear" w:color="auto" w:fill="FFFFFF"/>
        </w:rPr>
        <w:t>II</w:t>
      </w:r>
      <w:r w:rsidRPr="00096788">
        <w:rPr>
          <w:rFonts w:ascii="Verdana" w:hAnsi="Verdana" w:cs="Arial"/>
          <w:color w:val="000000" w:themeColor="text1"/>
          <w:shd w:val="clear" w:color="auto" w:fill="FFFFFF"/>
        </w:rPr>
        <w:t xml:space="preserve">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los cuales se pueden descargar en la página web de la Agencia:</w:t>
      </w:r>
      <w:r>
        <w:rPr>
          <w:rFonts w:ascii="Verdana" w:hAnsi="Verdana" w:cs="Arial"/>
          <w:color w:val="000000" w:themeColor="text1"/>
          <w:shd w:val="clear" w:color="auto" w:fill="FFFFFF"/>
        </w:rPr>
        <w:t xml:space="preserve"> </w:t>
      </w:r>
      <w:hyperlink r:id="rId13" w:history="1">
        <w:r w:rsidRPr="003D5B71">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415E0A25" w14:textId="77777777" w:rsidR="00C924DD" w:rsidRPr="00242D53" w:rsidRDefault="00C924DD" w:rsidP="00C924DD">
      <w:pPr>
        <w:widowControl w:val="0"/>
        <w:autoSpaceDE w:val="0"/>
        <w:autoSpaceDN w:val="0"/>
        <w:spacing w:after="120" w:line="276" w:lineRule="auto"/>
        <w:jc w:val="both"/>
        <w:rPr>
          <w:rFonts w:ascii="Verdana" w:hAnsi="Verdana" w:cs="Arial"/>
          <w:lang w:val="es-MX"/>
        </w:rPr>
      </w:pPr>
    </w:p>
    <w:p w14:paraId="4FB801A9" w14:textId="77777777" w:rsidR="00C924DD" w:rsidRPr="00593A5F" w:rsidRDefault="00C924DD" w:rsidP="00C924DD">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r>
        <w:rPr>
          <w:rFonts w:ascii="Verdana" w:hAnsi="Verdana" w:cs="Arial"/>
          <w:lang w:val="es-ES_tradnl"/>
        </w:rPr>
        <w:t xml:space="preserve"> </w:t>
      </w:r>
    </w:p>
    <w:p w14:paraId="61249087" w14:textId="77777777" w:rsidR="00C924DD" w:rsidRPr="001F1E9D" w:rsidRDefault="00C924DD" w:rsidP="00C924DD">
      <w:pPr>
        <w:widowControl w:val="0"/>
        <w:autoSpaceDE w:val="0"/>
        <w:autoSpaceDN w:val="0"/>
        <w:spacing w:after="0" w:line="276" w:lineRule="auto"/>
        <w:jc w:val="both"/>
        <w:rPr>
          <w:rFonts w:ascii="Verdana" w:hAnsi="Verdana" w:cs="Arial"/>
          <w:lang w:val="es-ES_tradnl"/>
        </w:rPr>
      </w:pPr>
    </w:p>
    <w:p w14:paraId="52C9669B" w14:textId="77777777" w:rsidR="00C924DD" w:rsidRPr="00593A5F" w:rsidRDefault="00C924DD" w:rsidP="00C924DD">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37220CD" w14:textId="7704609E" w:rsidR="00C924DD" w:rsidRPr="00593A5F" w:rsidRDefault="00300F56" w:rsidP="00C924DD">
      <w:pPr>
        <w:spacing w:line="276" w:lineRule="auto"/>
        <w:jc w:val="center"/>
        <w:rPr>
          <w:rFonts w:ascii="Verdana" w:hAnsi="Verdana" w:cs="Arial"/>
          <w:color w:val="000000"/>
          <w:lang w:val="es-ES_tradnl" w:eastAsia="es-CO"/>
        </w:rPr>
      </w:pPr>
      <w:r>
        <w:rPr>
          <w:noProof/>
        </w:rPr>
        <w:drawing>
          <wp:inline distT="0" distB="0" distL="0" distR="0" wp14:anchorId="7DFB7240" wp14:editId="325AEDD2">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924DD" w:rsidRPr="00593A5F" w14:paraId="5CB05514" w14:textId="77777777" w:rsidTr="00B80C9F">
        <w:trPr>
          <w:trHeight w:val="315"/>
        </w:trPr>
        <w:tc>
          <w:tcPr>
            <w:tcW w:w="893" w:type="dxa"/>
            <w:vAlign w:val="center"/>
            <w:hideMark/>
          </w:tcPr>
          <w:p w14:paraId="1C611FCF" w14:textId="77777777" w:rsidR="00C924DD" w:rsidRPr="003751C7" w:rsidRDefault="00C924DD" w:rsidP="00B80C9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50DF8AD" w14:textId="77777777" w:rsidR="00C924DD" w:rsidRPr="00254A7A" w:rsidRDefault="00C924DD" w:rsidP="00B80C9F">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1409F2B2" w14:textId="77777777" w:rsidR="00C924DD" w:rsidRPr="00254A7A" w:rsidRDefault="00C924DD" w:rsidP="00B80C9F">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924DD" w:rsidRPr="00593A5F" w14:paraId="385305D5" w14:textId="77777777" w:rsidTr="00B80C9F">
        <w:trPr>
          <w:trHeight w:val="330"/>
        </w:trPr>
        <w:tc>
          <w:tcPr>
            <w:tcW w:w="893" w:type="dxa"/>
            <w:vAlign w:val="center"/>
            <w:hideMark/>
          </w:tcPr>
          <w:p w14:paraId="73BCC5DE" w14:textId="77777777" w:rsidR="00C924DD" w:rsidRPr="003751C7" w:rsidRDefault="00C924DD" w:rsidP="00B80C9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BFFBB2E" w14:textId="77777777" w:rsidR="00C924DD" w:rsidRPr="00E44E04" w:rsidRDefault="00C924DD" w:rsidP="00B80C9F">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0CBC8BFC" w14:textId="77777777" w:rsidR="00C924DD" w:rsidRPr="00254A7A" w:rsidRDefault="00C924DD" w:rsidP="00B80C9F">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C924DD" w:rsidRPr="00593A5F" w14:paraId="475D1674" w14:textId="77777777" w:rsidTr="00B80C9F">
        <w:trPr>
          <w:trHeight w:val="300"/>
        </w:trPr>
        <w:tc>
          <w:tcPr>
            <w:tcW w:w="893" w:type="dxa"/>
            <w:vAlign w:val="center"/>
          </w:tcPr>
          <w:p w14:paraId="64139A90" w14:textId="77777777" w:rsidR="00C924DD" w:rsidRPr="003751C7" w:rsidRDefault="00C924DD" w:rsidP="00B80C9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F1D6C83" w14:textId="77777777" w:rsidR="00C924DD" w:rsidRPr="003751C7" w:rsidRDefault="00C924DD" w:rsidP="00B80C9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06D8D481" w14:textId="77777777" w:rsidR="00C924DD" w:rsidRPr="003751C7" w:rsidRDefault="00C924DD" w:rsidP="00B80C9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593345D1" w14:textId="77777777" w:rsidR="00C924DD" w:rsidRPr="00593A5F" w:rsidRDefault="00C924DD" w:rsidP="00C924DD">
      <w:pPr>
        <w:spacing w:after="0" w:line="240" w:lineRule="auto"/>
        <w:rPr>
          <w:rFonts w:ascii="Verdana" w:eastAsia="Times New Roman" w:hAnsi="Verdana" w:cs="Arial"/>
          <w:sz w:val="24"/>
          <w:szCs w:val="24"/>
          <w:lang w:eastAsia="es-ES"/>
        </w:rPr>
      </w:pPr>
    </w:p>
    <w:p w14:paraId="3900974D" w14:textId="77777777" w:rsidR="003D5B0D" w:rsidRPr="00685AD7" w:rsidRDefault="003D5B0D" w:rsidP="00685AD7"/>
    <w:sectPr w:rsidR="003D5B0D" w:rsidRPr="00685AD7"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58CBF" w14:textId="77777777" w:rsidR="003579C4" w:rsidRDefault="003579C4" w:rsidP="004A1847">
      <w:pPr>
        <w:spacing w:after="0" w:line="240" w:lineRule="auto"/>
      </w:pPr>
      <w:r>
        <w:separator/>
      </w:r>
    </w:p>
  </w:endnote>
  <w:endnote w:type="continuationSeparator" w:id="0">
    <w:p w14:paraId="5ACA2264" w14:textId="77777777" w:rsidR="003579C4" w:rsidRDefault="003579C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A352B" w14:textId="77777777" w:rsidR="003579C4" w:rsidRDefault="003579C4" w:rsidP="004A1847">
      <w:pPr>
        <w:spacing w:after="0" w:line="240" w:lineRule="auto"/>
      </w:pPr>
      <w:r>
        <w:separator/>
      </w:r>
    </w:p>
  </w:footnote>
  <w:footnote w:type="continuationSeparator" w:id="0">
    <w:p w14:paraId="79434398" w14:textId="77777777" w:rsidR="003579C4" w:rsidRDefault="003579C4" w:rsidP="004A1847">
      <w:pPr>
        <w:spacing w:after="0" w:line="240" w:lineRule="auto"/>
      </w:pPr>
      <w:r>
        <w:continuationSeparator/>
      </w:r>
    </w:p>
  </w:footnote>
  <w:footnote w:id="1">
    <w:p w14:paraId="3073F58A" w14:textId="77777777" w:rsidR="00C924DD" w:rsidRPr="001244F3" w:rsidRDefault="00C924DD" w:rsidP="00C924DD">
      <w:pPr>
        <w:pStyle w:val="Textonotapie"/>
        <w:ind w:firstLine="708"/>
        <w:jc w:val="both"/>
        <w:rPr>
          <w:rFonts w:ascii="Verdana" w:hAnsi="Verdana"/>
          <w:sz w:val="16"/>
          <w:szCs w:val="16"/>
        </w:rPr>
      </w:pPr>
      <w:r w:rsidRPr="001244F3">
        <w:rPr>
          <w:rStyle w:val="Refdenotaalpie"/>
          <w:rFonts w:ascii="Verdana" w:hAnsi="Verdana"/>
          <w:sz w:val="16"/>
          <w:szCs w:val="16"/>
        </w:rPr>
        <w:footnoteRef/>
      </w:r>
      <w:r w:rsidRPr="001244F3">
        <w:rPr>
          <w:rFonts w:ascii="Verdana" w:hAnsi="Verdana"/>
          <w:sz w:val="16"/>
          <w:szCs w:val="16"/>
        </w:rPr>
        <w:t xml:space="preserve"> En lo pertinente, la norma prescribe que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6B9F8DEA" w14:textId="77777777" w:rsidR="00C924DD" w:rsidRPr="001244F3" w:rsidRDefault="00C924DD" w:rsidP="00C924DD">
      <w:pPr>
        <w:pStyle w:val="Textonotapie"/>
        <w:ind w:firstLine="708"/>
        <w:jc w:val="both"/>
        <w:rPr>
          <w:rFonts w:ascii="Verdana" w:hAnsi="Verdana"/>
          <w:sz w:val="16"/>
          <w:szCs w:val="16"/>
        </w:rPr>
      </w:pPr>
      <w:r w:rsidRPr="001244F3">
        <w:rPr>
          <w:rFonts w:ascii="Verdana" w:hAnsi="Verdana"/>
          <w:sz w:val="16"/>
          <w:szCs w:val="16"/>
        </w:rPr>
        <w:t>[…]</w:t>
      </w:r>
    </w:p>
    <w:p w14:paraId="63144197" w14:textId="77777777" w:rsidR="00C924DD" w:rsidRPr="001244F3" w:rsidRDefault="00C924DD" w:rsidP="00C924DD">
      <w:pPr>
        <w:pStyle w:val="Textonotapie"/>
        <w:ind w:firstLine="708"/>
        <w:jc w:val="both"/>
        <w:rPr>
          <w:rFonts w:ascii="Verdana" w:hAnsi="Verdana"/>
          <w:sz w:val="16"/>
          <w:szCs w:val="16"/>
        </w:rPr>
      </w:pPr>
      <w:r w:rsidRPr="001244F3">
        <w:rPr>
          <w:rFonts w:ascii="Verdana" w:hAnsi="Verdana"/>
          <w:sz w:val="16"/>
          <w:szCs w:val="16"/>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1B253A2A" w14:textId="77777777" w:rsidR="00C924DD" w:rsidRPr="001244F3" w:rsidRDefault="00C924DD" w:rsidP="00C924DD">
      <w:pPr>
        <w:pStyle w:val="Textonotapie"/>
        <w:ind w:firstLine="708"/>
        <w:jc w:val="both"/>
        <w:rPr>
          <w:rFonts w:ascii="Verdana" w:hAnsi="Verdana"/>
          <w:sz w:val="16"/>
          <w:szCs w:val="16"/>
        </w:rPr>
      </w:pPr>
      <w:r w:rsidRPr="001244F3">
        <w:rPr>
          <w:rFonts w:ascii="Verdana" w:hAnsi="Verdana"/>
          <w:sz w:val="16"/>
          <w:szCs w:val="16"/>
        </w:rPr>
        <w:t>En todo caso, el Presidente de la República podrá celebrar contratos a nombre de la Nación”.</w:t>
      </w:r>
    </w:p>
  </w:footnote>
  <w:footnote w:id="2">
    <w:p w14:paraId="7E351DD8" w14:textId="77777777" w:rsidR="00C924DD" w:rsidRPr="001244F3" w:rsidRDefault="00C924DD" w:rsidP="00C924DD">
      <w:pPr>
        <w:pStyle w:val="Textonotapie"/>
        <w:ind w:firstLine="708"/>
        <w:jc w:val="both"/>
        <w:rPr>
          <w:rFonts w:ascii="Verdana" w:hAnsi="Verdana" w:cs="Arial"/>
          <w:sz w:val="16"/>
          <w:szCs w:val="16"/>
        </w:rPr>
      </w:pPr>
      <w:r w:rsidRPr="001244F3">
        <w:rPr>
          <w:rStyle w:val="Refdenotaalpie"/>
          <w:rFonts w:ascii="Verdana" w:hAnsi="Verdana" w:cs="Arial"/>
          <w:sz w:val="16"/>
          <w:szCs w:val="16"/>
        </w:rPr>
        <w:footnoteRef/>
      </w:r>
      <w:r w:rsidRPr="001244F3">
        <w:rPr>
          <w:rFonts w:ascii="Verdana" w:hAnsi="Verdana" w:cs="Arial"/>
          <w:sz w:val="16"/>
          <w:szCs w:val="16"/>
        </w:rPr>
        <w:t xml:space="preserve"> El inciso primero de norma disponía que, conforme al principio de transparencia, “</w:t>
      </w:r>
      <w:r w:rsidRPr="001244F3">
        <w:rPr>
          <w:rFonts w:ascii="Verdana" w:hAnsi="Verdana" w:cs="Arial"/>
          <w:i/>
          <w:iCs/>
          <w:sz w:val="16"/>
          <w:szCs w:val="16"/>
        </w:rPr>
        <w:t>La escogencia del contratista se efectuará siempre a través de licitación o concurso públicos</w:t>
      </w:r>
      <w:r w:rsidRPr="001244F3">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3">
    <w:p w14:paraId="56C6D756" w14:textId="77777777" w:rsidR="00C924DD" w:rsidRPr="001244F3" w:rsidRDefault="00C924DD" w:rsidP="00C924DD">
      <w:pPr>
        <w:pStyle w:val="Textonotapie"/>
        <w:ind w:firstLine="708"/>
        <w:jc w:val="both"/>
        <w:rPr>
          <w:rFonts w:ascii="Verdana" w:hAnsi="Verdana" w:cs="Arial"/>
          <w:sz w:val="16"/>
          <w:szCs w:val="16"/>
        </w:rPr>
      </w:pPr>
      <w:r w:rsidRPr="001244F3">
        <w:rPr>
          <w:rStyle w:val="Refdenotaalpie"/>
          <w:rFonts w:ascii="Verdana" w:hAnsi="Verdana" w:cs="Arial"/>
          <w:sz w:val="16"/>
          <w:szCs w:val="16"/>
        </w:rPr>
        <w:footnoteRef/>
      </w:r>
      <w:r w:rsidRPr="001244F3">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1244F3">
        <w:rPr>
          <w:rFonts w:ascii="Verdana" w:hAnsi="Verdana" w:cs="Arial"/>
          <w:i/>
          <w:iCs/>
          <w:sz w:val="16"/>
          <w:szCs w:val="16"/>
        </w:rPr>
        <w:t>Presentación de la oferta de manera dinámica</w:t>
      </w:r>
      <w:r w:rsidRPr="001244F3">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4">
    <w:p w14:paraId="253FDF6D" w14:textId="77777777" w:rsidR="00C924DD" w:rsidRPr="001244F3" w:rsidRDefault="00C924DD" w:rsidP="00C924DD">
      <w:pPr>
        <w:pStyle w:val="Textonotapie"/>
        <w:ind w:firstLine="708"/>
        <w:jc w:val="both"/>
        <w:rPr>
          <w:rFonts w:ascii="Verdana" w:hAnsi="Verdana" w:cs="Arial"/>
          <w:sz w:val="16"/>
          <w:szCs w:val="16"/>
        </w:rPr>
      </w:pPr>
      <w:r w:rsidRPr="001244F3">
        <w:rPr>
          <w:rStyle w:val="Refdenotaalpie"/>
          <w:rFonts w:ascii="Verdana" w:hAnsi="Verdana" w:cs="Arial"/>
          <w:sz w:val="16"/>
          <w:szCs w:val="16"/>
        </w:rPr>
        <w:footnoteRef/>
      </w:r>
      <w:r w:rsidRPr="001244F3">
        <w:rPr>
          <w:rFonts w:ascii="Verdana" w:hAnsi="Verdana" w:cs="Arial"/>
          <w:sz w:val="16"/>
          <w:szCs w:val="16"/>
        </w:rPr>
        <w:t xml:space="preserve"> JOJOA BOLAÑOS, Alexander. Los regímenes exceptuados en los contratos estatales. Bogotá: Grupo Editorial Ibáñez, 2012. p. 89.</w:t>
      </w:r>
    </w:p>
  </w:footnote>
  <w:footnote w:id="5">
    <w:p w14:paraId="1E6B22A1" w14:textId="77777777" w:rsidR="00C924DD" w:rsidRPr="001244F3" w:rsidRDefault="00C924DD" w:rsidP="00C924DD">
      <w:pPr>
        <w:pStyle w:val="Textonotapie"/>
        <w:ind w:firstLine="708"/>
        <w:jc w:val="both"/>
        <w:rPr>
          <w:rFonts w:ascii="Verdana" w:hAnsi="Verdana" w:cs="Arial"/>
          <w:sz w:val="16"/>
          <w:szCs w:val="16"/>
        </w:rPr>
      </w:pPr>
      <w:r w:rsidRPr="001244F3">
        <w:rPr>
          <w:rStyle w:val="Refdenotaalpie"/>
          <w:rFonts w:ascii="Verdana" w:hAnsi="Verdana" w:cs="Arial"/>
          <w:sz w:val="16"/>
          <w:szCs w:val="16"/>
        </w:rPr>
        <w:footnoteRef/>
      </w:r>
      <w:r w:rsidRPr="001244F3">
        <w:rPr>
          <w:rFonts w:ascii="Verdana" w:hAnsi="Verdana" w:cs="Arial"/>
          <w:sz w:val="16"/>
          <w:szCs w:val="16"/>
        </w:rPr>
        <w:t xml:space="preserve"> BARRETO MORENO, Antonio Alejandro. El derecho de la compra pública: estudio jurídico de un mercado imperfecto. Bogotá: Legis, 2019. pp. 281 y ss.</w:t>
      </w:r>
    </w:p>
  </w:footnote>
  <w:footnote w:id="6">
    <w:p w14:paraId="0F1C3FA7" w14:textId="77777777" w:rsidR="00C924DD" w:rsidRPr="001244F3" w:rsidRDefault="00C924DD" w:rsidP="00C924DD">
      <w:pPr>
        <w:pStyle w:val="Textonotapie"/>
        <w:ind w:firstLine="709"/>
        <w:jc w:val="both"/>
        <w:rPr>
          <w:rFonts w:ascii="Verdana" w:hAnsi="Verdana" w:cs="Arial"/>
          <w:color w:val="000000" w:themeColor="text1"/>
          <w:sz w:val="16"/>
          <w:szCs w:val="16"/>
        </w:rPr>
      </w:pPr>
      <w:r w:rsidRPr="001244F3">
        <w:rPr>
          <w:rStyle w:val="Refdenotaalpie"/>
          <w:rFonts w:ascii="Verdana" w:hAnsi="Verdana" w:cs="Arial"/>
          <w:color w:val="000000" w:themeColor="text1"/>
          <w:sz w:val="16"/>
          <w:szCs w:val="16"/>
        </w:rPr>
        <w:footnoteRef/>
      </w:r>
      <w:r w:rsidRPr="001244F3">
        <w:rPr>
          <w:rFonts w:ascii="Verdana" w:hAnsi="Verdana" w:cs="Arial"/>
          <w:color w:val="000000" w:themeColor="text1"/>
          <w:sz w:val="16"/>
          <w:szCs w:val="16"/>
        </w:rPr>
        <w:t xml:space="preserve"> Agencia Nacional de Contratación Pública - Colombia Compra Eficiente. Guía para las Entidades Estatales con régimen especial de contratación: </w:t>
      </w:r>
      <w:r>
        <w:rPr>
          <w:rFonts w:ascii="Verdana" w:hAnsi="Verdana" w:cs="Arial"/>
          <w:color w:val="000000" w:themeColor="text1"/>
          <w:sz w:val="16"/>
          <w:szCs w:val="16"/>
        </w:rPr>
        <w:t>“</w:t>
      </w:r>
      <w:r w:rsidRPr="001244F3">
        <w:rPr>
          <w:rFonts w:ascii="Verdana" w:hAnsi="Verdana" w:cs="Arial"/>
          <w:color w:val="000000" w:themeColor="text1"/>
          <w:sz w:val="16"/>
          <w:szCs w:val="16"/>
        </w:rPr>
        <w:t>Entidad Estatal de régimen especial: Entidad Estatal que realiza sus Procesos de Contratación con un régimen distinto al previsto en las Leyes 80 de 1993 y 1150 de 2007</w:t>
      </w:r>
      <w:r>
        <w:rPr>
          <w:rFonts w:ascii="Verdana" w:hAnsi="Verdana" w:cs="Arial"/>
          <w:color w:val="000000" w:themeColor="text1"/>
          <w:sz w:val="16"/>
          <w:szCs w:val="16"/>
        </w:rPr>
        <w:t>”</w:t>
      </w:r>
      <w:r w:rsidRPr="001244F3">
        <w:rPr>
          <w:rFonts w:ascii="Verdana" w:hAnsi="Verdana" w:cs="Arial"/>
          <w:color w:val="000000" w:themeColor="text1"/>
          <w:sz w:val="16"/>
          <w:szCs w:val="16"/>
        </w:rPr>
        <w:t>.</w:t>
      </w:r>
    </w:p>
  </w:footnote>
  <w:footnote w:id="7">
    <w:p w14:paraId="49C28FE2" w14:textId="77777777" w:rsidR="00C924DD" w:rsidRPr="001244F3" w:rsidRDefault="00C924DD" w:rsidP="00C924DD">
      <w:pPr>
        <w:pStyle w:val="Textonotapie"/>
        <w:ind w:firstLine="709"/>
        <w:jc w:val="both"/>
        <w:rPr>
          <w:rFonts w:ascii="Verdana" w:hAnsi="Verdana" w:cs="Arial"/>
          <w:color w:val="000000" w:themeColor="text1"/>
          <w:sz w:val="16"/>
          <w:szCs w:val="16"/>
        </w:rPr>
      </w:pPr>
      <w:r w:rsidRPr="001244F3">
        <w:rPr>
          <w:rStyle w:val="Refdenotaalpie"/>
          <w:rFonts w:ascii="Verdana" w:hAnsi="Verdana" w:cs="Arial"/>
          <w:color w:val="000000" w:themeColor="text1"/>
          <w:sz w:val="16"/>
          <w:szCs w:val="16"/>
        </w:rPr>
        <w:footnoteRef/>
      </w:r>
      <w:r w:rsidRPr="001244F3">
        <w:rPr>
          <w:rFonts w:ascii="Verdana" w:hAnsi="Verdana" w:cs="Arial"/>
          <w:color w:val="000000" w:themeColor="text1"/>
          <w:sz w:val="16"/>
          <w:szCs w:val="16"/>
        </w:rPr>
        <w:t xml:space="preserve"> CONSEJO DE ESTADO. Sección Tercera. Radicado No. 45.607 del 24 de octubre de 2016. Consejera Ponente: María Nubia Velásquez Rico.</w:t>
      </w:r>
    </w:p>
  </w:footnote>
  <w:footnote w:id="8">
    <w:p w14:paraId="48169D01" w14:textId="77777777" w:rsidR="00C924DD" w:rsidRPr="001244F3" w:rsidRDefault="00C924DD" w:rsidP="00C924DD">
      <w:pPr>
        <w:pStyle w:val="Textonotapie"/>
        <w:ind w:firstLine="709"/>
        <w:jc w:val="both"/>
        <w:rPr>
          <w:rFonts w:ascii="Verdana" w:hAnsi="Verdana" w:cs="Arial"/>
          <w:color w:val="000000" w:themeColor="text1"/>
          <w:sz w:val="16"/>
          <w:szCs w:val="16"/>
        </w:rPr>
      </w:pPr>
      <w:r w:rsidRPr="001244F3">
        <w:rPr>
          <w:rStyle w:val="Refdenotaalpie"/>
          <w:rFonts w:ascii="Verdana" w:hAnsi="Verdana" w:cs="Arial"/>
          <w:color w:val="000000" w:themeColor="text1"/>
          <w:sz w:val="16"/>
          <w:szCs w:val="16"/>
        </w:rPr>
        <w:footnoteRef/>
      </w:r>
      <w:r w:rsidRPr="001244F3">
        <w:rPr>
          <w:rFonts w:ascii="Verdana" w:hAnsi="Verdana" w:cs="Arial"/>
          <w:color w:val="000000" w:themeColor="text1"/>
          <w:sz w:val="16"/>
          <w:szCs w:val="16"/>
        </w:rPr>
        <w:t xml:space="preserve"> Este fenómeno también se ha presentado, en los últimos años, en España. Al respecto, ver: SÁNCHEZ MORÓN, Miguel. El retorno del derecho administrativo. En: Revista de Administración Pública. Nº 216 (2018). </w:t>
      </w:r>
      <w:r w:rsidRPr="001244F3">
        <w:rPr>
          <w:rFonts w:ascii="Verdana" w:hAnsi="Verdana" w:cs="Arial"/>
          <w:color w:val="000000" w:themeColor="text1"/>
          <w:sz w:val="16"/>
          <w:szCs w:val="16"/>
        </w:rPr>
        <w:t xml:space="preserve">Disponible </w:t>
      </w:r>
      <w:r w:rsidRPr="001244F3">
        <w:rPr>
          <w:rFonts w:ascii="Verdana" w:hAnsi="Verdana" w:cs="Arial"/>
          <w:color w:val="000000" w:themeColor="text1"/>
          <w:sz w:val="16"/>
          <w:szCs w:val="16"/>
        </w:rPr>
        <w:t xml:space="preserve">en: </w:t>
      </w:r>
      <w:r>
        <w:rPr>
          <w:rFonts w:ascii="Verdana" w:hAnsi="Verdana" w:cs="Arial"/>
          <w:color w:val="000000" w:themeColor="text1"/>
          <w:sz w:val="16"/>
          <w:szCs w:val="16"/>
        </w:rPr>
        <w:fldChar w:fldCharType="begin"/>
      </w:r>
      <w:r>
        <w:rPr>
          <w:rFonts w:ascii="Verdana" w:hAnsi="Verdana" w:cs="Arial"/>
          <w:color w:val="000000" w:themeColor="text1"/>
          <w:sz w:val="16"/>
          <w:szCs w:val="16"/>
        </w:rPr>
        <w:instrText>HYPERLINK "</w:instrText>
      </w:r>
      <w:r w:rsidRPr="001244F3">
        <w:rPr>
          <w:rFonts w:ascii="Verdana" w:hAnsi="Verdana" w:cs="Arial"/>
          <w:color w:val="000000" w:themeColor="text1"/>
          <w:sz w:val="16"/>
          <w:szCs w:val="16"/>
        </w:rPr>
        <w:instrText>https://recyt.fecyt.es/index.php/RAP/article/view/67033</w:instrText>
      </w:r>
      <w:r>
        <w:rPr>
          <w:rFonts w:ascii="Verdana" w:hAnsi="Verdana" w:cs="Arial"/>
          <w:color w:val="000000" w:themeColor="text1"/>
          <w:sz w:val="16"/>
          <w:szCs w:val="16"/>
        </w:rPr>
        <w:instrText>"</w:instrText>
      </w:r>
      <w:r>
        <w:rPr>
          <w:rFonts w:ascii="Verdana" w:hAnsi="Verdana" w:cs="Arial"/>
          <w:color w:val="000000" w:themeColor="text1"/>
          <w:sz w:val="16"/>
          <w:szCs w:val="16"/>
        </w:rPr>
      </w:r>
      <w:r>
        <w:rPr>
          <w:rFonts w:ascii="Verdana" w:hAnsi="Verdana" w:cs="Arial"/>
          <w:color w:val="000000" w:themeColor="text1"/>
          <w:sz w:val="16"/>
          <w:szCs w:val="16"/>
        </w:rPr>
        <w:fldChar w:fldCharType="separate"/>
      </w:r>
      <w:r w:rsidRPr="000C3FF3">
        <w:rPr>
          <w:rStyle w:val="Hipervnculo"/>
          <w:rFonts w:ascii="Verdana" w:hAnsi="Verdana" w:cs="Arial"/>
          <w:sz w:val="16"/>
          <w:szCs w:val="16"/>
        </w:rPr>
        <w:t>https://recyt.fecyt.es/index.php/RAP/article/view/67033</w:t>
      </w:r>
      <w:r>
        <w:rPr>
          <w:rFonts w:ascii="Verdana" w:hAnsi="Verdana" w:cs="Arial"/>
          <w:color w:val="000000" w:themeColor="text1"/>
          <w:sz w:val="16"/>
          <w:szCs w:val="16"/>
        </w:rPr>
        <w:fldChar w:fldCharType="end"/>
      </w:r>
      <w:r w:rsidRPr="001244F3">
        <w:rPr>
          <w:rFonts w:ascii="Verdana" w:hAnsi="Verdana" w:cs="Arial"/>
          <w:color w:val="000000" w:themeColor="text1"/>
          <w:sz w:val="16"/>
          <w:szCs w:val="16"/>
        </w:rPr>
        <w:t>.</w:t>
      </w:r>
    </w:p>
  </w:footnote>
  <w:footnote w:id="9">
    <w:p w14:paraId="26920947" w14:textId="77777777" w:rsidR="00C924DD" w:rsidRPr="001244F3" w:rsidRDefault="00C924DD" w:rsidP="00C924DD">
      <w:pPr>
        <w:pStyle w:val="Textonotapie"/>
        <w:ind w:firstLine="708"/>
        <w:jc w:val="both"/>
        <w:rPr>
          <w:rFonts w:ascii="Verdana" w:hAnsi="Verdana" w:cs="Arial"/>
          <w:color w:val="000000" w:themeColor="text1"/>
          <w:sz w:val="16"/>
          <w:szCs w:val="16"/>
          <w:lang w:val="es-ES"/>
        </w:rPr>
      </w:pPr>
      <w:r w:rsidRPr="001244F3">
        <w:rPr>
          <w:rStyle w:val="Refdenotaalpie"/>
          <w:rFonts w:ascii="Verdana" w:hAnsi="Verdana" w:cs="Arial"/>
          <w:color w:val="000000" w:themeColor="text1"/>
          <w:sz w:val="16"/>
          <w:szCs w:val="16"/>
        </w:rPr>
        <w:footnoteRef/>
      </w:r>
      <w:r w:rsidRPr="001244F3">
        <w:rPr>
          <w:rFonts w:ascii="Verdana" w:hAnsi="Verdana" w:cs="Arial"/>
          <w:color w:val="000000" w:themeColor="text1"/>
          <w:sz w:val="16"/>
          <w:szCs w:val="16"/>
        </w:rPr>
        <w:t xml:space="preserve"> </w:t>
      </w:r>
      <w:r w:rsidRPr="001244F3">
        <w:rPr>
          <w:rFonts w:ascii="Verdana" w:hAnsi="Verdana" w:cs="Arial"/>
          <w:color w:val="000000" w:themeColor="text1"/>
          <w:sz w:val="16"/>
          <w:szCs w:val="16"/>
          <w:lang w:val="es-ES"/>
        </w:rPr>
        <w:t xml:space="preserve">Es el caso de: i) las empresas sociales del Estado (art. 195, </w:t>
      </w:r>
      <w:proofErr w:type="spellStart"/>
      <w:r w:rsidRPr="001244F3">
        <w:rPr>
          <w:rFonts w:ascii="Verdana" w:hAnsi="Verdana" w:cs="Arial"/>
          <w:color w:val="000000" w:themeColor="text1"/>
          <w:sz w:val="16"/>
          <w:szCs w:val="16"/>
          <w:lang w:val="es-ES"/>
        </w:rPr>
        <w:t>num</w:t>
      </w:r>
      <w:proofErr w:type="spellEnd"/>
      <w:r w:rsidRPr="001244F3">
        <w:rPr>
          <w:rFonts w:ascii="Verdana" w:hAnsi="Verdana" w:cs="Arial"/>
          <w:color w:val="000000" w:themeColor="text1"/>
          <w:sz w:val="16"/>
          <w:szCs w:val="16"/>
          <w:lang w:val="es-ES"/>
        </w:rPr>
        <w:t xml:space="preserve">. 6, Ley 100/1993), </w:t>
      </w:r>
      <w:proofErr w:type="spellStart"/>
      <w:r w:rsidRPr="001244F3">
        <w:rPr>
          <w:rFonts w:ascii="Verdana" w:hAnsi="Verdana" w:cs="Arial"/>
          <w:color w:val="000000" w:themeColor="text1"/>
          <w:sz w:val="16"/>
          <w:szCs w:val="16"/>
          <w:lang w:val="es-ES"/>
        </w:rPr>
        <w:t>ii</w:t>
      </w:r>
      <w:proofErr w:type="spellEnd"/>
      <w:r w:rsidRPr="001244F3">
        <w:rPr>
          <w:rFonts w:ascii="Verdana" w:hAnsi="Verdana" w:cs="Arial"/>
          <w:color w:val="000000" w:themeColor="text1"/>
          <w:sz w:val="16"/>
          <w:szCs w:val="16"/>
          <w:lang w:val="es-ES"/>
        </w:rPr>
        <w:t xml:space="preserve">) las empresas prestadoras de servicios públicos domiciliarios (arts. 31 y 32, Ley 142/94); </w:t>
      </w:r>
      <w:proofErr w:type="spellStart"/>
      <w:r w:rsidRPr="001244F3">
        <w:rPr>
          <w:rFonts w:ascii="Verdana" w:hAnsi="Verdana" w:cs="Arial"/>
          <w:color w:val="000000" w:themeColor="text1"/>
          <w:sz w:val="16"/>
          <w:szCs w:val="16"/>
          <w:lang w:val="es-ES"/>
        </w:rPr>
        <w:t>iii</w:t>
      </w:r>
      <w:proofErr w:type="spellEnd"/>
      <w:r w:rsidRPr="001244F3">
        <w:rPr>
          <w:rFonts w:ascii="Verdana" w:hAnsi="Verdana" w:cs="Arial"/>
          <w:color w:val="000000" w:themeColor="text1"/>
          <w:sz w:val="16"/>
          <w:szCs w:val="16"/>
          <w:lang w:val="es-ES"/>
        </w:rPr>
        <w:t xml:space="preserve">)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w:t>
      </w:r>
      <w:proofErr w:type="spellStart"/>
      <w:r w:rsidRPr="001244F3">
        <w:rPr>
          <w:rFonts w:ascii="Verdana" w:hAnsi="Verdana" w:cs="Arial"/>
          <w:color w:val="000000" w:themeColor="text1"/>
          <w:sz w:val="16"/>
          <w:szCs w:val="16"/>
          <w:lang w:val="es-ES"/>
        </w:rPr>
        <w:t>iv</w:t>
      </w:r>
      <w:proofErr w:type="spellEnd"/>
      <w:r w:rsidRPr="001244F3">
        <w:rPr>
          <w:rFonts w:ascii="Verdana" w:hAnsi="Verdana" w:cs="Arial"/>
          <w:color w:val="000000" w:themeColor="text1"/>
          <w:sz w:val="16"/>
          <w:szCs w:val="16"/>
          <w:lang w:val="es-ES"/>
        </w:rPr>
        <w:t>) las universidades públicas (art. 93, Ley 30/92); entre otras.</w:t>
      </w:r>
    </w:p>
  </w:footnote>
  <w:footnote w:id="10">
    <w:p w14:paraId="4B7AC16F" w14:textId="77777777" w:rsidR="00C924DD" w:rsidRPr="001244F3" w:rsidRDefault="00C924DD" w:rsidP="00C924DD">
      <w:pPr>
        <w:pStyle w:val="Textonotapie"/>
        <w:ind w:firstLine="709"/>
        <w:jc w:val="both"/>
        <w:rPr>
          <w:rFonts w:ascii="Verdana" w:hAnsi="Verdana" w:cs="Arial"/>
          <w:color w:val="000000" w:themeColor="text1"/>
          <w:sz w:val="16"/>
          <w:szCs w:val="16"/>
          <w:lang w:val="es-ES"/>
        </w:rPr>
      </w:pPr>
      <w:r w:rsidRPr="001244F3">
        <w:rPr>
          <w:rStyle w:val="Refdenotaalpie"/>
          <w:rFonts w:ascii="Verdana" w:hAnsi="Verdana" w:cs="Arial"/>
          <w:color w:val="000000" w:themeColor="text1"/>
          <w:sz w:val="16"/>
          <w:szCs w:val="16"/>
        </w:rPr>
        <w:footnoteRef/>
      </w:r>
      <w:r w:rsidRPr="001244F3">
        <w:rPr>
          <w:rFonts w:ascii="Verdana" w:hAnsi="Verdana" w:cs="Arial"/>
          <w:color w:val="000000" w:themeColor="text1"/>
          <w:sz w:val="16"/>
          <w:szCs w:val="16"/>
        </w:rPr>
        <w:t xml:space="preserve"> </w:t>
      </w:r>
      <w:r w:rsidRPr="001244F3">
        <w:rPr>
          <w:rFonts w:ascii="Verdana" w:hAnsi="Verdana" w:cs="Arial"/>
          <w:color w:val="000000" w:themeColor="text1"/>
          <w:sz w:val="16"/>
          <w:szCs w:val="16"/>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11">
    <w:p w14:paraId="3F5B9498" w14:textId="77777777" w:rsidR="00C924DD" w:rsidRPr="001244F3" w:rsidRDefault="00C924DD" w:rsidP="00C924DD">
      <w:pPr>
        <w:pStyle w:val="Textonotapie"/>
        <w:ind w:firstLine="709"/>
        <w:jc w:val="both"/>
        <w:rPr>
          <w:rFonts w:ascii="Verdana" w:hAnsi="Verdana" w:cs="Arial"/>
          <w:color w:val="000000" w:themeColor="text1"/>
          <w:sz w:val="16"/>
          <w:szCs w:val="16"/>
        </w:rPr>
      </w:pPr>
      <w:r w:rsidRPr="001244F3">
        <w:rPr>
          <w:rStyle w:val="Refdenotaalpie"/>
          <w:rFonts w:ascii="Verdana" w:hAnsi="Verdana" w:cs="Arial"/>
          <w:color w:val="000000" w:themeColor="text1"/>
          <w:sz w:val="16"/>
          <w:szCs w:val="16"/>
        </w:rPr>
        <w:footnoteRef/>
      </w:r>
      <w:r w:rsidRPr="001244F3">
        <w:rPr>
          <w:rFonts w:ascii="Verdana" w:hAnsi="Verdana" w:cs="Arial"/>
          <w:color w:val="000000" w:themeColor="text1"/>
          <w:sz w:val="16"/>
          <w:szCs w:val="16"/>
        </w:rPr>
        <w:t xml:space="preserve"> Así lo sostuvo el Consejo de Estado: </w:t>
      </w:r>
      <w:r>
        <w:rPr>
          <w:rFonts w:ascii="Verdana" w:hAnsi="Verdana" w:cs="Arial"/>
          <w:color w:val="000000" w:themeColor="text1"/>
          <w:sz w:val="16"/>
          <w:szCs w:val="16"/>
        </w:rPr>
        <w:t>“</w:t>
      </w:r>
      <w:r w:rsidRPr="001244F3">
        <w:rPr>
          <w:rFonts w:ascii="Verdana" w:hAnsi="Verdana" w:cs="Arial"/>
          <w:color w:val="000000" w:themeColor="text1"/>
          <w:sz w:val="16"/>
          <w:szCs w:val="16"/>
        </w:rPr>
        <w:t xml:space="preserve">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376059D2" w14:textId="77777777" w:rsidR="00C924DD" w:rsidRPr="001244F3" w:rsidRDefault="00C924DD" w:rsidP="00C924DD">
      <w:pPr>
        <w:pStyle w:val="Textonotapie"/>
        <w:ind w:firstLine="709"/>
        <w:jc w:val="both"/>
        <w:rPr>
          <w:rFonts w:ascii="Verdana" w:hAnsi="Verdana" w:cs="Arial"/>
          <w:color w:val="000000" w:themeColor="text1"/>
          <w:sz w:val="16"/>
          <w:szCs w:val="16"/>
        </w:rPr>
      </w:pPr>
      <w:r w:rsidRPr="001244F3">
        <w:rPr>
          <w:rFonts w:ascii="Verdana" w:hAnsi="Verdana" w:cs="Arial"/>
          <w:color w:val="000000" w:themeColor="text1"/>
          <w:sz w:val="16"/>
          <w:szCs w:val="16"/>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06629586" w14:textId="77777777" w:rsidR="00C924DD" w:rsidRPr="001244F3" w:rsidRDefault="00C924DD" w:rsidP="00C924DD">
      <w:pPr>
        <w:pStyle w:val="Textonotapie"/>
        <w:ind w:firstLine="709"/>
        <w:jc w:val="both"/>
        <w:rPr>
          <w:rFonts w:ascii="Verdana" w:hAnsi="Verdana" w:cs="Arial"/>
          <w:color w:val="000000" w:themeColor="text1"/>
          <w:sz w:val="16"/>
          <w:szCs w:val="16"/>
        </w:rPr>
      </w:pPr>
      <w:r w:rsidRPr="001244F3">
        <w:rPr>
          <w:rFonts w:ascii="Verdana" w:hAnsi="Verdana" w:cs="Arial"/>
          <w:color w:val="000000" w:themeColor="text1"/>
          <w:sz w:val="16"/>
          <w:szCs w:val="16"/>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0F0EED0E" w14:textId="77777777" w:rsidR="00C924DD" w:rsidRPr="001244F3" w:rsidRDefault="00C924DD" w:rsidP="00C924DD">
      <w:pPr>
        <w:pStyle w:val="Textonotapie"/>
        <w:ind w:firstLine="709"/>
        <w:jc w:val="both"/>
        <w:rPr>
          <w:rFonts w:ascii="Verdana" w:hAnsi="Verdana" w:cs="Arial"/>
          <w:color w:val="000000" w:themeColor="text1"/>
          <w:sz w:val="16"/>
          <w:szCs w:val="16"/>
        </w:rPr>
      </w:pPr>
      <w:r w:rsidRPr="001244F3">
        <w:rPr>
          <w:rFonts w:ascii="Verdana" w:hAnsi="Verdana" w:cs="Arial"/>
          <w:color w:val="000000" w:themeColor="text1"/>
          <w:sz w:val="16"/>
          <w:szCs w:val="16"/>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4AA8EE7A" w14:textId="77777777" w:rsidR="00C924DD" w:rsidRPr="001244F3" w:rsidRDefault="00C924DD" w:rsidP="00C924DD">
      <w:pPr>
        <w:pStyle w:val="Textonotapie"/>
        <w:ind w:firstLine="709"/>
        <w:jc w:val="both"/>
        <w:rPr>
          <w:rFonts w:ascii="Verdana" w:hAnsi="Verdana" w:cs="Arial"/>
          <w:color w:val="000000" w:themeColor="text1"/>
          <w:sz w:val="16"/>
          <w:szCs w:val="16"/>
        </w:rPr>
      </w:pPr>
      <w:r w:rsidRPr="001244F3">
        <w:rPr>
          <w:rFonts w:ascii="Verdana" w:hAnsi="Verdana" w:cs="Arial"/>
          <w:color w:val="000000" w:themeColor="text1"/>
          <w:sz w:val="16"/>
          <w:szCs w:val="16"/>
        </w:rPr>
        <w:t>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w:t>
      </w:r>
      <w:r>
        <w:rPr>
          <w:rFonts w:ascii="Verdana" w:hAnsi="Verdana" w:cs="Arial"/>
          <w:color w:val="000000" w:themeColor="text1"/>
          <w:sz w:val="16"/>
          <w:szCs w:val="16"/>
        </w:rPr>
        <w:t>”</w:t>
      </w:r>
      <w:r w:rsidRPr="001244F3">
        <w:rPr>
          <w:rFonts w:ascii="Verdana" w:hAnsi="Verdana" w:cs="Arial"/>
          <w:color w:val="000000" w:themeColor="text1"/>
          <w:sz w:val="16"/>
          <w:szCs w:val="16"/>
        </w:rPr>
        <w:t xml:space="preserve"> (Consejo de Estado. Sección Tercera. Subsección C. Sentencia del 8 de abril de 2014. Exp. 25.801 C.P. Enrique Gil Botero). </w:t>
      </w:r>
    </w:p>
  </w:footnote>
  <w:footnote w:id="12">
    <w:p w14:paraId="4DD1A798" w14:textId="77777777" w:rsidR="00C924DD" w:rsidRPr="00B324A4" w:rsidRDefault="00C924DD" w:rsidP="00C924DD">
      <w:pPr>
        <w:pStyle w:val="Textonotapie"/>
        <w:ind w:firstLine="709"/>
        <w:contextualSpacing/>
        <w:jc w:val="both"/>
        <w:rPr>
          <w:rFonts w:ascii="Verdana" w:hAnsi="Verdana" w:cs="Arial"/>
          <w:sz w:val="16"/>
          <w:szCs w:val="16"/>
          <w:lang w:val="es-ES"/>
        </w:rPr>
      </w:pPr>
      <w:r w:rsidRPr="00B324A4">
        <w:rPr>
          <w:rStyle w:val="Refdenotaalpie"/>
          <w:rFonts w:ascii="Verdana" w:hAnsi="Verdana" w:cs="Arial"/>
          <w:sz w:val="16"/>
          <w:szCs w:val="16"/>
        </w:rPr>
        <w:footnoteRef/>
      </w:r>
      <w:r w:rsidRPr="00B324A4">
        <w:rPr>
          <w:rFonts w:ascii="Verdana" w:hAnsi="Verdana" w:cs="Arial"/>
          <w:sz w:val="16"/>
          <w:szCs w:val="16"/>
        </w:rPr>
        <w:t xml:space="preserve"> </w:t>
      </w:r>
      <w:r w:rsidRPr="00B324A4">
        <w:rPr>
          <w:rFonts w:ascii="Verdana" w:hAnsi="Verdana" w:cs="Arial"/>
          <w:sz w:val="16"/>
          <w:szCs w:val="16"/>
          <w:lang w:val="es-ES"/>
        </w:rPr>
        <w:t xml:space="preserve">Según García de Enterría: “Estos conceptos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w:t>
      </w:r>
      <w:proofErr w:type="gramStart"/>
      <w:r w:rsidRPr="00B324A4">
        <w:rPr>
          <w:rFonts w:ascii="Verdana" w:hAnsi="Verdana" w:cs="Arial"/>
          <w:sz w:val="16"/>
          <w:szCs w:val="16"/>
          <w:lang w:val="es-ES"/>
        </w:rPr>
        <w:t>los mismos</w:t>
      </w:r>
      <w:proofErr w:type="gramEnd"/>
      <w:r w:rsidRPr="00B324A4">
        <w:rPr>
          <w:rFonts w:ascii="Verdana" w:hAnsi="Verdana" w:cs="Arial"/>
          <w:sz w:val="16"/>
          <w:szCs w:val="16"/>
          <w:lang w:val="es-ES"/>
        </w:rPr>
        <w:t xml:space="preserve">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B324A4">
        <w:rPr>
          <w:rFonts w:ascii="Verdana" w:hAnsi="Verdana" w:cs="Arial"/>
          <w:sz w:val="16"/>
          <w:szCs w:val="16"/>
          <w:lang w:val="es-ES"/>
        </w:rPr>
        <w:t>Civitas</w:t>
      </w:r>
      <w:proofErr w:type="spellEnd"/>
      <w:r w:rsidRPr="00B324A4">
        <w:rPr>
          <w:rFonts w:ascii="Verdana" w:hAnsi="Verdana" w:cs="Arial"/>
          <w:sz w:val="16"/>
          <w:szCs w:val="16"/>
          <w:lang w:val="es-ES"/>
        </w:rPr>
        <w:t>, 1983. pp. 33-34).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347EE"/>
    <w:rsid w:val="001511A0"/>
    <w:rsid w:val="001E4177"/>
    <w:rsid w:val="001F7DC6"/>
    <w:rsid w:val="002421BB"/>
    <w:rsid w:val="002433B0"/>
    <w:rsid w:val="0025796E"/>
    <w:rsid w:val="002707A2"/>
    <w:rsid w:val="002951A0"/>
    <w:rsid w:val="002962BC"/>
    <w:rsid w:val="002A093D"/>
    <w:rsid w:val="002A0DD0"/>
    <w:rsid w:val="002A49AC"/>
    <w:rsid w:val="002A64FD"/>
    <w:rsid w:val="002C7A84"/>
    <w:rsid w:val="002E4FD9"/>
    <w:rsid w:val="00300F56"/>
    <w:rsid w:val="00322A85"/>
    <w:rsid w:val="00324168"/>
    <w:rsid w:val="003448F4"/>
    <w:rsid w:val="003579C4"/>
    <w:rsid w:val="00374F5E"/>
    <w:rsid w:val="00377E3E"/>
    <w:rsid w:val="003A779E"/>
    <w:rsid w:val="003D0F4D"/>
    <w:rsid w:val="003D5B0D"/>
    <w:rsid w:val="003E0499"/>
    <w:rsid w:val="003F3941"/>
    <w:rsid w:val="00406575"/>
    <w:rsid w:val="00414C74"/>
    <w:rsid w:val="00425A59"/>
    <w:rsid w:val="0042722E"/>
    <w:rsid w:val="0044528D"/>
    <w:rsid w:val="004A1847"/>
    <w:rsid w:val="004A305D"/>
    <w:rsid w:val="004F21C4"/>
    <w:rsid w:val="004F685F"/>
    <w:rsid w:val="005566E8"/>
    <w:rsid w:val="00574867"/>
    <w:rsid w:val="00591460"/>
    <w:rsid w:val="005B3816"/>
    <w:rsid w:val="005C3777"/>
    <w:rsid w:val="005C5CDC"/>
    <w:rsid w:val="005D476C"/>
    <w:rsid w:val="006219F8"/>
    <w:rsid w:val="00665D70"/>
    <w:rsid w:val="00685AD7"/>
    <w:rsid w:val="006900D9"/>
    <w:rsid w:val="00706C16"/>
    <w:rsid w:val="00756841"/>
    <w:rsid w:val="007649AB"/>
    <w:rsid w:val="00771D0C"/>
    <w:rsid w:val="007833AC"/>
    <w:rsid w:val="007B268C"/>
    <w:rsid w:val="007B7171"/>
    <w:rsid w:val="007C0C0F"/>
    <w:rsid w:val="007C3DC2"/>
    <w:rsid w:val="007E5497"/>
    <w:rsid w:val="0080074C"/>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A3A0C"/>
    <w:rsid w:val="009B2D26"/>
    <w:rsid w:val="009C71FA"/>
    <w:rsid w:val="009C72E7"/>
    <w:rsid w:val="009D3058"/>
    <w:rsid w:val="009F3A13"/>
    <w:rsid w:val="00A122D3"/>
    <w:rsid w:val="00A17F13"/>
    <w:rsid w:val="00A20739"/>
    <w:rsid w:val="00A33C78"/>
    <w:rsid w:val="00AB0ADB"/>
    <w:rsid w:val="00B01B1A"/>
    <w:rsid w:val="00B66319"/>
    <w:rsid w:val="00B72CD3"/>
    <w:rsid w:val="00B72FFF"/>
    <w:rsid w:val="00BC3D36"/>
    <w:rsid w:val="00BD7F72"/>
    <w:rsid w:val="00C04FB3"/>
    <w:rsid w:val="00C330EB"/>
    <w:rsid w:val="00C41061"/>
    <w:rsid w:val="00C754BE"/>
    <w:rsid w:val="00C76B1C"/>
    <w:rsid w:val="00C924DD"/>
    <w:rsid w:val="00CB6357"/>
    <w:rsid w:val="00CC1B26"/>
    <w:rsid w:val="00D423A2"/>
    <w:rsid w:val="00D520D8"/>
    <w:rsid w:val="00D63AC2"/>
    <w:rsid w:val="00D7383B"/>
    <w:rsid w:val="00D775F1"/>
    <w:rsid w:val="00DA231B"/>
    <w:rsid w:val="00DC39FC"/>
    <w:rsid w:val="00DF5254"/>
    <w:rsid w:val="00E16408"/>
    <w:rsid w:val="00E20894"/>
    <w:rsid w:val="00E245AB"/>
    <w:rsid w:val="00E2764C"/>
    <w:rsid w:val="00E27F2E"/>
    <w:rsid w:val="00E50AFE"/>
    <w:rsid w:val="00E51256"/>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924D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24DD"/>
    <w:rPr>
      <w:rFonts w:ascii="Geomanist Light" w:hAnsi="Geomanist Light"/>
      <w:lang w:val="es-ES"/>
    </w:rPr>
  </w:style>
  <w:style w:type="paragraph" w:styleId="Sinespaciado">
    <w:name w:val="No Spacing"/>
    <w:aliases w:val="No Indent"/>
    <w:uiPriority w:val="3"/>
    <w:qFormat/>
    <w:rsid w:val="00C924DD"/>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ianneyhedez@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4BE9B6A8-66C5-4A40-A7E6-BC3A3C70D08B}"/>
</file>

<file path=docProps/app.xml><?xml version="1.0" encoding="utf-8"?>
<Properties xmlns="http://schemas.openxmlformats.org/officeDocument/2006/extended-properties" xmlns:vt="http://schemas.openxmlformats.org/officeDocument/2006/docPropsVTypes">
  <Template>Normal.dotm</Template>
  <TotalTime>2</TotalTime>
  <Pages>19</Pages>
  <Words>6111</Words>
  <Characters>33611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2024-12-18T16:40:00Z</dcterms:created>
  <dcterms:modified xsi:type="dcterms:W3CDTF">2024-12-19T14:49:00Z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