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DF18" w14:textId="6348D301" w:rsidR="003A6E04" w:rsidRPr="003A6E04" w:rsidRDefault="003A6E04" w:rsidP="003A6E04">
      <w:pPr>
        <w:spacing w:after="0"/>
        <w:jc w:val="both"/>
        <w:rPr>
          <w:rFonts w:ascii="Verdana" w:hAnsi="Verdana"/>
        </w:rPr>
      </w:pPr>
      <w:bookmarkStart w:id="0" w:name="_Hlk143780582"/>
      <w:r w:rsidRPr="003A6E04">
        <w:rPr>
          <w:rFonts w:ascii="Verdana" w:eastAsia="Calibri" w:hAnsi="Verdana" w:cs="Arial"/>
          <w:b/>
          <w:bCs/>
          <w:lang w:val="es-ES_tradnl" w:eastAsia="es-ES"/>
        </w:rPr>
        <w:t xml:space="preserve">DOCUMENTOS TIPO – Generalidades – </w:t>
      </w:r>
      <w:r w:rsidRPr="003A6E04">
        <w:rPr>
          <w:rFonts w:ascii="Verdana" w:eastAsia="Aptos" w:hAnsi="Verdana" w:cs="Times New Roman"/>
          <w:b/>
          <w:bCs/>
          <w:kern w:val="2"/>
          <w:lang w:val="es-ES_tradnl" w:eastAsia="es-ES"/>
          <w14:ligatures w14:val="standardContextual"/>
        </w:rPr>
        <w:t xml:space="preserve">Obligatoriedad </w:t>
      </w:r>
    </w:p>
    <w:p w14:paraId="717C67FE" w14:textId="77777777" w:rsidR="003A6E04" w:rsidRPr="003A6E04" w:rsidRDefault="003A6E04" w:rsidP="003A6E04">
      <w:pPr>
        <w:spacing w:after="0" w:line="276" w:lineRule="auto"/>
        <w:jc w:val="both"/>
        <w:rPr>
          <w:rFonts w:ascii="Verdana" w:eastAsia="Calibri" w:hAnsi="Verdana" w:cs="Arial"/>
          <w:b/>
          <w:bCs/>
          <w:lang w:val="es-ES_tradnl" w:eastAsia="es-ES"/>
        </w:rPr>
      </w:pPr>
    </w:p>
    <w:p w14:paraId="4CAE7807" w14:textId="52008DC9" w:rsidR="003A6E04" w:rsidRPr="003A6E04" w:rsidRDefault="00EC3B8A" w:rsidP="003A6E04">
      <w:pPr>
        <w:spacing w:after="0" w:line="240" w:lineRule="auto"/>
        <w:jc w:val="both"/>
        <w:rPr>
          <w:rFonts w:ascii="Verdana" w:eastAsia="Calibri" w:hAnsi="Verdana" w:cs="Arial"/>
          <w:sz w:val="20"/>
          <w:szCs w:val="20"/>
          <w:lang w:val="es-ES_tradnl"/>
        </w:rPr>
      </w:pPr>
      <w:r w:rsidRPr="00EC3B8A">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5C3F8F04" w14:textId="77777777" w:rsidR="003A6E04" w:rsidRPr="00CA4F61" w:rsidRDefault="003A6E04" w:rsidP="003A6E04">
      <w:pPr>
        <w:spacing w:after="0" w:line="240" w:lineRule="auto"/>
        <w:rPr>
          <w:rFonts w:ascii="Verdana" w:eastAsia="Geomanist Light" w:hAnsi="Verdana" w:cs="Arial"/>
          <w:b/>
          <w:bCs/>
          <w:lang w:val="es-ES_tradnl"/>
        </w:rPr>
      </w:pPr>
    </w:p>
    <w:p w14:paraId="0D5E6A91" w14:textId="53939A91" w:rsidR="003A6E04" w:rsidRPr="00CA4F61" w:rsidRDefault="003A6E04" w:rsidP="003A6E04">
      <w:pPr>
        <w:spacing w:after="0" w:line="276" w:lineRule="auto"/>
        <w:jc w:val="both"/>
        <w:rPr>
          <w:rFonts w:ascii="Verdana" w:eastAsia="Geomanist Light" w:hAnsi="Verdana" w:cs="Arial"/>
          <w:b/>
          <w:bCs/>
          <w:lang w:val="es-ES_tradnl"/>
        </w:rPr>
      </w:pPr>
      <w:r w:rsidRPr="00CA4F61">
        <w:rPr>
          <w:rFonts w:ascii="Verdana" w:eastAsia="Geomanist Light" w:hAnsi="Verdana" w:cs="Arial"/>
          <w:b/>
          <w:bCs/>
          <w:lang w:val="es-ES_tradnl"/>
        </w:rPr>
        <w:t xml:space="preserve">DOCUMENTOS TIPO – Infraestructura de transporte – </w:t>
      </w:r>
      <w:r w:rsidR="00CA4F61" w:rsidRPr="00CA4F61">
        <w:rPr>
          <w:rFonts w:ascii="Verdana" w:hAnsi="Verdana"/>
          <w:b/>
          <w:bCs/>
        </w:rPr>
        <w:t>DETERMINACIÓN DEL MÉTODO PARA LA PONDERACIÓN DE LA PROPUESTA ECONÓMICA</w:t>
      </w:r>
    </w:p>
    <w:p w14:paraId="7A2AF58B" w14:textId="77777777" w:rsidR="003A6E04" w:rsidRPr="002A5F8C" w:rsidRDefault="003A6E04" w:rsidP="003A6E04">
      <w:pPr>
        <w:spacing w:after="0" w:line="240" w:lineRule="auto"/>
        <w:jc w:val="both"/>
        <w:rPr>
          <w:rFonts w:ascii="Verdana" w:eastAsia="Calibri" w:hAnsi="Verdana" w:cs="Arial"/>
          <w:sz w:val="20"/>
          <w:szCs w:val="20"/>
          <w:lang w:val="es-ES_tradnl"/>
        </w:rPr>
      </w:pPr>
    </w:p>
    <w:p w14:paraId="18E67F9A" w14:textId="7265A096" w:rsidR="00EC3B8A" w:rsidRPr="002A5F8C" w:rsidRDefault="002A5F8C" w:rsidP="002A5F8C">
      <w:pPr>
        <w:tabs>
          <w:tab w:val="left" w:pos="1860"/>
        </w:tabs>
        <w:spacing w:after="200" w:line="276" w:lineRule="auto"/>
        <w:jc w:val="both"/>
        <w:rPr>
          <w:rFonts w:ascii="Verdana" w:eastAsia="Calibri" w:hAnsi="Verdana" w:cs="Arial"/>
          <w:sz w:val="20"/>
          <w:szCs w:val="20"/>
          <w:lang w:val="es-ES_tradnl"/>
        </w:rPr>
      </w:pPr>
      <w:r w:rsidRPr="002A5F8C">
        <w:rPr>
          <w:rFonts w:ascii="Verdana" w:eastAsia="Calibri" w:hAnsi="Verdana" w:cs="Arial"/>
          <w:sz w:val="20"/>
          <w:szCs w:val="20"/>
          <w:lang w:val="es-ES_tradnl"/>
        </w:rPr>
        <w:t xml:space="preserve">Para determinar el método de ponderación, la entidad tomará los centavos de la Tasa de Cambio Representativa del Mercado (TRM), certificada por la Superintendencia Financiera de Colombia (en su sitio web: </w:t>
      </w:r>
      <w:hyperlink r:id="rId10" w:history="1">
        <w:r w:rsidRPr="009B21BF">
          <w:rPr>
            <w:rStyle w:val="Hipervnculo"/>
            <w:rFonts w:ascii="Verdana" w:eastAsia="Calibri" w:hAnsi="Verdana" w:cs="Arial"/>
            <w:sz w:val="20"/>
            <w:szCs w:val="20"/>
            <w:lang w:val="es-ES_tradnl"/>
          </w:rPr>
          <w:t>https://www.superfinanciera.gov.co/publicacion/60819</w:t>
        </w:r>
      </w:hyperlink>
      <w:r w:rsidRPr="002A5F8C">
        <w:rPr>
          <w:rFonts w:ascii="Verdana" w:eastAsia="Calibri" w:hAnsi="Verdana" w:cs="Arial"/>
          <w:sz w:val="20"/>
          <w:szCs w:val="20"/>
          <w:lang w:val="es-ES_tradnl"/>
        </w:rPr>
        <w:t>).</w:t>
      </w:r>
      <w:r>
        <w:rPr>
          <w:rFonts w:ascii="Verdana" w:eastAsia="Calibri" w:hAnsi="Verdana" w:cs="Arial"/>
          <w:sz w:val="20"/>
          <w:szCs w:val="20"/>
          <w:lang w:val="es-ES_tradnl"/>
        </w:rPr>
        <w:t xml:space="preserve"> </w:t>
      </w:r>
      <w:r w:rsidRPr="002A5F8C">
        <w:rPr>
          <w:rFonts w:ascii="Verdana" w:eastAsia="Calibri" w:hAnsi="Verdana" w:cs="Arial"/>
          <w:sz w:val="20"/>
          <w:szCs w:val="20"/>
          <w:lang w:val="es-ES_tradnl"/>
        </w:rPr>
        <w:t>La TRM que la entidad utilizará para determinar el método de ponderación será la que rija el segundo día hábil después de finalizado el periodo de traslado del informe de evaluación. Esto es, la que la Superintendencia publique en horas de la tarde del día hábil siguiente a la fecha efectiva de finalizado el periodo de traslado del informe de evaluación.</w:t>
      </w:r>
    </w:p>
    <w:p w14:paraId="1E2B75E4" w14:textId="4CB901ED" w:rsidR="002A5F8C" w:rsidRPr="002A5F8C" w:rsidRDefault="002A5F8C">
      <w:pPr>
        <w:rPr>
          <w:rFonts w:ascii="Verdana" w:eastAsia="Calibri" w:hAnsi="Verdana" w:cs="Arial"/>
          <w:sz w:val="20"/>
          <w:szCs w:val="20"/>
          <w:lang w:val="es-ES_tradnl"/>
        </w:rPr>
      </w:pPr>
      <w:r w:rsidRPr="002A5F8C">
        <w:rPr>
          <w:rFonts w:ascii="Verdana" w:eastAsia="Calibri" w:hAnsi="Verdana" w:cs="Arial"/>
          <w:sz w:val="20"/>
          <w:szCs w:val="20"/>
          <w:lang w:val="es-ES_tradnl"/>
        </w:rPr>
        <w:br w:type="page"/>
      </w:r>
    </w:p>
    <w:p w14:paraId="380AFA88" w14:textId="5376C64A" w:rsidR="003A6E04" w:rsidRPr="003A6E04" w:rsidRDefault="003A6E04" w:rsidP="003A6E04">
      <w:pPr>
        <w:spacing w:after="0" w:line="240" w:lineRule="auto"/>
        <w:jc w:val="both"/>
        <w:rPr>
          <w:rFonts w:ascii="Verdana" w:eastAsia="Calibri" w:hAnsi="Verdana" w:cs="Arial"/>
          <w:lang w:val="es-ES_tradnl"/>
        </w:rPr>
      </w:pPr>
      <w:r w:rsidRPr="0044528D">
        <w:rPr>
          <w:rFonts w:ascii="Verdana" w:hAnsi="Verdana"/>
        </w:rPr>
        <w:lastRenderedPageBreak/>
        <w:t>Bogotá D.C.</w:t>
      </w:r>
    </w:p>
    <w:p w14:paraId="183A0202" w14:textId="68EF9F53" w:rsidR="003A6E04" w:rsidRPr="003A6E04" w:rsidRDefault="003A6E04" w:rsidP="00367C9C">
      <w:pPr>
        <w:spacing w:after="0" w:line="240" w:lineRule="auto"/>
        <w:jc w:val="right"/>
        <w:rPr>
          <w:rFonts w:ascii="Verdana" w:eastAsia="Calibri" w:hAnsi="Verdana" w:cs="Arial"/>
          <w:lang w:val="es-ES_tradnl" w:eastAsia="es-ES"/>
        </w:rPr>
      </w:pPr>
    </w:p>
    <w:p w14:paraId="046BCEF6" w14:textId="77777777" w:rsidR="003A6E04" w:rsidRPr="003A6E04" w:rsidRDefault="003A6E04" w:rsidP="003A6E04">
      <w:pPr>
        <w:spacing w:after="0" w:line="240" w:lineRule="auto"/>
        <w:jc w:val="both"/>
        <w:rPr>
          <w:rFonts w:ascii="Verdana" w:eastAsia="Calibri" w:hAnsi="Verdana" w:cs="Arial"/>
          <w:lang w:val="es-ES_tradnl" w:eastAsia="es-ES"/>
        </w:rPr>
      </w:pPr>
    </w:p>
    <w:p w14:paraId="36EF6ABD" w14:textId="35F24CAD" w:rsidR="003A6E04" w:rsidRPr="003A6E04" w:rsidRDefault="003A6E04" w:rsidP="003A6E04">
      <w:pPr>
        <w:spacing w:after="0" w:line="240" w:lineRule="auto"/>
        <w:jc w:val="both"/>
        <w:rPr>
          <w:rFonts w:ascii="Verdana" w:eastAsia="Calibri" w:hAnsi="Verdana" w:cs="Arial"/>
          <w:lang w:val="es-ES_tradnl" w:eastAsia="es-ES"/>
        </w:rPr>
      </w:pPr>
      <w:r w:rsidRPr="003A6E04">
        <w:rPr>
          <w:rFonts w:ascii="Verdana" w:eastAsia="Calibri" w:hAnsi="Verdana" w:cs="Arial"/>
          <w:lang w:val="es-ES_tradnl" w:eastAsia="es-ES"/>
        </w:rPr>
        <w:t>Señor</w:t>
      </w:r>
    </w:p>
    <w:p w14:paraId="28D5C450" w14:textId="31691B83" w:rsidR="00DE6472" w:rsidRDefault="00DE6472" w:rsidP="003A6E04">
      <w:pPr>
        <w:spacing w:after="0" w:line="240" w:lineRule="auto"/>
        <w:rPr>
          <w:rFonts w:ascii="Verdana" w:eastAsia="Calibri" w:hAnsi="Verdana" w:cs="Arial"/>
          <w:b/>
          <w:lang w:eastAsia="es-ES_tradnl"/>
        </w:rPr>
      </w:pPr>
      <w:r w:rsidRPr="00DE6472">
        <w:rPr>
          <w:rFonts w:ascii="Verdana" w:eastAsia="Calibri" w:hAnsi="Verdana" w:cs="Arial"/>
          <w:b/>
          <w:lang w:eastAsia="es-ES_tradnl"/>
        </w:rPr>
        <w:t>Jorge Alirio Silva López</w:t>
      </w:r>
    </w:p>
    <w:p w14:paraId="00BB485E" w14:textId="6015CF5F" w:rsidR="003A6E04" w:rsidRPr="00DE6472" w:rsidRDefault="00DE6472" w:rsidP="003A6E04">
      <w:pPr>
        <w:spacing w:after="0" w:line="240" w:lineRule="auto"/>
        <w:rPr>
          <w:rFonts w:ascii="Verdana" w:eastAsia="Calibri" w:hAnsi="Verdana" w:cs="Arial"/>
          <w:u w:val="single"/>
          <w:lang w:val="es-ES_tradnl" w:eastAsia="es-ES"/>
        </w:rPr>
      </w:pPr>
      <w:r w:rsidRPr="00DE6472">
        <w:rPr>
          <w:rFonts w:ascii="Verdana" w:eastAsia="Calibri" w:hAnsi="Verdana" w:cs="Arial"/>
          <w:u w:val="single"/>
          <w:lang w:val="es-ES_tradnl" w:eastAsia="es-ES"/>
        </w:rPr>
        <w:t>jorgealiriosilvalopez@gmail.com.</w:t>
      </w:r>
    </w:p>
    <w:p w14:paraId="2BD3EC3B" w14:textId="61FC9AF6" w:rsidR="003A6E04" w:rsidRPr="003A6E04" w:rsidRDefault="00DE6472" w:rsidP="003A6E04">
      <w:pPr>
        <w:spacing w:after="0" w:line="240" w:lineRule="auto"/>
        <w:rPr>
          <w:rFonts w:ascii="Verdana" w:eastAsia="Calibri" w:hAnsi="Verdana" w:cs="Arial"/>
          <w:lang w:val="es-ES_tradnl" w:eastAsia="es-ES"/>
        </w:rPr>
      </w:pPr>
      <w:r>
        <w:rPr>
          <w:rFonts w:ascii="Verdana" w:eastAsia="Calibri" w:hAnsi="Verdana" w:cs="Arial"/>
          <w:lang w:val="es-ES_tradnl" w:eastAsia="es-ES"/>
        </w:rPr>
        <w:t xml:space="preserve">Manizales, Caldas. </w:t>
      </w:r>
    </w:p>
    <w:p w14:paraId="7C1A621B" w14:textId="77777777" w:rsidR="003A6E04" w:rsidRPr="003A6E04" w:rsidRDefault="003A6E04" w:rsidP="003A6E04">
      <w:pPr>
        <w:spacing w:after="0" w:line="240" w:lineRule="auto"/>
        <w:rPr>
          <w:rFonts w:ascii="Verdana" w:eastAsia="Calibri" w:hAnsi="Verdana" w:cs="Arial"/>
          <w:b/>
          <w:bCs/>
          <w:lang w:val="es-ES_tradnl" w:eastAsia="es-ES_tradnl"/>
        </w:rPr>
      </w:pPr>
    </w:p>
    <w:p w14:paraId="1B32A6E0" w14:textId="77777777" w:rsidR="003A6E04" w:rsidRDefault="003A6E04" w:rsidP="003A6E04">
      <w:pPr>
        <w:spacing w:after="0" w:line="240" w:lineRule="auto"/>
        <w:rPr>
          <w:rFonts w:ascii="Verdana" w:eastAsia="Calibri" w:hAnsi="Verdana" w:cs="Arial"/>
          <w:b/>
          <w:bCs/>
          <w:lang w:val="es-ES_tradnl" w:eastAsia="es-ES_tradnl"/>
        </w:rPr>
      </w:pPr>
    </w:p>
    <w:p w14:paraId="293E699B" w14:textId="104868B9" w:rsidR="002B1193" w:rsidRPr="003A6E04" w:rsidRDefault="002B1193" w:rsidP="002B1193">
      <w:pPr>
        <w:spacing w:after="0" w:line="240" w:lineRule="auto"/>
        <w:jc w:val="right"/>
        <w:rPr>
          <w:rFonts w:ascii="Verdana" w:eastAsia="Calibri" w:hAnsi="Verdana" w:cs="Arial"/>
          <w:b/>
          <w:bCs/>
          <w:lang w:val="es-ES_tradnl" w:eastAsia="es-ES_tradnl"/>
        </w:rPr>
      </w:pPr>
      <w:r w:rsidRPr="002B1193">
        <w:rPr>
          <w:rFonts w:ascii="Verdana" w:eastAsia="Calibri" w:hAnsi="Verdana" w:cs="Arial"/>
          <w:b/>
          <w:bCs/>
          <w:lang w:val="es-ES_tradnl" w:eastAsia="es-ES_tradnl"/>
        </w:rPr>
        <w:drawing>
          <wp:inline distT="0" distB="0" distL="0" distR="0" wp14:anchorId="44E62D6A" wp14:editId="51E61FC7">
            <wp:extent cx="2438611" cy="701101"/>
            <wp:effectExtent l="0" t="0" r="0" b="3810"/>
            <wp:docPr id="64858080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80806" name="Imagen 1" descr="Texto&#10;&#10;Descripción generada automáticamente"/>
                    <pic:cNvPicPr/>
                  </pic:nvPicPr>
                  <pic:blipFill>
                    <a:blip r:embed="rId11"/>
                    <a:stretch>
                      <a:fillRect/>
                    </a:stretch>
                  </pic:blipFill>
                  <pic:spPr>
                    <a:xfrm>
                      <a:off x="0" y="0"/>
                      <a:ext cx="2438611" cy="701101"/>
                    </a:xfrm>
                    <a:prstGeom prst="rect">
                      <a:avLst/>
                    </a:prstGeom>
                  </pic:spPr>
                </pic:pic>
              </a:graphicData>
            </a:graphic>
          </wp:inline>
        </w:drawing>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A6E04" w:rsidRPr="003A6E04" w14:paraId="73AD0AD3" w14:textId="77777777" w:rsidTr="00400127">
        <w:trPr>
          <w:trHeight w:val="884"/>
        </w:trPr>
        <w:tc>
          <w:tcPr>
            <w:tcW w:w="2689" w:type="dxa"/>
          </w:tcPr>
          <w:p w14:paraId="0138A164" w14:textId="77777777" w:rsidR="003A6E04" w:rsidRPr="003A6E04" w:rsidRDefault="003A6E04" w:rsidP="003A6E04">
            <w:pPr>
              <w:jc w:val="both"/>
              <w:rPr>
                <w:rFonts w:ascii="Verdana" w:eastAsia="Calibri" w:hAnsi="Verdana" w:cs="Arial"/>
                <w:b/>
                <w:bCs/>
                <w:lang w:val="es-ES_tradnl" w:eastAsia="es-ES_tradnl"/>
              </w:rPr>
            </w:pPr>
          </w:p>
        </w:tc>
        <w:tc>
          <w:tcPr>
            <w:tcW w:w="6100" w:type="dxa"/>
          </w:tcPr>
          <w:p w14:paraId="74942DC6" w14:textId="75BB4272" w:rsidR="003A6E04" w:rsidRPr="003A6E04" w:rsidRDefault="003A6E04" w:rsidP="003A6E04">
            <w:pPr>
              <w:jc w:val="both"/>
              <w:rPr>
                <w:rFonts w:ascii="Verdana" w:eastAsia="Calibri" w:hAnsi="Verdana" w:cs="Arial"/>
                <w:b/>
                <w:bCs/>
                <w:lang w:val="es-ES_tradnl" w:eastAsia="es-ES"/>
              </w:rPr>
            </w:pPr>
            <w:r w:rsidRPr="003A6E04">
              <w:rPr>
                <w:rFonts w:ascii="Verdana" w:eastAsia="Calibri" w:hAnsi="Verdana" w:cs="Arial"/>
                <w:b/>
                <w:bCs/>
                <w:lang w:val="es-ES_tradnl" w:eastAsia="es-ES"/>
              </w:rPr>
              <w:t xml:space="preserve">Concepto C – </w:t>
            </w:r>
            <w:r w:rsidR="00DE6472">
              <w:rPr>
                <w:rFonts w:ascii="Verdana" w:eastAsia="Calibri" w:hAnsi="Verdana" w:cs="Arial"/>
                <w:b/>
                <w:bCs/>
                <w:lang w:val="es-ES_tradnl" w:eastAsia="es-ES"/>
              </w:rPr>
              <w:t>853</w:t>
            </w:r>
            <w:r w:rsidRPr="003A6E04">
              <w:rPr>
                <w:rFonts w:ascii="Verdana" w:eastAsia="Calibri" w:hAnsi="Verdana" w:cs="Arial"/>
                <w:b/>
                <w:bCs/>
                <w:lang w:val="es-ES_tradnl" w:eastAsia="es-ES"/>
              </w:rPr>
              <w:t xml:space="preserve"> de 2024</w:t>
            </w:r>
          </w:p>
        </w:tc>
      </w:tr>
      <w:tr w:rsidR="003A6E04" w:rsidRPr="003A6E04" w14:paraId="782116D1" w14:textId="77777777" w:rsidTr="00400127">
        <w:trPr>
          <w:trHeight w:val="884"/>
        </w:trPr>
        <w:tc>
          <w:tcPr>
            <w:tcW w:w="2689" w:type="dxa"/>
          </w:tcPr>
          <w:p w14:paraId="50853CCF" w14:textId="77777777" w:rsidR="003A6E04" w:rsidRPr="003A6E04" w:rsidRDefault="003A6E04" w:rsidP="003A6E04">
            <w:pPr>
              <w:jc w:val="both"/>
              <w:rPr>
                <w:rFonts w:ascii="Verdana" w:eastAsia="Calibri" w:hAnsi="Verdana" w:cs="Arial"/>
                <w:lang w:val="es-ES_tradnl" w:eastAsia="es-ES_tradnl"/>
              </w:rPr>
            </w:pPr>
            <w:r w:rsidRPr="003A6E04">
              <w:rPr>
                <w:rFonts w:ascii="Verdana" w:eastAsia="Calibri" w:hAnsi="Verdana" w:cs="Arial"/>
                <w:b/>
                <w:lang w:val="es-ES_tradnl" w:eastAsia="es-ES_tradnl"/>
              </w:rPr>
              <w:t>Temas:</w:t>
            </w:r>
            <w:r w:rsidRPr="003A6E04">
              <w:rPr>
                <w:rFonts w:ascii="Verdana" w:eastAsia="Calibri" w:hAnsi="Verdana" w:cs="Arial"/>
                <w:lang w:val="es-ES_tradnl" w:eastAsia="es-ES_tradnl"/>
              </w:rPr>
              <w:t xml:space="preserve">                   </w:t>
            </w:r>
          </w:p>
        </w:tc>
        <w:tc>
          <w:tcPr>
            <w:tcW w:w="6100" w:type="dxa"/>
          </w:tcPr>
          <w:p w14:paraId="4944B15E" w14:textId="4E2DAB0E" w:rsidR="003A6E04" w:rsidRDefault="003A6E04" w:rsidP="00DE6472">
            <w:pPr>
              <w:spacing w:line="276" w:lineRule="auto"/>
              <w:jc w:val="both"/>
              <w:rPr>
                <w:rFonts w:ascii="Verdana" w:eastAsia="Geomanist Light" w:hAnsi="Verdana" w:cs="Arial"/>
                <w:lang w:val="es-ES_tradnl"/>
              </w:rPr>
            </w:pPr>
            <w:r w:rsidRPr="003A6E04">
              <w:rPr>
                <w:rFonts w:ascii="Verdana" w:eastAsia="Calibri" w:hAnsi="Verdana" w:cs="Arial"/>
                <w:lang w:val="es-ES_tradnl" w:eastAsia="es-ES"/>
              </w:rPr>
              <w:t xml:space="preserve">DOCUMENTOS TIPO – Generalidades – </w:t>
            </w:r>
            <w:r w:rsidRPr="003A6E04">
              <w:rPr>
                <w:rFonts w:ascii="Verdana" w:eastAsia="Aptos" w:hAnsi="Verdana" w:cs="Times New Roman"/>
                <w:lang w:val="es-ES_tradnl" w:eastAsia="es-ES"/>
              </w:rPr>
              <w:t xml:space="preserve">Obligatoriedad / </w:t>
            </w:r>
            <w:r w:rsidRPr="003A6E04">
              <w:rPr>
                <w:rFonts w:ascii="Verdana" w:eastAsia="Geomanist Light" w:hAnsi="Verdana" w:cs="Arial"/>
                <w:lang w:val="es-ES_tradnl"/>
              </w:rPr>
              <w:t xml:space="preserve">DOCUMENTOS TIPO – Infraestructura de transporte – </w:t>
            </w:r>
            <w:r w:rsidR="00DE6472" w:rsidRPr="003A6E04">
              <w:rPr>
                <w:rFonts w:ascii="Verdana" w:eastAsia="Calibri" w:hAnsi="Verdana" w:cs="Arial"/>
                <w:lang w:val="es-ES_tradnl" w:eastAsia="es-ES"/>
              </w:rPr>
              <w:t>modalidad de selección abreviada de menor cuantía –versión 3</w:t>
            </w:r>
            <w:r w:rsidR="00CA4F61">
              <w:rPr>
                <w:rFonts w:ascii="Verdana" w:eastAsia="Calibri" w:hAnsi="Verdana" w:cs="Arial"/>
                <w:lang w:val="es-ES_tradnl" w:eastAsia="es-ES"/>
              </w:rPr>
              <w:t xml:space="preserve"> - </w:t>
            </w:r>
            <w:r w:rsidR="00CA4F61" w:rsidRPr="00513756">
              <w:rPr>
                <w:rFonts w:ascii="Verdana" w:hAnsi="Verdana"/>
              </w:rPr>
              <w:t>DETERMINACIÓN DEL MÉTODO PARA LA PONDERACIÓN DE LA PROPUESTA ECONÓMICA</w:t>
            </w:r>
          </w:p>
          <w:p w14:paraId="56E3B199" w14:textId="2BF0F338" w:rsidR="00DE6472" w:rsidRPr="003A6E04" w:rsidRDefault="00DE6472" w:rsidP="00DE6472">
            <w:pPr>
              <w:spacing w:line="276" w:lineRule="auto"/>
              <w:jc w:val="both"/>
              <w:rPr>
                <w:rFonts w:ascii="Verdana" w:eastAsia="Calibri" w:hAnsi="Verdana" w:cs="Arial"/>
                <w:highlight w:val="yellow"/>
                <w:lang w:val="es-ES_tradnl" w:eastAsia="es-ES"/>
              </w:rPr>
            </w:pPr>
          </w:p>
        </w:tc>
      </w:tr>
      <w:tr w:rsidR="003A6E04" w:rsidRPr="003A6E04" w14:paraId="555AC7F0" w14:textId="77777777" w:rsidTr="00400127">
        <w:tc>
          <w:tcPr>
            <w:tcW w:w="2689" w:type="dxa"/>
          </w:tcPr>
          <w:p w14:paraId="287540C5" w14:textId="77777777" w:rsidR="003A6E04" w:rsidRPr="003A6E04" w:rsidRDefault="003A6E04" w:rsidP="003A6E04">
            <w:pPr>
              <w:jc w:val="both"/>
              <w:rPr>
                <w:rFonts w:ascii="Verdana" w:eastAsia="Calibri" w:hAnsi="Verdana" w:cs="Arial"/>
                <w:b/>
                <w:lang w:val="es-ES_tradnl" w:eastAsia="es-ES_tradnl"/>
              </w:rPr>
            </w:pPr>
            <w:r w:rsidRPr="003A6E04">
              <w:rPr>
                <w:rFonts w:ascii="Verdana" w:eastAsia="Calibri" w:hAnsi="Verdana" w:cs="Arial"/>
                <w:b/>
                <w:lang w:val="es-ES_tradnl" w:eastAsia="es-ES_tradnl"/>
              </w:rPr>
              <w:t>Radicación:</w:t>
            </w:r>
            <w:r w:rsidRPr="003A6E04">
              <w:rPr>
                <w:rFonts w:ascii="Verdana" w:eastAsia="Calibri" w:hAnsi="Verdana" w:cs="Arial"/>
                <w:lang w:val="es-ES_tradnl" w:eastAsia="es-ES_tradnl"/>
              </w:rPr>
              <w:t xml:space="preserve">               </w:t>
            </w:r>
          </w:p>
        </w:tc>
        <w:tc>
          <w:tcPr>
            <w:tcW w:w="6100" w:type="dxa"/>
          </w:tcPr>
          <w:p w14:paraId="35428E53" w14:textId="6EED18AF" w:rsidR="003A6E04" w:rsidRPr="003A6E04" w:rsidRDefault="003A6E04" w:rsidP="003A6E04">
            <w:pPr>
              <w:jc w:val="both"/>
              <w:rPr>
                <w:rFonts w:ascii="Verdana" w:eastAsia="Calibri" w:hAnsi="Verdana" w:cs="Arial"/>
                <w:lang w:val="es-ES_tradnl" w:eastAsia="es-ES_tradnl"/>
              </w:rPr>
            </w:pPr>
            <w:r w:rsidRPr="003A6E04">
              <w:rPr>
                <w:rFonts w:ascii="Verdana" w:eastAsia="Calibri" w:hAnsi="Verdana" w:cs="Arial"/>
                <w:lang w:val="es-ES_tradnl" w:eastAsia="es-ES_tradnl"/>
              </w:rPr>
              <w:t xml:space="preserve">Respuesta a consulta con radicado No. </w:t>
            </w:r>
            <w:r w:rsidR="00DE6472" w:rsidRPr="00DE6472">
              <w:rPr>
                <w:rFonts w:ascii="Verdana" w:eastAsia="Calibri" w:hAnsi="Verdana" w:cs="Arial"/>
                <w:lang w:eastAsia="es-ES_tradnl"/>
              </w:rPr>
              <w:t>P20241113011368</w:t>
            </w:r>
          </w:p>
        </w:tc>
      </w:tr>
    </w:tbl>
    <w:p w14:paraId="16B52E76" w14:textId="77777777" w:rsidR="003A6E04" w:rsidRPr="003A6E04" w:rsidRDefault="003A6E04" w:rsidP="003A6E04">
      <w:pPr>
        <w:spacing w:after="0" w:line="240" w:lineRule="auto"/>
        <w:jc w:val="both"/>
        <w:rPr>
          <w:rFonts w:ascii="Verdana" w:eastAsia="Calibri" w:hAnsi="Verdana" w:cs="Arial"/>
          <w:lang w:val="es-ES_tradnl" w:eastAsia="es-ES_tradnl"/>
        </w:rPr>
      </w:pPr>
    </w:p>
    <w:p w14:paraId="3FC42A67" w14:textId="77777777" w:rsidR="003A6E04" w:rsidRPr="003A6E04" w:rsidRDefault="003A6E04" w:rsidP="003A6E04">
      <w:pPr>
        <w:spacing w:after="0" w:line="240" w:lineRule="auto"/>
        <w:jc w:val="both"/>
        <w:rPr>
          <w:rFonts w:ascii="Verdana" w:eastAsia="Calibri" w:hAnsi="Verdana" w:cs="Arial"/>
          <w:lang w:val="es-ES_tradnl" w:eastAsia="es-ES_tradnl"/>
        </w:rPr>
      </w:pPr>
    </w:p>
    <w:p w14:paraId="639B7A79" w14:textId="701A3ED4" w:rsidR="003A6E04" w:rsidRPr="003A6E04" w:rsidRDefault="00DE6472" w:rsidP="003A6E04">
      <w:pPr>
        <w:spacing w:after="0" w:line="276" w:lineRule="auto"/>
        <w:jc w:val="both"/>
        <w:rPr>
          <w:rFonts w:ascii="Verdana" w:eastAsia="Calibri" w:hAnsi="Verdana" w:cs="Arial"/>
          <w:lang w:val="es-ES_tradnl" w:eastAsia="es-ES"/>
        </w:rPr>
      </w:pPr>
      <w:r>
        <w:rPr>
          <w:rFonts w:ascii="Verdana" w:eastAsia="Calibri" w:hAnsi="Verdana" w:cs="Arial"/>
          <w:lang w:val="es-ES_tradnl" w:eastAsia="es-ES"/>
        </w:rPr>
        <w:t xml:space="preserve">Estimado señor Silva: </w:t>
      </w:r>
      <w:r w:rsidR="003A6E04" w:rsidRPr="003A6E04">
        <w:rPr>
          <w:rFonts w:ascii="Verdana" w:eastAsia="Calibri" w:hAnsi="Verdana" w:cs="Arial"/>
          <w:lang w:val="es-ES_tradnl" w:eastAsia="es-ES"/>
        </w:rPr>
        <w:t xml:space="preserve"> </w:t>
      </w:r>
    </w:p>
    <w:p w14:paraId="5EB6519E" w14:textId="77777777" w:rsidR="003A6E04" w:rsidRPr="003A6E04" w:rsidRDefault="003A6E04" w:rsidP="003A6E04">
      <w:pPr>
        <w:tabs>
          <w:tab w:val="left" w:pos="3768"/>
        </w:tabs>
        <w:spacing w:after="0" w:line="276" w:lineRule="auto"/>
        <w:jc w:val="both"/>
        <w:rPr>
          <w:rFonts w:ascii="Verdana" w:eastAsia="Calibri" w:hAnsi="Verdana" w:cs="Arial"/>
          <w:lang w:val="es-ES_tradnl" w:eastAsia="es-ES"/>
        </w:rPr>
      </w:pPr>
      <w:r w:rsidRPr="003A6E04">
        <w:rPr>
          <w:rFonts w:ascii="Verdana" w:eastAsia="Calibri" w:hAnsi="Verdana" w:cs="Arial"/>
          <w:lang w:val="es-ES_tradnl" w:eastAsia="es-ES"/>
        </w:rPr>
        <w:tab/>
      </w:r>
    </w:p>
    <w:p w14:paraId="1365F630" w14:textId="5F6E1825" w:rsidR="003A6E04" w:rsidRPr="003A6E04" w:rsidRDefault="003A6E04" w:rsidP="003A6E04">
      <w:pPr>
        <w:snapToGrid w:val="0"/>
        <w:spacing w:after="0" w:line="276" w:lineRule="auto"/>
        <w:jc w:val="both"/>
        <w:rPr>
          <w:rFonts w:ascii="Verdana" w:eastAsia="Calibri" w:hAnsi="Verdana" w:cs="Arial"/>
          <w:lang w:val="es-ES_tradnl" w:eastAsia="es-ES"/>
        </w:rPr>
      </w:pPr>
      <w:r w:rsidRPr="003A6E04">
        <w:rPr>
          <w:rFonts w:ascii="Verdana" w:eastAsia="Calibri" w:hAnsi="Verdana" w:cs="Arial"/>
          <w:lang w:val="es-ES_tradnl" w:eastAsia="es-ES"/>
        </w:rPr>
        <w:t>En ejercicio de la competencia otorgada por los artículos 3, numeral 5º, y 11, numeral 8º, del Decreto Ley 4170 de 2011,</w:t>
      </w:r>
      <w:r w:rsidRPr="003A6E04">
        <w:rPr>
          <w:rFonts w:ascii="Verdana" w:eastAsia="Arial MT" w:hAnsi="Verdana" w:cs="Arial MT"/>
          <w:lang w:val="es-ES_tradnl" w:eastAsia="es-ES"/>
        </w:rPr>
        <w:t xml:space="preserve"> </w:t>
      </w:r>
      <w:r w:rsidRPr="003A6E04">
        <w:rPr>
          <w:rFonts w:ascii="Verdana" w:eastAsia="Calibri" w:hAnsi="Verdana" w:cs="Arial"/>
          <w:lang w:val="es-ES_tradnl"/>
        </w:rPr>
        <w:t xml:space="preserve">así como lo establecido en el artículo 4 de la Resolución 1707 de 2018 expedida por esta Entidad, </w:t>
      </w:r>
      <w:r w:rsidRPr="003A6E04">
        <w:rPr>
          <w:rFonts w:ascii="Verdana" w:eastAsia="Calibri" w:hAnsi="Verdana" w:cs="Arial"/>
          <w:lang w:val="es-ES_tradnl" w:eastAsia="es-ES"/>
        </w:rPr>
        <w:t xml:space="preserve">la Agencia Nacional de Contratación Pública – Colombia Compra Eficiente– responde su solicitud de consulta de fecha </w:t>
      </w:r>
      <w:r w:rsidR="00DE6472">
        <w:rPr>
          <w:rFonts w:ascii="Verdana" w:eastAsia="Calibri" w:hAnsi="Verdana" w:cs="Arial"/>
          <w:lang w:val="es-ES_tradnl" w:eastAsia="es-ES"/>
        </w:rPr>
        <w:t>13</w:t>
      </w:r>
      <w:r w:rsidRPr="003A6E04">
        <w:rPr>
          <w:rFonts w:ascii="Verdana" w:eastAsia="Calibri" w:hAnsi="Verdana" w:cs="Arial"/>
          <w:lang w:val="es-ES_tradnl" w:eastAsia="es-ES"/>
        </w:rPr>
        <w:t xml:space="preserve"> de </w:t>
      </w:r>
      <w:r w:rsidR="00DE6472">
        <w:rPr>
          <w:rFonts w:ascii="Verdana" w:eastAsia="Calibri" w:hAnsi="Verdana" w:cs="Arial"/>
          <w:lang w:val="es-ES_tradnl" w:eastAsia="es-ES"/>
        </w:rPr>
        <w:t>noviembre</w:t>
      </w:r>
      <w:r w:rsidRPr="003A6E04">
        <w:rPr>
          <w:rFonts w:ascii="Verdana" w:eastAsia="Calibri" w:hAnsi="Verdana" w:cs="Arial"/>
          <w:lang w:val="es-ES_tradnl" w:eastAsia="es-ES"/>
        </w:rPr>
        <w:t xml:space="preserve"> de 2024. En relación con las nuevas versiones de los documentos tipo de obra pública de infraestructura de transporte adelantados bajos la modalidad de selección abreviada de menor cuantía –versión 3–, usted manifiesta lo siguiente:</w:t>
      </w:r>
    </w:p>
    <w:p w14:paraId="49A25678" w14:textId="77777777" w:rsidR="003A6E04" w:rsidRPr="003A6E04" w:rsidRDefault="003A6E04" w:rsidP="003A6E04">
      <w:pPr>
        <w:tabs>
          <w:tab w:val="left" w:pos="142"/>
          <w:tab w:val="left" w:pos="284"/>
        </w:tabs>
        <w:snapToGrid w:val="0"/>
        <w:spacing w:after="0" w:line="240" w:lineRule="auto"/>
        <w:jc w:val="both"/>
        <w:rPr>
          <w:rFonts w:ascii="Verdana" w:eastAsia="Century Gothic" w:hAnsi="Verdana" w:cs="Century Gothic"/>
          <w:b/>
          <w:bCs/>
          <w:sz w:val="21"/>
          <w:szCs w:val="21"/>
          <w:lang w:val="es-ES_tradnl"/>
        </w:rPr>
      </w:pPr>
    </w:p>
    <w:p w14:paraId="7A22DC44" w14:textId="1E15F84A" w:rsidR="003A6E04" w:rsidRPr="003A6E04" w:rsidRDefault="003A6E04" w:rsidP="003A6E04">
      <w:pPr>
        <w:snapToGrid w:val="0"/>
        <w:spacing w:after="0" w:line="240" w:lineRule="auto"/>
        <w:ind w:left="720" w:right="709"/>
        <w:jc w:val="both"/>
        <w:rPr>
          <w:rFonts w:ascii="Verdana" w:eastAsia="Century Gothic" w:hAnsi="Verdana" w:cs="Century Gothic"/>
          <w:sz w:val="21"/>
          <w:szCs w:val="21"/>
          <w:lang w:val="es-ES"/>
        </w:rPr>
      </w:pPr>
      <w:r w:rsidRPr="003A6E04">
        <w:rPr>
          <w:rFonts w:ascii="Verdana" w:eastAsia="Century Gothic" w:hAnsi="Verdana" w:cs="Century Gothic"/>
          <w:sz w:val="21"/>
          <w:szCs w:val="21"/>
          <w:lang w:val="es-ES_tradnl"/>
        </w:rPr>
        <w:t>“</w:t>
      </w:r>
      <w:r w:rsidR="00DE6472" w:rsidRPr="00DE6472">
        <w:rPr>
          <w:rFonts w:ascii="Verdana" w:eastAsia="Century Gothic" w:hAnsi="Verdana" w:cs="Century Gothic"/>
          <w:sz w:val="21"/>
          <w:szCs w:val="21"/>
        </w:rPr>
        <w:t xml:space="preserve">En el documento base selección abreviada de menor cuantía de infraestructura de transporte - Pliego Tipo, se estipula en el numeral 4.1.4. DETERMINACIÓN DEL MÉTODO PARA LA PONDERACIÓN DE LA PROPUESTA ECONÓMICA, que: "La TRM que la entidad utilizará para </w:t>
      </w:r>
      <w:r w:rsidR="00DE6472" w:rsidRPr="00DE6472">
        <w:rPr>
          <w:rFonts w:ascii="Verdana" w:eastAsia="Century Gothic" w:hAnsi="Verdana" w:cs="Century Gothic"/>
          <w:sz w:val="21"/>
          <w:szCs w:val="21"/>
        </w:rPr>
        <w:lastRenderedPageBreak/>
        <w:t>determinar el método de ponderación será la que rija el segundo día hábil después del cierre del proceso." Teniendo en cuenta que esta disposición favorece la COLUSIÓN entre proponentes, dado que se conoce la fórmula de ponderación antes de que se venza el plazo para subsanar documentos, y los proponentes pueden subsanar o no de acuerdo a su conveniencia particular, respetuosamente solicito que se aplique el siguiente criterio: La TRM que la entidad utilizará para determinar el método de ponderación será la que rija el día siguiente del vencimiento del término del traslado del informe preliminar de evaluación. Esto es, la que la Superintendencia publique en horas de la tarde del día del vencimiento del plazo para subsanar.:</w:t>
      </w:r>
      <w:r w:rsidRPr="003A6E04">
        <w:rPr>
          <w:rFonts w:ascii="Verdana" w:eastAsia="Century Gothic" w:hAnsi="Verdana" w:cs="Century Gothic"/>
          <w:i/>
          <w:iCs/>
          <w:sz w:val="21"/>
          <w:szCs w:val="21"/>
          <w:lang w:val="es-ES"/>
        </w:rPr>
        <w:t>?”</w:t>
      </w:r>
    </w:p>
    <w:p w14:paraId="266918B6" w14:textId="77777777" w:rsidR="003A6E04" w:rsidRPr="003A6E04" w:rsidRDefault="003A6E04" w:rsidP="003A6E04">
      <w:pPr>
        <w:tabs>
          <w:tab w:val="left" w:pos="142"/>
          <w:tab w:val="left" w:pos="284"/>
        </w:tabs>
        <w:spacing w:line="276" w:lineRule="auto"/>
        <w:contextualSpacing/>
        <w:jc w:val="both"/>
        <w:rPr>
          <w:rFonts w:ascii="Verdana" w:eastAsia="Century Gothic" w:hAnsi="Verdana" w:cs="Century Gothic"/>
          <w:b/>
          <w:bCs/>
          <w:lang w:val="es-ES_tradnl"/>
        </w:rPr>
      </w:pPr>
    </w:p>
    <w:p w14:paraId="28E5C946" w14:textId="77777777" w:rsidR="003A6E04" w:rsidRPr="003A6E04" w:rsidRDefault="003A6E04" w:rsidP="003A6E04">
      <w:pPr>
        <w:spacing w:after="120" w:line="276" w:lineRule="auto"/>
        <w:ind w:firstLine="709"/>
        <w:jc w:val="both"/>
        <w:rPr>
          <w:rFonts w:ascii="Verdana" w:eastAsia="Calibri" w:hAnsi="Verdana" w:cs="Arial"/>
          <w:lang w:val="es-ES" w:eastAsia="es-ES"/>
        </w:rPr>
      </w:pPr>
      <w:r w:rsidRPr="003A6E0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A6E04">
        <w:rPr>
          <w:rFonts w:ascii="Calibri" w:eastAsia="Calibri" w:hAnsi="Calibri" w:cs="Times New Roman"/>
        </w:rPr>
        <w:tab/>
      </w:r>
    </w:p>
    <w:p w14:paraId="12673D07" w14:textId="77777777" w:rsidR="003A6E04" w:rsidRPr="003A6E04" w:rsidRDefault="003A6E04" w:rsidP="003A6E04">
      <w:pPr>
        <w:snapToGrid w:val="0"/>
        <w:spacing w:after="0" w:line="276" w:lineRule="auto"/>
        <w:ind w:firstLine="709"/>
        <w:jc w:val="both"/>
        <w:rPr>
          <w:rFonts w:ascii="Verdana" w:eastAsia="Calibri" w:hAnsi="Verdana" w:cs="Arial"/>
          <w:lang w:val="es-ES_tradnl" w:eastAsia="es-ES"/>
        </w:rPr>
      </w:pPr>
      <w:r w:rsidRPr="003A6E04">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D9CEAAB" w14:textId="77777777" w:rsidR="003A6E04" w:rsidRPr="003A6E04" w:rsidRDefault="003A6E04" w:rsidP="003A6E04">
      <w:pPr>
        <w:snapToGrid w:val="0"/>
        <w:spacing w:after="0" w:line="276" w:lineRule="auto"/>
        <w:ind w:firstLine="709"/>
        <w:jc w:val="both"/>
        <w:rPr>
          <w:rFonts w:ascii="Verdana" w:eastAsia="Calibri" w:hAnsi="Verdana" w:cs="Arial"/>
          <w:lang w:val="es-ES_tradnl" w:eastAsia="es-ES"/>
        </w:rPr>
      </w:pPr>
    </w:p>
    <w:p w14:paraId="27E373A5" w14:textId="77777777" w:rsidR="003A6E04" w:rsidRPr="003A6E04" w:rsidRDefault="003A6E04" w:rsidP="003A6E04">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3A6E04">
        <w:rPr>
          <w:rFonts w:ascii="Verdana" w:eastAsia="Century Gothic" w:hAnsi="Verdana" w:cs="Century Gothic"/>
          <w:b/>
          <w:bCs/>
          <w:lang w:val="es-ES_tradnl"/>
        </w:rPr>
        <w:t>Problema planteado:</w:t>
      </w:r>
    </w:p>
    <w:p w14:paraId="5BD84C65" w14:textId="77777777" w:rsidR="003A6E04" w:rsidRPr="003A6E04" w:rsidRDefault="003A6E04" w:rsidP="003A6E04">
      <w:pPr>
        <w:tabs>
          <w:tab w:val="left" w:pos="426"/>
        </w:tabs>
        <w:snapToGrid w:val="0"/>
        <w:spacing w:after="0" w:line="276" w:lineRule="auto"/>
        <w:jc w:val="both"/>
        <w:rPr>
          <w:rFonts w:ascii="Verdana" w:eastAsia="Century Gothic" w:hAnsi="Verdana" w:cs="Century Gothic"/>
          <w:lang w:val="es-ES_tradnl"/>
        </w:rPr>
      </w:pPr>
    </w:p>
    <w:p w14:paraId="13F79529" w14:textId="16614AF0" w:rsidR="003A6E04" w:rsidRPr="003A6E04" w:rsidRDefault="003A6E04" w:rsidP="003A6E04">
      <w:pPr>
        <w:snapToGrid w:val="0"/>
        <w:spacing w:after="0" w:line="276" w:lineRule="auto"/>
        <w:jc w:val="both"/>
        <w:rPr>
          <w:rFonts w:ascii="Verdana" w:eastAsia="Century Gothic" w:hAnsi="Verdana" w:cs="Century Gothic"/>
          <w:lang w:val="es-ES"/>
        </w:rPr>
      </w:pPr>
      <w:r w:rsidRPr="003A6E04">
        <w:rPr>
          <w:rFonts w:ascii="Verdana" w:eastAsia="Century Gothic" w:hAnsi="Verdana" w:cs="Century Gothic"/>
          <w:lang w:val="es-ES"/>
        </w:rPr>
        <w:t xml:space="preserve">De acuerdo con el contenido de su solicitud, esta Agencia resolverá el siguiente problema jurídico: ¿cómo </w:t>
      </w:r>
      <w:r w:rsidR="00CA4F61">
        <w:rPr>
          <w:rFonts w:ascii="Verdana" w:eastAsia="Century Gothic" w:hAnsi="Verdana" w:cs="Century Gothic"/>
          <w:lang w:val="es-ES"/>
        </w:rPr>
        <w:t xml:space="preserve">se </w:t>
      </w:r>
      <w:r w:rsidR="00CA4F61" w:rsidRPr="00513756">
        <w:rPr>
          <w:rFonts w:ascii="Verdana" w:hAnsi="Verdana"/>
        </w:rPr>
        <w:t>determina</w:t>
      </w:r>
      <w:r w:rsidR="00CA4F61">
        <w:rPr>
          <w:rFonts w:ascii="Verdana" w:hAnsi="Verdana"/>
        </w:rPr>
        <w:t xml:space="preserve"> </w:t>
      </w:r>
      <w:r w:rsidR="00CA4F61" w:rsidRPr="00513756">
        <w:rPr>
          <w:rFonts w:ascii="Verdana" w:hAnsi="Verdana"/>
        </w:rPr>
        <w:t>el método para la ponderación de la propuesta económica</w:t>
      </w:r>
      <w:r w:rsidR="00CA4F61" w:rsidRPr="003A6E04">
        <w:rPr>
          <w:rFonts w:ascii="Verdana" w:eastAsia="Century Gothic" w:hAnsi="Verdana" w:cs="Century Gothic"/>
          <w:lang w:val="es-ES"/>
        </w:rPr>
        <w:t xml:space="preserve"> </w:t>
      </w:r>
      <w:r w:rsidR="00CA4F61">
        <w:rPr>
          <w:rFonts w:ascii="Verdana" w:eastAsia="Century Gothic" w:hAnsi="Verdana" w:cs="Century Gothic"/>
          <w:lang w:val="es-ES"/>
        </w:rPr>
        <w:t xml:space="preserve">en </w:t>
      </w:r>
      <w:r w:rsidRPr="003A6E04">
        <w:rPr>
          <w:rFonts w:ascii="Verdana" w:eastAsia="Century Gothic" w:hAnsi="Verdana" w:cs="Century Gothic"/>
          <w:lang w:val="es-ES"/>
        </w:rPr>
        <w:t xml:space="preserve">los documentos tipo </w:t>
      </w:r>
      <w:r w:rsidR="00CA4F61" w:rsidRPr="003A6E04">
        <w:rPr>
          <w:rFonts w:ascii="Verdana" w:eastAsia="Calibri" w:hAnsi="Verdana" w:cs="Arial"/>
          <w:lang w:val="es-ES_tradnl"/>
        </w:rPr>
        <w:t>selección abreviada de menor cuantía –versión 3–</w:t>
      </w:r>
      <w:r w:rsidRPr="003A6E04">
        <w:rPr>
          <w:rFonts w:ascii="Verdana" w:eastAsia="Century Gothic" w:hAnsi="Verdana" w:cs="Century Gothic"/>
          <w:lang w:val="es-ES"/>
        </w:rPr>
        <w:t>?</w:t>
      </w:r>
    </w:p>
    <w:p w14:paraId="1C2210E6" w14:textId="77777777" w:rsidR="003A6E04" w:rsidRPr="003A6E04" w:rsidRDefault="003A6E04" w:rsidP="003A6E04">
      <w:pPr>
        <w:snapToGrid w:val="0"/>
        <w:spacing w:after="0" w:line="276" w:lineRule="auto"/>
        <w:jc w:val="both"/>
        <w:rPr>
          <w:rFonts w:ascii="Verdana" w:eastAsia="Calibri" w:hAnsi="Verdana" w:cs="Arial"/>
          <w:lang w:val="es-ES_tradnl"/>
        </w:rPr>
      </w:pPr>
    </w:p>
    <w:p w14:paraId="61EF1A93" w14:textId="77777777" w:rsidR="003A6E04" w:rsidRPr="003A6E04" w:rsidRDefault="003A6E04" w:rsidP="003A6E04">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3A6E04">
        <w:rPr>
          <w:rFonts w:ascii="Verdana" w:eastAsia="Century Gothic" w:hAnsi="Verdana" w:cs="Century Gothic"/>
          <w:b/>
          <w:bCs/>
          <w:lang w:val="es-ES_tradnl"/>
        </w:rPr>
        <w:t>Respuesta:</w:t>
      </w:r>
    </w:p>
    <w:p w14:paraId="2CDB5D22" w14:textId="77777777" w:rsidR="003A6E04" w:rsidRPr="003A6E04" w:rsidRDefault="003A6E04" w:rsidP="003A6E04">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A6E04" w:rsidRPr="003A6E04" w14:paraId="7D112EA2" w14:textId="77777777" w:rsidTr="00400127">
        <w:tc>
          <w:tcPr>
            <w:tcW w:w="8828" w:type="dxa"/>
            <w:shd w:val="clear" w:color="auto" w:fill="auto"/>
          </w:tcPr>
          <w:p w14:paraId="7690B21F" w14:textId="3BDEB225" w:rsidR="003A6E04" w:rsidRPr="003A6E04" w:rsidRDefault="003A6E04" w:rsidP="003A6E04">
            <w:pPr>
              <w:snapToGrid w:val="0"/>
              <w:spacing w:line="276" w:lineRule="auto"/>
              <w:jc w:val="both"/>
              <w:rPr>
                <w:rFonts w:ascii="Verdana" w:eastAsia="Calibri" w:hAnsi="Verdana" w:cs="Arial"/>
                <w:lang w:val="es-ES_tradnl"/>
              </w:rPr>
            </w:pPr>
            <w:r w:rsidRPr="003A6E04">
              <w:rPr>
                <w:rFonts w:ascii="Verdana" w:eastAsia="Calibri" w:hAnsi="Verdana" w:cs="Arial"/>
                <w:lang w:val="es-ES_tradnl"/>
              </w:rPr>
              <w:lastRenderedPageBreak/>
              <w:t>Recientemente, esta Agencia expidió las nuevas versiones de los documentos tipo de selección abreviada de menor cuantía –versión 3– de obra pública de infraestructura de transporte. Estos documentos aplican a los procesos de selección cuyo aviso de convocatoria o invitación –según corresponda– se publique a partir del 3 de febrero de 2025.</w:t>
            </w:r>
          </w:p>
          <w:p w14:paraId="280E481F" w14:textId="77777777" w:rsidR="003A6E04" w:rsidRPr="003A6E04" w:rsidRDefault="003A6E04" w:rsidP="003A6E04">
            <w:pPr>
              <w:snapToGrid w:val="0"/>
              <w:spacing w:line="276" w:lineRule="auto"/>
              <w:jc w:val="both"/>
              <w:rPr>
                <w:rFonts w:ascii="Verdana" w:eastAsia="Calibri" w:hAnsi="Verdana" w:cs="Arial"/>
                <w:lang w:val="es-ES_tradnl"/>
              </w:rPr>
            </w:pPr>
          </w:p>
          <w:p w14:paraId="048EFC15" w14:textId="77777777" w:rsidR="00DE6472" w:rsidRDefault="00DE6472" w:rsidP="00DE6472">
            <w:pPr>
              <w:jc w:val="both"/>
              <w:rPr>
                <w:rFonts w:ascii="Verdana" w:hAnsi="Verdana"/>
              </w:rPr>
            </w:pPr>
            <w:r>
              <w:rPr>
                <w:rFonts w:ascii="Verdana" w:hAnsi="Verdana"/>
              </w:rPr>
              <w:t xml:space="preserve">Teniendo en cuenta lo anterior, la </w:t>
            </w:r>
            <w:r w:rsidRPr="00513756">
              <w:rPr>
                <w:rFonts w:ascii="Verdana" w:hAnsi="Verdana"/>
              </w:rPr>
              <w:t xml:space="preserve">versión 3 de los documentos tipo de infraestructura de transporte en la modalidad de Selección Abreviada de Menor Cuantía, la cual fue adoptada mediante la resolución 463 de 2024, </w:t>
            </w:r>
            <w:r>
              <w:rPr>
                <w:rFonts w:ascii="Verdana" w:hAnsi="Verdana"/>
              </w:rPr>
              <w:t>incluye varias</w:t>
            </w:r>
            <w:r w:rsidRPr="00513756">
              <w:rPr>
                <w:rFonts w:ascii="Verdana" w:hAnsi="Verdana"/>
              </w:rPr>
              <w:t xml:space="preserve"> precisiones </w:t>
            </w:r>
            <w:r>
              <w:rPr>
                <w:rFonts w:ascii="Verdana" w:hAnsi="Verdana"/>
              </w:rPr>
              <w:t xml:space="preserve">en el </w:t>
            </w:r>
            <w:r w:rsidRPr="00513756">
              <w:rPr>
                <w:rFonts w:ascii="Verdana" w:hAnsi="Verdana"/>
              </w:rPr>
              <w:t>numeral 4.1.4 DETERMINACIÓN DEL MÉTODO PARA LA PONDERACIÓN DE LA PROPUESTA ECONÓMICA,</w:t>
            </w:r>
            <w:r>
              <w:rPr>
                <w:rFonts w:ascii="Verdana" w:hAnsi="Verdana"/>
              </w:rPr>
              <w:t xml:space="preserve"> tal y como se puede evidenciar a continuación:</w:t>
            </w:r>
          </w:p>
          <w:p w14:paraId="7B73F43C" w14:textId="77777777" w:rsidR="00DE6472" w:rsidRDefault="00DE6472" w:rsidP="00DE6472">
            <w:pPr>
              <w:jc w:val="both"/>
              <w:rPr>
                <w:rFonts w:ascii="Verdana" w:hAnsi="Verdana"/>
              </w:rPr>
            </w:pPr>
          </w:p>
          <w:p w14:paraId="7C696972" w14:textId="77777777" w:rsidR="00DE6472" w:rsidRDefault="00DE6472" w:rsidP="00DE6472">
            <w:pPr>
              <w:ind w:left="708"/>
              <w:jc w:val="both"/>
              <w:rPr>
                <w:rFonts w:ascii="Verdana" w:eastAsia="Arial,Calibri" w:hAnsi="Verdana" w:cs="Arial"/>
                <w:szCs w:val="20"/>
              </w:rPr>
            </w:pPr>
            <w:r>
              <w:rPr>
                <w:rFonts w:ascii="Verdana" w:hAnsi="Verdana" w:cs="Arial"/>
                <w:szCs w:val="20"/>
              </w:rPr>
              <w:t>“L</w:t>
            </w:r>
            <w:r w:rsidRPr="00513756">
              <w:rPr>
                <w:rFonts w:ascii="Verdana" w:hAnsi="Verdana" w:cs="Arial"/>
                <w:szCs w:val="20"/>
              </w:rPr>
              <w:t>a</w:t>
            </w:r>
            <w:r w:rsidRPr="00513756">
              <w:rPr>
                <w:rFonts w:ascii="Verdana" w:eastAsia="Arial,Calibri" w:hAnsi="Verdana" w:cs="Arial"/>
                <w:szCs w:val="20"/>
              </w:rPr>
              <w:t xml:space="preserve"> </w:t>
            </w:r>
            <w:r w:rsidRPr="00513756">
              <w:rPr>
                <w:rFonts w:ascii="Verdana" w:hAnsi="Verdana" w:cs="Arial"/>
                <w:szCs w:val="20"/>
              </w:rPr>
              <w:t>entidad</w:t>
            </w:r>
            <w:r w:rsidRPr="00513756">
              <w:rPr>
                <w:rFonts w:ascii="Verdana" w:eastAsia="Arial,Calibri" w:hAnsi="Verdana" w:cs="Arial"/>
                <w:szCs w:val="20"/>
              </w:rPr>
              <w:t xml:space="preserve"> </w:t>
            </w:r>
            <w:r w:rsidRPr="00513756">
              <w:rPr>
                <w:rFonts w:ascii="Verdana" w:hAnsi="Verdana" w:cs="Arial"/>
                <w:szCs w:val="20"/>
              </w:rPr>
              <w:t>seleccionará</w:t>
            </w:r>
            <w:r w:rsidRPr="00513756">
              <w:rPr>
                <w:rFonts w:ascii="Verdana" w:eastAsia="Arial,Calibri" w:hAnsi="Verdana" w:cs="Arial"/>
                <w:szCs w:val="20"/>
              </w:rPr>
              <w:t xml:space="preserve"> </w:t>
            </w:r>
            <w:r w:rsidRPr="00513756">
              <w:rPr>
                <w:rFonts w:ascii="Verdana" w:hAnsi="Verdana" w:cs="Arial"/>
                <w:szCs w:val="20"/>
              </w:rPr>
              <w:t>el</w:t>
            </w:r>
            <w:r w:rsidRPr="00513756">
              <w:rPr>
                <w:rFonts w:ascii="Verdana" w:eastAsia="Arial,Calibri" w:hAnsi="Verdana" w:cs="Arial"/>
                <w:szCs w:val="20"/>
              </w:rPr>
              <w:t xml:space="preserve"> </w:t>
            </w:r>
            <w:r w:rsidRPr="00513756">
              <w:rPr>
                <w:rFonts w:ascii="Verdana" w:hAnsi="Verdana" w:cs="Arial"/>
                <w:szCs w:val="20"/>
              </w:rPr>
              <w:t>método</w:t>
            </w:r>
            <w:r w:rsidRPr="00513756">
              <w:rPr>
                <w:rFonts w:ascii="Verdana" w:eastAsia="Arial,Calibri" w:hAnsi="Verdana" w:cs="Arial"/>
                <w:szCs w:val="20"/>
              </w:rPr>
              <w:t xml:space="preserve"> </w:t>
            </w:r>
            <w:r w:rsidRPr="00513756">
              <w:rPr>
                <w:rFonts w:ascii="Verdana" w:hAnsi="Verdana" w:cs="Arial"/>
                <w:szCs w:val="20"/>
              </w:rPr>
              <w:t>de</w:t>
            </w:r>
            <w:r w:rsidRPr="00513756">
              <w:rPr>
                <w:rFonts w:ascii="Verdana" w:eastAsia="Arial,Calibri" w:hAnsi="Verdana" w:cs="Arial"/>
                <w:szCs w:val="20"/>
              </w:rPr>
              <w:t xml:space="preserve"> </w:t>
            </w:r>
            <w:r w:rsidRPr="00513756">
              <w:rPr>
                <w:rFonts w:ascii="Verdana" w:hAnsi="Verdana" w:cs="Arial"/>
                <w:szCs w:val="20"/>
              </w:rPr>
              <w:t>ponderación</w:t>
            </w:r>
            <w:r w:rsidRPr="00513756">
              <w:rPr>
                <w:rFonts w:ascii="Verdana" w:eastAsia="Arial,Calibri" w:hAnsi="Verdana" w:cs="Arial"/>
                <w:szCs w:val="20"/>
              </w:rPr>
              <w:t xml:space="preserve"> </w:t>
            </w:r>
            <w:r w:rsidRPr="00513756">
              <w:rPr>
                <w:rFonts w:ascii="Verdana" w:hAnsi="Verdana" w:cs="Arial"/>
                <w:szCs w:val="20"/>
              </w:rPr>
              <w:t>de</w:t>
            </w:r>
            <w:r w:rsidRPr="00513756">
              <w:rPr>
                <w:rFonts w:ascii="Verdana" w:eastAsia="Arial,Calibri" w:hAnsi="Verdana" w:cs="Arial"/>
                <w:szCs w:val="20"/>
              </w:rPr>
              <w:t xml:space="preserve"> </w:t>
            </w:r>
            <w:r w:rsidRPr="00513756">
              <w:rPr>
                <w:rFonts w:ascii="Verdana" w:hAnsi="Verdana" w:cs="Arial"/>
                <w:szCs w:val="20"/>
              </w:rPr>
              <w:t>la</w:t>
            </w:r>
            <w:r w:rsidRPr="00513756">
              <w:rPr>
                <w:rFonts w:ascii="Verdana" w:eastAsia="Arial,Calibri" w:hAnsi="Verdana" w:cs="Arial"/>
                <w:szCs w:val="20"/>
              </w:rPr>
              <w:t xml:space="preserve"> </w:t>
            </w:r>
            <w:r w:rsidRPr="00513756">
              <w:rPr>
                <w:rFonts w:ascii="Verdana" w:hAnsi="Verdana" w:cs="Arial"/>
                <w:szCs w:val="20"/>
              </w:rPr>
              <w:t>propuesta</w:t>
            </w:r>
            <w:r w:rsidRPr="00513756">
              <w:rPr>
                <w:rFonts w:ascii="Verdana" w:eastAsia="Arial,Calibri" w:hAnsi="Verdana" w:cs="Arial"/>
                <w:szCs w:val="20"/>
              </w:rPr>
              <w:t xml:space="preserve"> </w:t>
            </w:r>
            <w:r w:rsidRPr="00513756">
              <w:rPr>
                <w:rFonts w:ascii="Verdana" w:hAnsi="Verdana" w:cs="Arial"/>
                <w:szCs w:val="20"/>
              </w:rPr>
              <w:t>económica,</w:t>
            </w:r>
            <w:r w:rsidRPr="00513756">
              <w:rPr>
                <w:rFonts w:ascii="Verdana" w:eastAsia="Arial,Calibri" w:hAnsi="Verdana" w:cs="Arial"/>
                <w:szCs w:val="20"/>
              </w:rPr>
              <w:t xml:space="preserve"> </w:t>
            </w:r>
            <w:r w:rsidRPr="00513756">
              <w:rPr>
                <w:rFonts w:ascii="Verdana" w:hAnsi="Verdana" w:cs="Arial"/>
                <w:szCs w:val="20"/>
              </w:rPr>
              <w:t>de</w:t>
            </w:r>
            <w:r w:rsidRPr="00513756">
              <w:rPr>
                <w:rFonts w:ascii="Verdana" w:eastAsia="Arial,Calibri" w:hAnsi="Verdana" w:cs="Arial"/>
                <w:szCs w:val="20"/>
              </w:rPr>
              <w:t xml:space="preserve"> </w:t>
            </w:r>
            <w:r w:rsidRPr="00513756">
              <w:rPr>
                <w:rFonts w:ascii="Verdana" w:hAnsi="Verdana" w:cs="Arial"/>
                <w:szCs w:val="20"/>
              </w:rPr>
              <w:t>acuerdo</w:t>
            </w:r>
            <w:r w:rsidRPr="00513756">
              <w:rPr>
                <w:rFonts w:ascii="Verdana" w:eastAsia="Arial,Calibri" w:hAnsi="Verdana" w:cs="Arial"/>
                <w:szCs w:val="20"/>
              </w:rPr>
              <w:t xml:space="preserve"> </w:t>
            </w:r>
            <w:r w:rsidRPr="00513756">
              <w:rPr>
                <w:rFonts w:ascii="Verdana" w:hAnsi="Verdana" w:cs="Arial"/>
                <w:szCs w:val="20"/>
              </w:rPr>
              <w:t>con</w:t>
            </w:r>
            <w:r w:rsidRPr="00513756">
              <w:rPr>
                <w:rFonts w:ascii="Verdana" w:eastAsia="Arial,Calibri" w:hAnsi="Verdana" w:cs="Arial"/>
                <w:szCs w:val="20"/>
              </w:rPr>
              <w:t xml:space="preserve"> </w:t>
            </w:r>
            <w:r w:rsidRPr="00513756">
              <w:rPr>
                <w:rFonts w:ascii="Verdana" w:hAnsi="Verdana" w:cs="Arial"/>
                <w:szCs w:val="20"/>
              </w:rPr>
              <w:t>las</w:t>
            </w:r>
            <w:r w:rsidRPr="00513756">
              <w:rPr>
                <w:rFonts w:ascii="Verdana" w:eastAsia="Arial,Calibri" w:hAnsi="Verdana" w:cs="Arial"/>
                <w:szCs w:val="20"/>
              </w:rPr>
              <w:t xml:space="preserve"> </w:t>
            </w:r>
            <w:r w:rsidRPr="00513756">
              <w:rPr>
                <w:rFonts w:ascii="Verdana" w:hAnsi="Verdana" w:cs="Arial"/>
                <w:szCs w:val="20"/>
              </w:rPr>
              <w:t>siguientes alternativas:</w:t>
            </w:r>
            <w:r w:rsidRPr="00513756">
              <w:rPr>
                <w:rFonts w:ascii="Verdana" w:eastAsia="Arial,Calibri" w:hAnsi="Verdana" w:cs="Arial"/>
                <w:szCs w:val="20"/>
              </w:rPr>
              <w:t xml:space="preserve"> </w:t>
            </w:r>
          </w:p>
          <w:p w14:paraId="4FEFF49F" w14:textId="77777777" w:rsidR="00CA4F61" w:rsidRPr="00513756" w:rsidRDefault="00CA4F61" w:rsidP="00DE6472">
            <w:pPr>
              <w:ind w:left="708"/>
              <w:jc w:val="both"/>
              <w:rPr>
                <w:rFonts w:ascii="Verdana" w:eastAsia="Arial,Calibri" w:hAnsi="Verdana" w:cs="Arial"/>
                <w:szCs w:val="20"/>
              </w:rPr>
            </w:pPr>
          </w:p>
          <w:tbl>
            <w:tblPr>
              <w:tblStyle w:val="Tablaconcuadrcula"/>
              <w:tblW w:w="0" w:type="auto"/>
              <w:jc w:val="center"/>
              <w:tblLook w:val="04A0" w:firstRow="1" w:lastRow="0" w:firstColumn="1" w:lastColumn="0" w:noHBand="0" w:noVBand="1"/>
            </w:tblPr>
            <w:tblGrid>
              <w:gridCol w:w="1560"/>
              <w:gridCol w:w="2820"/>
            </w:tblGrid>
            <w:tr w:rsidR="00DE6472" w:rsidRPr="00513756" w14:paraId="73C478F6" w14:textId="77777777" w:rsidTr="00913BD8">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2FF46FA" w14:textId="77777777" w:rsidR="00DE6472" w:rsidRPr="00513756" w:rsidRDefault="00DE6472" w:rsidP="00DE6472">
                  <w:pPr>
                    <w:spacing w:line="276" w:lineRule="auto"/>
                    <w:jc w:val="center"/>
                    <w:rPr>
                      <w:rFonts w:ascii="Verdana" w:hAnsi="Verdana" w:cs="Arial"/>
                      <w:b/>
                      <w:color w:val="FFFFFF" w:themeColor="background1"/>
                      <w:szCs w:val="20"/>
                    </w:rPr>
                  </w:pPr>
                  <w:bookmarkStart w:id="1" w:name="_Hlk511666058"/>
                  <w:r w:rsidRPr="00513756">
                    <w:rPr>
                      <w:rFonts w:ascii="Verdana" w:hAnsi="Verdana" w:cs="Arial"/>
                      <w:b/>
                      <w:color w:val="FFFFFF" w:themeColor="background1"/>
                      <w:szCs w:val="20"/>
                    </w:rPr>
                    <w:t>Concepto</w:t>
                  </w:r>
                </w:p>
              </w:tc>
              <w:tc>
                <w:tcPr>
                  <w:tcW w:w="2820"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652DBBB" w14:textId="77777777" w:rsidR="00DE6472" w:rsidRPr="00513756" w:rsidRDefault="00DE6472" w:rsidP="00DE6472">
                  <w:pPr>
                    <w:spacing w:line="276" w:lineRule="auto"/>
                    <w:jc w:val="center"/>
                    <w:rPr>
                      <w:rFonts w:ascii="Verdana" w:hAnsi="Verdana" w:cs="Arial"/>
                      <w:b/>
                      <w:color w:val="FFFFFF" w:themeColor="background1"/>
                      <w:szCs w:val="20"/>
                    </w:rPr>
                  </w:pPr>
                  <w:r w:rsidRPr="00513756">
                    <w:rPr>
                      <w:rFonts w:ascii="Verdana" w:hAnsi="Verdana" w:cs="Arial"/>
                      <w:b/>
                      <w:color w:val="FFFFFF" w:themeColor="background1"/>
                      <w:szCs w:val="20"/>
                    </w:rPr>
                    <w:t>Método</w:t>
                  </w:r>
                </w:p>
              </w:tc>
            </w:tr>
            <w:tr w:rsidR="00DE6472" w:rsidRPr="00513756" w14:paraId="655070C8" w14:textId="77777777" w:rsidTr="00913BD8">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53616203" w14:textId="77777777" w:rsidR="00DE6472" w:rsidRPr="00513756" w:rsidRDefault="00DE6472" w:rsidP="00DE6472">
                  <w:pPr>
                    <w:spacing w:line="276" w:lineRule="auto"/>
                    <w:jc w:val="center"/>
                    <w:rPr>
                      <w:rFonts w:ascii="Verdana" w:hAnsi="Verdana" w:cs="Arial"/>
                      <w:szCs w:val="20"/>
                      <w:lang w:val="es-ES"/>
                    </w:rPr>
                  </w:pPr>
                  <w:r w:rsidRPr="00513756">
                    <w:rPr>
                      <w:rFonts w:ascii="Verdana" w:hAnsi="Verdana" w:cs="Arial"/>
                      <w:szCs w:val="20"/>
                      <w:lang w:val="es-ES"/>
                    </w:rPr>
                    <w:t>1</w:t>
                  </w:r>
                </w:p>
              </w:tc>
              <w:tc>
                <w:tcPr>
                  <w:tcW w:w="2820" w:type="dxa"/>
                  <w:tcBorders>
                    <w:top w:val="single" w:sz="4" w:space="0" w:color="auto"/>
                    <w:left w:val="single" w:sz="4" w:space="0" w:color="auto"/>
                    <w:bottom w:val="single" w:sz="4" w:space="0" w:color="auto"/>
                    <w:right w:val="double" w:sz="4" w:space="0" w:color="auto"/>
                  </w:tcBorders>
                  <w:vAlign w:val="center"/>
                </w:tcPr>
                <w:p w14:paraId="59F9F59D" w14:textId="77777777" w:rsidR="00DE6472" w:rsidRPr="00513756" w:rsidRDefault="00DE6472" w:rsidP="00DE6472">
                  <w:pPr>
                    <w:spacing w:line="276" w:lineRule="auto"/>
                    <w:jc w:val="center"/>
                    <w:rPr>
                      <w:rFonts w:ascii="Verdana" w:hAnsi="Verdana" w:cs="Arial"/>
                      <w:szCs w:val="20"/>
                      <w:lang w:val="es-ES"/>
                    </w:rPr>
                  </w:pPr>
                  <w:r w:rsidRPr="00513756">
                    <w:rPr>
                      <w:rFonts w:ascii="Verdana" w:hAnsi="Verdana" w:cs="Arial"/>
                      <w:szCs w:val="20"/>
                      <w:lang w:val="es-ES"/>
                    </w:rPr>
                    <w:t>Mediana con valor absoluto</w:t>
                  </w:r>
                </w:p>
              </w:tc>
            </w:tr>
            <w:tr w:rsidR="00DE6472" w:rsidRPr="00513756" w14:paraId="59287D53" w14:textId="77777777" w:rsidTr="00913BD8">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5A03A64F" w14:textId="77777777" w:rsidR="00DE6472" w:rsidRPr="00513756" w:rsidRDefault="00DE6472" w:rsidP="00DE6472">
                  <w:pPr>
                    <w:spacing w:line="276" w:lineRule="auto"/>
                    <w:jc w:val="center"/>
                    <w:rPr>
                      <w:rFonts w:ascii="Verdana" w:hAnsi="Verdana" w:cs="Arial"/>
                      <w:szCs w:val="20"/>
                      <w:lang w:val="es-ES"/>
                    </w:rPr>
                  </w:pPr>
                  <w:r w:rsidRPr="00513756">
                    <w:rPr>
                      <w:rFonts w:ascii="Verdana" w:hAnsi="Verdana" w:cs="Arial"/>
                      <w:szCs w:val="20"/>
                      <w:lang w:val="es-ES"/>
                    </w:rPr>
                    <w:t>2</w:t>
                  </w:r>
                </w:p>
              </w:tc>
              <w:tc>
                <w:tcPr>
                  <w:tcW w:w="2820" w:type="dxa"/>
                  <w:tcBorders>
                    <w:top w:val="single" w:sz="4" w:space="0" w:color="auto"/>
                    <w:left w:val="single" w:sz="4" w:space="0" w:color="auto"/>
                    <w:bottom w:val="single" w:sz="4" w:space="0" w:color="auto"/>
                    <w:right w:val="double" w:sz="4" w:space="0" w:color="auto"/>
                  </w:tcBorders>
                  <w:vAlign w:val="center"/>
                </w:tcPr>
                <w:p w14:paraId="591015FD" w14:textId="77777777" w:rsidR="00DE6472" w:rsidRPr="00513756" w:rsidRDefault="00DE6472" w:rsidP="00DE6472">
                  <w:pPr>
                    <w:spacing w:line="276" w:lineRule="auto"/>
                    <w:jc w:val="center"/>
                    <w:rPr>
                      <w:rFonts w:ascii="Verdana" w:hAnsi="Verdana" w:cs="Arial"/>
                      <w:szCs w:val="20"/>
                      <w:lang w:val="es-ES"/>
                    </w:rPr>
                  </w:pPr>
                  <w:r w:rsidRPr="00513756">
                    <w:rPr>
                      <w:rFonts w:ascii="Verdana" w:hAnsi="Verdana" w:cs="Arial"/>
                      <w:szCs w:val="20"/>
                      <w:lang w:val="es-ES"/>
                    </w:rPr>
                    <w:t>Media geométrica</w:t>
                  </w:r>
                </w:p>
              </w:tc>
            </w:tr>
            <w:tr w:rsidR="00DE6472" w:rsidRPr="00513756" w14:paraId="66B3F5DB" w14:textId="77777777" w:rsidTr="00913BD8">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015CC102" w14:textId="77777777" w:rsidR="00DE6472" w:rsidRPr="00513756" w:rsidRDefault="00DE6472" w:rsidP="00DE6472">
                  <w:pPr>
                    <w:spacing w:line="276" w:lineRule="auto"/>
                    <w:jc w:val="center"/>
                    <w:rPr>
                      <w:rFonts w:ascii="Verdana" w:hAnsi="Verdana" w:cs="Arial"/>
                      <w:szCs w:val="20"/>
                      <w:lang w:val="es-ES"/>
                    </w:rPr>
                  </w:pPr>
                  <w:r w:rsidRPr="00513756">
                    <w:rPr>
                      <w:rFonts w:ascii="Verdana" w:hAnsi="Verdana" w:cs="Arial"/>
                      <w:szCs w:val="20"/>
                      <w:lang w:val="es-ES"/>
                    </w:rPr>
                    <w:t>3</w:t>
                  </w:r>
                </w:p>
              </w:tc>
              <w:tc>
                <w:tcPr>
                  <w:tcW w:w="2820" w:type="dxa"/>
                  <w:tcBorders>
                    <w:top w:val="single" w:sz="4" w:space="0" w:color="auto"/>
                    <w:left w:val="single" w:sz="4" w:space="0" w:color="auto"/>
                    <w:bottom w:val="single" w:sz="4" w:space="0" w:color="auto"/>
                    <w:right w:val="double" w:sz="4" w:space="0" w:color="auto"/>
                  </w:tcBorders>
                  <w:vAlign w:val="center"/>
                  <w:hideMark/>
                </w:tcPr>
                <w:p w14:paraId="5E6513C3" w14:textId="77777777" w:rsidR="00DE6472" w:rsidRPr="00513756" w:rsidRDefault="00DE6472" w:rsidP="00DE6472">
                  <w:pPr>
                    <w:spacing w:line="276" w:lineRule="auto"/>
                    <w:jc w:val="center"/>
                    <w:rPr>
                      <w:rFonts w:ascii="Verdana" w:hAnsi="Verdana" w:cs="Arial"/>
                      <w:szCs w:val="20"/>
                      <w:lang w:val="es-ES"/>
                    </w:rPr>
                  </w:pPr>
                  <w:r w:rsidRPr="00513756">
                    <w:rPr>
                      <w:rFonts w:ascii="Verdana" w:hAnsi="Verdana" w:cs="Arial"/>
                      <w:szCs w:val="20"/>
                      <w:lang w:val="es-ES"/>
                    </w:rPr>
                    <w:t>Media aritmética baja</w:t>
                  </w:r>
                </w:p>
              </w:tc>
            </w:tr>
            <w:tr w:rsidR="00DE6472" w:rsidRPr="00513756" w14:paraId="250C5AEE" w14:textId="77777777" w:rsidTr="00913BD8">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20EBCBF2" w14:textId="77777777" w:rsidR="00DE6472" w:rsidRPr="00513756" w:rsidRDefault="00DE6472" w:rsidP="00DE6472">
                  <w:pPr>
                    <w:spacing w:line="276" w:lineRule="auto"/>
                    <w:jc w:val="center"/>
                    <w:rPr>
                      <w:rFonts w:ascii="Verdana" w:hAnsi="Verdana" w:cs="Arial"/>
                      <w:szCs w:val="20"/>
                      <w:lang w:val="es-ES"/>
                    </w:rPr>
                  </w:pPr>
                  <w:r w:rsidRPr="00513756">
                    <w:rPr>
                      <w:rFonts w:ascii="Verdana" w:hAnsi="Verdana" w:cs="Arial"/>
                      <w:szCs w:val="20"/>
                      <w:lang w:val="es-ES"/>
                    </w:rPr>
                    <w:t>4</w:t>
                  </w:r>
                </w:p>
              </w:tc>
              <w:tc>
                <w:tcPr>
                  <w:tcW w:w="2820" w:type="dxa"/>
                  <w:tcBorders>
                    <w:top w:val="single" w:sz="4" w:space="0" w:color="auto"/>
                    <w:left w:val="single" w:sz="4" w:space="0" w:color="auto"/>
                    <w:bottom w:val="double" w:sz="4" w:space="0" w:color="auto"/>
                    <w:right w:val="double" w:sz="4" w:space="0" w:color="auto"/>
                  </w:tcBorders>
                  <w:vAlign w:val="center"/>
                  <w:hideMark/>
                </w:tcPr>
                <w:p w14:paraId="10FBC049" w14:textId="77777777" w:rsidR="00DE6472" w:rsidRPr="00513756" w:rsidRDefault="00DE6472" w:rsidP="00DE6472">
                  <w:pPr>
                    <w:spacing w:line="276" w:lineRule="auto"/>
                    <w:jc w:val="center"/>
                    <w:rPr>
                      <w:rFonts w:ascii="Verdana" w:hAnsi="Verdana" w:cs="Arial"/>
                      <w:szCs w:val="20"/>
                      <w:lang w:val="es-ES"/>
                    </w:rPr>
                  </w:pPr>
                  <w:r w:rsidRPr="00513756">
                    <w:rPr>
                      <w:rFonts w:ascii="Verdana" w:hAnsi="Verdana" w:cs="Arial"/>
                      <w:szCs w:val="20"/>
                      <w:lang w:val="es-ES"/>
                    </w:rPr>
                    <w:t>Menor Valor</w:t>
                  </w:r>
                </w:p>
              </w:tc>
              <w:bookmarkEnd w:id="1"/>
            </w:tr>
          </w:tbl>
          <w:p w14:paraId="5F5ED63D" w14:textId="77777777" w:rsidR="00CA4F61" w:rsidRDefault="00CA4F61" w:rsidP="00DE6472">
            <w:pPr>
              <w:tabs>
                <w:tab w:val="left" w:pos="1860"/>
              </w:tabs>
              <w:spacing w:after="200" w:line="276" w:lineRule="auto"/>
              <w:ind w:left="708"/>
              <w:jc w:val="both"/>
              <w:rPr>
                <w:rFonts w:ascii="Verdana" w:hAnsi="Verdana" w:cs="Arial"/>
                <w:szCs w:val="20"/>
              </w:rPr>
            </w:pPr>
          </w:p>
          <w:p w14:paraId="095B4652" w14:textId="43884F81" w:rsidR="00DE6472" w:rsidRPr="00513756" w:rsidRDefault="00DE6472" w:rsidP="00DE6472">
            <w:pPr>
              <w:tabs>
                <w:tab w:val="left" w:pos="1860"/>
              </w:tabs>
              <w:spacing w:after="200" w:line="276" w:lineRule="auto"/>
              <w:ind w:left="708"/>
              <w:jc w:val="both"/>
              <w:rPr>
                <w:rFonts w:ascii="Verdana" w:hAnsi="Verdana" w:cs="Arial"/>
                <w:szCs w:val="20"/>
              </w:rPr>
            </w:pPr>
            <w:r w:rsidRPr="00513756">
              <w:rPr>
                <w:rFonts w:ascii="Verdana" w:hAnsi="Verdana" w:cs="Arial"/>
                <w:szCs w:val="20"/>
              </w:rPr>
              <w:t>Para</w:t>
            </w:r>
            <w:r w:rsidRPr="00513756">
              <w:rPr>
                <w:rFonts w:ascii="Verdana" w:eastAsia="Arial,Calibri" w:hAnsi="Verdana" w:cs="Arial"/>
                <w:szCs w:val="20"/>
              </w:rPr>
              <w:t xml:space="preserve"> </w:t>
            </w:r>
            <w:r w:rsidRPr="00513756">
              <w:rPr>
                <w:rFonts w:ascii="Verdana" w:hAnsi="Verdana" w:cs="Arial"/>
                <w:szCs w:val="20"/>
              </w:rPr>
              <w:t>determinar</w:t>
            </w:r>
            <w:r w:rsidRPr="00513756">
              <w:rPr>
                <w:rFonts w:ascii="Verdana" w:eastAsia="Arial,Calibri" w:hAnsi="Verdana" w:cs="Arial"/>
                <w:szCs w:val="20"/>
              </w:rPr>
              <w:t xml:space="preserve"> </w:t>
            </w:r>
            <w:r w:rsidRPr="00513756">
              <w:rPr>
                <w:rFonts w:ascii="Verdana" w:hAnsi="Verdana" w:cs="Arial"/>
                <w:szCs w:val="20"/>
              </w:rPr>
              <w:t>el</w:t>
            </w:r>
            <w:r w:rsidRPr="00513756">
              <w:rPr>
                <w:rFonts w:ascii="Verdana" w:eastAsia="Arial,Calibri" w:hAnsi="Verdana" w:cs="Arial"/>
                <w:szCs w:val="20"/>
              </w:rPr>
              <w:t xml:space="preserve"> </w:t>
            </w:r>
            <w:r w:rsidRPr="00513756">
              <w:rPr>
                <w:rFonts w:ascii="Verdana" w:hAnsi="Verdana" w:cs="Arial"/>
                <w:szCs w:val="20"/>
              </w:rPr>
              <w:t>método</w:t>
            </w:r>
            <w:r w:rsidRPr="00513756">
              <w:rPr>
                <w:rFonts w:ascii="Verdana" w:eastAsia="Arial,Calibri" w:hAnsi="Verdana" w:cs="Arial"/>
                <w:szCs w:val="20"/>
              </w:rPr>
              <w:t xml:space="preserve"> </w:t>
            </w:r>
            <w:r w:rsidRPr="00513756">
              <w:rPr>
                <w:rFonts w:ascii="Verdana" w:hAnsi="Verdana" w:cs="Arial"/>
                <w:szCs w:val="20"/>
              </w:rPr>
              <w:t>de</w:t>
            </w:r>
            <w:r w:rsidRPr="00513756">
              <w:rPr>
                <w:rFonts w:ascii="Verdana" w:eastAsia="Arial,Calibri" w:hAnsi="Verdana" w:cs="Arial"/>
                <w:szCs w:val="20"/>
              </w:rPr>
              <w:t xml:space="preserve"> </w:t>
            </w:r>
            <w:r w:rsidRPr="00513756">
              <w:rPr>
                <w:rFonts w:ascii="Verdana" w:hAnsi="Verdana" w:cs="Arial"/>
                <w:szCs w:val="20"/>
              </w:rPr>
              <w:t>ponderación,</w:t>
            </w:r>
            <w:r w:rsidRPr="00513756">
              <w:rPr>
                <w:rFonts w:ascii="Verdana" w:eastAsia="Arial,Calibri" w:hAnsi="Verdana" w:cs="Arial"/>
                <w:szCs w:val="20"/>
              </w:rPr>
              <w:t xml:space="preserve"> </w:t>
            </w:r>
            <w:r w:rsidRPr="00513756">
              <w:rPr>
                <w:rFonts w:ascii="Verdana" w:hAnsi="Verdana" w:cs="Arial"/>
                <w:szCs w:val="20"/>
              </w:rPr>
              <w:t>la</w:t>
            </w:r>
            <w:r w:rsidRPr="00513756">
              <w:rPr>
                <w:rFonts w:ascii="Verdana" w:eastAsia="Arial,Calibri" w:hAnsi="Verdana" w:cs="Arial"/>
                <w:szCs w:val="20"/>
              </w:rPr>
              <w:t xml:space="preserve"> </w:t>
            </w:r>
            <w:r w:rsidRPr="00513756">
              <w:rPr>
                <w:rFonts w:ascii="Verdana" w:hAnsi="Verdana" w:cs="Arial"/>
                <w:szCs w:val="20"/>
              </w:rPr>
              <w:t>entidad</w:t>
            </w:r>
            <w:r w:rsidRPr="00513756">
              <w:rPr>
                <w:rFonts w:ascii="Verdana" w:eastAsia="Arial,Calibri" w:hAnsi="Verdana" w:cs="Arial"/>
                <w:szCs w:val="20"/>
              </w:rPr>
              <w:t xml:space="preserve"> </w:t>
            </w:r>
            <w:r w:rsidRPr="00513756">
              <w:rPr>
                <w:rFonts w:ascii="Verdana" w:hAnsi="Verdana" w:cs="Arial"/>
                <w:szCs w:val="20"/>
              </w:rPr>
              <w:t>tomará</w:t>
            </w:r>
            <w:r w:rsidRPr="00513756">
              <w:rPr>
                <w:rFonts w:ascii="Verdana" w:eastAsia="Arial,Calibri" w:hAnsi="Verdana" w:cs="Arial"/>
                <w:szCs w:val="20"/>
              </w:rPr>
              <w:t xml:space="preserve"> </w:t>
            </w:r>
            <w:r w:rsidRPr="00513756">
              <w:rPr>
                <w:rFonts w:ascii="Verdana" w:hAnsi="Verdana" w:cs="Arial"/>
                <w:szCs w:val="20"/>
              </w:rPr>
              <w:t>los centavos</w:t>
            </w:r>
            <w:r w:rsidRPr="00513756">
              <w:rPr>
                <w:rFonts w:ascii="Verdana" w:eastAsia="Arial,Calibri" w:hAnsi="Verdana" w:cs="Arial"/>
                <w:szCs w:val="20"/>
              </w:rPr>
              <w:t xml:space="preserve"> </w:t>
            </w:r>
            <w:r w:rsidRPr="00513756">
              <w:rPr>
                <w:rFonts w:ascii="Verdana" w:hAnsi="Verdana" w:cs="Arial"/>
                <w:szCs w:val="20"/>
              </w:rPr>
              <w:t>de</w:t>
            </w:r>
            <w:r w:rsidRPr="00513756">
              <w:rPr>
                <w:rFonts w:ascii="Verdana" w:eastAsia="Arial,Calibri" w:hAnsi="Verdana" w:cs="Arial"/>
                <w:szCs w:val="20"/>
              </w:rPr>
              <w:t xml:space="preserve"> </w:t>
            </w:r>
            <w:r w:rsidRPr="00513756">
              <w:rPr>
                <w:rFonts w:ascii="Verdana" w:hAnsi="Verdana" w:cs="Arial"/>
                <w:szCs w:val="20"/>
              </w:rPr>
              <w:t>la</w:t>
            </w:r>
            <w:r w:rsidRPr="00513756">
              <w:rPr>
                <w:rFonts w:ascii="Verdana" w:eastAsia="Arial,Calibri" w:hAnsi="Verdana" w:cs="Arial"/>
                <w:szCs w:val="20"/>
              </w:rPr>
              <w:t xml:space="preserve"> </w:t>
            </w:r>
            <w:r w:rsidRPr="00513756">
              <w:rPr>
                <w:rFonts w:ascii="Verdana" w:hAnsi="Verdana" w:cs="Arial"/>
                <w:szCs w:val="20"/>
              </w:rPr>
              <w:t>Tasa</w:t>
            </w:r>
            <w:r w:rsidRPr="00513756">
              <w:rPr>
                <w:rFonts w:ascii="Verdana" w:eastAsia="Arial,Calibri" w:hAnsi="Verdana" w:cs="Arial"/>
                <w:szCs w:val="20"/>
              </w:rPr>
              <w:t xml:space="preserve"> </w:t>
            </w:r>
            <w:r w:rsidRPr="00513756">
              <w:rPr>
                <w:rFonts w:ascii="Verdana" w:hAnsi="Verdana" w:cs="Arial"/>
                <w:szCs w:val="20"/>
              </w:rPr>
              <w:t>de</w:t>
            </w:r>
            <w:r w:rsidRPr="00513756">
              <w:rPr>
                <w:rFonts w:ascii="Verdana" w:eastAsia="Arial,Calibri" w:hAnsi="Verdana" w:cs="Arial"/>
                <w:szCs w:val="20"/>
              </w:rPr>
              <w:t xml:space="preserve"> </w:t>
            </w:r>
            <w:r w:rsidRPr="00513756">
              <w:rPr>
                <w:rFonts w:ascii="Verdana" w:hAnsi="Verdana" w:cs="Arial"/>
                <w:szCs w:val="20"/>
              </w:rPr>
              <w:t>Cambio</w:t>
            </w:r>
            <w:r w:rsidRPr="00513756">
              <w:rPr>
                <w:rFonts w:ascii="Verdana" w:eastAsia="Arial,Calibri" w:hAnsi="Verdana" w:cs="Arial"/>
                <w:szCs w:val="20"/>
              </w:rPr>
              <w:t xml:space="preserve"> </w:t>
            </w:r>
            <w:r w:rsidRPr="00513756">
              <w:rPr>
                <w:rFonts w:ascii="Verdana" w:hAnsi="Verdana" w:cs="Arial"/>
                <w:szCs w:val="20"/>
              </w:rPr>
              <w:t>Representativa</w:t>
            </w:r>
            <w:r w:rsidRPr="00513756">
              <w:rPr>
                <w:rFonts w:ascii="Verdana" w:eastAsia="Arial,Calibri" w:hAnsi="Verdana" w:cs="Arial"/>
                <w:szCs w:val="20"/>
              </w:rPr>
              <w:t xml:space="preserve"> </w:t>
            </w:r>
            <w:r w:rsidRPr="00513756">
              <w:rPr>
                <w:rFonts w:ascii="Verdana" w:hAnsi="Verdana" w:cs="Arial"/>
                <w:szCs w:val="20"/>
              </w:rPr>
              <w:t>del</w:t>
            </w:r>
            <w:r w:rsidRPr="00513756">
              <w:rPr>
                <w:rFonts w:ascii="Verdana" w:eastAsia="Arial,Calibri" w:hAnsi="Verdana" w:cs="Arial"/>
                <w:szCs w:val="20"/>
              </w:rPr>
              <w:t xml:space="preserve"> </w:t>
            </w:r>
            <w:r w:rsidRPr="00513756">
              <w:rPr>
                <w:rFonts w:ascii="Verdana" w:hAnsi="Verdana" w:cs="Arial"/>
                <w:szCs w:val="20"/>
              </w:rPr>
              <w:t>Mercado</w:t>
            </w:r>
            <w:r w:rsidRPr="00513756">
              <w:rPr>
                <w:rFonts w:ascii="Verdana" w:eastAsia="Arial,Calibri" w:hAnsi="Verdana" w:cs="Arial"/>
                <w:szCs w:val="20"/>
              </w:rPr>
              <w:t xml:space="preserve"> (</w:t>
            </w:r>
            <w:r w:rsidRPr="00513756">
              <w:rPr>
                <w:rFonts w:ascii="Verdana" w:hAnsi="Verdana" w:cs="Arial"/>
                <w:szCs w:val="20"/>
              </w:rPr>
              <w:t>TRM), certificada</w:t>
            </w:r>
            <w:r w:rsidRPr="00513756">
              <w:rPr>
                <w:rFonts w:ascii="Verdana" w:eastAsia="Arial,Calibri" w:hAnsi="Verdana" w:cs="Arial"/>
                <w:szCs w:val="20"/>
              </w:rPr>
              <w:t xml:space="preserve"> </w:t>
            </w:r>
            <w:r w:rsidRPr="00513756">
              <w:rPr>
                <w:rFonts w:ascii="Verdana" w:hAnsi="Verdana" w:cs="Arial"/>
                <w:szCs w:val="20"/>
              </w:rPr>
              <w:t>por</w:t>
            </w:r>
            <w:r w:rsidRPr="00513756">
              <w:rPr>
                <w:rFonts w:ascii="Verdana" w:eastAsia="Arial,Calibri" w:hAnsi="Verdana" w:cs="Arial"/>
                <w:szCs w:val="20"/>
              </w:rPr>
              <w:t xml:space="preserve"> </w:t>
            </w:r>
            <w:r w:rsidRPr="00513756">
              <w:rPr>
                <w:rFonts w:ascii="Verdana" w:hAnsi="Verdana" w:cs="Arial"/>
                <w:szCs w:val="20"/>
              </w:rPr>
              <w:t>la Superintendencia Financiera de Colombia (en</w:t>
            </w:r>
            <w:r w:rsidRPr="00513756">
              <w:rPr>
                <w:rFonts w:ascii="Verdana" w:eastAsia="Arial,Calibri" w:hAnsi="Verdana" w:cs="Arial"/>
                <w:szCs w:val="20"/>
              </w:rPr>
              <w:t xml:space="preserve"> </w:t>
            </w:r>
            <w:r w:rsidRPr="00513756">
              <w:rPr>
                <w:rFonts w:ascii="Verdana" w:hAnsi="Verdana" w:cs="Arial"/>
                <w:szCs w:val="20"/>
              </w:rPr>
              <w:t>su</w:t>
            </w:r>
            <w:r w:rsidRPr="00513756">
              <w:rPr>
                <w:rFonts w:ascii="Verdana" w:eastAsia="Arial,Calibri" w:hAnsi="Verdana" w:cs="Arial"/>
                <w:szCs w:val="20"/>
              </w:rPr>
              <w:t xml:space="preserve"> </w:t>
            </w:r>
            <w:r w:rsidRPr="00513756">
              <w:rPr>
                <w:rFonts w:ascii="Verdana" w:hAnsi="Verdana" w:cs="Arial"/>
                <w:szCs w:val="20"/>
              </w:rPr>
              <w:t>sitio web: https://www.superfinanciera.gov.co/publicacion/60819).</w:t>
            </w:r>
          </w:p>
          <w:p w14:paraId="0DA57F0D" w14:textId="77777777" w:rsidR="00DE6472" w:rsidRPr="00513756" w:rsidRDefault="00DE6472" w:rsidP="00DE6472">
            <w:pPr>
              <w:tabs>
                <w:tab w:val="left" w:pos="1860"/>
              </w:tabs>
              <w:spacing w:after="200" w:line="276" w:lineRule="auto"/>
              <w:ind w:left="708"/>
              <w:jc w:val="both"/>
              <w:rPr>
                <w:rFonts w:ascii="Verdana" w:hAnsi="Verdana" w:cs="Arial"/>
                <w:szCs w:val="20"/>
              </w:rPr>
            </w:pPr>
            <w:r w:rsidRPr="00513756">
              <w:rPr>
                <w:rFonts w:ascii="Verdana" w:hAnsi="Verdana" w:cs="Arial"/>
                <w:szCs w:val="20"/>
              </w:rPr>
              <w:t xml:space="preserve">La TRM que la entidad utilizará para determinar el método de ponderación será la que </w:t>
            </w:r>
            <w:r w:rsidRPr="00C319D6">
              <w:rPr>
                <w:rFonts w:ascii="Verdana" w:hAnsi="Verdana" w:cs="Arial"/>
                <w:b/>
                <w:bCs/>
                <w:i/>
                <w:szCs w:val="20"/>
              </w:rPr>
              <w:t xml:space="preserve">rija el segundo día hábil </w:t>
            </w:r>
            <w:r w:rsidRPr="00C319D6">
              <w:rPr>
                <w:rFonts w:ascii="Verdana" w:hAnsi="Verdana" w:cs="Arial"/>
                <w:b/>
                <w:bCs/>
                <w:i/>
                <w:color w:val="000000" w:themeColor="text1"/>
                <w:szCs w:val="20"/>
              </w:rPr>
              <w:t>después de finalizado el periodo de traslado del informe de evaluación</w:t>
            </w:r>
            <w:r w:rsidRPr="00513756">
              <w:rPr>
                <w:rFonts w:ascii="Verdana" w:hAnsi="Verdana" w:cs="Arial"/>
                <w:szCs w:val="20"/>
              </w:rPr>
              <w:t xml:space="preserve">. Esto es, la que la Superintendencia publique en horas de la tarde del día hábil siguiente a la fecha </w:t>
            </w:r>
            <w:r w:rsidRPr="00513756">
              <w:rPr>
                <w:rFonts w:ascii="Verdana" w:hAnsi="Verdana" w:cs="Arial"/>
                <w:color w:val="000000" w:themeColor="text1"/>
                <w:szCs w:val="20"/>
              </w:rPr>
              <w:t xml:space="preserve">efectiva de </w:t>
            </w:r>
            <w:r w:rsidRPr="00513756">
              <w:rPr>
                <w:rFonts w:ascii="Verdana" w:hAnsi="Verdana" w:cs="Arial"/>
                <w:i/>
                <w:color w:val="000000" w:themeColor="text1"/>
                <w:szCs w:val="20"/>
              </w:rPr>
              <w:t>finalizado el periodo de traslado del informe de evaluación</w:t>
            </w:r>
            <w:r w:rsidRPr="00513756">
              <w:rPr>
                <w:rFonts w:ascii="Verdana" w:hAnsi="Verdana" w:cs="Arial"/>
                <w:szCs w:val="20"/>
              </w:rPr>
              <w:t xml:space="preserve">. </w:t>
            </w:r>
            <w:r w:rsidRPr="00513756">
              <w:rPr>
                <w:rFonts w:ascii="Verdana" w:hAnsi="Verdana" w:cs="Arial"/>
                <w:szCs w:val="20"/>
                <w:highlight w:val="lightGray"/>
              </w:rPr>
              <w:t xml:space="preserve">[Por ejemplo, si el </w:t>
            </w:r>
            <w:r w:rsidRPr="00513756">
              <w:rPr>
                <w:rFonts w:ascii="Verdana" w:hAnsi="Verdana" w:cs="Arial"/>
                <w:color w:val="000000" w:themeColor="text1"/>
                <w:szCs w:val="20"/>
                <w:highlight w:val="lightGray"/>
              </w:rPr>
              <w:t xml:space="preserve">término de traslado del informe de evaluación finaliza </w:t>
            </w:r>
            <w:r w:rsidRPr="00513756">
              <w:rPr>
                <w:rFonts w:ascii="Verdana" w:hAnsi="Verdana" w:cs="Arial"/>
                <w:szCs w:val="20"/>
                <w:highlight w:val="lightGray"/>
              </w:rPr>
              <w:t>el 10 de febrero, la TRM que se usará para determinar el método de evaluación será la del 12 de febrero, que se publica en la tarde del 11 de febrero]</w:t>
            </w:r>
            <w:r w:rsidRPr="00513756">
              <w:rPr>
                <w:rFonts w:ascii="Verdana" w:hAnsi="Verdana" w:cs="Arial"/>
                <w:szCs w:val="20"/>
              </w:rPr>
              <w:t xml:space="preserve"> </w:t>
            </w:r>
          </w:p>
          <w:p w14:paraId="2107BF3C" w14:textId="77777777" w:rsidR="00DE6472" w:rsidRPr="00513756" w:rsidRDefault="00DE6472" w:rsidP="00DE6472">
            <w:pPr>
              <w:tabs>
                <w:tab w:val="left" w:pos="1860"/>
              </w:tabs>
              <w:spacing w:after="200" w:line="276" w:lineRule="auto"/>
              <w:ind w:left="708"/>
              <w:jc w:val="both"/>
              <w:rPr>
                <w:rFonts w:ascii="Verdana" w:hAnsi="Verdana" w:cs="Arial"/>
                <w:color w:val="000000" w:themeColor="text1"/>
                <w:szCs w:val="20"/>
                <w:highlight w:val="lightGray"/>
              </w:rPr>
            </w:pPr>
            <w:r w:rsidRPr="00513756">
              <w:rPr>
                <w:rFonts w:ascii="Verdana" w:hAnsi="Verdana" w:cs="Arial"/>
                <w:color w:val="000000" w:themeColor="text1"/>
                <w:szCs w:val="20"/>
                <w:highlight w:val="lightGray"/>
              </w:rPr>
              <w:lastRenderedPageBreak/>
              <w:t>[Al momento de definir o modificar el cronograma del proceso la entidad deberá verificar que el segundo día hábil siguiente a la finalización del periodo de traslado del informe de evaluación, no corresponda a un día festivo en Estados Unidos, con el objetivo de no afectar el proceso de definición del método de ponderación de las propuestas.]</w:t>
            </w:r>
            <w:r>
              <w:rPr>
                <w:rFonts w:ascii="Verdana" w:hAnsi="Verdana" w:cs="Arial"/>
                <w:color w:val="000000" w:themeColor="text1"/>
                <w:szCs w:val="20"/>
                <w:highlight w:val="lightGray"/>
              </w:rPr>
              <w:t>”</w:t>
            </w:r>
          </w:p>
          <w:p w14:paraId="7E5424B5" w14:textId="3784025E" w:rsidR="003A6E04" w:rsidRPr="003A6E04" w:rsidRDefault="003A6E04" w:rsidP="003A6E04">
            <w:pPr>
              <w:snapToGrid w:val="0"/>
              <w:spacing w:line="276" w:lineRule="auto"/>
              <w:jc w:val="both"/>
              <w:rPr>
                <w:rFonts w:ascii="Verdana" w:eastAsia="Calibri" w:hAnsi="Verdana" w:cs="Arial"/>
                <w:lang w:val="es-ES_tradnl"/>
              </w:rPr>
            </w:pPr>
            <w:r w:rsidRPr="003A6E04">
              <w:rPr>
                <w:rFonts w:ascii="Verdana" w:eastAsia="Calibri" w:hAnsi="Verdana" w:cs="Arial"/>
                <w:lang w:val="es-ES_tradnl"/>
              </w:rPr>
              <w:t xml:space="preserve"> </w:t>
            </w:r>
          </w:p>
        </w:tc>
      </w:tr>
    </w:tbl>
    <w:p w14:paraId="1736F8DC" w14:textId="77777777" w:rsidR="003A6E04" w:rsidRPr="003A6E04" w:rsidRDefault="003A6E04" w:rsidP="003A6E04">
      <w:pPr>
        <w:tabs>
          <w:tab w:val="left" w:pos="142"/>
          <w:tab w:val="left" w:pos="284"/>
        </w:tabs>
        <w:snapToGrid w:val="0"/>
        <w:spacing w:after="0" w:line="276" w:lineRule="auto"/>
        <w:jc w:val="both"/>
        <w:rPr>
          <w:rFonts w:ascii="Verdana" w:eastAsia="Century Gothic" w:hAnsi="Verdana" w:cs="Century Gothic"/>
          <w:b/>
          <w:bCs/>
          <w:lang w:val="es-ES_tradnl"/>
        </w:rPr>
      </w:pPr>
    </w:p>
    <w:p w14:paraId="32F5DB13" w14:textId="77777777" w:rsidR="003A6E04" w:rsidRPr="003A6E04" w:rsidRDefault="003A6E04" w:rsidP="003A6E04">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3A6E04">
        <w:rPr>
          <w:rFonts w:ascii="Verdana" w:eastAsia="Century Gothic" w:hAnsi="Verdana" w:cs="Century Gothic"/>
          <w:b/>
          <w:bCs/>
          <w:lang w:val="es-ES_tradnl"/>
        </w:rPr>
        <w:t>Razones de la respuesta:</w:t>
      </w:r>
    </w:p>
    <w:p w14:paraId="1CE248DD" w14:textId="77777777" w:rsidR="003A6E04" w:rsidRPr="003A6E04" w:rsidRDefault="003A6E04" w:rsidP="003A6E04">
      <w:pPr>
        <w:snapToGrid w:val="0"/>
        <w:spacing w:after="0" w:line="276" w:lineRule="auto"/>
        <w:jc w:val="both"/>
        <w:rPr>
          <w:rFonts w:ascii="Verdana" w:eastAsia="Calibri" w:hAnsi="Verdana" w:cs="Arial"/>
          <w:lang w:val="es-ES_tradnl"/>
        </w:rPr>
      </w:pPr>
    </w:p>
    <w:p w14:paraId="3011FB69" w14:textId="77777777" w:rsidR="003A6E04" w:rsidRPr="003A6E04" w:rsidRDefault="003A6E04" w:rsidP="003A6E04">
      <w:pPr>
        <w:snapToGrid w:val="0"/>
        <w:spacing w:after="0" w:line="276" w:lineRule="auto"/>
        <w:jc w:val="both"/>
        <w:rPr>
          <w:rFonts w:ascii="Verdana" w:eastAsia="Calibri" w:hAnsi="Verdana" w:cs="Arial"/>
          <w:lang w:val="es-ES_tradnl"/>
        </w:rPr>
      </w:pPr>
      <w:r w:rsidRPr="003A6E04">
        <w:rPr>
          <w:rFonts w:ascii="Verdana" w:eastAsia="Calibri" w:hAnsi="Verdana" w:cs="Arial"/>
          <w:lang w:val="es-ES_tradnl"/>
        </w:rPr>
        <w:t xml:space="preserve">Lo anterior se sustenta en las siguientes consideraciones: </w:t>
      </w:r>
    </w:p>
    <w:p w14:paraId="3CE6BCAB" w14:textId="77777777" w:rsidR="003A6E04" w:rsidRPr="003A6E04" w:rsidRDefault="003A6E04" w:rsidP="003A6E04">
      <w:pPr>
        <w:snapToGrid w:val="0"/>
        <w:spacing w:after="0" w:line="276" w:lineRule="auto"/>
        <w:jc w:val="both"/>
        <w:rPr>
          <w:rFonts w:ascii="Verdana" w:eastAsia="Calibri" w:hAnsi="Verdana" w:cs="Arial"/>
          <w:lang w:val="es-ES_tradnl"/>
        </w:rPr>
      </w:pPr>
    </w:p>
    <w:p w14:paraId="7AE0B792" w14:textId="77777777" w:rsidR="003A6E04" w:rsidRPr="003A6E04" w:rsidRDefault="003A6E04" w:rsidP="003A6E04">
      <w:pPr>
        <w:numPr>
          <w:ilvl w:val="0"/>
          <w:numId w:val="17"/>
        </w:numPr>
        <w:snapToGrid w:val="0"/>
        <w:spacing w:after="0" w:line="276" w:lineRule="auto"/>
        <w:jc w:val="both"/>
        <w:rPr>
          <w:rFonts w:ascii="Verdana" w:eastAsia="Calibri" w:hAnsi="Verdana" w:cs="Arial"/>
          <w:lang w:val="es-ES_tradnl"/>
        </w:rPr>
      </w:pPr>
      <w:r w:rsidRPr="003A6E04">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9EF58DF" w14:textId="77777777" w:rsidR="003A6E04" w:rsidRPr="003A6E04" w:rsidRDefault="003A6E04" w:rsidP="003A6E04">
      <w:pPr>
        <w:snapToGrid w:val="0"/>
        <w:spacing w:after="0" w:line="276" w:lineRule="auto"/>
        <w:ind w:left="720"/>
        <w:jc w:val="both"/>
        <w:rPr>
          <w:rFonts w:ascii="Verdana" w:eastAsia="Calibri" w:hAnsi="Verdana" w:cs="Arial"/>
          <w:lang w:val="es-ES_tradnl"/>
        </w:rPr>
      </w:pPr>
    </w:p>
    <w:p w14:paraId="0E312E2B" w14:textId="77777777" w:rsidR="003A6E04" w:rsidRPr="003A6E04" w:rsidRDefault="003A6E04" w:rsidP="003A6E04">
      <w:pPr>
        <w:numPr>
          <w:ilvl w:val="0"/>
          <w:numId w:val="17"/>
        </w:numPr>
        <w:snapToGrid w:val="0"/>
        <w:spacing w:after="0" w:line="276" w:lineRule="auto"/>
        <w:jc w:val="both"/>
        <w:rPr>
          <w:rFonts w:ascii="Verdana" w:eastAsia="Calibri" w:hAnsi="Verdana" w:cs="Arial"/>
          <w:lang w:val="es-ES"/>
        </w:rPr>
      </w:pPr>
      <w:r w:rsidRPr="003A6E04">
        <w:rPr>
          <w:rFonts w:ascii="Verdana" w:eastAsia="Calibri" w:hAnsi="Verdana" w:cs="Arial"/>
          <w:lang w:val="es-ES"/>
        </w:rPr>
        <w:t>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0FC4E238" w14:textId="77777777" w:rsidR="003A6E04" w:rsidRPr="003A6E04" w:rsidRDefault="003A6E04" w:rsidP="003A6E04">
      <w:pPr>
        <w:snapToGrid w:val="0"/>
        <w:spacing w:after="0" w:line="276" w:lineRule="auto"/>
        <w:ind w:left="720"/>
        <w:jc w:val="both"/>
        <w:rPr>
          <w:rFonts w:ascii="Verdana" w:eastAsia="Calibri" w:hAnsi="Verdana" w:cs="Times New Roman"/>
          <w:lang w:val="es-ES_tradnl"/>
        </w:rPr>
      </w:pPr>
    </w:p>
    <w:p w14:paraId="0F273379" w14:textId="77777777" w:rsidR="003A6E04" w:rsidRPr="003A6E04" w:rsidRDefault="003A6E04" w:rsidP="003A6E04">
      <w:pPr>
        <w:numPr>
          <w:ilvl w:val="0"/>
          <w:numId w:val="17"/>
        </w:numPr>
        <w:snapToGrid w:val="0"/>
        <w:spacing w:after="0" w:line="276" w:lineRule="auto"/>
        <w:jc w:val="both"/>
        <w:rPr>
          <w:rFonts w:ascii="Verdana" w:eastAsia="Calibri" w:hAnsi="Verdana" w:cs="Arial"/>
          <w:lang w:val="es-ES_tradnl"/>
        </w:rPr>
      </w:pPr>
      <w:r w:rsidRPr="003A6E04">
        <w:rPr>
          <w:rFonts w:ascii="Verdana" w:eastAsia="Calibri" w:hAnsi="Verdana" w:cs="Times New Roman"/>
          <w:lang w:val="es-ES_tradnl"/>
        </w:rPr>
        <w:t>Para el sector de infraestructura de transporte, la Agencia Nacional de Contratación Pública – Colombia Compra Eficiente ha expedido Documentos Tipo</w:t>
      </w:r>
      <w:r w:rsidRPr="003A6E04">
        <w:rPr>
          <w:rFonts w:ascii="Verdana" w:eastAsia="Calibri" w:hAnsi="Verdana" w:cs="Times New Roman"/>
          <w:vertAlign w:val="superscript"/>
          <w:lang w:val="es-ES_tradnl"/>
        </w:rPr>
        <w:footnoteReference w:id="2"/>
      </w:r>
      <w:r w:rsidRPr="003A6E04">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w:t>
      </w:r>
      <w:r w:rsidRPr="003A6E04">
        <w:rPr>
          <w:rFonts w:ascii="Verdana" w:eastAsia="Calibri" w:hAnsi="Verdana" w:cs="Times New Roman"/>
          <w:lang w:val="es-ES_tradnl"/>
        </w:rPr>
        <w:lastRenderedPageBreak/>
        <w:t xml:space="preserve">Agencia ha expedido documentos tipo de concurso de méritos para contratar la interventoría y la consultoría de estudios de ingeniería de infraestructura de transporte. </w:t>
      </w:r>
    </w:p>
    <w:p w14:paraId="6DEE541D" w14:textId="77777777" w:rsidR="003A6E04" w:rsidRPr="003A6E04" w:rsidRDefault="003A6E04" w:rsidP="003A6E04">
      <w:pPr>
        <w:snapToGrid w:val="0"/>
        <w:spacing w:after="0" w:line="276" w:lineRule="auto"/>
        <w:ind w:left="720"/>
        <w:jc w:val="both"/>
        <w:rPr>
          <w:rFonts w:ascii="Verdana" w:eastAsia="Calibri" w:hAnsi="Verdana" w:cs="Arial"/>
          <w:lang w:val="es-ES_tradnl"/>
        </w:rPr>
      </w:pPr>
    </w:p>
    <w:p w14:paraId="6B1DCE59" w14:textId="77777777" w:rsidR="003A6E04" w:rsidRDefault="003A6E04" w:rsidP="003A6E04">
      <w:pPr>
        <w:numPr>
          <w:ilvl w:val="0"/>
          <w:numId w:val="17"/>
        </w:numPr>
        <w:snapToGrid w:val="0"/>
        <w:spacing w:after="0" w:line="276" w:lineRule="auto"/>
        <w:jc w:val="both"/>
        <w:rPr>
          <w:rFonts w:ascii="Verdana" w:eastAsia="Calibri" w:hAnsi="Verdana" w:cs="Arial"/>
          <w:lang w:val="es-ES_tradnl"/>
        </w:rPr>
      </w:pPr>
      <w:r w:rsidRPr="003A6E04">
        <w:rPr>
          <w:rFonts w:ascii="Verdana" w:eastAsia="Calibri" w:hAnsi="Verdana" w:cs="Arial"/>
          <w:lang w:val="es-ES_tradnl"/>
        </w:rPr>
        <w:t>Recientemente, esta Agencia expidió (i) la Resolución No. 465 de 2024 “Por la cual se adopta la versión -4- de los Documentos Tipo para los procesos de selección de licitación de obra pública del sector de infraestructura de transporte y se deroga la Resolución 240 de 2020”; (ii) la Resolución No. 463 de 2024 “Por la cual se adopta la versión -3- de los Documentos Tipo para los procesos de selección abreviada de menor cuantía de obra pública de infraestructura de transporte y se deroga la Resolución 241 de 2020”, y (iii) la Resolución No. 464 de 2024 “Por la cual se actualizan los Documentos Tipo para los procesos de obra pública de infraestructura de transporte adelantados bajo la modalidad de mínima cuantía”. Estos documentos aplican a los procesos de selección cuyo aviso de convocatoria o invitación –según corresponda– se publique a partir del 3 de febrero de 2025.</w:t>
      </w:r>
    </w:p>
    <w:p w14:paraId="50B1BDBE" w14:textId="77777777" w:rsidR="00DE6472" w:rsidRDefault="00DE6472" w:rsidP="00DE6472">
      <w:pPr>
        <w:pStyle w:val="Prrafodelista"/>
        <w:rPr>
          <w:rFonts w:ascii="Verdana" w:eastAsia="Calibri" w:hAnsi="Verdana" w:cs="Arial"/>
          <w:lang w:val="es-ES_tradnl"/>
        </w:rPr>
      </w:pPr>
    </w:p>
    <w:p w14:paraId="4DC90680" w14:textId="047ABA8C" w:rsidR="00DE6472" w:rsidRPr="00DE6472" w:rsidRDefault="00DE6472" w:rsidP="00DE6472">
      <w:pPr>
        <w:pStyle w:val="Prrafodelista"/>
        <w:numPr>
          <w:ilvl w:val="0"/>
          <w:numId w:val="17"/>
        </w:numPr>
        <w:jc w:val="both"/>
        <w:rPr>
          <w:rFonts w:ascii="Verdana" w:hAnsi="Verdana"/>
        </w:rPr>
      </w:pPr>
      <w:r>
        <w:rPr>
          <w:rFonts w:ascii="Verdana" w:hAnsi="Verdana"/>
        </w:rPr>
        <w:t>L</w:t>
      </w:r>
      <w:r w:rsidRPr="00DE6472">
        <w:rPr>
          <w:rFonts w:ascii="Verdana" w:hAnsi="Verdana"/>
        </w:rPr>
        <w:t>a versión 3 de los documentos tipo de infraestructura de transporte en la modalidad de Selección Abreviada de Menor Cuantía, la cual fue adoptada mediante la resolución 463 de 2024, incluye varias precisiones en el numeral 4.1.4 DETERMINACIÓN DEL MÉTODO PARA LA PONDERACIÓN DE LA PROPUESTA ECONÓMICA, tal y como se puede evidenciar a continuación:</w:t>
      </w:r>
    </w:p>
    <w:p w14:paraId="340B4C98" w14:textId="77777777" w:rsidR="00DE6472" w:rsidRPr="00DE6472" w:rsidRDefault="00DE6472" w:rsidP="00DE6472">
      <w:pPr>
        <w:pStyle w:val="Prrafodelista"/>
        <w:jc w:val="both"/>
        <w:rPr>
          <w:rFonts w:ascii="Verdana" w:hAnsi="Verdana"/>
        </w:rPr>
      </w:pPr>
    </w:p>
    <w:p w14:paraId="308632DE" w14:textId="77777777" w:rsidR="00DE6472" w:rsidRPr="00DE6472" w:rsidRDefault="00DE6472" w:rsidP="00DE6472">
      <w:pPr>
        <w:pStyle w:val="Prrafodelista"/>
        <w:jc w:val="both"/>
        <w:rPr>
          <w:rFonts w:ascii="Verdana" w:eastAsia="Arial,Calibri" w:hAnsi="Verdana" w:cs="Arial"/>
          <w:szCs w:val="20"/>
        </w:rPr>
      </w:pPr>
      <w:r w:rsidRPr="00DE6472">
        <w:rPr>
          <w:rFonts w:ascii="Verdana" w:hAnsi="Verdana" w:cs="Arial"/>
          <w:szCs w:val="20"/>
        </w:rPr>
        <w:t>“La</w:t>
      </w:r>
      <w:r w:rsidRPr="00DE6472">
        <w:rPr>
          <w:rFonts w:ascii="Verdana" w:eastAsia="Arial,Calibri" w:hAnsi="Verdana" w:cs="Arial"/>
          <w:szCs w:val="20"/>
        </w:rPr>
        <w:t xml:space="preserve"> </w:t>
      </w:r>
      <w:r w:rsidRPr="00DE6472">
        <w:rPr>
          <w:rFonts w:ascii="Verdana" w:hAnsi="Verdana" w:cs="Arial"/>
          <w:szCs w:val="20"/>
        </w:rPr>
        <w:t>entidad</w:t>
      </w:r>
      <w:r w:rsidRPr="00DE6472">
        <w:rPr>
          <w:rFonts w:ascii="Verdana" w:eastAsia="Arial,Calibri" w:hAnsi="Verdana" w:cs="Arial"/>
          <w:szCs w:val="20"/>
        </w:rPr>
        <w:t xml:space="preserve"> </w:t>
      </w:r>
      <w:r w:rsidRPr="00DE6472">
        <w:rPr>
          <w:rFonts w:ascii="Verdana" w:hAnsi="Verdana" w:cs="Arial"/>
          <w:szCs w:val="20"/>
        </w:rPr>
        <w:t>seleccionará</w:t>
      </w:r>
      <w:r w:rsidRPr="00DE6472">
        <w:rPr>
          <w:rFonts w:ascii="Verdana" w:eastAsia="Arial,Calibri" w:hAnsi="Verdana" w:cs="Arial"/>
          <w:szCs w:val="20"/>
        </w:rPr>
        <w:t xml:space="preserve"> </w:t>
      </w:r>
      <w:r w:rsidRPr="00DE6472">
        <w:rPr>
          <w:rFonts w:ascii="Verdana" w:hAnsi="Verdana" w:cs="Arial"/>
          <w:szCs w:val="20"/>
        </w:rPr>
        <w:t>el</w:t>
      </w:r>
      <w:r w:rsidRPr="00DE6472">
        <w:rPr>
          <w:rFonts w:ascii="Verdana" w:eastAsia="Arial,Calibri" w:hAnsi="Verdana" w:cs="Arial"/>
          <w:szCs w:val="20"/>
        </w:rPr>
        <w:t xml:space="preserve"> </w:t>
      </w:r>
      <w:r w:rsidRPr="00DE6472">
        <w:rPr>
          <w:rFonts w:ascii="Verdana" w:hAnsi="Verdana" w:cs="Arial"/>
          <w:szCs w:val="20"/>
        </w:rPr>
        <w:t>método</w:t>
      </w:r>
      <w:r w:rsidRPr="00DE6472">
        <w:rPr>
          <w:rFonts w:ascii="Verdana" w:eastAsia="Arial,Calibri" w:hAnsi="Verdana" w:cs="Arial"/>
          <w:szCs w:val="20"/>
        </w:rPr>
        <w:t xml:space="preserve"> </w:t>
      </w:r>
      <w:r w:rsidRPr="00DE6472">
        <w:rPr>
          <w:rFonts w:ascii="Verdana" w:hAnsi="Verdana" w:cs="Arial"/>
          <w:szCs w:val="20"/>
        </w:rPr>
        <w:t>de</w:t>
      </w:r>
      <w:r w:rsidRPr="00DE6472">
        <w:rPr>
          <w:rFonts w:ascii="Verdana" w:eastAsia="Arial,Calibri" w:hAnsi="Verdana" w:cs="Arial"/>
          <w:szCs w:val="20"/>
        </w:rPr>
        <w:t xml:space="preserve"> </w:t>
      </w:r>
      <w:r w:rsidRPr="00DE6472">
        <w:rPr>
          <w:rFonts w:ascii="Verdana" w:hAnsi="Verdana" w:cs="Arial"/>
          <w:szCs w:val="20"/>
        </w:rPr>
        <w:t>ponderación</w:t>
      </w:r>
      <w:r w:rsidRPr="00DE6472">
        <w:rPr>
          <w:rFonts w:ascii="Verdana" w:eastAsia="Arial,Calibri" w:hAnsi="Verdana" w:cs="Arial"/>
          <w:szCs w:val="20"/>
        </w:rPr>
        <w:t xml:space="preserve"> </w:t>
      </w:r>
      <w:r w:rsidRPr="00DE6472">
        <w:rPr>
          <w:rFonts w:ascii="Verdana" w:hAnsi="Verdana" w:cs="Arial"/>
          <w:szCs w:val="20"/>
        </w:rPr>
        <w:t>de</w:t>
      </w:r>
      <w:r w:rsidRPr="00DE6472">
        <w:rPr>
          <w:rFonts w:ascii="Verdana" w:eastAsia="Arial,Calibri" w:hAnsi="Verdana" w:cs="Arial"/>
          <w:szCs w:val="20"/>
        </w:rPr>
        <w:t xml:space="preserve"> </w:t>
      </w:r>
      <w:r w:rsidRPr="00DE6472">
        <w:rPr>
          <w:rFonts w:ascii="Verdana" w:hAnsi="Verdana" w:cs="Arial"/>
          <w:szCs w:val="20"/>
        </w:rPr>
        <w:t>la</w:t>
      </w:r>
      <w:r w:rsidRPr="00DE6472">
        <w:rPr>
          <w:rFonts w:ascii="Verdana" w:eastAsia="Arial,Calibri" w:hAnsi="Verdana" w:cs="Arial"/>
          <w:szCs w:val="20"/>
        </w:rPr>
        <w:t xml:space="preserve"> </w:t>
      </w:r>
      <w:r w:rsidRPr="00DE6472">
        <w:rPr>
          <w:rFonts w:ascii="Verdana" w:hAnsi="Verdana" w:cs="Arial"/>
          <w:szCs w:val="20"/>
        </w:rPr>
        <w:t>propuesta</w:t>
      </w:r>
      <w:r w:rsidRPr="00DE6472">
        <w:rPr>
          <w:rFonts w:ascii="Verdana" w:eastAsia="Arial,Calibri" w:hAnsi="Verdana" w:cs="Arial"/>
          <w:szCs w:val="20"/>
        </w:rPr>
        <w:t xml:space="preserve"> </w:t>
      </w:r>
      <w:r w:rsidRPr="00DE6472">
        <w:rPr>
          <w:rFonts w:ascii="Verdana" w:hAnsi="Verdana" w:cs="Arial"/>
          <w:szCs w:val="20"/>
        </w:rPr>
        <w:t>económica,</w:t>
      </w:r>
      <w:r w:rsidRPr="00DE6472">
        <w:rPr>
          <w:rFonts w:ascii="Verdana" w:eastAsia="Arial,Calibri" w:hAnsi="Verdana" w:cs="Arial"/>
          <w:szCs w:val="20"/>
        </w:rPr>
        <w:t xml:space="preserve"> </w:t>
      </w:r>
      <w:r w:rsidRPr="00DE6472">
        <w:rPr>
          <w:rFonts w:ascii="Verdana" w:hAnsi="Verdana" w:cs="Arial"/>
          <w:szCs w:val="20"/>
        </w:rPr>
        <w:t>de</w:t>
      </w:r>
      <w:r w:rsidRPr="00DE6472">
        <w:rPr>
          <w:rFonts w:ascii="Verdana" w:eastAsia="Arial,Calibri" w:hAnsi="Verdana" w:cs="Arial"/>
          <w:szCs w:val="20"/>
        </w:rPr>
        <w:t xml:space="preserve"> </w:t>
      </w:r>
      <w:r w:rsidRPr="00DE6472">
        <w:rPr>
          <w:rFonts w:ascii="Verdana" w:hAnsi="Verdana" w:cs="Arial"/>
          <w:szCs w:val="20"/>
        </w:rPr>
        <w:t>acuerdo</w:t>
      </w:r>
      <w:r w:rsidRPr="00DE6472">
        <w:rPr>
          <w:rFonts w:ascii="Verdana" w:eastAsia="Arial,Calibri" w:hAnsi="Verdana" w:cs="Arial"/>
          <w:szCs w:val="20"/>
        </w:rPr>
        <w:t xml:space="preserve"> </w:t>
      </w:r>
      <w:r w:rsidRPr="00DE6472">
        <w:rPr>
          <w:rFonts w:ascii="Verdana" w:hAnsi="Verdana" w:cs="Arial"/>
          <w:szCs w:val="20"/>
        </w:rPr>
        <w:t>con</w:t>
      </w:r>
      <w:r w:rsidRPr="00DE6472">
        <w:rPr>
          <w:rFonts w:ascii="Verdana" w:eastAsia="Arial,Calibri" w:hAnsi="Verdana" w:cs="Arial"/>
          <w:szCs w:val="20"/>
        </w:rPr>
        <w:t xml:space="preserve"> </w:t>
      </w:r>
      <w:r w:rsidRPr="00DE6472">
        <w:rPr>
          <w:rFonts w:ascii="Verdana" w:hAnsi="Verdana" w:cs="Arial"/>
          <w:szCs w:val="20"/>
        </w:rPr>
        <w:t>las</w:t>
      </w:r>
      <w:r w:rsidRPr="00DE6472">
        <w:rPr>
          <w:rFonts w:ascii="Verdana" w:eastAsia="Arial,Calibri" w:hAnsi="Verdana" w:cs="Arial"/>
          <w:szCs w:val="20"/>
        </w:rPr>
        <w:t xml:space="preserve"> </w:t>
      </w:r>
      <w:r w:rsidRPr="00DE6472">
        <w:rPr>
          <w:rFonts w:ascii="Verdana" w:hAnsi="Verdana" w:cs="Arial"/>
          <w:szCs w:val="20"/>
        </w:rPr>
        <w:t>siguientes alternativas:</w:t>
      </w:r>
      <w:r w:rsidRPr="00DE6472">
        <w:rPr>
          <w:rFonts w:ascii="Verdana" w:eastAsia="Arial,Calibri" w:hAnsi="Verdana" w:cs="Arial"/>
          <w:szCs w:val="20"/>
        </w:rPr>
        <w:t xml:space="preserve"> </w:t>
      </w:r>
    </w:p>
    <w:tbl>
      <w:tblPr>
        <w:tblStyle w:val="Tablaconcuadrcula"/>
        <w:tblW w:w="0" w:type="auto"/>
        <w:jc w:val="center"/>
        <w:tblLook w:val="04A0" w:firstRow="1" w:lastRow="0" w:firstColumn="1" w:lastColumn="0" w:noHBand="0" w:noVBand="1"/>
      </w:tblPr>
      <w:tblGrid>
        <w:gridCol w:w="1560"/>
        <w:gridCol w:w="2820"/>
      </w:tblGrid>
      <w:tr w:rsidR="00DE6472" w:rsidRPr="00513756" w14:paraId="6F528950" w14:textId="77777777" w:rsidTr="00913BD8">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75A4BB6" w14:textId="77777777" w:rsidR="00DE6472" w:rsidRPr="00513756" w:rsidRDefault="00DE6472" w:rsidP="00913BD8">
            <w:pPr>
              <w:spacing w:line="276" w:lineRule="auto"/>
              <w:jc w:val="center"/>
              <w:rPr>
                <w:rFonts w:ascii="Verdana" w:hAnsi="Verdana" w:cs="Arial"/>
                <w:b/>
                <w:color w:val="FFFFFF" w:themeColor="background1"/>
                <w:szCs w:val="20"/>
              </w:rPr>
            </w:pPr>
            <w:r w:rsidRPr="00513756">
              <w:rPr>
                <w:rFonts w:ascii="Verdana" w:hAnsi="Verdana" w:cs="Arial"/>
                <w:b/>
                <w:color w:val="FFFFFF" w:themeColor="background1"/>
                <w:szCs w:val="20"/>
              </w:rPr>
              <w:t>Concepto</w:t>
            </w:r>
          </w:p>
        </w:tc>
        <w:tc>
          <w:tcPr>
            <w:tcW w:w="2820"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E174F85" w14:textId="77777777" w:rsidR="00DE6472" w:rsidRPr="00513756" w:rsidRDefault="00DE6472" w:rsidP="00913BD8">
            <w:pPr>
              <w:spacing w:line="276" w:lineRule="auto"/>
              <w:jc w:val="center"/>
              <w:rPr>
                <w:rFonts w:ascii="Verdana" w:hAnsi="Verdana" w:cs="Arial"/>
                <w:b/>
                <w:color w:val="FFFFFF" w:themeColor="background1"/>
                <w:szCs w:val="20"/>
              </w:rPr>
            </w:pPr>
            <w:r w:rsidRPr="00513756">
              <w:rPr>
                <w:rFonts w:ascii="Verdana" w:hAnsi="Verdana" w:cs="Arial"/>
                <w:b/>
                <w:color w:val="FFFFFF" w:themeColor="background1"/>
                <w:szCs w:val="20"/>
              </w:rPr>
              <w:t>Método</w:t>
            </w:r>
          </w:p>
        </w:tc>
      </w:tr>
      <w:tr w:rsidR="00DE6472" w:rsidRPr="00513756" w14:paraId="4452F993" w14:textId="77777777" w:rsidTr="00913BD8">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4C6AC6C3" w14:textId="77777777" w:rsidR="00DE6472" w:rsidRPr="00513756" w:rsidRDefault="00DE6472" w:rsidP="00913BD8">
            <w:pPr>
              <w:spacing w:line="276" w:lineRule="auto"/>
              <w:jc w:val="center"/>
              <w:rPr>
                <w:rFonts w:ascii="Verdana" w:hAnsi="Verdana" w:cs="Arial"/>
                <w:szCs w:val="20"/>
                <w:lang w:val="es-ES"/>
              </w:rPr>
            </w:pPr>
            <w:r w:rsidRPr="00513756">
              <w:rPr>
                <w:rFonts w:ascii="Verdana" w:hAnsi="Verdana" w:cs="Arial"/>
                <w:szCs w:val="20"/>
                <w:lang w:val="es-ES"/>
              </w:rPr>
              <w:t>1</w:t>
            </w:r>
          </w:p>
        </w:tc>
        <w:tc>
          <w:tcPr>
            <w:tcW w:w="2820" w:type="dxa"/>
            <w:tcBorders>
              <w:top w:val="single" w:sz="4" w:space="0" w:color="auto"/>
              <w:left w:val="single" w:sz="4" w:space="0" w:color="auto"/>
              <w:bottom w:val="single" w:sz="4" w:space="0" w:color="auto"/>
              <w:right w:val="double" w:sz="4" w:space="0" w:color="auto"/>
            </w:tcBorders>
            <w:vAlign w:val="center"/>
          </w:tcPr>
          <w:p w14:paraId="3757F4B1" w14:textId="77777777" w:rsidR="00DE6472" w:rsidRPr="00513756" w:rsidRDefault="00DE6472" w:rsidP="00913BD8">
            <w:pPr>
              <w:spacing w:line="276" w:lineRule="auto"/>
              <w:jc w:val="center"/>
              <w:rPr>
                <w:rFonts w:ascii="Verdana" w:hAnsi="Verdana" w:cs="Arial"/>
                <w:szCs w:val="20"/>
                <w:lang w:val="es-ES"/>
              </w:rPr>
            </w:pPr>
            <w:r w:rsidRPr="00513756">
              <w:rPr>
                <w:rFonts w:ascii="Verdana" w:hAnsi="Verdana" w:cs="Arial"/>
                <w:szCs w:val="20"/>
                <w:lang w:val="es-ES"/>
              </w:rPr>
              <w:t>Mediana con valor absoluto</w:t>
            </w:r>
          </w:p>
        </w:tc>
      </w:tr>
      <w:tr w:rsidR="00DE6472" w:rsidRPr="00513756" w14:paraId="4FAC43B6" w14:textId="77777777" w:rsidTr="00913BD8">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3E3D5CFC" w14:textId="77777777" w:rsidR="00DE6472" w:rsidRPr="00513756" w:rsidRDefault="00DE6472" w:rsidP="00913BD8">
            <w:pPr>
              <w:spacing w:line="276" w:lineRule="auto"/>
              <w:jc w:val="center"/>
              <w:rPr>
                <w:rFonts w:ascii="Verdana" w:hAnsi="Verdana" w:cs="Arial"/>
                <w:szCs w:val="20"/>
                <w:lang w:val="es-ES"/>
              </w:rPr>
            </w:pPr>
            <w:r w:rsidRPr="00513756">
              <w:rPr>
                <w:rFonts w:ascii="Verdana" w:hAnsi="Verdana" w:cs="Arial"/>
                <w:szCs w:val="20"/>
                <w:lang w:val="es-ES"/>
              </w:rPr>
              <w:t>2</w:t>
            </w:r>
          </w:p>
        </w:tc>
        <w:tc>
          <w:tcPr>
            <w:tcW w:w="2820" w:type="dxa"/>
            <w:tcBorders>
              <w:top w:val="single" w:sz="4" w:space="0" w:color="auto"/>
              <w:left w:val="single" w:sz="4" w:space="0" w:color="auto"/>
              <w:bottom w:val="single" w:sz="4" w:space="0" w:color="auto"/>
              <w:right w:val="double" w:sz="4" w:space="0" w:color="auto"/>
            </w:tcBorders>
            <w:vAlign w:val="center"/>
          </w:tcPr>
          <w:p w14:paraId="53250E8E" w14:textId="77777777" w:rsidR="00DE6472" w:rsidRPr="00513756" w:rsidRDefault="00DE6472" w:rsidP="00913BD8">
            <w:pPr>
              <w:spacing w:line="276" w:lineRule="auto"/>
              <w:jc w:val="center"/>
              <w:rPr>
                <w:rFonts w:ascii="Verdana" w:hAnsi="Verdana" w:cs="Arial"/>
                <w:szCs w:val="20"/>
                <w:lang w:val="es-ES"/>
              </w:rPr>
            </w:pPr>
            <w:r w:rsidRPr="00513756">
              <w:rPr>
                <w:rFonts w:ascii="Verdana" w:hAnsi="Verdana" w:cs="Arial"/>
                <w:szCs w:val="20"/>
                <w:lang w:val="es-ES"/>
              </w:rPr>
              <w:t>Media geométrica</w:t>
            </w:r>
          </w:p>
        </w:tc>
      </w:tr>
      <w:tr w:rsidR="00DE6472" w:rsidRPr="00513756" w14:paraId="5791D9FB" w14:textId="77777777" w:rsidTr="00913BD8">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EAE8D10" w14:textId="77777777" w:rsidR="00DE6472" w:rsidRPr="00513756" w:rsidRDefault="00DE6472" w:rsidP="00913BD8">
            <w:pPr>
              <w:spacing w:line="276" w:lineRule="auto"/>
              <w:jc w:val="center"/>
              <w:rPr>
                <w:rFonts w:ascii="Verdana" w:hAnsi="Verdana" w:cs="Arial"/>
                <w:szCs w:val="20"/>
                <w:lang w:val="es-ES"/>
              </w:rPr>
            </w:pPr>
            <w:r w:rsidRPr="00513756">
              <w:rPr>
                <w:rFonts w:ascii="Verdana" w:hAnsi="Verdana" w:cs="Arial"/>
                <w:szCs w:val="20"/>
                <w:lang w:val="es-ES"/>
              </w:rPr>
              <w:t>3</w:t>
            </w:r>
          </w:p>
        </w:tc>
        <w:tc>
          <w:tcPr>
            <w:tcW w:w="2820" w:type="dxa"/>
            <w:tcBorders>
              <w:top w:val="single" w:sz="4" w:space="0" w:color="auto"/>
              <w:left w:val="single" w:sz="4" w:space="0" w:color="auto"/>
              <w:bottom w:val="single" w:sz="4" w:space="0" w:color="auto"/>
              <w:right w:val="double" w:sz="4" w:space="0" w:color="auto"/>
            </w:tcBorders>
            <w:vAlign w:val="center"/>
            <w:hideMark/>
          </w:tcPr>
          <w:p w14:paraId="29666087" w14:textId="77777777" w:rsidR="00DE6472" w:rsidRPr="00513756" w:rsidRDefault="00DE6472" w:rsidP="00913BD8">
            <w:pPr>
              <w:spacing w:line="276" w:lineRule="auto"/>
              <w:jc w:val="center"/>
              <w:rPr>
                <w:rFonts w:ascii="Verdana" w:hAnsi="Verdana" w:cs="Arial"/>
                <w:szCs w:val="20"/>
                <w:lang w:val="es-ES"/>
              </w:rPr>
            </w:pPr>
            <w:r w:rsidRPr="00513756">
              <w:rPr>
                <w:rFonts w:ascii="Verdana" w:hAnsi="Verdana" w:cs="Arial"/>
                <w:szCs w:val="20"/>
                <w:lang w:val="es-ES"/>
              </w:rPr>
              <w:t>Media aritmética baja</w:t>
            </w:r>
          </w:p>
        </w:tc>
      </w:tr>
      <w:tr w:rsidR="00DE6472" w:rsidRPr="00513756" w14:paraId="61991B38" w14:textId="77777777" w:rsidTr="00913BD8">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11646234" w14:textId="77777777" w:rsidR="00DE6472" w:rsidRPr="00513756" w:rsidRDefault="00DE6472" w:rsidP="00913BD8">
            <w:pPr>
              <w:spacing w:line="276" w:lineRule="auto"/>
              <w:jc w:val="center"/>
              <w:rPr>
                <w:rFonts w:ascii="Verdana" w:hAnsi="Verdana" w:cs="Arial"/>
                <w:szCs w:val="20"/>
                <w:lang w:val="es-ES"/>
              </w:rPr>
            </w:pPr>
            <w:r w:rsidRPr="00513756">
              <w:rPr>
                <w:rFonts w:ascii="Verdana" w:hAnsi="Verdana" w:cs="Arial"/>
                <w:szCs w:val="20"/>
                <w:lang w:val="es-ES"/>
              </w:rPr>
              <w:t>4</w:t>
            </w:r>
          </w:p>
        </w:tc>
        <w:tc>
          <w:tcPr>
            <w:tcW w:w="2820" w:type="dxa"/>
            <w:tcBorders>
              <w:top w:val="single" w:sz="4" w:space="0" w:color="auto"/>
              <w:left w:val="single" w:sz="4" w:space="0" w:color="auto"/>
              <w:bottom w:val="double" w:sz="4" w:space="0" w:color="auto"/>
              <w:right w:val="double" w:sz="4" w:space="0" w:color="auto"/>
            </w:tcBorders>
            <w:vAlign w:val="center"/>
            <w:hideMark/>
          </w:tcPr>
          <w:p w14:paraId="53182D92" w14:textId="77777777" w:rsidR="00DE6472" w:rsidRPr="00513756" w:rsidRDefault="00DE6472" w:rsidP="00913BD8">
            <w:pPr>
              <w:spacing w:line="276" w:lineRule="auto"/>
              <w:jc w:val="center"/>
              <w:rPr>
                <w:rFonts w:ascii="Verdana" w:hAnsi="Verdana" w:cs="Arial"/>
                <w:szCs w:val="20"/>
                <w:lang w:val="es-ES"/>
              </w:rPr>
            </w:pPr>
            <w:r w:rsidRPr="00513756">
              <w:rPr>
                <w:rFonts w:ascii="Verdana" w:hAnsi="Verdana" w:cs="Arial"/>
                <w:szCs w:val="20"/>
                <w:lang w:val="es-ES"/>
              </w:rPr>
              <w:t>Menor Valor</w:t>
            </w:r>
          </w:p>
        </w:tc>
      </w:tr>
    </w:tbl>
    <w:p w14:paraId="49B623BC" w14:textId="77777777" w:rsidR="00DE6472" w:rsidRPr="00DE6472" w:rsidRDefault="00DE6472" w:rsidP="00DE6472">
      <w:pPr>
        <w:pStyle w:val="Prrafodelista"/>
        <w:tabs>
          <w:tab w:val="left" w:pos="1860"/>
        </w:tabs>
        <w:spacing w:after="200" w:line="276" w:lineRule="auto"/>
        <w:jc w:val="both"/>
        <w:rPr>
          <w:rFonts w:ascii="Verdana" w:hAnsi="Verdana" w:cs="Arial"/>
          <w:szCs w:val="20"/>
        </w:rPr>
      </w:pPr>
    </w:p>
    <w:p w14:paraId="6B85CED1" w14:textId="77777777" w:rsidR="00DE6472" w:rsidRPr="00DE6472" w:rsidRDefault="00DE6472" w:rsidP="00DE6472">
      <w:pPr>
        <w:pStyle w:val="Prrafodelista"/>
        <w:tabs>
          <w:tab w:val="left" w:pos="1860"/>
        </w:tabs>
        <w:spacing w:after="200" w:line="276" w:lineRule="auto"/>
        <w:jc w:val="both"/>
        <w:rPr>
          <w:rFonts w:ascii="Verdana" w:hAnsi="Verdana" w:cs="Arial"/>
          <w:szCs w:val="20"/>
        </w:rPr>
      </w:pPr>
      <w:r w:rsidRPr="00DE6472">
        <w:rPr>
          <w:rFonts w:ascii="Verdana" w:hAnsi="Verdana" w:cs="Arial"/>
          <w:szCs w:val="20"/>
        </w:rPr>
        <w:t>Para</w:t>
      </w:r>
      <w:r w:rsidRPr="00DE6472">
        <w:rPr>
          <w:rFonts w:ascii="Verdana" w:eastAsia="Arial,Calibri" w:hAnsi="Verdana" w:cs="Arial"/>
          <w:szCs w:val="20"/>
        </w:rPr>
        <w:t xml:space="preserve"> </w:t>
      </w:r>
      <w:r w:rsidRPr="00DE6472">
        <w:rPr>
          <w:rFonts w:ascii="Verdana" w:hAnsi="Verdana" w:cs="Arial"/>
          <w:szCs w:val="20"/>
        </w:rPr>
        <w:t>determinar</w:t>
      </w:r>
      <w:r w:rsidRPr="00DE6472">
        <w:rPr>
          <w:rFonts w:ascii="Verdana" w:eastAsia="Arial,Calibri" w:hAnsi="Verdana" w:cs="Arial"/>
          <w:szCs w:val="20"/>
        </w:rPr>
        <w:t xml:space="preserve"> </w:t>
      </w:r>
      <w:r w:rsidRPr="00DE6472">
        <w:rPr>
          <w:rFonts w:ascii="Verdana" w:hAnsi="Verdana" w:cs="Arial"/>
          <w:szCs w:val="20"/>
        </w:rPr>
        <w:t>el</w:t>
      </w:r>
      <w:r w:rsidRPr="00DE6472">
        <w:rPr>
          <w:rFonts w:ascii="Verdana" w:eastAsia="Arial,Calibri" w:hAnsi="Verdana" w:cs="Arial"/>
          <w:szCs w:val="20"/>
        </w:rPr>
        <w:t xml:space="preserve"> </w:t>
      </w:r>
      <w:r w:rsidRPr="00DE6472">
        <w:rPr>
          <w:rFonts w:ascii="Verdana" w:hAnsi="Verdana" w:cs="Arial"/>
          <w:szCs w:val="20"/>
        </w:rPr>
        <w:t>método</w:t>
      </w:r>
      <w:r w:rsidRPr="00DE6472">
        <w:rPr>
          <w:rFonts w:ascii="Verdana" w:eastAsia="Arial,Calibri" w:hAnsi="Verdana" w:cs="Arial"/>
          <w:szCs w:val="20"/>
        </w:rPr>
        <w:t xml:space="preserve"> </w:t>
      </w:r>
      <w:r w:rsidRPr="00DE6472">
        <w:rPr>
          <w:rFonts w:ascii="Verdana" w:hAnsi="Verdana" w:cs="Arial"/>
          <w:szCs w:val="20"/>
        </w:rPr>
        <w:t>de</w:t>
      </w:r>
      <w:r w:rsidRPr="00DE6472">
        <w:rPr>
          <w:rFonts w:ascii="Verdana" w:eastAsia="Arial,Calibri" w:hAnsi="Verdana" w:cs="Arial"/>
          <w:szCs w:val="20"/>
        </w:rPr>
        <w:t xml:space="preserve"> </w:t>
      </w:r>
      <w:r w:rsidRPr="00DE6472">
        <w:rPr>
          <w:rFonts w:ascii="Verdana" w:hAnsi="Verdana" w:cs="Arial"/>
          <w:szCs w:val="20"/>
        </w:rPr>
        <w:t>ponderación,</w:t>
      </w:r>
      <w:r w:rsidRPr="00DE6472">
        <w:rPr>
          <w:rFonts w:ascii="Verdana" w:eastAsia="Arial,Calibri" w:hAnsi="Verdana" w:cs="Arial"/>
          <w:szCs w:val="20"/>
        </w:rPr>
        <w:t xml:space="preserve"> </w:t>
      </w:r>
      <w:r w:rsidRPr="00DE6472">
        <w:rPr>
          <w:rFonts w:ascii="Verdana" w:hAnsi="Verdana" w:cs="Arial"/>
          <w:szCs w:val="20"/>
        </w:rPr>
        <w:t>la</w:t>
      </w:r>
      <w:r w:rsidRPr="00DE6472">
        <w:rPr>
          <w:rFonts w:ascii="Verdana" w:eastAsia="Arial,Calibri" w:hAnsi="Verdana" w:cs="Arial"/>
          <w:szCs w:val="20"/>
        </w:rPr>
        <w:t xml:space="preserve"> </w:t>
      </w:r>
      <w:r w:rsidRPr="00DE6472">
        <w:rPr>
          <w:rFonts w:ascii="Verdana" w:hAnsi="Verdana" w:cs="Arial"/>
          <w:szCs w:val="20"/>
        </w:rPr>
        <w:t>entidad</w:t>
      </w:r>
      <w:r w:rsidRPr="00DE6472">
        <w:rPr>
          <w:rFonts w:ascii="Verdana" w:eastAsia="Arial,Calibri" w:hAnsi="Verdana" w:cs="Arial"/>
          <w:szCs w:val="20"/>
        </w:rPr>
        <w:t xml:space="preserve"> </w:t>
      </w:r>
      <w:r w:rsidRPr="00DE6472">
        <w:rPr>
          <w:rFonts w:ascii="Verdana" w:hAnsi="Verdana" w:cs="Arial"/>
          <w:szCs w:val="20"/>
        </w:rPr>
        <w:t>tomará</w:t>
      </w:r>
      <w:r w:rsidRPr="00DE6472">
        <w:rPr>
          <w:rFonts w:ascii="Verdana" w:eastAsia="Arial,Calibri" w:hAnsi="Verdana" w:cs="Arial"/>
          <w:szCs w:val="20"/>
        </w:rPr>
        <w:t xml:space="preserve"> </w:t>
      </w:r>
      <w:r w:rsidRPr="00DE6472">
        <w:rPr>
          <w:rFonts w:ascii="Verdana" w:hAnsi="Verdana" w:cs="Arial"/>
          <w:szCs w:val="20"/>
        </w:rPr>
        <w:t>los centavos</w:t>
      </w:r>
      <w:r w:rsidRPr="00DE6472">
        <w:rPr>
          <w:rFonts w:ascii="Verdana" w:eastAsia="Arial,Calibri" w:hAnsi="Verdana" w:cs="Arial"/>
          <w:szCs w:val="20"/>
        </w:rPr>
        <w:t xml:space="preserve"> </w:t>
      </w:r>
      <w:r w:rsidRPr="00DE6472">
        <w:rPr>
          <w:rFonts w:ascii="Verdana" w:hAnsi="Verdana" w:cs="Arial"/>
          <w:szCs w:val="20"/>
        </w:rPr>
        <w:t>de</w:t>
      </w:r>
      <w:r w:rsidRPr="00DE6472">
        <w:rPr>
          <w:rFonts w:ascii="Verdana" w:eastAsia="Arial,Calibri" w:hAnsi="Verdana" w:cs="Arial"/>
          <w:szCs w:val="20"/>
        </w:rPr>
        <w:t xml:space="preserve"> </w:t>
      </w:r>
      <w:r w:rsidRPr="00DE6472">
        <w:rPr>
          <w:rFonts w:ascii="Verdana" w:hAnsi="Verdana" w:cs="Arial"/>
          <w:szCs w:val="20"/>
        </w:rPr>
        <w:t>la</w:t>
      </w:r>
      <w:r w:rsidRPr="00DE6472">
        <w:rPr>
          <w:rFonts w:ascii="Verdana" w:eastAsia="Arial,Calibri" w:hAnsi="Verdana" w:cs="Arial"/>
          <w:szCs w:val="20"/>
        </w:rPr>
        <w:t xml:space="preserve"> </w:t>
      </w:r>
      <w:r w:rsidRPr="00DE6472">
        <w:rPr>
          <w:rFonts w:ascii="Verdana" w:hAnsi="Verdana" w:cs="Arial"/>
          <w:szCs w:val="20"/>
        </w:rPr>
        <w:t>Tasa</w:t>
      </w:r>
      <w:r w:rsidRPr="00DE6472">
        <w:rPr>
          <w:rFonts w:ascii="Verdana" w:eastAsia="Arial,Calibri" w:hAnsi="Verdana" w:cs="Arial"/>
          <w:szCs w:val="20"/>
        </w:rPr>
        <w:t xml:space="preserve"> </w:t>
      </w:r>
      <w:r w:rsidRPr="00DE6472">
        <w:rPr>
          <w:rFonts w:ascii="Verdana" w:hAnsi="Verdana" w:cs="Arial"/>
          <w:szCs w:val="20"/>
        </w:rPr>
        <w:t>de</w:t>
      </w:r>
      <w:r w:rsidRPr="00DE6472">
        <w:rPr>
          <w:rFonts w:ascii="Verdana" w:eastAsia="Arial,Calibri" w:hAnsi="Verdana" w:cs="Arial"/>
          <w:szCs w:val="20"/>
        </w:rPr>
        <w:t xml:space="preserve"> </w:t>
      </w:r>
      <w:r w:rsidRPr="00DE6472">
        <w:rPr>
          <w:rFonts w:ascii="Verdana" w:hAnsi="Verdana" w:cs="Arial"/>
          <w:szCs w:val="20"/>
        </w:rPr>
        <w:t>Cambio</w:t>
      </w:r>
      <w:r w:rsidRPr="00DE6472">
        <w:rPr>
          <w:rFonts w:ascii="Verdana" w:eastAsia="Arial,Calibri" w:hAnsi="Verdana" w:cs="Arial"/>
          <w:szCs w:val="20"/>
        </w:rPr>
        <w:t xml:space="preserve"> </w:t>
      </w:r>
      <w:r w:rsidRPr="00DE6472">
        <w:rPr>
          <w:rFonts w:ascii="Verdana" w:hAnsi="Verdana" w:cs="Arial"/>
          <w:szCs w:val="20"/>
        </w:rPr>
        <w:t>Representativa</w:t>
      </w:r>
      <w:r w:rsidRPr="00DE6472">
        <w:rPr>
          <w:rFonts w:ascii="Verdana" w:eastAsia="Arial,Calibri" w:hAnsi="Verdana" w:cs="Arial"/>
          <w:szCs w:val="20"/>
        </w:rPr>
        <w:t xml:space="preserve"> </w:t>
      </w:r>
      <w:r w:rsidRPr="00DE6472">
        <w:rPr>
          <w:rFonts w:ascii="Verdana" w:hAnsi="Verdana" w:cs="Arial"/>
          <w:szCs w:val="20"/>
        </w:rPr>
        <w:t>del</w:t>
      </w:r>
      <w:r w:rsidRPr="00DE6472">
        <w:rPr>
          <w:rFonts w:ascii="Verdana" w:eastAsia="Arial,Calibri" w:hAnsi="Verdana" w:cs="Arial"/>
          <w:szCs w:val="20"/>
        </w:rPr>
        <w:t xml:space="preserve"> </w:t>
      </w:r>
      <w:r w:rsidRPr="00DE6472">
        <w:rPr>
          <w:rFonts w:ascii="Verdana" w:hAnsi="Verdana" w:cs="Arial"/>
          <w:szCs w:val="20"/>
        </w:rPr>
        <w:t>Mercado</w:t>
      </w:r>
      <w:r w:rsidRPr="00DE6472">
        <w:rPr>
          <w:rFonts w:ascii="Verdana" w:eastAsia="Arial,Calibri" w:hAnsi="Verdana" w:cs="Arial"/>
          <w:szCs w:val="20"/>
        </w:rPr>
        <w:t xml:space="preserve"> (</w:t>
      </w:r>
      <w:r w:rsidRPr="00DE6472">
        <w:rPr>
          <w:rFonts w:ascii="Verdana" w:hAnsi="Verdana" w:cs="Arial"/>
          <w:szCs w:val="20"/>
        </w:rPr>
        <w:t>TRM), certificada</w:t>
      </w:r>
      <w:r w:rsidRPr="00DE6472">
        <w:rPr>
          <w:rFonts w:ascii="Verdana" w:eastAsia="Arial,Calibri" w:hAnsi="Verdana" w:cs="Arial"/>
          <w:szCs w:val="20"/>
        </w:rPr>
        <w:t xml:space="preserve"> </w:t>
      </w:r>
      <w:r w:rsidRPr="00DE6472">
        <w:rPr>
          <w:rFonts w:ascii="Verdana" w:hAnsi="Verdana" w:cs="Arial"/>
          <w:szCs w:val="20"/>
        </w:rPr>
        <w:t>por</w:t>
      </w:r>
      <w:r w:rsidRPr="00DE6472">
        <w:rPr>
          <w:rFonts w:ascii="Verdana" w:eastAsia="Arial,Calibri" w:hAnsi="Verdana" w:cs="Arial"/>
          <w:szCs w:val="20"/>
        </w:rPr>
        <w:t xml:space="preserve"> </w:t>
      </w:r>
      <w:r w:rsidRPr="00DE6472">
        <w:rPr>
          <w:rFonts w:ascii="Verdana" w:hAnsi="Verdana" w:cs="Arial"/>
          <w:szCs w:val="20"/>
        </w:rPr>
        <w:t>la Superintendencia Financiera de Colombia (en</w:t>
      </w:r>
      <w:r w:rsidRPr="00DE6472">
        <w:rPr>
          <w:rFonts w:ascii="Verdana" w:eastAsia="Arial,Calibri" w:hAnsi="Verdana" w:cs="Arial"/>
          <w:szCs w:val="20"/>
        </w:rPr>
        <w:t xml:space="preserve"> </w:t>
      </w:r>
      <w:r w:rsidRPr="00DE6472">
        <w:rPr>
          <w:rFonts w:ascii="Verdana" w:hAnsi="Verdana" w:cs="Arial"/>
          <w:szCs w:val="20"/>
        </w:rPr>
        <w:t>su</w:t>
      </w:r>
      <w:r w:rsidRPr="00DE6472">
        <w:rPr>
          <w:rFonts w:ascii="Verdana" w:eastAsia="Arial,Calibri" w:hAnsi="Verdana" w:cs="Arial"/>
          <w:szCs w:val="20"/>
        </w:rPr>
        <w:t xml:space="preserve"> </w:t>
      </w:r>
      <w:r w:rsidRPr="00DE6472">
        <w:rPr>
          <w:rFonts w:ascii="Verdana" w:hAnsi="Verdana" w:cs="Arial"/>
          <w:szCs w:val="20"/>
        </w:rPr>
        <w:t>sitio web: https://www.superfinanciera.gov.co/publicacion/60819).</w:t>
      </w:r>
    </w:p>
    <w:p w14:paraId="53ABCD3D" w14:textId="77777777" w:rsidR="00DE6472" w:rsidRDefault="00DE6472" w:rsidP="00DE6472">
      <w:pPr>
        <w:pStyle w:val="Prrafodelista"/>
        <w:tabs>
          <w:tab w:val="left" w:pos="1860"/>
        </w:tabs>
        <w:spacing w:after="200" w:line="276" w:lineRule="auto"/>
        <w:jc w:val="both"/>
        <w:rPr>
          <w:rFonts w:ascii="Verdana" w:hAnsi="Verdana" w:cs="Arial"/>
          <w:szCs w:val="20"/>
        </w:rPr>
      </w:pPr>
    </w:p>
    <w:p w14:paraId="075C1ADF" w14:textId="59F629BB" w:rsidR="00DE6472" w:rsidRPr="00DE6472" w:rsidRDefault="00DE6472" w:rsidP="00DE6472">
      <w:pPr>
        <w:pStyle w:val="Prrafodelista"/>
        <w:tabs>
          <w:tab w:val="left" w:pos="1860"/>
        </w:tabs>
        <w:spacing w:after="200" w:line="276" w:lineRule="auto"/>
        <w:jc w:val="both"/>
        <w:rPr>
          <w:rFonts w:ascii="Verdana" w:hAnsi="Verdana" w:cs="Arial"/>
          <w:szCs w:val="20"/>
        </w:rPr>
      </w:pPr>
      <w:r w:rsidRPr="00DE6472">
        <w:rPr>
          <w:rFonts w:ascii="Verdana" w:hAnsi="Verdana" w:cs="Arial"/>
          <w:szCs w:val="20"/>
        </w:rPr>
        <w:t xml:space="preserve">La TRM que la entidad utilizará para determinar el método de ponderación será la que </w:t>
      </w:r>
      <w:r w:rsidRPr="00DE6472">
        <w:rPr>
          <w:rFonts w:ascii="Verdana" w:hAnsi="Verdana" w:cs="Arial"/>
          <w:b/>
          <w:bCs/>
          <w:i/>
          <w:szCs w:val="20"/>
        </w:rPr>
        <w:t xml:space="preserve">rija el segundo día hábil </w:t>
      </w:r>
      <w:r w:rsidRPr="00DE6472">
        <w:rPr>
          <w:rFonts w:ascii="Verdana" w:hAnsi="Verdana" w:cs="Arial"/>
          <w:b/>
          <w:bCs/>
          <w:i/>
          <w:color w:val="000000" w:themeColor="text1"/>
          <w:szCs w:val="20"/>
        </w:rPr>
        <w:t>después de finalizado el periodo de traslado del informe de evaluación</w:t>
      </w:r>
      <w:r w:rsidRPr="00DE6472">
        <w:rPr>
          <w:rFonts w:ascii="Verdana" w:hAnsi="Verdana" w:cs="Arial"/>
          <w:szCs w:val="20"/>
        </w:rPr>
        <w:t xml:space="preserve">. Esto es, la que la Superintendencia publique en horas de la tarde del día hábil siguiente a la fecha </w:t>
      </w:r>
      <w:r w:rsidRPr="00DE6472">
        <w:rPr>
          <w:rFonts w:ascii="Verdana" w:hAnsi="Verdana" w:cs="Arial"/>
          <w:color w:val="000000" w:themeColor="text1"/>
          <w:szCs w:val="20"/>
        </w:rPr>
        <w:t xml:space="preserve">efectiva de </w:t>
      </w:r>
      <w:r w:rsidRPr="00DE6472">
        <w:rPr>
          <w:rFonts w:ascii="Verdana" w:hAnsi="Verdana" w:cs="Arial"/>
          <w:i/>
          <w:color w:val="000000" w:themeColor="text1"/>
          <w:szCs w:val="20"/>
        </w:rPr>
        <w:t>finalizado el periodo de traslado del informe de evaluación</w:t>
      </w:r>
      <w:r w:rsidRPr="00DE6472">
        <w:rPr>
          <w:rFonts w:ascii="Verdana" w:hAnsi="Verdana" w:cs="Arial"/>
          <w:szCs w:val="20"/>
        </w:rPr>
        <w:t xml:space="preserve">. </w:t>
      </w:r>
      <w:r w:rsidRPr="00DE6472">
        <w:rPr>
          <w:rFonts w:ascii="Verdana" w:hAnsi="Verdana" w:cs="Arial"/>
          <w:szCs w:val="20"/>
          <w:highlight w:val="lightGray"/>
        </w:rPr>
        <w:t xml:space="preserve">[Por ejemplo, si el </w:t>
      </w:r>
      <w:r w:rsidRPr="00DE6472">
        <w:rPr>
          <w:rFonts w:ascii="Verdana" w:hAnsi="Verdana" w:cs="Arial"/>
          <w:color w:val="000000" w:themeColor="text1"/>
          <w:szCs w:val="20"/>
          <w:highlight w:val="lightGray"/>
        </w:rPr>
        <w:t xml:space="preserve">término de traslado del informe de evaluación finaliza </w:t>
      </w:r>
      <w:r w:rsidRPr="00DE6472">
        <w:rPr>
          <w:rFonts w:ascii="Verdana" w:hAnsi="Verdana" w:cs="Arial"/>
          <w:szCs w:val="20"/>
          <w:highlight w:val="lightGray"/>
        </w:rPr>
        <w:t>el 10 de febrero, la TRM que se usará para determinar el método de evaluación será la del 12 de febrero, que se publica en la tarde del 11 de febrero]</w:t>
      </w:r>
      <w:r w:rsidRPr="00DE6472">
        <w:rPr>
          <w:rFonts w:ascii="Verdana" w:hAnsi="Verdana" w:cs="Arial"/>
          <w:szCs w:val="20"/>
        </w:rPr>
        <w:t xml:space="preserve"> </w:t>
      </w:r>
    </w:p>
    <w:p w14:paraId="41043871" w14:textId="77777777" w:rsidR="00DE6472" w:rsidRDefault="00DE6472" w:rsidP="00DE6472">
      <w:pPr>
        <w:pStyle w:val="Prrafodelista"/>
        <w:tabs>
          <w:tab w:val="left" w:pos="1860"/>
        </w:tabs>
        <w:spacing w:after="200" w:line="276" w:lineRule="auto"/>
        <w:jc w:val="both"/>
        <w:rPr>
          <w:rFonts w:ascii="Verdana" w:hAnsi="Verdana" w:cs="Arial"/>
          <w:color w:val="000000" w:themeColor="text1"/>
          <w:szCs w:val="20"/>
          <w:highlight w:val="lightGray"/>
        </w:rPr>
      </w:pPr>
    </w:p>
    <w:p w14:paraId="737F82B3" w14:textId="23F31F4B" w:rsidR="00DE6472" w:rsidRPr="00DE6472" w:rsidRDefault="00DE6472" w:rsidP="00DE6472">
      <w:pPr>
        <w:pStyle w:val="Prrafodelista"/>
        <w:tabs>
          <w:tab w:val="left" w:pos="1860"/>
        </w:tabs>
        <w:spacing w:after="200" w:line="276" w:lineRule="auto"/>
        <w:jc w:val="both"/>
        <w:rPr>
          <w:rFonts w:ascii="Verdana" w:hAnsi="Verdana" w:cs="Arial"/>
          <w:color w:val="000000" w:themeColor="text1"/>
          <w:szCs w:val="20"/>
          <w:highlight w:val="lightGray"/>
        </w:rPr>
      </w:pPr>
      <w:r w:rsidRPr="00DE6472">
        <w:rPr>
          <w:rFonts w:ascii="Verdana" w:hAnsi="Verdana" w:cs="Arial"/>
          <w:color w:val="000000" w:themeColor="text1"/>
          <w:szCs w:val="20"/>
          <w:highlight w:val="lightGray"/>
        </w:rPr>
        <w:t>[Al momento de definir o modificar el cronograma del proceso la entidad deberá verificar que el segundo día hábil siguiente a la finalización del periodo de traslado del informe de evaluación, no corresponda a un día festivo en Estados Unidos, con el objetivo de no afectar el proceso de definición del método de ponderación de las propuestas.]”</w:t>
      </w:r>
    </w:p>
    <w:p w14:paraId="5CB2C162" w14:textId="77777777" w:rsidR="00DE6472" w:rsidRPr="003A6E04" w:rsidRDefault="00DE6472" w:rsidP="00DE6472">
      <w:pPr>
        <w:snapToGrid w:val="0"/>
        <w:spacing w:after="0" w:line="276" w:lineRule="auto"/>
        <w:ind w:left="720"/>
        <w:jc w:val="both"/>
        <w:rPr>
          <w:rFonts w:ascii="Verdana" w:eastAsia="Calibri" w:hAnsi="Verdana" w:cs="Arial"/>
          <w:lang w:val="es-ES_tradnl"/>
        </w:rPr>
      </w:pPr>
    </w:p>
    <w:p w14:paraId="5EC1B201" w14:textId="77777777" w:rsidR="003A6E04" w:rsidRPr="003A6E04" w:rsidRDefault="003A6E04" w:rsidP="003A6E04">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3A6E04">
        <w:rPr>
          <w:rFonts w:ascii="Verdana" w:eastAsia="Century Gothic" w:hAnsi="Verdana" w:cs="Century Gothic"/>
          <w:b/>
          <w:bCs/>
          <w:lang w:val="es-ES_tradnl"/>
        </w:rPr>
        <w:t>Referencias normativas, jurisprudenciales y otras fuentes:</w:t>
      </w:r>
    </w:p>
    <w:p w14:paraId="47D6C194" w14:textId="77777777" w:rsidR="003A6E04" w:rsidRPr="003A6E04" w:rsidRDefault="003A6E04" w:rsidP="003A6E04">
      <w:pPr>
        <w:widowControl w:val="0"/>
        <w:autoSpaceDE w:val="0"/>
        <w:autoSpaceDN w:val="0"/>
        <w:snapToGrid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A6E04" w:rsidRPr="003A6E04" w14:paraId="3034EDE1" w14:textId="77777777" w:rsidTr="00400127">
        <w:trPr>
          <w:trHeight w:val="870"/>
        </w:trPr>
        <w:tc>
          <w:tcPr>
            <w:tcW w:w="8647" w:type="dxa"/>
          </w:tcPr>
          <w:p w14:paraId="14CD3637" w14:textId="77777777" w:rsidR="003A6E04" w:rsidRPr="003A6E04" w:rsidRDefault="003A6E04" w:rsidP="003A6E04">
            <w:pPr>
              <w:widowControl w:val="0"/>
              <w:numPr>
                <w:ilvl w:val="0"/>
                <w:numId w:val="18"/>
              </w:numPr>
              <w:autoSpaceDE w:val="0"/>
              <w:autoSpaceDN w:val="0"/>
              <w:snapToGrid w:val="0"/>
              <w:spacing w:after="120" w:line="276" w:lineRule="auto"/>
              <w:ind w:left="714" w:hanging="357"/>
              <w:jc w:val="both"/>
              <w:rPr>
                <w:rFonts w:ascii="Verdana" w:eastAsia="Calibri" w:hAnsi="Verdana" w:cs="Arial"/>
                <w:lang w:val="es-ES_tradnl"/>
              </w:rPr>
            </w:pPr>
            <w:r w:rsidRPr="003A6E04">
              <w:rPr>
                <w:rFonts w:ascii="Verdana" w:eastAsia="Calibri" w:hAnsi="Verdana" w:cs="Arial"/>
                <w:lang w:val="es-ES_tradnl"/>
              </w:rPr>
              <w:t xml:space="preserve">Ley 2022 de 2020, artículo 1. </w:t>
            </w:r>
          </w:p>
          <w:p w14:paraId="1FA5A197" w14:textId="77777777" w:rsidR="003A6E04" w:rsidRPr="003A6E04" w:rsidRDefault="003A6E04" w:rsidP="003A6E04">
            <w:pPr>
              <w:widowControl w:val="0"/>
              <w:numPr>
                <w:ilvl w:val="0"/>
                <w:numId w:val="18"/>
              </w:numPr>
              <w:autoSpaceDE w:val="0"/>
              <w:autoSpaceDN w:val="0"/>
              <w:snapToGrid w:val="0"/>
              <w:spacing w:line="276" w:lineRule="auto"/>
              <w:ind w:left="714" w:hanging="357"/>
              <w:jc w:val="both"/>
              <w:rPr>
                <w:rFonts w:ascii="Verdana" w:eastAsia="Calibri" w:hAnsi="Verdana" w:cs="Arial"/>
                <w:lang w:val="es-ES_tradnl"/>
              </w:rPr>
            </w:pPr>
            <w:r w:rsidRPr="003A6E04">
              <w:rPr>
                <w:rFonts w:ascii="Verdana" w:eastAsia="Calibri" w:hAnsi="Verdana" w:cs="Arial"/>
                <w:lang w:val="es-ES_tradnl"/>
              </w:rPr>
              <w:t xml:space="preserve">Documentos Tipo de infraestructura de transporte. Disponibles en: </w:t>
            </w:r>
            <w:hyperlink r:id="rId12" w:history="1">
              <w:r w:rsidRPr="003A6E04">
                <w:rPr>
                  <w:rFonts w:ascii="Verdana" w:eastAsia="Calibri" w:hAnsi="Verdana" w:cs="Arial"/>
                  <w:color w:val="0000FF"/>
                  <w:u w:val="single"/>
                  <w:lang w:val="es-ES_tradnl"/>
                </w:rPr>
                <w:t>https://www.colombiacompra.gov.co/content/documentos-tipo-de-infraestructura-de-transporte</w:t>
              </w:r>
            </w:hyperlink>
            <w:r w:rsidRPr="003A6E04">
              <w:rPr>
                <w:rFonts w:ascii="Verdana" w:eastAsia="Calibri" w:hAnsi="Verdana" w:cs="Arial"/>
                <w:lang w:val="es-ES_tradnl"/>
              </w:rPr>
              <w:t xml:space="preserve">. </w:t>
            </w:r>
          </w:p>
        </w:tc>
      </w:tr>
    </w:tbl>
    <w:p w14:paraId="7996AA46" w14:textId="77777777" w:rsidR="003A6E04" w:rsidRPr="003A6E04" w:rsidRDefault="003A6E04" w:rsidP="003A6E04">
      <w:pPr>
        <w:widowControl w:val="0"/>
        <w:autoSpaceDE w:val="0"/>
        <w:autoSpaceDN w:val="0"/>
        <w:snapToGrid w:val="0"/>
        <w:spacing w:after="0" w:line="276" w:lineRule="auto"/>
        <w:jc w:val="both"/>
        <w:rPr>
          <w:rFonts w:ascii="Verdana" w:eastAsia="Calibri" w:hAnsi="Verdana" w:cs="Arial"/>
          <w:lang w:val="es-ES_tradnl"/>
        </w:rPr>
      </w:pPr>
    </w:p>
    <w:p w14:paraId="240F41F5" w14:textId="77777777" w:rsidR="003A6E04" w:rsidRPr="003A6E04" w:rsidRDefault="003A6E04" w:rsidP="003A6E04">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3A6E04">
        <w:rPr>
          <w:rFonts w:ascii="Verdana" w:eastAsia="Century Gothic" w:hAnsi="Verdana" w:cs="Century Gothic"/>
          <w:b/>
          <w:bCs/>
          <w:lang w:val="es-ES_tradnl"/>
        </w:rPr>
        <w:t>Doctrina de la Agencia Nacional de Contratación Pública:</w:t>
      </w:r>
    </w:p>
    <w:p w14:paraId="786217A9" w14:textId="77777777" w:rsidR="003A6E04" w:rsidRPr="003A6E04" w:rsidRDefault="003A6E04" w:rsidP="003A6E04">
      <w:pPr>
        <w:widowControl w:val="0"/>
        <w:autoSpaceDE w:val="0"/>
        <w:autoSpaceDN w:val="0"/>
        <w:snapToGrid w:val="0"/>
        <w:spacing w:after="0" w:line="276" w:lineRule="auto"/>
        <w:jc w:val="both"/>
        <w:rPr>
          <w:rFonts w:ascii="Verdana" w:eastAsia="Calibri" w:hAnsi="Verdana" w:cs="Arial"/>
          <w:lang w:val="es-ES_tradnl"/>
        </w:rPr>
      </w:pPr>
    </w:p>
    <w:p w14:paraId="6632AF6B" w14:textId="77777777" w:rsidR="003A6E04" w:rsidRPr="003A6E04" w:rsidRDefault="003A6E04" w:rsidP="003A6E04">
      <w:pPr>
        <w:widowControl w:val="0"/>
        <w:autoSpaceDE w:val="0"/>
        <w:autoSpaceDN w:val="0"/>
        <w:snapToGrid w:val="0"/>
        <w:spacing w:after="0" w:line="276" w:lineRule="auto"/>
        <w:jc w:val="both"/>
        <w:rPr>
          <w:rFonts w:ascii="Verdana" w:eastAsia="Calibri" w:hAnsi="Verdana" w:cs="Arial"/>
          <w:kern w:val="2"/>
          <w:shd w:val="clear" w:color="auto" w:fill="FFFFFF"/>
          <w:lang w:val="es-ES"/>
          <w14:ligatures w14:val="standardContextual"/>
        </w:rPr>
      </w:pPr>
      <w:r w:rsidRPr="003A6E04">
        <w:rPr>
          <w:rFonts w:ascii="Verdana" w:eastAsia="Calibri" w:hAnsi="Verdana" w:cs="Arial"/>
          <w:kern w:val="2"/>
          <w:shd w:val="clear" w:color="auto" w:fill="FFFFFF"/>
          <w:lang w:val="es-ES"/>
          <w14:ligatures w14:val="standardContextual"/>
        </w:rPr>
        <w:t>La Agencia Nacional de Contratación Pública − Colombia Compra Eficiente</w:t>
      </w:r>
      <w:r w:rsidRPr="003A6E04">
        <w:rPr>
          <w:rFonts w:ascii="Verdana" w:eastAsia="Aptos" w:hAnsi="Verdana" w:cs="Times New Roman"/>
          <w:kern w:val="2"/>
          <w:lang w:val="es-ES_tradnl"/>
          <w14:ligatures w14:val="standardContextual"/>
        </w:rPr>
        <w:t xml:space="preserve"> se pronunció sobre el </w:t>
      </w:r>
      <w:r w:rsidRPr="003A6E04">
        <w:rPr>
          <w:rFonts w:ascii="Verdana" w:eastAsia="Calibri" w:hAnsi="Verdana" w:cs="Arial"/>
          <w:kern w:val="2"/>
          <w:shd w:val="clear" w:color="auto" w:fill="FFFFFF"/>
          <w:lang w:val="es-ES_tradnl"/>
          <w14:ligatures w14:val="standardContextual"/>
        </w:rPr>
        <w:t>fundamento normativo de los documentos tipo en la contratación estatal</w:t>
      </w:r>
      <w:r w:rsidRPr="003A6E04">
        <w:rPr>
          <w:rFonts w:ascii="Verdana" w:eastAsia="Calibri" w:hAnsi="Verdana" w:cs="Arial"/>
          <w:kern w:val="2"/>
          <w:shd w:val="clear" w:color="auto" w:fill="FFFFFF"/>
          <w:lang w:val="es-ES"/>
          <w14:ligatures w14:val="standardContextual"/>
        </w:rPr>
        <w:t xml:space="preserve">, en los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w:t>
      </w:r>
      <w:r w:rsidRPr="003A6E04">
        <w:rPr>
          <w:rFonts w:ascii="Verdana" w:eastAsia="Calibri" w:hAnsi="Verdana" w:cs="Arial"/>
          <w:kern w:val="2"/>
          <w:shd w:val="clear" w:color="auto" w:fill="FFFFFF"/>
          <w:lang w:val="es-ES"/>
          <w14:ligatures w14:val="standardContextual"/>
        </w:rPr>
        <w:lastRenderedPageBreak/>
        <w:t xml:space="preserve">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418093FB" w14:textId="77777777" w:rsidR="003A6E04" w:rsidRPr="003A6E04" w:rsidRDefault="003A6E04" w:rsidP="003A6E04">
      <w:pPr>
        <w:widowControl w:val="0"/>
        <w:autoSpaceDE w:val="0"/>
        <w:autoSpaceDN w:val="0"/>
        <w:spacing w:after="0" w:line="276" w:lineRule="auto"/>
        <w:jc w:val="both"/>
        <w:rPr>
          <w:rFonts w:ascii="Verdana" w:eastAsia="Calibri" w:hAnsi="Verdana" w:cs="Arial"/>
          <w:shd w:val="clear" w:color="auto" w:fill="FFFFFF"/>
          <w:lang w:val="es-ES_tradnl"/>
        </w:rPr>
      </w:pPr>
    </w:p>
    <w:p w14:paraId="7CB9E48A" w14:textId="77777777" w:rsidR="003A6E04" w:rsidRPr="003A6E04" w:rsidRDefault="003A6E04" w:rsidP="003A6E04">
      <w:pPr>
        <w:widowControl w:val="0"/>
        <w:autoSpaceDE w:val="0"/>
        <w:autoSpaceDN w:val="0"/>
        <w:spacing w:after="0" w:line="276" w:lineRule="auto"/>
        <w:jc w:val="both"/>
        <w:rPr>
          <w:rFonts w:ascii="Verdana" w:eastAsia="Calibri" w:hAnsi="Verdana" w:cs="Arial"/>
          <w:shd w:val="clear" w:color="auto" w:fill="FFFFFF"/>
          <w:lang w:val="es-ES_tradnl"/>
        </w:rPr>
      </w:pPr>
      <w:r w:rsidRPr="003A6E04">
        <w:rPr>
          <w:rFonts w:ascii="Verdana" w:eastAsia="Calibri" w:hAnsi="Verdana" w:cs="Arial"/>
          <w:shd w:val="clear" w:color="auto" w:fill="FFFFFF"/>
          <w:lang w:val="es-ES_tradnl"/>
        </w:rPr>
        <w:t>De otra parte, te contamos que ya publicamos el borrador de la nueva Guía de Contratación Pública Sostenible y Socialmente Responsable. Conoce el documento y realiza tus comentarios hasta el 14 de noviembre de 2024 a través del siguiente enlace: </w:t>
      </w:r>
      <w:hyperlink r:id="rId13" w:tooltip="Original URL:&#10;https://www.sucop.gov.co/entidades/colombiacompra/Normativa?IDNorma=18320&#10;&#10;Click to follow link." w:history="1">
        <w:r w:rsidRPr="003A6E04">
          <w:rPr>
            <w:rFonts w:ascii="Verdana" w:eastAsia="Calibri" w:hAnsi="Verdana" w:cs="Arial"/>
            <w:color w:val="0000FF"/>
            <w:u w:val="single"/>
            <w:shd w:val="clear" w:color="auto" w:fill="FFFFFF"/>
            <w:lang w:val="es-ES_tradnl"/>
          </w:rPr>
          <w:t>https://www.sucop.gov.co/entidades/colombiacompra/Normativa?IDNorma=18320</w:t>
        </w:r>
      </w:hyperlink>
      <w:r w:rsidRPr="003A6E04">
        <w:rPr>
          <w:rFonts w:ascii="Verdana" w:eastAsia="Calibri" w:hAnsi="Verdana" w:cs="Arial"/>
          <w:shd w:val="clear" w:color="auto" w:fill="FFFFFF"/>
          <w:lang w:val="es-ES_tradnl"/>
        </w:rPr>
        <w:t>.</w:t>
      </w:r>
    </w:p>
    <w:p w14:paraId="0281729B" w14:textId="77777777" w:rsidR="003A6E04" w:rsidRPr="003A6E04" w:rsidRDefault="003A6E04" w:rsidP="003A6E04">
      <w:pPr>
        <w:widowControl w:val="0"/>
        <w:autoSpaceDE w:val="0"/>
        <w:autoSpaceDN w:val="0"/>
        <w:spacing w:after="0" w:line="276" w:lineRule="auto"/>
        <w:jc w:val="both"/>
        <w:rPr>
          <w:rFonts w:ascii="Verdana" w:eastAsia="Calibri" w:hAnsi="Verdana" w:cs="Arial"/>
          <w:shd w:val="clear" w:color="auto" w:fill="FFFFFF"/>
          <w:lang w:val="es-ES_tradnl"/>
        </w:rPr>
      </w:pPr>
    </w:p>
    <w:p w14:paraId="3B164A26" w14:textId="77777777" w:rsidR="003A6E04" w:rsidRPr="003A6E04" w:rsidRDefault="003A6E04" w:rsidP="003A6E04">
      <w:pPr>
        <w:widowControl w:val="0"/>
        <w:autoSpaceDE w:val="0"/>
        <w:autoSpaceDN w:val="0"/>
        <w:spacing w:after="0" w:line="276" w:lineRule="auto"/>
        <w:jc w:val="both"/>
        <w:rPr>
          <w:rFonts w:ascii="Verdana" w:eastAsia="Calibri" w:hAnsi="Verdana" w:cs="Arial"/>
          <w:shd w:val="clear" w:color="auto" w:fill="FFFFFF"/>
          <w:lang w:val="es-ES"/>
        </w:rPr>
      </w:pPr>
      <w:r w:rsidRPr="003A6E04">
        <w:rPr>
          <w:rFonts w:ascii="Verdana" w:eastAsia="Calibri" w:hAnsi="Verdana" w:cs="Arial"/>
          <w:shd w:val="clear" w:color="auto" w:fill="FFFFFF"/>
          <w:lang w:val="es-ES"/>
        </w:rPr>
        <w:t xml:space="preserve">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w:t>
      </w:r>
      <w:r w:rsidRPr="003A6E04">
        <w:rPr>
          <w:rFonts w:ascii="Verdana" w:eastAsia="Calibri" w:hAnsi="Verdana" w:cs="Arial"/>
          <w:shd w:val="clear" w:color="auto" w:fill="FFFFFF"/>
          <w:lang w:val="es-ES"/>
        </w:rPr>
        <w:lastRenderedPageBreak/>
        <w:t>Agencia: </w:t>
      </w:r>
      <w:hyperlink r:id="rId14" w:tgtFrame="_blank" w:tooltip="Original URL:&#10;https://www.colombiacompra.gov.co/sala-de-prensa/boletin-digital&#10;&#10;Click to follow link." w:history="1">
        <w:r w:rsidRPr="003A6E04">
          <w:rPr>
            <w:rFonts w:ascii="Verdana" w:eastAsia="Calibri" w:hAnsi="Verdana" w:cs="Arial"/>
            <w:color w:val="0000FF"/>
            <w:u w:val="single"/>
            <w:shd w:val="clear" w:color="auto" w:fill="FFFFFF"/>
            <w:lang w:val="es-ES"/>
          </w:rPr>
          <w:t>https://www.colombiacompra.gov.co/sala-de-prensa/boletin-digital</w:t>
        </w:r>
      </w:hyperlink>
      <w:r w:rsidRPr="003A6E04">
        <w:rPr>
          <w:rFonts w:ascii="Verdana" w:eastAsia="Calibri" w:hAnsi="Verdana" w:cs="Arial"/>
          <w:shd w:val="clear" w:color="auto" w:fill="FFFFFF"/>
          <w:lang w:val="es-ES"/>
        </w:rPr>
        <w:t>.   </w:t>
      </w:r>
    </w:p>
    <w:p w14:paraId="6127633B" w14:textId="77777777" w:rsidR="003A6E04" w:rsidRPr="003A6E04" w:rsidRDefault="003A6E04" w:rsidP="003A6E04">
      <w:pPr>
        <w:widowControl w:val="0"/>
        <w:autoSpaceDE w:val="0"/>
        <w:autoSpaceDN w:val="0"/>
        <w:spacing w:after="0" w:line="276" w:lineRule="auto"/>
        <w:jc w:val="both"/>
        <w:rPr>
          <w:rFonts w:ascii="Verdana" w:eastAsia="Calibri" w:hAnsi="Verdana" w:cs="Arial"/>
          <w:shd w:val="clear" w:color="auto" w:fill="FFFFFF"/>
          <w:lang w:val="es-ES_tradnl"/>
        </w:rPr>
      </w:pPr>
    </w:p>
    <w:p w14:paraId="3F16AD98" w14:textId="77777777" w:rsidR="003A6E04" w:rsidRPr="003A6E04" w:rsidRDefault="003A6E04" w:rsidP="003A6E04">
      <w:pPr>
        <w:spacing w:after="0" w:line="276" w:lineRule="auto"/>
        <w:jc w:val="both"/>
        <w:rPr>
          <w:rFonts w:ascii="Verdana" w:eastAsia="Calibri" w:hAnsi="Verdana" w:cs="Times New Roman"/>
          <w:lang w:val="es-ES_tradnl"/>
        </w:rPr>
      </w:pPr>
      <w:r w:rsidRPr="003A6E04">
        <w:rPr>
          <w:rFonts w:ascii="Verdana" w:eastAsia="Calibri" w:hAnsi="Verdana" w:cs="Times New Roman"/>
          <w:lang w:val="es-ES_tradnl"/>
        </w:rPr>
        <w:t xml:space="preserve">Por último, los invitamos a seguirnos en las redes sociales, en las cuales se difunde información institucional: </w:t>
      </w:r>
    </w:p>
    <w:p w14:paraId="640E6DEB" w14:textId="77777777" w:rsidR="003A6E04" w:rsidRPr="003A6E04" w:rsidRDefault="003A6E04" w:rsidP="003A6E04">
      <w:pPr>
        <w:spacing w:after="0" w:line="240" w:lineRule="auto"/>
        <w:jc w:val="both"/>
        <w:rPr>
          <w:rFonts w:ascii="Verdana" w:eastAsia="Calibri" w:hAnsi="Verdana" w:cs="Times New Roman"/>
          <w:lang w:val="es-ES_tradnl"/>
        </w:rPr>
      </w:pPr>
    </w:p>
    <w:p w14:paraId="189BB813" w14:textId="77777777" w:rsidR="003A6E04" w:rsidRPr="003A6E04" w:rsidRDefault="003A6E04" w:rsidP="003A6E04">
      <w:pPr>
        <w:spacing w:after="0" w:line="240" w:lineRule="auto"/>
        <w:jc w:val="both"/>
        <w:rPr>
          <w:rFonts w:ascii="Verdana" w:eastAsia="Calibri" w:hAnsi="Verdana" w:cs="Times New Roman"/>
          <w:lang w:val="es-ES_tradnl"/>
        </w:rPr>
      </w:pPr>
      <w:r w:rsidRPr="003A6E04">
        <w:rPr>
          <w:rFonts w:ascii="Verdana" w:eastAsia="Calibri" w:hAnsi="Verdana" w:cs="Times New Roman"/>
          <w:lang w:val="es-ES_tradnl"/>
        </w:rPr>
        <w:t xml:space="preserve">Twitter: </w:t>
      </w:r>
      <w:r w:rsidRPr="003A6E04">
        <w:rPr>
          <w:rFonts w:ascii="Verdana" w:eastAsia="Calibri" w:hAnsi="Verdana" w:cs="Times New Roman"/>
          <w:u w:val="single"/>
          <w:lang w:val="es-ES_tradnl"/>
        </w:rPr>
        <w:t>@colombiacompra</w:t>
      </w:r>
      <w:r w:rsidRPr="003A6E04">
        <w:rPr>
          <w:rFonts w:ascii="Verdana" w:eastAsia="Calibri" w:hAnsi="Verdana" w:cs="Times New Roman"/>
          <w:lang w:val="es-ES_tradnl"/>
        </w:rPr>
        <w:t xml:space="preserve"> </w:t>
      </w:r>
    </w:p>
    <w:p w14:paraId="28F1735E" w14:textId="77777777" w:rsidR="003A6E04" w:rsidRPr="003A6E04" w:rsidRDefault="003A6E04" w:rsidP="003A6E04">
      <w:pPr>
        <w:spacing w:after="0" w:line="240" w:lineRule="auto"/>
        <w:jc w:val="both"/>
        <w:rPr>
          <w:rFonts w:ascii="Verdana" w:eastAsia="Calibri" w:hAnsi="Verdana" w:cs="Times New Roman"/>
          <w:lang w:val="es-ES"/>
        </w:rPr>
      </w:pPr>
      <w:r w:rsidRPr="003A6E04">
        <w:rPr>
          <w:rFonts w:ascii="Verdana" w:eastAsia="Calibri" w:hAnsi="Verdana" w:cs="Times New Roman"/>
          <w:lang w:val="es-ES"/>
        </w:rPr>
        <w:t xml:space="preserve">Facebook: </w:t>
      </w:r>
      <w:r w:rsidRPr="003A6E04">
        <w:rPr>
          <w:rFonts w:ascii="Verdana" w:eastAsia="Calibri" w:hAnsi="Verdana" w:cs="Times New Roman"/>
          <w:u w:val="single"/>
          <w:lang w:val="es-ES"/>
        </w:rPr>
        <w:t>ColombiaCompraEficiente</w:t>
      </w:r>
    </w:p>
    <w:p w14:paraId="51E3950B" w14:textId="77777777" w:rsidR="003A6E04" w:rsidRPr="003A6E04" w:rsidRDefault="003A6E04" w:rsidP="003A6E04">
      <w:pPr>
        <w:spacing w:after="0" w:line="240" w:lineRule="auto"/>
        <w:jc w:val="both"/>
        <w:rPr>
          <w:rFonts w:ascii="Verdana" w:eastAsia="Calibri" w:hAnsi="Verdana" w:cs="Times New Roman"/>
          <w:lang w:val="es-ES_tradnl"/>
        </w:rPr>
      </w:pPr>
      <w:r w:rsidRPr="003A6E04">
        <w:rPr>
          <w:rFonts w:ascii="Verdana" w:eastAsia="Calibri" w:hAnsi="Verdana" w:cs="Times New Roman"/>
          <w:lang w:val="es-ES_tradnl"/>
        </w:rPr>
        <w:t xml:space="preserve">LinkedIn: </w:t>
      </w:r>
      <w:r w:rsidRPr="003A6E04">
        <w:rPr>
          <w:rFonts w:ascii="Verdana" w:eastAsia="Calibri" w:hAnsi="Verdana" w:cs="Times New Roman"/>
          <w:u w:val="single"/>
          <w:lang w:val="es-ES_tradnl"/>
        </w:rPr>
        <w:t>Agencia Nacional de Contratación Pública - Colombia Compra Eficiente</w:t>
      </w:r>
      <w:r w:rsidRPr="003A6E04">
        <w:rPr>
          <w:rFonts w:ascii="Verdana" w:eastAsia="Calibri" w:hAnsi="Verdana" w:cs="Times New Roman"/>
          <w:lang w:val="es-ES_tradnl"/>
        </w:rPr>
        <w:t xml:space="preserve"> Instagram: </w:t>
      </w:r>
      <w:r w:rsidRPr="003A6E04">
        <w:rPr>
          <w:rFonts w:ascii="Verdana" w:eastAsia="Calibri" w:hAnsi="Verdana" w:cs="Times New Roman"/>
          <w:u w:val="single"/>
          <w:lang w:val="es-ES_tradnl"/>
        </w:rPr>
        <w:t>@colombiacompraeficiente_cce</w:t>
      </w:r>
    </w:p>
    <w:p w14:paraId="22D9B42B" w14:textId="77777777" w:rsidR="003A6E04" w:rsidRPr="003A6E04" w:rsidRDefault="003A6E04" w:rsidP="003A6E04">
      <w:pPr>
        <w:widowControl w:val="0"/>
        <w:autoSpaceDE w:val="0"/>
        <w:autoSpaceDN w:val="0"/>
        <w:spacing w:after="0" w:line="276" w:lineRule="auto"/>
        <w:jc w:val="both"/>
        <w:rPr>
          <w:rFonts w:ascii="Verdana" w:eastAsia="Calibri" w:hAnsi="Verdana" w:cs="Arial"/>
          <w:lang w:val="es-ES_tradnl"/>
        </w:rPr>
      </w:pPr>
    </w:p>
    <w:p w14:paraId="14E1A20D" w14:textId="77777777" w:rsidR="003A6E04" w:rsidRPr="003A6E04" w:rsidRDefault="003A6E04" w:rsidP="003A6E04">
      <w:pPr>
        <w:widowControl w:val="0"/>
        <w:autoSpaceDE w:val="0"/>
        <w:autoSpaceDN w:val="0"/>
        <w:spacing w:after="0" w:line="276" w:lineRule="auto"/>
        <w:jc w:val="both"/>
        <w:rPr>
          <w:rFonts w:ascii="Verdana" w:eastAsia="Calibri" w:hAnsi="Verdana" w:cs="Arial"/>
          <w:lang w:val="es-ES_tradnl"/>
        </w:rPr>
      </w:pPr>
      <w:r w:rsidRPr="003A6E04">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F128AB1" w14:textId="77777777" w:rsidR="003A6E04" w:rsidRPr="003A6E04" w:rsidRDefault="003A6E04" w:rsidP="003A6E04">
      <w:pPr>
        <w:widowControl w:val="0"/>
        <w:autoSpaceDE w:val="0"/>
        <w:autoSpaceDN w:val="0"/>
        <w:spacing w:after="0" w:line="276" w:lineRule="auto"/>
        <w:jc w:val="both"/>
        <w:rPr>
          <w:rFonts w:ascii="Verdana" w:eastAsia="Calibri" w:hAnsi="Verdana" w:cs="Arial"/>
          <w:lang w:val="es-ES_tradnl"/>
        </w:rPr>
      </w:pPr>
    </w:p>
    <w:p w14:paraId="755F6417" w14:textId="77777777" w:rsidR="003A6E04" w:rsidRPr="003A6E04" w:rsidRDefault="003A6E04" w:rsidP="003A6E04">
      <w:pPr>
        <w:spacing w:after="0" w:line="240" w:lineRule="auto"/>
        <w:rPr>
          <w:rFonts w:ascii="Verdana" w:eastAsia="Calibri" w:hAnsi="Verdana" w:cs="Arial"/>
          <w:lang w:val="es-ES_tradnl" w:eastAsia="es-CO"/>
        </w:rPr>
      </w:pPr>
      <w:r w:rsidRPr="003A6E04">
        <w:rPr>
          <w:rFonts w:ascii="Verdana" w:eastAsia="Times New Roman" w:hAnsi="Verdana" w:cs="Arial"/>
          <w:lang w:val="es-ES_tradnl" w:eastAsia="es-CO"/>
        </w:rPr>
        <w:t>Atentamente,</w:t>
      </w:r>
      <w:r w:rsidRPr="003A6E04">
        <w:rPr>
          <w:rFonts w:ascii="Verdana" w:eastAsia="Calibri" w:hAnsi="Verdana" w:cs="Arial"/>
          <w:lang w:val="es-ES_tradnl" w:eastAsia="es-CO"/>
        </w:rPr>
        <w:t xml:space="preserve"> </w:t>
      </w:r>
    </w:p>
    <w:p w14:paraId="678FC49C" w14:textId="30791CF6" w:rsidR="003A6E04" w:rsidRDefault="003A6E04" w:rsidP="003A6E04">
      <w:pPr>
        <w:spacing w:line="276" w:lineRule="auto"/>
        <w:jc w:val="center"/>
        <w:rPr>
          <w:rFonts w:ascii="Century Gothic" w:hAnsi="Century Gothic"/>
          <w:noProof/>
        </w:rPr>
      </w:pPr>
    </w:p>
    <w:p w14:paraId="389B8ABD" w14:textId="77777777" w:rsidR="002D7C31" w:rsidRDefault="002D7C31" w:rsidP="003A6E04">
      <w:pPr>
        <w:spacing w:line="276" w:lineRule="auto"/>
        <w:jc w:val="center"/>
        <w:rPr>
          <w:rFonts w:ascii="Century Gothic" w:eastAsia="Calibri" w:hAnsi="Century Gothic" w:cs="Arial"/>
          <w:noProof/>
          <w:lang w:val="es-ES_tradnl" w:eastAsia="es-CO"/>
        </w:rPr>
      </w:pPr>
    </w:p>
    <w:p w14:paraId="7C1BB457" w14:textId="09395704" w:rsidR="002D7C31" w:rsidRDefault="009E3E2E" w:rsidP="003A6E04">
      <w:pPr>
        <w:spacing w:line="276" w:lineRule="auto"/>
        <w:jc w:val="center"/>
        <w:rPr>
          <w:rFonts w:ascii="Century Gothic" w:eastAsia="Calibri" w:hAnsi="Century Gothic" w:cs="Arial"/>
          <w:noProof/>
          <w:lang w:val="es-ES_tradnl" w:eastAsia="es-CO"/>
        </w:rPr>
      </w:pPr>
      <w:r w:rsidRPr="002C3AD6">
        <w:rPr>
          <w:rFonts w:ascii="Century Gothic" w:hAnsi="Century Gothic"/>
          <w:noProof/>
        </w:rPr>
        <w:drawing>
          <wp:inline distT="0" distB="0" distL="0" distR="0" wp14:anchorId="77CBE0BC" wp14:editId="6379738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A6E04" w:rsidRPr="003A6E04" w14:paraId="5DEF630D" w14:textId="77777777" w:rsidTr="00400127">
        <w:trPr>
          <w:trHeight w:val="315"/>
        </w:trPr>
        <w:tc>
          <w:tcPr>
            <w:tcW w:w="893" w:type="dxa"/>
            <w:vAlign w:val="center"/>
            <w:hideMark/>
          </w:tcPr>
          <w:p w14:paraId="11767110" w14:textId="77777777" w:rsidR="003A6E04" w:rsidRPr="003A6E04" w:rsidRDefault="003A6E04" w:rsidP="003A6E04">
            <w:pPr>
              <w:rPr>
                <w:rFonts w:ascii="Verdana" w:eastAsia="Calibri" w:hAnsi="Verdana" w:cs="Arial"/>
                <w:sz w:val="16"/>
                <w:szCs w:val="16"/>
                <w:lang w:val="es-ES_tradnl" w:eastAsia="es-ES"/>
              </w:rPr>
            </w:pPr>
            <w:r w:rsidRPr="003A6E04">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07DC24DE" w14:textId="6DB10FD3" w:rsidR="003A6E04" w:rsidRPr="003A6E04" w:rsidRDefault="002A5F8C" w:rsidP="003A6E04">
            <w:pPr>
              <w:rPr>
                <w:rFonts w:ascii="Verdana" w:eastAsia="Arial" w:hAnsi="Verdana" w:cs="Arial"/>
                <w:sz w:val="16"/>
                <w:szCs w:val="16"/>
                <w:lang w:val="es-ES_tradnl"/>
              </w:rPr>
            </w:pPr>
            <w:r>
              <w:rPr>
                <w:rFonts w:ascii="Verdana" w:eastAsia="Arial" w:hAnsi="Verdana" w:cs="Arial"/>
                <w:sz w:val="16"/>
                <w:szCs w:val="16"/>
                <w:lang w:val="es-ES_tradnl"/>
              </w:rPr>
              <w:t xml:space="preserve">Carolina Blanco Rodriguez </w:t>
            </w:r>
          </w:p>
          <w:p w14:paraId="237F1904" w14:textId="77777777" w:rsidR="003A6E04" w:rsidRPr="003A6E04" w:rsidRDefault="003A6E04" w:rsidP="003A6E04">
            <w:pPr>
              <w:rPr>
                <w:rFonts w:ascii="Verdana" w:eastAsia="Arial" w:hAnsi="Verdana" w:cs="Arial"/>
                <w:sz w:val="16"/>
                <w:szCs w:val="16"/>
                <w:lang w:val="es-ES_tradnl"/>
              </w:rPr>
            </w:pPr>
            <w:r w:rsidRPr="003A6E04">
              <w:rPr>
                <w:rFonts w:ascii="Verdana" w:eastAsia="Arial" w:hAnsi="Verdana" w:cs="Arial"/>
                <w:sz w:val="16"/>
                <w:szCs w:val="16"/>
                <w:lang w:val="es-ES_tradnl"/>
              </w:rPr>
              <w:t xml:space="preserve">Contratista de la Subdirección de Gestión Contractual </w:t>
            </w:r>
          </w:p>
        </w:tc>
      </w:tr>
      <w:tr w:rsidR="003A6E04" w:rsidRPr="003A6E04" w14:paraId="0956A29E" w14:textId="77777777" w:rsidTr="00400127">
        <w:trPr>
          <w:trHeight w:val="330"/>
        </w:trPr>
        <w:tc>
          <w:tcPr>
            <w:tcW w:w="893" w:type="dxa"/>
            <w:vAlign w:val="center"/>
            <w:hideMark/>
          </w:tcPr>
          <w:p w14:paraId="43B7D731" w14:textId="77777777" w:rsidR="003A6E04" w:rsidRPr="003A6E04" w:rsidRDefault="003A6E04" w:rsidP="003A6E04">
            <w:pPr>
              <w:rPr>
                <w:rFonts w:ascii="Verdana" w:eastAsia="Calibri" w:hAnsi="Verdana" w:cs="Arial"/>
                <w:sz w:val="16"/>
                <w:szCs w:val="16"/>
                <w:lang w:val="es-ES_tradnl" w:eastAsia="es-ES"/>
              </w:rPr>
            </w:pPr>
            <w:r w:rsidRPr="003A6E04">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7EC75B19" w14:textId="51CAF6A9" w:rsidR="003A6E04" w:rsidRPr="003A6E04" w:rsidRDefault="002A5F8C" w:rsidP="003A6E04">
            <w:pPr>
              <w:textAlignment w:val="baseline"/>
              <w:rPr>
                <w:rFonts w:ascii="Verdana" w:eastAsia="Times New Roman" w:hAnsi="Verdana" w:cs="Segoe UI"/>
                <w:sz w:val="16"/>
                <w:szCs w:val="16"/>
                <w:lang w:val="es-ES_tradnl" w:eastAsia="es-ES_tradnl"/>
              </w:rPr>
            </w:pPr>
            <w:r>
              <w:rPr>
                <w:rFonts w:ascii="Verdana" w:eastAsia="Times New Roman" w:hAnsi="Verdana" w:cs="Segoe UI"/>
                <w:sz w:val="16"/>
                <w:szCs w:val="16"/>
                <w:lang w:val="es-ES_tradnl" w:eastAsia="es-ES_tradnl"/>
              </w:rPr>
              <w:t xml:space="preserve">Juan Carlos González </w:t>
            </w:r>
          </w:p>
          <w:p w14:paraId="40FEC84A" w14:textId="77777777" w:rsidR="003A6E04" w:rsidRPr="003A6E04" w:rsidRDefault="003A6E04" w:rsidP="003A6E04">
            <w:pPr>
              <w:textAlignment w:val="baseline"/>
              <w:rPr>
                <w:rFonts w:ascii="Verdana" w:eastAsia="Times New Roman" w:hAnsi="Verdana" w:cs="Segoe UI"/>
                <w:sz w:val="16"/>
                <w:szCs w:val="16"/>
                <w:lang w:val="es-ES_tradnl" w:eastAsia="es-ES_tradnl"/>
              </w:rPr>
            </w:pPr>
            <w:r w:rsidRPr="003A6E04">
              <w:rPr>
                <w:rFonts w:ascii="Verdana" w:eastAsia="Times New Roman" w:hAnsi="Verdana" w:cs="Arial"/>
                <w:sz w:val="16"/>
                <w:szCs w:val="16"/>
                <w:lang w:val="es-ES_tradnl" w:eastAsia="es-ES_tradnl"/>
              </w:rPr>
              <w:t>Contratista de la Subdirección de Gestión Contractual </w:t>
            </w:r>
          </w:p>
        </w:tc>
      </w:tr>
      <w:tr w:rsidR="003A6E04" w:rsidRPr="003A6E04" w14:paraId="4E087971" w14:textId="77777777" w:rsidTr="00400127">
        <w:trPr>
          <w:trHeight w:val="300"/>
        </w:trPr>
        <w:tc>
          <w:tcPr>
            <w:tcW w:w="893" w:type="dxa"/>
            <w:vAlign w:val="center"/>
          </w:tcPr>
          <w:p w14:paraId="5BA931CE" w14:textId="77777777" w:rsidR="003A6E04" w:rsidRPr="003A6E04" w:rsidRDefault="003A6E04" w:rsidP="003A6E04">
            <w:pPr>
              <w:rPr>
                <w:rFonts w:ascii="Verdana" w:eastAsia="Calibri" w:hAnsi="Verdana" w:cs="Arial"/>
                <w:sz w:val="16"/>
                <w:szCs w:val="16"/>
                <w:lang w:val="es-ES_tradnl" w:eastAsia="es-ES"/>
              </w:rPr>
            </w:pPr>
            <w:r w:rsidRPr="003A6E04">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04E8A4B3" w14:textId="77777777" w:rsidR="003A6E04" w:rsidRPr="003A6E04" w:rsidRDefault="003A6E04" w:rsidP="003A6E04">
            <w:pPr>
              <w:rPr>
                <w:rFonts w:ascii="Verdana" w:eastAsia="Calibri" w:hAnsi="Verdana" w:cs="Arial"/>
                <w:sz w:val="16"/>
                <w:szCs w:val="16"/>
                <w:lang w:val="es-ES" w:eastAsia="es-ES"/>
              </w:rPr>
            </w:pPr>
            <w:r w:rsidRPr="003A6E04">
              <w:rPr>
                <w:rFonts w:ascii="Verdana" w:eastAsia="Calibri" w:hAnsi="Verdana" w:cs="Arial"/>
                <w:sz w:val="16"/>
                <w:szCs w:val="16"/>
                <w:lang w:val="es-ES" w:eastAsia="es-ES"/>
              </w:rPr>
              <w:t>Carolina Quintero Gacharná</w:t>
            </w:r>
          </w:p>
          <w:p w14:paraId="6C0319FA" w14:textId="77777777" w:rsidR="003A6E04" w:rsidRPr="003A6E04" w:rsidRDefault="003A6E04" w:rsidP="003A6E04">
            <w:pPr>
              <w:rPr>
                <w:rFonts w:ascii="Verdana" w:eastAsia="Calibri" w:hAnsi="Verdana" w:cs="Arial"/>
                <w:sz w:val="16"/>
                <w:szCs w:val="16"/>
                <w:lang w:val="es-ES_tradnl" w:eastAsia="es-ES"/>
              </w:rPr>
            </w:pPr>
            <w:r w:rsidRPr="003A6E04">
              <w:rPr>
                <w:rFonts w:ascii="Verdana" w:eastAsia="Calibri" w:hAnsi="Verdana" w:cs="Arial"/>
                <w:sz w:val="16"/>
                <w:szCs w:val="16"/>
                <w:lang w:val="es-ES_tradnl" w:eastAsia="es-ES"/>
              </w:rPr>
              <w:t>Subdirectora de Gestión Contractual ANCP – CCE</w:t>
            </w:r>
          </w:p>
        </w:tc>
      </w:tr>
    </w:tbl>
    <w:p w14:paraId="3627B400" w14:textId="77777777" w:rsidR="003A6E04" w:rsidRPr="003A6E04" w:rsidRDefault="003A6E04" w:rsidP="003A6E04">
      <w:pPr>
        <w:spacing w:after="0" w:line="240" w:lineRule="auto"/>
        <w:rPr>
          <w:rFonts w:ascii="Aptos" w:eastAsia="Aptos" w:hAnsi="Aptos" w:cs="Times New Roman"/>
          <w:kern w:val="2"/>
          <w:sz w:val="24"/>
          <w:szCs w:val="24"/>
          <w:lang w:val="es-ES_tradnl"/>
          <w14:ligatures w14:val="standardContextual"/>
        </w:rPr>
      </w:pPr>
    </w:p>
    <w:p w14:paraId="2C313693" w14:textId="77777777" w:rsidR="003A6E04" w:rsidRPr="003A6E04" w:rsidRDefault="003A6E04" w:rsidP="003A6E04">
      <w:pPr>
        <w:spacing w:after="0"/>
        <w:rPr>
          <w:rFonts w:ascii="Verdana" w:eastAsia="Calibri" w:hAnsi="Verdana" w:cs="Times New Roman"/>
        </w:rPr>
      </w:pPr>
    </w:p>
    <w:p w14:paraId="77075F52" w14:textId="77777777" w:rsidR="003A6E04" w:rsidRPr="003A6E04" w:rsidRDefault="003A6E04" w:rsidP="003A6E04">
      <w:pPr>
        <w:spacing w:after="0" w:line="240" w:lineRule="auto"/>
        <w:rPr>
          <w:rFonts w:ascii="Aptos" w:eastAsia="Aptos" w:hAnsi="Aptos" w:cs="Times New Roman"/>
          <w:kern w:val="2"/>
          <w:sz w:val="24"/>
          <w:szCs w:val="24"/>
          <w:lang w:val="es-ES_tradnl"/>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E21D" w14:textId="77777777" w:rsidR="00574600" w:rsidRDefault="00574600" w:rsidP="004A1847">
      <w:pPr>
        <w:spacing w:after="0" w:line="240" w:lineRule="auto"/>
      </w:pPr>
      <w:r>
        <w:separator/>
      </w:r>
    </w:p>
  </w:endnote>
  <w:endnote w:type="continuationSeparator" w:id="0">
    <w:p w14:paraId="137C8F61" w14:textId="77777777" w:rsidR="00574600" w:rsidRDefault="00574600" w:rsidP="004A1847">
      <w:pPr>
        <w:spacing w:after="0" w:line="240" w:lineRule="auto"/>
      </w:pPr>
      <w:r>
        <w:continuationSeparator/>
      </w:r>
    </w:p>
  </w:endnote>
  <w:endnote w:type="continuationNotice" w:id="1">
    <w:p w14:paraId="73822392" w14:textId="77777777" w:rsidR="00574600" w:rsidRDefault="00574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Calibri">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B7890" w14:textId="77777777" w:rsidR="00574600" w:rsidRDefault="00574600" w:rsidP="004A1847">
      <w:pPr>
        <w:spacing w:after="0" w:line="240" w:lineRule="auto"/>
      </w:pPr>
      <w:r>
        <w:separator/>
      </w:r>
    </w:p>
  </w:footnote>
  <w:footnote w:type="continuationSeparator" w:id="0">
    <w:p w14:paraId="00C4D8D2" w14:textId="77777777" w:rsidR="00574600" w:rsidRDefault="00574600" w:rsidP="004A1847">
      <w:pPr>
        <w:spacing w:after="0" w:line="240" w:lineRule="auto"/>
      </w:pPr>
      <w:r>
        <w:continuationSeparator/>
      </w:r>
    </w:p>
  </w:footnote>
  <w:footnote w:type="continuationNotice" w:id="1">
    <w:p w14:paraId="20CDEEA9" w14:textId="77777777" w:rsidR="00574600" w:rsidRDefault="00574600">
      <w:pPr>
        <w:spacing w:after="0" w:line="240" w:lineRule="auto"/>
      </w:pPr>
    </w:p>
  </w:footnote>
  <w:footnote w:id="2">
    <w:p w14:paraId="4FD7B182" w14:textId="77777777" w:rsidR="003A6E04" w:rsidRPr="00590BB7" w:rsidRDefault="003A6E04" w:rsidP="003A6E04">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5C802C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2322F0"/>
    <w:multiLevelType w:val="hybridMultilevel"/>
    <w:tmpl w:val="238C17CA"/>
    <w:lvl w:ilvl="0" w:tplc="849CDDCA">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 w:numId="19" w16cid:durableId="12926352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86C09"/>
    <w:rsid w:val="000A2DA5"/>
    <w:rsid w:val="000A683E"/>
    <w:rsid w:val="000B19B9"/>
    <w:rsid w:val="000D0334"/>
    <w:rsid w:val="000F6486"/>
    <w:rsid w:val="00114CE8"/>
    <w:rsid w:val="00125105"/>
    <w:rsid w:val="00127233"/>
    <w:rsid w:val="0017306B"/>
    <w:rsid w:val="001E4177"/>
    <w:rsid w:val="001F7DC6"/>
    <w:rsid w:val="002421BB"/>
    <w:rsid w:val="00250531"/>
    <w:rsid w:val="0025796E"/>
    <w:rsid w:val="002707A2"/>
    <w:rsid w:val="002951A0"/>
    <w:rsid w:val="002962BC"/>
    <w:rsid w:val="002A093D"/>
    <w:rsid w:val="002A0DD0"/>
    <w:rsid w:val="002A49AC"/>
    <w:rsid w:val="002A5F8C"/>
    <w:rsid w:val="002A64FD"/>
    <w:rsid w:val="002B1193"/>
    <w:rsid w:val="002C7A84"/>
    <w:rsid w:val="002D7C31"/>
    <w:rsid w:val="002E4FD9"/>
    <w:rsid w:val="00322A85"/>
    <w:rsid w:val="00324168"/>
    <w:rsid w:val="003448F4"/>
    <w:rsid w:val="00357C1D"/>
    <w:rsid w:val="00367C9C"/>
    <w:rsid w:val="00374F5E"/>
    <w:rsid w:val="00377E3E"/>
    <w:rsid w:val="00394F4A"/>
    <w:rsid w:val="003A26D1"/>
    <w:rsid w:val="003A6E04"/>
    <w:rsid w:val="003A779E"/>
    <w:rsid w:val="003D0F4D"/>
    <w:rsid w:val="003D5B0D"/>
    <w:rsid w:val="003E0499"/>
    <w:rsid w:val="003F2281"/>
    <w:rsid w:val="003F3941"/>
    <w:rsid w:val="00406575"/>
    <w:rsid w:val="0042722E"/>
    <w:rsid w:val="0044528D"/>
    <w:rsid w:val="004705EC"/>
    <w:rsid w:val="00486227"/>
    <w:rsid w:val="004A1847"/>
    <w:rsid w:val="004A305D"/>
    <w:rsid w:val="004F21C4"/>
    <w:rsid w:val="004F685F"/>
    <w:rsid w:val="005566E8"/>
    <w:rsid w:val="00574600"/>
    <w:rsid w:val="00574867"/>
    <w:rsid w:val="00591460"/>
    <w:rsid w:val="00592628"/>
    <w:rsid w:val="005C3777"/>
    <w:rsid w:val="005C5CDC"/>
    <w:rsid w:val="005D476C"/>
    <w:rsid w:val="00610812"/>
    <w:rsid w:val="006219F8"/>
    <w:rsid w:val="006418EF"/>
    <w:rsid w:val="006420E0"/>
    <w:rsid w:val="00650FF7"/>
    <w:rsid w:val="00665D70"/>
    <w:rsid w:val="00671DAC"/>
    <w:rsid w:val="006900D9"/>
    <w:rsid w:val="006D12F8"/>
    <w:rsid w:val="006E0F06"/>
    <w:rsid w:val="006F5E7F"/>
    <w:rsid w:val="00706C16"/>
    <w:rsid w:val="00756841"/>
    <w:rsid w:val="007649AB"/>
    <w:rsid w:val="00771D0C"/>
    <w:rsid w:val="007833AC"/>
    <w:rsid w:val="007B268C"/>
    <w:rsid w:val="007B7171"/>
    <w:rsid w:val="007C0C0F"/>
    <w:rsid w:val="007C3DC2"/>
    <w:rsid w:val="007E5497"/>
    <w:rsid w:val="00806F5F"/>
    <w:rsid w:val="00820278"/>
    <w:rsid w:val="0082405C"/>
    <w:rsid w:val="00842281"/>
    <w:rsid w:val="008843B6"/>
    <w:rsid w:val="00891928"/>
    <w:rsid w:val="008A446D"/>
    <w:rsid w:val="008D180B"/>
    <w:rsid w:val="008F0EA7"/>
    <w:rsid w:val="00911A49"/>
    <w:rsid w:val="00920786"/>
    <w:rsid w:val="00923EEF"/>
    <w:rsid w:val="009419F9"/>
    <w:rsid w:val="0095685E"/>
    <w:rsid w:val="00961B09"/>
    <w:rsid w:val="00965334"/>
    <w:rsid w:val="0097093E"/>
    <w:rsid w:val="009A0DFA"/>
    <w:rsid w:val="009B2D26"/>
    <w:rsid w:val="009C71FA"/>
    <w:rsid w:val="009C72E7"/>
    <w:rsid w:val="009D3058"/>
    <w:rsid w:val="009E3E2E"/>
    <w:rsid w:val="009F3A13"/>
    <w:rsid w:val="00A122D3"/>
    <w:rsid w:val="00A17F13"/>
    <w:rsid w:val="00A20739"/>
    <w:rsid w:val="00A33C78"/>
    <w:rsid w:val="00AB0ADB"/>
    <w:rsid w:val="00AF2C3E"/>
    <w:rsid w:val="00B01B1A"/>
    <w:rsid w:val="00B72CD3"/>
    <w:rsid w:val="00B72FFF"/>
    <w:rsid w:val="00BC3D36"/>
    <w:rsid w:val="00BD7F72"/>
    <w:rsid w:val="00C04FB3"/>
    <w:rsid w:val="00C10604"/>
    <w:rsid w:val="00C15AAE"/>
    <w:rsid w:val="00C17FE7"/>
    <w:rsid w:val="00C330EB"/>
    <w:rsid w:val="00C66E65"/>
    <w:rsid w:val="00C754BE"/>
    <w:rsid w:val="00C76B1C"/>
    <w:rsid w:val="00C923D0"/>
    <w:rsid w:val="00CA4F61"/>
    <w:rsid w:val="00CB6357"/>
    <w:rsid w:val="00CC1B26"/>
    <w:rsid w:val="00D423A2"/>
    <w:rsid w:val="00D520D8"/>
    <w:rsid w:val="00D63AC2"/>
    <w:rsid w:val="00D7383B"/>
    <w:rsid w:val="00D7565E"/>
    <w:rsid w:val="00DA231B"/>
    <w:rsid w:val="00DA23A0"/>
    <w:rsid w:val="00DC39FC"/>
    <w:rsid w:val="00DE6472"/>
    <w:rsid w:val="00DF5254"/>
    <w:rsid w:val="00E0003C"/>
    <w:rsid w:val="00E112FF"/>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C3B8A"/>
    <w:rsid w:val="00EE1AA8"/>
    <w:rsid w:val="00F22712"/>
    <w:rsid w:val="00F31EDC"/>
    <w:rsid w:val="00F462B3"/>
    <w:rsid w:val="00F5664F"/>
    <w:rsid w:val="00F666C4"/>
    <w:rsid w:val="00F76AFC"/>
    <w:rsid w:val="00FA47C0"/>
    <w:rsid w:val="00FB5DD1"/>
    <w:rsid w:val="00FC2B5D"/>
    <w:rsid w:val="00FF1449"/>
    <w:rsid w:val="37C67F7E"/>
    <w:rsid w:val="5CEADB7B"/>
    <w:rsid w:val="6F6F75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A6E0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sucop.gov.co%2Fentidades%2Fcolombiacompra%2FNormativa%3FIDNorma%3D18320&amp;data=05%7C02%7Ckevin.herrera%40colombiacompra.gov.co%7C096eca3fdcca424ff1c708dcf932f947%7C7b09041e245149d08cb179d5e3d8c1be%7C0%7C0%7C638659244551618609%7CUnknown%7CTWFpbGZsb3d8eyJWIjoiMC4wLjAwMDAiLCJQIjoiV2luMzIiLCJBTiI6Ik1haWwiLCJXVCI6Mn0%3D%7C0%7C%7C%7C&amp;sdata=0LtE4nWA%2FtymYwuE9u52bCCXGl6jM%2FU4dy5rldSEpHs%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content/documentos-tipo-de-infraestructura-de-transpor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superfinanciera.gov.co/publicacion/6081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kevin.herrera%40colombiacompra.gov.co%7C096eca3fdcca424ff1c708dcf932f947%7C7b09041e245149d08cb179d5e3d8c1be%7C0%7C0%7C638659244551636688%7CUnknown%7CTWFpbGZsb3d8eyJWIjoiMC4wLjAwMDAiLCJQIjoiV2luMzIiLCJBTiI6Ik1haWwiLCJXVCI6Mn0%3D%7C0%7C%7C%7C&amp;sdata=LaZ7bwO%2Ff2Yqrf%2BPk6mWxRZIUvBgGLgkBu6Y4JUnOLs%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E639201B-5956-4609-B05C-175A085A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2679</Words>
  <Characters>14736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4</cp:revision>
  <cp:lastPrinted>2023-01-10T21:18:00Z</cp:lastPrinted>
  <dcterms:created xsi:type="dcterms:W3CDTF">2024-12-13T17:16:00Z</dcterms:created>
  <dcterms:modified xsi:type="dcterms:W3CDTF">2024-12-31T16:52:00Z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