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86BA" w14:textId="77777777" w:rsidR="00D47A7F" w:rsidRPr="005622BB" w:rsidRDefault="00D47A7F" w:rsidP="00D47A7F">
      <w:pPr>
        <w:spacing w:after="0"/>
        <w:jc w:val="both"/>
        <w:rPr>
          <w:rFonts w:ascii="Verdana" w:eastAsia="Calibri" w:hAnsi="Verdana" w:cs="Arial"/>
          <w:b/>
          <w:bCs/>
          <w:color w:val="000000" w:themeColor="text1"/>
        </w:rPr>
      </w:pPr>
      <w:bookmarkStart w:id="0" w:name="_Hlk143780582"/>
      <w:r w:rsidRPr="005622BB">
        <w:rPr>
          <w:rFonts w:ascii="Verdana" w:eastAsia="Calibri" w:hAnsi="Verdana" w:cs="Arial"/>
          <w:b/>
          <w:bCs/>
          <w:color w:val="000000" w:themeColor="text1"/>
        </w:rPr>
        <w:t xml:space="preserve">ACUERDOS COMERCIALES – Fuentes – Aplicabilidad – Incorporación </w:t>
      </w:r>
    </w:p>
    <w:p w14:paraId="15E88A07" w14:textId="77777777" w:rsidR="00D47A7F" w:rsidRPr="005622BB" w:rsidRDefault="00D47A7F" w:rsidP="00D47A7F">
      <w:pPr>
        <w:spacing w:after="0"/>
        <w:jc w:val="both"/>
        <w:rPr>
          <w:rFonts w:ascii="Verdana" w:eastAsia="Calibri" w:hAnsi="Verdana" w:cs="Arial"/>
          <w:bCs/>
          <w:color w:val="000000" w:themeColor="text1"/>
        </w:rPr>
      </w:pPr>
    </w:p>
    <w:p w14:paraId="1503FD12" w14:textId="77777777" w:rsidR="00D47A7F" w:rsidRPr="005622BB" w:rsidRDefault="00D47A7F" w:rsidP="00D47A7F">
      <w:pPr>
        <w:spacing w:after="0"/>
        <w:jc w:val="both"/>
        <w:rPr>
          <w:rFonts w:ascii="Verdana" w:eastAsia="Calibri" w:hAnsi="Verdana" w:cs="Arial"/>
          <w:bCs/>
          <w:color w:val="000000" w:themeColor="text1"/>
        </w:rPr>
      </w:pPr>
      <w:r w:rsidRPr="005622BB">
        <w:rPr>
          <w:rFonts w:ascii="Verdana" w:eastAsia="Calibri" w:hAnsi="Verdana" w:cs="Arial"/>
          <w:bCs/>
          <w:color w:val="000000" w:themeColor="text1"/>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55105CCD" w14:textId="77777777" w:rsidR="00D47A7F" w:rsidRPr="005622BB" w:rsidRDefault="00D47A7F" w:rsidP="00D47A7F">
      <w:pPr>
        <w:spacing w:after="0"/>
        <w:jc w:val="both"/>
        <w:rPr>
          <w:rFonts w:ascii="Verdana" w:eastAsia="Calibri" w:hAnsi="Verdana" w:cs="Arial"/>
          <w:bCs/>
          <w:color w:val="000000" w:themeColor="text1"/>
        </w:rPr>
      </w:pPr>
    </w:p>
    <w:p w14:paraId="6FC50654" w14:textId="77777777" w:rsidR="00D47A7F" w:rsidRPr="005622BB" w:rsidRDefault="00D47A7F" w:rsidP="00D47A7F">
      <w:pPr>
        <w:spacing w:after="0"/>
        <w:jc w:val="both"/>
        <w:rPr>
          <w:rFonts w:ascii="Verdana" w:eastAsia="Calibri" w:hAnsi="Verdana" w:cs="Arial"/>
          <w:bCs/>
          <w:color w:val="000000" w:themeColor="text1"/>
        </w:rPr>
      </w:pPr>
      <w:r w:rsidRPr="005622BB">
        <w:rPr>
          <w:rFonts w:ascii="Verdana" w:eastAsia="Calibri" w:hAnsi="Verdana" w:cs="Arial"/>
          <w:bCs/>
          <w:color w:val="000000" w:themeColor="text1"/>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jurídico colombiano por una ley de la República. </w:t>
      </w:r>
    </w:p>
    <w:p w14:paraId="7490A6E5" w14:textId="77777777" w:rsidR="00D47A7F" w:rsidRPr="005622BB" w:rsidRDefault="00D47A7F" w:rsidP="00D47A7F">
      <w:pPr>
        <w:spacing w:after="0" w:line="240" w:lineRule="auto"/>
        <w:contextualSpacing/>
        <w:jc w:val="both"/>
        <w:rPr>
          <w:rFonts w:ascii="Verdana" w:eastAsia="Calibri" w:hAnsi="Verdana" w:cs="Arial"/>
        </w:rPr>
      </w:pPr>
    </w:p>
    <w:p w14:paraId="6C5F8C0F" w14:textId="77777777" w:rsidR="00D47A7F" w:rsidRPr="005622BB" w:rsidRDefault="00D47A7F" w:rsidP="00D47A7F">
      <w:pPr>
        <w:spacing w:after="0" w:line="240" w:lineRule="auto"/>
        <w:contextualSpacing/>
        <w:jc w:val="both"/>
        <w:rPr>
          <w:rFonts w:ascii="Verdana" w:eastAsia="Calibri" w:hAnsi="Verdana" w:cs="Arial"/>
          <w:b/>
          <w:bCs/>
        </w:rPr>
      </w:pPr>
      <w:r w:rsidRPr="005622BB">
        <w:rPr>
          <w:rFonts w:ascii="Verdana" w:eastAsia="Calibri" w:hAnsi="Verdana" w:cs="Arial"/>
          <w:b/>
          <w:bCs/>
        </w:rPr>
        <w:t xml:space="preserve">ACUERDOS COMERCIALES ― Entidades estatales ― Deber de verificación </w:t>
      </w:r>
    </w:p>
    <w:p w14:paraId="288D18CE" w14:textId="77777777" w:rsidR="00D47A7F" w:rsidRPr="005622BB" w:rsidRDefault="00D47A7F" w:rsidP="00D47A7F">
      <w:pPr>
        <w:spacing w:after="0" w:line="240" w:lineRule="auto"/>
        <w:contextualSpacing/>
        <w:jc w:val="both"/>
        <w:rPr>
          <w:rFonts w:ascii="Verdana" w:eastAsia="Calibri" w:hAnsi="Verdana" w:cs="Arial"/>
        </w:rPr>
      </w:pPr>
    </w:p>
    <w:p w14:paraId="47FD6C54" w14:textId="77777777" w:rsidR="00D47A7F" w:rsidRPr="005622BB" w:rsidRDefault="00D47A7F" w:rsidP="00D47A7F">
      <w:pPr>
        <w:spacing w:after="0" w:line="240" w:lineRule="auto"/>
        <w:contextualSpacing/>
        <w:jc w:val="both"/>
        <w:rPr>
          <w:rFonts w:ascii="Verdana" w:eastAsia="Calibri" w:hAnsi="Verdana" w:cs="Arial"/>
        </w:rPr>
      </w:pPr>
      <w:r w:rsidRPr="005622BB">
        <w:rPr>
          <w:rFonts w:ascii="Verdana" w:eastAsia="Calibri" w:hAnsi="Verdana" w:cs="Arial"/>
        </w:rPr>
        <w:t>[…]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(umbrales) a partir de los cuales el Acuerdo Comercial es aplicable al proceso de contratación; y, iii) las excepciones a la aplicación del acuerdo comercial.</w:t>
      </w:r>
    </w:p>
    <w:p w14:paraId="6031B605" w14:textId="77777777" w:rsidR="00D47A7F" w:rsidRPr="005622BB" w:rsidRDefault="00D47A7F" w:rsidP="00D47A7F">
      <w:pPr>
        <w:spacing w:after="0" w:line="240" w:lineRule="auto"/>
        <w:contextualSpacing/>
        <w:jc w:val="both"/>
        <w:rPr>
          <w:rFonts w:ascii="Verdana" w:eastAsia="Calibri" w:hAnsi="Verdana" w:cs="Arial"/>
        </w:rPr>
      </w:pPr>
    </w:p>
    <w:p w14:paraId="6E20C00B" w14:textId="77777777" w:rsidR="00D47A7F" w:rsidRPr="005622BB" w:rsidRDefault="00D47A7F" w:rsidP="00D47A7F">
      <w:pPr>
        <w:tabs>
          <w:tab w:val="left" w:pos="442"/>
        </w:tabs>
        <w:spacing w:after="0" w:line="240" w:lineRule="auto"/>
        <w:contextualSpacing/>
        <w:jc w:val="both"/>
        <w:rPr>
          <w:rFonts w:ascii="Verdana" w:eastAsia="Calibri" w:hAnsi="Verdana" w:cs="Arial"/>
          <w:b/>
          <w:bCs/>
        </w:rPr>
      </w:pPr>
      <w:r w:rsidRPr="005622BB">
        <w:rPr>
          <w:rFonts w:ascii="Verdana" w:eastAsia="Calibri" w:hAnsi="Verdana" w:cs="Arial"/>
          <w:b/>
          <w:bCs/>
        </w:rPr>
        <w:t>COLOMBIA COMPRA EFICIENTE – Decreto Ley 4170 de 2011 – Naturaleza jurídica – Objeto</w:t>
      </w:r>
    </w:p>
    <w:p w14:paraId="79746B37" w14:textId="77777777" w:rsidR="00D47A7F" w:rsidRPr="005622BB" w:rsidRDefault="00D47A7F" w:rsidP="00D47A7F">
      <w:pPr>
        <w:tabs>
          <w:tab w:val="left" w:pos="442"/>
        </w:tabs>
        <w:spacing w:after="0" w:line="240" w:lineRule="auto"/>
        <w:contextualSpacing/>
        <w:jc w:val="both"/>
        <w:rPr>
          <w:rFonts w:ascii="Verdana" w:eastAsia="Calibri" w:hAnsi="Verdana" w:cs="Arial"/>
        </w:rPr>
      </w:pPr>
    </w:p>
    <w:p w14:paraId="02421BB0" w14:textId="77777777" w:rsidR="00D47A7F" w:rsidRPr="005622BB" w:rsidRDefault="00D47A7F" w:rsidP="00D47A7F">
      <w:pPr>
        <w:tabs>
          <w:tab w:val="left" w:pos="442"/>
        </w:tabs>
        <w:spacing w:after="0" w:line="240" w:lineRule="auto"/>
        <w:contextualSpacing/>
        <w:jc w:val="both"/>
        <w:rPr>
          <w:rFonts w:ascii="Verdana" w:eastAsia="Calibri" w:hAnsi="Verdana" w:cs="Arial"/>
        </w:rPr>
      </w:pPr>
      <w:r w:rsidRPr="005622BB">
        <w:rPr>
          <w:rFonts w:ascii="Verdana" w:eastAsia="Calibri" w:hAnsi="Verdana" w:cs="Arial"/>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 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w:t>
      </w:r>
      <w:r w:rsidRPr="005622BB">
        <w:rPr>
          <w:rFonts w:ascii="Verdana" w:eastAsia="Calibri" w:hAnsi="Verdana" w:cs="Arial"/>
        </w:rPr>
        <w:lastRenderedPageBreak/>
        <w:t>del mismo, a fin de que se cumplan los principios y procesos generales que deben gobernar la actividad contractual de las entidades públicas”.</w:t>
      </w:r>
    </w:p>
    <w:p w14:paraId="3D2CE868" w14:textId="77777777" w:rsidR="00D47A7F" w:rsidRPr="005622BB" w:rsidRDefault="00D47A7F" w:rsidP="00D47A7F">
      <w:pPr>
        <w:spacing w:after="0" w:line="240" w:lineRule="auto"/>
        <w:contextualSpacing/>
        <w:jc w:val="both"/>
        <w:rPr>
          <w:rFonts w:ascii="Verdana" w:eastAsia="Calibri" w:hAnsi="Verdana" w:cs="Arial"/>
        </w:rPr>
      </w:pPr>
    </w:p>
    <w:p w14:paraId="7EDCC3D5" w14:textId="77777777" w:rsidR="00D47A7F" w:rsidRPr="005622BB" w:rsidRDefault="00D47A7F" w:rsidP="00D47A7F">
      <w:pPr>
        <w:spacing w:after="0" w:line="240" w:lineRule="auto"/>
        <w:contextualSpacing/>
        <w:jc w:val="both"/>
        <w:rPr>
          <w:rFonts w:ascii="Verdana" w:eastAsia="Calibri" w:hAnsi="Verdana" w:cs="Arial"/>
          <w:b/>
          <w:bCs/>
        </w:rPr>
      </w:pPr>
      <w:r w:rsidRPr="005622BB">
        <w:rPr>
          <w:rFonts w:ascii="Verdana" w:eastAsia="Calibri" w:hAnsi="Verdana" w:cs="Arial"/>
          <w:b/>
          <w:bCs/>
        </w:rPr>
        <w:t>COLOMBIA COMPRA EFICIENTE – Funciones – Expedición de guías y manuales – Obligatoriedad de sus actos</w:t>
      </w:r>
    </w:p>
    <w:p w14:paraId="7651C25A" w14:textId="77777777" w:rsidR="00D47A7F" w:rsidRPr="005622BB" w:rsidRDefault="00D47A7F" w:rsidP="00D47A7F">
      <w:pPr>
        <w:spacing w:after="0" w:line="240" w:lineRule="auto"/>
        <w:contextualSpacing/>
        <w:jc w:val="both"/>
        <w:rPr>
          <w:rFonts w:ascii="Verdana" w:eastAsia="Calibri" w:hAnsi="Verdana" w:cs="Arial"/>
        </w:rPr>
      </w:pPr>
    </w:p>
    <w:p w14:paraId="399A0030" w14:textId="77777777" w:rsidR="00D47A7F" w:rsidRPr="005622BB" w:rsidRDefault="00D47A7F" w:rsidP="00D47A7F">
      <w:pPr>
        <w:spacing w:after="0" w:line="240" w:lineRule="auto"/>
        <w:jc w:val="both"/>
        <w:rPr>
          <w:rFonts w:ascii="Verdana" w:eastAsia="Calibri" w:hAnsi="Verdana" w:cs="Arial"/>
        </w:rPr>
      </w:pPr>
      <w:r w:rsidRPr="005622BB">
        <w:rPr>
          <w:rFonts w:ascii="Verdana" w:eastAsia="Calibri" w:hAnsi="Verdana" w:cs="Arial"/>
        </w:rPr>
        <w:t>En ejercicio de estas competencias conferidas por el Decreto Ley 4170 de 2011, Colombia Compra Eficiente ha expedido Guías, Manuales y Circulares, los cuales pueden ser calificados como herramientas de apoyo a los partícipes de la contratación pública.</w:t>
      </w:r>
    </w:p>
    <w:p w14:paraId="64061743" w14:textId="77777777" w:rsidR="00D47A7F" w:rsidRPr="005622BB" w:rsidRDefault="00D47A7F" w:rsidP="00D47A7F">
      <w:pPr>
        <w:spacing w:after="0" w:line="240" w:lineRule="auto"/>
        <w:contextualSpacing/>
        <w:jc w:val="both"/>
        <w:rPr>
          <w:rFonts w:ascii="Verdana" w:eastAsia="Calibri" w:hAnsi="Verdana" w:cs="Arial"/>
        </w:rPr>
      </w:pPr>
      <w:r w:rsidRPr="005622BB">
        <w:rPr>
          <w:rFonts w:ascii="Verdana" w:eastAsia="Calibri" w:hAnsi="Verdana" w:cs="Arial"/>
        </w:rPr>
        <w:t>[…]</w:t>
      </w:r>
    </w:p>
    <w:p w14:paraId="58B75FC6" w14:textId="77777777" w:rsidR="00D47A7F" w:rsidRPr="005622BB" w:rsidRDefault="00D47A7F" w:rsidP="00D47A7F">
      <w:pPr>
        <w:spacing w:after="0" w:line="240" w:lineRule="auto"/>
        <w:contextualSpacing/>
        <w:jc w:val="both"/>
        <w:rPr>
          <w:rFonts w:ascii="Verdana" w:eastAsia="Calibri" w:hAnsi="Verdana" w:cs="Arial"/>
        </w:rPr>
      </w:pPr>
      <w:r w:rsidRPr="005622BB">
        <w:rPr>
          <w:rFonts w:ascii="Verdana" w:eastAsia="Calibri" w:hAnsi="Verdana" w:cs="Arial"/>
        </w:rPr>
        <w:t>[…]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0DE20121" w14:textId="77777777" w:rsidR="00D47A7F" w:rsidRPr="005622BB" w:rsidRDefault="00D47A7F" w:rsidP="00D47A7F">
      <w:pPr>
        <w:spacing w:after="0" w:line="240" w:lineRule="auto"/>
        <w:contextualSpacing/>
        <w:jc w:val="both"/>
        <w:rPr>
          <w:rFonts w:ascii="Verdana" w:eastAsia="Calibri" w:hAnsi="Verdana" w:cs="Arial"/>
        </w:rPr>
      </w:pPr>
    </w:p>
    <w:p w14:paraId="32520C6E" w14:textId="77777777" w:rsidR="00D47A7F" w:rsidRPr="005622BB" w:rsidRDefault="00D47A7F" w:rsidP="00D47A7F">
      <w:pPr>
        <w:spacing w:after="0" w:line="240" w:lineRule="auto"/>
        <w:contextualSpacing/>
        <w:jc w:val="both"/>
        <w:rPr>
          <w:rFonts w:ascii="Verdana" w:eastAsia="Calibri" w:hAnsi="Verdana" w:cs="Arial"/>
        </w:rPr>
      </w:pPr>
      <w:r w:rsidRPr="005622BB">
        <w:rPr>
          <w:rFonts w:ascii="Verdana" w:eastAsia="Calibri" w:hAnsi="Verdana" w:cs="Arial"/>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10B3AFB5" w14:textId="77777777" w:rsidR="00D47A7F" w:rsidRPr="005622BB" w:rsidRDefault="00D47A7F" w:rsidP="00D47A7F">
      <w:pPr>
        <w:spacing w:after="0" w:line="240" w:lineRule="auto"/>
        <w:contextualSpacing/>
        <w:jc w:val="both"/>
        <w:rPr>
          <w:rFonts w:ascii="Verdana" w:eastAsia="Calibri" w:hAnsi="Verdana" w:cs="Arial"/>
        </w:rPr>
      </w:pPr>
    </w:p>
    <w:p w14:paraId="58685AC4" w14:textId="77777777" w:rsidR="00D47A7F" w:rsidRPr="005622BB" w:rsidRDefault="00D47A7F" w:rsidP="00D47A7F">
      <w:pPr>
        <w:spacing w:after="0" w:line="240" w:lineRule="auto"/>
        <w:contextualSpacing/>
        <w:jc w:val="both"/>
        <w:rPr>
          <w:rFonts w:ascii="Verdana" w:eastAsia="Calibri" w:hAnsi="Verdana" w:cs="Arial"/>
          <w:b/>
          <w:bCs/>
        </w:rPr>
      </w:pPr>
      <w:r w:rsidRPr="005622BB">
        <w:rPr>
          <w:rFonts w:ascii="Verdana" w:eastAsia="Calibri" w:hAnsi="Verdana" w:cs="Arial"/>
          <w:b/>
          <w:bCs/>
        </w:rPr>
        <w:t>MANUAL DE ACUERDOS COMERCIALES – Alcance</w:t>
      </w:r>
    </w:p>
    <w:p w14:paraId="366EEAE5" w14:textId="77777777" w:rsidR="00D47A7F" w:rsidRPr="005622BB" w:rsidRDefault="00D47A7F" w:rsidP="00D47A7F">
      <w:pPr>
        <w:spacing w:after="0" w:line="240" w:lineRule="auto"/>
        <w:contextualSpacing/>
        <w:jc w:val="both"/>
        <w:rPr>
          <w:rFonts w:ascii="Verdana" w:eastAsia="Calibri" w:hAnsi="Verdana" w:cs="Arial"/>
          <w:b/>
          <w:bCs/>
        </w:rPr>
      </w:pPr>
    </w:p>
    <w:p w14:paraId="583616ED" w14:textId="77777777" w:rsidR="00D47A7F" w:rsidRPr="005622BB" w:rsidRDefault="00D47A7F" w:rsidP="00D47A7F">
      <w:pPr>
        <w:spacing w:after="0" w:line="240" w:lineRule="auto"/>
        <w:contextualSpacing/>
        <w:jc w:val="both"/>
        <w:rPr>
          <w:rFonts w:ascii="Verdana" w:eastAsia="Calibri" w:hAnsi="Verdana" w:cs="Arial"/>
        </w:rPr>
      </w:pPr>
      <w:r w:rsidRPr="005622BB">
        <w:rPr>
          <w:rFonts w:ascii="Verdana" w:eastAsia="Calibri" w:hAnsi="Verdana" w:cs="Arial"/>
        </w:rPr>
        <w:t xml:space="preserve">[…]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Contratación”,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 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 De esta manera, las entidades estatales </w:t>
      </w:r>
      <w:r w:rsidRPr="005622BB">
        <w:rPr>
          <w:rFonts w:ascii="Verdana" w:eastAsia="Calibri" w:hAnsi="Verdana" w:cs="Arial"/>
        </w:rPr>
        <w:lastRenderedPageBreak/>
        <w:t>y los procesos contractuales cubiertos por los tratados suscritos entre Colombia y otros Estados son aquellos que aparecen en sus listas. Por ello, la determinación de si tales acuerdos comerciales aplican o no en un determinado procedimiento de selección corresponde realizarlo a cada entidad estatal, consultando el ámbito de cobertura de cada Acuerdo Comercial.</w:t>
      </w:r>
    </w:p>
    <w:p w14:paraId="272DD1CC" w14:textId="77777777" w:rsidR="00D47A7F" w:rsidRPr="005622BB" w:rsidRDefault="00D47A7F" w:rsidP="00D47A7F">
      <w:pPr>
        <w:spacing w:after="0" w:line="240" w:lineRule="auto"/>
        <w:contextualSpacing/>
        <w:jc w:val="both"/>
        <w:rPr>
          <w:rFonts w:ascii="Verdana" w:eastAsia="Calibri" w:hAnsi="Verdana" w:cs="Arial"/>
        </w:rPr>
      </w:pPr>
    </w:p>
    <w:p w14:paraId="6BA769EE" w14:textId="1097D237" w:rsidR="00D47A7F" w:rsidRPr="005622BB" w:rsidRDefault="00D47A7F">
      <w:pPr>
        <w:rPr>
          <w:rFonts w:ascii="Verdana" w:eastAsia="Calibri" w:hAnsi="Verdana" w:cs="Arial"/>
        </w:rPr>
      </w:pPr>
      <w:r w:rsidRPr="005622BB">
        <w:rPr>
          <w:rFonts w:ascii="Verdana" w:eastAsia="Calibri" w:hAnsi="Verdana" w:cs="Arial"/>
        </w:rPr>
        <w:br w:type="page"/>
      </w:r>
    </w:p>
    <w:p w14:paraId="380AFA88" w14:textId="5376C64A" w:rsidR="003A6E04" w:rsidRPr="005622BB" w:rsidRDefault="003A6E04" w:rsidP="003A6E04">
      <w:pPr>
        <w:spacing w:after="0" w:line="240" w:lineRule="auto"/>
        <w:jc w:val="both"/>
        <w:rPr>
          <w:rFonts w:ascii="Verdana" w:eastAsia="Calibri" w:hAnsi="Verdana" w:cs="Arial"/>
          <w:lang w:val="es-ES_tradnl"/>
        </w:rPr>
      </w:pPr>
      <w:r w:rsidRPr="005622BB">
        <w:rPr>
          <w:rFonts w:ascii="Verdana" w:hAnsi="Verdana"/>
        </w:rPr>
        <w:lastRenderedPageBreak/>
        <w:t>Bogotá D.C.</w:t>
      </w:r>
    </w:p>
    <w:p w14:paraId="1D37620B" w14:textId="77777777" w:rsidR="00155C27" w:rsidRPr="005622BB" w:rsidRDefault="00155C27" w:rsidP="00155C27">
      <w:pPr>
        <w:spacing w:after="0" w:line="240" w:lineRule="auto"/>
        <w:jc w:val="both"/>
        <w:rPr>
          <w:rFonts w:ascii="Verdana" w:eastAsia="Calibri" w:hAnsi="Verdana" w:cs="Arial"/>
          <w:lang w:val="es-ES_tradnl" w:eastAsia="es-ES"/>
        </w:rPr>
      </w:pPr>
      <w:r w:rsidRPr="005622BB">
        <w:rPr>
          <w:rFonts w:ascii="Verdana" w:eastAsia="Calibri" w:hAnsi="Verdana" w:cs="Arial"/>
          <w:lang w:val="es-ES_tradnl" w:eastAsia="es-ES"/>
        </w:rPr>
        <w:t>Señora</w:t>
      </w:r>
    </w:p>
    <w:p w14:paraId="70B8F86A" w14:textId="77777777" w:rsidR="00155C27" w:rsidRPr="005622BB" w:rsidRDefault="00155C27" w:rsidP="00155C27">
      <w:pPr>
        <w:spacing w:after="0" w:line="240" w:lineRule="auto"/>
        <w:rPr>
          <w:rFonts w:ascii="Verdana" w:eastAsia="Calibri" w:hAnsi="Verdana" w:cs="Arial"/>
          <w:b/>
          <w:lang w:eastAsia="es-ES_tradnl"/>
        </w:rPr>
      </w:pPr>
      <w:r w:rsidRPr="005622BB">
        <w:rPr>
          <w:rFonts w:ascii="Verdana" w:eastAsia="Calibri" w:hAnsi="Verdana" w:cs="Arial"/>
          <w:b/>
          <w:lang w:eastAsia="es-ES_tradnl"/>
        </w:rPr>
        <w:t>Maria Teresa Lezcano Rodríguez</w:t>
      </w:r>
    </w:p>
    <w:p w14:paraId="031EF219" w14:textId="77777777" w:rsidR="00155C27" w:rsidRPr="005622BB" w:rsidRDefault="00155C27" w:rsidP="00155C27">
      <w:pPr>
        <w:spacing w:after="0" w:line="240" w:lineRule="auto"/>
        <w:rPr>
          <w:rFonts w:ascii="Verdana" w:eastAsia="Calibri" w:hAnsi="Verdana" w:cs="Arial"/>
          <w:u w:val="single"/>
          <w:lang w:eastAsia="es-ES"/>
        </w:rPr>
      </w:pPr>
      <w:hyperlink r:id="rId10" w:history="1">
        <w:r w:rsidRPr="005622BB">
          <w:rPr>
            <w:rStyle w:val="Hipervnculo"/>
            <w:rFonts w:ascii="Verdana" w:eastAsia="Calibri" w:hAnsi="Verdana" w:cs="Arial"/>
            <w:lang w:eastAsia="es-ES"/>
          </w:rPr>
          <w:t>maria.lezcano@chia.gov.co</w:t>
        </w:r>
      </w:hyperlink>
    </w:p>
    <w:p w14:paraId="553A58A9" w14:textId="77777777" w:rsidR="00155C27" w:rsidRPr="005622BB" w:rsidRDefault="00155C27" w:rsidP="00155C27">
      <w:pPr>
        <w:spacing w:after="0" w:line="240" w:lineRule="auto"/>
        <w:rPr>
          <w:rFonts w:ascii="Verdana" w:eastAsia="Calibri" w:hAnsi="Verdana" w:cs="Arial"/>
          <w:lang w:val="es-ES_tradnl" w:eastAsia="es-ES"/>
        </w:rPr>
      </w:pPr>
      <w:r w:rsidRPr="005622BB">
        <w:rPr>
          <w:rFonts w:ascii="Verdana" w:eastAsia="Calibri" w:hAnsi="Verdana" w:cs="Arial"/>
          <w:lang w:val="es-ES_tradnl" w:eastAsia="es-ES"/>
        </w:rPr>
        <w:t xml:space="preserve">Chía, Cundinamarca. </w:t>
      </w:r>
    </w:p>
    <w:p w14:paraId="3A683259" w14:textId="77777777" w:rsidR="00155C27" w:rsidRPr="005622BB" w:rsidRDefault="00155C27" w:rsidP="00155C27">
      <w:pPr>
        <w:spacing w:after="0" w:line="240" w:lineRule="auto"/>
        <w:rPr>
          <w:rFonts w:ascii="Verdana" w:eastAsia="Calibri" w:hAnsi="Verdana" w:cs="Arial"/>
          <w:b/>
          <w:bCs/>
          <w:lang w:val="es-ES_tradnl" w:eastAsia="es-ES_tradnl"/>
        </w:rPr>
      </w:pPr>
    </w:p>
    <w:p w14:paraId="4A6060D7" w14:textId="77777777" w:rsidR="00155C27" w:rsidRDefault="00155C27" w:rsidP="00155C27">
      <w:pPr>
        <w:spacing w:after="0" w:line="240" w:lineRule="auto"/>
        <w:rPr>
          <w:rFonts w:ascii="Verdana" w:eastAsia="Calibri" w:hAnsi="Verdana" w:cs="Arial"/>
          <w:b/>
          <w:bCs/>
          <w:lang w:val="es-ES_tradnl" w:eastAsia="es-ES_tradnl"/>
        </w:rPr>
      </w:pPr>
    </w:p>
    <w:p w14:paraId="5F35BABA" w14:textId="1B81B308" w:rsidR="001B3F9B" w:rsidRPr="005622BB" w:rsidRDefault="001B3F9B" w:rsidP="001B3F9B">
      <w:pPr>
        <w:spacing w:after="0" w:line="240" w:lineRule="auto"/>
        <w:jc w:val="right"/>
        <w:rPr>
          <w:rFonts w:ascii="Verdana" w:eastAsia="Calibri" w:hAnsi="Verdana" w:cs="Arial"/>
          <w:b/>
          <w:bCs/>
          <w:lang w:val="es-ES_tradnl" w:eastAsia="es-ES_tradnl"/>
        </w:rPr>
      </w:pPr>
      <w:r w:rsidRPr="001B3F9B">
        <w:rPr>
          <w:rFonts w:ascii="Verdana" w:eastAsia="Calibri" w:hAnsi="Verdana" w:cs="Arial"/>
          <w:b/>
          <w:bCs/>
          <w:lang w:val="es-ES_tradnl" w:eastAsia="es-ES_tradnl"/>
        </w:rPr>
        <w:drawing>
          <wp:inline distT="0" distB="0" distL="0" distR="0" wp14:anchorId="59BDF540" wp14:editId="67766CB1">
            <wp:extent cx="2377646" cy="723963"/>
            <wp:effectExtent l="0" t="0" r="3810" b="0"/>
            <wp:docPr id="402990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90858" name=""/>
                    <pic:cNvPicPr/>
                  </pic:nvPicPr>
                  <pic:blipFill>
                    <a:blip r:embed="rId11"/>
                    <a:stretch>
                      <a:fillRect/>
                    </a:stretch>
                  </pic:blipFill>
                  <pic:spPr>
                    <a:xfrm>
                      <a:off x="0" y="0"/>
                      <a:ext cx="2377646" cy="723963"/>
                    </a:xfrm>
                    <a:prstGeom prst="rect">
                      <a:avLst/>
                    </a:prstGeom>
                  </pic:spPr>
                </pic:pic>
              </a:graphicData>
            </a:graphic>
          </wp:inline>
        </w:drawing>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55C27" w:rsidRPr="005622BB" w14:paraId="184D40A9" w14:textId="77777777" w:rsidTr="000E4E64">
        <w:trPr>
          <w:trHeight w:val="884"/>
        </w:trPr>
        <w:tc>
          <w:tcPr>
            <w:tcW w:w="2689" w:type="dxa"/>
          </w:tcPr>
          <w:p w14:paraId="6E6FF025" w14:textId="77777777" w:rsidR="00155C27" w:rsidRPr="005622BB" w:rsidRDefault="00155C27" w:rsidP="000E4E64">
            <w:pPr>
              <w:jc w:val="both"/>
              <w:rPr>
                <w:rFonts w:ascii="Verdana" w:eastAsia="Calibri" w:hAnsi="Verdana" w:cs="Arial"/>
                <w:b/>
                <w:bCs/>
                <w:lang w:val="es-ES_tradnl" w:eastAsia="es-ES_tradnl"/>
              </w:rPr>
            </w:pPr>
          </w:p>
        </w:tc>
        <w:tc>
          <w:tcPr>
            <w:tcW w:w="6100" w:type="dxa"/>
          </w:tcPr>
          <w:p w14:paraId="575CA5B0" w14:textId="77777777" w:rsidR="00155C27" w:rsidRPr="005622BB" w:rsidRDefault="00155C27" w:rsidP="000E4E64">
            <w:pPr>
              <w:jc w:val="both"/>
              <w:rPr>
                <w:rFonts w:ascii="Verdana" w:eastAsia="Calibri" w:hAnsi="Verdana" w:cs="Arial"/>
                <w:b/>
                <w:bCs/>
                <w:lang w:val="es-ES_tradnl" w:eastAsia="es-ES"/>
              </w:rPr>
            </w:pPr>
            <w:r w:rsidRPr="005622BB">
              <w:rPr>
                <w:rFonts w:ascii="Verdana" w:eastAsia="Calibri" w:hAnsi="Verdana" w:cs="Arial"/>
                <w:b/>
                <w:bCs/>
                <w:lang w:val="es-ES_tradnl" w:eastAsia="es-ES"/>
              </w:rPr>
              <w:t xml:space="preserve">Concepto C – </w:t>
            </w:r>
            <w:r>
              <w:rPr>
                <w:rFonts w:ascii="Verdana" w:eastAsia="Calibri" w:hAnsi="Verdana" w:cs="Arial"/>
                <w:b/>
                <w:bCs/>
                <w:lang w:val="es-ES_tradnl" w:eastAsia="es-ES"/>
              </w:rPr>
              <w:t>8</w:t>
            </w:r>
            <w:r w:rsidRPr="005622BB">
              <w:rPr>
                <w:rFonts w:ascii="Verdana" w:eastAsia="Calibri" w:hAnsi="Verdana" w:cs="Arial"/>
                <w:b/>
                <w:bCs/>
                <w:lang w:val="es-ES_tradnl" w:eastAsia="es-ES"/>
              </w:rPr>
              <w:t>88 de 2024</w:t>
            </w:r>
          </w:p>
        </w:tc>
      </w:tr>
      <w:tr w:rsidR="00155C27" w:rsidRPr="005622BB" w14:paraId="775FF3E8" w14:textId="77777777" w:rsidTr="000E4E64">
        <w:trPr>
          <w:trHeight w:val="884"/>
        </w:trPr>
        <w:tc>
          <w:tcPr>
            <w:tcW w:w="2689" w:type="dxa"/>
          </w:tcPr>
          <w:p w14:paraId="66B64033" w14:textId="77777777" w:rsidR="00155C27" w:rsidRPr="005622BB" w:rsidRDefault="00155C27" w:rsidP="000E4E64">
            <w:pPr>
              <w:jc w:val="both"/>
              <w:rPr>
                <w:rFonts w:ascii="Verdana" w:eastAsia="Calibri" w:hAnsi="Verdana" w:cs="Arial"/>
                <w:lang w:val="es-ES_tradnl" w:eastAsia="es-ES_tradnl"/>
              </w:rPr>
            </w:pPr>
            <w:r w:rsidRPr="005622BB">
              <w:rPr>
                <w:rFonts w:ascii="Verdana" w:eastAsia="Calibri" w:hAnsi="Verdana" w:cs="Arial"/>
                <w:b/>
                <w:lang w:val="es-ES_tradnl" w:eastAsia="es-ES_tradnl"/>
              </w:rPr>
              <w:t>Temas:</w:t>
            </w:r>
            <w:r w:rsidRPr="005622BB">
              <w:rPr>
                <w:rFonts w:ascii="Verdana" w:eastAsia="Calibri" w:hAnsi="Verdana" w:cs="Arial"/>
                <w:lang w:val="es-ES_tradnl" w:eastAsia="es-ES_tradnl"/>
              </w:rPr>
              <w:t xml:space="preserve">                   </w:t>
            </w:r>
          </w:p>
        </w:tc>
        <w:tc>
          <w:tcPr>
            <w:tcW w:w="6100" w:type="dxa"/>
          </w:tcPr>
          <w:p w14:paraId="78C9D631" w14:textId="77777777" w:rsidR="00155C27" w:rsidRPr="005622BB" w:rsidRDefault="00155C27" w:rsidP="000E4E64">
            <w:pPr>
              <w:spacing w:line="276" w:lineRule="auto"/>
              <w:jc w:val="both"/>
              <w:rPr>
                <w:rFonts w:ascii="Verdana" w:eastAsia="Times New Roman" w:hAnsi="Verdana" w:cs="Arial"/>
                <w:lang w:val="es-ES_tradnl" w:eastAsia="es-ES_tradnl"/>
              </w:rPr>
            </w:pPr>
            <w:r w:rsidRPr="005622BB">
              <w:rPr>
                <w:rFonts w:ascii="Verdana" w:eastAsia="Times New Roman" w:hAnsi="Verdana" w:cs="Arial"/>
                <w:lang w:val="es-ES_tradnl" w:eastAsia="es-ES_tradnl"/>
              </w:rPr>
              <w:t>ACUERDOS COMERCIALES – Fuentes – Aplicabilidad – Incorporación / ACUERDOS COMERCIALES – Entidades estatales – Deber de verificación / COLOMBIA COMPRA EFICIENTE – Decreto Ley 4170 de 2011 – Naturaleza jurídica – Objeto / COLOMBIA COMPRA EFICIENTE – Funciones – Expedición de guías y manuales – Obligatoriedad de sus actos / MANUAL DE ACUERDOS COMERCIALES – Alcance</w:t>
            </w:r>
          </w:p>
          <w:p w14:paraId="722B04B1" w14:textId="77777777" w:rsidR="00155C27" w:rsidRPr="005622BB" w:rsidRDefault="00155C27" w:rsidP="000E4E64">
            <w:pPr>
              <w:spacing w:line="276" w:lineRule="auto"/>
              <w:jc w:val="both"/>
              <w:rPr>
                <w:rFonts w:ascii="Verdana" w:eastAsia="Calibri" w:hAnsi="Verdana" w:cs="Arial"/>
                <w:highlight w:val="yellow"/>
                <w:lang w:val="es-ES_tradnl" w:eastAsia="es-ES"/>
              </w:rPr>
            </w:pPr>
          </w:p>
        </w:tc>
      </w:tr>
      <w:tr w:rsidR="00155C27" w:rsidRPr="005622BB" w14:paraId="7722A009" w14:textId="77777777" w:rsidTr="000E4E64">
        <w:tc>
          <w:tcPr>
            <w:tcW w:w="2689" w:type="dxa"/>
          </w:tcPr>
          <w:p w14:paraId="371D03FE" w14:textId="77777777" w:rsidR="00155C27" w:rsidRPr="005622BB" w:rsidRDefault="00155C27" w:rsidP="000E4E64">
            <w:pPr>
              <w:jc w:val="both"/>
              <w:rPr>
                <w:rFonts w:ascii="Verdana" w:eastAsia="Calibri" w:hAnsi="Verdana" w:cs="Arial"/>
                <w:b/>
                <w:lang w:val="es-ES_tradnl" w:eastAsia="es-ES_tradnl"/>
              </w:rPr>
            </w:pPr>
            <w:r w:rsidRPr="005622BB">
              <w:rPr>
                <w:rFonts w:ascii="Verdana" w:eastAsia="Calibri" w:hAnsi="Verdana" w:cs="Arial"/>
                <w:b/>
                <w:lang w:val="es-ES_tradnl" w:eastAsia="es-ES_tradnl"/>
              </w:rPr>
              <w:t>Radicación:</w:t>
            </w:r>
            <w:r w:rsidRPr="005622BB">
              <w:rPr>
                <w:rFonts w:ascii="Verdana" w:eastAsia="Calibri" w:hAnsi="Verdana" w:cs="Arial"/>
                <w:lang w:val="es-ES_tradnl" w:eastAsia="es-ES_tradnl"/>
              </w:rPr>
              <w:t xml:space="preserve">               </w:t>
            </w:r>
          </w:p>
        </w:tc>
        <w:tc>
          <w:tcPr>
            <w:tcW w:w="6100" w:type="dxa"/>
          </w:tcPr>
          <w:p w14:paraId="6F2EF2B9" w14:textId="77777777" w:rsidR="00155C27" w:rsidRPr="005622BB" w:rsidRDefault="00155C27" w:rsidP="000E4E64">
            <w:pPr>
              <w:jc w:val="both"/>
              <w:rPr>
                <w:rFonts w:ascii="Verdana" w:eastAsia="Calibri" w:hAnsi="Verdana" w:cs="Arial"/>
                <w:lang w:val="es-ES_tradnl" w:eastAsia="es-ES_tradnl"/>
              </w:rPr>
            </w:pPr>
            <w:r w:rsidRPr="005622BB">
              <w:rPr>
                <w:rFonts w:ascii="Verdana" w:eastAsia="Calibri" w:hAnsi="Verdana" w:cs="Arial"/>
                <w:lang w:val="es-ES_tradnl" w:eastAsia="es-ES_tradnl"/>
              </w:rPr>
              <w:t>Respuesta a consulta con radicado No. P20241119011621.</w:t>
            </w:r>
          </w:p>
        </w:tc>
      </w:tr>
    </w:tbl>
    <w:p w14:paraId="06626ACA" w14:textId="77777777" w:rsidR="00155C27" w:rsidRPr="005622BB" w:rsidRDefault="00155C27" w:rsidP="00155C27">
      <w:pPr>
        <w:spacing w:after="0" w:line="240" w:lineRule="auto"/>
        <w:jc w:val="both"/>
        <w:rPr>
          <w:rFonts w:ascii="Verdana" w:eastAsia="Calibri" w:hAnsi="Verdana" w:cs="Arial"/>
          <w:lang w:val="es-ES_tradnl" w:eastAsia="es-ES_tradnl"/>
        </w:rPr>
      </w:pPr>
    </w:p>
    <w:p w14:paraId="08A7820E" w14:textId="77777777" w:rsidR="00155C27" w:rsidRPr="005622BB" w:rsidRDefault="00155C27" w:rsidP="00155C27">
      <w:pPr>
        <w:spacing w:after="0" w:line="240" w:lineRule="auto"/>
        <w:jc w:val="both"/>
        <w:rPr>
          <w:rFonts w:ascii="Verdana" w:eastAsia="Calibri" w:hAnsi="Verdana" w:cs="Arial"/>
          <w:lang w:val="es-ES_tradnl" w:eastAsia="es-ES_tradnl"/>
        </w:rPr>
      </w:pPr>
    </w:p>
    <w:p w14:paraId="1D350F2E" w14:textId="77777777" w:rsidR="00155C27" w:rsidRPr="005622BB" w:rsidRDefault="00155C27" w:rsidP="00155C27">
      <w:pPr>
        <w:spacing w:after="0" w:line="276" w:lineRule="auto"/>
        <w:jc w:val="both"/>
        <w:rPr>
          <w:rFonts w:ascii="Verdana" w:eastAsia="Calibri" w:hAnsi="Verdana" w:cs="Arial"/>
          <w:lang w:val="es-ES_tradnl" w:eastAsia="es-ES"/>
        </w:rPr>
      </w:pPr>
      <w:r w:rsidRPr="005622BB">
        <w:rPr>
          <w:rFonts w:ascii="Verdana" w:eastAsia="Calibri" w:hAnsi="Verdana" w:cs="Arial"/>
          <w:lang w:val="es-ES_tradnl" w:eastAsia="es-ES"/>
        </w:rPr>
        <w:t xml:space="preserve">Estimada señora Lezcano:  </w:t>
      </w:r>
    </w:p>
    <w:p w14:paraId="1794251D" w14:textId="77777777" w:rsidR="00155C27" w:rsidRPr="005622BB" w:rsidRDefault="00155C27" w:rsidP="00155C27">
      <w:pPr>
        <w:tabs>
          <w:tab w:val="left" w:pos="3768"/>
        </w:tabs>
        <w:spacing w:after="0" w:line="276" w:lineRule="auto"/>
        <w:jc w:val="both"/>
        <w:rPr>
          <w:rFonts w:ascii="Verdana" w:eastAsia="Calibri" w:hAnsi="Verdana" w:cs="Arial"/>
          <w:lang w:val="es-ES_tradnl" w:eastAsia="es-ES"/>
        </w:rPr>
      </w:pPr>
      <w:r w:rsidRPr="005622BB">
        <w:rPr>
          <w:rFonts w:ascii="Verdana" w:eastAsia="Calibri" w:hAnsi="Verdana" w:cs="Arial"/>
          <w:lang w:val="es-ES_tradnl" w:eastAsia="es-ES"/>
        </w:rPr>
        <w:tab/>
      </w:r>
    </w:p>
    <w:p w14:paraId="2960955D" w14:textId="77777777" w:rsidR="00155C27" w:rsidRPr="005622BB" w:rsidRDefault="00155C27" w:rsidP="00155C27">
      <w:pPr>
        <w:snapToGrid w:val="0"/>
        <w:spacing w:after="0" w:line="276" w:lineRule="auto"/>
        <w:jc w:val="both"/>
        <w:rPr>
          <w:rFonts w:ascii="Verdana" w:eastAsia="Calibri" w:hAnsi="Verdana" w:cs="Arial"/>
          <w:lang w:val="es-ES_tradnl" w:eastAsia="es-ES"/>
        </w:rPr>
      </w:pPr>
      <w:r w:rsidRPr="005622BB">
        <w:rPr>
          <w:rFonts w:ascii="Verdana" w:eastAsia="Calibri" w:hAnsi="Verdana" w:cs="Arial"/>
          <w:lang w:val="es-ES_tradnl" w:eastAsia="es-ES"/>
        </w:rPr>
        <w:t>En ejercicio de la competencia otorgada por los artículos 3, numeral 5º, y 11, numeral 8º, del Decreto Ley 4170 de 2011,</w:t>
      </w:r>
      <w:r w:rsidRPr="005622BB">
        <w:rPr>
          <w:rFonts w:ascii="Verdana" w:eastAsia="Arial MT" w:hAnsi="Verdana" w:cs="Arial MT"/>
          <w:lang w:val="es-ES_tradnl" w:eastAsia="es-ES"/>
        </w:rPr>
        <w:t xml:space="preserve"> </w:t>
      </w:r>
      <w:r w:rsidRPr="005622BB">
        <w:rPr>
          <w:rFonts w:ascii="Verdana" w:eastAsia="Calibri" w:hAnsi="Verdana" w:cs="Arial"/>
          <w:lang w:val="es-ES_tradnl"/>
        </w:rPr>
        <w:t xml:space="preserve">así como lo establecido en el artículo 4 de la Resolución 1707 de 2018 expedida por esta Entidad, </w:t>
      </w:r>
      <w:r w:rsidRPr="005622BB">
        <w:rPr>
          <w:rFonts w:ascii="Verdana" w:eastAsia="Calibri" w:hAnsi="Verdana" w:cs="Arial"/>
          <w:lang w:val="es-ES_tradnl" w:eastAsia="es-ES"/>
        </w:rPr>
        <w:t>la Agencia Nacional de Contratación Pública – Colombia Compra Eficiente– responde su solicitud de consulta de fecha 19 de noviembre de 2024, la cual indica:</w:t>
      </w:r>
    </w:p>
    <w:p w14:paraId="794EE3BA" w14:textId="77777777" w:rsidR="00155C27" w:rsidRPr="005622BB" w:rsidRDefault="00155C27" w:rsidP="00155C27">
      <w:pPr>
        <w:tabs>
          <w:tab w:val="left" w:pos="142"/>
          <w:tab w:val="left" w:pos="284"/>
        </w:tabs>
        <w:snapToGrid w:val="0"/>
        <w:spacing w:after="0" w:line="240" w:lineRule="auto"/>
        <w:jc w:val="both"/>
        <w:rPr>
          <w:rFonts w:ascii="Verdana" w:eastAsia="Century Gothic" w:hAnsi="Verdana" w:cs="Century Gothic"/>
          <w:b/>
          <w:bCs/>
          <w:lang w:val="es-ES_tradnl"/>
        </w:rPr>
      </w:pPr>
    </w:p>
    <w:p w14:paraId="628359B1" w14:textId="77777777" w:rsidR="00155C27" w:rsidRPr="005622BB" w:rsidRDefault="00155C27" w:rsidP="00155C27">
      <w:pPr>
        <w:snapToGrid w:val="0"/>
        <w:spacing w:after="0" w:line="240" w:lineRule="auto"/>
        <w:ind w:left="720" w:right="709"/>
        <w:jc w:val="both"/>
        <w:rPr>
          <w:rFonts w:ascii="Verdana" w:eastAsia="Century Gothic" w:hAnsi="Verdana" w:cs="Century Gothic"/>
        </w:rPr>
      </w:pPr>
      <w:r w:rsidRPr="005622BB">
        <w:rPr>
          <w:rFonts w:ascii="Verdana" w:eastAsia="Century Gothic" w:hAnsi="Verdana" w:cs="Century Gothic"/>
          <w:lang w:val="es-ES_tradnl"/>
        </w:rPr>
        <w:t>“</w:t>
      </w:r>
      <w:r w:rsidRPr="005622BB">
        <w:rPr>
          <w:rFonts w:ascii="Verdana" w:eastAsia="Century Gothic" w:hAnsi="Verdana" w:cs="Century Gothic"/>
        </w:rPr>
        <w:t>De conformidad con el numeral 8 del artículo 2.2.1.1.2.1.1 del Decreto No. 1082 de 2015, que establece:</w:t>
      </w:r>
    </w:p>
    <w:p w14:paraId="6414D6B5" w14:textId="77777777" w:rsidR="00155C27" w:rsidRPr="005622BB" w:rsidRDefault="00155C27" w:rsidP="00155C27">
      <w:pPr>
        <w:snapToGrid w:val="0"/>
        <w:spacing w:after="0" w:line="240" w:lineRule="auto"/>
        <w:ind w:left="720" w:right="709"/>
        <w:jc w:val="both"/>
        <w:rPr>
          <w:rFonts w:ascii="Verdana" w:eastAsia="Century Gothic" w:hAnsi="Verdana" w:cs="Century Gothic"/>
        </w:rPr>
      </w:pPr>
      <w:r w:rsidRPr="005622BB">
        <w:rPr>
          <w:rFonts w:ascii="Verdana" w:eastAsia="Century Gothic" w:hAnsi="Verdana" w:cs="Century Gothic"/>
          <w:i/>
          <w:iCs/>
        </w:rPr>
        <w:t>ARTÍCULO 2.2.1.1.2.1.1. Estudios y documentos previos.</w:t>
      </w:r>
      <w:r w:rsidRPr="005622BB">
        <w:rPr>
          <w:rFonts w:ascii="Verdana" w:eastAsia="Century Gothic" w:hAnsi="Verdana" w:cs="Century Gothic"/>
        </w:rPr>
        <w:t xml:space="preserve"> Los estudios y documentos previos son el soporte para elaborar el proyecto de pliegos, los pliegos de condiciones y el contrato. Estos deben permanecer a disposición del público durante el desarrollo </w:t>
      </w:r>
      <w:r w:rsidRPr="005622BB">
        <w:rPr>
          <w:rFonts w:ascii="Verdana" w:eastAsia="Century Gothic" w:hAnsi="Verdana" w:cs="Century Gothic"/>
        </w:rPr>
        <w:lastRenderedPageBreak/>
        <w:t>del Proceso de Contratación y contener los siguientes elementos, además de los indicados para cada modalidad de selección:</w:t>
      </w:r>
    </w:p>
    <w:p w14:paraId="0E7DBDD1"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La descripción de la necesidad que la Entidad Estatal pretende satisfacer con el Proceso de Contratación.</w:t>
      </w:r>
    </w:p>
    <w:p w14:paraId="08E7A929"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El objeto a contratar, con sus especificaciones, las autorizaciones, permisos y licencias requeridos para su ejecución, y cuando el contrato incluye diseño y construcción, los documentos técnicos para el desarrollo del proyecto.</w:t>
      </w:r>
    </w:p>
    <w:p w14:paraId="3A514025"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La modalidad de selección del contratista y su justificación, incluyendo los fundamentos jurídicos.</w:t>
      </w:r>
    </w:p>
    <w:p w14:paraId="5A169266"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w:t>
      </w:r>
    </w:p>
    <w:p w14:paraId="2EFB2D6B"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Los criterios para seleccionar la oferta más favorable.</w:t>
      </w:r>
    </w:p>
    <w:p w14:paraId="750A3DF4"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El análisis de riesgo y la forma de mitigarlo.</w:t>
      </w:r>
    </w:p>
    <w:p w14:paraId="24F7C2E9"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Las garantías que la Entidad Estatal contempla exigir en el proceso de contratación.</w:t>
      </w:r>
    </w:p>
    <w:p w14:paraId="4FFD357E" w14:textId="77777777" w:rsidR="00155C27" w:rsidRPr="005622BB" w:rsidRDefault="00155C27" w:rsidP="00155C27">
      <w:pPr>
        <w:numPr>
          <w:ilvl w:val="0"/>
          <w:numId w:val="20"/>
        </w:numPr>
        <w:snapToGrid w:val="0"/>
        <w:spacing w:after="0" w:line="240" w:lineRule="auto"/>
        <w:ind w:right="709"/>
        <w:jc w:val="both"/>
        <w:rPr>
          <w:rFonts w:ascii="Verdana" w:eastAsia="Century Gothic" w:hAnsi="Verdana" w:cs="Century Gothic"/>
        </w:rPr>
      </w:pPr>
      <w:r w:rsidRPr="005622BB">
        <w:rPr>
          <w:rFonts w:ascii="Verdana" w:eastAsia="Century Gothic" w:hAnsi="Verdana" w:cs="Century Gothic"/>
        </w:rPr>
        <w:t>La indicación de si el proceso de contratación está cobijado por un acuerdo comercial. </w:t>
      </w:r>
      <w:r w:rsidRPr="005622BB">
        <w:rPr>
          <w:rFonts w:ascii="Verdana" w:eastAsia="Century Gothic" w:hAnsi="Verdana" w:cs="Century Gothic"/>
          <w:i/>
          <w:iCs/>
        </w:rPr>
        <w:t>El presente artículo no es aplicable a la contratación por mínima cuantía.</w:t>
      </w:r>
    </w:p>
    <w:p w14:paraId="3FF9FC3D" w14:textId="77777777" w:rsidR="00155C27" w:rsidRPr="005622BB" w:rsidRDefault="00155C27" w:rsidP="00155C27">
      <w:pPr>
        <w:snapToGrid w:val="0"/>
        <w:spacing w:after="0" w:line="240" w:lineRule="auto"/>
        <w:ind w:left="720" w:right="709"/>
        <w:jc w:val="both"/>
        <w:rPr>
          <w:rFonts w:ascii="Verdana" w:eastAsia="Century Gothic" w:hAnsi="Verdana" w:cs="Century Gothic"/>
        </w:rPr>
      </w:pPr>
      <w:r w:rsidRPr="005622BB">
        <w:rPr>
          <w:rFonts w:ascii="Verdana" w:eastAsia="Century Gothic" w:hAnsi="Verdana" w:cs="Century Gothic"/>
        </w:rPr>
        <w:t>Además, en el Concepto N° C-203 de 2022 de la Agencia Nacional de Contratación Pública, emitido el 13 de abril de 2022, se indicó:</w:t>
      </w:r>
    </w:p>
    <w:p w14:paraId="744E855A" w14:textId="77777777" w:rsidR="00155C27" w:rsidRPr="005622BB" w:rsidRDefault="00155C27" w:rsidP="00155C27">
      <w:pPr>
        <w:snapToGrid w:val="0"/>
        <w:spacing w:after="0" w:line="240" w:lineRule="auto"/>
        <w:ind w:left="720" w:right="709"/>
        <w:jc w:val="both"/>
        <w:rPr>
          <w:rFonts w:ascii="Verdana" w:eastAsia="Century Gothic" w:hAnsi="Verdana" w:cs="Century Gothic"/>
        </w:rPr>
      </w:pPr>
      <w:r w:rsidRPr="005622BB">
        <w:rPr>
          <w:rFonts w:ascii="Verdana" w:eastAsia="Century Gothic" w:hAnsi="Verdana" w:cs="Century Gothic"/>
          <w:i/>
          <w:iCs/>
        </w:rPr>
        <w:t>“…En todo caso, se resalta que, por regla general, los umbrales que establecen los Acuerdos Comerciales son superiores al valor máximo de la mínima cuantía y, por tanto, en razón del umbral, los procesos de contratación mediante la modalidad de mínima cuantía, generalmente, no resultarían cubiertos por los Acuerdos Comerciales.”</w:t>
      </w:r>
    </w:p>
    <w:p w14:paraId="035EBBB2" w14:textId="77777777" w:rsidR="00155C27" w:rsidRPr="005622BB" w:rsidRDefault="00155C27" w:rsidP="00155C27">
      <w:pPr>
        <w:snapToGrid w:val="0"/>
        <w:spacing w:after="0" w:line="240" w:lineRule="auto"/>
        <w:ind w:left="720" w:right="709"/>
        <w:jc w:val="both"/>
        <w:rPr>
          <w:rFonts w:ascii="Verdana" w:eastAsia="Century Gothic" w:hAnsi="Verdana" w:cs="Century Gothic"/>
        </w:rPr>
      </w:pPr>
      <w:r w:rsidRPr="005622BB">
        <w:rPr>
          <w:rFonts w:ascii="Verdana" w:eastAsia="Century Gothic" w:hAnsi="Verdana" w:cs="Century Gothic"/>
        </w:rPr>
        <w:t>En ese orden de ideas, la solicitud es aclarar si los acuerdos comerciales deben incluirse en los estudios previos, teniendo en cuenta que en la Alcaldía de Chía se está interpretando de manera diferente, afirmando que, según el manual, es obligatorio que los procesos de mínima cuantía estén cubiertos por acuerdos comerciales.</w:t>
      </w:r>
      <w:r w:rsidRPr="005622BB">
        <w:rPr>
          <w:rFonts w:ascii="Verdana" w:eastAsia="Century Gothic" w:hAnsi="Verdana" w:cs="Century Gothic"/>
          <w:i/>
          <w:iCs/>
          <w:lang w:val="es-ES"/>
        </w:rPr>
        <w:t>?”</w:t>
      </w:r>
    </w:p>
    <w:p w14:paraId="645341A7" w14:textId="77777777" w:rsidR="00155C27" w:rsidRPr="005622BB" w:rsidRDefault="00155C27" w:rsidP="00155C27">
      <w:pPr>
        <w:tabs>
          <w:tab w:val="left" w:pos="142"/>
          <w:tab w:val="left" w:pos="284"/>
        </w:tabs>
        <w:spacing w:line="276" w:lineRule="auto"/>
        <w:contextualSpacing/>
        <w:jc w:val="both"/>
        <w:rPr>
          <w:rFonts w:ascii="Verdana" w:eastAsia="Century Gothic" w:hAnsi="Verdana" w:cs="Century Gothic"/>
          <w:b/>
          <w:bCs/>
          <w:lang w:val="es-ES_tradnl"/>
        </w:rPr>
      </w:pPr>
    </w:p>
    <w:p w14:paraId="690A8107" w14:textId="77777777" w:rsidR="00155C27" w:rsidRPr="005622BB" w:rsidRDefault="00155C27" w:rsidP="00155C27">
      <w:pPr>
        <w:spacing w:after="120" w:line="276" w:lineRule="auto"/>
        <w:ind w:firstLine="709"/>
        <w:jc w:val="both"/>
        <w:rPr>
          <w:rFonts w:ascii="Verdana" w:eastAsia="Calibri" w:hAnsi="Verdana" w:cs="Arial"/>
          <w:lang w:val="es-ES" w:eastAsia="es-ES"/>
        </w:rPr>
      </w:pPr>
      <w:r w:rsidRPr="005622B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5622BB">
        <w:rPr>
          <w:rFonts w:ascii="Verdana" w:eastAsia="Calibri" w:hAnsi="Verdana" w:cs="Arial"/>
          <w:lang w:val="es-ES" w:eastAsia="es-ES"/>
        </w:rPr>
        <w:lastRenderedPageBreak/>
        <w:t xml:space="preserve">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622BB">
        <w:rPr>
          <w:rFonts w:ascii="Verdana" w:eastAsia="Calibri" w:hAnsi="Verdana" w:cs="Times New Roman"/>
        </w:rPr>
        <w:tab/>
      </w:r>
    </w:p>
    <w:p w14:paraId="5304CFD2" w14:textId="77777777" w:rsidR="00155C27" w:rsidRPr="005622BB" w:rsidRDefault="00155C27" w:rsidP="00155C27">
      <w:pPr>
        <w:snapToGrid w:val="0"/>
        <w:spacing w:after="0" w:line="276" w:lineRule="auto"/>
        <w:ind w:firstLine="709"/>
        <w:jc w:val="both"/>
        <w:rPr>
          <w:rFonts w:ascii="Verdana" w:eastAsia="Calibri" w:hAnsi="Verdana" w:cs="Arial"/>
          <w:lang w:val="es-ES_tradnl" w:eastAsia="es-ES"/>
        </w:rPr>
      </w:pPr>
      <w:r w:rsidRPr="005622BB">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AA582CD" w14:textId="77777777" w:rsidR="00155C27" w:rsidRPr="005622BB" w:rsidRDefault="00155C27" w:rsidP="00155C27">
      <w:pPr>
        <w:snapToGrid w:val="0"/>
        <w:spacing w:after="0" w:line="276" w:lineRule="auto"/>
        <w:ind w:firstLine="709"/>
        <w:jc w:val="both"/>
        <w:rPr>
          <w:rFonts w:ascii="Verdana" w:eastAsia="Calibri" w:hAnsi="Verdana" w:cs="Arial"/>
          <w:lang w:val="es-ES_tradnl" w:eastAsia="es-ES"/>
        </w:rPr>
      </w:pPr>
    </w:p>
    <w:p w14:paraId="3A97F8AB" w14:textId="77777777" w:rsidR="00155C27" w:rsidRPr="005622BB" w:rsidRDefault="00155C27" w:rsidP="00155C27">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5622BB">
        <w:rPr>
          <w:rFonts w:ascii="Verdana" w:eastAsia="Century Gothic" w:hAnsi="Verdana" w:cs="Century Gothic"/>
          <w:b/>
          <w:bCs/>
          <w:lang w:val="es-ES_tradnl"/>
        </w:rPr>
        <w:t>Problema planteado:</w:t>
      </w:r>
    </w:p>
    <w:p w14:paraId="732B9E3F" w14:textId="77777777" w:rsidR="00155C27" w:rsidRPr="005622BB" w:rsidRDefault="00155C27" w:rsidP="00155C27">
      <w:pPr>
        <w:tabs>
          <w:tab w:val="left" w:pos="426"/>
        </w:tabs>
        <w:snapToGrid w:val="0"/>
        <w:spacing w:after="0" w:line="276" w:lineRule="auto"/>
        <w:jc w:val="both"/>
        <w:rPr>
          <w:rFonts w:ascii="Verdana" w:eastAsia="Century Gothic" w:hAnsi="Verdana" w:cs="Century Gothic"/>
          <w:lang w:val="es-ES_tradnl"/>
        </w:rPr>
      </w:pPr>
    </w:p>
    <w:p w14:paraId="6B62C6D4" w14:textId="77777777" w:rsidR="00155C27" w:rsidRPr="005622BB" w:rsidRDefault="00155C27" w:rsidP="00155C27">
      <w:pPr>
        <w:snapToGrid w:val="0"/>
        <w:spacing w:after="0" w:line="276" w:lineRule="auto"/>
        <w:jc w:val="both"/>
        <w:rPr>
          <w:rFonts w:ascii="Verdana" w:eastAsia="Century Gothic" w:hAnsi="Verdana" w:cs="Century Gothic"/>
        </w:rPr>
      </w:pPr>
      <w:r w:rsidRPr="005622BB">
        <w:rPr>
          <w:rFonts w:ascii="Verdana" w:eastAsia="Century Gothic" w:hAnsi="Verdana" w:cs="Century Gothic"/>
          <w:lang w:val="es-ES"/>
        </w:rPr>
        <w:t>De acuerdo con el contenido de su solicitud, esta Agencia resolverá el siguiente problema jurídico: ¿</w:t>
      </w:r>
      <w:r w:rsidRPr="005622BB">
        <w:rPr>
          <w:rFonts w:ascii="Verdana" w:eastAsia="Century Gothic" w:hAnsi="Verdana" w:cs="Century Gothic"/>
        </w:rPr>
        <w:t>Están obligadas las entidades estatales a aplicar los acuerdos comerciales en los procesos de contratación de mínima cuantía? </w:t>
      </w:r>
    </w:p>
    <w:p w14:paraId="47729B3E" w14:textId="77777777" w:rsidR="00155C27" w:rsidRPr="005622BB" w:rsidRDefault="00155C27" w:rsidP="00155C27">
      <w:pPr>
        <w:snapToGrid w:val="0"/>
        <w:spacing w:after="0" w:line="276" w:lineRule="auto"/>
        <w:jc w:val="both"/>
        <w:rPr>
          <w:rFonts w:ascii="Verdana" w:eastAsia="Century Gothic" w:hAnsi="Verdana" w:cs="Century Gothic"/>
          <w:lang w:val="es-ES"/>
        </w:rPr>
      </w:pPr>
    </w:p>
    <w:p w14:paraId="12BA667A" w14:textId="77777777" w:rsidR="00155C27" w:rsidRPr="005622BB" w:rsidRDefault="00155C27" w:rsidP="00155C27">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5622BB">
        <w:rPr>
          <w:rFonts w:ascii="Verdana" w:eastAsia="Century Gothic" w:hAnsi="Verdana" w:cs="Century Gothic"/>
          <w:b/>
          <w:bCs/>
          <w:lang w:val="es-ES_tradnl"/>
        </w:rPr>
        <w:t>Respuesta:</w:t>
      </w:r>
    </w:p>
    <w:p w14:paraId="13FA1EB4" w14:textId="77777777" w:rsidR="00155C27" w:rsidRPr="005622BB" w:rsidRDefault="00155C27" w:rsidP="00155C27">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55C27" w:rsidRPr="005622BB" w14:paraId="232BF79D" w14:textId="77777777" w:rsidTr="000E4E64">
        <w:tc>
          <w:tcPr>
            <w:tcW w:w="8828" w:type="dxa"/>
            <w:shd w:val="clear" w:color="auto" w:fill="auto"/>
          </w:tcPr>
          <w:p w14:paraId="7D78A4B2" w14:textId="77777777" w:rsidR="00155C27" w:rsidRPr="005622BB" w:rsidRDefault="00155C27" w:rsidP="000E4E64">
            <w:pPr>
              <w:widowControl w:val="0"/>
              <w:autoSpaceDE w:val="0"/>
              <w:autoSpaceDN w:val="0"/>
              <w:spacing w:beforeLines="120" w:before="288" w:line="276" w:lineRule="auto"/>
              <w:contextualSpacing/>
              <w:jc w:val="both"/>
              <w:rPr>
                <w:rFonts w:ascii="Verdana" w:eastAsia="Calibri" w:hAnsi="Verdana" w:cs="Arial"/>
              </w:rPr>
            </w:pPr>
            <w:r w:rsidRPr="005622BB">
              <w:rPr>
                <w:rFonts w:ascii="Verdana" w:eastAsia="Calibri" w:hAnsi="Verdana" w:cs="Arial"/>
              </w:rPr>
              <w:t>Los Acuerdos Comerciales son tratados internacionales celebrados entre Estados e incorporados a los ordenamientos nacionales, cuyo contenido consagra derechos y obligaciones en distintas materias, entre estas las compras públicas. Por esta razón, las Entidades Estatales tienen la obligación de identificar los Acuerdo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–umbrales–; y iii) las excepciones a la aplicación del Acuerdo Comercial.</w:t>
            </w:r>
          </w:p>
          <w:p w14:paraId="1853418B" w14:textId="77777777" w:rsidR="00155C27" w:rsidRDefault="00155C27" w:rsidP="000E4E64">
            <w:pPr>
              <w:spacing w:before="120" w:after="120" w:line="276" w:lineRule="auto"/>
              <w:jc w:val="both"/>
              <w:rPr>
                <w:rFonts w:ascii="Verdana" w:eastAsia="Calibri" w:hAnsi="Verdana" w:cs="Arial"/>
              </w:rPr>
            </w:pPr>
            <w:r w:rsidRPr="005622BB">
              <w:rPr>
                <w:rFonts w:ascii="Verdana" w:eastAsia="Calibri" w:hAnsi="Verdana" w:cs="Arial"/>
              </w:rPr>
              <w:t xml:space="preserve">Adicionalmente, resulta a bien recalcar que el “Manual para el manejo de los Acuerdos Comerciales en Procesos de Contratación” expedido por la Agencia Nacional de Contratación Pública – Colombia Compra Eficiente, constituye una herramienta orientadora para conocer la cobertura, excepciones y los plazos </w:t>
            </w:r>
            <w:r w:rsidRPr="005622BB">
              <w:rPr>
                <w:rFonts w:ascii="Verdana" w:eastAsia="Calibri" w:hAnsi="Verdana" w:cs="Arial"/>
              </w:rPr>
              <w:lastRenderedPageBreak/>
              <w:t>correspondientes contemplados en los Acuerdos Comerciales. Sin embargo, el uso de dicho manual no exime a la entidad de deber de conocer y aplicar cada Acuerdo Comercial.</w:t>
            </w:r>
          </w:p>
          <w:p w14:paraId="4D063528" w14:textId="77777777" w:rsidR="00155C27" w:rsidRDefault="00155C27" w:rsidP="000E4E64">
            <w:pPr>
              <w:spacing w:before="120" w:after="120" w:line="276" w:lineRule="auto"/>
              <w:jc w:val="both"/>
              <w:rPr>
                <w:rFonts w:ascii="Verdana" w:eastAsia="Calibri" w:hAnsi="Verdana" w:cs="Arial"/>
              </w:rPr>
            </w:pPr>
            <w:r>
              <w:rPr>
                <w:rFonts w:ascii="Verdana" w:eastAsia="Calibri" w:hAnsi="Verdana" w:cs="Arial"/>
              </w:rPr>
              <w:t xml:space="preserve">En este sentido, la Entidad estatal deber de realizar el análisis de cada uno de los acuerdos comerciales con el fin de determinar si aplica o no en el proceso de selección que se encuentra adelantando independiente de su modalidad de contratación. En ese orden de ideas, </w:t>
            </w:r>
            <w:r w:rsidRPr="00681B8B">
              <w:rPr>
                <w:rFonts w:ascii="Verdana" w:eastAsia="Calibri" w:hAnsi="Verdana" w:cs="Arial"/>
              </w:rPr>
              <w:t xml:space="preserve">el </w:t>
            </w:r>
            <w:r>
              <w:rPr>
                <w:rFonts w:ascii="Verdana" w:eastAsia="Calibri" w:hAnsi="Verdana" w:cs="Arial"/>
              </w:rPr>
              <w:t>n</w:t>
            </w:r>
            <w:r w:rsidRPr="00681B8B">
              <w:rPr>
                <w:rFonts w:ascii="Verdana" w:eastAsia="Calibri" w:hAnsi="Verdana" w:cs="Arial"/>
              </w:rPr>
              <w:t>umeral 8 del artículo 2.2.1..1.2.1.1</w:t>
            </w:r>
            <w:r>
              <w:rPr>
                <w:rFonts w:ascii="Verdana" w:eastAsia="Calibri" w:hAnsi="Verdana" w:cs="Arial"/>
              </w:rPr>
              <w:t xml:space="preserve"> “de los estudios y documentos previos del proceso de contratación en general”</w:t>
            </w:r>
            <w:r w:rsidRPr="00681B8B">
              <w:rPr>
                <w:rFonts w:ascii="Verdana" w:eastAsia="Calibri" w:hAnsi="Verdana" w:cs="Arial"/>
              </w:rPr>
              <w:t xml:space="preserve"> del Decreto 1082 de 2015</w:t>
            </w:r>
            <w:r>
              <w:rPr>
                <w:rFonts w:ascii="Verdana" w:eastAsia="Calibri" w:hAnsi="Verdana" w:cs="Arial"/>
              </w:rPr>
              <w:t xml:space="preserve"> </w:t>
            </w:r>
            <w:r w:rsidRPr="008043A5">
              <w:rPr>
                <w:rFonts w:ascii="Verdana" w:eastAsia="Calibri" w:hAnsi="Verdana" w:cs="Arial"/>
              </w:rPr>
              <w:t>Modificado por el Art. </w:t>
            </w:r>
            <w:hyperlink r:id="rId12" w:anchor="1" w:history="1">
              <w:r w:rsidRPr="008043A5">
                <w:rPr>
                  <w:rStyle w:val="Hipervnculo"/>
                  <w:rFonts w:ascii="Verdana" w:eastAsia="Calibri" w:hAnsi="Verdana" w:cs="Arial"/>
                </w:rPr>
                <w:t>1</w:t>
              </w:r>
            </w:hyperlink>
            <w:r w:rsidRPr="008043A5">
              <w:rPr>
                <w:rFonts w:ascii="Verdana" w:eastAsia="Calibri" w:hAnsi="Verdana" w:cs="Arial"/>
              </w:rPr>
              <w:t> del Decreto 399 de 2021</w:t>
            </w:r>
            <w:r w:rsidRPr="00681B8B">
              <w:rPr>
                <w:rFonts w:ascii="Verdana" w:eastAsia="Calibri" w:hAnsi="Verdana" w:cs="Arial"/>
              </w:rPr>
              <w:t xml:space="preserve">, </w:t>
            </w:r>
            <w:r>
              <w:rPr>
                <w:rFonts w:ascii="Verdana" w:eastAsia="Calibri" w:hAnsi="Verdana" w:cs="Arial"/>
              </w:rPr>
              <w:t xml:space="preserve">dispone que en </w:t>
            </w:r>
            <w:r w:rsidRPr="00681B8B">
              <w:rPr>
                <w:rFonts w:ascii="Verdana" w:eastAsia="Calibri" w:hAnsi="Verdana" w:cs="Arial"/>
              </w:rPr>
              <w:t>los procesos de mínima</w:t>
            </w:r>
            <w:r>
              <w:rPr>
                <w:rFonts w:ascii="Verdana" w:eastAsia="Calibri" w:hAnsi="Verdana" w:cs="Arial"/>
              </w:rPr>
              <w:t xml:space="preserve"> l</w:t>
            </w:r>
            <w:r w:rsidRPr="00681B8B">
              <w:rPr>
                <w:rFonts w:ascii="Verdana" w:eastAsia="Calibri" w:hAnsi="Verdana" w:cs="Arial"/>
              </w:rPr>
              <w:t>a indicación de sí el proceso de contratación está cobijado por un acuerdo comercial no es aplicable</w:t>
            </w:r>
            <w:r>
              <w:rPr>
                <w:rFonts w:ascii="Verdana" w:eastAsia="Calibri" w:hAnsi="Verdana" w:cs="Arial"/>
              </w:rPr>
              <w:t xml:space="preserve">. </w:t>
            </w:r>
          </w:p>
          <w:p w14:paraId="02321A33" w14:textId="77777777" w:rsidR="00155C27" w:rsidRDefault="00155C27" w:rsidP="000E4E64">
            <w:pPr>
              <w:spacing w:before="120" w:after="120" w:line="276" w:lineRule="auto"/>
              <w:jc w:val="both"/>
              <w:rPr>
                <w:rFonts w:ascii="Verdana" w:eastAsia="Calibri" w:hAnsi="Verdana" w:cs="Arial"/>
              </w:rPr>
            </w:pPr>
            <w:r>
              <w:rPr>
                <w:rFonts w:ascii="Verdana" w:eastAsia="Calibri" w:hAnsi="Verdana" w:cs="Arial"/>
              </w:rPr>
              <w:t xml:space="preserve">Por su parte, los artículos </w:t>
            </w:r>
            <w:r w:rsidRPr="009D0E83">
              <w:rPr>
                <w:rFonts w:ascii="Verdana" w:eastAsia="Calibri" w:hAnsi="Verdana" w:cs="Arial"/>
              </w:rPr>
              <w:t>2.2.1.2.1.5.1</w:t>
            </w:r>
            <w:r>
              <w:rPr>
                <w:rFonts w:ascii="Verdana" w:eastAsia="Calibri" w:hAnsi="Verdana" w:cs="Arial"/>
              </w:rPr>
              <w:t xml:space="preserve"> y </w:t>
            </w:r>
            <w:r w:rsidRPr="008043A5">
              <w:rPr>
                <w:rFonts w:ascii="Verdana" w:eastAsia="Calibri" w:hAnsi="Verdana" w:cs="Arial"/>
                <w:b/>
                <w:bCs/>
              </w:rPr>
              <w:t>2.2.1.2.1.5.2.</w:t>
            </w:r>
            <w:r>
              <w:rPr>
                <w:rFonts w:ascii="Verdana" w:eastAsia="Calibri" w:hAnsi="Verdana" w:cs="Arial"/>
              </w:rPr>
              <w:t xml:space="preserve"> ibidem, m</w:t>
            </w:r>
            <w:r w:rsidRPr="008043A5">
              <w:rPr>
                <w:rFonts w:ascii="Verdana" w:eastAsia="Calibri" w:hAnsi="Verdana" w:cs="Arial"/>
              </w:rPr>
              <w:t>odificado</w:t>
            </w:r>
            <w:r>
              <w:rPr>
                <w:rFonts w:ascii="Verdana" w:eastAsia="Calibri" w:hAnsi="Verdana" w:cs="Arial"/>
              </w:rPr>
              <w:t>s</w:t>
            </w:r>
            <w:r w:rsidRPr="008043A5">
              <w:rPr>
                <w:rFonts w:ascii="Verdana" w:eastAsia="Calibri" w:hAnsi="Verdana" w:cs="Arial"/>
              </w:rPr>
              <w:t xml:space="preserve"> por el Artículo </w:t>
            </w:r>
            <w:hyperlink r:id="rId13" w:anchor="5" w:tooltip="vinculo" w:history="1">
              <w:r w:rsidRPr="008043A5">
                <w:rPr>
                  <w:rStyle w:val="Hipervnculo"/>
                  <w:rFonts w:ascii="Verdana" w:eastAsia="Calibri" w:hAnsi="Verdana" w:cs="Arial"/>
                </w:rPr>
                <w:t>5</w:t>
              </w:r>
            </w:hyperlink>
            <w:r w:rsidRPr="008043A5">
              <w:rPr>
                <w:rFonts w:ascii="Verdana" w:eastAsia="Calibri" w:hAnsi="Verdana" w:cs="Arial"/>
              </w:rPr>
              <w:t> del Decreto </w:t>
            </w:r>
            <w:hyperlink r:id="rId14" w:anchor="142" w:tooltip="vinculo" w:history="1">
              <w:r w:rsidRPr="008043A5">
                <w:rPr>
                  <w:rStyle w:val="Hipervnculo"/>
                  <w:rFonts w:ascii="Verdana" w:eastAsia="Calibri" w:hAnsi="Verdana" w:cs="Arial"/>
                </w:rPr>
                <w:t>142</w:t>
              </w:r>
            </w:hyperlink>
            <w:r w:rsidRPr="008043A5">
              <w:rPr>
                <w:rFonts w:ascii="Verdana" w:eastAsia="Calibri" w:hAnsi="Verdana" w:cs="Arial"/>
              </w:rPr>
              <w:t> de 2023</w:t>
            </w:r>
            <w:r>
              <w:rPr>
                <w:rFonts w:ascii="Verdana" w:eastAsia="Calibri" w:hAnsi="Verdana" w:cs="Arial"/>
              </w:rPr>
              <w:t xml:space="preserve"> y m</w:t>
            </w:r>
            <w:r w:rsidRPr="008043A5">
              <w:rPr>
                <w:rFonts w:ascii="Verdana" w:eastAsia="Calibri" w:hAnsi="Verdana" w:cs="Arial"/>
              </w:rPr>
              <w:t>odificado por el Art. </w:t>
            </w:r>
            <w:hyperlink r:id="rId15" w:anchor="2" w:history="1">
              <w:r w:rsidRPr="008043A5">
                <w:rPr>
                  <w:rStyle w:val="Hipervnculo"/>
                  <w:rFonts w:ascii="Verdana" w:eastAsia="Calibri" w:hAnsi="Verdana" w:cs="Arial"/>
                </w:rPr>
                <w:t>2 </w:t>
              </w:r>
            </w:hyperlink>
            <w:r w:rsidRPr="008043A5">
              <w:rPr>
                <w:rFonts w:ascii="Verdana" w:eastAsia="Calibri" w:hAnsi="Verdana" w:cs="Arial"/>
              </w:rPr>
              <w:t>del Decreto 1860 de 2021</w:t>
            </w:r>
            <w:r>
              <w:rPr>
                <w:rFonts w:ascii="Verdana" w:eastAsia="Calibri" w:hAnsi="Verdana" w:cs="Arial"/>
              </w:rPr>
              <w:t xml:space="preserve">, respectivamente, tampoco contemplan en los estudios previos y el procedimiento para la contratación de mínima cuantía la regla de </w:t>
            </w:r>
            <w:r w:rsidRPr="008043A5">
              <w:rPr>
                <w:rFonts w:ascii="Verdana" w:eastAsia="Calibri" w:hAnsi="Verdana" w:cs="Arial"/>
              </w:rPr>
              <w:t>inclu</w:t>
            </w:r>
            <w:r>
              <w:rPr>
                <w:rFonts w:ascii="Verdana" w:eastAsia="Calibri" w:hAnsi="Verdana" w:cs="Arial"/>
              </w:rPr>
              <w:t>sión de</w:t>
            </w:r>
            <w:r w:rsidRPr="008043A5">
              <w:rPr>
                <w:rFonts w:ascii="Verdana" w:eastAsia="Calibri" w:hAnsi="Verdana" w:cs="Arial"/>
              </w:rPr>
              <w:t xml:space="preserve"> los acuerdos comerciales</w:t>
            </w:r>
            <w:r>
              <w:rPr>
                <w:rFonts w:ascii="Verdana" w:eastAsia="Calibri" w:hAnsi="Verdana" w:cs="Arial"/>
              </w:rPr>
              <w:t>, por lo cual la entidad estatal no está obligada</w:t>
            </w:r>
            <w:r w:rsidRPr="008043A5">
              <w:rPr>
                <w:rFonts w:ascii="Verdana" w:eastAsia="Calibri" w:hAnsi="Verdana" w:cs="Arial"/>
              </w:rPr>
              <w:t>.</w:t>
            </w:r>
            <w:r>
              <w:rPr>
                <w:rFonts w:ascii="Verdana" w:eastAsia="Calibri" w:hAnsi="Verdana" w:cs="Arial"/>
              </w:rPr>
              <w:t xml:space="preserve"> Por lo cual la Entidad estatal no está obligada, sin embargo, al no encontrarse prohibición alguna la entidad podrá evaluar su aplicación. En concordancia con lo anterior, e</w:t>
            </w:r>
            <w:r w:rsidRPr="009D0E83">
              <w:rPr>
                <w:rFonts w:ascii="Verdana" w:eastAsia="Calibri" w:hAnsi="Verdana" w:cs="Arial"/>
              </w:rPr>
              <w:t>l numeral 5 del artículo 2 de la Ley 1150</w:t>
            </w:r>
            <w:r>
              <w:rPr>
                <w:rFonts w:ascii="Verdana" w:eastAsia="Calibri" w:hAnsi="Verdana" w:cs="Arial"/>
              </w:rPr>
              <w:t xml:space="preserve"> que regula la modalidad de mínima cuantía</w:t>
            </w:r>
            <w:r w:rsidRPr="009D0E83">
              <w:rPr>
                <w:rFonts w:ascii="Verdana" w:eastAsia="Calibri" w:hAnsi="Verdana" w:cs="Arial"/>
              </w:rPr>
              <w:t xml:space="preserve"> no establece que los acuerdos comerciales hagan parte </w:t>
            </w:r>
            <w:r>
              <w:rPr>
                <w:rFonts w:ascii="Verdana" w:eastAsia="Calibri" w:hAnsi="Verdana" w:cs="Arial"/>
              </w:rPr>
              <w:t>de esta</w:t>
            </w:r>
            <w:r w:rsidRPr="009D0E83">
              <w:rPr>
                <w:rFonts w:ascii="Verdana" w:eastAsia="Calibri" w:hAnsi="Verdana" w:cs="Arial"/>
              </w:rPr>
              <w:t>, es decir, no lo contempla como una regla,</w:t>
            </w:r>
            <w:r>
              <w:rPr>
                <w:rFonts w:ascii="Verdana" w:eastAsia="Calibri" w:hAnsi="Verdana" w:cs="Arial"/>
              </w:rPr>
              <w:t xml:space="preserve"> y en su defecto el decreto reglamentario ibidem si lo establece. Por lo tanto, queda a discreción de la entidad si lo incorpora o no en los estudios previos. </w:t>
            </w:r>
          </w:p>
          <w:p w14:paraId="5723C1C3" w14:textId="77777777" w:rsidR="00155C27" w:rsidRPr="005544D7" w:rsidRDefault="00155C27" w:rsidP="000E4E64">
            <w:pPr>
              <w:spacing w:before="120" w:after="120" w:line="276" w:lineRule="auto"/>
              <w:jc w:val="both"/>
              <w:rPr>
                <w:rFonts w:ascii="Verdana" w:eastAsia="Century Gothic" w:hAnsi="Verdana" w:cs="Century Gothic"/>
              </w:rPr>
            </w:pPr>
            <w:r>
              <w:rPr>
                <w:rFonts w:ascii="Verdana" w:eastAsia="Calibri" w:hAnsi="Verdana" w:cs="Arial"/>
                <w:lang w:val="es-ES"/>
              </w:rPr>
              <w:t>En cuanto</w:t>
            </w:r>
            <w:r w:rsidRPr="008043A5">
              <w:rPr>
                <w:rFonts w:ascii="Verdana" w:eastAsia="Calibri" w:hAnsi="Verdana" w:cs="Arial"/>
                <w:lang w:val="es-ES"/>
              </w:rPr>
              <w:t xml:space="preserve"> </w:t>
            </w:r>
            <w:r>
              <w:rPr>
                <w:rFonts w:ascii="Verdana" w:eastAsia="Calibri" w:hAnsi="Verdana" w:cs="Arial"/>
                <w:lang w:val="es-ES"/>
              </w:rPr>
              <w:t>a</w:t>
            </w:r>
            <w:r w:rsidRPr="008043A5">
              <w:rPr>
                <w:rFonts w:ascii="Verdana" w:eastAsia="Calibri" w:hAnsi="Verdana" w:cs="Arial"/>
                <w:lang w:val="es-ES"/>
              </w:rPr>
              <w:t xml:space="preserve"> limita</w:t>
            </w:r>
            <w:r>
              <w:rPr>
                <w:rFonts w:ascii="Verdana" w:eastAsia="Calibri" w:hAnsi="Verdana" w:cs="Arial"/>
                <w:lang w:val="es-ES"/>
              </w:rPr>
              <w:t>ción de</w:t>
            </w:r>
            <w:r w:rsidRPr="008043A5">
              <w:rPr>
                <w:rFonts w:ascii="Verdana" w:eastAsia="Calibri" w:hAnsi="Verdana" w:cs="Arial"/>
                <w:lang w:val="es-ES"/>
              </w:rPr>
              <w:t xml:space="preserve"> la convocatoria</w:t>
            </w:r>
            <w:r>
              <w:rPr>
                <w:rFonts w:ascii="Verdana" w:eastAsia="Calibri" w:hAnsi="Verdana" w:cs="Arial"/>
                <w:lang w:val="es-ES"/>
              </w:rPr>
              <w:t>,</w:t>
            </w:r>
            <w:r w:rsidRPr="008043A5">
              <w:rPr>
                <w:rFonts w:ascii="Verdana" w:eastAsia="Calibri" w:hAnsi="Verdana" w:cs="Arial"/>
                <w:lang w:val="es-ES"/>
              </w:rPr>
              <w:t xml:space="preserve"> si</w:t>
            </w:r>
            <w:r>
              <w:rPr>
                <w:rFonts w:ascii="Verdana" w:eastAsia="Calibri" w:hAnsi="Verdana" w:cs="Arial"/>
                <w:lang w:val="es-ES"/>
              </w:rPr>
              <w:t xml:space="preserve"> podrá realizar la entidad estatal,</w:t>
            </w:r>
            <w:r w:rsidRPr="008043A5">
              <w:rPr>
                <w:rFonts w:ascii="Verdana" w:eastAsia="Calibri" w:hAnsi="Verdana" w:cs="Arial"/>
                <w:lang w:val="es-ES"/>
              </w:rPr>
              <w:t xml:space="preserve"> a petición de los interesado</w:t>
            </w:r>
            <w:r>
              <w:rPr>
                <w:rFonts w:ascii="Verdana" w:eastAsia="Calibri" w:hAnsi="Verdana" w:cs="Arial"/>
                <w:lang w:val="es-ES"/>
              </w:rPr>
              <w:t>s sí</w:t>
            </w:r>
            <w:r w:rsidRPr="008043A5">
              <w:rPr>
                <w:rFonts w:ascii="Verdana" w:eastAsia="Calibri" w:hAnsi="Verdana" w:cs="Arial"/>
                <w:lang w:val="es-ES"/>
              </w:rPr>
              <w:t xml:space="preserve"> así se dispone. Lo anterior de conformidad con el numeral 3 y parágrafo del artículo 2.2.1.2.1.5.2 </w:t>
            </w:r>
            <w:r w:rsidRPr="00681B8B">
              <w:rPr>
                <w:rFonts w:ascii="Verdana" w:eastAsia="Calibri" w:hAnsi="Verdana" w:cs="Arial"/>
              </w:rPr>
              <w:t>del Decreto 1082 de 2015</w:t>
            </w:r>
            <w:r>
              <w:rPr>
                <w:rFonts w:ascii="Verdana" w:eastAsia="Calibri" w:hAnsi="Verdana" w:cs="Arial"/>
              </w:rPr>
              <w:t xml:space="preserve"> </w:t>
            </w:r>
            <w:r w:rsidRPr="00C2498A">
              <w:rPr>
                <w:rFonts w:ascii="Verdana" w:eastAsia="Calibri" w:hAnsi="Verdana" w:cs="Arial"/>
                <w:lang w:val="es-ES"/>
              </w:rPr>
              <w:t>que señala, “dentro del mismo término para formular observaciones se podrán presentar las solicitudes para limitar la convocatoria a Mipyme colombianas”.</w:t>
            </w:r>
            <w:r w:rsidRPr="005544D7">
              <w:rPr>
                <w:rFonts w:ascii="Verdana" w:eastAsia="Century Gothic" w:hAnsi="Verdana" w:cs="Century Gothic"/>
              </w:rPr>
              <w:t>De igual manera, se reitera lo indicado en el Concepto C-203 de 2022 emitido por esta Agencia el cual establece que, por regla general, los umbrales que establecen los Acuerdos Comerciales son superiores al valor máximo de la mínima cuantía y, por tanto, en razón del umbral, los procesos de contratación mediante la modalidad de mínima cuantía, generalmente, no resultarían cubiertos por los Acuerdos Comerciales.</w:t>
            </w:r>
          </w:p>
          <w:p w14:paraId="11CD2844" w14:textId="77777777" w:rsidR="00155C27" w:rsidRPr="005622BB" w:rsidRDefault="00155C27" w:rsidP="000E4E64">
            <w:pPr>
              <w:spacing w:before="120" w:after="120" w:line="276" w:lineRule="auto"/>
              <w:jc w:val="both"/>
              <w:rPr>
                <w:rFonts w:ascii="Verdana" w:eastAsia="Calibri" w:hAnsi="Verdana" w:cs="Arial"/>
              </w:rPr>
            </w:pPr>
            <w:r w:rsidRPr="005622BB">
              <w:rPr>
                <w:rFonts w:ascii="Verdana" w:eastAsia="Calibri" w:hAnsi="Verdana" w:cs="Arial"/>
              </w:rPr>
              <w:t xml:space="preserve">Finalmente, para los efectos es importante indicar que en caso de que existan dudas sobre la interpretación o alcance de un Acuerdo Comercial, le sugerimos </w:t>
            </w:r>
            <w:r w:rsidRPr="005622BB">
              <w:rPr>
                <w:rFonts w:ascii="Verdana" w:eastAsia="Calibri" w:hAnsi="Verdana" w:cs="Arial"/>
              </w:rPr>
              <w:lastRenderedPageBreak/>
              <w:t>dirigirse a la Oficina de Asuntos Legales Internacionales del Ministerio de Comercio, Industria y Turismo, por ser el competente para resolver dichos asuntos, en virtud de las facultades que le otorgó el Legislador a través del artículo 10 del Decreto Ley 210 de 2003, compilado con el Decreto 1074 de 2015.</w:t>
            </w:r>
          </w:p>
          <w:p w14:paraId="068E7BB1" w14:textId="77777777" w:rsidR="00155C27" w:rsidRPr="005622BB" w:rsidRDefault="00155C27" w:rsidP="000E4E64">
            <w:pPr>
              <w:widowControl w:val="0"/>
              <w:autoSpaceDE w:val="0"/>
              <w:autoSpaceDN w:val="0"/>
              <w:spacing w:line="276" w:lineRule="auto"/>
              <w:contextualSpacing/>
              <w:jc w:val="both"/>
              <w:rPr>
                <w:rFonts w:ascii="Verdana" w:eastAsia="Calibri" w:hAnsi="Verdana" w:cs="Arial"/>
              </w:rPr>
            </w:pPr>
          </w:p>
        </w:tc>
      </w:tr>
    </w:tbl>
    <w:p w14:paraId="68C7125B" w14:textId="77777777" w:rsidR="00155C27" w:rsidRPr="005622BB" w:rsidRDefault="00155C27" w:rsidP="00155C27">
      <w:pPr>
        <w:tabs>
          <w:tab w:val="left" w:pos="142"/>
          <w:tab w:val="left" w:pos="284"/>
        </w:tabs>
        <w:snapToGrid w:val="0"/>
        <w:spacing w:after="0" w:line="276" w:lineRule="auto"/>
        <w:jc w:val="both"/>
        <w:rPr>
          <w:rFonts w:ascii="Verdana" w:eastAsia="Century Gothic" w:hAnsi="Verdana" w:cs="Century Gothic"/>
          <w:b/>
          <w:bCs/>
          <w:lang w:val="es-ES_tradnl"/>
        </w:rPr>
      </w:pPr>
    </w:p>
    <w:p w14:paraId="38182279" w14:textId="77777777" w:rsidR="00155C27" w:rsidRPr="005622BB" w:rsidRDefault="00155C27" w:rsidP="00155C27">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5622BB">
        <w:rPr>
          <w:rFonts w:ascii="Verdana" w:eastAsia="Century Gothic" w:hAnsi="Verdana" w:cs="Century Gothic"/>
          <w:b/>
          <w:bCs/>
          <w:lang w:val="es-ES_tradnl"/>
        </w:rPr>
        <w:t>Razones de la respuesta:</w:t>
      </w:r>
    </w:p>
    <w:p w14:paraId="10EF47A3" w14:textId="77777777" w:rsidR="00155C27" w:rsidRPr="005622BB" w:rsidRDefault="00155C27" w:rsidP="00155C27">
      <w:pPr>
        <w:snapToGrid w:val="0"/>
        <w:spacing w:after="0" w:line="276" w:lineRule="auto"/>
        <w:jc w:val="both"/>
        <w:rPr>
          <w:rFonts w:ascii="Verdana" w:eastAsia="Calibri" w:hAnsi="Verdana" w:cs="Arial"/>
          <w:lang w:val="es-ES_tradnl"/>
        </w:rPr>
      </w:pPr>
    </w:p>
    <w:p w14:paraId="469BFD39" w14:textId="77777777" w:rsidR="00155C27" w:rsidRPr="005622BB" w:rsidRDefault="00155C27" w:rsidP="00155C27">
      <w:pPr>
        <w:snapToGrid w:val="0"/>
        <w:spacing w:after="0" w:line="276" w:lineRule="auto"/>
        <w:jc w:val="both"/>
        <w:rPr>
          <w:rFonts w:ascii="Verdana" w:eastAsia="Calibri" w:hAnsi="Verdana" w:cs="Arial"/>
          <w:lang w:val="es-ES_tradnl"/>
        </w:rPr>
      </w:pPr>
      <w:r w:rsidRPr="005622BB">
        <w:rPr>
          <w:rFonts w:ascii="Verdana" w:eastAsia="Calibri" w:hAnsi="Verdana" w:cs="Arial"/>
          <w:lang w:val="es-ES_tradnl"/>
        </w:rPr>
        <w:t xml:space="preserve">Lo anterior se sustenta en las siguientes consideraciones: </w:t>
      </w:r>
    </w:p>
    <w:p w14:paraId="694E58B5" w14:textId="77777777" w:rsidR="00155C27" w:rsidRPr="005622BB" w:rsidRDefault="00155C27" w:rsidP="00155C27">
      <w:pPr>
        <w:snapToGrid w:val="0"/>
        <w:spacing w:after="0" w:line="276" w:lineRule="auto"/>
        <w:jc w:val="both"/>
        <w:rPr>
          <w:rFonts w:ascii="Verdana" w:eastAsia="Calibri" w:hAnsi="Verdana" w:cs="Arial"/>
          <w:lang w:val="es-ES_tradnl"/>
        </w:rPr>
      </w:pPr>
    </w:p>
    <w:p w14:paraId="7DAE1242" w14:textId="77777777" w:rsidR="00155C27" w:rsidRPr="005544D7" w:rsidRDefault="00155C27" w:rsidP="00155C27">
      <w:pPr>
        <w:pStyle w:val="Prrafodelista"/>
        <w:numPr>
          <w:ilvl w:val="0"/>
          <w:numId w:val="21"/>
        </w:numPr>
        <w:spacing w:after="0" w:line="240" w:lineRule="auto"/>
        <w:ind w:right="62"/>
        <w:jc w:val="both"/>
        <w:rPr>
          <w:rFonts w:ascii="Verdana" w:eastAsia="Calibri" w:hAnsi="Verdana" w:cs="Arial"/>
          <w:bCs/>
          <w:color w:val="000000" w:themeColor="text1"/>
          <w:lang w:val="es-ES_tradnl"/>
        </w:rPr>
      </w:pPr>
      <w:r w:rsidRPr="005544D7">
        <w:rPr>
          <w:rFonts w:ascii="Verdana" w:eastAsia="Calibri" w:hAnsi="Verdana" w:cs="Arial"/>
          <w:bCs/>
          <w:color w:val="000000" w:themeColor="text1"/>
          <w:lang w:val="es-ES_tradnl"/>
        </w:rPr>
        <w:t xml:space="preserve">La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 –que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 </w:t>
      </w:r>
    </w:p>
    <w:p w14:paraId="19FF6D82" w14:textId="77777777" w:rsidR="00155C27" w:rsidRPr="005544D7" w:rsidRDefault="00155C27" w:rsidP="00155C27">
      <w:pPr>
        <w:pStyle w:val="Prrafodelista"/>
        <w:spacing w:after="0" w:line="240" w:lineRule="auto"/>
        <w:jc w:val="both"/>
        <w:rPr>
          <w:rFonts w:ascii="Verdana" w:eastAsia="Calibri" w:hAnsi="Verdana" w:cs="Arial"/>
          <w:bCs/>
          <w:color w:val="000000" w:themeColor="text1"/>
          <w:lang w:val="es-ES_tradnl"/>
        </w:rPr>
      </w:pPr>
    </w:p>
    <w:p w14:paraId="7718CDB2" w14:textId="77777777" w:rsidR="00155C27" w:rsidRPr="005544D7" w:rsidRDefault="00155C27" w:rsidP="00155C27">
      <w:pPr>
        <w:pStyle w:val="Prrafodelista"/>
        <w:numPr>
          <w:ilvl w:val="0"/>
          <w:numId w:val="21"/>
        </w:numPr>
        <w:spacing w:after="0" w:line="240" w:lineRule="auto"/>
        <w:jc w:val="both"/>
        <w:rPr>
          <w:rFonts w:ascii="Verdana" w:eastAsia="Calibri" w:hAnsi="Verdana" w:cs="Arial"/>
          <w:bCs/>
          <w:color w:val="000000" w:themeColor="text1"/>
          <w:lang w:val="es-ES_tradnl"/>
        </w:rPr>
      </w:pPr>
      <w:r w:rsidRPr="005544D7">
        <w:rPr>
          <w:rFonts w:ascii="Verdana" w:eastAsia="Calibri" w:hAnsi="Verdana" w:cs="Arial"/>
          <w:bCs/>
          <w:color w:val="000000" w:themeColor="text1"/>
          <w:lang w:val="es-ES_tradnl"/>
        </w:rPr>
        <w:t xml:space="preserve">Dicho de otro modo, la mínima cuantía es un procedimiento de selección excepcional,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 y lo segundo, porque sus requisitos, etapas y términos son peculiares. </w:t>
      </w:r>
    </w:p>
    <w:p w14:paraId="0D980BB8" w14:textId="77777777" w:rsidR="00155C27" w:rsidRPr="005544D7" w:rsidRDefault="00155C27" w:rsidP="00155C27">
      <w:pPr>
        <w:pStyle w:val="Prrafodelista"/>
        <w:spacing w:after="0" w:line="240" w:lineRule="auto"/>
        <w:jc w:val="both"/>
        <w:rPr>
          <w:rFonts w:ascii="Verdana" w:eastAsia="Calibri" w:hAnsi="Verdana" w:cs="Arial"/>
          <w:bCs/>
          <w:color w:val="000000" w:themeColor="text1"/>
          <w:lang w:val="es-ES_tradnl"/>
        </w:rPr>
      </w:pPr>
    </w:p>
    <w:p w14:paraId="1D06549B" w14:textId="77777777" w:rsidR="00155C27" w:rsidRPr="005544D7" w:rsidRDefault="00155C27" w:rsidP="00155C27">
      <w:pPr>
        <w:pStyle w:val="Prrafodelista"/>
        <w:numPr>
          <w:ilvl w:val="0"/>
          <w:numId w:val="21"/>
        </w:numPr>
        <w:spacing w:after="0" w:line="240" w:lineRule="auto"/>
        <w:jc w:val="both"/>
        <w:rPr>
          <w:rFonts w:ascii="Verdana" w:eastAsia="Calibri" w:hAnsi="Verdana" w:cs="Arial"/>
          <w:bCs/>
          <w:color w:val="000000" w:themeColor="text1"/>
          <w:lang w:val="es-ES_tradnl"/>
        </w:rPr>
      </w:pPr>
      <w:r w:rsidRPr="005544D7">
        <w:rPr>
          <w:rFonts w:ascii="Verdana" w:eastAsia="Calibri" w:hAnsi="Verdana" w:cs="Arial"/>
          <w:bCs/>
          <w:color w:val="000000" w:themeColor="text1"/>
          <w:lang w:val="es-ES_tradnl"/>
        </w:rPr>
        <w:t>Cabe precisar que la disposición indicada anteriormente, esto es el artículo 94 de la Ley 1474 de 2011 –que adicionó el numeral 5º al artículo 2 de la Ley 1150 de 2007– ha sido modificada en distintas ocasiones, siendo la norma vigente que fundamenta la modalidad de mínima cuantía actualmente el artículo 30 de la Ley 2069 de 2020, como se procederá a explicar.</w:t>
      </w:r>
    </w:p>
    <w:p w14:paraId="16E89215" w14:textId="77777777" w:rsidR="00155C27" w:rsidRPr="006934CD" w:rsidRDefault="00155C27" w:rsidP="00155C27">
      <w:pPr>
        <w:pStyle w:val="Prrafodelista"/>
        <w:numPr>
          <w:ilvl w:val="0"/>
          <w:numId w:val="21"/>
        </w:numPr>
        <w:spacing w:before="120" w:after="0" w:line="276" w:lineRule="auto"/>
        <w:jc w:val="both"/>
        <w:rPr>
          <w:rFonts w:ascii="Verdana" w:eastAsia="Calibri" w:hAnsi="Verdana" w:cs="Arial"/>
          <w:bCs/>
          <w:strike/>
          <w:color w:val="000000" w:themeColor="text1"/>
          <w:lang w:val="es-ES_tradnl"/>
        </w:rPr>
      </w:pPr>
      <w:r w:rsidRPr="006934CD">
        <w:rPr>
          <w:rFonts w:ascii="Verdana" w:eastAsia="Calibri" w:hAnsi="Verdana" w:cs="Arial"/>
          <w:bCs/>
          <w:color w:val="000000" w:themeColor="text1"/>
          <w:lang w:val="es-ES_tradnl"/>
        </w:rPr>
        <w:t xml:space="preserve">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w:t>
      </w:r>
      <w:r w:rsidRPr="006934CD">
        <w:rPr>
          <w:rFonts w:ascii="Verdana" w:eastAsia="Calibri" w:hAnsi="Verdana" w:cs="Arial"/>
          <w:bCs/>
          <w:color w:val="000000" w:themeColor="text1"/>
          <w:lang w:val="es-ES_tradnl"/>
        </w:rPr>
        <w:lastRenderedPageBreak/>
        <w:t>un tratado que celebra el Gobierno con otros Estados, debe ser aprobado y posteriormente incorporado a nuestro ordenamiento jurídico por una ley de la República</w:t>
      </w:r>
      <w:r w:rsidRPr="005622BB">
        <w:rPr>
          <w:rStyle w:val="Refdenotaalpie"/>
          <w:rFonts w:ascii="Verdana" w:eastAsia="Calibri" w:hAnsi="Verdana" w:cs="Arial"/>
          <w:bCs/>
          <w:color w:val="000000" w:themeColor="text1"/>
          <w:lang w:val="es-ES_tradnl"/>
        </w:rPr>
        <w:footnoteReference w:id="2"/>
      </w:r>
      <w:r w:rsidRPr="006934CD">
        <w:rPr>
          <w:rFonts w:ascii="Verdana" w:eastAsia="Calibri" w:hAnsi="Verdana" w:cs="Arial"/>
          <w:bCs/>
          <w:color w:val="000000" w:themeColor="text1"/>
          <w:lang w:val="es-ES_tradnl"/>
        </w:rPr>
        <w:t>.</w:t>
      </w:r>
    </w:p>
    <w:p w14:paraId="7338E5F3" w14:textId="77777777" w:rsidR="00155C27" w:rsidRPr="005622BB" w:rsidRDefault="00155C27" w:rsidP="00155C27">
      <w:pPr>
        <w:pStyle w:val="Prrafodelista"/>
        <w:numPr>
          <w:ilvl w:val="0"/>
          <w:numId w:val="21"/>
        </w:numPr>
        <w:spacing w:before="120" w:after="0" w:line="276" w:lineRule="auto"/>
        <w:jc w:val="both"/>
        <w:rPr>
          <w:rFonts w:ascii="Verdana" w:eastAsia="Times New Roman" w:hAnsi="Verdana" w:cs="Arial"/>
          <w:iCs/>
          <w:lang w:val="es-ES_tradnl" w:eastAsia="es-ES_tradnl"/>
        </w:rPr>
      </w:pPr>
      <w:r w:rsidRPr="005622BB">
        <w:rPr>
          <w:rFonts w:ascii="Verdana" w:eastAsia="Times New Roman" w:hAnsi="Verdana" w:cs="Arial"/>
          <w:iCs/>
          <w:lang w:val="es-ES_tradnl" w:eastAsia="es-ES_tradnl"/>
        </w:rPr>
        <w:t xml:space="preserve">Uno de los aspectos que presenta mayor complejidad a nivel internacional en materia de contratación pública se refiere al concepto de contratación pública cubierta. Esto es, las transacciones que se entienden comprometidas dentro del acuerdo, y a las cuales deben, en consecuencia, aplicarse los estándares de protección acordados. Para poder determinar qué es </w:t>
      </w:r>
      <w:r w:rsidRPr="005622BB">
        <w:rPr>
          <w:rFonts w:ascii="Verdana" w:eastAsia="Times New Roman" w:hAnsi="Verdana" w:cs="Arial"/>
          <w:i/>
          <w:lang w:val="es-ES_tradnl" w:eastAsia="es-ES_tradnl"/>
        </w:rPr>
        <w:t xml:space="preserve">contratación cubierta </w:t>
      </w:r>
      <w:r w:rsidRPr="005622BB">
        <w:rPr>
          <w:rFonts w:ascii="Verdana" w:eastAsia="Times New Roman" w:hAnsi="Verdana" w:cs="Arial"/>
          <w:iCs/>
          <w:lang w:val="es-ES_tradnl" w:eastAsia="es-ES_tradnl"/>
        </w:rPr>
        <w:t>es necesario revisar el instrumento normativo preciso cuya protección se invoca –el tratado– y determinar si la transacción que se alega como cubierta lo está o no.</w:t>
      </w:r>
    </w:p>
    <w:p w14:paraId="68DA8F90" w14:textId="77777777" w:rsidR="00155C27" w:rsidRPr="005622BB" w:rsidRDefault="00155C27" w:rsidP="00155C27">
      <w:pPr>
        <w:pStyle w:val="Prrafodelista"/>
        <w:numPr>
          <w:ilvl w:val="0"/>
          <w:numId w:val="21"/>
        </w:numPr>
        <w:spacing w:before="120" w:after="0" w:line="276" w:lineRule="auto"/>
        <w:jc w:val="both"/>
        <w:rPr>
          <w:rFonts w:ascii="Verdana" w:eastAsia="Times New Roman" w:hAnsi="Verdana" w:cs="Arial"/>
          <w:iCs/>
          <w:lang w:val="es-ES_tradnl" w:eastAsia="es-ES_tradnl"/>
        </w:rPr>
      </w:pPr>
      <w:r w:rsidRPr="005622BB">
        <w:rPr>
          <w:rFonts w:ascii="Verdana" w:eastAsia="Times New Roman" w:hAnsi="Verdana" w:cs="Arial"/>
          <w:iCs/>
          <w:lang w:val="es-ES_tradnl" w:eastAsia="es-ES_tradnl"/>
        </w:rPr>
        <w:t>Por esta razón, las Entidades Estatales tienen la obligación de identificar los Acuerdo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Entidades Estatales incluidas en el acuerdo comercial; ii) los valores a partir de los cuales el Acuerdo Comercial es aplicable al proceso de contratación y iii) las excepciones a la aplicación del acuerdo comercial.</w:t>
      </w:r>
    </w:p>
    <w:p w14:paraId="23C283EC" w14:textId="77777777" w:rsidR="00155C27" w:rsidRDefault="00155C27" w:rsidP="00155C27">
      <w:pPr>
        <w:pStyle w:val="Prrafodelista"/>
        <w:numPr>
          <w:ilvl w:val="0"/>
          <w:numId w:val="21"/>
        </w:numPr>
        <w:spacing w:before="120" w:after="0" w:line="276" w:lineRule="auto"/>
        <w:jc w:val="both"/>
        <w:rPr>
          <w:rFonts w:ascii="Verdana" w:eastAsia="Times New Roman" w:hAnsi="Verdana" w:cs="Arial"/>
          <w:iCs/>
          <w:lang w:val="es-ES_tradnl" w:eastAsia="es-ES_tradnl"/>
        </w:rPr>
      </w:pPr>
      <w:r w:rsidRPr="005622BB">
        <w:rPr>
          <w:rFonts w:ascii="Verdana" w:eastAsia="Times New Roman" w:hAnsi="Verdana" w:cs="Arial"/>
          <w:iCs/>
          <w:lang w:val="es-ES_tradnl" w:eastAsia="es-ES_tradnl"/>
        </w:rPr>
        <w:t>Por otro lado, se destaca que los Acuerdos Comerciales contemplan excepciones a la aplicación de los compromisos y obligaciones contenidos en estos, por tanto, si un Proceso de Contratación se encuentra cobijado en una excepción, las obligaciones y compromisos del correspondiente Acuerdo Comercial no lo regirán. Las excepciones no aplican de manera uniforme a todas las entidades y a todos los acuerdos comerciales; por tanto, para determinar las excepciones aplicables a cada Acuerdo Comercial y a cada entidad, durante la etapa de planeación del proceso de selección, las entidades deben consultar la cobertura del acuerdo comercial y si existen excepciones aplicables a su Proceso de Contratación particular.</w:t>
      </w:r>
    </w:p>
    <w:p w14:paraId="784BAAD4" w14:textId="77777777" w:rsidR="00155C27" w:rsidRPr="005622BB" w:rsidRDefault="00155C27" w:rsidP="00155C27">
      <w:pPr>
        <w:pStyle w:val="Prrafodelista"/>
        <w:spacing w:before="120" w:after="0" w:line="276" w:lineRule="auto"/>
        <w:jc w:val="both"/>
        <w:rPr>
          <w:rFonts w:ascii="Verdana" w:eastAsia="Times New Roman" w:hAnsi="Verdana" w:cs="Arial"/>
          <w:iCs/>
          <w:lang w:val="es-ES_tradnl" w:eastAsia="es-ES_tradnl"/>
        </w:rPr>
      </w:pPr>
    </w:p>
    <w:p w14:paraId="09E58CC4" w14:textId="77777777" w:rsidR="00155C27" w:rsidRPr="005544D7" w:rsidRDefault="00155C27" w:rsidP="00155C27">
      <w:pPr>
        <w:pStyle w:val="Prrafodelista"/>
        <w:spacing w:before="120" w:after="0" w:line="276" w:lineRule="auto"/>
        <w:jc w:val="both"/>
        <w:rPr>
          <w:rFonts w:ascii="Verdana" w:eastAsia="Times New Roman" w:hAnsi="Verdana" w:cs="Arial"/>
          <w:iCs/>
          <w:lang w:val="es-ES_tradnl" w:eastAsia="es-ES_tradnl"/>
        </w:rPr>
      </w:pPr>
      <w:r w:rsidRPr="005622BB">
        <w:rPr>
          <w:rFonts w:ascii="Verdana" w:eastAsia="Times New Roman" w:hAnsi="Verdana" w:cs="Arial"/>
          <w:iCs/>
          <w:lang w:val="es-ES_tradnl" w:eastAsia="es-ES_tradnl"/>
        </w:rPr>
        <w:lastRenderedPageBreak/>
        <w:t>En este marco, la Agencia Nacional de Contratación Pública – Colombia Compra Eficiente expidió el “Manual para el manejo de los Acuerdos Comerciales en Procesos de Contratación”, con el fin de lograr que las Entidades Estatales cumplan, en la práctica, de manera sencilla con las obligaciones internacionales adquiridas por el Estado. Este Manual, sin introducir ninguna modificación o restricción a los tratados, condensa y explica los deberes internacionales del Estado colombiano que deben iluminar la actuación de las Entidades Estatales contratantes y por tanto, el “Manual para el manejo de los Acuerdos Comerciales en Procesos de Contratación”, se constituye como una herramienta orientadora para conocer la cobertura de los Acuerdos Comerciales y los plazos correspondientes. Sin embargo, el uso del manual no exime a la entidad del deber de conocer y aplicar cada Acuerdo Comercial, según corresponda.</w:t>
      </w:r>
    </w:p>
    <w:p w14:paraId="4655F785" w14:textId="77777777" w:rsidR="00155C27" w:rsidRPr="005544D7" w:rsidRDefault="00155C27" w:rsidP="00155C27">
      <w:pPr>
        <w:pStyle w:val="Prrafodelista"/>
        <w:numPr>
          <w:ilvl w:val="0"/>
          <w:numId w:val="21"/>
        </w:numPr>
        <w:spacing w:before="120" w:after="0" w:line="276" w:lineRule="auto"/>
        <w:jc w:val="both"/>
        <w:rPr>
          <w:rFonts w:ascii="Verdana" w:eastAsia="Times New Roman" w:hAnsi="Verdana" w:cs="Arial"/>
          <w:iCs/>
          <w:lang w:val="es-ES_tradnl" w:eastAsia="es-ES_tradnl"/>
        </w:rPr>
      </w:pPr>
      <w:r w:rsidRPr="005622BB">
        <w:rPr>
          <w:rFonts w:ascii="Verdana" w:hAnsi="Verdana" w:cs="Arial"/>
        </w:rPr>
        <w:t xml:space="preserve">De igual forma, el ordenamiento jurídico colombiano, respecto a las compras públicas, en el artículo 2.2.1.2.4.1.1 del Decreto 1082 de 2015, dispuso que: </w:t>
      </w:r>
      <w:r>
        <w:rPr>
          <w:rFonts w:ascii="Verdana" w:hAnsi="Verdana" w:cs="Arial"/>
        </w:rPr>
        <w:t>“</w:t>
      </w:r>
      <w:r w:rsidRPr="005622BB">
        <w:rPr>
          <w:rFonts w:ascii="Verdana" w:hAnsi="Verdana" w:cs="Arial"/>
        </w:rPr>
        <w:t>Las Entidades Estatales deben adelantar los Procesos de Contratación de acuerdo con lo previsto en los Acuerdos Comerciales, cuando estos les sean aplicables</w:t>
      </w:r>
      <w:r>
        <w:rPr>
          <w:rFonts w:ascii="Verdana" w:hAnsi="Verdana" w:cs="Arial"/>
        </w:rPr>
        <w:t>”</w:t>
      </w:r>
      <w:r w:rsidRPr="005622BB">
        <w:rPr>
          <w:rFonts w:ascii="Verdana" w:hAnsi="Verdana" w:cs="Arial"/>
        </w:rPr>
        <w:t>, y por tanto, con base en lo dispuesto en el artículo en mención, la obligatoriedad de aplicar los tratados está sometido al cumplimiento de los requisitos legales de incorporación en el derecho nacional y no a su consagración en el Manual de Acuerdos Comerciales expedido por la Agencia</w:t>
      </w:r>
      <w:r>
        <w:rPr>
          <w:rFonts w:ascii="Verdana" w:hAnsi="Verdana" w:cs="Arial"/>
        </w:rPr>
        <w:t>.</w:t>
      </w:r>
    </w:p>
    <w:p w14:paraId="6B058B9F" w14:textId="77777777" w:rsidR="00155C27" w:rsidRPr="005622BB" w:rsidRDefault="00155C27" w:rsidP="00155C27">
      <w:pPr>
        <w:pStyle w:val="Prrafodelista"/>
        <w:spacing w:before="120" w:after="0" w:line="276" w:lineRule="auto"/>
        <w:jc w:val="both"/>
        <w:rPr>
          <w:rFonts w:ascii="Verdana" w:eastAsia="Times New Roman" w:hAnsi="Verdana" w:cs="Arial"/>
          <w:iCs/>
          <w:lang w:val="es-ES_tradnl" w:eastAsia="es-ES_tradnl"/>
        </w:rPr>
      </w:pPr>
    </w:p>
    <w:p w14:paraId="4ECA3897" w14:textId="77777777" w:rsidR="00155C27" w:rsidRPr="005622BB" w:rsidRDefault="00155C27" w:rsidP="00155C27">
      <w:pPr>
        <w:pStyle w:val="Prrafodelista"/>
        <w:numPr>
          <w:ilvl w:val="0"/>
          <w:numId w:val="21"/>
        </w:numPr>
        <w:spacing w:before="120" w:after="0" w:line="276" w:lineRule="auto"/>
        <w:jc w:val="both"/>
        <w:rPr>
          <w:rFonts w:ascii="Verdana" w:eastAsia="Times New Roman" w:hAnsi="Verdana" w:cs="Arial"/>
          <w:iCs/>
          <w:lang w:val="es-ES_tradnl" w:eastAsia="es-ES_tradnl"/>
        </w:rPr>
      </w:pPr>
      <w:r w:rsidRPr="005622BB">
        <w:rPr>
          <w:rFonts w:ascii="Verdana" w:eastAsia="Times New Roman" w:hAnsi="Verdana" w:cs="Arial"/>
          <w:iCs/>
          <w:lang w:val="es-ES_tradnl" w:eastAsia="es-ES_tradnl"/>
        </w:rPr>
        <w:t>Así las cosas, en el Anexo 1 del “Manual para el manejo de los Acuerdos Comerciales en Procesos de Contratación” se encuentran listadas las excepciones que aplican por cada Acuerdo Comercial a las entidades del nivel nacional cubiertas por dichos acuerdos. El Anexo 2, contiene las excepciones a la aplicación de los Acuerdo Comerciales para las entidades del nivel departamental y, el Anexo 3, las aplicables a las entidades del nivel municipal. Finalmente, el Anexo 4 establece el listado de excepciones a la aplicación de los compromisos y obligaciones contenidos en los Acuerdos Comerciales, constituyéndose este como el anexo al cual pueden remitirse las entidades para conocer a qué hacen referencia los números relacionados en los Anexos 1, 2 y 3.</w:t>
      </w:r>
    </w:p>
    <w:p w14:paraId="3EE9CD00" w14:textId="77777777" w:rsidR="00155C27" w:rsidRPr="005544D7" w:rsidRDefault="00155C27" w:rsidP="00155C27">
      <w:pPr>
        <w:pStyle w:val="Prrafodelista"/>
        <w:numPr>
          <w:ilvl w:val="0"/>
          <w:numId w:val="21"/>
        </w:numPr>
        <w:spacing w:before="120" w:after="0" w:line="276" w:lineRule="auto"/>
        <w:jc w:val="both"/>
        <w:rPr>
          <w:rFonts w:ascii="Verdana" w:eastAsia="Times New Roman" w:hAnsi="Verdana" w:cs="Arial"/>
          <w:iCs/>
          <w:lang w:val="es-ES_tradnl" w:eastAsia="es-ES_tradnl"/>
        </w:rPr>
      </w:pPr>
      <w:r w:rsidRPr="005622BB">
        <w:rPr>
          <w:rFonts w:ascii="Verdana" w:eastAsia="Times New Roman" w:hAnsi="Verdana" w:cs="Arial"/>
          <w:iCs/>
          <w:lang w:val="es-ES_tradnl" w:eastAsia="es-ES_tradnl"/>
        </w:rPr>
        <w:t xml:space="preserve">En consecuencia, </w:t>
      </w:r>
      <w:r w:rsidRPr="005622BB">
        <w:rPr>
          <w:rFonts w:ascii="Verdana" w:hAnsi="Verdana" w:cs="Arial"/>
        </w:rPr>
        <w:t xml:space="preserve">cada Entidad Estatal dependiendo del tratado y su contenido, deberá determinar específicamente el tipo de obligaciones que rigen los Procesos de Contratación, para lo cual debe determinar si es una </w:t>
      </w:r>
      <w:r w:rsidRPr="005622BB">
        <w:rPr>
          <w:rFonts w:ascii="Verdana" w:hAnsi="Verdana" w:cs="Arial"/>
        </w:rPr>
        <w:lastRenderedPageBreak/>
        <w:t>de las entidades cubiertas por el acuerdo, si el proceso se encuentra dentro de umbrales para su aplicación, así como si existen excepciones que conlleven que algún Acuerdo Comercial no sea aplicable.</w:t>
      </w:r>
    </w:p>
    <w:p w14:paraId="2A6A522B" w14:textId="77777777" w:rsidR="00155C27" w:rsidRPr="005477C5" w:rsidRDefault="00155C27" w:rsidP="00155C27">
      <w:pPr>
        <w:pStyle w:val="Prrafodelista"/>
        <w:numPr>
          <w:ilvl w:val="0"/>
          <w:numId w:val="21"/>
        </w:numPr>
        <w:spacing w:before="120" w:after="120" w:line="276" w:lineRule="auto"/>
        <w:jc w:val="both"/>
        <w:rPr>
          <w:rFonts w:ascii="Verdana" w:eastAsia="Century Gothic" w:hAnsi="Verdana" w:cs="Century Gothic"/>
        </w:rPr>
      </w:pPr>
      <w:r w:rsidRPr="005477C5">
        <w:rPr>
          <w:rFonts w:ascii="Verdana" w:eastAsia="Century Gothic" w:hAnsi="Verdana" w:cs="Century Gothic"/>
        </w:rPr>
        <w:t>De igual manera, se reitera lo indicado en el Concepto C-203 de 2022 emitido por esta Agencia el cual establece que, por regla general, los umbrales que establecen los Acuerdos Comerciales son superiores al valor máximo de la mínima cuantía y, por tanto, en razón del umbral, los procesos de contratación mediante la modalidad de mínima cuantía, generalmente, no resultarían cubiertos por los Acuerdos Comerciales.</w:t>
      </w:r>
    </w:p>
    <w:p w14:paraId="4BDEF4F1" w14:textId="77777777" w:rsidR="00155C27" w:rsidRPr="005622BB" w:rsidRDefault="00155C27" w:rsidP="00155C27">
      <w:pPr>
        <w:pStyle w:val="Prrafodelista"/>
        <w:spacing w:before="120" w:after="0" w:line="276" w:lineRule="auto"/>
        <w:jc w:val="both"/>
        <w:rPr>
          <w:rFonts w:ascii="Verdana" w:eastAsia="Times New Roman" w:hAnsi="Verdana" w:cs="Arial"/>
          <w:iCs/>
          <w:lang w:val="es-ES_tradnl" w:eastAsia="es-ES_tradnl"/>
        </w:rPr>
      </w:pPr>
    </w:p>
    <w:p w14:paraId="436799AB" w14:textId="77777777" w:rsidR="00155C27" w:rsidRPr="005622BB" w:rsidRDefault="00155C27" w:rsidP="00155C27">
      <w:pPr>
        <w:snapToGrid w:val="0"/>
        <w:spacing w:after="0" w:line="276" w:lineRule="auto"/>
        <w:ind w:left="720"/>
        <w:jc w:val="both"/>
        <w:rPr>
          <w:rFonts w:ascii="Verdana" w:eastAsia="Calibri" w:hAnsi="Verdana" w:cs="Arial"/>
          <w:lang w:val="es-ES_tradnl"/>
        </w:rPr>
      </w:pPr>
    </w:p>
    <w:p w14:paraId="787EFFF9" w14:textId="77777777" w:rsidR="00155C27" w:rsidRPr="005622BB" w:rsidRDefault="00155C27" w:rsidP="00155C27">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5622BB">
        <w:rPr>
          <w:rFonts w:ascii="Verdana" w:eastAsia="Century Gothic" w:hAnsi="Verdana" w:cs="Century Gothic"/>
          <w:b/>
          <w:bCs/>
          <w:lang w:val="es-ES_tradnl"/>
        </w:rPr>
        <w:t>Referencias normativas, jurisprudenciales y otras fuentes:</w:t>
      </w:r>
    </w:p>
    <w:p w14:paraId="3B2EDEE8" w14:textId="77777777" w:rsidR="00155C27" w:rsidRPr="005622BB" w:rsidRDefault="00155C27" w:rsidP="00155C27">
      <w:pPr>
        <w:widowControl w:val="0"/>
        <w:autoSpaceDE w:val="0"/>
        <w:autoSpaceDN w:val="0"/>
        <w:snapToGrid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155C27" w:rsidRPr="005622BB" w14:paraId="51E1D1DD" w14:textId="77777777" w:rsidTr="000E4E64">
        <w:trPr>
          <w:trHeight w:val="870"/>
        </w:trPr>
        <w:tc>
          <w:tcPr>
            <w:tcW w:w="8647" w:type="dxa"/>
          </w:tcPr>
          <w:p w14:paraId="102A300B" w14:textId="77777777" w:rsidR="00155C27" w:rsidRPr="0032600E" w:rsidRDefault="00155C27" w:rsidP="00155C27">
            <w:pPr>
              <w:widowControl w:val="0"/>
              <w:numPr>
                <w:ilvl w:val="0"/>
                <w:numId w:val="18"/>
              </w:numPr>
              <w:autoSpaceDE w:val="0"/>
              <w:autoSpaceDN w:val="0"/>
              <w:snapToGrid w:val="0"/>
              <w:spacing w:after="120" w:line="276" w:lineRule="auto"/>
              <w:ind w:left="714" w:hanging="357"/>
              <w:jc w:val="both"/>
              <w:rPr>
                <w:rFonts w:ascii="Verdana" w:eastAsia="Calibri" w:hAnsi="Verdana" w:cs="Arial"/>
                <w:lang w:val="es-ES_tradnl"/>
              </w:rPr>
            </w:pPr>
            <w:r w:rsidRPr="0032600E">
              <w:rPr>
                <w:rFonts w:ascii="Verdana" w:eastAsia="Calibri" w:hAnsi="Verdana" w:cs="Arial"/>
                <w:lang w:val="es-ES_tradnl"/>
              </w:rPr>
              <w:t>Decreto 1082 de 2015</w:t>
            </w:r>
          </w:p>
          <w:p w14:paraId="3D81CD98" w14:textId="77777777" w:rsidR="00155C27" w:rsidRPr="0032600E" w:rsidRDefault="00155C27" w:rsidP="00155C27">
            <w:pPr>
              <w:pStyle w:val="Prrafodelista"/>
              <w:widowControl w:val="0"/>
              <w:numPr>
                <w:ilvl w:val="0"/>
                <w:numId w:val="18"/>
              </w:numPr>
              <w:autoSpaceDE w:val="0"/>
              <w:autoSpaceDN w:val="0"/>
              <w:spacing w:after="120" w:line="276" w:lineRule="auto"/>
              <w:contextualSpacing w:val="0"/>
              <w:jc w:val="both"/>
              <w:rPr>
                <w:rFonts w:ascii="Verdana" w:eastAsia="Calibri" w:hAnsi="Verdana" w:cs="Arial"/>
                <w:color w:val="000000"/>
              </w:rPr>
            </w:pPr>
            <w:r w:rsidRPr="0032600E">
              <w:rPr>
                <w:rFonts w:ascii="Verdana" w:eastAsia="Calibri" w:hAnsi="Verdana" w:cs="Arial"/>
                <w:color w:val="000000"/>
              </w:rPr>
              <w:t xml:space="preserve">Jurisprudencia del Consejo de Estado. Disponible en: </w:t>
            </w:r>
            <w:hyperlink r:id="rId16" w:history="1">
              <w:r w:rsidRPr="0032600E">
                <w:rPr>
                  <w:rFonts w:ascii="Verdana" w:eastAsia="Calibri" w:hAnsi="Verdana" w:cs="Arial"/>
                  <w:color w:val="000000"/>
                </w:rPr>
                <w:t>https://relatoria.colombiacompra.gov.co/providencias-consejo-de-estado/</w:t>
              </w:r>
            </w:hyperlink>
            <w:r w:rsidRPr="0032600E">
              <w:rPr>
                <w:rFonts w:ascii="Verdana" w:eastAsia="Calibri" w:hAnsi="Verdana" w:cs="Arial"/>
                <w:color w:val="000000"/>
              </w:rPr>
              <w:t xml:space="preserve"> </w:t>
            </w:r>
          </w:p>
          <w:p w14:paraId="37B91184" w14:textId="77777777" w:rsidR="00155C27" w:rsidRPr="00733C4A" w:rsidRDefault="00155C27" w:rsidP="00155C27">
            <w:pPr>
              <w:pStyle w:val="Prrafodelista"/>
              <w:widowControl w:val="0"/>
              <w:numPr>
                <w:ilvl w:val="0"/>
                <w:numId w:val="18"/>
              </w:numPr>
              <w:autoSpaceDE w:val="0"/>
              <w:autoSpaceDN w:val="0"/>
              <w:spacing w:after="120" w:line="276" w:lineRule="auto"/>
              <w:contextualSpacing w:val="0"/>
              <w:jc w:val="both"/>
              <w:rPr>
                <w:rFonts w:ascii="Arial" w:eastAsia="Calibri" w:hAnsi="Arial" w:cs="Arial"/>
                <w:color w:val="000000"/>
                <w:sz w:val="24"/>
                <w:szCs w:val="24"/>
              </w:rPr>
            </w:pPr>
            <w:r w:rsidRPr="0032600E">
              <w:rPr>
                <w:rFonts w:ascii="Verdana" w:eastAsia="Calibri" w:hAnsi="Verdana" w:cs="Arial"/>
                <w:color w:val="000000"/>
              </w:rPr>
              <w:t xml:space="preserve">Guías y manuales expedidos por la ANCP-CCE. Disponible en: </w:t>
            </w:r>
            <w:hyperlink r:id="rId17" w:history="1">
              <w:r w:rsidRPr="0032600E">
                <w:rPr>
                  <w:rFonts w:ascii="Verdana" w:eastAsia="Calibri" w:hAnsi="Verdana" w:cs="Arial"/>
                  <w:color w:val="000000"/>
                </w:rPr>
                <w:t>https://www.colombiacompra.gov.co/manuales-guias-y-pliegos-tipo/manuales-y-guias</w:t>
              </w:r>
            </w:hyperlink>
          </w:p>
        </w:tc>
      </w:tr>
    </w:tbl>
    <w:p w14:paraId="5F3CEE1D" w14:textId="77777777" w:rsidR="00155C27" w:rsidRPr="005622BB" w:rsidRDefault="00155C27" w:rsidP="00155C27">
      <w:pPr>
        <w:widowControl w:val="0"/>
        <w:autoSpaceDE w:val="0"/>
        <w:autoSpaceDN w:val="0"/>
        <w:snapToGrid w:val="0"/>
        <w:spacing w:after="0" w:line="276" w:lineRule="auto"/>
        <w:jc w:val="both"/>
        <w:rPr>
          <w:rFonts w:ascii="Verdana" w:eastAsia="Calibri" w:hAnsi="Verdana" w:cs="Arial"/>
          <w:lang w:val="es-ES_tradnl"/>
        </w:rPr>
      </w:pPr>
    </w:p>
    <w:p w14:paraId="3F87BEC7" w14:textId="77777777" w:rsidR="00155C27" w:rsidRPr="005622BB" w:rsidRDefault="00155C27" w:rsidP="00155C27">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5622BB">
        <w:rPr>
          <w:rFonts w:ascii="Verdana" w:eastAsia="Century Gothic" w:hAnsi="Verdana" w:cs="Century Gothic"/>
          <w:b/>
          <w:bCs/>
          <w:lang w:val="es-ES_tradnl"/>
        </w:rPr>
        <w:t>Doctrina de la Agencia Nacional de Contratación Pública:</w:t>
      </w:r>
    </w:p>
    <w:p w14:paraId="55AEB5E1" w14:textId="77777777" w:rsidR="00155C27" w:rsidRPr="005622BB" w:rsidRDefault="00155C27" w:rsidP="00155C27">
      <w:pPr>
        <w:widowControl w:val="0"/>
        <w:autoSpaceDE w:val="0"/>
        <w:autoSpaceDN w:val="0"/>
        <w:snapToGrid w:val="0"/>
        <w:spacing w:after="0" w:line="276" w:lineRule="auto"/>
        <w:jc w:val="both"/>
        <w:rPr>
          <w:rFonts w:ascii="Verdana" w:eastAsia="Calibri" w:hAnsi="Verdana" w:cs="Arial"/>
          <w:lang w:val="es-ES_tradnl"/>
        </w:rPr>
      </w:pPr>
    </w:p>
    <w:p w14:paraId="2A844D8F" w14:textId="77777777" w:rsidR="00155C27" w:rsidRPr="005544D7" w:rsidRDefault="00155C27" w:rsidP="00155C27">
      <w:pPr>
        <w:widowControl w:val="0"/>
        <w:autoSpaceDE w:val="0"/>
        <w:autoSpaceDN w:val="0"/>
        <w:snapToGrid w:val="0"/>
        <w:spacing w:after="0" w:line="276" w:lineRule="auto"/>
        <w:jc w:val="both"/>
        <w:rPr>
          <w:rFonts w:ascii="Verdana" w:eastAsia="Calibri" w:hAnsi="Verdana" w:cs="Arial"/>
          <w:kern w:val="2"/>
          <w:shd w:val="clear" w:color="auto" w:fill="FFFFFF"/>
          <w:lang w:val="es-ES"/>
          <w14:ligatures w14:val="standardContextual"/>
        </w:rPr>
      </w:pPr>
      <w:r w:rsidRPr="005544D7">
        <w:rPr>
          <w:rFonts w:ascii="Verdana" w:eastAsia="Calibri" w:hAnsi="Verdana" w:cs="Arial"/>
          <w:kern w:val="2"/>
          <w:shd w:val="clear" w:color="auto" w:fill="FFFFFF"/>
          <w:lang w:val="es-ES"/>
          <w14:ligatures w14:val="standardContextual"/>
        </w:rPr>
        <w:t xml:space="preserve">La Agencia Nacional de Contratación Pública − </w:t>
      </w:r>
      <w:r w:rsidRPr="005544D7">
        <w:rPr>
          <w:rFonts w:ascii="Verdana" w:eastAsia="Times New Roman" w:hAnsi="Verdana" w:cs="Arial"/>
          <w:lang w:eastAsia="es-ES_tradnl"/>
        </w:rPr>
        <w:t>Colombia Compra Eficiente se pronunció sobre  los tratados o acuerdos comerciales en la contratación estatal en los conceptos con radicado No. 2201913000006925 del 17 de septiembre de 2019, 2201913000008236 del 6 de noviembre de 2019, 2201913000008425 del 13 de noviembre de 2019, C–360 del 16 de julio de 2020, C–417 del 16 de julio de 2020, C–611 del 2 de octubre de 2020, C–613 del 26 de octubre de 2020, C–694 del 26 de noviembre de 2020, C–755 del 6 de enero de 2021 y C–285 del 11 de junio de 2021, de igual forma se ha pronunciado sobre la naturaleza de las guías y los manuales en los Conceptos C-451 del 31 de agosto de 2021, C-519 del 23 de septiembre de 2021, C-117 del 24 de marzo de 2022 y C-149 del 5 de abril de 2022, refiriéndose específicamente al “Manual para el manejo de los Acuerdos Comerciales en Procesos de Contratación” en los Conceptos C-124 del 5 de abril de 2021, C-191 del 12 de abril de 2022, C-117 de 24 de marzo de 2022 y C-383 del 15 de junio de 2022, entre otros</w:t>
      </w:r>
      <w:r w:rsidRPr="005544D7">
        <w:rPr>
          <w:rFonts w:ascii="Verdana" w:eastAsia="Calibri" w:hAnsi="Verdana" w:cs="Arial"/>
          <w:kern w:val="2"/>
          <w:shd w:val="clear" w:color="auto" w:fill="FFFFFF"/>
          <w:lang w:val="es-ES"/>
          <w14:ligatures w14:val="standardContextual"/>
        </w:rPr>
        <w:t xml:space="preserve">. Estos y otros conceptos se </w:t>
      </w:r>
      <w:r w:rsidRPr="005544D7">
        <w:rPr>
          <w:rFonts w:ascii="Verdana" w:eastAsia="Calibri" w:hAnsi="Verdana" w:cs="Arial"/>
          <w:kern w:val="2"/>
          <w:shd w:val="clear" w:color="auto" w:fill="FFFFFF"/>
          <w:lang w:val="es-ES"/>
          <w14:ligatures w14:val="standardContextual"/>
        </w:rPr>
        <w:lastRenderedPageBreak/>
        <w:t xml:space="preserve">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30A0321B" w14:textId="77777777" w:rsidR="00155C27" w:rsidRPr="005622BB" w:rsidRDefault="00155C27" w:rsidP="00155C27">
      <w:pPr>
        <w:widowControl w:val="0"/>
        <w:autoSpaceDE w:val="0"/>
        <w:autoSpaceDN w:val="0"/>
        <w:spacing w:after="0" w:line="276" w:lineRule="auto"/>
        <w:jc w:val="both"/>
        <w:rPr>
          <w:rFonts w:ascii="Verdana" w:eastAsia="Calibri" w:hAnsi="Verdana" w:cs="Arial"/>
          <w:shd w:val="clear" w:color="auto" w:fill="FFFFFF"/>
          <w:lang w:val="es-ES_tradnl"/>
        </w:rPr>
      </w:pPr>
    </w:p>
    <w:p w14:paraId="0CAEF068" w14:textId="77777777" w:rsidR="00155C27" w:rsidRDefault="00155C27" w:rsidP="00155C27">
      <w:pPr>
        <w:spacing w:after="0" w:line="276" w:lineRule="auto"/>
        <w:jc w:val="both"/>
        <w:textAlignment w:val="baseline"/>
        <w:rPr>
          <w:rFonts w:ascii="Verdana" w:eastAsia="Times New Roman" w:hAnsi="Verdana" w:cs="Times New Roman"/>
          <w:color w:val="0000FF"/>
          <w:u w:val="single"/>
          <w:bdr w:val="none" w:sz="0" w:space="0" w:color="auto" w:frame="1"/>
          <w:lang w:eastAsia="es-CO"/>
        </w:rPr>
      </w:pPr>
      <w:r w:rsidRPr="00917C65">
        <w:rPr>
          <w:rFonts w:ascii="Verdana" w:eastAsia="Times New Roman" w:hAnsi="Verdana" w:cs="Times New Roman"/>
          <w:color w:val="000000"/>
          <w:lang w:eastAsia="es-CO"/>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8" w:tgtFrame="_blank" w:tooltip="Dirección URL original: https://www.colombiacompra.gov.co/sites/cce_public/files/cce_documents/manual_para_el_manejo_de_acuerdos_comerciales_vf.pdf. Haga clic o pulse si confía en este vínculo." w:history="1">
        <w:r w:rsidRPr="00917C65">
          <w:rPr>
            <w:rFonts w:ascii="Verdana" w:eastAsia="Times New Roman" w:hAnsi="Verdana" w:cs="Times New Roman"/>
            <w:color w:val="0000FF"/>
            <w:u w:val="single"/>
            <w:bdr w:val="none" w:sz="0" w:space="0" w:color="auto" w:frame="1"/>
            <w:lang w:eastAsia="es-CO"/>
          </w:rPr>
          <w:t>manual_para_el_manejo_de_acuerdos_comerciales_vf.pdf</w:t>
        </w:r>
      </w:hyperlink>
    </w:p>
    <w:p w14:paraId="2E497AE8" w14:textId="77777777" w:rsidR="00155C27" w:rsidRDefault="00155C27" w:rsidP="00155C27">
      <w:pPr>
        <w:spacing w:after="0" w:line="276" w:lineRule="auto"/>
        <w:jc w:val="both"/>
        <w:textAlignment w:val="baseline"/>
        <w:rPr>
          <w:rFonts w:ascii="Verdana" w:eastAsia="Times New Roman" w:hAnsi="Verdana" w:cs="Times New Roman"/>
          <w:color w:val="0000FF"/>
          <w:u w:val="single"/>
          <w:bdr w:val="none" w:sz="0" w:space="0" w:color="auto" w:frame="1"/>
          <w:lang w:eastAsia="es-CO"/>
        </w:rPr>
      </w:pPr>
    </w:p>
    <w:p w14:paraId="53FCE7CD" w14:textId="77777777" w:rsidR="00155C27" w:rsidRPr="00917C65" w:rsidRDefault="00155C27" w:rsidP="00155C27">
      <w:pPr>
        <w:spacing w:after="0" w:line="276" w:lineRule="auto"/>
        <w:jc w:val="both"/>
        <w:textAlignment w:val="baseline"/>
        <w:rPr>
          <w:rFonts w:ascii="Verdana" w:eastAsia="Times New Roman" w:hAnsi="Verdana" w:cs="Times New Roman"/>
          <w:color w:val="000000"/>
          <w:lang w:eastAsia="es-CO"/>
        </w:rPr>
      </w:pPr>
      <w:r w:rsidRPr="00917C65">
        <w:rPr>
          <w:rFonts w:ascii="Verdana" w:eastAsia="Times New Roman" w:hAnsi="Verdana" w:cs="Times New Roman"/>
          <w:color w:val="000000"/>
          <w:lang w:eastAsia="es-CO"/>
        </w:rPr>
        <w:t>También le invitamos a consultar la versión VII  de 2024 , del Boletín de Relatoría de la Subdirección de Gestión Contractual relacionado con las ASOCIACIONES PÚBLICO POPULARES , el cual se puede descargar en la página web de la Agencia: </w:t>
      </w:r>
      <w:hyperlink r:id="rId19" w:tgtFrame="_blank" w:tooltip="Dirección URL original: https://www.colombiacompra.gov.co/sala-de-prensa/boletin-digital. Haga clic o pulse si confía en este vínculo." w:history="1">
        <w:r w:rsidRPr="00917C65">
          <w:rPr>
            <w:rFonts w:ascii="Verdana" w:eastAsia="Times New Roman" w:hAnsi="Verdana" w:cs="Times New Roman"/>
            <w:color w:val="0000FF"/>
            <w:u w:val="single"/>
            <w:bdr w:val="none" w:sz="0" w:space="0" w:color="auto" w:frame="1"/>
            <w:lang w:eastAsia="es-CO"/>
          </w:rPr>
          <w:t>https://www.colombiacompra.gov.co/sala-de-prensa/boletin-digital</w:t>
        </w:r>
      </w:hyperlink>
      <w:r w:rsidRPr="00917C65">
        <w:rPr>
          <w:rFonts w:ascii="Verdana" w:eastAsia="Times New Roman" w:hAnsi="Verdana" w:cs="Times New Roman"/>
          <w:color w:val="000000"/>
          <w:lang w:eastAsia="es-CO"/>
        </w:rPr>
        <w:t> ".</w:t>
      </w:r>
    </w:p>
    <w:p w14:paraId="2855954A" w14:textId="77777777" w:rsidR="00155C27" w:rsidRPr="00733C4A" w:rsidRDefault="00155C27" w:rsidP="00155C27">
      <w:pPr>
        <w:widowControl w:val="0"/>
        <w:autoSpaceDE w:val="0"/>
        <w:autoSpaceDN w:val="0"/>
        <w:spacing w:after="0" w:line="276" w:lineRule="auto"/>
        <w:jc w:val="both"/>
        <w:rPr>
          <w:rFonts w:ascii="Verdana" w:eastAsia="Calibri" w:hAnsi="Verdana" w:cs="Arial"/>
          <w:shd w:val="clear" w:color="auto" w:fill="FFFFFF"/>
        </w:rPr>
      </w:pPr>
    </w:p>
    <w:p w14:paraId="764D0E59" w14:textId="77777777" w:rsidR="00155C27" w:rsidRPr="005622BB" w:rsidRDefault="00155C27" w:rsidP="00155C27">
      <w:pPr>
        <w:spacing w:after="0" w:line="276" w:lineRule="auto"/>
        <w:jc w:val="both"/>
        <w:rPr>
          <w:rFonts w:ascii="Verdana" w:eastAsia="Calibri" w:hAnsi="Verdana" w:cs="Times New Roman"/>
          <w:lang w:val="es-ES_tradnl"/>
        </w:rPr>
      </w:pPr>
      <w:r w:rsidRPr="005622BB">
        <w:rPr>
          <w:rFonts w:ascii="Verdana" w:eastAsia="Calibri" w:hAnsi="Verdana" w:cs="Times New Roman"/>
          <w:lang w:val="es-ES_tradnl"/>
        </w:rPr>
        <w:t xml:space="preserve">Por último, los invitamos a seguirnos en las redes sociales, en las cuales se difunde información institucional: </w:t>
      </w:r>
    </w:p>
    <w:p w14:paraId="052C5DB4" w14:textId="77777777" w:rsidR="00155C27" w:rsidRPr="005622BB" w:rsidRDefault="00155C27" w:rsidP="00155C27">
      <w:pPr>
        <w:spacing w:after="0" w:line="240" w:lineRule="auto"/>
        <w:jc w:val="both"/>
        <w:rPr>
          <w:rFonts w:ascii="Verdana" w:eastAsia="Calibri" w:hAnsi="Verdana" w:cs="Times New Roman"/>
          <w:lang w:val="es-ES_tradnl"/>
        </w:rPr>
      </w:pPr>
    </w:p>
    <w:p w14:paraId="12136F20" w14:textId="77777777" w:rsidR="00155C27" w:rsidRPr="005622BB" w:rsidRDefault="00155C27" w:rsidP="00155C27">
      <w:pPr>
        <w:spacing w:after="0" w:line="240" w:lineRule="auto"/>
        <w:jc w:val="both"/>
        <w:rPr>
          <w:rFonts w:ascii="Verdana" w:eastAsia="Calibri" w:hAnsi="Verdana" w:cs="Times New Roman"/>
          <w:lang w:val="es-ES_tradnl"/>
        </w:rPr>
      </w:pPr>
      <w:r w:rsidRPr="005622BB">
        <w:rPr>
          <w:rFonts w:ascii="Verdana" w:eastAsia="Calibri" w:hAnsi="Verdana" w:cs="Times New Roman"/>
          <w:lang w:val="es-ES_tradnl"/>
        </w:rPr>
        <w:t xml:space="preserve">Twitter: </w:t>
      </w:r>
      <w:r w:rsidRPr="005622BB">
        <w:rPr>
          <w:rFonts w:ascii="Verdana" w:eastAsia="Calibri" w:hAnsi="Verdana" w:cs="Times New Roman"/>
          <w:u w:val="single"/>
          <w:lang w:val="es-ES_tradnl"/>
        </w:rPr>
        <w:t>@colombiacompra</w:t>
      </w:r>
      <w:r w:rsidRPr="005622BB">
        <w:rPr>
          <w:rFonts w:ascii="Verdana" w:eastAsia="Calibri" w:hAnsi="Verdana" w:cs="Times New Roman"/>
          <w:lang w:val="es-ES_tradnl"/>
        </w:rPr>
        <w:t xml:space="preserve"> </w:t>
      </w:r>
    </w:p>
    <w:p w14:paraId="0E9AE2F7" w14:textId="77777777" w:rsidR="00155C27" w:rsidRPr="005622BB" w:rsidRDefault="00155C27" w:rsidP="00155C27">
      <w:pPr>
        <w:spacing w:after="0" w:line="240" w:lineRule="auto"/>
        <w:jc w:val="both"/>
        <w:rPr>
          <w:rFonts w:ascii="Verdana" w:eastAsia="Calibri" w:hAnsi="Verdana" w:cs="Times New Roman"/>
          <w:lang w:val="es-ES"/>
        </w:rPr>
      </w:pPr>
      <w:r w:rsidRPr="005622BB">
        <w:rPr>
          <w:rFonts w:ascii="Verdana" w:eastAsia="Calibri" w:hAnsi="Verdana" w:cs="Times New Roman"/>
          <w:lang w:val="es-ES"/>
        </w:rPr>
        <w:t xml:space="preserve">Facebook: </w:t>
      </w:r>
      <w:r w:rsidRPr="005622BB">
        <w:rPr>
          <w:rFonts w:ascii="Verdana" w:eastAsia="Calibri" w:hAnsi="Verdana" w:cs="Times New Roman"/>
          <w:u w:val="single"/>
          <w:lang w:val="es-ES"/>
        </w:rPr>
        <w:t>ColombiaCompraEficiente</w:t>
      </w:r>
    </w:p>
    <w:p w14:paraId="6701C404" w14:textId="77777777" w:rsidR="00155C27" w:rsidRPr="005622BB" w:rsidRDefault="00155C27" w:rsidP="00155C27">
      <w:pPr>
        <w:spacing w:after="0" w:line="240" w:lineRule="auto"/>
        <w:jc w:val="both"/>
        <w:rPr>
          <w:rFonts w:ascii="Verdana" w:eastAsia="Calibri" w:hAnsi="Verdana" w:cs="Times New Roman"/>
          <w:lang w:val="es-ES_tradnl"/>
        </w:rPr>
      </w:pPr>
      <w:r w:rsidRPr="005622BB">
        <w:rPr>
          <w:rFonts w:ascii="Verdana" w:eastAsia="Calibri" w:hAnsi="Verdana" w:cs="Times New Roman"/>
          <w:lang w:val="es-ES_tradnl"/>
        </w:rPr>
        <w:t xml:space="preserve">LinkedIn: </w:t>
      </w:r>
      <w:r w:rsidRPr="005622BB">
        <w:rPr>
          <w:rFonts w:ascii="Verdana" w:eastAsia="Calibri" w:hAnsi="Verdana" w:cs="Times New Roman"/>
          <w:u w:val="single"/>
          <w:lang w:val="es-ES_tradnl"/>
        </w:rPr>
        <w:t>Agencia Nacional de Contratación Pública - Colombia Compra Eficiente</w:t>
      </w:r>
      <w:r w:rsidRPr="005622BB">
        <w:rPr>
          <w:rFonts w:ascii="Verdana" w:eastAsia="Calibri" w:hAnsi="Verdana" w:cs="Times New Roman"/>
          <w:lang w:val="es-ES_tradnl"/>
        </w:rPr>
        <w:t xml:space="preserve"> Instagram: </w:t>
      </w:r>
      <w:r w:rsidRPr="005622BB">
        <w:rPr>
          <w:rFonts w:ascii="Verdana" w:eastAsia="Calibri" w:hAnsi="Verdana" w:cs="Times New Roman"/>
          <w:u w:val="single"/>
          <w:lang w:val="es-ES_tradnl"/>
        </w:rPr>
        <w:t>@colombiacompraeficiente_cce</w:t>
      </w:r>
    </w:p>
    <w:p w14:paraId="49C9C6B0" w14:textId="77777777" w:rsidR="00155C27" w:rsidRPr="005622BB" w:rsidRDefault="00155C27" w:rsidP="00155C27">
      <w:pPr>
        <w:widowControl w:val="0"/>
        <w:autoSpaceDE w:val="0"/>
        <w:autoSpaceDN w:val="0"/>
        <w:spacing w:after="0" w:line="276" w:lineRule="auto"/>
        <w:jc w:val="both"/>
        <w:rPr>
          <w:rFonts w:ascii="Verdana" w:eastAsia="Calibri" w:hAnsi="Verdana" w:cs="Arial"/>
          <w:lang w:val="es-ES_tradnl"/>
        </w:rPr>
      </w:pPr>
    </w:p>
    <w:p w14:paraId="5CD823BB" w14:textId="77777777" w:rsidR="00155C27" w:rsidRPr="005622BB" w:rsidRDefault="00155C27" w:rsidP="00155C27">
      <w:pPr>
        <w:widowControl w:val="0"/>
        <w:autoSpaceDE w:val="0"/>
        <w:autoSpaceDN w:val="0"/>
        <w:spacing w:after="0" w:line="276" w:lineRule="auto"/>
        <w:jc w:val="both"/>
        <w:rPr>
          <w:rFonts w:ascii="Verdana" w:eastAsia="Calibri" w:hAnsi="Verdana" w:cs="Arial"/>
          <w:lang w:val="es-ES_tradnl"/>
        </w:rPr>
      </w:pPr>
      <w:r w:rsidRPr="005622BB">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ADF95F2" w14:textId="77777777" w:rsidR="00155C27" w:rsidRPr="005622BB" w:rsidRDefault="00155C27" w:rsidP="00155C27">
      <w:pPr>
        <w:widowControl w:val="0"/>
        <w:autoSpaceDE w:val="0"/>
        <w:autoSpaceDN w:val="0"/>
        <w:spacing w:after="0" w:line="276" w:lineRule="auto"/>
        <w:jc w:val="both"/>
        <w:rPr>
          <w:rFonts w:ascii="Verdana" w:eastAsia="Calibri" w:hAnsi="Verdana" w:cs="Arial"/>
          <w:lang w:val="es-ES_tradnl"/>
        </w:rPr>
      </w:pPr>
    </w:p>
    <w:p w14:paraId="1E885D07" w14:textId="77777777" w:rsidR="00155C27" w:rsidRPr="005622BB" w:rsidRDefault="00155C27" w:rsidP="00155C27">
      <w:pPr>
        <w:spacing w:after="0" w:line="240" w:lineRule="auto"/>
        <w:rPr>
          <w:rFonts w:ascii="Verdana" w:eastAsia="Calibri" w:hAnsi="Verdana" w:cs="Arial"/>
          <w:lang w:val="es-ES_tradnl" w:eastAsia="es-CO"/>
        </w:rPr>
      </w:pPr>
      <w:r w:rsidRPr="005622BB">
        <w:rPr>
          <w:rFonts w:ascii="Verdana" w:eastAsia="Times New Roman" w:hAnsi="Verdana" w:cs="Arial"/>
          <w:lang w:val="es-ES_tradnl" w:eastAsia="es-CO"/>
        </w:rPr>
        <w:t>Atentamente,</w:t>
      </w:r>
      <w:r w:rsidRPr="005622BB">
        <w:rPr>
          <w:rFonts w:ascii="Verdana" w:eastAsia="Calibri" w:hAnsi="Verdana" w:cs="Arial"/>
          <w:lang w:val="es-ES_tradnl" w:eastAsia="es-CO"/>
        </w:rPr>
        <w:t xml:space="preserve"> </w:t>
      </w:r>
    </w:p>
    <w:p w14:paraId="70658F9C" w14:textId="77777777" w:rsidR="00155C27" w:rsidRPr="005622BB" w:rsidRDefault="00155C27" w:rsidP="00155C27">
      <w:pPr>
        <w:spacing w:line="276" w:lineRule="auto"/>
        <w:jc w:val="center"/>
        <w:rPr>
          <w:rFonts w:ascii="Verdana" w:hAnsi="Verdana"/>
          <w:noProof/>
        </w:rPr>
      </w:pPr>
    </w:p>
    <w:p w14:paraId="03434B1D" w14:textId="77777777" w:rsidR="00155C27" w:rsidRPr="005622BB" w:rsidRDefault="00155C27" w:rsidP="00155C27">
      <w:pPr>
        <w:spacing w:line="276" w:lineRule="auto"/>
        <w:jc w:val="center"/>
        <w:rPr>
          <w:rFonts w:ascii="Verdana" w:eastAsia="Calibri" w:hAnsi="Verdana" w:cs="Arial"/>
          <w:noProof/>
          <w:lang w:val="es-ES_tradnl" w:eastAsia="es-CO"/>
        </w:rPr>
      </w:pPr>
    </w:p>
    <w:p w14:paraId="47A53954" w14:textId="081F8199" w:rsidR="00155C27" w:rsidRPr="005622BB" w:rsidRDefault="00483BBC" w:rsidP="00155C27">
      <w:pPr>
        <w:spacing w:line="276" w:lineRule="auto"/>
        <w:jc w:val="center"/>
        <w:rPr>
          <w:rFonts w:ascii="Verdana" w:eastAsia="Calibri" w:hAnsi="Verdana" w:cs="Arial"/>
          <w:noProof/>
          <w:lang w:val="es-ES_tradnl" w:eastAsia="es-CO"/>
        </w:rPr>
      </w:pPr>
      <w:r w:rsidRPr="002C3AD6">
        <w:rPr>
          <w:rFonts w:ascii="Century Gothic" w:hAnsi="Century Gothic"/>
          <w:noProof/>
        </w:rPr>
        <w:lastRenderedPageBreak/>
        <w:drawing>
          <wp:inline distT="0" distB="0" distL="0" distR="0" wp14:anchorId="3BBB6DB9" wp14:editId="206D335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55C27" w:rsidRPr="00733C4A" w14:paraId="6B7F3292" w14:textId="77777777" w:rsidTr="000E4E64">
        <w:trPr>
          <w:trHeight w:val="315"/>
        </w:trPr>
        <w:tc>
          <w:tcPr>
            <w:tcW w:w="893" w:type="dxa"/>
            <w:vAlign w:val="center"/>
            <w:hideMark/>
          </w:tcPr>
          <w:p w14:paraId="28952249" w14:textId="77777777" w:rsidR="00155C27" w:rsidRPr="00733C4A" w:rsidRDefault="00155C27" w:rsidP="000E4E64">
            <w:pPr>
              <w:rPr>
                <w:rFonts w:ascii="Verdana" w:eastAsia="Calibri" w:hAnsi="Verdana" w:cs="Arial"/>
                <w:sz w:val="16"/>
                <w:szCs w:val="16"/>
                <w:lang w:val="es-ES_tradnl" w:eastAsia="es-ES"/>
              </w:rPr>
            </w:pPr>
            <w:r w:rsidRPr="00733C4A">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7C512208" w14:textId="77777777" w:rsidR="00155C27" w:rsidRPr="00733C4A" w:rsidRDefault="00155C27" w:rsidP="000E4E64">
            <w:pPr>
              <w:rPr>
                <w:rFonts w:ascii="Verdana" w:eastAsia="Arial" w:hAnsi="Verdana" w:cs="Arial"/>
                <w:sz w:val="16"/>
                <w:szCs w:val="16"/>
                <w:lang w:val="es-ES_tradnl"/>
              </w:rPr>
            </w:pPr>
            <w:r>
              <w:rPr>
                <w:rFonts w:ascii="Verdana" w:eastAsia="Arial" w:hAnsi="Verdana" w:cs="Arial"/>
                <w:sz w:val="16"/>
                <w:szCs w:val="16"/>
                <w:lang w:val="es-ES_tradnl"/>
              </w:rPr>
              <w:t xml:space="preserve">Diana </w:t>
            </w:r>
            <w:r w:rsidRPr="00733C4A">
              <w:rPr>
                <w:rFonts w:ascii="Verdana" w:eastAsia="Arial" w:hAnsi="Verdana" w:cs="Arial"/>
                <w:sz w:val="16"/>
                <w:szCs w:val="16"/>
                <w:lang w:val="es-ES_tradnl"/>
              </w:rPr>
              <w:t xml:space="preserve">Carolina Blanco Rodriguez </w:t>
            </w:r>
          </w:p>
          <w:p w14:paraId="4F93931A" w14:textId="77777777" w:rsidR="00155C27" w:rsidRPr="00733C4A" w:rsidRDefault="00155C27" w:rsidP="000E4E64">
            <w:pPr>
              <w:rPr>
                <w:rFonts w:ascii="Verdana" w:eastAsia="Arial" w:hAnsi="Verdana" w:cs="Arial"/>
                <w:sz w:val="16"/>
                <w:szCs w:val="16"/>
                <w:lang w:val="es-ES_tradnl"/>
              </w:rPr>
            </w:pPr>
            <w:r w:rsidRPr="00733C4A">
              <w:rPr>
                <w:rFonts w:ascii="Verdana" w:eastAsia="Arial" w:hAnsi="Verdana" w:cs="Arial"/>
                <w:sz w:val="16"/>
                <w:szCs w:val="16"/>
                <w:lang w:val="es-ES_tradnl"/>
              </w:rPr>
              <w:t xml:space="preserve">Contratista de la Subdirección de Gestión Contractual </w:t>
            </w:r>
          </w:p>
        </w:tc>
      </w:tr>
      <w:tr w:rsidR="00155C27" w:rsidRPr="00733C4A" w14:paraId="6CC0BB97" w14:textId="77777777" w:rsidTr="000E4E64">
        <w:trPr>
          <w:trHeight w:val="330"/>
        </w:trPr>
        <w:tc>
          <w:tcPr>
            <w:tcW w:w="893" w:type="dxa"/>
            <w:vAlign w:val="center"/>
            <w:hideMark/>
          </w:tcPr>
          <w:p w14:paraId="09C3FAFC" w14:textId="77777777" w:rsidR="00155C27" w:rsidRPr="00733C4A" w:rsidRDefault="00155C27" w:rsidP="000E4E64">
            <w:pPr>
              <w:rPr>
                <w:rFonts w:ascii="Verdana" w:eastAsia="Calibri" w:hAnsi="Verdana" w:cs="Arial"/>
                <w:sz w:val="16"/>
                <w:szCs w:val="16"/>
                <w:lang w:val="es-ES_tradnl" w:eastAsia="es-ES"/>
              </w:rPr>
            </w:pPr>
            <w:r w:rsidRPr="00733C4A">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3E805769" w14:textId="77777777" w:rsidR="00155C27" w:rsidRPr="00733C4A" w:rsidRDefault="00155C27" w:rsidP="000E4E64">
            <w:pPr>
              <w:textAlignment w:val="baseline"/>
              <w:rPr>
                <w:rFonts w:ascii="Verdana" w:eastAsia="Times New Roman" w:hAnsi="Verdana" w:cs="Segoe UI"/>
                <w:sz w:val="16"/>
                <w:szCs w:val="16"/>
                <w:lang w:val="es-ES_tradnl" w:eastAsia="es-ES_tradnl"/>
              </w:rPr>
            </w:pPr>
            <w:r>
              <w:rPr>
                <w:rFonts w:ascii="Verdana" w:eastAsia="Times New Roman" w:hAnsi="Verdana" w:cs="Segoe UI"/>
                <w:sz w:val="16"/>
                <w:szCs w:val="16"/>
                <w:lang w:val="es-ES_tradnl" w:eastAsia="es-ES_tradnl"/>
              </w:rPr>
              <w:t>Cielo</w:t>
            </w:r>
            <w:r w:rsidRPr="00733C4A">
              <w:rPr>
                <w:rFonts w:ascii="Verdana" w:eastAsia="Times New Roman" w:hAnsi="Verdana" w:cs="Segoe UI"/>
                <w:sz w:val="16"/>
                <w:szCs w:val="16"/>
                <w:lang w:val="es-ES_tradnl" w:eastAsia="es-ES_tradnl"/>
              </w:rPr>
              <w:t xml:space="preserve"> González </w:t>
            </w:r>
          </w:p>
          <w:p w14:paraId="5CA62405" w14:textId="77777777" w:rsidR="00155C27" w:rsidRPr="00733C4A" w:rsidRDefault="00155C27" w:rsidP="000E4E64">
            <w:pPr>
              <w:textAlignment w:val="baseline"/>
              <w:rPr>
                <w:rFonts w:ascii="Verdana" w:eastAsia="Times New Roman" w:hAnsi="Verdana" w:cs="Segoe UI"/>
                <w:sz w:val="16"/>
                <w:szCs w:val="16"/>
                <w:lang w:val="es-ES_tradnl" w:eastAsia="es-ES_tradnl"/>
              </w:rPr>
            </w:pPr>
            <w:r w:rsidRPr="00733C4A">
              <w:rPr>
                <w:rFonts w:ascii="Verdana" w:eastAsia="Times New Roman" w:hAnsi="Verdana" w:cs="Arial"/>
                <w:sz w:val="16"/>
                <w:szCs w:val="16"/>
                <w:lang w:val="es-ES_tradnl" w:eastAsia="es-ES_tradnl"/>
              </w:rPr>
              <w:t>Contratista de la Subdirección de Gestión Contractual </w:t>
            </w:r>
          </w:p>
        </w:tc>
      </w:tr>
      <w:tr w:rsidR="00155C27" w:rsidRPr="00733C4A" w14:paraId="095D27A4" w14:textId="77777777" w:rsidTr="000E4E64">
        <w:trPr>
          <w:trHeight w:val="300"/>
        </w:trPr>
        <w:tc>
          <w:tcPr>
            <w:tcW w:w="893" w:type="dxa"/>
            <w:vAlign w:val="center"/>
          </w:tcPr>
          <w:p w14:paraId="38E97FA6" w14:textId="77777777" w:rsidR="00155C27" w:rsidRPr="00733C4A" w:rsidRDefault="00155C27" w:rsidP="000E4E64">
            <w:pPr>
              <w:rPr>
                <w:rFonts w:ascii="Verdana" w:eastAsia="Calibri" w:hAnsi="Verdana" w:cs="Arial"/>
                <w:sz w:val="16"/>
                <w:szCs w:val="16"/>
                <w:lang w:val="es-ES_tradnl" w:eastAsia="es-ES"/>
              </w:rPr>
            </w:pPr>
            <w:r w:rsidRPr="00733C4A">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70D2DD71" w14:textId="77777777" w:rsidR="00155C27" w:rsidRPr="00733C4A" w:rsidRDefault="00155C27" w:rsidP="000E4E64">
            <w:pPr>
              <w:rPr>
                <w:rFonts w:ascii="Verdana" w:eastAsia="Calibri" w:hAnsi="Verdana" w:cs="Arial"/>
                <w:sz w:val="16"/>
                <w:szCs w:val="16"/>
                <w:lang w:val="es-ES" w:eastAsia="es-ES"/>
              </w:rPr>
            </w:pPr>
            <w:r w:rsidRPr="00733C4A">
              <w:rPr>
                <w:rFonts w:ascii="Verdana" w:eastAsia="Calibri" w:hAnsi="Verdana" w:cs="Arial"/>
                <w:sz w:val="16"/>
                <w:szCs w:val="16"/>
                <w:lang w:val="es-ES" w:eastAsia="es-ES"/>
              </w:rPr>
              <w:t>Carolina Quintero Gacharná</w:t>
            </w:r>
          </w:p>
          <w:p w14:paraId="64862598" w14:textId="77777777" w:rsidR="00155C27" w:rsidRPr="00733C4A" w:rsidRDefault="00155C27" w:rsidP="000E4E64">
            <w:pPr>
              <w:rPr>
                <w:rFonts w:ascii="Verdana" w:eastAsia="Calibri" w:hAnsi="Verdana" w:cs="Arial"/>
                <w:sz w:val="16"/>
                <w:szCs w:val="16"/>
                <w:lang w:val="es-ES_tradnl" w:eastAsia="es-ES"/>
              </w:rPr>
            </w:pPr>
            <w:r w:rsidRPr="00733C4A">
              <w:rPr>
                <w:rFonts w:ascii="Verdana" w:eastAsia="Calibri" w:hAnsi="Verdana" w:cs="Arial"/>
                <w:sz w:val="16"/>
                <w:szCs w:val="16"/>
                <w:lang w:val="es-ES_tradnl" w:eastAsia="es-ES"/>
              </w:rPr>
              <w:t>Subdirectora de Gestión Contractual ANCP – CCE</w:t>
            </w:r>
          </w:p>
        </w:tc>
      </w:tr>
    </w:tbl>
    <w:p w14:paraId="55C675E0" w14:textId="77777777" w:rsidR="00155C27" w:rsidRPr="00733C4A" w:rsidRDefault="00155C27" w:rsidP="00155C27">
      <w:pPr>
        <w:spacing w:after="0" w:line="240" w:lineRule="auto"/>
        <w:rPr>
          <w:rFonts w:ascii="Verdana" w:eastAsia="Aptos" w:hAnsi="Verdana" w:cs="Times New Roman"/>
          <w:kern w:val="2"/>
          <w:sz w:val="16"/>
          <w:szCs w:val="16"/>
          <w:lang w:val="es-ES_tradnl"/>
          <w14:ligatures w14:val="standardContextual"/>
        </w:rPr>
      </w:pPr>
    </w:p>
    <w:p w14:paraId="39A4EE2A" w14:textId="77777777" w:rsidR="00155C27" w:rsidRPr="005622BB" w:rsidRDefault="00155C27" w:rsidP="00155C27">
      <w:pPr>
        <w:snapToGrid w:val="0"/>
        <w:spacing w:after="0" w:line="276" w:lineRule="auto"/>
        <w:jc w:val="both"/>
        <w:rPr>
          <w:rFonts w:ascii="Verdana" w:eastAsia="Calibri" w:hAnsi="Verdana" w:cs="Arial"/>
          <w:lang w:val="es-ES_tradnl"/>
        </w:rPr>
      </w:pPr>
    </w:p>
    <w:bookmarkEnd w:id="0"/>
    <w:p w14:paraId="183A0202" w14:textId="68EF9F53" w:rsidR="003A6E04" w:rsidRPr="005622BB" w:rsidRDefault="003A6E04" w:rsidP="00367C9C">
      <w:pPr>
        <w:spacing w:after="0" w:line="240" w:lineRule="auto"/>
        <w:jc w:val="right"/>
        <w:rPr>
          <w:rFonts w:ascii="Verdana" w:eastAsia="Calibri" w:hAnsi="Verdana" w:cs="Arial"/>
          <w:lang w:val="es-ES_tradnl" w:eastAsia="es-ES"/>
        </w:rPr>
      </w:pPr>
    </w:p>
    <w:sectPr w:rsidR="003A6E04" w:rsidRPr="005622BB"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0ABB" w14:textId="77777777" w:rsidR="00916A8C" w:rsidRDefault="00916A8C" w:rsidP="004A1847">
      <w:pPr>
        <w:spacing w:after="0" w:line="240" w:lineRule="auto"/>
      </w:pPr>
      <w:r>
        <w:separator/>
      </w:r>
    </w:p>
  </w:endnote>
  <w:endnote w:type="continuationSeparator" w:id="0">
    <w:p w14:paraId="7307F807" w14:textId="77777777" w:rsidR="00916A8C" w:rsidRDefault="00916A8C" w:rsidP="004A1847">
      <w:pPr>
        <w:spacing w:after="0" w:line="240" w:lineRule="auto"/>
      </w:pPr>
      <w:r>
        <w:continuationSeparator/>
      </w:r>
    </w:p>
  </w:endnote>
  <w:endnote w:type="continuationNotice" w:id="1">
    <w:p w14:paraId="4079A44E" w14:textId="77777777" w:rsidR="00916A8C" w:rsidRDefault="00916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DF44" w14:textId="77777777" w:rsidR="00916A8C" w:rsidRDefault="00916A8C" w:rsidP="004A1847">
      <w:pPr>
        <w:spacing w:after="0" w:line="240" w:lineRule="auto"/>
      </w:pPr>
      <w:r>
        <w:separator/>
      </w:r>
    </w:p>
  </w:footnote>
  <w:footnote w:type="continuationSeparator" w:id="0">
    <w:p w14:paraId="1328A48C" w14:textId="77777777" w:rsidR="00916A8C" w:rsidRDefault="00916A8C" w:rsidP="004A1847">
      <w:pPr>
        <w:spacing w:after="0" w:line="240" w:lineRule="auto"/>
      </w:pPr>
      <w:r>
        <w:continuationSeparator/>
      </w:r>
    </w:p>
  </w:footnote>
  <w:footnote w:type="continuationNotice" w:id="1">
    <w:p w14:paraId="5E578CB7" w14:textId="77777777" w:rsidR="00916A8C" w:rsidRDefault="00916A8C">
      <w:pPr>
        <w:spacing w:after="0" w:line="240" w:lineRule="auto"/>
      </w:pPr>
    </w:p>
  </w:footnote>
  <w:footnote w:id="2">
    <w:p w14:paraId="6A05F5F2" w14:textId="77777777" w:rsidR="00155C27" w:rsidRPr="00085FDB" w:rsidRDefault="00155C27" w:rsidP="00155C27">
      <w:pPr>
        <w:pStyle w:val="Textonotapie"/>
        <w:ind w:firstLine="709"/>
        <w:jc w:val="both"/>
        <w:rPr>
          <w:rFonts w:ascii="Arial" w:hAnsi="Arial" w:cs="Arial"/>
          <w:sz w:val="18"/>
          <w:szCs w:val="18"/>
        </w:rPr>
      </w:pPr>
      <w:r w:rsidRPr="00085FDB">
        <w:rPr>
          <w:rStyle w:val="Refdenotaalpie"/>
          <w:rFonts w:ascii="Arial" w:hAnsi="Arial" w:cs="Arial"/>
          <w:sz w:val="18"/>
          <w:szCs w:val="18"/>
        </w:rPr>
        <w:footnoteRef/>
      </w:r>
      <w:r w:rsidRPr="00085FDB">
        <w:rPr>
          <w:rFonts w:ascii="Arial" w:hAnsi="Arial" w:cs="Arial"/>
          <w:sz w:val="18"/>
          <w:szCs w:val="18"/>
        </w:rPr>
        <w:t xml:space="preserve"> La Constitución Política, en el artículo 189, numeral 2, dispone que el Presidente de la República debe: “Dirigir las relaciones internacionales. Nombrar a los agentes diplomáticos y consulares, recibir a los agentes respectivos y celebrar con otros Estados y entidades de derecho internacional tratados o convenios que se someterán a la aprobación del Congreso”. Así mismo, en el artículo 150, numeral 16, establece que el Congreso de la Republica debe: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E10B32"/>
    <w:multiLevelType w:val="hybridMultilevel"/>
    <w:tmpl w:val="5FF0D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5C802C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2DC60A1"/>
    <w:multiLevelType w:val="multilevel"/>
    <w:tmpl w:val="AA38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2322F0"/>
    <w:multiLevelType w:val="hybridMultilevel"/>
    <w:tmpl w:val="238C17CA"/>
    <w:lvl w:ilvl="0" w:tplc="849CDDCA">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1492209491">
    <w:abstractNumId w:val="6"/>
  </w:num>
  <w:num w:numId="18" w16cid:durableId="679089576">
    <w:abstractNumId w:val="11"/>
  </w:num>
  <w:num w:numId="19" w16cid:durableId="1292635229">
    <w:abstractNumId w:val="18"/>
  </w:num>
  <w:num w:numId="20" w16cid:durableId="1077559912">
    <w:abstractNumId w:val="12"/>
  </w:num>
  <w:num w:numId="21" w16cid:durableId="424154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86C09"/>
    <w:rsid w:val="000A2DA5"/>
    <w:rsid w:val="000A683E"/>
    <w:rsid w:val="000B19B9"/>
    <w:rsid w:val="000C6D58"/>
    <w:rsid w:val="000D0334"/>
    <w:rsid w:val="000F6486"/>
    <w:rsid w:val="00114CE8"/>
    <w:rsid w:val="00125105"/>
    <w:rsid w:val="00127233"/>
    <w:rsid w:val="00155C27"/>
    <w:rsid w:val="0017306B"/>
    <w:rsid w:val="001B3F9B"/>
    <w:rsid w:val="001E4177"/>
    <w:rsid w:val="001F7DC6"/>
    <w:rsid w:val="002421BB"/>
    <w:rsid w:val="00250531"/>
    <w:rsid w:val="0025796E"/>
    <w:rsid w:val="002707A2"/>
    <w:rsid w:val="002951A0"/>
    <w:rsid w:val="002962BC"/>
    <w:rsid w:val="002A093D"/>
    <w:rsid w:val="002A0DD0"/>
    <w:rsid w:val="002A49AC"/>
    <w:rsid w:val="002A5F8C"/>
    <w:rsid w:val="002A64FD"/>
    <w:rsid w:val="002C7A84"/>
    <w:rsid w:val="002D7C31"/>
    <w:rsid w:val="002E4FD9"/>
    <w:rsid w:val="00322A85"/>
    <w:rsid w:val="00324168"/>
    <w:rsid w:val="00332368"/>
    <w:rsid w:val="003448F4"/>
    <w:rsid w:val="00357C1D"/>
    <w:rsid w:val="00367C9C"/>
    <w:rsid w:val="00373728"/>
    <w:rsid w:val="00374F5E"/>
    <w:rsid w:val="00377E3E"/>
    <w:rsid w:val="00394F4A"/>
    <w:rsid w:val="003A26D1"/>
    <w:rsid w:val="003A6E04"/>
    <w:rsid w:val="003A779E"/>
    <w:rsid w:val="003D0F4D"/>
    <w:rsid w:val="003D5B0D"/>
    <w:rsid w:val="003E0499"/>
    <w:rsid w:val="003F2281"/>
    <w:rsid w:val="003F3941"/>
    <w:rsid w:val="00406575"/>
    <w:rsid w:val="0042722E"/>
    <w:rsid w:val="0044528D"/>
    <w:rsid w:val="004705EC"/>
    <w:rsid w:val="00483BBC"/>
    <w:rsid w:val="00486227"/>
    <w:rsid w:val="004A1847"/>
    <w:rsid w:val="004A305D"/>
    <w:rsid w:val="004B16CD"/>
    <w:rsid w:val="004F21C4"/>
    <w:rsid w:val="004F685F"/>
    <w:rsid w:val="005566E8"/>
    <w:rsid w:val="005622BB"/>
    <w:rsid w:val="00574867"/>
    <w:rsid w:val="00591460"/>
    <w:rsid w:val="00592628"/>
    <w:rsid w:val="005C3777"/>
    <w:rsid w:val="005C5CDC"/>
    <w:rsid w:val="005D476C"/>
    <w:rsid w:val="00610812"/>
    <w:rsid w:val="006219F8"/>
    <w:rsid w:val="006420E0"/>
    <w:rsid w:val="00650FF7"/>
    <w:rsid w:val="00665D70"/>
    <w:rsid w:val="00671DAC"/>
    <w:rsid w:val="006900D9"/>
    <w:rsid w:val="006D12F8"/>
    <w:rsid w:val="006E0F06"/>
    <w:rsid w:val="006F5E7F"/>
    <w:rsid w:val="00706C16"/>
    <w:rsid w:val="00733C4A"/>
    <w:rsid w:val="00756841"/>
    <w:rsid w:val="007649AB"/>
    <w:rsid w:val="00771D0C"/>
    <w:rsid w:val="007833AC"/>
    <w:rsid w:val="007B268C"/>
    <w:rsid w:val="007B7171"/>
    <w:rsid w:val="007C0C0F"/>
    <w:rsid w:val="007C3DC2"/>
    <w:rsid w:val="007E5497"/>
    <w:rsid w:val="00806F5F"/>
    <w:rsid w:val="00820278"/>
    <w:rsid w:val="0082405C"/>
    <w:rsid w:val="00842281"/>
    <w:rsid w:val="008843B6"/>
    <w:rsid w:val="00891928"/>
    <w:rsid w:val="008A446D"/>
    <w:rsid w:val="008D180B"/>
    <w:rsid w:val="008F0EA7"/>
    <w:rsid w:val="00911A49"/>
    <w:rsid w:val="00916A8C"/>
    <w:rsid w:val="00920786"/>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4739B"/>
    <w:rsid w:val="00A71F2E"/>
    <w:rsid w:val="00AB0ADB"/>
    <w:rsid w:val="00AD595F"/>
    <w:rsid w:val="00B01B1A"/>
    <w:rsid w:val="00B72CD3"/>
    <w:rsid w:val="00B72FFF"/>
    <w:rsid w:val="00BC3D36"/>
    <w:rsid w:val="00BD7F72"/>
    <w:rsid w:val="00C04FB3"/>
    <w:rsid w:val="00C10604"/>
    <w:rsid w:val="00C15AAE"/>
    <w:rsid w:val="00C330EB"/>
    <w:rsid w:val="00C55E89"/>
    <w:rsid w:val="00C66E65"/>
    <w:rsid w:val="00C754BE"/>
    <w:rsid w:val="00C76B1C"/>
    <w:rsid w:val="00C923D0"/>
    <w:rsid w:val="00CA4F61"/>
    <w:rsid w:val="00CB6357"/>
    <w:rsid w:val="00CC1B26"/>
    <w:rsid w:val="00CE3D1A"/>
    <w:rsid w:val="00D423A2"/>
    <w:rsid w:val="00D47A7F"/>
    <w:rsid w:val="00D520D8"/>
    <w:rsid w:val="00D63AC2"/>
    <w:rsid w:val="00D7383B"/>
    <w:rsid w:val="00DA231B"/>
    <w:rsid w:val="00DA23A0"/>
    <w:rsid w:val="00DC39FC"/>
    <w:rsid w:val="00DE6472"/>
    <w:rsid w:val="00DF5254"/>
    <w:rsid w:val="00E10417"/>
    <w:rsid w:val="00E112FF"/>
    <w:rsid w:val="00E16408"/>
    <w:rsid w:val="00E20894"/>
    <w:rsid w:val="00E245AB"/>
    <w:rsid w:val="00E2764C"/>
    <w:rsid w:val="00E27F2E"/>
    <w:rsid w:val="00E413EA"/>
    <w:rsid w:val="00E50AFE"/>
    <w:rsid w:val="00E5700B"/>
    <w:rsid w:val="00E725F8"/>
    <w:rsid w:val="00E756C1"/>
    <w:rsid w:val="00E75C92"/>
    <w:rsid w:val="00E771DC"/>
    <w:rsid w:val="00E8740D"/>
    <w:rsid w:val="00E8772A"/>
    <w:rsid w:val="00E90F6B"/>
    <w:rsid w:val="00E92C27"/>
    <w:rsid w:val="00EA0E3D"/>
    <w:rsid w:val="00EC38A7"/>
    <w:rsid w:val="00EC3B8A"/>
    <w:rsid w:val="00EE1AA8"/>
    <w:rsid w:val="00F22712"/>
    <w:rsid w:val="00F31EDC"/>
    <w:rsid w:val="00F462B3"/>
    <w:rsid w:val="00F5664F"/>
    <w:rsid w:val="00F666C4"/>
    <w:rsid w:val="00F712CC"/>
    <w:rsid w:val="00F76AFC"/>
    <w:rsid w:val="00FA47C0"/>
    <w:rsid w:val="00FB5DD1"/>
    <w:rsid w:val="00FC2B5D"/>
    <w:rsid w:val="00FF1449"/>
    <w:rsid w:val="37C67F7E"/>
    <w:rsid w:val="5CEADB7B"/>
    <w:rsid w:val="6F6F75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A6E04"/>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33C4A"/>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5094">
      <w:bodyDiv w:val="1"/>
      <w:marLeft w:val="0"/>
      <w:marRight w:val="0"/>
      <w:marTop w:val="0"/>
      <w:marBottom w:val="0"/>
      <w:divBdr>
        <w:top w:val="none" w:sz="0" w:space="0" w:color="auto"/>
        <w:left w:val="none" w:sz="0" w:space="0" w:color="auto"/>
        <w:bottom w:val="none" w:sz="0" w:space="0" w:color="auto"/>
        <w:right w:val="none" w:sz="0" w:space="0" w:color="auto"/>
      </w:divBdr>
      <w:divsChild>
        <w:div w:id="12893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633186">
              <w:marLeft w:val="0"/>
              <w:marRight w:val="0"/>
              <w:marTop w:val="0"/>
              <w:marBottom w:val="0"/>
              <w:divBdr>
                <w:top w:val="none" w:sz="0" w:space="0" w:color="auto"/>
                <w:left w:val="none" w:sz="0" w:space="0" w:color="auto"/>
                <w:bottom w:val="none" w:sz="0" w:space="0" w:color="auto"/>
                <w:right w:val="none" w:sz="0" w:space="0" w:color="auto"/>
              </w:divBdr>
              <w:divsChild>
                <w:div w:id="109925840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8345786">
      <w:bodyDiv w:val="1"/>
      <w:marLeft w:val="0"/>
      <w:marRight w:val="0"/>
      <w:marTop w:val="0"/>
      <w:marBottom w:val="0"/>
      <w:divBdr>
        <w:top w:val="none" w:sz="0" w:space="0" w:color="auto"/>
        <w:left w:val="none" w:sz="0" w:space="0" w:color="auto"/>
        <w:bottom w:val="none" w:sz="0" w:space="0" w:color="auto"/>
        <w:right w:val="none" w:sz="0" w:space="0" w:color="auto"/>
      </w:divBdr>
      <w:divsChild>
        <w:div w:id="1049454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919071">
              <w:marLeft w:val="0"/>
              <w:marRight w:val="0"/>
              <w:marTop w:val="0"/>
              <w:marBottom w:val="0"/>
              <w:divBdr>
                <w:top w:val="none" w:sz="0" w:space="0" w:color="auto"/>
                <w:left w:val="none" w:sz="0" w:space="0" w:color="auto"/>
                <w:bottom w:val="none" w:sz="0" w:space="0" w:color="auto"/>
                <w:right w:val="none" w:sz="0" w:space="0" w:color="auto"/>
              </w:divBdr>
              <w:divsChild>
                <w:div w:id="12925468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273365810">
      <w:bodyDiv w:val="1"/>
      <w:marLeft w:val="0"/>
      <w:marRight w:val="0"/>
      <w:marTop w:val="0"/>
      <w:marBottom w:val="0"/>
      <w:divBdr>
        <w:top w:val="none" w:sz="0" w:space="0" w:color="auto"/>
        <w:left w:val="none" w:sz="0" w:space="0" w:color="auto"/>
        <w:bottom w:val="none" w:sz="0" w:space="0" w:color="auto"/>
        <w:right w:val="none" w:sz="0" w:space="0" w:color="auto"/>
      </w:divBdr>
      <w:divsChild>
        <w:div w:id="1369720728">
          <w:marLeft w:val="0"/>
          <w:marRight w:val="0"/>
          <w:marTop w:val="240"/>
          <w:marBottom w:val="240"/>
          <w:divBdr>
            <w:top w:val="none" w:sz="0" w:space="0" w:color="auto"/>
            <w:left w:val="none" w:sz="0" w:space="0" w:color="auto"/>
            <w:bottom w:val="none" w:sz="0" w:space="0" w:color="auto"/>
            <w:right w:val="none" w:sz="0" w:space="0" w:color="auto"/>
          </w:divBdr>
        </w:div>
        <w:div w:id="754323018">
          <w:marLeft w:val="0"/>
          <w:marRight w:val="0"/>
          <w:marTop w:val="240"/>
          <w:marBottom w:val="240"/>
          <w:divBdr>
            <w:top w:val="none" w:sz="0" w:space="0" w:color="auto"/>
            <w:left w:val="none" w:sz="0" w:space="0" w:color="auto"/>
            <w:bottom w:val="none" w:sz="0" w:space="0" w:color="auto"/>
            <w:right w:val="none" w:sz="0" w:space="0" w:color="auto"/>
          </w:divBdr>
        </w:div>
        <w:div w:id="905652536">
          <w:marLeft w:val="0"/>
          <w:marRight w:val="0"/>
          <w:marTop w:val="240"/>
          <w:marBottom w:val="240"/>
          <w:divBdr>
            <w:top w:val="none" w:sz="0" w:space="0" w:color="auto"/>
            <w:left w:val="none" w:sz="0" w:space="0" w:color="auto"/>
            <w:bottom w:val="none" w:sz="0" w:space="0" w:color="auto"/>
            <w:right w:val="none" w:sz="0" w:space="0" w:color="auto"/>
          </w:divBdr>
        </w:div>
        <w:div w:id="1436556679">
          <w:marLeft w:val="0"/>
          <w:marRight w:val="0"/>
          <w:marTop w:val="240"/>
          <w:marBottom w:val="240"/>
          <w:divBdr>
            <w:top w:val="none" w:sz="0" w:space="0" w:color="auto"/>
            <w:left w:val="none" w:sz="0" w:space="0" w:color="auto"/>
            <w:bottom w:val="none" w:sz="0" w:space="0" w:color="auto"/>
            <w:right w:val="none" w:sz="0" w:space="0" w:color="auto"/>
          </w:divBdr>
        </w:div>
        <w:div w:id="1486430557">
          <w:marLeft w:val="0"/>
          <w:marRight w:val="0"/>
          <w:marTop w:val="240"/>
          <w:marBottom w:val="24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5048520">
      <w:bodyDiv w:val="1"/>
      <w:marLeft w:val="0"/>
      <w:marRight w:val="0"/>
      <w:marTop w:val="0"/>
      <w:marBottom w:val="0"/>
      <w:divBdr>
        <w:top w:val="none" w:sz="0" w:space="0" w:color="auto"/>
        <w:left w:val="none" w:sz="0" w:space="0" w:color="auto"/>
        <w:bottom w:val="none" w:sz="0" w:space="0" w:color="auto"/>
        <w:right w:val="none" w:sz="0" w:space="0" w:color="auto"/>
      </w:divBdr>
      <w:divsChild>
        <w:div w:id="1466657660">
          <w:marLeft w:val="0"/>
          <w:marRight w:val="0"/>
          <w:marTop w:val="240"/>
          <w:marBottom w:val="240"/>
          <w:divBdr>
            <w:top w:val="none" w:sz="0" w:space="0" w:color="auto"/>
            <w:left w:val="none" w:sz="0" w:space="0" w:color="auto"/>
            <w:bottom w:val="none" w:sz="0" w:space="0" w:color="auto"/>
            <w:right w:val="none" w:sz="0" w:space="0" w:color="auto"/>
          </w:divBdr>
        </w:div>
        <w:div w:id="617376671">
          <w:marLeft w:val="0"/>
          <w:marRight w:val="0"/>
          <w:marTop w:val="240"/>
          <w:marBottom w:val="240"/>
          <w:divBdr>
            <w:top w:val="none" w:sz="0" w:space="0" w:color="auto"/>
            <w:left w:val="none" w:sz="0" w:space="0" w:color="auto"/>
            <w:bottom w:val="none" w:sz="0" w:space="0" w:color="auto"/>
            <w:right w:val="none" w:sz="0" w:space="0" w:color="auto"/>
          </w:divBdr>
        </w:div>
        <w:div w:id="1580485383">
          <w:marLeft w:val="0"/>
          <w:marRight w:val="0"/>
          <w:marTop w:val="240"/>
          <w:marBottom w:val="240"/>
          <w:divBdr>
            <w:top w:val="none" w:sz="0" w:space="0" w:color="auto"/>
            <w:left w:val="none" w:sz="0" w:space="0" w:color="auto"/>
            <w:bottom w:val="none" w:sz="0" w:space="0" w:color="auto"/>
            <w:right w:val="none" w:sz="0" w:space="0" w:color="auto"/>
          </w:divBdr>
        </w:div>
        <w:div w:id="1936863099">
          <w:marLeft w:val="0"/>
          <w:marRight w:val="0"/>
          <w:marTop w:val="240"/>
          <w:marBottom w:val="240"/>
          <w:divBdr>
            <w:top w:val="none" w:sz="0" w:space="0" w:color="auto"/>
            <w:left w:val="none" w:sz="0" w:space="0" w:color="auto"/>
            <w:bottom w:val="none" w:sz="0" w:space="0" w:color="auto"/>
            <w:right w:val="none" w:sz="0" w:space="0" w:color="auto"/>
          </w:divBdr>
        </w:div>
        <w:div w:id="123666767">
          <w:marLeft w:val="0"/>
          <w:marRight w:val="0"/>
          <w:marTop w:val="240"/>
          <w:marBottom w:val="240"/>
          <w:divBdr>
            <w:top w:val="none" w:sz="0" w:space="0" w:color="auto"/>
            <w:left w:val="none" w:sz="0" w:space="0" w:color="auto"/>
            <w:bottom w:val="none" w:sz="0" w:space="0" w:color="auto"/>
            <w:right w:val="none" w:sz="0" w:space="0" w:color="auto"/>
          </w:divBdr>
        </w:div>
      </w:divsChild>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84547528">
      <w:bodyDiv w:val="1"/>
      <w:marLeft w:val="0"/>
      <w:marRight w:val="0"/>
      <w:marTop w:val="0"/>
      <w:marBottom w:val="0"/>
      <w:divBdr>
        <w:top w:val="none" w:sz="0" w:space="0" w:color="auto"/>
        <w:left w:val="none" w:sz="0" w:space="0" w:color="auto"/>
        <w:bottom w:val="none" w:sz="0" w:space="0" w:color="auto"/>
        <w:right w:val="none" w:sz="0" w:space="0" w:color="auto"/>
      </w:divBdr>
      <w:divsChild>
        <w:div w:id="239557187">
          <w:marLeft w:val="0"/>
          <w:marRight w:val="0"/>
          <w:marTop w:val="0"/>
          <w:marBottom w:val="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cionpublica.gov.co/eva/gestornormativo/norma.php?i=44643" TargetMode="External"/><Relationship Id="rId18" Type="http://schemas.openxmlformats.org/officeDocument/2006/relationships/hyperlink" Target="https://nam02.safelinks.protection.outlook.com/?url=https%3A%2F%2Fwww.colombiacompra.gov.co%2Fsites%2Fcce_public%2Ffiles%2Fcce_documents%2Fmanual_para_el_manejo_de_acuerdos_comerciales_vf.pdf&amp;data=05%7C02%7Cnasly.mosquera%40colombiacompra.gov.co%7C6192b0470d324981a09708dd0a6c28db%7C7b09041e245149d08cb179d5e3d8c1be%7C0%7C0%7C638678181871504615%7CUnknown%7CTWFpbGZsb3d8eyJFbXB0eU1hcGkiOnRydWUsIlYiOiIwLjAuMDAwMCIsIlAiOiJXaW4zMiIsIkFOIjoiTWFpbCIsIldUIjoyfQ%3D%3D%7C0%7C%7C%7C&amp;sdata=PZ4Q9UmFuWHyzXNxvljfxpaa%2F7anMTziVh%2FF0lPERu8%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uncionpublica.gov.co/eva/gestornormativo/norma.php?i=161571" TargetMode="External"/><Relationship Id="rId17"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uncionpublica.gov.co/eva/gestornormativo/norma.php?i=175187" TargetMode="External"/><Relationship Id="rId23" Type="http://schemas.openxmlformats.org/officeDocument/2006/relationships/fontTable" Target="fontTable.xml"/><Relationship Id="rId10" Type="http://schemas.openxmlformats.org/officeDocument/2006/relationships/hyperlink" Target="mailto:maria.lezcano@chia.gov.co" TargetMode="External"/><Relationship Id="rId19" Type="http://schemas.openxmlformats.org/officeDocument/2006/relationships/hyperlink" Target="https://nam02.safelinks.protection.outlook.com/?url=https%3A%2F%2Fwww.colombiacompra.gov.co%2Fsala-de-prensa%2Fboletin-digital&amp;data=05%7C02%7Cnasly.mosquera%40colombiacompra.gov.co%7C6192b0470d324981a09708dd0a6c28db%7C7b09041e245149d08cb179d5e3d8c1be%7C0%7C0%7C638678181871561850%7CUnknown%7CTWFpbGZsb3d8eyJFbXB0eU1hcGkiOnRydWUsIlYiOiIwLjAuMDAwMCIsIlAiOiJXaW4zMiIsIkFOIjoiTWFpbCIsIldUIjoyfQ%3D%3D%7C0%7C%7C%7C&amp;sdata=d8njxlfTQkXpB8bcjKJcjmmAbbvqPKMstwOAPJnVrX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cionpublica.gov.co/eva/gestornormativo/norma.php?i=4464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E639201B-5956-4609-B05C-175A085A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4229</Words>
  <Characters>23264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5</cp:revision>
  <cp:lastPrinted>2023-01-10T21:18:00Z</cp:lastPrinted>
  <dcterms:created xsi:type="dcterms:W3CDTF">2024-12-18T23:20:00Z</dcterms:created>
  <dcterms:modified xsi:type="dcterms:W3CDTF">2024-12-31T17:02:00Z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