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mc:Ignorable="w14 w15 w16se w16cid w16 w16cex w16sdtdh w16sdtfl w16du wp14">
  <w:body>
    <w:p w:rsidRPr="00C46A2A" w:rsidR="00C46A2A" w:rsidP="00D06D62" w:rsidRDefault="00C46A2A" w14:paraId="74B59007" w14:textId="3D6409D8">
      <w:pPr>
        <w:spacing w:after="0" w:line="240" w:lineRule="auto"/>
        <w:rPr>
          <w:rFonts w:ascii="Verdana" w:hAnsi="Verdana" w:eastAsia="Times New Roman" w:cs="Arial"/>
          <w:b/>
          <w:sz w:val="20"/>
          <w:szCs w:val="20"/>
          <w:lang w:eastAsia="es-ES_tradnl"/>
        </w:rPr>
      </w:pPr>
      <w:r w:rsidRPr="00C46A2A">
        <w:rPr>
          <w:rFonts w:ascii="Arial" w:hAnsi="Arial" w:eastAsia="Arial" w:cs="Arial"/>
          <w:b/>
          <w:sz w:val="20"/>
          <w:szCs w:val="20"/>
          <w:lang w:val="es-ES_tradnl"/>
        </w:rPr>
        <w:t>ADQUISICIÓN DE BIENES INMUEBLES - estudios previos</w:t>
      </w:r>
      <w:r w:rsidRPr="00C46A2A">
        <w:rPr>
          <w:rFonts w:ascii="Arial" w:hAnsi="Arial" w:eastAsia="Arial" w:cs="Arial"/>
          <w:b/>
          <w:sz w:val="20"/>
          <w:szCs w:val="20"/>
          <w:lang w:val="es-ES_tradnl"/>
        </w:rPr>
        <w:t xml:space="preserve"> - Planeación</w:t>
      </w:r>
    </w:p>
    <w:p w:rsidRPr="00C46A2A" w:rsidR="00C46A2A" w:rsidP="00D06D62" w:rsidRDefault="00C46A2A" w14:paraId="2190ECA8" w14:textId="77777777">
      <w:pPr>
        <w:spacing w:after="0" w:line="240" w:lineRule="auto"/>
        <w:rPr>
          <w:rFonts w:ascii="Verdana" w:hAnsi="Verdana" w:eastAsia="Times New Roman" w:cs="Arial"/>
          <w:sz w:val="20"/>
          <w:szCs w:val="20"/>
          <w:lang w:eastAsia="es-ES_tradnl"/>
        </w:rPr>
      </w:pPr>
    </w:p>
    <w:p w:rsidRPr="00C46A2A" w:rsidR="00C46A2A" w:rsidP="38FD8617" w:rsidRDefault="00C46A2A" w14:paraId="61A2D538" w14:textId="3AD982F4" w14:noSpellErr="1">
      <w:pPr>
        <w:spacing w:before="120" w:after="0"/>
        <w:jc w:val="both"/>
        <w:rPr>
          <w:rFonts w:ascii="Verdana" w:hAnsi="Verdana" w:cs="Arial"/>
          <w:sz w:val="20"/>
          <w:szCs w:val="20"/>
          <w:lang w:val="es-ES" w:eastAsia="es-CO"/>
        </w:rPr>
      </w:pPr>
      <w:r w:rsidRPr="38FD8617" w:rsidR="00C46A2A">
        <w:rPr>
          <w:rFonts w:ascii="Verdana" w:hAnsi="Verdana" w:cs="Arial"/>
          <w:sz w:val="20"/>
          <w:szCs w:val="20"/>
          <w:lang w:val="es-ES"/>
        </w:rPr>
        <w:t>Ahora bien, en aras del principio de planeación contractual que se define como una herramienta de gerencia pública, que exige estructurar el proceso contractual dedicando tiempo y esfuerzos para elaborar estudios previos, los cuales deberán ser adecuados a su alcance y complejidad.</w:t>
      </w:r>
      <w:r w:rsidRPr="38FD8617" w:rsidR="00C46A2A">
        <w:rPr>
          <w:rFonts w:ascii="Verdana" w:hAnsi="Verdana" w:cs="Arial"/>
          <w:sz w:val="20"/>
          <w:szCs w:val="20"/>
          <w:lang w:val="es-ES"/>
        </w:rPr>
        <w:t xml:space="preserve">  Lo anterior, con la finalidad de determinar la necesidad que pretende satisfacer la entidad estatal, consultando el tipo de bienes y servicios que ofrece el mercado y sus características, especificaciones, precios, costos, riesgos, garantías, disponibilidad, oferentes, entre otros factores. Así, una debida planeación debe conducir a una escogencia diligente de la mejor oferta, para beneficiar los intereses y fines públicos inmersos en la contratación de las entidades estatales, buscando siempre la correcta ejecución del contrato.</w:t>
      </w:r>
      <w:r w:rsidRPr="38FD8617" w:rsidR="00C46A2A">
        <w:rPr>
          <w:rFonts w:ascii="Verdana" w:hAnsi="Verdana" w:cs="Arial"/>
          <w:sz w:val="20"/>
          <w:szCs w:val="20"/>
          <w:lang w:val="es-ES" w:eastAsia="es-CO"/>
        </w:rPr>
        <w:t xml:space="preserve"> </w:t>
      </w:r>
    </w:p>
    <w:p w:rsidRPr="00C46A2A" w:rsidR="00C46A2A" w:rsidP="38FD8617" w:rsidRDefault="00C46A2A" w14:paraId="3EDAAE78" w14:textId="77E22CB1" w14:noSpellErr="1">
      <w:pPr>
        <w:spacing w:before="120" w:after="0"/>
        <w:jc w:val="both"/>
        <w:rPr>
          <w:rFonts w:ascii="Verdana" w:hAnsi="Verdana" w:cs="Arial"/>
          <w:sz w:val="20"/>
          <w:szCs w:val="20"/>
          <w:lang w:val="es-ES"/>
        </w:rPr>
      </w:pPr>
      <w:r w:rsidRPr="38FD8617" w:rsidR="00C46A2A">
        <w:rPr>
          <w:rFonts w:ascii="Verdana" w:hAnsi="Verdana" w:cs="Arial"/>
          <w:sz w:val="20"/>
          <w:szCs w:val="20"/>
          <w:lang w:val="es-ES"/>
        </w:rPr>
        <w:t xml:space="preserve">En armonía con lo ya expresado, el proceso de adquisición de inmuebles demanda de las entidades estatales el deber de planeación en la etapa precontractual. </w:t>
      </w:r>
      <w:r w:rsidRPr="38FD8617" w:rsidR="00C46A2A">
        <w:rPr>
          <w:rFonts w:ascii="Verdana" w:hAnsi="Verdana" w:cs="Arial"/>
          <w:sz w:val="20"/>
          <w:szCs w:val="20"/>
          <w:lang w:val="es-ES"/>
        </w:rPr>
        <w:t>Esto con la finalidad de que el proceso de contratación satisfaga las necesidades de la Administración, que esta cumpla sus fines, y logre la continua y eficiente prestación de los servicios públicos.</w:t>
      </w:r>
      <w:r w:rsidRPr="38FD8617" w:rsidR="00C46A2A">
        <w:rPr>
          <w:rFonts w:ascii="Verdana" w:hAnsi="Verdana" w:cs="Arial"/>
          <w:sz w:val="20"/>
          <w:szCs w:val="20"/>
          <w:lang w:val="es-ES"/>
        </w:rPr>
        <w:t xml:space="preserve"> </w:t>
      </w:r>
    </w:p>
    <w:p w:rsidRPr="00C46A2A" w:rsidR="00C46A2A" w:rsidP="00C46A2A" w:rsidRDefault="00C46A2A" w14:paraId="6664055D" w14:textId="77777777">
      <w:pPr>
        <w:spacing w:after="0"/>
        <w:jc w:val="both"/>
        <w:rPr>
          <w:rFonts w:ascii="Verdana" w:hAnsi="Verdana" w:cs="Arial"/>
          <w:color w:val="000000"/>
          <w:sz w:val="20"/>
          <w:szCs w:val="20"/>
          <w:bdr w:val="none" w:color="auto" w:sz="0" w:space="0" w:frame="1"/>
          <w:lang w:val="es-ES_tradnl"/>
        </w:rPr>
      </w:pPr>
      <w:r w:rsidRPr="00C46A2A">
        <w:rPr>
          <w:rFonts w:ascii="Verdana" w:hAnsi="Verdana" w:cs="Arial"/>
          <w:bCs/>
          <w:sz w:val="20"/>
          <w:szCs w:val="20"/>
          <w:lang w:val="es-ES_tradnl"/>
        </w:rPr>
        <w:t xml:space="preserve">Para cumplir este objetivo son necesarios los estudios señalados en el artículo </w:t>
      </w:r>
      <w:r w:rsidRPr="00C46A2A">
        <w:rPr>
          <w:rFonts w:ascii="Verdana" w:hAnsi="Verdana" w:eastAsia="Arial" w:cs="Arial"/>
          <w:sz w:val="20"/>
          <w:szCs w:val="20"/>
          <w:lang w:val="es-ES_tradnl"/>
        </w:rPr>
        <w:t xml:space="preserve">2.2.1.2.1.4.10 del Decreto 1082 de 2015 </w:t>
      </w:r>
      <w:r w:rsidRPr="00C46A2A">
        <w:rPr>
          <w:rFonts w:ascii="Verdana" w:hAnsi="Verdana" w:cs="Arial"/>
          <w:bCs/>
          <w:sz w:val="20"/>
          <w:szCs w:val="20"/>
          <w:lang w:val="es-ES_tradnl"/>
        </w:rPr>
        <w:t>y el análisis del sector económico y de los oferentes, actividad de planeación previa que sirve para identificar aspectos concretos del mercado y</w:t>
      </w:r>
      <w:r w:rsidRPr="00C46A2A">
        <w:rPr>
          <w:rFonts w:ascii="Verdana" w:hAnsi="Verdana" w:cs="Arial"/>
          <w:color w:val="000000"/>
          <w:sz w:val="20"/>
          <w:szCs w:val="20"/>
          <w:bdr w:val="none" w:color="auto" w:sz="0" w:space="0" w:frame="1"/>
          <w:lang w:val="es-ES_tradnl"/>
        </w:rPr>
        <w:t xml:space="preserve"> seleccionar la mejor opción para cumplir con la necesidad de la entidad pública.</w:t>
      </w:r>
    </w:p>
    <w:p w:rsidR="00C46A2A" w:rsidP="00D06D62" w:rsidRDefault="00C46A2A" w14:paraId="0483F4C4" w14:textId="77777777">
      <w:pPr>
        <w:spacing w:after="0" w:line="240" w:lineRule="auto"/>
        <w:rPr>
          <w:rFonts w:ascii="Verdana" w:hAnsi="Verdana" w:eastAsia="Times New Roman" w:cs="Arial"/>
          <w:lang w:val="es-ES_tradnl" w:eastAsia="es-ES_tradnl"/>
        </w:rPr>
      </w:pPr>
    </w:p>
    <w:p w:rsidRPr="00C46A2A" w:rsidR="00C46A2A" w:rsidP="00D06D62" w:rsidRDefault="00C46A2A" w14:paraId="38EBA4B5" w14:textId="50354367">
      <w:pPr>
        <w:spacing w:after="0" w:line="240" w:lineRule="auto"/>
        <w:rPr>
          <w:rFonts w:ascii="Verdana" w:hAnsi="Verdana" w:eastAsia="Times New Roman" w:cs="Arial"/>
          <w:b/>
          <w:sz w:val="20"/>
          <w:szCs w:val="20"/>
          <w:lang w:val="es-ES_tradnl" w:eastAsia="es-ES_tradnl"/>
        </w:rPr>
      </w:pPr>
      <w:r w:rsidRPr="00C46A2A">
        <w:rPr>
          <w:rFonts w:ascii="Verdana" w:hAnsi="Verdana" w:eastAsia="Times New Roman" w:cs="Arial"/>
          <w:b/>
          <w:sz w:val="20"/>
          <w:szCs w:val="20"/>
          <w:lang w:eastAsia="es-ES_tradnl"/>
        </w:rPr>
        <w:t>AVALUOS COMERCIALES - A</w:t>
      </w:r>
      <w:proofErr w:type="spellStart"/>
      <w:r w:rsidRPr="00C46A2A">
        <w:rPr>
          <w:rFonts w:ascii="Arial" w:hAnsi="Arial" w:eastAsia="Arial" w:cs="Arial"/>
          <w:b/>
          <w:sz w:val="20"/>
          <w:szCs w:val="20"/>
          <w:lang w:val="es-ES_tradnl"/>
        </w:rPr>
        <w:t>rtículo</w:t>
      </w:r>
      <w:proofErr w:type="spellEnd"/>
      <w:r w:rsidRPr="00C46A2A">
        <w:rPr>
          <w:rFonts w:ascii="Arial" w:hAnsi="Arial" w:eastAsia="Arial" w:cs="Arial"/>
          <w:b/>
          <w:sz w:val="20"/>
          <w:szCs w:val="20"/>
          <w:lang w:val="es-ES_tradnl"/>
        </w:rPr>
        <w:t xml:space="preserve"> 2.2.1.2.1.4.10 del Decreto 1082 de 2015</w:t>
      </w:r>
    </w:p>
    <w:p w:rsidRPr="00C46A2A" w:rsidR="00C46A2A" w:rsidP="00D06D62" w:rsidRDefault="00C46A2A" w14:paraId="5F98487B" w14:textId="77777777">
      <w:pPr>
        <w:spacing w:after="0" w:line="240" w:lineRule="auto"/>
        <w:rPr>
          <w:rFonts w:ascii="Verdana" w:hAnsi="Verdana" w:eastAsia="Times New Roman" w:cs="Arial"/>
          <w:sz w:val="20"/>
          <w:szCs w:val="20"/>
          <w:lang w:eastAsia="es-ES_tradnl"/>
        </w:rPr>
      </w:pPr>
    </w:p>
    <w:p w:rsidRPr="00C46A2A" w:rsidR="00C46A2A" w:rsidP="00C46A2A" w:rsidRDefault="00C46A2A" w14:paraId="229EAEF2" w14:textId="77777777">
      <w:pPr>
        <w:spacing w:after="120" w:line="276" w:lineRule="auto"/>
        <w:jc w:val="both"/>
        <w:rPr>
          <w:rFonts w:ascii="Verdana" w:hAnsi="Verdana" w:eastAsia="Times New Roman" w:cs="Arial"/>
          <w:bCs/>
          <w:color w:val="000000" w:themeColor="text1"/>
          <w:sz w:val="20"/>
          <w:szCs w:val="20"/>
          <w:lang w:val="es-ES_tradnl"/>
        </w:rPr>
      </w:pPr>
      <w:r w:rsidRPr="00C46A2A">
        <w:rPr>
          <w:rFonts w:ascii="Verdana" w:hAnsi="Verdana" w:eastAsia="Arial MT" w:cs="Arial"/>
          <w:sz w:val="20"/>
          <w:szCs w:val="20"/>
          <w:lang w:eastAsia="es-ES" w:bidi="es-ES"/>
        </w:rPr>
        <w:t xml:space="preserve">El artículo </w:t>
      </w:r>
      <w:r w:rsidRPr="00C46A2A">
        <w:rPr>
          <w:rFonts w:ascii="Verdana" w:hAnsi="Verdana" w:eastAsia="Times New Roman" w:cs="Arial"/>
          <w:sz w:val="20"/>
          <w:szCs w:val="20"/>
          <w:lang w:eastAsia="es-ES_tradnl"/>
        </w:rPr>
        <w:t>2.2.1.2.1.4.10 del decreto 1082 de 2015</w:t>
      </w:r>
      <w:r w:rsidRPr="00C46A2A">
        <w:rPr>
          <w:rFonts w:ascii="Verdana" w:hAnsi="Verdana" w:eastAsia="Arial MT" w:cs="Arial"/>
          <w:sz w:val="20"/>
          <w:szCs w:val="20"/>
          <w:lang w:eastAsia="es-ES" w:bidi="es-ES"/>
        </w:rPr>
        <w:t xml:space="preserve"> es claro en establecer las reglas para que una entidad pública adquiera un bien inmueble bajo la modalidad de contratación directa. Dichas reglas se convierten en los estudios previos que la entidad deberá elaborar para estructurar su proceso de contratación. </w:t>
      </w:r>
      <w:r w:rsidRPr="00C46A2A">
        <w:rPr>
          <w:rFonts w:ascii="Verdana" w:hAnsi="Verdana" w:eastAsia="Times New Roman" w:cs="Arial"/>
          <w:bCs/>
          <w:color w:val="000000" w:themeColor="text1"/>
          <w:sz w:val="20"/>
          <w:szCs w:val="20"/>
        </w:rPr>
        <w:t xml:space="preserve">Estos </w:t>
      </w:r>
      <w:r w:rsidRPr="00C46A2A">
        <w:rPr>
          <w:rFonts w:ascii="Verdana" w:hAnsi="Verdana" w:eastAsia="Times New Roman" w:cs="Arial"/>
          <w:bCs/>
          <w:color w:val="000000" w:themeColor="text1"/>
          <w:sz w:val="20"/>
          <w:szCs w:val="20"/>
          <w:lang w:val="es-ES_tradnl"/>
        </w:rPr>
        <w:t xml:space="preserve">estudios específicos son los que las entidades estatales deben realizar antes de la suscripción del contrato. Dichos estudios son los siguientes: i) avalúo con una institución especializada de los bienes inmuebles identificados que satisfagan las necesidades de las entidades estatales; y </w:t>
      </w:r>
      <w:proofErr w:type="spellStart"/>
      <w:r w:rsidRPr="00C46A2A">
        <w:rPr>
          <w:rFonts w:ascii="Verdana" w:hAnsi="Verdana" w:eastAsia="Times New Roman" w:cs="Arial"/>
          <w:bCs/>
          <w:color w:val="000000" w:themeColor="text1"/>
          <w:sz w:val="20"/>
          <w:szCs w:val="20"/>
          <w:lang w:val="es-ES_tradnl"/>
        </w:rPr>
        <w:t>ii</w:t>
      </w:r>
      <w:proofErr w:type="spellEnd"/>
      <w:r w:rsidRPr="00C46A2A">
        <w:rPr>
          <w:rFonts w:ascii="Verdana" w:hAnsi="Verdana" w:eastAsia="Times New Roman" w:cs="Arial"/>
          <w:bCs/>
          <w:color w:val="000000" w:themeColor="text1"/>
          <w:sz w:val="20"/>
          <w:szCs w:val="20"/>
          <w:lang w:val="es-ES_tradnl"/>
        </w:rPr>
        <w:t xml:space="preserve">) el </w:t>
      </w:r>
      <w:r w:rsidRPr="00C46A2A">
        <w:rPr>
          <w:rFonts w:ascii="Verdana" w:hAnsi="Verdana" w:eastAsia="Times New Roman" w:cs="Arial"/>
          <w:bCs/>
          <w:i/>
          <w:color w:val="000000" w:themeColor="text1"/>
          <w:sz w:val="20"/>
          <w:szCs w:val="20"/>
          <w:lang w:val="es-ES_tradnl"/>
        </w:rPr>
        <w:t>análisis</w:t>
      </w:r>
      <w:r w:rsidRPr="00C46A2A">
        <w:rPr>
          <w:rFonts w:ascii="Verdana" w:hAnsi="Verdana" w:eastAsia="Times New Roman" w:cs="Arial"/>
          <w:bCs/>
          <w:color w:val="000000" w:themeColor="text1"/>
          <w:sz w:val="20"/>
          <w:szCs w:val="20"/>
          <w:lang w:val="es-ES_tradnl"/>
        </w:rPr>
        <w:t xml:space="preserve"> y </w:t>
      </w:r>
      <w:r w:rsidRPr="00C46A2A">
        <w:rPr>
          <w:rFonts w:ascii="Verdana" w:hAnsi="Verdana" w:eastAsia="Times New Roman" w:cs="Arial"/>
          <w:bCs/>
          <w:i/>
          <w:color w:val="000000" w:themeColor="text1"/>
          <w:sz w:val="20"/>
          <w:szCs w:val="20"/>
          <w:lang w:val="es-ES_tradnl"/>
        </w:rPr>
        <w:t>comparación</w:t>
      </w:r>
      <w:r w:rsidRPr="00C46A2A">
        <w:rPr>
          <w:rFonts w:ascii="Verdana" w:hAnsi="Verdana" w:eastAsia="Times New Roman" w:cs="Arial"/>
          <w:bCs/>
          <w:color w:val="000000" w:themeColor="text1"/>
          <w:sz w:val="20"/>
          <w:szCs w:val="20"/>
          <w:lang w:val="es-ES_tradnl"/>
        </w:rPr>
        <w:t xml:space="preserve"> de las condiciones de los inmuebles y las opciones de adquisición</w:t>
      </w:r>
    </w:p>
    <w:p w:rsidRPr="00C46A2A" w:rsidR="00C46A2A" w:rsidP="00C46A2A" w:rsidRDefault="00C46A2A" w14:paraId="3CAA4AFD" w14:textId="30494D10">
      <w:pPr>
        <w:spacing w:after="120" w:line="276" w:lineRule="auto"/>
        <w:jc w:val="both"/>
        <w:rPr>
          <w:rFonts w:ascii="Verdana" w:hAnsi="Verdana" w:eastAsia="Times New Roman" w:cs="Arial"/>
          <w:bCs/>
          <w:color w:val="000000" w:themeColor="text1"/>
          <w:sz w:val="20"/>
          <w:szCs w:val="20"/>
        </w:rPr>
      </w:pPr>
      <w:r w:rsidRPr="00C46A2A">
        <w:rPr>
          <w:rFonts w:ascii="Verdana" w:hAnsi="Verdana" w:eastAsia="Times New Roman" w:cs="Arial"/>
          <w:bCs/>
          <w:color w:val="000000" w:themeColor="text1"/>
          <w:sz w:val="20"/>
          <w:szCs w:val="20"/>
          <w:lang w:val="es-ES"/>
        </w:rPr>
        <w:t xml:space="preserve">Por instituciones especializadas se entiende que se </w:t>
      </w:r>
      <w:r w:rsidRPr="00C46A2A">
        <w:rPr>
          <w:rFonts w:ascii="Verdana" w:hAnsi="Verdana" w:eastAsia="Times New Roman" w:cs="Arial"/>
          <w:bCs/>
          <w:color w:val="000000" w:themeColor="text1"/>
          <w:sz w:val="20"/>
          <w:szCs w:val="20"/>
        </w:rPr>
        <w:t>tratan de entidades con la capacidad profesional y técnica para valorar de manera adecuada los bienes inmuebles que se vayan a adquirir, garantizando que el proceso de adquisición se haga con criterios objetivos y en conformidad con los principios de transparencia y equidad en las compras públicas.</w:t>
      </w:r>
      <w:r>
        <w:rPr>
          <w:rFonts w:ascii="Verdana" w:hAnsi="Verdana" w:eastAsia="Times New Roman" w:cs="Arial"/>
          <w:bCs/>
          <w:color w:val="000000" w:themeColor="text1"/>
          <w:sz w:val="20"/>
          <w:szCs w:val="20"/>
        </w:rPr>
        <w:t xml:space="preserve"> […]</w:t>
      </w:r>
    </w:p>
    <w:p w:rsidR="00C46A2A" w:rsidP="00D06D62" w:rsidRDefault="00C46A2A" w14:paraId="13366734" w14:textId="77777777">
      <w:pPr>
        <w:spacing w:after="0" w:line="240" w:lineRule="auto"/>
        <w:rPr>
          <w:rFonts w:ascii="Verdana" w:hAnsi="Verdana" w:eastAsia="Times New Roman" w:cs="Arial"/>
          <w:lang w:eastAsia="es-ES_tradnl"/>
        </w:rPr>
      </w:pPr>
    </w:p>
    <w:p w:rsidR="00C46A2A" w:rsidP="00D06D62" w:rsidRDefault="00C46A2A" w14:paraId="1832E818" w14:textId="77777777">
      <w:pPr>
        <w:spacing w:after="0" w:line="240" w:lineRule="auto"/>
        <w:rPr>
          <w:rFonts w:ascii="Verdana" w:hAnsi="Verdana" w:eastAsia="Times New Roman" w:cs="Arial"/>
          <w:lang w:eastAsia="es-ES_tradnl"/>
        </w:rPr>
      </w:pPr>
    </w:p>
    <w:p w:rsidR="00D06D62" w:rsidP="00D06D62" w:rsidRDefault="00D06D62" w14:paraId="0832B551" w14:textId="2921FEA6">
      <w:pPr>
        <w:spacing w:after="0" w:line="240" w:lineRule="auto"/>
        <w:rPr>
          <w:rFonts w:ascii="Verdana" w:hAnsi="Verdana" w:eastAsia="Times New Roman" w:cs="Arial"/>
          <w:lang w:eastAsia="es-ES_tradnl"/>
        </w:rPr>
      </w:pPr>
      <w:r w:rsidRPr="00BE151B">
        <w:rPr>
          <w:rFonts w:ascii="Verdana" w:hAnsi="Verdana" w:eastAsia="Times New Roman" w:cs="Arial"/>
          <w:lang w:eastAsia="es-ES_tradnl"/>
        </w:rPr>
        <w:t>Bogotá D.C., </w:t>
      </w:r>
      <w:r w:rsidR="00C46A2A">
        <w:rPr>
          <w:rFonts w:ascii="Verdana" w:hAnsi="Verdana" w:eastAsia="Times New Roman" w:cs="Arial"/>
          <w:lang w:eastAsia="es-ES_tradnl"/>
        </w:rPr>
        <w:t>31</w:t>
      </w:r>
      <w:r w:rsidRPr="00BE151B">
        <w:rPr>
          <w:rFonts w:ascii="Verdana" w:hAnsi="Verdana" w:eastAsia="Times New Roman" w:cs="Arial"/>
          <w:lang w:eastAsia="es-ES_tradnl"/>
        </w:rPr>
        <w:t xml:space="preserve"> de </w:t>
      </w:r>
      <w:r w:rsidR="00C46A2A">
        <w:rPr>
          <w:rFonts w:ascii="Verdana" w:hAnsi="Verdana" w:eastAsia="Times New Roman" w:cs="Arial"/>
          <w:lang w:eastAsia="es-ES_tradnl"/>
        </w:rPr>
        <w:t>diciembre</w:t>
      </w:r>
      <w:r w:rsidRPr="00BE151B">
        <w:rPr>
          <w:rFonts w:ascii="Verdana" w:hAnsi="Verdana" w:eastAsia="Times New Roman" w:cs="Arial"/>
          <w:lang w:eastAsia="es-ES_tradnl"/>
        </w:rPr>
        <w:t xml:space="preserve"> de </w:t>
      </w:r>
      <w:r w:rsidR="00C46A2A">
        <w:rPr>
          <w:rFonts w:ascii="Verdana" w:hAnsi="Verdana" w:eastAsia="Times New Roman" w:cs="Arial"/>
          <w:lang w:eastAsia="es-ES_tradnl"/>
        </w:rPr>
        <w:t>2024</w:t>
      </w:r>
    </w:p>
    <w:p w:rsidRPr="00BE151B" w:rsidR="00D06D62" w:rsidP="00D06D62" w:rsidRDefault="00D06D62" w14:paraId="1C62A9A9" w14:textId="77777777">
      <w:pPr>
        <w:spacing w:after="0" w:line="240" w:lineRule="auto"/>
        <w:rPr>
          <w:rFonts w:ascii="Verdana" w:hAnsi="Verdana" w:eastAsia="Times New Roman" w:cs="Arial"/>
          <w:lang w:eastAsia="es-ES_tradnl"/>
        </w:rPr>
      </w:pPr>
    </w:p>
    <w:p w:rsidR="003D7CAA" w:rsidP="003D7CAA" w:rsidRDefault="003D7CAA" w14:paraId="2AFD5F11" w14:textId="5EC594EE">
      <w:pPr>
        <w:spacing w:after="0" w:line="240" w:lineRule="auto"/>
        <w:ind w:left="4248"/>
        <w:jc w:val="both"/>
        <w:rPr>
          <w:rFonts w:ascii="Verdana" w:hAnsi="Verdana" w:eastAsia="Calibri" w:cs="Arial"/>
          <w:lang w:eastAsia="es-ES_tradnl"/>
        </w:rPr>
      </w:pPr>
      <w:r w:rsidRPr="003D7CAA">
        <w:rPr>
          <w:rFonts w:ascii="Verdana" w:hAnsi="Verdana" w:eastAsia="Calibri" w:cs="Arial"/>
          <w:lang w:eastAsia="es-ES_tradnl"/>
        </w:rPr>
        <w:drawing>
          <wp:inline distT="0" distB="0" distL="0" distR="0" wp14:anchorId="5CEF4CA5" wp14:editId="635C3C24">
            <wp:extent cx="3467584" cy="1257475"/>
            <wp:effectExtent l="0" t="0" r="0" b="0"/>
            <wp:docPr id="387918598"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7918598" name=""/>
                    <pic:cNvPicPr/>
                  </pic:nvPicPr>
                  <pic:blipFill>
                    <a:blip r:embed="rId11"/>
                    <a:stretch>
                      <a:fillRect/>
                    </a:stretch>
                  </pic:blipFill>
                  <pic:spPr>
                    <a:xfrm>
                      <a:off x="0" y="0"/>
                      <a:ext cx="3467584" cy="1257475"/>
                    </a:xfrm>
                    <a:prstGeom prst="rect">
                      <a:avLst/>
                    </a:prstGeom>
                  </pic:spPr>
                </pic:pic>
              </a:graphicData>
            </a:graphic>
          </wp:inline>
        </w:drawing>
      </w:r>
    </w:p>
    <w:p w:rsidRPr="00BE151B" w:rsidR="00D06D62" w:rsidP="00D06D62" w:rsidRDefault="00D06D62" w14:paraId="10138BF1" w14:textId="5F2509FF">
      <w:pPr>
        <w:spacing w:after="0" w:line="240" w:lineRule="auto"/>
        <w:jc w:val="both"/>
        <w:rPr>
          <w:rFonts w:ascii="Verdana" w:hAnsi="Verdana" w:eastAsia="Calibri" w:cs="Arial"/>
          <w:lang w:eastAsia="es-ES_tradnl"/>
        </w:rPr>
      </w:pPr>
      <w:r>
        <w:rPr>
          <w:rFonts w:ascii="Verdana" w:hAnsi="Verdana" w:eastAsia="Calibri" w:cs="Arial"/>
          <w:lang w:eastAsia="es-ES_tradnl"/>
        </w:rPr>
        <w:t>Doctor</w:t>
      </w:r>
    </w:p>
    <w:p w:rsidRPr="00677ECB" w:rsidR="00D06D62" w:rsidP="00D06D62" w:rsidRDefault="00D06D62" w14:paraId="58EC6455" w14:textId="77777777">
      <w:pPr>
        <w:spacing w:after="0" w:line="240" w:lineRule="auto"/>
        <w:rPr>
          <w:rFonts w:ascii="Verdana" w:hAnsi="Verdana" w:eastAsia="Calibri" w:cs="Arial"/>
          <w:b/>
          <w:bCs/>
          <w:lang w:eastAsia="es-ES_tradnl"/>
        </w:rPr>
      </w:pPr>
      <w:r w:rsidRPr="00677ECB">
        <w:rPr>
          <w:rFonts w:ascii="Verdana" w:hAnsi="Verdana" w:eastAsia="Calibri" w:cs="Arial"/>
          <w:b/>
          <w:bCs/>
          <w:lang w:eastAsia="es-ES_tradnl"/>
        </w:rPr>
        <w:t>JOSE LEONARDO ARAQUE CONTRERAS</w:t>
      </w:r>
    </w:p>
    <w:p w:rsidR="00D06D62" w:rsidP="00D06D62" w:rsidRDefault="00D06D62" w14:paraId="7FD1EB2A" w14:textId="77777777">
      <w:pPr>
        <w:spacing w:after="0" w:line="240" w:lineRule="auto"/>
        <w:rPr>
          <w:rFonts w:ascii="Verdana" w:hAnsi="Verdana"/>
        </w:rPr>
      </w:pPr>
      <w:r>
        <w:rPr>
          <w:rFonts w:ascii="Verdana" w:hAnsi="Verdana"/>
        </w:rPr>
        <w:t>Secretario de planeación y obras públicas</w:t>
      </w:r>
    </w:p>
    <w:p w:rsidR="00D06D62" w:rsidP="00D06D62" w:rsidRDefault="00D06D62" w14:paraId="3337A5BE" w14:textId="77777777">
      <w:pPr>
        <w:spacing w:after="0" w:line="240" w:lineRule="auto"/>
        <w:rPr>
          <w:rFonts w:ascii="Verdana" w:hAnsi="Verdana"/>
        </w:rPr>
      </w:pPr>
      <w:r>
        <w:rPr>
          <w:rFonts w:ascii="Verdana" w:hAnsi="Verdana"/>
        </w:rPr>
        <w:t>Alcaldía de Cubará</w:t>
      </w:r>
    </w:p>
    <w:p w:rsidRPr="00A44F74" w:rsidR="00D06D62" w:rsidP="00D06D62" w:rsidRDefault="00D06D62" w14:paraId="78DE2AAF" w14:textId="77777777">
      <w:pPr>
        <w:spacing w:after="0" w:line="240" w:lineRule="auto"/>
        <w:rPr>
          <w:rFonts w:ascii="Verdana" w:hAnsi="Verdana" w:eastAsia="Calibri" w:cs="Arial"/>
          <w:lang w:eastAsia="es-ES_tradnl"/>
        </w:rPr>
      </w:pPr>
      <w:r w:rsidRPr="00677ECB">
        <w:rPr>
          <w:rFonts w:ascii="Verdana" w:hAnsi="Verdana"/>
        </w:rPr>
        <w:t>secplaneacion@cubara-boyaca.gov.co</w:t>
      </w:r>
      <w:r>
        <w:rPr>
          <w:rFonts w:ascii="Verdana" w:hAnsi="Verdana"/>
        </w:rPr>
        <w:t xml:space="preserve"> </w:t>
      </w:r>
      <w:r w:rsidRPr="00A44F74">
        <w:rPr>
          <w:rFonts w:ascii="Verdana" w:hAnsi="Verdana"/>
        </w:rPr>
        <w:t xml:space="preserve"> </w:t>
      </w:r>
      <w:r w:rsidRPr="00A44F74">
        <w:rPr>
          <w:rFonts w:ascii="Verdana" w:hAnsi="Verdana" w:eastAsia="Calibri" w:cs="Arial"/>
          <w:lang w:eastAsia="es-ES_tradnl"/>
        </w:rPr>
        <w:t xml:space="preserve"> </w:t>
      </w:r>
    </w:p>
    <w:p w:rsidRPr="001B56F4" w:rsidR="00D06D62" w:rsidP="00D06D62" w:rsidRDefault="00D06D62" w14:paraId="7E187268" w14:textId="77777777">
      <w:pPr>
        <w:spacing w:after="0" w:line="240" w:lineRule="auto"/>
        <w:rPr>
          <w:rFonts w:ascii="Verdana" w:hAnsi="Verdana" w:eastAsia="Calibri" w:cs="Arial"/>
          <w:lang w:eastAsia="es-ES_tradnl"/>
        </w:rPr>
      </w:pPr>
      <w:r>
        <w:rPr>
          <w:rFonts w:ascii="Verdana" w:hAnsi="Verdana" w:eastAsia="Calibri" w:cs="Arial"/>
          <w:bCs/>
          <w:lang w:eastAsia="es-ES_tradnl"/>
        </w:rPr>
        <w:t>Cubará, Boyacá.</w:t>
      </w:r>
    </w:p>
    <w:p w:rsidRPr="001B56F4" w:rsidR="00D06D62" w:rsidP="00D06D62" w:rsidRDefault="00D06D62" w14:paraId="0AEA0349" w14:textId="77777777">
      <w:pPr>
        <w:spacing w:after="0" w:line="240" w:lineRule="auto"/>
        <w:rPr>
          <w:rFonts w:ascii="Verdana" w:hAnsi="Verdana" w:eastAsia="Calibri" w:cs="Arial"/>
          <w:lang w:eastAsia="es-ES_tradnl"/>
        </w:rPr>
      </w:pPr>
    </w:p>
    <w:p w:rsidRPr="00BE151B" w:rsidR="00D06D62" w:rsidP="0DCF27E7" w:rsidRDefault="00D06D62" w14:paraId="4E8CB29A" w14:textId="77777777">
      <w:pPr>
        <w:spacing w:after="0" w:line="240" w:lineRule="auto"/>
        <w:ind w:left="2694"/>
        <w:rPr>
          <w:rFonts w:ascii="Verdana" w:hAnsi="Verdana" w:eastAsia="Calibri" w:cs="Arial"/>
          <w:b/>
          <w:bCs/>
          <w:lang w:eastAsia="es-ES"/>
        </w:rPr>
      </w:pPr>
      <w:r w:rsidRPr="0DCF27E7">
        <w:rPr>
          <w:rFonts w:ascii="Verdana" w:hAnsi="Verdana" w:eastAsia="Calibri" w:cs="Arial"/>
          <w:b/>
          <w:bCs/>
          <w:lang w:eastAsia="es-ES"/>
        </w:rPr>
        <w:t>Concepto C-738 de 2024</w:t>
      </w:r>
    </w:p>
    <w:p w:rsidRPr="00BE151B" w:rsidR="00D06D62" w:rsidP="00D06D62" w:rsidRDefault="00D06D62" w14:paraId="06ACA8CC" w14:textId="77777777">
      <w:pPr>
        <w:spacing w:after="0" w:line="240" w:lineRule="auto"/>
        <w:jc w:val="both"/>
        <w:rPr>
          <w:rFonts w:ascii="Verdana" w:hAnsi="Verdana" w:eastAsia="Calibri" w:cs="Arial"/>
          <w:lang w:eastAsia="es-ES_tradnl"/>
        </w:rPr>
      </w:pPr>
    </w:p>
    <w:tbl>
      <w:tblPr>
        <w:tblStyle w:val="Tablaconcuadrcula"/>
        <w:tblW w:w="8784" w:type="dxa"/>
        <w:jc w:val="right"/>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left w:w="0" w:type="dxa"/>
          <w:right w:w="0" w:type="dxa"/>
        </w:tblCellMar>
        <w:tblLook w:val="04A0" w:firstRow="1" w:lastRow="0" w:firstColumn="1" w:lastColumn="0" w:noHBand="0" w:noVBand="1"/>
      </w:tblPr>
      <w:tblGrid>
        <w:gridCol w:w="2547"/>
        <w:gridCol w:w="6237"/>
      </w:tblGrid>
      <w:tr w:rsidRPr="00677ECB" w:rsidR="00D06D62" w:rsidTr="00F679B8" w14:paraId="4177588E" w14:textId="77777777">
        <w:trPr>
          <w:jc w:val="right"/>
        </w:trPr>
        <w:tc>
          <w:tcPr>
            <w:tcW w:w="2547" w:type="dxa"/>
          </w:tcPr>
          <w:p w:rsidRPr="00BE151B" w:rsidR="00D06D62" w:rsidP="00F679B8" w:rsidRDefault="00D06D62" w14:paraId="28D44E56" w14:textId="77777777">
            <w:pPr>
              <w:rPr>
                <w:rFonts w:ascii="Verdana" w:hAnsi="Verdana" w:eastAsia="Calibri" w:cs="Arial"/>
                <w:lang w:eastAsia="es-ES_tradnl"/>
              </w:rPr>
            </w:pPr>
            <w:r w:rsidRPr="00BE151B">
              <w:rPr>
                <w:rFonts w:ascii="Verdana" w:hAnsi="Verdana" w:eastAsia="Calibri" w:cs="Arial"/>
                <w:b/>
                <w:lang w:eastAsia="es-ES_tradnl"/>
              </w:rPr>
              <w:t>Temas:</w:t>
            </w:r>
          </w:p>
        </w:tc>
        <w:tc>
          <w:tcPr>
            <w:tcW w:w="6237" w:type="dxa"/>
          </w:tcPr>
          <w:p w:rsidRPr="00677ECB" w:rsidR="00D06D62" w:rsidP="00F679B8" w:rsidRDefault="00D06D62" w14:paraId="73CE03DE" w14:textId="77777777">
            <w:pPr>
              <w:spacing w:line="276" w:lineRule="auto"/>
              <w:jc w:val="both"/>
              <w:textAlignment w:val="baseline"/>
              <w:rPr>
                <w:rFonts w:ascii="Verdana" w:hAnsi="Verdana" w:eastAsia="Times New Roman" w:cs="Arial"/>
                <w:bCs/>
                <w:lang w:eastAsia="es-ES_tradnl"/>
              </w:rPr>
            </w:pPr>
            <w:r w:rsidRPr="00677ECB">
              <w:rPr>
                <w:rFonts w:ascii="Arial" w:hAnsi="Arial" w:eastAsia="Arial" w:cs="Arial"/>
                <w:bCs/>
                <w:lang w:val="es-ES_tradnl"/>
              </w:rPr>
              <w:t>ADQUISICIÓN DE BIENES INMUEBLES - estudios previos</w:t>
            </w:r>
            <w:r w:rsidRPr="00677ECB">
              <w:rPr>
                <w:rFonts w:ascii="Verdana" w:hAnsi="Verdana" w:eastAsia="Times New Roman" w:cs="Arial"/>
                <w:bCs/>
                <w:lang w:eastAsia="es-ES_tradnl"/>
              </w:rPr>
              <w:t xml:space="preserve"> – AVALUOS</w:t>
            </w:r>
            <w:r>
              <w:rPr>
                <w:rFonts w:ascii="Verdana" w:hAnsi="Verdana" w:eastAsia="Times New Roman" w:cs="Arial"/>
                <w:bCs/>
                <w:lang w:eastAsia="es-ES_tradnl"/>
              </w:rPr>
              <w:t xml:space="preserve"> COMERCIALES</w:t>
            </w:r>
            <w:r w:rsidRPr="00677ECB">
              <w:rPr>
                <w:rFonts w:ascii="Verdana" w:hAnsi="Verdana" w:eastAsia="Times New Roman" w:cs="Arial"/>
                <w:bCs/>
                <w:lang w:eastAsia="es-ES_tradnl"/>
              </w:rPr>
              <w:t xml:space="preserve"> - A</w:t>
            </w:r>
            <w:proofErr w:type="spellStart"/>
            <w:r w:rsidRPr="00677ECB">
              <w:rPr>
                <w:rFonts w:ascii="Arial" w:hAnsi="Arial" w:eastAsia="Arial" w:cs="Arial"/>
                <w:bCs/>
                <w:lang w:val="es-ES_tradnl"/>
              </w:rPr>
              <w:t>rtículo</w:t>
            </w:r>
            <w:proofErr w:type="spellEnd"/>
            <w:r w:rsidRPr="00677ECB">
              <w:rPr>
                <w:rFonts w:ascii="Arial" w:hAnsi="Arial" w:eastAsia="Arial" w:cs="Arial"/>
                <w:bCs/>
                <w:lang w:val="es-ES_tradnl"/>
              </w:rPr>
              <w:t xml:space="preserve"> 2.2.1.2.1.4.10 del Decreto 1082 de 2015</w:t>
            </w:r>
          </w:p>
        </w:tc>
      </w:tr>
      <w:tr w:rsidRPr="00BE151B" w:rsidR="00D06D62" w:rsidTr="00F679B8" w14:paraId="271AF7D4" w14:textId="77777777">
        <w:trPr>
          <w:jc w:val="right"/>
        </w:trPr>
        <w:tc>
          <w:tcPr>
            <w:tcW w:w="2547" w:type="dxa"/>
          </w:tcPr>
          <w:p w:rsidRPr="00BE151B" w:rsidR="00D06D62" w:rsidP="00F679B8" w:rsidRDefault="00D06D62" w14:paraId="1A8D11A3" w14:textId="77777777">
            <w:pPr>
              <w:rPr>
                <w:rFonts w:ascii="Verdana" w:hAnsi="Verdana" w:eastAsia="Calibri" w:cs="Arial"/>
                <w:b/>
                <w:lang w:eastAsia="es-ES_tradnl"/>
              </w:rPr>
            </w:pPr>
            <w:r w:rsidRPr="00BE151B">
              <w:rPr>
                <w:rFonts w:ascii="Verdana" w:hAnsi="Verdana" w:eastAsia="Calibri" w:cs="Arial"/>
                <w:b/>
                <w:lang w:eastAsia="es-ES_tradnl"/>
              </w:rPr>
              <w:t>Radicación:</w:t>
            </w:r>
          </w:p>
        </w:tc>
        <w:tc>
          <w:tcPr>
            <w:tcW w:w="6237" w:type="dxa"/>
          </w:tcPr>
          <w:p w:rsidRPr="00BE151B" w:rsidR="00D06D62" w:rsidP="00F679B8" w:rsidRDefault="00D06D62" w14:paraId="30EA49B8" w14:textId="77777777">
            <w:pPr>
              <w:jc w:val="both"/>
              <w:rPr>
                <w:rFonts w:ascii="Verdana" w:hAnsi="Verdana" w:eastAsia="Calibri" w:cs="Arial"/>
                <w:lang w:eastAsia="es-ES_tradnl"/>
              </w:rPr>
            </w:pPr>
            <w:r w:rsidRPr="00BE151B">
              <w:rPr>
                <w:rFonts w:ascii="Verdana" w:hAnsi="Verdana" w:eastAsia="Calibri" w:cs="Arial"/>
                <w:lang w:eastAsia="es-ES_tradnl"/>
              </w:rPr>
              <w:t xml:space="preserve">Respuesta a consulta radicado No. </w:t>
            </w:r>
            <w:r w:rsidRPr="00677ECB">
              <w:rPr>
                <w:rFonts w:ascii="Verdana" w:hAnsi="Verdana" w:eastAsia="Calibri" w:cs="Arial"/>
                <w:lang w:eastAsia="es-ES_tradnl"/>
              </w:rPr>
              <w:t>P20241126011877</w:t>
            </w:r>
          </w:p>
        </w:tc>
      </w:tr>
    </w:tbl>
    <w:p w:rsidRPr="00BE151B" w:rsidR="00D06D62" w:rsidP="00D06D62" w:rsidRDefault="00D06D62" w14:paraId="50A24DA4" w14:textId="77777777">
      <w:pPr>
        <w:spacing w:after="0" w:line="240" w:lineRule="auto"/>
        <w:jc w:val="both"/>
        <w:rPr>
          <w:rFonts w:ascii="Verdana" w:hAnsi="Verdana" w:eastAsia="Calibri" w:cs="Arial"/>
          <w:lang w:eastAsia="es-ES_tradnl"/>
        </w:rPr>
      </w:pPr>
    </w:p>
    <w:p w:rsidRPr="00BE151B" w:rsidR="00D06D62" w:rsidP="00D06D62" w:rsidRDefault="00D06D62" w14:paraId="7D896D4F" w14:textId="77777777">
      <w:pPr>
        <w:spacing w:after="0" w:line="240" w:lineRule="auto"/>
        <w:jc w:val="both"/>
        <w:rPr>
          <w:rFonts w:ascii="Verdana" w:hAnsi="Verdana" w:eastAsia="Calibri" w:cs="Arial"/>
          <w:lang w:eastAsia="es-ES_tradnl"/>
        </w:rPr>
      </w:pPr>
    </w:p>
    <w:p w:rsidRPr="00BE151B" w:rsidR="00D06D62" w:rsidP="00D06D62" w:rsidRDefault="00D06D62" w14:paraId="1C335CA6" w14:textId="77777777">
      <w:pPr>
        <w:spacing w:after="0" w:line="276" w:lineRule="auto"/>
        <w:contextualSpacing/>
        <w:jc w:val="both"/>
        <w:rPr>
          <w:rFonts w:ascii="Verdana" w:hAnsi="Verdana" w:eastAsia="Calibri" w:cs="Arial"/>
          <w:bCs/>
          <w:lang w:eastAsia="es-ES_tradnl"/>
        </w:rPr>
      </w:pPr>
      <w:r w:rsidRPr="00DA0386">
        <w:rPr>
          <w:rFonts w:ascii="Verdana" w:hAnsi="Verdana" w:eastAsia="Calibri" w:cs="Arial"/>
          <w:lang w:eastAsia="es-ES_tradnl"/>
        </w:rPr>
        <w:t xml:space="preserve">Estimado </w:t>
      </w:r>
      <w:r>
        <w:rPr>
          <w:rFonts w:ascii="Verdana" w:hAnsi="Verdana" w:eastAsia="Calibri" w:cs="Arial"/>
          <w:lang w:eastAsia="es-ES_tradnl"/>
        </w:rPr>
        <w:t>Doctor</w:t>
      </w:r>
      <w:r w:rsidRPr="00DA0386">
        <w:rPr>
          <w:rFonts w:ascii="Verdana" w:hAnsi="Verdana" w:eastAsia="Calibri" w:cs="Arial"/>
          <w:lang w:eastAsia="es-ES_tradnl"/>
        </w:rPr>
        <w:t xml:space="preserve">, </w:t>
      </w:r>
      <w:r>
        <w:rPr>
          <w:rFonts w:ascii="Verdana" w:hAnsi="Verdana" w:eastAsia="Calibri" w:cs="Arial"/>
          <w:lang w:eastAsia="es-ES_tradnl"/>
        </w:rPr>
        <w:t>Araque</w:t>
      </w:r>
      <w:r w:rsidRPr="00DA0386">
        <w:rPr>
          <w:rFonts w:ascii="Verdana" w:hAnsi="Verdana" w:eastAsia="Calibri" w:cs="Arial"/>
          <w:lang w:eastAsia="es-ES_tradnl"/>
        </w:rPr>
        <w:t>:</w:t>
      </w:r>
    </w:p>
    <w:p w:rsidRPr="00BE151B" w:rsidR="00D06D62" w:rsidP="00D06D62" w:rsidRDefault="00D06D62" w14:paraId="797603F9" w14:textId="77777777">
      <w:pPr>
        <w:spacing w:after="0" w:line="276" w:lineRule="auto"/>
        <w:contextualSpacing/>
        <w:jc w:val="both"/>
        <w:rPr>
          <w:rFonts w:ascii="Verdana" w:hAnsi="Verdana" w:eastAsia="Calibri" w:cs="Arial"/>
          <w:lang w:eastAsia="es-ES_tradnl"/>
        </w:rPr>
      </w:pPr>
    </w:p>
    <w:p w:rsidR="00D06D62" w:rsidP="00D06D62" w:rsidRDefault="00D06D62" w14:paraId="3F836616" w14:textId="77777777">
      <w:pPr>
        <w:spacing w:after="120" w:line="276" w:lineRule="auto"/>
        <w:jc w:val="both"/>
        <w:rPr>
          <w:rFonts w:ascii="Verdana" w:hAnsi="Verdana" w:eastAsia="Calibri" w:cs="Arial"/>
          <w:lang w:eastAsia="es-ES_tradnl"/>
        </w:rPr>
      </w:pPr>
      <w:r w:rsidRPr="00BE151B">
        <w:rPr>
          <w:rFonts w:ascii="Verdana" w:hAnsi="Verdana" w:eastAsia="Calibri" w:cs="Arial"/>
          <w:lang w:eastAsia="es-ES_tradnl"/>
        </w:rPr>
        <w:t xml:space="preserve">En ejercicio de la competencia otorgada por los artículos 3, numeral 5º, y 11, numeral 8º, del Decreto Ley 4170 de 2011, así como lo establecido en el artículo 4 de la Resolución 1707 de 2018 expedida por esta Entidad, la Agencia Nacional de Contratación Pública – Colombia Compra Eficiente– responde su solicitud de consulta de fecha </w:t>
      </w:r>
      <w:r>
        <w:rPr>
          <w:rFonts w:ascii="Verdana" w:hAnsi="Verdana" w:eastAsia="Calibri" w:cs="Arial"/>
          <w:lang w:eastAsia="es-ES_tradnl"/>
        </w:rPr>
        <w:t>26</w:t>
      </w:r>
      <w:r w:rsidRPr="00BE151B">
        <w:rPr>
          <w:rFonts w:ascii="Verdana" w:hAnsi="Verdana" w:eastAsia="Calibri" w:cs="Arial"/>
          <w:lang w:eastAsia="es-ES_tradnl"/>
        </w:rPr>
        <w:t xml:space="preserve"> de </w:t>
      </w:r>
      <w:r>
        <w:rPr>
          <w:rFonts w:ascii="Verdana" w:hAnsi="Verdana" w:eastAsia="Calibri" w:cs="Arial"/>
          <w:lang w:eastAsia="es-ES_tradnl"/>
        </w:rPr>
        <w:t>noviembre</w:t>
      </w:r>
      <w:r w:rsidRPr="00BE151B">
        <w:rPr>
          <w:rFonts w:ascii="Verdana" w:hAnsi="Verdana" w:eastAsia="Calibri" w:cs="Arial"/>
          <w:lang w:eastAsia="es-ES_tradnl"/>
        </w:rPr>
        <w:t xml:space="preserve"> de 2024, en la cual </w:t>
      </w:r>
      <w:r>
        <w:rPr>
          <w:rFonts w:ascii="Verdana" w:hAnsi="Verdana" w:eastAsia="Calibri" w:cs="Arial"/>
          <w:lang w:eastAsia="es-ES_tradnl"/>
        </w:rPr>
        <w:t>consulta</w:t>
      </w:r>
      <w:r w:rsidRPr="00BE151B">
        <w:rPr>
          <w:rFonts w:ascii="Verdana" w:hAnsi="Verdana" w:eastAsia="Calibri" w:cs="Arial"/>
          <w:lang w:eastAsia="es-ES_tradnl"/>
        </w:rPr>
        <w:t xml:space="preserve"> lo siguiente: </w:t>
      </w:r>
    </w:p>
    <w:p w:rsidRPr="002A0BC5" w:rsidR="00D06D62" w:rsidP="00D06D62" w:rsidRDefault="00D06D62" w14:paraId="2EF032EF" w14:textId="77777777">
      <w:pPr>
        <w:spacing w:after="0" w:line="240" w:lineRule="auto"/>
        <w:ind w:left="709" w:right="709"/>
        <w:jc w:val="both"/>
        <w:rPr>
          <w:rFonts w:ascii="Verdana" w:hAnsi="Verdana" w:eastAsia="Times New Roman" w:cs="Arial"/>
          <w:i/>
          <w:sz w:val="21"/>
          <w:szCs w:val="21"/>
          <w:lang w:eastAsia="es-ES_tradnl"/>
        </w:rPr>
      </w:pPr>
      <w:r w:rsidRPr="002A0BC5">
        <w:rPr>
          <w:rFonts w:ascii="Verdana" w:hAnsi="Verdana" w:eastAsia="Times New Roman" w:cs="Arial"/>
          <w:i/>
          <w:sz w:val="21"/>
          <w:szCs w:val="21"/>
          <w:lang w:eastAsia="es-ES_tradnl"/>
        </w:rPr>
        <w:t>“[…] Conforme Decreto 1082 de 2015, Artículo 2.2.1.2.1.4.10. Adquisición de bienes inmuebles. Las Entidades Estatales pueden adquirir bienes inmuebles mediante contratación directa para lo cual deben seguir las siguientes reglas:</w:t>
      </w:r>
    </w:p>
    <w:p w:rsidRPr="002A0BC5" w:rsidR="00D06D62" w:rsidP="00D06D62" w:rsidRDefault="00D06D62" w14:paraId="4FDEC59A" w14:textId="77777777">
      <w:pPr>
        <w:spacing w:after="0" w:line="240" w:lineRule="auto"/>
        <w:ind w:left="709" w:right="709"/>
        <w:jc w:val="both"/>
        <w:rPr>
          <w:rFonts w:ascii="Verdana" w:hAnsi="Verdana" w:eastAsia="Times New Roman" w:cs="Arial"/>
          <w:i/>
          <w:sz w:val="21"/>
          <w:szCs w:val="21"/>
          <w:lang w:eastAsia="es-ES_tradnl"/>
        </w:rPr>
      </w:pPr>
      <w:r w:rsidRPr="002A0BC5">
        <w:rPr>
          <w:rFonts w:ascii="Verdana" w:hAnsi="Verdana" w:eastAsia="Times New Roman" w:cs="Arial"/>
          <w:i/>
          <w:sz w:val="21"/>
          <w:szCs w:val="21"/>
          <w:lang w:eastAsia="es-ES_tradnl"/>
        </w:rPr>
        <w:t>1. Avaluar con una institución especializada el bien o los bienes inmuebles identificados que satisfagan las necesidades que tiene la Entidad Estatal.</w:t>
      </w:r>
      <w:r w:rsidRPr="002A0BC5">
        <w:rPr>
          <w:rFonts w:ascii="Verdana" w:hAnsi="Verdana" w:eastAsia="Times New Roman" w:cs="Arial"/>
          <w:i/>
          <w:sz w:val="21"/>
          <w:szCs w:val="21"/>
          <w:lang w:eastAsia="es-ES_tradnl"/>
        </w:rPr>
        <w:br/>
      </w:r>
      <w:r w:rsidRPr="002A0BC5">
        <w:rPr>
          <w:rFonts w:ascii="Verdana" w:hAnsi="Verdana" w:eastAsia="Times New Roman" w:cs="Arial"/>
          <w:i/>
          <w:sz w:val="21"/>
          <w:szCs w:val="21"/>
          <w:lang w:eastAsia="es-ES_tradnl"/>
        </w:rPr>
        <w:t xml:space="preserve">2. Analizar y comparar las condiciones de los bienes inmuebles que satisfacen las necesidades identificadas y las opciones de adquisición, </w:t>
      </w:r>
      <w:r w:rsidRPr="002A0BC5">
        <w:rPr>
          <w:rFonts w:ascii="Verdana" w:hAnsi="Verdana" w:eastAsia="Times New Roman" w:cs="Arial"/>
          <w:i/>
          <w:sz w:val="21"/>
          <w:szCs w:val="21"/>
          <w:lang w:eastAsia="es-ES_tradnl"/>
        </w:rPr>
        <w:t>análisis que deberá tener en cuenta los principios y objetivos del sistema de compras y contratación pública.</w:t>
      </w:r>
    </w:p>
    <w:p w:rsidR="00D06D62" w:rsidP="00D06D62" w:rsidRDefault="00D06D62" w14:paraId="304F896D" w14:textId="77777777">
      <w:pPr>
        <w:spacing w:after="0" w:line="240" w:lineRule="auto"/>
        <w:ind w:left="709" w:right="709"/>
        <w:jc w:val="both"/>
        <w:rPr>
          <w:rFonts w:ascii="Verdana" w:hAnsi="Verdana" w:eastAsia="Times New Roman" w:cs="Arial"/>
          <w:i/>
          <w:sz w:val="21"/>
          <w:szCs w:val="21"/>
          <w:lang w:eastAsia="es-ES_tradnl"/>
        </w:rPr>
      </w:pPr>
      <w:r w:rsidRPr="002A0BC5">
        <w:rPr>
          <w:rFonts w:ascii="Verdana" w:hAnsi="Verdana" w:eastAsia="Times New Roman" w:cs="Arial"/>
          <w:i/>
          <w:sz w:val="21"/>
          <w:szCs w:val="21"/>
          <w:lang w:eastAsia="es-ES_tradnl"/>
        </w:rPr>
        <w:t xml:space="preserve">Conforme lo anterior las entidades Estatales pueden adquirir bienes inmuebles mediante contratación Directa, cumplimiento con dos requisitos, el primero de ellos, avaluar el bien inmueble de interés para la entidad, con una institución especializada, ante lo cual, surge la duda, ¿Es estrictamente obligatorio que se deba realizar el avalúo por una institución especializada o si el avalúo comercial con sujeción a lo dispuesto por la Resolución 620 de 2008 del IGAC y realizado por persona natural, profesional y respectivamente registrada y avalada por el Registro Abierto de </w:t>
      </w:r>
      <w:proofErr w:type="spellStart"/>
      <w:r w:rsidRPr="002A0BC5">
        <w:rPr>
          <w:rFonts w:ascii="Verdana" w:hAnsi="Verdana" w:eastAsia="Times New Roman" w:cs="Arial"/>
          <w:i/>
          <w:sz w:val="21"/>
          <w:szCs w:val="21"/>
          <w:lang w:eastAsia="es-ES_tradnl"/>
        </w:rPr>
        <w:t>Avaluadores</w:t>
      </w:r>
      <w:proofErr w:type="spellEnd"/>
      <w:r w:rsidRPr="002A0BC5">
        <w:rPr>
          <w:rFonts w:ascii="Verdana" w:hAnsi="Verdana" w:eastAsia="Times New Roman" w:cs="Arial"/>
          <w:i/>
          <w:sz w:val="21"/>
          <w:szCs w:val="21"/>
          <w:lang w:eastAsia="es-ES_tradnl"/>
        </w:rPr>
        <w:t xml:space="preserve"> es válido y da cumplimiento a este requisito?  </w:t>
      </w:r>
      <w:r w:rsidRPr="002A0BC5">
        <w:rPr>
          <w:rFonts w:ascii="Verdana" w:hAnsi="Verdana" w:eastAsia="Times New Roman" w:cs="Arial"/>
          <w:sz w:val="21"/>
          <w:szCs w:val="21"/>
          <w:lang w:eastAsia="es-ES_tradnl"/>
        </w:rPr>
        <w:t>[SIC]</w:t>
      </w:r>
      <w:r w:rsidRPr="002A0BC5">
        <w:rPr>
          <w:rFonts w:ascii="Verdana" w:hAnsi="Verdana" w:eastAsia="Times New Roman" w:cs="Arial"/>
          <w:i/>
          <w:sz w:val="21"/>
          <w:szCs w:val="21"/>
          <w:lang w:eastAsia="es-ES_tradnl"/>
        </w:rPr>
        <w:t>.</w:t>
      </w:r>
    </w:p>
    <w:p w:rsidRPr="002A0BC5" w:rsidR="00D06D62" w:rsidP="00D06D62" w:rsidRDefault="00D06D62" w14:paraId="7657E453" w14:textId="77777777">
      <w:pPr>
        <w:spacing w:after="0" w:line="240" w:lineRule="auto"/>
        <w:ind w:left="709" w:right="709"/>
        <w:jc w:val="both"/>
        <w:rPr>
          <w:rFonts w:ascii="Verdana" w:hAnsi="Verdana" w:eastAsia="Times New Roman" w:cs="Arial"/>
          <w:i/>
          <w:sz w:val="21"/>
          <w:szCs w:val="21"/>
          <w:lang w:eastAsia="es-ES_tradnl"/>
        </w:rPr>
      </w:pPr>
    </w:p>
    <w:p w:rsidRPr="00BE151B" w:rsidR="00D06D62" w:rsidP="00D06D62" w:rsidRDefault="00D06D62" w14:paraId="24DF3A2B" w14:textId="77777777">
      <w:pPr>
        <w:spacing w:after="120" w:line="276" w:lineRule="auto"/>
        <w:ind w:firstLine="709"/>
        <w:jc w:val="both"/>
        <w:rPr>
          <w:rFonts w:ascii="Verdana" w:hAnsi="Verdana" w:eastAsia="Calibri" w:cs="Arial"/>
          <w:color w:val="000000"/>
          <w:szCs w:val="24"/>
          <w:lang w:eastAsia="es-ES_tradnl"/>
        </w:rPr>
      </w:pPr>
      <w:r w:rsidRPr="00BE151B">
        <w:rPr>
          <w:rFonts w:ascii="Verdana" w:hAnsi="Verdana" w:eastAsia="Calibri" w:cs="Arial"/>
          <w:color w:val="000000"/>
          <w:lang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BE151B">
        <w:rPr>
          <w:rFonts w:ascii="Verdana" w:hAnsi="Verdana" w:eastAsia="Calibri" w:cs="Arial"/>
          <w:color w:val="000000"/>
          <w:szCs w:val="24"/>
          <w:lang w:eastAsia="es-ES_tradnl"/>
        </w:rPr>
        <w:tab/>
      </w:r>
    </w:p>
    <w:p w:rsidRPr="00BE151B" w:rsidR="00D06D62" w:rsidP="00D06D62" w:rsidRDefault="00D06D62" w14:paraId="22C73A65" w14:textId="77777777">
      <w:pPr>
        <w:spacing w:after="0" w:line="276" w:lineRule="auto"/>
        <w:ind w:firstLine="709"/>
        <w:jc w:val="both"/>
        <w:rPr>
          <w:rFonts w:ascii="Verdana" w:hAnsi="Verdana" w:eastAsia="Calibri" w:cs="Arial"/>
          <w:lang w:eastAsia="es-ES"/>
        </w:rPr>
      </w:pPr>
      <w:r w:rsidRPr="00BE151B">
        <w:rPr>
          <w:rFonts w:ascii="Verdana" w:hAnsi="Verdana" w:eastAsia="Calibri" w:cs="Arial"/>
          <w:lang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rsidRPr="00BE151B" w:rsidR="00D06D62" w:rsidP="00D06D62" w:rsidRDefault="00D06D62" w14:paraId="50180610" w14:textId="77777777">
      <w:pPr>
        <w:spacing w:after="0" w:line="276" w:lineRule="auto"/>
        <w:contextualSpacing/>
        <w:jc w:val="both"/>
        <w:rPr>
          <w:rFonts w:ascii="Verdana" w:hAnsi="Verdana" w:eastAsia="Times New Roman" w:cs="Arial"/>
          <w:szCs w:val="24"/>
          <w:lang w:eastAsia="es-ES_tradnl"/>
        </w:rPr>
      </w:pPr>
    </w:p>
    <w:p w:rsidRPr="00BE151B" w:rsidR="00D06D62" w:rsidP="00D06D62" w:rsidRDefault="00D06D62" w14:paraId="44AD77B1" w14:textId="77777777">
      <w:pPr>
        <w:tabs>
          <w:tab w:val="left" w:pos="0"/>
          <w:tab w:val="left" w:pos="284"/>
        </w:tabs>
        <w:spacing w:after="0" w:line="276" w:lineRule="auto"/>
        <w:contextualSpacing/>
        <w:jc w:val="both"/>
        <w:rPr>
          <w:rFonts w:ascii="Verdana" w:hAnsi="Verdana" w:eastAsia="Calibri" w:cs="Arial"/>
          <w:b/>
        </w:rPr>
      </w:pPr>
      <w:r w:rsidRPr="00BE151B">
        <w:rPr>
          <w:rFonts w:ascii="Verdana" w:hAnsi="Verdana" w:eastAsia="Calibri" w:cs="Arial"/>
          <w:b/>
        </w:rPr>
        <w:t>1. Problema planteado:</w:t>
      </w:r>
    </w:p>
    <w:p w:rsidRPr="00BE151B" w:rsidR="00D06D62" w:rsidP="00D06D62" w:rsidRDefault="00D06D62" w14:paraId="4DD5A002" w14:textId="77777777">
      <w:pPr>
        <w:tabs>
          <w:tab w:val="left" w:pos="0"/>
          <w:tab w:val="left" w:pos="284"/>
        </w:tabs>
        <w:spacing w:after="0" w:line="276" w:lineRule="auto"/>
        <w:contextualSpacing/>
        <w:jc w:val="both"/>
        <w:rPr>
          <w:rFonts w:ascii="Verdana" w:hAnsi="Verdana" w:eastAsia="Calibri" w:cs="Arial"/>
          <w:b/>
        </w:rPr>
      </w:pPr>
    </w:p>
    <w:p w:rsidR="00D06D62" w:rsidP="00D06D62" w:rsidRDefault="00D06D62" w14:paraId="17685D59" w14:textId="77777777">
      <w:pPr>
        <w:jc w:val="both"/>
        <w:rPr>
          <w:rFonts w:ascii="Verdana" w:hAnsi="Verdana"/>
        </w:rPr>
      </w:pPr>
      <w:r>
        <w:rPr>
          <w:rFonts w:ascii="Verdana" w:hAnsi="Verdana"/>
        </w:rPr>
        <w:t>De conformidad con el texto de su solicitud, se plantea el siguiente problema jurídico: ¿Si una entidad estatal desea adquirir un bien inmueble con quien es válido realizar el avaluó comercial del mismo</w:t>
      </w:r>
      <w:r w:rsidRPr="008969BE">
        <w:rPr>
          <w:rFonts w:ascii="Verdana" w:hAnsi="Verdana"/>
        </w:rPr>
        <w:t>?</w:t>
      </w:r>
    </w:p>
    <w:p w:rsidRPr="00F12A80" w:rsidR="00D06D62" w:rsidP="00D06D62" w:rsidRDefault="00D06D62" w14:paraId="19D1D309" w14:textId="77777777">
      <w:pPr>
        <w:spacing w:after="0"/>
        <w:jc w:val="both"/>
        <w:rPr>
          <w:rFonts w:ascii="Verdana" w:hAnsi="Verdana"/>
        </w:rPr>
      </w:pPr>
    </w:p>
    <w:p w:rsidRPr="00BE151B" w:rsidR="00D06D62" w:rsidP="00D06D62" w:rsidRDefault="00D06D62" w14:paraId="2199C07C" w14:textId="77777777">
      <w:pPr>
        <w:tabs>
          <w:tab w:val="left" w:pos="142"/>
          <w:tab w:val="left" w:pos="284"/>
        </w:tabs>
        <w:spacing w:after="0" w:line="276" w:lineRule="auto"/>
        <w:jc w:val="both"/>
        <w:rPr>
          <w:rFonts w:ascii="Verdana" w:hAnsi="Verdana" w:eastAsia="Century Gothic" w:cs="Century Gothic"/>
          <w:b/>
          <w:bCs/>
        </w:rPr>
      </w:pPr>
      <w:r w:rsidRPr="00BE151B">
        <w:rPr>
          <w:rFonts w:ascii="Verdana" w:hAnsi="Verdana" w:eastAsia="Century Gothic" w:cs="Century Gothic"/>
          <w:b/>
          <w:bCs/>
        </w:rPr>
        <w:t>2. Respuesta:</w:t>
      </w:r>
    </w:p>
    <w:p w:rsidRPr="00BE151B" w:rsidR="00D06D62" w:rsidP="00D06D62" w:rsidRDefault="00D06D62" w14:paraId="227A2213" w14:textId="77777777">
      <w:pPr>
        <w:tabs>
          <w:tab w:val="left" w:pos="142"/>
          <w:tab w:val="left" w:pos="284"/>
        </w:tabs>
        <w:spacing w:after="0" w:line="276" w:lineRule="auto"/>
        <w:jc w:val="both"/>
        <w:rPr>
          <w:rFonts w:ascii="Verdana" w:hAnsi="Verdana" w:eastAsia="Century Gothic" w:cs="Century Gothic"/>
          <w:b/>
          <w:bCs/>
        </w:rPr>
      </w:pPr>
    </w:p>
    <w:tbl>
      <w:tblPr>
        <w:tblStyle w:val="Tablaconcuadrcula"/>
        <w:tblW w:w="0" w:type="auto"/>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ook w:val="04A0" w:firstRow="1" w:lastRow="0" w:firstColumn="1" w:lastColumn="0" w:noHBand="0" w:noVBand="1"/>
      </w:tblPr>
      <w:tblGrid>
        <w:gridCol w:w="8828"/>
      </w:tblGrid>
      <w:tr w:rsidRPr="00BE151B" w:rsidR="00D06D62" w:rsidTr="0DCF27E7" w14:paraId="0C50EB5D" w14:textId="77777777">
        <w:tc>
          <w:tcPr>
            <w:tcW w:w="8828" w:type="dxa"/>
            <w:shd w:val="clear" w:color="auto" w:fill="auto"/>
          </w:tcPr>
          <w:p w:rsidR="00D06D62" w:rsidP="00F679B8" w:rsidRDefault="00D06D62" w14:paraId="427A0240" w14:textId="358289B9">
            <w:pPr>
              <w:spacing w:after="120" w:line="276" w:lineRule="auto"/>
              <w:jc w:val="both"/>
              <w:rPr>
                <w:rFonts w:ascii="Verdana" w:hAnsi="Verdana" w:eastAsia="Times New Roman" w:cs="Arial"/>
                <w:bCs/>
                <w:color w:val="000000" w:themeColor="text1"/>
                <w:lang w:val="es-ES_tradnl"/>
              </w:rPr>
            </w:pPr>
            <w:r>
              <w:rPr>
                <w:rFonts w:ascii="Verdana" w:hAnsi="Verdana" w:eastAsia="Arial MT" w:cs="Arial"/>
                <w:lang w:eastAsia="es-ES" w:bidi="es-ES"/>
              </w:rPr>
              <w:t xml:space="preserve">El </w:t>
            </w:r>
            <w:r w:rsidRPr="002A0BC5" w:rsidR="00CF2CD0">
              <w:rPr>
                <w:rFonts w:ascii="Verdana" w:hAnsi="Verdana" w:eastAsia="Arial MT" w:cs="Arial"/>
                <w:lang w:eastAsia="es-ES" w:bidi="es-ES"/>
              </w:rPr>
              <w:t>artículo</w:t>
            </w:r>
            <w:r w:rsidRPr="002A0BC5">
              <w:rPr>
                <w:rFonts w:ascii="Verdana" w:hAnsi="Verdana" w:eastAsia="Arial MT" w:cs="Arial"/>
                <w:lang w:eastAsia="es-ES" w:bidi="es-ES"/>
              </w:rPr>
              <w:t xml:space="preserve"> </w:t>
            </w:r>
            <w:r w:rsidRPr="002A0BC5">
              <w:rPr>
                <w:rFonts w:ascii="Verdana" w:hAnsi="Verdana" w:eastAsia="Times New Roman" w:cs="Arial"/>
                <w:sz w:val="21"/>
                <w:szCs w:val="21"/>
                <w:lang w:eastAsia="es-ES_tradnl"/>
              </w:rPr>
              <w:t>2.2.1.2.1.4.10 del decreto 1082 de 2015</w:t>
            </w:r>
            <w:r>
              <w:rPr>
                <w:rFonts w:ascii="Verdana" w:hAnsi="Verdana" w:eastAsia="Arial MT" w:cs="Arial"/>
                <w:lang w:eastAsia="es-ES" w:bidi="es-ES"/>
              </w:rPr>
              <w:t xml:space="preserve"> es claro en establecer las reglas para que una entidad pública adquiera un bien inmueble bajo la modalidad de contratación directa. Dichas reglas se convierten en los estudios </w:t>
            </w:r>
            <w:r w:rsidRPr="002A0BC5">
              <w:rPr>
                <w:rFonts w:ascii="Verdana" w:hAnsi="Verdana" w:eastAsia="Arial MT" w:cs="Arial"/>
                <w:lang w:eastAsia="es-ES" w:bidi="es-ES"/>
              </w:rPr>
              <w:t xml:space="preserve">previos que la entidad deberá elaborar para estructurar su proceso de contratación. </w:t>
            </w:r>
            <w:r w:rsidRPr="002A0BC5">
              <w:rPr>
                <w:rFonts w:ascii="Verdana" w:hAnsi="Verdana" w:eastAsia="Times New Roman" w:cs="Arial"/>
                <w:bCs/>
                <w:color w:val="000000" w:themeColor="text1"/>
              </w:rPr>
              <w:t xml:space="preserve">Estos </w:t>
            </w:r>
            <w:r w:rsidRPr="002A0BC5">
              <w:rPr>
                <w:rFonts w:ascii="Verdana" w:hAnsi="Verdana" w:eastAsia="Times New Roman" w:cs="Arial"/>
                <w:bCs/>
                <w:color w:val="000000" w:themeColor="text1"/>
                <w:lang w:val="es-ES_tradnl"/>
              </w:rPr>
              <w:t xml:space="preserve">estudios específicos son los que las entidades estatales deben realizar antes de la suscripción del contrato. Dichos estudios son los siguientes: i) </w:t>
            </w:r>
            <w:r w:rsidRPr="002460D9">
              <w:rPr>
                <w:rFonts w:ascii="Verdana" w:hAnsi="Verdana" w:eastAsia="Times New Roman" w:cs="Arial"/>
                <w:b/>
                <w:color w:val="000000" w:themeColor="text1"/>
                <w:lang w:val="es-ES_tradnl"/>
              </w:rPr>
              <w:t>avalúo con una institución especializada de los bienes inmuebles identificados que satisfagan las necesidades de las entidades estatales</w:t>
            </w:r>
            <w:r w:rsidRPr="002A0BC5">
              <w:rPr>
                <w:rFonts w:ascii="Verdana" w:hAnsi="Verdana" w:eastAsia="Times New Roman" w:cs="Arial"/>
                <w:bCs/>
                <w:color w:val="000000" w:themeColor="text1"/>
                <w:lang w:val="es-ES_tradnl"/>
              </w:rPr>
              <w:t xml:space="preserve">; y </w:t>
            </w:r>
            <w:proofErr w:type="spellStart"/>
            <w:r w:rsidRPr="002A0BC5">
              <w:rPr>
                <w:rFonts w:ascii="Verdana" w:hAnsi="Verdana" w:eastAsia="Times New Roman" w:cs="Arial"/>
                <w:bCs/>
                <w:color w:val="000000" w:themeColor="text1"/>
                <w:lang w:val="es-ES_tradnl"/>
              </w:rPr>
              <w:t>ii</w:t>
            </w:r>
            <w:proofErr w:type="spellEnd"/>
            <w:r w:rsidRPr="002A0BC5">
              <w:rPr>
                <w:rFonts w:ascii="Verdana" w:hAnsi="Verdana" w:eastAsia="Times New Roman" w:cs="Arial"/>
                <w:bCs/>
                <w:color w:val="000000" w:themeColor="text1"/>
                <w:lang w:val="es-ES_tradnl"/>
              </w:rPr>
              <w:t xml:space="preserve">) el </w:t>
            </w:r>
            <w:r w:rsidRPr="002A0BC5">
              <w:rPr>
                <w:rFonts w:ascii="Verdana" w:hAnsi="Verdana" w:eastAsia="Times New Roman" w:cs="Arial"/>
                <w:bCs/>
                <w:i/>
                <w:color w:val="000000" w:themeColor="text1"/>
                <w:lang w:val="es-ES_tradnl"/>
              </w:rPr>
              <w:t>análisis</w:t>
            </w:r>
            <w:r w:rsidRPr="002A0BC5">
              <w:rPr>
                <w:rFonts w:ascii="Verdana" w:hAnsi="Verdana" w:eastAsia="Times New Roman" w:cs="Arial"/>
                <w:bCs/>
                <w:color w:val="000000" w:themeColor="text1"/>
                <w:lang w:val="es-ES_tradnl"/>
              </w:rPr>
              <w:t xml:space="preserve"> y </w:t>
            </w:r>
            <w:r w:rsidRPr="002A0BC5">
              <w:rPr>
                <w:rFonts w:ascii="Verdana" w:hAnsi="Verdana" w:eastAsia="Times New Roman" w:cs="Arial"/>
                <w:bCs/>
                <w:i/>
                <w:color w:val="000000" w:themeColor="text1"/>
                <w:lang w:val="es-ES_tradnl"/>
              </w:rPr>
              <w:t>comparación</w:t>
            </w:r>
            <w:r w:rsidRPr="002A0BC5">
              <w:rPr>
                <w:rFonts w:ascii="Verdana" w:hAnsi="Verdana" w:eastAsia="Times New Roman" w:cs="Arial"/>
                <w:bCs/>
                <w:color w:val="000000" w:themeColor="text1"/>
                <w:lang w:val="es-ES_tradnl"/>
              </w:rPr>
              <w:t xml:space="preserve"> de las condiciones de los inmuebles y las opciones de adquisición</w:t>
            </w:r>
          </w:p>
          <w:p w:rsidR="00D06D62" w:rsidP="00F679B8" w:rsidRDefault="00A42854" w14:paraId="7B083E7A" w14:textId="435EEECB">
            <w:pPr>
              <w:spacing w:after="120" w:line="276" w:lineRule="auto"/>
              <w:jc w:val="both"/>
              <w:rPr>
                <w:rFonts w:ascii="Verdana" w:hAnsi="Verdana" w:eastAsia="Times New Roman" w:cs="Arial"/>
                <w:color w:val="000000" w:themeColor="text1"/>
              </w:rPr>
            </w:pPr>
            <w:r>
              <w:rPr>
                <w:rFonts w:ascii="Verdana" w:hAnsi="Verdana" w:eastAsia="Times New Roman" w:cs="Arial"/>
                <w:color w:val="000000" w:themeColor="text1"/>
                <w:lang w:val="es-ES"/>
              </w:rPr>
              <w:t>Por</w:t>
            </w:r>
            <w:r w:rsidR="00F13B54">
              <w:rPr>
                <w:rFonts w:ascii="Verdana" w:hAnsi="Verdana" w:eastAsia="Times New Roman" w:cs="Arial"/>
                <w:color w:val="000000" w:themeColor="text1"/>
                <w:lang w:val="es-ES"/>
              </w:rPr>
              <w:t xml:space="preserve"> instituciones especializadas </w:t>
            </w:r>
            <w:r>
              <w:rPr>
                <w:rFonts w:ascii="Verdana" w:hAnsi="Verdana" w:eastAsia="Times New Roman" w:cs="Arial"/>
                <w:color w:val="000000" w:themeColor="text1"/>
                <w:lang w:val="es-ES"/>
              </w:rPr>
              <w:t xml:space="preserve">se entiende que se </w:t>
            </w:r>
            <w:r w:rsidRPr="009E264B" w:rsidR="009E264B">
              <w:rPr>
                <w:rFonts w:ascii="Verdana" w:hAnsi="Verdana" w:eastAsia="Times New Roman" w:cs="Arial"/>
                <w:color w:val="000000" w:themeColor="text1"/>
              </w:rPr>
              <w:t>trata</w:t>
            </w:r>
            <w:r>
              <w:rPr>
                <w:rFonts w:ascii="Verdana" w:hAnsi="Verdana" w:eastAsia="Times New Roman" w:cs="Arial"/>
                <w:color w:val="000000" w:themeColor="text1"/>
              </w:rPr>
              <w:t>n</w:t>
            </w:r>
            <w:r w:rsidRPr="009E264B" w:rsidR="009E264B">
              <w:rPr>
                <w:rFonts w:ascii="Verdana" w:hAnsi="Verdana" w:eastAsia="Times New Roman" w:cs="Arial"/>
                <w:color w:val="000000" w:themeColor="text1"/>
              </w:rPr>
              <w:t xml:space="preserve"> de entidad</w:t>
            </w:r>
            <w:r w:rsidR="003516CF">
              <w:rPr>
                <w:rFonts w:ascii="Verdana" w:hAnsi="Verdana" w:eastAsia="Times New Roman" w:cs="Arial"/>
                <w:color w:val="000000" w:themeColor="text1"/>
              </w:rPr>
              <w:t>es</w:t>
            </w:r>
            <w:r w:rsidRPr="009E264B" w:rsidR="009E264B">
              <w:rPr>
                <w:rFonts w:ascii="Verdana" w:hAnsi="Verdana" w:eastAsia="Times New Roman" w:cs="Arial"/>
                <w:color w:val="000000" w:themeColor="text1"/>
              </w:rPr>
              <w:t xml:space="preserve"> con la capacidad profesional y técnica para valorar de manera adecuada los bienes inmuebles que se vayan a adquirir, garantizando que el proceso de adquisición se haga con criterios objetivos y en conformidad con los principios de transparencia y equidad en las compras públicas.</w:t>
            </w:r>
          </w:p>
          <w:p w:rsidR="008C56E5" w:rsidP="00F679B8" w:rsidRDefault="004E449C" w14:paraId="6252148D" w14:textId="5CF0F31E">
            <w:pPr>
              <w:spacing w:after="120" w:line="276" w:lineRule="auto"/>
              <w:jc w:val="both"/>
              <w:rPr>
                <w:rFonts w:ascii="Verdana" w:hAnsi="Verdana" w:eastAsia="Arial MT" w:cs="Arial"/>
                <w:i/>
                <w:iCs/>
                <w:lang w:eastAsia="es-ES" w:bidi="es-ES"/>
              </w:rPr>
            </w:pPr>
            <w:r>
              <w:rPr>
                <w:rFonts w:ascii="Verdana" w:hAnsi="Verdana" w:eastAsia="Arial MT" w:cs="Arial"/>
                <w:lang w:eastAsia="es-ES" w:bidi="es-ES"/>
              </w:rPr>
              <w:t xml:space="preserve">Ahora bien, </w:t>
            </w:r>
            <w:r w:rsidR="00343355">
              <w:rPr>
                <w:rFonts w:ascii="Verdana" w:hAnsi="Verdana" w:eastAsia="Arial MT" w:cs="Arial"/>
                <w:lang w:eastAsia="es-ES" w:bidi="es-ES"/>
              </w:rPr>
              <w:t xml:space="preserve">la Ley </w:t>
            </w:r>
            <w:r w:rsidR="00EB0B36">
              <w:rPr>
                <w:rFonts w:ascii="Verdana" w:hAnsi="Verdana" w:eastAsia="Arial MT" w:cs="Arial"/>
                <w:lang w:eastAsia="es-ES" w:bidi="es-ES"/>
              </w:rPr>
              <w:t>1673 de 2013 “</w:t>
            </w:r>
            <w:r w:rsidRPr="00EB0B36" w:rsidR="00EB0B36">
              <w:rPr>
                <w:rFonts w:ascii="Verdana" w:hAnsi="Verdana" w:eastAsia="Arial MT" w:cs="Arial"/>
                <w:i/>
                <w:iCs/>
                <w:lang w:eastAsia="es-ES" w:bidi="es-ES"/>
              </w:rPr>
              <w:t xml:space="preserve">por la cual se reglamenta la actividad del </w:t>
            </w:r>
            <w:proofErr w:type="spellStart"/>
            <w:r w:rsidRPr="00EB0B36" w:rsidR="00EB0B36">
              <w:rPr>
                <w:rFonts w:ascii="Verdana" w:hAnsi="Verdana" w:eastAsia="Arial MT" w:cs="Arial"/>
                <w:i/>
                <w:iCs/>
                <w:lang w:eastAsia="es-ES" w:bidi="es-ES"/>
              </w:rPr>
              <w:t>avaluador</w:t>
            </w:r>
            <w:proofErr w:type="spellEnd"/>
            <w:r w:rsidRPr="00EB0B36" w:rsidR="00EB0B36">
              <w:rPr>
                <w:rFonts w:ascii="Verdana" w:hAnsi="Verdana" w:eastAsia="Arial MT" w:cs="Arial"/>
                <w:i/>
                <w:iCs/>
                <w:lang w:eastAsia="es-ES" w:bidi="es-ES"/>
              </w:rPr>
              <w:t xml:space="preserve"> y se dictan otras disposicione</w:t>
            </w:r>
            <w:r w:rsidR="00EB0B36">
              <w:rPr>
                <w:rFonts w:ascii="Verdana" w:hAnsi="Verdana" w:eastAsia="Arial MT" w:cs="Arial"/>
                <w:i/>
                <w:iCs/>
                <w:lang w:eastAsia="es-ES" w:bidi="es-ES"/>
              </w:rPr>
              <w:t>s”</w:t>
            </w:r>
            <w:r w:rsidRPr="00EB0B36" w:rsidR="00EB0B36">
              <w:rPr>
                <w:rFonts w:ascii="Verdana" w:hAnsi="Verdana" w:eastAsia="Arial MT" w:cs="Arial"/>
                <w:i/>
                <w:iCs/>
                <w:lang w:eastAsia="es-ES" w:bidi="es-ES"/>
              </w:rPr>
              <w:t>.</w:t>
            </w:r>
            <w:r w:rsidR="00EB0B36">
              <w:rPr>
                <w:rFonts w:ascii="Verdana" w:hAnsi="Verdana" w:eastAsia="Arial MT" w:cs="Arial"/>
                <w:i/>
                <w:iCs/>
                <w:lang w:eastAsia="es-ES" w:bidi="es-ES"/>
              </w:rPr>
              <w:t xml:space="preserve"> Define </w:t>
            </w:r>
            <w:r w:rsidR="00035C13">
              <w:rPr>
                <w:rFonts w:ascii="Verdana" w:hAnsi="Verdana" w:eastAsia="Arial MT" w:cs="Arial"/>
                <w:i/>
                <w:iCs/>
                <w:lang w:eastAsia="es-ES" w:bidi="es-ES"/>
              </w:rPr>
              <w:t xml:space="preserve">en su </w:t>
            </w:r>
            <w:r w:rsidRPr="00C724F7" w:rsidR="00BE7CC7">
              <w:rPr>
                <w:rFonts w:ascii="Verdana" w:hAnsi="Verdana" w:eastAsia="Arial MT" w:cs="Arial"/>
                <w:lang w:eastAsia="es-ES" w:bidi="es-ES"/>
              </w:rPr>
              <w:t>artículo</w:t>
            </w:r>
            <w:r w:rsidRPr="00C724F7" w:rsidR="00171852">
              <w:rPr>
                <w:rFonts w:ascii="Verdana" w:hAnsi="Verdana" w:eastAsia="Arial MT" w:cs="Arial"/>
                <w:lang w:eastAsia="es-ES" w:bidi="es-ES"/>
              </w:rPr>
              <w:t xml:space="preserve"> 3°Definiciones al</w:t>
            </w:r>
            <w:r w:rsidRPr="00C724F7" w:rsidR="00035C13">
              <w:rPr>
                <w:rFonts w:ascii="Verdana" w:hAnsi="Verdana" w:eastAsia="Arial MT" w:cs="Arial"/>
                <w:lang w:eastAsia="es-ES" w:bidi="es-ES"/>
              </w:rPr>
              <w:t xml:space="preserve"> </w:t>
            </w:r>
            <w:r w:rsidRPr="00C724F7" w:rsidR="00171852">
              <w:rPr>
                <w:rFonts w:ascii="Verdana" w:hAnsi="Verdana" w:eastAsia="Arial MT" w:cs="Arial"/>
                <w:lang w:eastAsia="es-ES" w:bidi="es-ES"/>
              </w:rPr>
              <w:t>valuador</w:t>
            </w:r>
            <w:r w:rsidR="00C724F7">
              <w:rPr>
                <w:rFonts w:ascii="Verdana" w:hAnsi="Verdana" w:eastAsia="Arial MT" w:cs="Arial"/>
                <w:lang w:eastAsia="es-ES" w:bidi="es-ES"/>
              </w:rPr>
              <w:t xml:space="preserve"> </w:t>
            </w:r>
            <w:r w:rsidRPr="00C724F7" w:rsidR="00C724F7">
              <w:rPr>
                <w:rFonts w:ascii="Verdana" w:hAnsi="Verdana" w:eastAsia="Arial MT" w:cs="Arial"/>
                <w:lang w:eastAsia="es-ES" w:bidi="es-ES"/>
              </w:rPr>
              <w:t>como</w:t>
            </w:r>
            <w:r w:rsidRPr="00C724F7" w:rsidR="00171852">
              <w:rPr>
                <w:rFonts w:ascii="Verdana" w:hAnsi="Verdana" w:eastAsia="Arial MT" w:cs="Arial"/>
                <w:lang w:eastAsia="es-ES" w:bidi="es-ES"/>
              </w:rPr>
              <w:t>:</w:t>
            </w:r>
            <w:r w:rsidRPr="00171852" w:rsidR="00171852">
              <w:rPr>
                <w:rFonts w:ascii="Verdana" w:hAnsi="Verdana" w:eastAsia="Arial MT" w:cs="Arial"/>
                <w:i/>
                <w:iCs/>
                <w:lang w:eastAsia="es-ES" w:bidi="es-ES"/>
              </w:rPr>
              <w:t> </w:t>
            </w:r>
            <w:r w:rsidR="00C724F7">
              <w:rPr>
                <w:rFonts w:ascii="Verdana" w:hAnsi="Verdana" w:eastAsia="Arial MT" w:cs="Arial"/>
                <w:i/>
                <w:iCs/>
                <w:lang w:eastAsia="es-ES" w:bidi="es-ES"/>
              </w:rPr>
              <w:t>“</w:t>
            </w:r>
            <w:r w:rsidRPr="00171852" w:rsidR="00171852">
              <w:rPr>
                <w:rFonts w:ascii="Verdana" w:hAnsi="Verdana" w:eastAsia="Arial MT" w:cs="Arial"/>
                <w:i/>
                <w:iCs/>
                <w:lang w:eastAsia="es-ES" w:bidi="es-ES"/>
              </w:rPr>
              <w:t xml:space="preserve">Persona natural, que posee la formación debidamente reconocida para llevar a cabo la valuación de un tipo de bienes y que se encuentra inscrita ante el Registro Abierto de </w:t>
            </w:r>
            <w:proofErr w:type="spellStart"/>
            <w:r w:rsidRPr="00171852" w:rsidR="00171852">
              <w:rPr>
                <w:rFonts w:ascii="Verdana" w:hAnsi="Verdana" w:eastAsia="Arial MT" w:cs="Arial"/>
                <w:i/>
                <w:iCs/>
                <w:lang w:eastAsia="es-ES" w:bidi="es-ES"/>
              </w:rPr>
              <w:t>Avaluadores</w:t>
            </w:r>
            <w:proofErr w:type="spellEnd"/>
            <w:r w:rsidR="00C724F7">
              <w:rPr>
                <w:rFonts w:ascii="Verdana" w:hAnsi="Verdana" w:eastAsia="Arial MT" w:cs="Arial"/>
                <w:i/>
                <w:iCs/>
                <w:lang w:eastAsia="es-ES" w:bidi="es-ES"/>
              </w:rPr>
              <w:t>”</w:t>
            </w:r>
            <w:r w:rsidRPr="00171852" w:rsidR="00C724F7">
              <w:rPr>
                <w:rFonts w:ascii="Verdana" w:hAnsi="Verdana" w:eastAsia="Arial MT" w:cs="Arial"/>
                <w:i/>
                <w:iCs/>
                <w:lang w:eastAsia="es-ES" w:bidi="es-ES"/>
              </w:rPr>
              <w:t>.</w:t>
            </w:r>
          </w:p>
          <w:p w:rsidRPr="008C56E5" w:rsidR="00C724F7" w:rsidP="00F679B8" w:rsidRDefault="00C724F7" w14:paraId="5DB538CD" w14:textId="67CFBD4C">
            <w:pPr>
              <w:spacing w:after="120" w:line="276" w:lineRule="auto"/>
              <w:jc w:val="both"/>
              <w:rPr>
                <w:rFonts w:ascii="Verdana" w:hAnsi="Verdana" w:eastAsia="Arial MT" w:cs="Arial"/>
                <w:lang w:eastAsia="es-ES" w:bidi="es-ES"/>
              </w:rPr>
            </w:pPr>
            <w:r>
              <w:rPr>
                <w:rFonts w:ascii="Verdana" w:hAnsi="Verdana" w:eastAsia="Arial MT" w:cs="Arial"/>
                <w:lang w:eastAsia="es-ES" w:bidi="es-ES"/>
              </w:rPr>
              <w:t xml:space="preserve">Dicho lo anterior, a juicio de la Agencia </w:t>
            </w:r>
            <w:proofErr w:type="gramStart"/>
            <w:r w:rsidR="00BE7CC7">
              <w:rPr>
                <w:rFonts w:ascii="Verdana" w:hAnsi="Verdana" w:eastAsia="Arial MT" w:cs="Arial"/>
                <w:lang w:eastAsia="es-ES" w:bidi="es-ES"/>
              </w:rPr>
              <w:t>le</w:t>
            </w:r>
            <w:proofErr w:type="gramEnd"/>
            <w:r w:rsidR="00BE7CC7">
              <w:rPr>
                <w:rFonts w:ascii="Verdana" w:hAnsi="Verdana" w:eastAsia="Arial MT" w:cs="Arial"/>
                <w:lang w:eastAsia="es-ES" w:bidi="es-ES"/>
              </w:rPr>
              <w:t xml:space="preserve"> corresponderá a las entidades al estructurar su proceso de contratación en los estudios previos establecer que el avaluó que </w:t>
            </w:r>
            <w:r w:rsidRPr="11CA167C" w:rsidR="47F9495F">
              <w:rPr>
                <w:rFonts w:ascii="Verdana" w:hAnsi="Verdana" w:eastAsia="Arial MT" w:cs="Arial"/>
                <w:lang w:eastAsia="es-ES" w:bidi="es-ES"/>
              </w:rPr>
              <w:t>h</w:t>
            </w:r>
            <w:r w:rsidRPr="11CA167C" w:rsidR="00BE7CC7">
              <w:rPr>
                <w:rFonts w:ascii="Verdana" w:hAnsi="Verdana" w:eastAsia="Arial MT" w:cs="Arial"/>
                <w:lang w:eastAsia="es-ES" w:bidi="es-ES"/>
              </w:rPr>
              <w:t>a</w:t>
            </w:r>
            <w:r w:rsidR="00BE7CC7">
              <w:rPr>
                <w:rFonts w:ascii="Verdana" w:hAnsi="Verdana" w:eastAsia="Arial MT" w:cs="Arial"/>
                <w:lang w:eastAsia="es-ES" w:bidi="es-ES"/>
              </w:rPr>
              <w:t xml:space="preserve"> de realizarse para la adquisición de </w:t>
            </w:r>
            <w:r w:rsidRPr="11CA167C" w:rsidR="3461731C">
              <w:rPr>
                <w:rFonts w:ascii="Verdana" w:hAnsi="Verdana" w:eastAsia="Arial MT" w:cs="Arial"/>
                <w:lang w:eastAsia="es-ES" w:bidi="es-ES"/>
              </w:rPr>
              <w:t>un</w:t>
            </w:r>
            <w:r w:rsidR="00BE7CC7">
              <w:rPr>
                <w:rFonts w:ascii="Verdana" w:hAnsi="Verdana" w:eastAsia="Arial MT" w:cs="Arial"/>
                <w:lang w:eastAsia="es-ES" w:bidi="es-ES"/>
              </w:rPr>
              <w:t xml:space="preserve"> bien inmueble cumpla con los requisitos establecidos en el artículo </w:t>
            </w:r>
            <w:r w:rsidRPr="11CA167C" w:rsidR="00BE7CC7">
              <w:rPr>
                <w:rFonts w:ascii="Verdana" w:hAnsi="Verdana" w:eastAsia="Times New Roman" w:cs="Arial"/>
                <w:sz w:val="21"/>
                <w:szCs w:val="21"/>
                <w:lang w:eastAsia="es-ES"/>
              </w:rPr>
              <w:t>2.2.1.2.1.4.10 del decreto 1082 de 2015</w:t>
            </w:r>
            <w:r w:rsidR="00BE7CC7">
              <w:rPr>
                <w:rFonts w:ascii="Verdana" w:hAnsi="Verdana" w:eastAsia="Arial MT" w:cs="Arial"/>
                <w:lang w:eastAsia="es-ES" w:bidi="es-ES"/>
              </w:rPr>
              <w:t xml:space="preserve"> y la Ley 1673 de 2013.</w:t>
            </w:r>
          </w:p>
        </w:tc>
      </w:tr>
    </w:tbl>
    <w:p w:rsidRPr="00BE151B" w:rsidR="00D06D62" w:rsidP="00D06D62" w:rsidRDefault="00D06D62" w14:paraId="17620EED" w14:textId="77777777">
      <w:pPr>
        <w:spacing w:after="0" w:line="276" w:lineRule="auto"/>
        <w:contextualSpacing/>
        <w:jc w:val="both"/>
        <w:rPr>
          <w:rFonts w:ascii="Verdana" w:hAnsi="Verdana" w:eastAsia="Times New Roman" w:cs="Arial"/>
          <w:lang w:eastAsia="es-ES_tradnl"/>
        </w:rPr>
      </w:pPr>
    </w:p>
    <w:p w:rsidRPr="00BE151B" w:rsidR="00D06D62" w:rsidP="00D06D62" w:rsidRDefault="00D06D62" w14:paraId="27E36028"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r w:rsidRPr="00BE151B">
        <w:rPr>
          <w:rFonts w:ascii="Verdana" w:hAnsi="Verdana" w:eastAsia="Century Gothic" w:cs="Century Gothic"/>
          <w:b/>
          <w:bCs/>
        </w:rPr>
        <w:t>3. Razones de la respuesta:</w:t>
      </w:r>
    </w:p>
    <w:p w:rsidRPr="00BE151B" w:rsidR="00D06D62" w:rsidP="00D06D62" w:rsidRDefault="00D06D62" w14:paraId="58ECB200" w14:textId="77777777">
      <w:pPr>
        <w:spacing w:after="0" w:line="276" w:lineRule="auto"/>
        <w:jc w:val="both"/>
        <w:rPr>
          <w:rFonts w:ascii="Verdana" w:hAnsi="Verdana" w:eastAsia="Calibri" w:cs="Arial"/>
          <w:color w:val="7030A0"/>
        </w:rPr>
      </w:pPr>
    </w:p>
    <w:p w:rsidRPr="00BE151B" w:rsidR="00D06D62" w:rsidP="00D06D62" w:rsidRDefault="00D06D62" w14:paraId="0B75912E" w14:textId="77777777">
      <w:pPr>
        <w:spacing w:after="0" w:line="276" w:lineRule="auto"/>
        <w:jc w:val="both"/>
        <w:rPr>
          <w:rFonts w:ascii="Verdana" w:hAnsi="Verdana" w:eastAsia="Calibri" w:cs="Arial"/>
        </w:rPr>
      </w:pPr>
      <w:r w:rsidRPr="00BE151B">
        <w:rPr>
          <w:rFonts w:ascii="Verdana" w:hAnsi="Verdana" w:eastAsia="Calibri" w:cs="Arial"/>
        </w:rPr>
        <w:t xml:space="preserve">Lo anterior se sustenta en las siguientes consideraciones: </w:t>
      </w:r>
    </w:p>
    <w:p w:rsidR="00D06D62" w:rsidP="00D06D62" w:rsidRDefault="00D06D62" w14:paraId="384F49C2" w14:textId="77777777">
      <w:pPr>
        <w:spacing w:line="276" w:lineRule="auto"/>
        <w:jc w:val="both"/>
        <w:rPr>
          <w:rFonts w:ascii="Verdana" w:hAnsi="Verdana" w:cs="Arial"/>
          <w:color w:val="000000" w:themeColor="text1"/>
          <w:lang w:val="es-ES"/>
        </w:rPr>
      </w:pPr>
      <w:bookmarkStart w:name="_Hlk173311098" w:id="0"/>
    </w:p>
    <w:p w:rsidRPr="004452C7" w:rsidR="00D06D62" w:rsidP="00D06D62" w:rsidRDefault="00D06D62" w14:paraId="54CD6C38" w14:textId="77777777">
      <w:pPr>
        <w:spacing w:after="0"/>
        <w:jc w:val="both"/>
        <w:rPr>
          <w:rFonts w:ascii="Verdana" w:hAnsi="Verdana" w:eastAsia="Arial" w:cs="Arial"/>
          <w:lang w:val="es-ES_tradnl"/>
        </w:rPr>
      </w:pPr>
      <w:r w:rsidRPr="004452C7">
        <w:rPr>
          <w:rFonts w:ascii="Verdana" w:hAnsi="Verdana" w:eastAsia="Arial" w:cs="Arial"/>
          <w:lang w:val="es-ES_tradnl"/>
        </w:rPr>
        <w:t xml:space="preserve">Según el literal i) del numeral 4 del artículo 2º de la Ley 1150 de 2007, las entidades estatales podrán adquirir los bienes inmuebles que requieran para la </w:t>
      </w:r>
      <w:r w:rsidRPr="004452C7">
        <w:rPr>
          <w:rFonts w:ascii="Verdana" w:hAnsi="Verdana" w:eastAsia="Arial" w:cs="Arial"/>
          <w:lang w:val="es-ES_tradnl"/>
        </w:rPr>
        <w:t>satisfacción de sus necesidades, mediante la modalidad de contratación directa</w:t>
      </w:r>
      <w:r w:rsidRPr="004452C7">
        <w:rPr>
          <w:rStyle w:val="Refdenotaalpie"/>
          <w:rFonts w:ascii="Verdana" w:hAnsi="Verdana" w:cs="Arial"/>
          <w:lang w:val="es-ES_tradnl"/>
        </w:rPr>
        <w:footnoteReference w:id="2"/>
      </w:r>
      <w:r w:rsidRPr="004452C7">
        <w:rPr>
          <w:rFonts w:ascii="Verdana" w:hAnsi="Verdana" w:eastAsia="Arial" w:cs="Arial"/>
          <w:lang w:val="es-ES_tradnl"/>
        </w:rPr>
        <w:t xml:space="preserve">. En efecto, la norma señala expresamente lo siguiente: </w:t>
      </w:r>
      <w:r>
        <w:rPr>
          <w:rFonts w:ascii="Verdana" w:hAnsi="Verdana" w:eastAsia="Arial" w:cs="Arial"/>
          <w:lang w:val="es-ES_tradnl"/>
        </w:rPr>
        <w:t>“</w:t>
      </w:r>
      <w:r w:rsidRPr="004452C7">
        <w:rPr>
          <w:rFonts w:ascii="Verdana" w:hAnsi="Verdana" w:eastAsia="Arial" w:cs="Arial"/>
          <w:lang w:val="es-ES_tradnl"/>
        </w:rPr>
        <w:t>4. Contratación directa. La modalidad de selección de contratación directa solamente procederá en los siguientes casos: […] i) El arrendamiento o adquisición de inmuebles</w:t>
      </w:r>
      <w:r>
        <w:rPr>
          <w:rFonts w:ascii="Verdana" w:hAnsi="Verdana" w:eastAsia="Arial" w:cs="Arial"/>
          <w:lang w:val="es-ES_tradnl"/>
        </w:rPr>
        <w:t>”</w:t>
      </w:r>
      <w:r w:rsidRPr="004452C7">
        <w:rPr>
          <w:rFonts w:ascii="Verdana" w:hAnsi="Verdana" w:eastAsia="Arial" w:cs="Arial"/>
          <w:lang w:val="es-ES_tradnl"/>
        </w:rPr>
        <w:t xml:space="preserve">. En el mismo sentido, el artículo 2.2.1.2.1.4.10. del Decreto 1082 de 2015 dispone que </w:t>
      </w:r>
      <w:r>
        <w:rPr>
          <w:rFonts w:ascii="Verdana" w:hAnsi="Verdana" w:eastAsia="Arial" w:cs="Arial"/>
          <w:lang w:val="es-ES_tradnl"/>
        </w:rPr>
        <w:t>“</w:t>
      </w:r>
      <w:r w:rsidRPr="004452C7">
        <w:rPr>
          <w:rFonts w:ascii="Verdana" w:hAnsi="Verdana" w:eastAsia="Arial" w:cs="Arial"/>
          <w:lang w:val="es-ES_tradnl"/>
        </w:rPr>
        <w:t>Las Entidades Estatales pueden adquirir bienes inmuebles mediante contratación directa […]</w:t>
      </w:r>
      <w:r>
        <w:rPr>
          <w:rFonts w:ascii="Verdana" w:hAnsi="Verdana" w:eastAsia="Arial" w:cs="Arial"/>
          <w:lang w:val="es-ES_tradnl"/>
        </w:rPr>
        <w:t>”</w:t>
      </w:r>
      <w:r w:rsidRPr="004452C7">
        <w:rPr>
          <w:rFonts w:ascii="Verdana" w:hAnsi="Verdana" w:eastAsia="Arial" w:cs="Arial"/>
          <w:lang w:val="es-ES_tradnl"/>
        </w:rPr>
        <w:t>.</w:t>
      </w:r>
    </w:p>
    <w:p w:rsidRPr="004452C7" w:rsidR="00D06D62" w:rsidP="0DCF27E7" w:rsidRDefault="00D06D62" w14:paraId="67BD8AE4" w14:textId="64474A04">
      <w:pPr>
        <w:spacing w:before="120" w:after="0"/>
        <w:ind w:firstLine="720"/>
        <w:jc w:val="both"/>
        <w:rPr>
          <w:rFonts w:ascii="Verdana" w:hAnsi="Verdana" w:eastAsia="Arial" w:cs="Arial"/>
          <w:lang w:val="es-ES"/>
        </w:rPr>
      </w:pPr>
      <w:r w:rsidRPr="0DCF27E7">
        <w:rPr>
          <w:rFonts w:ascii="Verdana" w:hAnsi="Verdana" w:eastAsia="Arial" w:cs="Arial"/>
          <w:lang w:val="es-ES"/>
        </w:rPr>
        <w:t xml:space="preserve">En relación con la contratación directa, hay que señalar que se trata de uno de los procedimientos excepcionales a la licitación pública, pero, </w:t>
      </w:r>
      <w:proofErr w:type="spellStart"/>
      <w:r w:rsidRPr="0DCF27E7">
        <w:rPr>
          <w:rFonts w:ascii="Verdana" w:hAnsi="Verdana" w:eastAsia="Arial" w:cs="Arial"/>
          <w:lang w:val="es-ES"/>
        </w:rPr>
        <w:t>aún</w:t>
      </w:r>
      <w:proofErr w:type="spellEnd"/>
      <w:r w:rsidRPr="0DCF27E7">
        <w:rPr>
          <w:rFonts w:ascii="Verdana" w:hAnsi="Verdana" w:eastAsia="Arial" w:cs="Arial"/>
          <w:lang w:val="es-ES"/>
        </w:rPr>
        <w:t xml:space="preserve"> así, se encuentra sometido a todos los principios que rigen la contratación </w:t>
      </w:r>
      <w:proofErr w:type="spellStart"/>
      <w:proofErr w:type="gramStart"/>
      <w:r w:rsidRPr="0DCF27E7">
        <w:rPr>
          <w:rFonts w:ascii="Verdana" w:hAnsi="Verdana" w:eastAsia="Arial" w:cs="Arial"/>
          <w:lang w:val="es-ES"/>
        </w:rPr>
        <w:t>pública</w:t>
      </w:r>
      <w:r w:rsidRPr="0DCF27E7" w:rsidR="79BB58DF">
        <w:rPr>
          <w:rFonts w:ascii="Verdana" w:hAnsi="Verdana" w:eastAsia="Arial" w:cs="Arial"/>
          <w:lang w:val="es-ES"/>
        </w:rPr>
        <w:t>,</w:t>
      </w:r>
      <w:r w:rsidRPr="0DCF27E7">
        <w:rPr>
          <w:rFonts w:ascii="Verdana" w:hAnsi="Verdana" w:eastAsia="Arial" w:cs="Arial"/>
          <w:lang w:val="es-ES"/>
        </w:rPr>
        <w:t>la</w:t>
      </w:r>
      <w:proofErr w:type="spellEnd"/>
      <w:proofErr w:type="gramEnd"/>
      <w:r w:rsidRPr="0DCF27E7">
        <w:rPr>
          <w:rFonts w:ascii="Verdana" w:hAnsi="Verdana" w:eastAsia="Arial" w:cs="Arial"/>
          <w:lang w:val="es-ES"/>
        </w:rPr>
        <w:t xml:space="preserve"> función administrativa</w:t>
      </w:r>
      <w:r w:rsidRPr="0DCF27E7" w:rsidR="677CEC5D">
        <w:rPr>
          <w:rFonts w:ascii="Verdana" w:hAnsi="Verdana" w:eastAsia="Arial" w:cs="Arial"/>
          <w:lang w:val="es-ES"/>
        </w:rPr>
        <w:t xml:space="preserve"> y de selección objetiva</w:t>
      </w:r>
      <w:r w:rsidRPr="0DCF27E7">
        <w:rPr>
          <w:rFonts w:ascii="Verdana" w:hAnsi="Verdana" w:eastAsia="Arial" w:cs="Arial"/>
          <w:lang w:val="es-ES"/>
        </w:rPr>
        <w:t>. Su excepcionalidad obedece a razones como la conveniencia, la necesidad, la competitividad, la reserva y exclusividad de oferentes, que hacen más conveniente la selección directa del contratista, como ocurre en el caso de la adquisición de bienes inmuebles por las entidades estatales.  Así lo indicó el Consejo de Estado en la sentencia del 16 de marzo de 2017, en la que expresó:</w:t>
      </w:r>
    </w:p>
    <w:p w:rsidRPr="004452C7" w:rsidR="00D06D62" w:rsidP="00D06D62" w:rsidRDefault="00D06D62" w14:paraId="6D8631E7" w14:textId="77777777">
      <w:pPr>
        <w:spacing w:after="0"/>
        <w:jc w:val="both"/>
        <w:rPr>
          <w:rFonts w:ascii="Verdana" w:hAnsi="Verdana" w:eastAsia="Arial" w:cs="Arial"/>
          <w:sz w:val="21"/>
          <w:szCs w:val="21"/>
          <w:lang w:val="es-ES_tradnl"/>
        </w:rPr>
      </w:pPr>
    </w:p>
    <w:p w:rsidRPr="004452C7" w:rsidR="00D06D62" w:rsidP="00D06D62" w:rsidRDefault="00D06D62" w14:paraId="50356C65" w14:textId="77777777">
      <w:pPr>
        <w:spacing w:after="0" w:line="240" w:lineRule="auto"/>
        <w:ind w:left="709" w:right="709"/>
        <w:jc w:val="both"/>
        <w:rPr>
          <w:rFonts w:ascii="Verdana" w:hAnsi="Verdana" w:cs="Arial"/>
          <w:sz w:val="21"/>
          <w:szCs w:val="21"/>
          <w:lang w:val="es-ES_tradnl"/>
        </w:rPr>
      </w:pPr>
      <w:r w:rsidRPr="004452C7">
        <w:rPr>
          <w:rFonts w:ascii="Verdana" w:hAnsi="Verdana" w:cs="Arial"/>
          <w:sz w:val="21"/>
          <w:szCs w:val="21"/>
          <w:lang w:val="es-ES_tradnl"/>
        </w:rPr>
        <w:t>[…] Sin duda, las diferentes excepciones a ese mecanismo general se fundan en razones de conveniencia, necesidad, competitividad, reserva, exclusividad de oferentes, entre otras, por virtud de las cuales no es posible que la administración pública escoja siempre a sus contratistas mediante un proceso de selección abierto y público. Es representativo de estos eventos el de la compra o arrendamiento de inmuebles por parte de las diferentes entidades, bajo el entendido de que cuando se procede a ello, la administración busca satisfacer una necesidad específica en la que pasan a segundo plano las condiciones objetivas del oferente, para dar paso a la búsqueda de la satisfacción de un requerimiento particular, al tiempo que la eventual propuesta, físicamente verificable, no es otra que el inmueble ofrecido y su aceptación está limitada sin duda por factores presupuestales con fundamento en los cuales es necesario que la administración pueda decidir de manera autónoma</w:t>
      </w:r>
      <w:r w:rsidRPr="004452C7">
        <w:rPr>
          <w:rStyle w:val="Refdenotaalpie"/>
          <w:rFonts w:ascii="Verdana" w:hAnsi="Verdana" w:cs="Arial"/>
          <w:lang w:val="es-ES_tradnl"/>
        </w:rPr>
        <w:footnoteReference w:id="3"/>
      </w:r>
    </w:p>
    <w:p w:rsidRPr="004452C7" w:rsidR="00D06D62" w:rsidP="00D06D62" w:rsidRDefault="00D06D62" w14:paraId="2C8C33BD" w14:textId="77777777">
      <w:pPr>
        <w:spacing w:after="0" w:line="240" w:lineRule="auto"/>
        <w:ind w:left="709" w:right="709"/>
        <w:jc w:val="both"/>
        <w:rPr>
          <w:rFonts w:ascii="Verdana" w:hAnsi="Verdana" w:cs="Arial"/>
          <w:lang w:val="es-ES_tradnl"/>
        </w:rPr>
      </w:pPr>
    </w:p>
    <w:p w:rsidRPr="004452C7" w:rsidR="00D06D62" w:rsidP="0DCF27E7" w:rsidRDefault="00D06D62" w14:paraId="19A9935C" w14:textId="77777777">
      <w:pPr>
        <w:spacing w:after="120"/>
        <w:ind w:firstLine="720"/>
        <w:jc w:val="both"/>
        <w:rPr>
          <w:rFonts w:ascii="Verdana" w:hAnsi="Verdana" w:eastAsia="Times New Roman" w:cs="Arial"/>
          <w:color w:val="000000" w:themeColor="text1"/>
          <w:lang w:val="es-ES"/>
        </w:rPr>
      </w:pPr>
      <w:r w:rsidRPr="0DCF27E7">
        <w:rPr>
          <w:rFonts w:ascii="Verdana" w:hAnsi="Verdana" w:eastAsia="Arial" w:cs="Arial"/>
          <w:lang w:val="es-ES"/>
        </w:rPr>
        <w:t xml:space="preserve">Las reglas para la adquisición de inmuebles mediante contratación directa se encuentran definidas, precisamente, en el artículo 2.2.1.2.1.4.10 del Decreto </w:t>
      </w:r>
      <w:r w:rsidRPr="0DCF27E7">
        <w:rPr>
          <w:rFonts w:ascii="Verdana" w:hAnsi="Verdana" w:eastAsia="Arial" w:cs="Arial"/>
          <w:lang w:val="es-ES"/>
        </w:rPr>
        <w:t xml:space="preserve">1082 de 2015.  </w:t>
      </w:r>
      <w:r w:rsidRPr="0DCF27E7">
        <w:rPr>
          <w:rFonts w:ascii="Verdana" w:hAnsi="Verdana" w:eastAsia="Times New Roman" w:cs="Arial"/>
          <w:color w:val="000000" w:themeColor="text1"/>
          <w:lang w:val="es-ES"/>
        </w:rPr>
        <w:t xml:space="preserve">Este artículo establece los estudios específicos que las entidades estatales deben realizar antes de la suscripción del contrato. Dichos estudios son los siguientes: i) avalúo con una institución especializada de los bienes inmuebles identificados que satisfagan las necesidades de las entidades estatales; y </w:t>
      </w:r>
      <w:proofErr w:type="spellStart"/>
      <w:r w:rsidRPr="0DCF27E7">
        <w:rPr>
          <w:rFonts w:ascii="Verdana" w:hAnsi="Verdana" w:eastAsia="Times New Roman" w:cs="Arial"/>
          <w:color w:val="000000" w:themeColor="text1"/>
          <w:lang w:val="es-ES"/>
        </w:rPr>
        <w:t>ii</w:t>
      </w:r>
      <w:proofErr w:type="spellEnd"/>
      <w:r w:rsidRPr="0DCF27E7">
        <w:rPr>
          <w:rFonts w:ascii="Verdana" w:hAnsi="Verdana" w:eastAsia="Times New Roman" w:cs="Arial"/>
          <w:color w:val="000000" w:themeColor="text1"/>
          <w:lang w:val="es-ES"/>
        </w:rPr>
        <w:t xml:space="preserve">) el </w:t>
      </w:r>
      <w:r w:rsidRPr="0DCF27E7">
        <w:rPr>
          <w:rFonts w:ascii="Verdana" w:hAnsi="Verdana" w:eastAsia="Times New Roman" w:cs="Arial"/>
          <w:i/>
          <w:iCs/>
          <w:color w:val="000000" w:themeColor="text1"/>
          <w:lang w:val="es-ES"/>
        </w:rPr>
        <w:t>análisis</w:t>
      </w:r>
      <w:r w:rsidRPr="0DCF27E7">
        <w:rPr>
          <w:rFonts w:ascii="Verdana" w:hAnsi="Verdana" w:eastAsia="Times New Roman" w:cs="Arial"/>
          <w:color w:val="000000" w:themeColor="text1"/>
          <w:lang w:val="es-ES"/>
        </w:rPr>
        <w:t xml:space="preserve"> y </w:t>
      </w:r>
      <w:r w:rsidRPr="0DCF27E7">
        <w:rPr>
          <w:rFonts w:ascii="Verdana" w:hAnsi="Verdana" w:eastAsia="Times New Roman" w:cs="Arial"/>
          <w:i/>
          <w:iCs/>
          <w:color w:val="000000" w:themeColor="text1"/>
          <w:lang w:val="es-ES"/>
        </w:rPr>
        <w:t>comparación</w:t>
      </w:r>
      <w:r w:rsidRPr="0DCF27E7">
        <w:rPr>
          <w:rFonts w:ascii="Verdana" w:hAnsi="Verdana" w:eastAsia="Times New Roman" w:cs="Arial"/>
          <w:color w:val="000000" w:themeColor="text1"/>
          <w:lang w:val="es-ES"/>
        </w:rPr>
        <w:t xml:space="preserve"> de las condiciones de los inmuebles y las opciones de adquisición.</w:t>
      </w:r>
      <w:r w:rsidRPr="0DCF27E7">
        <w:rPr>
          <w:rStyle w:val="Refdenotaalpie"/>
          <w:rFonts w:ascii="Verdana" w:hAnsi="Verdana" w:cs="Arial"/>
          <w:lang w:val="es-ES"/>
        </w:rPr>
        <w:footnoteReference w:id="4"/>
      </w:r>
    </w:p>
    <w:p w:rsidRPr="004452C7" w:rsidR="00D06D62" w:rsidP="00D06D62" w:rsidRDefault="00D06D62" w14:paraId="1986DEA8" w14:textId="77777777">
      <w:pPr>
        <w:pStyle w:val="NormalWeb"/>
        <w:spacing w:before="120" w:beforeAutospacing="0" w:after="120" w:afterAutospacing="0" w:line="276" w:lineRule="auto"/>
        <w:ind w:firstLine="708"/>
        <w:jc w:val="both"/>
        <w:rPr>
          <w:rFonts w:ascii="Verdana" w:hAnsi="Verdana" w:cs="Arial"/>
          <w:color w:val="000000"/>
          <w:sz w:val="22"/>
          <w:szCs w:val="22"/>
          <w:bdr w:val="none" w:color="auto" w:sz="0" w:space="0" w:frame="1"/>
          <w:lang w:val="es-ES"/>
        </w:rPr>
      </w:pPr>
      <w:r w:rsidRPr="11CA167C">
        <w:rPr>
          <w:rFonts w:ascii="Verdana" w:hAnsi="Verdana" w:cs="Arial"/>
          <w:color w:val="000000"/>
          <w:sz w:val="22"/>
          <w:szCs w:val="22"/>
          <w:bdr w:val="none" w:color="auto" w:sz="0" w:space="0" w:frame="1"/>
          <w:lang w:val="es-ES"/>
        </w:rPr>
        <w:t>En concordancia con lo anterior, el Decreto Reglamentario 1082 de 2015, en su artículo 2.2.1.2.1.4.1</w:t>
      </w:r>
      <w:r w:rsidRPr="11CA167C">
        <w:rPr>
          <w:rStyle w:val="Refdenotaalpie"/>
          <w:rFonts w:ascii="Verdana" w:hAnsi="Verdana" w:cs="Arial"/>
          <w:lang w:val="es-ES"/>
        </w:rPr>
        <w:footnoteReference w:id="5"/>
      </w:r>
      <w:r w:rsidRPr="11CA167C">
        <w:rPr>
          <w:rFonts w:ascii="Verdana" w:hAnsi="Verdana" w:cs="Arial"/>
          <w:color w:val="000000"/>
          <w:sz w:val="22"/>
          <w:szCs w:val="22"/>
          <w:bdr w:val="none" w:color="auto" w:sz="0" w:space="0" w:frame="1"/>
          <w:lang w:val="es-ES"/>
        </w:rPr>
        <w:t>, establece que la entidad estatal deberá justificar la causal de contratación directa mediante la expedición de un acto administrativo. Por estas razones cobra importancia la referencia al principio de planeación en la contratación estatal, ya que el desarrollo que realizó el decreto reglamentario de la causal contenida en el literal i) del numeral 4 del artículo 2 de la Ley 1150 de 2007, prevé la obligación de la entidad contratante de</w:t>
      </w:r>
      <w:r w:rsidRPr="11CA167C">
        <w:rPr>
          <w:rStyle w:val="apple-converted-space"/>
          <w:rFonts w:ascii="Verdana" w:hAnsi="Verdana" w:cs="Arial"/>
          <w:color w:val="000000"/>
          <w:sz w:val="22"/>
          <w:szCs w:val="22"/>
          <w:bdr w:val="none" w:color="auto" w:sz="0" w:space="0" w:frame="1"/>
          <w:lang w:val="es-ES"/>
        </w:rPr>
        <w:t> </w:t>
      </w:r>
      <w:r w:rsidRPr="11CA167C">
        <w:rPr>
          <w:rFonts w:ascii="Verdana" w:hAnsi="Verdana" w:cs="Arial"/>
          <w:color w:val="000000"/>
          <w:sz w:val="22"/>
          <w:szCs w:val="22"/>
          <w:bdr w:val="none" w:color="auto" w:sz="0" w:space="0" w:frame="1"/>
          <w:lang w:val="es-ES"/>
        </w:rPr>
        <w:t xml:space="preserve">sustentar, con base en los estudios previos realizados, la adquisición de bienes inmuebles. </w:t>
      </w:r>
    </w:p>
    <w:p w:rsidRPr="00DA4084" w:rsidR="005D0BD4" w:rsidP="11CA167C" w:rsidRDefault="00253ACA" w14:paraId="1C7134F9" w14:textId="3CC7BBB0">
      <w:pPr>
        <w:pStyle w:val="NormalWeb"/>
        <w:spacing w:before="120" w:beforeAutospacing="0" w:after="120" w:afterAutospacing="0" w:line="276" w:lineRule="auto"/>
        <w:ind w:firstLine="708"/>
        <w:jc w:val="both"/>
        <w:rPr>
          <w:rFonts w:ascii="Verdana" w:hAnsi="Verdana" w:cs="Arial"/>
          <w:i/>
          <w:iCs/>
          <w:color w:val="000000" w:themeColor="text1"/>
          <w:sz w:val="22"/>
          <w:szCs w:val="22"/>
          <w:lang w:val="es-ES"/>
        </w:rPr>
      </w:pPr>
      <w:r>
        <w:rPr>
          <w:rFonts w:ascii="Verdana" w:hAnsi="Verdana" w:cs="Arial"/>
          <w:color w:val="000000" w:themeColor="text1"/>
          <w:sz w:val="22"/>
          <w:szCs w:val="22"/>
          <w:lang w:val="es-ES"/>
        </w:rPr>
        <w:t>En ese mismo sentido, el Decreto 1</w:t>
      </w:r>
      <w:r w:rsidR="008A322F">
        <w:rPr>
          <w:rFonts w:ascii="Verdana" w:hAnsi="Verdana" w:cs="Arial"/>
          <w:color w:val="000000" w:themeColor="text1"/>
          <w:sz w:val="22"/>
          <w:szCs w:val="22"/>
          <w:lang w:val="es-ES"/>
        </w:rPr>
        <w:t>673 de 2013</w:t>
      </w:r>
      <w:r w:rsidR="008A322F">
        <w:rPr>
          <w:rStyle w:val="Refdenotaalpie"/>
          <w:rFonts w:ascii="Verdana" w:hAnsi="Verdana" w:cs="Arial"/>
          <w:color w:val="000000" w:themeColor="text1"/>
          <w:sz w:val="22"/>
          <w:szCs w:val="22"/>
          <w:lang w:val="es-ES"/>
        </w:rPr>
        <w:footnoteReference w:id="6"/>
      </w:r>
      <w:r w:rsidR="009E0C9B">
        <w:rPr>
          <w:rFonts w:ascii="Verdana" w:hAnsi="Verdana" w:cs="Arial"/>
          <w:color w:val="000000" w:themeColor="text1"/>
          <w:sz w:val="22"/>
          <w:szCs w:val="22"/>
          <w:lang w:val="es-ES"/>
        </w:rPr>
        <w:t xml:space="preserve"> </w:t>
      </w:r>
      <w:r w:rsidR="005D0BD4">
        <w:rPr>
          <w:rFonts w:ascii="Verdana" w:hAnsi="Verdana" w:cs="Arial"/>
          <w:color w:val="000000" w:themeColor="text1"/>
          <w:sz w:val="22"/>
          <w:szCs w:val="22"/>
          <w:lang w:val="es-ES"/>
        </w:rPr>
        <w:t xml:space="preserve">establece la definición de </w:t>
      </w:r>
      <w:r w:rsidR="00102BE4">
        <w:rPr>
          <w:rFonts w:ascii="Verdana" w:hAnsi="Verdana" w:cs="Arial"/>
          <w:color w:val="000000" w:themeColor="text1"/>
          <w:sz w:val="22"/>
          <w:szCs w:val="22"/>
          <w:lang w:val="es-ES"/>
        </w:rPr>
        <w:t>avalúo</w:t>
      </w:r>
      <w:r w:rsidR="005D0BD4">
        <w:rPr>
          <w:rFonts w:ascii="Verdana" w:hAnsi="Verdana" w:cs="Arial"/>
          <w:color w:val="000000" w:themeColor="text1"/>
          <w:sz w:val="22"/>
          <w:szCs w:val="22"/>
          <w:lang w:val="es-ES"/>
        </w:rPr>
        <w:t xml:space="preserve"> en el </w:t>
      </w:r>
      <w:r w:rsidR="00102BE4">
        <w:rPr>
          <w:rFonts w:ascii="Verdana" w:hAnsi="Verdana" w:cs="Arial"/>
          <w:color w:val="000000" w:themeColor="text1"/>
          <w:sz w:val="22"/>
          <w:szCs w:val="22"/>
          <w:lang w:val="es-ES"/>
        </w:rPr>
        <w:t>artículo</w:t>
      </w:r>
      <w:r w:rsidR="005D0BD4">
        <w:rPr>
          <w:rFonts w:ascii="Verdana" w:hAnsi="Verdana" w:cs="Arial"/>
          <w:color w:val="000000" w:themeColor="text1"/>
          <w:sz w:val="22"/>
          <w:szCs w:val="22"/>
          <w:lang w:val="es-ES"/>
        </w:rPr>
        <w:t xml:space="preserve"> 3° literal a) de la siguiente forma:</w:t>
      </w:r>
      <w:r w:rsidR="00DA4084">
        <w:rPr>
          <w:rFonts w:ascii="Verdana" w:hAnsi="Verdana" w:cs="Arial"/>
          <w:color w:val="000000" w:themeColor="text1"/>
          <w:sz w:val="22"/>
          <w:szCs w:val="22"/>
          <w:lang w:val="es-ES"/>
        </w:rPr>
        <w:t xml:space="preserve"> “[…]</w:t>
      </w:r>
      <w:r w:rsidR="005D0BD4">
        <w:rPr>
          <w:rFonts w:ascii="Verdana" w:hAnsi="Verdana" w:cs="Arial"/>
          <w:color w:val="000000" w:themeColor="text1"/>
          <w:sz w:val="22"/>
          <w:szCs w:val="22"/>
          <w:lang w:val="es-ES"/>
        </w:rPr>
        <w:t xml:space="preserve"> </w:t>
      </w:r>
      <w:r w:rsidRPr="00DA4084" w:rsidR="00DA4084">
        <w:rPr>
          <w:rFonts w:ascii="Verdana" w:hAnsi="Verdana" w:cs="Arial"/>
          <w:i/>
          <w:iCs/>
          <w:color w:val="000000" w:themeColor="text1"/>
          <w:sz w:val="22"/>
          <w:szCs w:val="22"/>
        </w:rPr>
        <w:t xml:space="preserve">a) Valuación: Es </w:t>
      </w:r>
      <w:r w:rsidRPr="00DA4084" w:rsidR="00DA4084">
        <w:rPr>
          <w:rFonts w:ascii="Verdana" w:hAnsi="Verdana" w:cs="Arial"/>
          <w:i/>
          <w:iCs/>
          <w:color w:val="000000" w:themeColor="text1"/>
          <w:sz w:val="22"/>
          <w:szCs w:val="22"/>
        </w:rPr>
        <w:t>la actividad, por medio de la cual se determina el valor de un bien, de conformidad con los métodos, técnicas, actuaciones, criterios y herramientas que se consideren necesarios y pertinentes para el dictamen. El dictamen de la valuación se denomina avalúo</w:t>
      </w:r>
      <w:r w:rsidR="00DA4084">
        <w:rPr>
          <w:rFonts w:ascii="Verdana" w:hAnsi="Verdana" w:cs="Arial"/>
          <w:i/>
          <w:iCs/>
          <w:color w:val="000000" w:themeColor="text1"/>
          <w:sz w:val="22"/>
          <w:szCs w:val="22"/>
        </w:rPr>
        <w:t xml:space="preserve"> […]”</w:t>
      </w:r>
    </w:p>
    <w:p w:rsidR="005D0BD4" w:rsidP="11CA167C" w:rsidRDefault="005D0BD4" w14:paraId="1D52CAA7" w14:textId="77777777">
      <w:pPr>
        <w:pStyle w:val="NormalWeb"/>
        <w:spacing w:before="120" w:beforeAutospacing="0" w:after="120" w:afterAutospacing="0" w:line="276" w:lineRule="auto"/>
        <w:ind w:firstLine="708"/>
        <w:jc w:val="both"/>
        <w:rPr>
          <w:rFonts w:ascii="Verdana" w:hAnsi="Verdana" w:cs="Arial"/>
          <w:color w:val="000000" w:themeColor="text1"/>
          <w:sz w:val="22"/>
          <w:szCs w:val="22"/>
          <w:lang w:val="es-ES"/>
        </w:rPr>
      </w:pPr>
    </w:p>
    <w:p w:rsidR="11CA167C" w:rsidP="11CA167C" w:rsidRDefault="00DA4084" w14:paraId="42C1CAED" w14:textId="24723410">
      <w:pPr>
        <w:pStyle w:val="NormalWeb"/>
        <w:spacing w:before="120" w:beforeAutospacing="0" w:after="120" w:afterAutospacing="0" w:line="276" w:lineRule="auto"/>
        <w:ind w:firstLine="708"/>
        <w:jc w:val="both"/>
        <w:rPr>
          <w:rFonts w:ascii="Verdana" w:hAnsi="Verdana" w:cs="Arial"/>
          <w:color w:val="000000" w:themeColor="text1"/>
          <w:sz w:val="22"/>
          <w:szCs w:val="22"/>
          <w:lang w:val="es-ES"/>
        </w:rPr>
      </w:pPr>
      <w:r>
        <w:rPr>
          <w:rFonts w:ascii="Verdana" w:hAnsi="Verdana" w:cs="Arial"/>
          <w:color w:val="000000" w:themeColor="text1"/>
          <w:sz w:val="22"/>
          <w:szCs w:val="22"/>
          <w:lang w:val="es-ES"/>
        </w:rPr>
        <w:t xml:space="preserve">Así mismo establece en su </w:t>
      </w:r>
      <w:proofErr w:type="spellStart"/>
      <w:r>
        <w:rPr>
          <w:rFonts w:ascii="Verdana" w:hAnsi="Verdana" w:cs="Arial"/>
          <w:color w:val="000000" w:themeColor="text1"/>
          <w:sz w:val="22"/>
          <w:szCs w:val="22"/>
          <w:lang w:val="es-ES"/>
        </w:rPr>
        <w:t>articulo</w:t>
      </w:r>
      <w:proofErr w:type="spellEnd"/>
      <w:r>
        <w:rPr>
          <w:rFonts w:ascii="Verdana" w:hAnsi="Verdana" w:cs="Arial"/>
          <w:color w:val="000000" w:themeColor="text1"/>
          <w:sz w:val="22"/>
          <w:szCs w:val="22"/>
          <w:lang w:val="es-ES"/>
        </w:rPr>
        <w:t xml:space="preserve"> 6°</w:t>
      </w:r>
      <w:r w:rsidR="009E0C9B">
        <w:rPr>
          <w:rFonts w:ascii="Verdana" w:hAnsi="Verdana" w:cs="Arial"/>
          <w:color w:val="000000" w:themeColor="text1"/>
          <w:sz w:val="22"/>
          <w:szCs w:val="22"/>
          <w:lang w:val="es-ES"/>
        </w:rPr>
        <w:t xml:space="preserve"> los requisitos para el </w:t>
      </w:r>
      <w:r w:rsidR="006C4CEC">
        <w:rPr>
          <w:rFonts w:ascii="Verdana" w:hAnsi="Verdana" w:cs="Arial"/>
          <w:color w:val="000000" w:themeColor="text1"/>
          <w:sz w:val="22"/>
          <w:szCs w:val="22"/>
          <w:lang w:val="es-ES"/>
        </w:rPr>
        <w:t>avalúo</w:t>
      </w:r>
      <w:r w:rsidR="009E0C9B">
        <w:rPr>
          <w:rFonts w:ascii="Verdana" w:hAnsi="Verdana" w:cs="Arial"/>
          <w:color w:val="000000" w:themeColor="text1"/>
          <w:sz w:val="22"/>
          <w:szCs w:val="22"/>
          <w:lang w:val="es-ES"/>
        </w:rPr>
        <w:t xml:space="preserve"> de estos bienes y para ejercer la </w:t>
      </w:r>
      <w:proofErr w:type="spellStart"/>
      <w:r w:rsidR="009E0C9B">
        <w:rPr>
          <w:rFonts w:ascii="Verdana" w:hAnsi="Verdana" w:cs="Arial"/>
          <w:color w:val="000000" w:themeColor="text1"/>
          <w:sz w:val="22"/>
          <w:szCs w:val="22"/>
          <w:lang w:val="es-ES"/>
        </w:rPr>
        <w:t>practica</w:t>
      </w:r>
      <w:proofErr w:type="spellEnd"/>
      <w:r w:rsidR="009E0C9B">
        <w:rPr>
          <w:rFonts w:ascii="Verdana" w:hAnsi="Verdana" w:cs="Arial"/>
          <w:color w:val="000000" w:themeColor="text1"/>
          <w:sz w:val="22"/>
          <w:szCs w:val="22"/>
          <w:lang w:val="es-ES"/>
        </w:rPr>
        <w:t xml:space="preserve"> de </w:t>
      </w:r>
      <w:proofErr w:type="spellStart"/>
      <w:r w:rsidR="009E0C9B">
        <w:rPr>
          <w:rFonts w:ascii="Verdana" w:hAnsi="Verdana" w:cs="Arial"/>
          <w:color w:val="000000" w:themeColor="text1"/>
          <w:sz w:val="22"/>
          <w:szCs w:val="22"/>
          <w:lang w:val="es-ES"/>
        </w:rPr>
        <w:t>avaluador</w:t>
      </w:r>
      <w:proofErr w:type="spellEnd"/>
      <w:r w:rsidR="009E0C9B">
        <w:rPr>
          <w:rFonts w:ascii="Verdana" w:hAnsi="Verdana" w:cs="Arial"/>
          <w:color w:val="000000" w:themeColor="text1"/>
          <w:sz w:val="22"/>
          <w:szCs w:val="22"/>
          <w:lang w:val="es-ES"/>
        </w:rPr>
        <w:t xml:space="preserve"> en el territorio colombiano</w:t>
      </w:r>
      <w:r w:rsidR="006D5008">
        <w:rPr>
          <w:rFonts w:ascii="Verdana" w:hAnsi="Verdana" w:cs="Arial"/>
          <w:color w:val="000000" w:themeColor="text1"/>
          <w:sz w:val="22"/>
          <w:szCs w:val="22"/>
          <w:lang w:val="es-ES"/>
        </w:rPr>
        <w:t>, en d</w:t>
      </w:r>
      <w:r w:rsidR="008C689A">
        <w:rPr>
          <w:rFonts w:ascii="Verdana" w:hAnsi="Verdana" w:cs="Arial"/>
          <w:color w:val="000000" w:themeColor="text1"/>
          <w:sz w:val="22"/>
          <w:szCs w:val="22"/>
          <w:lang w:val="es-ES"/>
        </w:rPr>
        <w:t xml:space="preserve">onde en el articulo 6 de la citada ley establece lo siguiente: </w:t>
      </w:r>
    </w:p>
    <w:p w:rsidRPr="007C29A6" w:rsidR="008775C2" w:rsidP="007C29A6" w:rsidRDefault="0034282F" w14:paraId="234BAD58" w14:textId="0577BB9E">
      <w:pPr>
        <w:pStyle w:val="NormalWeb"/>
        <w:spacing w:before="0" w:beforeAutospacing="0"/>
        <w:ind w:left="709" w:right="709"/>
        <w:jc w:val="both"/>
        <w:rPr>
          <w:rFonts w:ascii="Verdana" w:hAnsi="Verdana" w:cs="Arial"/>
          <w:color w:val="000000" w:themeColor="text1"/>
          <w:sz w:val="20"/>
          <w:szCs w:val="20"/>
        </w:rPr>
      </w:pPr>
      <w:r w:rsidRPr="0034282F">
        <w:rPr>
          <w:rFonts w:ascii="Verdana" w:hAnsi="Verdana" w:cs="Arial"/>
          <w:color w:val="000000" w:themeColor="text1"/>
          <w:sz w:val="20"/>
          <w:szCs w:val="20"/>
        </w:rPr>
        <w:t>[…]</w:t>
      </w:r>
      <w:r w:rsidRPr="008775C2" w:rsidR="008775C2">
        <w:rPr>
          <w:rFonts w:ascii="Verdana" w:hAnsi="Verdana" w:cs="Arial"/>
          <w:color w:val="000000" w:themeColor="text1"/>
          <w:sz w:val="20"/>
          <w:szCs w:val="20"/>
        </w:rPr>
        <w:t>Artículo 6°.</w:t>
      </w:r>
      <w:r w:rsidRPr="008775C2" w:rsidR="008775C2">
        <w:rPr>
          <w:rFonts w:ascii="Verdana" w:hAnsi="Verdana" w:cs="Arial"/>
          <w:b/>
          <w:bCs/>
          <w:color w:val="000000" w:themeColor="text1"/>
          <w:sz w:val="20"/>
          <w:szCs w:val="20"/>
        </w:rPr>
        <w:t> </w:t>
      </w:r>
      <w:r w:rsidRPr="008775C2" w:rsidR="008775C2">
        <w:rPr>
          <w:rFonts w:ascii="Verdana" w:hAnsi="Verdana" w:cs="Arial"/>
          <w:i/>
          <w:iCs/>
          <w:color w:val="000000" w:themeColor="text1"/>
          <w:sz w:val="20"/>
          <w:szCs w:val="20"/>
        </w:rPr>
        <w:t>Inscripción y requisitos</w:t>
      </w:r>
      <w:r w:rsidRPr="008775C2" w:rsidR="008775C2">
        <w:rPr>
          <w:rFonts w:ascii="Verdana" w:hAnsi="Verdana" w:cs="Arial"/>
          <w:color w:val="000000" w:themeColor="text1"/>
          <w:sz w:val="20"/>
          <w:szCs w:val="20"/>
        </w:rPr>
        <w:t xml:space="preserve">. La inscripción como </w:t>
      </w:r>
      <w:proofErr w:type="spellStart"/>
      <w:r w:rsidRPr="008775C2" w:rsidR="008775C2">
        <w:rPr>
          <w:rFonts w:ascii="Verdana" w:hAnsi="Verdana" w:cs="Arial"/>
          <w:color w:val="000000" w:themeColor="text1"/>
          <w:sz w:val="20"/>
          <w:szCs w:val="20"/>
        </w:rPr>
        <w:t>avaluador</w:t>
      </w:r>
      <w:proofErr w:type="spellEnd"/>
      <w:r w:rsidRPr="008775C2" w:rsidR="008775C2">
        <w:rPr>
          <w:rFonts w:ascii="Verdana" w:hAnsi="Verdana" w:cs="Arial"/>
          <w:color w:val="000000" w:themeColor="text1"/>
          <w:sz w:val="20"/>
          <w:szCs w:val="20"/>
        </w:rPr>
        <w:t xml:space="preserve"> se acreditará ante el Registro Abierto de </w:t>
      </w:r>
      <w:proofErr w:type="spellStart"/>
      <w:r w:rsidRPr="008775C2" w:rsidR="008775C2">
        <w:rPr>
          <w:rFonts w:ascii="Verdana" w:hAnsi="Verdana" w:cs="Arial"/>
          <w:color w:val="000000" w:themeColor="text1"/>
          <w:sz w:val="20"/>
          <w:szCs w:val="20"/>
        </w:rPr>
        <w:t>Avaluadores</w:t>
      </w:r>
      <w:proofErr w:type="spellEnd"/>
      <w:r w:rsidRPr="008775C2" w:rsidR="008775C2">
        <w:rPr>
          <w:rFonts w:ascii="Verdana" w:hAnsi="Verdana" w:cs="Arial"/>
          <w:color w:val="000000" w:themeColor="text1"/>
          <w:sz w:val="20"/>
          <w:szCs w:val="20"/>
        </w:rPr>
        <w:t xml:space="preserve">. Para ser inscrito como </w:t>
      </w:r>
      <w:proofErr w:type="spellStart"/>
      <w:r w:rsidRPr="008775C2" w:rsidR="008775C2">
        <w:rPr>
          <w:rFonts w:ascii="Verdana" w:hAnsi="Verdana" w:cs="Arial"/>
          <w:color w:val="000000" w:themeColor="text1"/>
          <w:sz w:val="20"/>
          <w:szCs w:val="20"/>
        </w:rPr>
        <w:t>avaluador</w:t>
      </w:r>
      <w:proofErr w:type="spellEnd"/>
      <w:r w:rsidRPr="008775C2" w:rsidR="008775C2">
        <w:rPr>
          <w:rFonts w:ascii="Verdana" w:hAnsi="Verdana" w:cs="Arial"/>
          <w:color w:val="000000" w:themeColor="text1"/>
          <w:sz w:val="20"/>
          <w:szCs w:val="20"/>
        </w:rPr>
        <w:t xml:space="preserve"> deberán llenarse los siguientes requisitos por esta ley: </w:t>
      </w:r>
    </w:p>
    <w:p w:rsidRPr="008775C2" w:rsidR="008775C2" w:rsidP="007C29A6" w:rsidRDefault="008775C2" w14:paraId="338BB6A8" w14:textId="2CCBD8DF">
      <w:pPr>
        <w:pStyle w:val="NormalWeb"/>
        <w:spacing w:before="0" w:beforeAutospacing="0"/>
        <w:ind w:left="709" w:right="709" w:firstLine="708"/>
        <w:jc w:val="both"/>
        <w:rPr>
          <w:rFonts w:ascii="Verdana" w:hAnsi="Verdana" w:cs="Arial"/>
          <w:color w:val="000000" w:themeColor="text1"/>
          <w:sz w:val="20"/>
          <w:szCs w:val="20"/>
        </w:rPr>
      </w:pPr>
      <w:r w:rsidRPr="008775C2">
        <w:rPr>
          <w:rFonts w:ascii="Verdana" w:hAnsi="Verdana" w:cs="Arial"/>
          <w:color w:val="000000" w:themeColor="text1"/>
          <w:sz w:val="20"/>
          <w:szCs w:val="20"/>
        </w:rPr>
        <w:t>a) Acreditar en la especialidad que lo requiera: </w:t>
      </w:r>
    </w:p>
    <w:p w:rsidRPr="008775C2" w:rsidR="008775C2" w:rsidP="007C29A6" w:rsidRDefault="008775C2" w14:paraId="05107F54" w14:textId="672B61E2">
      <w:pPr>
        <w:pStyle w:val="NormalWeb"/>
        <w:spacing w:before="0" w:beforeAutospacing="0"/>
        <w:ind w:left="709" w:right="709" w:firstLine="708"/>
        <w:jc w:val="both"/>
        <w:rPr>
          <w:rFonts w:ascii="Verdana" w:hAnsi="Verdana" w:cs="Arial"/>
          <w:color w:val="000000" w:themeColor="text1"/>
          <w:sz w:val="20"/>
          <w:szCs w:val="20"/>
        </w:rPr>
      </w:pPr>
      <w:r w:rsidRPr="008775C2">
        <w:rPr>
          <w:rFonts w:ascii="Verdana" w:hAnsi="Verdana" w:cs="Arial"/>
          <w:color w:val="000000" w:themeColor="text1"/>
          <w:sz w:val="20"/>
          <w:szCs w:val="20"/>
        </w:rPr>
        <w:t>  (i) formación académica a través de uno o más programas académicos debidamente reconocidos por el Ministerio de Educación Nacional que cubran: (a) teoría del valor, (b) economía y finanzas generales y las aplicadas a los bienes a avaluar, (c) conocimientos jurídicos generales y los específicos aplicables a los bienes a avaluar, (d) las ciencias o artes generales y las aplicadas a las características y propiedades - intrínsecas de los bienes a avaluar, (e) de las metodologías generales de valuación y las específicas de los bienes a avaluar, (d) métodos matemáticos y cuantitativos para la valuación de los bienes y (e) en la correcta utilización de los instrumentos de medición utilizados para la identificación o caracterización de los bienes a avaluar, o </w:t>
      </w:r>
    </w:p>
    <w:p w:rsidRPr="008775C2" w:rsidR="008775C2" w:rsidP="007C29A6" w:rsidRDefault="008775C2" w14:paraId="1F017616" w14:textId="0C9B41E2">
      <w:pPr>
        <w:pStyle w:val="NormalWeb"/>
        <w:spacing w:before="0" w:beforeAutospacing="0"/>
        <w:ind w:left="709" w:right="709" w:firstLine="708"/>
        <w:jc w:val="both"/>
        <w:rPr>
          <w:rFonts w:ascii="Verdana" w:hAnsi="Verdana" w:cs="Arial"/>
          <w:color w:val="000000" w:themeColor="text1"/>
          <w:sz w:val="20"/>
          <w:szCs w:val="20"/>
        </w:rPr>
      </w:pPr>
      <w:r w:rsidRPr="008775C2">
        <w:rPr>
          <w:rFonts w:ascii="Verdana" w:hAnsi="Verdana" w:cs="Arial"/>
          <w:color w:val="000000" w:themeColor="text1"/>
          <w:sz w:val="20"/>
          <w:szCs w:val="20"/>
        </w:rPr>
        <w:t>  (</w:t>
      </w:r>
      <w:proofErr w:type="spellStart"/>
      <w:r w:rsidRPr="008775C2">
        <w:rPr>
          <w:rFonts w:ascii="Verdana" w:hAnsi="Verdana" w:cs="Arial"/>
          <w:color w:val="000000" w:themeColor="text1"/>
          <w:sz w:val="20"/>
          <w:szCs w:val="20"/>
        </w:rPr>
        <w:t>ii</w:t>
      </w:r>
      <w:proofErr w:type="spellEnd"/>
      <w:r w:rsidRPr="008775C2">
        <w:rPr>
          <w:rFonts w:ascii="Verdana" w:hAnsi="Verdana" w:cs="Arial"/>
          <w:color w:val="000000" w:themeColor="text1"/>
          <w:sz w:val="20"/>
          <w:szCs w:val="20"/>
        </w:rPr>
        <w:t>) Demostrar el cumplimiento de los requisitos establecidos en el parágrafo 1° del presente artículo; </w:t>
      </w:r>
    </w:p>
    <w:p w:rsidRPr="008775C2" w:rsidR="008775C2" w:rsidP="007C29A6" w:rsidRDefault="008775C2" w14:paraId="49E609E8" w14:textId="6A2079B9">
      <w:pPr>
        <w:pStyle w:val="NormalWeb"/>
        <w:spacing w:before="0" w:beforeAutospacing="0"/>
        <w:ind w:left="709" w:right="709" w:firstLine="708"/>
        <w:jc w:val="both"/>
        <w:rPr>
          <w:rFonts w:ascii="Verdana" w:hAnsi="Verdana" w:cs="Arial"/>
          <w:color w:val="000000" w:themeColor="text1"/>
          <w:sz w:val="20"/>
          <w:szCs w:val="20"/>
        </w:rPr>
      </w:pPr>
      <w:r w:rsidRPr="008775C2">
        <w:rPr>
          <w:rFonts w:ascii="Verdana" w:hAnsi="Verdana" w:cs="Arial"/>
          <w:color w:val="000000" w:themeColor="text1"/>
          <w:sz w:val="20"/>
          <w:szCs w:val="20"/>
        </w:rPr>
        <w:t xml:space="preserve">  b) Indicar datos de contacto físico y electrónico para efectos de notificaciones. Corresponde al </w:t>
      </w:r>
      <w:proofErr w:type="spellStart"/>
      <w:r w:rsidRPr="008775C2">
        <w:rPr>
          <w:rFonts w:ascii="Verdana" w:hAnsi="Verdana" w:cs="Arial"/>
          <w:color w:val="000000" w:themeColor="text1"/>
          <w:sz w:val="20"/>
          <w:szCs w:val="20"/>
        </w:rPr>
        <w:t>Avaluador</w:t>
      </w:r>
      <w:proofErr w:type="spellEnd"/>
      <w:r w:rsidRPr="008775C2">
        <w:rPr>
          <w:rFonts w:ascii="Verdana" w:hAnsi="Verdana" w:cs="Arial"/>
          <w:color w:val="000000" w:themeColor="text1"/>
          <w:sz w:val="20"/>
          <w:szCs w:val="20"/>
        </w:rPr>
        <w:t xml:space="preserve"> mantener actualizada esta información.</w:t>
      </w:r>
      <w:r w:rsidR="0034282F">
        <w:rPr>
          <w:rFonts w:ascii="Verdana" w:hAnsi="Verdana" w:cs="Arial"/>
          <w:color w:val="000000" w:themeColor="text1"/>
          <w:sz w:val="20"/>
          <w:szCs w:val="20"/>
        </w:rPr>
        <w:t xml:space="preserve"> […]”</w:t>
      </w:r>
      <w:r w:rsidRPr="008775C2">
        <w:rPr>
          <w:rFonts w:ascii="Verdana" w:hAnsi="Verdana" w:cs="Arial"/>
          <w:color w:val="000000" w:themeColor="text1"/>
          <w:sz w:val="20"/>
          <w:szCs w:val="20"/>
        </w:rPr>
        <w:t> </w:t>
      </w:r>
    </w:p>
    <w:p w:rsidR="00102BE4" w:rsidP="0034282F" w:rsidRDefault="00102BE4" w14:paraId="1154A63A" w14:textId="6598F8C0">
      <w:pPr>
        <w:spacing w:before="120" w:after="120"/>
        <w:jc w:val="both"/>
        <w:rPr>
          <w:rFonts w:ascii="Verdana" w:hAnsi="Verdana" w:cs="Arial"/>
          <w:bCs/>
          <w:lang w:val="es-ES_tradnl"/>
        </w:rPr>
      </w:pPr>
      <w:r>
        <w:rPr>
          <w:rFonts w:ascii="Verdana" w:hAnsi="Verdana" w:cs="Arial"/>
          <w:bCs/>
          <w:lang w:val="es-ES_tradnl"/>
        </w:rPr>
        <w:t>E</w:t>
      </w:r>
      <w:r w:rsidR="0034282F">
        <w:rPr>
          <w:rFonts w:ascii="Verdana" w:hAnsi="Verdana" w:cs="Arial"/>
          <w:bCs/>
          <w:lang w:val="es-ES_tradnl"/>
        </w:rPr>
        <w:t xml:space="preserve">s por eso </w:t>
      </w:r>
      <w:proofErr w:type="gramStart"/>
      <w:r w:rsidR="0034282F">
        <w:rPr>
          <w:rFonts w:ascii="Verdana" w:hAnsi="Verdana" w:cs="Arial"/>
          <w:bCs/>
          <w:lang w:val="es-ES_tradnl"/>
        </w:rPr>
        <w:t>que</w:t>
      </w:r>
      <w:proofErr w:type="gramEnd"/>
      <w:r w:rsidR="0034282F">
        <w:rPr>
          <w:rFonts w:ascii="Verdana" w:hAnsi="Verdana" w:cs="Arial"/>
          <w:bCs/>
          <w:lang w:val="es-ES_tradnl"/>
        </w:rPr>
        <w:t xml:space="preserve"> para cumplir con la actividad de valuación en el territorio colombiano se tienen que cumplir con ciertos requisitos que te permitan ejercer dicha actividad de forma legal e idónea y así garantizar los fines de la entidad estatal para la cual puedan prestar los servicios</w:t>
      </w:r>
      <w:r>
        <w:rPr>
          <w:rFonts w:ascii="Verdana" w:hAnsi="Verdana" w:cs="Arial"/>
          <w:bCs/>
          <w:lang w:val="es-ES_tradnl"/>
        </w:rPr>
        <w:t xml:space="preserve"> en los procesos de </w:t>
      </w:r>
      <w:proofErr w:type="spellStart"/>
      <w:r>
        <w:rPr>
          <w:rFonts w:ascii="Verdana" w:hAnsi="Verdana" w:cs="Arial"/>
          <w:bCs/>
          <w:lang w:val="es-ES_tradnl"/>
        </w:rPr>
        <w:t>contratacion</w:t>
      </w:r>
      <w:proofErr w:type="spellEnd"/>
      <w:r>
        <w:rPr>
          <w:rFonts w:ascii="Verdana" w:hAnsi="Verdana" w:cs="Arial"/>
          <w:bCs/>
          <w:lang w:val="es-ES_tradnl"/>
        </w:rPr>
        <w:t xml:space="preserve"> que lo requieran. </w:t>
      </w:r>
    </w:p>
    <w:p w:rsidRPr="004452C7" w:rsidR="00D06D62" w:rsidP="38FD8617" w:rsidRDefault="00102BE4" w14:paraId="66188947" w14:textId="1B36F9B9" w14:noSpellErr="1">
      <w:pPr>
        <w:spacing w:before="120" w:after="120"/>
        <w:jc w:val="both"/>
        <w:rPr>
          <w:rFonts w:ascii="Verdana" w:hAnsi="Verdana" w:cs="Arial"/>
          <w:lang w:val="es-ES" w:eastAsia="es-CO"/>
        </w:rPr>
      </w:pPr>
      <w:r w:rsidRPr="38FD8617" w:rsidR="00102BE4">
        <w:rPr>
          <w:rFonts w:ascii="Verdana" w:hAnsi="Verdana" w:cs="Arial"/>
          <w:lang w:val="es-ES"/>
        </w:rPr>
        <w:t xml:space="preserve">Ahora bien, en aras del principio de </w:t>
      </w:r>
      <w:r w:rsidRPr="38FD8617" w:rsidR="00D06D62">
        <w:rPr>
          <w:rFonts w:ascii="Verdana" w:hAnsi="Verdana" w:cs="Arial"/>
          <w:lang w:val="es-ES"/>
        </w:rPr>
        <w:t xml:space="preserve">planeación contractual </w:t>
      </w:r>
      <w:r w:rsidRPr="38FD8617" w:rsidR="00102BE4">
        <w:rPr>
          <w:rFonts w:ascii="Verdana" w:hAnsi="Verdana" w:cs="Arial"/>
          <w:lang w:val="es-ES"/>
        </w:rPr>
        <w:t xml:space="preserve">que se define como una </w:t>
      </w:r>
      <w:r w:rsidRPr="38FD8617" w:rsidR="00D06D62">
        <w:rPr>
          <w:rFonts w:ascii="Verdana" w:hAnsi="Verdana" w:cs="Arial"/>
          <w:lang w:val="es-ES"/>
        </w:rPr>
        <w:t xml:space="preserve">herramienta de gerencia pública, que exige estructurar el proceso contractual dedicando tiempo y esfuerzos para elaborar estudios previos, los </w:t>
      </w:r>
      <w:r w:rsidRPr="38FD8617" w:rsidR="00D06D62">
        <w:rPr>
          <w:rFonts w:ascii="Verdana" w:hAnsi="Verdana" w:cs="Arial"/>
          <w:lang w:val="es-ES"/>
        </w:rPr>
        <w:t>cuales deberán ser adecuados a su alcance y complejidad.</w:t>
      </w:r>
      <w:r w:rsidRPr="38FD8617" w:rsidR="00D06D62">
        <w:rPr>
          <w:rFonts w:ascii="Verdana" w:hAnsi="Verdana" w:cs="Arial"/>
          <w:lang w:val="es-ES"/>
        </w:rPr>
        <w:t xml:space="preserve">  Lo anterior, con la finalidad de determinar la necesidad que pretende satisfacer la entidad estatal, consultando el tipo de bienes y servicios que ofrece el mercado y sus características, especificaciones, precios, costos, riesgos, garantías, disponibilidad, oferentes, entre otros factores. Así, una debida planeación debe conducir a una escogencia diligente de la mejor oferta, para beneficiar los intereses y fines públicos inmersos en la contratación de las entidades estatales, buscando siempre la correcta ejecución del contrato</w:t>
      </w:r>
      <w:r w:rsidRPr="38FD8617" w:rsidR="00D06D62">
        <w:rPr>
          <w:rStyle w:val="Refdenotaalpie"/>
          <w:rFonts w:ascii="Verdana" w:hAnsi="Verdana" w:cs="Arial"/>
          <w:lang w:val="es-ES"/>
        </w:rPr>
        <w:footnoteReference w:id="7"/>
      </w:r>
      <w:r w:rsidRPr="38FD8617" w:rsidR="00D06D62">
        <w:rPr>
          <w:rFonts w:ascii="Verdana" w:hAnsi="Verdana" w:cs="Arial"/>
          <w:lang w:val="es-ES"/>
        </w:rPr>
        <w:t>.</w:t>
      </w:r>
      <w:r w:rsidRPr="38FD8617" w:rsidR="00D06D62">
        <w:rPr>
          <w:rFonts w:ascii="Verdana" w:hAnsi="Verdana" w:cs="Arial"/>
          <w:lang w:val="es-ES" w:eastAsia="es-CO"/>
        </w:rPr>
        <w:t xml:space="preserve"> </w:t>
      </w:r>
    </w:p>
    <w:p w:rsidRPr="004452C7" w:rsidR="00D06D62" w:rsidP="00D06D62" w:rsidRDefault="00D06D62" w14:paraId="5657561D" w14:textId="77777777">
      <w:pPr>
        <w:spacing w:before="120" w:after="120"/>
        <w:ind w:firstLine="708"/>
        <w:jc w:val="both"/>
        <w:rPr>
          <w:rFonts w:ascii="Verdana" w:hAnsi="Verdana" w:cs="Arial"/>
          <w:bCs/>
          <w:sz w:val="21"/>
          <w:szCs w:val="21"/>
          <w:lang w:val="es-ES_tradnl"/>
        </w:rPr>
      </w:pPr>
      <w:r w:rsidRPr="004452C7">
        <w:rPr>
          <w:rFonts w:ascii="Verdana" w:hAnsi="Verdana" w:cs="Arial"/>
          <w:bCs/>
          <w:lang w:val="es-ES_tradnl"/>
        </w:rPr>
        <w:t>En armonía con lo ya expresado, el proceso de adquisición de inmuebles demanda de las entidades estatales el deber de planeación en la etapa precontractual. Esto con la finalidad de que el proceso de contratación satisfaga las necesidades de la Administración, que esta cumpla sus fines, y logre la continua y eficiente prestación de los servicios públicos</w:t>
      </w:r>
      <w:r w:rsidRPr="004452C7">
        <w:rPr>
          <w:rStyle w:val="Refdenotaalpie"/>
          <w:rFonts w:ascii="Verdana" w:hAnsi="Verdana" w:cs="Arial"/>
          <w:lang w:val="es-ES_tradnl"/>
        </w:rPr>
        <w:footnoteReference w:id="8"/>
      </w:r>
      <w:r w:rsidRPr="004452C7">
        <w:rPr>
          <w:rFonts w:ascii="Verdana" w:hAnsi="Verdana" w:cs="Arial"/>
          <w:bCs/>
          <w:lang w:val="es-ES_tradnl"/>
        </w:rPr>
        <w:t xml:space="preserve">. </w:t>
      </w:r>
    </w:p>
    <w:p w:rsidRPr="004452C7" w:rsidR="00D06D62" w:rsidP="00D06D62" w:rsidRDefault="00D06D62" w14:paraId="6F8F70E5" w14:textId="77777777">
      <w:pPr>
        <w:spacing w:after="0"/>
        <w:ind w:firstLine="709"/>
        <w:jc w:val="both"/>
        <w:rPr>
          <w:rFonts w:ascii="Verdana" w:hAnsi="Verdana" w:cs="Arial"/>
          <w:color w:val="000000"/>
          <w:bdr w:val="none" w:color="auto" w:sz="0" w:space="0" w:frame="1"/>
          <w:lang w:val="es-ES_tradnl"/>
        </w:rPr>
      </w:pPr>
      <w:r w:rsidRPr="004452C7">
        <w:rPr>
          <w:rFonts w:ascii="Verdana" w:hAnsi="Verdana" w:cs="Arial"/>
          <w:bCs/>
          <w:lang w:val="es-ES_tradnl"/>
        </w:rPr>
        <w:t xml:space="preserve">Para cumplir este objetivo son necesarios los estudios señalados en el artículo </w:t>
      </w:r>
      <w:r w:rsidRPr="004452C7">
        <w:rPr>
          <w:rFonts w:ascii="Verdana" w:hAnsi="Verdana" w:eastAsia="Arial" w:cs="Arial"/>
          <w:lang w:val="es-ES_tradnl"/>
        </w:rPr>
        <w:t xml:space="preserve">2.2.1.2.1.4.10 del Decreto 1082 de 2015 </w:t>
      </w:r>
      <w:r w:rsidRPr="004452C7">
        <w:rPr>
          <w:rFonts w:ascii="Verdana" w:hAnsi="Verdana" w:cs="Arial"/>
          <w:bCs/>
          <w:lang w:val="es-ES_tradnl"/>
        </w:rPr>
        <w:t>y el análisis del sector económico y de los oferentes, actividad de planeación previa que sirve para identificar aspectos concretos del mercado y</w:t>
      </w:r>
      <w:r w:rsidRPr="004452C7">
        <w:rPr>
          <w:rFonts w:ascii="Verdana" w:hAnsi="Verdana" w:cs="Arial"/>
          <w:color w:val="000000"/>
          <w:bdr w:val="none" w:color="auto" w:sz="0" w:space="0" w:frame="1"/>
          <w:lang w:val="es-ES_tradnl"/>
        </w:rPr>
        <w:t xml:space="preserve"> seleccionar la mejor opción para cumplir con la necesidad de la entidad pública.</w:t>
      </w:r>
    </w:p>
    <w:p w:rsidRPr="004452C7" w:rsidR="00D06D62" w:rsidP="00D06D62" w:rsidRDefault="00D06D62" w14:paraId="6CEB03A4" w14:textId="77777777">
      <w:pPr>
        <w:spacing w:after="0" w:line="276" w:lineRule="auto"/>
        <w:ind w:firstLine="708"/>
        <w:jc w:val="both"/>
        <w:rPr>
          <w:rFonts w:ascii="Verdana" w:hAnsi="Verdana"/>
          <w:lang w:val="es-ES_tradnl"/>
        </w:rPr>
      </w:pPr>
    </w:p>
    <w:bookmarkEnd w:id="0"/>
    <w:p w:rsidRPr="00BE151B" w:rsidR="00D06D62" w:rsidP="00D06D62" w:rsidRDefault="00D06D62" w14:paraId="0EF78D90" w14:textId="77777777">
      <w:pPr>
        <w:tabs>
          <w:tab w:val="left" w:pos="142"/>
          <w:tab w:val="left" w:pos="284"/>
        </w:tabs>
        <w:spacing w:after="0" w:line="276" w:lineRule="auto"/>
        <w:jc w:val="both"/>
        <w:rPr>
          <w:rFonts w:ascii="Verdana" w:hAnsi="Verdana" w:eastAsia="Century Gothic" w:cs="Century Gothic"/>
          <w:b/>
          <w:bCs/>
        </w:rPr>
      </w:pPr>
      <w:r w:rsidRPr="00BE151B">
        <w:rPr>
          <w:rFonts w:ascii="Verdana" w:hAnsi="Verdana" w:eastAsia="Century Gothic" w:cs="Century Gothic"/>
          <w:b/>
          <w:bCs/>
        </w:rPr>
        <w:t>4. Referencias normativas, jurisprudenciales y otras fuentes:</w:t>
      </w:r>
    </w:p>
    <w:p w:rsidRPr="00BE151B" w:rsidR="00D06D62" w:rsidP="00D06D62" w:rsidRDefault="00D06D62" w14:paraId="49FE7ED7" w14:textId="77777777">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color="auto" w:sz="4" w:space="0"/>
          <w:left w:val="dotted" w:color="auto" w:sz="4" w:space="0"/>
          <w:bottom w:val="dotted" w:color="auto" w:sz="4" w:space="0"/>
          <w:right w:val="dotted" w:color="auto" w:sz="4" w:space="0"/>
          <w:insideH w:val="dotted" w:color="auto" w:sz="4" w:space="0"/>
          <w:insideV w:val="dotted" w:color="auto" w:sz="4" w:space="0"/>
        </w:tblBorders>
        <w:tblLayout w:type="fixed"/>
        <w:tblLook w:val="04A0" w:firstRow="1" w:lastRow="0" w:firstColumn="1" w:lastColumn="0" w:noHBand="0" w:noVBand="1"/>
      </w:tblPr>
      <w:tblGrid>
        <w:gridCol w:w="8647"/>
      </w:tblGrid>
      <w:tr w:rsidRPr="00BE151B" w:rsidR="00D06D62" w:rsidTr="00F679B8" w14:paraId="3D76BC72" w14:textId="77777777">
        <w:trPr>
          <w:trHeight w:val="870"/>
        </w:trPr>
        <w:tc>
          <w:tcPr>
            <w:tcW w:w="8647" w:type="dxa"/>
          </w:tcPr>
          <w:p w:rsidRPr="004452C7" w:rsidR="00D06D62" w:rsidP="00D06D62" w:rsidRDefault="00D06D62" w14:paraId="4354DA6B" w14:textId="77777777">
            <w:pPr>
              <w:pStyle w:val="Prrafodelista"/>
              <w:numPr>
                <w:ilvl w:val="0"/>
                <w:numId w:val="17"/>
              </w:numPr>
              <w:spacing w:before="120" w:after="20" w:line="276" w:lineRule="auto"/>
              <w:jc w:val="both"/>
              <w:rPr>
                <w:rFonts w:ascii="Verdana" w:hAnsi="Verdana" w:cs="Arial"/>
                <w:color w:val="000000" w:themeColor="text1"/>
                <w:sz w:val="20"/>
                <w:szCs w:val="20"/>
              </w:rPr>
            </w:pPr>
            <w:r>
              <w:rPr>
                <w:rFonts w:ascii="Verdana" w:hAnsi="Verdana" w:eastAsia="Arial" w:cs="Arial"/>
                <w:lang w:val="es-ES_tradnl"/>
              </w:rPr>
              <w:t xml:space="preserve">Artículos </w:t>
            </w:r>
            <w:r w:rsidRPr="004452C7">
              <w:rPr>
                <w:rFonts w:ascii="Verdana" w:hAnsi="Verdana" w:eastAsia="Arial" w:cs="Arial"/>
                <w:lang w:val="es-ES_tradnl"/>
              </w:rPr>
              <w:t>2.2.1.2.1.4.1</w:t>
            </w:r>
            <w:r>
              <w:rPr>
                <w:rFonts w:ascii="Verdana" w:hAnsi="Verdana" w:cs="Arial"/>
                <w:color w:val="000000"/>
                <w:bdr w:val="none" w:color="auto" w:sz="0" w:space="0" w:frame="1"/>
                <w:lang w:val="es-ES_tradnl"/>
              </w:rPr>
              <w:t xml:space="preserve"> y </w:t>
            </w:r>
            <w:r w:rsidRPr="004452C7">
              <w:rPr>
                <w:rFonts w:ascii="Verdana" w:hAnsi="Verdana" w:cs="Arial"/>
                <w:color w:val="000000"/>
                <w:bdr w:val="none" w:color="auto" w:sz="0" w:space="0" w:frame="1"/>
                <w:lang w:val="es-ES_tradnl"/>
              </w:rPr>
              <w:t>2.2.1.2.1.4.1</w:t>
            </w:r>
            <w:r>
              <w:rPr>
                <w:rFonts w:ascii="Verdana" w:hAnsi="Verdana" w:cs="Arial"/>
                <w:color w:val="000000"/>
                <w:bdr w:val="none" w:color="auto" w:sz="0" w:space="0" w:frame="1"/>
                <w:lang w:val="es-ES_tradnl"/>
              </w:rPr>
              <w:t xml:space="preserve">0 </w:t>
            </w:r>
            <w:r w:rsidRPr="004452C7">
              <w:rPr>
                <w:rFonts w:ascii="Verdana" w:hAnsi="Verdana" w:eastAsia="Arial" w:cs="Arial"/>
                <w:lang w:val="es-ES_tradnl"/>
              </w:rPr>
              <w:t xml:space="preserve">del Decreto 1082 de 2015 </w:t>
            </w:r>
          </w:p>
          <w:p w:rsidRPr="00102BE4" w:rsidR="00D06D62" w:rsidP="00D06D62" w:rsidRDefault="00D06D62" w14:paraId="294C0C52" w14:textId="77777777">
            <w:pPr>
              <w:pStyle w:val="Prrafodelista"/>
              <w:numPr>
                <w:ilvl w:val="0"/>
                <w:numId w:val="17"/>
              </w:numPr>
              <w:spacing w:before="120" w:after="20" w:line="276" w:lineRule="auto"/>
              <w:jc w:val="both"/>
              <w:rPr>
                <w:rFonts w:ascii="Verdana" w:hAnsi="Verdana" w:cs="Arial"/>
                <w:color w:val="000000" w:themeColor="text1"/>
                <w:sz w:val="20"/>
                <w:szCs w:val="20"/>
              </w:rPr>
            </w:pPr>
            <w:r w:rsidRPr="002C394D">
              <w:rPr>
                <w:rFonts w:ascii="Verdana" w:hAnsi="Verdana" w:cs="Arial"/>
              </w:rPr>
              <w:t>Ley 80 de 1993</w:t>
            </w:r>
          </w:p>
          <w:p w:rsidRPr="00F722FF" w:rsidR="00102BE4" w:rsidP="00D06D62" w:rsidRDefault="00102BE4" w14:paraId="14C86C19" w14:textId="67E7C69C">
            <w:pPr>
              <w:pStyle w:val="Prrafodelista"/>
              <w:numPr>
                <w:ilvl w:val="0"/>
                <w:numId w:val="17"/>
              </w:numPr>
              <w:spacing w:before="120" w:after="20" w:line="276" w:lineRule="auto"/>
              <w:jc w:val="both"/>
              <w:rPr>
                <w:rFonts w:ascii="Verdana" w:hAnsi="Verdana" w:cs="Arial"/>
                <w:color w:val="000000" w:themeColor="text1"/>
                <w:sz w:val="20"/>
                <w:szCs w:val="20"/>
              </w:rPr>
            </w:pPr>
            <w:r>
              <w:rPr>
                <w:rFonts w:ascii="Verdana" w:hAnsi="Verdana" w:cs="Arial"/>
                <w:color w:val="000000" w:themeColor="text1"/>
              </w:rPr>
              <w:t>Decreto 1673 de 2013</w:t>
            </w:r>
          </w:p>
          <w:p w:rsidR="00D06D62" w:rsidP="00D06D62" w:rsidRDefault="00D06D62" w14:paraId="65816A46" w14:textId="7777777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4452C7">
              <w:rPr>
                <w:rFonts w:ascii="Verdana" w:hAnsi="Verdana"/>
              </w:rPr>
              <w:t>Corte Constitucional, en Sentencia C-300 de 2012 M.P. Jorge Ignacio Pretel Chaljub</w:t>
            </w:r>
            <w:r w:rsidRPr="004452C7">
              <w:rPr>
                <w:rFonts w:ascii="Verdana" w:hAnsi="Verdana" w:cs="Arial"/>
              </w:rPr>
              <w:t xml:space="preserve"> </w:t>
            </w:r>
          </w:p>
          <w:p w:rsidRPr="004452C7" w:rsidR="00D06D62" w:rsidP="00D06D62" w:rsidRDefault="00D06D62" w14:paraId="30D6DA05" w14:textId="77777777">
            <w:pPr>
              <w:pStyle w:val="Prrafodelista"/>
              <w:widowControl w:val="0"/>
              <w:numPr>
                <w:ilvl w:val="0"/>
                <w:numId w:val="17"/>
              </w:numPr>
              <w:tabs>
                <w:tab w:val="left" w:pos="8419"/>
              </w:tabs>
              <w:autoSpaceDE w:val="0"/>
              <w:autoSpaceDN w:val="0"/>
              <w:spacing w:line="276" w:lineRule="auto"/>
              <w:jc w:val="both"/>
              <w:rPr>
                <w:rFonts w:ascii="Verdana" w:hAnsi="Verdana" w:cs="Arial"/>
              </w:rPr>
            </w:pPr>
            <w:r w:rsidRPr="004452C7">
              <w:rPr>
                <w:rFonts w:ascii="Verdana" w:hAnsi="Verdana" w:cs="Arial"/>
              </w:rPr>
              <w:t>Consejo de Estado, Sala de lo Contencioso Administrativo, Sección Tercera – Subsección “B”. Sentencia del 16 de marzo de 2017, Radicación: 25000232400020040089401. C.P. Ramiro Pazos Guerrero.</w:t>
            </w:r>
          </w:p>
        </w:tc>
      </w:tr>
    </w:tbl>
    <w:p w:rsidRPr="00BE151B" w:rsidR="00D06D62" w:rsidP="00D06D62" w:rsidRDefault="00D06D62" w14:paraId="0F2837F6"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00D06D62" w:rsidP="00D06D62" w:rsidRDefault="00D06D62" w14:paraId="14F783FA"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r w:rsidRPr="00BE151B">
        <w:rPr>
          <w:rFonts w:ascii="Verdana" w:hAnsi="Verdana" w:eastAsia="Century Gothic" w:cs="Century Gothic"/>
          <w:b/>
          <w:bCs/>
        </w:rPr>
        <w:t>5. Doctrina de la Agencia Nacional de Contratación Pública:</w:t>
      </w:r>
    </w:p>
    <w:p w:rsidRPr="00BE151B" w:rsidR="00D06D62" w:rsidP="00D06D62" w:rsidRDefault="00D06D62" w14:paraId="768EDCB8" w14:textId="77777777">
      <w:pPr>
        <w:pStyle w:val="Prrafodelista"/>
        <w:tabs>
          <w:tab w:val="left" w:pos="142"/>
          <w:tab w:val="left" w:pos="284"/>
        </w:tabs>
        <w:spacing w:after="0" w:line="276" w:lineRule="auto"/>
        <w:ind w:left="0"/>
        <w:contextualSpacing w:val="0"/>
        <w:jc w:val="both"/>
        <w:rPr>
          <w:rFonts w:ascii="Verdana" w:hAnsi="Verdana" w:eastAsia="Century Gothic" w:cs="Century Gothic"/>
          <w:b/>
          <w:bCs/>
        </w:rPr>
      </w:pPr>
    </w:p>
    <w:p w:rsidR="00D06D62" w:rsidP="00D06D62" w:rsidRDefault="00D06D62" w14:paraId="61B662F2" w14:textId="77777777">
      <w:pPr>
        <w:widowControl w:val="0"/>
        <w:autoSpaceDE w:val="0"/>
        <w:autoSpaceDN w:val="0"/>
        <w:spacing w:after="0" w:line="276" w:lineRule="auto"/>
        <w:jc w:val="both"/>
        <w:rPr>
          <w:rStyle w:val="normaltextrun"/>
          <w:rFonts w:ascii="Verdana" w:hAnsi="Verdana" w:cs="Arial"/>
          <w:color w:val="FF0000"/>
          <w:shd w:val="clear" w:color="auto" w:fill="FFFFFF"/>
        </w:rPr>
      </w:pPr>
      <w:r w:rsidRPr="004452C7">
        <w:rPr>
          <w:rFonts w:ascii="Verdana" w:hAnsi="Verdana" w:cs="Arial"/>
          <w:color w:val="000000" w:themeColor="text1"/>
          <w:lang w:val="es-ES_tradnl"/>
        </w:rPr>
        <w:t>La Agencia Nacional de Contratación Pública ― Colombia Compra Eficiente ha abordado el tema de la adquisición de inmuebles, en el aspecto relacionado con la modalidad de contratación, en los conceptos identificados con los radicados No. 4201813000009378 del 19 de noviembre de 2018 y 4201713000003535 del 10 de julio de 2017, así como en los conceptos C-126 del 26 de marzo de 2020 y C-561 del 8 de octubre de 2021</w:t>
      </w:r>
      <w:r w:rsidRPr="004452C7">
        <w:rPr>
          <w:rFonts w:ascii="Verdana" w:hAnsi="Verdana" w:cs="Arial"/>
          <w:shd w:val="clear" w:color="auto" w:fill="FFFFFF"/>
          <w:lang w:val="es-ES"/>
        </w:rPr>
        <w:t>, entre otros</w:t>
      </w:r>
      <w:r w:rsidRPr="00302F8D">
        <w:rPr>
          <w:rFonts w:ascii="Verdana" w:hAnsi="Verdana"/>
        </w:rPr>
        <w:t xml:space="preserve"> </w:t>
      </w:r>
      <w:r w:rsidRPr="00A1554D">
        <w:rPr>
          <w:rStyle w:val="normaltextrun"/>
          <w:rFonts w:ascii="Verdana" w:hAnsi="Verdana" w:cs="Arial"/>
          <w:shd w:val="clear" w:color="auto" w:fill="FFFFFF"/>
        </w:rPr>
        <w:t>Es</w:t>
      </w:r>
      <w:r w:rsidRPr="00A1554D">
        <w:rPr>
          <w:rFonts w:ascii="Verdana" w:hAnsi="Verdana"/>
        </w:rPr>
        <w:t xml:space="preserve">tos y otros conceptos se encuentran disponibles para consulta en el Sistema de </w:t>
      </w:r>
      <w:r>
        <w:rPr>
          <w:rFonts w:ascii="Verdana" w:hAnsi="Verdana"/>
        </w:rPr>
        <w:t>r</w:t>
      </w:r>
      <w:r w:rsidRPr="00A1554D">
        <w:rPr>
          <w:rFonts w:ascii="Verdana" w:hAnsi="Verdana"/>
        </w:rPr>
        <w:t>elatoría de la Agencia, al cual se puede acceder a través del siguiente enlace:</w:t>
      </w:r>
      <w:hyperlink w:history="1" r:id="rId12">
        <w:r w:rsidRPr="00836E04">
          <w:rPr>
            <w:rStyle w:val="Hipervnculo"/>
            <w:rFonts w:ascii="Verdana" w:hAnsi="Verdana" w:cs="Arial"/>
            <w:shd w:val="clear" w:color="auto" w:fill="FFFFFF"/>
            <w:lang w:val="es-ES"/>
          </w:rPr>
          <w:t>https://relatoria.colombiacompra.gov.co/busqueda/conceptos</w:t>
        </w:r>
      </w:hyperlink>
      <w:r>
        <w:rPr>
          <w:rStyle w:val="normaltextrun"/>
          <w:rFonts w:ascii="Verdana" w:hAnsi="Verdana" w:cs="Arial"/>
          <w:color w:val="FF0000"/>
          <w:shd w:val="clear" w:color="auto" w:fill="FFFFFF"/>
        </w:rPr>
        <w:t xml:space="preserve">. </w:t>
      </w:r>
    </w:p>
    <w:p w:rsidR="00D06D62" w:rsidP="00D06D62" w:rsidRDefault="00D06D62" w14:paraId="2CFED188" w14:textId="77777777">
      <w:pPr>
        <w:widowControl w:val="0"/>
        <w:autoSpaceDE w:val="0"/>
        <w:autoSpaceDN w:val="0"/>
        <w:spacing w:after="0" w:line="276" w:lineRule="auto"/>
        <w:jc w:val="both"/>
        <w:rPr>
          <w:rFonts w:ascii="Verdana" w:hAnsi="Verdana" w:eastAsia="Calibri" w:cs="Arial"/>
          <w:lang w:eastAsia="es-ES_tradnl"/>
        </w:rPr>
      </w:pPr>
    </w:p>
    <w:p w:rsidR="00D06D62" w:rsidP="00D06D62" w:rsidRDefault="00D06D62" w14:paraId="46B90C4C" w14:textId="77777777">
      <w:pPr>
        <w:widowControl w:val="0"/>
        <w:autoSpaceDE w:val="0"/>
        <w:autoSpaceDN w:val="0"/>
        <w:spacing w:after="0" w:line="276" w:lineRule="auto"/>
        <w:jc w:val="both"/>
        <w:rPr>
          <w:rFonts w:ascii="Verdana" w:hAnsi="Verdana" w:eastAsia="Calibri" w:cs="Arial"/>
          <w:lang w:eastAsia="es-ES_tradnl"/>
        </w:rPr>
      </w:pPr>
      <w:r w:rsidRPr="00E314A0">
        <w:rPr>
          <w:rFonts w:ascii="Verdana" w:hAnsi="Verdana" w:eastAsia="Calibri" w:cs="Arial"/>
          <w:lang w:eastAsia="es-ES_tradnl"/>
        </w:rPr>
        <w:t xml:space="preserve">Le informamos que ya se encuentran publicados los borradores de las nuevas versiones de los Documentos Tipo de Interventoría y Consultoría de Infraestructura de Transporte. Conoce todos los detalles y realiza tus comentarios hasta el 10 de noviembre de 2024 en los siguientes enlaces: </w:t>
      </w:r>
    </w:p>
    <w:p w:rsidR="00D06D62" w:rsidP="00D06D62" w:rsidRDefault="00D06D62" w14:paraId="44199ACC" w14:textId="77777777">
      <w:pPr>
        <w:widowControl w:val="0"/>
        <w:autoSpaceDE w:val="0"/>
        <w:autoSpaceDN w:val="0"/>
        <w:spacing w:after="0" w:line="276" w:lineRule="auto"/>
        <w:jc w:val="both"/>
        <w:rPr>
          <w:rFonts w:ascii="Verdana" w:hAnsi="Verdana" w:eastAsia="Calibri" w:cs="Arial"/>
          <w:lang w:eastAsia="es-ES_tradnl"/>
        </w:rPr>
      </w:pPr>
    </w:p>
    <w:p w:rsidR="00D06D62" w:rsidP="00D06D62" w:rsidRDefault="00D06D62" w14:paraId="25546020" w14:textId="77777777">
      <w:pPr>
        <w:pStyle w:val="Prrafodelista"/>
        <w:widowControl w:val="0"/>
        <w:numPr>
          <w:ilvl w:val="0"/>
          <w:numId w:val="16"/>
        </w:numPr>
        <w:autoSpaceDE w:val="0"/>
        <w:autoSpaceDN w:val="0"/>
        <w:spacing w:after="0" w:line="276" w:lineRule="auto"/>
        <w:jc w:val="both"/>
        <w:rPr>
          <w:rFonts w:ascii="Verdana" w:hAnsi="Verdana" w:eastAsia="Calibri" w:cs="Arial"/>
          <w:lang w:eastAsia="es-ES_tradnl"/>
        </w:rPr>
      </w:pPr>
      <w:hyperlink w:history="1" r:id="rId13">
        <w:r w:rsidRPr="00412C52">
          <w:rPr>
            <w:rStyle w:val="Hipervnculo"/>
            <w:rFonts w:ascii="Verdana" w:hAnsi="Verdana" w:eastAsia="Calibri" w:cs="Arial"/>
            <w:lang w:eastAsia="es-ES_tradnl"/>
          </w:rPr>
          <w:t>https://www.colombiacompra.gov.co/content/borrador-de-documentos-tipo-de-consultoria-de-obra-publica-de-infraestructura-de-transporte</w:t>
        </w:r>
      </w:hyperlink>
    </w:p>
    <w:p w:rsidRPr="00E8232E" w:rsidR="00D06D62" w:rsidP="00D06D62" w:rsidRDefault="00D06D62" w14:paraId="30F86133" w14:textId="77777777">
      <w:pPr>
        <w:pStyle w:val="Prrafodelista"/>
        <w:widowControl w:val="0"/>
        <w:numPr>
          <w:ilvl w:val="0"/>
          <w:numId w:val="16"/>
        </w:numPr>
        <w:autoSpaceDE w:val="0"/>
        <w:autoSpaceDN w:val="0"/>
        <w:spacing w:after="0" w:line="276" w:lineRule="auto"/>
        <w:jc w:val="both"/>
        <w:rPr>
          <w:rFonts w:ascii="Verdana" w:hAnsi="Verdana" w:eastAsia="Calibri" w:cs="Arial"/>
          <w:lang w:eastAsia="es-ES_tradnl"/>
        </w:rPr>
      </w:pPr>
      <w:hyperlink w:history="1" r:id="rId14">
        <w:r w:rsidRPr="00412C52">
          <w:rPr>
            <w:rStyle w:val="Hipervnculo"/>
            <w:rFonts w:ascii="Verdana" w:hAnsi="Verdana" w:eastAsia="Calibri" w:cs="Arial"/>
            <w:lang w:eastAsia="es-ES_tradnl"/>
          </w:rPr>
          <w:t>https://www.colombiacompra.gov.co/content/borrador-de-documentos-tipo-de-interventoria-de-obra-publica-de-infraestructura-de</w:t>
        </w:r>
      </w:hyperlink>
    </w:p>
    <w:p w:rsidR="00D06D62" w:rsidP="00D06D62" w:rsidRDefault="00D06D62" w14:paraId="43B5B67F" w14:textId="77777777">
      <w:pPr>
        <w:widowControl w:val="0"/>
        <w:autoSpaceDE w:val="0"/>
        <w:autoSpaceDN w:val="0"/>
        <w:spacing w:after="0" w:line="276" w:lineRule="auto"/>
        <w:jc w:val="both"/>
        <w:rPr>
          <w:rFonts w:ascii="Verdana" w:hAnsi="Verdana" w:eastAsia="Calibri" w:cs="Arial"/>
          <w:lang w:eastAsia="es-ES_tradnl"/>
        </w:rPr>
      </w:pPr>
    </w:p>
    <w:p w:rsidR="00D06D62" w:rsidP="00D06D62" w:rsidRDefault="00D06D62" w14:paraId="2D26FF3A" w14:textId="77777777">
      <w:pPr>
        <w:widowControl w:val="0"/>
        <w:autoSpaceDE w:val="0"/>
        <w:autoSpaceDN w:val="0"/>
        <w:spacing w:after="0" w:line="276" w:lineRule="auto"/>
        <w:jc w:val="both"/>
        <w:rPr>
          <w:rFonts w:ascii="Verdana" w:hAnsi="Verdana" w:eastAsia="Calibri" w:cs="Arial"/>
          <w:lang w:eastAsia="es-ES_tradnl"/>
        </w:rPr>
      </w:pPr>
      <w:r w:rsidRPr="00E314A0">
        <w:rPr>
          <w:rFonts w:ascii="Verdana" w:hAnsi="Verdana" w:eastAsia="Calibri" w:cs="Arial"/>
          <w:lang w:eastAsia="es-ES_tradnl"/>
        </w:rPr>
        <w:t>De otra parte, te contamos que ya publicamos el borrador de la nueva Guía de Contratación Pública Sostenible y Socialmente Responsable. Conoce el documento y realiza tus comentarios hasta el 14 de noviembre de 2024 a través del siguiente enlace:</w:t>
      </w:r>
    </w:p>
    <w:p w:rsidR="00D06D62" w:rsidP="00D06D62" w:rsidRDefault="00D06D62" w14:paraId="4C1A2CC9" w14:textId="77777777">
      <w:pPr>
        <w:widowControl w:val="0"/>
        <w:autoSpaceDE w:val="0"/>
        <w:autoSpaceDN w:val="0"/>
        <w:spacing w:after="0" w:line="276" w:lineRule="auto"/>
        <w:jc w:val="both"/>
        <w:rPr>
          <w:rFonts w:ascii="Verdana" w:hAnsi="Verdana" w:eastAsia="Calibri" w:cs="Arial"/>
          <w:lang w:eastAsia="es-ES_tradnl"/>
        </w:rPr>
      </w:pPr>
      <w:r w:rsidRPr="00E314A0">
        <w:rPr>
          <w:rFonts w:ascii="Verdana" w:hAnsi="Verdana" w:eastAsia="Calibri" w:cs="Arial"/>
          <w:lang w:eastAsia="es-ES_tradnl"/>
        </w:rPr>
        <w:t xml:space="preserve"> </w:t>
      </w:r>
      <w:hyperlink w:history="1" r:id="rId15">
        <w:r w:rsidRPr="00E314A0">
          <w:rPr>
            <w:rStyle w:val="Hipervnculo"/>
            <w:rFonts w:ascii="Verdana" w:hAnsi="Verdana" w:eastAsia="Calibri" w:cs="Arial"/>
            <w:lang w:eastAsia="es-ES_tradnl"/>
          </w:rPr>
          <w:t>https://www.sucop.gov.co/entidades/colombiacompra/Normativa?IDNorma=18320</w:t>
        </w:r>
      </w:hyperlink>
      <w:r w:rsidRPr="00E314A0">
        <w:rPr>
          <w:rFonts w:ascii="Verdana" w:hAnsi="Verdana" w:eastAsia="Calibri" w:cs="Arial"/>
          <w:lang w:eastAsia="es-ES_tradnl"/>
        </w:rPr>
        <w:t xml:space="preserve">  </w:t>
      </w:r>
    </w:p>
    <w:p w:rsidRPr="00E314A0" w:rsidR="00D06D62" w:rsidP="00D06D62" w:rsidRDefault="00D06D62" w14:paraId="2334F742" w14:textId="77777777">
      <w:pPr>
        <w:widowControl w:val="0"/>
        <w:autoSpaceDE w:val="0"/>
        <w:autoSpaceDN w:val="0"/>
        <w:spacing w:after="0" w:line="276" w:lineRule="auto"/>
        <w:jc w:val="both"/>
        <w:rPr>
          <w:rFonts w:ascii="Verdana" w:hAnsi="Verdana" w:eastAsia="Calibri" w:cs="Arial"/>
          <w:lang w:eastAsia="es-ES_tradnl"/>
        </w:rPr>
      </w:pPr>
    </w:p>
    <w:p w:rsidR="00D06D62" w:rsidP="00D06D62" w:rsidRDefault="00D06D62" w14:paraId="41FE6975" w14:textId="77777777">
      <w:pPr>
        <w:widowControl w:val="0"/>
        <w:autoSpaceDE w:val="0"/>
        <w:autoSpaceDN w:val="0"/>
        <w:spacing w:after="0" w:line="276" w:lineRule="auto"/>
        <w:jc w:val="both"/>
        <w:rPr>
          <w:rFonts w:ascii="Verdana" w:hAnsi="Verdana" w:eastAsia="Calibri" w:cs="Arial"/>
          <w:lang w:eastAsia="es-ES_tradnl"/>
        </w:rPr>
      </w:pPr>
      <w:r w:rsidRPr="00E314A0">
        <w:rPr>
          <w:rFonts w:ascii="Verdana" w:hAnsi="Verdana" w:eastAsia="Calibri" w:cs="Arial"/>
          <w:lang w:eastAsia="es-ES_tradnl"/>
        </w:rPr>
        <w:t xml:space="preserve">También le invitamos a consultar las versiones V y VI de 2024 del Boletín de Relatoría de la Subdirección de Gestión Contractual relacionados con las guías </w:t>
      </w:r>
      <w:r w:rsidRPr="00E314A0">
        <w:rPr>
          <w:rFonts w:ascii="Verdana" w:hAnsi="Verdana" w:eastAsia="Calibri" w:cs="Arial"/>
          <w:lang w:eastAsia="es-ES_tradnl"/>
        </w:rPr>
        <w:t>de Plan Anual de Adquisiciones y la modalidad de selección de mínima cuantía, los cuales se pueden descargar en la página web de la Agencia:</w:t>
      </w:r>
    </w:p>
    <w:p w:rsidR="00D06D62" w:rsidP="00D06D62" w:rsidRDefault="00D06D62" w14:paraId="5820761C" w14:textId="77777777">
      <w:pPr>
        <w:widowControl w:val="0"/>
        <w:autoSpaceDE w:val="0"/>
        <w:autoSpaceDN w:val="0"/>
        <w:spacing w:after="0" w:line="276" w:lineRule="auto"/>
        <w:jc w:val="both"/>
        <w:rPr>
          <w:rFonts w:ascii="Verdana" w:hAnsi="Verdana" w:eastAsia="Calibri" w:cs="Arial"/>
          <w:lang w:eastAsia="es-ES_tradnl"/>
        </w:rPr>
      </w:pPr>
    </w:p>
    <w:p w:rsidR="00D06D62" w:rsidP="00D06D62" w:rsidRDefault="00D06D62" w14:paraId="705FEA62" w14:textId="77777777">
      <w:pPr>
        <w:widowControl w:val="0"/>
        <w:autoSpaceDE w:val="0"/>
        <w:autoSpaceDN w:val="0"/>
        <w:spacing w:after="0" w:line="276" w:lineRule="auto"/>
        <w:jc w:val="both"/>
        <w:rPr>
          <w:rFonts w:ascii="Verdana" w:hAnsi="Verdana" w:eastAsia="Calibri" w:cs="Arial"/>
          <w:lang w:eastAsia="es-ES_tradnl"/>
        </w:rPr>
      </w:pPr>
      <w:hyperlink w:tgtFrame="_blank" w:tooltip="Dirección URL original: https://www.colombiacompra.gov.co/sala-de-prensa/boletin-digital. Haga clic o pulse si confía en este vínculo." w:history="1" r:id="rId16">
        <w:r w:rsidRPr="00E314A0">
          <w:rPr>
            <w:rStyle w:val="Hipervnculo"/>
            <w:rFonts w:ascii="Verdana" w:hAnsi="Verdana" w:eastAsia="Calibri" w:cs="Arial"/>
            <w:lang w:eastAsia="es-ES_tradnl"/>
          </w:rPr>
          <w:t>https://www.colombiacompra.gov.co/sala-de-prensa/boletin-digital</w:t>
        </w:r>
      </w:hyperlink>
    </w:p>
    <w:p w:rsidRPr="00BE151B" w:rsidR="00D06D62" w:rsidP="00D06D62" w:rsidRDefault="00D06D62" w14:paraId="2AAFA61E" w14:textId="77777777">
      <w:pPr>
        <w:spacing w:after="0" w:line="240" w:lineRule="auto"/>
        <w:jc w:val="both"/>
        <w:rPr>
          <w:rFonts w:ascii="Verdana" w:hAnsi="Verdana"/>
        </w:rPr>
      </w:pPr>
    </w:p>
    <w:p w:rsidRPr="00BE151B" w:rsidR="00D06D62" w:rsidP="00D06D62" w:rsidRDefault="00D06D62" w14:paraId="2F8491C2" w14:textId="77777777">
      <w:pPr>
        <w:spacing w:after="0" w:line="240" w:lineRule="auto"/>
        <w:jc w:val="both"/>
        <w:rPr>
          <w:rFonts w:ascii="Verdana" w:hAnsi="Verdana"/>
        </w:rPr>
      </w:pPr>
      <w:r w:rsidRPr="00BE151B">
        <w:rPr>
          <w:rFonts w:ascii="Verdana" w:hAnsi="Verdana"/>
        </w:rPr>
        <w:t xml:space="preserve">Por último, lo invitamos a seguirnos en las redes sociales en las cuales se difunde información institucional: </w:t>
      </w:r>
    </w:p>
    <w:p w:rsidRPr="00BE151B" w:rsidR="00D06D62" w:rsidP="00D06D62" w:rsidRDefault="00D06D62" w14:paraId="0BD8968C" w14:textId="77777777">
      <w:pPr>
        <w:spacing w:after="0" w:line="240" w:lineRule="auto"/>
        <w:jc w:val="both"/>
        <w:rPr>
          <w:rFonts w:ascii="Verdana" w:hAnsi="Verdana"/>
        </w:rPr>
      </w:pPr>
    </w:p>
    <w:p w:rsidRPr="00BE151B" w:rsidR="00D06D62" w:rsidP="00D06D62" w:rsidRDefault="00D06D62" w14:paraId="0F142EE3" w14:textId="77777777">
      <w:pPr>
        <w:spacing w:after="0" w:line="240" w:lineRule="auto"/>
        <w:jc w:val="both"/>
        <w:rPr>
          <w:rFonts w:ascii="Verdana" w:hAnsi="Verdana"/>
        </w:rPr>
      </w:pPr>
      <w:r w:rsidRPr="00BE151B">
        <w:rPr>
          <w:rFonts w:ascii="Verdana" w:hAnsi="Verdana"/>
        </w:rPr>
        <w:t xml:space="preserve">Twitter: </w:t>
      </w:r>
      <w:r w:rsidRPr="00BE151B">
        <w:rPr>
          <w:rStyle w:val="Hipervnculo"/>
          <w:rFonts w:ascii="Verdana" w:hAnsi="Verdana"/>
          <w:color w:val="4472C4" w:themeColor="accent1"/>
        </w:rPr>
        <w:t>@colombiacompra</w:t>
      </w:r>
      <w:r w:rsidRPr="00BE151B">
        <w:rPr>
          <w:rFonts w:ascii="Verdana" w:hAnsi="Verdana"/>
          <w:color w:val="4472C4" w:themeColor="accent1"/>
        </w:rPr>
        <w:t xml:space="preserve"> </w:t>
      </w:r>
    </w:p>
    <w:p w:rsidRPr="00BE151B" w:rsidR="00D06D62" w:rsidP="00D06D62" w:rsidRDefault="00D06D62" w14:paraId="14576C85" w14:textId="77777777">
      <w:pPr>
        <w:spacing w:after="0" w:line="240" w:lineRule="auto"/>
        <w:jc w:val="both"/>
        <w:rPr>
          <w:rFonts w:ascii="Verdana" w:hAnsi="Verdana"/>
        </w:rPr>
      </w:pPr>
      <w:r w:rsidRPr="00BE151B">
        <w:rPr>
          <w:rFonts w:ascii="Verdana" w:hAnsi="Verdana"/>
        </w:rPr>
        <w:t xml:space="preserve">Facebook: </w:t>
      </w:r>
      <w:proofErr w:type="spellStart"/>
      <w:r w:rsidRPr="00BE151B">
        <w:rPr>
          <w:rStyle w:val="Hipervnculo"/>
          <w:rFonts w:ascii="Verdana" w:hAnsi="Verdana"/>
          <w:color w:val="4472C4" w:themeColor="accent1"/>
        </w:rPr>
        <w:t>ColombiaCompraEficiente</w:t>
      </w:r>
      <w:proofErr w:type="spellEnd"/>
    </w:p>
    <w:p w:rsidRPr="00BE151B" w:rsidR="00D06D62" w:rsidP="00D06D62" w:rsidRDefault="00D06D62" w14:paraId="78EAEAAD" w14:textId="77777777">
      <w:pPr>
        <w:spacing w:after="0" w:line="240" w:lineRule="auto"/>
        <w:jc w:val="both"/>
        <w:rPr>
          <w:rFonts w:ascii="Verdana" w:hAnsi="Verdana"/>
        </w:rPr>
      </w:pPr>
      <w:r w:rsidRPr="00BE151B">
        <w:rPr>
          <w:rFonts w:ascii="Verdana" w:hAnsi="Verdana"/>
        </w:rPr>
        <w:t xml:space="preserve">LinkedIn: </w:t>
      </w:r>
      <w:r w:rsidRPr="00BE151B">
        <w:rPr>
          <w:rStyle w:val="Hipervnculo"/>
          <w:rFonts w:ascii="Verdana" w:hAnsi="Verdana"/>
          <w:color w:val="4472C4" w:themeColor="accent1"/>
        </w:rPr>
        <w:t>Agencia Nacional de Contratación Pública - Colombia Compra Eficiente</w:t>
      </w:r>
      <w:r w:rsidRPr="00BE151B">
        <w:rPr>
          <w:rFonts w:ascii="Verdana" w:hAnsi="Verdana"/>
          <w:color w:val="4472C4" w:themeColor="accent1"/>
        </w:rPr>
        <w:t xml:space="preserve"> </w:t>
      </w:r>
      <w:r w:rsidRPr="00BE151B">
        <w:rPr>
          <w:rFonts w:ascii="Verdana" w:hAnsi="Verdana"/>
        </w:rPr>
        <w:t xml:space="preserve">Instagram: </w:t>
      </w:r>
      <w:r w:rsidRPr="00BE151B">
        <w:rPr>
          <w:rStyle w:val="Hipervnculo"/>
          <w:rFonts w:ascii="Verdana" w:hAnsi="Verdana"/>
          <w:color w:val="4472C4" w:themeColor="accent1"/>
        </w:rPr>
        <w:t>@colombiacompraeficiente_cce</w:t>
      </w:r>
    </w:p>
    <w:p w:rsidRPr="00BE151B" w:rsidR="00D06D62" w:rsidP="00D06D62" w:rsidRDefault="00D06D62" w14:paraId="6739F02C" w14:textId="77777777">
      <w:pPr>
        <w:widowControl w:val="0"/>
        <w:autoSpaceDE w:val="0"/>
        <w:autoSpaceDN w:val="0"/>
        <w:spacing w:after="0" w:line="276" w:lineRule="auto"/>
        <w:jc w:val="both"/>
        <w:rPr>
          <w:rFonts w:ascii="Verdana" w:hAnsi="Verdana"/>
        </w:rPr>
      </w:pPr>
    </w:p>
    <w:p w:rsidRPr="00BE151B" w:rsidR="00D06D62" w:rsidP="00D06D62" w:rsidRDefault="00D06D62" w14:paraId="34BFB59B" w14:textId="77777777">
      <w:pPr>
        <w:widowControl w:val="0"/>
        <w:autoSpaceDE w:val="0"/>
        <w:autoSpaceDN w:val="0"/>
        <w:spacing w:after="0" w:line="276" w:lineRule="auto"/>
        <w:jc w:val="both"/>
        <w:rPr>
          <w:rFonts w:ascii="Verdana" w:hAnsi="Verdana" w:cs="Arial"/>
        </w:rPr>
      </w:pPr>
      <w:r w:rsidRPr="00BE151B">
        <w:rPr>
          <w:rFonts w:ascii="Verdana" w:hAnsi="Verdana" w:cs="Arial"/>
        </w:rPr>
        <w:t>Este concepto tiene el alcance previsto en el artículo 28 del Código de Procedimiento Administrativo y de lo Contencioso Administrativo y las expresiones aquí utilizadas con mayúscula inicial deben ser entendidas con el significado que les otorga el artículo 2.2.1.1.1.3.1. del Decreto 1082 de 2015.</w:t>
      </w:r>
    </w:p>
    <w:p w:rsidRPr="00BE151B" w:rsidR="00D06D62" w:rsidP="00D06D62" w:rsidRDefault="00D06D62" w14:paraId="39A6CB2F" w14:textId="77777777">
      <w:pPr>
        <w:spacing w:after="0" w:line="276" w:lineRule="auto"/>
        <w:ind w:firstLine="709"/>
        <w:jc w:val="both"/>
        <w:rPr>
          <w:rFonts w:ascii="Verdana" w:hAnsi="Verdana" w:eastAsia="Times New Roman" w:cs="Arial"/>
          <w:szCs w:val="24"/>
          <w:lang w:eastAsia="es-ES_tradnl"/>
        </w:rPr>
      </w:pPr>
    </w:p>
    <w:p w:rsidRPr="00BE151B" w:rsidR="00D06D62" w:rsidP="00D06D62" w:rsidRDefault="00D06D62" w14:paraId="4ECD95AD" w14:textId="77777777">
      <w:pPr>
        <w:spacing w:after="0" w:line="276" w:lineRule="auto"/>
        <w:jc w:val="both"/>
        <w:rPr>
          <w:rFonts w:ascii="Verdana" w:hAnsi="Verdana" w:eastAsia="Times New Roman" w:cs="Arial"/>
          <w:lang w:eastAsia="es-CO"/>
        </w:rPr>
      </w:pPr>
      <w:bookmarkStart w:name="_Hlk117695077" w:id="1"/>
      <w:r w:rsidRPr="00BE151B">
        <w:rPr>
          <w:rFonts w:ascii="Verdana" w:hAnsi="Verdana" w:eastAsia="Times New Roman" w:cs="Arial"/>
          <w:lang w:eastAsia="es-CO"/>
        </w:rPr>
        <w:t>Atentamente,</w:t>
      </w:r>
    </w:p>
    <w:bookmarkEnd w:id="1"/>
    <w:p w:rsidR="00D06D62" w:rsidP="00D06D62" w:rsidRDefault="00D06D62" w14:paraId="3FF3F240" w14:textId="77777777">
      <w:pPr>
        <w:spacing w:after="18" w:line="240" w:lineRule="auto"/>
        <w:jc w:val="center"/>
        <w:rPr>
          <w:rFonts w:ascii="Verdana" w:hAnsi="Verdana" w:eastAsia="Times New Roman" w:cs="Arial"/>
          <w:sz w:val="24"/>
          <w:szCs w:val="24"/>
          <w:lang w:eastAsia="es-CO"/>
        </w:rPr>
      </w:pPr>
    </w:p>
    <w:p w:rsidR="00D06D62" w:rsidP="00D06D62" w:rsidRDefault="00C46A2A" w14:paraId="0CA16A61" w14:textId="44FE8D57">
      <w:pPr>
        <w:spacing w:after="18" w:line="240" w:lineRule="auto"/>
        <w:jc w:val="center"/>
        <w:rPr>
          <w:rFonts w:ascii="Verdana" w:hAnsi="Verdana" w:eastAsia="Times New Roman" w:cs="Arial"/>
          <w:sz w:val="24"/>
          <w:szCs w:val="24"/>
          <w:lang w:eastAsia="es-CO"/>
        </w:rPr>
      </w:pPr>
      <w:r w:rsidRPr="002C3AD6">
        <w:rPr>
          <w:rFonts w:ascii="Century Gothic" w:hAnsi="Century Gothic"/>
          <w:noProof/>
        </w:rPr>
        <w:drawing>
          <wp:inline distT="0" distB="0" distL="0" distR="0" wp14:anchorId="144C9DC9" wp14:editId="5A4DE4A3">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7"/>
                    <a:stretch>
                      <a:fillRect/>
                    </a:stretch>
                  </pic:blipFill>
                  <pic:spPr>
                    <a:xfrm>
                      <a:off x="0" y="0"/>
                      <a:ext cx="3772426" cy="1400370"/>
                    </a:xfrm>
                    <a:prstGeom prst="rect">
                      <a:avLst/>
                    </a:prstGeom>
                  </pic:spPr>
                </pic:pic>
              </a:graphicData>
            </a:graphic>
          </wp:inline>
        </w:drawing>
      </w:r>
    </w:p>
    <w:p w:rsidRPr="00BE151B" w:rsidR="00D06D62" w:rsidP="00D06D62" w:rsidRDefault="00D06D62" w14:paraId="277AB8A6" w14:textId="77777777">
      <w:pPr>
        <w:spacing w:after="18" w:line="240" w:lineRule="auto"/>
        <w:jc w:val="center"/>
        <w:rPr>
          <w:rFonts w:ascii="Verdana" w:hAnsi="Verdana" w:eastAsia="Times New Roman" w:cs="Arial"/>
          <w:sz w:val="24"/>
          <w:szCs w:val="24"/>
          <w:lang w:eastAsia="es-CO"/>
        </w:rPr>
      </w:pPr>
    </w:p>
    <w:tbl>
      <w:tblPr>
        <w:tblStyle w:val="Tablaconcuadrcula1"/>
        <w:tblpPr w:leftFromText="141" w:rightFromText="141" w:vertAnchor="text" w:horzAnchor="margin" w:tblpY="4"/>
        <w:tblW w:w="0" w:type="auto"/>
        <w:tblBorders>
          <w:top w:val="none" w:color="auto" w:sz="0" w:space="0"/>
          <w:left w:val="none" w:color="auto" w:sz="0" w:space="0"/>
          <w:bottom w:val="none" w:color="auto" w:sz="0" w:space="0"/>
          <w:right w:val="none" w:color="auto" w:sz="0" w:space="0"/>
          <w:insideH w:val="none" w:color="auto" w:sz="0" w:space="0"/>
          <w:insideV w:val="none" w:color="auto" w:sz="0" w:space="0"/>
        </w:tblBorders>
        <w:tblLook w:val="04A0" w:firstRow="1" w:lastRow="0" w:firstColumn="1" w:lastColumn="0" w:noHBand="0" w:noVBand="1"/>
      </w:tblPr>
      <w:tblGrid>
        <w:gridCol w:w="893"/>
        <w:gridCol w:w="4777"/>
      </w:tblGrid>
      <w:tr w:rsidRPr="00BE151B" w:rsidR="00D06D62" w:rsidTr="00F679B8" w14:paraId="7FC17E48" w14:textId="77777777">
        <w:trPr>
          <w:trHeight w:val="286"/>
        </w:trPr>
        <w:tc>
          <w:tcPr>
            <w:tcW w:w="893" w:type="dxa"/>
            <w:vAlign w:val="center"/>
            <w:hideMark/>
          </w:tcPr>
          <w:p w:rsidRPr="00BE151B" w:rsidR="00D06D62" w:rsidP="00F679B8" w:rsidRDefault="00D06D62" w14:paraId="2A0A6EA1" w14:textId="77777777">
            <w:pPr>
              <w:rPr>
                <w:rFonts w:ascii="Verdana" w:hAnsi="Verdana" w:eastAsia="Times New Roman" w:cs="Arial"/>
                <w:sz w:val="14"/>
                <w:szCs w:val="14"/>
                <w:lang w:eastAsia="es-ES"/>
              </w:rPr>
            </w:pPr>
            <w:r w:rsidRPr="00BE151B">
              <w:rPr>
                <w:rFonts w:ascii="Verdana" w:hAnsi="Verdana" w:eastAsia="Times New Roman" w:cs="Arial"/>
                <w:sz w:val="16"/>
                <w:szCs w:val="16"/>
                <w:lang w:eastAsia="es-ES"/>
              </w:rPr>
              <w:t>Elaboró:</w:t>
            </w:r>
          </w:p>
        </w:tc>
        <w:tc>
          <w:tcPr>
            <w:tcW w:w="4777" w:type="dxa"/>
            <w:tcBorders>
              <w:top w:val="nil"/>
              <w:left w:val="nil"/>
              <w:bottom w:val="dotted" w:color="7F7F7F" w:sz="4" w:space="0"/>
              <w:right w:val="nil"/>
            </w:tcBorders>
            <w:vAlign w:val="center"/>
            <w:hideMark/>
          </w:tcPr>
          <w:p w:rsidRPr="00BE151B" w:rsidR="00D06D62" w:rsidP="00F679B8" w:rsidRDefault="00D06D62" w14:paraId="6D42E469" w14:textId="77777777">
            <w:pPr>
              <w:rPr>
                <w:rFonts w:ascii="Verdana" w:hAnsi="Verdana" w:eastAsia="Times New Roman" w:cs="Arial"/>
                <w:sz w:val="16"/>
                <w:szCs w:val="16"/>
                <w:lang w:eastAsia="es-ES"/>
              </w:rPr>
            </w:pPr>
            <w:r>
              <w:rPr>
                <w:rFonts w:ascii="Verdana" w:hAnsi="Verdana" w:eastAsia="Times New Roman" w:cs="Arial"/>
                <w:sz w:val="16"/>
                <w:szCs w:val="16"/>
                <w:lang w:eastAsia="es-ES"/>
              </w:rPr>
              <w:t>Richard Andrés Montenegro Siefken</w:t>
            </w:r>
          </w:p>
          <w:p w:rsidRPr="00BE151B" w:rsidR="00D06D62" w:rsidP="00F679B8" w:rsidRDefault="00D06D62" w14:paraId="3A418CC0" w14:textId="77777777">
            <w:pPr>
              <w:rPr>
                <w:rFonts w:ascii="Verdana" w:hAnsi="Verdana" w:eastAsia="Times New Roman" w:cs="Arial"/>
                <w:sz w:val="14"/>
                <w:szCs w:val="14"/>
                <w:lang w:eastAsia="es-ES"/>
              </w:rPr>
            </w:pPr>
            <w:r>
              <w:rPr>
                <w:rFonts w:ascii="Verdana" w:hAnsi="Verdana" w:eastAsia="Times New Roman" w:cs="Arial"/>
                <w:sz w:val="16"/>
                <w:szCs w:val="16"/>
                <w:lang w:eastAsia="es-ES"/>
              </w:rPr>
              <w:t xml:space="preserve">Contratista </w:t>
            </w:r>
            <w:r w:rsidRPr="00BE151B">
              <w:rPr>
                <w:rFonts w:ascii="Verdana" w:hAnsi="Verdana" w:eastAsia="Times New Roman" w:cs="Arial"/>
                <w:sz w:val="16"/>
                <w:szCs w:val="16"/>
                <w:lang w:eastAsia="es-ES"/>
              </w:rPr>
              <w:t>de la Subdirección de Gestión Contractual</w:t>
            </w:r>
          </w:p>
        </w:tc>
      </w:tr>
      <w:tr w:rsidRPr="00BE151B" w:rsidR="00D06D62" w:rsidTr="00F679B8" w14:paraId="778F130A" w14:textId="77777777">
        <w:trPr>
          <w:trHeight w:val="299"/>
        </w:trPr>
        <w:tc>
          <w:tcPr>
            <w:tcW w:w="893" w:type="dxa"/>
            <w:vAlign w:val="center"/>
            <w:hideMark/>
          </w:tcPr>
          <w:p w:rsidRPr="00BE151B" w:rsidR="00D06D62" w:rsidP="00F679B8" w:rsidRDefault="00D06D62" w14:paraId="3D169CDF" w14:textId="77777777">
            <w:pPr>
              <w:rPr>
                <w:rFonts w:ascii="Verdana" w:hAnsi="Verdana" w:eastAsia="Times New Roman" w:cs="Arial"/>
                <w:sz w:val="14"/>
                <w:szCs w:val="14"/>
                <w:lang w:eastAsia="es-ES"/>
              </w:rPr>
            </w:pPr>
            <w:r w:rsidRPr="00BE151B">
              <w:rPr>
                <w:rFonts w:ascii="Verdana" w:hAnsi="Verdana" w:eastAsia="Times New Roman" w:cs="Arial"/>
                <w:sz w:val="16"/>
                <w:szCs w:val="16"/>
                <w:lang w:eastAsia="es-ES"/>
              </w:rPr>
              <w:t>Revisó:</w:t>
            </w:r>
          </w:p>
        </w:tc>
        <w:tc>
          <w:tcPr>
            <w:tcW w:w="4777" w:type="dxa"/>
            <w:tcBorders>
              <w:top w:val="dotted" w:color="7F7F7F" w:sz="4" w:space="0"/>
              <w:left w:val="nil"/>
              <w:bottom w:val="dotted" w:color="7F7F7F" w:sz="4" w:space="0"/>
              <w:right w:val="nil"/>
            </w:tcBorders>
            <w:vAlign w:val="center"/>
            <w:hideMark/>
          </w:tcPr>
          <w:p w:rsidRPr="00BE151B" w:rsidR="00D06D62" w:rsidP="00F679B8" w:rsidRDefault="00D06D62" w14:paraId="278CF5A6" w14:textId="77777777">
            <w:pPr>
              <w:rPr>
                <w:rFonts w:ascii="Verdana" w:hAnsi="Verdana" w:eastAsia="Times New Roman" w:cs="Arial"/>
                <w:sz w:val="16"/>
                <w:szCs w:val="16"/>
                <w:lang w:eastAsia="es-ES"/>
              </w:rPr>
            </w:pPr>
            <w:r>
              <w:rPr>
                <w:rFonts w:ascii="Verdana" w:hAnsi="Verdana" w:eastAsia="Times New Roman" w:cs="Arial"/>
                <w:sz w:val="16"/>
                <w:szCs w:val="16"/>
                <w:lang w:eastAsia="es-ES"/>
              </w:rPr>
              <w:t>Juan Carlos González Vásquez</w:t>
            </w:r>
          </w:p>
          <w:p w:rsidRPr="008969BE" w:rsidR="00D06D62" w:rsidP="00F679B8" w:rsidRDefault="00D06D62" w14:paraId="65B8A497" w14:textId="77777777">
            <w:pPr>
              <w:rPr>
                <w:rFonts w:ascii="Verdana" w:hAnsi="Verdana" w:eastAsia="Times New Roman" w:cs="Arial"/>
                <w:sz w:val="16"/>
                <w:szCs w:val="16"/>
                <w:lang w:eastAsia="es-ES"/>
              </w:rPr>
            </w:pPr>
            <w:r>
              <w:rPr>
                <w:rFonts w:ascii="Verdana" w:hAnsi="Verdana" w:eastAsia="Times New Roman" w:cs="Arial"/>
                <w:sz w:val="16"/>
                <w:szCs w:val="16"/>
                <w:lang w:eastAsia="es-ES"/>
              </w:rPr>
              <w:t>Contratista</w:t>
            </w:r>
            <w:r w:rsidRPr="00BE151B">
              <w:rPr>
                <w:rFonts w:ascii="Verdana" w:hAnsi="Verdana" w:eastAsia="Times New Roman" w:cs="Arial"/>
                <w:sz w:val="16"/>
                <w:szCs w:val="16"/>
                <w:lang w:eastAsia="es-ES"/>
              </w:rPr>
              <w:t xml:space="preserve"> de la Subdirección de Gestión Contractua</w:t>
            </w:r>
            <w:r>
              <w:rPr>
                <w:rFonts w:ascii="Verdana" w:hAnsi="Verdana" w:eastAsia="Times New Roman" w:cs="Arial"/>
                <w:sz w:val="16"/>
                <w:szCs w:val="16"/>
                <w:lang w:eastAsia="es-ES"/>
              </w:rPr>
              <w:t>l</w:t>
            </w:r>
          </w:p>
        </w:tc>
      </w:tr>
      <w:tr w:rsidRPr="00BE151B" w:rsidR="00D06D62" w:rsidTr="00F679B8" w14:paraId="2AB9B76C" w14:textId="77777777">
        <w:trPr>
          <w:trHeight w:val="272"/>
        </w:trPr>
        <w:tc>
          <w:tcPr>
            <w:tcW w:w="893" w:type="dxa"/>
            <w:vAlign w:val="center"/>
            <w:hideMark/>
          </w:tcPr>
          <w:p w:rsidRPr="00BE151B" w:rsidR="00D06D62" w:rsidP="00F679B8" w:rsidRDefault="00D06D62" w14:paraId="46DA4CD6" w14:textId="77777777">
            <w:pPr>
              <w:rPr>
                <w:rFonts w:ascii="Verdana" w:hAnsi="Verdana" w:eastAsia="Times New Roman" w:cs="Arial"/>
                <w:sz w:val="14"/>
                <w:szCs w:val="14"/>
                <w:lang w:eastAsia="es-ES"/>
              </w:rPr>
            </w:pPr>
            <w:r w:rsidRPr="00BE151B">
              <w:rPr>
                <w:rFonts w:ascii="Verdana" w:hAnsi="Verdana" w:eastAsia="Times New Roman" w:cs="Arial"/>
                <w:sz w:val="16"/>
                <w:szCs w:val="16"/>
                <w:lang w:eastAsia="es-ES"/>
              </w:rPr>
              <w:t>Aprobó:</w:t>
            </w:r>
          </w:p>
        </w:tc>
        <w:tc>
          <w:tcPr>
            <w:tcW w:w="4777" w:type="dxa"/>
            <w:tcBorders>
              <w:top w:val="dotted" w:color="7F7F7F" w:sz="4" w:space="0"/>
              <w:left w:val="nil"/>
              <w:bottom w:val="dotted" w:color="7F7F7F" w:sz="4" w:space="0"/>
              <w:right w:val="nil"/>
            </w:tcBorders>
            <w:vAlign w:val="center"/>
            <w:hideMark/>
          </w:tcPr>
          <w:p w:rsidRPr="00BE151B" w:rsidR="00D06D62" w:rsidP="00F679B8" w:rsidRDefault="00D06D62" w14:paraId="3FC27E4A" w14:textId="77777777">
            <w:pPr>
              <w:rPr>
                <w:rFonts w:ascii="Verdana" w:hAnsi="Verdana" w:eastAsia="Times New Roman" w:cs="Arial"/>
                <w:sz w:val="16"/>
                <w:szCs w:val="16"/>
                <w:lang w:eastAsia="es-ES"/>
              </w:rPr>
            </w:pPr>
            <w:r w:rsidRPr="00BE151B">
              <w:rPr>
                <w:rFonts w:ascii="Verdana" w:hAnsi="Verdana" w:eastAsia="Times New Roman" w:cs="Arial"/>
                <w:sz w:val="16"/>
                <w:szCs w:val="16"/>
                <w:lang w:eastAsia="es-ES"/>
              </w:rPr>
              <w:t xml:space="preserve">Carolina Quintero </w:t>
            </w:r>
            <w:proofErr w:type="spellStart"/>
            <w:r w:rsidRPr="00BE151B">
              <w:rPr>
                <w:rFonts w:ascii="Verdana" w:hAnsi="Verdana" w:eastAsia="Times New Roman" w:cs="Arial"/>
                <w:sz w:val="16"/>
                <w:szCs w:val="16"/>
                <w:lang w:eastAsia="es-ES"/>
              </w:rPr>
              <w:t>Gacharná</w:t>
            </w:r>
            <w:proofErr w:type="spellEnd"/>
          </w:p>
          <w:p w:rsidRPr="00BE151B" w:rsidR="00D06D62" w:rsidP="00F679B8" w:rsidRDefault="00D06D62" w14:paraId="2373C0D7" w14:textId="77777777">
            <w:pPr>
              <w:rPr>
                <w:rFonts w:ascii="Verdana" w:hAnsi="Verdana" w:eastAsia="Times New Roman" w:cs="Arial"/>
                <w:sz w:val="14"/>
                <w:szCs w:val="14"/>
                <w:lang w:eastAsia="es-ES"/>
              </w:rPr>
            </w:pPr>
            <w:r w:rsidRPr="00BE151B">
              <w:rPr>
                <w:rFonts w:ascii="Verdana" w:hAnsi="Verdana" w:eastAsia="Times New Roman" w:cs="Arial"/>
                <w:sz w:val="16"/>
                <w:szCs w:val="16"/>
                <w:lang w:eastAsia="es-ES"/>
              </w:rPr>
              <w:t>Subdirectora de Gestión Contractual ANCP – CCE</w:t>
            </w:r>
          </w:p>
        </w:tc>
      </w:tr>
    </w:tbl>
    <w:p w:rsidRPr="00BE151B" w:rsidR="00D06D62" w:rsidP="00D06D62" w:rsidRDefault="00D06D62" w14:paraId="31BE705E" w14:textId="77777777">
      <w:pPr>
        <w:spacing w:after="0" w:line="276" w:lineRule="auto"/>
        <w:jc w:val="both"/>
        <w:rPr>
          <w:rFonts w:ascii="Verdana" w:hAnsi="Verdana" w:eastAsia="Times New Roman" w:cs="Arial"/>
        </w:rPr>
      </w:pPr>
    </w:p>
    <w:p w:rsidR="00D06D62" w:rsidP="00D06D62" w:rsidRDefault="00D06D62" w14:paraId="71E9A096" w14:textId="77777777"/>
    <w:p w:rsidRPr="008359AB" w:rsidR="00D06D62" w:rsidP="00D06D62" w:rsidRDefault="00D06D62" w14:paraId="2AC27D8D" w14:textId="77777777"/>
    <w:p w:rsidRPr="00F15C69" w:rsidR="00D06D62" w:rsidP="00D06D62" w:rsidRDefault="00D06D62" w14:paraId="025742CC" w14:textId="77777777"/>
    <w:p w:rsidRPr="00074017" w:rsidR="003D5B0D" w:rsidP="00074017" w:rsidRDefault="003D5B0D" w14:paraId="3900974D" w14:textId="77777777"/>
    <w:sectPr w:rsidRPr="00074017" w:rsidR="003D5B0D" w:rsidSect="007C0C0F">
      <w:headerReference w:type="default" r:id="rId18"/>
      <w:footerReference w:type="default" r:id="rId19"/>
      <w:pgSz w:w="12240" w:h="15840" w:orient="portrait"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905CCA" w:rsidP="004A1847" w:rsidRDefault="00905CCA" w14:paraId="5544E8CD" w14:textId="77777777">
      <w:pPr>
        <w:spacing w:after="0" w:line="240" w:lineRule="auto"/>
      </w:pPr>
      <w:r>
        <w:separator/>
      </w:r>
    </w:p>
  </w:endnote>
  <w:endnote w:type="continuationSeparator" w:id="0">
    <w:p w:rsidR="00905CCA" w:rsidP="004A1847" w:rsidRDefault="00905CCA" w14:paraId="5B34C0A9" w14:textId="77777777">
      <w:pPr>
        <w:spacing w:after="0" w:line="240" w:lineRule="auto"/>
      </w:pPr>
      <w:r>
        <w:continuationSeparator/>
      </w:r>
    </w:p>
  </w:endnote>
  <w:endnote w:type="continuationNotice" w:id="1">
    <w:p w:rsidR="00905CCA" w:rsidRDefault="00905CCA" w14:paraId="71BE5D9A" w14:textId="77777777">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rsidR="004A1847" w:rsidRDefault="004A1847" w14:paraId="18911A32" w14:textId="6CE791A4">
    <w:pPr>
      <w:pStyle w:val="Piedepgina"/>
    </w:pPr>
  </w:p>
  <w:p w:rsidRPr="00174B77" w:rsidR="00D520D8" w:rsidP="00D520D8" w:rsidRDefault="00D520D8" w14:paraId="594D6D9F" w14:textId="77777777">
    <w:pPr>
      <w:pBdr>
        <w:top w:val="single" w:color="auto" w:sz="4" w:space="1"/>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hAnsi="Verdana" w:eastAsiaTheme="majorEastAsia" w:cstheme="majorBidi"/>
        <w:b/>
        <w:bCs/>
        <w:sz w:val="16"/>
        <w:szCs w:val="16"/>
        <w:lang w:val="es-ES"/>
      </w:rPr>
      <w:t xml:space="preserve">pág. </w:t>
    </w:r>
    <w:r w:rsidRPr="002E1330">
      <w:rPr>
        <w:rFonts w:ascii="Verdana" w:hAnsi="Verdana" w:eastAsiaTheme="minorEastAsia"/>
        <w:b/>
        <w:bCs/>
        <w:sz w:val="16"/>
        <w:szCs w:val="16"/>
      </w:rPr>
      <w:fldChar w:fldCharType="begin"/>
    </w:r>
    <w:r w:rsidRPr="002E1330">
      <w:rPr>
        <w:rFonts w:ascii="Verdana" w:hAnsi="Verdana"/>
        <w:b/>
        <w:bCs/>
        <w:sz w:val="16"/>
        <w:szCs w:val="16"/>
      </w:rPr>
      <w:instrText>PAGE    \* MERGEFORMAT</w:instrText>
    </w:r>
    <w:r w:rsidRPr="002E1330">
      <w:rPr>
        <w:rFonts w:ascii="Verdana" w:hAnsi="Verdana" w:eastAsiaTheme="minorEastAsia"/>
        <w:b/>
        <w:bCs/>
        <w:sz w:val="16"/>
        <w:szCs w:val="16"/>
      </w:rPr>
      <w:fldChar w:fldCharType="separate"/>
    </w:r>
    <w:r>
      <w:rPr>
        <w:rFonts w:ascii="Verdana" w:hAnsi="Verdana" w:eastAsiaTheme="minorEastAsia"/>
        <w:b/>
        <w:bCs/>
        <w:sz w:val="16"/>
        <w:szCs w:val="16"/>
      </w:rPr>
      <w:t>1</w:t>
    </w:r>
    <w:r w:rsidRPr="002E1330">
      <w:rPr>
        <w:rFonts w:ascii="Verdana" w:hAnsi="Verdana" w:eastAsiaTheme="majorEastAsi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rsidR="00D520D8" w:rsidP="00D520D8" w:rsidRDefault="00D520D8" w14:paraId="0A735DD5" w14:textId="77777777">
    <w:pPr>
      <w:spacing w:after="0"/>
      <w:jc w:val="both"/>
      <w:rPr>
        <w:rFonts w:ascii="Verdana" w:hAnsi="Verdana"/>
        <w:sz w:val="18"/>
        <w:szCs w:val="18"/>
      </w:rPr>
    </w:pPr>
    <w:r w:rsidRPr="00E41027">
      <w:rPr>
        <w:rFonts w:ascii="Verdana" w:hAnsi="Verdana"/>
        <w:sz w:val="18"/>
        <w:szCs w:val="18"/>
      </w:rPr>
      <w:t>Dirección: Carrera 7 # 26 – 20 - Bogotá, Colombia</w:t>
    </w:r>
  </w:p>
  <w:p w:rsidRPr="00E41027" w:rsidR="00D520D8" w:rsidP="00D520D8" w:rsidRDefault="00D520D8" w14:paraId="06E36B88" w14:textId="77777777">
    <w:pPr>
      <w:spacing w:after="0"/>
      <w:jc w:val="both"/>
      <w:rPr>
        <w:rFonts w:ascii="Verdana" w:hAnsi="Verdana"/>
        <w:sz w:val="18"/>
        <w:szCs w:val="18"/>
      </w:rPr>
    </w:pPr>
    <w:r w:rsidRPr="00E41027">
      <w:rPr>
        <w:rFonts w:ascii="Verdana" w:hAnsi="Verdana"/>
        <w:sz w:val="18"/>
        <w:szCs w:val="18"/>
      </w:rPr>
      <w:t>Mesa de servicio: (+57) 601 7456788</w:t>
    </w:r>
  </w:p>
  <w:p w:rsidR="006219F8" w:rsidP="0025796E" w:rsidRDefault="00D520D8" w14:paraId="744661F5" w14:textId="593AA28F">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sidR="00FA47C0">
      <w:rPr>
        <w:rFonts w:ascii="Century Gothic" w:hAnsi="Century Gothic" w:eastAsia="Geo" w:cs="Geo"/>
        <w:b/>
        <w:color w:val="000000"/>
        <w:sz w:val="16"/>
        <w:szCs w:val="16"/>
        <w:lang w:eastAsia="es-CO"/>
      </w:rPr>
      <w:t xml:space="preserve">Código: </w:t>
    </w:r>
    <w:r w:rsidRPr="004A305D" w:rsidR="00FA47C0">
      <w:rPr>
        <w:rFonts w:ascii="Century Gothic" w:hAnsi="Century Gothic" w:eastAsia="Geo" w:cs="Geo"/>
        <w:bCs/>
        <w:color w:val="000000"/>
        <w:sz w:val="16"/>
        <w:szCs w:val="16"/>
        <w:lang w:eastAsia="es-CO"/>
      </w:rPr>
      <w:t>CCE-</w:t>
    </w:r>
    <w:r w:rsidR="00FA47C0">
      <w:rPr>
        <w:rFonts w:ascii="Century Gothic" w:hAnsi="Century Gothic" w:eastAsia="Geo" w:cs="Geo"/>
        <w:bCs/>
        <w:color w:val="000000"/>
        <w:sz w:val="16"/>
        <w:szCs w:val="16"/>
        <w:lang w:eastAsia="es-CO"/>
      </w:rPr>
      <w:t>REC</w:t>
    </w:r>
    <w:r w:rsidRPr="004A305D" w:rsidR="00FA47C0">
      <w:rPr>
        <w:rFonts w:ascii="Century Gothic" w:hAnsi="Century Gothic" w:eastAsia="Geo" w:cs="Geo"/>
        <w:bCs/>
        <w:color w:val="000000"/>
        <w:sz w:val="16"/>
        <w:szCs w:val="16"/>
        <w:lang w:eastAsia="es-CO"/>
      </w:rPr>
      <w:t>-FM-</w:t>
    </w:r>
    <w:r w:rsidR="00FA47C0">
      <w:rPr>
        <w:rFonts w:ascii="Century Gothic" w:hAnsi="Century Gothic" w:eastAsia="Geo" w:cs="Geo"/>
        <w:bCs/>
        <w:color w:val="000000"/>
        <w:sz w:val="16"/>
        <w:szCs w:val="16"/>
        <w:lang w:eastAsia="es-CO"/>
      </w:rPr>
      <w:t>17</w:t>
    </w:r>
    <w:r w:rsidR="0025796E">
      <w:rPr>
        <w:rFonts w:ascii="Century Gothic" w:hAnsi="Century Gothic" w:eastAsia="Geo" w:cs="Geo"/>
        <w:bCs/>
        <w:color w:val="000000"/>
        <w:sz w:val="16"/>
        <w:szCs w:val="16"/>
        <w:lang w:eastAsia="es-CO"/>
      </w:rPr>
      <w:t xml:space="preserve"> </w:t>
    </w:r>
    <w:r w:rsidRPr="004A305D" w:rsidR="00FA47C0">
      <w:rPr>
        <w:rFonts w:ascii="Century Gothic" w:hAnsi="Century Gothic" w:eastAsia="Geo" w:cs="Geo"/>
        <w:b/>
        <w:color w:val="000000"/>
        <w:sz w:val="16"/>
        <w:szCs w:val="16"/>
        <w:lang w:eastAsia="es-CO"/>
      </w:rPr>
      <w:t>Versión</w:t>
    </w:r>
    <w:r w:rsidRPr="004A305D" w:rsidR="00FA47C0">
      <w:rPr>
        <w:rFonts w:ascii="Century Gothic" w:hAnsi="Century Gothic" w:eastAsia="Arial Nova" w:cs="Arial Nova"/>
        <w:b/>
        <w:color w:val="000000"/>
        <w:sz w:val="16"/>
        <w:szCs w:val="16"/>
        <w:lang w:eastAsia="es-CO"/>
      </w:rPr>
      <w:t xml:space="preserve">: </w:t>
    </w:r>
    <w:r w:rsidRPr="004A305D" w:rsidR="00FA47C0">
      <w:rPr>
        <w:rFonts w:ascii="Century Gothic" w:hAnsi="Century Gothic" w:eastAsia="Geo" w:cs="Geo"/>
        <w:sz w:val="16"/>
        <w:szCs w:val="16"/>
        <w:lang w:eastAsia="es-CO"/>
      </w:rPr>
      <w:t>0</w:t>
    </w:r>
    <w:r w:rsidR="00FA47C0">
      <w:rPr>
        <w:rFonts w:ascii="Century Gothic" w:hAnsi="Century Gothic" w:eastAsia="Geo" w:cs="Geo"/>
        <w:sz w:val="16"/>
        <w:szCs w:val="16"/>
        <w:lang w:eastAsia="es-CO"/>
      </w:rPr>
      <w:t>2</w:t>
    </w:r>
    <w:r w:rsidRPr="004A305D" w:rsidR="00FA47C0">
      <w:rPr>
        <w:rFonts w:ascii="Century Gothic" w:hAnsi="Century Gothic" w:eastAsia="Geo" w:cs="Geo"/>
        <w:sz w:val="16"/>
        <w:szCs w:val="16"/>
        <w:lang w:eastAsia="es-CO"/>
      </w:rPr>
      <w:t xml:space="preserve"> </w:t>
    </w:r>
    <w:r w:rsidR="0025796E">
      <w:rPr>
        <w:rFonts w:ascii="Century Gothic" w:hAnsi="Century Gothic" w:eastAsia="Geo"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905CCA" w:rsidP="004A1847" w:rsidRDefault="00905CCA" w14:paraId="77620349" w14:textId="77777777">
      <w:pPr>
        <w:spacing w:after="0" w:line="240" w:lineRule="auto"/>
      </w:pPr>
      <w:r>
        <w:separator/>
      </w:r>
    </w:p>
  </w:footnote>
  <w:footnote w:type="continuationSeparator" w:id="0">
    <w:p w:rsidR="00905CCA" w:rsidP="004A1847" w:rsidRDefault="00905CCA" w14:paraId="5558795F" w14:textId="77777777">
      <w:pPr>
        <w:spacing w:after="0" w:line="240" w:lineRule="auto"/>
      </w:pPr>
      <w:r>
        <w:continuationSeparator/>
      </w:r>
    </w:p>
  </w:footnote>
  <w:footnote w:type="continuationNotice" w:id="1">
    <w:p w:rsidR="00905CCA" w:rsidRDefault="00905CCA" w14:paraId="135D74BE" w14:textId="77777777">
      <w:pPr>
        <w:spacing w:after="0" w:line="240" w:lineRule="auto"/>
      </w:pPr>
    </w:p>
  </w:footnote>
  <w:footnote w:id="2">
    <w:p w:rsidRPr="000648B8" w:rsidR="00D06D62" w:rsidP="00D06D62" w:rsidRDefault="00D06D62" w14:paraId="28E3ACE4" w14:textId="77777777">
      <w:pPr>
        <w:pStyle w:val="Textonotapie"/>
        <w:ind w:firstLine="720"/>
        <w:jc w:val="both"/>
        <w:rPr>
          <w:rFonts w:ascii="Verdana" w:hAnsi="Verdana" w:cs="Arial"/>
          <w:sz w:val="18"/>
          <w:szCs w:val="18"/>
        </w:rPr>
      </w:pPr>
      <w:r w:rsidRPr="000648B8">
        <w:rPr>
          <w:rStyle w:val="Refdenotaalpie"/>
          <w:rFonts w:ascii="Verdana" w:hAnsi="Verdana" w:cs="Arial"/>
          <w:sz w:val="18"/>
          <w:szCs w:val="18"/>
        </w:rPr>
        <w:footnoteRef/>
      </w:r>
      <w:r w:rsidRPr="000648B8">
        <w:rPr>
          <w:rFonts w:ascii="Verdana" w:hAnsi="Verdana" w:cs="Arial"/>
          <w:sz w:val="18"/>
          <w:szCs w:val="18"/>
        </w:rPr>
        <w:t xml:space="preserve"> Sin perjuicio de las restricciones establecidas para la modalidad de contratación directa en el artículo 33 de la Ley 996 de 2005 en la etapa preelectoral para la elección del </w:t>
      </w:r>
      <w:proofErr w:type="gramStart"/>
      <w:r w:rsidRPr="000648B8">
        <w:rPr>
          <w:rFonts w:ascii="Verdana" w:hAnsi="Verdana" w:cs="Arial"/>
          <w:sz w:val="18"/>
          <w:szCs w:val="18"/>
        </w:rPr>
        <w:t>Presidente</w:t>
      </w:r>
      <w:proofErr w:type="gramEnd"/>
      <w:r w:rsidRPr="000648B8">
        <w:rPr>
          <w:rFonts w:ascii="Verdana" w:hAnsi="Verdana" w:cs="Arial"/>
          <w:sz w:val="18"/>
          <w:szCs w:val="18"/>
        </w:rPr>
        <w:t xml:space="preserve"> y Vicepresidente de la República.</w:t>
      </w:r>
    </w:p>
  </w:footnote>
  <w:footnote w:id="3">
    <w:p w:rsidRPr="000648B8" w:rsidR="00D06D62" w:rsidP="00D06D62" w:rsidRDefault="00D06D62" w14:paraId="416C6039" w14:textId="77777777">
      <w:pPr>
        <w:pStyle w:val="Textonotapie"/>
        <w:ind w:firstLine="720"/>
        <w:jc w:val="both"/>
        <w:rPr>
          <w:rFonts w:ascii="Verdana" w:hAnsi="Verdana" w:cs="Arial"/>
          <w:sz w:val="18"/>
          <w:szCs w:val="18"/>
        </w:rPr>
      </w:pPr>
      <w:r w:rsidRPr="000648B8">
        <w:rPr>
          <w:rStyle w:val="Refdenotaalpie"/>
          <w:rFonts w:ascii="Verdana" w:hAnsi="Verdana" w:cs="Arial"/>
          <w:sz w:val="18"/>
          <w:szCs w:val="18"/>
        </w:rPr>
        <w:footnoteRef/>
      </w:r>
      <w:r w:rsidRPr="000648B8">
        <w:rPr>
          <w:rFonts w:ascii="Verdana" w:hAnsi="Verdana" w:cs="Arial"/>
          <w:sz w:val="18"/>
          <w:szCs w:val="18"/>
        </w:rPr>
        <w:t xml:space="preserve"> Consejo de Estado, Sala de lo Contencioso Administrativo, Sección Tercera – Subsección “B”. Sentencia del 16 de marzo de 2017, Radicación: 25000232400020040089401. C.P. Ramiro Pazos Guerrero.</w:t>
      </w:r>
    </w:p>
  </w:footnote>
  <w:footnote w:id="4">
    <w:p w:rsidRPr="000648B8" w:rsidR="00D06D62" w:rsidP="00D06D62" w:rsidRDefault="00D06D62" w14:paraId="75B449CA" w14:textId="77777777">
      <w:pPr>
        <w:pStyle w:val="NormalWeb"/>
        <w:shd w:val="clear" w:color="auto" w:fill="FFFFFF"/>
        <w:spacing w:before="0" w:beforeAutospacing="0" w:after="0" w:afterAutospacing="0"/>
        <w:ind w:firstLine="720"/>
        <w:jc w:val="both"/>
        <w:rPr>
          <w:rFonts w:ascii="Verdana" w:hAnsi="Verdana" w:cs="Arial"/>
          <w:sz w:val="18"/>
          <w:szCs w:val="18"/>
        </w:rPr>
      </w:pPr>
    </w:p>
    <w:p w:rsidRPr="000648B8" w:rsidR="00D06D62" w:rsidP="00D06D62" w:rsidRDefault="00D06D62" w14:paraId="207FB77B" w14:textId="77777777">
      <w:pPr>
        <w:pStyle w:val="NormalWeb"/>
        <w:shd w:val="clear" w:color="auto" w:fill="FFFFFF"/>
        <w:spacing w:before="0" w:beforeAutospacing="0" w:after="0" w:afterAutospacing="0"/>
        <w:ind w:firstLine="720"/>
        <w:jc w:val="both"/>
        <w:rPr>
          <w:rFonts w:ascii="Verdana" w:hAnsi="Verdana" w:cs="Arial"/>
          <w:sz w:val="18"/>
          <w:szCs w:val="18"/>
        </w:rPr>
      </w:pPr>
      <w:r w:rsidRPr="000648B8">
        <w:rPr>
          <w:rStyle w:val="Refdenotaalpie"/>
          <w:rFonts w:ascii="Verdana" w:hAnsi="Verdana" w:cs="Arial"/>
          <w:sz w:val="18"/>
          <w:szCs w:val="18"/>
        </w:rPr>
        <w:footnoteRef/>
      </w:r>
      <w:r w:rsidRPr="000648B8">
        <w:rPr>
          <w:rFonts w:ascii="Verdana" w:hAnsi="Verdana" w:cs="Arial"/>
          <w:sz w:val="18"/>
          <w:szCs w:val="18"/>
        </w:rPr>
        <w:t xml:space="preserve"> Decreto 1082 de 2015. “</w:t>
      </w:r>
      <w:r w:rsidRPr="000648B8">
        <w:rPr>
          <w:rStyle w:val="Textoennegrita"/>
          <w:rFonts w:ascii="Verdana" w:hAnsi="Verdana" w:cs="Arial"/>
          <w:sz w:val="18"/>
          <w:szCs w:val="18"/>
        </w:rPr>
        <w:t>Artículo 2.2.1.2.1.4.10. </w:t>
      </w:r>
      <w:r w:rsidRPr="000648B8">
        <w:rPr>
          <w:rStyle w:val="nfasis"/>
          <w:rFonts w:ascii="Verdana" w:hAnsi="Verdana" w:cs="Arial"/>
          <w:sz w:val="18"/>
          <w:szCs w:val="18"/>
        </w:rPr>
        <w:t>Adquisición de bienes inmuebles. </w:t>
      </w:r>
      <w:r w:rsidRPr="000648B8">
        <w:rPr>
          <w:rFonts w:ascii="Verdana" w:hAnsi="Verdana" w:cs="Arial"/>
          <w:sz w:val="18"/>
          <w:szCs w:val="18"/>
        </w:rPr>
        <w:t>Las Entidades Estatales pueden adquirir bienes inmuebles mediante contratación directa para lo cual deben seguir las siguientes reglas:</w:t>
      </w:r>
    </w:p>
    <w:p w:rsidRPr="000648B8" w:rsidR="00D06D62" w:rsidP="00D06D62" w:rsidRDefault="00D06D62" w14:paraId="5EAEAF24" w14:textId="77777777">
      <w:pPr>
        <w:pStyle w:val="NormalWeb"/>
        <w:shd w:val="clear" w:color="auto" w:fill="FFFFFF"/>
        <w:spacing w:before="0" w:beforeAutospacing="0" w:after="0" w:afterAutospacing="0"/>
        <w:ind w:firstLine="720"/>
        <w:jc w:val="both"/>
        <w:rPr>
          <w:rFonts w:ascii="Verdana" w:hAnsi="Verdana" w:cs="Arial"/>
          <w:sz w:val="18"/>
          <w:szCs w:val="18"/>
        </w:rPr>
      </w:pPr>
      <w:r w:rsidRPr="000648B8">
        <w:rPr>
          <w:rFonts w:ascii="Verdana" w:hAnsi="Verdana" w:cs="Arial"/>
          <w:sz w:val="18"/>
          <w:szCs w:val="18"/>
        </w:rPr>
        <w:t>1. Avaluar con una institución especializada el bien o los bienes inmuebles identificados que satisfagan las necesidades que tiene la Entidad Estatal.</w:t>
      </w:r>
    </w:p>
    <w:p w:rsidRPr="000648B8" w:rsidR="00D06D62" w:rsidP="00D06D62" w:rsidRDefault="00D06D62" w14:paraId="6E81E087" w14:textId="77777777">
      <w:pPr>
        <w:pStyle w:val="NormalWeb"/>
        <w:shd w:val="clear" w:color="auto" w:fill="FFFFFF"/>
        <w:spacing w:before="0" w:beforeAutospacing="0" w:after="0" w:afterAutospacing="0"/>
        <w:ind w:firstLine="720"/>
        <w:jc w:val="both"/>
        <w:rPr>
          <w:rFonts w:ascii="Verdana" w:hAnsi="Verdana" w:cs="Arial"/>
          <w:sz w:val="18"/>
          <w:szCs w:val="18"/>
        </w:rPr>
      </w:pPr>
      <w:r w:rsidRPr="000648B8">
        <w:rPr>
          <w:rFonts w:ascii="Verdana" w:hAnsi="Verdana" w:cs="Arial"/>
          <w:sz w:val="18"/>
          <w:szCs w:val="18"/>
        </w:rPr>
        <w:t>2. Analizar y comparar las condiciones de los bienes inmuebles que satisfacen las ne</w:t>
      </w:r>
      <w:r w:rsidRPr="000648B8">
        <w:rPr>
          <w:rFonts w:ascii="Verdana" w:hAnsi="Verdana" w:cs="Arial"/>
          <w:sz w:val="18"/>
          <w:szCs w:val="18"/>
        </w:rPr>
        <w:softHyphen/>
        <w:t>cesidades identificadas y las opciones de adquisición, análisis que deberá tener en cuenta los principios y objetivos del sistema de compras y contratación pública.</w:t>
      </w:r>
    </w:p>
    <w:p w:rsidRPr="000648B8" w:rsidR="00D06D62" w:rsidP="00D06D62" w:rsidRDefault="00D06D62" w14:paraId="078F7CD4" w14:textId="77777777">
      <w:pPr>
        <w:pStyle w:val="NormalWeb"/>
        <w:shd w:val="clear" w:color="auto" w:fill="FFFFFF"/>
        <w:spacing w:before="0" w:beforeAutospacing="0" w:after="0" w:afterAutospacing="0"/>
        <w:ind w:firstLine="720"/>
        <w:jc w:val="both"/>
        <w:rPr>
          <w:rFonts w:ascii="Verdana" w:hAnsi="Verdana" w:cs="Arial"/>
          <w:sz w:val="18"/>
          <w:szCs w:val="18"/>
        </w:rPr>
      </w:pPr>
      <w:r w:rsidRPr="000648B8">
        <w:rPr>
          <w:rFonts w:ascii="Verdana" w:hAnsi="Verdana" w:cs="Arial"/>
          <w:sz w:val="18"/>
          <w:szCs w:val="18"/>
        </w:rPr>
        <w:t>3. La Entidad Estatal puede hacer parte de un proyecto inmobiliario para adquirir el bien inmueble que satisfaga la necesidad que ha identificado, caso en el cual no requiere el avalúo de que trata el numeral 1 anterior</w:t>
      </w:r>
    </w:p>
    <w:p w:rsidRPr="006D7C2B" w:rsidR="00D06D62" w:rsidP="00D06D62" w:rsidRDefault="00D06D62" w14:paraId="26B48624" w14:textId="77777777">
      <w:pPr>
        <w:pStyle w:val="Textonotapie"/>
        <w:ind w:firstLine="720"/>
        <w:jc w:val="both"/>
        <w:rPr>
          <w:rFonts w:ascii="Arial" w:hAnsi="Arial" w:cs="Arial"/>
          <w:sz w:val="19"/>
          <w:szCs w:val="19"/>
          <w:lang w:val="es-CO"/>
        </w:rPr>
      </w:pPr>
    </w:p>
  </w:footnote>
  <w:footnote w:id="5">
    <w:p w:rsidRPr="004452C7" w:rsidR="00D06D62" w:rsidP="00D06D62" w:rsidRDefault="00D06D62" w14:paraId="768AE499" w14:textId="77777777">
      <w:pPr>
        <w:spacing w:after="0" w:line="240" w:lineRule="auto"/>
        <w:ind w:firstLine="720"/>
        <w:rPr>
          <w:rFonts w:ascii="Verdana" w:hAnsi="Verdana" w:cs="Arial"/>
          <w:sz w:val="19"/>
          <w:szCs w:val="19"/>
        </w:rPr>
      </w:pPr>
      <w:r w:rsidRPr="004452C7">
        <w:rPr>
          <w:rStyle w:val="Refdenotaalpie"/>
          <w:rFonts w:ascii="Verdana" w:hAnsi="Verdana" w:cs="Arial"/>
          <w:sz w:val="19"/>
          <w:szCs w:val="19"/>
        </w:rPr>
        <w:footnoteRef/>
      </w:r>
      <w:r w:rsidRPr="004452C7">
        <w:rPr>
          <w:rFonts w:ascii="Verdana" w:hAnsi="Verdana" w:cs="Arial"/>
          <w:sz w:val="19"/>
          <w:szCs w:val="19"/>
        </w:rPr>
        <w:t xml:space="preserve"> Artículo 2.2.1.2.1.4.1. La Entidad Estatal debe señalar en un acto administrativo la justificación para contratar bajo la modalidad de contratación directa, el cual debe contener:</w:t>
      </w:r>
    </w:p>
    <w:p w:rsidRPr="004452C7" w:rsidR="00D06D62" w:rsidP="00D06D62" w:rsidRDefault="00D06D62" w14:paraId="4970B366" w14:textId="77777777">
      <w:pPr>
        <w:spacing w:after="0" w:line="240" w:lineRule="auto"/>
        <w:ind w:firstLine="720"/>
        <w:rPr>
          <w:rFonts w:ascii="Verdana" w:hAnsi="Verdana" w:cs="Arial"/>
          <w:sz w:val="19"/>
          <w:szCs w:val="19"/>
        </w:rPr>
      </w:pPr>
      <w:r w:rsidRPr="004452C7">
        <w:rPr>
          <w:rFonts w:ascii="Verdana" w:hAnsi="Verdana" w:cs="Arial"/>
          <w:sz w:val="19"/>
          <w:szCs w:val="19"/>
        </w:rPr>
        <w:t>1.    La causal que invoca para contratar directamente.</w:t>
      </w:r>
    </w:p>
    <w:p w:rsidRPr="004452C7" w:rsidR="00D06D62" w:rsidP="00D06D62" w:rsidRDefault="00D06D62" w14:paraId="039F269A" w14:textId="77777777">
      <w:pPr>
        <w:spacing w:after="0" w:line="240" w:lineRule="auto"/>
        <w:ind w:firstLine="720"/>
        <w:rPr>
          <w:rFonts w:ascii="Verdana" w:hAnsi="Verdana" w:cs="Arial"/>
          <w:sz w:val="19"/>
          <w:szCs w:val="19"/>
        </w:rPr>
      </w:pPr>
      <w:r w:rsidRPr="004452C7">
        <w:rPr>
          <w:rFonts w:ascii="Verdana" w:hAnsi="Verdana" w:cs="Arial"/>
          <w:sz w:val="19"/>
          <w:szCs w:val="19"/>
        </w:rPr>
        <w:t>2.    El objeto del contrato.</w:t>
      </w:r>
    </w:p>
    <w:p w:rsidRPr="004452C7" w:rsidR="00D06D62" w:rsidP="00D06D62" w:rsidRDefault="00D06D62" w14:paraId="0B988D8F" w14:textId="77777777">
      <w:pPr>
        <w:spacing w:after="0" w:line="240" w:lineRule="auto"/>
        <w:ind w:firstLine="720"/>
        <w:rPr>
          <w:rFonts w:ascii="Verdana" w:hAnsi="Verdana" w:cs="Arial"/>
          <w:sz w:val="19"/>
          <w:szCs w:val="19"/>
        </w:rPr>
      </w:pPr>
      <w:r w:rsidRPr="004452C7">
        <w:rPr>
          <w:rFonts w:ascii="Verdana" w:hAnsi="Verdana" w:cs="Arial"/>
          <w:sz w:val="19"/>
          <w:szCs w:val="19"/>
        </w:rPr>
        <w:t>3.    El presupuesto para la contratación y las condiciones que exigirá al contratista.</w:t>
      </w:r>
    </w:p>
    <w:p w:rsidRPr="004452C7" w:rsidR="00D06D62" w:rsidP="00D06D62" w:rsidRDefault="00D06D62" w14:paraId="767B4F7C" w14:textId="77777777">
      <w:pPr>
        <w:spacing w:after="0" w:line="240" w:lineRule="auto"/>
        <w:ind w:firstLine="720"/>
        <w:rPr>
          <w:rFonts w:ascii="Verdana" w:hAnsi="Verdana" w:cs="Arial"/>
          <w:sz w:val="19"/>
          <w:szCs w:val="19"/>
        </w:rPr>
      </w:pPr>
      <w:r w:rsidRPr="004452C7">
        <w:rPr>
          <w:rFonts w:ascii="Verdana" w:hAnsi="Verdana" w:cs="Arial"/>
          <w:sz w:val="19"/>
          <w:szCs w:val="19"/>
        </w:rPr>
        <w:t>4.    El lugar en el cual los interesados pueden consultar los estudios y documentos previos.</w:t>
      </w:r>
    </w:p>
    <w:p w:rsidRPr="004452C7" w:rsidR="00D06D62" w:rsidP="00D06D62" w:rsidRDefault="00D06D62" w14:paraId="73A52C26" w14:textId="77777777">
      <w:pPr>
        <w:spacing w:after="0" w:line="240" w:lineRule="auto"/>
        <w:ind w:firstLine="720"/>
        <w:rPr>
          <w:rFonts w:ascii="Verdana" w:hAnsi="Verdana" w:cs="Arial"/>
          <w:sz w:val="19"/>
          <w:szCs w:val="19"/>
        </w:rPr>
      </w:pPr>
      <w:r w:rsidRPr="004452C7">
        <w:rPr>
          <w:rFonts w:ascii="Verdana" w:hAnsi="Verdana" w:cs="Arial"/>
          <w:sz w:val="19"/>
          <w:szCs w:val="19"/>
        </w:rPr>
        <w:t>Este acto administrativo no es necesario cuando el contrato a celebrar es de prestación de servicios profesionales y de apoyo a la gestión, y para los contratos de que tratan los literales (a) y (b) del artículo 2.2.1.2.1.4.3 del presente decreto.</w:t>
      </w:r>
    </w:p>
  </w:footnote>
  <w:footnote w:id="6">
    <w:p w:rsidRPr="008A322F" w:rsidR="008A322F" w:rsidP="008A322F" w:rsidRDefault="008A322F" w14:paraId="2230165C" w14:textId="6B2C7855">
      <w:pPr>
        <w:spacing w:after="0" w:line="240" w:lineRule="auto"/>
        <w:ind w:firstLine="720"/>
        <w:rPr>
          <w:lang w:val="es-MX"/>
        </w:rPr>
      </w:pPr>
      <w:r w:rsidRPr="009E0C9B">
        <w:rPr>
          <w:rFonts w:ascii="Verdana" w:hAnsi="Verdana" w:cs="Arial"/>
          <w:sz w:val="12"/>
          <w:szCs w:val="12"/>
        </w:rPr>
        <w:footnoteRef/>
      </w:r>
      <w:r w:rsidRPr="009E0C9B">
        <w:rPr>
          <w:rFonts w:ascii="Verdana" w:hAnsi="Verdana" w:cs="Arial"/>
          <w:sz w:val="12"/>
          <w:szCs w:val="12"/>
        </w:rPr>
        <w:t xml:space="preserve"> </w:t>
      </w:r>
      <w:r w:rsidRPr="008A322F">
        <w:rPr>
          <w:rFonts w:ascii="Verdana" w:hAnsi="Verdana" w:cs="Arial"/>
          <w:sz w:val="19"/>
          <w:szCs w:val="19"/>
        </w:rPr>
        <w:t xml:space="preserve">por la cual se reglamenta la actividad del </w:t>
      </w:r>
      <w:proofErr w:type="spellStart"/>
      <w:r w:rsidRPr="008A322F">
        <w:rPr>
          <w:rFonts w:ascii="Verdana" w:hAnsi="Verdana" w:cs="Arial"/>
          <w:sz w:val="19"/>
          <w:szCs w:val="19"/>
        </w:rPr>
        <w:t>avaluador</w:t>
      </w:r>
      <w:proofErr w:type="spellEnd"/>
      <w:r w:rsidRPr="008A322F">
        <w:rPr>
          <w:rFonts w:ascii="Verdana" w:hAnsi="Verdana" w:cs="Arial"/>
          <w:sz w:val="19"/>
          <w:szCs w:val="19"/>
        </w:rPr>
        <w:t xml:space="preserve"> y se dictan otras disposiciones.</w:t>
      </w:r>
    </w:p>
  </w:footnote>
  <w:footnote w:id="7">
    <w:p w:rsidRPr="004452C7" w:rsidR="00D06D62" w:rsidP="00D06D62" w:rsidRDefault="00D06D62" w14:paraId="229BA16C" w14:textId="77777777">
      <w:pPr>
        <w:pStyle w:val="Textoindependiente"/>
        <w:spacing w:line="240" w:lineRule="auto"/>
        <w:ind w:firstLine="720"/>
        <w:jc w:val="both"/>
        <w:rPr>
          <w:rFonts w:ascii="Verdana" w:hAnsi="Verdana"/>
          <w:sz w:val="10"/>
          <w:szCs w:val="10"/>
        </w:rPr>
      </w:pPr>
      <w:r w:rsidRPr="004452C7">
        <w:rPr>
          <w:rStyle w:val="Refdenotaalpie"/>
          <w:rFonts w:ascii="Verdana" w:hAnsi="Verdana"/>
          <w:sz w:val="10"/>
          <w:szCs w:val="10"/>
        </w:rPr>
        <w:footnoteRef/>
      </w:r>
      <w:r w:rsidRPr="004452C7">
        <w:rPr>
          <w:rFonts w:ascii="Verdana" w:hAnsi="Verdana"/>
          <w:sz w:val="10"/>
          <w:szCs w:val="10"/>
        </w:rPr>
        <w:t xml:space="preserve"> La Corte Constitucional, en Sentencia C-300 de 2012 M.P. Jorge Ignacio Pretel Chaljub, consideró al respecto: El principio de planeación hace referencia al deber de la entidad contratante de realizar estudios previos adecuados (estudios de prefactibilidad, factibilidad, ingeniería, suelos, etc.), con el fin de precisar el objeto del contrato, las obligaciones mutuas de las partes, la distribución de los riesgos y el precio, estructurar debidamente su financiación y permitir a los interesados diseñar sus ofertas y buscar diferentes fuentes de recursos.</w:t>
      </w:r>
    </w:p>
    <w:p w:rsidRPr="004452C7" w:rsidR="00D06D62" w:rsidP="00D06D62" w:rsidRDefault="00D06D62" w14:paraId="478C6A33" w14:textId="77777777">
      <w:pPr>
        <w:pStyle w:val="Textoindependiente"/>
        <w:spacing w:line="240" w:lineRule="auto"/>
        <w:ind w:firstLine="720"/>
        <w:jc w:val="both"/>
        <w:rPr>
          <w:rFonts w:ascii="Verdana" w:hAnsi="Verdana"/>
          <w:sz w:val="10"/>
          <w:szCs w:val="10"/>
        </w:rPr>
      </w:pPr>
      <w:r w:rsidRPr="004452C7">
        <w:rPr>
          <w:rFonts w:ascii="Verdana" w:hAnsi="Verdana"/>
          <w:sz w:val="10"/>
          <w:szCs w:val="10"/>
        </w:rPr>
        <w:t>Este principio está entonces directamente relacionado con los de economía, eficacia, racionalidad de la intervención estatal y libre concurrencia. De un lado, se relaciona con los principios de economía y eficacia (artículo 209 superior) y racionalidad de la intervención estatal (artículo 334 superior), pues los estudios previos no son solamente necesarios para la adecuada ejecución del contrato -en términos de calidad y tiempo, sino también para evitar mayores costos a la administración fruto de modificaciones sobrevinientes imputables a la entidad y que redunden en una obligación de restablecer el equilibrio económico del contrato sin posibilidad de negociación de</w:t>
      </w:r>
      <w:r w:rsidRPr="004452C7">
        <w:rPr>
          <w:sz w:val="10"/>
          <w:szCs w:val="10"/>
        </w:rPr>
        <w:t xml:space="preserve"> </w:t>
      </w:r>
      <w:r w:rsidRPr="004452C7">
        <w:rPr>
          <w:rFonts w:ascii="Verdana" w:hAnsi="Verdana"/>
          <w:sz w:val="10"/>
          <w:szCs w:val="10"/>
        </w:rPr>
        <w:t>los precios. Ciertamente, los estudios previos determinan el retorno que pueden esperar los inversionistas, el cual, si no es obtenido por causas imputables al Estado en el marco del esquema de distribución de riesgos, puede llevar a condenas judiciales o a la necesidad de renegociaciones a favor del contratista.</w:t>
      </w:r>
    </w:p>
    <w:p w:rsidRPr="004452C7" w:rsidR="00D06D62" w:rsidP="00D06D62" w:rsidRDefault="00D06D62" w14:paraId="70D308AE" w14:textId="77777777">
      <w:pPr>
        <w:pStyle w:val="Textoindependiente"/>
        <w:spacing w:line="240" w:lineRule="auto"/>
        <w:ind w:firstLine="720"/>
        <w:jc w:val="both"/>
        <w:rPr>
          <w:rFonts w:ascii="Verdana" w:hAnsi="Verdana"/>
          <w:sz w:val="10"/>
          <w:szCs w:val="10"/>
        </w:rPr>
      </w:pPr>
      <w:r w:rsidRPr="004452C7">
        <w:rPr>
          <w:rFonts w:ascii="Verdana" w:hAnsi="Verdana"/>
          <w:sz w:val="10"/>
          <w:szCs w:val="10"/>
        </w:rPr>
        <w:t>De otro lado, se relaciona con el principio de libre concurrencia –manifestación de los principios constitucionales de libre competencia e igualdad, ya que permite que cualquier interesado con posibilidad de presentar una buena oferta según la información disponible, pueda participar en el respectivo proceso de selección; si la información fruto de la etapa precontractual es lejana a la realidad del negocio, posibles oferentes se abstendrán de presentar propuestas, en perjuicio de la libre competencia, y de la posibilidad de la entidad de acceder a ofertas más favorables. En este punto, vale la pena recordar que en los contratos de concesión, usualmente el concesionario acude a la financiación de terceros (por medio de créditos, venta de títulos, etc.), razón por la cual es indispensable contar con una imagen lo más cercana a la realidad de las dimensiones del negocio, con el fin de que los inversionistas lleven a cabo el respectivo análisis costo-beneficio y tomen decisiones sobre si participan o no en el proyecto. Sin esta información, las decisiones de financiación no podrán basarse en una previsión real de cómo obtener la mayor cantidad de servicios por el dinero invertido, elemento determinante de las decisiones de participación</w:t>
      </w:r>
    </w:p>
    <w:p w:rsidRPr="00C54F47" w:rsidR="00D06D62" w:rsidP="00D06D62" w:rsidRDefault="00D06D62" w14:paraId="6B00F976" w14:textId="77777777">
      <w:pPr>
        <w:pStyle w:val="Textonotapie"/>
        <w:ind w:firstLine="720"/>
        <w:jc w:val="both"/>
        <w:rPr>
          <w:rFonts w:ascii="Arial" w:hAnsi="Arial" w:cs="Arial"/>
          <w:sz w:val="19"/>
          <w:szCs w:val="19"/>
        </w:rPr>
      </w:pPr>
    </w:p>
  </w:footnote>
  <w:footnote w:id="8">
    <w:p w:rsidRPr="00C54F47" w:rsidR="00D06D62" w:rsidP="00D06D62" w:rsidRDefault="00D06D62" w14:paraId="1F6F269F" w14:textId="77777777">
      <w:pPr>
        <w:pStyle w:val="Textonotapie"/>
        <w:ind w:firstLine="720"/>
        <w:jc w:val="both"/>
        <w:rPr>
          <w:rFonts w:ascii="Arial" w:hAnsi="Arial" w:cs="Arial"/>
          <w:sz w:val="19"/>
          <w:szCs w:val="19"/>
        </w:rPr>
      </w:pPr>
      <w:r w:rsidRPr="006D7C2B">
        <w:rPr>
          <w:rStyle w:val="Refdenotaalpie"/>
          <w:rFonts w:ascii="Arial" w:hAnsi="Arial" w:cs="Arial"/>
          <w:sz w:val="19"/>
          <w:szCs w:val="19"/>
        </w:rPr>
        <w:footnoteRef/>
      </w:r>
      <w:r w:rsidRPr="00C54F47">
        <w:rPr>
          <w:rFonts w:ascii="Arial" w:hAnsi="Arial" w:cs="Arial"/>
          <w:sz w:val="19"/>
          <w:szCs w:val="19"/>
        </w:rPr>
        <w:t xml:space="preserve"> Ley 80 de 1993. Artículo 3.</w:t>
      </w:r>
    </w:p>
    <w:p w:rsidRPr="00C54F47" w:rsidR="00D06D62" w:rsidP="00D06D62" w:rsidRDefault="00D06D62" w14:paraId="062953E5" w14:textId="77777777">
      <w:pPr>
        <w:pStyle w:val="Textonotapie"/>
        <w:ind w:firstLine="720"/>
        <w:jc w:val="both"/>
        <w:rPr>
          <w:rFonts w:ascii="Arial" w:hAnsi="Arial" w:cs="Arial"/>
          <w:sz w:val="19"/>
          <w:szCs w:val="19"/>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xmlns:a="http://schemas.openxmlformats.org/drawingml/2006/main" xmlns:pic="http://schemas.openxmlformats.org/drawingml/2006/picture" xmlns:a14="http://schemas.microsoft.com/office/drawing/2010/main" mc:Ignorable="w14 w15 w16se w16cid w16 w16cex w16sdtdh w16sdtfl w16du wp14">
  <w:p w:rsidR="00756841" w:rsidRDefault="009D3058" w14:paraId="435F4D03" w14:textId="0903BF04">
    <w:pPr>
      <w:pStyle w:val="Encabezad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rsidR="00756841" w:rsidRDefault="00756841" w14:paraId="1BE2B9AE" w14:textId="4B94DB3B">
    <w:pPr>
      <w:pStyle w:val="Encabezado"/>
    </w:pPr>
  </w:p>
  <w:p w:rsidR="00DC39FC" w:rsidP="004A305D" w:rsidRDefault="00DC39FC" w14:paraId="3079FC11" w14:textId="77777777">
    <w:pPr>
      <w:spacing w:after="0"/>
      <w:rPr>
        <w:rFonts w:ascii="Verdana" w:hAnsi="Verdana"/>
        <w:b/>
        <w:bCs/>
      </w:rPr>
    </w:pPr>
  </w:p>
  <w:p w:rsidRPr="00DC39FC" w:rsidR="004A305D" w:rsidP="004A305D" w:rsidRDefault="004A305D" w14:paraId="7FE1230C" w14:textId="77E53D9F">
    <w:pPr>
      <w:spacing w:after="0"/>
      <w:rPr>
        <w:rFonts w:ascii="Verdana" w:hAnsi="Verdana"/>
        <w:b/>
        <w:bCs/>
      </w:rPr>
    </w:pPr>
    <w:r w:rsidRPr="00DC39FC">
      <w:rPr>
        <w:rFonts w:ascii="Verdana" w:hAnsi="Verdana"/>
        <w:b/>
        <w:bCs/>
      </w:rPr>
      <w:t>FORMATO PQRSD</w:t>
    </w:r>
  </w:p>
  <w:p w:rsidRPr="004A305D" w:rsidR="004A305D" w:rsidP="00B01B1A" w:rsidRDefault="004A305D" w14:paraId="5E18350A" w14:textId="705F7B76">
    <w:pPr>
      <w:spacing w:after="0" w:line="120" w:lineRule="auto"/>
      <w:rPr>
        <w:rFonts w:ascii="Century Gothic" w:hAnsi="Century Gothic" w:eastAsia="Geo" w:cs="Geo"/>
        <w:sz w:val="16"/>
        <w:szCs w:val="16"/>
        <w:lang w:eastAsia="es-CO"/>
      </w:rPr>
    </w:pPr>
  </w:p>
  <w:p w:rsidR="008A446D" w:rsidP="00061B2A" w:rsidRDefault="008A446D" w14:paraId="1FD1C243" w14:textId="6D74A3CF">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filled="f" stroked="f" o:spt="75" o:preferrelative="t" path="m@4@5l@4@11@9@11@9@5xe">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gradientshapeok="t" o:connecttype="rect" o:extrusionok="f"/>
        <o:lock v:ext="edit" aspectratio="t"/>
      </v:shapetype>
      <v:shape id="_x0000_i1033" style="width:11.25pt;height:11.25pt" o:bullet="t" type="#_x0000_t75">
        <v:imagedata o:title="mso1B13" r:id="rId1"/>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hint="default" w:ascii="Symbol" w:hAnsi="Symbol"/>
        <w:sz w:val="20"/>
      </w:rPr>
    </w:lvl>
    <w:lvl w:ilvl="1" w:tentative="1">
      <w:start w:val="1"/>
      <w:numFmt w:val="bullet"/>
      <w:lvlText w:val=""/>
      <w:lvlJc w:val="left"/>
      <w:pPr>
        <w:tabs>
          <w:tab w:val="num" w:pos="1440"/>
        </w:tabs>
        <w:ind w:left="1440" w:hanging="360"/>
      </w:pPr>
      <w:rPr>
        <w:rFonts w:hint="default" w:ascii="Symbol" w:hAnsi="Symbol"/>
        <w:sz w:val="20"/>
      </w:rPr>
    </w:lvl>
    <w:lvl w:ilvl="2" w:tentative="1">
      <w:start w:val="1"/>
      <w:numFmt w:val="bullet"/>
      <w:lvlText w:val=""/>
      <w:lvlJc w:val="left"/>
      <w:pPr>
        <w:tabs>
          <w:tab w:val="num" w:pos="2160"/>
        </w:tabs>
        <w:ind w:left="2160" w:hanging="360"/>
      </w:pPr>
      <w:rPr>
        <w:rFonts w:hint="default" w:ascii="Symbol" w:hAnsi="Symbol"/>
        <w:sz w:val="20"/>
      </w:rPr>
    </w:lvl>
    <w:lvl w:ilvl="3" w:tentative="1">
      <w:start w:val="1"/>
      <w:numFmt w:val="bullet"/>
      <w:lvlText w:val=""/>
      <w:lvlJc w:val="left"/>
      <w:pPr>
        <w:tabs>
          <w:tab w:val="num" w:pos="2880"/>
        </w:tabs>
        <w:ind w:left="2880" w:hanging="360"/>
      </w:pPr>
      <w:rPr>
        <w:rFonts w:hint="default" w:ascii="Symbol" w:hAnsi="Symbol"/>
        <w:sz w:val="20"/>
      </w:rPr>
    </w:lvl>
    <w:lvl w:ilvl="4" w:tentative="1">
      <w:start w:val="1"/>
      <w:numFmt w:val="bullet"/>
      <w:lvlText w:val=""/>
      <w:lvlJc w:val="left"/>
      <w:pPr>
        <w:tabs>
          <w:tab w:val="num" w:pos="3600"/>
        </w:tabs>
        <w:ind w:left="3600" w:hanging="360"/>
      </w:pPr>
      <w:rPr>
        <w:rFonts w:hint="default" w:ascii="Symbol" w:hAnsi="Symbol"/>
        <w:sz w:val="20"/>
      </w:rPr>
    </w:lvl>
    <w:lvl w:ilvl="5" w:tentative="1">
      <w:start w:val="1"/>
      <w:numFmt w:val="bullet"/>
      <w:lvlText w:val=""/>
      <w:lvlJc w:val="left"/>
      <w:pPr>
        <w:tabs>
          <w:tab w:val="num" w:pos="4320"/>
        </w:tabs>
        <w:ind w:left="4320" w:hanging="360"/>
      </w:pPr>
      <w:rPr>
        <w:rFonts w:hint="default" w:ascii="Symbol" w:hAnsi="Symbol"/>
        <w:sz w:val="20"/>
      </w:rPr>
    </w:lvl>
    <w:lvl w:ilvl="6" w:tentative="1">
      <w:start w:val="1"/>
      <w:numFmt w:val="bullet"/>
      <w:lvlText w:val=""/>
      <w:lvlJc w:val="left"/>
      <w:pPr>
        <w:tabs>
          <w:tab w:val="num" w:pos="5040"/>
        </w:tabs>
        <w:ind w:left="5040" w:hanging="360"/>
      </w:pPr>
      <w:rPr>
        <w:rFonts w:hint="default" w:ascii="Symbol" w:hAnsi="Symbol"/>
        <w:sz w:val="20"/>
      </w:rPr>
    </w:lvl>
    <w:lvl w:ilvl="7" w:tentative="1">
      <w:start w:val="1"/>
      <w:numFmt w:val="bullet"/>
      <w:lvlText w:val=""/>
      <w:lvlJc w:val="left"/>
      <w:pPr>
        <w:tabs>
          <w:tab w:val="num" w:pos="5760"/>
        </w:tabs>
        <w:ind w:left="5760" w:hanging="360"/>
      </w:pPr>
      <w:rPr>
        <w:rFonts w:hint="default" w:ascii="Symbol" w:hAnsi="Symbol"/>
        <w:sz w:val="20"/>
      </w:rPr>
    </w:lvl>
    <w:lvl w:ilvl="8" w:tentative="1">
      <w:start w:val="1"/>
      <w:numFmt w:val="bullet"/>
      <w:lvlText w:val=""/>
      <w:lvlJc w:val="left"/>
      <w:pPr>
        <w:tabs>
          <w:tab w:val="num" w:pos="6480"/>
        </w:tabs>
        <w:ind w:left="6480" w:hanging="360"/>
      </w:pPr>
      <w:rPr>
        <w:rFonts w:hint="default" w:ascii="Symbol" w:hAnsi="Symbol"/>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hint="default" w:ascii="Arial" w:hAnsi="Arial" w:eastAsia="Times New Roman" w:cs="Arial"/>
        <w:b/>
      </w:rPr>
    </w:lvl>
    <w:lvl w:ilvl="1" w:tplc="0C0A0003" w:tentative="1">
      <w:start w:val="1"/>
      <w:numFmt w:val="bullet"/>
      <w:lvlText w:val="o"/>
      <w:lvlJc w:val="left"/>
      <w:pPr>
        <w:ind w:left="1800" w:hanging="360"/>
      </w:pPr>
      <w:rPr>
        <w:rFonts w:hint="default" w:ascii="Courier New" w:hAnsi="Courier New" w:cs="Courier New"/>
      </w:rPr>
    </w:lvl>
    <w:lvl w:ilvl="2" w:tplc="0C0A0005" w:tentative="1">
      <w:start w:val="1"/>
      <w:numFmt w:val="bullet"/>
      <w:lvlText w:val=""/>
      <w:lvlJc w:val="left"/>
      <w:pPr>
        <w:ind w:left="2520" w:hanging="360"/>
      </w:pPr>
      <w:rPr>
        <w:rFonts w:hint="default" w:ascii="Wingdings" w:hAnsi="Wingdings"/>
      </w:rPr>
    </w:lvl>
    <w:lvl w:ilvl="3" w:tplc="0C0A0001" w:tentative="1">
      <w:start w:val="1"/>
      <w:numFmt w:val="bullet"/>
      <w:lvlText w:val=""/>
      <w:lvlJc w:val="left"/>
      <w:pPr>
        <w:ind w:left="3240" w:hanging="360"/>
      </w:pPr>
      <w:rPr>
        <w:rFonts w:hint="default" w:ascii="Symbol" w:hAnsi="Symbol"/>
      </w:rPr>
    </w:lvl>
    <w:lvl w:ilvl="4" w:tplc="0C0A0003" w:tentative="1">
      <w:start w:val="1"/>
      <w:numFmt w:val="bullet"/>
      <w:lvlText w:val="o"/>
      <w:lvlJc w:val="left"/>
      <w:pPr>
        <w:ind w:left="3960" w:hanging="360"/>
      </w:pPr>
      <w:rPr>
        <w:rFonts w:hint="default" w:ascii="Courier New" w:hAnsi="Courier New" w:cs="Courier New"/>
      </w:rPr>
    </w:lvl>
    <w:lvl w:ilvl="5" w:tplc="0C0A0005" w:tentative="1">
      <w:start w:val="1"/>
      <w:numFmt w:val="bullet"/>
      <w:lvlText w:val=""/>
      <w:lvlJc w:val="left"/>
      <w:pPr>
        <w:ind w:left="4680" w:hanging="360"/>
      </w:pPr>
      <w:rPr>
        <w:rFonts w:hint="default" w:ascii="Wingdings" w:hAnsi="Wingdings"/>
      </w:rPr>
    </w:lvl>
    <w:lvl w:ilvl="6" w:tplc="0C0A0001" w:tentative="1">
      <w:start w:val="1"/>
      <w:numFmt w:val="bullet"/>
      <w:lvlText w:val=""/>
      <w:lvlJc w:val="left"/>
      <w:pPr>
        <w:ind w:left="5400" w:hanging="360"/>
      </w:pPr>
      <w:rPr>
        <w:rFonts w:hint="default" w:ascii="Symbol" w:hAnsi="Symbol"/>
      </w:rPr>
    </w:lvl>
    <w:lvl w:ilvl="7" w:tplc="0C0A0003" w:tentative="1">
      <w:start w:val="1"/>
      <w:numFmt w:val="bullet"/>
      <w:lvlText w:val="o"/>
      <w:lvlJc w:val="left"/>
      <w:pPr>
        <w:ind w:left="6120" w:hanging="360"/>
      </w:pPr>
      <w:rPr>
        <w:rFonts w:hint="default" w:ascii="Courier New" w:hAnsi="Courier New" w:cs="Courier New"/>
      </w:rPr>
    </w:lvl>
    <w:lvl w:ilvl="8" w:tplc="0C0A0005" w:tentative="1">
      <w:start w:val="1"/>
      <w:numFmt w:val="bullet"/>
      <w:lvlText w:val=""/>
      <w:lvlJc w:val="left"/>
      <w:pPr>
        <w:ind w:left="6840" w:hanging="360"/>
      </w:pPr>
      <w:rPr>
        <w:rFonts w:hint="default" w:ascii="Wingdings" w:hAnsi="Wingdings"/>
      </w:rPr>
    </w:lvl>
  </w:abstractNum>
  <w:abstractNum w:abstractNumId="2" w15:restartNumberingAfterBreak="0">
    <w:nsid w:val="1A153E09"/>
    <w:multiLevelType w:val="hybridMultilevel"/>
    <w:tmpl w:val="279048F0"/>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8001254"/>
    <w:multiLevelType w:val="hybridMultilevel"/>
    <w:tmpl w:val="8F6A6D32"/>
    <w:lvl w:ilvl="0" w:tplc="240A0001">
      <w:start w:val="1"/>
      <w:numFmt w:val="bullet"/>
      <w:lvlText w:val=""/>
      <w:lvlJc w:val="left"/>
      <w:pPr>
        <w:ind w:left="720" w:hanging="360"/>
      </w:pPr>
      <w:rPr>
        <w:rFonts w:hint="default" w:ascii="Symbol" w:hAnsi="Symbol"/>
      </w:rPr>
    </w:lvl>
    <w:lvl w:ilvl="1" w:tplc="240A0003" w:tentative="1">
      <w:start w:val="1"/>
      <w:numFmt w:val="bullet"/>
      <w:lvlText w:val="o"/>
      <w:lvlJc w:val="left"/>
      <w:pPr>
        <w:ind w:left="1440" w:hanging="360"/>
      </w:pPr>
      <w:rPr>
        <w:rFonts w:hint="default" w:ascii="Courier New" w:hAnsi="Courier New" w:cs="Courier New"/>
      </w:rPr>
    </w:lvl>
    <w:lvl w:ilvl="2" w:tplc="240A0005" w:tentative="1">
      <w:start w:val="1"/>
      <w:numFmt w:val="bullet"/>
      <w:lvlText w:val=""/>
      <w:lvlJc w:val="left"/>
      <w:pPr>
        <w:ind w:left="2160" w:hanging="360"/>
      </w:pPr>
      <w:rPr>
        <w:rFonts w:hint="default" w:ascii="Wingdings" w:hAnsi="Wingdings"/>
      </w:rPr>
    </w:lvl>
    <w:lvl w:ilvl="3" w:tplc="240A0001" w:tentative="1">
      <w:start w:val="1"/>
      <w:numFmt w:val="bullet"/>
      <w:lvlText w:val=""/>
      <w:lvlJc w:val="left"/>
      <w:pPr>
        <w:ind w:left="2880" w:hanging="360"/>
      </w:pPr>
      <w:rPr>
        <w:rFonts w:hint="default" w:ascii="Symbol" w:hAnsi="Symbol"/>
      </w:rPr>
    </w:lvl>
    <w:lvl w:ilvl="4" w:tplc="240A0003" w:tentative="1">
      <w:start w:val="1"/>
      <w:numFmt w:val="bullet"/>
      <w:lvlText w:val="o"/>
      <w:lvlJc w:val="left"/>
      <w:pPr>
        <w:ind w:left="3600" w:hanging="360"/>
      </w:pPr>
      <w:rPr>
        <w:rFonts w:hint="default" w:ascii="Courier New" w:hAnsi="Courier New" w:cs="Courier New"/>
      </w:rPr>
    </w:lvl>
    <w:lvl w:ilvl="5" w:tplc="240A0005" w:tentative="1">
      <w:start w:val="1"/>
      <w:numFmt w:val="bullet"/>
      <w:lvlText w:val=""/>
      <w:lvlJc w:val="left"/>
      <w:pPr>
        <w:ind w:left="4320" w:hanging="360"/>
      </w:pPr>
      <w:rPr>
        <w:rFonts w:hint="default" w:ascii="Wingdings" w:hAnsi="Wingdings"/>
      </w:rPr>
    </w:lvl>
    <w:lvl w:ilvl="6" w:tplc="240A0001" w:tentative="1">
      <w:start w:val="1"/>
      <w:numFmt w:val="bullet"/>
      <w:lvlText w:val=""/>
      <w:lvlJc w:val="left"/>
      <w:pPr>
        <w:ind w:left="5040" w:hanging="360"/>
      </w:pPr>
      <w:rPr>
        <w:rFonts w:hint="default" w:ascii="Symbol" w:hAnsi="Symbol"/>
      </w:rPr>
    </w:lvl>
    <w:lvl w:ilvl="7" w:tplc="240A0003" w:tentative="1">
      <w:start w:val="1"/>
      <w:numFmt w:val="bullet"/>
      <w:lvlText w:val="o"/>
      <w:lvlJc w:val="left"/>
      <w:pPr>
        <w:ind w:left="5760" w:hanging="360"/>
      </w:pPr>
      <w:rPr>
        <w:rFonts w:hint="default" w:ascii="Courier New" w:hAnsi="Courier New" w:cs="Courier New"/>
      </w:rPr>
    </w:lvl>
    <w:lvl w:ilvl="8" w:tplc="240A0005" w:tentative="1">
      <w:start w:val="1"/>
      <w:numFmt w:val="bullet"/>
      <w:lvlText w:val=""/>
      <w:lvlJc w:val="left"/>
      <w:pPr>
        <w:ind w:left="6480" w:hanging="360"/>
      </w:pPr>
      <w:rPr>
        <w:rFonts w:hint="default" w:ascii="Wingdings" w:hAnsi="Wingdings"/>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hint="default" w:ascii="Symbol" w:hAnsi="Symbol"/>
      </w:rPr>
    </w:lvl>
    <w:lvl w:ilvl="1" w:tplc="240A0003" w:tentative="1">
      <w:start w:val="1"/>
      <w:numFmt w:val="bullet"/>
      <w:lvlText w:val="o"/>
      <w:lvlJc w:val="left"/>
      <w:pPr>
        <w:ind w:left="1505" w:hanging="360"/>
      </w:pPr>
      <w:rPr>
        <w:rFonts w:hint="default" w:ascii="Courier New" w:hAnsi="Courier New" w:cs="Courier New"/>
      </w:rPr>
    </w:lvl>
    <w:lvl w:ilvl="2" w:tplc="240A0005" w:tentative="1">
      <w:start w:val="1"/>
      <w:numFmt w:val="bullet"/>
      <w:lvlText w:val=""/>
      <w:lvlJc w:val="left"/>
      <w:pPr>
        <w:ind w:left="2225" w:hanging="360"/>
      </w:pPr>
      <w:rPr>
        <w:rFonts w:hint="default" w:ascii="Wingdings" w:hAnsi="Wingdings"/>
      </w:rPr>
    </w:lvl>
    <w:lvl w:ilvl="3" w:tplc="240A0001" w:tentative="1">
      <w:start w:val="1"/>
      <w:numFmt w:val="bullet"/>
      <w:lvlText w:val=""/>
      <w:lvlJc w:val="left"/>
      <w:pPr>
        <w:ind w:left="2945" w:hanging="360"/>
      </w:pPr>
      <w:rPr>
        <w:rFonts w:hint="default" w:ascii="Symbol" w:hAnsi="Symbol"/>
      </w:rPr>
    </w:lvl>
    <w:lvl w:ilvl="4" w:tplc="240A0003" w:tentative="1">
      <w:start w:val="1"/>
      <w:numFmt w:val="bullet"/>
      <w:lvlText w:val="o"/>
      <w:lvlJc w:val="left"/>
      <w:pPr>
        <w:ind w:left="3665" w:hanging="360"/>
      </w:pPr>
      <w:rPr>
        <w:rFonts w:hint="default" w:ascii="Courier New" w:hAnsi="Courier New" w:cs="Courier New"/>
      </w:rPr>
    </w:lvl>
    <w:lvl w:ilvl="5" w:tplc="240A0005" w:tentative="1">
      <w:start w:val="1"/>
      <w:numFmt w:val="bullet"/>
      <w:lvlText w:val=""/>
      <w:lvlJc w:val="left"/>
      <w:pPr>
        <w:ind w:left="4385" w:hanging="360"/>
      </w:pPr>
      <w:rPr>
        <w:rFonts w:hint="default" w:ascii="Wingdings" w:hAnsi="Wingdings"/>
      </w:rPr>
    </w:lvl>
    <w:lvl w:ilvl="6" w:tplc="240A0001" w:tentative="1">
      <w:start w:val="1"/>
      <w:numFmt w:val="bullet"/>
      <w:lvlText w:val=""/>
      <w:lvlJc w:val="left"/>
      <w:pPr>
        <w:ind w:left="5105" w:hanging="360"/>
      </w:pPr>
      <w:rPr>
        <w:rFonts w:hint="default" w:ascii="Symbol" w:hAnsi="Symbol"/>
      </w:rPr>
    </w:lvl>
    <w:lvl w:ilvl="7" w:tplc="240A0003" w:tentative="1">
      <w:start w:val="1"/>
      <w:numFmt w:val="bullet"/>
      <w:lvlText w:val="o"/>
      <w:lvlJc w:val="left"/>
      <w:pPr>
        <w:ind w:left="5825" w:hanging="360"/>
      </w:pPr>
      <w:rPr>
        <w:rFonts w:hint="default" w:ascii="Courier New" w:hAnsi="Courier New" w:cs="Courier New"/>
      </w:rPr>
    </w:lvl>
    <w:lvl w:ilvl="8" w:tplc="240A0005" w:tentative="1">
      <w:start w:val="1"/>
      <w:numFmt w:val="bullet"/>
      <w:lvlText w:val=""/>
      <w:lvlJc w:val="left"/>
      <w:pPr>
        <w:ind w:left="6545" w:hanging="360"/>
      </w:pPr>
      <w:rPr>
        <w:rFonts w:hint="default" w:ascii="Wingdings" w:hAnsi="Wingdings"/>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193815473">
    <w:abstractNumId w:val="9"/>
  </w:num>
  <w:num w:numId="17" w16cid:durableId="102921834">
    <w:abstractNumId w:val="2"/>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p14">
  <w:zoom w:percent="100"/>
  <w:proofState w:spelling="clean" w:grammar="dirty"/>
  <w:trackRevisions w:val="false"/>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35C13"/>
    <w:rsid w:val="00046945"/>
    <w:rsid w:val="00061B2A"/>
    <w:rsid w:val="00074017"/>
    <w:rsid w:val="00082362"/>
    <w:rsid w:val="000A683E"/>
    <w:rsid w:val="000B19B9"/>
    <w:rsid w:val="000D0334"/>
    <w:rsid w:val="000F6486"/>
    <w:rsid w:val="00102BE4"/>
    <w:rsid w:val="00125105"/>
    <w:rsid w:val="00127233"/>
    <w:rsid w:val="001511A0"/>
    <w:rsid w:val="00171852"/>
    <w:rsid w:val="001E4177"/>
    <w:rsid w:val="001F7DC6"/>
    <w:rsid w:val="0023301A"/>
    <w:rsid w:val="002421BB"/>
    <w:rsid w:val="002460D9"/>
    <w:rsid w:val="00253ACA"/>
    <w:rsid w:val="0025796E"/>
    <w:rsid w:val="002707A2"/>
    <w:rsid w:val="002951A0"/>
    <w:rsid w:val="002962BC"/>
    <w:rsid w:val="002A093D"/>
    <w:rsid w:val="002A0DD0"/>
    <w:rsid w:val="002A49AC"/>
    <w:rsid w:val="002A64FD"/>
    <w:rsid w:val="002C7A84"/>
    <w:rsid w:val="002E4FD9"/>
    <w:rsid w:val="00322A85"/>
    <w:rsid w:val="00324168"/>
    <w:rsid w:val="0034282F"/>
    <w:rsid w:val="00343355"/>
    <w:rsid w:val="00343B3B"/>
    <w:rsid w:val="003448F4"/>
    <w:rsid w:val="003516CF"/>
    <w:rsid w:val="00373E98"/>
    <w:rsid w:val="00374F5E"/>
    <w:rsid w:val="00377E3E"/>
    <w:rsid w:val="0038139A"/>
    <w:rsid w:val="003A779E"/>
    <w:rsid w:val="003B33EF"/>
    <w:rsid w:val="003D0F4D"/>
    <w:rsid w:val="003D5B0D"/>
    <w:rsid w:val="003D7CAA"/>
    <w:rsid w:val="003E0499"/>
    <w:rsid w:val="003F3941"/>
    <w:rsid w:val="00406575"/>
    <w:rsid w:val="00414C74"/>
    <w:rsid w:val="0042722E"/>
    <w:rsid w:val="0044528D"/>
    <w:rsid w:val="004A1847"/>
    <w:rsid w:val="004A305D"/>
    <w:rsid w:val="004E449C"/>
    <w:rsid w:val="004F21C4"/>
    <w:rsid w:val="004F685F"/>
    <w:rsid w:val="00501D03"/>
    <w:rsid w:val="005566E8"/>
    <w:rsid w:val="00574867"/>
    <w:rsid w:val="00591460"/>
    <w:rsid w:val="005B3816"/>
    <w:rsid w:val="005C3777"/>
    <w:rsid w:val="005C5CDC"/>
    <w:rsid w:val="005D0BD4"/>
    <w:rsid w:val="005D476C"/>
    <w:rsid w:val="006219F8"/>
    <w:rsid w:val="00665D70"/>
    <w:rsid w:val="006900D9"/>
    <w:rsid w:val="00692506"/>
    <w:rsid w:val="006C4CEC"/>
    <w:rsid w:val="006D5008"/>
    <w:rsid w:val="006E0F81"/>
    <w:rsid w:val="00706C16"/>
    <w:rsid w:val="00756841"/>
    <w:rsid w:val="007649AB"/>
    <w:rsid w:val="00771D0C"/>
    <w:rsid w:val="007833AC"/>
    <w:rsid w:val="007B268C"/>
    <w:rsid w:val="007B7171"/>
    <w:rsid w:val="007C0C0F"/>
    <w:rsid w:val="007C29A6"/>
    <w:rsid w:val="007C3DC2"/>
    <w:rsid w:val="007E5497"/>
    <w:rsid w:val="00806F5F"/>
    <w:rsid w:val="00820278"/>
    <w:rsid w:val="00825AEB"/>
    <w:rsid w:val="00867F95"/>
    <w:rsid w:val="008775C2"/>
    <w:rsid w:val="008843B6"/>
    <w:rsid w:val="00891928"/>
    <w:rsid w:val="008A322F"/>
    <w:rsid w:val="008A446D"/>
    <w:rsid w:val="008C56E5"/>
    <w:rsid w:val="008C689A"/>
    <w:rsid w:val="008D180B"/>
    <w:rsid w:val="008D1F0E"/>
    <w:rsid w:val="008F0EA7"/>
    <w:rsid w:val="00905CCA"/>
    <w:rsid w:val="00923EEF"/>
    <w:rsid w:val="009419F9"/>
    <w:rsid w:val="0095685E"/>
    <w:rsid w:val="00961B09"/>
    <w:rsid w:val="00965334"/>
    <w:rsid w:val="0097093E"/>
    <w:rsid w:val="00986AC5"/>
    <w:rsid w:val="009A0DFA"/>
    <w:rsid w:val="009B2D26"/>
    <w:rsid w:val="009C71FA"/>
    <w:rsid w:val="009C72E7"/>
    <w:rsid w:val="009D3058"/>
    <w:rsid w:val="009E0C9B"/>
    <w:rsid w:val="009E264B"/>
    <w:rsid w:val="009F3A13"/>
    <w:rsid w:val="00A122D3"/>
    <w:rsid w:val="00A17F13"/>
    <w:rsid w:val="00A20739"/>
    <w:rsid w:val="00A33C78"/>
    <w:rsid w:val="00A42854"/>
    <w:rsid w:val="00A95756"/>
    <w:rsid w:val="00AB0ADB"/>
    <w:rsid w:val="00B01B1A"/>
    <w:rsid w:val="00B0415D"/>
    <w:rsid w:val="00B66319"/>
    <w:rsid w:val="00B72CD3"/>
    <w:rsid w:val="00B72FFF"/>
    <w:rsid w:val="00B83FF7"/>
    <w:rsid w:val="00BC3D36"/>
    <w:rsid w:val="00BD7F72"/>
    <w:rsid w:val="00BE7CC7"/>
    <w:rsid w:val="00C04FB3"/>
    <w:rsid w:val="00C330EB"/>
    <w:rsid w:val="00C41061"/>
    <w:rsid w:val="00C46A2A"/>
    <w:rsid w:val="00C724F7"/>
    <w:rsid w:val="00C754BE"/>
    <w:rsid w:val="00C76B1C"/>
    <w:rsid w:val="00C93875"/>
    <w:rsid w:val="00CB6357"/>
    <w:rsid w:val="00CC1B26"/>
    <w:rsid w:val="00CF1C19"/>
    <w:rsid w:val="00CF2CD0"/>
    <w:rsid w:val="00D06D62"/>
    <w:rsid w:val="00D423A2"/>
    <w:rsid w:val="00D44354"/>
    <w:rsid w:val="00D520D8"/>
    <w:rsid w:val="00D63AC2"/>
    <w:rsid w:val="00D7383B"/>
    <w:rsid w:val="00D86F8E"/>
    <w:rsid w:val="00DA231B"/>
    <w:rsid w:val="00DA4084"/>
    <w:rsid w:val="00DC39FC"/>
    <w:rsid w:val="00DF5254"/>
    <w:rsid w:val="00E16408"/>
    <w:rsid w:val="00E20894"/>
    <w:rsid w:val="00E245AB"/>
    <w:rsid w:val="00E2764C"/>
    <w:rsid w:val="00E27F2E"/>
    <w:rsid w:val="00E46BD3"/>
    <w:rsid w:val="00E50AFE"/>
    <w:rsid w:val="00E75C92"/>
    <w:rsid w:val="00E771DC"/>
    <w:rsid w:val="00E8772A"/>
    <w:rsid w:val="00E90F6B"/>
    <w:rsid w:val="00E92C27"/>
    <w:rsid w:val="00EA0E3D"/>
    <w:rsid w:val="00EB0B36"/>
    <w:rsid w:val="00EC38A7"/>
    <w:rsid w:val="00ED7384"/>
    <w:rsid w:val="00EE1AA8"/>
    <w:rsid w:val="00F13B54"/>
    <w:rsid w:val="00F31EDC"/>
    <w:rsid w:val="00F462B3"/>
    <w:rsid w:val="00F509B6"/>
    <w:rsid w:val="00F5664F"/>
    <w:rsid w:val="00F666C4"/>
    <w:rsid w:val="00F76AFC"/>
    <w:rsid w:val="00FA47C0"/>
    <w:rsid w:val="00FB5DD1"/>
    <w:rsid w:val="00FC2B5D"/>
    <w:rsid w:val="00FF1449"/>
    <w:rsid w:val="061B2CC8"/>
    <w:rsid w:val="0DCF27E7"/>
    <w:rsid w:val="11CA167C"/>
    <w:rsid w:val="3461731C"/>
    <w:rsid w:val="38FD8617"/>
    <w:rsid w:val="4485B760"/>
    <w:rsid w:val="47F9495F"/>
    <w:rsid w:val="51D5DE29"/>
    <w:rsid w:val="5DFF391B"/>
    <w:rsid w:val="677CEC5D"/>
    <w:rsid w:val="79B5508E"/>
    <w:rsid w:val="79BB58DF"/>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p14">
  <w:docDefaults>
    <w:rPrDefault>
      <w:rPr>
        <w:rFonts w:asciiTheme="minorHAnsi" w:hAnsiTheme="minorHAnsi" w:eastAsia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E245AB"/>
  </w:style>
  <w:style w:type="character" w:styleId="Fuentedeprrafopredeter" w:default="1">
    <w:name w:val="Default Paragraph Font"/>
    <w:uiPriority w:val="1"/>
    <w:semiHidden/>
    <w:unhideWhenUsed/>
  </w:style>
  <w:style w:type="table" w:styleId="Tablanormal" w:default="1">
    <w:name w:val="Normal Table"/>
    <w:uiPriority w:val="99"/>
    <w:semiHidden/>
    <w:unhideWhenUsed/>
    <w:tblPr>
      <w:tblInd w:w="0" w:type="dxa"/>
      <w:tblCellMar>
        <w:top w:w="0" w:type="dxa"/>
        <w:left w:w="108" w:type="dxa"/>
        <w:bottom w:w="0" w:type="dxa"/>
        <w:right w:w="108" w:type="dxa"/>
      </w:tblCellMar>
    </w:tblPr>
  </w:style>
  <w:style w:type="numbering" w:styleId="Sinlista" w:default="1">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styleId="EncabezadoCar" w:customStyle="1">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styleId="PiedepginaCar" w:customStyle="1">
    <w:name w:val="Pie de página Car"/>
    <w:basedOn w:val="Fuentedeprrafopredeter"/>
    <w:link w:val="Piedepgina"/>
    <w:uiPriority w:val="99"/>
    <w:rsid w:val="004A1847"/>
  </w:style>
  <w:style w:type="paragraph" w:styleId="Default" w:customStyle="1">
    <w:name w:val="Default"/>
    <w:rsid w:val="006219F8"/>
    <w:pPr>
      <w:autoSpaceDE w:val="0"/>
      <w:autoSpaceDN w:val="0"/>
      <w:adjustRightInd w:val="0"/>
      <w:spacing w:after="0" w:line="240" w:lineRule="auto"/>
    </w:pPr>
    <w:rPr>
      <w:rFonts w:ascii="Arial" w:hAnsi="Arial" w:cs="Arial"/>
      <w:color w:val="000000"/>
      <w:sz w:val="24"/>
      <w:szCs w:val="24"/>
    </w:rPr>
  </w:style>
  <w:style w:type="character" w:styleId="TextonotapieCar" w:customStyle="1">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styleId="TextonotapieCar1" w:customStyle="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styleId="normaltextrun" w:customStyle="1">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hAnsi="Geomanist" w:eastAsiaTheme="majorEastAsia" w:cstheme="majorBidi"/>
      <w:spacing w:val="-10"/>
      <w:kern w:val="28"/>
      <w:szCs w:val="56"/>
      <w:lang w:val="es-ES"/>
    </w:rPr>
  </w:style>
  <w:style w:type="character" w:styleId="TtuloCar" w:customStyle="1">
    <w:name w:val="Título Car"/>
    <w:basedOn w:val="Fuentedeprrafopredeter"/>
    <w:link w:val="Ttulo"/>
    <w:uiPriority w:val="10"/>
    <w:rsid w:val="005566E8"/>
    <w:rPr>
      <w:rFonts w:ascii="Geomanist" w:hAnsi="Geomanist" w:eastAsiaTheme="majorEastAsia" w:cstheme="majorBidi"/>
      <w:spacing w:val="-10"/>
      <w:kern w:val="28"/>
      <w:szCs w:val="56"/>
      <w:lang w:val="es-ES"/>
    </w:rPr>
  </w:style>
  <w:style w:type="character" w:styleId="ui-provider" w:customStyle="1">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styleId="paragraph" w:customStyle="1">
    <w:name w:val="paragraph"/>
    <w:basedOn w:val="Normal"/>
    <w:rsid w:val="00322A85"/>
    <w:pPr>
      <w:spacing w:before="100" w:beforeAutospacing="1" w:after="100" w:afterAutospacing="1" w:line="240" w:lineRule="auto"/>
    </w:pPr>
    <w:rPr>
      <w:rFonts w:ascii="Times New Roman" w:hAnsi="Times New Roman" w:eastAsia="Times New Roman" w:cs="Times New Roman"/>
      <w:sz w:val="24"/>
      <w:szCs w:val="24"/>
      <w:lang w:eastAsia="es-CO"/>
    </w:rPr>
  </w:style>
  <w:style w:type="character" w:styleId="tabchar" w:customStyle="1">
    <w:name w:val="tabchar"/>
    <w:basedOn w:val="Fuentedeprrafopredeter"/>
    <w:rsid w:val="00322A85"/>
  </w:style>
  <w:style w:type="character" w:styleId="eop" w:customStyle="1">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blanco" w:customStyle="1">
    <w:name w:val="blanco"/>
    <w:basedOn w:val="Normal"/>
    <w:rsid w:val="00C76B1C"/>
    <w:pPr>
      <w:spacing w:before="100" w:beforeAutospacing="1" w:after="100" w:afterAutospacing="1" w:line="240" w:lineRule="auto"/>
    </w:pPr>
    <w:rPr>
      <w:rFonts w:ascii="Times New Roman" w:hAnsi="Times New Roman" w:eastAsia="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styleId="Tablaconcuadrcula1" w:customStyle="1">
    <w:name w:val="Tabla con cuadrícula1"/>
    <w:basedOn w:val="Tablanormal"/>
    <w:next w:val="Tablaconcuadrcula"/>
    <w:uiPriority w:val="59"/>
    <w:rsid w:val="00D06D62"/>
    <w:pPr>
      <w:spacing w:after="0" w:line="240" w:lineRule="auto"/>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Appelnotedebasde" w:customStyle="1">
    <w:name w:val="Appel note de bas de..."/>
    <w:basedOn w:val="Normal"/>
    <w:link w:val="Refdenotaalpie"/>
    <w:uiPriority w:val="99"/>
    <w:rsid w:val="00D06D62"/>
    <w:pPr>
      <w:spacing w:line="240" w:lineRule="exact"/>
    </w:pPr>
    <w:rPr>
      <w:vertAlign w:val="superscript"/>
    </w:rPr>
  </w:style>
  <w:style w:type="character" w:styleId="PrrafodelistaCar" w:customStyle="1">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D06D62"/>
    <w:rPr>
      <w:rFonts w:ascii="Geomanist Light" w:hAnsi="Geomanist Light"/>
      <w:lang w:val="es-ES"/>
    </w:rPr>
  </w:style>
  <w:style w:type="paragraph" w:styleId="Textoindependiente">
    <w:name w:val="Body Text"/>
    <w:basedOn w:val="Normal"/>
    <w:link w:val="TextoindependienteCar"/>
    <w:uiPriority w:val="99"/>
    <w:unhideWhenUsed/>
    <w:rsid w:val="00D06D62"/>
    <w:pPr>
      <w:spacing w:after="120" w:line="276" w:lineRule="auto"/>
    </w:pPr>
    <w:rPr>
      <w:rFonts w:eastAsiaTheme="minorEastAsia"/>
      <w:lang w:eastAsia="es-CO"/>
    </w:rPr>
  </w:style>
  <w:style w:type="character" w:styleId="TextoindependienteCar" w:customStyle="1">
    <w:name w:val="Texto independiente Car"/>
    <w:basedOn w:val="Fuentedeprrafopredeter"/>
    <w:link w:val="Textoindependiente"/>
    <w:uiPriority w:val="99"/>
    <w:rsid w:val="00D06D62"/>
    <w:rPr>
      <w:rFonts w:eastAsiaTheme="minorEastAsia"/>
      <w:lang w:eastAsia="es-CO"/>
    </w:rPr>
  </w:style>
  <w:style w:type="character" w:styleId="Textoennegrita">
    <w:name w:val="Strong"/>
    <w:basedOn w:val="Fuentedeprrafopredeter"/>
    <w:uiPriority w:val="22"/>
    <w:qFormat/>
    <w:rsid w:val="00D06D62"/>
    <w:rPr>
      <w:b/>
      <w:bCs/>
    </w:rPr>
  </w:style>
  <w:style w:type="character" w:styleId="nfasis">
    <w:name w:val="Emphasis"/>
    <w:basedOn w:val="Fuentedeprrafopredeter"/>
    <w:uiPriority w:val="20"/>
    <w:qFormat/>
    <w:rsid w:val="00D06D62"/>
    <w:rPr>
      <w:i/>
      <w:iCs/>
    </w:rPr>
  </w:style>
  <w:style w:type="character" w:styleId="NormalWebCar" w:customStyle="1">
    <w:name w:val="Normal (Web) Car"/>
    <w:link w:val="NormalWeb"/>
    <w:uiPriority w:val="99"/>
    <w:locked/>
    <w:rsid w:val="00D06D62"/>
    <w:rPr>
      <w:rFonts w:ascii="Times New Roman" w:hAnsi="Times New Roman" w:eastAsia="Times New Roman" w:cs="Times New Roman"/>
      <w:sz w:val="24"/>
      <w:szCs w:val="24"/>
      <w:lang w:eastAsia="es-CO"/>
    </w:rPr>
  </w:style>
  <w:style w:type="character" w:styleId="apple-converted-space" w:customStyle="1">
    <w:name w:val="apple-converted-space"/>
    <w:basedOn w:val="Fuentedeprrafopredeter"/>
    <w:rsid w:val="00D06D62"/>
  </w:style>
  <w:style w:type="paragraph" w:styleId="Textocomentario">
    <w:name w:val="annotation text"/>
    <w:basedOn w:val="Normal"/>
    <w:link w:val="TextocomentarioCar"/>
    <w:uiPriority w:val="99"/>
    <w:semiHidden/>
    <w:unhideWhenUsed/>
    <w:pPr>
      <w:spacing w:line="240" w:lineRule="auto"/>
    </w:pPr>
    <w:rPr>
      <w:sz w:val="20"/>
      <w:szCs w:val="20"/>
    </w:rPr>
  </w:style>
  <w:style w:type="character" w:styleId="TextocomentarioCar" w:customStyle="1">
    <w:name w:val="Texto comentario Car"/>
    <w:basedOn w:val="Fuentedeprrafopredeter"/>
    <w:link w:val="Textocomentario"/>
    <w:uiPriority w:val="99"/>
    <w:semiHidden/>
    <w:rPr>
      <w:sz w:val="20"/>
      <w:szCs w:val="20"/>
    </w:rPr>
  </w:style>
  <w:style w:type="character" w:styleId="Refdecomentario">
    <w:name w:val="annotation reference"/>
    <w:basedOn w:val="Fuentedeprrafopredeter"/>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39162235">
      <w:bodyDiv w:val="1"/>
      <w:marLeft w:val="0"/>
      <w:marRight w:val="0"/>
      <w:marTop w:val="0"/>
      <w:marBottom w:val="0"/>
      <w:divBdr>
        <w:top w:val="none" w:sz="0" w:space="0" w:color="auto"/>
        <w:left w:val="none" w:sz="0" w:space="0" w:color="auto"/>
        <w:bottom w:val="none" w:sz="0" w:space="0" w:color="auto"/>
        <w:right w:val="none" w:sz="0" w:space="0" w:color="auto"/>
      </w:divBdr>
    </w:div>
    <w:div w:id="396100112">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&#65279;<?xml version="1.0" encoding="utf-8"?><Relationships xmlns="http://schemas.openxmlformats.org/package/2006/relationships"><Relationship Type="http://schemas.openxmlformats.org/officeDocument/2006/relationships/webSettings" Target="webSettings.xml" Id="rId8" /><Relationship Type="http://schemas.openxmlformats.org/officeDocument/2006/relationships/hyperlink" Target="https://www.colombiacompra.gov.co/content/borrador-de-documentos-tipo-de-consultoria-de-obra-publica-de-infraestructura-de-transporte" TargetMode="External" Id="rId13" /><Relationship Type="http://schemas.openxmlformats.org/officeDocument/2006/relationships/header" Target="header1.xml" Id="rId18" /><Relationship Type="http://schemas.openxmlformats.org/officeDocument/2006/relationships/customXml" Target="../customXml/item3.xml" Id="rId3" /><Relationship Type="http://schemas.openxmlformats.org/officeDocument/2006/relationships/theme" Target="theme/theme1.xml" Id="rId21" /><Relationship Type="http://schemas.openxmlformats.org/officeDocument/2006/relationships/settings" Target="settings.xml" Id="rId7" /><Relationship Type="http://schemas.openxmlformats.org/officeDocument/2006/relationships/hyperlink" Target="https://relatoria.colombiacompra.gov.co/busqueda/conceptos" TargetMode="External" Id="rId12" /><Relationship Type="http://schemas.openxmlformats.org/officeDocument/2006/relationships/image" Target="media/image3.png" Id="rId17" /><Relationship Type="http://schemas.openxmlformats.org/officeDocument/2006/relationships/customXml" Target="../customXml/item2.xml" Id="rId2" /><Relationship Type="http://schemas.openxmlformats.org/officeDocument/2006/relationships/hyperlink" Target="https://nam02.safelinks.protection.outlook.com/?url=https%3A%2F%2Fwww.colombiacompra.gov.co%2Fsala-de-prensa%2Fboletin-digital&amp;data=05%7C02%7Csergio.caballero%40colombiacompra.gov.co%7C096eca3fdcca424ff1c708dcf932f947%7C7b09041e245149d08cb179d5e3d8c1be%7C0%7C0%7C638659244551705873%7CUnknown%7CTWFpbGZsb3d8eyJWIjoiMC4wLjAwMDAiLCJQIjoiV2luMzIiLCJBTiI6Ik1haWwiLCJXVCI6Mn0%3D%7C0%7C%7C%7C&amp;sdata=cyQ7xR9K7bpbeICUhmOYSIWRL%2BWLAHN8bOjZ2NaPqPk%3D&amp;reserved=0" TargetMode="External" Id="rId16" /><Relationship Type="http://schemas.openxmlformats.org/officeDocument/2006/relationships/fontTable" Target="fontTable.xml" Id="rId20" /><Relationship Type="http://schemas.openxmlformats.org/officeDocument/2006/relationships/customXml" Target="../customXml/item1.xml" Id="rId1" /><Relationship Type="http://schemas.openxmlformats.org/officeDocument/2006/relationships/styles" Target="styles.xml" Id="rId6" /><Relationship Type="http://schemas.openxmlformats.org/officeDocument/2006/relationships/image" Target="media/image2.png" Id="rId11" /><Relationship Type="http://schemas.openxmlformats.org/officeDocument/2006/relationships/numbering" Target="numbering.xml" Id="rId5" /><Relationship Type="http://schemas.openxmlformats.org/officeDocument/2006/relationships/hyperlink" Target="https://nam02.safelinks.protection.outlook.com/?url=https%3A%2F%2Fwww.sucop.gov.co%2Fentidades%2Fcolombiacompra%2FNormativa%3FIDNorma%3D18320&amp;data=05%7C02%7Csergio.caballero%40colombiacompra.gov.co%7C096eca3fdcca424ff1c708dcf932f947%7C7b09041e245149d08cb179d5e3d8c1be%7C0%7C0%7C638659244551687549%7CUnknown%7CTWFpbGZsb3d8eyJWIjoiMC4wLjAwMDAiLCJQIjoiV2luMzIiLCJBTiI6Ik1haWwiLCJXVCI6Mn0%3D%7C0%7C%7C%7C&amp;sdata=kb715YJAvuAi41LISWCt3%2F0C9FJoTmXrLcBvLQq26Ww%3D&amp;reserved=0" TargetMode="External" Id="rId15" /><Relationship Type="http://schemas.openxmlformats.org/officeDocument/2006/relationships/endnotes" Target="endnotes.xml" Id="rId10" /><Relationship Type="http://schemas.openxmlformats.org/officeDocument/2006/relationships/footer" Target="footer1.xml" Id="rId19" /><Relationship Type="http://schemas.openxmlformats.org/officeDocument/2006/relationships/customXml" Target="../customXml/item4.xml" Id="rId4" /><Relationship Type="http://schemas.openxmlformats.org/officeDocument/2006/relationships/footnotes" Target="footnotes.xml" Id="rId9" /><Relationship Type="http://schemas.openxmlformats.org/officeDocument/2006/relationships/hyperlink" Target="https://www.colombiacompra.gov.co/content/borrador-de-documentos-tipo-de-interventoria-de-obra-publica-de-infraestructura-de" TargetMode="External" Id="rId14" /></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b428e1ff36e4b927e43637ad3eea921">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b48c39798a5be86c32f55b38e9c5e1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C0C2BC8-A8D4-4817-BD29-3E383063ED1F}"/>
</file>

<file path=customXml/itemProps2.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 ds:uri="36c82cfe-0eda-494d-b392-a9281b89aaf0"/>
    <ds:schemaRef ds:uri="8ae15d26-076e-464e-81a7-6f76a0fb3917"/>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7E880AEC-7E3E-4CA7-93A3-FD4215580416}">
  <ds:schemaRefs>
    <ds:schemaRef ds:uri="http://schemas.openxmlformats.org/officeDocument/2006/bibliography"/>
  </ds:schemaRefs>
</ds:datastoreItem>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Normal.dotm</ap:Template>
  <ap:Application>Microsoft Word for the web</ap:Application>
  <ap:DocSecurity>0</ap:DocSecurity>
  <ap:ScaleCrop>false</ap:ScaleCrop>
  <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dc:creator>Andrés Felipe Ospina Acosta</dc:creator>
  <keywords/>
  <dc:description/>
  <lastModifiedBy>Andreina Cerpa Muñoz</lastModifiedBy>
  <revision>5</revision>
  <lastPrinted>2023-01-10T21:18:00.0000000Z</lastPrinted>
  <dcterms:created xsi:type="dcterms:W3CDTF">2025-01-13T20:12:00.0000000Z</dcterms:created>
  <dcterms:modified xsi:type="dcterms:W3CDTF">2025-02-03T19:29:46.8536034Z</dcterms:modified>
</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