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AB25C" w14:textId="76520712" w:rsidR="004A28EC" w:rsidRPr="00BE151B" w:rsidRDefault="004A28EC" w:rsidP="004A28EC">
      <w:pPr>
        <w:spacing w:after="0" w:line="240" w:lineRule="auto"/>
        <w:jc w:val="both"/>
        <w:rPr>
          <w:rFonts w:ascii="Verdana" w:eastAsia="Calibri" w:hAnsi="Verdana" w:cs="Arial"/>
          <w:b/>
          <w:bCs/>
          <w:color w:val="000000"/>
          <w:kern w:val="2"/>
          <w14:ligatures w14:val="standardContextual"/>
        </w:rPr>
      </w:pPr>
      <w:r w:rsidRPr="00BE151B">
        <w:rPr>
          <w:rFonts w:ascii="Verdana" w:eastAsia="Calibri" w:hAnsi="Verdana" w:cs="Arial"/>
          <w:b/>
          <w:bCs/>
          <w:color w:val="000000"/>
          <w:kern w:val="2"/>
          <w14:ligatures w14:val="standardContextual"/>
        </w:rPr>
        <w:t>INHABILIDADES</w:t>
      </w:r>
      <w:r w:rsidR="00B152DC">
        <w:rPr>
          <w:rFonts w:ascii="Verdana" w:eastAsia="Calibri" w:hAnsi="Verdana" w:cs="Arial"/>
          <w:b/>
          <w:bCs/>
          <w:color w:val="000000"/>
          <w:kern w:val="2"/>
          <w14:ligatures w14:val="standardContextual"/>
        </w:rPr>
        <w:t xml:space="preserve"> </w:t>
      </w:r>
      <w:r w:rsidRPr="00BE151B">
        <w:rPr>
          <w:rFonts w:ascii="Verdana" w:eastAsia="Calibri" w:hAnsi="Verdana" w:cs="Arial"/>
          <w:b/>
          <w:color w:val="000000"/>
          <w:kern w:val="2"/>
          <w14:ligatures w14:val="standardContextual"/>
        </w:rPr>
        <w:t>–</w:t>
      </w:r>
      <w:r w:rsidRPr="00BE151B">
        <w:rPr>
          <w:rFonts w:ascii="Verdana" w:eastAsia="Calibri" w:hAnsi="Verdana" w:cs="Arial"/>
          <w:b/>
          <w:bCs/>
          <w:color w:val="000000"/>
          <w:kern w:val="2"/>
          <w14:ligatures w14:val="standardContextual"/>
        </w:rPr>
        <w:t xml:space="preserve"> Concepto </w:t>
      </w:r>
      <w:r w:rsidRPr="00BE151B">
        <w:rPr>
          <w:rFonts w:ascii="Verdana" w:eastAsia="Calibri" w:hAnsi="Verdana" w:cs="Arial"/>
          <w:b/>
          <w:color w:val="000000"/>
          <w:kern w:val="2"/>
          <w14:ligatures w14:val="standardContextual"/>
        </w:rPr>
        <w:t xml:space="preserve">– </w:t>
      </w:r>
      <w:r w:rsidRPr="00BE151B">
        <w:rPr>
          <w:rFonts w:ascii="Verdana" w:eastAsia="Calibri" w:hAnsi="Verdana" w:cs="Arial"/>
          <w:b/>
          <w:bCs/>
          <w:color w:val="000000"/>
          <w:kern w:val="2"/>
          <w14:ligatures w14:val="standardContextual"/>
        </w:rPr>
        <w:t xml:space="preserve">Principio de legalidad </w:t>
      </w:r>
      <w:r w:rsidRPr="00BE151B">
        <w:rPr>
          <w:rFonts w:ascii="Verdana" w:eastAsia="Calibri" w:hAnsi="Verdana" w:cs="Arial"/>
          <w:b/>
          <w:color w:val="000000"/>
          <w:kern w:val="2"/>
          <w14:ligatures w14:val="standardContextual"/>
        </w:rPr>
        <w:t>–</w:t>
      </w:r>
      <w:r w:rsidRPr="00BE151B">
        <w:rPr>
          <w:rFonts w:ascii="Verdana" w:eastAsia="Calibri" w:hAnsi="Verdana" w:cs="Arial"/>
          <w:b/>
          <w:bCs/>
          <w:color w:val="000000"/>
          <w:kern w:val="2"/>
          <w14:ligatures w14:val="standardContextual"/>
        </w:rPr>
        <w:t xml:space="preserve"> Interpretación restrictiva</w:t>
      </w:r>
    </w:p>
    <w:p w14:paraId="51695BA5" w14:textId="77777777" w:rsidR="004A28EC" w:rsidRPr="00BE151B" w:rsidRDefault="004A28EC" w:rsidP="004A28EC">
      <w:pPr>
        <w:spacing w:after="0" w:line="240" w:lineRule="auto"/>
        <w:jc w:val="both"/>
        <w:rPr>
          <w:rFonts w:ascii="Verdana" w:eastAsia="Calibri" w:hAnsi="Verdana" w:cs="Arial"/>
          <w:b/>
          <w:bCs/>
          <w:color w:val="000000"/>
          <w:kern w:val="2"/>
          <w14:ligatures w14:val="standardContextual"/>
        </w:rPr>
      </w:pPr>
    </w:p>
    <w:p w14:paraId="589B6CDD" w14:textId="1BEE4749" w:rsidR="00B152DC" w:rsidRPr="00B152DC" w:rsidRDefault="00B152DC" w:rsidP="00B152DC">
      <w:pPr>
        <w:widowControl w:val="0"/>
        <w:autoSpaceDE w:val="0"/>
        <w:autoSpaceDN w:val="0"/>
        <w:spacing w:before="120" w:after="0" w:line="276" w:lineRule="auto"/>
        <w:jc w:val="both"/>
        <w:rPr>
          <w:rFonts w:ascii="Verdana" w:eastAsia="Calibri" w:hAnsi="Verdana" w:cs="Arial"/>
          <w:color w:val="000000"/>
          <w:kern w:val="2"/>
          <w:sz w:val="20"/>
          <w:szCs w:val="20"/>
          <w14:ligatures w14:val="standardContextual"/>
        </w:rPr>
      </w:pPr>
      <w:r>
        <w:rPr>
          <w:rFonts w:ascii="Verdana" w:eastAsia="Calibri" w:hAnsi="Verdana" w:cs="Arial"/>
          <w:color w:val="000000"/>
          <w:kern w:val="2"/>
          <w:sz w:val="20"/>
          <w:szCs w:val="20"/>
          <w14:ligatures w14:val="standardContextual"/>
        </w:rPr>
        <w:t>E</w:t>
      </w:r>
      <w:r w:rsidRPr="00B152DC">
        <w:rPr>
          <w:rFonts w:ascii="Verdana" w:eastAsia="Calibri" w:hAnsi="Verdana" w:cs="Arial"/>
          <w:color w:val="000000"/>
          <w:kern w:val="2"/>
          <w:sz w:val="20"/>
          <w:szCs w:val="20"/>
          <w14:ligatures w14:val="standardContextual"/>
        </w:rPr>
        <w:t xml:space="preserve">s claro que, para que se configuren las inhabilidades o incompatibilidades, del literal a), se antoja necesario el cumplimiento de todos los supuestos descritos en la norma. En otras palabras, en virtud de la aplicación restrictiva de las inhabilidades, es menester que se presenten los elementos tanto materiales como temporales que exige dicha disposición. </w:t>
      </w:r>
    </w:p>
    <w:p w14:paraId="53D8C703" w14:textId="77777777" w:rsidR="004A28EC" w:rsidRDefault="004A28EC" w:rsidP="004A28EC">
      <w:pPr>
        <w:spacing w:after="0" w:line="240" w:lineRule="auto"/>
        <w:jc w:val="both"/>
        <w:rPr>
          <w:rFonts w:ascii="Verdana" w:eastAsia="Calibri" w:hAnsi="Verdana" w:cs="Arial"/>
          <w:b/>
          <w:color w:val="000000"/>
          <w:kern w:val="2"/>
          <w14:ligatures w14:val="standardContextual"/>
        </w:rPr>
      </w:pPr>
    </w:p>
    <w:p w14:paraId="3E578DE4" w14:textId="4CFEC3AE" w:rsidR="004A28EC" w:rsidRDefault="004A28EC" w:rsidP="004A28EC">
      <w:pPr>
        <w:spacing w:after="0" w:line="240" w:lineRule="auto"/>
        <w:jc w:val="both"/>
        <w:rPr>
          <w:rFonts w:ascii="Verdana" w:eastAsia="Calibri" w:hAnsi="Verdana" w:cs="Arial"/>
          <w:b/>
          <w:color w:val="000000"/>
          <w:kern w:val="2"/>
          <w14:ligatures w14:val="standardContextual"/>
        </w:rPr>
      </w:pPr>
      <w:r w:rsidRPr="0078487A">
        <w:rPr>
          <w:rFonts w:ascii="Verdana" w:eastAsia="Calibri" w:hAnsi="Verdana" w:cs="Arial"/>
          <w:b/>
          <w:color w:val="000000"/>
          <w:kern w:val="2"/>
          <w14:ligatures w14:val="standardContextual"/>
        </w:rPr>
        <w:t>INHABILIDADES– Ley 80 de 1993 – Numeral 2, literal A) – Exservidor público – Niveles directivo, asesor o ejecutivo - Elemento temporal (1) un año</w:t>
      </w:r>
    </w:p>
    <w:p w14:paraId="3FEB2876" w14:textId="77777777" w:rsidR="004A28EC" w:rsidRPr="00BE151B" w:rsidRDefault="004A28EC" w:rsidP="004A28EC">
      <w:pPr>
        <w:spacing w:after="0" w:line="240" w:lineRule="auto"/>
        <w:jc w:val="both"/>
        <w:rPr>
          <w:rFonts w:ascii="Verdana" w:eastAsia="Calibri" w:hAnsi="Verdana" w:cs="Arial"/>
          <w:b/>
          <w:color w:val="000000"/>
          <w:kern w:val="2"/>
          <w14:ligatures w14:val="standardContextual"/>
        </w:rPr>
      </w:pPr>
    </w:p>
    <w:p w14:paraId="0186019A" w14:textId="77777777" w:rsidR="00191563" w:rsidRPr="00191563" w:rsidRDefault="00191563" w:rsidP="00191563">
      <w:pPr>
        <w:widowControl w:val="0"/>
        <w:autoSpaceDE w:val="0"/>
        <w:autoSpaceDN w:val="0"/>
        <w:spacing w:before="120" w:after="0" w:line="276" w:lineRule="auto"/>
        <w:jc w:val="both"/>
        <w:rPr>
          <w:rFonts w:ascii="Verdana" w:eastAsia="Calibri" w:hAnsi="Verdana" w:cs="Arial"/>
          <w:color w:val="000000"/>
          <w:kern w:val="2"/>
          <w:sz w:val="20"/>
          <w:szCs w:val="20"/>
          <w14:ligatures w14:val="standardContextual"/>
        </w:rPr>
      </w:pPr>
      <w:r w:rsidRPr="00191563">
        <w:rPr>
          <w:rFonts w:ascii="Verdana" w:eastAsia="Calibri" w:hAnsi="Verdana" w:cs="Arial"/>
          <w:color w:val="000000"/>
          <w:kern w:val="2"/>
          <w:sz w:val="20"/>
          <w:szCs w:val="20"/>
          <w14:ligatures w14:val="standardContextual"/>
        </w:rPr>
        <w:t xml:space="preserve">Veamos a qué se hace referencia con los elementos materiales y temporales de las inhabilidades en estudio: Para el caso de la incompatibilidad del literal a) los elementos materiales son: i) que el exservidor público hubiese integrado, sea una junta o consejo directivo o hubiese estado vinculado laboralmente como servidor público de la entidad contratante y; </w:t>
      </w:r>
      <w:proofErr w:type="spellStart"/>
      <w:r w:rsidRPr="00191563">
        <w:rPr>
          <w:rFonts w:ascii="Verdana" w:eastAsia="Calibri" w:hAnsi="Verdana" w:cs="Arial"/>
          <w:color w:val="000000"/>
          <w:kern w:val="2"/>
          <w:sz w:val="20"/>
          <w:szCs w:val="20"/>
          <w14:ligatures w14:val="standardContextual"/>
        </w:rPr>
        <w:t>ii</w:t>
      </w:r>
      <w:proofErr w:type="spellEnd"/>
      <w:r w:rsidRPr="00191563">
        <w:rPr>
          <w:rFonts w:ascii="Verdana" w:eastAsia="Calibri" w:hAnsi="Verdana" w:cs="Arial"/>
          <w:color w:val="000000"/>
          <w:kern w:val="2"/>
          <w:sz w:val="20"/>
          <w:szCs w:val="20"/>
          <w14:ligatures w14:val="standardContextual"/>
        </w:rPr>
        <w:t xml:space="preserve">) que las funciones que hubiese desempeñado dicho exfuncionario sean del nivel directivo, asesor o ejecutivo. De otro lado, el elemento temporal es i) que su retiro se hubiese presentado dentro del año inmediatamente anterior a la fecha de celebración del presunto contrato por celebrar. De tal forma que, para que se predique la configuración de la incompatibilidad referida, será necesario que, se presenten tanto los elementos materiales como elemento temporal. A falta de alguno de ellos, no habría configuración de dicha causal. </w:t>
      </w:r>
    </w:p>
    <w:p w14:paraId="23CD2814" w14:textId="77777777" w:rsidR="004A28EC" w:rsidRDefault="004A28EC" w:rsidP="004A28EC">
      <w:pPr>
        <w:spacing w:after="0" w:line="240" w:lineRule="auto"/>
        <w:jc w:val="both"/>
        <w:rPr>
          <w:rFonts w:ascii="Verdana" w:eastAsia="Calibri" w:hAnsi="Verdana" w:cs="Arial"/>
          <w:color w:val="000000"/>
          <w:kern w:val="2"/>
          <w:sz w:val="20"/>
          <w:szCs w:val="20"/>
          <w14:ligatures w14:val="standardContextual"/>
        </w:rPr>
      </w:pPr>
    </w:p>
    <w:p w14:paraId="49CD923C" w14:textId="77777777" w:rsidR="004A28EC" w:rsidRPr="00BE151B" w:rsidRDefault="004A28EC" w:rsidP="004A28EC">
      <w:pPr>
        <w:spacing w:after="0" w:line="240" w:lineRule="auto"/>
        <w:jc w:val="both"/>
        <w:rPr>
          <w:rFonts w:ascii="Verdana" w:eastAsia="Calibri" w:hAnsi="Verdana" w:cs="Arial"/>
          <w:color w:val="000000"/>
          <w:kern w:val="2"/>
          <w:sz w:val="20"/>
          <w:szCs w:val="20"/>
          <w14:ligatures w14:val="standardContextual"/>
        </w:rPr>
      </w:pPr>
    </w:p>
    <w:p w14:paraId="646D823C" w14:textId="77777777" w:rsidR="004A28EC" w:rsidRDefault="004A28EC" w:rsidP="004A28EC">
      <w:pPr>
        <w:spacing w:after="0" w:line="240" w:lineRule="auto"/>
        <w:jc w:val="both"/>
        <w:rPr>
          <w:rFonts w:ascii="Verdana" w:hAnsi="Verdana" w:cs="Arial"/>
          <w:sz w:val="20"/>
          <w:szCs w:val="20"/>
          <w:lang w:eastAsia="es-ES"/>
        </w:rPr>
      </w:pPr>
    </w:p>
    <w:p w14:paraId="582A1947" w14:textId="77777777" w:rsidR="004A28EC" w:rsidRDefault="004A28EC" w:rsidP="004A28EC">
      <w:pPr>
        <w:spacing w:after="0" w:line="240" w:lineRule="auto"/>
        <w:jc w:val="both"/>
        <w:rPr>
          <w:rFonts w:ascii="Verdana" w:hAnsi="Verdana" w:cs="Arial"/>
          <w:sz w:val="20"/>
          <w:szCs w:val="20"/>
          <w:lang w:eastAsia="es-ES"/>
        </w:rPr>
      </w:pPr>
    </w:p>
    <w:p w14:paraId="62189EB2" w14:textId="77777777" w:rsidR="004A28EC" w:rsidRDefault="004A28EC" w:rsidP="004A28EC">
      <w:pPr>
        <w:spacing w:after="0" w:line="240" w:lineRule="auto"/>
        <w:jc w:val="both"/>
        <w:rPr>
          <w:rFonts w:ascii="Verdana" w:hAnsi="Verdana" w:cs="Arial"/>
          <w:sz w:val="20"/>
          <w:szCs w:val="20"/>
          <w:lang w:eastAsia="es-ES"/>
        </w:rPr>
      </w:pPr>
    </w:p>
    <w:p w14:paraId="658CEDB3" w14:textId="77777777" w:rsidR="004A28EC" w:rsidRDefault="004A28EC" w:rsidP="004A28EC">
      <w:pPr>
        <w:spacing w:after="0" w:line="240" w:lineRule="auto"/>
        <w:jc w:val="both"/>
        <w:rPr>
          <w:rFonts w:ascii="Verdana" w:hAnsi="Verdana" w:cs="Arial"/>
          <w:sz w:val="20"/>
          <w:szCs w:val="20"/>
          <w:lang w:eastAsia="es-ES"/>
        </w:rPr>
      </w:pPr>
    </w:p>
    <w:p w14:paraId="6A87E077" w14:textId="408D8205" w:rsidR="00293CE6" w:rsidRDefault="00293CE6">
      <w:pPr>
        <w:rPr>
          <w:rFonts w:ascii="Verdana" w:hAnsi="Verdana" w:cs="Arial"/>
          <w:sz w:val="20"/>
          <w:szCs w:val="20"/>
          <w:lang w:eastAsia="es-ES"/>
        </w:rPr>
      </w:pPr>
      <w:r>
        <w:rPr>
          <w:rFonts w:ascii="Verdana" w:hAnsi="Verdana" w:cs="Arial"/>
          <w:sz w:val="20"/>
          <w:szCs w:val="20"/>
          <w:lang w:eastAsia="es-ES"/>
        </w:rPr>
        <w:br w:type="page"/>
      </w:r>
    </w:p>
    <w:p w14:paraId="730FF350" w14:textId="2FA4A624" w:rsidR="004A28EC" w:rsidRDefault="004A28EC" w:rsidP="004A28EC">
      <w:pPr>
        <w:spacing w:after="0" w:line="240" w:lineRule="auto"/>
        <w:jc w:val="both"/>
        <w:rPr>
          <w:rFonts w:ascii="Verdana" w:hAnsi="Verdana" w:cs="Arial"/>
          <w:sz w:val="20"/>
          <w:szCs w:val="20"/>
          <w:lang w:eastAsia="es-ES"/>
        </w:rPr>
      </w:pPr>
    </w:p>
    <w:p w14:paraId="71622F45" w14:textId="4EBFFB76" w:rsidR="004A28EC" w:rsidRDefault="00F45965" w:rsidP="004A28EC">
      <w:pPr>
        <w:spacing w:after="0" w:line="240" w:lineRule="auto"/>
        <w:rPr>
          <w:rFonts w:ascii="Verdana" w:eastAsia="Times New Roman" w:hAnsi="Verdana" w:cs="Arial"/>
          <w:lang w:eastAsia="es-ES_tradnl"/>
        </w:rPr>
      </w:pPr>
      <w:r w:rsidRPr="00ED08CA">
        <w:rPr>
          <w:rFonts w:ascii="Verdana" w:eastAsia="Calibri" w:hAnsi="Verdana" w:cs="Arial"/>
          <w:noProof/>
          <w:lang w:eastAsia="es-ES_tradnl"/>
        </w:rPr>
        <w:drawing>
          <wp:anchor distT="0" distB="0" distL="114300" distR="114300" simplePos="0" relativeHeight="251658240" behindDoc="1" locked="0" layoutInCell="1" allowOverlap="1" wp14:anchorId="74DD2950" wp14:editId="423BF5F9">
            <wp:simplePos x="0" y="0"/>
            <wp:positionH relativeFrom="column">
              <wp:posOffset>3348990</wp:posOffset>
            </wp:positionH>
            <wp:positionV relativeFrom="paragraph">
              <wp:posOffset>9525</wp:posOffset>
            </wp:positionV>
            <wp:extent cx="2415539" cy="767353"/>
            <wp:effectExtent l="0" t="0" r="4445" b="0"/>
            <wp:wrapNone/>
            <wp:docPr id="1727876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876768" name=""/>
                    <pic:cNvPicPr/>
                  </pic:nvPicPr>
                  <pic:blipFill>
                    <a:blip r:embed="rId10">
                      <a:extLst>
                        <a:ext uri="{28A0092B-C50C-407E-A947-70E740481C1C}">
                          <a14:useLocalDpi xmlns:a14="http://schemas.microsoft.com/office/drawing/2010/main" val="0"/>
                        </a:ext>
                      </a:extLst>
                    </a:blip>
                    <a:stretch>
                      <a:fillRect/>
                    </a:stretch>
                  </pic:blipFill>
                  <pic:spPr>
                    <a:xfrm>
                      <a:off x="0" y="0"/>
                      <a:ext cx="2415539" cy="767353"/>
                    </a:xfrm>
                    <a:prstGeom prst="rect">
                      <a:avLst/>
                    </a:prstGeom>
                  </pic:spPr>
                </pic:pic>
              </a:graphicData>
            </a:graphic>
            <wp14:sizeRelH relativeFrom="page">
              <wp14:pctWidth>0</wp14:pctWidth>
            </wp14:sizeRelH>
            <wp14:sizeRelV relativeFrom="page">
              <wp14:pctHeight>0</wp14:pctHeight>
            </wp14:sizeRelV>
          </wp:anchor>
        </w:drawing>
      </w:r>
      <w:r w:rsidR="004A28EC" w:rsidRPr="00BE151B">
        <w:rPr>
          <w:rFonts w:ascii="Verdana" w:eastAsia="Times New Roman" w:hAnsi="Verdana" w:cs="Arial"/>
          <w:lang w:eastAsia="es-ES_tradnl"/>
        </w:rPr>
        <w:t>Bogotá D.C.,</w:t>
      </w:r>
      <w:r>
        <w:rPr>
          <w:rFonts w:ascii="Verdana" w:eastAsia="Times New Roman" w:hAnsi="Verdana" w:cs="Arial"/>
          <w:lang w:eastAsia="es-ES_tradnl"/>
        </w:rPr>
        <w:t xml:space="preserve"> 27 de febrero de 2025</w:t>
      </w:r>
      <w:r w:rsidR="004A28EC" w:rsidRPr="00BE151B">
        <w:rPr>
          <w:rFonts w:ascii="Verdana" w:eastAsia="Times New Roman" w:hAnsi="Verdana" w:cs="Arial"/>
          <w:lang w:eastAsia="es-ES_tradnl"/>
        </w:rPr>
        <w:t> </w:t>
      </w:r>
    </w:p>
    <w:p w14:paraId="79299A25" w14:textId="6253F097" w:rsidR="004A28EC" w:rsidRPr="00BE151B" w:rsidRDefault="004A28EC" w:rsidP="00293CE6">
      <w:pPr>
        <w:spacing w:after="0" w:line="240" w:lineRule="auto"/>
        <w:rPr>
          <w:rFonts w:ascii="Verdana" w:eastAsia="Times New Roman" w:hAnsi="Verdana" w:cs="Arial"/>
          <w:lang w:eastAsia="es-ES_tradnl"/>
        </w:rPr>
      </w:pPr>
    </w:p>
    <w:p w14:paraId="6CEBF6A0" w14:textId="77777777" w:rsidR="004A28EC" w:rsidRPr="00BE151B" w:rsidRDefault="004A28EC" w:rsidP="004A28EC">
      <w:pPr>
        <w:spacing w:after="0" w:line="240" w:lineRule="auto"/>
        <w:jc w:val="both"/>
        <w:rPr>
          <w:rFonts w:ascii="Verdana" w:eastAsia="Calibri" w:hAnsi="Verdana" w:cs="Arial"/>
          <w:lang w:eastAsia="es-ES_tradnl"/>
        </w:rPr>
      </w:pPr>
      <w:bookmarkStart w:id="0" w:name="_Hlk191381464"/>
      <w:r>
        <w:rPr>
          <w:rFonts w:ascii="Verdana" w:eastAsia="Calibri" w:hAnsi="Verdana" w:cs="Arial"/>
          <w:lang w:eastAsia="es-ES_tradnl"/>
        </w:rPr>
        <w:t>Señora</w:t>
      </w:r>
    </w:p>
    <w:p w14:paraId="6B58749D" w14:textId="77777777" w:rsidR="00293CE6" w:rsidRDefault="00293CE6" w:rsidP="004A28EC">
      <w:pPr>
        <w:spacing w:after="0" w:line="240" w:lineRule="auto"/>
        <w:rPr>
          <w:rFonts w:ascii="Verdana" w:eastAsia="Calibri" w:hAnsi="Verdana" w:cs="Arial"/>
          <w:b/>
          <w:bCs/>
          <w:lang w:eastAsia="es-ES_tradnl"/>
        </w:rPr>
      </w:pPr>
      <w:r w:rsidRPr="00293CE6">
        <w:rPr>
          <w:rFonts w:ascii="Verdana" w:eastAsia="Calibri" w:hAnsi="Verdana" w:cs="Arial"/>
          <w:b/>
          <w:bCs/>
          <w:lang w:eastAsia="es-ES_tradnl"/>
        </w:rPr>
        <w:t>YOLANDA ALICIA RONDEROS CALDERON</w:t>
      </w:r>
    </w:p>
    <w:p w14:paraId="1A81B5C4" w14:textId="356A44E6" w:rsidR="00293CE6" w:rsidRPr="00293CE6" w:rsidRDefault="00293CE6" w:rsidP="004A28EC">
      <w:pPr>
        <w:spacing w:after="0" w:line="240" w:lineRule="auto"/>
        <w:rPr>
          <w:rFonts w:ascii="Verdana" w:eastAsia="Calibri" w:hAnsi="Verdana" w:cs="Arial"/>
          <w:bCs/>
          <w:u w:val="single"/>
          <w:lang w:eastAsia="es-ES_tradnl"/>
        </w:rPr>
      </w:pPr>
      <w:r w:rsidRPr="00293CE6">
        <w:rPr>
          <w:rFonts w:ascii="Verdana" w:eastAsia="Calibri" w:hAnsi="Verdana" w:cs="Arial"/>
          <w:bCs/>
          <w:u w:val="single"/>
          <w:lang w:eastAsia="es-ES_tradnl"/>
        </w:rPr>
        <w:t>Ronderosalicia251@gmail.com</w:t>
      </w:r>
    </w:p>
    <w:p w14:paraId="052BC31B" w14:textId="69703279" w:rsidR="004A28EC" w:rsidRDefault="00293CE6" w:rsidP="004A28EC">
      <w:pPr>
        <w:spacing w:after="0" w:line="240" w:lineRule="auto"/>
        <w:rPr>
          <w:rFonts w:ascii="Verdana" w:eastAsia="Calibri" w:hAnsi="Verdana" w:cs="Arial"/>
          <w:bCs/>
          <w:lang w:eastAsia="es-ES_tradnl"/>
        </w:rPr>
      </w:pPr>
      <w:r>
        <w:rPr>
          <w:rFonts w:ascii="Verdana" w:eastAsia="Calibri" w:hAnsi="Verdana" w:cs="Arial"/>
          <w:bCs/>
          <w:lang w:eastAsia="es-ES_tradnl"/>
        </w:rPr>
        <w:t>Bogotá D.C</w:t>
      </w:r>
    </w:p>
    <w:p w14:paraId="655A803C" w14:textId="77777777" w:rsidR="00ED08CA" w:rsidRDefault="00ED08CA" w:rsidP="004A28EC">
      <w:pPr>
        <w:spacing w:after="0" w:line="240" w:lineRule="auto"/>
        <w:rPr>
          <w:rFonts w:ascii="Verdana" w:eastAsia="Calibri" w:hAnsi="Verdana" w:cs="Arial"/>
          <w:bCs/>
          <w:lang w:eastAsia="es-ES_tradnl"/>
        </w:rPr>
      </w:pPr>
    </w:p>
    <w:p w14:paraId="14B23835" w14:textId="24BB62A4" w:rsidR="00ED08CA" w:rsidRPr="001B56F4" w:rsidRDefault="00ED08CA" w:rsidP="00ED08CA">
      <w:pPr>
        <w:spacing w:after="0" w:line="240" w:lineRule="auto"/>
        <w:jc w:val="right"/>
        <w:rPr>
          <w:rFonts w:ascii="Verdana" w:eastAsia="Calibri" w:hAnsi="Verdana" w:cs="Arial"/>
          <w:lang w:eastAsia="es-ES_tradnl"/>
        </w:rPr>
      </w:pPr>
    </w:p>
    <w:p w14:paraId="7AE88A25" w14:textId="77777777" w:rsidR="004A28EC" w:rsidRPr="001B56F4" w:rsidRDefault="004A28EC" w:rsidP="004A28EC">
      <w:pPr>
        <w:spacing w:after="0" w:line="240" w:lineRule="auto"/>
        <w:rPr>
          <w:rFonts w:ascii="Verdana" w:eastAsia="Calibri" w:hAnsi="Verdana" w:cs="Arial"/>
          <w:lang w:eastAsia="es-ES_tradnl"/>
        </w:rPr>
      </w:pPr>
    </w:p>
    <w:p w14:paraId="46089524" w14:textId="50EAE504" w:rsidR="004A28EC" w:rsidRPr="00BE151B" w:rsidRDefault="004A28EC" w:rsidP="004A28EC">
      <w:pPr>
        <w:spacing w:after="0" w:line="240" w:lineRule="auto"/>
        <w:ind w:left="2694"/>
        <w:rPr>
          <w:rFonts w:ascii="Verdana" w:eastAsia="Calibri" w:hAnsi="Verdana" w:cs="Arial"/>
          <w:b/>
          <w:bCs/>
          <w:lang w:eastAsia="es-ES_tradnl"/>
        </w:rPr>
      </w:pPr>
      <w:r w:rsidRPr="00BE151B">
        <w:rPr>
          <w:rFonts w:ascii="Verdana" w:eastAsia="Calibri" w:hAnsi="Verdana" w:cs="Arial"/>
          <w:b/>
          <w:bCs/>
          <w:lang w:eastAsia="es-ES_tradnl"/>
        </w:rPr>
        <w:t>Concepto C-</w:t>
      </w:r>
      <w:r w:rsidR="008639AB">
        <w:rPr>
          <w:rFonts w:ascii="Verdana" w:eastAsia="Calibri" w:hAnsi="Verdana" w:cs="Arial"/>
          <w:b/>
          <w:bCs/>
          <w:lang w:eastAsia="es-ES_tradnl"/>
        </w:rPr>
        <w:t>034</w:t>
      </w:r>
      <w:r w:rsidRPr="00BE151B">
        <w:rPr>
          <w:rFonts w:ascii="Verdana" w:eastAsia="Calibri" w:hAnsi="Verdana" w:cs="Arial"/>
          <w:b/>
          <w:bCs/>
          <w:lang w:eastAsia="es-ES_tradnl"/>
        </w:rPr>
        <w:t xml:space="preserve"> de 202</w:t>
      </w:r>
      <w:r w:rsidR="00293CE6">
        <w:rPr>
          <w:rFonts w:ascii="Verdana" w:eastAsia="Calibri" w:hAnsi="Verdana" w:cs="Arial"/>
          <w:b/>
          <w:bCs/>
          <w:lang w:eastAsia="es-ES_tradnl"/>
        </w:rPr>
        <w:t>5</w:t>
      </w:r>
    </w:p>
    <w:p w14:paraId="524E6EE7" w14:textId="77777777" w:rsidR="004A28EC" w:rsidRPr="00BE151B" w:rsidRDefault="004A28EC" w:rsidP="004A28EC">
      <w:pPr>
        <w:spacing w:after="0" w:line="240" w:lineRule="auto"/>
        <w:jc w:val="both"/>
        <w:rPr>
          <w:rFonts w:ascii="Verdana" w:eastAsia="Calibri" w:hAnsi="Verdana" w:cs="Arial"/>
          <w:lang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4A28EC" w:rsidRPr="00BE151B" w14:paraId="52F45BBE" w14:textId="77777777" w:rsidTr="002F3659">
        <w:trPr>
          <w:jc w:val="right"/>
        </w:trPr>
        <w:tc>
          <w:tcPr>
            <w:tcW w:w="1838" w:type="dxa"/>
          </w:tcPr>
          <w:p w14:paraId="2601722E" w14:textId="77777777" w:rsidR="004A28EC" w:rsidRPr="00BE151B" w:rsidRDefault="004A28EC" w:rsidP="00260788">
            <w:pPr>
              <w:jc w:val="center"/>
              <w:rPr>
                <w:rFonts w:ascii="Verdana" w:eastAsia="Calibri" w:hAnsi="Verdana" w:cs="Arial"/>
                <w:lang w:eastAsia="es-ES_tradnl"/>
              </w:rPr>
            </w:pPr>
            <w:r w:rsidRPr="00BE151B">
              <w:rPr>
                <w:rFonts w:ascii="Verdana" w:eastAsia="Calibri" w:hAnsi="Verdana" w:cs="Arial"/>
                <w:b/>
                <w:lang w:eastAsia="es-ES_tradnl"/>
              </w:rPr>
              <w:t>Temas:</w:t>
            </w:r>
          </w:p>
        </w:tc>
        <w:tc>
          <w:tcPr>
            <w:tcW w:w="6237" w:type="dxa"/>
          </w:tcPr>
          <w:p w14:paraId="5B88D4C7" w14:textId="4EBA582C" w:rsidR="004A28EC" w:rsidRDefault="004A28EC" w:rsidP="00260788">
            <w:pPr>
              <w:spacing w:line="276" w:lineRule="auto"/>
              <w:jc w:val="both"/>
              <w:textAlignment w:val="baseline"/>
              <w:rPr>
                <w:rFonts w:ascii="Verdana" w:eastAsia="Times New Roman" w:hAnsi="Verdana" w:cs="Arial"/>
                <w:lang w:eastAsia="es-ES_tradnl"/>
              </w:rPr>
            </w:pPr>
            <w:r w:rsidRPr="00321438">
              <w:rPr>
                <w:rFonts w:ascii="Verdana" w:eastAsia="Times New Roman" w:hAnsi="Verdana" w:cs="Arial"/>
                <w:lang w:eastAsia="es-ES_tradnl"/>
              </w:rPr>
              <w:t>INHABILIDADES</w:t>
            </w:r>
            <w:r w:rsidR="008D0336">
              <w:rPr>
                <w:rFonts w:ascii="Verdana" w:eastAsia="Times New Roman" w:hAnsi="Verdana" w:cs="Arial"/>
                <w:lang w:eastAsia="es-ES_tradnl"/>
              </w:rPr>
              <w:t xml:space="preserve"> </w:t>
            </w:r>
            <w:r w:rsidRPr="00321438">
              <w:rPr>
                <w:rFonts w:ascii="Verdana" w:eastAsia="Times New Roman" w:hAnsi="Verdana" w:cs="Arial"/>
                <w:lang w:eastAsia="es-ES_tradnl"/>
              </w:rPr>
              <w:t xml:space="preserve">– Concepto – Principio de legalidad – Interpretación restrictiva / </w:t>
            </w:r>
            <w:r w:rsidRPr="00E20656">
              <w:rPr>
                <w:rFonts w:ascii="Verdana" w:eastAsia="Times New Roman" w:hAnsi="Verdana" w:cs="Arial"/>
                <w:lang w:eastAsia="es-ES_tradnl"/>
              </w:rPr>
              <w:t>INHABILIDADES</w:t>
            </w:r>
            <w:r w:rsidR="008D0336">
              <w:rPr>
                <w:rFonts w:ascii="Verdana" w:eastAsia="Times New Roman" w:hAnsi="Verdana" w:cs="Arial"/>
                <w:lang w:eastAsia="es-ES_tradnl"/>
              </w:rPr>
              <w:t xml:space="preserve"> </w:t>
            </w:r>
            <w:r w:rsidRPr="00E20656">
              <w:rPr>
                <w:rFonts w:ascii="Verdana" w:eastAsia="Times New Roman" w:hAnsi="Verdana" w:cs="Arial"/>
                <w:lang w:eastAsia="es-ES_tradnl"/>
              </w:rPr>
              <w:t>– Ley 80 de 1993 –</w:t>
            </w:r>
            <w:r w:rsidR="008D0336">
              <w:rPr>
                <w:rFonts w:ascii="Verdana" w:eastAsia="Times New Roman" w:hAnsi="Verdana" w:cs="Arial"/>
                <w:lang w:eastAsia="es-ES_tradnl"/>
              </w:rPr>
              <w:t xml:space="preserve"> </w:t>
            </w:r>
            <w:r w:rsidRPr="00321438">
              <w:rPr>
                <w:rFonts w:ascii="Verdana" w:eastAsia="Times New Roman" w:hAnsi="Verdana" w:cs="Arial"/>
                <w:lang w:eastAsia="es-ES_tradnl"/>
              </w:rPr>
              <w:t xml:space="preserve">Numeral </w:t>
            </w:r>
            <w:r>
              <w:rPr>
                <w:rFonts w:ascii="Verdana" w:eastAsia="Times New Roman" w:hAnsi="Verdana" w:cs="Arial"/>
                <w:lang w:eastAsia="es-ES_tradnl"/>
              </w:rPr>
              <w:t>2</w:t>
            </w:r>
            <w:r w:rsidRPr="00321438">
              <w:rPr>
                <w:rFonts w:ascii="Verdana" w:eastAsia="Times New Roman" w:hAnsi="Verdana" w:cs="Arial"/>
                <w:lang w:eastAsia="es-ES_tradnl"/>
              </w:rPr>
              <w:t xml:space="preserve">, literal </w:t>
            </w:r>
            <w:r>
              <w:rPr>
                <w:rFonts w:ascii="Verdana" w:eastAsia="Times New Roman" w:hAnsi="Verdana" w:cs="Arial"/>
                <w:lang w:eastAsia="es-ES_tradnl"/>
              </w:rPr>
              <w:t xml:space="preserve">A) </w:t>
            </w:r>
            <w:r w:rsidRPr="00321438">
              <w:rPr>
                <w:rFonts w:ascii="Verdana" w:eastAsia="Times New Roman" w:hAnsi="Verdana" w:cs="Arial"/>
                <w:lang w:eastAsia="es-ES_tradnl"/>
              </w:rPr>
              <w:t>–</w:t>
            </w:r>
            <w:r>
              <w:rPr>
                <w:rFonts w:ascii="Verdana" w:eastAsia="Times New Roman" w:hAnsi="Verdana" w:cs="Arial"/>
                <w:lang w:eastAsia="es-ES_tradnl"/>
              </w:rPr>
              <w:t xml:space="preserve"> Exservidor público</w:t>
            </w:r>
            <w:r w:rsidRPr="00321438">
              <w:rPr>
                <w:rFonts w:ascii="Verdana" w:eastAsia="Times New Roman" w:hAnsi="Verdana" w:cs="Arial"/>
                <w:lang w:eastAsia="es-ES_tradnl"/>
              </w:rPr>
              <w:t xml:space="preserve"> –</w:t>
            </w:r>
            <w:r>
              <w:t xml:space="preserve"> N</w:t>
            </w:r>
            <w:r w:rsidRPr="00387576">
              <w:rPr>
                <w:rFonts w:ascii="Verdana" w:eastAsia="Times New Roman" w:hAnsi="Verdana" w:cs="Arial"/>
                <w:lang w:eastAsia="es-ES_tradnl"/>
              </w:rPr>
              <w:t>iveles directivo, asesor o ejecutivo</w:t>
            </w:r>
            <w:r w:rsidRPr="00321438">
              <w:rPr>
                <w:rFonts w:ascii="Verdana" w:eastAsia="Times New Roman" w:hAnsi="Verdana" w:cs="Arial"/>
                <w:lang w:eastAsia="es-ES_tradnl"/>
              </w:rPr>
              <w:t xml:space="preserve"> </w:t>
            </w:r>
            <w:r>
              <w:rPr>
                <w:rFonts w:ascii="Verdana" w:eastAsia="Times New Roman" w:hAnsi="Verdana" w:cs="Arial"/>
                <w:lang w:eastAsia="es-ES_tradnl"/>
              </w:rPr>
              <w:t xml:space="preserve">- Elemento temporal (1) un año – </w:t>
            </w:r>
            <w:r w:rsidRPr="00321438">
              <w:rPr>
                <w:rFonts w:ascii="Verdana" w:eastAsia="Times New Roman" w:hAnsi="Verdana" w:cs="Arial"/>
                <w:lang w:eastAsia="es-ES_tradnl"/>
              </w:rPr>
              <w:t>INHABILIDADES</w:t>
            </w:r>
            <w:r w:rsidR="008D0336">
              <w:rPr>
                <w:rFonts w:ascii="Verdana" w:eastAsia="Times New Roman" w:hAnsi="Verdana" w:cs="Arial"/>
                <w:lang w:eastAsia="es-ES_tradnl"/>
              </w:rPr>
              <w:t xml:space="preserve"> </w:t>
            </w:r>
            <w:r w:rsidRPr="00321438">
              <w:rPr>
                <w:rFonts w:ascii="Verdana" w:eastAsia="Times New Roman" w:hAnsi="Verdana" w:cs="Arial"/>
                <w:lang w:eastAsia="es-ES_tradnl"/>
              </w:rPr>
              <w:t xml:space="preserve">– Ley 80 de 1993 – </w:t>
            </w:r>
            <w:r>
              <w:rPr>
                <w:rFonts w:ascii="Verdana" w:eastAsia="Times New Roman" w:hAnsi="Verdana" w:cs="Arial"/>
                <w:lang w:eastAsia="es-ES_tradnl"/>
              </w:rPr>
              <w:t xml:space="preserve"> </w:t>
            </w:r>
          </w:p>
          <w:p w14:paraId="20861585" w14:textId="0157F4C9" w:rsidR="00293CE6" w:rsidRPr="00BE151B" w:rsidRDefault="00293CE6" w:rsidP="00260788">
            <w:pPr>
              <w:spacing w:line="276" w:lineRule="auto"/>
              <w:jc w:val="both"/>
              <w:textAlignment w:val="baseline"/>
              <w:rPr>
                <w:rFonts w:ascii="Verdana" w:eastAsia="Times New Roman" w:hAnsi="Verdana" w:cs="Arial"/>
                <w:lang w:eastAsia="es-ES_tradnl"/>
              </w:rPr>
            </w:pPr>
          </w:p>
        </w:tc>
      </w:tr>
      <w:tr w:rsidR="004A28EC" w:rsidRPr="00BE151B" w14:paraId="24B67517" w14:textId="77777777" w:rsidTr="002F3659">
        <w:trPr>
          <w:jc w:val="right"/>
        </w:trPr>
        <w:tc>
          <w:tcPr>
            <w:tcW w:w="1838" w:type="dxa"/>
          </w:tcPr>
          <w:p w14:paraId="03706C5B" w14:textId="77777777" w:rsidR="004A28EC" w:rsidRPr="00BE151B" w:rsidRDefault="004A28EC" w:rsidP="00260788">
            <w:pPr>
              <w:jc w:val="center"/>
              <w:rPr>
                <w:rFonts w:ascii="Verdana" w:eastAsia="Calibri" w:hAnsi="Verdana" w:cs="Arial"/>
                <w:b/>
                <w:lang w:eastAsia="es-ES_tradnl"/>
              </w:rPr>
            </w:pPr>
            <w:r w:rsidRPr="00BE151B">
              <w:rPr>
                <w:rFonts w:ascii="Verdana" w:eastAsia="Calibri" w:hAnsi="Verdana" w:cs="Arial"/>
                <w:b/>
                <w:lang w:eastAsia="es-ES_tradnl"/>
              </w:rPr>
              <w:t>Radicación:</w:t>
            </w:r>
          </w:p>
        </w:tc>
        <w:tc>
          <w:tcPr>
            <w:tcW w:w="6237" w:type="dxa"/>
          </w:tcPr>
          <w:p w14:paraId="0AF99ADB" w14:textId="3BA9AD9B" w:rsidR="004A28EC" w:rsidRPr="00BE151B" w:rsidRDefault="004A28EC" w:rsidP="00260788">
            <w:pPr>
              <w:jc w:val="both"/>
              <w:rPr>
                <w:rFonts w:ascii="Verdana" w:eastAsia="Calibri" w:hAnsi="Verdana" w:cs="Arial"/>
                <w:lang w:eastAsia="es-ES_tradnl"/>
              </w:rPr>
            </w:pPr>
            <w:r w:rsidRPr="00BE151B">
              <w:rPr>
                <w:rFonts w:ascii="Verdana" w:eastAsia="Calibri" w:hAnsi="Verdana" w:cs="Arial"/>
                <w:lang w:eastAsia="es-ES_tradnl"/>
              </w:rPr>
              <w:t xml:space="preserve">Respuesta a consulta radicado No. </w:t>
            </w:r>
            <w:r w:rsidR="00293CE6" w:rsidRPr="00293CE6">
              <w:rPr>
                <w:rFonts w:ascii="Verdana" w:eastAsia="Calibri" w:hAnsi="Verdana" w:cs="Arial"/>
                <w:lang w:eastAsia="es-ES_tradnl"/>
              </w:rPr>
              <w:t> P20250114000285</w:t>
            </w:r>
          </w:p>
        </w:tc>
      </w:tr>
    </w:tbl>
    <w:p w14:paraId="06B6A94F" w14:textId="77777777" w:rsidR="004A28EC" w:rsidRPr="00BE151B" w:rsidRDefault="004A28EC" w:rsidP="004A28EC">
      <w:pPr>
        <w:spacing w:after="0" w:line="240" w:lineRule="auto"/>
        <w:jc w:val="both"/>
        <w:rPr>
          <w:rFonts w:ascii="Verdana" w:eastAsia="Calibri" w:hAnsi="Verdana" w:cs="Arial"/>
          <w:lang w:eastAsia="es-ES_tradnl"/>
        </w:rPr>
      </w:pPr>
    </w:p>
    <w:p w14:paraId="2889E6C9" w14:textId="77777777" w:rsidR="004A28EC" w:rsidRPr="00BE151B" w:rsidRDefault="004A28EC" w:rsidP="004A28EC">
      <w:pPr>
        <w:spacing w:after="0" w:line="240" w:lineRule="auto"/>
        <w:jc w:val="both"/>
        <w:rPr>
          <w:rFonts w:ascii="Verdana" w:eastAsia="Calibri" w:hAnsi="Verdana" w:cs="Arial"/>
          <w:lang w:eastAsia="es-ES_tradnl"/>
        </w:rPr>
      </w:pPr>
    </w:p>
    <w:p w14:paraId="4D677181" w14:textId="205E7D4A" w:rsidR="004A28EC" w:rsidRPr="00BE151B" w:rsidRDefault="004A28EC" w:rsidP="004A28EC">
      <w:pPr>
        <w:spacing w:after="0" w:line="276" w:lineRule="auto"/>
        <w:contextualSpacing/>
        <w:jc w:val="both"/>
        <w:rPr>
          <w:rFonts w:ascii="Verdana" w:eastAsia="Calibri" w:hAnsi="Verdana" w:cs="Arial"/>
          <w:bCs/>
          <w:lang w:eastAsia="es-ES_tradnl"/>
        </w:rPr>
      </w:pPr>
      <w:r w:rsidRPr="00BE151B">
        <w:rPr>
          <w:rFonts w:ascii="Verdana" w:eastAsia="Calibri" w:hAnsi="Verdana" w:cs="Arial"/>
          <w:lang w:eastAsia="es-ES_tradnl"/>
        </w:rPr>
        <w:t xml:space="preserve">Estimada </w:t>
      </w:r>
      <w:r>
        <w:rPr>
          <w:rFonts w:ascii="Verdana" w:eastAsia="Calibri" w:hAnsi="Verdana" w:cs="Arial"/>
          <w:lang w:eastAsia="es-ES_tradnl"/>
        </w:rPr>
        <w:t>señora</w:t>
      </w:r>
      <w:r w:rsidR="00293CE6">
        <w:rPr>
          <w:rFonts w:ascii="Verdana" w:eastAsia="Calibri" w:hAnsi="Verdana" w:cs="Arial"/>
          <w:lang w:eastAsia="es-ES_tradnl"/>
        </w:rPr>
        <w:t xml:space="preserve"> </w:t>
      </w:r>
      <w:proofErr w:type="spellStart"/>
      <w:r w:rsidR="00293CE6">
        <w:rPr>
          <w:rFonts w:ascii="Verdana" w:eastAsia="Calibri" w:hAnsi="Verdana" w:cs="Arial"/>
          <w:lang w:eastAsia="es-ES_tradnl"/>
        </w:rPr>
        <w:t>Ronderos</w:t>
      </w:r>
      <w:proofErr w:type="spellEnd"/>
      <w:r w:rsidRPr="00BE151B">
        <w:rPr>
          <w:rFonts w:ascii="Verdana" w:eastAsia="Calibri" w:hAnsi="Verdana" w:cs="Arial"/>
          <w:bCs/>
          <w:lang w:eastAsia="es-ES_tradnl"/>
        </w:rPr>
        <w:t>:</w:t>
      </w:r>
    </w:p>
    <w:p w14:paraId="147A3C74" w14:textId="77777777" w:rsidR="004A28EC" w:rsidRPr="00BE151B" w:rsidRDefault="004A28EC" w:rsidP="004A28EC">
      <w:pPr>
        <w:spacing w:after="0" w:line="276" w:lineRule="auto"/>
        <w:contextualSpacing/>
        <w:jc w:val="both"/>
        <w:rPr>
          <w:rFonts w:ascii="Verdana" w:eastAsia="Calibri" w:hAnsi="Verdana" w:cs="Arial"/>
          <w:lang w:eastAsia="es-ES_tradnl"/>
        </w:rPr>
      </w:pPr>
    </w:p>
    <w:p w14:paraId="306DF8C5" w14:textId="3FF63243" w:rsidR="004A28EC" w:rsidRPr="00BE151B" w:rsidRDefault="004A28EC" w:rsidP="004A28EC">
      <w:pPr>
        <w:spacing w:after="120" w:line="276" w:lineRule="auto"/>
        <w:jc w:val="both"/>
        <w:rPr>
          <w:rFonts w:ascii="Verdana" w:eastAsia="Calibri" w:hAnsi="Verdana" w:cs="Arial"/>
          <w:lang w:eastAsia="es-ES_tradnl"/>
        </w:rPr>
      </w:pPr>
      <w:r w:rsidRPr="00BE151B">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293CE6">
        <w:rPr>
          <w:rFonts w:ascii="Verdana" w:eastAsia="Calibri" w:hAnsi="Verdana" w:cs="Arial"/>
          <w:lang w:eastAsia="es-ES_tradnl"/>
        </w:rPr>
        <w:t>14</w:t>
      </w:r>
      <w:r w:rsidRPr="00BE151B">
        <w:rPr>
          <w:rFonts w:ascii="Verdana" w:eastAsia="Calibri" w:hAnsi="Verdana" w:cs="Arial"/>
          <w:lang w:eastAsia="es-ES_tradnl"/>
        </w:rPr>
        <w:t xml:space="preserve"> de </w:t>
      </w:r>
      <w:r w:rsidR="00293CE6">
        <w:rPr>
          <w:rFonts w:ascii="Verdana" w:eastAsia="Calibri" w:hAnsi="Verdana" w:cs="Arial"/>
          <w:lang w:eastAsia="es-ES_tradnl"/>
        </w:rPr>
        <w:t>enero</w:t>
      </w:r>
      <w:r w:rsidRPr="00BE151B">
        <w:rPr>
          <w:rFonts w:ascii="Verdana" w:eastAsia="Calibri" w:hAnsi="Verdana" w:cs="Arial"/>
          <w:lang w:eastAsia="es-ES_tradnl"/>
        </w:rPr>
        <w:t xml:space="preserve"> de 202</w:t>
      </w:r>
      <w:r w:rsidR="00293CE6">
        <w:rPr>
          <w:rFonts w:ascii="Verdana" w:eastAsia="Calibri" w:hAnsi="Verdana" w:cs="Arial"/>
          <w:lang w:eastAsia="es-ES_tradnl"/>
        </w:rPr>
        <w:t>5</w:t>
      </w:r>
      <w:r w:rsidRPr="00BE151B">
        <w:rPr>
          <w:rFonts w:ascii="Verdana" w:eastAsia="Calibri" w:hAnsi="Verdana" w:cs="Arial"/>
          <w:lang w:eastAsia="es-ES_tradnl"/>
        </w:rPr>
        <w:t xml:space="preserve">, en la cual </w:t>
      </w:r>
      <w:r>
        <w:rPr>
          <w:rFonts w:ascii="Verdana" w:eastAsia="Calibri" w:hAnsi="Verdana" w:cs="Arial"/>
          <w:lang w:eastAsia="es-ES_tradnl"/>
        </w:rPr>
        <w:t>consulta</w:t>
      </w:r>
      <w:r w:rsidRPr="00BE151B">
        <w:rPr>
          <w:rFonts w:ascii="Verdana" w:eastAsia="Calibri" w:hAnsi="Verdana" w:cs="Arial"/>
          <w:lang w:eastAsia="es-ES_tradnl"/>
        </w:rPr>
        <w:t xml:space="preserve"> lo siguiente: </w:t>
      </w:r>
    </w:p>
    <w:p w14:paraId="32B407B6" w14:textId="14DEA060" w:rsidR="004A28EC" w:rsidRPr="00472C94" w:rsidRDefault="004A28EC" w:rsidP="00293CE6">
      <w:pPr>
        <w:spacing w:after="120" w:line="240" w:lineRule="auto"/>
        <w:ind w:left="709" w:right="709"/>
        <w:jc w:val="both"/>
        <w:rPr>
          <w:rFonts w:ascii="Verdana" w:eastAsia="Times New Roman" w:hAnsi="Verdana" w:cs="Arial"/>
          <w:i/>
          <w:sz w:val="20"/>
          <w:szCs w:val="20"/>
          <w:lang w:eastAsia="es-ES_tradnl"/>
        </w:rPr>
      </w:pPr>
      <w:r w:rsidRPr="00472C94">
        <w:rPr>
          <w:rFonts w:ascii="Verdana" w:eastAsia="Times New Roman" w:hAnsi="Verdana" w:cs="Arial"/>
          <w:i/>
          <w:sz w:val="20"/>
          <w:szCs w:val="20"/>
          <w:lang w:eastAsia="es-ES_tradnl"/>
        </w:rPr>
        <w:t>“</w:t>
      </w:r>
      <w:r w:rsidR="00293CE6" w:rsidRPr="00293CE6">
        <w:rPr>
          <w:rFonts w:ascii="Verdana" w:eastAsia="Times New Roman" w:hAnsi="Verdana" w:cs="Arial"/>
          <w:i/>
          <w:sz w:val="20"/>
          <w:szCs w:val="20"/>
          <w:lang w:eastAsia="es-ES_tradnl"/>
        </w:rPr>
        <w:t>Amablemente solicito me indiquen un funcionario grado asesor 1020-10 de una</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 xml:space="preserve">entidad </w:t>
      </w:r>
      <w:proofErr w:type="spellStart"/>
      <w:r w:rsidR="00293CE6" w:rsidRPr="00293CE6">
        <w:rPr>
          <w:rFonts w:ascii="Verdana" w:eastAsia="Times New Roman" w:hAnsi="Verdana" w:cs="Arial"/>
          <w:i/>
          <w:sz w:val="20"/>
          <w:szCs w:val="20"/>
          <w:lang w:eastAsia="es-ES_tradnl"/>
        </w:rPr>
        <w:t>publica</w:t>
      </w:r>
      <w:proofErr w:type="spellEnd"/>
      <w:r w:rsidR="00293CE6" w:rsidRPr="00293CE6">
        <w:rPr>
          <w:rFonts w:ascii="Verdana" w:eastAsia="Times New Roman" w:hAnsi="Verdana" w:cs="Arial"/>
          <w:i/>
          <w:sz w:val="20"/>
          <w:szCs w:val="20"/>
          <w:lang w:eastAsia="es-ES_tradnl"/>
        </w:rPr>
        <w:t xml:space="preserve"> de orden nacional, que tenga este cargo que es de carrera</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administrativa proveído por concurso de méritos abierto de la comisión nacional del</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servicio civil, cargo que no pertenece al DESPACHO y POR SUPUESTO NO HA</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PARTICIPADO EN NINGUN TIPO DE DECISIÓN ya que en las funciones</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asignadas no tiene voto solo voz; pregunta: está inhabilitado el funcionario a su</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retiro de la entidad, para de que sea contratado por esta entidad o por otra en el</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mismo sector a que pertenece, se aclara que este cargo no cumple con los</w:t>
      </w:r>
      <w:r w:rsidR="00293CE6">
        <w:rPr>
          <w:rFonts w:ascii="Verdana" w:eastAsia="Times New Roman" w:hAnsi="Verdana" w:cs="Arial"/>
          <w:i/>
          <w:sz w:val="20"/>
          <w:szCs w:val="20"/>
          <w:lang w:eastAsia="es-ES_tradnl"/>
        </w:rPr>
        <w:t xml:space="preserve"> </w:t>
      </w:r>
      <w:r w:rsidR="00293CE6" w:rsidRPr="00293CE6">
        <w:rPr>
          <w:rFonts w:ascii="Verdana" w:eastAsia="Times New Roman" w:hAnsi="Verdana" w:cs="Arial"/>
          <w:i/>
          <w:sz w:val="20"/>
          <w:szCs w:val="20"/>
          <w:lang w:eastAsia="es-ES_tradnl"/>
        </w:rPr>
        <w:t>conceptos de la su agencia ha emitido en esta materia :</w:t>
      </w:r>
      <w:r w:rsidR="00293CE6">
        <w:rPr>
          <w:rFonts w:ascii="Verdana" w:eastAsia="Times New Roman" w:hAnsi="Verdana" w:cs="Arial"/>
          <w:i/>
          <w:sz w:val="20"/>
          <w:szCs w:val="20"/>
          <w:lang w:eastAsia="es-ES_tradnl"/>
        </w:rPr>
        <w:t>”</w:t>
      </w:r>
      <w:r w:rsidRPr="00472C94">
        <w:rPr>
          <w:rFonts w:ascii="Verdana" w:eastAsia="Times New Roman" w:hAnsi="Verdana" w:cs="Arial"/>
          <w:sz w:val="20"/>
          <w:szCs w:val="20"/>
          <w:lang w:eastAsia="es-ES_tradnl"/>
        </w:rPr>
        <w:t xml:space="preserve"> [SIC]</w:t>
      </w:r>
      <w:r w:rsidRPr="00472C94">
        <w:rPr>
          <w:rFonts w:ascii="Verdana" w:eastAsia="Times New Roman" w:hAnsi="Verdana" w:cs="Arial"/>
          <w:i/>
          <w:sz w:val="20"/>
          <w:szCs w:val="20"/>
          <w:lang w:eastAsia="es-ES_tradnl"/>
        </w:rPr>
        <w:t>.</w:t>
      </w:r>
    </w:p>
    <w:p w14:paraId="3F98A9E8" w14:textId="77777777" w:rsidR="004A28EC" w:rsidRPr="00BE151B" w:rsidRDefault="004A28EC" w:rsidP="004A28EC">
      <w:pPr>
        <w:spacing w:after="120" w:line="240" w:lineRule="auto"/>
        <w:ind w:left="709" w:right="709"/>
        <w:jc w:val="both"/>
        <w:rPr>
          <w:rFonts w:ascii="Verdana" w:eastAsia="Times New Roman" w:hAnsi="Verdana" w:cs="Arial"/>
          <w:i/>
          <w:lang w:eastAsia="es-ES_tradnl"/>
        </w:rPr>
      </w:pPr>
    </w:p>
    <w:p w14:paraId="5EBB0C7C" w14:textId="77777777" w:rsidR="004A28EC" w:rsidRPr="00BE151B" w:rsidRDefault="004A28EC" w:rsidP="004A28EC">
      <w:pPr>
        <w:spacing w:after="120" w:line="276" w:lineRule="auto"/>
        <w:ind w:firstLine="709"/>
        <w:jc w:val="both"/>
        <w:rPr>
          <w:rFonts w:ascii="Verdana" w:eastAsia="Calibri" w:hAnsi="Verdana" w:cs="Arial"/>
          <w:color w:val="000000"/>
          <w:szCs w:val="24"/>
          <w:lang w:eastAsia="es-ES_tradnl"/>
        </w:rPr>
      </w:pPr>
      <w:r w:rsidRPr="00BE151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BE151B">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151B">
        <w:rPr>
          <w:rFonts w:ascii="Verdana" w:eastAsia="Calibri" w:hAnsi="Verdana" w:cs="Arial"/>
          <w:color w:val="000000"/>
          <w:szCs w:val="24"/>
          <w:lang w:eastAsia="es-ES_tradnl"/>
        </w:rPr>
        <w:tab/>
      </w:r>
    </w:p>
    <w:p w14:paraId="48DADDC5" w14:textId="77777777" w:rsidR="004A28EC" w:rsidRPr="00BE151B" w:rsidRDefault="004A28EC" w:rsidP="004A28EC">
      <w:pPr>
        <w:spacing w:after="0" w:line="276" w:lineRule="auto"/>
        <w:ind w:firstLine="709"/>
        <w:jc w:val="both"/>
        <w:rPr>
          <w:rFonts w:ascii="Verdana" w:eastAsia="Calibri" w:hAnsi="Verdana" w:cs="Arial"/>
          <w:lang w:eastAsia="es-ES"/>
        </w:rPr>
      </w:pPr>
      <w:r w:rsidRPr="00BE151B">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F7A978D" w14:textId="77777777" w:rsidR="004A28EC" w:rsidRPr="00BE151B" w:rsidRDefault="004A28EC" w:rsidP="004A28EC">
      <w:pPr>
        <w:spacing w:after="0" w:line="276" w:lineRule="auto"/>
        <w:contextualSpacing/>
        <w:jc w:val="both"/>
        <w:rPr>
          <w:rFonts w:ascii="Verdana" w:eastAsia="Times New Roman" w:hAnsi="Verdana" w:cs="Arial"/>
          <w:szCs w:val="24"/>
          <w:lang w:eastAsia="es-ES_tradnl"/>
        </w:rPr>
      </w:pPr>
    </w:p>
    <w:p w14:paraId="6D14AC8D" w14:textId="77777777" w:rsidR="004A28EC" w:rsidRPr="00BE151B" w:rsidRDefault="004A28EC" w:rsidP="004A28EC">
      <w:pPr>
        <w:tabs>
          <w:tab w:val="left" w:pos="0"/>
          <w:tab w:val="left" w:pos="284"/>
        </w:tabs>
        <w:spacing w:after="0" w:line="276" w:lineRule="auto"/>
        <w:contextualSpacing/>
        <w:jc w:val="both"/>
        <w:rPr>
          <w:rFonts w:ascii="Verdana" w:eastAsia="Calibri" w:hAnsi="Verdana" w:cs="Arial"/>
          <w:b/>
        </w:rPr>
      </w:pPr>
      <w:r w:rsidRPr="00BE151B">
        <w:rPr>
          <w:rFonts w:ascii="Verdana" w:eastAsia="Calibri" w:hAnsi="Verdana" w:cs="Arial"/>
          <w:b/>
        </w:rPr>
        <w:t>1. Problema planteado:</w:t>
      </w:r>
    </w:p>
    <w:p w14:paraId="4D2C7D21" w14:textId="77777777" w:rsidR="004A28EC" w:rsidRPr="00BE151B" w:rsidRDefault="004A28EC" w:rsidP="004A28EC">
      <w:pPr>
        <w:tabs>
          <w:tab w:val="left" w:pos="0"/>
          <w:tab w:val="left" w:pos="284"/>
        </w:tabs>
        <w:spacing w:after="0" w:line="276" w:lineRule="auto"/>
        <w:contextualSpacing/>
        <w:jc w:val="both"/>
        <w:rPr>
          <w:rFonts w:ascii="Verdana" w:eastAsia="Calibri" w:hAnsi="Verdana" w:cs="Arial"/>
          <w:b/>
        </w:rPr>
      </w:pPr>
    </w:p>
    <w:p w14:paraId="6AAA122B" w14:textId="77777777" w:rsidR="00991F16" w:rsidRDefault="00991F16" w:rsidP="004A28EC">
      <w:pPr>
        <w:tabs>
          <w:tab w:val="left" w:pos="142"/>
          <w:tab w:val="left" w:pos="284"/>
        </w:tabs>
        <w:spacing w:after="0" w:line="276" w:lineRule="auto"/>
        <w:jc w:val="both"/>
        <w:rPr>
          <w:rFonts w:ascii="Verdana" w:hAnsi="Verdana"/>
        </w:rPr>
      </w:pPr>
      <w:r w:rsidRPr="00991F16">
        <w:rPr>
          <w:rFonts w:ascii="Verdana" w:hAnsi="Verdana"/>
        </w:rPr>
        <w:t xml:space="preserve">De acuerdo con el contenido de su solicitud, esta Agencia resolverá el siguiente problema jurídico: ¿Existe alguna inhabilidad o incompatibilidad para los exservidores públicos de nivel asesor de una entidad pública para ser contratista del estado después de la dejación del cargo? </w:t>
      </w:r>
    </w:p>
    <w:p w14:paraId="0E453CD0" w14:textId="77777777" w:rsidR="00991F16" w:rsidRDefault="00991F16" w:rsidP="004A28EC">
      <w:pPr>
        <w:tabs>
          <w:tab w:val="left" w:pos="142"/>
          <w:tab w:val="left" w:pos="284"/>
        </w:tabs>
        <w:spacing w:after="0" w:line="276" w:lineRule="auto"/>
        <w:jc w:val="both"/>
        <w:rPr>
          <w:rFonts w:ascii="Verdana" w:hAnsi="Verdana"/>
        </w:rPr>
      </w:pPr>
    </w:p>
    <w:p w14:paraId="02656F57" w14:textId="1987EABE" w:rsidR="004A28EC" w:rsidRPr="00BE151B" w:rsidRDefault="004A28EC" w:rsidP="004A28EC">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2. Respuesta:</w:t>
      </w:r>
    </w:p>
    <w:p w14:paraId="086D17A7" w14:textId="77777777" w:rsidR="004A28EC" w:rsidRPr="00BE151B" w:rsidRDefault="004A28EC" w:rsidP="004A28EC">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28EC" w:rsidRPr="00BE151B" w14:paraId="516AA0A6" w14:textId="77777777" w:rsidTr="00260788">
        <w:tc>
          <w:tcPr>
            <w:tcW w:w="8828" w:type="dxa"/>
          </w:tcPr>
          <w:p w14:paraId="06315977" w14:textId="77777777" w:rsidR="00991F16" w:rsidRDefault="00991F16" w:rsidP="00991F16">
            <w:pPr>
              <w:spacing w:after="120" w:line="276" w:lineRule="auto"/>
              <w:jc w:val="both"/>
              <w:rPr>
                <w:rFonts w:ascii="Verdana" w:eastAsia="Arial MT" w:hAnsi="Verdana" w:cs="Arial"/>
                <w:lang w:eastAsia="es-ES" w:bidi="es-ES"/>
              </w:rPr>
            </w:pPr>
            <w:r w:rsidRPr="00991F16">
              <w:rPr>
                <w:rFonts w:ascii="Verdana" w:eastAsia="Arial MT" w:hAnsi="Verdana" w:cs="Arial"/>
                <w:lang w:eastAsia="es-ES" w:bidi="es-ES"/>
              </w:rPr>
              <w:t xml:space="preserve">Si. En atención a lo dispuesto en el literal a) del numeral 2 del artículo 8 de la Ley 80 de 1993 se configura incompatibilidad para contratar con una entidad determinada en quienes fueron miembros de junta o consejo directivo, así como en los exservidores públicos de los niveles directivo, </w:t>
            </w:r>
            <w:r w:rsidRPr="00991F16">
              <w:rPr>
                <w:rFonts w:ascii="Verdana" w:eastAsia="Arial MT" w:hAnsi="Verdana" w:cs="Arial"/>
                <w:b/>
                <w:bCs/>
                <w:lang w:eastAsia="es-ES" w:bidi="es-ES"/>
              </w:rPr>
              <w:t xml:space="preserve">asesor </w:t>
            </w:r>
            <w:r w:rsidRPr="00991F16">
              <w:rPr>
                <w:rFonts w:ascii="Verdana" w:eastAsia="Arial MT" w:hAnsi="Verdana" w:cs="Arial"/>
                <w:lang w:eastAsia="es-ES" w:bidi="es-ES"/>
              </w:rPr>
              <w:t xml:space="preserve">o ejecutivo. Esta restricción a la capacidad rige únicamente respecto de la entidad contratante a la que estuvo vinculado el respectivo miembro de junta o servidor, durante el año siguiente a la fecha de retiro. </w:t>
            </w:r>
          </w:p>
          <w:p w14:paraId="06930670" w14:textId="651D295A" w:rsidR="004A28EC" w:rsidRPr="00BE151B" w:rsidRDefault="00991F16" w:rsidP="00991F16">
            <w:pPr>
              <w:spacing w:after="120" w:line="276" w:lineRule="auto"/>
              <w:jc w:val="both"/>
              <w:rPr>
                <w:rFonts w:ascii="Verdana" w:eastAsia="Arial MT" w:hAnsi="Verdana" w:cs="Arial"/>
                <w:lang w:eastAsia="es-ES" w:bidi="es-ES"/>
              </w:rPr>
            </w:pPr>
            <w:r w:rsidRPr="00991F16">
              <w:rPr>
                <w:rFonts w:ascii="Verdana" w:eastAsia="Arial MT" w:hAnsi="Verdana" w:cs="Arial"/>
                <w:lang w:eastAsia="es-ES" w:bidi="es-ES"/>
              </w:rPr>
              <w:t>En todo caso, corresponde a la entidad estatal contratante determinar en cada caso concreto si se cumplen o no los supuestos de hecho y condiciones que dan lugar a la configuración de las referidas incompatibilidades.</w:t>
            </w:r>
          </w:p>
        </w:tc>
      </w:tr>
    </w:tbl>
    <w:p w14:paraId="02A1CF5C" w14:textId="77777777" w:rsidR="004A28EC" w:rsidRPr="00BE151B" w:rsidRDefault="004A28EC" w:rsidP="004A28EC">
      <w:pPr>
        <w:spacing w:after="0" w:line="276" w:lineRule="auto"/>
        <w:contextualSpacing/>
        <w:jc w:val="both"/>
        <w:rPr>
          <w:rFonts w:ascii="Verdana" w:eastAsia="Times New Roman" w:hAnsi="Verdana" w:cs="Arial"/>
          <w:lang w:eastAsia="es-ES_tradnl"/>
        </w:rPr>
      </w:pPr>
    </w:p>
    <w:p w14:paraId="149CA1BD" w14:textId="77777777" w:rsidR="004A28EC" w:rsidRPr="00BE151B" w:rsidRDefault="004A28EC" w:rsidP="004A28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lastRenderedPageBreak/>
        <w:t>3. Razones de la respuesta:</w:t>
      </w:r>
    </w:p>
    <w:p w14:paraId="57F594AC" w14:textId="77777777" w:rsidR="004A28EC" w:rsidRPr="00BE151B" w:rsidRDefault="004A28EC" w:rsidP="004A28EC">
      <w:pPr>
        <w:spacing w:after="0" w:line="276" w:lineRule="auto"/>
        <w:jc w:val="both"/>
        <w:rPr>
          <w:rFonts w:ascii="Verdana" w:eastAsia="Calibri" w:hAnsi="Verdana" w:cs="Arial"/>
          <w:color w:val="7030A0"/>
        </w:rPr>
      </w:pPr>
    </w:p>
    <w:p w14:paraId="7D559D10" w14:textId="6554D6C8" w:rsidR="004A28EC" w:rsidRPr="00BE151B" w:rsidRDefault="004A28EC" w:rsidP="004A28EC">
      <w:pPr>
        <w:spacing w:after="0" w:line="276" w:lineRule="auto"/>
        <w:jc w:val="both"/>
        <w:rPr>
          <w:rFonts w:ascii="Verdana" w:eastAsia="Calibri" w:hAnsi="Verdana" w:cs="Arial"/>
        </w:rPr>
      </w:pPr>
      <w:r w:rsidRPr="00BE151B">
        <w:rPr>
          <w:rFonts w:ascii="Verdana" w:eastAsia="Calibri" w:hAnsi="Verdana" w:cs="Arial"/>
        </w:rPr>
        <w:t xml:space="preserve">Lo anterior se sustenta en las siguientes consideraciones: </w:t>
      </w:r>
    </w:p>
    <w:p w14:paraId="3300AC74" w14:textId="77777777" w:rsidR="00991F16"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 xml:space="preserve">En primer lugar, la Constitución Política de Colombia de 1991 establece en el artículo 123 que son servidores públicos i) los miembros de las corporaciones públicas, </w:t>
      </w:r>
      <w:proofErr w:type="spellStart"/>
      <w:r w:rsidRPr="00991F16">
        <w:rPr>
          <w:rFonts w:ascii="Verdana" w:eastAsia="Arial MT" w:hAnsi="Verdana" w:cs="Arial"/>
        </w:rPr>
        <w:t>ii</w:t>
      </w:r>
      <w:proofErr w:type="spellEnd"/>
      <w:r w:rsidRPr="00991F16">
        <w:rPr>
          <w:rFonts w:ascii="Verdana" w:eastAsia="Arial MT" w:hAnsi="Verdana" w:cs="Arial"/>
        </w:rPr>
        <w:t xml:space="preserve">) los empleados y trabajadores del Estado y de sus entidades descentralizadas territorialmente y por servicios. En consonancia con lo anterior, el Consejo de Estado desarrollo el concepto de </w:t>
      </w:r>
      <w:proofErr w:type="gramStart"/>
      <w:r w:rsidRPr="00991F16">
        <w:rPr>
          <w:rFonts w:ascii="Verdana" w:eastAsia="Arial MT" w:hAnsi="Verdana" w:cs="Arial"/>
        </w:rPr>
        <w:t>“ funcionario</w:t>
      </w:r>
      <w:proofErr w:type="gramEnd"/>
      <w:r w:rsidRPr="00991F16">
        <w:rPr>
          <w:rFonts w:ascii="Verdana" w:eastAsia="Arial MT" w:hAnsi="Verdana" w:cs="Arial"/>
        </w:rPr>
        <w:t xml:space="preserve"> ” en Sentencia del 26 de junio de 2018, en los siguientes términos: </w:t>
      </w:r>
    </w:p>
    <w:p w14:paraId="00566292" w14:textId="02C0A182" w:rsidR="00991F16" w:rsidRDefault="00991F16" w:rsidP="00991F16">
      <w:pPr>
        <w:widowControl w:val="0"/>
        <w:autoSpaceDE w:val="0"/>
        <w:autoSpaceDN w:val="0"/>
        <w:spacing w:before="120" w:after="0" w:line="276" w:lineRule="auto"/>
        <w:ind w:left="708" w:firstLine="708"/>
        <w:jc w:val="both"/>
        <w:rPr>
          <w:rFonts w:ascii="Verdana" w:eastAsia="Arial MT" w:hAnsi="Verdana" w:cs="Arial"/>
        </w:rPr>
      </w:pPr>
      <w:proofErr w:type="gramStart"/>
      <w:r w:rsidRPr="00991F16">
        <w:rPr>
          <w:rFonts w:ascii="Verdana" w:eastAsia="Arial MT" w:hAnsi="Verdana" w:cs="Arial"/>
        </w:rPr>
        <w:t>“ El</w:t>
      </w:r>
      <w:proofErr w:type="gramEnd"/>
      <w:r w:rsidRPr="00991F16">
        <w:rPr>
          <w:rFonts w:ascii="Verdana" w:eastAsia="Arial MT" w:hAnsi="Verdana" w:cs="Arial"/>
        </w:rPr>
        <w:t xml:space="preserve"> Constituyente Primario utilizó de forma general el concepto de </w:t>
      </w:r>
      <w:proofErr w:type="gramStart"/>
      <w:r w:rsidRPr="00991F16">
        <w:rPr>
          <w:rFonts w:ascii="Verdana" w:eastAsia="Arial MT" w:hAnsi="Verdana" w:cs="Arial"/>
        </w:rPr>
        <w:t>“ servidor</w:t>
      </w:r>
      <w:proofErr w:type="gramEnd"/>
      <w:r w:rsidRPr="00991F16">
        <w:rPr>
          <w:rFonts w:ascii="Verdana" w:eastAsia="Arial MT" w:hAnsi="Verdana" w:cs="Arial"/>
        </w:rPr>
        <w:t xml:space="preserve"> </w:t>
      </w:r>
      <w:proofErr w:type="gramStart"/>
      <w:r w:rsidRPr="00991F16">
        <w:rPr>
          <w:rFonts w:ascii="Verdana" w:eastAsia="Arial MT" w:hAnsi="Verdana" w:cs="Arial"/>
        </w:rPr>
        <w:t>público ”</w:t>
      </w:r>
      <w:proofErr w:type="gramEnd"/>
      <w:r w:rsidRPr="00991F16">
        <w:rPr>
          <w:rFonts w:ascii="Verdana" w:eastAsia="Arial MT" w:hAnsi="Verdana" w:cs="Arial"/>
        </w:rPr>
        <w:t xml:space="preserve"> para comprender a todas las </w:t>
      </w:r>
      <w:r w:rsidRPr="00991F16">
        <w:rPr>
          <w:rFonts w:ascii="Verdana" w:eastAsia="Arial MT" w:hAnsi="Verdana" w:cs="Arial"/>
          <w:b/>
          <w:bCs/>
        </w:rPr>
        <w:t xml:space="preserve">personas naturales </w:t>
      </w:r>
      <w:r w:rsidRPr="00991F16">
        <w:rPr>
          <w:rFonts w:ascii="Verdana" w:eastAsia="Arial MT" w:hAnsi="Verdana" w:cs="Arial"/>
        </w:rPr>
        <w:t xml:space="preserve">que tienen una relación laboral con el Estado, y trabajan a su servicio para efectos de asegurar el cumplimiento de sus fines constitucionales. Para referirse a ellos en forma genérica la Carta también emplea la expresión </w:t>
      </w:r>
      <w:proofErr w:type="gramStart"/>
      <w:r w:rsidRPr="00991F16">
        <w:rPr>
          <w:rFonts w:ascii="Verdana" w:eastAsia="Arial MT" w:hAnsi="Verdana" w:cs="Arial"/>
        </w:rPr>
        <w:t>“ funcionarios</w:t>
      </w:r>
      <w:proofErr w:type="gramEnd"/>
      <w:r w:rsidRPr="00991F16">
        <w:rPr>
          <w:rFonts w:ascii="Verdana" w:eastAsia="Arial MT" w:hAnsi="Verdana" w:cs="Arial"/>
        </w:rPr>
        <w:t xml:space="preserve"> </w:t>
      </w:r>
      <w:proofErr w:type="gramStart"/>
      <w:r w:rsidRPr="00991F16">
        <w:rPr>
          <w:rFonts w:ascii="Verdana" w:eastAsia="Arial MT" w:hAnsi="Verdana" w:cs="Arial"/>
        </w:rPr>
        <w:t>” ,</w:t>
      </w:r>
      <w:proofErr w:type="gramEnd"/>
      <w:r w:rsidRPr="00991F16">
        <w:rPr>
          <w:rFonts w:ascii="Verdana" w:eastAsia="Arial MT" w:hAnsi="Verdana" w:cs="Arial"/>
        </w:rPr>
        <w:t xml:space="preserve"> tal como se evidencia en los artículos 118, 125, 135, 178, 179, 180, 189, 201, 208, 214, 235, 249, 253, 255, 256, 257, 260, 268, 277, 278, 279, 292, 300, 313, 315 y 354.”</w:t>
      </w:r>
    </w:p>
    <w:p w14:paraId="413CCAF9" w14:textId="77777777" w:rsidR="00991F16" w:rsidRDefault="00991F16" w:rsidP="004A28EC">
      <w:pPr>
        <w:widowControl w:val="0"/>
        <w:autoSpaceDE w:val="0"/>
        <w:autoSpaceDN w:val="0"/>
        <w:spacing w:before="120" w:after="0" w:line="276" w:lineRule="auto"/>
        <w:ind w:firstLine="708"/>
        <w:jc w:val="both"/>
        <w:rPr>
          <w:rFonts w:ascii="Verdana" w:eastAsia="Arial MT" w:hAnsi="Verdana" w:cs="Arial"/>
        </w:rPr>
      </w:pPr>
    </w:p>
    <w:p w14:paraId="348986F3" w14:textId="2CA3597E" w:rsidR="00991F16"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 xml:space="preserve">En ese orden, los términos </w:t>
      </w:r>
      <w:proofErr w:type="gramStart"/>
      <w:r w:rsidRPr="00991F16">
        <w:rPr>
          <w:rFonts w:ascii="Verdana" w:eastAsia="Arial MT" w:hAnsi="Verdana" w:cs="Arial"/>
        </w:rPr>
        <w:t>“ funcionario</w:t>
      </w:r>
      <w:proofErr w:type="gramEnd"/>
      <w:r w:rsidRPr="00991F16">
        <w:rPr>
          <w:rFonts w:ascii="Verdana" w:eastAsia="Arial MT" w:hAnsi="Verdana" w:cs="Arial"/>
        </w:rPr>
        <w:t xml:space="preserve"> </w:t>
      </w:r>
      <w:proofErr w:type="gramStart"/>
      <w:r w:rsidRPr="00991F16">
        <w:rPr>
          <w:rFonts w:ascii="Verdana" w:eastAsia="Arial MT" w:hAnsi="Verdana" w:cs="Arial"/>
        </w:rPr>
        <w:t>público ”</w:t>
      </w:r>
      <w:proofErr w:type="gramEnd"/>
      <w:r w:rsidRPr="00991F16">
        <w:rPr>
          <w:rFonts w:ascii="Verdana" w:eastAsia="Arial MT" w:hAnsi="Verdana" w:cs="Arial"/>
        </w:rPr>
        <w:t xml:space="preserve"> o </w:t>
      </w:r>
      <w:proofErr w:type="gramStart"/>
      <w:r w:rsidRPr="00991F16">
        <w:rPr>
          <w:rFonts w:ascii="Verdana" w:eastAsia="Arial MT" w:hAnsi="Verdana" w:cs="Arial"/>
        </w:rPr>
        <w:t>“ servidor</w:t>
      </w:r>
      <w:proofErr w:type="gramEnd"/>
      <w:r w:rsidRPr="00991F16">
        <w:rPr>
          <w:rFonts w:ascii="Verdana" w:eastAsia="Arial MT" w:hAnsi="Verdana" w:cs="Arial"/>
        </w:rPr>
        <w:t xml:space="preserve"> </w:t>
      </w:r>
      <w:proofErr w:type="gramStart"/>
      <w:r w:rsidRPr="00991F16">
        <w:rPr>
          <w:rFonts w:ascii="Verdana" w:eastAsia="Arial MT" w:hAnsi="Verdana" w:cs="Arial"/>
        </w:rPr>
        <w:t>público ”</w:t>
      </w:r>
      <w:proofErr w:type="gramEnd"/>
      <w:r w:rsidRPr="00991F16">
        <w:rPr>
          <w:rFonts w:ascii="Verdana" w:eastAsia="Arial MT" w:hAnsi="Verdana" w:cs="Arial"/>
        </w:rPr>
        <w:t xml:space="preserve"> son utilizados por la norma como denominación general para las personas que desempeñan cargos en entidades del Estado, entrando así a diferenciar las categorías en las que se dividen, como lo son los trabajadores oficiales y los empleados públicos. En ese sentido, el concepto recae únicamente en personas entendidas estas como individuos de la especie humana</w:t>
      </w:r>
      <w:r w:rsidR="000F2581" w:rsidRPr="7E0867B5">
        <w:rPr>
          <w:rFonts w:ascii="Verdana" w:eastAsia="Calibri" w:hAnsi="Verdana" w:cs="Arial"/>
          <w:vertAlign w:val="superscript"/>
          <w:lang w:val="es-ES" w:eastAsia="es-ES"/>
        </w:rPr>
        <w:footnoteReference w:id="1"/>
      </w:r>
      <w:r w:rsidRPr="00991F16">
        <w:rPr>
          <w:rFonts w:ascii="Verdana" w:eastAsia="Arial MT" w:hAnsi="Verdana" w:cs="Arial"/>
        </w:rPr>
        <w:t xml:space="preserve">, según la definición de la RAE, sin que exista la posibilidad de subsumir a las personas jurídicas dentro de la categoría de “funcionario público” o “servidor público”. </w:t>
      </w:r>
    </w:p>
    <w:p w14:paraId="4E2B7B1C" w14:textId="0B1EB81A" w:rsidR="00991F16"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De esta manera el literal a) del numeral 2 del artículo 8 de la Ley 80, a la letra establece:</w:t>
      </w:r>
    </w:p>
    <w:p w14:paraId="0F0E0E07" w14:textId="77777777" w:rsidR="00991F16" w:rsidRDefault="00991F16" w:rsidP="004A28EC">
      <w:pPr>
        <w:widowControl w:val="0"/>
        <w:autoSpaceDE w:val="0"/>
        <w:autoSpaceDN w:val="0"/>
        <w:spacing w:before="120" w:after="0" w:line="276" w:lineRule="auto"/>
        <w:ind w:firstLine="708"/>
        <w:jc w:val="both"/>
        <w:rPr>
          <w:rFonts w:ascii="Verdana" w:eastAsia="Arial MT" w:hAnsi="Verdana" w:cs="Arial"/>
        </w:rPr>
      </w:pPr>
    </w:p>
    <w:p w14:paraId="212FC9DB" w14:textId="082CF70A" w:rsidR="00991F16" w:rsidRDefault="00991F16" w:rsidP="00991F16">
      <w:pPr>
        <w:widowControl w:val="0"/>
        <w:autoSpaceDE w:val="0"/>
        <w:autoSpaceDN w:val="0"/>
        <w:spacing w:before="120" w:after="0" w:line="276" w:lineRule="auto"/>
        <w:ind w:left="708" w:firstLine="708"/>
        <w:jc w:val="both"/>
        <w:rPr>
          <w:rFonts w:ascii="Verdana" w:eastAsia="Arial MT" w:hAnsi="Verdana" w:cs="Arial"/>
        </w:rPr>
      </w:pPr>
      <w:proofErr w:type="gramStart"/>
      <w:r w:rsidRPr="00991F16">
        <w:rPr>
          <w:rFonts w:ascii="Verdana" w:eastAsia="Arial MT" w:hAnsi="Verdana" w:cs="Arial"/>
        </w:rPr>
        <w:t>“ Tampoco</w:t>
      </w:r>
      <w:proofErr w:type="gramEnd"/>
      <w:r w:rsidRPr="00991F16">
        <w:rPr>
          <w:rFonts w:ascii="Verdana" w:eastAsia="Arial MT" w:hAnsi="Verdana" w:cs="Arial"/>
        </w:rPr>
        <w:t xml:space="preserve"> podrán participar en licitaciones o concursos ni celebrar contratos estatales con la entidad respectiva:</w:t>
      </w:r>
    </w:p>
    <w:p w14:paraId="5A7C3220" w14:textId="77777777" w:rsidR="00991F16" w:rsidRDefault="00991F16" w:rsidP="00991F16">
      <w:pPr>
        <w:widowControl w:val="0"/>
        <w:autoSpaceDE w:val="0"/>
        <w:autoSpaceDN w:val="0"/>
        <w:spacing w:before="120" w:after="0" w:line="276" w:lineRule="auto"/>
        <w:ind w:left="708"/>
        <w:jc w:val="both"/>
        <w:rPr>
          <w:rFonts w:ascii="Verdana" w:eastAsia="Arial MT" w:hAnsi="Verdana" w:cs="Arial"/>
        </w:rPr>
      </w:pPr>
      <w:r w:rsidRPr="00991F16">
        <w:rPr>
          <w:rFonts w:ascii="Verdana" w:eastAsia="Arial MT" w:hAnsi="Verdana" w:cs="Arial"/>
        </w:rPr>
        <w:t xml:space="preserve">a. Quienes fueron miembros de la junta o consejo directivo o servidores públicos de la entidad contratante. Esta incompatibilidad sólo comprende </w:t>
      </w:r>
      <w:r w:rsidRPr="00991F16">
        <w:rPr>
          <w:rFonts w:ascii="Verdana" w:eastAsia="Arial MT" w:hAnsi="Verdana" w:cs="Arial"/>
        </w:rPr>
        <w:lastRenderedPageBreak/>
        <w:t xml:space="preserve">a quienes desempeñaron funciones en los niveles directivo, </w:t>
      </w:r>
      <w:r w:rsidRPr="00991F16">
        <w:rPr>
          <w:rFonts w:ascii="Verdana" w:eastAsia="Arial MT" w:hAnsi="Verdana" w:cs="Arial"/>
          <w:b/>
          <w:bCs/>
        </w:rPr>
        <w:t xml:space="preserve">asesor </w:t>
      </w:r>
      <w:r w:rsidRPr="00991F16">
        <w:rPr>
          <w:rFonts w:ascii="Verdana" w:eastAsia="Arial MT" w:hAnsi="Verdana" w:cs="Arial"/>
        </w:rPr>
        <w:t xml:space="preserve">o ejecutivo y se extiende por el término de un (1) año, contado a partir de la fecha del retiro.” (Subraya nuestra) </w:t>
      </w:r>
    </w:p>
    <w:p w14:paraId="3B8416A3" w14:textId="63695203" w:rsidR="00991F16"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 xml:space="preserve">Ahora bien, en materia de contratación estatal, el Estatuto General de Contratación de la Administración Pública – EGCAP el referido literal a) prohíbe a las entidades públicas contratar, para el primer literal, con i) miembros de la junta o consejo directivo o </w:t>
      </w:r>
      <w:proofErr w:type="spellStart"/>
      <w:r w:rsidRPr="00991F16">
        <w:rPr>
          <w:rFonts w:ascii="Verdana" w:eastAsia="Arial MT" w:hAnsi="Verdana" w:cs="Arial"/>
        </w:rPr>
        <w:t>ii</w:t>
      </w:r>
      <w:proofErr w:type="spellEnd"/>
      <w:r w:rsidRPr="00991F16">
        <w:rPr>
          <w:rFonts w:ascii="Verdana" w:eastAsia="Arial MT" w:hAnsi="Verdana" w:cs="Arial"/>
        </w:rPr>
        <w:t xml:space="preserve">) </w:t>
      </w:r>
      <w:r w:rsidRPr="00991F16">
        <w:rPr>
          <w:rFonts w:ascii="Verdana" w:eastAsia="Arial MT" w:hAnsi="Verdana" w:cs="Arial"/>
          <w:b/>
          <w:bCs/>
        </w:rPr>
        <w:t xml:space="preserve">servidores públicos </w:t>
      </w:r>
      <w:r w:rsidRPr="00991F16">
        <w:rPr>
          <w:rFonts w:ascii="Verdana" w:eastAsia="Arial MT" w:hAnsi="Verdana" w:cs="Arial"/>
        </w:rPr>
        <w:t xml:space="preserve">, en cualquiera de sus clasificaciones, sean estos miembros de corporaciones públicas, sean empleados y/o trabajadores del Estado y/o de sus entidades descentralizadas territorialmente y/o por servicios, </w:t>
      </w:r>
      <w:r w:rsidRPr="00991F16">
        <w:rPr>
          <w:rFonts w:ascii="Verdana" w:eastAsia="Arial MT" w:hAnsi="Verdana" w:cs="Arial"/>
          <w:b/>
          <w:bCs/>
        </w:rPr>
        <w:t>que hubiesen ejercido funciones en los niveles directivo, asesor o ejecutivo, en los que su vinculación hubiere terminado dentro del año inmediatamente anterior en la entidad contratante</w:t>
      </w:r>
      <w:r w:rsidRPr="00991F16">
        <w:rPr>
          <w:rFonts w:ascii="Verdana" w:eastAsia="Arial MT" w:hAnsi="Verdana" w:cs="Arial"/>
        </w:rPr>
        <w:t>.</w:t>
      </w:r>
    </w:p>
    <w:p w14:paraId="375B8CE1" w14:textId="77777777" w:rsidR="00991F16" w:rsidRDefault="00991F16" w:rsidP="004A28EC">
      <w:pPr>
        <w:widowControl w:val="0"/>
        <w:autoSpaceDE w:val="0"/>
        <w:autoSpaceDN w:val="0"/>
        <w:spacing w:before="120" w:after="0" w:line="276" w:lineRule="auto"/>
        <w:ind w:firstLine="708"/>
        <w:jc w:val="both"/>
        <w:rPr>
          <w:rFonts w:ascii="Verdana" w:eastAsia="Arial MT" w:hAnsi="Verdana" w:cs="Arial"/>
        </w:rPr>
      </w:pPr>
    </w:p>
    <w:p w14:paraId="70F578EA" w14:textId="08DAF6AD" w:rsidR="00991F16"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 xml:space="preserve">Ante ese contexto, es claro que, para que se configuren las inhabilidades o incompatibilidades, del literal a), se antoja necesario el cumplimiento de todos los supuestos descritos en la norma. En otras palabras, en virtud de la aplicación restrictiva de las inhabilidades, es menester que se presenten los elementos tanto materiales como temporales que exige dicha disposición. </w:t>
      </w:r>
    </w:p>
    <w:p w14:paraId="587352F2" w14:textId="77777777" w:rsidR="00B870F4"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 xml:space="preserve">Veamos a qué se hace referencia con los elementos materiales y temporales de las inhabilidades en estudio: Para el caso de la incompatibilidad del literal a) los elementos materiales son: i) que el exservidor público hubiese integrado, sea una junta o consejo directivo o hubiese estado vinculado laboralmente como servidor público de la entidad contratante y; </w:t>
      </w:r>
      <w:proofErr w:type="spellStart"/>
      <w:r w:rsidRPr="00991F16">
        <w:rPr>
          <w:rFonts w:ascii="Verdana" w:eastAsia="Arial MT" w:hAnsi="Verdana" w:cs="Arial"/>
        </w:rPr>
        <w:t>ii</w:t>
      </w:r>
      <w:proofErr w:type="spellEnd"/>
      <w:r w:rsidRPr="00991F16">
        <w:rPr>
          <w:rFonts w:ascii="Verdana" w:eastAsia="Arial MT" w:hAnsi="Verdana" w:cs="Arial"/>
        </w:rPr>
        <w:t xml:space="preserve">) que las funciones que hubiese desempeñado dicho exfuncionario sean del nivel directivo, asesor o ejecutivo. De otro lado, el elemento temporal es i) que su retiro se hubiese presentado dentro del año inmediatamente anterior a la fecha de celebración del presunto contrato por celebrar. De tal forma que, para que se predique la configuración de la incompatibilidad referida, será necesario que, se presenten tanto los elementos materiales como elemento temporal. A falta de alguno de ellos, no habría configuración de dicha causal. </w:t>
      </w:r>
    </w:p>
    <w:p w14:paraId="592323AA" w14:textId="1785BBAE" w:rsidR="00991F16" w:rsidRDefault="00991F16" w:rsidP="004A28EC">
      <w:pPr>
        <w:widowControl w:val="0"/>
        <w:autoSpaceDE w:val="0"/>
        <w:autoSpaceDN w:val="0"/>
        <w:spacing w:before="120" w:after="0" w:line="276" w:lineRule="auto"/>
        <w:ind w:firstLine="708"/>
        <w:jc w:val="both"/>
        <w:rPr>
          <w:rFonts w:ascii="Verdana" w:eastAsia="Arial MT" w:hAnsi="Verdana" w:cs="Arial"/>
        </w:rPr>
      </w:pPr>
      <w:r w:rsidRPr="00991F16">
        <w:rPr>
          <w:rFonts w:ascii="Verdana" w:eastAsia="Arial MT" w:hAnsi="Verdana" w:cs="Arial"/>
        </w:rPr>
        <w:t>Dichas prohibiciones pretenden, entre otros aspectos, evitar que personas que ostentaron cargos a los que alude la norma, saquen ventaja o provecho de dicha situación respecto de los demás participantes, o que puedan ejercer</w:t>
      </w:r>
      <w:r w:rsidR="00B870F4">
        <w:rPr>
          <w:rFonts w:ascii="Verdana" w:eastAsia="Arial MT" w:hAnsi="Verdana" w:cs="Arial"/>
        </w:rPr>
        <w:t xml:space="preserve"> </w:t>
      </w:r>
      <w:r w:rsidR="00B870F4" w:rsidRPr="00B870F4">
        <w:rPr>
          <w:rFonts w:ascii="Verdana" w:eastAsia="Arial MT" w:hAnsi="Verdana" w:cs="Arial"/>
        </w:rPr>
        <w:t xml:space="preserve">influencia en la celebración del contrato, violando los principios de igualdad, objetividad, moralidad y transparencia, los cuales justifican la limitación en el </w:t>
      </w:r>
      <w:r w:rsidR="00B870F4" w:rsidRPr="00B870F4">
        <w:rPr>
          <w:rFonts w:ascii="Verdana" w:eastAsia="Arial MT" w:hAnsi="Verdana" w:cs="Arial"/>
        </w:rPr>
        <w:lastRenderedPageBreak/>
        <w:t>ejercicio de ciertas actividades por los servidores públicos durante y aún después de la dejación de sus correspondientes cargos.</w:t>
      </w:r>
    </w:p>
    <w:p w14:paraId="2511DBEE" w14:textId="77777777" w:rsidR="00B870F4" w:rsidRDefault="00B870F4" w:rsidP="004A28EC">
      <w:pPr>
        <w:widowControl w:val="0"/>
        <w:autoSpaceDE w:val="0"/>
        <w:autoSpaceDN w:val="0"/>
        <w:spacing w:before="120" w:after="0" w:line="276" w:lineRule="auto"/>
        <w:ind w:firstLine="708"/>
        <w:jc w:val="both"/>
        <w:rPr>
          <w:rFonts w:ascii="Verdana" w:eastAsia="Arial MT" w:hAnsi="Verdana" w:cs="Arial"/>
        </w:rPr>
      </w:pPr>
    </w:p>
    <w:p w14:paraId="1ACB79E0" w14:textId="77777777" w:rsidR="004A28EC" w:rsidRDefault="004A28EC" w:rsidP="004A28EC">
      <w:pPr>
        <w:widowControl w:val="0"/>
        <w:autoSpaceDE w:val="0"/>
        <w:autoSpaceDN w:val="0"/>
        <w:spacing w:after="120" w:line="276" w:lineRule="auto"/>
        <w:ind w:firstLine="709"/>
        <w:jc w:val="both"/>
        <w:rPr>
          <w:rFonts w:ascii="Verdana" w:eastAsia="Calibri" w:hAnsi="Verdana" w:cs="Arial"/>
          <w:color w:val="000000"/>
        </w:rPr>
      </w:pPr>
      <w:r>
        <w:rPr>
          <w:rFonts w:ascii="Verdana" w:eastAsia="Calibri" w:hAnsi="Verdana" w:cs="Arial"/>
          <w:color w:val="000000"/>
        </w:rPr>
        <w:t>Como elemento destacable del pronunciamiento del alto tribunal, y de cara a que en el supuesto planteado se trata de una sociedad por acciones simplificada, se resalta el planteamiento del demandante según el cual, al no diferenciar la norma el tipo de sociedades respecto de las cuales se aplica la incompatibilidad, estarían comprendidas también las sociedades anónimas, lo cual implicaría que se afectaran a empresas que hubieran realizado ofertas públicas de acciones a partir de las cuales servidores públicos se conviertan en accionistas. Además, dicha restricción resultaba desproporcionada, según se dijo, por cuanto no tiene en cuenta los casos en los que pueden resultar afectada por la actividad de uno solo de ellos, sin importar el porcentaje de participación.</w:t>
      </w:r>
    </w:p>
    <w:p w14:paraId="0B0F48B1" w14:textId="77777777" w:rsidR="004A28EC" w:rsidRDefault="004A28EC" w:rsidP="004A28EC">
      <w:pPr>
        <w:widowControl w:val="0"/>
        <w:autoSpaceDE w:val="0"/>
        <w:autoSpaceDN w:val="0"/>
        <w:spacing w:after="0" w:line="276" w:lineRule="auto"/>
        <w:ind w:firstLine="709"/>
        <w:jc w:val="both"/>
        <w:rPr>
          <w:rFonts w:ascii="Verdana" w:eastAsia="Calibri" w:hAnsi="Verdana" w:cs="Arial"/>
          <w:color w:val="000000"/>
        </w:rPr>
      </w:pPr>
      <w:r>
        <w:rPr>
          <w:rFonts w:ascii="Verdana" w:eastAsia="Calibri" w:hAnsi="Verdana" w:cs="Arial"/>
          <w:color w:val="000000"/>
        </w:rPr>
        <w:t xml:space="preserve">El pronunciamiento de la Corte </w:t>
      </w:r>
      <w:r w:rsidRPr="00B460EB">
        <w:rPr>
          <w:rFonts w:ascii="Verdana" w:eastAsia="Calibri" w:hAnsi="Verdana" w:cs="Arial"/>
          <w:color w:val="000000"/>
        </w:rPr>
        <w:t>reiter</w:t>
      </w:r>
      <w:r>
        <w:rPr>
          <w:rFonts w:ascii="Verdana" w:eastAsia="Calibri" w:hAnsi="Verdana" w:cs="Arial"/>
          <w:color w:val="000000"/>
        </w:rPr>
        <w:t>ó</w:t>
      </w:r>
      <w:r w:rsidRPr="00B460EB">
        <w:rPr>
          <w:rFonts w:ascii="Verdana" w:eastAsia="Calibri" w:hAnsi="Verdana" w:cs="Arial"/>
          <w:color w:val="000000"/>
        </w:rPr>
        <w:t xml:space="preserve"> que el legislador goza en esta materia de una amplia libertad de configuración para establecer un régimen estricto de inhabilidades e incompatibilidades para los servidores públicos durante el ejercicio de sus funciones y por un tiempo razonable a partir de su retiro, especialmente en el ámbito de la contratación pública. </w:t>
      </w:r>
      <w:r>
        <w:rPr>
          <w:rFonts w:ascii="Verdana" w:eastAsia="Calibri" w:hAnsi="Verdana" w:cs="Arial"/>
          <w:color w:val="000000"/>
        </w:rPr>
        <w:t>Producto de ello son</w:t>
      </w:r>
      <w:r w:rsidRPr="00B460EB">
        <w:rPr>
          <w:rFonts w:ascii="Verdana" w:eastAsia="Calibri" w:hAnsi="Verdana" w:cs="Arial"/>
          <w:color w:val="000000"/>
        </w:rPr>
        <w:t xml:space="preserve"> las medidas legislativas </w:t>
      </w:r>
      <w:r>
        <w:rPr>
          <w:rFonts w:ascii="Verdana" w:eastAsia="Calibri" w:hAnsi="Verdana" w:cs="Arial"/>
          <w:color w:val="000000"/>
        </w:rPr>
        <w:t xml:space="preserve">que </w:t>
      </w:r>
      <w:r w:rsidRPr="00B460EB">
        <w:rPr>
          <w:rFonts w:ascii="Verdana" w:eastAsia="Calibri" w:hAnsi="Verdana" w:cs="Arial"/>
          <w:color w:val="000000"/>
        </w:rPr>
        <w:t xml:space="preserve">se han adoptado como parte esencial de una política pública </w:t>
      </w:r>
      <w:r>
        <w:rPr>
          <w:rFonts w:ascii="Verdana" w:eastAsia="Calibri" w:hAnsi="Verdana" w:cs="Arial"/>
          <w:color w:val="000000"/>
        </w:rPr>
        <w:t>que tiene como propósito esencial el de</w:t>
      </w:r>
      <w:r w:rsidRPr="00B460EB">
        <w:rPr>
          <w:rFonts w:ascii="Verdana" w:eastAsia="Calibri" w:hAnsi="Verdana" w:cs="Arial"/>
          <w:color w:val="000000"/>
        </w:rPr>
        <w:t xml:space="preserve"> erradicar y prevenir no solo posibles actos corrupción, sino la de proscribir ventajas y privilegios que entrañan grave desconocimiento de los fines del </w:t>
      </w:r>
      <w:r>
        <w:rPr>
          <w:rFonts w:ascii="Verdana" w:eastAsia="Calibri" w:hAnsi="Verdana" w:cs="Arial"/>
          <w:color w:val="000000"/>
        </w:rPr>
        <w:t>E</w:t>
      </w:r>
      <w:r w:rsidRPr="00B460EB">
        <w:rPr>
          <w:rFonts w:ascii="Verdana" w:eastAsia="Calibri" w:hAnsi="Verdana" w:cs="Arial"/>
          <w:color w:val="000000"/>
        </w:rPr>
        <w:t xml:space="preserve">stado, de los principios de la función pública y de los derechos de los ciudadanos en materia de contratación estatal. </w:t>
      </w:r>
      <w:r>
        <w:rPr>
          <w:rFonts w:ascii="Verdana" w:eastAsia="Calibri" w:hAnsi="Verdana" w:cs="Arial"/>
          <w:color w:val="000000"/>
        </w:rPr>
        <w:t>Para la Corte Constitucional dicha política pública:</w:t>
      </w:r>
    </w:p>
    <w:p w14:paraId="64645842" w14:textId="77777777" w:rsidR="004A28EC" w:rsidRDefault="004A28EC" w:rsidP="004A28EC">
      <w:pPr>
        <w:widowControl w:val="0"/>
        <w:autoSpaceDE w:val="0"/>
        <w:autoSpaceDN w:val="0"/>
        <w:spacing w:after="0" w:line="276" w:lineRule="auto"/>
        <w:ind w:firstLine="709"/>
        <w:jc w:val="both"/>
        <w:rPr>
          <w:rFonts w:ascii="Verdana" w:eastAsia="Calibri" w:hAnsi="Verdana" w:cs="Arial"/>
          <w:color w:val="000000"/>
        </w:rPr>
      </w:pPr>
    </w:p>
    <w:p w14:paraId="789AD163" w14:textId="77777777" w:rsidR="004A28EC" w:rsidRPr="00472C94" w:rsidRDefault="004A28EC" w:rsidP="004A28EC">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 xml:space="preserve">“[…] responde a una continuidad histórica, desde su consagración en el artículo 8 de la Ley 80 de 1993 y que se ha ordenado a establecer rigurosos mecanismos de prevención de prácticas indeseables en la contratación pública. Por ello resulta constitucionalmente admisible establecer una inhabilidad para contratar con el Estado a los </w:t>
      </w:r>
      <w:proofErr w:type="gramStart"/>
      <w:r w:rsidRPr="00472C94">
        <w:rPr>
          <w:rFonts w:ascii="Verdana" w:eastAsia="Calibri" w:hAnsi="Verdana" w:cs="Arial"/>
          <w:color w:val="000000"/>
          <w:sz w:val="20"/>
          <w:szCs w:val="20"/>
        </w:rPr>
        <w:t>ex servidores</w:t>
      </w:r>
      <w:proofErr w:type="gramEnd"/>
      <w:r w:rsidRPr="00472C94">
        <w:rPr>
          <w:rFonts w:ascii="Verdana" w:eastAsia="Calibri" w:hAnsi="Verdana" w:cs="Arial"/>
          <w:color w:val="000000"/>
          <w:sz w:val="20"/>
          <w:szCs w:val="20"/>
        </w:rPr>
        <w:t xml:space="preserve"> públicos que ejercieron funciones directivas y a las sociedades en que en estos o sus parientes hagan parte y la entidad del estado a la cual estuvo vinculado como directivo.</w:t>
      </w:r>
    </w:p>
    <w:p w14:paraId="665FB501" w14:textId="77777777" w:rsidR="004A28EC" w:rsidRPr="00472C94" w:rsidRDefault="004A28EC" w:rsidP="004A28EC">
      <w:pPr>
        <w:spacing w:after="0" w:line="240" w:lineRule="auto"/>
        <w:ind w:left="709" w:right="709"/>
        <w:jc w:val="both"/>
        <w:rPr>
          <w:rFonts w:ascii="Verdana" w:eastAsia="Calibri" w:hAnsi="Verdana" w:cs="Arial"/>
          <w:color w:val="000000"/>
          <w:sz w:val="20"/>
          <w:szCs w:val="20"/>
        </w:rPr>
      </w:pPr>
    </w:p>
    <w:p w14:paraId="00AFD2E4" w14:textId="77777777" w:rsidR="004A28EC" w:rsidRPr="00472C94" w:rsidRDefault="004A28EC" w:rsidP="004A28EC">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 xml:space="preserve">No puede perderse de vista que la norma acusada establece la inhabilidad para contratar, directa o indirectamente, a quienes hayan ejercido cargos en el nivel directivo en entidades del Estado, o sus parientes, y las sociedades en las cuales estos hagan parte o estén vinculados a cualquier título. Es claro que la norma señala que la inhabilidad se aplica en relación con aquellos servidores públicos que desempeñaron funciones de dirección para evitar que puedan utilizar los vínculos, influencia y ascendencia que </w:t>
      </w:r>
      <w:r w:rsidRPr="00472C94">
        <w:rPr>
          <w:rFonts w:ascii="Verdana" w:eastAsia="Calibri" w:hAnsi="Verdana" w:cs="Arial"/>
          <w:color w:val="000000"/>
          <w:sz w:val="20"/>
          <w:szCs w:val="20"/>
        </w:rPr>
        <w:lastRenderedPageBreak/>
        <w:t xml:space="preserve">estos ex directivos -o sus familiares cercanos -puedan tener con la entidad y sus funcionarios encargados de los procesos de selección, precisamente por el rol de jerarquía y mando que ejerció, con lo cual se trata de poner a salvo los principios constitucionales de la administración pública ya referidos.” [SIC]. </w:t>
      </w:r>
    </w:p>
    <w:p w14:paraId="743A1B0A" w14:textId="77777777" w:rsidR="004A28EC" w:rsidRPr="00B460EB" w:rsidRDefault="004A28EC" w:rsidP="004A28EC">
      <w:pPr>
        <w:spacing w:after="0" w:line="240" w:lineRule="auto"/>
        <w:ind w:left="709" w:right="709"/>
        <w:jc w:val="both"/>
        <w:rPr>
          <w:rFonts w:ascii="Verdana" w:eastAsia="Calibri" w:hAnsi="Verdana" w:cs="Arial"/>
          <w:color w:val="000000"/>
          <w:sz w:val="21"/>
          <w:szCs w:val="21"/>
        </w:rPr>
      </w:pPr>
    </w:p>
    <w:p w14:paraId="0379A61D" w14:textId="77777777" w:rsidR="004A28EC" w:rsidRPr="00BE151B" w:rsidRDefault="004A28EC" w:rsidP="004A28EC">
      <w:pPr>
        <w:spacing w:after="0" w:line="240" w:lineRule="auto"/>
        <w:ind w:left="709" w:right="709"/>
        <w:jc w:val="both"/>
        <w:rPr>
          <w:rFonts w:ascii="Verdana" w:eastAsia="Calibri" w:hAnsi="Verdana" w:cs="Arial"/>
          <w:sz w:val="21"/>
          <w:szCs w:val="21"/>
        </w:rPr>
      </w:pPr>
    </w:p>
    <w:p w14:paraId="6CE665FF" w14:textId="77777777" w:rsidR="004A28EC" w:rsidRPr="00BE151B" w:rsidRDefault="004A28EC" w:rsidP="004A28EC">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4. Referencias normativas, jurisprudenciales y otras fuentes:</w:t>
      </w:r>
    </w:p>
    <w:p w14:paraId="5DE3E211" w14:textId="77777777" w:rsidR="004A28EC" w:rsidRPr="00BE151B" w:rsidRDefault="004A28EC" w:rsidP="004A28E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28EC" w:rsidRPr="00BE151B" w14:paraId="37FFE253" w14:textId="77777777" w:rsidTr="00260788">
        <w:trPr>
          <w:trHeight w:val="870"/>
        </w:trPr>
        <w:tc>
          <w:tcPr>
            <w:tcW w:w="8647" w:type="dxa"/>
          </w:tcPr>
          <w:p w14:paraId="0A649EE4" w14:textId="77777777" w:rsidR="004A28EC" w:rsidRPr="00BE151B" w:rsidRDefault="004A28EC" w:rsidP="004A28EC">
            <w:pPr>
              <w:pStyle w:val="Prrafodelista"/>
              <w:widowControl w:val="0"/>
              <w:numPr>
                <w:ilvl w:val="0"/>
                <w:numId w:val="1"/>
              </w:numPr>
              <w:autoSpaceDE w:val="0"/>
              <w:autoSpaceDN w:val="0"/>
              <w:spacing w:line="276" w:lineRule="auto"/>
              <w:jc w:val="both"/>
              <w:rPr>
                <w:rFonts w:ascii="Verdana" w:hAnsi="Verdana" w:cs="Arial"/>
              </w:rPr>
            </w:pPr>
            <w:r w:rsidRPr="00BE151B">
              <w:rPr>
                <w:rFonts w:ascii="Verdana" w:hAnsi="Verdana" w:cs="Arial"/>
              </w:rPr>
              <w:t xml:space="preserve">Constitución Política, artículo </w:t>
            </w:r>
            <w:r>
              <w:rPr>
                <w:rFonts w:ascii="Verdana" w:hAnsi="Verdana" w:cs="Arial"/>
              </w:rPr>
              <w:t>14, 123, 127, 128 y 150</w:t>
            </w:r>
            <w:r w:rsidRPr="00BE151B">
              <w:rPr>
                <w:rFonts w:ascii="Verdana" w:hAnsi="Verdana" w:cs="Arial"/>
              </w:rPr>
              <w:t>.</w:t>
            </w:r>
          </w:p>
          <w:p w14:paraId="513035D8" w14:textId="77777777" w:rsidR="004A28EC" w:rsidRPr="00BE151B" w:rsidRDefault="004A28EC" w:rsidP="004A28EC">
            <w:pPr>
              <w:pStyle w:val="Prrafodelista"/>
              <w:widowControl w:val="0"/>
              <w:numPr>
                <w:ilvl w:val="0"/>
                <w:numId w:val="1"/>
              </w:numPr>
              <w:autoSpaceDE w:val="0"/>
              <w:autoSpaceDN w:val="0"/>
              <w:spacing w:line="276" w:lineRule="auto"/>
              <w:jc w:val="both"/>
              <w:rPr>
                <w:rFonts w:ascii="Verdana" w:hAnsi="Verdana" w:cs="Arial"/>
              </w:rPr>
            </w:pPr>
            <w:r w:rsidRPr="00BE151B">
              <w:rPr>
                <w:rFonts w:ascii="Verdana" w:hAnsi="Verdana" w:cs="Arial"/>
              </w:rPr>
              <w:t>Ley 80 de 1993, artículo</w:t>
            </w:r>
            <w:r>
              <w:rPr>
                <w:rFonts w:ascii="Verdana" w:hAnsi="Verdana" w:cs="Arial"/>
              </w:rPr>
              <w:t xml:space="preserve"> 8, numeral 1, literal f); numeral 2, literales a) y f).</w:t>
            </w:r>
          </w:p>
          <w:p w14:paraId="418E6EF8" w14:textId="77777777" w:rsidR="004A28EC"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F5597F">
              <w:rPr>
                <w:rFonts w:ascii="Verdana" w:hAnsi="Verdana" w:cs="Arial"/>
                <w:lang w:val="pt-BR"/>
              </w:rPr>
              <w:t xml:space="preserve">Corte Constitucional. Sentencia T-1039 de 2006. </w:t>
            </w:r>
            <w:r w:rsidRPr="00BE151B">
              <w:rPr>
                <w:rFonts w:ascii="Verdana" w:hAnsi="Verdana" w:cs="Arial"/>
              </w:rPr>
              <w:t>Magistrado Ponente: Humberto Sierra Porto.</w:t>
            </w:r>
          </w:p>
          <w:p w14:paraId="1043EF39" w14:textId="77777777" w:rsidR="004A28EC" w:rsidRPr="00045F95"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lang w:val="pt-BR"/>
              </w:rPr>
            </w:pPr>
            <w:r w:rsidRPr="00045F95">
              <w:rPr>
                <w:rFonts w:ascii="Verdana" w:eastAsia="Arial MT" w:hAnsi="Verdana" w:cs="Arial"/>
                <w:lang w:val="pt-BR" w:eastAsia="es-ES" w:bidi="es-ES"/>
              </w:rPr>
              <w:t xml:space="preserve">Corte Constitucional, Sentencia C-903 de 2008. </w:t>
            </w:r>
            <w:r>
              <w:rPr>
                <w:rFonts w:ascii="Verdana" w:eastAsia="Arial MT" w:hAnsi="Verdana" w:cs="Arial"/>
                <w:lang w:val="pt-BR" w:eastAsia="es-ES" w:bidi="es-ES"/>
              </w:rPr>
              <w:t xml:space="preserve">Magistrado </w:t>
            </w:r>
            <w:proofErr w:type="spellStart"/>
            <w:r>
              <w:rPr>
                <w:rFonts w:ascii="Verdana" w:eastAsia="Arial MT" w:hAnsi="Verdana" w:cs="Arial"/>
                <w:lang w:val="pt-BR" w:eastAsia="es-ES" w:bidi="es-ES"/>
              </w:rPr>
              <w:t>Ponente</w:t>
            </w:r>
            <w:proofErr w:type="spellEnd"/>
            <w:r>
              <w:rPr>
                <w:rFonts w:ascii="Verdana" w:eastAsia="Arial MT" w:hAnsi="Verdana" w:cs="Arial"/>
                <w:lang w:val="pt-BR" w:eastAsia="es-ES" w:bidi="es-ES"/>
              </w:rPr>
              <w:t>:</w:t>
            </w:r>
            <w:r>
              <w:t xml:space="preserve"> </w:t>
            </w:r>
            <w:r w:rsidRPr="00045F95">
              <w:rPr>
                <w:rFonts w:ascii="Verdana" w:eastAsia="Arial MT" w:hAnsi="Verdana" w:cs="Arial"/>
                <w:lang w:val="pt-BR" w:eastAsia="es-ES" w:bidi="es-ES"/>
              </w:rPr>
              <w:t>Jaime Araujo Rentería</w:t>
            </w:r>
            <w:r>
              <w:rPr>
                <w:rFonts w:ascii="Verdana" w:eastAsia="Arial MT" w:hAnsi="Verdana" w:cs="Arial"/>
                <w:lang w:val="pt-BR" w:eastAsia="es-ES" w:bidi="es-ES"/>
              </w:rPr>
              <w:t>.</w:t>
            </w:r>
          </w:p>
          <w:p w14:paraId="193D09FE" w14:textId="77777777" w:rsidR="004A28EC" w:rsidRPr="00045F95"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lang w:val="pt-BR"/>
              </w:rPr>
            </w:pPr>
            <w:r w:rsidRPr="00045F95">
              <w:rPr>
                <w:rFonts w:ascii="Verdana" w:hAnsi="Verdana" w:cs="Arial"/>
                <w:lang w:val="pt-BR"/>
              </w:rPr>
              <w:t xml:space="preserve">Corte Constitucional. Sentencia C-257 de 2013. </w:t>
            </w:r>
            <w:r>
              <w:rPr>
                <w:rFonts w:ascii="Verdana" w:eastAsia="Arial MT" w:hAnsi="Verdana" w:cs="Arial"/>
                <w:lang w:val="pt-BR" w:eastAsia="es-ES" w:bidi="es-ES"/>
              </w:rPr>
              <w:t xml:space="preserve">Magistrado </w:t>
            </w:r>
            <w:proofErr w:type="spellStart"/>
            <w:r>
              <w:rPr>
                <w:rFonts w:ascii="Verdana" w:eastAsia="Arial MT" w:hAnsi="Verdana" w:cs="Arial"/>
                <w:lang w:val="pt-BR" w:eastAsia="es-ES" w:bidi="es-ES"/>
              </w:rPr>
              <w:t>Ponente</w:t>
            </w:r>
            <w:proofErr w:type="spellEnd"/>
            <w:r>
              <w:rPr>
                <w:rFonts w:ascii="Verdana" w:hAnsi="Verdana" w:cs="Arial"/>
                <w:lang w:val="pt-BR"/>
              </w:rPr>
              <w:t xml:space="preserve">: </w:t>
            </w:r>
            <w:r w:rsidRPr="00045F95">
              <w:rPr>
                <w:rFonts w:ascii="Verdana" w:hAnsi="Verdana" w:cs="Arial"/>
                <w:lang w:val="pt-BR"/>
              </w:rPr>
              <w:t xml:space="preserve">Jaime Córdoba </w:t>
            </w:r>
            <w:proofErr w:type="spellStart"/>
            <w:r w:rsidRPr="00045F95">
              <w:rPr>
                <w:rFonts w:ascii="Verdana" w:hAnsi="Verdana" w:cs="Arial"/>
                <w:lang w:val="pt-BR"/>
              </w:rPr>
              <w:t>Triviño</w:t>
            </w:r>
            <w:proofErr w:type="spellEnd"/>
            <w:r>
              <w:rPr>
                <w:rFonts w:ascii="Verdana" w:hAnsi="Verdana" w:cs="Arial"/>
                <w:lang w:val="pt-BR"/>
              </w:rPr>
              <w:t>.</w:t>
            </w:r>
          </w:p>
          <w:p w14:paraId="55B51629"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 xml:space="preserve">Consejo de Estado. Sala de Consulta y Servicio Civil. Concepto del 30 de abril de 2015. Expediente: 2251. Consejero Ponente: Álvaro </w:t>
            </w:r>
            <w:proofErr w:type="spellStart"/>
            <w:r w:rsidRPr="00BE151B">
              <w:rPr>
                <w:rFonts w:ascii="Verdana" w:hAnsi="Verdana" w:cs="Arial"/>
              </w:rPr>
              <w:t>Namén</w:t>
            </w:r>
            <w:proofErr w:type="spellEnd"/>
            <w:r w:rsidRPr="00BE151B">
              <w:rPr>
                <w:rFonts w:ascii="Verdana" w:hAnsi="Verdana" w:cs="Arial"/>
              </w:rPr>
              <w:t xml:space="preserve"> Vargas.</w:t>
            </w:r>
          </w:p>
          <w:p w14:paraId="1F200846"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 xml:space="preserve">Consejo de Estado. Sección Tercera. Subsección A. Sentencia del 24 de junio de 2015. </w:t>
            </w:r>
            <w:proofErr w:type="spellStart"/>
            <w:r w:rsidRPr="00BE151B">
              <w:rPr>
                <w:rFonts w:ascii="Verdana" w:hAnsi="Verdana" w:cs="Arial"/>
              </w:rPr>
              <w:t>Exp</w:t>
            </w:r>
            <w:proofErr w:type="spellEnd"/>
            <w:r w:rsidRPr="00BE151B">
              <w:rPr>
                <w:rFonts w:ascii="Verdana" w:hAnsi="Verdana" w:cs="Arial"/>
              </w:rPr>
              <w:t>. 40.635. Consejero Ponente: Hernán Andrade Rincón (E).</w:t>
            </w:r>
          </w:p>
          <w:p w14:paraId="2AEA360E"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 xml:space="preserve">Consejo de Estado. Sección Tercera. Subsección C. Sentencia del 22 de mayo de 2013. </w:t>
            </w:r>
            <w:proofErr w:type="spellStart"/>
            <w:r w:rsidRPr="00BE151B">
              <w:rPr>
                <w:rFonts w:ascii="Verdana" w:hAnsi="Verdana" w:cs="Arial"/>
              </w:rPr>
              <w:t>Exp</w:t>
            </w:r>
            <w:proofErr w:type="spellEnd"/>
            <w:r w:rsidRPr="00BE151B">
              <w:rPr>
                <w:rFonts w:ascii="Verdana" w:hAnsi="Verdana" w:cs="Arial"/>
              </w:rPr>
              <w:t xml:space="preserve">. 24.057. Consejera Ponente: Olga </w:t>
            </w:r>
            <w:proofErr w:type="spellStart"/>
            <w:r w:rsidRPr="00BE151B">
              <w:rPr>
                <w:rFonts w:ascii="Verdana" w:hAnsi="Verdana" w:cs="Arial"/>
              </w:rPr>
              <w:t>Melida</w:t>
            </w:r>
            <w:proofErr w:type="spellEnd"/>
            <w:r w:rsidRPr="00BE151B">
              <w:rPr>
                <w:rFonts w:ascii="Verdana" w:hAnsi="Verdana" w:cs="Arial"/>
              </w:rPr>
              <w:t xml:space="preserve"> Valle De La Hoz.</w:t>
            </w:r>
          </w:p>
          <w:p w14:paraId="76287BA4"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Corte Constitucional, sentencia C- 373 de 2002, Magistrado ponente Jaime Córdoba Triviño.</w:t>
            </w:r>
          </w:p>
          <w:p w14:paraId="0A1C4A80"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Corte Constitucional, sentencia C-325 de 2009, Magistrado ponente Gabriel Eduardo Mendoza Martelo.</w:t>
            </w:r>
          </w:p>
          <w:p w14:paraId="7A62D727"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Consejo de Estado, Sentencia 00111 del 13 de junio de 2019, Sala de lo Contencioso Administrativo, Sección Quinta 00111 del 13 de junio de 2019, consejera ponente Rocío Araújo Oñate.</w:t>
            </w:r>
          </w:p>
          <w:p w14:paraId="3CE4FE63" w14:textId="77777777" w:rsidR="004A28EC" w:rsidRPr="00BE151B" w:rsidRDefault="004A28EC" w:rsidP="004A28EC">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BE151B">
              <w:rPr>
                <w:rFonts w:ascii="Verdana" w:hAnsi="Verdana" w:cs="Arial"/>
              </w:rPr>
              <w:t xml:space="preserve">Barreto Moreno, Antonio Alejandro. Inhabilidades de la contratación estatal, efectos y </w:t>
            </w:r>
            <w:proofErr w:type="spellStart"/>
            <w:r w:rsidRPr="00BE151B">
              <w:rPr>
                <w:rFonts w:ascii="Verdana" w:hAnsi="Verdana" w:cs="Arial"/>
              </w:rPr>
              <w:t>neopunitivismo</w:t>
            </w:r>
            <w:proofErr w:type="spellEnd"/>
            <w:r w:rsidRPr="00BE151B">
              <w:rPr>
                <w:rFonts w:ascii="Verdana" w:hAnsi="Verdana" w:cs="Arial"/>
              </w:rPr>
              <w:t xml:space="preserve"> en el Estatuto Anticorrupción. En: ALVIAR GARCÍA, Helena (Coordinadora). Nuevas tendencias del Derecho administrativo. Bogotá: Universidad de los Andes; Temis, 2016.</w:t>
            </w:r>
          </w:p>
        </w:tc>
      </w:tr>
    </w:tbl>
    <w:p w14:paraId="6E9A5321" w14:textId="77777777" w:rsidR="004A28EC" w:rsidRPr="00BE151B" w:rsidRDefault="004A28EC" w:rsidP="004A28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4160B" w14:textId="77777777" w:rsidR="004A28EC" w:rsidRPr="00BE151B" w:rsidRDefault="004A28EC" w:rsidP="004A28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5. Doctrina de la Agencia Nacional de Contratación Pública:</w:t>
      </w:r>
    </w:p>
    <w:p w14:paraId="4D7E83FB" w14:textId="77777777" w:rsidR="004A28EC" w:rsidRPr="00BE151B" w:rsidRDefault="004A28EC" w:rsidP="004A28EC">
      <w:pPr>
        <w:spacing w:after="0" w:line="276" w:lineRule="auto"/>
        <w:ind w:firstLine="709"/>
        <w:jc w:val="both"/>
        <w:rPr>
          <w:rFonts w:ascii="Verdana" w:eastAsia="Times New Roman" w:hAnsi="Verdana" w:cs="Arial"/>
          <w:szCs w:val="24"/>
          <w:lang w:eastAsia="es-ES_tradnl"/>
        </w:rPr>
      </w:pPr>
    </w:p>
    <w:p w14:paraId="6C7A125F" w14:textId="3838DCB4" w:rsidR="004A28EC" w:rsidRDefault="004A28EC" w:rsidP="007C4FD2">
      <w:pPr>
        <w:widowControl w:val="0"/>
        <w:autoSpaceDE w:val="0"/>
        <w:autoSpaceDN w:val="0"/>
        <w:spacing w:after="0" w:line="276" w:lineRule="auto"/>
        <w:jc w:val="both"/>
        <w:rPr>
          <w:rFonts w:ascii="Verdana" w:eastAsia="Calibri" w:hAnsi="Verdana" w:cs="Arial"/>
          <w:lang w:eastAsia="es-ES_tradnl"/>
        </w:rPr>
      </w:pPr>
      <w:r w:rsidRPr="00BE151B">
        <w:rPr>
          <w:rFonts w:ascii="Verdana" w:eastAsia="Calibri" w:hAnsi="Verdana" w:cs="Arial"/>
          <w:lang w:eastAsia="es-ES_tradnl"/>
        </w:rPr>
        <w:t xml:space="preserve">Sobre el régimen de inhabilidades e incompatibilidades se pronunció esta Subdirección en los conceptos </w:t>
      </w:r>
      <w:r w:rsidRPr="00BE151B">
        <w:rPr>
          <w:rFonts w:ascii="Verdana" w:eastAsia="Calibri" w:hAnsi="Verdana" w:cs="Arial"/>
        </w:rPr>
        <w:t>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BE151B">
        <w:rPr>
          <w:rFonts w:ascii="Verdana" w:hAnsi="Verdana" w:cs="Arial"/>
        </w:rPr>
        <w:t>. También se ha pronunciado sobre el conflicto de interés en los conceptos C-229 del 16 de abril de 2020, C-815 del 18 de febrero de 2021, C-449 del 31 de agosto de 2021 y C-288 del 14 de julio de 2023</w:t>
      </w:r>
      <w:r w:rsidRPr="00BE151B">
        <w:rPr>
          <w:rFonts w:ascii="Verdana" w:eastAsia="Calibri" w:hAnsi="Verdana" w:cs="Arial"/>
          <w:lang w:eastAsia="es-ES_tradnl"/>
        </w:rPr>
        <w:t xml:space="preserve">. </w:t>
      </w:r>
      <w:r w:rsidRPr="00321438">
        <w:rPr>
          <w:rFonts w:ascii="Verdana" w:eastAsia="Calibri" w:hAnsi="Verdana" w:cs="Arial"/>
          <w:lang w:eastAsia="es-ES_tradnl"/>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ooltip="Dirección URL original: https://relatoria.colombiacompra.gov.co/. Haga clic o pulse si confía en este vínculo." w:history="1">
        <w:r w:rsidRPr="00321438">
          <w:rPr>
            <w:rStyle w:val="Hipervnculo"/>
            <w:rFonts w:ascii="Verdana" w:eastAsia="Calibri" w:hAnsi="Verdana" w:cs="Arial"/>
            <w:lang w:eastAsia="es-ES_tradnl"/>
          </w:rPr>
          <w:t>https://relatoria.colombiacompra.gov.co/</w:t>
        </w:r>
      </w:hyperlink>
      <w:r w:rsidRPr="00321438">
        <w:rPr>
          <w:rFonts w:ascii="Verdana" w:eastAsia="Calibri" w:hAnsi="Verdana" w:cs="Arial"/>
          <w:lang w:eastAsia="es-ES_tradnl"/>
        </w:rPr>
        <w:t xml:space="preserve"> . </w:t>
      </w:r>
    </w:p>
    <w:p w14:paraId="215B155D" w14:textId="77777777" w:rsidR="007C4FD2" w:rsidRDefault="007C4FD2" w:rsidP="007C4FD2">
      <w:pPr>
        <w:widowControl w:val="0"/>
        <w:autoSpaceDE w:val="0"/>
        <w:autoSpaceDN w:val="0"/>
        <w:spacing w:after="0" w:line="276" w:lineRule="auto"/>
        <w:jc w:val="both"/>
        <w:rPr>
          <w:rFonts w:ascii="Verdana" w:eastAsia="Calibri" w:hAnsi="Verdana" w:cs="Arial"/>
          <w:lang w:eastAsia="es-ES_tradnl"/>
        </w:rPr>
      </w:pPr>
    </w:p>
    <w:p w14:paraId="60C2360C" w14:textId="77777777" w:rsidR="007C4FD2" w:rsidRPr="00D04744" w:rsidRDefault="007C4FD2" w:rsidP="007C4FD2">
      <w:pPr>
        <w:spacing w:after="0" w:line="240" w:lineRule="auto"/>
        <w:jc w:val="both"/>
        <w:rPr>
          <w:rFonts w:ascii="Verdana" w:hAnsi="Verdana"/>
        </w:rPr>
      </w:pPr>
      <w:r w:rsidRPr="00D04744">
        <w:rPr>
          <w:rFonts w:ascii="Verdana" w:hAnsi="Verdana"/>
        </w:rPr>
        <w:t>Te informamos que ya se encuentra disponible la </w:t>
      </w:r>
      <w:r w:rsidRPr="00D04744">
        <w:rPr>
          <w:rFonts w:ascii="Verdana" w:hAnsi="Verdana"/>
          <w:b/>
          <w:bCs/>
        </w:rPr>
        <w:t xml:space="preserve">Cartilla para incentivar y fortalecer el acceso a las compras y contratación pública de los pueblos </w:t>
      </w:r>
      <w:r w:rsidRPr="00D04744">
        <w:rPr>
          <w:rFonts w:ascii="Verdana" w:hAnsi="Verdana"/>
          <w:b/>
          <w:bCs/>
        </w:rPr>
        <w:lastRenderedPageBreak/>
        <w:t>y comunidades étnicas en Colombia.</w:t>
      </w:r>
      <w:r w:rsidRPr="00D04744">
        <w:rPr>
          <w:rFonts w:ascii="Verdana" w:hAnsi="Verdana"/>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2" w:tgtFrame="_blank" w:tooltip="Dirección URL original: https://www.colombiacompra.gov.co/manuales-guias-y-pliegos-tipo/manuales-y-guias/cartilla-para-incentivar-y-fortalecer-el-acceso-las. Haga clic o pulse si confía en este vínculo." w:history="1">
        <w:r w:rsidRPr="00D04744">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15A043AD" w14:textId="77777777" w:rsidR="007C4FD2" w:rsidRPr="00D04744" w:rsidRDefault="007C4FD2" w:rsidP="007C4FD2">
      <w:pPr>
        <w:spacing w:after="0" w:line="240" w:lineRule="auto"/>
        <w:jc w:val="both"/>
        <w:rPr>
          <w:rFonts w:ascii="Verdana" w:hAnsi="Verdana"/>
        </w:rPr>
      </w:pPr>
    </w:p>
    <w:p w14:paraId="40510B1B" w14:textId="77777777" w:rsidR="007C4FD2" w:rsidRPr="00D04744" w:rsidRDefault="007C4FD2" w:rsidP="007C4FD2">
      <w:pPr>
        <w:spacing w:after="0" w:line="240" w:lineRule="auto"/>
        <w:jc w:val="both"/>
        <w:rPr>
          <w:rFonts w:ascii="Verdana" w:hAnsi="Verdana"/>
        </w:rPr>
      </w:pPr>
      <w:r w:rsidRPr="00D04744">
        <w:rPr>
          <w:rFonts w:ascii="Verdana" w:hAnsi="Verdana"/>
        </w:rPr>
        <w:t>También, te informamos que, con el objetivo de garantizar un conocimiento adecuado de las </w:t>
      </w:r>
      <w:r w:rsidRPr="00D04744">
        <w:rPr>
          <w:rFonts w:ascii="Verdana" w:hAnsi="Verdana"/>
          <w:b/>
          <w:bCs/>
        </w:rPr>
        <w:t>modificaciones realizadas a los Documentos Tipo en el Sector de Transporte</w:t>
      </w:r>
      <w:r w:rsidRPr="00D04744">
        <w:rPr>
          <w:rFonts w:ascii="Verdana" w:hAnsi="Verdana"/>
        </w:rPr>
        <w:t>, hemos programado una serie de </w:t>
      </w:r>
      <w:r w:rsidRPr="00D04744">
        <w:rPr>
          <w:rFonts w:ascii="Verdana" w:hAnsi="Verdana"/>
          <w:b/>
          <w:bCs/>
        </w:rPr>
        <w:t>capacitaciones </w:t>
      </w:r>
      <w:r w:rsidRPr="00D04744">
        <w:rPr>
          <w:rFonts w:ascii="Verdana" w:hAnsi="Verdana"/>
        </w:rPr>
        <w:t>dirigidas a todos los actores involucrados en los procesos de selección. La programación correspondiente al primer semestre está disponible en el siguiente enlace: </w:t>
      </w:r>
      <w:hyperlink r:id="rId13" w:tgtFrame="_blank" w:tooltip="Dirección URL original: https://www.colombiacompra.gov.co/sites/cce_public/files/cce_documentos/circular_002_de_2025_capacitaciones_-_documentos_tipo_-_1_semestre_.pdf. Haga clic o pulse si confía en este vínculo." w:history="1">
        <w:r w:rsidRPr="00D04744">
          <w:rPr>
            <w:rStyle w:val="Hipervnculo"/>
            <w:rFonts w:ascii="Verdana" w:hAnsi="Verdana"/>
          </w:rPr>
          <w:t>circular_002_de_2025_capacitaciones_-_documentos_tipo_-_1_semestre_.pdf</w:t>
        </w:r>
      </w:hyperlink>
      <w:r w:rsidRPr="00D04744">
        <w:rPr>
          <w:rFonts w:ascii="Verdana" w:hAnsi="Verdana"/>
        </w:rPr>
        <w:t>. Asimismo, podrás realizar tu inscripción a estas capacitaciones a través del siguiente enlace: </w:t>
      </w:r>
      <w:hyperlink r:id="rId14" w:tgtFrame="_blank" w:tooltip="Dirección URL original: https://www.colombiacompra.gov.co/ciudadanos/calendario. Haga clic o pulse si confía en este vínculo." w:history="1">
        <w:r w:rsidRPr="00D04744">
          <w:rPr>
            <w:rStyle w:val="Hipervnculo"/>
            <w:rFonts w:ascii="Verdana" w:hAnsi="Verdana"/>
          </w:rPr>
          <w:t>Calendario | Colombia Compra Eficiente | Agencia Nacional de Contratación Pública</w:t>
        </w:r>
      </w:hyperlink>
    </w:p>
    <w:p w14:paraId="0023DAB0" w14:textId="77777777" w:rsidR="007C4FD2" w:rsidRPr="0098092F" w:rsidRDefault="007C4FD2" w:rsidP="007C4FD2">
      <w:pPr>
        <w:spacing w:after="120" w:line="276" w:lineRule="auto"/>
        <w:jc w:val="both"/>
        <w:rPr>
          <w:rFonts w:ascii="Verdana" w:hAnsi="Verdana" w:cs="Arial"/>
        </w:rPr>
      </w:pPr>
    </w:p>
    <w:p w14:paraId="7A89372C" w14:textId="77777777" w:rsidR="007C4FD2" w:rsidRPr="0098092F" w:rsidRDefault="007C4FD2" w:rsidP="007C4FD2">
      <w:pPr>
        <w:spacing w:after="0" w:line="276" w:lineRule="auto"/>
        <w:jc w:val="both"/>
        <w:rPr>
          <w:rFonts w:ascii="Verdana" w:hAnsi="Verdana"/>
        </w:rPr>
      </w:pPr>
      <w:r w:rsidRPr="0098092F">
        <w:rPr>
          <w:rFonts w:ascii="Verdana" w:hAnsi="Verdana"/>
        </w:rPr>
        <w:t xml:space="preserve">Por último, lo invitamos a seguirnos en las redes sociales en las cuales se difunde información institucional: </w:t>
      </w:r>
    </w:p>
    <w:p w14:paraId="7D169DC0" w14:textId="77777777" w:rsidR="007C4FD2" w:rsidRPr="0098092F" w:rsidRDefault="007C4FD2" w:rsidP="007C4FD2">
      <w:pPr>
        <w:spacing w:after="0" w:line="276" w:lineRule="auto"/>
        <w:jc w:val="both"/>
        <w:rPr>
          <w:rFonts w:ascii="Verdana" w:hAnsi="Verdana"/>
        </w:rPr>
      </w:pPr>
    </w:p>
    <w:p w14:paraId="67AEC642" w14:textId="77777777" w:rsidR="007C4FD2" w:rsidRPr="0098092F" w:rsidRDefault="007C4FD2" w:rsidP="007C4FD2">
      <w:pPr>
        <w:spacing w:after="0" w:line="276" w:lineRule="auto"/>
        <w:jc w:val="both"/>
        <w:rPr>
          <w:rFonts w:ascii="Verdana" w:hAnsi="Verdana"/>
        </w:rPr>
      </w:pPr>
      <w:r w:rsidRPr="0098092F">
        <w:rPr>
          <w:rFonts w:ascii="Verdana" w:hAnsi="Verdana"/>
        </w:rPr>
        <w:t xml:space="preserve">Twitter: </w:t>
      </w:r>
      <w:r w:rsidRPr="0098092F">
        <w:rPr>
          <w:rStyle w:val="Hipervnculo"/>
          <w:rFonts w:ascii="Verdana" w:hAnsi="Verdana"/>
          <w:color w:val="4472C4" w:themeColor="accent1"/>
        </w:rPr>
        <w:t>@colombiacompra</w:t>
      </w:r>
      <w:r w:rsidRPr="0098092F">
        <w:rPr>
          <w:rFonts w:ascii="Verdana" w:hAnsi="Verdana"/>
          <w:color w:val="4472C4" w:themeColor="accent1"/>
        </w:rPr>
        <w:t xml:space="preserve"> </w:t>
      </w:r>
    </w:p>
    <w:p w14:paraId="36F8C764" w14:textId="77777777" w:rsidR="007C4FD2" w:rsidRPr="0098092F" w:rsidRDefault="007C4FD2" w:rsidP="007C4FD2">
      <w:pPr>
        <w:spacing w:after="0" w:line="276" w:lineRule="auto"/>
        <w:jc w:val="both"/>
        <w:rPr>
          <w:rFonts w:ascii="Verdana" w:hAnsi="Verdana"/>
        </w:rPr>
      </w:pPr>
      <w:r w:rsidRPr="0098092F">
        <w:rPr>
          <w:rFonts w:ascii="Verdana" w:hAnsi="Verdana"/>
        </w:rPr>
        <w:t xml:space="preserve">Facebook: </w:t>
      </w:r>
      <w:proofErr w:type="spellStart"/>
      <w:r w:rsidRPr="0098092F">
        <w:rPr>
          <w:rStyle w:val="Hipervnculo"/>
          <w:rFonts w:ascii="Verdana" w:hAnsi="Verdana"/>
          <w:color w:val="4472C4" w:themeColor="accent1"/>
        </w:rPr>
        <w:t>ColombiaCompraEficiente</w:t>
      </w:r>
      <w:proofErr w:type="spellEnd"/>
    </w:p>
    <w:p w14:paraId="01061303" w14:textId="77777777" w:rsidR="007C4FD2" w:rsidRPr="0098092F" w:rsidRDefault="007C4FD2" w:rsidP="007C4FD2">
      <w:pPr>
        <w:spacing w:after="0" w:line="276" w:lineRule="auto"/>
        <w:jc w:val="both"/>
        <w:rPr>
          <w:rFonts w:ascii="Verdana" w:hAnsi="Verdana"/>
        </w:rPr>
      </w:pPr>
      <w:r w:rsidRPr="0098092F">
        <w:rPr>
          <w:rFonts w:ascii="Verdana" w:hAnsi="Verdana"/>
        </w:rPr>
        <w:t xml:space="preserve">LinkedIn: </w:t>
      </w:r>
      <w:r w:rsidRPr="0098092F">
        <w:rPr>
          <w:rStyle w:val="Hipervnculo"/>
          <w:rFonts w:ascii="Verdana" w:hAnsi="Verdana"/>
          <w:color w:val="4472C4" w:themeColor="accent1"/>
        </w:rPr>
        <w:t>Agencia Nacional de Contratación Pública - Colombia Compra Eficiente</w:t>
      </w:r>
      <w:r w:rsidRPr="0098092F">
        <w:rPr>
          <w:rFonts w:ascii="Verdana" w:hAnsi="Verdana"/>
          <w:color w:val="4472C4" w:themeColor="accent1"/>
        </w:rPr>
        <w:t xml:space="preserve"> </w:t>
      </w:r>
      <w:r w:rsidRPr="0098092F">
        <w:rPr>
          <w:rFonts w:ascii="Verdana" w:hAnsi="Verdana"/>
        </w:rPr>
        <w:t xml:space="preserve">Instagram: </w:t>
      </w:r>
      <w:r w:rsidRPr="0098092F">
        <w:rPr>
          <w:rStyle w:val="Hipervnculo"/>
          <w:rFonts w:ascii="Verdana" w:hAnsi="Verdana"/>
          <w:color w:val="4472C4" w:themeColor="accent1"/>
        </w:rPr>
        <w:t>@colombiacompraeficiente_cce</w:t>
      </w:r>
    </w:p>
    <w:p w14:paraId="6113F8BC" w14:textId="77777777" w:rsidR="007C4FD2" w:rsidRPr="0098092F" w:rsidRDefault="007C4FD2" w:rsidP="007C4FD2">
      <w:pPr>
        <w:spacing w:after="120" w:line="276" w:lineRule="auto"/>
        <w:jc w:val="both"/>
        <w:rPr>
          <w:rFonts w:ascii="Verdana" w:hAnsi="Verdana" w:cs="Arial"/>
          <w:lang w:val="es-ES"/>
        </w:rPr>
      </w:pPr>
    </w:p>
    <w:p w14:paraId="563A294D" w14:textId="77777777" w:rsidR="007C4FD2" w:rsidRPr="0098092F" w:rsidRDefault="007C4FD2" w:rsidP="007C4FD2">
      <w:pPr>
        <w:spacing w:after="120" w:line="276" w:lineRule="auto"/>
        <w:jc w:val="both"/>
        <w:rPr>
          <w:rFonts w:ascii="Verdana" w:hAnsi="Verdana" w:cs="Arial"/>
          <w:color w:val="000000" w:themeColor="text1"/>
          <w:lang w:val="es-ES_tradnl"/>
        </w:rPr>
      </w:pPr>
      <w:r w:rsidRPr="0098092F">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04F4E96" w14:textId="77777777" w:rsidR="007C4FD2" w:rsidRPr="0098092F" w:rsidRDefault="007C4FD2" w:rsidP="007C4FD2">
      <w:pPr>
        <w:spacing w:after="120" w:line="276" w:lineRule="auto"/>
        <w:jc w:val="both"/>
        <w:rPr>
          <w:rFonts w:ascii="Verdana" w:eastAsia="Times New Roman" w:hAnsi="Verdana" w:cs="Arial"/>
          <w:i/>
          <w:lang w:val="es-ES" w:eastAsia="es-ES"/>
        </w:rPr>
      </w:pPr>
    </w:p>
    <w:p w14:paraId="5AB1692B" w14:textId="77777777" w:rsidR="004A28EC" w:rsidRPr="00BE151B" w:rsidRDefault="004A28EC" w:rsidP="004A28EC">
      <w:pPr>
        <w:spacing w:after="0" w:line="276" w:lineRule="auto"/>
        <w:ind w:firstLine="709"/>
        <w:jc w:val="both"/>
        <w:rPr>
          <w:rFonts w:ascii="Verdana" w:eastAsia="Times New Roman" w:hAnsi="Verdana" w:cs="Arial"/>
          <w:szCs w:val="24"/>
          <w:lang w:eastAsia="es-ES_tradnl"/>
        </w:rPr>
      </w:pPr>
    </w:p>
    <w:p w14:paraId="631C7C4C" w14:textId="77777777" w:rsidR="004A28EC" w:rsidRPr="00BE151B" w:rsidRDefault="004A28EC" w:rsidP="004A28EC">
      <w:pPr>
        <w:spacing w:after="0" w:line="276" w:lineRule="auto"/>
        <w:jc w:val="both"/>
        <w:rPr>
          <w:rFonts w:ascii="Verdana" w:eastAsia="Times New Roman" w:hAnsi="Verdana" w:cs="Arial"/>
          <w:lang w:eastAsia="es-CO"/>
        </w:rPr>
      </w:pPr>
      <w:bookmarkStart w:id="1" w:name="_Hlk117695077"/>
      <w:r w:rsidRPr="00BE151B">
        <w:rPr>
          <w:rFonts w:ascii="Verdana" w:eastAsia="Times New Roman" w:hAnsi="Verdana" w:cs="Arial"/>
          <w:lang w:eastAsia="es-CO"/>
        </w:rPr>
        <w:t>Atentamente,</w:t>
      </w:r>
    </w:p>
    <w:bookmarkEnd w:id="1"/>
    <w:p w14:paraId="56D95C1B" w14:textId="2368FA38" w:rsidR="004A28EC" w:rsidRDefault="004A28EC" w:rsidP="004A28EC">
      <w:pPr>
        <w:spacing w:after="18" w:line="240" w:lineRule="auto"/>
        <w:jc w:val="center"/>
        <w:rPr>
          <w:rFonts w:ascii="Century Gothic" w:hAnsi="Century Gothic"/>
          <w:noProof/>
        </w:rPr>
      </w:pPr>
    </w:p>
    <w:p w14:paraId="67B3C9A8" w14:textId="77777777" w:rsidR="007C4FD2" w:rsidRDefault="007C4FD2" w:rsidP="004A28EC">
      <w:pPr>
        <w:spacing w:after="18" w:line="240" w:lineRule="auto"/>
        <w:jc w:val="center"/>
        <w:rPr>
          <w:rFonts w:ascii="Century Gothic" w:eastAsia="Times New Roman" w:hAnsi="Century Gothic" w:cs="Arial"/>
          <w:noProof/>
          <w:sz w:val="24"/>
          <w:szCs w:val="24"/>
          <w:lang w:eastAsia="es-CO"/>
        </w:rPr>
      </w:pPr>
    </w:p>
    <w:p w14:paraId="1DB2ADFB" w14:textId="526F12A0" w:rsidR="007C4FD2" w:rsidRDefault="00ED08CA" w:rsidP="004A28EC">
      <w:pPr>
        <w:spacing w:after="18" w:line="240" w:lineRule="auto"/>
        <w:jc w:val="center"/>
        <w:rPr>
          <w:rFonts w:ascii="Century Gothic" w:eastAsia="Times New Roman" w:hAnsi="Century Gothic" w:cs="Arial"/>
          <w:noProof/>
          <w:sz w:val="24"/>
          <w:szCs w:val="24"/>
          <w:lang w:eastAsia="es-CO"/>
        </w:rPr>
      </w:pPr>
      <w:r w:rsidRPr="002C3AD6">
        <w:rPr>
          <w:rFonts w:ascii="Century Gothic" w:hAnsi="Century Gothic"/>
          <w:noProof/>
        </w:rPr>
        <w:lastRenderedPageBreak/>
        <w:drawing>
          <wp:inline distT="0" distB="0" distL="0" distR="0" wp14:anchorId="0A2A66E2" wp14:editId="17B9AF0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429DA693" w14:textId="77777777" w:rsidR="007C4FD2" w:rsidRDefault="007C4FD2" w:rsidP="004A28EC">
      <w:pPr>
        <w:spacing w:after="18" w:line="240" w:lineRule="auto"/>
        <w:jc w:val="center"/>
        <w:rPr>
          <w:rFonts w:ascii="Century Gothic" w:eastAsia="Times New Roman" w:hAnsi="Century Gothic" w:cs="Arial"/>
          <w:noProof/>
          <w:sz w:val="24"/>
          <w:szCs w:val="24"/>
          <w:lang w:eastAsia="es-CO"/>
        </w:rPr>
      </w:pPr>
    </w:p>
    <w:p w14:paraId="3001693F" w14:textId="77777777" w:rsidR="007C4FD2" w:rsidRPr="00BE151B" w:rsidRDefault="007C4FD2" w:rsidP="004A28EC">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4A28EC" w:rsidRPr="00BE151B" w14:paraId="169DC535" w14:textId="77777777" w:rsidTr="00260788">
        <w:trPr>
          <w:trHeight w:val="286"/>
        </w:trPr>
        <w:tc>
          <w:tcPr>
            <w:tcW w:w="893" w:type="dxa"/>
            <w:vAlign w:val="center"/>
            <w:hideMark/>
          </w:tcPr>
          <w:p w14:paraId="6BAF523F" w14:textId="77777777" w:rsidR="004A28EC" w:rsidRPr="00BE151B" w:rsidRDefault="004A28EC" w:rsidP="0026078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3FF31DF1" w14:textId="5DAB6096" w:rsidR="004A28EC" w:rsidRPr="00BE151B" w:rsidRDefault="008639AB" w:rsidP="00260788">
            <w:pPr>
              <w:rPr>
                <w:rFonts w:ascii="Verdana" w:eastAsia="Times New Roman" w:hAnsi="Verdana" w:cs="Arial"/>
                <w:sz w:val="16"/>
                <w:szCs w:val="16"/>
                <w:lang w:eastAsia="es-ES"/>
              </w:rPr>
            </w:pPr>
            <w:r>
              <w:rPr>
                <w:rFonts w:ascii="Verdana" w:eastAsia="Times New Roman" w:hAnsi="Verdana" w:cs="Arial"/>
                <w:sz w:val="16"/>
                <w:szCs w:val="16"/>
                <w:lang w:eastAsia="es-ES"/>
              </w:rPr>
              <w:t xml:space="preserve">Diana </w:t>
            </w:r>
            <w:r w:rsidR="007C4FD2">
              <w:rPr>
                <w:rFonts w:ascii="Verdana" w:eastAsia="Times New Roman" w:hAnsi="Verdana" w:cs="Arial"/>
                <w:sz w:val="16"/>
                <w:szCs w:val="16"/>
                <w:lang w:eastAsia="es-ES"/>
              </w:rPr>
              <w:t xml:space="preserve">Carolina Blanco Rodriguez </w:t>
            </w:r>
          </w:p>
          <w:p w14:paraId="6CD0857C" w14:textId="3F79F206" w:rsidR="004A28EC" w:rsidRPr="00BE151B" w:rsidRDefault="007C4FD2" w:rsidP="00260788">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004A28EC" w:rsidRPr="00BE151B">
              <w:rPr>
                <w:rFonts w:ascii="Verdana" w:eastAsia="Times New Roman" w:hAnsi="Verdana" w:cs="Arial"/>
                <w:sz w:val="16"/>
                <w:szCs w:val="16"/>
                <w:lang w:eastAsia="es-ES"/>
              </w:rPr>
              <w:t>de la Subdirección de Gestión Contractual</w:t>
            </w:r>
          </w:p>
        </w:tc>
      </w:tr>
      <w:tr w:rsidR="004A28EC" w:rsidRPr="00BE151B" w14:paraId="2266A7A1" w14:textId="77777777" w:rsidTr="00260788">
        <w:trPr>
          <w:trHeight w:val="299"/>
        </w:trPr>
        <w:tc>
          <w:tcPr>
            <w:tcW w:w="893" w:type="dxa"/>
            <w:vAlign w:val="center"/>
            <w:hideMark/>
          </w:tcPr>
          <w:p w14:paraId="3DA3501B" w14:textId="77777777" w:rsidR="004A28EC" w:rsidRPr="00BE151B" w:rsidRDefault="004A28EC" w:rsidP="0026078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3D44EB15" w14:textId="246B0932" w:rsidR="004A28EC" w:rsidRPr="00BE151B" w:rsidRDefault="008639AB" w:rsidP="00260788">
            <w:pPr>
              <w:rPr>
                <w:rFonts w:ascii="Verdana" w:eastAsia="Times New Roman" w:hAnsi="Verdana" w:cs="Arial"/>
                <w:sz w:val="16"/>
                <w:szCs w:val="16"/>
                <w:lang w:eastAsia="es-ES"/>
              </w:rPr>
            </w:pPr>
            <w:r>
              <w:rPr>
                <w:rFonts w:ascii="Verdana" w:eastAsia="Times New Roman" w:hAnsi="Verdana" w:cs="Arial"/>
                <w:sz w:val="16"/>
                <w:szCs w:val="16"/>
                <w:lang w:eastAsia="es-ES"/>
              </w:rPr>
              <w:t>Juan Carlos González</w:t>
            </w:r>
          </w:p>
          <w:p w14:paraId="17FB6537" w14:textId="2B4ECC0D" w:rsidR="004A28EC" w:rsidRPr="00BE151B" w:rsidRDefault="008639AB" w:rsidP="00260788">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004A28EC" w:rsidRPr="00BE151B">
              <w:rPr>
                <w:rFonts w:ascii="Verdana" w:eastAsia="Times New Roman" w:hAnsi="Verdana" w:cs="Arial"/>
                <w:sz w:val="16"/>
                <w:szCs w:val="16"/>
                <w:lang w:eastAsia="es-ES"/>
              </w:rPr>
              <w:t xml:space="preserve"> de la Subdirección de Gestión Contractual</w:t>
            </w:r>
          </w:p>
        </w:tc>
      </w:tr>
      <w:tr w:rsidR="004A28EC" w:rsidRPr="00BE151B" w14:paraId="4BF60FAD" w14:textId="77777777" w:rsidTr="00260788">
        <w:trPr>
          <w:trHeight w:val="272"/>
        </w:trPr>
        <w:tc>
          <w:tcPr>
            <w:tcW w:w="893" w:type="dxa"/>
            <w:vAlign w:val="center"/>
            <w:hideMark/>
          </w:tcPr>
          <w:p w14:paraId="57398B40" w14:textId="77777777" w:rsidR="004A28EC" w:rsidRPr="00BE151B" w:rsidRDefault="004A28EC" w:rsidP="0026078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55A00631" w14:textId="77777777" w:rsidR="004A28EC" w:rsidRPr="00BE151B" w:rsidRDefault="004A28EC" w:rsidP="00260788">
            <w:pPr>
              <w:rPr>
                <w:rFonts w:ascii="Verdana" w:eastAsia="Times New Roman" w:hAnsi="Verdana" w:cs="Arial"/>
                <w:sz w:val="16"/>
                <w:szCs w:val="16"/>
                <w:lang w:eastAsia="es-ES"/>
              </w:rPr>
            </w:pPr>
            <w:r w:rsidRPr="00BE151B">
              <w:rPr>
                <w:rFonts w:ascii="Verdana" w:eastAsia="Times New Roman" w:hAnsi="Verdana" w:cs="Arial"/>
                <w:sz w:val="16"/>
                <w:szCs w:val="16"/>
                <w:lang w:eastAsia="es-ES"/>
              </w:rPr>
              <w:t xml:space="preserve">Carolina Quintero </w:t>
            </w:r>
            <w:proofErr w:type="spellStart"/>
            <w:r w:rsidRPr="00BE151B">
              <w:rPr>
                <w:rFonts w:ascii="Verdana" w:eastAsia="Times New Roman" w:hAnsi="Verdana" w:cs="Arial"/>
                <w:sz w:val="16"/>
                <w:szCs w:val="16"/>
                <w:lang w:eastAsia="es-ES"/>
              </w:rPr>
              <w:t>Gacharná</w:t>
            </w:r>
            <w:proofErr w:type="spellEnd"/>
          </w:p>
          <w:p w14:paraId="771A6DE0" w14:textId="77777777" w:rsidR="004A28EC" w:rsidRPr="00BE151B" w:rsidRDefault="004A28EC" w:rsidP="0026078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Subdirectora de Gestión Contractual ANCP – CCE</w:t>
            </w:r>
          </w:p>
        </w:tc>
      </w:tr>
    </w:tbl>
    <w:p w14:paraId="39C44FDE" w14:textId="77777777" w:rsidR="004A28EC" w:rsidRPr="00BE151B" w:rsidRDefault="004A28EC" w:rsidP="004A28EC">
      <w:pPr>
        <w:spacing w:after="0" w:line="276" w:lineRule="auto"/>
        <w:jc w:val="both"/>
        <w:rPr>
          <w:rFonts w:ascii="Verdana" w:eastAsia="Times New Roman" w:hAnsi="Verdana" w:cs="Arial"/>
        </w:rPr>
      </w:pPr>
    </w:p>
    <w:p w14:paraId="3B38C054" w14:textId="77777777" w:rsidR="004A28EC" w:rsidRPr="00BE151B" w:rsidRDefault="004A28EC" w:rsidP="004A28EC">
      <w:pPr>
        <w:spacing w:after="0" w:line="240" w:lineRule="auto"/>
        <w:rPr>
          <w:rFonts w:ascii="Verdana" w:eastAsia="Times New Roman" w:hAnsi="Verdana" w:cs="Arial"/>
          <w:sz w:val="24"/>
          <w:szCs w:val="24"/>
          <w:lang w:eastAsia="es-ES_tradnl"/>
        </w:rPr>
      </w:pPr>
    </w:p>
    <w:p w14:paraId="0B3737B3" w14:textId="77777777" w:rsidR="004A28EC" w:rsidRPr="00BE151B" w:rsidRDefault="004A28EC" w:rsidP="004A28EC">
      <w:pPr>
        <w:rPr>
          <w:rFonts w:ascii="Verdana" w:hAnsi="Verdana"/>
        </w:rPr>
      </w:pPr>
    </w:p>
    <w:p w14:paraId="6060980E" w14:textId="77777777" w:rsidR="004A28EC" w:rsidRPr="00BE151B" w:rsidRDefault="004A28EC" w:rsidP="004A28EC"/>
    <w:p w14:paraId="74B63C9B" w14:textId="77777777" w:rsidR="004A28EC" w:rsidRPr="00BE151B" w:rsidRDefault="004A28EC" w:rsidP="004A28EC"/>
    <w:bookmarkEnd w:id="0"/>
    <w:p w14:paraId="0E3FF941" w14:textId="77777777" w:rsidR="004A28EC" w:rsidRPr="00F9618C" w:rsidRDefault="004A28EC" w:rsidP="004A28EC"/>
    <w:p w14:paraId="4749D84D" w14:textId="77777777" w:rsidR="004A28EC" w:rsidRDefault="004A28EC" w:rsidP="004A28EC"/>
    <w:p w14:paraId="76FBE9D2" w14:textId="77777777" w:rsidR="004A28EC" w:rsidRPr="00B81B6C" w:rsidRDefault="004A28EC" w:rsidP="004A28EC"/>
    <w:p w14:paraId="005ECFCB" w14:textId="77777777" w:rsidR="00C24FFE" w:rsidRDefault="00C24FFE"/>
    <w:sectPr w:rsidR="00C24FFE" w:rsidSect="004A28EC">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5E3E9" w14:textId="77777777" w:rsidR="00085C49" w:rsidRDefault="00085C49" w:rsidP="004A28EC">
      <w:pPr>
        <w:spacing w:after="0" w:line="240" w:lineRule="auto"/>
      </w:pPr>
      <w:r>
        <w:separator/>
      </w:r>
    </w:p>
  </w:endnote>
  <w:endnote w:type="continuationSeparator" w:id="0">
    <w:p w14:paraId="5185A824" w14:textId="77777777" w:rsidR="00085C49" w:rsidRDefault="00085C49" w:rsidP="004A28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7AE0D" w14:textId="77777777" w:rsidR="00760EC1" w:rsidRDefault="00760EC1">
    <w:pPr>
      <w:pStyle w:val="Piedepgina"/>
    </w:pPr>
  </w:p>
  <w:p w14:paraId="5EBCDCB9" w14:textId="77777777" w:rsidR="00760EC1" w:rsidRPr="00174B77" w:rsidRDefault="00B923A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E6C814C" w14:textId="77777777" w:rsidR="00760EC1" w:rsidRDefault="00B923A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3A8FD26" w14:textId="77777777" w:rsidR="00760EC1" w:rsidRPr="00E41027" w:rsidRDefault="00B923AE" w:rsidP="00D520D8">
    <w:pPr>
      <w:spacing w:after="0"/>
      <w:jc w:val="both"/>
      <w:rPr>
        <w:rFonts w:ascii="Verdana" w:hAnsi="Verdana"/>
        <w:sz w:val="18"/>
        <w:szCs w:val="18"/>
      </w:rPr>
    </w:pPr>
    <w:r w:rsidRPr="00E41027">
      <w:rPr>
        <w:rFonts w:ascii="Verdana" w:hAnsi="Verdana"/>
        <w:sz w:val="18"/>
        <w:szCs w:val="18"/>
      </w:rPr>
      <w:t>Mesa de servicio: (+57) 601 7456788</w:t>
    </w:r>
  </w:p>
  <w:p w14:paraId="35049204" w14:textId="77777777" w:rsidR="00760EC1" w:rsidRDefault="00B923AE"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88653" w14:textId="77777777" w:rsidR="00085C49" w:rsidRDefault="00085C49" w:rsidP="004A28EC">
      <w:pPr>
        <w:spacing w:after="0" w:line="240" w:lineRule="auto"/>
      </w:pPr>
      <w:r>
        <w:separator/>
      </w:r>
    </w:p>
  </w:footnote>
  <w:footnote w:type="continuationSeparator" w:id="0">
    <w:p w14:paraId="47241B56" w14:textId="77777777" w:rsidR="00085C49" w:rsidRDefault="00085C49" w:rsidP="004A28EC">
      <w:pPr>
        <w:spacing w:after="0" w:line="240" w:lineRule="auto"/>
      </w:pPr>
      <w:r>
        <w:continuationSeparator/>
      </w:r>
    </w:p>
  </w:footnote>
  <w:footnote w:id="1">
    <w:p w14:paraId="11ACF139" w14:textId="77777777" w:rsidR="000F2581" w:rsidRPr="002D5E7A" w:rsidRDefault="000F2581" w:rsidP="000F2581">
      <w:pPr>
        <w:pStyle w:val="Textonotapie"/>
        <w:ind w:firstLine="709"/>
        <w:contextualSpacing/>
        <w:jc w:val="both"/>
        <w:rPr>
          <w:rFonts w:ascii="Verdana" w:hAnsi="Verdana" w:cs="Arial"/>
          <w:color w:val="000000"/>
          <w:sz w:val="18"/>
          <w:szCs w:val="18"/>
        </w:rPr>
      </w:pPr>
    </w:p>
    <w:p w14:paraId="4979EE24" w14:textId="56D8EE6D" w:rsidR="000F2581" w:rsidRPr="00D171F5" w:rsidRDefault="000F2581" w:rsidP="000F2581">
      <w:pPr>
        <w:pStyle w:val="Textonotapie"/>
        <w:ind w:firstLine="709"/>
        <w:contextualSpacing/>
        <w:jc w:val="both"/>
        <w:rPr>
          <w:rFonts w:ascii="Verdana" w:hAnsi="Verdana" w:cs="Arial"/>
          <w:color w:val="000000"/>
          <w:sz w:val="14"/>
          <w:szCs w:val="14"/>
          <w:lang w:val="es-ES"/>
        </w:rPr>
      </w:pPr>
      <w:r w:rsidRPr="002D5E7A">
        <w:rPr>
          <w:rStyle w:val="Refdenotaalpie"/>
          <w:rFonts w:ascii="Verdana" w:hAnsi="Verdana" w:cs="Arial"/>
          <w:color w:val="000000"/>
          <w:sz w:val="18"/>
          <w:szCs w:val="18"/>
        </w:rPr>
        <w:footnoteRef/>
      </w:r>
      <w:r w:rsidRPr="002D5E7A">
        <w:rPr>
          <w:rFonts w:ascii="Verdana" w:hAnsi="Verdana" w:cs="Arial"/>
          <w:color w:val="000000"/>
          <w:sz w:val="18"/>
          <w:szCs w:val="18"/>
        </w:rPr>
        <w:t xml:space="preserve"> </w:t>
      </w:r>
      <w:r w:rsidRPr="000F2581">
        <w:rPr>
          <w:rFonts w:ascii="Verdana" w:hAnsi="Verdana" w:cs="Arial"/>
          <w:color w:val="000000"/>
          <w:sz w:val="18"/>
          <w:szCs w:val="18"/>
          <w:lang w:val="es-CO"/>
        </w:rPr>
        <w:t xml:space="preserve">Definición de persona en la RAE: </w:t>
      </w:r>
      <w:hyperlink r:id="rId1" w:history="1">
        <w:r w:rsidRPr="008E3EE5">
          <w:rPr>
            <w:rStyle w:val="Hipervnculo"/>
            <w:rFonts w:ascii="Verdana" w:hAnsi="Verdana" w:cs="Arial"/>
            <w:sz w:val="18"/>
            <w:szCs w:val="18"/>
            <w:lang w:val="es-CO"/>
          </w:rPr>
          <w:t>https://dle.rae.es/persona</w:t>
        </w:r>
      </w:hyperlink>
      <w:r>
        <w:rPr>
          <w:rFonts w:ascii="Verdana" w:hAnsi="Verdana" w:cs="Arial"/>
          <w:color w:val="000000"/>
          <w:sz w:val="18"/>
          <w:szCs w:val="18"/>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BCD5E" w14:textId="77777777" w:rsidR="00760EC1" w:rsidRDefault="00B923AE">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C61F86F" wp14:editId="3584A433">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C9C0541" wp14:editId="4882687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88251C2" w14:textId="77777777" w:rsidR="00760EC1" w:rsidRDefault="00760EC1">
    <w:pPr>
      <w:pStyle w:val="Encabezado"/>
    </w:pPr>
  </w:p>
  <w:p w14:paraId="3A876BAC" w14:textId="77777777" w:rsidR="00760EC1" w:rsidRDefault="00760EC1" w:rsidP="004A305D">
    <w:pPr>
      <w:spacing w:after="0"/>
      <w:rPr>
        <w:rFonts w:ascii="Verdana" w:hAnsi="Verdana"/>
        <w:b/>
        <w:bCs/>
      </w:rPr>
    </w:pPr>
  </w:p>
  <w:p w14:paraId="783A8A69" w14:textId="77777777" w:rsidR="00760EC1" w:rsidRPr="004A305D" w:rsidRDefault="00760EC1" w:rsidP="00B01B1A">
    <w:pPr>
      <w:spacing w:after="0" w:line="120" w:lineRule="auto"/>
      <w:rPr>
        <w:rFonts w:ascii="Century Gothic" w:eastAsia="Geo" w:hAnsi="Century Gothic" w:cs="Geo"/>
        <w:sz w:val="16"/>
        <w:szCs w:val="16"/>
        <w:lang w:eastAsia="es-CO"/>
      </w:rPr>
    </w:pPr>
  </w:p>
  <w:p w14:paraId="78DCD1AE" w14:textId="77777777" w:rsidR="00760EC1" w:rsidRDefault="00760EC1"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8EC"/>
    <w:rsid w:val="00085C49"/>
    <w:rsid w:val="000F2581"/>
    <w:rsid w:val="0013697A"/>
    <w:rsid w:val="001657C5"/>
    <w:rsid w:val="00191563"/>
    <w:rsid w:val="001F6CAC"/>
    <w:rsid w:val="00293CE6"/>
    <w:rsid w:val="002F3659"/>
    <w:rsid w:val="002F5D52"/>
    <w:rsid w:val="00365599"/>
    <w:rsid w:val="003700A1"/>
    <w:rsid w:val="00380471"/>
    <w:rsid w:val="003B3075"/>
    <w:rsid w:val="00474DF4"/>
    <w:rsid w:val="004A28EC"/>
    <w:rsid w:val="004F471F"/>
    <w:rsid w:val="006731C2"/>
    <w:rsid w:val="00684A43"/>
    <w:rsid w:val="006C28A9"/>
    <w:rsid w:val="00760EC1"/>
    <w:rsid w:val="007C4FD2"/>
    <w:rsid w:val="0080536B"/>
    <w:rsid w:val="00811806"/>
    <w:rsid w:val="008639AB"/>
    <w:rsid w:val="008C15E9"/>
    <w:rsid w:val="008D0336"/>
    <w:rsid w:val="00991F16"/>
    <w:rsid w:val="009D2177"/>
    <w:rsid w:val="00A16322"/>
    <w:rsid w:val="00A439A8"/>
    <w:rsid w:val="00A823C4"/>
    <w:rsid w:val="00AB122B"/>
    <w:rsid w:val="00B152DC"/>
    <w:rsid w:val="00B870F4"/>
    <w:rsid w:val="00B923AE"/>
    <w:rsid w:val="00B9489C"/>
    <w:rsid w:val="00C24FFE"/>
    <w:rsid w:val="00C37851"/>
    <w:rsid w:val="00D23BE8"/>
    <w:rsid w:val="00DA517B"/>
    <w:rsid w:val="00ED08CA"/>
    <w:rsid w:val="00F45965"/>
    <w:rsid w:val="00FC49E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C2E0D"/>
  <w15:chartTrackingRefBased/>
  <w15:docId w15:val="{C7AB2CAC-23C8-4F4A-A79F-1EB36B829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8EC"/>
    <w:rPr>
      <w:kern w:val="0"/>
      <w14:ligatures w14:val="none"/>
    </w:rPr>
  </w:style>
  <w:style w:type="paragraph" w:styleId="Ttulo1">
    <w:name w:val="heading 1"/>
    <w:basedOn w:val="Normal"/>
    <w:next w:val="Normal"/>
    <w:link w:val="Ttulo1Car"/>
    <w:uiPriority w:val="9"/>
    <w:qFormat/>
    <w:rsid w:val="004A28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A28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A28E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A28E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A28E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A28E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A28E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A28E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A28E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28E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A28E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A28E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A28E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A28E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A28E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A28E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A28E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A28EC"/>
    <w:rPr>
      <w:rFonts w:eastAsiaTheme="majorEastAsia" w:cstheme="majorBidi"/>
      <w:color w:val="272727" w:themeColor="text1" w:themeTint="D8"/>
    </w:rPr>
  </w:style>
  <w:style w:type="paragraph" w:styleId="Ttulo">
    <w:name w:val="Title"/>
    <w:basedOn w:val="Normal"/>
    <w:next w:val="Normal"/>
    <w:link w:val="TtuloCar"/>
    <w:uiPriority w:val="10"/>
    <w:qFormat/>
    <w:rsid w:val="004A28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A28E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A28E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A28E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A28EC"/>
    <w:pPr>
      <w:spacing w:before="160"/>
      <w:jc w:val="center"/>
    </w:pPr>
    <w:rPr>
      <w:i/>
      <w:iCs/>
      <w:color w:val="404040" w:themeColor="text1" w:themeTint="BF"/>
    </w:rPr>
  </w:style>
  <w:style w:type="character" w:customStyle="1" w:styleId="CitaCar">
    <w:name w:val="Cita Car"/>
    <w:basedOn w:val="Fuentedeprrafopredeter"/>
    <w:link w:val="Cita"/>
    <w:uiPriority w:val="29"/>
    <w:rsid w:val="004A28E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4A28EC"/>
    <w:pPr>
      <w:ind w:left="720"/>
      <w:contextualSpacing/>
    </w:pPr>
  </w:style>
  <w:style w:type="character" w:styleId="nfasisintenso">
    <w:name w:val="Intense Emphasis"/>
    <w:basedOn w:val="Fuentedeprrafopredeter"/>
    <w:uiPriority w:val="21"/>
    <w:qFormat/>
    <w:rsid w:val="004A28EC"/>
    <w:rPr>
      <w:i/>
      <w:iCs/>
      <w:color w:val="2F5496" w:themeColor="accent1" w:themeShade="BF"/>
    </w:rPr>
  </w:style>
  <w:style w:type="paragraph" w:styleId="Citadestacada">
    <w:name w:val="Intense Quote"/>
    <w:basedOn w:val="Normal"/>
    <w:next w:val="Normal"/>
    <w:link w:val="CitadestacadaCar"/>
    <w:uiPriority w:val="30"/>
    <w:qFormat/>
    <w:rsid w:val="004A28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A28EC"/>
    <w:rPr>
      <w:i/>
      <w:iCs/>
      <w:color w:val="2F5496" w:themeColor="accent1" w:themeShade="BF"/>
    </w:rPr>
  </w:style>
  <w:style w:type="character" w:styleId="Referenciaintensa">
    <w:name w:val="Intense Reference"/>
    <w:basedOn w:val="Fuentedeprrafopredeter"/>
    <w:uiPriority w:val="32"/>
    <w:qFormat/>
    <w:rsid w:val="004A28EC"/>
    <w:rPr>
      <w:b/>
      <w:bCs/>
      <w:smallCaps/>
      <w:color w:val="2F5496" w:themeColor="accent1" w:themeShade="BF"/>
      <w:spacing w:val="5"/>
    </w:rPr>
  </w:style>
  <w:style w:type="paragraph" w:styleId="Encabezado">
    <w:name w:val="header"/>
    <w:basedOn w:val="Normal"/>
    <w:link w:val="EncabezadoCar"/>
    <w:uiPriority w:val="99"/>
    <w:unhideWhenUsed/>
    <w:rsid w:val="004A28E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28EC"/>
    <w:rPr>
      <w:kern w:val="0"/>
      <w14:ligatures w14:val="none"/>
    </w:rPr>
  </w:style>
  <w:style w:type="paragraph" w:styleId="Piedepgina">
    <w:name w:val="footer"/>
    <w:basedOn w:val="Normal"/>
    <w:link w:val="PiedepginaCar"/>
    <w:uiPriority w:val="99"/>
    <w:unhideWhenUsed/>
    <w:rsid w:val="004A28E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28EC"/>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A28E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A28E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A28E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A28EC"/>
    <w:rPr>
      <w:vertAlign w:val="superscript"/>
    </w:rPr>
  </w:style>
  <w:style w:type="character" w:customStyle="1" w:styleId="normaltextrun">
    <w:name w:val="normaltextrun"/>
    <w:basedOn w:val="Fuentedeprrafopredeter"/>
    <w:rsid w:val="004A28EC"/>
  </w:style>
  <w:style w:type="table" w:styleId="Tablaconcuadrcula">
    <w:name w:val="Table Grid"/>
    <w:basedOn w:val="Tablanormal"/>
    <w:uiPriority w:val="39"/>
    <w:qFormat/>
    <w:rsid w:val="004A28E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A28EC"/>
    <w:rPr>
      <w:color w:val="0000FF"/>
      <w:u w:val="single"/>
    </w:rPr>
  </w:style>
  <w:style w:type="table" w:customStyle="1" w:styleId="Tablaconcuadrcula1">
    <w:name w:val="Tabla con cuadrícula1"/>
    <w:basedOn w:val="Tablanormal"/>
    <w:next w:val="Tablaconcuadrcula"/>
    <w:uiPriority w:val="59"/>
    <w:rsid w:val="004A28EC"/>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A28EC"/>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28EC"/>
  </w:style>
  <w:style w:type="character" w:styleId="Mencinsinresolver">
    <w:name w:val="Unresolved Mention"/>
    <w:basedOn w:val="Fuentedeprrafopredeter"/>
    <w:uiPriority w:val="99"/>
    <w:semiHidden/>
    <w:unhideWhenUsed/>
    <w:rsid w:val="000F25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ites%2Fcce_public%2Ffiles%2Fcce_documentos%2Fcircular_002_de_2025_capacitaciones_-_documentos_tipo_-_1_semestre_.pdf&amp;data=05%7C02%7Cmartha.romero%40colombiacompra.gov.co%7Ce7601921a258494a2b6c08dd3635db42%7C7b09041e245149d08cb179d5e3d8c1be%7C0%7C0%7C638726327126749845%7CUnknown%7CTWFpbGZsb3d8eyJFbXB0eU1hcGkiOnRydWUsIlYiOiIwLjAuMDAwMCIsIlAiOiJXaW4zMiIsIkFOIjoiTWFpbCIsIldUIjoyfQ%3D%3D%7C0%7C%7C%7C&amp;sdata=ROLbHoaISTGPGnC4gsdz2%2FTVBHV34KERO4g3Dmk2U9Y%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7601921a258494a2b6c08dd3635db42%7C7b09041e245149d08cb179d5e3d8c1be%7C0%7C0%7C638726327126727728%7CUnknown%7CTWFpbGZsb3d8eyJFbXB0eU1hcGkiOnRydWUsIlYiOiIwLjAuMDAwMCIsIlAiOiJXaW4zMiIsIkFOIjoiTWFpbCIsIldUIjoyfQ%3D%3D%7C0%7C%7C%7C&amp;sdata=xIjYVgx2O6U13U00jVOWKlUBiUsIgQY1mt3NS00uRCA%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iudadanos%2Fcalendario&amp;data=05%7C02%7Cmartha.romero%40colombiacompra.gov.co%7Ce7601921a258494a2b6c08dd3635db42%7C7b09041e245149d08cb179d5e3d8c1be%7C0%7C0%7C638726327126766412%7CUnknown%7CTWFpbGZsb3d8eyJFbXB0eU1hcGkiOnRydWUsIlYiOiIwLjAuMDAwMCIsIlAiOiJXaW4zMiIsIkFOIjoiTWFpbCIsIldUIjoyfQ%3D%3D%7C0%7C%7C%7C&amp;sdata=rZSTYM8JB88U%2FiysqRZkUy9YPYcvC2YXEYlmFtCKdug%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person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C11E89-871D-42FD-B8AB-E00ED90B9B0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69383C97-3DDB-41A8-83BE-E915F8489DEA}">
  <ds:schemaRefs>
    <ds:schemaRef ds:uri="http://schemas.microsoft.com/sharepoint/v3/contenttype/forms"/>
  </ds:schemaRefs>
</ds:datastoreItem>
</file>

<file path=customXml/itemProps3.xml><?xml version="1.0" encoding="utf-8"?>
<ds:datastoreItem xmlns:ds="http://schemas.openxmlformats.org/officeDocument/2006/customXml" ds:itemID="{9E9D62E1-376E-43C2-92DB-6F2701813B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3390</Words>
  <Characters>18651</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10</cp:revision>
  <dcterms:created xsi:type="dcterms:W3CDTF">2025-02-25T18:29:00Z</dcterms:created>
  <dcterms:modified xsi:type="dcterms:W3CDTF">2025-09-15T22:13:00Z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