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32EA8" w14:textId="77777777" w:rsidR="00400AC8" w:rsidRPr="00F16B98" w:rsidRDefault="00400AC8" w:rsidP="00400AC8">
      <w:pPr>
        <w:contextualSpacing/>
        <w:jc w:val="both"/>
        <w:rPr>
          <w:rFonts w:ascii="Verdana" w:eastAsia="Calibri" w:hAnsi="Verdana" w:cs="Arial"/>
          <w:b/>
          <w:lang w:eastAsia="es-MX"/>
          <w14:ligatures w14:val="standardContextual"/>
        </w:rPr>
      </w:pPr>
      <w:r w:rsidRPr="00F16B98">
        <w:rPr>
          <w:rFonts w:ascii="Verdana" w:eastAsia="Calibri" w:hAnsi="Verdana" w:cs="Arial"/>
          <w:b/>
          <w:lang w:eastAsia="es-MX"/>
          <w14:ligatures w14:val="standardContextual"/>
        </w:rPr>
        <w:t>CLASIFICADOR DE BIENES Y SERVICIOS DE NACIONES UNIDAS – Uso</w:t>
      </w:r>
    </w:p>
    <w:p w14:paraId="71C11AF9" w14:textId="77777777" w:rsidR="00400AC8" w:rsidRDefault="00400AC8" w:rsidP="00400AC8">
      <w:pPr>
        <w:contextualSpacing/>
        <w:jc w:val="both"/>
        <w:rPr>
          <w:rFonts w:ascii="Verdana" w:eastAsia="Calibri" w:hAnsi="Verdana" w:cs="Arial"/>
          <w:bCs/>
          <w:lang w:eastAsia="es-MX"/>
          <w14:ligatures w14:val="standardContextual"/>
        </w:rPr>
      </w:pPr>
    </w:p>
    <w:p w14:paraId="4EDD551B" w14:textId="77777777" w:rsidR="00F16B98" w:rsidRPr="00F16B98" w:rsidRDefault="00F16B98" w:rsidP="00F16B98">
      <w:pPr>
        <w:spacing w:after="120" w:line="276" w:lineRule="auto"/>
        <w:jc w:val="both"/>
        <w:rPr>
          <w:rFonts w:ascii="Verdana" w:eastAsia="Times New Roman" w:hAnsi="Verdana" w:cs="Arial"/>
          <w:color w:val="000000" w:themeColor="text1"/>
          <w:sz w:val="20"/>
          <w:szCs w:val="20"/>
          <w:lang w:val="es-ES_tradnl" w:eastAsia="es-MX"/>
        </w:rPr>
      </w:pPr>
      <w:r w:rsidRPr="00F16B98">
        <w:rPr>
          <w:rFonts w:ascii="Verdana" w:eastAsia="Times New Roman" w:hAnsi="Verdana" w:cs="Arial"/>
          <w:color w:val="000000" w:themeColor="text1"/>
          <w:sz w:val="20"/>
          <w:szCs w:val="20"/>
          <w:lang w:val="es-ES_tradnl" w:eastAsia="es-MX"/>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5556EFB4" w14:textId="77777777" w:rsidR="00400AC8" w:rsidRDefault="00400AC8" w:rsidP="00400AC8">
      <w:pPr>
        <w:contextualSpacing/>
        <w:jc w:val="both"/>
        <w:rPr>
          <w:rFonts w:ascii="Verdana" w:eastAsia="Calibri" w:hAnsi="Verdana" w:cs="Arial"/>
          <w:bCs/>
          <w:lang w:eastAsia="es-MX"/>
          <w14:ligatures w14:val="standardContextual"/>
        </w:rPr>
      </w:pPr>
    </w:p>
    <w:p w14:paraId="6E0682CC" w14:textId="0336A39C" w:rsidR="00400AC8" w:rsidRPr="00F16B98" w:rsidRDefault="00400AC8" w:rsidP="00400AC8">
      <w:pPr>
        <w:contextualSpacing/>
        <w:jc w:val="both"/>
        <w:rPr>
          <w:rFonts w:ascii="Verdana" w:eastAsia="Calibri" w:hAnsi="Verdana" w:cs="Arial"/>
          <w:b/>
          <w:lang w:eastAsia="es-MX"/>
          <w14:ligatures w14:val="standardContextual"/>
        </w:rPr>
      </w:pPr>
      <w:r w:rsidRPr="00F16B98">
        <w:rPr>
          <w:rFonts w:ascii="Verdana" w:eastAsia="Calibri" w:hAnsi="Verdana" w:cs="Arial"/>
          <w:b/>
          <w:lang w:eastAsia="es-MX"/>
          <w14:ligatures w14:val="standardContextual"/>
        </w:rPr>
        <w:t>CLASIFICADOR DE BIENES Y SERVICIOS DE NACIONES UNIDAS – Función – Noción-Experiencia</w:t>
      </w:r>
    </w:p>
    <w:p w14:paraId="1C841192" w14:textId="77777777" w:rsidR="00F16B98" w:rsidRDefault="00F16B98">
      <w:pPr>
        <w:rPr>
          <w:rFonts w:ascii="Verdana" w:eastAsia="Times New Roman" w:hAnsi="Verdana" w:cs="Arial"/>
          <w:color w:val="000000" w:themeColor="text1"/>
          <w:lang w:eastAsia="es-MX"/>
        </w:rPr>
      </w:pPr>
    </w:p>
    <w:p w14:paraId="1BC4F562" w14:textId="64CCB68C" w:rsidR="00400AC8" w:rsidRDefault="00F16B98" w:rsidP="00F16B98">
      <w:pPr>
        <w:jc w:val="both"/>
        <w:rPr>
          <w:rFonts w:ascii="Verdana" w:eastAsia="Calibri" w:hAnsi="Verdana" w:cs="Times New Roman"/>
        </w:rPr>
      </w:pPr>
      <w:r w:rsidRPr="00F16B98">
        <w:rPr>
          <w:rFonts w:ascii="Verdana" w:eastAsia="Times New Roman" w:hAnsi="Verdana" w:cs="Arial"/>
          <w:color w:val="000000" w:themeColor="text1"/>
          <w:sz w:val="20"/>
          <w:szCs w:val="20"/>
          <w:lang w:eastAsia="es-MX"/>
        </w:rPr>
        <w:t>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valedera la experiencia inscrita por el proponente en el RUP, que sea de contratos ejecutados que coincidan con algún código del Clasificador del Bienes y Servicios, en particular, en el tercer nivel del clasificador</w:t>
      </w:r>
      <w:r w:rsidR="00400AC8">
        <w:rPr>
          <w:rFonts w:ascii="Verdana" w:eastAsia="Calibri" w:hAnsi="Verdana" w:cs="Times New Roman"/>
        </w:rPr>
        <w:br w:type="page"/>
      </w:r>
    </w:p>
    <w:p w14:paraId="4227E857" w14:textId="5F7C391B" w:rsidR="00A32DDE" w:rsidRPr="00885EA6" w:rsidRDefault="005C6D68" w:rsidP="00A32DDE">
      <w:pPr>
        <w:spacing w:after="0"/>
        <w:jc w:val="both"/>
        <w:rPr>
          <w:rFonts w:ascii="Verdana" w:hAnsi="Verdana"/>
          <w:lang w:val="es-MX"/>
        </w:rPr>
      </w:pPr>
      <w:r w:rsidRPr="00421BE8">
        <w:rPr>
          <w:rFonts w:ascii="Verdana" w:hAnsi="Verdana"/>
          <w:noProof/>
        </w:rPr>
        <w:lastRenderedPageBreak/>
        <w:drawing>
          <wp:anchor distT="0" distB="0" distL="114300" distR="114300" simplePos="0" relativeHeight="251658240" behindDoc="1" locked="0" layoutInCell="1" allowOverlap="1" wp14:anchorId="24E59BFB" wp14:editId="532BABC8">
            <wp:simplePos x="0" y="0"/>
            <wp:positionH relativeFrom="column">
              <wp:posOffset>3568064</wp:posOffset>
            </wp:positionH>
            <wp:positionV relativeFrom="paragraph">
              <wp:posOffset>-95885</wp:posOffset>
            </wp:positionV>
            <wp:extent cx="2806065" cy="886765"/>
            <wp:effectExtent l="0" t="0" r="0" b="8890"/>
            <wp:wrapNone/>
            <wp:docPr id="14902128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212816" name=""/>
                    <pic:cNvPicPr/>
                  </pic:nvPicPr>
                  <pic:blipFill>
                    <a:blip r:embed="rId11">
                      <a:extLst>
                        <a:ext uri="{28A0092B-C50C-407E-A947-70E740481C1C}">
                          <a14:useLocalDpi xmlns:a14="http://schemas.microsoft.com/office/drawing/2010/main" val="0"/>
                        </a:ext>
                      </a:extLst>
                    </a:blip>
                    <a:stretch>
                      <a:fillRect/>
                    </a:stretch>
                  </pic:blipFill>
                  <pic:spPr>
                    <a:xfrm>
                      <a:off x="0" y="0"/>
                      <a:ext cx="2825260" cy="892831"/>
                    </a:xfrm>
                    <a:prstGeom prst="rect">
                      <a:avLst/>
                    </a:prstGeom>
                  </pic:spPr>
                </pic:pic>
              </a:graphicData>
            </a:graphic>
            <wp14:sizeRelH relativeFrom="page">
              <wp14:pctWidth>0</wp14:pctWidth>
            </wp14:sizeRelH>
            <wp14:sizeRelV relativeFrom="page">
              <wp14:pctHeight>0</wp14:pctHeight>
            </wp14:sizeRelV>
          </wp:anchor>
        </w:drawing>
      </w:r>
      <w:r w:rsidR="00A32DDE" w:rsidRPr="00885EA6">
        <w:rPr>
          <w:rFonts w:ascii="Verdana" w:eastAsia="Calibri" w:hAnsi="Verdana" w:cs="Times New Roman"/>
        </w:rPr>
        <w:t>Bogotá D.C.</w:t>
      </w:r>
      <w:r>
        <w:rPr>
          <w:rFonts w:ascii="Verdana" w:eastAsia="Calibri" w:hAnsi="Verdana" w:cs="Times New Roman"/>
        </w:rPr>
        <w:t xml:space="preserve"> 25 de febrero de 2025</w:t>
      </w:r>
    </w:p>
    <w:p w14:paraId="100939D5" w14:textId="6568ADAD" w:rsidR="00A32DDE" w:rsidRPr="00885EA6" w:rsidRDefault="00A32DDE" w:rsidP="00400AC8">
      <w:pPr>
        <w:spacing w:after="0"/>
        <w:jc w:val="right"/>
        <w:rPr>
          <w:rFonts w:ascii="Verdana" w:hAnsi="Verdana"/>
          <w:lang w:val="es-MX"/>
        </w:rPr>
      </w:pPr>
    </w:p>
    <w:p w14:paraId="4CFC6D41" w14:textId="141EBF93" w:rsidR="00A32DDE" w:rsidRPr="0078389D" w:rsidRDefault="00D64119" w:rsidP="00A32DDE">
      <w:pPr>
        <w:spacing w:after="0"/>
        <w:jc w:val="both"/>
        <w:rPr>
          <w:rFonts w:ascii="Verdana" w:hAnsi="Verdana"/>
          <w:lang w:val="es-MX"/>
        </w:rPr>
      </w:pPr>
      <w:r w:rsidRPr="0078389D">
        <w:rPr>
          <w:rFonts w:ascii="Verdana" w:hAnsi="Verdana"/>
          <w:lang w:val="es-MX"/>
        </w:rPr>
        <w:t>Señor</w:t>
      </w:r>
    </w:p>
    <w:p w14:paraId="6E7868B5" w14:textId="43A91B5F" w:rsidR="00A254A7" w:rsidRPr="00A254A7" w:rsidRDefault="00A254A7" w:rsidP="00A254A7">
      <w:pPr>
        <w:spacing w:after="0"/>
        <w:rPr>
          <w:rFonts w:ascii="Verdana" w:hAnsi="Verdana"/>
          <w:b/>
        </w:rPr>
      </w:pPr>
      <w:r w:rsidRPr="00A254A7">
        <w:rPr>
          <w:rFonts w:ascii="Verdana" w:hAnsi="Verdana"/>
          <w:b/>
        </w:rPr>
        <w:t>DIDIER OCHOA</w:t>
      </w:r>
      <w:r>
        <w:rPr>
          <w:rFonts w:ascii="Verdana" w:hAnsi="Verdana"/>
          <w:b/>
        </w:rPr>
        <w:t xml:space="preserve"> </w:t>
      </w:r>
      <w:r w:rsidRPr="00A254A7">
        <w:rPr>
          <w:rFonts w:ascii="Verdana" w:hAnsi="Verdana"/>
          <w:b/>
        </w:rPr>
        <w:t>ARISTIZABAL</w:t>
      </w:r>
      <w:r w:rsidRPr="0078389D">
        <w:rPr>
          <w:rFonts w:ascii="Verdana" w:hAnsi="Verdana"/>
          <w:bCs/>
        </w:rPr>
        <w:br/>
      </w:r>
      <w:r w:rsidRPr="00A254A7">
        <w:rPr>
          <w:rFonts w:ascii="Verdana" w:hAnsi="Verdana"/>
          <w:b/>
        </w:rPr>
        <w:t xml:space="preserve">ASOCIACION DE TRANSPORTADORES ESPECIALES </w:t>
      </w:r>
    </w:p>
    <w:p w14:paraId="0AF83E64" w14:textId="3517CBCB" w:rsidR="00A32DDE" w:rsidRPr="00A254A7" w:rsidRDefault="00A254A7" w:rsidP="00A254A7">
      <w:pPr>
        <w:spacing w:after="0"/>
        <w:jc w:val="both"/>
        <w:rPr>
          <w:rFonts w:ascii="Verdana" w:hAnsi="Verdana"/>
          <w:u w:val="single"/>
        </w:rPr>
      </w:pPr>
      <w:r w:rsidRPr="00A254A7">
        <w:rPr>
          <w:rFonts w:ascii="Verdana" w:hAnsi="Verdana"/>
          <w:u w:val="single"/>
        </w:rPr>
        <w:t>licitaciones@astransportes.com.co</w:t>
      </w:r>
    </w:p>
    <w:p w14:paraId="707E4BC1" w14:textId="77777777" w:rsidR="00A32DDE" w:rsidRPr="0078389D" w:rsidRDefault="00A32DDE" w:rsidP="00A32DDE">
      <w:pPr>
        <w:spacing w:after="0"/>
        <w:jc w:val="both"/>
        <w:rPr>
          <w:rFonts w:ascii="Verdana" w:hAnsi="Verdana"/>
        </w:rPr>
      </w:pPr>
      <w:r w:rsidRPr="0078389D">
        <w:rPr>
          <w:rFonts w:ascii="Verdana" w:hAnsi="Verdana"/>
        </w:rPr>
        <w:t>Bogotá D.C</w:t>
      </w:r>
    </w:p>
    <w:p w14:paraId="382D2B9E" w14:textId="77777777" w:rsidR="00A32DDE" w:rsidRDefault="00A32DDE" w:rsidP="00A32DDE">
      <w:pPr>
        <w:spacing w:after="0"/>
        <w:jc w:val="both"/>
        <w:rPr>
          <w:rFonts w:ascii="Verdana" w:hAnsi="Verdana"/>
        </w:rPr>
      </w:pPr>
    </w:p>
    <w:p w14:paraId="1ED633C9" w14:textId="376386F7" w:rsidR="00421BE8" w:rsidRPr="00885EA6" w:rsidRDefault="00421BE8" w:rsidP="00D00AF9">
      <w:pPr>
        <w:spacing w:after="0"/>
        <w:jc w:val="right"/>
        <w:rPr>
          <w:rFonts w:ascii="Verdana" w:hAnsi="Verdana"/>
        </w:rPr>
      </w:pPr>
    </w:p>
    <w:p w14:paraId="37EF13A8" w14:textId="3E907217" w:rsidR="00A32DDE" w:rsidRPr="00885EA6" w:rsidRDefault="00A32DDE" w:rsidP="00A32DDE">
      <w:pPr>
        <w:spacing w:after="0" w:line="240" w:lineRule="auto"/>
        <w:ind w:left="2694"/>
        <w:jc w:val="both"/>
        <w:rPr>
          <w:rFonts w:ascii="Verdana" w:eastAsia="Calibri" w:hAnsi="Verdana" w:cs="Arial"/>
          <w:b/>
          <w:bCs/>
          <w:lang w:val="es-ES" w:eastAsia="es-ES"/>
        </w:rPr>
      </w:pPr>
      <w:r w:rsidRPr="00885EA6">
        <w:rPr>
          <w:rFonts w:ascii="Verdana" w:eastAsia="Calibri" w:hAnsi="Verdana" w:cs="Arial"/>
          <w:b/>
          <w:bCs/>
          <w:lang w:val="es-ES" w:eastAsia="es-ES"/>
        </w:rPr>
        <w:t>Concepto C</w:t>
      </w:r>
      <w:r w:rsidR="006455F2">
        <w:rPr>
          <w:rFonts w:ascii="Verdana" w:eastAsia="Calibri" w:hAnsi="Verdana" w:cs="Arial"/>
          <w:b/>
          <w:bCs/>
          <w:lang w:val="es-ES" w:eastAsia="es-ES"/>
        </w:rPr>
        <w:t xml:space="preserve">-036 </w:t>
      </w:r>
      <w:r w:rsidRPr="00885EA6">
        <w:rPr>
          <w:rFonts w:ascii="Verdana" w:eastAsia="Calibri" w:hAnsi="Verdana" w:cs="Arial"/>
          <w:b/>
          <w:bCs/>
          <w:lang w:val="es-ES" w:eastAsia="es-ES"/>
        </w:rPr>
        <w:t>de 202</w:t>
      </w:r>
      <w:r w:rsidR="00A254A7">
        <w:rPr>
          <w:rFonts w:ascii="Verdana" w:eastAsia="Calibri" w:hAnsi="Verdana" w:cs="Arial"/>
          <w:b/>
          <w:bCs/>
          <w:lang w:val="es-ES" w:eastAsia="es-ES"/>
        </w:rPr>
        <w:t>5</w:t>
      </w:r>
    </w:p>
    <w:p w14:paraId="69D1E3E7" w14:textId="77777777" w:rsidR="00A32DDE" w:rsidRPr="00885EA6" w:rsidRDefault="00A32DDE" w:rsidP="00A32DDE">
      <w:pPr>
        <w:spacing w:after="0" w:line="240" w:lineRule="auto"/>
        <w:jc w:val="both"/>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32DDE" w:rsidRPr="00885EA6" w14:paraId="2ED90DC5" w14:textId="77777777" w:rsidTr="009D3DD7">
        <w:trPr>
          <w:trHeight w:val="884"/>
        </w:trPr>
        <w:tc>
          <w:tcPr>
            <w:tcW w:w="2685" w:type="dxa"/>
            <w:hideMark/>
          </w:tcPr>
          <w:p w14:paraId="342106E3" w14:textId="283C569A" w:rsidR="00A32DDE" w:rsidRPr="00520EAF" w:rsidRDefault="00A32DDE" w:rsidP="001D107B">
            <w:pPr>
              <w:jc w:val="both"/>
              <w:rPr>
                <w:rFonts w:ascii="Verdana" w:eastAsia="Calibri" w:hAnsi="Verdana" w:cs="Arial"/>
                <w:b/>
                <w:bCs/>
                <w:szCs w:val="24"/>
                <w:lang w:val="es-ES_tradnl" w:eastAsia="es-ES_tradnl"/>
              </w:rPr>
            </w:pPr>
            <w:r w:rsidRPr="00520EAF">
              <w:rPr>
                <w:rFonts w:ascii="Verdana" w:eastAsia="Calibri" w:hAnsi="Verdana" w:cs="Arial"/>
                <w:b/>
                <w:bCs/>
                <w:szCs w:val="24"/>
                <w:lang w:val="es-ES_tradnl" w:eastAsia="es-ES_tradnl"/>
              </w:rPr>
              <w:t xml:space="preserve">Temas                   </w:t>
            </w:r>
          </w:p>
        </w:tc>
        <w:tc>
          <w:tcPr>
            <w:tcW w:w="6241" w:type="dxa"/>
          </w:tcPr>
          <w:p w14:paraId="02E13F90" w14:textId="32A625AA" w:rsidR="00C65475" w:rsidRPr="00C65475" w:rsidRDefault="009D3DD7" w:rsidP="00C65475">
            <w:pPr>
              <w:contextualSpacing/>
              <w:jc w:val="both"/>
              <w:rPr>
                <w:rFonts w:ascii="Verdana" w:eastAsia="Calibri" w:hAnsi="Verdana" w:cs="Arial"/>
                <w:bCs/>
                <w:lang w:eastAsia="es-MX"/>
                <w14:ligatures w14:val="standardContextual"/>
              </w:rPr>
            </w:pPr>
            <w:r w:rsidRPr="00C65475">
              <w:rPr>
                <w:rFonts w:ascii="Verdana" w:eastAsia="Calibri" w:hAnsi="Verdana" w:cs="Arial"/>
                <w:bCs/>
                <w:lang w:eastAsia="es-MX"/>
                <w14:ligatures w14:val="standardContextual"/>
              </w:rPr>
              <w:t>CLASIFICADOR DE BIENES Y SERVICIOS DE NACIONES UNIDAS – Uso</w:t>
            </w:r>
            <w:r w:rsidR="00C65475" w:rsidRPr="00C65475">
              <w:rPr>
                <w:rFonts w:ascii="Verdana" w:eastAsia="Calibri" w:hAnsi="Verdana" w:cs="Arial"/>
                <w:bCs/>
                <w:lang w:eastAsia="es-MX"/>
                <w14:ligatures w14:val="standardContextual"/>
              </w:rPr>
              <w:t>/ CLASIFICADOR DE BIENES Y SERVICIOS DE NACIONES UNIDAS – Función – Noción</w:t>
            </w:r>
            <w:r w:rsidR="00AB55FC">
              <w:rPr>
                <w:rFonts w:ascii="Verdana" w:eastAsia="Calibri" w:hAnsi="Verdana" w:cs="Arial"/>
                <w:bCs/>
                <w:lang w:eastAsia="es-MX"/>
                <w14:ligatures w14:val="standardContextual"/>
              </w:rPr>
              <w:t>-Experiencia</w:t>
            </w:r>
          </w:p>
          <w:p w14:paraId="79BE2DD7" w14:textId="1650374E" w:rsidR="009D3DD7" w:rsidRPr="00885F63" w:rsidRDefault="009D3DD7" w:rsidP="009D3DD7">
            <w:pPr>
              <w:tabs>
                <w:tab w:val="left" w:pos="0"/>
              </w:tabs>
              <w:spacing w:before="120" w:after="120" w:line="276" w:lineRule="auto"/>
              <w:contextualSpacing/>
              <w:jc w:val="both"/>
              <w:rPr>
                <w:rFonts w:ascii="Verdana" w:eastAsia="Calibri" w:hAnsi="Verdana" w:cs="Arial"/>
                <w:b/>
                <w:lang w:eastAsia="es-MX"/>
                <w14:ligatures w14:val="standardContextual"/>
              </w:rPr>
            </w:pPr>
          </w:p>
          <w:p w14:paraId="35446DFD" w14:textId="77777777" w:rsidR="00A32DDE" w:rsidRPr="00520EAF" w:rsidRDefault="00A32DDE" w:rsidP="001D107B">
            <w:pPr>
              <w:spacing w:line="276" w:lineRule="auto"/>
              <w:jc w:val="both"/>
              <w:rPr>
                <w:rFonts w:ascii="Verdana" w:hAnsi="Verdana"/>
              </w:rPr>
            </w:pPr>
          </w:p>
        </w:tc>
        <w:tc>
          <w:tcPr>
            <w:tcW w:w="6237" w:type="dxa"/>
          </w:tcPr>
          <w:p w14:paraId="1D3C56C2" w14:textId="77777777" w:rsidR="00A32DDE" w:rsidRPr="00885EA6" w:rsidRDefault="00A32DDE" w:rsidP="001D107B">
            <w:pPr>
              <w:jc w:val="both"/>
              <w:rPr>
                <w:rFonts w:ascii="Verdana" w:hAnsi="Verdana" w:cs="Arial"/>
                <w:lang w:val="es-ES"/>
              </w:rPr>
            </w:pPr>
          </w:p>
        </w:tc>
      </w:tr>
      <w:tr w:rsidR="00A32DDE" w:rsidRPr="00885EA6" w14:paraId="6CE5EA50" w14:textId="77777777" w:rsidTr="001D107B">
        <w:tc>
          <w:tcPr>
            <w:tcW w:w="2685" w:type="dxa"/>
            <w:hideMark/>
          </w:tcPr>
          <w:p w14:paraId="57F2085F" w14:textId="77777777" w:rsidR="00A32DDE" w:rsidRPr="00885EA6" w:rsidRDefault="00A32DDE" w:rsidP="001D107B">
            <w:pPr>
              <w:spacing w:before="120"/>
              <w:jc w:val="both"/>
              <w:rPr>
                <w:rFonts w:ascii="Verdana" w:eastAsia="Calibri" w:hAnsi="Verdana" w:cs="Arial"/>
                <w:b/>
                <w:bCs/>
                <w:szCs w:val="24"/>
                <w:lang w:val="es-ES_tradnl" w:eastAsia="es-ES_tradnl"/>
              </w:rPr>
            </w:pPr>
            <w:r w:rsidRPr="00885EA6">
              <w:rPr>
                <w:rFonts w:ascii="Verdana" w:eastAsia="Calibri" w:hAnsi="Verdana" w:cs="Arial"/>
                <w:b/>
                <w:bCs/>
                <w:szCs w:val="24"/>
                <w:lang w:val="es-ES_tradnl" w:eastAsia="es-ES_tradnl"/>
              </w:rPr>
              <w:t xml:space="preserve">Radicación:               </w:t>
            </w:r>
          </w:p>
        </w:tc>
        <w:tc>
          <w:tcPr>
            <w:tcW w:w="6241" w:type="dxa"/>
            <w:hideMark/>
          </w:tcPr>
          <w:p w14:paraId="7B37FB20" w14:textId="65B0C670" w:rsidR="00A32DDE" w:rsidRPr="00885EA6" w:rsidRDefault="00A32DDE" w:rsidP="001D107B">
            <w:pPr>
              <w:spacing w:before="120" w:line="276" w:lineRule="auto"/>
              <w:jc w:val="both"/>
              <w:rPr>
                <w:rFonts w:ascii="Verdana" w:eastAsia="Calibri" w:hAnsi="Verdana" w:cs="Arial"/>
                <w:szCs w:val="24"/>
                <w:lang w:val="es-ES_tradnl" w:eastAsia="es-ES_tradnl"/>
              </w:rPr>
            </w:pPr>
            <w:r w:rsidRPr="00885EA6">
              <w:rPr>
                <w:rFonts w:ascii="Verdana" w:eastAsia="Calibri" w:hAnsi="Verdana" w:cs="Arial"/>
                <w:szCs w:val="24"/>
                <w:lang w:val="es-ES_tradnl" w:eastAsia="es-ES_tradnl"/>
              </w:rPr>
              <w:t xml:space="preserve">Respuesta a consulta con radicado No. </w:t>
            </w:r>
            <w:r w:rsidR="00A254A7" w:rsidRPr="00A254A7">
              <w:rPr>
                <w:rFonts w:ascii="Verdana" w:eastAsia="Calibri" w:hAnsi="Verdana" w:cs="Arial"/>
                <w:szCs w:val="24"/>
                <w:lang w:eastAsia="es-ES_tradnl"/>
              </w:rPr>
              <w:t>P20250115000323</w:t>
            </w:r>
          </w:p>
        </w:tc>
        <w:tc>
          <w:tcPr>
            <w:tcW w:w="6237" w:type="dxa"/>
          </w:tcPr>
          <w:p w14:paraId="2DA9F9EE" w14:textId="77777777" w:rsidR="00A32DDE" w:rsidRPr="00885EA6" w:rsidRDefault="00A32DDE" w:rsidP="001D107B">
            <w:pPr>
              <w:spacing w:before="120"/>
              <w:jc w:val="both"/>
              <w:rPr>
                <w:rFonts w:ascii="Verdana" w:eastAsia="Calibri" w:hAnsi="Verdana" w:cs="Arial"/>
                <w:szCs w:val="24"/>
                <w:lang w:val="es-ES_tradnl" w:eastAsia="es-ES_tradnl"/>
              </w:rPr>
            </w:pPr>
          </w:p>
        </w:tc>
      </w:tr>
    </w:tbl>
    <w:p w14:paraId="4B5AEA82" w14:textId="77777777" w:rsidR="00A32DDE" w:rsidRPr="00885EA6" w:rsidRDefault="00A32DDE" w:rsidP="00A32DDE">
      <w:pPr>
        <w:spacing w:after="0" w:line="240" w:lineRule="auto"/>
        <w:jc w:val="both"/>
        <w:rPr>
          <w:rFonts w:ascii="Verdana" w:eastAsia="Calibri" w:hAnsi="Verdana" w:cs="Arial"/>
          <w:szCs w:val="24"/>
          <w:lang w:val="es-ES_tradnl" w:eastAsia="es-ES_tradnl"/>
        </w:rPr>
      </w:pPr>
    </w:p>
    <w:p w14:paraId="79E36958" w14:textId="3B7FB7AE" w:rsidR="00A32DDE" w:rsidRPr="00885EA6" w:rsidRDefault="009B7802" w:rsidP="00A32DDE">
      <w:pPr>
        <w:spacing w:after="0" w:line="240" w:lineRule="auto"/>
        <w:jc w:val="both"/>
        <w:rPr>
          <w:rFonts w:ascii="Verdana" w:eastAsia="Calibri" w:hAnsi="Verdana" w:cs="Arial"/>
          <w:lang w:val="es-ES" w:eastAsia="es-ES"/>
        </w:rPr>
      </w:pPr>
      <w:r>
        <w:rPr>
          <w:rFonts w:ascii="Verdana" w:eastAsia="Calibri" w:hAnsi="Verdana" w:cs="Arial"/>
          <w:lang w:val="es-ES" w:eastAsia="es-ES"/>
        </w:rPr>
        <w:t>Estimad</w:t>
      </w:r>
      <w:r w:rsidR="00A254A7">
        <w:rPr>
          <w:rFonts w:ascii="Verdana" w:eastAsia="Calibri" w:hAnsi="Verdana" w:cs="Arial"/>
          <w:lang w:val="es-ES" w:eastAsia="es-ES"/>
        </w:rPr>
        <w:t>o señor Ochoa</w:t>
      </w:r>
      <w:r w:rsidR="00A32DDE" w:rsidRPr="00885EA6">
        <w:rPr>
          <w:rFonts w:ascii="Verdana" w:eastAsia="Calibri" w:hAnsi="Verdana" w:cs="Arial"/>
          <w:lang w:val="es-ES" w:eastAsia="es-ES"/>
        </w:rPr>
        <w:t xml:space="preserve">: </w:t>
      </w:r>
    </w:p>
    <w:p w14:paraId="244D594B" w14:textId="77777777" w:rsidR="00A32DDE" w:rsidRPr="00885EA6" w:rsidRDefault="00A32DDE" w:rsidP="00A32DDE">
      <w:pPr>
        <w:spacing w:after="0" w:line="240" w:lineRule="auto"/>
        <w:jc w:val="both"/>
        <w:rPr>
          <w:rFonts w:ascii="Verdana" w:eastAsia="Calibri" w:hAnsi="Verdana" w:cs="Arial"/>
          <w:lang w:val="es-ES" w:eastAsia="es-ES"/>
        </w:rPr>
      </w:pPr>
    </w:p>
    <w:p w14:paraId="466763B1" w14:textId="1487E2C8" w:rsidR="00A32DDE" w:rsidRPr="00885EA6" w:rsidRDefault="00A32DDE" w:rsidP="00A32DDE">
      <w:pPr>
        <w:spacing w:after="120" w:line="276" w:lineRule="auto"/>
        <w:jc w:val="both"/>
        <w:rPr>
          <w:rFonts w:ascii="Verdana" w:eastAsia="Calibri" w:hAnsi="Verdana" w:cs="Arial"/>
          <w:lang w:val="es-ES" w:eastAsia="es-ES"/>
        </w:rPr>
      </w:pPr>
      <w:r w:rsidRPr="00885EA6">
        <w:rPr>
          <w:rFonts w:ascii="Verdana" w:eastAsia="Calibri" w:hAnsi="Verdana" w:cs="Arial"/>
          <w:lang w:val="es-ES" w:eastAsia="es-ES"/>
        </w:rPr>
        <w:t>En ejercicio de la competencia otorgada por los artículos 3, numeral 5º, y 11, numeral 8º, del Decreto Ley 4170 de 2011,</w:t>
      </w:r>
      <w:r w:rsidRPr="00885EA6">
        <w:rPr>
          <w:rFonts w:ascii="Verdana" w:eastAsia="Arial MT" w:hAnsi="Verdana" w:cs="Arial MT"/>
          <w:lang w:val="es-ES" w:eastAsia="es-ES"/>
        </w:rPr>
        <w:t xml:space="preserve"> </w:t>
      </w:r>
      <w:r w:rsidRPr="00885EA6">
        <w:rPr>
          <w:rFonts w:ascii="Verdana" w:eastAsia="Calibri" w:hAnsi="Verdana" w:cs="Arial"/>
          <w:lang w:val="es-ES" w:eastAsia="es-ES"/>
        </w:rPr>
        <w:t xml:space="preserve">la Agencia Nacional de Contratación Pública – Colombia Compra Eficiente– responde la solicitud de consulta del </w:t>
      </w:r>
      <w:r w:rsidR="00EF6CBA">
        <w:rPr>
          <w:rFonts w:ascii="Verdana" w:eastAsia="Calibri" w:hAnsi="Verdana" w:cs="Arial"/>
          <w:lang w:val="es-ES" w:eastAsia="es-ES"/>
        </w:rPr>
        <w:t>15</w:t>
      </w:r>
      <w:r w:rsidRPr="00885EA6">
        <w:rPr>
          <w:rFonts w:ascii="Verdana" w:eastAsia="Calibri" w:hAnsi="Verdana" w:cs="Arial"/>
          <w:lang w:val="es-ES" w:eastAsia="es-ES"/>
        </w:rPr>
        <w:t xml:space="preserve"> de </w:t>
      </w:r>
      <w:r w:rsidR="00A254A7">
        <w:rPr>
          <w:rFonts w:ascii="Verdana" w:eastAsia="Calibri" w:hAnsi="Verdana" w:cs="Arial"/>
          <w:lang w:val="es-ES" w:eastAsia="es-ES"/>
        </w:rPr>
        <w:t>enero</w:t>
      </w:r>
      <w:r w:rsidRPr="00885EA6">
        <w:rPr>
          <w:rFonts w:ascii="Verdana" w:eastAsia="Calibri" w:hAnsi="Verdana" w:cs="Arial"/>
          <w:lang w:val="es-ES" w:eastAsia="es-ES"/>
        </w:rPr>
        <w:t xml:space="preserve"> de 202</w:t>
      </w:r>
      <w:r w:rsidR="00A254A7">
        <w:rPr>
          <w:rFonts w:ascii="Verdana" w:eastAsia="Calibri" w:hAnsi="Verdana" w:cs="Arial"/>
          <w:lang w:val="es-ES" w:eastAsia="es-ES"/>
        </w:rPr>
        <w:t xml:space="preserve">5. </w:t>
      </w:r>
      <w:r w:rsidRPr="00885EA6">
        <w:rPr>
          <w:rFonts w:ascii="Verdana" w:eastAsia="Calibri" w:hAnsi="Verdana" w:cs="Arial"/>
          <w:lang w:val="es-ES" w:eastAsia="es-ES"/>
        </w:rPr>
        <w:t>En la cual manifiesta lo siguiente:</w:t>
      </w:r>
    </w:p>
    <w:p w14:paraId="07686827" w14:textId="77777777" w:rsidR="00A32DDE" w:rsidRPr="00885EA6" w:rsidRDefault="00A32DDE" w:rsidP="00A32DDE">
      <w:pPr>
        <w:spacing w:after="0" w:line="240" w:lineRule="auto"/>
        <w:ind w:left="709" w:right="709"/>
        <w:jc w:val="both"/>
        <w:rPr>
          <w:rFonts w:ascii="Verdana" w:eastAsia="Calibri" w:hAnsi="Verdana" w:cs="Arial"/>
          <w:sz w:val="20"/>
          <w:szCs w:val="20"/>
          <w:lang w:val="es-ES" w:eastAsia="es-ES"/>
        </w:rPr>
      </w:pPr>
    </w:p>
    <w:p w14:paraId="3A6CA6B0" w14:textId="1FC685AD" w:rsidR="00A254A7" w:rsidRPr="00A254A7" w:rsidRDefault="00A32DDE" w:rsidP="00A254A7">
      <w:pPr>
        <w:spacing w:after="0" w:line="240" w:lineRule="auto"/>
        <w:ind w:left="709" w:right="709"/>
        <w:jc w:val="both"/>
        <w:rPr>
          <w:rFonts w:ascii="Verdana" w:eastAsia="Calibri" w:hAnsi="Verdana" w:cs="Arial"/>
          <w:sz w:val="20"/>
          <w:szCs w:val="20"/>
          <w:lang w:val="es-ES" w:eastAsia="es-ES"/>
        </w:rPr>
      </w:pPr>
      <w:r w:rsidRPr="00885EA6">
        <w:rPr>
          <w:rFonts w:ascii="Verdana" w:eastAsia="Calibri" w:hAnsi="Verdana" w:cs="Arial"/>
          <w:sz w:val="20"/>
          <w:szCs w:val="20"/>
          <w:lang w:val="es-ES" w:eastAsia="es-ES"/>
        </w:rPr>
        <w:t xml:space="preserve"> “(…) </w:t>
      </w:r>
      <w:r w:rsidR="00A254A7" w:rsidRPr="00A254A7">
        <w:rPr>
          <w:rFonts w:ascii="Verdana" w:eastAsia="Calibri" w:hAnsi="Verdana" w:cs="Arial"/>
          <w:sz w:val="20"/>
          <w:szCs w:val="20"/>
          <w:lang w:val="es-ES" w:eastAsia="es-ES"/>
        </w:rPr>
        <w:t>1. La entidad puede rechazar un proponente por no contar con un código de</w:t>
      </w:r>
      <w:r w:rsidR="00A254A7">
        <w:rPr>
          <w:rFonts w:ascii="Verdana" w:eastAsia="Calibri" w:hAnsi="Verdana" w:cs="Arial"/>
          <w:sz w:val="20"/>
          <w:szCs w:val="20"/>
          <w:lang w:val="es-ES" w:eastAsia="es-ES"/>
        </w:rPr>
        <w:t xml:space="preserve"> </w:t>
      </w:r>
      <w:r w:rsidR="00A254A7" w:rsidRPr="00A254A7">
        <w:rPr>
          <w:rFonts w:ascii="Verdana" w:eastAsia="Calibri" w:hAnsi="Verdana" w:cs="Arial"/>
          <w:sz w:val="20"/>
          <w:szCs w:val="20"/>
          <w:lang w:val="es-ES" w:eastAsia="es-ES"/>
        </w:rPr>
        <w:t>experiencia hasta el tercer nivel ?</w:t>
      </w:r>
    </w:p>
    <w:p w14:paraId="3B048BBB" w14:textId="75074B42" w:rsidR="00A254A7" w:rsidRPr="00A254A7" w:rsidRDefault="00A254A7" w:rsidP="00A254A7">
      <w:pPr>
        <w:spacing w:after="0" w:line="240" w:lineRule="auto"/>
        <w:ind w:left="709" w:right="709"/>
        <w:jc w:val="both"/>
        <w:rPr>
          <w:rFonts w:ascii="Verdana" w:eastAsia="Calibri" w:hAnsi="Verdana" w:cs="Arial"/>
          <w:sz w:val="20"/>
          <w:szCs w:val="20"/>
          <w:lang w:val="es-ES" w:eastAsia="es-ES"/>
        </w:rPr>
      </w:pPr>
      <w:r w:rsidRPr="00A254A7">
        <w:rPr>
          <w:rFonts w:ascii="Verdana" w:eastAsia="Calibri" w:hAnsi="Verdana" w:cs="Arial"/>
          <w:sz w:val="20"/>
          <w:szCs w:val="20"/>
          <w:lang w:val="es-ES" w:eastAsia="es-ES"/>
        </w:rPr>
        <w:t>2. La entidad puede exigir acreditar más de un código en un proceso cuyo objeto</w:t>
      </w:r>
      <w:r>
        <w:rPr>
          <w:rFonts w:ascii="Verdana" w:eastAsia="Calibri" w:hAnsi="Verdana" w:cs="Arial"/>
          <w:sz w:val="20"/>
          <w:szCs w:val="20"/>
          <w:lang w:val="es-ES" w:eastAsia="es-ES"/>
        </w:rPr>
        <w:t xml:space="preserve"> </w:t>
      </w:r>
      <w:r w:rsidRPr="00A254A7">
        <w:rPr>
          <w:rFonts w:ascii="Verdana" w:eastAsia="Calibri" w:hAnsi="Verdana" w:cs="Arial"/>
          <w:sz w:val="20"/>
          <w:szCs w:val="20"/>
          <w:lang w:val="es-ES" w:eastAsia="es-ES"/>
        </w:rPr>
        <w:t>sea único ?</w:t>
      </w:r>
    </w:p>
    <w:p w14:paraId="720E0F6D" w14:textId="0F27F1FC" w:rsidR="00A254A7" w:rsidRPr="00A254A7" w:rsidRDefault="00A254A7" w:rsidP="00A254A7">
      <w:pPr>
        <w:spacing w:after="0" w:line="240" w:lineRule="auto"/>
        <w:ind w:left="709" w:right="709"/>
        <w:jc w:val="both"/>
        <w:rPr>
          <w:rFonts w:ascii="Verdana" w:eastAsia="Calibri" w:hAnsi="Verdana" w:cs="Arial"/>
          <w:sz w:val="20"/>
          <w:szCs w:val="20"/>
          <w:lang w:val="es-ES" w:eastAsia="es-ES"/>
        </w:rPr>
      </w:pPr>
      <w:r w:rsidRPr="00A254A7">
        <w:rPr>
          <w:rFonts w:ascii="Verdana" w:eastAsia="Calibri" w:hAnsi="Verdana" w:cs="Arial"/>
          <w:sz w:val="20"/>
          <w:szCs w:val="20"/>
          <w:lang w:val="es-ES" w:eastAsia="es-ES"/>
        </w:rPr>
        <w:t>3. La entidad puede rechazar un proponente por no acreditar la experiencia de</w:t>
      </w:r>
      <w:r>
        <w:rPr>
          <w:rFonts w:ascii="Verdana" w:eastAsia="Calibri" w:hAnsi="Verdana" w:cs="Arial"/>
          <w:sz w:val="20"/>
          <w:szCs w:val="20"/>
          <w:lang w:val="es-ES" w:eastAsia="es-ES"/>
        </w:rPr>
        <w:t xml:space="preserve"> </w:t>
      </w:r>
      <w:r w:rsidRPr="00A254A7">
        <w:rPr>
          <w:rFonts w:ascii="Verdana" w:eastAsia="Calibri" w:hAnsi="Verdana" w:cs="Arial"/>
          <w:sz w:val="20"/>
          <w:szCs w:val="20"/>
          <w:lang w:val="es-ES" w:eastAsia="es-ES"/>
        </w:rPr>
        <w:t xml:space="preserve">manera taxativa a como </w:t>
      </w:r>
      <w:proofErr w:type="spellStart"/>
      <w:r w:rsidRPr="00A254A7">
        <w:rPr>
          <w:rFonts w:ascii="Verdana" w:eastAsia="Calibri" w:hAnsi="Verdana" w:cs="Arial"/>
          <w:sz w:val="20"/>
          <w:szCs w:val="20"/>
          <w:lang w:val="es-ES" w:eastAsia="es-ES"/>
        </w:rPr>
        <w:t>esta</w:t>
      </w:r>
      <w:proofErr w:type="spellEnd"/>
      <w:r w:rsidRPr="00A254A7">
        <w:rPr>
          <w:rFonts w:ascii="Verdana" w:eastAsia="Calibri" w:hAnsi="Verdana" w:cs="Arial"/>
          <w:sz w:val="20"/>
          <w:szCs w:val="20"/>
          <w:lang w:val="es-ES" w:eastAsia="es-ES"/>
        </w:rPr>
        <w:t xml:space="preserve"> el objeto del proceso?</w:t>
      </w:r>
    </w:p>
    <w:p w14:paraId="4B705465" w14:textId="315AAB92" w:rsidR="00A32DDE" w:rsidRPr="00885EA6" w:rsidRDefault="00A254A7" w:rsidP="00A254A7">
      <w:pPr>
        <w:spacing w:after="0" w:line="240" w:lineRule="auto"/>
        <w:ind w:left="709" w:right="709"/>
        <w:jc w:val="both"/>
        <w:rPr>
          <w:rFonts w:ascii="Verdana" w:eastAsia="Calibri" w:hAnsi="Verdana" w:cs="Arial"/>
          <w:sz w:val="20"/>
          <w:szCs w:val="20"/>
          <w:lang w:val="es-ES" w:eastAsia="es-ES"/>
        </w:rPr>
      </w:pPr>
      <w:r w:rsidRPr="00A254A7">
        <w:rPr>
          <w:rFonts w:ascii="Verdana" w:eastAsia="Calibri" w:hAnsi="Verdana" w:cs="Arial"/>
          <w:sz w:val="20"/>
          <w:szCs w:val="20"/>
          <w:lang w:val="es-ES" w:eastAsia="es-ES"/>
        </w:rPr>
        <w:t>4. En el caso de proponentes plurales las entidades pueden exigir que ambos</w:t>
      </w:r>
      <w:r>
        <w:rPr>
          <w:rFonts w:ascii="Verdana" w:eastAsia="Calibri" w:hAnsi="Verdana" w:cs="Arial"/>
          <w:sz w:val="20"/>
          <w:szCs w:val="20"/>
          <w:lang w:val="es-ES" w:eastAsia="es-ES"/>
        </w:rPr>
        <w:t xml:space="preserve"> </w:t>
      </w:r>
      <w:r w:rsidRPr="00A254A7">
        <w:rPr>
          <w:rFonts w:ascii="Verdana" w:eastAsia="Calibri" w:hAnsi="Verdana" w:cs="Arial"/>
          <w:sz w:val="20"/>
          <w:szCs w:val="20"/>
          <w:lang w:val="es-ES" w:eastAsia="es-ES"/>
        </w:rPr>
        <w:t>proponentes deben acreditar toda la experiencia ? o basta que uno de los miembros</w:t>
      </w:r>
      <w:r>
        <w:rPr>
          <w:rFonts w:ascii="Verdana" w:eastAsia="Calibri" w:hAnsi="Verdana" w:cs="Arial"/>
          <w:sz w:val="20"/>
          <w:szCs w:val="20"/>
          <w:lang w:val="es-ES" w:eastAsia="es-ES"/>
        </w:rPr>
        <w:t xml:space="preserve"> </w:t>
      </w:r>
      <w:r w:rsidRPr="00A254A7">
        <w:rPr>
          <w:rFonts w:ascii="Verdana" w:eastAsia="Calibri" w:hAnsi="Verdana" w:cs="Arial"/>
          <w:sz w:val="20"/>
          <w:szCs w:val="20"/>
          <w:lang w:val="es-ES" w:eastAsia="es-ES"/>
        </w:rPr>
        <w:t xml:space="preserve">la cumpla, siempre y cuando su objeto social </w:t>
      </w:r>
      <w:proofErr w:type="spellStart"/>
      <w:r w:rsidRPr="00A254A7">
        <w:rPr>
          <w:rFonts w:ascii="Verdana" w:eastAsia="Calibri" w:hAnsi="Verdana" w:cs="Arial"/>
          <w:sz w:val="20"/>
          <w:szCs w:val="20"/>
          <w:lang w:val="es-ES" w:eastAsia="es-ES"/>
        </w:rPr>
        <w:t>este</w:t>
      </w:r>
      <w:proofErr w:type="spellEnd"/>
      <w:r w:rsidRPr="00A254A7">
        <w:rPr>
          <w:rFonts w:ascii="Verdana" w:eastAsia="Calibri" w:hAnsi="Verdana" w:cs="Arial"/>
          <w:sz w:val="20"/>
          <w:szCs w:val="20"/>
          <w:lang w:val="es-ES" w:eastAsia="es-ES"/>
        </w:rPr>
        <w:t xml:space="preserve"> relacionado de manera </w:t>
      </w:r>
      <w:proofErr w:type="spellStart"/>
      <w:r w:rsidRPr="00A254A7">
        <w:rPr>
          <w:rFonts w:ascii="Verdana" w:eastAsia="Calibri" w:hAnsi="Verdana" w:cs="Arial"/>
          <w:sz w:val="20"/>
          <w:szCs w:val="20"/>
          <w:lang w:val="es-ES" w:eastAsia="es-ES"/>
        </w:rPr>
        <w:t>direct</w:t>
      </w:r>
      <w:proofErr w:type="spellEnd"/>
      <w:r>
        <w:rPr>
          <w:rFonts w:ascii="Verdana" w:eastAsia="Calibri" w:hAnsi="Verdana" w:cs="Arial"/>
          <w:sz w:val="20"/>
          <w:szCs w:val="20"/>
          <w:lang w:val="es-ES" w:eastAsia="es-ES"/>
        </w:rPr>
        <w:t xml:space="preserve"> </w:t>
      </w:r>
      <w:r w:rsidRPr="00A254A7">
        <w:rPr>
          <w:rFonts w:ascii="Verdana" w:eastAsia="Calibri" w:hAnsi="Verdana" w:cs="Arial"/>
          <w:sz w:val="20"/>
          <w:szCs w:val="20"/>
          <w:lang w:val="es-ES" w:eastAsia="es-ES"/>
        </w:rPr>
        <w:t xml:space="preserve">con el objeto del proceso </w:t>
      </w:r>
      <w:r w:rsidR="00A32DDE" w:rsidRPr="00885EA6">
        <w:rPr>
          <w:rFonts w:ascii="Verdana" w:eastAsia="Calibri" w:hAnsi="Verdana" w:cs="Arial"/>
          <w:sz w:val="20"/>
          <w:szCs w:val="20"/>
          <w:lang w:val="es-ES" w:eastAsia="es-ES"/>
        </w:rPr>
        <w:t>(…)</w:t>
      </w:r>
      <w:r w:rsidR="00A32DDE">
        <w:rPr>
          <w:rFonts w:ascii="Verdana" w:eastAsia="Calibri" w:hAnsi="Verdana" w:cs="Arial"/>
          <w:sz w:val="20"/>
          <w:szCs w:val="20"/>
          <w:lang w:val="es-ES" w:eastAsia="es-ES"/>
        </w:rPr>
        <w:t xml:space="preserve">”. </w:t>
      </w:r>
    </w:p>
    <w:p w14:paraId="2F627152" w14:textId="77777777" w:rsidR="00A32DDE" w:rsidRPr="00885EA6" w:rsidRDefault="00A32DDE" w:rsidP="00A32DDE">
      <w:pPr>
        <w:spacing w:after="0" w:line="240" w:lineRule="auto"/>
        <w:ind w:left="709" w:right="709"/>
        <w:jc w:val="both"/>
        <w:rPr>
          <w:rFonts w:ascii="Verdana" w:eastAsia="Calibri" w:hAnsi="Verdana" w:cs="Arial"/>
          <w:sz w:val="20"/>
          <w:szCs w:val="20"/>
          <w:lang w:val="es-ES" w:eastAsia="es-ES"/>
        </w:rPr>
      </w:pPr>
    </w:p>
    <w:p w14:paraId="6EA22D54" w14:textId="77777777" w:rsidR="00A32DDE" w:rsidRPr="00885EA6" w:rsidRDefault="00A32DDE" w:rsidP="00A32DDE">
      <w:pPr>
        <w:spacing w:after="120" w:line="276" w:lineRule="auto"/>
        <w:jc w:val="both"/>
        <w:rPr>
          <w:rFonts w:ascii="Verdana" w:eastAsia="Calibri" w:hAnsi="Verdana" w:cs="Arial"/>
          <w:lang w:val="es-ES" w:eastAsia="es-ES"/>
        </w:rPr>
      </w:pPr>
      <w:r w:rsidRPr="00885EA6">
        <w:rPr>
          <w:rFonts w:ascii="Verdana" w:eastAsia="Calibri" w:hAnsi="Verdana" w:cs="Arial"/>
          <w:lang w:val="es-ES_tradnl" w:eastAsia="es-ES_tradnl"/>
        </w:rPr>
        <w:tab/>
      </w:r>
      <w:r w:rsidRPr="00885EA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885EA6">
        <w:rPr>
          <w:rFonts w:ascii="Verdana" w:eastAsia="Calibri" w:hAnsi="Verdana" w:cs="Arial"/>
          <w:lang w:val="es-ES" w:eastAsia="es-ES"/>
        </w:rPr>
        <w:lastRenderedPageBreak/>
        <w:t>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EB1E7D9" w14:textId="77777777" w:rsidR="00A32DDE" w:rsidRPr="00885EA6" w:rsidRDefault="00A32DDE" w:rsidP="00A32DDE">
      <w:pPr>
        <w:spacing w:after="0" w:line="276" w:lineRule="auto"/>
        <w:jc w:val="both"/>
        <w:rPr>
          <w:rFonts w:ascii="Verdana" w:eastAsia="Calibri" w:hAnsi="Verdana" w:cs="Arial"/>
          <w:lang w:val="es-ES" w:eastAsia="es-ES"/>
        </w:rPr>
      </w:pPr>
      <w:r w:rsidRPr="00885EA6">
        <w:rPr>
          <w:rFonts w:ascii="Verdana" w:eastAsia="Calibri" w:hAnsi="Verdana" w:cs="Arial"/>
          <w:lang w:val="es-ES" w:eastAsia="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A18653E" w14:textId="77777777" w:rsidR="00A32DDE" w:rsidRPr="00885EA6" w:rsidRDefault="00A32DDE" w:rsidP="00A32DDE">
      <w:pPr>
        <w:spacing w:after="0" w:line="276" w:lineRule="auto"/>
        <w:jc w:val="both"/>
        <w:rPr>
          <w:rFonts w:ascii="Verdana" w:eastAsia="Calibri" w:hAnsi="Verdana" w:cs="Arial"/>
          <w:lang w:val="es-ES" w:eastAsia="es-ES"/>
        </w:rPr>
      </w:pPr>
    </w:p>
    <w:p w14:paraId="44F0ED90" w14:textId="77777777" w:rsidR="00A32DDE" w:rsidRPr="00A87AD8" w:rsidRDefault="00A32DDE" w:rsidP="00A32D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87AD8">
        <w:rPr>
          <w:rFonts w:ascii="Verdana" w:eastAsia="Century Gothic" w:hAnsi="Verdana" w:cs="Century Gothic"/>
          <w:b/>
          <w:bCs/>
        </w:rPr>
        <w:t>Problema planteado:</w:t>
      </w:r>
    </w:p>
    <w:p w14:paraId="69D698AF" w14:textId="77777777" w:rsidR="00A32DDE" w:rsidRPr="00A87AD8" w:rsidRDefault="00A32DDE" w:rsidP="00A32DDE">
      <w:pPr>
        <w:spacing w:after="0" w:line="240" w:lineRule="auto"/>
        <w:jc w:val="both"/>
        <w:rPr>
          <w:rFonts w:ascii="Verdana" w:eastAsia="Century Gothic" w:hAnsi="Verdana" w:cs="Century Gothic"/>
        </w:rPr>
      </w:pPr>
    </w:p>
    <w:p w14:paraId="68AC5693" w14:textId="2F754015" w:rsidR="00A32DDE" w:rsidRPr="00283203" w:rsidRDefault="00A32DDE" w:rsidP="00A32DDE">
      <w:pPr>
        <w:spacing w:after="0" w:line="276" w:lineRule="auto"/>
        <w:jc w:val="both"/>
        <w:rPr>
          <w:rFonts w:ascii="Verdana" w:hAnsi="Verdana"/>
        </w:rPr>
      </w:pPr>
      <w:r w:rsidRPr="00A87AD8">
        <w:rPr>
          <w:rFonts w:ascii="Verdana" w:eastAsia="Century Gothic" w:hAnsi="Verdana" w:cs="Century Gothic"/>
        </w:rPr>
        <w:t>De acuerdo con el contenido de sus solicitudes y que versan sobre la modalidad de licitación pública, esta Agencia resolverá el siguiente problema jurídico ¿</w:t>
      </w:r>
      <w:r w:rsidR="00845773" w:rsidRPr="00A87AD8">
        <w:rPr>
          <w:rFonts w:ascii="Verdana" w:eastAsia="Century Gothic" w:hAnsi="Verdana" w:cs="Century Gothic"/>
        </w:rPr>
        <w:t xml:space="preserve">Se puede exigir </w:t>
      </w:r>
      <w:r w:rsidR="00A87AD8" w:rsidRPr="00A87AD8">
        <w:rPr>
          <w:rFonts w:ascii="Verdana" w:eastAsia="Century Gothic" w:hAnsi="Verdana" w:cs="Century Gothic"/>
        </w:rPr>
        <w:t xml:space="preserve">un </w:t>
      </w:r>
      <w:r w:rsidR="1BAFC34F" w:rsidRPr="71B92E28">
        <w:rPr>
          <w:rFonts w:ascii="Verdana" w:eastAsia="Century Gothic" w:hAnsi="Verdana" w:cs="Century Gothic"/>
        </w:rPr>
        <w:t>número</w:t>
      </w:r>
      <w:r w:rsidR="00A87AD8" w:rsidRPr="00A87AD8">
        <w:rPr>
          <w:rFonts w:ascii="Verdana" w:eastAsia="Century Gothic" w:hAnsi="Verdana" w:cs="Century Gothic"/>
        </w:rPr>
        <w:t xml:space="preserve"> determinado de códigos</w:t>
      </w:r>
      <w:r w:rsidR="00A87AD8">
        <w:rPr>
          <w:rFonts w:ascii="Verdana" w:eastAsia="Century Gothic" w:hAnsi="Verdana" w:cs="Century Gothic"/>
        </w:rPr>
        <w:t xml:space="preserve"> del clasificador de bienes y servicios al momento de la verificación de la experiencia? </w:t>
      </w:r>
    </w:p>
    <w:p w14:paraId="36823FE9" w14:textId="77777777" w:rsidR="00A32DDE" w:rsidRPr="00283203" w:rsidRDefault="00A32DDE" w:rsidP="00A32DDE">
      <w:pPr>
        <w:spacing w:after="0" w:line="276" w:lineRule="auto"/>
        <w:jc w:val="both"/>
        <w:rPr>
          <w:rFonts w:ascii="Verdana" w:eastAsia="Century Gothic" w:hAnsi="Verdana" w:cs="Century Gothic"/>
        </w:rPr>
      </w:pPr>
    </w:p>
    <w:p w14:paraId="3DDAA6CF" w14:textId="77777777" w:rsidR="00A32DDE" w:rsidRPr="00283203" w:rsidRDefault="00A32DDE" w:rsidP="00A32D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3203">
        <w:rPr>
          <w:rFonts w:ascii="Verdana" w:eastAsia="Century Gothic" w:hAnsi="Verdana" w:cs="Century Gothic"/>
          <w:b/>
          <w:bCs/>
        </w:rPr>
        <w:t>Respuesta:</w:t>
      </w:r>
    </w:p>
    <w:p w14:paraId="083E32E3" w14:textId="77777777" w:rsidR="00A32DDE" w:rsidRPr="00283203" w:rsidRDefault="00A32DDE" w:rsidP="00A32DDE">
      <w:pPr>
        <w:pStyle w:val="Prrafodelista"/>
        <w:tabs>
          <w:tab w:val="left" w:pos="142"/>
          <w:tab w:val="left" w:pos="284"/>
        </w:tabs>
        <w:spacing w:after="0" w:line="276" w:lineRule="auto"/>
        <w:ind w:left="0"/>
        <w:jc w:val="both"/>
        <w:rPr>
          <w:rFonts w:ascii="Verdana" w:eastAsia="Century Gothic" w:hAnsi="Verdana" w:cs="Century Gothic"/>
          <w:b/>
          <w:bCs/>
        </w:rPr>
      </w:pPr>
    </w:p>
    <w:p w14:paraId="14AE085C" w14:textId="371CCCA8" w:rsidR="00882A77" w:rsidRDefault="00882A77" w:rsidP="00D565F2">
      <w:pPr>
        <w:pStyle w:val="Prrafodelista"/>
        <w:tabs>
          <w:tab w:val="left" w:pos="426"/>
        </w:tabs>
        <w:spacing w:after="0" w:line="276" w:lineRule="auto"/>
        <w:ind w:left="0"/>
        <w:jc w:val="both"/>
        <w:rPr>
          <w:rFonts w:ascii="Verdana" w:eastAsia="Century Gothic" w:hAnsi="Verdana" w:cs="Century Gothic"/>
          <w:lang w:val="es-CO"/>
        </w:rPr>
      </w:pPr>
      <w:r w:rsidRPr="00882A77">
        <w:rPr>
          <w:rFonts w:ascii="Verdana" w:eastAsia="Century Gothic" w:hAnsi="Verdana" w:cs="Century Gothic"/>
          <w:lang w:val="es-CO"/>
        </w:rPr>
        <w:t xml:space="preserve">Las entidades estatales son autónomas en la estructuración de sus procedimientos contractuales, por lo cual en sus pliegos de condiciones pueden establecer las reglas de acreditación de la experiencia de los proponentes , el número de código de naciones unidas </w:t>
      </w:r>
      <w:r w:rsidRPr="00882A77">
        <w:rPr>
          <w:rFonts w:ascii="Verdana" w:eastAsia="Century Gothic" w:hAnsi="Verdana" w:cs="Century Gothic"/>
          <w:b/>
          <w:bCs/>
          <w:lang w:val="es-CO"/>
        </w:rPr>
        <w:t xml:space="preserve">hasta el tercer nivel </w:t>
      </w:r>
      <w:r w:rsidRPr="00882A77">
        <w:rPr>
          <w:rFonts w:ascii="Verdana" w:eastAsia="Century Gothic" w:hAnsi="Verdana" w:cs="Century Gothic"/>
          <w:lang w:val="es-CO"/>
        </w:rPr>
        <w:t>y demás consideraciones siempre que esta sea proporcionales y conducentes para el respectivo proceso de selección garantizando la pluralidad de oferentes y la participación en el respectivo proceso.</w:t>
      </w:r>
    </w:p>
    <w:p w14:paraId="1BD08F33" w14:textId="645E674E" w:rsidR="00A32DDE" w:rsidRPr="00283203" w:rsidRDefault="00423904" w:rsidP="00D565F2">
      <w:pPr>
        <w:pStyle w:val="Prrafodelista"/>
        <w:tabs>
          <w:tab w:val="left" w:pos="426"/>
        </w:tabs>
        <w:spacing w:after="0" w:line="276" w:lineRule="auto"/>
        <w:ind w:left="0"/>
        <w:jc w:val="both"/>
        <w:rPr>
          <w:rFonts w:ascii="Verdana" w:eastAsia="Century Gothic" w:hAnsi="Verdana" w:cs="Century Gothic"/>
          <w:b/>
          <w:bCs/>
        </w:rPr>
      </w:pPr>
      <w:r w:rsidRPr="00451657">
        <w:rPr>
          <w:rFonts w:ascii="Verdana" w:eastAsia="Century Gothic" w:hAnsi="Verdana" w:cs="Century Gothic"/>
        </w:rPr>
        <w:tab/>
      </w:r>
      <w:r w:rsidR="00A32DDE" w:rsidRPr="00283203">
        <w:rPr>
          <w:rFonts w:ascii="Verdana" w:eastAsia="Century Gothic" w:hAnsi="Verdana" w:cs="Century Gothic"/>
          <w:bCs/>
        </w:rPr>
        <w:t xml:space="preserve"> </w:t>
      </w:r>
    </w:p>
    <w:p w14:paraId="2B125C9D" w14:textId="77777777" w:rsidR="00A32DDE" w:rsidRPr="00283203" w:rsidRDefault="00A32DDE" w:rsidP="00A32D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3203">
        <w:rPr>
          <w:rFonts w:ascii="Verdana" w:eastAsia="Century Gothic" w:hAnsi="Verdana" w:cs="Century Gothic"/>
          <w:b/>
          <w:bCs/>
        </w:rPr>
        <w:t>Razones de la respuesta:</w:t>
      </w:r>
    </w:p>
    <w:p w14:paraId="7A77B8A4" w14:textId="77777777" w:rsidR="00A32DDE" w:rsidRPr="00283203" w:rsidRDefault="00A32DDE" w:rsidP="00A32DDE">
      <w:pPr>
        <w:pStyle w:val="Prrafodelista"/>
        <w:tabs>
          <w:tab w:val="left" w:pos="142"/>
          <w:tab w:val="left" w:pos="284"/>
        </w:tabs>
        <w:spacing w:after="0" w:line="276" w:lineRule="auto"/>
        <w:ind w:left="0"/>
        <w:jc w:val="both"/>
        <w:rPr>
          <w:rFonts w:ascii="Verdana" w:eastAsia="Century Gothic" w:hAnsi="Verdana" w:cs="Century Gothic"/>
          <w:b/>
          <w:bCs/>
        </w:rPr>
      </w:pPr>
    </w:p>
    <w:p w14:paraId="5DF361F7" w14:textId="77777777" w:rsidR="00A32DDE" w:rsidRPr="00283203" w:rsidRDefault="00A32DDE" w:rsidP="00A32DDE">
      <w:pPr>
        <w:spacing w:after="0" w:line="276" w:lineRule="auto"/>
        <w:jc w:val="both"/>
        <w:rPr>
          <w:rFonts w:ascii="Verdana" w:eastAsia="Calibri" w:hAnsi="Verdana" w:cs="Arial"/>
          <w:lang w:val="es-ES"/>
        </w:rPr>
      </w:pPr>
      <w:r w:rsidRPr="00283203">
        <w:rPr>
          <w:rFonts w:ascii="Verdana" w:eastAsia="Calibri" w:hAnsi="Verdana" w:cs="Arial"/>
          <w:lang w:val="es-ES"/>
        </w:rPr>
        <w:t xml:space="preserve">Lo anterior se sustenta en las siguientes consideraciones: </w:t>
      </w:r>
    </w:p>
    <w:p w14:paraId="200F3141" w14:textId="6839605E" w:rsidR="00303A0F" w:rsidRPr="00303A0F" w:rsidRDefault="003B6D92" w:rsidP="00303A0F">
      <w:pPr>
        <w:numPr>
          <w:ilvl w:val="0"/>
          <w:numId w:val="20"/>
        </w:numPr>
        <w:spacing w:before="120" w:line="276" w:lineRule="auto"/>
        <w:jc w:val="both"/>
        <w:rPr>
          <w:rFonts w:ascii="Verdana" w:hAnsi="Verdana" w:cs="Arial"/>
          <w:color w:val="000000" w:themeColor="text1"/>
          <w:lang w:val="es-ES"/>
        </w:rPr>
      </w:pPr>
      <w:r>
        <w:rPr>
          <w:rFonts w:ascii="Verdana" w:hAnsi="Verdana" w:cs="Arial"/>
          <w:color w:val="000000" w:themeColor="text1"/>
          <w:lang w:val="es-ES"/>
        </w:rPr>
        <w:lastRenderedPageBreak/>
        <w:t xml:space="preserve">Sobre </w:t>
      </w:r>
      <w:r w:rsidR="00303A0F" w:rsidRPr="00303A0F">
        <w:rPr>
          <w:rFonts w:ascii="Verdana" w:hAnsi="Verdana" w:cs="Arial"/>
          <w:color w:val="000000" w:themeColor="text1"/>
          <w:lang w:val="es-ES"/>
        </w:rPr>
        <w:t>el requisito habilitante</w:t>
      </w:r>
      <w:r>
        <w:rPr>
          <w:rFonts w:ascii="Verdana" w:hAnsi="Verdana" w:cs="Arial"/>
          <w:color w:val="000000" w:themeColor="text1"/>
          <w:lang w:val="es-ES"/>
        </w:rPr>
        <w:t xml:space="preserve"> de </w:t>
      </w:r>
      <w:r w:rsidR="00303A0F" w:rsidRPr="00303A0F">
        <w:rPr>
          <w:rFonts w:ascii="Verdana" w:hAnsi="Verdana" w:cs="Arial"/>
          <w:color w:val="000000" w:themeColor="text1"/>
          <w:lang w:val="es-ES"/>
        </w:rPr>
        <w:t>experiencia y sus diversas características, es pertinente ubicar dentro del Estatuto General de Contratación de la Administración Pública-EGCAP- su fundamento normativo, y es que a partir de lo señalado en el artículo 5 de la Ley 1150 de 2007</w:t>
      </w:r>
      <w:r w:rsidR="00303A0F" w:rsidRPr="00303A0F">
        <w:rPr>
          <w:rFonts w:ascii="Verdana" w:hAnsi="Verdana" w:cs="Arial"/>
          <w:color w:val="000000" w:themeColor="text1"/>
          <w:vertAlign w:val="superscript"/>
          <w:lang w:val="es-ES"/>
        </w:rPr>
        <w:footnoteReference w:id="2"/>
      </w:r>
      <w:r w:rsidR="00303A0F" w:rsidRPr="00303A0F">
        <w:rPr>
          <w:rFonts w:ascii="Verdana" w:hAnsi="Verdana" w:cs="Arial"/>
          <w:color w:val="000000" w:themeColor="text1"/>
          <w:lang w:val="es-ES"/>
        </w:rPr>
        <w:t xml:space="preserve">, dispone que la capacidad jurídica y las condiciones de experiencia, capacidad financiera y organización de los proponentes serán objeto de verificación por parte de las Entidades Estatales como requisitos habilitantes para participar en los procesos de selección. </w:t>
      </w:r>
    </w:p>
    <w:p w14:paraId="3C004888" w14:textId="77777777" w:rsidR="00303A0F" w:rsidRPr="00303A0F" w:rsidRDefault="00303A0F" w:rsidP="003B6D92">
      <w:pPr>
        <w:numPr>
          <w:ilvl w:val="0"/>
          <w:numId w:val="20"/>
        </w:numPr>
        <w:spacing w:before="120" w:line="276" w:lineRule="auto"/>
        <w:jc w:val="both"/>
        <w:rPr>
          <w:rFonts w:ascii="Verdana" w:hAnsi="Verdana" w:cs="Arial"/>
          <w:color w:val="000000" w:themeColor="text1"/>
        </w:rPr>
      </w:pPr>
      <w:r w:rsidRPr="00303A0F">
        <w:rPr>
          <w:rFonts w:ascii="Verdana" w:hAnsi="Verdana" w:cs="Arial"/>
          <w:color w:val="000000" w:themeColor="text1"/>
        </w:rPr>
        <w:t>La experiencia es aquella que se deriva de los contratos que el proponente ha celebrado y ejecutado con diferentes contratantes, sin importar la naturaleza de estos, se verifica con el Registro Único de Proponentes – RUP</w:t>
      </w:r>
      <w:r w:rsidRPr="00303A0F">
        <w:rPr>
          <w:rFonts w:ascii="Verdana" w:hAnsi="Verdana" w:cs="Arial"/>
          <w:color w:val="000000" w:themeColor="text1"/>
          <w:vertAlign w:val="superscript"/>
        </w:rPr>
        <w:footnoteReference w:id="3"/>
      </w:r>
      <w:r w:rsidRPr="00303A0F">
        <w:rPr>
          <w:rFonts w:ascii="Verdana" w:hAnsi="Verdana" w:cs="Arial"/>
          <w:color w:val="000000" w:themeColor="text1"/>
        </w:rPr>
        <w:t xml:space="preserve">, cuando este certificado sea exigible de acuerdo con lo establecido en el artículo 6 de la Ley 1150 de 2007. </w:t>
      </w:r>
    </w:p>
    <w:p w14:paraId="485EBDDC" w14:textId="5BDD55DB" w:rsidR="00F93ECF" w:rsidRPr="00F93ECF" w:rsidRDefault="00F93ECF" w:rsidP="00F93ECF">
      <w:pPr>
        <w:pStyle w:val="Prrafodelista"/>
        <w:numPr>
          <w:ilvl w:val="0"/>
          <w:numId w:val="20"/>
        </w:numPr>
        <w:shd w:val="clear" w:color="auto" w:fill="FFFFFF"/>
        <w:spacing w:before="120" w:after="120" w:line="276" w:lineRule="auto"/>
        <w:jc w:val="both"/>
        <w:textAlignment w:val="baseline"/>
        <w:rPr>
          <w:rFonts w:ascii="Verdana" w:eastAsia="Century Gothic" w:hAnsi="Verdana" w:cs="Century Gothic"/>
        </w:rPr>
      </w:pPr>
      <w:r>
        <w:rPr>
          <w:rFonts w:ascii="Verdana" w:eastAsia="Century Gothic" w:hAnsi="Verdana" w:cs="Century Gothic"/>
        </w:rPr>
        <w:t xml:space="preserve">Por su parte el </w:t>
      </w:r>
      <w:r w:rsidRPr="00F93ECF">
        <w:rPr>
          <w:rFonts w:ascii="Verdana" w:eastAsia="Century Gothic" w:hAnsi="Verdana" w:cs="Century Gothic"/>
        </w:rPr>
        <w:t>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w:t>
      </w:r>
      <w:r w:rsidR="00C061B6">
        <w:rPr>
          <w:rStyle w:val="Refdenotaalpie"/>
          <w:rFonts w:ascii="Verdana" w:eastAsia="Century Gothic" w:hAnsi="Verdana" w:cs="Century Gothic"/>
        </w:rPr>
        <w:footnoteReference w:id="4"/>
      </w:r>
      <w:r w:rsidRPr="00F93ECF">
        <w:rPr>
          <w:rFonts w:ascii="Verdana" w:eastAsia="Century Gothic" w:hAnsi="Verdana" w:cs="Century Gothic"/>
        </w:rPr>
        <w:t>, establece que “</w:t>
      </w:r>
      <w:proofErr w:type="spellStart"/>
      <w:r w:rsidRPr="00F93ECF">
        <w:rPr>
          <w:rFonts w:ascii="Verdana" w:eastAsia="Century Gothic" w:hAnsi="Verdana" w:cs="Century Gothic"/>
        </w:rPr>
        <w:t>The</w:t>
      </w:r>
      <w:proofErr w:type="spellEnd"/>
      <w:r w:rsidRPr="00F93ECF">
        <w:rPr>
          <w:rFonts w:ascii="Verdana" w:eastAsia="Century Gothic" w:hAnsi="Verdana" w:cs="Century Gothic"/>
        </w:rPr>
        <w:t xml:space="preserve"> </w:t>
      </w:r>
      <w:proofErr w:type="spellStart"/>
      <w:r w:rsidRPr="00F93ECF">
        <w:rPr>
          <w:rFonts w:ascii="Verdana" w:eastAsia="Century Gothic" w:hAnsi="Verdana" w:cs="Century Gothic"/>
        </w:rPr>
        <w:t>United</w:t>
      </w:r>
      <w:proofErr w:type="spellEnd"/>
      <w:r w:rsidRPr="00F93ECF">
        <w:rPr>
          <w:rFonts w:ascii="Verdana" w:eastAsia="Century Gothic" w:hAnsi="Verdana" w:cs="Century Gothic"/>
        </w:rPr>
        <w:t xml:space="preserve"> </w:t>
      </w:r>
      <w:proofErr w:type="spellStart"/>
      <w:r w:rsidRPr="00F93ECF">
        <w:rPr>
          <w:rFonts w:ascii="Verdana" w:eastAsia="Century Gothic" w:hAnsi="Verdana" w:cs="Century Gothic"/>
        </w:rPr>
        <w:t>Nations</w:t>
      </w:r>
      <w:proofErr w:type="spellEnd"/>
      <w:r w:rsidRPr="00F93ECF">
        <w:rPr>
          <w:rFonts w:ascii="Verdana" w:eastAsia="Century Gothic" w:hAnsi="Verdana" w:cs="Century Gothic"/>
        </w:rPr>
        <w:t xml:space="preserve"> Standard </w:t>
      </w:r>
      <w:proofErr w:type="spellStart"/>
      <w:r w:rsidRPr="00F93ECF">
        <w:rPr>
          <w:rFonts w:ascii="Verdana" w:eastAsia="Century Gothic" w:hAnsi="Verdana" w:cs="Century Gothic"/>
        </w:rPr>
        <w:t>Products</w:t>
      </w:r>
      <w:proofErr w:type="spellEnd"/>
      <w:r w:rsidRPr="00F93ECF">
        <w:rPr>
          <w:rFonts w:ascii="Verdana" w:eastAsia="Century Gothic" w:hAnsi="Verdana" w:cs="Century Gothic"/>
        </w:rPr>
        <w:t xml:space="preserve"> and </w:t>
      </w:r>
      <w:proofErr w:type="spellStart"/>
      <w:r w:rsidRPr="00F93ECF">
        <w:rPr>
          <w:rFonts w:ascii="Verdana" w:eastAsia="Century Gothic" w:hAnsi="Verdana" w:cs="Century Gothic"/>
        </w:rPr>
        <w:t>Services</w:t>
      </w:r>
      <w:proofErr w:type="spellEnd"/>
      <w:r w:rsidRPr="00F93ECF">
        <w:rPr>
          <w:rFonts w:ascii="Verdana" w:eastAsia="Century Gothic" w:hAnsi="Verdana" w:cs="Century Gothic"/>
        </w:rPr>
        <w:t xml:space="preserve"> </w:t>
      </w:r>
      <w:proofErr w:type="spellStart"/>
      <w:r w:rsidRPr="00F93ECF">
        <w:rPr>
          <w:rFonts w:ascii="Verdana" w:eastAsia="Century Gothic" w:hAnsi="Verdana" w:cs="Century Gothic"/>
        </w:rPr>
        <w:t>Code</w:t>
      </w:r>
      <w:proofErr w:type="spellEnd"/>
      <w:r w:rsidRPr="00F93ECF">
        <w:rPr>
          <w:rFonts w:ascii="Verdana" w:eastAsia="Century Gothic" w:hAnsi="Verdana" w:cs="Century Gothic"/>
        </w:rPr>
        <w:t>®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p>
    <w:p w14:paraId="6F3FA591" w14:textId="449050D9" w:rsidR="00303A0F" w:rsidRPr="00303A0F" w:rsidRDefault="00303A0F" w:rsidP="00D565F2">
      <w:pPr>
        <w:numPr>
          <w:ilvl w:val="0"/>
          <w:numId w:val="20"/>
        </w:numPr>
        <w:spacing w:before="120" w:line="276" w:lineRule="auto"/>
        <w:jc w:val="both"/>
        <w:rPr>
          <w:rFonts w:ascii="Verdana" w:hAnsi="Verdana" w:cs="Arial"/>
          <w:color w:val="000000" w:themeColor="text1"/>
        </w:rPr>
      </w:pPr>
      <w:r w:rsidRPr="00303A0F">
        <w:rPr>
          <w:rFonts w:ascii="Verdana" w:hAnsi="Verdana" w:cs="Arial"/>
          <w:color w:val="000000" w:themeColor="text1"/>
        </w:rPr>
        <w:t xml:space="preserve">Pues bien, la Agencia Nacional de Contratación Pública - Colombia Compra Eficiente puso a disposición de los interesados del sistema de compra </w:t>
      </w:r>
      <w:r w:rsidRPr="00303A0F">
        <w:rPr>
          <w:rFonts w:ascii="Verdana" w:hAnsi="Verdana" w:cs="Arial"/>
          <w:color w:val="000000" w:themeColor="text1"/>
        </w:rPr>
        <w:lastRenderedPageBreak/>
        <w:t>pública el “Manual para determinar y verificar requisitos habilitantes en los procesos de contratación”</w:t>
      </w:r>
      <w:r w:rsidRPr="00303A0F">
        <w:rPr>
          <w:rFonts w:ascii="Verdana" w:hAnsi="Verdana" w:cs="Arial"/>
          <w:color w:val="000000" w:themeColor="text1"/>
          <w:vertAlign w:val="superscript"/>
        </w:rPr>
        <w:footnoteReference w:id="5"/>
      </w:r>
      <w:r w:rsidRPr="00303A0F">
        <w:rPr>
          <w:rFonts w:ascii="Verdana" w:hAnsi="Verdana" w:cs="Arial"/>
          <w:color w:val="000000" w:themeColor="text1"/>
        </w:rPr>
        <w:t xml:space="preserve">, y en este de forma particular, se establecen una serie de características que deben ser observadas por parte de las entidades al establecer en sus invitaciones o pliego de condiciones los requerimientos o condiciones necesarias para poder llevar a cabo su verificación, como se detalla a continuación: </w:t>
      </w:r>
    </w:p>
    <w:p w14:paraId="0D09C152" w14:textId="77777777" w:rsidR="00303A0F" w:rsidRPr="00303A0F" w:rsidRDefault="00303A0F" w:rsidP="00D565F2">
      <w:pPr>
        <w:spacing w:before="120" w:line="276" w:lineRule="auto"/>
        <w:ind w:firstLine="708"/>
        <w:jc w:val="both"/>
        <w:rPr>
          <w:rFonts w:ascii="Verdana" w:hAnsi="Verdana" w:cs="Arial"/>
          <w:color w:val="000000" w:themeColor="text1"/>
        </w:rPr>
      </w:pPr>
      <w:r w:rsidRPr="00303A0F">
        <w:rPr>
          <w:rFonts w:ascii="Verdana" w:hAnsi="Verdana" w:cs="Arial"/>
          <w:color w:val="000000" w:themeColor="text1"/>
        </w:rPr>
        <w:t xml:space="preserve">(…) </w:t>
      </w:r>
    </w:p>
    <w:p w14:paraId="4A4A1279" w14:textId="69D31D96" w:rsidR="00303A0F" w:rsidRPr="00303A0F" w:rsidRDefault="00303A0F" w:rsidP="000D01C5">
      <w:pPr>
        <w:spacing w:before="120" w:line="276" w:lineRule="auto"/>
        <w:ind w:left="720"/>
        <w:jc w:val="both"/>
        <w:rPr>
          <w:rFonts w:ascii="Verdana" w:hAnsi="Verdana" w:cs="Arial"/>
          <w:color w:val="000000" w:themeColor="text1"/>
        </w:rPr>
      </w:pPr>
      <w:r w:rsidRPr="000D01C5">
        <w:rPr>
          <w:rFonts w:ascii="Verdana" w:hAnsi="Verdana" w:cs="Arial"/>
          <w:color w:val="000000" w:themeColor="text1"/>
          <w:sz w:val="20"/>
          <w:szCs w:val="20"/>
        </w:rPr>
        <w:t>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Pr="00303A0F">
        <w:rPr>
          <w:rFonts w:ascii="Verdana" w:hAnsi="Verdana" w:cs="Arial"/>
          <w:color w:val="000000" w:themeColor="text1"/>
        </w:rPr>
        <w:t xml:space="preserve">. </w:t>
      </w:r>
      <w:r w:rsidR="000D01C5">
        <w:rPr>
          <w:rFonts w:ascii="Verdana" w:hAnsi="Verdana" w:cs="Arial"/>
          <w:color w:val="000000" w:themeColor="text1"/>
        </w:rPr>
        <w:t>“</w:t>
      </w:r>
    </w:p>
    <w:p w14:paraId="16B381D4" w14:textId="56360672" w:rsidR="00303A0F" w:rsidRPr="00303A0F" w:rsidRDefault="000D01C5" w:rsidP="000D01C5">
      <w:pPr>
        <w:spacing w:before="120" w:line="276" w:lineRule="auto"/>
        <w:ind w:firstLine="708"/>
        <w:jc w:val="both"/>
        <w:rPr>
          <w:rFonts w:ascii="Verdana" w:hAnsi="Verdana" w:cs="Arial"/>
          <w:color w:val="000000" w:themeColor="text1"/>
        </w:rPr>
      </w:pPr>
      <w:r w:rsidRPr="00303A0F">
        <w:rPr>
          <w:rFonts w:ascii="Verdana" w:hAnsi="Verdana" w:cs="Arial"/>
          <w:color w:val="000000" w:themeColor="text1"/>
        </w:rPr>
        <w:t>(…)</w:t>
      </w:r>
    </w:p>
    <w:p w14:paraId="6121E6CF" w14:textId="6889A857" w:rsidR="00303A0F" w:rsidRPr="00F93ECF" w:rsidRDefault="00303A0F" w:rsidP="00F93ECF">
      <w:pPr>
        <w:pStyle w:val="Prrafodelista"/>
        <w:numPr>
          <w:ilvl w:val="0"/>
          <w:numId w:val="22"/>
        </w:numPr>
        <w:spacing w:before="120" w:line="276" w:lineRule="auto"/>
        <w:jc w:val="both"/>
        <w:rPr>
          <w:rFonts w:ascii="Verdana" w:hAnsi="Verdana" w:cs="Arial"/>
          <w:color w:val="000000" w:themeColor="text1"/>
        </w:rPr>
      </w:pPr>
      <w:r w:rsidRPr="00F93ECF">
        <w:rPr>
          <w:rFonts w:ascii="Verdana" w:hAnsi="Verdana" w:cs="Arial"/>
          <w:color w:val="000000" w:themeColor="text1"/>
        </w:rPr>
        <w:t xml:space="preserve">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w:t>
      </w:r>
    </w:p>
    <w:p w14:paraId="6CA07354" w14:textId="77777777" w:rsidR="00303A0F" w:rsidRPr="00303A0F" w:rsidRDefault="00303A0F" w:rsidP="00303A0F">
      <w:pPr>
        <w:spacing w:before="120" w:line="276" w:lineRule="auto"/>
        <w:jc w:val="both"/>
        <w:rPr>
          <w:rFonts w:ascii="Verdana" w:hAnsi="Verdana" w:cs="Arial"/>
          <w:color w:val="000000" w:themeColor="text1"/>
        </w:rPr>
      </w:pPr>
      <w:r w:rsidRPr="00303A0F">
        <w:rPr>
          <w:rFonts w:ascii="Verdana" w:hAnsi="Verdana" w:cs="Arial"/>
          <w:color w:val="000000" w:themeColor="text1"/>
        </w:rPr>
        <w:t>Continua la Guía indicando:</w:t>
      </w:r>
    </w:p>
    <w:p w14:paraId="58C44CFE" w14:textId="6CFF62CB" w:rsidR="00660F36" w:rsidRDefault="00660F36" w:rsidP="00660F36">
      <w:pPr>
        <w:spacing w:before="120" w:line="240" w:lineRule="auto"/>
        <w:ind w:left="567" w:right="900"/>
        <w:jc w:val="both"/>
        <w:rPr>
          <w:rFonts w:ascii="Verdana" w:hAnsi="Verdana" w:cs="Arial"/>
          <w:color w:val="000000" w:themeColor="text1"/>
          <w:sz w:val="20"/>
          <w:szCs w:val="20"/>
        </w:rPr>
      </w:pPr>
      <w:r>
        <w:rPr>
          <w:rFonts w:ascii="Verdana" w:hAnsi="Verdana" w:cs="Arial"/>
          <w:color w:val="000000" w:themeColor="text1"/>
          <w:sz w:val="20"/>
          <w:szCs w:val="20"/>
        </w:rPr>
        <w:t>(…)</w:t>
      </w:r>
    </w:p>
    <w:p w14:paraId="4BDB4AB1" w14:textId="017AA2CD" w:rsidR="00303A0F" w:rsidRPr="00660F36" w:rsidRDefault="00303A0F" w:rsidP="00660F36">
      <w:pPr>
        <w:spacing w:before="120" w:line="240" w:lineRule="auto"/>
        <w:ind w:left="567" w:right="900"/>
        <w:jc w:val="both"/>
        <w:rPr>
          <w:rFonts w:ascii="Verdana" w:hAnsi="Verdana" w:cs="Arial"/>
          <w:color w:val="000000" w:themeColor="text1"/>
          <w:sz w:val="20"/>
          <w:szCs w:val="20"/>
        </w:rPr>
      </w:pPr>
      <w:r w:rsidRPr="00660F36">
        <w:rPr>
          <w:rFonts w:ascii="Verdana" w:hAnsi="Verdana" w:cs="Arial"/>
          <w:color w:val="000000" w:themeColor="text1"/>
          <w:sz w:val="20"/>
          <w:szCs w:val="20"/>
        </w:rPr>
        <w:t xml:space="preserve">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w:t>
      </w:r>
      <w:r w:rsidRPr="00660F36">
        <w:rPr>
          <w:rFonts w:ascii="Verdana" w:hAnsi="Verdana" w:cs="Arial"/>
          <w:color w:val="000000" w:themeColor="text1"/>
          <w:sz w:val="20"/>
          <w:szCs w:val="20"/>
        </w:rPr>
        <w:lastRenderedPageBreak/>
        <w:t>voluntades respectivo en SMMLV. Lo anterior, en la medida que la experiencia no se agota con el paso del tiempo y, por el contrario, ello supone que los proponentes adquieren mayor experiencia siempre que continúen con el desarrollo de sus actividades.</w:t>
      </w:r>
    </w:p>
    <w:p w14:paraId="337AF3E9" w14:textId="77777777" w:rsidR="00660F36" w:rsidRDefault="00660F36" w:rsidP="00660F36">
      <w:pPr>
        <w:spacing w:before="120" w:line="240" w:lineRule="auto"/>
        <w:ind w:left="567" w:right="900"/>
        <w:jc w:val="both"/>
        <w:rPr>
          <w:rFonts w:ascii="Verdana" w:hAnsi="Verdana" w:cs="Arial"/>
          <w:color w:val="000000" w:themeColor="text1"/>
          <w:sz w:val="20"/>
          <w:szCs w:val="20"/>
        </w:rPr>
      </w:pPr>
      <w:r>
        <w:rPr>
          <w:rFonts w:ascii="Verdana" w:hAnsi="Verdana" w:cs="Arial"/>
          <w:color w:val="000000" w:themeColor="text1"/>
          <w:sz w:val="20"/>
          <w:szCs w:val="20"/>
        </w:rPr>
        <w:t>(…)</w:t>
      </w:r>
    </w:p>
    <w:p w14:paraId="26E4678F" w14:textId="77777777" w:rsidR="008109FA" w:rsidRPr="00451657" w:rsidRDefault="00303A0F" w:rsidP="008109FA">
      <w:pPr>
        <w:pStyle w:val="Prrafodelista"/>
        <w:widowControl w:val="0"/>
        <w:numPr>
          <w:ilvl w:val="0"/>
          <w:numId w:val="21"/>
        </w:numPr>
        <w:autoSpaceDE w:val="0"/>
        <w:autoSpaceDN w:val="0"/>
        <w:spacing w:after="0" w:line="276" w:lineRule="auto"/>
        <w:ind w:right="104"/>
        <w:jc w:val="both"/>
        <w:rPr>
          <w:rFonts w:ascii="Verdana" w:eastAsia="Arial" w:hAnsi="Verdana" w:cs="Arial"/>
          <w:color w:val="000000" w:themeColor="text1"/>
          <w:lang w:val="es-ES_tradnl"/>
        </w:rPr>
      </w:pPr>
      <w:r w:rsidRPr="00303A0F">
        <w:rPr>
          <w:rFonts w:ascii="Verdana" w:hAnsi="Verdana" w:cs="Arial"/>
          <w:color w:val="000000" w:themeColor="text1"/>
        </w:rPr>
        <w:t xml:space="preserve"> </w:t>
      </w:r>
      <w:r w:rsidR="008109FA" w:rsidRPr="00451657">
        <w:rPr>
          <w:rFonts w:ascii="Verdana" w:eastAsia="Times New Roman" w:hAnsi="Verdana" w:cs="Arial"/>
          <w:bdr w:val="none" w:sz="0" w:space="0" w:color="auto" w:frame="1"/>
          <w:lang w:val="es-ES_tradnl"/>
        </w:rPr>
        <w:t xml:space="preserve">Es preciso tener en cuenta que </w:t>
      </w:r>
      <w:r w:rsidR="008109FA" w:rsidRPr="00451657">
        <w:rPr>
          <w:rFonts w:ascii="Verdana" w:eastAsia="Arial" w:hAnsi="Verdana" w:cs="Arial"/>
          <w:color w:val="000000" w:themeColor="text1"/>
          <w:lang w:val="es-ES_tradnl"/>
        </w:rPr>
        <w:t xml:space="preserve">la Circular Externa Única proferida por la Agencia Nacional de Contratación Pública – Colombia Compra Eficiente, donde se incorporaron directrices relacionadas con el RUP y particularmente sobre el </w:t>
      </w:r>
      <w:r w:rsidR="008109FA" w:rsidRPr="00451657">
        <w:rPr>
          <w:rFonts w:ascii="Verdana" w:eastAsia="Calibri" w:hAnsi="Verdana" w:cs="Arial"/>
          <w:color w:val="000000" w:themeColor="text1"/>
          <w:lang w:val="es-ES_tradnl"/>
        </w:rPr>
        <w:t>“</w:t>
      </w:r>
      <w:r w:rsidR="008109FA" w:rsidRPr="00451657">
        <w:rPr>
          <w:rFonts w:ascii="Verdana" w:eastAsia="Arial" w:hAnsi="Verdana" w:cs="Arial"/>
          <w:color w:val="000000" w:themeColor="text1"/>
          <w:lang w:val="es-ES_tradnl"/>
        </w:rPr>
        <w:t>uso del Clasificador de Bienes y Servicios en el Registro Único de Proponentes</w:t>
      </w:r>
      <w:r w:rsidR="008109FA" w:rsidRPr="00451657">
        <w:rPr>
          <w:rFonts w:ascii="Verdana" w:eastAsia="Calibri" w:hAnsi="Verdana" w:cs="Arial"/>
          <w:color w:val="000000" w:themeColor="text1"/>
          <w:lang w:val="es-ES_tradnl"/>
        </w:rPr>
        <w:t>”</w:t>
      </w:r>
      <w:r w:rsidR="008109FA" w:rsidRPr="00451657">
        <w:rPr>
          <w:rFonts w:ascii="Verdana" w:eastAsia="Arial" w:hAnsi="Verdana" w:cs="Arial"/>
          <w:color w:val="000000" w:themeColor="text1"/>
          <w:lang w:val="es-ES_tradnl"/>
        </w:rPr>
        <w:t xml:space="preserve">, donde se estableció lo siguiente: </w:t>
      </w:r>
    </w:p>
    <w:p w14:paraId="2365AA66" w14:textId="77777777" w:rsidR="008109FA" w:rsidRDefault="008109FA" w:rsidP="002E4DE6">
      <w:pPr>
        <w:widowControl w:val="0"/>
        <w:autoSpaceDE w:val="0"/>
        <w:autoSpaceDN w:val="0"/>
        <w:spacing w:after="0" w:line="276" w:lineRule="auto"/>
        <w:ind w:left="567" w:right="104"/>
        <w:jc w:val="both"/>
        <w:rPr>
          <w:rFonts w:ascii="Verdana" w:eastAsia="Arial" w:hAnsi="Verdana" w:cs="Arial"/>
          <w:color w:val="000000" w:themeColor="text1"/>
          <w:lang w:val="es-ES_tradnl"/>
        </w:rPr>
      </w:pPr>
    </w:p>
    <w:p w14:paraId="7DB549E8" w14:textId="2F674B6A" w:rsidR="002E4DE6" w:rsidRPr="00451657" w:rsidRDefault="002E4DE6" w:rsidP="002E4DE6">
      <w:pPr>
        <w:widowControl w:val="0"/>
        <w:autoSpaceDE w:val="0"/>
        <w:autoSpaceDN w:val="0"/>
        <w:spacing w:after="0" w:line="276" w:lineRule="auto"/>
        <w:ind w:left="567" w:right="104"/>
        <w:jc w:val="both"/>
        <w:rPr>
          <w:rFonts w:ascii="Verdana" w:eastAsia="Arial" w:hAnsi="Verdana" w:cs="Arial"/>
          <w:color w:val="000000" w:themeColor="text1"/>
          <w:lang w:val="es-ES_tradnl"/>
        </w:rPr>
      </w:pPr>
      <w:r>
        <w:rPr>
          <w:rFonts w:ascii="Verdana" w:eastAsia="Arial" w:hAnsi="Verdana" w:cs="Arial"/>
          <w:color w:val="000000" w:themeColor="text1"/>
          <w:lang w:val="es-ES_tradnl"/>
        </w:rPr>
        <w:t>(…)</w:t>
      </w:r>
    </w:p>
    <w:p w14:paraId="0E46CF8B" w14:textId="77777777" w:rsidR="008109FA" w:rsidRPr="000F15BC" w:rsidRDefault="008109FA" w:rsidP="00F93ECF">
      <w:pPr>
        <w:pStyle w:val="Prrafodelista"/>
        <w:widowControl w:val="0"/>
        <w:tabs>
          <w:tab w:val="left" w:pos="7938"/>
        </w:tabs>
        <w:autoSpaceDE w:val="0"/>
        <w:autoSpaceDN w:val="0"/>
        <w:spacing w:after="0" w:line="240" w:lineRule="auto"/>
        <w:ind w:left="567" w:right="900"/>
        <w:jc w:val="both"/>
        <w:rPr>
          <w:rFonts w:ascii="Verdana" w:eastAsia="Arial" w:hAnsi="Verdana" w:cs="Arial"/>
          <w:sz w:val="20"/>
          <w:szCs w:val="20"/>
          <w:lang w:val="es-ES_tradnl"/>
        </w:rPr>
      </w:pPr>
      <w:r w:rsidRPr="000F15BC">
        <w:rPr>
          <w:rFonts w:ascii="Verdana" w:eastAsia="Arial" w:hAnsi="Verdana" w:cs="Arial"/>
          <w:sz w:val="20"/>
          <w:szCs w:val="20"/>
          <w:lang w:val="es-ES_tradnl"/>
        </w:rPr>
        <w:t xml:space="preserve">Deben tenerse en cuenta las siguientes directrices sobre el uso del Clasificador de Bienes y Servicios en el Registro Único de Proponentes: </w:t>
      </w:r>
    </w:p>
    <w:p w14:paraId="4D94BBB8" w14:textId="77777777" w:rsidR="008109FA" w:rsidRPr="000F15BC" w:rsidRDefault="008109FA" w:rsidP="00F93ECF">
      <w:pPr>
        <w:widowControl w:val="0"/>
        <w:tabs>
          <w:tab w:val="left" w:pos="7938"/>
        </w:tabs>
        <w:autoSpaceDE w:val="0"/>
        <w:autoSpaceDN w:val="0"/>
        <w:spacing w:after="0" w:line="240" w:lineRule="auto"/>
        <w:ind w:left="567" w:right="900"/>
        <w:jc w:val="both"/>
        <w:rPr>
          <w:rFonts w:ascii="Verdana" w:eastAsia="Arial" w:hAnsi="Verdana" w:cs="Arial"/>
          <w:sz w:val="20"/>
          <w:szCs w:val="20"/>
          <w:lang w:val="es-ES_tradnl"/>
        </w:rPr>
      </w:pPr>
    </w:p>
    <w:p w14:paraId="5DF272D6" w14:textId="77777777" w:rsidR="008109FA" w:rsidRPr="000F15BC" w:rsidRDefault="008109FA" w:rsidP="00F93ECF">
      <w:pPr>
        <w:pStyle w:val="Prrafodelista"/>
        <w:widowControl w:val="0"/>
        <w:tabs>
          <w:tab w:val="left" w:pos="7938"/>
        </w:tabs>
        <w:autoSpaceDE w:val="0"/>
        <w:autoSpaceDN w:val="0"/>
        <w:spacing w:after="0" w:line="240" w:lineRule="auto"/>
        <w:ind w:left="567" w:right="900"/>
        <w:jc w:val="both"/>
        <w:rPr>
          <w:rFonts w:ascii="Verdana" w:eastAsia="Arial" w:hAnsi="Verdana" w:cs="Arial"/>
          <w:sz w:val="20"/>
          <w:szCs w:val="20"/>
          <w:lang w:val="es-ES_tradnl"/>
        </w:rPr>
      </w:pPr>
      <w:r w:rsidRPr="000F15BC">
        <w:rPr>
          <w:rFonts w:ascii="Verdana" w:eastAsia="Arial" w:hAnsi="Verdana" w:cs="Arial"/>
          <w:sz w:val="20"/>
          <w:szCs w:val="20"/>
          <w:lang w:val="es-ES_tradnl"/>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392C5249" w14:textId="77777777" w:rsidR="008109FA" w:rsidRPr="000F15BC" w:rsidRDefault="008109FA" w:rsidP="00F93ECF">
      <w:pPr>
        <w:widowControl w:val="0"/>
        <w:tabs>
          <w:tab w:val="left" w:pos="7938"/>
        </w:tabs>
        <w:autoSpaceDE w:val="0"/>
        <w:autoSpaceDN w:val="0"/>
        <w:spacing w:after="0" w:line="240" w:lineRule="auto"/>
        <w:ind w:left="567" w:right="900"/>
        <w:jc w:val="both"/>
        <w:rPr>
          <w:rFonts w:ascii="Verdana" w:eastAsia="Arial" w:hAnsi="Verdana" w:cs="Arial"/>
          <w:sz w:val="20"/>
          <w:szCs w:val="20"/>
          <w:lang w:val="es-ES_tradnl"/>
        </w:rPr>
      </w:pPr>
    </w:p>
    <w:p w14:paraId="745D8C7D" w14:textId="77777777" w:rsidR="008109FA" w:rsidRPr="000F15BC" w:rsidRDefault="008109FA" w:rsidP="00F93ECF">
      <w:pPr>
        <w:pStyle w:val="Prrafodelista"/>
        <w:widowControl w:val="0"/>
        <w:tabs>
          <w:tab w:val="left" w:pos="7938"/>
        </w:tabs>
        <w:autoSpaceDE w:val="0"/>
        <w:autoSpaceDN w:val="0"/>
        <w:spacing w:after="0" w:line="240" w:lineRule="auto"/>
        <w:ind w:left="567" w:right="900"/>
        <w:jc w:val="both"/>
        <w:rPr>
          <w:rFonts w:ascii="Verdana" w:eastAsia="Times New Roman" w:hAnsi="Verdana" w:cs="Arial"/>
          <w:sz w:val="20"/>
          <w:szCs w:val="20"/>
          <w:lang w:val="es-ES_tradnl"/>
        </w:rPr>
      </w:pPr>
      <w:r w:rsidRPr="000F15BC">
        <w:rPr>
          <w:rFonts w:ascii="Verdana" w:eastAsia="Arial" w:hAnsi="Verdana" w:cs="Arial"/>
          <w:sz w:val="20"/>
          <w:szCs w:val="20"/>
          <w:lang w:val="es-ES_tradnl"/>
        </w:rPr>
        <w:t>La clasificación del proponente no es un requisito habilitante sino un mecanismo para establecer un lenguaje común entre los partícipes del Sistema de Compra Pública. En consecuencia, las Entidades Estatales no pueden excluir a un proponente que ha acreditado los requisitos habilitantes exigidos en un Proceso de Contratación por no estar inscrito en el RUP con el código de los bienes, obras o servicios del objeto de tal Proceso de Contratación</w:t>
      </w:r>
      <w:r w:rsidRPr="000F15BC">
        <w:rPr>
          <w:rFonts w:ascii="Verdana" w:hAnsi="Verdana"/>
          <w:sz w:val="20"/>
          <w:szCs w:val="20"/>
          <w:vertAlign w:val="superscript"/>
        </w:rPr>
        <w:footnoteReference w:id="6"/>
      </w:r>
      <w:r w:rsidRPr="000F15BC">
        <w:rPr>
          <w:rFonts w:ascii="Verdana" w:eastAsia="Arial" w:hAnsi="Verdana" w:cs="Arial"/>
          <w:sz w:val="20"/>
          <w:szCs w:val="20"/>
          <w:lang w:val="es-ES_tradnl"/>
        </w:rPr>
        <w:t>.</w:t>
      </w:r>
      <w:r w:rsidRPr="000F15BC" w:rsidDel="002C2C4A">
        <w:rPr>
          <w:rFonts w:ascii="Verdana" w:eastAsia="Times New Roman" w:hAnsi="Verdana" w:cs="Arial"/>
          <w:sz w:val="20"/>
          <w:szCs w:val="20"/>
          <w:lang w:val="es-ES_tradnl"/>
        </w:rPr>
        <w:t xml:space="preserve"> </w:t>
      </w:r>
    </w:p>
    <w:p w14:paraId="43E38CAC" w14:textId="77777777" w:rsidR="008109FA" w:rsidRPr="00451657" w:rsidRDefault="008109FA" w:rsidP="008109FA">
      <w:pPr>
        <w:widowControl w:val="0"/>
        <w:autoSpaceDE w:val="0"/>
        <w:autoSpaceDN w:val="0"/>
        <w:spacing w:after="0" w:line="276" w:lineRule="auto"/>
        <w:ind w:left="360" w:right="104"/>
        <w:jc w:val="both"/>
        <w:rPr>
          <w:rFonts w:ascii="Verdana" w:eastAsia="Times New Roman" w:hAnsi="Verdana" w:cs="Arial"/>
          <w:lang w:val="es-ES_tradnl"/>
        </w:rPr>
      </w:pPr>
    </w:p>
    <w:p w14:paraId="0B9886AB" w14:textId="77777777" w:rsidR="008109FA" w:rsidRDefault="008109FA" w:rsidP="008109FA">
      <w:pPr>
        <w:pStyle w:val="Prrafodelista"/>
        <w:numPr>
          <w:ilvl w:val="0"/>
          <w:numId w:val="21"/>
        </w:numPr>
        <w:spacing w:after="120" w:line="276" w:lineRule="auto"/>
        <w:jc w:val="both"/>
        <w:rPr>
          <w:rFonts w:ascii="Verdana" w:eastAsia="Times New Roman" w:hAnsi="Verdana" w:cs="Arial"/>
          <w:color w:val="000000" w:themeColor="text1"/>
          <w:lang w:val="es-ES_tradnl" w:eastAsia="es-MX"/>
        </w:rPr>
      </w:pPr>
      <w:r w:rsidRPr="00451657">
        <w:rPr>
          <w:rFonts w:ascii="Verdana" w:eastAsia="Times New Roman" w:hAnsi="Verdana" w:cs="Arial"/>
          <w:color w:val="000000" w:themeColor="text1"/>
          <w:lang w:val="es-ES_tradnl" w:eastAsia="es-MX"/>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7572FBF9" w14:textId="77777777" w:rsidR="008109FA" w:rsidRPr="001C505F" w:rsidRDefault="008109FA" w:rsidP="008109FA">
      <w:pPr>
        <w:pStyle w:val="Prrafodelista"/>
        <w:rPr>
          <w:rFonts w:ascii="Verdana" w:eastAsia="Times New Roman" w:hAnsi="Verdana" w:cs="Arial"/>
          <w:color w:val="000000" w:themeColor="text1"/>
          <w:lang w:val="es-ES_tradnl" w:eastAsia="es-MX"/>
        </w:rPr>
      </w:pPr>
    </w:p>
    <w:p w14:paraId="573985F4" w14:textId="77777777" w:rsidR="008109FA" w:rsidRPr="00451657" w:rsidRDefault="008109FA" w:rsidP="008109FA">
      <w:pPr>
        <w:pStyle w:val="Prrafodelista"/>
        <w:numPr>
          <w:ilvl w:val="0"/>
          <w:numId w:val="21"/>
        </w:numPr>
        <w:spacing w:after="0" w:line="276" w:lineRule="auto"/>
        <w:jc w:val="both"/>
        <w:rPr>
          <w:rFonts w:ascii="Verdana" w:eastAsia="Times New Roman" w:hAnsi="Verdana" w:cs="Arial"/>
          <w:color w:val="000000" w:themeColor="text1"/>
          <w:lang w:eastAsia="es-MX"/>
        </w:rPr>
      </w:pPr>
      <w:r w:rsidRPr="32AE47B7">
        <w:rPr>
          <w:rFonts w:ascii="Verdana" w:eastAsia="Times New Roman" w:hAnsi="Verdana" w:cs="Arial"/>
          <w:color w:val="000000" w:themeColor="text1"/>
          <w:lang w:eastAsia="es-MX"/>
        </w:rPr>
        <w:lastRenderedPageBreak/>
        <w:t>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valedera la experiencia inscrita por el proponente en el RUP, que sea de contratos ejecutados que coincidan con algún código del Clasificador del Bienes y Servicios, en particular, en el tercer nivel del clasificador. Esto se desprende del artículo 2.2.1.1.1.5.3. del Decreto 1082 de 2015, donde se señalan los requisitos habilitantes contenidos en el RUP, estableciendo frente a la experiencia lo siguiente:</w:t>
      </w:r>
    </w:p>
    <w:p w14:paraId="54D4BD47" w14:textId="77777777" w:rsidR="008109FA" w:rsidRPr="00451657" w:rsidRDefault="008109FA" w:rsidP="008109FA">
      <w:pPr>
        <w:pStyle w:val="Prrafodelista"/>
        <w:spacing w:after="0" w:line="276" w:lineRule="auto"/>
        <w:ind w:right="709"/>
        <w:jc w:val="both"/>
        <w:rPr>
          <w:rFonts w:ascii="Verdana" w:eastAsia="Times New Roman" w:hAnsi="Verdana" w:cs="Arial"/>
          <w:color w:val="000000" w:themeColor="text1"/>
          <w:lang w:val="es-ES_tradnl" w:eastAsia="es-MX"/>
        </w:rPr>
      </w:pPr>
    </w:p>
    <w:p w14:paraId="006E2C41" w14:textId="77777777" w:rsidR="008109FA" w:rsidRPr="001C505F" w:rsidRDefault="008109FA"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Artículo 2.2.1.1.1.5.3. Requisitos habilitantes contenidos en el RUP. Las cámaras de comercio, con base en la información a la que hace referencia el artículo anterior, deben verificar y certificar los siguientes requisitos habilitantes:</w:t>
      </w:r>
    </w:p>
    <w:p w14:paraId="1DA47CD4" w14:textId="77777777" w:rsidR="008109FA" w:rsidRPr="001C505F" w:rsidRDefault="008109FA"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w:t>
      </w:r>
    </w:p>
    <w:p w14:paraId="4A5581DF" w14:textId="77777777" w:rsidR="008109FA" w:rsidRPr="001C505F" w:rsidRDefault="008109FA"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 xml:space="preserve">1.    Experiencia – Los contratos celebrados por el interesado para cada uno de los bienes, obras y servicios que ofrecerá a las Entidades Estatales, </w:t>
      </w:r>
      <w:r w:rsidRPr="001C505F">
        <w:rPr>
          <w:rFonts w:ascii="Verdana" w:eastAsia="Times New Roman" w:hAnsi="Verdana" w:cs="Arial"/>
          <w:i/>
          <w:iCs/>
          <w:color w:val="000000" w:themeColor="text1"/>
          <w:sz w:val="20"/>
          <w:szCs w:val="20"/>
          <w:lang w:val="es-ES_tradnl" w:eastAsia="es-MX"/>
        </w:rPr>
        <w:t xml:space="preserve">identificados con el Clasificador de Bienes y Servicios en el tercer nivel </w:t>
      </w:r>
      <w:r w:rsidRPr="001C505F">
        <w:rPr>
          <w:rFonts w:ascii="Verdana" w:eastAsia="Times New Roman" w:hAnsi="Verdana" w:cs="Arial"/>
          <w:color w:val="000000" w:themeColor="text1"/>
          <w:sz w:val="20"/>
          <w:szCs w:val="20"/>
          <w:lang w:val="es-ES_tradnl" w:eastAsia="es-MX"/>
        </w:rPr>
        <w:t>y su valor expresado en SMMLV.</w:t>
      </w:r>
    </w:p>
    <w:p w14:paraId="4D641779" w14:textId="77777777" w:rsidR="008109FA" w:rsidRPr="001C505F" w:rsidRDefault="008109FA"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p>
    <w:p w14:paraId="13E55BD2" w14:textId="77777777" w:rsidR="008109FA" w:rsidRPr="001C505F" w:rsidRDefault="008109FA"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r w:rsidRPr="001C505F">
        <w:rPr>
          <w:rFonts w:ascii="Verdana" w:eastAsia="Times New Roman" w:hAnsi="Verdana" w:cs="Arial"/>
          <w:color w:val="000000" w:themeColor="text1"/>
          <w:sz w:val="20"/>
          <w:szCs w:val="20"/>
          <w:lang w:val="es-ES_tradnl" w:eastAsia="es-MX"/>
        </w:rPr>
        <w:t xml:space="preserve">Los contratos celebrados por consorcios, uniones temporales y sociedades en las cuales el interesado tenga o haya tenido participación, para cada uno de los bienes, obras y servicios que ofrecerá a las Entidades Estatales, </w:t>
      </w:r>
      <w:r w:rsidRPr="001C505F">
        <w:rPr>
          <w:rFonts w:ascii="Verdana" w:eastAsia="Times New Roman" w:hAnsi="Verdana" w:cs="Arial"/>
          <w:i/>
          <w:iCs/>
          <w:color w:val="000000" w:themeColor="text1"/>
          <w:sz w:val="20"/>
          <w:szCs w:val="20"/>
          <w:lang w:val="es-ES_tradnl" w:eastAsia="es-MX"/>
        </w:rPr>
        <w:t>identificados con el Clasificador de Bienes y Servicios en el tercer nivel</w:t>
      </w:r>
      <w:r w:rsidRPr="001C505F">
        <w:rPr>
          <w:rFonts w:ascii="Verdana" w:eastAsia="Times New Roman" w:hAnsi="Verdana" w:cs="Arial"/>
          <w:color w:val="000000" w:themeColor="text1"/>
          <w:sz w:val="20"/>
          <w:szCs w:val="20"/>
          <w:lang w:val="es-ES_tradnl" w:eastAsia="es-MX"/>
        </w:rPr>
        <w:t xml:space="preserve"> y su valor expresado en SMMLV. (Cursiva fuera de texto)</w:t>
      </w:r>
    </w:p>
    <w:p w14:paraId="6100391D" w14:textId="77777777" w:rsidR="008109FA" w:rsidRPr="00451657" w:rsidRDefault="008109FA" w:rsidP="008109FA">
      <w:pPr>
        <w:spacing w:after="0" w:line="276" w:lineRule="auto"/>
        <w:ind w:left="360" w:right="709"/>
        <w:jc w:val="both"/>
        <w:rPr>
          <w:rFonts w:ascii="Verdana" w:eastAsia="Times New Roman" w:hAnsi="Verdana" w:cs="Arial"/>
          <w:color w:val="000000" w:themeColor="text1"/>
          <w:lang w:val="es-ES_tradnl" w:eastAsia="es-MX"/>
        </w:rPr>
      </w:pPr>
    </w:p>
    <w:p w14:paraId="609C05B8" w14:textId="77777777" w:rsidR="008109FA" w:rsidRPr="00451657" w:rsidRDefault="008109FA" w:rsidP="008109FA">
      <w:pPr>
        <w:pStyle w:val="Prrafodelista"/>
        <w:numPr>
          <w:ilvl w:val="0"/>
          <w:numId w:val="21"/>
        </w:numPr>
        <w:spacing w:after="0" w:line="276" w:lineRule="auto"/>
        <w:jc w:val="both"/>
        <w:rPr>
          <w:rFonts w:ascii="Verdana" w:eastAsia="Times New Roman" w:hAnsi="Verdana" w:cs="Arial"/>
          <w:color w:val="000000" w:themeColor="text1"/>
          <w:lang w:val="es-ES_tradnl" w:eastAsia="es-MX"/>
        </w:rPr>
      </w:pPr>
      <w:r w:rsidRPr="00451657">
        <w:rPr>
          <w:rFonts w:ascii="Verdana" w:eastAsia="Times New Roman" w:hAnsi="Verdana" w:cs="Arial"/>
          <w:color w:val="000000" w:themeColor="text1"/>
          <w:lang w:val="es-ES_tradnl" w:eastAsia="es-MX"/>
        </w:rPr>
        <w:t>En armonía con lo anterior, la Circular Externa Única a que se hizo referencia previamente, en relación con el uso del Clasificador de Bienes y Servicios para efectos de acreditar la experiencia en los procedimientos de selección, estableció, en contraste con la “clasificación del proponente”, que:</w:t>
      </w:r>
    </w:p>
    <w:p w14:paraId="5C944B2B" w14:textId="77777777" w:rsidR="008109FA" w:rsidRPr="00451657" w:rsidRDefault="008109FA" w:rsidP="008109FA">
      <w:pPr>
        <w:pStyle w:val="Prrafodelista"/>
        <w:spacing w:after="0" w:line="276" w:lineRule="auto"/>
        <w:ind w:right="709"/>
        <w:jc w:val="both"/>
        <w:rPr>
          <w:rFonts w:ascii="Verdana" w:eastAsia="Times New Roman" w:hAnsi="Verdana" w:cs="Arial"/>
          <w:color w:val="000000" w:themeColor="text1"/>
          <w:lang w:val="es-ES_tradnl" w:eastAsia="es-MX"/>
        </w:rPr>
      </w:pPr>
    </w:p>
    <w:p w14:paraId="40149CF8" w14:textId="031F34B5" w:rsidR="008109FA" w:rsidRPr="000F15BC" w:rsidRDefault="00C07731" w:rsidP="00E35C9E">
      <w:pPr>
        <w:pStyle w:val="Prrafodelista"/>
        <w:spacing w:after="0" w:line="240" w:lineRule="auto"/>
        <w:ind w:left="851" w:right="900"/>
        <w:jc w:val="both"/>
        <w:rPr>
          <w:rFonts w:ascii="Verdana" w:eastAsia="Times New Roman" w:hAnsi="Verdana" w:cs="Arial"/>
          <w:color w:val="000000" w:themeColor="text1"/>
          <w:sz w:val="20"/>
          <w:szCs w:val="20"/>
          <w:lang w:val="es-ES_tradnl" w:eastAsia="es-MX"/>
        </w:rPr>
      </w:pPr>
      <w:r>
        <w:rPr>
          <w:rFonts w:ascii="Verdana" w:eastAsia="Times New Roman" w:hAnsi="Verdana" w:cs="Arial"/>
          <w:color w:val="000000" w:themeColor="text1"/>
          <w:sz w:val="20"/>
          <w:szCs w:val="20"/>
          <w:lang w:val="es-ES_tradnl" w:eastAsia="es-MX"/>
        </w:rPr>
        <w:t>“</w:t>
      </w:r>
      <w:r w:rsidR="008109FA" w:rsidRPr="000F15BC">
        <w:rPr>
          <w:rFonts w:ascii="Verdana" w:eastAsia="Times New Roman" w:hAnsi="Verdana" w:cs="Arial"/>
          <w:color w:val="000000" w:themeColor="text1"/>
          <w:sz w:val="20"/>
          <w:szCs w:val="20"/>
          <w:lang w:val="es-ES_tradnl" w:eastAsia="es-MX"/>
        </w:rPr>
        <w:t>La experiencia es un requisito habilitante.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al Proceso de Contratación respecto de los cuales los proponentes deben acreditar su experiencia.</w:t>
      </w:r>
      <w:r>
        <w:rPr>
          <w:rFonts w:ascii="Verdana" w:eastAsia="Times New Roman" w:hAnsi="Verdana" w:cs="Arial"/>
          <w:color w:val="000000" w:themeColor="text1"/>
          <w:sz w:val="20"/>
          <w:szCs w:val="20"/>
          <w:lang w:val="es-ES_tradnl" w:eastAsia="es-MX"/>
        </w:rPr>
        <w:t>”</w:t>
      </w:r>
    </w:p>
    <w:p w14:paraId="71D6A298" w14:textId="77777777" w:rsidR="008109FA" w:rsidRPr="00451657" w:rsidRDefault="008109FA" w:rsidP="008109FA">
      <w:pPr>
        <w:pStyle w:val="Prrafodelista"/>
        <w:spacing w:after="0" w:line="276" w:lineRule="auto"/>
        <w:ind w:right="709"/>
        <w:jc w:val="both"/>
        <w:rPr>
          <w:rFonts w:ascii="Verdana" w:eastAsia="Times New Roman" w:hAnsi="Verdana" w:cs="Arial"/>
          <w:color w:val="000000" w:themeColor="text1"/>
          <w:lang w:val="es-ES_tradnl" w:eastAsia="es-MX"/>
        </w:rPr>
      </w:pPr>
    </w:p>
    <w:p w14:paraId="52288C84" w14:textId="77777777" w:rsidR="008109FA" w:rsidRDefault="008109FA" w:rsidP="008109FA">
      <w:pPr>
        <w:pStyle w:val="Prrafodelista"/>
        <w:numPr>
          <w:ilvl w:val="0"/>
          <w:numId w:val="21"/>
        </w:numPr>
        <w:spacing w:after="120" w:line="276" w:lineRule="auto"/>
        <w:jc w:val="both"/>
        <w:rPr>
          <w:rFonts w:ascii="Verdana" w:eastAsia="Times New Roman" w:hAnsi="Verdana" w:cs="Arial"/>
          <w:color w:val="000000" w:themeColor="text1"/>
          <w:lang w:val="es-ES_tradnl" w:eastAsia="es-MX"/>
        </w:rPr>
      </w:pPr>
      <w:r w:rsidRPr="00451657">
        <w:rPr>
          <w:rFonts w:ascii="Verdana" w:eastAsia="Times New Roman" w:hAnsi="Verdana" w:cs="Arial"/>
          <w:color w:val="000000" w:themeColor="text1"/>
          <w:lang w:val="es-ES_tradnl" w:eastAsia="es-MX"/>
        </w:rPr>
        <w:t>En conclusión, de conformidad con Circular Externa Única, la “clasificación del proponente”, en los términos en que se desarrolló dicha noción en este concepto, no constituye un requisito habilitante en los procedimientos de selección, por lo que si un proponente acredita los demás requisitos exigidos en el pliego de condiciones, su oferta no puede ser rechazada o desestimada bajo el argumento de que el oferente no cuenta con la inscripción del código de los bienes, obras o servicios del objeto del proceso de contratación.</w:t>
      </w:r>
    </w:p>
    <w:p w14:paraId="78A381FC" w14:textId="77777777" w:rsidR="008109FA" w:rsidRPr="00451657" w:rsidRDefault="008109FA" w:rsidP="008109FA">
      <w:pPr>
        <w:pStyle w:val="Prrafodelista"/>
        <w:spacing w:after="120" w:line="276" w:lineRule="auto"/>
        <w:jc w:val="both"/>
        <w:rPr>
          <w:rFonts w:ascii="Verdana" w:eastAsia="Times New Roman" w:hAnsi="Verdana" w:cs="Arial"/>
          <w:color w:val="000000" w:themeColor="text1"/>
          <w:lang w:val="es-ES_tradnl" w:eastAsia="es-MX"/>
        </w:rPr>
      </w:pPr>
    </w:p>
    <w:p w14:paraId="33BE9F2D" w14:textId="77777777" w:rsidR="008109FA" w:rsidRPr="00312E16" w:rsidRDefault="008109FA" w:rsidP="008109FA">
      <w:pPr>
        <w:pStyle w:val="Prrafodelista"/>
        <w:numPr>
          <w:ilvl w:val="0"/>
          <w:numId w:val="21"/>
        </w:numPr>
        <w:shd w:val="clear" w:color="auto" w:fill="FFFFFF"/>
        <w:spacing w:after="120" w:line="276" w:lineRule="auto"/>
        <w:jc w:val="both"/>
        <w:textAlignment w:val="baseline"/>
        <w:rPr>
          <w:rFonts w:ascii="Verdana" w:eastAsia="Times New Roman" w:hAnsi="Verdana" w:cs="Arial"/>
          <w:lang w:val="es-ES_tradnl" w:eastAsia="es-CO"/>
        </w:rPr>
      </w:pPr>
      <w:r w:rsidRPr="00451657">
        <w:rPr>
          <w:rFonts w:ascii="Verdana" w:eastAsia="Times New Roman" w:hAnsi="Verdana" w:cs="Arial"/>
          <w:bdr w:val="none" w:sz="0" w:space="0" w:color="auto" w:frame="1"/>
          <w:lang w:val="es-ES_tradnl" w:eastAsia="es-CO"/>
        </w:rPr>
        <w:t xml:space="preserve">El Clasificador de Bienes y Servicios consta de cinco niveles; no obstante, el último nivel, denominado Función de Negocio, no es muy utilizado. Los niveles jerárquicos a utilizar, en su orden, son: i) segmento: agregación lógica de familias para propósitos analíticos; </w:t>
      </w:r>
      <w:proofErr w:type="spellStart"/>
      <w:r w:rsidRPr="00451657">
        <w:rPr>
          <w:rFonts w:ascii="Verdana" w:eastAsia="Times New Roman" w:hAnsi="Verdana" w:cs="Arial"/>
          <w:bdr w:val="none" w:sz="0" w:space="0" w:color="auto" w:frame="1"/>
          <w:lang w:val="es-ES_tradnl" w:eastAsia="es-CO"/>
        </w:rPr>
        <w:t>ii</w:t>
      </w:r>
      <w:proofErr w:type="spellEnd"/>
      <w:r w:rsidRPr="00451657">
        <w:rPr>
          <w:rFonts w:ascii="Verdana" w:eastAsia="Times New Roman" w:hAnsi="Verdana" w:cs="Arial"/>
          <w:bdr w:val="none" w:sz="0" w:space="0" w:color="auto" w:frame="1"/>
          <w:lang w:val="es-ES_tradnl" w:eastAsia="es-CO"/>
        </w:rPr>
        <w:t xml:space="preserve">) familia: un grupo de categorías de productos interrelacionadas; </w:t>
      </w:r>
      <w:proofErr w:type="spellStart"/>
      <w:r w:rsidRPr="00451657">
        <w:rPr>
          <w:rFonts w:ascii="Verdana" w:eastAsia="Times New Roman" w:hAnsi="Verdana" w:cs="Arial"/>
          <w:bdr w:val="none" w:sz="0" w:space="0" w:color="auto" w:frame="1"/>
          <w:lang w:val="es-ES_tradnl" w:eastAsia="es-CO"/>
        </w:rPr>
        <w:t>iii</w:t>
      </w:r>
      <w:proofErr w:type="spellEnd"/>
      <w:r w:rsidRPr="00451657">
        <w:rPr>
          <w:rFonts w:ascii="Verdana" w:eastAsia="Times New Roman" w:hAnsi="Verdana" w:cs="Arial"/>
          <w:bdr w:val="none" w:sz="0" w:space="0" w:color="auto" w:frame="1"/>
          <w:lang w:val="es-ES_tradnl" w:eastAsia="es-CO"/>
        </w:rPr>
        <w:t xml:space="preserve">) clase: un grupo de productos que comparten características comunes; y </w:t>
      </w:r>
      <w:proofErr w:type="spellStart"/>
      <w:r w:rsidRPr="00451657">
        <w:rPr>
          <w:rFonts w:ascii="Verdana" w:eastAsia="Times New Roman" w:hAnsi="Verdana" w:cs="Arial"/>
          <w:bdr w:val="none" w:sz="0" w:space="0" w:color="auto" w:frame="1"/>
          <w:lang w:val="es-ES_tradnl" w:eastAsia="es-CO"/>
        </w:rPr>
        <w:t>iv</w:t>
      </w:r>
      <w:proofErr w:type="spellEnd"/>
      <w:r w:rsidRPr="00451657">
        <w:rPr>
          <w:rFonts w:ascii="Verdana" w:eastAsia="Times New Roman" w:hAnsi="Verdana" w:cs="Arial"/>
          <w:bdr w:val="none" w:sz="0" w:space="0" w:color="auto" w:frame="1"/>
          <w:lang w:val="es-ES_tradnl" w:eastAsia="es-CO"/>
        </w:rPr>
        <w:t>) producto: un grupo de productos o servicios</w:t>
      </w:r>
      <w:r w:rsidRPr="00451657">
        <w:rPr>
          <w:rFonts w:ascii="Verdana" w:hAnsi="Verdana"/>
          <w:bdr w:val="none" w:sz="0" w:space="0" w:color="auto" w:frame="1"/>
          <w:vertAlign w:val="superscript"/>
          <w:lang w:eastAsia="es-CO"/>
        </w:rPr>
        <w:footnoteReference w:id="7"/>
      </w:r>
      <w:r w:rsidRPr="00451657">
        <w:rPr>
          <w:rFonts w:ascii="Verdana" w:eastAsia="Times New Roman" w:hAnsi="Verdana" w:cs="Arial"/>
          <w:bdr w:val="none" w:sz="0" w:space="0" w:color="auto" w:frame="1"/>
          <w:lang w:val="es-ES_tradnl" w:eastAsia="es-CO"/>
        </w:rPr>
        <w:t>.</w:t>
      </w:r>
    </w:p>
    <w:p w14:paraId="32ED5A4A" w14:textId="77777777" w:rsidR="008109FA" w:rsidRPr="00312E16" w:rsidRDefault="008109FA" w:rsidP="008109FA">
      <w:pPr>
        <w:pStyle w:val="Prrafodelista"/>
        <w:rPr>
          <w:rFonts w:ascii="Verdana" w:eastAsia="Times New Roman" w:hAnsi="Verdana" w:cs="Arial"/>
          <w:lang w:val="es-ES_tradnl" w:eastAsia="es-CO"/>
        </w:rPr>
      </w:pPr>
    </w:p>
    <w:p w14:paraId="599BDDFC" w14:textId="77777777" w:rsidR="008109FA" w:rsidRDefault="008109FA" w:rsidP="32AE47B7">
      <w:pPr>
        <w:pStyle w:val="Prrafodelista"/>
        <w:numPr>
          <w:ilvl w:val="0"/>
          <w:numId w:val="21"/>
        </w:numPr>
        <w:shd w:val="clear" w:color="auto" w:fill="FFFFFF" w:themeFill="background1"/>
        <w:spacing w:after="120" w:line="276" w:lineRule="auto"/>
        <w:jc w:val="both"/>
        <w:textAlignment w:val="baseline"/>
        <w:rPr>
          <w:rFonts w:ascii="Verdana" w:eastAsia="Times New Roman" w:hAnsi="Verdana" w:cs="Arial"/>
          <w:bdr w:val="none" w:sz="0" w:space="0" w:color="auto" w:frame="1"/>
          <w:lang w:eastAsia="es-CO"/>
        </w:rPr>
      </w:pPr>
      <w:r w:rsidRPr="32AE47B7">
        <w:rPr>
          <w:rFonts w:ascii="Verdana" w:eastAsia="Times New Roman" w:hAnsi="Verdana" w:cs="Arial"/>
          <w:bdr w:val="none" w:sz="0" w:space="0" w:color="auto" w:frame="1"/>
          <w:lang w:eastAsia="es-CO"/>
        </w:rPr>
        <w:t xml:space="preserve">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 </w:t>
      </w:r>
    </w:p>
    <w:p w14:paraId="4BA001CF" w14:textId="77777777" w:rsidR="008109FA" w:rsidRPr="008109FA" w:rsidRDefault="008109FA" w:rsidP="008109FA">
      <w:pPr>
        <w:pStyle w:val="Prrafodelista"/>
        <w:rPr>
          <w:rFonts w:ascii="Verdana" w:eastAsia="Times New Roman" w:hAnsi="Verdana" w:cs="Arial"/>
          <w:bdr w:val="none" w:sz="0" w:space="0" w:color="auto" w:frame="1"/>
          <w:lang w:val="es-ES_tradnl" w:eastAsia="es-CO"/>
        </w:rPr>
      </w:pPr>
    </w:p>
    <w:p w14:paraId="56AD93A9" w14:textId="0B50543A" w:rsidR="008109FA" w:rsidRDefault="008109FA" w:rsidP="008109FA">
      <w:pPr>
        <w:pStyle w:val="Prrafodelista"/>
        <w:numPr>
          <w:ilvl w:val="0"/>
          <w:numId w:val="21"/>
        </w:numPr>
        <w:shd w:val="clear" w:color="auto" w:fill="FFFFFF"/>
        <w:spacing w:after="120" w:line="276" w:lineRule="auto"/>
        <w:jc w:val="both"/>
        <w:textAlignment w:val="baseline"/>
        <w:rPr>
          <w:rFonts w:ascii="Verdana" w:eastAsia="Times New Roman" w:hAnsi="Verdana" w:cs="Arial"/>
          <w:bdr w:val="none" w:sz="0" w:space="0" w:color="auto" w:frame="1"/>
          <w:lang w:val="es-ES_tradnl" w:eastAsia="es-CO"/>
        </w:rPr>
      </w:pPr>
      <w:r w:rsidRPr="00451657">
        <w:rPr>
          <w:rFonts w:ascii="Verdana" w:eastAsia="Times New Roman" w:hAnsi="Verdana" w:cs="Arial"/>
          <w:bdr w:val="none" w:sz="0" w:space="0" w:color="auto" w:frame="1"/>
          <w:lang w:val="es-ES_tradnl" w:eastAsia="es-CO"/>
        </w:rPr>
        <w:t xml:space="preserve">De acuerdo </w:t>
      </w:r>
      <w:r>
        <w:rPr>
          <w:rFonts w:ascii="Verdana" w:eastAsia="Times New Roman" w:hAnsi="Verdana" w:cs="Arial"/>
          <w:bdr w:val="none" w:sz="0" w:space="0" w:color="auto" w:frame="1"/>
          <w:lang w:val="es-ES_tradnl" w:eastAsia="es-CO"/>
        </w:rPr>
        <w:t>con lo anterior</w:t>
      </w:r>
      <w:r w:rsidRPr="00451657">
        <w:rPr>
          <w:rFonts w:ascii="Verdana" w:eastAsia="Times New Roman" w:hAnsi="Verdana" w:cs="Arial"/>
          <w:bdr w:val="none" w:sz="0" w:space="0" w:color="auto" w:frame="1"/>
          <w:lang w:val="es-ES_tradnl" w:eastAsia="es-CO"/>
        </w:rPr>
        <w:t xml:space="preserve">, cada bien o servicio está asociado a un código que surge de la subsunción de sus características y condiciones en los diferentes niveles del clasificador. Estos códigos son los que deben incluirse en el RUP para efectos de la experiencia. Estos mismos códigos son los que deben incluir las entidades estatales en los pliegos de condiciones al realizar la descripción del objeto contractual. </w:t>
      </w:r>
    </w:p>
    <w:p w14:paraId="2B3322A6" w14:textId="3C9D2CB1" w:rsidR="007E1155" w:rsidRPr="004C399B" w:rsidRDefault="00303A0F" w:rsidP="00303A0F">
      <w:pPr>
        <w:spacing w:before="120" w:line="276" w:lineRule="auto"/>
        <w:jc w:val="both"/>
        <w:rPr>
          <w:rFonts w:ascii="Verdana" w:hAnsi="Verdana" w:cs="Arial"/>
          <w:color w:val="000000" w:themeColor="text1"/>
          <w:sz w:val="2"/>
          <w:szCs w:val="2"/>
        </w:rPr>
      </w:pPr>
      <w:r w:rsidRPr="00303A0F">
        <w:rPr>
          <w:rFonts w:ascii="Verdana" w:hAnsi="Verdana" w:cs="Arial"/>
          <w:color w:val="000000" w:themeColor="text1"/>
        </w:rPr>
        <w:tab/>
      </w:r>
    </w:p>
    <w:p w14:paraId="15D17899" w14:textId="77777777" w:rsidR="007E1155" w:rsidRPr="00451657" w:rsidRDefault="007E1155" w:rsidP="00E35C9E">
      <w:pPr>
        <w:pStyle w:val="Prrafodelista"/>
        <w:numPr>
          <w:ilvl w:val="0"/>
          <w:numId w:val="21"/>
        </w:numPr>
        <w:shd w:val="clear" w:color="auto" w:fill="FFFFFF"/>
        <w:spacing w:after="120" w:line="276" w:lineRule="auto"/>
        <w:jc w:val="both"/>
        <w:textAlignment w:val="baseline"/>
        <w:rPr>
          <w:rFonts w:ascii="Verdana" w:eastAsia="Century Gothic" w:hAnsi="Verdana" w:cs="Century Gothic"/>
        </w:rPr>
      </w:pPr>
      <w:r w:rsidRPr="00451657">
        <w:rPr>
          <w:rFonts w:ascii="Verdana" w:eastAsia="Century Gothic" w:hAnsi="Verdana" w:cs="Century Gothic"/>
        </w:rPr>
        <w:lastRenderedPageBreak/>
        <w:t xml:space="preserve">Por otro lado, el artículo 2.2.1.1.1.5.2 del Decreto 1082 de 2015, al desarrollar la información requerida para la inscripción, actualización y renovación del RUP, establece que los proponentes deben establecer los bienes y servicios que ofrecerán identificados con el Clasificador de Bienes y Servicios en el tercer nivel. Asimismo, los numerales 1.2 y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 </w:t>
      </w:r>
    </w:p>
    <w:p w14:paraId="2E5889F0" w14:textId="0B01AAB1" w:rsidR="00303A0F" w:rsidRPr="00303A0F" w:rsidRDefault="00303A0F" w:rsidP="00303A0F">
      <w:pPr>
        <w:spacing w:before="120" w:line="276" w:lineRule="auto"/>
        <w:jc w:val="both"/>
        <w:rPr>
          <w:rFonts w:ascii="Verdana" w:hAnsi="Verdana" w:cs="Arial"/>
          <w:color w:val="000000" w:themeColor="text1"/>
        </w:rPr>
      </w:pPr>
      <w:r w:rsidRPr="00303A0F">
        <w:rPr>
          <w:rFonts w:ascii="Verdana" w:hAnsi="Verdana" w:cs="Arial"/>
          <w:color w:val="000000" w:themeColor="text1"/>
        </w:rPr>
        <w:t xml:space="preserve">Finalmente, las condiciones a establecer para el requisito habilitante de experiencia y la forma en la que se deba acreditar, las entidades deberán hacer un análisis respecto a las recomendaciones dadas en la Guía expedida por la Agencia, pero como se indica en la propia Guía, las entidades estatales son autónomas en la estructuración de sus procedimientos contractuales, por lo cual en sus pliegos de condiciones pueden establecer las reglas de acreditación de la experiencia de los proponentes y demás consideraciones siempre que esta sea proporcionales y conducentes para el respectivo proceso de selección. </w:t>
      </w:r>
    </w:p>
    <w:p w14:paraId="740B11D3" w14:textId="77777777" w:rsidR="00A32DDE" w:rsidRPr="00885EA6" w:rsidRDefault="00A32DDE" w:rsidP="00A32DDE">
      <w:pPr>
        <w:spacing w:after="0" w:line="276" w:lineRule="auto"/>
        <w:jc w:val="both"/>
        <w:rPr>
          <w:rFonts w:ascii="Verdana" w:eastAsia="Calibri" w:hAnsi="Verdana" w:cs="Arial"/>
          <w:lang w:val="es-ES"/>
        </w:rPr>
      </w:pPr>
    </w:p>
    <w:p w14:paraId="67B7BEAA" w14:textId="77777777" w:rsidR="00A32DDE" w:rsidRDefault="00A32DDE" w:rsidP="00A32DDE">
      <w:pPr>
        <w:numPr>
          <w:ilvl w:val="0"/>
          <w:numId w:val="17"/>
        </w:numPr>
        <w:tabs>
          <w:tab w:val="left" w:pos="142"/>
          <w:tab w:val="left" w:pos="284"/>
        </w:tabs>
        <w:spacing w:after="0" w:line="276" w:lineRule="auto"/>
        <w:ind w:left="0" w:firstLine="0"/>
        <w:jc w:val="both"/>
        <w:rPr>
          <w:rFonts w:ascii="Verdana" w:eastAsia="Century Gothic" w:hAnsi="Verdana" w:cs="Century Gothic"/>
          <w:b/>
          <w:bCs/>
          <w:lang w:val="es-ES"/>
        </w:rPr>
      </w:pPr>
      <w:r w:rsidRPr="00885EA6">
        <w:rPr>
          <w:rFonts w:ascii="Verdana" w:eastAsia="Century Gothic" w:hAnsi="Verdana" w:cs="Century Gothic"/>
          <w:b/>
          <w:bCs/>
          <w:lang w:val="es-ES"/>
        </w:rPr>
        <w:t>Referencias normativas, jurisprudenciales y otras fuentes:</w:t>
      </w:r>
    </w:p>
    <w:p w14:paraId="343276FB" w14:textId="77777777" w:rsidR="00B71A6E" w:rsidRPr="00885EA6" w:rsidRDefault="00B71A6E" w:rsidP="00B71A6E">
      <w:pPr>
        <w:tabs>
          <w:tab w:val="left" w:pos="142"/>
          <w:tab w:val="left" w:pos="284"/>
        </w:tabs>
        <w:spacing w:after="0" w:line="276" w:lineRule="auto"/>
        <w:jc w:val="both"/>
        <w:rPr>
          <w:rFonts w:ascii="Verdana" w:eastAsia="Century Gothic" w:hAnsi="Verdana" w:cs="Century Gothic"/>
          <w:b/>
          <w:bCs/>
          <w:lang w:val="es-ES"/>
        </w:rPr>
      </w:pPr>
    </w:p>
    <w:p w14:paraId="05A35DF1" w14:textId="3B0EFF78" w:rsidR="00A32DDE" w:rsidRPr="00283203" w:rsidRDefault="00A32DDE" w:rsidP="00A32DDE">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283203">
        <w:rPr>
          <w:rFonts w:ascii="Verdana" w:hAnsi="Verdana" w:cs="Arial"/>
        </w:rPr>
        <w:t>Ley 1150 de 2007, artículo 5</w:t>
      </w:r>
      <w:r w:rsidR="00C741A0">
        <w:rPr>
          <w:rFonts w:ascii="Verdana" w:hAnsi="Verdana" w:cs="Arial"/>
        </w:rPr>
        <w:t>, artículo 6</w:t>
      </w:r>
      <w:r w:rsidRPr="00283203">
        <w:rPr>
          <w:rFonts w:ascii="Verdana" w:hAnsi="Verdana" w:cs="Arial"/>
        </w:rPr>
        <w:t xml:space="preserve">. Disponible en: </w:t>
      </w:r>
      <w:hyperlink r:id="rId12" w:history="1">
        <w:r w:rsidRPr="00283203">
          <w:rPr>
            <w:rStyle w:val="Hipervnculo"/>
            <w:rFonts w:ascii="Verdana" w:hAnsi="Verdana" w:cs="Arial"/>
          </w:rPr>
          <w:t>https://relatoria.colombiacompra.gov.co/normativa/ley-1150-de-2007/</w:t>
        </w:r>
      </w:hyperlink>
    </w:p>
    <w:p w14:paraId="25FF18C1" w14:textId="67823657" w:rsidR="00A32DDE" w:rsidRPr="00167216" w:rsidRDefault="00A32DDE" w:rsidP="00A32DDE">
      <w:pPr>
        <w:pStyle w:val="Prrafodelista"/>
        <w:widowControl w:val="0"/>
        <w:numPr>
          <w:ilvl w:val="0"/>
          <w:numId w:val="18"/>
        </w:numPr>
        <w:autoSpaceDE w:val="0"/>
        <w:autoSpaceDN w:val="0"/>
        <w:spacing w:after="120" w:line="276" w:lineRule="auto"/>
        <w:contextualSpacing w:val="0"/>
        <w:jc w:val="both"/>
        <w:rPr>
          <w:rStyle w:val="Hipervnculo"/>
          <w:rFonts w:ascii="Verdana" w:hAnsi="Verdana" w:cs="Arial"/>
          <w:color w:val="auto"/>
          <w:u w:val="none"/>
        </w:rPr>
      </w:pPr>
      <w:r w:rsidRPr="00283203">
        <w:rPr>
          <w:rFonts w:ascii="Verdana" w:hAnsi="Verdana" w:cs="Arial"/>
        </w:rPr>
        <w:t xml:space="preserve">Decreto 1082 de 2015, artículo </w:t>
      </w:r>
      <w:r w:rsidR="0058660B" w:rsidRPr="0058660B">
        <w:rPr>
          <w:rFonts w:ascii="Verdana" w:hAnsi="Verdana"/>
        </w:rPr>
        <w:t>2.2.1.1.1.3.1</w:t>
      </w:r>
      <w:r w:rsidR="00C07731">
        <w:rPr>
          <w:rFonts w:ascii="Verdana" w:hAnsi="Verdana"/>
        </w:rPr>
        <w:t xml:space="preserve">, artículo </w:t>
      </w:r>
      <w:r w:rsidR="00C07731" w:rsidRPr="00451657">
        <w:rPr>
          <w:rFonts w:ascii="Verdana" w:eastAsia="Times New Roman" w:hAnsi="Verdana" w:cs="Arial"/>
          <w:color w:val="000000" w:themeColor="text1"/>
          <w:lang w:val="es-ES_tradnl" w:eastAsia="es-MX"/>
        </w:rPr>
        <w:t>2.2.1.1.1.5.2</w:t>
      </w:r>
      <w:r w:rsidR="00C07731">
        <w:rPr>
          <w:rFonts w:ascii="Verdana" w:eastAsia="Times New Roman" w:hAnsi="Verdana" w:cs="Arial"/>
          <w:color w:val="000000" w:themeColor="text1"/>
          <w:lang w:val="es-ES_tradnl" w:eastAsia="es-MX"/>
        </w:rPr>
        <w:t xml:space="preserve">, </w:t>
      </w:r>
      <w:r w:rsidR="00C07731" w:rsidRPr="32AE47B7">
        <w:rPr>
          <w:rFonts w:ascii="Verdana" w:eastAsia="Times New Roman" w:hAnsi="Verdana" w:cs="Arial"/>
          <w:color w:val="000000" w:themeColor="text1"/>
          <w:lang w:eastAsia="es-MX"/>
        </w:rPr>
        <w:t>artículo 2.2.1.1.1.5.3</w:t>
      </w:r>
      <w:r w:rsidR="00C07731">
        <w:rPr>
          <w:rFonts w:ascii="Verdana" w:eastAsia="Times New Roman" w:hAnsi="Verdana" w:cs="Arial"/>
          <w:color w:val="000000" w:themeColor="text1"/>
          <w:lang w:eastAsia="es-MX"/>
        </w:rPr>
        <w:t xml:space="preserve">, </w:t>
      </w:r>
      <w:r w:rsidR="00C07731">
        <w:rPr>
          <w:rFonts w:ascii="Verdana" w:eastAsia="Times New Roman" w:hAnsi="Verdana" w:cs="Arial"/>
          <w:color w:val="000000" w:themeColor="text1"/>
          <w:lang w:val="es-ES_tradnl" w:eastAsia="es-MX"/>
        </w:rPr>
        <w:t>Disponible</w:t>
      </w:r>
      <w:r w:rsidRPr="00283203">
        <w:rPr>
          <w:rFonts w:ascii="Verdana" w:hAnsi="Verdana" w:cs="Arial"/>
        </w:rPr>
        <w:t xml:space="preserve"> en:</w:t>
      </w:r>
      <w:r w:rsidRPr="00283203">
        <w:rPr>
          <w:rFonts w:ascii="Verdana" w:hAnsi="Verdana" w:cs="Arial"/>
        </w:rPr>
        <w:tab/>
        <w:t xml:space="preserve"> </w:t>
      </w:r>
      <w:hyperlink r:id="rId13" w:history="1">
        <w:r w:rsidRPr="00283203">
          <w:rPr>
            <w:rStyle w:val="Hipervnculo"/>
            <w:rFonts w:ascii="Verdana" w:hAnsi="Verdana" w:cs="Arial"/>
          </w:rPr>
          <w:t>https://relatoria.colombiacompra.gov.co/normativa/decreto-1082-de-2015/</w:t>
        </w:r>
      </w:hyperlink>
    </w:p>
    <w:p w14:paraId="292588E0" w14:textId="7556D0C6" w:rsidR="00167216" w:rsidRPr="00A13B5C" w:rsidRDefault="00167216" w:rsidP="00A32DDE">
      <w:pPr>
        <w:pStyle w:val="Prrafodelista"/>
        <w:widowControl w:val="0"/>
        <w:numPr>
          <w:ilvl w:val="0"/>
          <w:numId w:val="18"/>
        </w:numPr>
        <w:autoSpaceDE w:val="0"/>
        <w:autoSpaceDN w:val="0"/>
        <w:spacing w:after="120" w:line="276" w:lineRule="auto"/>
        <w:contextualSpacing w:val="0"/>
        <w:jc w:val="both"/>
        <w:rPr>
          <w:rFonts w:ascii="Verdana" w:hAnsi="Verdana" w:cs="Arial"/>
          <w:sz w:val="24"/>
          <w:szCs w:val="24"/>
        </w:rPr>
      </w:pPr>
      <w:r w:rsidRPr="00A13B5C">
        <w:rPr>
          <w:rFonts w:ascii="Verdana" w:hAnsi="Verdana" w:cs="Arial"/>
          <w:color w:val="000000" w:themeColor="text1"/>
          <w:sz w:val="24"/>
          <w:szCs w:val="24"/>
        </w:rPr>
        <w:t>Manual para determinar y verificar requisitos habilitantes en los procesos de contratación, disponible en el siguiente link:</w:t>
      </w:r>
      <w:r w:rsidRPr="00A13B5C">
        <w:rPr>
          <w:rFonts w:ascii="Verdana" w:hAnsi="Verdana" w:cs="Arial"/>
          <w:color w:val="000000" w:themeColor="text1"/>
          <w:sz w:val="24"/>
          <w:szCs w:val="24"/>
        </w:rPr>
        <w:tab/>
      </w:r>
      <w:r w:rsidRPr="00A13B5C">
        <w:rPr>
          <w:rFonts w:ascii="Verdana" w:hAnsi="Verdana"/>
          <w:sz w:val="24"/>
          <w:szCs w:val="24"/>
        </w:rPr>
        <w:t xml:space="preserve"> </w:t>
      </w:r>
      <w:hyperlink r:id="rId14" w:history="1">
        <w:r w:rsidRPr="00A13B5C">
          <w:rPr>
            <w:rStyle w:val="Hipervnculo"/>
            <w:rFonts w:ascii="Verdana" w:hAnsi="Verdana"/>
            <w:sz w:val="24"/>
            <w:szCs w:val="24"/>
          </w:rPr>
          <w:t>https://www.colombiacompra.gov.co/sites/cce_public/files/cce_documents/cce-eicp-ma-04._manual_requisitos_habilitantes_v3_29-09-2023.pdf</w:t>
        </w:r>
      </w:hyperlink>
    </w:p>
    <w:p w14:paraId="0D804133" w14:textId="0C51FCB9" w:rsidR="00B71A6E" w:rsidRPr="00A13B5C" w:rsidRDefault="00B71A6E" w:rsidP="00A32DDE">
      <w:pPr>
        <w:pStyle w:val="Prrafodelista"/>
        <w:widowControl w:val="0"/>
        <w:numPr>
          <w:ilvl w:val="0"/>
          <w:numId w:val="18"/>
        </w:numPr>
        <w:autoSpaceDE w:val="0"/>
        <w:autoSpaceDN w:val="0"/>
        <w:spacing w:after="120" w:line="276" w:lineRule="auto"/>
        <w:contextualSpacing w:val="0"/>
        <w:jc w:val="both"/>
        <w:rPr>
          <w:rFonts w:ascii="Verdana" w:hAnsi="Verdana" w:cs="Arial"/>
          <w:sz w:val="24"/>
          <w:szCs w:val="24"/>
        </w:rPr>
      </w:pPr>
      <w:r w:rsidRPr="00A13B5C">
        <w:rPr>
          <w:rFonts w:ascii="Verdana" w:hAnsi="Verdana" w:cstheme="minorHAnsi"/>
          <w:sz w:val="24"/>
          <w:szCs w:val="24"/>
        </w:rPr>
        <w:t xml:space="preserve">Circular Externa Única. Expedida el 15 de julio de 2022. Disponible </w:t>
      </w:r>
      <w:r w:rsidRPr="00A13B5C">
        <w:rPr>
          <w:rFonts w:ascii="Verdana" w:hAnsi="Verdana" w:cstheme="minorHAnsi"/>
          <w:sz w:val="24"/>
          <w:szCs w:val="24"/>
        </w:rPr>
        <w:lastRenderedPageBreak/>
        <w:t xml:space="preserve">en: </w:t>
      </w:r>
      <w:hyperlink r:id="rId15" w:history="1">
        <w:r w:rsidRPr="00A13B5C">
          <w:rPr>
            <w:rStyle w:val="Hipervnculo"/>
            <w:rFonts w:ascii="Verdana" w:hAnsi="Verdana" w:cstheme="minorHAnsi"/>
            <w:sz w:val="24"/>
            <w:szCs w:val="24"/>
          </w:rPr>
          <w:t>https://www.colombiacompra.gov.co/sites/cce_public/files/cce_circulares/cce-eicp-ma-06_circular_externa_con_comentarios_de_ciudadanos-_v2f_002.pdf</w:t>
        </w:r>
      </w:hyperlink>
    </w:p>
    <w:p w14:paraId="10066A9B" w14:textId="77777777" w:rsidR="00A13B5C" w:rsidRPr="00283203" w:rsidRDefault="00A13B5C" w:rsidP="00A13B5C">
      <w:pPr>
        <w:pStyle w:val="Prrafodelista"/>
        <w:widowControl w:val="0"/>
        <w:autoSpaceDE w:val="0"/>
        <w:autoSpaceDN w:val="0"/>
        <w:spacing w:after="120" w:line="276" w:lineRule="auto"/>
        <w:contextualSpacing w:val="0"/>
        <w:jc w:val="both"/>
        <w:rPr>
          <w:rFonts w:ascii="Verdana" w:hAnsi="Verdana" w:cs="Arial"/>
        </w:rPr>
      </w:pPr>
    </w:p>
    <w:p w14:paraId="46655A96" w14:textId="77777777" w:rsidR="00A32DDE" w:rsidRPr="00885EA6" w:rsidRDefault="00A32DDE" w:rsidP="00A32D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85EA6">
        <w:rPr>
          <w:rFonts w:ascii="Verdana" w:eastAsia="Century Gothic" w:hAnsi="Verdana" w:cs="Century Gothic"/>
          <w:b/>
          <w:bCs/>
        </w:rPr>
        <w:t>Doctrina de la Agencia Nacional de Contratación Pública:</w:t>
      </w:r>
    </w:p>
    <w:p w14:paraId="3951085B" w14:textId="77777777" w:rsidR="00A32DDE" w:rsidRPr="00885EA6" w:rsidRDefault="00A32DDE" w:rsidP="00A32DDE">
      <w:pPr>
        <w:widowControl w:val="0"/>
        <w:autoSpaceDE w:val="0"/>
        <w:autoSpaceDN w:val="0"/>
        <w:spacing w:after="0" w:line="276" w:lineRule="auto"/>
        <w:jc w:val="both"/>
        <w:rPr>
          <w:rFonts w:ascii="Verdana" w:eastAsia="Calibri" w:hAnsi="Verdana" w:cs="Arial"/>
          <w:lang w:val="es-ES" w:eastAsia="es-ES"/>
        </w:rPr>
      </w:pPr>
    </w:p>
    <w:p w14:paraId="362B7247" w14:textId="5A399C44" w:rsidR="001C786C" w:rsidRPr="001C786C" w:rsidRDefault="001C786C" w:rsidP="00A32DDE">
      <w:pPr>
        <w:widowControl w:val="0"/>
        <w:autoSpaceDE w:val="0"/>
        <w:autoSpaceDN w:val="0"/>
        <w:spacing w:after="0" w:line="276" w:lineRule="auto"/>
        <w:jc w:val="both"/>
        <w:rPr>
          <w:rFonts w:ascii="Verdana" w:hAnsi="Verdana" w:cs="Arial"/>
          <w:shd w:val="clear" w:color="auto" w:fill="FFFFFF"/>
        </w:rPr>
      </w:pPr>
      <w:r>
        <w:rPr>
          <w:rStyle w:val="normaltextrun"/>
          <w:rFonts w:ascii="Verdana" w:hAnsi="Verdana" w:cs="Arial"/>
          <w:shd w:val="clear" w:color="auto" w:fill="FFFFFF"/>
          <w:lang w:val="es-ES"/>
        </w:rPr>
        <w:t xml:space="preserve">Esta Agencia abordó la temática </w:t>
      </w:r>
      <w:r w:rsidRPr="00451657">
        <w:rPr>
          <w:rStyle w:val="normaltextrun"/>
          <w:rFonts w:ascii="Verdana" w:hAnsi="Verdana" w:cs="Arial"/>
          <w:shd w:val="clear" w:color="auto" w:fill="FFFFFF"/>
          <w:lang w:val="es-ES"/>
        </w:rPr>
        <w:t xml:space="preserve">sobre uso del Clasificador de Bienes y Servicios de Naciones Unidas en los conceptos 2201913000006036 del 20 de agosto de 2019, 2201913000007322 del 2 de octubre de 2019, 2201913000007496 del 7 de octubre de 2020, 2201913000008870 del 2 de diciembre de 2019, 2201913000009643 del 26 de </w:t>
      </w:r>
      <w:r w:rsidRPr="001C786C">
        <w:rPr>
          <w:rStyle w:val="normaltextrun"/>
          <w:rFonts w:ascii="Verdana" w:hAnsi="Verdana" w:cs="Arial"/>
          <w:shd w:val="clear" w:color="auto" w:fill="FFFFFF"/>
          <w:lang w:val="es-ES"/>
        </w:rPr>
        <w:t>diciembre de 2019, C-052 del 18 de marzo de 2020, C-017 del 22 de febrero de 2020, C- 522 del 1 de octubre de 2021, C-760 del 8 de febrero de 2022</w:t>
      </w:r>
      <w:r>
        <w:rPr>
          <w:rStyle w:val="TextonotapieCar"/>
          <w:rFonts w:ascii="Verdana" w:hAnsi="Verdana" w:cs="Arial"/>
          <w:shd w:val="clear" w:color="auto" w:fill="FFFFFF"/>
          <w:lang w:val="es-ES"/>
        </w:rPr>
        <w:t>,</w:t>
      </w:r>
      <w:r w:rsidRPr="001C786C">
        <w:rPr>
          <w:rStyle w:val="normaltextrun"/>
          <w:rFonts w:ascii="Verdana" w:hAnsi="Verdana" w:cs="Arial"/>
          <w:shd w:val="clear" w:color="auto" w:fill="FFFFFF"/>
          <w:lang w:val="es-ES"/>
        </w:rPr>
        <w:t xml:space="preserve"> C-223 del 25 de abril de 2022</w:t>
      </w:r>
      <w:r>
        <w:rPr>
          <w:rStyle w:val="normaltextrun"/>
          <w:rFonts w:ascii="Verdana" w:hAnsi="Verdana" w:cs="Arial"/>
          <w:shd w:val="clear" w:color="auto" w:fill="FFFFFF"/>
          <w:lang w:val="es-ES"/>
        </w:rPr>
        <w:t xml:space="preserve"> y </w:t>
      </w:r>
      <w:r w:rsidR="00BF224C">
        <w:rPr>
          <w:rStyle w:val="normaltextrun"/>
          <w:rFonts w:ascii="Verdana" w:hAnsi="Verdana" w:cs="Arial"/>
          <w:shd w:val="clear" w:color="auto" w:fill="FFFFFF"/>
          <w:lang w:val="es-ES"/>
        </w:rPr>
        <w:t xml:space="preserve">C-547 del </w:t>
      </w:r>
      <w:r w:rsidR="007C71E2">
        <w:rPr>
          <w:rStyle w:val="normaltextrun"/>
          <w:rFonts w:ascii="Verdana" w:hAnsi="Verdana" w:cs="Arial"/>
          <w:shd w:val="clear" w:color="auto" w:fill="FFFFFF"/>
          <w:lang w:val="es-ES"/>
        </w:rPr>
        <w:t>15 de octubre de 2024.</w:t>
      </w:r>
    </w:p>
    <w:p w14:paraId="177C6F4B" w14:textId="77777777" w:rsidR="001C786C" w:rsidRPr="001C786C" w:rsidRDefault="001C786C" w:rsidP="00A32DDE">
      <w:pPr>
        <w:widowControl w:val="0"/>
        <w:autoSpaceDE w:val="0"/>
        <w:autoSpaceDN w:val="0"/>
        <w:spacing w:after="0" w:line="276" w:lineRule="auto"/>
        <w:jc w:val="both"/>
        <w:rPr>
          <w:rFonts w:ascii="Verdana" w:hAnsi="Verdana" w:cs="Arial"/>
          <w:shd w:val="clear" w:color="auto" w:fill="FFFFFF"/>
        </w:rPr>
      </w:pPr>
    </w:p>
    <w:p w14:paraId="076290D1" w14:textId="77777777" w:rsidR="001A5566" w:rsidRPr="00CF4339" w:rsidRDefault="001A5566" w:rsidP="001A5566">
      <w:pPr>
        <w:widowControl w:val="0"/>
        <w:autoSpaceDE w:val="0"/>
        <w:autoSpaceDN w:val="0"/>
        <w:spacing w:after="0" w:line="276" w:lineRule="auto"/>
        <w:jc w:val="both"/>
        <w:rPr>
          <w:rFonts w:ascii="Verdana" w:hAnsi="Verdana"/>
        </w:rPr>
      </w:pPr>
      <w:r w:rsidRPr="00CF4339">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CF4339">
        <w:rPr>
          <w:rFonts w:ascii="Verdana" w:hAnsi="Verdana"/>
        </w:rPr>
        <w:t>, accede a través del siguiente enlace:</w:t>
      </w:r>
    </w:p>
    <w:p w14:paraId="6B5A4FEE" w14:textId="77777777" w:rsidR="001A5566" w:rsidRPr="00885EA6" w:rsidRDefault="001A5566" w:rsidP="001A5566">
      <w:pPr>
        <w:widowControl w:val="0"/>
        <w:autoSpaceDE w:val="0"/>
        <w:autoSpaceDN w:val="0"/>
        <w:spacing w:after="0" w:line="276" w:lineRule="auto"/>
        <w:jc w:val="both"/>
        <w:rPr>
          <w:rStyle w:val="normaltextrun"/>
          <w:rFonts w:ascii="Verdana" w:hAnsi="Verdana"/>
        </w:rPr>
      </w:pPr>
      <w:hyperlink r:id="rId16" w:history="1">
        <w:r w:rsidRPr="00CF4339">
          <w:rPr>
            <w:rStyle w:val="Hipervnculo"/>
            <w:rFonts w:ascii="Verdana" w:hAnsi="Verdana" w:cs="Arial"/>
            <w:shd w:val="clear" w:color="auto" w:fill="FFFFFF"/>
            <w:lang w:val="es-ES"/>
          </w:rPr>
          <w:t>https://relatoria.colombiacompra.gov.co/busqueda/conceptos</w:t>
        </w:r>
      </w:hyperlink>
      <w:r w:rsidRPr="00885EA6">
        <w:rPr>
          <w:rStyle w:val="normaltextrun"/>
          <w:rFonts w:ascii="Verdana" w:hAnsi="Verdana" w:cs="Arial"/>
          <w:shd w:val="clear" w:color="auto" w:fill="FFFFFF"/>
        </w:rPr>
        <w:t xml:space="preserve"> </w:t>
      </w:r>
    </w:p>
    <w:p w14:paraId="3900974D" w14:textId="77777777" w:rsidR="003D5B0D" w:rsidRDefault="003D5B0D" w:rsidP="00A32DDE">
      <w:pPr>
        <w:rPr>
          <w:rFonts w:ascii="Verdana" w:eastAsia="Calibri" w:hAnsi="Verdana" w:cs="Times New Roman"/>
        </w:rPr>
      </w:pPr>
    </w:p>
    <w:p w14:paraId="3D01C202" w14:textId="77777777" w:rsidR="00A254A7" w:rsidRPr="00D04744" w:rsidRDefault="00A254A7" w:rsidP="00A254A7">
      <w:pPr>
        <w:spacing w:after="0" w:line="240" w:lineRule="auto"/>
        <w:jc w:val="both"/>
        <w:rPr>
          <w:rFonts w:ascii="Verdana" w:hAnsi="Verdana"/>
        </w:rPr>
      </w:pPr>
      <w:r w:rsidRPr="00D04744">
        <w:rPr>
          <w:rFonts w:ascii="Verdana" w:hAnsi="Verdana"/>
        </w:rPr>
        <w:t>Te informamos que ya se encuentra disponible la </w:t>
      </w:r>
      <w:r w:rsidRPr="00D04744">
        <w:rPr>
          <w:rFonts w:ascii="Verdana" w:hAnsi="Verdana"/>
          <w:b/>
          <w:bCs/>
        </w:rPr>
        <w:t>Cartilla para incentivar y fortalecer el acceso a las compras y contratación pública de los pueblos y comunidades étnicas en Colombia.</w:t>
      </w:r>
      <w:r w:rsidRPr="00D04744">
        <w:rPr>
          <w:rFonts w:ascii="Verdana" w:hAnsi="Verdana"/>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7" w:tgtFrame="_blank" w:tooltip="Dirección URL original: https://www.colombiacompra.gov.co/manuales-guias-y-pliegos-tipo/manuales-y-guias/cartilla-para-incentivar-y-fortalecer-el-acceso-las. Haga clic o pulse si confía en este vínculo." w:history="1">
        <w:r w:rsidRPr="00D04744">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077CADC2" w14:textId="77777777" w:rsidR="00A254A7" w:rsidRPr="00D04744" w:rsidRDefault="00A254A7" w:rsidP="00A254A7">
      <w:pPr>
        <w:spacing w:after="0" w:line="240" w:lineRule="auto"/>
        <w:jc w:val="both"/>
        <w:rPr>
          <w:rFonts w:ascii="Verdana" w:hAnsi="Verdana"/>
        </w:rPr>
      </w:pPr>
    </w:p>
    <w:p w14:paraId="55229596" w14:textId="77777777" w:rsidR="00A254A7" w:rsidRPr="00D04744" w:rsidRDefault="00A254A7" w:rsidP="00A254A7">
      <w:pPr>
        <w:spacing w:after="0" w:line="240" w:lineRule="auto"/>
        <w:jc w:val="both"/>
        <w:rPr>
          <w:rFonts w:ascii="Verdana" w:hAnsi="Verdana"/>
        </w:rPr>
      </w:pPr>
      <w:r w:rsidRPr="00D04744">
        <w:rPr>
          <w:rFonts w:ascii="Verdana" w:hAnsi="Verdana"/>
        </w:rPr>
        <w:t>También, te informamos que, con el objetivo de garantizar un conocimiento adecuado de las </w:t>
      </w:r>
      <w:r w:rsidRPr="00D04744">
        <w:rPr>
          <w:rFonts w:ascii="Verdana" w:hAnsi="Verdana"/>
          <w:b/>
          <w:bCs/>
        </w:rPr>
        <w:t xml:space="preserve">modificaciones realizadas a los Documentos Tipo en el </w:t>
      </w:r>
      <w:r w:rsidRPr="00D04744">
        <w:rPr>
          <w:rFonts w:ascii="Verdana" w:hAnsi="Verdana"/>
          <w:b/>
          <w:bCs/>
        </w:rPr>
        <w:lastRenderedPageBreak/>
        <w:t>Sector de Transporte</w:t>
      </w:r>
      <w:r w:rsidRPr="00D04744">
        <w:rPr>
          <w:rFonts w:ascii="Verdana" w:hAnsi="Verdana"/>
        </w:rPr>
        <w:t>, hemos programado una serie de </w:t>
      </w:r>
      <w:r w:rsidRPr="00D04744">
        <w:rPr>
          <w:rFonts w:ascii="Verdana" w:hAnsi="Verdana"/>
          <w:b/>
          <w:bCs/>
        </w:rPr>
        <w:t>capacitaciones </w:t>
      </w:r>
      <w:r w:rsidRPr="00D04744">
        <w:rPr>
          <w:rFonts w:ascii="Verdana" w:hAnsi="Verdana"/>
        </w:rPr>
        <w:t>dirigidas a todos los actores involucrados en los procesos de selección. La programación correspondiente al primer semestre está disponible en el siguiente enlace: </w:t>
      </w:r>
      <w:hyperlink r:id="rId18" w:tgtFrame="_blank" w:tooltip="Dirección URL original: https://www.colombiacompra.gov.co/sites/cce_public/files/cce_documentos/circular_002_de_2025_capacitaciones_-_documentos_tipo_-_1_semestre_.pdf. Haga clic o pulse si confía en este vínculo." w:history="1">
        <w:r w:rsidRPr="00D04744">
          <w:rPr>
            <w:rStyle w:val="Hipervnculo"/>
            <w:rFonts w:ascii="Verdana" w:hAnsi="Verdana"/>
          </w:rPr>
          <w:t>circular_002_de_2025_capacitaciones_-_documentos_tipo_-_1_semestre_.pdf</w:t>
        </w:r>
      </w:hyperlink>
      <w:r w:rsidRPr="00D04744">
        <w:rPr>
          <w:rFonts w:ascii="Verdana" w:hAnsi="Verdana"/>
        </w:rPr>
        <w:t>. Asimismo, podrás realizar tu inscripción a estas capacitaciones a través del siguiente enlace: </w:t>
      </w:r>
      <w:hyperlink r:id="rId19" w:tgtFrame="_blank" w:tooltip="Dirección URL original: https://www.colombiacompra.gov.co/ciudadanos/calendario. Haga clic o pulse si confía en este vínculo." w:history="1">
        <w:r w:rsidRPr="00D04744">
          <w:rPr>
            <w:rStyle w:val="Hipervnculo"/>
            <w:rFonts w:ascii="Verdana" w:hAnsi="Verdana"/>
          </w:rPr>
          <w:t>Calendario | Colombia Compra Eficiente | Agencia Nacional de Contratación Pública</w:t>
        </w:r>
      </w:hyperlink>
    </w:p>
    <w:p w14:paraId="2AD1787B" w14:textId="77777777" w:rsidR="00A254A7" w:rsidRPr="0098092F" w:rsidRDefault="00A254A7" w:rsidP="00A254A7">
      <w:pPr>
        <w:spacing w:after="120" w:line="276" w:lineRule="auto"/>
        <w:jc w:val="both"/>
        <w:rPr>
          <w:rFonts w:ascii="Verdana" w:hAnsi="Verdana" w:cs="Arial"/>
        </w:rPr>
      </w:pPr>
    </w:p>
    <w:p w14:paraId="4107CA1F" w14:textId="77777777" w:rsidR="00A254A7" w:rsidRPr="0098092F" w:rsidRDefault="00A254A7" w:rsidP="00A254A7">
      <w:pPr>
        <w:spacing w:after="0" w:line="276" w:lineRule="auto"/>
        <w:jc w:val="both"/>
        <w:rPr>
          <w:rFonts w:ascii="Verdana" w:hAnsi="Verdana"/>
        </w:rPr>
      </w:pPr>
      <w:r w:rsidRPr="0098092F">
        <w:rPr>
          <w:rFonts w:ascii="Verdana" w:hAnsi="Verdana"/>
        </w:rPr>
        <w:t xml:space="preserve">Por último, lo invitamos a seguirnos en las redes sociales en las cuales se difunde información institucional: </w:t>
      </w:r>
    </w:p>
    <w:p w14:paraId="62E1CD05" w14:textId="77777777" w:rsidR="00A254A7" w:rsidRPr="0098092F" w:rsidRDefault="00A254A7" w:rsidP="00A254A7">
      <w:pPr>
        <w:spacing w:after="0" w:line="276" w:lineRule="auto"/>
        <w:jc w:val="both"/>
        <w:rPr>
          <w:rFonts w:ascii="Verdana" w:hAnsi="Verdana"/>
        </w:rPr>
      </w:pPr>
    </w:p>
    <w:p w14:paraId="0B8316C8" w14:textId="77777777" w:rsidR="00A254A7" w:rsidRPr="0098092F" w:rsidRDefault="00A254A7" w:rsidP="00A254A7">
      <w:pPr>
        <w:spacing w:after="0" w:line="276" w:lineRule="auto"/>
        <w:jc w:val="both"/>
        <w:rPr>
          <w:rFonts w:ascii="Verdana" w:hAnsi="Verdana"/>
        </w:rPr>
      </w:pPr>
      <w:r w:rsidRPr="0098092F">
        <w:rPr>
          <w:rFonts w:ascii="Verdana" w:hAnsi="Verdana"/>
        </w:rPr>
        <w:t xml:space="preserve">Twitter: </w:t>
      </w:r>
      <w:r w:rsidRPr="0098092F">
        <w:rPr>
          <w:rStyle w:val="Hipervnculo"/>
          <w:rFonts w:ascii="Verdana" w:hAnsi="Verdana"/>
          <w:color w:val="4472C4" w:themeColor="accent1"/>
        </w:rPr>
        <w:t>@colombiacompra</w:t>
      </w:r>
      <w:r w:rsidRPr="0098092F">
        <w:rPr>
          <w:rFonts w:ascii="Verdana" w:hAnsi="Verdana"/>
          <w:color w:val="4472C4" w:themeColor="accent1"/>
        </w:rPr>
        <w:t xml:space="preserve"> </w:t>
      </w:r>
    </w:p>
    <w:p w14:paraId="3F0DA197" w14:textId="77777777" w:rsidR="00A254A7" w:rsidRPr="0098092F" w:rsidRDefault="00A254A7" w:rsidP="00A254A7">
      <w:pPr>
        <w:spacing w:after="0" w:line="276" w:lineRule="auto"/>
        <w:jc w:val="both"/>
        <w:rPr>
          <w:rFonts w:ascii="Verdana" w:hAnsi="Verdana"/>
        </w:rPr>
      </w:pPr>
      <w:r w:rsidRPr="0098092F">
        <w:rPr>
          <w:rFonts w:ascii="Verdana" w:hAnsi="Verdana"/>
        </w:rPr>
        <w:t xml:space="preserve">Facebook: </w:t>
      </w:r>
      <w:proofErr w:type="spellStart"/>
      <w:r w:rsidRPr="0098092F">
        <w:rPr>
          <w:rStyle w:val="Hipervnculo"/>
          <w:rFonts w:ascii="Verdana" w:hAnsi="Verdana"/>
          <w:color w:val="4472C4" w:themeColor="accent1"/>
        </w:rPr>
        <w:t>ColombiaCompraEficiente</w:t>
      </w:r>
      <w:proofErr w:type="spellEnd"/>
    </w:p>
    <w:p w14:paraId="08FCFAC5" w14:textId="77777777" w:rsidR="00A254A7" w:rsidRPr="0098092F" w:rsidRDefault="00A254A7" w:rsidP="00A254A7">
      <w:pPr>
        <w:spacing w:after="0" w:line="276" w:lineRule="auto"/>
        <w:jc w:val="both"/>
        <w:rPr>
          <w:rFonts w:ascii="Verdana" w:hAnsi="Verdana"/>
        </w:rPr>
      </w:pPr>
      <w:r w:rsidRPr="0098092F">
        <w:rPr>
          <w:rFonts w:ascii="Verdana" w:hAnsi="Verdana"/>
        </w:rPr>
        <w:t xml:space="preserve">LinkedIn: </w:t>
      </w:r>
      <w:r w:rsidRPr="0098092F">
        <w:rPr>
          <w:rStyle w:val="Hipervnculo"/>
          <w:rFonts w:ascii="Verdana" w:hAnsi="Verdana"/>
          <w:color w:val="4472C4" w:themeColor="accent1"/>
        </w:rPr>
        <w:t>Agencia Nacional de Contratación Pública - Colombia Compra Eficiente</w:t>
      </w:r>
      <w:r w:rsidRPr="0098092F">
        <w:rPr>
          <w:rFonts w:ascii="Verdana" w:hAnsi="Verdana"/>
          <w:color w:val="4472C4" w:themeColor="accent1"/>
        </w:rPr>
        <w:t xml:space="preserve"> </w:t>
      </w:r>
      <w:r w:rsidRPr="0098092F">
        <w:rPr>
          <w:rFonts w:ascii="Verdana" w:hAnsi="Verdana"/>
        </w:rPr>
        <w:t xml:space="preserve">Instagram: </w:t>
      </w:r>
      <w:r w:rsidRPr="0098092F">
        <w:rPr>
          <w:rStyle w:val="Hipervnculo"/>
          <w:rFonts w:ascii="Verdana" w:hAnsi="Verdana"/>
          <w:color w:val="4472C4" w:themeColor="accent1"/>
        </w:rPr>
        <w:t>@colombiacompraeficiente_cce</w:t>
      </w:r>
    </w:p>
    <w:p w14:paraId="6C2D1408" w14:textId="77777777" w:rsidR="00A254A7" w:rsidRPr="0098092F" w:rsidRDefault="00A254A7" w:rsidP="00A254A7">
      <w:pPr>
        <w:spacing w:after="120" w:line="276" w:lineRule="auto"/>
        <w:jc w:val="both"/>
        <w:rPr>
          <w:rFonts w:ascii="Verdana" w:hAnsi="Verdana" w:cs="Arial"/>
          <w:lang w:val="es-ES"/>
        </w:rPr>
      </w:pPr>
    </w:p>
    <w:p w14:paraId="18666727" w14:textId="77777777" w:rsidR="00A254A7" w:rsidRPr="0098092F" w:rsidRDefault="00A254A7" w:rsidP="00A254A7">
      <w:pPr>
        <w:spacing w:after="120" w:line="276" w:lineRule="auto"/>
        <w:jc w:val="both"/>
        <w:rPr>
          <w:rFonts w:ascii="Verdana" w:hAnsi="Verdana" w:cs="Arial"/>
          <w:color w:val="000000" w:themeColor="text1"/>
          <w:lang w:val="es-ES_tradnl"/>
        </w:rPr>
      </w:pPr>
      <w:r w:rsidRPr="0098092F">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B8FFA8B" w14:textId="77777777" w:rsidR="00A254A7" w:rsidRPr="0098092F" w:rsidRDefault="00A254A7" w:rsidP="00A254A7">
      <w:pPr>
        <w:spacing w:after="120" w:line="276" w:lineRule="auto"/>
        <w:jc w:val="both"/>
        <w:rPr>
          <w:rFonts w:ascii="Verdana" w:eastAsia="Times New Roman" w:hAnsi="Verdana" w:cs="Arial"/>
          <w:i/>
          <w:lang w:val="es-ES" w:eastAsia="es-ES"/>
        </w:rPr>
      </w:pPr>
    </w:p>
    <w:p w14:paraId="4D8B62E3" w14:textId="77777777" w:rsidR="00A254A7" w:rsidRPr="0098092F" w:rsidRDefault="00A254A7" w:rsidP="00A254A7">
      <w:pPr>
        <w:spacing w:after="0" w:line="276" w:lineRule="auto"/>
        <w:jc w:val="both"/>
        <w:rPr>
          <w:rFonts w:ascii="Verdana" w:eastAsia="Times New Roman" w:hAnsi="Verdana" w:cs="Arial"/>
          <w:lang w:eastAsia="es-CO"/>
        </w:rPr>
      </w:pPr>
      <w:r w:rsidRPr="0098092F">
        <w:rPr>
          <w:rFonts w:ascii="Verdana" w:eastAsia="Times New Roman" w:hAnsi="Verdana" w:cs="Arial"/>
          <w:lang w:eastAsia="es-CO"/>
        </w:rPr>
        <w:t>Atentamente,</w:t>
      </w:r>
    </w:p>
    <w:p w14:paraId="775D87BC" w14:textId="77777777" w:rsidR="00A254A7" w:rsidRPr="0098092F" w:rsidRDefault="00A254A7" w:rsidP="00A254A7">
      <w:pPr>
        <w:spacing w:after="0" w:line="276" w:lineRule="auto"/>
        <w:jc w:val="both"/>
        <w:rPr>
          <w:rFonts w:ascii="Verdana" w:eastAsia="Times New Roman" w:hAnsi="Verdana" w:cs="Arial"/>
          <w:color w:val="000000"/>
          <w:lang w:val="es-ES_tradnl" w:eastAsia="es-CO"/>
        </w:rPr>
      </w:pPr>
    </w:p>
    <w:p w14:paraId="5A2D3F5E" w14:textId="6551A65A" w:rsidR="00A254A7" w:rsidRPr="0098092F" w:rsidRDefault="00421BE8" w:rsidP="00A254A7">
      <w:pPr>
        <w:spacing w:after="0" w:line="276" w:lineRule="auto"/>
        <w:jc w:val="center"/>
        <w:rPr>
          <w:rFonts w:ascii="Verdana" w:eastAsia="Times New Roman" w:hAnsi="Verdana" w:cs="Arial"/>
          <w:color w:val="000000"/>
          <w:lang w:val="es-ES_tradnl" w:eastAsia="es-CO"/>
        </w:rPr>
      </w:pPr>
      <w:r w:rsidRPr="002C3AD6">
        <w:rPr>
          <w:rFonts w:ascii="Century Gothic" w:hAnsi="Century Gothic"/>
          <w:noProof/>
        </w:rPr>
        <w:drawing>
          <wp:inline distT="0" distB="0" distL="0" distR="0" wp14:anchorId="0867B506" wp14:editId="0D9850F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p w14:paraId="14E4CD98" w14:textId="77777777" w:rsidR="00A254A7" w:rsidRPr="0098092F" w:rsidRDefault="00A254A7" w:rsidP="00A254A7">
      <w:pPr>
        <w:spacing w:after="0" w:line="276" w:lineRule="auto"/>
        <w:jc w:val="both"/>
        <w:rPr>
          <w:rFonts w:ascii="Verdana" w:eastAsia="Times New Roman" w:hAnsi="Verdana" w:cs="Arial"/>
          <w:color w:val="000000"/>
          <w:sz w:val="18"/>
          <w:szCs w:val="18"/>
          <w:lang w:val="es-ES" w:eastAsia="es-CO"/>
        </w:rPr>
      </w:pPr>
    </w:p>
    <w:tbl>
      <w:tblPr>
        <w:tblW w:w="65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4"/>
        <w:gridCol w:w="5586"/>
      </w:tblGrid>
      <w:tr w:rsidR="00A254A7" w:rsidRPr="0098092F" w14:paraId="78EBC7AE" w14:textId="77777777" w:rsidTr="00417ADA">
        <w:trPr>
          <w:trHeight w:val="398"/>
        </w:trPr>
        <w:tc>
          <w:tcPr>
            <w:tcW w:w="924" w:type="dxa"/>
            <w:tcBorders>
              <w:top w:val="nil"/>
              <w:left w:val="nil"/>
              <w:bottom w:val="nil"/>
              <w:right w:val="nil"/>
            </w:tcBorders>
            <w:vAlign w:val="center"/>
            <w:hideMark/>
          </w:tcPr>
          <w:p w14:paraId="28B00EE5" w14:textId="77777777" w:rsidR="00A254A7" w:rsidRPr="0098092F" w:rsidRDefault="00A254A7" w:rsidP="00417ADA">
            <w:pPr>
              <w:spacing w:after="0" w:line="276" w:lineRule="auto"/>
              <w:jc w:val="both"/>
              <w:rPr>
                <w:rFonts w:ascii="Verdana" w:hAnsi="Verdana" w:cs="Arial"/>
                <w:sz w:val="16"/>
                <w:szCs w:val="16"/>
              </w:rPr>
            </w:pPr>
            <w:r w:rsidRPr="0098092F">
              <w:rPr>
                <w:rFonts w:ascii="Verdana" w:hAnsi="Verdana" w:cs="Arial"/>
                <w:sz w:val="16"/>
                <w:szCs w:val="16"/>
              </w:rPr>
              <w:t>Elaboró: </w:t>
            </w:r>
          </w:p>
        </w:tc>
        <w:tc>
          <w:tcPr>
            <w:tcW w:w="5586" w:type="dxa"/>
            <w:tcBorders>
              <w:top w:val="nil"/>
              <w:left w:val="nil"/>
              <w:bottom w:val="dotted" w:sz="6" w:space="0" w:color="7F7F7F" w:themeColor="text1" w:themeTint="80"/>
              <w:right w:val="nil"/>
            </w:tcBorders>
            <w:vAlign w:val="center"/>
            <w:hideMark/>
          </w:tcPr>
          <w:p w14:paraId="05383665" w14:textId="2E833944" w:rsidR="00A254A7" w:rsidRPr="0098092F" w:rsidRDefault="006455F2" w:rsidP="00417ADA">
            <w:pPr>
              <w:spacing w:after="0" w:line="276" w:lineRule="auto"/>
              <w:jc w:val="both"/>
              <w:rPr>
                <w:rFonts w:ascii="Verdana" w:hAnsi="Verdana" w:cs="Arial"/>
                <w:sz w:val="16"/>
                <w:szCs w:val="16"/>
              </w:rPr>
            </w:pPr>
            <w:r>
              <w:rPr>
                <w:rFonts w:ascii="Verdana" w:hAnsi="Verdana" w:cs="Arial"/>
                <w:sz w:val="16"/>
                <w:szCs w:val="16"/>
              </w:rPr>
              <w:t xml:space="preserve">Diana </w:t>
            </w:r>
            <w:r w:rsidR="00A254A7" w:rsidRPr="0098092F">
              <w:rPr>
                <w:rFonts w:ascii="Verdana" w:hAnsi="Verdana" w:cs="Arial"/>
                <w:sz w:val="16"/>
                <w:szCs w:val="16"/>
              </w:rPr>
              <w:t xml:space="preserve">Carolina Blanco Rodriguez </w:t>
            </w:r>
          </w:p>
          <w:p w14:paraId="588B73F1" w14:textId="77777777" w:rsidR="00A254A7" w:rsidRPr="0098092F" w:rsidRDefault="00A254A7" w:rsidP="00417ADA">
            <w:pPr>
              <w:spacing w:after="0" w:line="276" w:lineRule="auto"/>
              <w:jc w:val="both"/>
              <w:rPr>
                <w:rFonts w:ascii="Verdana" w:hAnsi="Verdana" w:cs="Arial"/>
                <w:sz w:val="16"/>
                <w:szCs w:val="16"/>
              </w:rPr>
            </w:pPr>
            <w:r w:rsidRPr="0098092F">
              <w:rPr>
                <w:rFonts w:ascii="Verdana" w:hAnsi="Verdana" w:cs="Arial"/>
                <w:sz w:val="16"/>
                <w:szCs w:val="16"/>
              </w:rPr>
              <w:t>Contratista de la Subdirección de Gestión Contractual</w:t>
            </w:r>
          </w:p>
        </w:tc>
      </w:tr>
      <w:tr w:rsidR="00A254A7" w:rsidRPr="0098092F" w14:paraId="235A1FE1" w14:textId="77777777" w:rsidTr="00417ADA">
        <w:trPr>
          <w:trHeight w:val="398"/>
        </w:trPr>
        <w:tc>
          <w:tcPr>
            <w:tcW w:w="924" w:type="dxa"/>
            <w:tcBorders>
              <w:top w:val="nil"/>
              <w:left w:val="nil"/>
              <w:right w:val="nil"/>
            </w:tcBorders>
            <w:vAlign w:val="center"/>
          </w:tcPr>
          <w:p w14:paraId="085843F8" w14:textId="77777777" w:rsidR="00A254A7" w:rsidRPr="0098092F" w:rsidRDefault="00A254A7" w:rsidP="00417ADA">
            <w:pPr>
              <w:spacing w:after="0" w:line="276" w:lineRule="auto"/>
              <w:jc w:val="both"/>
              <w:rPr>
                <w:rFonts w:ascii="Verdana" w:hAnsi="Verdana" w:cs="Arial"/>
                <w:sz w:val="16"/>
                <w:szCs w:val="16"/>
              </w:rPr>
            </w:pPr>
            <w:r w:rsidRPr="0098092F">
              <w:rPr>
                <w:rFonts w:ascii="Verdana" w:hAnsi="Verdana" w:cs="Arial"/>
                <w:sz w:val="16"/>
                <w:szCs w:val="16"/>
              </w:rPr>
              <w:t>Revisó</w:t>
            </w:r>
          </w:p>
        </w:tc>
        <w:tc>
          <w:tcPr>
            <w:tcW w:w="5586" w:type="dxa"/>
            <w:tcBorders>
              <w:top w:val="dotted" w:sz="6" w:space="0" w:color="7F7F7F" w:themeColor="text1" w:themeTint="80"/>
              <w:left w:val="nil"/>
              <w:bottom w:val="dotted" w:sz="6" w:space="0" w:color="7F7F7F" w:themeColor="text1" w:themeTint="80"/>
              <w:right w:val="nil"/>
            </w:tcBorders>
            <w:vAlign w:val="center"/>
          </w:tcPr>
          <w:p w14:paraId="3D3427FB" w14:textId="26911A0A" w:rsidR="00A254A7" w:rsidRPr="0098092F" w:rsidRDefault="00A254A7" w:rsidP="00417ADA">
            <w:pPr>
              <w:spacing w:after="0" w:line="276" w:lineRule="auto"/>
              <w:jc w:val="both"/>
              <w:rPr>
                <w:rStyle w:val="normaltextrun"/>
                <w:rFonts w:ascii="Verdana" w:eastAsia="Arial" w:hAnsi="Verdana" w:cs="Arial"/>
                <w:color w:val="000000" w:themeColor="text1"/>
                <w:sz w:val="16"/>
                <w:szCs w:val="16"/>
              </w:rPr>
            </w:pPr>
            <w:r>
              <w:rPr>
                <w:rStyle w:val="normaltextrun"/>
                <w:rFonts w:ascii="Verdana" w:eastAsia="Arial" w:hAnsi="Verdana" w:cs="Arial"/>
                <w:color w:val="000000" w:themeColor="text1"/>
                <w:sz w:val="16"/>
                <w:szCs w:val="16"/>
              </w:rPr>
              <w:t>Martha Alicia Romero Vargas</w:t>
            </w:r>
          </w:p>
          <w:p w14:paraId="14EEAC71" w14:textId="5DE73B6C" w:rsidR="00A254A7" w:rsidRPr="0098092F" w:rsidRDefault="00A254A7" w:rsidP="00417ADA">
            <w:pPr>
              <w:spacing w:after="0" w:line="276" w:lineRule="auto"/>
              <w:jc w:val="both"/>
              <w:rPr>
                <w:rFonts w:ascii="Verdana" w:hAnsi="Verdana" w:cs="Arial"/>
                <w:sz w:val="16"/>
                <w:szCs w:val="16"/>
              </w:rPr>
            </w:pPr>
            <w:r w:rsidRPr="0098092F">
              <w:rPr>
                <w:rStyle w:val="normaltextrun"/>
                <w:rFonts w:ascii="Verdana" w:eastAsia="Arial" w:hAnsi="Verdana" w:cs="Arial"/>
                <w:color w:val="000000" w:themeColor="text1"/>
                <w:sz w:val="16"/>
                <w:szCs w:val="16"/>
              </w:rPr>
              <w:t>Gestor código T1 grado 1</w:t>
            </w:r>
            <w:r>
              <w:rPr>
                <w:rStyle w:val="normaltextrun"/>
                <w:rFonts w:ascii="Verdana" w:eastAsia="Arial" w:hAnsi="Verdana" w:cs="Arial"/>
                <w:color w:val="000000" w:themeColor="text1"/>
                <w:sz w:val="16"/>
                <w:szCs w:val="16"/>
              </w:rPr>
              <w:t>5</w:t>
            </w:r>
            <w:r w:rsidRPr="0098092F">
              <w:rPr>
                <w:rStyle w:val="normaltextrun"/>
                <w:rFonts w:ascii="Verdana" w:eastAsia="Arial" w:hAnsi="Verdana" w:cs="Arial"/>
                <w:color w:val="000000" w:themeColor="text1"/>
                <w:sz w:val="16"/>
                <w:szCs w:val="16"/>
              </w:rPr>
              <w:t xml:space="preserve"> de la Subdirección de Gestión Contractual</w:t>
            </w:r>
          </w:p>
        </w:tc>
      </w:tr>
      <w:tr w:rsidR="00A254A7" w:rsidRPr="0098092F" w14:paraId="72DEB08D" w14:textId="77777777" w:rsidTr="00417ADA">
        <w:trPr>
          <w:trHeight w:val="379"/>
        </w:trPr>
        <w:tc>
          <w:tcPr>
            <w:tcW w:w="924" w:type="dxa"/>
            <w:tcBorders>
              <w:top w:val="nil"/>
              <w:left w:val="nil"/>
              <w:bottom w:val="nil"/>
              <w:right w:val="nil"/>
            </w:tcBorders>
            <w:vAlign w:val="center"/>
            <w:hideMark/>
          </w:tcPr>
          <w:p w14:paraId="5385B063" w14:textId="77777777" w:rsidR="00A254A7" w:rsidRPr="0098092F" w:rsidRDefault="00A254A7" w:rsidP="00417ADA">
            <w:pPr>
              <w:spacing w:after="0" w:line="276" w:lineRule="auto"/>
              <w:jc w:val="both"/>
              <w:rPr>
                <w:rFonts w:ascii="Verdana" w:hAnsi="Verdana" w:cs="Arial"/>
                <w:sz w:val="16"/>
                <w:szCs w:val="16"/>
              </w:rPr>
            </w:pPr>
            <w:r w:rsidRPr="0098092F">
              <w:rPr>
                <w:rFonts w:ascii="Verdana" w:hAnsi="Verdana" w:cs="Arial"/>
                <w:sz w:val="16"/>
                <w:szCs w:val="16"/>
              </w:rPr>
              <w:t>Aprobó: </w:t>
            </w:r>
          </w:p>
        </w:tc>
        <w:tc>
          <w:tcPr>
            <w:tcW w:w="5586" w:type="dxa"/>
            <w:tcBorders>
              <w:top w:val="dotted" w:sz="6" w:space="0" w:color="7F7F7F" w:themeColor="text1" w:themeTint="80"/>
              <w:left w:val="nil"/>
              <w:bottom w:val="dotted" w:sz="6" w:space="0" w:color="7F7F7F" w:themeColor="text1" w:themeTint="80"/>
              <w:right w:val="nil"/>
            </w:tcBorders>
            <w:vAlign w:val="center"/>
            <w:hideMark/>
          </w:tcPr>
          <w:p w14:paraId="4ACCA1E7" w14:textId="77777777" w:rsidR="00A254A7" w:rsidRPr="0098092F" w:rsidRDefault="00A254A7" w:rsidP="00417ADA">
            <w:pPr>
              <w:spacing w:after="0" w:line="276" w:lineRule="auto"/>
              <w:jc w:val="both"/>
              <w:rPr>
                <w:rFonts w:ascii="Verdana" w:eastAsia="Calibri" w:hAnsi="Verdana" w:cs="Arial"/>
                <w:sz w:val="16"/>
                <w:szCs w:val="16"/>
                <w:lang w:val="pt-BR" w:eastAsia="es-ES"/>
              </w:rPr>
            </w:pPr>
            <w:r w:rsidRPr="0098092F">
              <w:rPr>
                <w:rFonts w:ascii="Verdana" w:eastAsia="Calibri" w:hAnsi="Verdana" w:cs="Arial"/>
                <w:sz w:val="16"/>
                <w:szCs w:val="16"/>
                <w:lang w:val="pt-BR" w:eastAsia="es-ES"/>
              </w:rPr>
              <w:t xml:space="preserve">Carolina Quintero </w:t>
            </w:r>
            <w:proofErr w:type="spellStart"/>
            <w:r w:rsidRPr="0098092F">
              <w:rPr>
                <w:rFonts w:ascii="Verdana" w:eastAsia="Calibri" w:hAnsi="Verdana" w:cs="Arial"/>
                <w:sz w:val="16"/>
                <w:szCs w:val="16"/>
                <w:lang w:val="pt-BR" w:eastAsia="es-ES"/>
              </w:rPr>
              <w:t>Gacharná</w:t>
            </w:r>
            <w:proofErr w:type="spellEnd"/>
          </w:p>
          <w:p w14:paraId="276BEFE3" w14:textId="77777777" w:rsidR="00A254A7" w:rsidRPr="0098092F" w:rsidRDefault="00A254A7" w:rsidP="00417ADA">
            <w:pPr>
              <w:spacing w:after="0" w:line="276" w:lineRule="auto"/>
              <w:jc w:val="both"/>
              <w:rPr>
                <w:rFonts w:ascii="Verdana" w:hAnsi="Verdana" w:cs="Arial"/>
                <w:sz w:val="16"/>
                <w:szCs w:val="16"/>
              </w:rPr>
            </w:pPr>
            <w:r w:rsidRPr="0098092F">
              <w:rPr>
                <w:rFonts w:ascii="Verdana" w:hAnsi="Verdana" w:cs="Arial"/>
                <w:sz w:val="16"/>
                <w:szCs w:val="16"/>
              </w:rPr>
              <w:t>Subdirectora de Gestión Contractual ANCP – CCE</w:t>
            </w:r>
          </w:p>
        </w:tc>
      </w:tr>
    </w:tbl>
    <w:p w14:paraId="104B8A35" w14:textId="77777777" w:rsidR="00A254A7" w:rsidRPr="00A32DDE" w:rsidRDefault="00A254A7" w:rsidP="00A32DDE"/>
    <w:sectPr w:rsidR="00A254A7" w:rsidRPr="00A32DDE"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B2C33" w14:textId="77777777" w:rsidR="000A513B" w:rsidRDefault="000A513B" w:rsidP="004A1847">
      <w:pPr>
        <w:spacing w:after="0" w:line="240" w:lineRule="auto"/>
      </w:pPr>
      <w:r>
        <w:separator/>
      </w:r>
    </w:p>
  </w:endnote>
  <w:endnote w:type="continuationSeparator" w:id="0">
    <w:p w14:paraId="6E01F35A" w14:textId="77777777" w:rsidR="000A513B" w:rsidRDefault="000A513B" w:rsidP="004A1847">
      <w:pPr>
        <w:spacing w:after="0" w:line="240" w:lineRule="auto"/>
      </w:pPr>
      <w:r>
        <w:continuationSeparator/>
      </w:r>
    </w:p>
  </w:endnote>
  <w:endnote w:type="continuationNotice" w:id="1">
    <w:p w14:paraId="7CF1B9A5" w14:textId="77777777" w:rsidR="000A513B" w:rsidRDefault="000A51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FD06A" w14:textId="77777777" w:rsidR="000A513B" w:rsidRDefault="000A513B" w:rsidP="004A1847">
      <w:pPr>
        <w:spacing w:after="0" w:line="240" w:lineRule="auto"/>
      </w:pPr>
      <w:r>
        <w:separator/>
      </w:r>
    </w:p>
  </w:footnote>
  <w:footnote w:type="continuationSeparator" w:id="0">
    <w:p w14:paraId="3AFCEB44" w14:textId="77777777" w:rsidR="000A513B" w:rsidRDefault="000A513B" w:rsidP="004A1847">
      <w:pPr>
        <w:spacing w:after="0" w:line="240" w:lineRule="auto"/>
      </w:pPr>
      <w:r>
        <w:continuationSeparator/>
      </w:r>
    </w:p>
  </w:footnote>
  <w:footnote w:type="continuationNotice" w:id="1">
    <w:p w14:paraId="3BC819E9" w14:textId="77777777" w:rsidR="000A513B" w:rsidRDefault="000A513B">
      <w:pPr>
        <w:spacing w:after="0" w:line="240" w:lineRule="auto"/>
      </w:pPr>
    </w:p>
  </w:footnote>
  <w:footnote w:id="2">
    <w:p w14:paraId="15B07895" w14:textId="77777777" w:rsidR="00303A0F" w:rsidRPr="0058660B" w:rsidRDefault="00303A0F" w:rsidP="00303A0F">
      <w:pPr>
        <w:spacing w:line="240" w:lineRule="auto"/>
        <w:contextualSpacing/>
        <w:jc w:val="both"/>
        <w:rPr>
          <w:rFonts w:ascii="Verdana" w:hAnsi="Verdana"/>
          <w:sz w:val="16"/>
          <w:szCs w:val="16"/>
        </w:rPr>
      </w:pPr>
    </w:p>
  </w:footnote>
  <w:footnote w:id="3">
    <w:p w14:paraId="2E0EAF0B" w14:textId="77777777" w:rsidR="00303A0F" w:rsidRPr="0058660B" w:rsidRDefault="00303A0F" w:rsidP="00303A0F">
      <w:pPr>
        <w:pStyle w:val="Textonotapie"/>
        <w:ind w:firstLine="708"/>
        <w:jc w:val="both"/>
        <w:rPr>
          <w:rFonts w:ascii="Verdana" w:hAnsi="Verdana"/>
          <w:sz w:val="16"/>
          <w:szCs w:val="16"/>
          <w:lang w:val="es-CO"/>
        </w:rPr>
      </w:pPr>
      <w:r w:rsidRPr="0058660B">
        <w:rPr>
          <w:rStyle w:val="Refdenotaalpie"/>
          <w:rFonts w:ascii="Verdana" w:hAnsi="Verdana"/>
          <w:sz w:val="16"/>
          <w:szCs w:val="16"/>
        </w:rPr>
        <w:footnoteRef/>
      </w:r>
      <w:r w:rsidRPr="0058660B">
        <w:rPr>
          <w:rFonts w:ascii="Verdana" w:hAnsi="Verdana"/>
          <w:sz w:val="16"/>
          <w:szCs w:val="16"/>
        </w:rPr>
        <w:t xml:space="preserve"> </w:t>
      </w:r>
      <w:r w:rsidRPr="0058660B">
        <w:rPr>
          <w:rFonts w:ascii="Verdana" w:hAnsi="Verdana"/>
          <w:sz w:val="16"/>
          <w:szCs w:val="16"/>
          <w:lang w:val="es-CO"/>
        </w:rPr>
        <w:t>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 a las Entidades Estatales, identificados con el Clasificador de Bienes y Servicios en el tercer nivel y su valor expresado en SMMLV. [...]”.</w:t>
      </w:r>
    </w:p>
    <w:p w14:paraId="0848A406" w14:textId="77777777" w:rsidR="0058660B" w:rsidRPr="0058660B" w:rsidRDefault="0058660B" w:rsidP="00303A0F">
      <w:pPr>
        <w:pStyle w:val="Textonotapie"/>
        <w:ind w:firstLine="708"/>
        <w:jc w:val="both"/>
        <w:rPr>
          <w:rFonts w:ascii="Verdana" w:hAnsi="Verdana"/>
          <w:sz w:val="16"/>
          <w:szCs w:val="16"/>
          <w:lang w:val="es-ES"/>
        </w:rPr>
      </w:pPr>
    </w:p>
  </w:footnote>
  <w:footnote w:id="4">
    <w:p w14:paraId="55338A00" w14:textId="40D884A2" w:rsidR="00C061B6" w:rsidRDefault="00C061B6" w:rsidP="00C061B6">
      <w:pPr>
        <w:pStyle w:val="Textonotapie"/>
        <w:ind w:firstLine="708"/>
      </w:pPr>
      <w:r>
        <w:rPr>
          <w:rStyle w:val="Refdenotaalpie"/>
        </w:rPr>
        <w:footnoteRef/>
      </w:r>
      <w:r>
        <w:t xml:space="preserve"> </w:t>
      </w:r>
      <w:hyperlink r:id="rId1" w:history="1">
        <w:r w:rsidRPr="00A45555">
          <w:rPr>
            <w:rStyle w:val="Hipervnculo"/>
          </w:rPr>
          <w:t>https://colombiacompra.gov.co/sites/cce_public/files/cce_clasificador/manualclasificador.pdf</w:t>
        </w:r>
      </w:hyperlink>
    </w:p>
    <w:p w14:paraId="36549944" w14:textId="77777777" w:rsidR="00C061B6" w:rsidRDefault="00C061B6" w:rsidP="00C061B6">
      <w:pPr>
        <w:pStyle w:val="Textonotapie"/>
        <w:ind w:firstLine="708"/>
      </w:pPr>
    </w:p>
  </w:footnote>
  <w:footnote w:id="5">
    <w:p w14:paraId="045DF458" w14:textId="57EAD32C" w:rsidR="00303A0F" w:rsidRPr="008D3EAB" w:rsidRDefault="00303A0F" w:rsidP="00303A0F">
      <w:pPr>
        <w:pStyle w:val="Textonotapie"/>
        <w:ind w:firstLine="708"/>
        <w:rPr>
          <w:rFonts w:ascii="Verdana" w:hAnsi="Verdana"/>
          <w:sz w:val="16"/>
          <w:szCs w:val="16"/>
        </w:rPr>
      </w:pPr>
      <w:r w:rsidRPr="0058660B">
        <w:rPr>
          <w:rStyle w:val="Refdenotaalpie"/>
          <w:rFonts w:ascii="Verdana" w:hAnsi="Verdana"/>
          <w:sz w:val="16"/>
          <w:szCs w:val="16"/>
        </w:rPr>
        <w:footnoteRef/>
      </w:r>
      <w:r w:rsidRPr="0058660B">
        <w:rPr>
          <w:rFonts w:ascii="Verdana" w:hAnsi="Verdana"/>
          <w:sz w:val="16"/>
          <w:szCs w:val="16"/>
        </w:rPr>
        <w:t xml:space="preserve"> </w:t>
      </w:r>
      <w:r w:rsidRPr="008D3EAB">
        <w:rPr>
          <w:rFonts w:ascii="Verdana" w:hAnsi="Verdana"/>
          <w:sz w:val="16"/>
          <w:szCs w:val="16"/>
        </w:rPr>
        <w:t xml:space="preserve">Se puede consultar en el siguiente enlace: </w:t>
      </w:r>
      <w:hyperlink r:id="rId2" w:history="1">
        <w:r w:rsidR="008D3EAB" w:rsidRPr="008D3EAB">
          <w:rPr>
            <w:rStyle w:val="Hipervnculo"/>
            <w:rFonts w:ascii="Verdana" w:hAnsi="Verdana"/>
            <w:sz w:val="16"/>
            <w:szCs w:val="16"/>
          </w:rPr>
          <w:t>https://www.colombiacompra.gov.co/sites/cce_public/files/cce_documents/cce-eicp-ma-04._manual_requisitos_habilitantes_v3_29-09-2023.pdf</w:t>
        </w:r>
      </w:hyperlink>
    </w:p>
    <w:p w14:paraId="2FB94AE5" w14:textId="77777777" w:rsidR="008D3EAB" w:rsidRDefault="008D3EAB" w:rsidP="00303A0F">
      <w:pPr>
        <w:pStyle w:val="Textonotapie"/>
        <w:ind w:firstLine="708"/>
        <w:rPr>
          <w:rFonts w:ascii="Verdana" w:hAnsi="Verdana"/>
          <w:sz w:val="16"/>
          <w:szCs w:val="16"/>
        </w:rPr>
      </w:pPr>
    </w:p>
    <w:p w14:paraId="76E42DCC" w14:textId="77777777" w:rsidR="005740F9" w:rsidRPr="0058660B" w:rsidRDefault="005740F9" w:rsidP="00303A0F">
      <w:pPr>
        <w:pStyle w:val="Textonotapie"/>
        <w:ind w:firstLine="708"/>
        <w:rPr>
          <w:rFonts w:ascii="Verdana" w:hAnsi="Verdana"/>
          <w:sz w:val="16"/>
          <w:szCs w:val="16"/>
        </w:rPr>
      </w:pPr>
    </w:p>
  </w:footnote>
  <w:footnote w:id="6">
    <w:p w14:paraId="6241F875" w14:textId="78F3B3EB" w:rsidR="008109FA" w:rsidRPr="0058660B" w:rsidRDefault="008109FA" w:rsidP="008109FA">
      <w:pPr>
        <w:pStyle w:val="Textonotapie"/>
        <w:ind w:firstLine="709"/>
        <w:jc w:val="both"/>
        <w:rPr>
          <w:rFonts w:ascii="Verdana" w:hAnsi="Verdana" w:cstheme="minorHAnsi"/>
          <w:sz w:val="18"/>
          <w:szCs w:val="18"/>
        </w:rPr>
      </w:pPr>
      <w:r w:rsidRPr="0058660B">
        <w:rPr>
          <w:rStyle w:val="Refdenotaalpie"/>
          <w:rFonts w:ascii="Verdana" w:hAnsi="Verdana" w:cstheme="minorHAnsi"/>
          <w:sz w:val="18"/>
          <w:szCs w:val="18"/>
        </w:rPr>
        <w:footnoteRef/>
      </w:r>
      <w:r w:rsidRPr="0058660B">
        <w:rPr>
          <w:rFonts w:ascii="Verdana" w:hAnsi="Verdana" w:cstheme="minorHAnsi"/>
          <w:sz w:val="18"/>
          <w:szCs w:val="18"/>
        </w:rPr>
        <w:t xml:space="preserve">  Agencia Nacional de Contratación Pública – Colombia Compra Eficiente, Circular Externa Única. Expedida el 15 de julio de 2022. Disponible en: </w:t>
      </w:r>
      <w:hyperlink r:id="rId3" w:history="1">
        <w:r w:rsidR="008D3EAB" w:rsidRPr="00A45555">
          <w:rPr>
            <w:rStyle w:val="Hipervnculo"/>
            <w:rFonts w:ascii="Verdana" w:hAnsi="Verdana" w:cstheme="minorHAnsi"/>
            <w:sz w:val="18"/>
            <w:szCs w:val="18"/>
          </w:rPr>
          <w:t>https://www.colombiacompra.gov.co/sites/cce_public/files/cce_circulares/cce-eicp-ma-06_circular_externa_con_comentarios_de_ciudadanos-_v2f_002.pdf</w:t>
        </w:r>
      </w:hyperlink>
    </w:p>
  </w:footnote>
  <w:footnote w:id="7">
    <w:p w14:paraId="17E57D91" w14:textId="77777777" w:rsidR="008109FA" w:rsidRPr="0058660B" w:rsidRDefault="008109FA" w:rsidP="008109FA">
      <w:pPr>
        <w:pStyle w:val="Textonotapie"/>
        <w:ind w:firstLine="709"/>
        <w:contextualSpacing/>
        <w:jc w:val="both"/>
        <w:rPr>
          <w:rFonts w:ascii="Verdana" w:hAnsi="Verdana" w:cstheme="minorHAnsi"/>
          <w:sz w:val="18"/>
          <w:szCs w:val="18"/>
        </w:rPr>
      </w:pPr>
      <w:r w:rsidRPr="0058660B">
        <w:rPr>
          <w:rStyle w:val="Refdenotaalpie"/>
          <w:rFonts w:ascii="Verdana" w:hAnsi="Verdana" w:cstheme="minorHAnsi"/>
          <w:sz w:val="18"/>
          <w:szCs w:val="18"/>
        </w:rPr>
        <w:footnoteRef/>
      </w:r>
      <w:r w:rsidRPr="0058660B">
        <w:rPr>
          <w:rFonts w:ascii="Verdana" w:hAnsi="Verdana" w:cstheme="minorHAnsi"/>
          <w:sz w:val="18"/>
          <w:szCs w:val="18"/>
        </w:rPr>
        <w:t xml:space="preserve"> </w:t>
      </w:r>
      <w:r w:rsidRPr="0058660B">
        <w:rPr>
          <w:rFonts w:ascii="Verdana" w:hAnsi="Verdana" w:cstheme="minorHAnsi"/>
          <w:i/>
          <w:iCs/>
          <w:sz w:val="18"/>
          <w:szCs w:val="18"/>
        </w:rPr>
        <w:t>Ibíd.</w:t>
      </w:r>
      <w:r w:rsidRPr="0058660B">
        <w:rPr>
          <w:rFonts w:ascii="Verdana" w:hAnsi="Verdana" w:cstheme="minorHAnsi"/>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517A65"/>
    <w:multiLevelType w:val="hybridMultilevel"/>
    <w:tmpl w:val="9B5A32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A15124"/>
    <w:multiLevelType w:val="hybridMultilevel"/>
    <w:tmpl w:val="44E805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D55BAF"/>
    <w:multiLevelType w:val="hybridMultilevel"/>
    <w:tmpl w:val="03D41E02"/>
    <w:lvl w:ilvl="0" w:tplc="7A4AF5AE">
      <w:numFmt w:val="bullet"/>
      <w:lvlText w:val="-"/>
      <w:lvlJc w:val="left"/>
      <w:pPr>
        <w:ind w:left="363" w:hanging="143"/>
      </w:pPr>
      <w:rPr>
        <w:rFonts w:ascii="Arial" w:eastAsia="Arial" w:hAnsi="Arial" w:cs="Arial" w:hint="default"/>
        <w:color w:val="4E4D4D"/>
        <w:w w:val="100"/>
        <w:sz w:val="22"/>
        <w:szCs w:val="22"/>
        <w:lang w:val="es-ES" w:eastAsia="en-US" w:bidi="ar-SA"/>
      </w:rPr>
    </w:lvl>
    <w:lvl w:ilvl="1" w:tplc="A2C0492E">
      <w:numFmt w:val="bullet"/>
      <w:lvlText w:val="•"/>
      <w:lvlJc w:val="left"/>
      <w:pPr>
        <w:ind w:left="1250" w:hanging="143"/>
      </w:pPr>
      <w:rPr>
        <w:rFonts w:hint="default"/>
        <w:lang w:val="es-ES" w:eastAsia="en-US" w:bidi="ar-SA"/>
      </w:rPr>
    </w:lvl>
    <w:lvl w:ilvl="2" w:tplc="CFDE184E">
      <w:numFmt w:val="bullet"/>
      <w:lvlText w:val="•"/>
      <w:lvlJc w:val="left"/>
      <w:pPr>
        <w:ind w:left="2140" w:hanging="143"/>
      </w:pPr>
      <w:rPr>
        <w:rFonts w:hint="default"/>
        <w:lang w:val="es-ES" w:eastAsia="en-US" w:bidi="ar-SA"/>
      </w:rPr>
    </w:lvl>
    <w:lvl w:ilvl="3" w:tplc="B120A284">
      <w:numFmt w:val="bullet"/>
      <w:lvlText w:val="•"/>
      <w:lvlJc w:val="left"/>
      <w:pPr>
        <w:ind w:left="3030" w:hanging="143"/>
      </w:pPr>
      <w:rPr>
        <w:rFonts w:hint="default"/>
        <w:lang w:val="es-ES" w:eastAsia="en-US" w:bidi="ar-SA"/>
      </w:rPr>
    </w:lvl>
    <w:lvl w:ilvl="4" w:tplc="4CD2A566">
      <w:numFmt w:val="bullet"/>
      <w:lvlText w:val="•"/>
      <w:lvlJc w:val="left"/>
      <w:pPr>
        <w:ind w:left="3920" w:hanging="143"/>
      </w:pPr>
      <w:rPr>
        <w:rFonts w:hint="default"/>
        <w:lang w:val="es-ES" w:eastAsia="en-US" w:bidi="ar-SA"/>
      </w:rPr>
    </w:lvl>
    <w:lvl w:ilvl="5" w:tplc="BA26CCAA">
      <w:numFmt w:val="bullet"/>
      <w:lvlText w:val="•"/>
      <w:lvlJc w:val="left"/>
      <w:pPr>
        <w:ind w:left="4810" w:hanging="143"/>
      </w:pPr>
      <w:rPr>
        <w:rFonts w:hint="default"/>
        <w:lang w:val="es-ES" w:eastAsia="en-US" w:bidi="ar-SA"/>
      </w:rPr>
    </w:lvl>
    <w:lvl w:ilvl="6" w:tplc="5026518C">
      <w:numFmt w:val="bullet"/>
      <w:lvlText w:val="•"/>
      <w:lvlJc w:val="left"/>
      <w:pPr>
        <w:ind w:left="5700" w:hanging="143"/>
      </w:pPr>
      <w:rPr>
        <w:rFonts w:hint="default"/>
        <w:lang w:val="es-ES" w:eastAsia="en-US" w:bidi="ar-SA"/>
      </w:rPr>
    </w:lvl>
    <w:lvl w:ilvl="7" w:tplc="E644749C">
      <w:numFmt w:val="bullet"/>
      <w:lvlText w:val="•"/>
      <w:lvlJc w:val="left"/>
      <w:pPr>
        <w:ind w:left="6590" w:hanging="143"/>
      </w:pPr>
      <w:rPr>
        <w:rFonts w:hint="default"/>
        <w:lang w:val="es-ES" w:eastAsia="en-US" w:bidi="ar-SA"/>
      </w:rPr>
    </w:lvl>
    <w:lvl w:ilvl="8" w:tplc="097E9916">
      <w:numFmt w:val="bullet"/>
      <w:lvlText w:val="•"/>
      <w:lvlJc w:val="left"/>
      <w:pPr>
        <w:ind w:left="7480" w:hanging="143"/>
      </w:pPr>
      <w:rPr>
        <w:rFonts w:hint="default"/>
        <w:lang w:val="es-ES" w:eastAsia="en-US" w:bidi="ar-SA"/>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6211520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4311308">
    <w:abstractNumId w:val="0"/>
  </w:num>
  <w:num w:numId="18" w16cid:durableId="951009042">
    <w:abstractNumId w:val="18"/>
  </w:num>
  <w:num w:numId="19" w16cid:durableId="1375736088">
    <w:abstractNumId w:val="13"/>
  </w:num>
  <w:num w:numId="20" w16cid:durableId="841554727">
    <w:abstractNumId w:val="3"/>
  </w:num>
  <w:num w:numId="21" w16cid:durableId="1492209491">
    <w:abstractNumId w:val="7"/>
  </w:num>
  <w:num w:numId="22" w16cid:durableId="5521599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3B0"/>
    <w:rsid w:val="00046945"/>
    <w:rsid w:val="000551CE"/>
    <w:rsid w:val="00061B2A"/>
    <w:rsid w:val="00070723"/>
    <w:rsid w:val="00082362"/>
    <w:rsid w:val="0009132D"/>
    <w:rsid w:val="00091362"/>
    <w:rsid w:val="000A513B"/>
    <w:rsid w:val="000A683E"/>
    <w:rsid w:val="000B19B9"/>
    <w:rsid w:val="000D01C5"/>
    <w:rsid w:val="000D0334"/>
    <w:rsid w:val="000D0A06"/>
    <w:rsid w:val="000F6486"/>
    <w:rsid w:val="0012447B"/>
    <w:rsid w:val="00125105"/>
    <w:rsid w:val="00127233"/>
    <w:rsid w:val="001511A0"/>
    <w:rsid w:val="00152001"/>
    <w:rsid w:val="00155EB5"/>
    <w:rsid w:val="00162647"/>
    <w:rsid w:val="00167216"/>
    <w:rsid w:val="00196623"/>
    <w:rsid w:val="001A5566"/>
    <w:rsid w:val="001C786C"/>
    <w:rsid w:val="001E4177"/>
    <w:rsid w:val="001F7DC6"/>
    <w:rsid w:val="0023045D"/>
    <w:rsid w:val="002421BB"/>
    <w:rsid w:val="0025796E"/>
    <w:rsid w:val="002707A2"/>
    <w:rsid w:val="002865D9"/>
    <w:rsid w:val="002951A0"/>
    <w:rsid w:val="002962BC"/>
    <w:rsid w:val="002A093D"/>
    <w:rsid w:val="002A0DD0"/>
    <w:rsid w:val="002A49AC"/>
    <w:rsid w:val="002A64FD"/>
    <w:rsid w:val="002B6E60"/>
    <w:rsid w:val="002C7A84"/>
    <w:rsid w:val="002E4DE6"/>
    <w:rsid w:val="002E4FD9"/>
    <w:rsid w:val="002F5D52"/>
    <w:rsid w:val="00303A0F"/>
    <w:rsid w:val="00322A85"/>
    <w:rsid w:val="00324168"/>
    <w:rsid w:val="0034273B"/>
    <w:rsid w:val="003448F4"/>
    <w:rsid w:val="00374F5E"/>
    <w:rsid w:val="00377E3E"/>
    <w:rsid w:val="003A779E"/>
    <w:rsid w:val="003B3075"/>
    <w:rsid w:val="003B6D92"/>
    <w:rsid w:val="003D00C4"/>
    <w:rsid w:val="003D0F4D"/>
    <w:rsid w:val="003D5B0D"/>
    <w:rsid w:val="003E0499"/>
    <w:rsid w:val="003E774C"/>
    <w:rsid w:val="003F3941"/>
    <w:rsid w:val="00400AC8"/>
    <w:rsid w:val="00406575"/>
    <w:rsid w:val="00414C74"/>
    <w:rsid w:val="004153E5"/>
    <w:rsid w:val="00421BE8"/>
    <w:rsid w:val="00423904"/>
    <w:rsid w:val="0042722E"/>
    <w:rsid w:val="0044528D"/>
    <w:rsid w:val="004833E7"/>
    <w:rsid w:val="004A1847"/>
    <w:rsid w:val="004A305D"/>
    <w:rsid w:val="004B2AA3"/>
    <w:rsid w:val="004B3F0C"/>
    <w:rsid w:val="004C399B"/>
    <w:rsid w:val="004D4BCE"/>
    <w:rsid w:val="004F21C4"/>
    <w:rsid w:val="004F685F"/>
    <w:rsid w:val="0054731A"/>
    <w:rsid w:val="005566E8"/>
    <w:rsid w:val="00572B4E"/>
    <w:rsid w:val="005740F9"/>
    <w:rsid w:val="00574867"/>
    <w:rsid w:val="0058660B"/>
    <w:rsid w:val="00591460"/>
    <w:rsid w:val="00596D49"/>
    <w:rsid w:val="005A2955"/>
    <w:rsid w:val="005B135D"/>
    <w:rsid w:val="005B3816"/>
    <w:rsid w:val="005B6497"/>
    <w:rsid w:val="005C3777"/>
    <w:rsid w:val="005C5CDC"/>
    <w:rsid w:val="005C6D68"/>
    <w:rsid w:val="005D476C"/>
    <w:rsid w:val="00613CD9"/>
    <w:rsid w:val="0061559F"/>
    <w:rsid w:val="006219F8"/>
    <w:rsid w:val="006455F2"/>
    <w:rsid w:val="00660F36"/>
    <w:rsid w:val="00664DA1"/>
    <w:rsid w:val="00665D70"/>
    <w:rsid w:val="006900D9"/>
    <w:rsid w:val="00706C16"/>
    <w:rsid w:val="007075B2"/>
    <w:rsid w:val="00756841"/>
    <w:rsid w:val="007649AB"/>
    <w:rsid w:val="00771D0C"/>
    <w:rsid w:val="007833AC"/>
    <w:rsid w:val="0078389D"/>
    <w:rsid w:val="0078774B"/>
    <w:rsid w:val="007A4E94"/>
    <w:rsid w:val="007A5CC9"/>
    <w:rsid w:val="007B268C"/>
    <w:rsid w:val="007B7171"/>
    <w:rsid w:val="007C0C0F"/>
    <w:rsid w:val="007C2465"/>
    <w:rsid w:val="007C3DC2"/>
    <w:rsid w:val="007C71E2"/>
    <w:rsid w:val="007E1155"/>
    <w:rsid w:val="007E5497"/>
    <w:rsid w:val="00806F5F"/>
    <w:rsid w:val="008109FA"/>
    <w:rsid w:val="008145FD"/>
    <w:rsid w:val="00820278"/>
    <w:rsid w:val="008259B9"/>
    <w:rsid w:val="00845773"/>
    <w:rsid w:val="00853D3B"/>
    <w:rsid w:val="00867F95"/>
    <w:rsid w:val="00882A77"/>
    <w:rsid w:val="008843B6"/>
    <w:rsid w:val="00891928"/>
    <w:rsid w:val="008A446D"/>
    <w:rsid w:val="008B7944"/>
    <w:rsid w:val="008D180B"/>
    <w:rsid w:val="008D3EAB"/>
    <w:rsid w:val="008F0EA7"/>
    <w:rsid w:val="0091710F"/>
    <w:rsid w:val="00923EEF"/>
    <w:rsid w:val="009335C3"/>
    <w:rsid w:val="009419F9"/>
    <w:rsid w:val="0095685E"/>
    <w:rsid w:val="00961B09"/>
    <w:rsid w:val="00965334"/>
    <w:rsid w:val="0097093E"/>
    <w:rsid w:val="00972094"/>
    <w:rsid w:val="00985CB2"/>
    <w:rsid w:val="00986AC5"/>
    <w:rsid w:val="00995FF0"/>
    <w:rsid w:val="009A09A3"/>
    <w:rsid w:val="009A0DFA"/>
    <w:rsid w:val="009A15E7"/>
    <w:rsid w:val="009B2D26"/>
    <w:rsid w:val="009B7802"/>
    <w:rsid w:val="009C71FA"/>
    <w:rsid w:val="009C72E7"/>
    <w:rsid w:val="009D3058"/>
    <w:rsid w:val="009D3DD7"/>
    <w:rsid w:val="009F00CB"/>
    <w:rsid w:val="009F3A13"/>
    <w:rsid w:val="00A010B8"/>
    <w:rsid w:val="00A122D3"/>
    <w:rsid w:val="00A13B5C"/>
    <w:rsid w:val="00A17F13"/>
    <w:rsid w:val="00A20739"/>
    <w:rsid w:val="00A20A51"/>
    <w:rsid w:val="00A254A7"/>
    <w:rsid w:val="00A32DDE"/>
    <w:rsid w:val="00A33C78"/>
    <w:rsid w:val="00A53B7C"/>
    <w:rsid w:val="00A6488E"/>
    <w:rsid w:val="00A74F07"/>
    <w:rsid w:val="00A87AD8"/>
    <w:rsid w:val="00AA6B2D"/>
    <w:rsid w:val="00AB0ADB"/>
    <w:rsid w:val="00AB122B"/>
    <w:rsid w:val="00AB55FC"/>
    <w:rsid w:val="00AF2D58"/>
    <w:rsid w:val="00B01B1A"/>
    <w:rsid w:val="00B35C1A"/>
    <w:rsid w:val="00B37A1F"/>
    <w:rsid w:val="00B66319"/>
    <w:rsid w:val="00B71A6E"/>
    <w:rsid w:val="00B72CD3"/>
    <w:rsid w:val="00B72FFF"/>
    <w:rsid w:val="00B85FB6"/>
    <w:rsid w:val="00BA37CA"/>
    <w:rsid w:val="00BC3D36"/>
    <w:rsid w:val="00BC6153"/>
    <w:rsid w:val="00BD7F72"/>
    <w:rsid w:val="00BE5F5C"/>
    <w:rsid w:val="00BF224C"/>
    <w:rsid w:val="00C04FB3"/>
    <w:rsid w:val="00C061B6"/>
    <w:rsid w:val="00C07731"/>
    <w:rsid w:val="00C330EB"/>
    <w:rsid w:val="00C376E6"/>
    <w:rsid w:val="00C41061"/>
    <w:rsid w:val="00C452A9"/>
    <w:rsid w:val="00C65475"/>
    <w:rsid w:val="00C741A0"/>
    <w:rsid w:val="00C754BE"/>
    <w:rsid w:val="00C76B1C"/>
    <w:rsid w:val="00CB6357"/>
    <w:rsid w:val="00CC1B26"/>
    <w:rsid w:val="00CC7601"/>
    <w:rsid w:val="00D00AF9"/>
    <w:rsid w:val="00D423A2"/>
    <w:rsid w:val="00D520D8"/>
    <w:rsid w:val="00D565F2"/>
    <w:rsid w:val="00D63AC2"/>
    <w:rsid w:val="00D64119"/>
    <w:rsid w:val="00D7383B"/>
    <w:rsid w:val="00DA231B"/>
    <w:rsid w:val="00DC39FC"/>
    <w:rsid w:val="00DF025C"/>
    <w:rsid w:val="00DF5254"/>
    <w:rsid w:val="00E04005"/>
    <w:rsid w:val="00E16408"/>
    <w:rsid w:val="00E20894"/>
    <w:rsid w:val="00E245AB"/>
    <w:rsid w:val="00E2764C"/>
    <w:rsid w:val="00E27F2E"/>
    <w:rsid w:val="00E35C9E"/>
    <w:rsid w:val="00E37828"/>
    <w:rsid w:val="00E479A7"/>
    <w:rsid w:val="00E50AFE"/>
    <w:rsid w:val="00E65F95"/>
    <w:rsid w:val="00E75C92"/>
    <w:rsid w:val="00E771DC"/>
    <w:rsid w:val="00E8772A"/>
    <w:rsid w:val="00E90F6B"/>
    <w:rsid w:val="00E92C27"/>
    <w:rsid w:val="00EA0E3D"/>
    <w:rsid w:val="00EA317B"/>
    <w:rsid w:val="00EC38A7"/>
    <w:rsid w:val="00ED0BBC"/>
    <w:rsid w:val="00ED7384"/>
    <w:rsid w:val="00EE1AA8"/>
    <w:rsid w:val="00EF6CBA"/>
    <w:rsid w:val="00F101A1"/>
    <w:rsid w:val="00F16B98"/>
    <w:rsid w:val="00F31EDC"/>
    <w:rsid w:val="00F462B3"/>
    <w:rsid w:val="00F5664F"/>
    <w:rsid w:val="00F666C4"/>
    <w:rsid w:val="00F76AFC"/>
    <w:rsid w:val="00F93ECF"/>
    <w:rsid w:val="00FA3C55"/>
    <w:rsid w:val="00FA47C0"/>
    <w:rsid w:val="00FB5DD1"/>
    <w:rsid w:val="00FC2B5D"/>
    <w:rsid w:val="00FE04DF"/>
    <w:rsid w:val="00FE28D1"/>
    <w:rsid w:val="00FE2FC9"/>
    <w:rsid w:val="00FF1449"/>
    <w:rsid w:val="1BAFC34F"/>
    <w:rsid w:val="32AE47B7"/>
    <w:rsid w:val="71B92E28"/>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AC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uiPriority w:val="1"/>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32D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32DDE"/>
    <w:rPr>
      <w:rFonts w:ascii="Geomanist Light" w:hAnsi="Geomanist Light"/>
      <w:lang w:val="es-ES"/>
    </w:rPr>
  </w:style>
  <w:style w:type="paragraph" w:styleId="Textoindependiente">
    <w:name w:val="Body Text"/>
    <w:basedOn w:val="Normal"/>
    <w:link w:val="TextoindependienteCar"/>
    <w:uiPriority w:val="1"/>
    <w:qFormat/>
    <w:rsid w:val="00A32DD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32DDE"/>
    <w:rPr>
      <w:rFonts w:ascii="Arial" w:eastAsia="Arial" w:hAnsi="Arial" w:cs="Arial"/>
      <w:lang w:val="es-ES"/>
    </w:rPr>
  </w:style>
  <w:style w:type="character" w:customStyle="1" w:styleId="NormalWebCar">
    <w:name w:val="Normal (Web) Car"/>
    <w:link w:val="NormalWeb"/>
    <w:uiPriority w:val="99"/>
    <w:rsid w:val="00A32DDE"/>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A32D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630695">
      <w:bodyDiv w:val="1"/>
      <w:marLeft w:val="0"/>
      <w:marRight w:val="0"/>
      <w:marTop w:val="0"/>
      <w:marBottom w:val="0"/>
      <w:divBdr>
        <w:top w:val="none" w:sz="0" w:space="0" w:color="auto"/>
        <w:left w:val="none" w:sz="0" w:space="0" w:color="auto"/>
        <w:bottom w:val="none" w:sz="0" w:space="0" w:color="auto"/>
        <w:right w:val="none" w:sz="0" w:space="0" w:color="auto"/>
      </w:divBdr>
    </w:div>
    <w:div w:id="592133490">
      <w:bodyDiv w:val="1"/>
      <w:marLeft w:val="0"/>
      <w:marRight w:val="0"/>
      <w:marTop w:val="0"/>
      <w:marBottom w:val="0"/>
      <w:divBdr>
        <w:top w:val="none" w:sz="0" w:space="0" w:color="auto"/>
        <w:left w:val="none" w:sz="0" w:space="0" w:color="auto"/>
        <w:bottom w:val="none" w:sz="0" w:space="0" w:color="auto"/>
        <w:right w:val="none" w:sz="0" w:space="0" w:color="auto"/>
      </w:divBdr>
      <w:divsChild>
        <w:div w:id="1285188119">
          <w:marLeft w:val="0"/>
          <w:marRight w:val="0"/>
          <w:marTop w:val="90"/>
          <w:marBottom w:val="0"/>
          <w:divBdr>
            <w:top w:val="none" w:sz="0" w:space="0" w:color="auto"/>
            <w:left w:val="none" w:sz="0" w:space="0" w:color="auto"/>
            <w:bottom w:val="none" w:sz="0" w:space="0" w:color="auto"/>
            <w:right w:val="none" w:sz="0" w:space="0" w:color="auto"/>
          </w:divBdr>
          <w:divsChild>
            <w:div w:id="1389451369">
              <w:marLeft w:val="0"/>
              <w:marRight w:val="0"/>
              <w:marTop w:val="0"/>
              <w:marBottom w:val="0"/>
              <w:divBdr>
                <w:top w:val="none" w:sz="0" w:space="0" w:color="auto"/>
                <w:left w:val="none" w:sz="0" w:space="0" w:color="auto"/>
                <w:bottom w:val="none" w:sz="0" w:space="0" w:color="auto"/>
                <w:right w:val="none" w:sz="0" w:space="0" w:color="auto"/>
              </w:divBdr>
              <w:divsChild>
                <w:div w:id="1059523466">
                  <w:marLeft w:val="0"/>
                  <w:marRight w:val="0"/>
                  <w:marTop w:val="0"/>
                  <w:marBottom w:val="0"/>
                  <w:divBdr>
                    <w:top w:val="none" w:sz="0" w:space="0" w:color="auto"/>
                    <w:left w:val="none" w:sz="0" w:space="0" w:color="auto"/>
                    <w:bottom w:val="none" w:sz="0" w:space="0" w:color="auto"/>
                    <w:right w:val="none" w:sz="0" w:space="0" w:color="auto"/>
                  </w:divBdr>
                  <w:divsChild>
                    <w:div w:id="315257385">
                      <w:marLeft w:val="2040"/>
                      <w:marRight w:val="0"/>
                      <w:marTop w:val="0"/>
                      <w:marBottom w:val="0"/>
                      <w:divBdr>
                        <w:top w:val="none" w:sz="0" w:space="0" w:color="auto"/>
                        <w:left w:val="none" w:sz="0" w:space="0" w:color="auto"/>
                        <w:bottom w:val="none" w:sz="0" w:space="0" w:color="auto"/>
                        <w:right w:val="none" w:sz="0" w:space="0" w:color="auto"/>
                      </w:divBdr>
                      <w:divsChild>
                        <w:div w:id="249971036">
                          <w:marLeft w:val="0"/>
                          <w:marRight w:val="0"/>
                          <w:marTop w:val="0"/>
                          <w:marBottom w:val="0"/>
                          <w:divBdr>
                            <w:top w:val="none" w:sz="0" w:space="0" w:color="auto"/>
                            <w:left w:val="none" w:sz="0" w:space="0" w:color="auto"/>
                            <w:bottom w:val="none" w:sz="0" w:space="0" w:color="auto"/>
                            <w:right w:val="none" w:sz="0" w:space="0" w:color="auto"/>
                          </w:divBdr>
                          <w:divsChild>
                            <w:div w:id="1064639971">
                              <w:marLeft w:val="0"/>
                              <w:marRight w:val="0"/>
                              <w:marTop w:val="0"/>
                              <w:marBottom w:val="0"/>
                              <w:divBdr>
                                <w:top w:val="none" w:sz="0" w:space="0" w:color="auto"/>
                                <w:left w:val="none" w:sz="0" w:space="0" w:color="auto"/>
                                <w:bottom w:val="none" w:sz="0" w:space="0" w:color="auto"/>
                                <w:right w:val="none" w:sz="0" w:space="0" w:color="auto"/>
                              </w:divBdr>
                              <w:divsChild>
                                <w:div w:id="53439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749759">
                  <w:marLeft w:val="0"/>
                  <w:marRight w:val="0"/>
                  <w:marTop w:val="0"/>
                  <w:marBottom w:val="0"/>
                  <w:divBdr>
                    <w:top w:val="none" w:sz="0" w:space="0" w:color="auto"/>
                    <w:left w:val="none" w:sz="0" w:space="0" w:color="auto"/>
                    <w:bottom w:val="none" w:sz="0" w:space="0" w:color="auto"/>
                    <w:right w:val="none" w:sz="0" w:space="0" w:color="auto"/>
                  </w:divBdr>
                  <w:divsChild>
                    <w:div w:id="1965232128">
                      <w:marLeft w:val="0"/>
                      <w:marRight w:val="0"/>
                      <w:marTop w:val="0"/>
                      <w:marBottom w:val="0"/>
                      <w:divBdr>
                        <w:top w:val="none" w:sz="0" w:space="0" w:color="auto"/>
                        <w:left w:val="none" w:sz="0" w:space="0" w:color="auto"/>
                        <w:bottom w:val="none" w:sz="0" w:space="0" w:color="auto"/>
                        <w:right w:val="none" w:sz="0" w:space="0" w:color="auto"/>
                      </w:divBdr>
                      <w:divsChild>
                        <w:div w:id="148828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96494144">
      <w:bodyDiv w:val="1"/>
      <w:marLeft w:val="0"/>
      <w:marRight w:val="0"/>
      <w:marTop w:val="0"/>
      <w:marBottom w:val="0"/>
      <w:divBdr>
        <w:top w:val="none" w:sz="0" w:space="0" w:color="auto"/>
        <w:left w:val="none" w:sz="0" w:space="0" w:color="auto"/>
        <w:bottom w:val="none" w:sz="0" w:space="0" w:color="auto"/>
        <w:right w:val="none" w:sz="0" w:space="0" w:color="auto"/>
      </w:divBdr>
      <w:divsChild>
        <w:div w:id="1304895637">
          <w:marLeft w:val="0"/>
          <w:marRight w:val="0"/>
          <w:marTop w:val="90"/>
          <w:marBottom w:val="0"/>
          <w:divBdr>
            <w:top w:val="none" w:sz="0" w:space="0" w:color="auto"/>
            <w:left w:val="none" w:sz="0" w:space="0" w:color="auto"/>
            <w:bottom w:val="none" w:sz="0" w:space="0" w:color="auto"/>
            <w:right w:val="none" w:sz="0" w:space="0" w:color="auto"/>
          </w:divBdr>
          <w:divsChild>
            <w:div w:id="1420322622">
              <w:marLeft w:val="0"/>
              <w:marRight w:val="0"/>
              <w:marTop w:val="0"/>
              <w:marBottom w:val="0"/>
              <w:divBdr>
                <w:top w:val="none" w:sz="0" w:space="0" w:color="auto"/>
                <w:left w:val="none" w:sz="0" w:space="0" w:color="auto"/>
                <w:bottom w:val="none" w:sz="0" w:space="0" w:color="auto"/>
                <w:right w:val="none" w:sz="0" w:space="0" w:color="auto"/>
              </w:divBdr>
              <w:divsChild>
                <w:div w:id="219562048">
                  <w:marLeft w:val="0"/>
                  <w:marRight w:val="0"/>
                  <w:marTop w:val="0"/>
                  <w:marBottom w:val="0"/>
                  <w:divBdr>
                    <w:top w:val="none" w:sz="0" w:space="0" w:color="auto"/>
                    <w:left w:val="none" w:sz="0" w:space="0" w:color="auto"/>
                    <w:bottom w:val="none" w:sz="0" w:space="0" w:color="auto"/>
                    <w:right w:val="none" w:sz="0" w:space="0" w:color="auto"/>
                  </w:divBdr>
                  <w:divsChild>
                    <w:div w:id="823620153">
                      <w:marLeft w:val="2040"/>
                      <w:marRight w:val="0"/>
                      <w:marTop w:val="0"/>
                      <w:marBottom w:val="0"/>
                      <w:divBdr>
                        <w:top w:val="none" w:sz="0" w:space="0" w:color="auto"/>
                        <w:left w:val="none" w:sz="0" w:space="0" w:color="auto"/>
                        <w:bottom w:val="none" w:sz="0" w:space="0" w:color="auto"/>
                        <w:right w:val="none" w:sz="0" w:space="0" w:color="auto"/>
                      </w:divBdr>
                      <w:divsChild>
                        <w:div w:id="1732456459">
                          <w:marLeft w:val="0"/>
                          <w:marRight w:val="0"/>
                          <w:marTop w:val="0"/>
                          <w:marBottom w:val="0"/>
                          <w:divBdr>
                            <w:top w:val="none" w:sz="0" w:space="0" w:color="auto"/>
                            <w:left w:val="none" w:sz="0" w:space="0" w:color="auto"/>
                            <w:bottom w:val="none" w:sz="0" w:space="0" w:color="auto"/>
                            <w:right w:val="none" w:sz="0" w:space="0" w:color="auto"/>
                          </w:divBdr>
                          <w:divsChild>
                            <w:div w:id="544029009">
                              <w:marLeft w:val="0"/>
                              <w:marRight w:val="0"/>
                              <w:marTop w:val="0"/>
                              <w:marBottom w:val="0"/>
                              <w:divBdr>
                                <w:top w:val="none" w:sz="0" w:space="0" w:color="auto"/>
                                <w:left w:val="none" w:sz="0" w:space="0" w:color="auto"/>
                                <w:bottom w:val="none" w:sz="0" w:space="0" w:color="auto"/>
                                <w:right w:val="none" w:sz="0" w:space="0" w:color="auto"/>
                              </w:divBdr>
                              <w:divsChild>
                                <w:div w:id="117291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7577468">
                  <w:marLeft w:val="0"/>
                  <w:marRight w:val="0"/>
                  <w:marTop w:val="0"/>
                  <w:marBottom w:val="0"/>
                  <w:divBdr>
                    <w:top w:val="none" w:sz="0" w:space="0" w:color="auto"/>
                    <w:left w:val="none" w:sz="0" w:space="0" w:color="auto"/>
                    <w:bottom w:val="none" w:sz="0" w:space="0" w:color="auto"/>
                    <w:right w:val="none" w:sz="0" w:space="0" w:color="auto"/>
                  </w:divBdr>
                  <w:divsChild>
                    <w:div w:id="893125292">
                      <w:marLeft w:val="0"/>
                      <w:marRight w:val="0"/>
                      <w:marTop w:val="0"/>
                      <w:marBottom w:val="0"/>
                      <w:divBdr>
                        <w:top w:val="none" w:sz="0" w:space="0" w:color="auto"/>
                        <w:left w:val="none" w:sz="0" w:space="0" w:color="auto"/>
                        <w:bottom w:val="none" w:sz="0" w:space="0" w:color="auto"/>
                        <w:right w:val="none" w:sz="0" w:space="0" w:color="auto"/>
                      </w:divBdr>
                      <w:divsChild>
                        <w:div w:id="61082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30717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4717035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decreto-1082-de-2015/" TargetMode="External"/><Relationship Id="rId18" Type="http://schemas.openxmlformats.org/officeDocument/2006/relationships/hyperlink" Target="https://nam02.safelinks.protection.outlook.com/?url=https%3A%2F%2Fwww.colombiacompra.gov.co%2Fsites%2Fcce_public%2Ffiles%2Fcce_documentos%2Fcircular_002_de_2025_capacitaciones_-_documentos_tipo_-_1_semestre_.pdf&amp;data=05%7C02%7Cmartha.romero%40colombiacompra.gov.co%7Ce7601921a258494a2b6c08dd3635db42%7C7b09041e245149d08cb179d5e3d8c1be%7C0%7C0%7C638726327126749845%7CUnknown%7CTWFpbGZsb3d8eyJFbXB0eU1hcGkiOnRydWUsIlYiOiIwLjAuMDAwMCIsIlAiOiJXaW4zMiIsIkFOIjoiTWFpbCIsIldUIjoyfQ%3D%3D%7C0%7C%7C%7C&amp;sdata=ROLbHoaISTGPGnC4gsdz2%2FTVBHV34KERO4g3Dmk2U9Y%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relatoria.colombiacompra.gov.co/normativa/ley-1150-de-2007/" TargetMode="External"/><Relationship Id="rId17"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7601921a258494a2b6c08dd3635db42%7C7b09041e245149d08cb179d5e3d8c1be%7C0%7C0%7C638726327126727728%7CUnknown%7CTWFpbGZsb3d8eyJFbXB0eU1hcGkiOnRydWUsIlYiOiIwLjAuMDAwMCIsIlAiOiJXaW4zMiIsIkFOIjoiTWFpbCIsIldUIjoyfQ%3D%3D%7C0%7C%7C%7C&amp;sdata=xIjYVgx2O6U13U00jVOWKlUBiUsIgQY1mt3NS00uRCA%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sites/cce_public/files/cce_circulares/cce-eicp-ma-06_circular_externa_con_comentarios_de_ciudadanos-_v2f_002.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ciudadanos%2Fcalendario&amp;data=05%7C02%7Cmartha.romero%40colombiacompra.gov.co%7Ce7601921a258494a2b6c08dd3635db42%7C7b09041e245149d08cb179d5e3d8c1be%7C0%7C0%7C638726327126766412%7CUnknown%7CTWFpbGZsb3d8eyJFbXB0eU1hcGkiOnRydWUsIlYiOiIwLjAuMDAwMCIsIlAiOiJXaW4zMiIsIkFOIjoiTWFpbCIsIldUIjoyfQ%3D%3D%7C0%7C%7C%7C&amp;sdata=rZSTYM8JB88U%2FiysqRZkUy9YPYcvC2YXEYlmFtCKdug%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documents/cce-eicp-ma-04._manual_requisitos_habilitantes_v3_29-09-2023.pdf"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circulares/cce-eicp-ma-06_circular_externa_con_comentarios_de_ciudadanos-_v2f_002.pdf" TargetMode="External"/><Relationship Id="rId2" Type="http://schemas.openxmlformats.org/officeDocument/2006/relationships/hyperlink" Target="https://www.colombiacompra.gov.co/sites/cce_public/files/cce_documents/cce-eicp-ma-04._manual_requisitos_habilitantes_v3_29-09-2023.pdf" TargetMode="External"/><Relationship Id="rId1" Type="http://schemas.openxmlformats.org/officeDocument/2006/relationships/hyperlink" Target="https://colombiacompra.gov.co/sites/cce_public/files/cce_clasificador/manualclasificador.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96F2F88-3E85-4158-AB4A-8A7D7BF0CD6D}">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7104F1D-2C9D-47B9-9924-1ACFCAAC9F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3639</Words>
  <Characters>20016</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23608</CharactersWithSpaces>
  <SharedDoc>false</SharedDoc>
  <HLinks>
    <vt:vector size="54" baseType="variant">
      <vt:variant>
        <vt:i4>2162742</vt:i4>
      </vt:variant>
      <vt:variant>
        <vt:i4>18</vt:i4>
      </vt:variant>
      <vt:variant>
        <vt:i4>0</vt:i4>
      </vt:variant>
      <vt:variant>
        <vt:i4>5</vt:i4>
      </vt:variant>
      <vt:variant>
        <vt:lpwstr>https://nam02.safelinks.protection.outlook.com/?url=https%3A%2F%2Fwww.colombiacompra.gov.co%2Fsala-de-prensa%2Fboletin-digital&amp;data=05%7C02%7Cgustavo.hinestroza%40colombiacompra.gov.co%7C6192b0470d324981a09708dd0a6c28db%7C7b09041e245149d08cb179d5e3d8c1be%7C0%7C0%7C638678181875718117%7CUnknown%7CTWFpbGZsb3d8eyJFbXB0eU1hcGkiOnRydWUsIlYiOiIwLjAuMDAwMCIsIlAiOiJXaW4zMiIsIkFOIjoiTWFpbCIsIldUIjoyfQ%3D%3D%7C0%7C%7C%7C&amp;sdata=NQf8sHVLeX1EMijPzi4sFFNtM8H6xwFFBG8sdRHH78U%3D&amp;reserved=0</vt:lpwstr>
      </vt:variant>
      <vt:variant>
        <vt:lpwstr/>
      </vt:variant>
      <vt:variant>
        <vt:i4>7471218</vt:i4>
      </vt:variant>
      <vt:variant>
        <vt:i4>15</vt:i4>
      </vt:variant>
      <vt:variant>
        <vt:i4>0</vt:i4>
      </vt:variant>
      <vt:variant>
        <vt:i4>5</vt:i4>
      </vt:variant>
      <vt:variant>
        <vt:lpwstr>https://relatoria.colombiacompra.gov.co/busqueda/conceptos</vt:lpwstr>
      </vt:variant>
      <vt:variant>
        <vt:lpwstr/>
      </vt:variant>
      <vt:variant>
        <vt:i4>3276916</vt:i4>
      </vt:variant>
      <vt:variant>
        <vt:i4>12</vt:i4>
      </vt:variant>
      <vt:variant>
        <vt:i4>0</vt:i4>
      </vt:variant>
      <vt:variant>
        <vt:i4>5</vt:i4>
      </vt:variant>
      <vt:variant>
        <vt:lpwstr>https://relatoria.colombiacompra.gov.co/normativa/decreto-1082-de-2015/</vt:lpwstr>
      </vt:variant>
      <vt:variant>
        <vt:lpwstr/>
      </vt:variant>
      <vt:variant>
        <vt:i4>3211372</vt:i4>
      </vt:variant>
      <vt:variant>
        <vt:i4>9</vt:i4>
      </vt:variant>
      <vt:variant>
        <vt:i4>0</vt:i4>
      </vt:variant>
      <vt:variant>
        <vt:i4>5</vt:i4>
      </vt:variant>
      <vt:variant>
        <vt:lpwstr>https://relatoria.colombiacompra.gov.co/normativa/ley-1882-de-2018/</vt:lpwstr>
      </vt:variant>
      <vt:variant>
        <vt:lpwstr/>
      </vt:variant>
      <vt:variant>
        <vt:i4>3473504</vt:i4>
      </vt:variant>
      <vt:variant>
        <vt:i4>6</vt:i4>
      </vt:variant>
      <vt:variant>
        <vt:i4>0</vt:i4>
      </vt:variant>
      <vt:variant>
        <vt:i4>5</vt:i4>
      </vt:variant>
      <vt:variant>
        <vt:lpwstr>https://relatoria.colombiacompra.gov.co/normativa/ley-1150-de-2007/</vt:lpwstr>
      </vt:variant>
      <vt:variant>
        <vt:lpwstr/>
      </vt:variant>
      <vt:variant>
        <vt:i4>589910</vt:i4>
      </vt:variant>
      <vt:variant>
        <vt:i4>3</vt:i4>
      </vt:variant>
      <vt:variant>
        <vt:i4>0</vt:i4>
      </vt:variant>
      <vt:variant>
        <vt:i4>5</vt:i4>
      </vt:variant>
      <vt:variant>
        <vt:lpwstr>https://relatoria.colombiacompra.gov.co/normativa/ley-80-de-1993/</vt:lpwstr>
      </vt:variant>
      <vt:variant>
        <vt:lpwstr/>
      </vt:variant>
      <vt:variant>
        <vt:i4>7733340</vt:i4>
      </vt:variant>
      <vt:variant>
        <vt:i4>0</vt:i4>
      </vt:variant>
      <vt:variant>
        <vt:i4>0</vt:i4>
      </vt:variant>
      <vt:variant>
        <vt:i4>5</vt:i4>
      </vt:variant>
      <vt:variant>
        <vt:lpwstr>mailto:fundearco@gmail.com</vt:lpwstr>
      </vt:variant>
      <vt:variant>
        <vt:lpwstr/>
      </vt:variant>
      <vt:variant>
        <vt:i4>5439565</vt:i4>
      </vt:variant>
      <vt:variant>
        <vt:i4>3</vt:i4>
      </vt:variant>
      <vt:variant>
        <vt:i4>0</vt:i4>
      </vt:variant>
      <vt:variant>
        <vt:i4>5</vt:i4>
      </vt:variant>
      <vt:variant>
        <vt:lpwstr>https://www.colombiacompra.gov.co/sites/cce_public/files/cce_circulares/cce-eicp-ma-06_circular_externa_con_comentarios_de_ciudadanos-_v2f_002.pdf</vt:lpwstr>
      </vt:variant>
      <vt:variant>
        <vt:lpwstr/>
      </vt:variant>
      <vt:variant>
        <vt:i4>1507428</vt:i4>
      </vt:variant>
      <vt:variant>
        <vt:i4>0</vt:i4>
      </vt:variant>
      <vt:variant>
        <vt:i4>0</vt:i4>
      </vt:variant>
      <vt:variant>
        <vt:i4>5</vt:i4>
      </vt:variant>
      <vt:variant>
        <vt:lpwstr>https://www.colombiacompra.gov.co/sites/cce_public/files/cce_documents/cce-eicp-ma-04._manual_requisitos_habilitantes_v3_29-09-2023.pdf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2025-02-06T18:06:00Z</dcterms:created>
  <dcterms:modified xsi:type="dcterms:W3CDTF">2025-09-15T22:09:00Z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