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8ACC3" w14:textId="77777777" w:rsidR="005145C2" w:rsidRPr="00F145EE" w:rsidRDefault="005145C2" w:rsidP="005145C2">
      <w:pPr>
        <w:pStyle w:val="Textoindependiente"/>
        <w:spacing w:after="0" w:line="240" w:lineRule="auto"/>
        <w:ind w:right="102"/>
        <w:jc w:val="both"/>
        <w:rPr>
          <w:rFonts w:ascii="Verdana" w:hAnsi="Verdana" w:cs="Arial"/>
          <w:b/>
          <w:color w:val="000000" w:themeColor="text1"/>
          <w:sz w:val="20"/>
          <w:szCs w:val="20"/>
          <w:lang w:val="es-ES_tradnl"/>
        </w:rPr>
      </w:pPr>
    </w:p>
    <w:p w14:paraId="04E865B2" w14:textId="77777777" w:rsidR="005145C2" w:rsidRPr="00F145EE" w:rsidRDefault="005145C2" w:rsidP="005145C2">
      <w:pPr>
        <w:pStyle w:val="Textoindependiente"/>
        <w:spacing w:after="0" w:line="240" w:lineRule="auto"/>
        <w:ind w:right="102"/>
        <w:jc w:val="both"/>
        <w:rPr>
          <w:rFonts w:ascii="Verdana" w:hAnsi="Verdana" w:cs="Arial"/>
          <w:b/>
          <w:color w:val="000000" w:themeColor="text1"/>
          <w:lang w:val="es-ES_tradnl"/>
        </w:rPr>
      </w:pPr>
      <w:r w:rsidRPr="00F145EE">
        <w:rPr>
          <w:rFonts w:ascii="Verdana" w:hAnsi="Verdana" w:cs="Arial"/>
          <w:b/>
          <w:color w:val="000000" w:themeColor="text1"/>
          <w:lang w:val="es-ES_tradnl"/>
        </w:rPr>
        <w:t xml:space="preserve">SELECCIÓN ABREVIADA – Marco normativo </w:t>
      </w:r>
    </w:p>
    <w:p w14:paraId="6292219F" w14:textId="77777777" w:rsidR="005145C2" w:rsidRPr="00F145EE" w:rsidRDefault="005145C2" w:rsidP="005145C2">
      <w:pPr>
        <w:pStyle w:val="Textoindependiente"/>
        <w:spacing w:after="0" w:line="240" w:lineRule="auto"/>
        <w:ind w:right="102"/>
        <w:jc w:val="both"/>
        <w:rPr>
          <w:rFonts w:ascii="Verdana" w:hAnsi="Verdana" w:cs="Arial"/>
          <w:color w:val="000000" w:themeColor="text1"/>
          <w:sz w:val="20"/>
          <w:szCs w:val="20"/>
          <w:lang w:val="es-ES_tradnl"/>
        </w:rPr>
      </w:pPr>
    </w:p>
    <w:p w14:paraId="1B20C74D" w14:textId="77777777" w:rsidR="005145C2" w:rsidRPr="00F145EE" w:rsidRDefault="005145C2" w:rsidP="005145C2">
      <w:pPr>
        <w:spacing w:after="0" w:line="240" w:lineRule="auto"/>
        <w:jc w:val="both"/>
        <w:rPr>
          <w:rFonts w:ascii="Verdana" w:eastAsia="Arial" w:hAnsi="Verdana" w:cs="Arial"/>
          <w:color w:val="000000" w:themeColor="text1"/>
          <w:sz w:val="20"/>
          <w:szCs w:val="20"/>
        </w:rPr>
      </w:pPr>
      <w:r w:rsidRPr="00F145EE">
        <w:rPr>
          <w:rFonts w:ascii="Verdana" w:eastAsia="Arial" w:hAnsi="Verdana" w:cs="Arial"/>
          <w:bCs/>
          <w:color w:val="000000" w:themeColor="text1"/>
          <w:sz w:val="20"/>
          <w:szCs w:val="20"/>
          <w:lang w:val="es-MX"/>
        </w:rPr>
        <w:t xml:space="preserve">Respecto a la selección abreviada, </w:t>
      </w:r>
      <w:r w:rsidRPr="00F145EE">
        <w:rPr>
          <w:rFonts w:ascii="Verdana" w:eastAsia="Arial" w:hAnsi="Verdana" w:cs="Arial"/>
          <w:color w:val="000000" w:themeColor="text1"/>
          <w:sz w:val="20"/>
          <w:szCs w:val="20"/>
        </w:rPr>
        <w:t xml:space="preserve">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538A9616" w14:textId="77777777" w:rsidR="005145C2" w:rsidRPr="00F145EE" w:rsidRDefault="005145C2" w:rsidP="005145C2">
      <w:pPr>
        <w:spacing w:after="0" w:line="240" w:lineRule="auto"/>
        <w:jc w:val="both"/>
        <w:rPr>
          <w:rFonts w:ascii="Verdana" w:eastAsia="Arial" w:hAnsi="Verdana" w:cs="Arial"/>
          <w:color w:val="000000" w:themeColor="text1"/>
          <w:sz w:val="20"/>
          <w:szCs w:val="20"/>
        </w:rPr>
      </w:pPr>
    </w:p>
    <w:p w14:paraId="06AC9DEA" w14:textId="77777777" w:rsidR="005145C2" w:rsidRPr="00F145EE" w:rsidRDefault="005145C2" w:rsidP="005145C2">
      <w:pPr>
        <w:spacing w:after="0" w:line="240" w:lineRule="auto"/>
        <w:jc w:val="both"/>
        <w:rPr>
          <w:rFonts w:ascii="Verdana" w:eastAsia="Arial" w:hAnsi="Verdana" w:cs="Arial"/>
          <w:color w:val="000000" w:themeColor="text1"/>
          <w:sz w:val="20"/>
          <w:szCs w:val="20"/>
        </w:rPr>
      </w:pPr>
      <w:r w:rsidRPr="00F145EE">
        <w:rPr>
          <w:rFonts w:ascii="Verdana" w:eastAsia="Arial" w:hAnsi="Verdana" w:cs="Arial"/>
          <w:color w:val="000000" w:themeColor="text1"/>
          <w:sz w:val="20"/>
          <w:szCs w:val="20"/>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p>
    <w:p w14:paraId="2732DE45" w14:textId="77777777" w:rsidR="005145C2" w:rsidRPr="00F145EE" w:rsidRDefault="005145C2" w:rsidP="005145C2">
      <w:pPr>
        <w:spacing w:after="0" w:line="240" w:lineRule="auto"/>
        <w:jc w:val="both"/>
        <w:rPr>
          <w:rFonts w:ascii="Verdana" w:eastAsia="Arial" w:hAnsi="Verdana" w:cs="Arial"/>
          <w:color w:val="000000" w:themeColor="text1"/>
          <w:sz w:val="20"/>
          <w:szCs w:val="20"/>
        </w:rPr>
      </w:pPr>
    </w:p>
    <w:p w14:paraId="6585C2BF" w14:textId="11C61F61" w:rsidR="005145C2" w:rsidRPr="00F145EE" w:rsidRDefault="005145C2" w:rsidP="005145C2">
      <w:pPr>
        <w:spacing w:after="0" w:line="240" w:lineRule="auto"/>
        <w:jc w:val="both"/>
        <w:rPr>
          <w:rFonts w:ascii="Verdana" w:eastAsia="Arial" w:hAnsi="Verdana" w:cs="Arial"/>
          <w:color w:val="000000" w:themeColor="text1"/>
          <w:sz w:val="20"/>
          <w:szCs w:val="20"/>
        </w:rPr>
      </w:pPr>
      <w:r w:rsidRPr="00F145EE">
        <w:rPr>
          <w:rFonts w:ascii="Verdana" w:eastAsia="Arial" w:hAnsi="Verdana" w:cs="Arial"/>
          <w:color w:val="000000" w:themeColor="text1"/>
          <w:sz w:val="20"/>
          <w:szCs w:val="20"/>
        </w:rPr>
        <w:t>La selección abreviada se caracteriza por tener etapas un poco</w:t>
      </w:r>
      <w:r w:rsidR="00563D4C" w:rsidRPr="00F145EE">
        <w:rPr>
          <w:rFonts w:ascii="Verdana" w:eastAsia="Arial" w:hAnsi="Verdana" w:cs="Arial"/>
          <w:color w:val="000000" w:themeColor="text1"/>
          <w:sz w:val="20"/>
          <w:szCs w:val="20"/>
        </w:rPr>
        <w:t xml:space="preserve"> más </w:t>
      </w:r>
      <w:r w:rsidRPr="00F145EE">
        <w:rPr>
          <w:rFonts w:ascii="Verdana" w:eastAsia="Arial" w:hAnsi="Verdana" w:cs="Arial"/>
          <w:color w:val="000000" w:themeColor="text1"/>
          <w:sz w:val="20"/>
          <w:szCs w:val="20"/>
        </w:rPr>
        <w:t xml:space="preserve">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 </w:t>
      </w:r>
    </w:p>
    <w:p w14:paraId="578D16BE" w14:textId="77777777" w:rsidR="005145C2" w:rsidRPr="00F145EE" w:rsidRDefault="005145C2" w:rsidP="005145C2">
      <w:pPr>
        <w:spacing w:after="0" w:line="240" w:lineRule="auto"/>
        <w:jc w:val="both"/>
        <w:rPr>
          <w:rFonts w:ascii="Verdana" w:eastAsia="Calibri" w:hAnsi="Verdana" w:cs="Arial"/>
          <w:b/>
          <w:color w:val="000000" w:themeColor="text1"/>
          <w:highlight w:val="yellow"/>
          <w:lang w:val="es-ES_tradnl"/>
        </w:rPr>
      </w:pPr>
    </w:p>
    <w:p w14:paraId="5AAE4C71" w14:textId="77777777" w:rsidR="005145C2" w:rsidRPr="00F145EE" w:rsidRDefault="005145C2" w:rsidP="005145C2">
      <w:pPr>
        <w:spacing w:after="0" w:line="240" w:lineRule="auto"/>
        <w:jc w:val="both"/>
        <w:rPr>
          <w:rFonts w:ascii="Verdana" w:eastAsia="Calibri" w:hAnsi="Verdana" w:cs="Arial"/>
          <w:b/>
          <w:color w:val="000000" w:themeColor="text1"/>
          <w:lang w:val="es-ES_tradnl"/>
        </w:rPr>
      </w:pPr>
      <w:r w:rsidRPr="00F145EE">
        <w:rPr>
          <w:rFonts w:ascii="Verdana" w:eastAsia="Calibri" w:hAnsi="Verdana" w:cs="Arial"/>
          <w:b/>
          <w:color w:val="000000" w:themeColor="text1"/>
          <w:lang w:val="es-ES_tradnl"/>
        </w:rPr>
        <w:t xml:space="preserve">BIENES Y SERVICIOS DE CARACTERÍSTICAS TÉCNICAS UNIFORMES – Definición  </w:t>
      </w:r>
    </w:p>
    <w:p w14:paraId="6BB76796" w14:textId="77777777" w:rsidR="005145C2" w:rsidRPr="00F145EE" w:rsidRDefault="005145C2" w:rsidP="005145C2">
      <w:pPr>
        <w:spacing w:after="0" w:line="240" w:lineRule="auto"/>
        <w:jc w:val="both"/>
        <w:rPr>
          <w:rFonts w:ascii="Verdana" w:eastAsia="Calibri" w:hAnsi="Verdana" w:cs="Arial"/>
          <w:bCs/>
          <w:color w:val="000000" w:themeColor="text1"/>
          <w:sz w:val="20"/>
          <w:szCs w:val="20"/>
          <w:lang w:val="es-ES_tradnl"/>
        </w:rPr>
      </w:pPr>
    </w:p>
    <w:p w14:paraId="760DCBD7" w14:textId="77777777" w:rsidR="005145C2" w:rsidRPr="00F145EE" w:rsidRDefault="005145C2" w:rsidP="005145C2">
      <w:pPr>
        <w:spacing w:after="0" w:line="240" w:lineRule="auto"/>
        <w:jc w:val="both"/>
        <w:rPr>
          <w:rFonts w:ascii="Verdana" w:hAnsi="Verdana" w:cs="Arial"/>
          <w:color w:val="000000" w:themeColor="text1"/>
          <w:sz w:val="20"/>
          <w:szCs w:val="20"/>
        </w:rPr>
      </w:pPr>
      <w:r w:rsidRPr="00F145EE">
        <w:rPr>
          <w:rFonts w:ascii="Verdana" w:hAnsi="Verdana" w:cs="Arial"/>
          <w:color w:val="000000" w:themeColor="text1"/>
          <w:sz w:val="20"/>
          <w:szCs w:val="20"/>
        </w:rPr>
        <w:t>Según el literal a) del artículo 2.2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w:t>
      </w:r>
    </w:p>
    <w:p w14:paraId="0A51FBF5" w14:textId="77777777" w:rsidR="005145C2" w:rsidRPr="00F145EE" w:rsidRDefault="005145C2" w:rsidP="005145C2">
      <w:pPr>
        <w:spacing w:after="0" w:line="240" w:lineRule="auto"/>
        <w:jc w:val="both"/>
        <w:rPr>
          <w:rFonts w:ascii="Verdana" w:hAnsi="Verdana" w:cs="Arial"/>
          <w:color w:val="000000" w:themeColor="text1"/>
          <w:sz w:val="21"/>
          <w:szCs w:val="21"/>
          <w:highlight w:val="yellow"/>
          <w:lang w:val="es-ES_tradnl"/>
        </w:rPr>
      </w:pPr>
    </w:p>
    <w:p w14:paraId="063B9B6E" w14:textId="4073B149" w:rsidR="005145C2" w:rsidRPr="00F145EE" w:rsidRDefault="00DC118F" w:rsidP="005145C2">
      <w:pPr>
        <w:spacing w:after="0" w:line="240" w:lineRule="auto"/>
        <w:jc w:val="both"/>
        <w:rPr>
          <w:rFonts w:ascii="Verdana" w:eastAsia="Calibri" w:hAnsi="Verdana" w:cs="Arial"/>
          <w:b/>
          <w:color w:val="000000" w:themeColor="text1"/>
          <w:lang w:val="es-ES_tradnl"/>
        </w:rPr>
      </w:pPr>
      <w:r w:rsidRPr="00F145EE">
        <w:rPr>
          <w:rFonts w:ascii="Verdana" w:eastAsia="Calibri" w:hAnsi="Verdana" w:cs="Arial"/>
          <w:b/>
          <w:color w:val="000000" w:themeColor="text1"/>
          <w:lang w:val="es-ES_tradnl"/>
        </w:rPr>
        <w:t>COMÚN UTILIZACIÓN Y HOMOGENEIDAD</w:t>
      </w:r>
      <w:r w:rsidR="005145C2" w:rsidRPr="00F145EE">
        <w:rPr>
          <w:rFonts w:ascii="Verdana" w:eastAsia="Calibri" w:hAnsi="Verdana" w:cs="Arial"/>
          <w:b/>
          <w:color w:val="000000" w:themeColor="text1"/>
          <w:lang w:val="es-ES_tradnl"/>
        </w:rPr>
        <w:t xml:space="preserve"> ‒ </w:t>
      </w:r>
      <w:r w:rsidR="00BC6EBA" w:rsidRPr="00F145EE">
        <w:rPr>
          <w:rFonts w:ascii="Verdana" w:eastAsia="Calibri" w:hAnsi="Verdana" w:cs="Arial"/>
          <w:b/>
          <w:color w:val="000000" w:themeColor="text1"/>
          <w:lang w:val="es-ES_tradnl"/>
        </w:rPr>
        <w:t>Bienes y servicios ‒</w:t>
      </w:r>
      <w:r w:rsidR="005145C2" w:rsidRPr="00F145EE">
        <w:rPr>
          <w:rFonts w:ascii="Verdana" w:eastAsia="Calibri" w:hAnsi="Verdana" w:cs="Arial"/>
          <w:b/>
          <w:color w:val="000000" w:themeColor="text1"/>
          <w:lang w:val="es-ES_tradnl"/>
        </w:rPr>
        <w:t xml:space="preserve">Características – Formas de adquisición </w:t>
      </w:r>
    </w:p>
    <w:p w14:paraId="37C691FE" w14:textId="77777777" w:rsidR="005145C2" w:rsidRPr="00F145EE" w:rsidRDefault="005145C2" w:rsidP="005145C2">
      <w:pPr>
        <w:tabs>
          <w:tab w:val="left" w:pos="426"/>
        </w:tabs>
        <w:spacing w:after="0" w:line="240" w:lineRule="auto"/>
        <w:contextualSpacing/>
        <w:jc w:val="both"/>
        <w:rPr>
          <w:rFonts w:ascii="Verdana" w:eastAsia="Calibri" w:hAnsi="Verdana" w:cs="Arial"/>
          <w:b/>
          <w:bCs/>
          <w:color w:val="000000" w:themeColor="text1"/>
          <w:sz w:val="20"/>
          <w:szCs w:val="20"/>
          <w:highlight w:val="yellow"/>
          <w:lang w:val="es-MX"/>
        </w:rPr>
      </w:pPr>
    </w:p>
    <w:p w14:paraId="57DB9E9B" w14:textId="77777777" w:rsidR="005145C2" w:rsidRPr="00F145EE" w:rsidRDefault="005145C2" w:rsidP="005145C2">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F145EE">
        <w:rPr>
          <w:rFonts w:ascii="Verdana" w:eastAsia="Calibri" w:hAnsi="Verdana" w:cs="Arial"/>
          <w:noProof/>
          <w:color w:val="000000" w:themeColor="text1"/>
          <w:sz w:val="20"/>
          <w:szCs w:val="20"/>
          <w:lang w:val="es-ES_tradnl"/>
        </w:rPr>
        <w:t xml:space="preserve">Para identificar los bienes y servicios que corresponden a este tipo, se destacan dos (2) aspectos importantes: la común utilización y la homogeneidad. Para la doctrina, la </w:t>
      </w:r>
      <w:r w:rsidRPr="00F145EE">
        <w:rPr>
          <w:rFonts w:ascii="Verdana" w:eastAsia="Calibri" w:hAnsi="Verdana" w:cs="Arial"/>
          <w:i/>
          <w:iCs/>
          <w:noProof/>
          <w:color w:val="000000" w:themeColor="text1"/>
          <w:sz w:val="20"/>
          <w:szCs w:val="20"/>
          <w:lang w:val="es-ES_tradnl"/>
        </w:rPr>
        <w:t>común utilización</w:t>
      </w:r>
      <w:r w:rsidRPr="00F145EE">
        <w:rPr>
          <w:rFonts w:ascii="Verdana" w:eastAsia="Calibri" w:hAnsi="Verdana" w:cs="Arial"/>
          <w:noProof/>
          <w:color w:val="000000" w:themeColor="text1"/>
          <w:sz w:val="20"/>
          <w:szCs w:val="20"/>
          <w:lang w:val="es-ES_tradnl"/>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 Por su parte, la </w:t>
      </w:r>
      <w:r w:rsidRPr="00F145EE">
        <w:rPr>
          <w:rFonts w:ascii="Verdana" w:eastAsia="Calibri" w:hAnsi="Verdana" w:cs="Arial"/>
          <w:i/>
          <w:iCs/>
          <w:noProof/>
          <w:color w:val="000000" w:themeColor="text1"/>
          <w:sz w:val="20"/>
          <w:szCs w:val="20"/>
          <w:lang w:val="es-ES_tradnl"/>
        </w:rPr>
        <w:t>homogeneidad</w:t>
      </w:r>
      <w:r w:rsidRPr="00F145EE">
        <w:rPr>
          <w:rFonts w:ascii="Verdana" w:eastAsia="Calibri" w:hAnsi="Verdana" w:cs="Arial"/>
          <w:noProof/>
          <w:color w:val="000000" w:themeColor="text1"/>
          <w:sz w:val="20"/>
          <w:szCs w:val="20"/>
          <w:lang w:val="es-ES_tradnl"/>
        </w:rPr>
        <w:t xml:space="preserve"> se </w:t>
      </w:r>
      <w:r w:rsidRPr="00F145EE">
        <w:rPr>
          <w:rFonts w:ascii="Verdana" w:eastAsia="Calibri" w:hAnsi="Verdana" w:cs="Arial"/>
          <w:noProof/>
          <w:color w:val="000000" w:themeColor="text1"/>
          <w:sz w:val="20"/>
          <w:szCs w:val="20"/>
          <w:lang w:val="es-ES_tradnl"/>
        </w:rPr>
        <w:lastRenderedPageBreak/>
        <w:t>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1F607847" w14:textId="77777777" w:rsidR="005145C2" w:rsidRPr="00F145EE" w:rsidRDefault="005145C2" w:rsidP="005145C2">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p>
    <w:p w14:paraId="52F2F8B5" w14:textId="77777777" w:rsidR="005145C2" w:rsidRPr="00F145EE" w:rsidRDefault="005145C2" w:rsidP="005145C2">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F145EE">
        <w:rPr>
          <w:rFonts w:ascii="Verdana" w:eastAsia="Calibri" w:hAnsi="Verdana" w:cs="Arial"/>
          <w:noProof/>
          <w:color w:val="000000" w:themeColor="text1"/>
          <w:sz w:val="20"/>
          <w:szCs w:val="20"/>
          <w:lang w:val="es-ES_tradnl"/>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w:t>
      </w:r>
    </w:p>
    <w:p w14:paraId="4E3C2B71" w14:textId="77777777" w:rsidR="005145C2" w:rsidRPr="00F145EE" w:rsidRDefault="005145C2" w:rsidP="005145C2">
      <w:pPr>
        <w:spacing w:after="0" w:line="240" w:lineRule="auto"/>
        <w:jc w:val="both"/>
        <w:rPr>
          <w:rFonts w:ascii="Verdana" w:hAnsi="Verdana" w:cs="Arial"/>
          <w:color w:val="000000" w:themeColor="text1"/>
          <w:sz w:val="21"/>
          <w:szCs w:val="21"/>
          <w:highlight w:val="yellow"/>
          <w:lang w:val="es-ES_tradnl"/>
        </w:rPr>
      </w:pPr>
    </w:p>
    <w:p w14:paraId="5148497F" w14:textId="77777777" w:rsidR="005145C2" w:rsidRPr="00F145EE" w:rsidRDefault="005145C2" w:rsidP="005145C2">
      <w:pPr>
        <w:tabs>
          <w:tab w:val="left" w:pos="426"/>
        </w:tabs>
        <w:spacing w:after="0" w:line="240" w:lineRule="auto"/>
        <w:contextualSpacing/>
        <w:jc w:val="both"/>
        <w:rPr>
          <w:rFonts w:ascii="Verdana" w:eastAsia="Calibri" w:hAnsi="Verdana" w:cs="Arial"/>
          <w:b/>
          <w:bCs/>
          <w:color w:val="000000" w:themeColor="text1"/>
          <w:sz w:val="20"/>
          <w:szCs w:val="20"/>
          <w:highlight w:val="yellow"/>
          <w:lang w:val="es-MX"/>
        </w:rPr>
      </w:pPr>
    </w:p>
    <w:p w14:paraId="417A18A2" w14:textId="77777777" w:rsidR="005145C2" w:rsidRPr="00F145EE" w:rsidRDefault="005145C2" w:rsidP="00B24B86">
      <w:pPr>
        <w:spacing w:after="0" w:line="240" w:lineRule="auto"/>
        <w:rPr>
          <w:rFonts w:ascii="Verdana" w:eastAsia="Geomanist Light" w:hAnsi="Verdana" w:cs="Arial"/>
          <w:color w:val="000000" w:themeColor="text1"/>
          <w:lang w:val="es-ES_tradnl"/>
        </w:rPr>
      </w:pPr>
    </w:p>
    <w:p w14:paraId="6FE03599"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4F563DEA"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131E45D7"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7DF17BF1"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34C384C7"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11C06223"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336D08A2"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52181DC6"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2FA3E260"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0247D57D"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5BC63DF6"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4950AAAF"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3B763878"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48E7C3AF"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1C85655F"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2EE55A08"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4ED6CAF9"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2161EE1B"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058D903E"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0345BDEB"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2C47DEBA"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79D0AF64"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61A392E1"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4260452F" w14:textId="77777777" w:rsidR="005145C2" w:rsidRPr="00F145EE" w:rsidRDefault="005145C2" w:rsidP="00B24B86">
      <w:pPr>
        <w:spacing w:after="0" w:line="240" w:lineRule="auto"/>
        <w:rPr>
          <w:rFonts w:ascii="Verdana" w:eastAsia="Geomanist Light" w:hAnsi="Verdana" w:cs="Arial"/>
          <w:color w:val="000000" w:themeColor="text1"/>
          <w:lang w:val="es-MX"/>
        </w:rPr>
      </w:pPr>
    </w:p>
    <w:p w14:paraId="70DFABF3" w14:textId="77777777" w:rsidR="00E53472" w:rsidRPr="00F145EE" w:rsidRDefault="00E53472" w:rsidP="00B24B86">
      <w:pPr>
        <w:spacing w:after="0" w:line="240" w:lineRule="auto"/>
        <w:rPr>
          <w:rFonts w:ascii="Verdana" w:eastAsia="Geomanist Light" w:hAnsi="Verdana" w:cs="Arial"/>
          <w:color w:val="000000" w:themeColor="text1"/>
          <w:lang w:val="es-MX"/>
        </w:rPr>
      </w:pPr>
    </w:p>
    <w:p w14:paraId="4B36B076" w14:textId="0515090C" w:rsidR="00210DC4" w:rsidRDefault="00210DC4" w:rsidP="00210DC4">
      <w:pPr>
        <w:spacing w:after="0" w:line="240" w:lineRule="auto"/>
        <w:rPr>
          <w:rFonts w:ascii="Verdana" w:eastAsia="Times New Roman" w:hAnsi="Verdana" w:cs="Arial"/>
          <w:lang w:eastAsia="es-ES_tradnl"/>
        </w:rPr>
      </w:pPr>
      <w:r w:rsidRPr="005B7C42">
        <w:rPr>
          <w:rFonts w:ascii="Verdana" w:eastAsia="Times New Roman" w:hAnsi="Verdana" w:cs="Arial"/>
          <w:lang w:eastAsia="es-ES_tradnl"/>
        </w:rPr>
        <w:lastRenderedPageBreak/>
        <w:t>Bogotá D.C., </w:t>
      </w:r>
      <w:r w:rsidR="005321C2">
        <w:rPr>
          <w:rFonts w:ascii="Verdana" w:eastAsia="Times New Roman" w:hAnsi="Verdana" w:cs="Arial"/>
          <w:lang w:eastAsia="es-ES_tradnl"/>
        </w:rPr>
        <w:t>14</w:t>
      </w:r>
      <w:r w:rsidRPr="005B7C42">
        <w:rPr>
          <w:rFonts w:ascii="Verdana" w:eastAsia="Times New Roman" w:hAnsi="Verdana" w:cs="Arial"/>
          <w:lang w:eastAsia="es-ES_tradnl"/>
        </w:rPr>
        <w:t xml:space="preserve"> de </w:t>
      </w:r>
      <w:r w:rsidR="005321C2">
        <w:rPr>
          <w:rFonts w:ascii="Verdana" w:eastAsia="Times New Roman" w:hAnsi="Verdana" w:cs="Arial"/>
          <w:lang w:eastAsia="es-ES_tradnl"/>
        </w:rPr>
        <w:t>febrero</w:t>
      </w:r>
      <w:r w:rsidRPr="005B7C42">
        <w:rPr>
          <w:rFonts w:ascii="Verdana" w:eastAsia="Times New Roman" w:hAnsi="Verdana" w:cs="Arial"/>
          <w:lang w:eastAsia="es-ES_tradnl"/>
        </w:rPr>
        <w:t xml:space="preserve"> de </w:t>
      </w:r>
      <w:r w:rsidR="005321C2">
        <w:rPr>
          <w:rFonts w:ascii="Verdana" w:eastAsia="Times New Roman" w:hAnsi="Verdana" w:cs="Arial"/>
          <w:lang w:eastAsia="es-ES_tradnl"/>
        </w:rPr>
        <w:t>2025</w:t>
      </w:r>
      <w:r w:rsidRPr="005B7C42">
        <w:rPr>
          <w:rFonts w:ascii="Verdana" w:eastAsia="Times New Roman" w:hAnsi="Verdana" w:cs="Arial"/>
          <w:lang w:eastAsia="es-ES_tradnl"/>
        </w:rPr>
        <w:t> </w:t>
      </w:r>
    </w:p>
    <w:p w14:paraId="0E53EB4D" w14:textId="77777777" w:rsidR="00B24B86" w:rsidRPr="00F145EE" w:rsidRDefault="00B24B86" w:rsidP="00B24B86">
      <w:pPr>
        <w:spacing w:after="0" w:line="240" w:lineRule="auto"/>
        <w:jc w:val="both"/>
        <w:rPr>
          <w:rFonts w:ascii="Verdana" w:eastAsia="Calibri" w:hAnsi="Verdana" w:cs="Arial"/>
          <w:color w:val="000000" w:themeColor="text1"/>
          <w:lang w:val="es-ES"/>
        </w:rPr>
      </w:pPr>
    </w:p>
    <w:p w14:paraId="447697F4" w14:textId="22BEF08A" w:rsidR="00B24B86" w:rsidRPr="00F145EE" w:rsidRDefault="00B24B86" w:rsidP="00934D5D">
      <w:pPr>
        <w:spacing w:after="0" w:line="240" w:lineRule="auto"/>
        <w:jc w:val="right"/>
        <w:rPr>
          <w:rFonts w:ascii="Verdana" w:eastAsia="Calibri" w:hAnsi="Verdana" w:cs="Arial"/>
          <w:color w:val="000000" w:themeColor="text1"/>
          <w:lang w:val="es-ES"/>
        </w:rPr>
      </w:pPr>
    </w:p>
    <w:p w14:paraId="061A82C2" w14:textId="79791B4B" w:rsidR="00934D5D" w:rsidRPr="00F145EE" w:rsidRDefault="00DA6045" w:rsidP="00DA6045">
      <w:pPr>
        <w:spacing w:after="0" w:line="240" w:lineRule="auto"/>
        <w:jc w:val="right"/>
        <w:rPr>
          <w:rFonts w:ascii="Verdana" w:eastAsia="Calibri" w:hAnsi="Verdana" w:cs="Arial"/>
          <w:color w:val="000000" w:themeColor="text1"/>
          <w:lang w:val="es-ES"/>
        </w:rPr>
      </w:pPr>
      <w:r w:rsidRPr="00DA6045">
        <w:rPr>
          <w:rFonts w:ascii="Verdana" w:eastAsia="Calibri" w:hAnsi="Verdana" w:cs="Arial"/>
          <w:color w:val="000000" w:themeColor="text1"/>
          <w:lang w:val="es-ES"/>
        </w:rPr>
        <w:drawing>
          <wp:inline distT="0" distB="0" distL="0" distR="0" wp14:anchorId="361907BB" wp14:editId="59A73568">
            <wp:extent cx="2717830" cy="812458"/>
            <wp:effectExtent l="0" t="0" r="0" b="635"/>
            <wp:docPr id="19102518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251880" name=""/>
                    <pic:cNvPicPr/>
                  </pic:nvPicPr>
                  <pic:blipFill>
                    <a:blip r:embed="rId10"/>
                    <a:stretch>
                      <a:fillRect/>
                    </a:stretch>
                  </pic:blipFill>
                  <pic:spPr>
                    <a:xfrm>
                      <a:off x="0" y="0"/>
                      <a:ext cx="2851880" cy="852530"/>
                    </a:xfrm>
                    <a:prstGeom prst="rect">
                      <a:avLst/>
                    </a:prstGeom>
                  </pic:spPr>
                </pic:pic>
              </a:graphicData>
            </a:graphic>
          </wp:inline>
        </w:drawing>
      </w:r>
    </w:p>
    <w:p w14:paraId="14B04136" w14:textId="45A46ACA" w:rsidR="00B24B86" w:rsidRPr="00F145EE" w:rsidRDefault="00F23C09" w:rsidP="00B24B86">
      <w:pPr>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Doctora</w:t>
      </w:r>
    </w:p>
    <w:p w14:paraId="48C278BA" w14:textId="0457BA7C" w:rsidR="00B24B86" w:rsidRPr="00F145EE" w:rsidRDefault="00177B83" w:rsidP="00B24B86">
      <w:pPr>
        <w:spacing w:after="0" w:line="240" w:lineRule="auto"/>
        <w:rPr>
          <w:rFonts w:ascii="Verdana" w:eastAsia="Calibri" w:hAnsi="Verdana" w:cs="Arial"/>
          <w:b/>
          <w:color w:val="000000" w:themeColor="text1"/>
          <w:lang w:val="es-ES_tradnl" w:eastAsia="es-ES_tradnl"/>
        </w:rPr>
      </w:pPr>
      <w:r w:rsidRPr="00F145EE">
        <w:rPr>
          <w:rFonts w:ascii="Verdana" w:eastAsia="Calibri" w:hAnsi="Verdana" w:cs="Arial"/>
          <w:b/>
          <w:color w:val="000000" w:themeColor="text1"/>
          <w:lang w:val="es-ES_tradnl" w:eastAsia="es-ES_tradnl"/>
        </w:rPr>
        <w:t>Andrea Carolina Lizcano Noguera</w:t>
      </w:r>
    </w:p>
    <w:p w14:paraId="679E55AE" w14:textId="030B162C" w:rsidR="00B24B86" w:rsidRPr="00ED7314" w:rsidRDefault="0095656C" w:rsidP="00ED7314">
      <w:pPr>
        <w:spacing w:after="0" w:line="240" w:lineRule="auto"/>
        <w:jc w:val="both"/>
        <w:rPr>
          <w:rStyle w:val="Hipervnculo"/>
          <w:rFonts w:ascii="Verdana" w:hAnsi="Verdana" w:cs="Arial"/>
          <w:shd w:val="clear" w:color="auto" w:fill="FFFFFF"/>
        </w:rPr>
      </w:pPr>
      <w:hyperlink r:id="rId11" w:history="1">
        <w:r w:rsidRPr="00ED7314">
          <w:rPr>
            <w:rStyle w:val="Hipervnculo"/>
            <w:rFonts w:ascii="Verdana" w:hAnsi="Verdana" w:cs="Arial"/>
            <w:shd w:val="clear" w:color="auto" w:fill="FFFFFF"/>
          </w:rPr>
          <w:t>gobierno@meta.gov.co</w:t>
        </w:r>
      </w:hyperlink>
      <w:r w:rsidRPr="00ED7314">
        <w:rPr>
          <w:rStyle w:val="Hipervnculo"/>
          <w:rFonts w:cs="Arial"/>
          <w:shd w:val="clear" w:color="auto" w:fill="FFFFFF"/>
        </w:rPr>
        <w:t xml:space="preserve"> </w:t>
      </w:r>
    </w:p>
    <w:p w14:paraId="4049D372" w14:textId="3CEE4232" w:rsidR="00B24B86" w:rsidRPr="00F145EE" w:rsidRDefault="006B02AC" w:rsidP="00B24B86">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Meta</w:t>
      </w:r>
    </w:p>
    <w:p w14:paraId="6B419115" w14:textId="77777777" w:rsidR="00B24B86" w:rsidRPr="00F145EE" w:rsidRDefault="00B24B86" w:rsidP="00B24B86">
      <w:pPr>
        <w:spacing w:after="0" w:line="240" w:lineRule="auto"/>
        <w:rPr>
          <w:rFonts w:ascii="Verdana" w:eastAsia="Calibri" w:hAnsi="Verdana" w:cs="Arial"/>
          <w:b/>
          <w:bCs/>
          <w:color w:val="000000" w:themeColor="text1"/>
          <w:lang w:val="es-ES_tradnl" w:eastAsia="es-ES_tradnl"/>
        </w:rPr>
      </w:pPr>
    </w:p>
    <w:p w14:paraId="4D67B635" w14:textId="77777777" w:rsidR="00B24B86" w:rsidRPr="00F145EE" w:rsidRDefault="00B24B86" w:rsidP="00B24B86">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145EE" w:rsidRPr="00F145EE" w14:paraId="39E07E32" w14:textId="77777777" w:rsidTr="001C39F7">
        <w:trPr>
          <w:trHeight w:val="884"/>
        </w:trPr>
        <w:tc>
          <w:tcPr>
            <w:tcW w:w="2689" w:type="dxa"/>
          </w:tcPr>
          <w:p w14:paraId="1EC5F888" w14:textId="77777777" w:rsidR="00B24B86" w:rsidRPr="00F145EE" w:rsidRDefault="00B24B86" w:rsidP="001C39F7">
            <w:pPr>
              <w:jc w:val="both"/>
              <w:rPr>
                <w:rFonts w:ascii="Verdana" w:eastAsia="Calibri" w:hAnsi="Verdana" w:cs="Arial"/>
                <w:b/>
                <w:bCs/>
                <w:color w:val="000000" w:themeColor="text1"/>
                <w:lang w:val="es-ES_tradnl" w:eastAsia="es-ES_tradnl"/>
              </w:rPr>
            </w:pPr>
          </w:p>
        </w:tc>
        <w:tc>
          <w:tcPr>
            <w:tcW w:w="6100" w:type="dxa"/>
          </w:tcPr>
          <w:p w14:paraId="2BDC34C0" w14:textId="44BD8DFE" w:rsidR="00B24B86" w:rsidRPr="00F145EE" w:rsidRDefault="00B24B86" w:rsidP="001C39F7">
            <w:pPr>
              <w:jc w:val="both"/>
              <w:rPr>
                <w:rFonts w:ascii="Verdana" w:eastAsia="Calibri" w:hAnsi="Verdana" w:cs="Arial"/>
                <w:b/>
                <w:bCs/>
                <w:color w:val="000000" w:themeColor="text1"/>
                <w:lang w:val="es-ES" w:eastAsia="es-ES"/>
              </w:rPr>
            </w:pPr>
            <w:r w:rsidRPr="00F145EE">
              <w:rPr>
                <w:rFonts w:ascii="Verdana" w:eastAsia="Calibri" w:hAnsi="Verdana" w:cs="Arial"/>
                <w:b/>
                <w:bCs/>
                <w:color w:val="000000" w:themeColor="text1"/>
                <w:lang w:val="es-ES" w:eastAsia="es-ES"/>
              </w:rPr>
              <w:t xml:space="preserve">Concepto C – </w:t>
            </w:r>
            <w:r w:rsidR="00393518">
              <w:rPr>
                <w:rFonts w:ascii="Verdana" w:eastAsia="Calibri" w:hAnsi="Verdana" w:cs="Arial"/>
                <w:b/>
                <w:bCs/>
                <w:color w:val="000000" w:themeColor="text1"/>
                <w:lang w:val="es-ES" w:eastAsia="es-ES"/>
              </w:rPr>
              <w:t>103</w:t>
            </w:r>
            <w:r w:rsidRPr="00F145EE">
              <w:rPr>
                <w:rFonts w:ascii="Verdana" w:eastAsia="Calibri" w:hAnsi="Verdana" w:cs="Arial"/>
                <w:b/>
                <w:bCs/>
                <w:color w:val="000000" w:themeColor="text1"/>
                <w:lang w:val="es-ES" w:eastAsia="es-ES"/>
              </w:rPr>
              <w:t xml:space="preserve"> de 202</w:t>
            </w:r>
            <w:r w:rsidR="004B2B68" w:rsidRPr="00F145EE">
              <w:rPr>
                <w:rFonts w:ascii="Verdana" w:eastAsia="Calibri" w:hAnsi="Verdana" w:cs="Arial"/>
                <w:b/>
                <w:bCs/>
                <w:color w:val="000000" w:themeColor="text1"/>
                <w:lang w:val="es-ES" w:eastAsia="es-ES"/>
              </w:rPr>
              <w:t>5</w:t>
            </w:r>
          </w:p>
        </w:tc>
      </w:tr>
      <w:tr w:rsidR="00F145EE" w:rsidRPr="00F145EE" w14:paraId="3EB7CB47" w14:textId="77777777" w:rsidTr="001C39F7">
        <w:trPr>
          <w:trHeight w:val="884"/>
        </w:trPr>
        <w:tc>
          <w:tcPr>
            <w:tcW w:w="2689" w:type="dxa"/>
          </w:tcPr>
          <w:p w14:paraId="745612D6" w14:textId="77777777" w:rsidR="00B24B86" w:rsidRPr="00F145EE" w:rsidRDefault="00B24B86" w:rsidP="001C39F7">
            <w:pPr>
              <w:jc w:val="both"/>
              <w:rPr>
                <w:rFonts w:ascii="Verdana" w:eastAsia="Calibri" w:hAnsi="Verdana" w:cs="Arial"/>
                <w:color w:val="000000" w:themeColor="text1"/>
                <w:lang w:val="es-ES_tradnl" w:eastAsia="es-ES_tradnl"/>
              </w:rPr>
            </w:pPr>
            <w:r w:rsidRPr="00F145EE">
              <w:rPr>
                <w:rFonts w:ascii="Verdana" w:eastAsia="Calibri" w:hAnsi="Verdana" w:cs="Arial"/>
                <w:b/>
                <w:color w:val="000000" w:themeColor="text1"/>
                <w:lang w:val="es-ES_tradnl" w:eastAsia="es-ES_tradnl"/>
              </w:rPr>
              <w:t>Temas:</w:t>
            </w:r>
            <w:r w:rsidRPr="00F145EE">
              <w:rPr>
                <w:rFonts w:ascii="Verdana" w:eastAsia="Calibri" w:hAnsi="Verdana" w:cs="Arial"/>
                <w:color w:val="000000" w:themeColor="text1"/>
                <w:lang w:val="es-ES_tradnl" w:eastAsia="es-ES_tradnl"/>
              </w:rPr>
              <w:t xml:space="preserve">                   </w:t>
            </w:r>
          </w:p>
        </w:tc>
        <w:tc>
          <w:tcPr>
            <w:tcW w:w="6100" w:type="dxa"/>
          </w:tcPr>
          <w:p w14:paraId="251D914F" w14:textId="3D741DB8" w:rsidR="00B24B86" w:rsidRPr="00F145EE" w:rsidRDefault="00B24B86" w:rsidP="001C39F7">
            <w:pPr>
              <w:spacing w:line="276" w:lineRule="auto"/>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 xml:space="preserve">SELECCIÓN ABREVIADA – Marco normativo / BIENES Y SERVICIOS DE CARACTERÍSTICAS TÉCNICAS UNIFORMES – Definición / </w:t>
            </w:r>
            <w:r w:rsidR="00F87210" w:rsidRPr="00F145EE">
              <w:rPr>
                <w:rFonts w:ascii="Verdana" w:eastAsia="Calibri" w:hAnsi="Verdana" w:cs="Arial"/>
                <w:color w:val="000000" w:themeColor="text1"/>
                <w:lang w:val="es-ES" w:eastAsia="es-ES"/>
              </w:rPr>
              <w:t xml:space="preserve">COMÚN UTILIZACIÓN Y HOMOGENEIDAD ‒ Bienes y servicios ‒Características – Formas de </w:t>
            </w:r>
            <w:r w:rsidR="00044386" w:rsidRPr="00F145EE">
              <w:rPr>
                <w:rFonts w:ascii="Verdana" w:eastAsia="Calibri" w:hAnsi="Verdana" w:cs="Arial"/>
                <w:color w:val="000000" w:themeColor="text1"/>
                <w:lang w:val="es-ES" w:eastAsia="es-ES"/>
              </w:rPr>
              <w:t>adquisición ‒</w:t>
            </w:r>
            <w:r w:rsidRPr="00F145EE">
              <w:rPr>
                <w:rFonts w:ascii="Verdana" w:eastAsia="Calibri" w:hAnsi="Verdana" w:cs="Arial"/>
                <w:color w:val="000000" w:themeColor="text1"/>
                <w:lang w:val="es-ES" w:eastAsia="es-ES"/>
              </w:rPr>
              <w:t xml:space="preserve"> Características – Formas de adquisició</w:t>
            </w:r>
            <w:r w:rsidR="00E53472" w:rsidRPr="00F145EE">
              <w:rPr>
                <w:rFonts w:ascii="Verdana" w:eastAsia="Calibri" w:hAnsi="Verdana" w:cs="Arial"/>
                <w:color w:val="000000" w:themeColor="text1"/>
                <w:lang w:val="es-ES" w:eastAsia="es-ES"/>
              </w:rPr>
              <w:t>n</w:t>
            </w:r>
            <w:r w:rsidR="00D03754" w:rsidRPr="00F145EE">
              <w:rPr>
                <w:rFonts w:ascii="Verdana" w:eastAsia="Calibri" w:hAnsi="Verdana" w:cs="Arial"/>
                <w:color w:val="000000" w:themeColor="text1"/>
                <w:lang w:val="es-ES" w:eastAsia="es-ES"/>
              </w:rPr>
              <w:t xml:space="preserve">.  </w:t>
            </w:r>
          </w:p>
          <w:p w14:paraId="7A5C3706" w14:textId="77777777" w:rsidR="00B24B86" w:rsidRPr="00F145EE" w:rsidRDefault="00B24B86" w:rsidP="001C39F7">
            <w:pPr>
              <w:spacing w:line="276" w:lineRule="auto"/>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 xml:space="preserve">  </w:t>
            </w:r>
          </w:p>
        </w:tc>
      </w:tr>
      <w:tr w:rsidR="00B24B86" w:rsidRPr="00F145EE" w14:paraId="46AEC6B3" w14:textId="77777777" w:rsidTr="001C39F7">
        <w:tc>
          <w:tcPr>
            <w:tcW w:w="2689" w:type="dxa"/>
          </w:tcPr>
          <w:p w14:paraId="2BFE446D" w14:textId="77777777" w:rsidR="00B24B86" w:rsidRPr="00F145EE" w:rsidRDefault="00B24B86" w:rsidP="001C39F7">
            <w:pPr>
              <w:jc w:val="both"/>
              <w:rPr>
                <w:rFonts w:ascii="Verdana" w:eastAsia="Calibri" w:hAnsi="Verdana" w:cs="Arial"/>
                <w:b/>
                <w:color w:val="000000" w:themeColor="text1"/>
                <w:lang w:val="es-ES_tradnl" w:eastAsia="es-ES_tradnl"/>
              </w:rPr>
            </w:pPr>
            <w:r w:rsidRPr="00F145EE">
              <w:rPr>
                <w:rFonts w:ascii="Verdana" w:eastAsia="Calibri" w:hAnsi="Verdana" w:cs="Arial"/>
                <w:b/>
                <w:color w:val="000000" w:themeColor="text1"/>
                <w:lang w:val="es-ES_tradnl" w:eastAsia="es-ES_tradnl"/>
              </w:rPr>
              <w:t>Radicación:</w:t>
            </w:r>
            <w:r w:rsidRPr="00F145EE">
              <w:rPr>
                <w:rFonts w:ascii="Verdana" w:eastAsia="Calibri" w:hAnsi="Verdana" w:cs="Arial"/>
                <w:color w:val="000000" w:themeColor="text1"/>
                <w:lang w:val="es-ES_tradnl" w:eastAsia="es-ES_tradnl"/>
              </w:rPr>
              <w:t xml:space="preserve">               </w:t>
            </w:r>
          </w:p>
        </w:tc>
        <w:tc>
          <w:tcPr>
            <w:tcW w:w="6100" w:type="dxa"/>
          </w:tcPr>
          <w:p w14:paraId="5493D713" w14:textId="26BF9F11" w:rsidR="00B24B86" w:rsidRPr="00F145EE" w:rsidRDefault="00B24B86" w:rsidP="001C39F7">
            <w:pPr>
              <w:spacing w:line="276" w:lineRule="auto"/>
              <w:jc w:val="both"/>
              <w:rPr>
                <w:rFonts w:ascii="Verdana" w:eastAsia="Calibri" w:hAnsi="Verdana" w:cs="Arial"/>
                <w:color w:val="000000" w:themeColor="text1"/>
                <w:lang w:eastAsia="es-ES_tradnl"/>
              </w:rPr>
            </w:pPr>
            <w:r w:rsidRPr="00F145EE">
              <w:rPr>
                <w:rFonts w:ascii="Verdana" w:eastAsia="Calibri" w:hAnsi="Verdana" w:cs="Arial"/>
                <w:color w:val="000000" w:themeColor="text1"/>
                <w:lang w:val="es-ES_tradnl" w:eastAsia="es-ES_tradnl"/>
              </w:rPr>
              <w:t xml:space="preserve">Respuesta a la consulta con radicado No. </w:t>
            </w:r>
            <w:r w:rsidR="00CF3FF0" w:rsidRPr="00F145EE">
              <w:rPr>
                <w:rFonts w:ascii="Verdana" w:eastAsia="Calibri" w:hAnsi="Verdana" w:cs="Arial"/>
                <w:color w:val="000000" w:themeColor="text1"/>
                <w:lang w:val="es-ES_tradnl" w:eastAsia="es-ES_tradnl"/>
              </w:rPr>
              <w:t>P20250124000642</w:t>
            </w:r>
            <w:r w:rsidRPr="00F145EE">
              <w:rPr>
                <w:rFonts w:ascii="Verdana" w:eastAsia="Calibri" w:hAnsi="Verdana" w:cs="Arial"/>
                <w:color w:val="000000" w:themeColor="text1"/>
                <w:lang w:val="es-ES_tradnl" w:eastAsia="es-ES_tradnl"/>
              </w:rPr>
              <w:t xml:space="preserve">                                     </w:t>
            </w:r>
          </w:p>
        </w:tc>
      </w:tr>
    </w:tbl>
    <w:p w14:paraId="3A098FDA" w14:textId="77777777" w:rsidR="00B24B86" w:rsidRPr="00F145EE" w:rsidRDefault="00B24B86" w:rsidP="00B24B86">
      <w:pPr>
        <w:spacing w:after="0" w:line="240" w:lineRule="auto"/>
        <w:jc w:val="both"/>
        <w:rPr>
          <w:rFonts w:ascii="Verdana" w:eastAsia="Calibri" w:hAnsi="Verdana" w:cs="Arial"/>
          <w:color w:val="000000" w:themeColor="text1"/>
          <w:lang w:val="es-ES_tradnl" w:eastAsia="es-ES_tradnl"/>
        </w:rPr>
      </w:pPr>
    </w:p>
    <w:p w14:paraId="1BE07B55" w14:textId="77777777" w:rsidR="00B24B86" w:rsidRPr="00F145EE" w:rsidRDefault="00B24B86" w:rsidP="00B24B86">
      <w:pPr>
        <w:spacing w:after="0" w:line="240" w:lineRule="auto"/>
        <w:jc w:val="both"/>
        <w:rPr>
          <w:rFonts w:ascii="Verdana" w:eastAsia="Calibri" w:hAnsi="Verdana" w:cs="Arial"/>
          <w:color w:val="000000" w:themeColor="text1"/>
          <w:lang w:val="es-ES_tradnl" w:eastAsia="es-ES_tradnl"/>
        </w:rPr>
      </w:pPr>
    </w:p>
    <w:p w14:paraId="0DE83D41" w14:textId="517C41E6" w:rsidR="00B24B86" w:rsidRPr="00F145EE" w:rsidRDefault="00B24B86" w:rsidP="00B24B86">
      <w:pPr>
        <w:spacing w:after="0" w:line="276" w:lineRule="auto"/>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 xml:space="preserve">Estimada señora </w:t>
      </w:r>
      <w:r w:rsidR="007B43DD" w:rsidRPr="00F145EE">
        <w:rPr>
          <w:rFonts w:ascii="Verdana" w:eastAsia="Calibri" w:hAnsi="Verdana" w:cs="Arial"/>
          <w:color w:val="000000" w:themeColor="text1"/>
          <w:lang w:val="es-ES" w:eastAsia="es-ES"/>
        </w:rPr>
        <w:t>Lizcano Noguera</w:t>
      </w:r>
      <w:r w:rsidR="00044386" w:rsidRPr="00F145EE">
        <w:rPr>
          <w:rFonts w:ascii="Verdana" w:eastAsia="Calibri" w:hAnsi="Verdana" w:cs="Arial"/>
          <w:color w:val="000000" w:themeColor="text1"/>
          <w:lang w:val="es-ES" w:eastAsia="es-ES"/>
        </w:rPr>
        <w:t>:</w:t>
      </w:r>
    </w:p>
    <w:p w14:paraId="2182A422" w14:textId="77777777" w:rsidR="00B24B86" w:rsidRPr="00F145EE" w:rsidRDefault="00B24B86" w:rsidP="00B24B86">
      <w:pPr>
        <w:tabs>
          <w:tab w:val="left" w:pos="3768"/>
        </w:tabs>
        <w:spacing w:after="0" w:line="276" w:lineRule="auto"/>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ab/>
      </w:r>
    </w:p>
    <w:p w14:paraId="2BDF64B3" w14:textId="1982214C" w:rsidR="00B24B86" w:rsidRPr="00F145EE" w:rsidRDefault="00B24B86" w:rsidP="00B24B86">
      <w:pPr>
        <w:spacing w:after="0" w:line="276" w:lineRule="auto"/>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En ejercicio de la competencia otorgada por los artículos 3, numeral 5º, y 11, numeral 8º, del Decreto Ley 4170 de 2011,</w:t>
      </w:r>
      <w:r w:rsidRPr="00F145EE">
        <w:rPr>
          <w:rFonts w:ascii="Verdana" w:eastAsia="Arial MT" w:hAnsi="Verdana" w:cs="Arial MT"/>
          <w:color w:val="000000" w:themeColor="text1"/>
          <w:lang w:val="es-ES" w:eastAsia="es-ES"/>
        </w:rPr>
        <w:t xml:space="preserve"> </w:t>
      </w:r>
      <w:r w:rsidRPr="00F145EE">
        <w:rPr>
          <w:rFonts w:ascii="Verdana" w:hAnsi="Verdana" w:cs="Arial"/>
          <w:color w:val="000000" w:themeColor="text1"/>
        </w:rPr>
        <w:t xml:space="preserve">así como lo establecido en el artículo 4 de la Resolución 1707 de 2018 expedida por esta Entidad, </w:t>
      </w:r>
      <w:r w:rsidRPr="00F145EE">
        <w:rPr>
          <w:rFonts w:ascii="Verdana" w:eastAsia="Calibri" w:hAnsi="Verdana" w:cs="Arial"/>
          <w:color w:val="000000" w:themeColor="text1"/>
          <w:lang w:val="es-ES" w:eastAsia="es-ES"/>
        </w:rPr>
        <w:t>la Agencia Nacional de Contratación Pública – Colombia Compra Eficiente responde su solicitud de consulta de fecha 2</w:t>
      </w:r>
      <w:r w:rsidR="005A1DA5" w:rsidRPr="00F145EE">
        <w:rPr>
          <w:rFonts w:ascii="Verdana" w:eastAsia="Calibri" w:hAnsi="Verdana" w:cs="Arial"/>
          <w:color w:val="000000" w:themeColor="text1"/>
          <w:lang w:val="es-ES" w:eastAsia="es-ES"/>
        </w:rPr>
        <w:t>4</w:t>
      </w:r>
      <w:r w:rsidRPr="00F145EE">
        <w:rPr>
          <w:rFonts w:ascii="Verdana" w:eastAsia="Calibri" w:hAnsi="Verdana" w:cs="Arial"/>
          <w:color w:val="000000" w:themeColor="text1"/>
          <w:lang w:val="es-ES" w:eastAsia="es-ES"/>
        </w:rPr>
        <w:t xml:space="preserve"> de </w:t>
      </w:r>
      <w:r w:rsidR="005A1DA5" w:rsidRPr="00F145EE">
        <w:rPr>
          <w:rFonts w:ascii="Verdana" w:eastAsia="Calibri" w:hAnsi="Verdana" w:cs="Arial"/>
          <w:color w:val="000000" w:themeColor="text1"/>
          <w:lang w:val="es-ES" w:eastAsia="es-ES"/>
        </w:rPr>
        <w:t>enero</w:t>
      </w:r>
      <w:r w:rsidRPr="00F145EE">
        <w:rPr>
          <w:rFonts w:ascii="Verdana" w:eastAsia="Calibri" w:hAnsi="Verdana" w:cs="Arial"/>
          <w:color w:val="000000" w:themeColor="text1"/>
          <w:lang w:val="es-ES" w:eastAsia="es-ES"/>
        </w:rPr>
        <w:t xml:space="preserve"> de 202</w:t>
      </w:r>
      <w:r w:rsidR="005A1DA5" w:rsidRPr="00F145EE">
        <w:rPr>
          <w:rFonts w:ascii="Verdana" w:eastAsia="Calibri" w:hAnsi="Verdana" w:cs="Arial"/>
          <w:color w:val="000000" w:themeColor="text1"/>
          <w:lang w:val="es-ES" w:eastAsia="es-ES"/>
        </w:rPr>
        <w:t>5</w:t>
      </w:r>
      <w:r w:rsidRPr="00F145EE">
        <w:rPr>
          <w:rFonts w:ascii="Verdana" w:eastAsia="Calibri" w:hAnsi="Verdana" w:cs="Arial"/>
          <w:color w:val="000000" w:themeColor="text1"/>
          <w:lang w:val="es-ES" w:eastAsia="es-ES"/>
        </w:rPr>
        <w:t>, en la cual pregunta lo siguiente</w:t>
      </w:r>
      <w:r w:rsidR="00E259DB" w:rsidRPr="00F145EE">
        <w:rPr>
          <w:rFonts w:ascii="Verdana" w:eastAsia="Calibri" w:hAnsi="Verdana" w:cs="Arial"/>
          <w:color w:val="000000" w:themeColor="text1"/>
          <w:lang w:val="es-ES" w:eastAsia="es-ES"/>
        </w:rPr>
        <w:t>, en relación con la contratación de un listado de elementos</w:t>
      </w:r>
      <w:r w:rsidR="00CD7B25" w:rsidRPr="00F145EE">
        <w:rPr>
          <w:rFonts w:ascii="Verdana" w:eastAsia="Calibri" w:hAnsi="Verdana" w:cs="Arial"/>
          <w:color w:val="000000" w:themeColor="text1"/>
          <w:lang w:val="es-ES" w:eastAsia="es-ES"/>
        </w:rPr>
        <w:t>, según dice,</w:t>
      </w:r>
      <w:r w:rsidR="002F0069" w:rsidRPr="00F145EE">
        <w:rPr>
          <w:rFonts w:ascii="Verdana" w:eastAsia="Calibri" w:hAnsi="Verdana" w:cs="Arial"/>
          <w:color w:val="000000" w:themeColor="text1"/>
          <w:lang w:val="es-ES" w:eastAsia="es-ES"/>
        </w:rPr>
        <w:t xml:space="preserve"> </w:t>
      </w:r>
      <w:r w:rsidR="00CD7B25" w:rsidRPr="00F145EE">
        <w:rPr>
          <w:rFonts w:ascii="Verdana" w:eastAsia="Calibri" w:hAnsi="Verdana" w:cs="Arial"/>
          <w:color w:val="000000" w:themeColor="text1"/>
          <w:lang w:val="es-ES" w:eastAsia="es-ES"/>
        </w:rPr>
        <w:t>requeridos</w:t>
      </w:r>
      <w:r w:rsidR="002F0069" w:rsidRPr="00F145EE">
        <w:rPr>
          <w:rFonts w:ascii="Verdana" w:eastAsia="Calibri" w:hAnsi="Verdana" w:cs="Arial"/>
          <w:color w:val="000000" w:themeColor="text1"/>
          <w:lang w:val="es-ES" w:eastAsia="es-ES"/>
        </w:rPr>
        <w:t xml:space="preserve"> para el Ejército Nacional</w:t>
      </w:r>
      <w:r w:rsidRPr="00F145EE">
        <w:rPr>
          <w:rFonts w:ascii="Verdana" w:eastAsia="Calibri" w:hAnsi="Verdana" w:cs="Arial"/>
          <w:color w:val="000000" w:themeColor="text1"/>
          <w:lang w:val="es-ES" w:eastAsia="es-ES"/>
        </w:rPr>
        <w:t>:</w:t>
      </w:r>
    </w:p>
    <w:p w14:paraId="3426F148" w14:textId="77777777" w:rsidR="00B24B86" w:rsidRPr="00F145EE" w:rsidRDefault="00B24B86" w:rsidP="00FF1F69">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p w14:paraId="60862C2D" w14:textId="058EB4CB" w:rsidR="002F0069" w:rsidRPr="00F145EE" w:rsidRDefault="002F0069" w:rsidP="002F0069">
      <w:pPr>
        <w:spacing w:after="120" w:line="240" w:lineRule="auto"/>
        <w:ind w:left="709" w:right="709"/>
        <w:jc w:val="both"/>
        <w:rPr>
          <w:rFonts w:ascii="Verdana" w:eastAsia="Century Gothic" w:hAnsi="Verdana" w:cs="Century Gothic"/>
          <w:color w:val="000000" w:themeColor="text1"/>
          <w:sz w:val="21"/>
          <w:szCs w:val="21"/>
          <w:lang w:val="es-ES"/>
        </w:rPr>
      </w:pPr>
      <w:r w:rsidRPr="00F145EE">
        <w:rPr>
          <w:rFonts w:ascii="Verdana" w:eastAsia="Century Gothic" w:hAnsi="Verdana" w:cs="Century Gothic"/>
          <w:color w:val="000000" w:themeColor="text1"/>
          <w:sz w:val="21"/>
          <w:szCs w:val="21"/>
          <w:lang w:val="es-ES"/>
        </w:rPr>
        <w:t xml:space="preserve">“Pese a ser bienes de condiciones de técnicas uniformes, y que, por la ficha técnica requerida no se encuentra un acuerdo marco vigente, al </w:t>
      </w:r>
      <w:r w:rsidRPr="00F145EE">
        <w:rPr>
          <w:rFonts w:ascii="Verdana" w:eastAsia="Century Gothic" w:hAnsi="Verdana" w:cs="Century Gothic"/>
          <w:color w:val="000000" w:themeColor="text1"/>
          <w:sz w:val="21"/>
          <w:szCs w:val="21"/>
          <w:lang w:val="es-ES"/>
        </w:rPr>
        <w:lastRenderedPageBreak/>
        <w:t>Departamento le surgen los siguientes interrogantes en cuanto a la modalidad de contratación:</w:t>
      </w:r>
    </w:p>
    <w:p w14:paraId="07BBCE69" w14:textId="3F199DC9" w:rsidR="002F0069" w:rsidRPr="00F145EE" w:rsidRDefault="002F0069" w:rsidP="00847BA5">
      <w:pPr>
        <w:spacing w:after="120" w:line="240" w:lineRule="auto"/>
        <w:ind w:left="709" w:right="709"/>
        <w:jc w:val="both"/>
        <w:rPr>
          <w:rFonts w:ascii="Verdana" w:eastAsia="Century Gothic" w:hAnsi="Verdana" w:cs="Century Gothic"/>
          <w:color w:val="000000" w:themeColor="text1"/>
          <w:sz w:val="21"/>
          <w:szCs w:val="21"/>
          <w:lang w:val="es-ES"/>
        </w:rPr>
      </w:pPr>
      <w:r w:rsidRPr="00F145EE">
        <w:rPr>
          <w:rFonts w:ascii="Verdana" w:eastAsia="Century Gothic" w:hAnsi="Verdana" w:cs="Century Gothic"/>
          <w:color w:val="000000" w:themeColor="text1"/>
          <w:sz w:val="21"/>
          <w:szCs w:val="21"/>
          <w:lang w:val="es-ES"/>
        </w:rPr>
        <w:t>1.</w:t>
      </w:r>
      <w:r w:rsidR="00CD7B25" w:rsidRPr="00F145EE">
        <w:rPr>
          <w:rFonts w:ascii="Verdana" w:eastAsia="Century Gothic" w:hAnsi="Verdana" w:cs="Century Gothic"/>
          <w:color w:val="000000" w:themeColor="text1"/>
          <w:sz w:val="21"/>
          <w:szCs w:val="21"/>
          <w:lang w:val="es-ES"/>
        </w:rPr>
        <w:t xml:space="preserve"> </w:t>
      </w:r>
      <w:r w:rsidRPr="00F145EE">
        <w:rPr>
          <w:rFonts w:ascii="Verdana" w:eastAsia="Century Gothic" w:hAnsi="Verdana" w:cs="Century Gothic"/>
          <w:color w:val="000000" w:themeColor="text1"/>
          <w:sz w:val="21"/>
          <w:szCs w:val="21"/>
          <w:lang w:val="es-ES"/>
        </w:rPr>
        <w:t>¿Los elementos que utilicen las fuerzas armadas de características técnicas uniformes, son o no</w:t>
      </w:r>
      <w:r w:rsidR="00847BA5" w:rsidRPr="00F145EE">
        <w:rPr>
          <w:rFonts w:ascii="Verdana" w:eastAsia="Century Gothic" w:hAnsi="Verdana" w:cs="Century Gothic"/>
          <w:color w:val="000000" w:themeColor="text1"/>
          <w:sz w:val="21"/>
          <w:szCs w:val="21"/>
          <w:lang w:val="es-ES"/>
        </w:rPr>
        <w:t xml:space="preserve"> </w:t>
      </w:r>
      <w:r w:rsidRPr="00F145EE">
        <w:rPr>
          <w:rFonts w:ascii="Verdana" w:eastAsia="Century Gothic" w:hAnsi="Verdana" w:cs="Century Gothic"/>
          <w:color w:val="000000" w:themeColor="text1"/>
          <w:sz w:val="21"/>
          <w:szCs w:val="21"/>
          <w:lang w:val="es-ES"/>
        </w:rPr>
        <w:t>considerados de común utilización?</w:t>
      </w:r>
    </w:p>
    <w:p w14:paraId="1B327745" w14:textId="7046361C" w:rsidR="002F0069" w:rsidRPr="00F145EE" w:rsidRDefault="002F0069" w:rsidP="000D6537">
      <w:pPr>
        <w:spacing w:after="120" w:line="240" w:lineRule="auto"/>
        <w:ind w:left="709" w:right="709"/>
        <w:jc w:val="both"/>
        <w:rPr>
          <w:rFonts w:ascii="Verdana" w:eastAsia="Century Gothic" w:hAnsi="Verdana" w:cs="Century Gothic"/>
          <w:color w:val="000000" w:themeColor="text1"/>
          <w:sz w:val="21"/>
          <w:szCs w:val="21"/>
          <w:lang w:val="es-ES"/>
        </w:rPr>
      </w:pPr>
      <w:r w:rsidRPr="00F145EE">
        <w:rPr>
          <w:rFonts w:ascii="Verdana" w:eastAsia="Century Gothic" w:hAnsi="Verdana" w:cs="Century Gothic"/>
          <w:color w:val="000000" w:themeColor="text1"/>
          <w:sz w:val="21"/>
          <w:szCs w:val="21"/>
          <w:lang w:val="es-ES"/>
        </w:rPr>
        <w:t>2.</w:t>
      </w:r>
      <w:r w:rsidR="00CD7B25" w:rsidRPr="00F145EE">
        <w:rPr>
          <w:rFonts w:ascii="Verdana" w:eastAsia="Century Gothic" w:hAnsi="Verdana" w:cs="Century Gothic"/>
          <w:color w:val="000000" w:themeColor="text1"/>
          <w:sz w:val="21"/>
          <w:szCs w:val="21"/>
          <w:lang w:val="es-ES"/>
        </w:rPr>
        <w:t xml:space="preserve"> </w:t>
      </w:r>
      <w:r w:rsidRPr="00F145EE">
        <w:rPr>
          <w:rFonts w:ascii="Verdana" w:eastAsia="Century Gothic" w:hAnsi="Verdana" w:cs="Century Gothic"/>
          <w:color w:val="000000" w:themeColor="text1"/>
          <w:sz w:val="21"/>
          <w:szCs w:val="21"/>
          <w:lang w:val="es-ES"/>
        </w:rPr>
        <w:t xml:space="preserve">¿Qué se entiende y cuál es el alcance de la palabra </w:t>
      </w:r>
      <w:r w:rsidR="000D6537" w:rsidRPr="00F145EE">
        <w:rPr>
          <w:rFonts w:ascii="Verdana" w:eastAsia="Century Gothic" w:hAnsi="Verdana" w:cs="Century Gothic"/>
          <w:color w:val="000000" w:themeColor="text1"/>
          <w:sz w:val="21"/>
          <w:szCs w:val="21"/>
          <w:lang w:val="es-ES"/>
        </w:rPr>
        <w:t>‘</w:t>
      </w:r>
      <w:r w:rsidRPr="00F145EE">
        <w:rPr>
          <w:rFonts w:ascii="Verdana" w:eastAsia="Century Gothic" w:hAnsi="Verdana" w:cs="Century Gothic"/>
          <w:color w:val="000000" w:themeColor="text1"/>
          <w:sz w:val="21"/>
          <w:szCs w:val="21"/>
          <w:lang w:val="es-ES"/>
        </w:rPr>
        <w:t>común utilización</w:t>
      </w:r>
      <w:r w:rsidR="000D6537" w:rsidRPr="00F145EE">
        <w:rPr>
          <w:rFonts w:ascii="Verdana" w:eastAsia="Century Gothic" w:hAnsi="Verdana" w:cs="Century Gothic"/>
          <w:color w:val="000000" w:themeColor="text1"/>
          <w:sz w:val="21"/>
          <w:szCs w:val="21"/>
          <w:lang w:val="es-ES"/>
        </w:rPr>
        <w:t>’</w:t>
      </w:r>
      <w:r w:rsidRPr="00F145EE">
        <w:rPr>
          <w:rFonts w:ascii="Verdana" w:eastAsia="Century Gothic" w:hAnsi="Verdana" w:cs="Century Gothic"/>
          <w:color w:val="000000" w:themeColor="text1"/>
          <w:sz w:val="21"/>
          <w:szCs w:val="21"/>
          <w:lang w:val="es-ES"/>
        </w:rPr>
        <w:t xml:space="preserve"> empleada por el Decreto 1082 de</w:t>
      </w:r>
      <w:r w:rsidR="000D6537" w:rsidRPr="00F145EE">
        <w:rPr>
          <w:rFonts w:ascii="Verdana" w:eastAsia="Century Gothic" w:hAnsi="Verdana" w:cs="Century Gothic"/>
          <w:color w:val="000000" w:themeColor="text1"/>
          <w:sz w:val="21"/>
          <w:szCs w:val="21"/>
          <w:lang w:val="es-ES"/>
        </w:rPr>
        <w:t xml:space="preserve"> </w:t>
      </w:r>
      <w:r w:rsidRPr="00F145EE">
        <w:rPr>
          <w:rFonts w:ascii="Verdana" w:eastAsia="Century Gothic" w:hAnsi="Verdana" w:cs="Century Gothic"/>
          <w:color w:val="000000" w:themeColor="text1"/>
          <w:sz w:val="21"/>
          <w:szCs w:val="21"/>
          <w:lang w:val="es-ES"/>
        </w:rPr>
        <w:t>2015, Decreto 310 de 2021?</w:t>
      </w:r>
    </w:p>
    <w:p w14:paraId="44095093" w14:textId="0FF003B4" w:rsidR="002F0069" w:rsidRPr="00F145EE" w:rsidRDefault="002F0069" w:rsidP="000D6537">
      <w:pPr>
        <w:spacing w:after="120" w:line="240" w:lineRule="auto"/>
        <w:ind w:left="709" w:right="709"/>
        <w:jc w:val="both"/>
        <w:rPr>
          <w:rFonts w:ascii="Verdana" w:eastAsia="Century Gothic" w:hAnsi="Verdana" w:cs="Century Gothic"/>
          <w:color w:val="000000" w:themeColor="text1"/>
          <w:sz w:val="21"/>
          <w:szCs w:val="21"/>
          <w:lang w:val="es-ES"/>
        </w:rPr>
      </w:pPr>
      <w:r w:rsidRPr="00F145EE">
        <w:rPr>
          <w:rFonts w:ascii="Verdana" w:eastAsia="Century Gothic" w:hAnsi="Verdana" w:cs="Century Gothic"/>
          <w:color w:val="000000" w:themeColor="text1"/>
          <w:sz w:val="21"/>
          <w:szCs w:val="21"/>
          <w:lang w:val="es-ES"/>
        </w:rPr>
        <w:t>3. ¿Cuál es la modalidad de selección adecuada para contratar, los bienes de condiciones técnicas uniformes,</w:t>
      </w:r>
      <w:r w:rsidR="000D6537" w:rsidRPr="00F145EE">
        <w:rPr>
          <w:rFonts w:ascii="Verdana" w:eastAsia="Century Gothic" w:hAnsi="Verdana" w:cs="Century Gothic"/>
          <w:color w:val="000000" w:themeColor="text1"/>
          <w:sz w:val="21"/>
          <w:szCs w:val="21"/>
          <w:lang w:val="es-ES"/>
        </w:rPr>
        <w:t xml:space="preserve"> </w:t>
      </w:r>
      <w:r w:rsidRPr="00F145EE">
        <w:rPr>
          <w:rFonts w:ascii="Verdana" w:eastAsia="Century Gothic" w:hAnsi="Verdana" w:cs="Century Gothic"/>
          <w:color w:val="000000" w:themeColor="text1"/>
          <w:sz w:val="21"/>
          <w:szCs w:val="21"/>
          <w:lang w:val="es-ES"/>
        </w:rPr>
        <w:t>pero no de común utilización?</w:t>
      </w:r>
    </w:p>
    <w:p w14:paraId="3EF2C60D" w14:textId="44128CA4" w:rsidR="002F0069" w:rsidRPr="00F145EE" w:rsidRDefault="002F0069" w:rsidP="002B4AF4">
      <w:pPr>
        <w:spacing w:after="120" w:line="240" w:lineRule="auto"/>
        <w:ind w:left="709" w:right="709"/>
        <w:jc w:val="both"/>
        <w:rPr>
          <w:rFonts w:ascii="Verdana" w:eastAsia="Century Gothic" w:hAnsi="Verdana" w:cs="Century Gothic"/>
          <w:color w:val="000000" w:themeColor="text1"/>
          <w:sz w:val="21"/>
          <w:szCs w:val="21"/>
          <w:lang w:val="es-ES"/>
        </w:rPr>
      </w:pPr>
      <w:r w:rsidRPr="00F145EE">
        <w:rPr>
          <w:rFonts w:ascii="Verdana" w:eastAsia="Century Gothic" w:hAnsi="Verdana" w:cs="Century Gothic"/>
          <w:color w:val="000000" w:themeColor="text1"/>
          <w:sz w:val="21"/>
          <w:szCs w:val="21"/>
          <w:lang w:val="es-ES"/>
        </w:rPr>
        <w:t>4.</w:t>
      </w:r>
      <w:r w:rsidR="00CD7B25" w:rsidRPr="00F145EE">
        <w:rPr>
          <w:rFonts w:ascii="Verdana" w:eastAsia="Century Gothic" w:hAnsi="Verdana" w:cs="Century Gothic"/>
          <w:color w:val="000000" w:themeColor="text1"/>
          <w:sz w:val="21"/>
          <w:szCs w:val="21"/>
          <w:lang w:val="es-ES"/>
        </w:rPr>
        <w:t xml:space="preserve"> </w:t>
      </w:r>
      <w:proofErr w:type="gramStart"/>
      <w:r w:rsidRPr="00F145EE">
        <w:rPr>
          <w:rFonts w:ascii="Verdana" w:eastAsia="Century Gothic" w:hAnsi="Verdana" w:cs="Century Gothic"/>
          <w:color w:val="000000" w:themeColor="text1"/>
          <w:sz w:val="21"/>
          <w:szCs w:val="21"/>
          <w:lang w:val="es-ES"/>
        </w:rPr>
        <w:t>¿Cuándo son bienes de condiciones técnicas uniformes, pero no de común utilización, debo realizar el</w:t>
      </w:r>
      <w:r w:rsidR="002B4AF4" w:rsidRPr="00F145EE">
        <w:rPr>
          <w:rFonts w:ascii="Verdana" w:eastAsia="Century Gothic" w:hAnsi="Verdana" w:cs="Century Gothic"/>
          <w:color w:val="000000" w:themeColor="text1"/>
          <w:sz w:val="21"/>
          <w:szCs w:val="21"/>
          <w:lang w:val="es-ES"/>
        </w:rPr>
        <w:t xml:space="preserve"> </w:t>
      </w:r>
      <w:r w:rsidRPr="00F145EE">
        <w:rPr>
          <w:rFonts w:ascii="Verdana" w:eastAsia="Century Gothic" w:hAnsi="Verdana" w:cs="Century Gothic"/>
          <w:color w:val="000000" w:themeColor="text1"/>
          <w:sz w:val="21"/>
          <w:szCs w:val="21"/>
          <w:lang w:val="es-ES"/>
        </w:rPr>
        <w:t>análisis establecido en el artículo 2.</w:t>
      </w:r>
      <w:proofErr w:type="gramEnd"/>
      <w:r w:rsidRPr="00F145EE">
        <w:rPr>
          <w:rFonts w:ascii="Verdana" w:eastAsia="Century Gothic" w:hAnsi="Verdana" w:cs="Century Gothic"/>
          <w:color w:val="000000" w:themeColor="text1"/>
          <w:sz w:val="21"/>
          <w:szCs w:val="21"/>
          <w:lang w:val="es-ES"/>
        </w:rPr>
        <w:t>2.1.2.1.2.11. y 2.2.1.2.1.2.12 (modificado por el Decreto 310 de 202)?</w:t>
      </w:r>
      <w:r w:rsidR="002B4AF4" w:rsidRPr="00F145EE">
        <w:rPr>
          <w:rFonts w:ascii="Verdana" w:eastAsia="Century Gothic" w:hAnsi="Verdana" w:cs="Century Gothic"/>
          <w:color w:val="000000" w:themeColor="text1"/>
          <w:sz w:val="21"/>
          <w:szCs w:val="21"/>
          <w:lang w:val="es-ES"/>
        </w:rPr>
        <w:t xml:space="preserve"> (sic)</w:t>
      </w:r>
      <w:r w:rsidR="00847BA5" w:rsidRPr="00F145EE">
        <w:rPr>
          <w:rFonts w:ascii="Verdana" w:eastAsia="Century Gothic" w:hAnsi="Verdana" w:cs="Century Gothic"/>
          <w:color w:val="000000" w:themeColor="text1"/>
          <w:sz w:val="21"/>
          <w:szCs w:val="21"/>
          <w:lang w:val="es-ES"/>
        </w:rPr>
        <w:t>”</w:t>
      </w:r>
      <w:r w:rsidR="002B4AF4" w:rsidRPr="00F145EE">
        <w:rPr>
          <w:rFonts w:ascii="Verdana" w:eastAsia="Century Gothic" w:hAnsi="Verdana" w:cs="Century Gothic"/>
          <w:color w:val="000000" w:themeColor="text1"/>
          <w:sz w:val="21"/>
          <w:szCs w:val="21"/>
          <w:lang w:val="es-ES"/>
        </w:rPr>
        <w:t>.</w:t>
      </w:r>
    </w:p>
    <w:p w14:paraId="449685C3" w14:textId="77777777" w:rsidR="00B24B86" w:rsidRPr="00F145EE" w:rsidRDefault="00B24B86" w:rsidP="00FF1F69">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p w14:paraId="5D965930" w14:textId="77777777" w:rsidR="00B24B86" w:rsidRPr="00F145EE" w:rsidRDefault="00B24B86" w:rsidP="00B24B86">
      <w:pPr>
        <w:spacing w:after="120" w:line="276" w:lineRule="auto"/>
        <w:ind w:firstLine="709"/>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145EE">
        <w:rPr>
          <w:rFonts w:ascii="Verdana" w:eastAsia="Calibri" w:hAnsi="Verdana" w:cs="Arial"/>
          <w:color w:val="000000" w:themeColor="text1"/>
          <w:szCs w:val="24"/>
          <w:lang w:val="es-ES_tradnl" w:eastAsia="es-ES_tradnl"/>
        </w:rPr>
        <w:tab/>
      </w:r>
    </w:p>
    <w:p w14:paraId="6BE86DFC" w14:textId="77777777" w:rsidR="00B24B86" w:rsidRPr="00F145EE" w:rsidRDefault="00B24B86" w:rsidP="00B24B86">
      <w:pPr>
        <w:spacing w:after="0" w:line="276" w:lineRule="auto"/>
        <w:ind w:firstLine="709"/>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 problema jurídico de su consulta.  </w:t>
      </w:r>
    </w:p>
    <w:p w14:paraId="4ED05DCC" w14:textId="77777777" w:rsidR="00B24B86" w:rsidRPr="00F145EE" w:rsidRDefault="00B24B86" w:rsidP="00B24B86">
      <w:pPr>
        <w:spacing w:after="0" w:line="276" w:lineRule="auto"/>
        <w:ind w:firstLine="709"/>
        <w:jc w:val="both"/>
        <w:rPr>
          <w:rFonts w:ascii="Verdana" w:eastAsia="Calibri" w:hAnsi="Verdana" w:cs="Arial"/>
          <w:color w:val="000000" w:themeColor="text1"/>
          <w:lang w:val="es-ES" w:eastAsia="es-ES"/>
        </w:rPr>
      </w:pPr>
    </w:p>
    <w:p w14:paraId="2AAB41B0" w14:textId="6689EEEE" w:rsidR="00B24B86" w:rsidRPr="00F145EE" w:rsidRDefault="00A126AC" w:rsidP="00A126AC">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 xml:space="preserve">I. </w:t>
      </w:r>
      <w:r w:rsidR="00B24B86" w:rsidRPr="00F145EE">
        <w:rPr>
          <w:rFonts w:ascii="Verdana" w:eastAsia="Century Gothic" w:hAnsi="Verdana" w:cs="Century Gothic"/>
          <w:b/>
          <w:bCs/>
          <w:color w:val="000000" w:themeColor="text1"/>
        </w:rPr>
        <w:t>Problema planteado:</w:t>
      </w:r>
    </w:p>
    <w:p w14:paraId="0703C9F8" w14:textId="77777777" w:rsidR="00B24B86" w:rsidRPr="00F145EE" w:rsidRDefault="00B24B86" w:rsidP="00B24B86">
      <w:pPr>
        <w:tabs>
          <w:tab w:val="left" w:pos="426"/>
        </w:tabs>
        <w:spacing w:after="0" w:line="276" w:lineRule="auto"/>
        <w:jc w:val="both"/>
        <w:rPr>
          <w:rFonts w:ascii="Verdana" w:eastAsia="Century Gothic" w:hAnsi="Verdana" w:cs="Century Gothic"/>
          <w:color w:val="000000" w:themeColor="text1"/>
          <w:lang w:val="es-ES"/>
        </w:rPr>
      </w:pPr>
    </w:p>
    <w:p w14:paraId="3767D815" w14:textId="2A90EA60" w:rsidR="00B24B86" w:rsidRPr="00F145EE" w:rsidRDefault="00B24B86" w:rsidP="00B24B86">
      <w:pPr>
        <w:spacing w:after="0" w:line="276" w:lineRule="auto"/>
        <w:jc w:val="both"/>
        <w:rPr>
          <w:rFonts w:ascii="Verdana" w:eastAsia="Century Gothic" w:hAnsi="Verdana" w:cs="Century Gothic"/>
          <w:color w:val="000000" w:themeColor="text1"/>
        </w:rPr>
      </w:pPr>
      <w:r w:rsidRPr="00F145EE">
        <w:rPr>
          <w:rFonts w:ascii="Verdana" w:eastAsia="Century Gothic" w:hAnsi="Verdana" w:cs="Century Gothic"/>
          <w:color w:val="000000" w:themeColor="text1"/>
        </w:rPr>
        <w:t>De acuerdo con el contenido de su solicitud, esta Agencia resolverá el siguiente problema jurídico: ¿</w:t>
      </w:r>
      <w:r w:rsidR="00042567" w:rsidRPr="00F145EE">
        <w:rPr>
          <w:rFonts w:ascii="Verdana" w:eastAsia="Century Gothic" w:hAnsi="Verdana" w:cs="Century Gothic"/>
          <w:color w:val="000000" w:themeColor="text1"/>
        </w:rPr>
        <w:t xml:space="preserve">qué alcance hermenéutico debe otorgársele al concepto “bienes y servicios de características técnicas uniformes y de </w:t>
      </w:r>
      <w:r w:rsidR="00042567" w:rsidRPr="00F145EE">
        <w:rPr>
          <w:rFonts w:ascii="Verdana" w:eastAsia="Century Gothic" w:hAnsi="Verdana" w:cs="Century Gothic"/>
          <w:i/>
          <w:iCs/>
          <w:color w:val="000000" w:themeColor="text1"/>
        </w:rPr>
        <w:t>común utilización</w:t>
      </w:r>
      <w:r w:rsidR="00042567" w:rsidRPr="00F145EE">
        <w:rPr>
          <w:rFonts w:ascii="Verdana" w:eastAsia="Century Gothic" w:hAnsi="Verdana" w:cs="Century Gothic"/>
          <w:color w:val="000000" w:themeColor="text1"/>
        </w:rPr>
        <w:t xml:space="preserve">”, </w:t>
      </w:r>
      <w:r w:rsidR="00042567" w:rsidRPr="00F145EE">
        <w:rPr>
          <w:rFonts w:ascii="Verdana" w:eastAsia="Century Gothic" w:hAnsi="Verdana" w:cs="Century Gothic"/>
          <w:color w:val="000000" w:themeColor="text1"/>
        </w:rPr>
        <w:lastRenderedPageBreak/>
        <w:t xml:space="preserve">en especial a la expresión indicada en cursiva, para efectos de determinar su modalidad de selección </w:t>
      </w:r>
      <w:r w:rsidR="00B120CF" w:rsidRPr="00F145EE">
        <w:rPr>
          <w:rFonts w:ascii="Verdana" w:eastAsia="Century Gothic" w:hAnsi="Verdana" w:cs="Century Gothic"/>
          <w:color w:val="000000" w:themeColor="text1"/>
        </w:rPr>
        <w:t xml:space="preserve">y </w:t>
      </w:r>
      <w:r w:rsidR="00EC1C21" w:rsidRPr="00F145EE">
        <w:rPr>
          <w:rFonts w:ascii="Verdana" w:eastAsia="Century Gothic" w:hAnsi="Verdana" w:cs="Century Gothic"/>
          <w:color w:val="000000" w:themeColor="text1"/>
        </w:rPr>
        <w:t>el</w:t>
      </w:r>
      <w:r w:rsidR="00B120CF" w:rsidRPr="00F145EE">
        <w:rPr>
          <w:rFonts w:ascii="Verdana" w:eastAsia="Century Gothic" w:hAnsi="Verdana" w:cs="Century Gothic"/>
          <w:color w:val="000000" w:themeColor="text1"/>
        </w:rPr>
        <w:t xml:space="preserve"> procedimiento</w:t>
      </w:r>
      <w:r w:rsidR="00EC1C21" w:rsidRPr="00F145EE">
        <w:rPr>
          <w:rFonts w:ascii="Verdana" w:eastAsia="Century Gothic" w:hAnsi="Verdana" w:cs="Century Gothic"/>
          <w:color w:val="000000" w:themeColor="text1"/>
        </w:rPr>
        <w:t xml:space="preserve"> aplicable</w:t>
      </w:r>
      <w:r w:rsidRPr="00F145EE">
        <w:rPr>
          <w:rFonts w:ascii="Verdana" w:eastAsia="Century Gothic" w:hAnsi="Verdana" w:cs="Century Gothic"/>
          <w:color w:val="000000" w:themeColor="text1"/>
        </w:rPr>
        <w:t xml:space="preserve">?                </w:t>
      </w:r>
    </w:p>
    <w:p w14:paraId="25D95ED2" w14:textId="77777777" w:rsidR="00B24B86" w:rsidRPr="00F145EE" w:rsidRDefault="00B24B86" w:rsidP="00B24B86">
      <w:pPr>
        <w:spacing w:after="0" w:line="276" w:lineRule="auto"/>
        <w:jc w:val="both"/>
        <w:rPr>
          <w:rFonts w:ascii="Verdana" w:eastAsia="Calibri" w:hAnsi="Verdana" w:cs="Arial"/>
          <w:color w:val="000000" w:themeColor="text1"/>
        </w:rPr>
      </w:pPr>
    </w:p>
    <w:p w14:paraId="1F1752D1" w14:textId="70C716EA" w:rsidR="00B24B86" w:rsidRPr="00F145EE" w:rsidRDefault="00A126AC" w:rsidP="00A126AC">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 xml:space="preserve">II. </w:t>
      </w:r>
      <w:r w:rsidR="00B24B86" w:rsidRPr="00F145EE">
        <w:rPr>
          <w:rFonts w:ascii="Verdana" w:eastAsia="Century Gothic" w:hAnsi="Verdana" w:cs="Century Gothic"/>
          <w:b/>
          <w:bCs/>
          <w:color w:val="000000" w:themeColor="text1"/>
        </w:rPr>
        <w:t>Respuesta:</w:t>
      </w:r>
    </w:p>
    <w:p w14:paraId="5CD0DC10" w14:textId="77777777" w:rsidR="00B24B86" w:rsidRPr="00F145EE" w:rsidRDefault="00B24B86" w:rsidP="00B24B8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24B86" w:rsidRPr="00F145EE" w14:paraId="68373D4C" w14:textId="77777777" w:rsidTr="001C39F7">
        <w:trPr>
          <w:jc w:val="center"/>
        </w:trPr>
        <w:tc>
          <w:tcPr>
            <w:tcW w:w="8828" w:type="dxa"/>
            <w:shd w:val="clear" w:color="auto" w:fill="auto"/>
          </w:tcPr>
          <w:p w14:paraId="422B72A8" w14:textId="77777777" w:rsidR="009415BC" w:rsidRPr="00F145EE" w:rsidRDefault="009415BC" w:rsidP="007D4BD8">
            <w:pPr>
              <w:tabs>
                <w:tab w:val="left" w:pos="567"/>
              </w:tabs>
              <w:spacing w:line="256" w:lineRule="auto"/>
              <w:jc w:val="both"/>
              <w:rPr>
                <w:rFonts w:ascii="Verdana" w:eastAsia="Calibri" w:hAnsi="Verdana" w:cs="Times New Roman"/>
                <w:iCs/>
                <w:color w:val="000000" w:themeColor="text1"/>
                <w:lang w:val="es-ES"/>
              </w:rPr>
            </w:pPr>
            <w:bookmarkStart w:id="0" w:name="_Hlk171694685"/>
          </w:p>
          <w:p w14:paraId="36FCBFE2" w14:textId="5B3E3A72" w:rsidR="007D4BD8" w:rsidRPr="00F145EE" w:rsidRDefault="001A41C7" w:rsidP="00BF51A9">
            <w:pPr>
              <w:tabs>
                <w:tab w:val="left" w:pos="567"/>
              </w:tabs>
              <w:spacing w:after="120" w:line="257" w:lineRule="auto"/>
              <w:jc w:val="both"/>
              <w:rPr>
                <w:rFonts w:ascii="Verdana" w:eastAsia="Times New Roman" w:hAnsi="Verdana" w:cs="Arial"/>
                <w:color w:val="000000" w:themeColor="text1"/>
                <w:shd w:val="clear" w:color="auto" w:fill="FFFFFF"/>
                <w:lang w:eastAsia="es-CO"/>
              </w:rPr>
            </w:pPr>
            <w:r w:rsidRPr="00F145EE">
              <w:rPr>
                <w:rFonts w:ascii="Verdana" w:eastAsia="Calibri" w:hAnsi="Verdana" w:cs="Times New Roman"/>
                <w:iCs/>
                <w:color w:val="000000" w:themeColor="text1"/>
                <w:lang w:val="es-ES"/>
              </w:rPr>
              <w:t>S</w:t>
            </w:r>
            <w:r w:rsidR="007D4BD8" w:rsidRPr="00F145EE">
              <w:rPr>
                <w:rFonts w:ascii="Verdana" w:eastAsia="Calibri" w:hAnsi="Verdana" w:cs="Times New Roman"/>
                <w:iCs/>
                <w:color w:val="000000" w:themeColor="text1"/>
                <w:lang w:val="es-ES"/>
              </w:rPr>
              <w:t>e precisa que los bienes y servicios de características técnicas uniformes y de común utilización son aquellos que comparten patrones de desempeño y calidad</w:t>
            </w:r>
            <w:r w:rsidR="007D4BD8" w:rsidRPr="00F145EE">
              <w:rPr>
                <w:rFonts w:ascii="Verdana" w:eastAsia="Calibri" w:hAnsi="Verdana" w:cs="Arial"/>
                <w:bCs/>
                <w:color w:val="000000" w:themeColor="text1"/>
              </w:rPr>
              <w:t xml:space="preserve"> similares para la satisfacción de la necesidad a la que atienden</w:t>
            </w:r>
            <w:r w:rsidR="007D4BD8" w:rsidRPr="00F145EE">
              <w:rPr>
                <w:rFonts w:ascii="Verdana" w:eastAsia="Calibri" w:hAnsi="Verdana" w:cs="Times New Roman"/>
                <w:iCs/>
                <w:color w:val="000000" w:themeColor="text1"/>
                <w:lang w:val="es-ES"/>
              </w:rPr>
              <w:t xml:space="preserve">. </w:t>
            </w:r>
            <w:r w:rsidR="00FE0A63" w:rsidRPr="00F145EE">
              <w:rPr>
                <w:rFonts w:ascii="Verdana" w:eastAsia="Calibri" w:hAnsi="Verdana" w:cs="Times New Roman"/>
                <w:iCs/>
                <w:color w:val="000000" w:themeColor="text1"/>
                <w:lang w:val="es-ES"/>
              </w:rPr>
              <w:t>Así, d</w:t>
            </w:r>
            <w:r w:rsidR="007D4BD8" w:rsidRPr="00F145EE">
              <w:rPr>
                <w:rFonts w:ascii="Verdana" w:eastAsia="Calibri" w:hAnsi="Verdana" w:cs="Times New Roman"/>
                <w:iCs/>
                <w:color w:val="000000" w:themeColor="text1"/>
                <w:lang w:val="es-ES"/>
              </w:rPr>
              <w:t xml:space="preserve">e acuerdo con el numeral 2 del artículo 2 de la Ley 1150 de 2007, </w:t>
            </w:r>
            <w:r w:rsidR="007D4BD8" w:rsidRPr="00F145EE">
              <w:rPr>
                <w:rFonts w:ascii="Verdana" w:eastAsia="Times New Roman" w:hAnsi="Verdana" w:cs="Arial"/>
                <w:color w:val="000000" w:themeColor="text1"/>
                <w:shd w:val="clear" w:color="auto" w:fill="FFFFFF"/>
                <w:lang w:eastAsia="es-CO"/>
              </w:rPr>
              <w:t>corresponden a aquellos que poseen las mismas especificaciones técnicas, con independencia de su diseño o de sus características descriptivas, y comparten patrones de desempeño y calidad objetivamente definidos.</w:t>
            </w:r>
          </w:p>
          <w:p w14:paraId="0AEC4CF0" w14:textId="77777777" w:rsidR="009F44A6" w:rsidRPr="00F145EE" w:rsidRDefault="002E088F" w:rsidP="002E088F">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 xml:space="preserve">Ahora bien, como indica su denominación normativa, no basta </w:t>
            </w:r>
            <w:r w:rsidR="00A17EF1" w:rsidRPr="00F145EE">
              <w:rPr>
                <w:rFonts w:ascii="Verdana" w:eastAsia="Calibri" w:hAnsi="Verdana" w:cs="Times New Roman"/>
                <w:iCs/>
                <w:color w:val="000000" w:themeColor="text1"/>
                <w:lang w:val="es-ES"/>
              </w:rPr>
              <w:t xml:space="preserve">con </w:t>
            </w:r>
            <w:r w:rsidRPr="00F145EE">
              <w:rPr>
                <w:rFonts w:ascii="Verdana" w:eastAsia="Calibri" w:hAnsi="Verdana" w:cs="Times New Roman"/>
                <w:iCs/>
                <w:color w:val="000000" w:themeColor="text1"/>
                <w:lang w:val="es-ES"/>
              </w:rPr>
              <w:t xml:space="preserve">que el bien o servicio de que se trate sea de características técnicas uniformes, sino que, además, es necesario que sea de “común utilización”. </w:t>
            </w:r>
            <w:r w:rsidR="0032598E" w:rsidRPr="00F145EE">
              <w:rPr>
                <w:rFonts w:ascii="Verdana" w:eastAsia="Calibri" w:hAnsi="Verdana" w:cs="Times New Roman"/>
                <w:iCs/>
                <w:color w:val="000000" w:themeColor="text1"/>
                <w:lang w:val="es-ES"/>
              </w:rPr>
              <w:t>E</w:t>
            </w:r>
            <w:r w:rsidRPr="00F145EE">
              <w:rPr>
                <w:rFonts w:ascii="Verdana" w:eastAsia="Calibri" w:hAnsi="Verdana" w:cs="Times New Roman"/>
                <w:iCs/>
                <w:color w:val="000000" w:themeColor="text1"/>
                <w:lang w:val="es-ES"/>
              </w:rPr>
              <w:t xml:space="preserve">sta expresión, tal como ha indicado la doctrina especializada, </w:t>
            </w:r>
            <w:r w:rsidR="0032598E" w:rsidRPr="00F145EE">
              <w:rPr>
                <w:rFonts w:ascii="Verdana" w:eastAsia="Calibri" w:hAnsi="Verdana" w:cs="Times New Roman"/>
                <w:iCs/>
                <w:color w:val="000000" w:themeColor="text1"/>
                <w:lang w:val="es-ES"/>
              </w:rPr>
              <w:t>debe interpretarse en el sentido de que el bien o servicio</w:t>
            </w:r>
            <w:r w:rsidR="00D55672" w:rsidRPr="00F145EE">
              <w:rPr>
                <w:rFonts w:ascii="Verdana" w:eastAsia="Calibri" w:hAnsi="Verdana" w:cs="Times New Roman"/>
                <w:iCs/>
                <w:color w:val="000000" w:themeColor="text1"/>
                <w:lang w:val="es-ES"/>
              </w:rPr>
              <w:t xml:space="preserve"> se ofrezca en el mercado </w:t>
            </w:r>
            <w:r w:rsidR="00AC5B5D" w:rsidRPr="00F145EE">
              <w:rPr>
                <w:rFonts w:ascii="Verdana" w:eastAsia="Calibri" w:hAnsi="Verdana" w:cs="Times New Roman"/>
                <w:iCs/>
                <w:color w:val="000000" w:themeColor="text1"/>
                <w:lang w:val="es-ES"/>
              </w:rPr>
              <w:t>en forma equivalente</w:t>
            </w:r>
            <w:r w:rsidR="00D55672" w:rsidRPr="00F145EE">
              <w:rPr>
                <w:rFonts w:ascii="Verdana" w:eastAsia="Calibri" w:hAnsi="Verdana" w:cs="Times New Roman"/>
                <w:iCs/>
                <w:color w:val="000000" w:themeColor="text1"/>
                <w:lang w:val="es-ES"/>
              </w:rPr>
              <w:t xml:space="preserve"> para quienes deseen </w:t>
            </w:r>
            <w:r w:rsidR="001E4EE6" w:rsidRPr="00F145EE">
              <w:rPr>
                <w:rFonts w:ascii="Verdana" w:eastAsia="Calibri" w:hAnsi="Verdana" w:cs="Times New Roman"/>
                <w:iCs/>
                <w:color w:val="000000" w:themeColor="text1"/>
                <w:lang w:val="es-ES"/>
              </w:rPr>
              <w:t xml:space="preserve">adquirirlo y </w:t>
            </w:r>
            <w:r w:rsidR="00D55672" w:rsidRPr="00F145EE">
              <w:rPr>
                <w:rFonts w:ascii="Verdana" w:eastAsia="Calibri" w:hAnsi="Verdana" w:cs="Times New Roman"/>
                <w:iCs/>
                <w:color w:val="000000" w:themeColor="text1"/>
                <w:lang w:val="es-ES"/>
              </w:rPr>
              <w:t>usarlo.</w:t>
            </w:r>
            <w:r w:rsidR="00DE5A59" w:rsidRPr="00F145EE">
              <w:rPr>
                <w:rFonts w:ascii="Verdana" w:eastAsia="Calibri" w:hAnsi="Verdana" w:cs="Times New Roman"/>
                <w:iCs/>
                <w:color w:val="000000" w:themeColor="text1"/>
                <w:lang w:val="es-ES"/>
              </w:rPr>
              <w:t xml:space="preserve"> Eso no quiere decir que</w:t>
            </w:r>
            <w:r w:rsidR="004E064E" w:rsidRPr="00F145EE">
              <w:rPr>
                <w:rFonts w:ascii="Verdana" w:eastAsia="Calibri" w:hAnsi="Verdana" w:cs="Times New Roman"/>
                <w:iCs/>
                <w:color w:val="000000" w:themeColor="text1"/>
                <w:lang w:val="es-ES"/>
              </w:rPr>
              <w:t xml:space="preserve"> el bien o servicio deb</w:t>
            </w:r>
            <w:r w:rsidR="00AC5B5D" w:rsidRPr="00F145EE">
              <w:rPr>
                <w:rFonts w:ascii="Verdana" w:eastAsia="Calibri" w:hAnsi="Verdana" w:cs="Times New Roman"/>
                <w:iCs/>
                <w:color w:val="000000" w:themeColor="text1"/>
                <w:lang w:val="es-ES"/>
              </w:rPr>
              <w:t>a</w:t>
            </w:r>
            <w:r w:rsidR="004E064E" w:rsidRPr="00F145EE">
              <w:rPr>
                <w:rFonts w:ascii="Verdana" w:eastAsia="Calibri" w:hAnsi="Verdana" w:cs="Times New Roman"/>
                <w:iCs/>
                <w:color w:val="000000" w:themeColor="text1"/>
                <w:lang w:val="es-ES"/>
              </w:rPr>
              <w:t xml:space="preserve"> ser </w:t>
            </w:r>
            <w:r w:rsidR="006A28DC" w:rsidRPr="00F145EE">
              <w:rPr>
                <w:rFonts w:ascii="Verdana" w:eastAsia="Calibri" w:hAnsi="Verdana" w:cs="Times New Roman"/>
                <w:iCs/>
                <w:color w:val="000000" w:themeColor="text1"/>
                <w:lang w:val="es-ES"/>
              </w:rPr>
              <w:t>usado</w:t>
            </w:r>
            <w:r w:rsidR="004E064E" w:rsidRPr="00F145EE">
              <w:rPr>
                <w:rFonts w:ascii="Verdana" w:eastAsia="Calibri" w:hAnsi="Verdana" w:cs="Times New Roman"/>
                <w:iCs/>
                <w:color w:val="000000" w:themeColor="text1"/>
                <w:lang w:val="es-ES"/>
              </w:rPr>
              <w:t xml:space="preserve"> por toda la sociedad</w:t>
            </w:r>
            <w:r w:rsidR="0002438E" w:rsidRPr="00F145EE">
              <w:rPr>
                <w:rFonts w:ascii="Verdana" w:eastAsia="Calibri" w:hAnsi="Verdana" w:cs="Times New Roman"/>
                <w:iCs/>
                <w:color w:val="000000" w:themeColor="text1"/>
                <w:lang w:val="es-ES"/>
              </w:rPr>
              <w:t>, inexorablemente</w:t>
            </w:r>
            <w:r w:rsidR="00141590" w:rsidRPr="00F145EE">
              <w:rPr>
                <w:rFonts w:ascii="Verdana" w:eastAsia="Calibri" w:hAnsi="Verdana" w:cs="Times New Roman"/>
                <w:iCs/>
                <w:color w:val="000000" w:themeColor="text1"/>
                <w:lang w:val="es-ES"/>
              </w:rPr>
              <w:t>. Lo importante es que</w:t>
            </w:r>
            <w:r w:rsidR="00054DB6" w:rsidRPr="00F145EE">
              <w:rPr>
                <w:rFonts w:ascii="Verdana" w:eastAsia="Calibri" w:hAnsi="Verdana" w:cs="Times New Roman"/>
                <w:iCs/>
                <w:color w:val="000000" w:themeColor="text1"/>
                <w:lang w:val="es-ES"/>
              </w:rPr>
              <w:t xml:space="preserve"> se encuentre estandarizad</w:t>
            </w:r>
            <w:r w:rsidR="00F61268" w:rsidRPr="00F145EE">
              <w:rPr>
                <w:rFonts w:ascii="Verdana" w:eastAsia="Calibri" w:hAnsi="Verdana" w:cs="Times New Roman"/>
                <w:iCs/>
                <w:color w:val="000000" w:themeColor="text1"/>
                <w:lang w:val="es-ES"/>
              </w:rPr>
              <w:t>o</w:t>
            </w:r>
            <w:r w:rsidR="00054DB6" w:rsidRPr="00F145EE">
              <w:rPr>
                <w:rFonts w:ascii="Verdana" w:eastAsia="Calibri" w:hAnsi="Verdana" w:cs="Times New Roman"/>
                <w:iCs/>
                <w:color w:val="000000" w:themeColor="text1"/>
                <w:lang w:val="es-ES"/>
              </w:rPr>
              <w:t xml:space="preserve"> en el mercado</w:t>
            </w:r>
            <w:r w:rsidR="008E4810" w:rsidRPr="00F145EE">
              <w:rPr>
                <w:rFonts w:ascii="Verdana" w:eastAsia="Calibri" w:hAnsi="Verdana" w:cs="Times New Roman"/>
                <w:iCs/>
                <w:color w:val="000000" w:themeColor="text1"/>
                <w:lang w:val="es-ES"/>
              </w:rPr>
              <w:t xml:space="preserve"> para </w:t>
            </w:r>
            <w:r w:rsidR="00856B78" w:rsidRPr="00F145EE">
              <w:rPr>
                <w:rFonts w:ascii="Verdana" w:eastAsia="Calibri" w:hAnsi="Verdana" w:cs="Times New Roman"/>
                <w:iCs/>
                <w:color w:val="000000" w:themeColor="text1"/>
                <w:lang w:val="es-ES"/>
              </w:rPr>
              <w:t>todo aquel que</w:t>
            </w:r>
            <w:r w:rsidR="008E4810" w:rsidRPr="00F145EE">
              <w:rPr>
                <w:rFonts w:ascii="Verdana" w:eastAsia="Calibri" w:hAnsi="Verdana" w:cs="Times New Roman"/>
                <w:iCs/>
                <w:color w:val="000000" w:themeColor="text1"/>
                <w:lang w:val="es-ES"/>
              </w:rPr>
              <w:t xml:space="preserve"> desee adquirirlo</w:t>
            </w:r>
            <w:r w:rsidR="005713BA" w:rsidRPr="00F145EE">
              <w:rPr>
                <w:rFonts w:ascii="Verdana" w:eastAsia="Calibri" w:hAnsi="Verdana" w:cs="Times New Roman"/>
                <w:iCs/>
                <w:color w:val="000000" w:themeColor="text1"/>
                <w:lang w:val="es-ES"/>
              </w:rPr>
              <w:t xml:space="preserve">. </w:t>
            </w:r>
          </w:p>
          <w:p w14:paraId="5928F07B" w14:textId="601118AB" w:rsidR="002E088F" w:rsidRPr="00F145EE" w:rsidRDefault="005713BA" w:rsidP="002E088F">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 xml:space="preserve">Por ejemplo, una impresora o un </w:t>
            </w:r>
            <w:r w:rsidR="00C64B33" w:rsidRPr="00F145EE">
              <w:rPr>
                <w:rFonts w:ascii="Verdana" w:eastAsia="Calibri" w:hAnsi="Verdana" w:cs="Times New Roman"/>
                <w:iCs/>
                <w:color w:val="000000" w:themeColor="text1"/>
                <w:lang w:val="es-ES"/>
              </w:rPr>
              <w:t>proyector</w:t>
            </w:r>
            <w:r w:rsidRPr="00F145EE">
              <w:rPr>
                <w:rFonts w:ascii="Verdana" w:eastAsia="Calibri" w:hAnsi="Verdana" w:cs="Times New Roman"/>
                <w:iCs/>
                <w:color w:val="000000" w:themeColor="text1"/>
                <w:lang w:val="es-ES"/>
              </w:rPr>
              <w:t xml:space="preserve"> no son </w:t>
            </w:r>
            <w:r w:rsidR="00B17E37" w:rsidRPr="00F145EE">
              <w:rPr>
                <w:rFonts w:ascii="Verdana" w:eastAsia="Calibri" w:hAnsi="Verdana" w:cs="Times New Roman"/>
                <w:iCs/>
                <w:color w:val="000000" w:themeColor="text1"/>
                <w:lang w:val="es-ES"/>
              </w:rPr>
              <w:t>ni</w:t>
            </w:r>
            <w:r w:rsidR="008E4810" w:rsidRPr="00F145EE">
              <w:rPr>
                <w:rFonts w:ascii="Verdana" w:eastAsia="Calibri" w:hAnsi="Verdana" w:cs="Times New Roman"/>
                <w:iCs/>
                <w:color w:val="000000" w:themeColor="text1"/>
                <w:lang w:val="es-ES"/>
              </w:rPr>
              <w:t xml:space="preserve">, </w:t>
            </w:r>
            <w:r w:rsidR="00B17E37" w:rsidRPr="00F145EE">
              <w:rPr>
                <w:rFonts w:ascii="Verdana" w:eastAsia="Calibri" w:hAnsi="Verdana" w:cs="Times New Roman"/>
                <w:iCs/>
                <w:color w:val="000000" w:themeColor="text1"/>
                <w:lang w:val="es-ES"/>
              </w:rPr>
              <w:t>quizá</w:t>
            </w:r>
            <w:r w:rsidR="008E4810" w:rsidRPr="00F145EE">
              <w:rPr>
                <w:rFonts w:ascii="Verdana" w:eastAsia="Calibri" w:hAnsi="Verdana" w:cs="Times New Roman"/>
                <w:iCs/>
                <w:color w:val="000000" w:themeColor="text1"/>
                <w:lang w:val="es-ES"/>
              </w:rPr>
              <w:t xml:space="preserve">, </w:t>
            </w:r>
            <w:r w:rsidR="00B17E37" w:rsidRPr="00F145EE">
              <w:rPr>
                <w:rFonts w:ascii="Verdana" w:eastAsia="Calibri" w:hAnsi="Verdana" w:cs="Times New Roman"/>
                <w:iCs/>
                <w:color w:val="000000" w:themeColor="text1"/>
                <w:lang w:val="es-ES"/>
              </w:rPr>
              <w:t xml:space="preserve">serán </w:t>
            </w:r>
            <w:r w:rsidR="000E3238" w:rsidRPr="00F145EE">
              <w:rPr>
                <w:rFonts w:ascii="Verdana" w:eastAsia="Calibri" w:hAnsi="Verdana" w:cs="Times New Roman"/>
                <w:iCs/>
                <w:color w:val="000000" w:themeColor="text1"/>
                <w:lang w:val="es-ES"/>
              </w:rPr>
              <w:t>usados</w:t>
            </w:r>
            <w:r w:rsidRPr="00F145EE">
              <w:rPr>
                <w:rFonts w:ascii="Verdana" w:eastAsia="Calibri" w:hAnsi="Verdana" w:cs="Times New Roman"/>
                <w:iCs/>
                <w:color w:val="000000" w:themeColor="text1"/>
                <w:lang w:val="es-ES"/>
              </w:rPr>
              <w:t xml:space="preserve"> por todas las personas, </w:t>
            </w:r>
            <w:r w:rsidR="00684837" w:rsidRPr="00F145EE">
              <w:rPr>
                <w:rFonts w:ascii="Verdana" w:eastAsia="Calibri" w:hAnsi="Verdana" w:cs="Times New Roman"/>
                <w:iCs/>
                <w:color w:val="000000" w:themeColor="text1"/>
                <w:lang w:val="es-ES"/>
              </w:rPr>
              <w:t>pero son de común utilización porque cualquier sujeto interesado puede buscarlo</w:t>
            </w:r>
            <w:r w:rsidR="000E3238" w:rsidRPr="00F145EE">
              <w:rPr>
                <w:rFonts w:ascii="Verdana" w:eastAsia="Calibri" w:hAnsi="Verdana" w:cs="Times New Roman"/>
                <w:iCs/>
                <w:color w:val="000000" w:themeColor="text1"/>
                <w:lang w:val="es-ES"/>
              </w:rPr>
              <w:t>s</w:t>
            </w:r>
            <w:r w:rsidR="00684837" w:rsidRPr="00F145EE">
              <w:rPr>
                <w:rFonts w:ascii="Verdana" w:eastAsia="Calibri" w:hAnsi="Verdana" w:cs="Times New Roman"/>
                <w:iCs/>
                <w:color w:val="000000" w:themeColor="text1"/>
                <w:lang w:val="es-ES"/>
              </w:rPr>
              <w:t xml:space="preserve"> y adquirirlo</w:t>
            </w:r>
            <w:r w:rsidR="000E3238" w:rsidRPr="00F145EE">
              <w:rPr>
                <w:rFonts w:ascii="Verdana" w:eastAsia="Calibri" w:hAnsi="Verdana" w:cs="Times New Roman"/>
                <w:iCs/>
                <w:color w:val="000000" w:themeColor="text1"/>
                <w:lang w:val="es-ES"/>
              </w:rPr>
              <w:t>s</w:t>
            </w:r>
            <w:r w:rsidR="00684837" w:rsidRPr="00F145EE">
              <w:rPr>
                <w:rFonts w:ascii="Verdana" w:eastAsia="Calibri" w:hAnsi="Verdana" w:cs="Times New Roman"/>
                <w:iCs/>
                <w:color w:val="000000" w:themeColor="text1"/>
                <w:lang w:val="es-ES"/>
              </w:rPr>
              <w:t xml:space="preserve"> </w:t>
            </w:r>
            <w:r w:rsidR="000E3238" w:rsidRPr="00F145EE">
              <w:rPr>
                <w:rFonts w:ascii="Verdana" w:eastAsia="Calibri" w:hAnsi="Verdana" w:cs="Times New Roman"/>
                <w:iCs/>
                <w:color w:val="000000" w:themeColor="text1"/>
                <w:lang w:val="es-ES"/>
              </w:rPr>
              <w:t>según</w:t>
            </w:r>
            <w:r w:rsidR="003C7F43" w:rsidRPr="00F145EE">
              <w:rPr>
                <w:rFonts w:ascii="Verdana" w:eastAsia="Calibri" w:hAnsi="Verdana" w:cs="Times New Roman"/>
                <w:iCs/>
                <w:color w:val="000000" w:themeColor="text1"/>
                <w:lang w:val="es-ES"/>
              </w:rPr>
              <w:t xml:space="preserve"> la oferta estándar que de esos bienes hay en el mercado</w:t>
            </w:r>
            <w:r w:rsidR="00F75D42" w:rsidRPr="00F145EE">
              <w:rPr>
                <w:rFonts w:ascii="Verdana" w:eastAsia="Calibri" w:hAnsi="Verdana" w:cs="Times New Roman"/>
                <w:iCs/>
                <w:color w:val="000000" w:themeColor="text1"/>
                <w:lang w:val="es-ES"/>
              </w:rPr>
              <w:t>.</w:t>
            </w:r>
            <w:r w:rsidR="00B17E37" w:rsidRPr="00F145EE">
              <w:rPr>
                <w:rFonts w:ascii="Verdana" w:eastAsia="Calibri" w:hAnsi="Verdana" w:cs="Times New Roman"/>
                <w:iCs/>
                <w:color w:val="000000" w:themeColor="text1"/>
                <w:lang w:val="es-ES"/>
              </w:rPr>
              <w:t xml:space="preserve"> Es este </w:t>
            </w:r>
            <w:r w:rsidR="00663335" w:rsidRPr="00F145EE">
              <w:rPr>
                <w:rFonts w:ascii="Verdana" w:eastAsia="Calibri" w:hAnsi="Verdana" w:cs="Times New Roman"/>
                <w:iCs/>
                <w:color w:val="000000" w:themeColor="text1"/>
                <w:lang w:val="es-ES"/>
              </w:rPr>
              <w:t xml:space="preserve">el </w:t>
            </w:r>
            <w:r w:rsidR="00B17E37" w:rsidRPr="00F145EE">
              <w:rPr>
                <w:rFonts w:ascii="Verdana" w:eastAsia="Calibri" w:hAnsi="Verdana" w:cs="Times New Roman"/>
                <w:iCs/>
                <w:color w:val="000000" w:themeColor="text1"/>
                <w:lang w:val="es-ES"/>
              </w:rPr>
              <w:t>análisis que debe efectuar cada entidad estatal</w:t>
            </w:r>
            <w:r w:rsidR="00663335" w:rsidRPr="00F145EE">
              <w:rPr>
                <w:rFonts w:ascii="Verdana" w:eastAsia="Calibri" w:hAnsi="Verdana" w:cs="Times New Roman"/>
                <w:iCs/>
                <w:color w:val="000000" w:themeColor="text1"/>
                <w:lang w:val="es-ES"/>
              </w:rPr>
              <w:t xml:space="preserve"> contratante para tipificar el bien o servicio que pretende adquirir y determinar si es de características técnicas uniformes y de común utilización.</w:t>
            </w:r>
            <w:r w:rsidR="00E55E43" w:rsidRPr="00F145EE">
              <w:rPr>
                <w:rFonts w:ascii="Verdana" w:eastAsia="Calibri" w:hAnsi="Verdana" w:cs="Times New Roman"/>
                <w:iCs/>
                <w:color w:val="000000" w:themeColor="text1"/>
                <w:lang w:val="es-ES"/>
              </w:rPr>
              <w:t xml:space="preserve"> Para ello es recomendable que se sirva de la información que aporten los estudios previos, especialmente la suministrada por el personal de la entidad</w:t>
            </w:r>
            <w:r w:rsidR="000222AE" w:rsidRPr="00F145EE">
              <w:rPr>
                <w:rFonts w:ascii="Verdana" w:eastAsia="Calibri" w:hAnsi="Verdana" w:cs="Times New Roman"/>
                <w:iCs/>
                <w:color w:val="000000" w:themeColor="text1"/>
                <w:lang w:val="es-ES"/>
              </w:rPr>
              <w:t xml:space="preserve"> </w:t>
            </w:r>
            <w:r w:rsidR="00E55E43" w:rsidRPr="00F145EE">
              <w:rPr>
                <w:rFonts w:ascii="Verdana" w:eastAsia="Calibri" w:hAnsi="Verdana" w:cs="Times New Roman"/>
                <w:iCs/>
                <w:color w:val="000000" w:themeColor="text1"/>
                <w:lang w:val="es-ES"/>
              </w:rPr>
              <w:t xml:space="preserve">encargado de </w:t>
            </w:r>
            <w:r w:rsidR="000222AE" w:rsidRPr="00F145EE">
              <w:rPr>
                <w:rFonts w:ascii="Verdana" w:eastAsia="Calibri" w:hAnsi="Verdana" w:cs="Times New Roman"/>
                <w:iCs/>
                <w:color w:val="000000" w:themeColor="text1"/>
                <w:lang w:val="es-ES"/>
              </w:rPr>
              <w:t>definir las especificaciones técnicas del contrato</w:t>
            </w:r>
            <w:r w:rsidR="000E3238" w:rsidRPr="00F145EE">
              <w:rPr>
                <w:rFonts w:ascii="Verdana" w:eastAsia="Calibri" w:hAnsi="Verdana" w:cs="Times New Roman"/>
                <w:iCs/>
                <w:color w:val="000000" w:themeColor="text1"/>
                <w:lang w:val="es-ES"/>
              </w:rPr>
              <w:t xml:space="preserve"> y de analizar sus condiciones de oferta en el mercado</w:t>
            </w:r>
            <w:r w:rsidR="000222AE" w:rsidRPr="00F145EE">
              <w:rPr>
                <w:rFonts w:ascii="Verdana" w:eastAsia="Calibri" w:hAnsi="Verdana" w:cs="Times New Roman"/>
                <w:iCs/>
                <w:color w:val="000000" w:themeColor="text1"/>
                <w:lang w:val="es-ES"/>
              </w:rPr>
              <w:t>.</w:t>
            </w:r>
          </w:p>
          <w:p w14:paraId="195A14EA" w14:textId="2901A590" w:rsidR="007D4BD8" w:rsidRPr="00F145EE" w:rsidRDefault="002D690E" w:rsidP="007D4BD8">
            <w:pPr>
              <w:spacing w:after="120" w:line="276" w:lineRule="auto"/>
              <w:ind w:firstLine="709"/>
              <w:jc w:val="both"/>
              <w:rPr>
                <w:rFonts w:ascii="Verdana" w:eastAsia="Calibri" w:hAnsi="Verdana" w:cs="Arial"/>
                <w:bCs/>
                <w:color w:val="000000" w:themeColor="text1"/>
              </w:rPr>
            </w:pPr>
            <w:r w:rsidRPr="00F145EE">
              <w:rPr>
                <w:rFonts w:ascii="Verdana" w:eastAsia="Calibri" w:hAnsi="Verdana" w:cs="Times New Roman"/>
                <w:iCs/>
                <w:color w:val="000000" w:themeColor="text1"/>
                <w:lang w:val="es-ES"/>
              </w:rPr>
              <w:t>En armonía con lo anterior</w:t>
            </w:r>
            <w:r w:rsidR="001A41C7" w:rsidRPr="00F145EE">
              <w:rPr>
                <w:rFonts w:ascii="Verdana" w:eastAsia="Calibri" w:hAnsi="Verdana" w:cs="Times New Roman"/>
                <w:iCs/>
                <w:color w:val="000000" w:themeColor="text1"/>
                <w:lang w:val="es-ES"/>
              </w:rPr>
              <w:t>, d</w:t>
            </w:r>
            <w:r w:rsidR="007D4BD8" w:rsidRPr="00F145EE">
              <w:rPr>
                <w:rFonts w:ascii="Verdana" w:eastAsia="Calibri" w:hAnsi="Verdana" w:cs="Times New Roman"/>
                <w:iCs/>
                <w:color w:val="000000" w:themeColor="text1"/>
                <w:lang w:val="es-ES"/>
              </w:rPr>
              <w:t xml:space="preserve">ebe indicarse que, </w:t>
            </w:r>
            <w:r w:rsidR="007D4BD8" w:rsidRPr="00F145EE">
              <w:rPr>
                <w:rFonts w:ascii="Verdana" w:eastAsia="Calibri" w:hAnsi="Verdana" w:cs="Times New Roman"/>
                <w:i/>
                <w:color w:val="000000" w:themeColor="text1"/>
                <w:lang w:val="es-ES"/>
              </w:rPr>
              <w:t xml:space="preserve">en principio, </w:t>
            </w:r>
            <w:r w:rsidR="007D4BD8" w:rsidRPr="00F145EE">
              <w:rPr>
                <w:rFonts w:ascii="Verdana" w:eastAsia="Calibri" w:hAnsi="Verdana" w:cs="Times New Roman"/>
                <w:iCs/>
                <w:color w:val="000000" w:themeColor="text1"/>
                <w:lang w:val="es-ES"/>
              </w:rPr>
              <w:t>la modalidad de selección aplicable</w:t>
            </w:r>
            <w:r w:rsidR="007D4BD8" w:rsidRPr="00F145EE">
              <w:rPr>
                <w:rFonts w:ascii="Verdana" w:eastAsia="Calibri" w:hAnsi="Verdana" w:cs="Arial"/>
                <w:bCs/>
                <w:color w:val="000000" w:themeColor="text1"/>
              </w:rPr>
              <w:t xml:space="preserve"> para la adquisición de</w:t>
            </w:r>
            <w:r w:rsidR="007D4BD8" w:rsidRPr="00F145EE">
              <w:rPr>
                <w:rFonts w:ascii="Verdana" w:eastAsia="Calibri" w:hAnsi="Verdana" w:cs="Arial"/>
                <w:bCs/>
                <w:i/>
                <w:iCs/>
                <w:color w:val="000000" w:themeColor="text1"/>
              </w:rPr>
              <w:t xml:space="preserve"> </w:t>
            </w:r>
            <w:r w:rsidR="007D4BD8" w:rsidRPr="00F145EE">
              <w:rPr>
                <w:rFonts w:ascii="Verdana" w:eastAsia="Calibri" w:hAnsi="Verdana" w:cs="Arial"/>
                <w:bCs/>
                <w:color w:val="000000" w:themeColor="text1"/>
              </w:rPr>
              <w:t>bienes y servicios de características técnicas uniformes y común utilización es la selección abreviada a la que hace referencia el</w:t>
            </w:r>
            <w:r w:rsidR="007D4BD8" w:rsidRPr="00F145EE">
              <w:rPr>
                <w:rFonts w:ascii="Verdana" w:eastAsia="Calibri" w:hAnsi="Verdana" w:cs="Arial"/>
                <w:bCs/>
                <w:i/>
                <w:iCs/>
                <w:color w:val="000000" w:themeColor="text1"/>
              </w:rPr>
              <w:t xml:space="preserve"> </w:t>
            </w:r>
            <w:r w:rsidR="007D4BD8" w:rsidRPr="00F145EE">
              <w:rPr>
                <w:rFonts w:ascii="Verdana" w:eastAsia="Calibri" w:hAnsi="Verdana" w:cs="Arial"/>
                <w:bCs/>
                <w:color w:val="000000" w:themeColor="text1"/>
              </w:rPr>
              <w:t xml:space="preserve">literal a) del numeral 2 del 2 artículo de la Ley 1150 de 2007. Esto supone que, para la adquisición de estos bienes o servicios, las </w:t>
            </w:r>
            <w:r w:rsidR="007D4BD8" w:rsidRPr="00F145EE">
              <w:rPr>
                <w:rFonts w:ascii="Verdana" w:eastAsia="Calibri" w:hAnsi="Verdana" w:cs="Arial"/>
                <w:bCs/>
                <w:color w:val="000000" w:themeColor="text1"/>
              </w:rPr>
              <w:lastRenderedPageBreak/>
              <w:t xml:space="preserve">Entidades Estatales deban escoger a los proponentes habilitados que presenten ofertas de menor valor, en el marco de la aplicación del mecanismo de subasta inversa o de instrumentos de compra por catálogo derivados de la celebración de acuerdos marco de precios o de procedimientos de adquisición en bolsas de productos. </w:t>
            </w:r>
          </w:p>
          <w:p w14:paraId="5828D7B1" w14:textId="77777777" w:rsidR="002860D9" w:rsidRPr="00F145EE" w:rsidRDefault="0040356B" w:rsidP="00FE2943">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Si los bienes o servicios no son de características técnicas uniformes </w:t>
            </w:r>
            <w:r w:rsidRPr="00F145EE">
              <w:rPr>
                <w:rFonts w:ascii="Verdana" w:eastAsia="Calibri" w:hAnsi="Verdana" w:cs="Arial"/>
                <w:bCs/>
                <w:i/>
                <w:iCs/>
                <w:color w:val="000000" w:themeColor="text1"/>
              </w:rPr>
              <w:t xml:space="preserve">y </w:t>
            </w:r>
            <w:r w:rsidRPr="00F145EE">
              <w:rPr>
                <w:rFonts w:ascii="Verdana" w:eastAsia="Calibri" w:hAnsi="Verdana" w:cs="Arial"/>
                <w:bCs/>
                <w:color w:val="000000" w:themeColor="text1"/>
              </w:rPr>
              <w:t xml:space="preserve">de </w:t>
            </w:r>
            <w:r w:rsidRPr="00F145EE">
              <w:rPr>
                <w:rFonts w:ascii="Verdana" w:eastAsia="Calibri" w:hAnsi="Verdana" w:cs="Arial"/>
                <w:bCs/>
                <w:i/>
                <w:iCs/>
                <w:color w:val="000000" w:themeColor="text1"/>
              </w:rPr>
              <w:t>común utilización</w:t>
            </w:r>
            <w:r w:rsidR="00EA27C4" w:rsidRPr="00F145EE">
              <w:rPr>
                <w:rFonts w:ascii="Verdana" w:eastAsia="Calibri" w:hAnsi="Verdana" w:cs="Arial"/>
                <w:bCs/>
                <w:color w:val="000000" w:themeColor="text1"/>
              </w:rPr>
              <w:t xml:space="preserve">, faltándoles uno u otro atributo, la entidad estatal </w:t>
            </w:r>
            <w:r w:rsidR="00AE0183" w:rsidRPr="00F145EE">
              <w:rPr>
                <w:rFonts w:ascii="Verdana" w:eastAsia="Calibri" w:hAnsi="Verdana" w:cs="Arial"/>
                <w:bCs/>
                <w:color w:val="000000" w:themeColor="text1"/>
              </w:rPr>
              <w:t>debe determinar</w:t>
            </w:r>
            <w:r w:rsidR="00DB2DEA" w:rsidRPr="00F145EE">
              <w:rPr>
                <w:rFonts w:ascii="Verdana" w:eastAsia="Calibri" w:hAnsi="Verdana" w:cs="Arial"/>
                <w:bCs/>
                <w:color w:val="000000" w:themeColor="text1"/>
              </w:rPr>
              <w:t>, según las</w:t>
            </w:r>
            <w:r w:rsidR="00ED4312" w:rsidRPr="00F145EE">
              <w:rPr>
                <w:rFonts w:ascii="Verdana" w:eastAsia="Calibri" w:hAnsi="Verdana" w:cs="Arial"/>
                <w:bCs/>
                <w:color w:val="000000" w:themeColor="text1"/>
              </w:rPr>
              <w:t xml:space="preserve"> circunstancias concretas,</w:t>
            </w:r>
            <w:r w:rsidR="00AE0183" w:rsidRPr="00F145EE">
              <w:rPr>
                <w:rFonts w:ascii="Verdana" w:eastAsia="Calibri" w:hAnsi="Verdana" w:cs="Arial"/>
                <w:bCs/>
                <w:color w:val="000000" w:themeColor="text1"/>
              </w:rPr>
              <w:t xml:space="preserve"> en cuál de las otras causales </w:t>
            </w:r>
            <w:r w:rsidR="00DB2DEA" w:rsidRPr="00F145EE">
              <w:rPr>
                <w:rFonts w:ascii="Verdana" w:eastAsia="Calibri" w:hAnsi="Verdana" w:cs="Arial"/>
                <w:bCs/>
                <w:color w:val="000000" w:themeColor="text1"/>
              </w:rPr>
              <w:t xml:space="preserve">y modalidades </w:t>
            </w:r>
            <w:r w:rsidR="00AE0183" w:rsidRPr="00F145EE">
              <w:rPr>
                <w:rFonts w:ascii="Verdana" w:eastAsia="Calibri" w:hAnsi="Verdana" w:cs="Arial"/>
                <w:bCs/>
                <w:color w:val="000000" w:themeColor="text1"/>
              </w:rPr>
              <w:t>de contratació</w:t>
            </w:r>
            <w:r w:rsidR="00E1346A" w:rsidRPr="00F145EE">
              <w:rPr>
                <w:rFonts w:ascii="Verdana" w:eastAsia="Calibri" w:hAnsi="Verdana" w:cs="Arial"/>
                <w:bCs/>
                <w:color w:val="000000" w:themeColor="text1"/>
              </w:rPr>
              <w:t>n</w:t>
            </w:r>
            <w:r w:rsidR="00AE0183" w:rsidRPr="00F145EE">
              <w:rPr>
                <w:rFonts w:ascii="Verdana" w:eastAsia="Calibri" w:hAnsi="Verdana" w:cs="Arial"/>
                <w:bCs/>
                <w:color w:val="000000" w:themeColor="text1"/>
              </w:rPr>
              <w:t xml:space="preserve"> puede fundamentarse la adquisición. </w:t>
            </w:r>
            <w:r w:rsidR="00FE2943" w:rsidRPr="00F145EE">
              <w:rPr>
                <w:rFonts w:ascii="Verdana" w:eastAsia="Calibri" w:hAnsi="Verdana" w:cs="Arial"/>
                <w:bCs/>
                <w:color w:val="000000" w:themeColor="text1"/>
              </w:rPr>
              <w:t>Por ejemplo,</w:t>
            </w:r>
            <w:r w:rsidR="00ED4312" w:rsidRPr="00F145EE">
              <w:rPr>
                <w:rFonts w:ascii="Verdana" w:eastAsia="Calibri" w:hAnsi="Verdana" w:cs="Arial"/>
                <w:bCs/>
                <w:color w:val="000000" w:themeColor="text1"/>
              </w:rPr>
              <w:t xml:space="preserve"> </w:t>
            </w:r>
            <w:r w:rsidR="007D4BD8" w:rsidRPr="00F145EE">
              <w:rPr>
                <w:rFonts w:ascii="Verdana" w:eastAsia="Calibri" w:hAnsi="Verdana" w:cs="Arial"/>
                <w:bCs/>
                <w:color w:val="000000" w:themeColor="text1"/>
              </w:rPr>
              <w:t>la licitación pública</w:t>
            </w:r>
            <w:r w:rsidR="00ED4312" w:rsidRPr="00F145EE">
              <w:rPr>
                <w:rFonts w:ascii="Verdana" w:eastAsia="Calibri" w:hAnsi="Verdana" w:cs="Arial"/>
                <w:bCs/>
                <w:color w:val="000000" w:themeColor="text1"/>
              </w:rPr>
              <w:t>,</w:t>
            </w:r>
            <w:r w:rsidR="007D4BD8" w:rsidRPr="00F145EE">
              <w:rPr>
                <w:rFonts w:ascii="Verdana" w:eastAsia="Calibri" w:hAnsi="Verdana" w:cs="Arial"/>
                <w:bCs/>
                <w:color w:val="000000" w:themeColor="text1"/>
              </w:rPr>
              <w:t xml:space="preserve"> prevista en el numeral 1 del artículo 2 de la Ley 1150 de 2007</w:t>
            </w:r>
            <w:r w:rsidR="00ED4312" w:rsidRPr="00F145EE">
              <w:rPr>
                <w:rFonts w:ascii="Verdana" w:eastAsia="Calibri" w:hAnsi="Verdana" w:cs="Arial"/>
                <w:bCs/>
                <w:color w:val="000000" w:themeColor="text1"/>
              </w:rPr>
              <w:t>,</w:t>
            </w:r>
            <w:r w:rsidR="007D4BD8" w:rsidRPr="00F145EE">
              <w:rPr>
                <w:rFonts w:ascii="Verdana" w:eastAsia="Calibri" w:hAnsi="Verdana" w:cs="Arial"/>
                <w:bCs/>
                <w:color w:val="000000" w:themeColor="text1"/>
              </w:rPr>
              <w:t xml:space="preserve"> </w:t>
            </w:r>
            <w:r w:rsidR="00ED4312" w:rsidRPr="00F145EE">
              <w:rPr>
                <w:rFonts w:ascii="Verdana" w:eastAsia="Calibri" w:hAnsi="Verdana" w:cs="Arial"/>
                <w:bCs/>
                <w:color w:val="000000" w:themeColor="text1"/>
              </w:rPr>
              <w:t>es</w:t>
            </w:r>
            <w:r w:rsidR="007D4BD8" w:rsidRPr="00F145EE">
              <w:rPr>
                <w:rFonts w:ascii="Verdana" w:eastAsia="Calibri" w:hAnsi="Verdana" w:cs="Arial"/>
                <w:bCs/>
                <w:color w:val="000000" w:themeColor="text1"/>
              </w:rPr>
              <w:t xml:space="preserve"> la regla general para objetos no sujetos a alguna modalidad en específico</w:t>
            </w:r>
            <w:r w:rsidR="00FE2943" w:rsidRPr="00F145EE">
              <w:rPr>
                <w:rFonts w:ascii="Verdana" w:eastAsia="Calibri" w:hAnsi="Verdana" w:cs="Arial"/>
                <w:bCs/>
                <w:color w:val="000000" w:themeColor="text1"/>
              </w:rPr>
              <w:t xml:space="preserve"> o que superen la menor cuantía</w:t>
            </w:r>
            <w:r w:rsidR="007D4BD8" w:rsidRPr="00F145EE">
              <w:rPr>
                <w:rFonts w:ascii="Verdana" w:eastAsia="Calibri" w:hAnsi="Verdana" w:cs="Arial"/>
                <w:bCs/>
                <w:color w:val="000000" w:themeColor="text1"/>
              </w:rPr>
              <w:t>.</w:t>
            </w:r>
            <w:r w:rsidR="00FE2943" w:rsidRPr="00F145EE">
              <w:rPr>
                <w:rFonts w:ascii="Verdana" w:eastAsia="Calibri" w:hAnsi="Verdana" w:cs="Arial"/>
                <w:bCs/>
                <w:color w:val="000000" w:themeColor="text1"/>
              </w:rPr>
              <w:t xml:space="preserve"> Por su parte, </w:t>
            </w:r>
            <w:r w:rsidR="007D4BD8" w:rsidRPr="00F145EE">
              <w:rPr>
                <w:rFonts w:ascii="Verdana" w:eastAsia="Calibri" w:hAnsi="Verdana" w:cs="Arial"/>
                <w:bCs/>
                <w:color w:val="000000" w:themeColor="text1"/>
              </w:rPr>
              <w:t xml:space="preserve">la modalidad de selección abreviada de menor cuantía </w:t>
            </w:r>
            <w:r w:rsidR="001E7317" w:rsidRPr="00F145EE">
              <w:rPr>
                <w:rFonts w:ascii="Verdana" w:eastAsia="Calibri" w:hAnsi="Verdana" w:cs="Arial"/>
                <w:bCs/>
                <w:color w:val="000000" w:themeColor="text1"/>
              </w:rPr>
              <w:t xml:space="preserve">se debe emplear </w:t>
            </w:r>
            <w:r w:rsidR="007D4BD8" w:rsidRPr="00F145EE">
              <w:rPr>
                <w:rFonts w:ascii="Verdana" w:eastAsia="Calibri" w:hAnsi="Verdana" w:cs="Arial"/>
                <w:bCs/>
                <w:color w:val="000000" w:themeColor="text1"/>
              </w:rPr>
              <w:t xml:space="preserve">cuando se requiera contratar por valores que se ubiquen dentro de la menor cuantía de la respectiva </w:t>
            </w:r>
            <w:r w:rsidR="00CC552E" w:rsidRPr="00F145EE">
              <w:rPr>
                <w:rFonts w:ascii="Verdana" w:eastAsia="Calibri" w:hAnsi="Verdana" w:cs="Arial"/>
                <w:bCs/>
                <w:color w:val="000000" w:themeColor="text1"/>
              </w:rPr>
              <w:t>e</w:t>
            </w:r>
            <w:r w:rsidR="007D4BD8" w:rsidRPr="00F145EE">
              <w:rPr>
                <w:rFonts w:ascii="Verdana" w:eastAsia="Calibri" w:hAnsi="Verdana" w:cs="Arial"/>
                <w:bCs/>
                <w:color w:val="000000" w:themeColor="text1"/>
              </w:rPr>
              <w:t xml:space="preserve">ntidad </w:t>
            </w:r>
            <w:r w:rsidR="00CC552E" w:rsidRPr="00F145EE">
              <w:rPr>
                <w:rFonts w:ascii="Verdana" w:eastAsia="Calibri" w:hAnsi="Verdana" w:cs="Arial"/>
                <w:bCs/>
                <w:color w:val="000000" w:themeColor="text1"/>
              </w:rPr>
              <w:t>e</w:t>
            </w:r>
            <w:r w:rsidR="007D4BD8" w:rsidRPr="00F145EE">
              <w:rPr>
                <w:rFonts w:ascii="Verdana" w:eastAsia="Calibri" w:hAnsi="Verdana" w:cs="Arial"/>
                <w:bCs/>
                <w:color w:val="000000" w:themeColor="text1"/>
              </w:rPr>
              <w:t xml:space="preserve">statal, de acuerdo con los rangos establecidos en el literal b) del numeral 2 del artículo 2 de la Ley 1150 de 2007. </w:t>
            </w:r>
            <w:r w:rsidR="001E7317" w:rsidRPr="00F145EE">
              <w:rPr>
                <w:rFonts w:ascii="Verdana" w:eastAsia="Calibri" w:hAnsi="Verdana" w:cs="Arial"/>
                <w:bCs/>
                <w:color w:val="000000" w:themeColor="text1"/>
              </w:rPr>
              <w:t>La mínima cuantía</w:t>
            </w:r>
            <w:r w:rsidR="00E3604F" w:rsidRPr="00F145EE">
              <w:rPr>
                <w:rFonts w:ascii="Verdana" w:eastAsia="Calibri" w:hAnsi="Verdana" w:cs="Arial"/>
                <w:bCs/>
                <w:color w:val="000000" w:themeColor="text1"/>
              </w:rPr>
              <w:t xml:space="preserve">, a su vez, </w:t>
            </w:r>
            <w:r w:rsidR="005B4F13" w:rsidRPr="00F145EE">
              <w:rPr>
                <w:rFonts w:ascii="Verdana" w:eastAsia="Calibri" w:hAnsi="Verdana" w:cs="Arial"/>
                <w:bCs/>
                <w:color w:val="000000" w:themeColor="text1"/>
              </w:rPr>
              <w:t>según el artículo 2, numeral 5</w:t>
            </w:r>
            <w:r w:rsidR="00020538" w:rsidRPr="00F145EE">
              <w:rPr>
                <w:rFonts w:ascii="Verdana" w:eastAsia="Calibri" w:hAnsi="Verdana" w:cs="Arial"/>
                <w:bCs/>
                <w:color w:val="000000" w:themeColor="text1"/>
              </w:rPr>
              <w:t xml:space="preserve">, de la Ley 1150 de 2007, </w:t>
            </w:r>
            <w:r w:rsidR="00E3604F" w:rsidRPr="00F145EE">
              <w:rPr>
                <w:rFonts w:ascii="Verdana" w:eastAsia="Calibri" w:hAnsi="Verdana" w:cs="Arial"/>
                <w:bCs/>
                <w:color w:val="000000" w:themeColor="text1"/>
              </w:rPr>
              <w:t>es la procedente cuando el bien o servicio no supere el diez por ciento de la menor cuantía</w:t>
            </w:r>
            <w:r w:rsidR="006C792D" w:rsidRPr="00F145EE">
              <w:rPr>
                <w:rFonts w:ascii="Verdana" w:eastAsia="Calibri" w:hAnsi="Verdana" w:cs="Arial"/>
                <w:bCs/>
                <w:color w:val="000000" w:themeColor="text1"/>
              </w:rPr>
              <w:t>, independientemente de su objeto</w:t>
            </w:r>
            <w:r w:rsidR="00E3604F" w:rsidRPr="00F145EE">
              <w:rPr>
                <w:rFonts w:ascii="Verdana" w:eastAsia="Calibri" w:hAnsi="Verdana" w:cs="Arial"/>
                <w:bCs/>
                <w:color w:val="000000" w:themeColor="text1"/>
              </w:rPr>
              <w:t xml:space="preserve">. </w:t>
            </w:r>
            <w:r w:rsidR="007D4BD8" w:rsidRPr="00F145EE">
              <w:rPr>
                <w:rFonts w:ascii="Verdana" w:eastAsia="Calibri" w:hAnsi="Verdana" w:cs="Arial"/>
                <w:bCs/>
                <w:color w:val="000000" w:themeColor="text1"/>
              </w:rPr>
              <w:t>En esta</w:t>
            </w:r>
            <w:r w:rsidR="00E3604F" w:rsidRPr="00F145EE">
              <w:rPr>
                <w:rFonts w:ascii="Verdana" w:eastAsia="Calibri" w:hAnsi="Verdana" w:cs="Arial"/>
                <w:bCs/>
                <w:color w:val="000000" w:themeColor="text1"/>
              </w:rPr>
              <w:t>s</w:t>
            </w:r>
            <w:r w:rsidR="007D4BD8" w:rsidRPr="00F145EE">
              <w:rPr>
                <w:rFonts w:ascii="Verdana" w:eastAsia="Calibri" w:hAnsi="Verdana" w:cs="Arial"/>
                <w:bCs/>
                <w:color w:val="000000" w:themeColor="text1"/>
              </w:rPr>
              <w:t xml:space="preserve"> modalidad</w:t>
            </w:r>
            <w:r w:rsidR="00E3604F" w:rsidRPr="00F145EE">
              <w:rPr>
                <w:rFonts w:ascii="Verdana" w:eastAsia="Calibri" w:hAnsi="Verdana" w:cs="Arial"/>
                <w:bCs/>
                <w:color w:val="000000" w:themeColor="text1"/>
              </w:rPr>
              <w:t xml:space="preserve">es </w:t>
            </w:r>
            <w:r w:rsidR="007D4BD8" w:rsidRPr="00F145EE">
              <w:rPr>
                <w:rFonts w:ascii="Verdana" w:eastAsia="Calibri" w:hAnsi="Verdana" w:cs="Arial"/>
                <w:bCs/>
                <w:color w:val="000000" w:themeColor="text1"/>
              </w:rPr>
              <w:t>la oferta más favorable se determina de acuerdo con lo establecido en el numeral 2 del artículo 5 de la Ley 1150 de 2007, esto es, en atención a la mejor relación calidad-precio.</w:t>
            </w:r>
            <w:r w:rsidR="00372F94" w:rsidRPr="00F145EE">
              <w:rPr>
                <w:rFonts w:ascii="Verdana" w:eastAsia="Calibri" w:hAnsi="Verdana" w:cs="Arial"/>
                <w:bCs/>
                <w:color w:val="000000" w:themeColor="text1"/>
              </w:rPr>
              <w:t xml:space="preserve"> </w:t>
            </w:r>
          </w:p>
          <w:p w14:paraId="10585034" w14:textId="5A4DEC5F" w:rsidR="007D4BD8" w:rsidRPr="00F145EE" w:rsidRDefault="002860D9" w:rsidP="00FE2943">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En este sentido, </w:t>
            </w:r>
            <w:r w:rsidR="009E1636" w:rsidRPr="00F145EE">
              <w:rPr>
                <w:rFonts w:ascii="Verdana" w:eastAsia="Calibri" w:hAnsi="Verdana" w:cs="Arial"/>
                <w:bCs/>
                <w:color w:val="000000" w:themeColor="text1"/>
              </w:rPr>
              <w:t xml:space="preserve">v.g. </w:t>
            </w:r>
            <w:r w:rsidR="00372F94" w:rsidRPr="00F145EE">
              <w:rPr>
                <w:rFonts w:ascii="Verdana" w:eastAsia="Calibri" w:hAnsi="Verdana" w:cs="Arial"/>
                <w:bCs/>
                <w:color w:val="000000" w:themeColor="text1"/>
              </w:rPr>
              <w:t>si el bien y servicio que pretende adquirirse no es de características técnicas uniformes y de común utilización, no debe aplicarse</w:t>
            </w:r>
            <w:r w:rsidRPr="00F145EE">
              <w:rPr>
                <w:rFonts w:ascii="Verdana" w:eastAsia="Calibri" w:hAnsi="Verdana" w:cs="Arial"/>
                <w:bCs/>
                <w:color w:val="000000" w:themeColor="text1"/>
              </w:rPr>
              <w:t xml:space="preserve"> el procedimiento de </w:t>
            </w:r>
            <w:r w:rsidR="008D62B7" w:rsidRPr="00F145EE">
              <w:rPr>
                <w:rFonts w:ascii="Verdana" w:eastAsia="Calibri" w:hAnsi="Verdana" w:cs="Arial"/>
                <w:bCs/>
                <w:color w:val="000000" w:themeColor="text1"/>
              </w:rPr>
              <w:t xml:space="preserve">selección abreviada en </w:t>
            </w:r>
            <w:r w:rsidR="008D62B7" w:rsidRPr="00F145EE">
              <w:rPr>
                <w:rFonts w:ascii="Verdana" w:eastAsia="Calibri" w:hAnsi="Verdana" w:cs="Arial"/>
                <w:bCs/>
                <w:i/>
                <w:iCs/>
                <w:color w:val="000000" w:themeColor="text1"/>
              </w:rPr>
              <w:t>bolsa de productos</w:t>
            </w:r>
            <w:r w:rsidR="008D62B7" w:rsidRPr="00F145EE">
              <w:rPr>
                <w:rFonts w:ascii="Verdana" w:eastAsia="Calibri" w:hAnsi="Verdana" w:cs="Arial"/>
                <w:bCs/>
                <w:color w:val="000000" w:themeColor="text1"/>
              </w:rPr>
              <w:t>, porque el artículo</w:t>
            </w:r>
            <w:r w:rsidR="00C35923" w:rsidRPr="00F145EE">
              <w:rPr>
                <w:rFonts w:ascii="Verdana" w:eastAsia="Calibri" w:hAnsi="Verdana" w:cs="Arial"/>
                <w:bCs/>
                <w:color w:val="000000" w:themeColor="text1"/>
              </w:rPr>
              <w:t xml:space="preserve"> 2, numeral 2, literal a) </w:t>
            </w:r>
            <w:r w:rsidR="009E1636" w:rsidRPr="00F145EE">
              <w:rPr>
                <w:rFonts w:ascii="Verdana" w:eastAsia="Calibri" w:hAnsi="Verdana" w:cs="Arial"/>
                <w:bCs/>
                <w:color w:val="000000" w:themeColor="text1"/>
              </w:rPr>
              <w:t xml:space="preserve">de la Ley 1150 de 2007 </w:t>
            </w:r>
            <w:r w:rsidR="00C35923" w:rsidRPr="00F145EE">
              <w:rPr>
                <w:rFonts w:ascii="Verdana" w:eastAsia="Calibri" w:hAnsi="Verdana" w:cs="Arial"/>
                <w:bCs/>
                <w:color w:val="000000" w:themeColor="text1"/>
              </w:rPr>
              <w:t xml:space="preserve">establece que esta metodología </w:t>
            </w:r>
            <w:r w:rsidR="002D5F5D" w:rsidRPr="00F145EE">
              <w:rPr>
                <w:rFonts w:ascii="Verdana" w:eastAsia="Calibri" w:hAnsi="Verdana" w:cs="Arial"/>
                <w:bCs/>
                <w:color w:val="000000" w:themeColor="text1"/>
              </w:rPr>
              <w:t xml:space="preserve">debe emplearse para la adquisición o suministro de bienes y servicios que sí cumplan con esos rasgos. </w:t>
            </w:r>
            <w:r w:rsidR="00F1691E" w:rsidRPr="00F145EE">
              <w:rPr>
                <w:rFonts w:ascii="Verdana" w:eastAsia="Calibri" w:hAnsi="Verdana" w:cs="Arial"/>
                <w:bCs/>
                <w:color w:val="000000" w:themeColor="text1"/>
              </w:rPr>
              <w:t xml:space="preserve">Aunque los artículos 2.2.1.2.1.2.11. y </w:t>
            </w:r>
            <w:r w:rsidR="00D25596" w:rsidRPr="00F145EE">
              <w:rPr>
                <w:rFonts w:ascii="Verdana" w:eastAsia="Calibri" w:hAnsi="Verdana" w:cs="Arial"/>
                <w:bCs/>
                <w:color w:val="000000" w:themeColor="text1"/>
              </w:rPr>
              <w:t xml:space="preserve">2.2.1.2.1.2.12 del Decreto 1082 de 2015 </w:t>
            </w:r>
            <w:r w:rsidR="00EF7E5D" w:rsidRPr="00F145EE">
              <w:rPr>
                <w:rFonts w:ascii="Verdana" w:eastAsia="Calibri" w:hAnsi="Verdana" w:cs="Arial"/>
                <w:bCs/>
                <w:color w:val="000000" w:themeColor="text1"/>
              </w:rPr>
              <w:t>emplean la expresión “Bienes y Servicios de Características Técnicas Uniformes”, el mismo Decreto</w:t>
            </w:r>
            <w:r w:rsidR="007F47A0" w:rsidRPr="00F145EE">
              <w:rPr>
                <w:rFonts w:ascii="Verdana" w:eastAsia="Calibri" w:hAnsi="Verdana" w:cs="Arial"/>
                <w:bCs/>
                <w:color w:val="000000" w:themeColor="text1"/>
              </w:rPr>
              <w:t xml:space="preserve">, en el artículo 2.2.1.1.1.3.1. </w:t>
            </w:r>
            <w:r w:rsidR="00B10CF2" w:rsidRPr="00F145EE">
              <w:rPr>
                <w:rFonts w:ascii="Verdana" w:eastAsia="Calibri" w:hAnsi="Verdana" w:cs="Arial"/>
                <w:bCs/>
                <w:color w:val="000000" w:themeColor="text1"/>
              </w:rPr>
              <w:t xml:space="preserve">establece que los términos </w:t>
            </w:r>
            <w:r w:rsidR="009E1636" w:rsidRPr="00F145EE">
              <w:rPr>
                <w:rFonts w:ascii="Verdana" w:eastAsia="Calibri" w:hAnsi="Verdana" w:cs="Arial"/>
                <w:bCs/>
                <w:color w:val="000000" w:themeColor="text1"/>
              </w:rPr>
              <w:t>señalados</w:t>
            </w:r>
            <w:r w:rsidR="00B10CF2" w:rsidRPr="00F145EE">
              <w:rPr>
                <w:rFonts w:ascii="Verdana" w:eastAsia="Calibri" w:hAnsi="Verdana" w:cs="Arial"/>
                <w:bCs/>
                <w:color w:val="000000" w:themeColor="text1"/>
              </w:rPr>
              <w:t xml:space="preserve"> en dicho reglamento con mayúscula inicial deben ente</w:t>
            </w:r>
            <w:r w:rsidR="00A05849" w:rsidRPr="00F145EE">
              <w:rPr>
                <w:rFonts w:ascii="Verdana" w:eastAsia="Calibri" w:hAnsi="Verdana" w:cs="Arial"/>
                <w:bCs/>
                <w:color w:val="000000" w:themeColor="text1"/>
              </w:rPr>
              <w:t>nderse según el significado establecido en ese enunciado normativo.</w:t>
            </w:r>
            <w:r w:rsidR="00EF7E5D" w:rsidRPr="00F145EE">
              <w:rPr>
                <w:rFonts w:ascii="Verdana" w:eastAsia="Calibri" w:hAnsi="Verdana" w:cs="Arial"/>
                <w:bCs/>
                <w:color w:val="000000" w:themeColor="text1"/>
              </w:rPr>
              <w:t xml:space="preserve"> </w:t>
            </w:r>
            <w:r w:rsidR="008503CC" w:rsidRPr="00F145EE">
              <w:rPr>
                <w:rFonts w:ascii="Verdana" w:eastAsia="Calibri" w:hAnsi="Verdana" w:cs="Arial"/>
                <w:bCs/>
                <w:color w:val="000000" w:themeColor="text1"/>
              </w:rPr>
              <w:t>Pues bien, el referido artículo 2.2.1.1.1.3.1. categoriza el concepto</w:t>
            </w:r>
            <w:r w:rsidR="00073D83" w:rsidRPr="00F145EE">
              <w:rPr>
                <w:rFonts w:ascii="Verdana" w:eastAsia="Calibri" w:hAnsi="Verdana" w:cs="Arial"/>
                <w:bCs/>
                <w:color w:val="000000" w:themeColor="text1"/>
              </w:rPr>
              <w:t>, de forma completa,</w:t>
            </w:r>
            <w:r w:rsidR="008503CC" w:rsidRPr="00F145EE">
              <w:rPr>
                <w:rFonts w:ascii="Verdana" w:eastAsia="Calibri" w:hAnsi="Verdana" w:cs="Arial"/>
                <w:bCs/>
                <w:color w:val="000000" w:themeColor="text1"/>
              </w:rPr>
              <w:t xml:space="preserve"> como “Bienes y Servicios de Características Técnicas Uniformes y Común Utilización”, razón por la cual todas las expresiones del Decreto 1082 de 2015 que aludan a ella habrán de entenderse según </w:t>
            </w:r>
            <w:r w:rsidR="00FD78BE" w:rsidRPr="00F145EE">
              <w:rPr>
                <w:rFonts w:ascii="Verdana" w:eastAsia="Calibri" w:hAnsi="Verdana" w:cs="Arial"/>
                <w:bCs/>
                <w:color w:val="000000" w:themeColor="text1"/>
              </w:rPr>
              <w:t>la definición de este término.</w:t>
            </w:r>
          </w:p>
          <w:p w14:paraId="0D82A66C" w14:textId="2BCD60BD" w:rsidR="00B24B86" w:rsidRPr="00F145EE" w:rsidRDefault="00B24B86" w:rsidP="001C39F7">
            <w:pPr>
              <w:spacing w:before="120" w:line="276" w:lineRule="auto"/>
              <w:ind w:firstLine="709"/>
              <w:jc w:val="both"/>
              <w:rPr>
                <w:rFonts w:ascii="Verdana" w:hAnsi="Verdana" w:cs="Arial"/>
                <w:color w:val="000000" w:themeColor="text1"/>
                <w:lang w:eastAsia="es-ES"/>
              </w:rPr>
            </w:pPr>
          </w:p>
        </w:tc>
      </w:tr>
    </w:tbl>
    <w:p w14:paraId="2A377210" w14:textId="77777777" w:rsidR="00B24B86" w:rsidRPr="00F145EE" w:rsidRDefault="00B24B86" w:rsidP="00B24B86">
      <w:pPr>
        <w:tabs>
          <w:tab w:val="left" w:pos="142"/>
          <w:tab w:val="left" w:pos="284"/>
        </w:tabs>
        <w:spacing w:after="0" w:line="276" w:lineRule="auto"/>
        <w:jc w:val="both"/>
        <w:rPr>
          <w:rFonts w:ascii="Verdana" w:eastAsia="Century Gothic" w:hAnsi="Verdana" w:cs="Century Gothic"/>
          <w:b/>
          <w:bCs/>
          <w:color w:val="000000" w:themeColor="text1"/>
          <w:lang w:val="es-ES"/>
        </w:rPr>
      </w:pPr>
    </w:p>
    <w:bookmarkEnd w:id="0"/>
    <w:p w14:paraId="2C1FA768" w14:textId="18D5B23C" w:rsidR="00B24B86" w:rsidRPr="00F145EE" w:rsidRDefault="00A126AC" w:rsidP="00A126AC">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 xml:space="preserve">III. </w:t>
      </w:r>
      <w:r w:rsidR="00B24B86" w:rsidRPr="00F145EE">
        <w:rPr>
          <w:rFonts w:ascii="Verdana" w:eastAsia="Century Gothic" w:hAnsi="Verdana" w:cs="Century Gothic"/>
          <w:b/>
          <w:bCs/>
          <w:color w:val="000000" w:themeColor="text1"/>
        </w:rPr>
        <w:t>Razones de la respuesta:</w:t>
      </w:r>
    </w:p>
    <w:p w14:paraId="55660138" w14:textId="77777777" w:rsidR="00B24B86" w:rsidRPr="00F145EE" w:rsidRDefault="00B24B86" w:rsidP="00B24B86">
      <w:pPr>
        <w:spacing w:after="0" w:line="276" w:lineRule="auto"/>
        <w:jc w:val="both"/>
        <w:rPr>
          <w:rFonts w:ascii="Verdana" w:eastAsia="Calibri" w:hAnsi="Verdana" w:cs="Arial"/>
          <w:color w:val="000000" w:themeColor="text1"/>
          <w:lang w:val="es-ES"/>
        </w:rPr>
      </w:pPr>
    </w:p>
    <w:p w14:paraId="4549A346" w14:textId="77777777" w:rsidR="00B24B86" w:rsidRPr="00F145EE" w:rsidRDefault="00B24B86" w:rsidP="00B24B86">
      <w:pPr>
        <w:spacing w:after="0" w:line="276" w:lineRule="auto"/>
        <w:jc w:val="both"/>
        <w:rPr>
          <w:rFonts w:ascii="Verdana" w:eastAsia="Calibri" w:hAnsi="Verdana" w:cs="Arial"/>
          <w:color w:val="000000" w:themeColor="text1"/>
          <w:lang w:val="es-ES"/>
        </w:rPr>
      </w:pPr>
      <w:r w:rsidRPr="00F145EE">
        <w:rPr>
          <w:rFonts w:ascii="Verdana" w:eastAsia="Calibri" w:hAnsi="Verdana" w:cs="Arial"/>
          <w:color w:val="000000" w:themeColor="text1"/>
          <w:lang w:val="es-ES"/>
        </w:rPr>
        <w:t>Lo anterior se sustenta en las siguientes consideraciones:</w:t>
      </w:r>
    </w:p>
    <w:p w14:paraId="35099DC8" w14:textId="77777777" w:rsidR="00B24B86" w:rsidRPr="00F145EE" w:rsidRDefault="00B24B86" w:rsidP="00B24B86">
      <w:pPr>
        <w:spacing w:after="0" w:line="276" w:lineRule="auto"/>
        <w:jc w:val="both"/>
        <w:rPr>
          <w:rFonts w:ascii="Verdana" w:eastAsia="Calibri" w:hAnsi="Verdana" w:cs="Arial"/>
          <w:color w:val="000000" w:themeColor="text1"/>
          <w:lang w:val="es-ES"/>
        </w:rPr>
      </w:pPr>
    </w:p>
    <w:p w14:paraId="155D1035" w14:textId="77777777" w:rsidR="0056051D" w:rsidRPr="00F145EE" w:rsidRDefault="00B24B86" w:rsidP="0056051D">
      <w:pPr>
        <w:spacing w:after="120" w:line="276" w:lineRule="auto"/>
        <w:jc w:val="both"/>
        <w:rPr>
          <w:rFonts w:ascii="Verdana" w:eastAsia="Calibri" w:hAnsi="Verdana" w:cs="Arial"/>
          <w:bCs/>
          <w:color w:val="000000" w:themeColor="text1"/>
          <w:lang w:val="es-MX" w:eastAsia="es-ES_tradnl"/>
        </w:rPr>
      </w:pPr>
      <w:r w:rsidRPr="00F145EE">
        <w:rPr>
          <w:rFonts w:ascii="Verdana" w:eastAsia="Calibri" w:hAnsi="Verdana" w:cs="Arial"/>
          <w:color w:val="000000" w:themeColor="text1"/>
          <w:szCs w:val="24"/>
          <w:lang w:val="es-ES_tradnl" w:eastAsia="es-ES_tradnl"/>
        </w:rPr>
        <w:t>P</w:t>
      </w:r>
      <w:r w:rsidRPr="00F145EE">
        <w:rPr>
          <w:rFonts w:ascii="Verdana" w:hAnsi="Verdana" w:cs="Arial"/>
          <w:color w:val="000000" w:themeColor="text1"/>
          <w:lang w:val="es-ES"/>
        </w:rPr>
        <w:t xml:space="preserve">ara las entidades sometidas al Estatuto General de Contratación de la Administración Pública, los procesos de selección se rigen por </w:t>
      </w:r>
      <w:r w:rsidRPr="00F145EE">
        <w:rPr>
          <w:rFonts w:ascii="Verdana" w:hAnsi="Verdana" w:cs="Arial"/>
          <w:bCs/>
          <w:color w:val="000000" w:themeColor="text1"/>
          <w:lang w:val="es-ES_tradnl"/>
        </w:rPr>
        <w:t>el artículo 2 de la Ley 1150 de 2007</w:t>
      </w:r>
      <w:r w:rsidRPr="00F145EE">
        <w:rPr>
          <w:rFonts w:ascii="Verdana" w:hAnsi="Verdana" w:cs="Arial"/>
          <w:color w:val="000000" w:themeColor="text1"/>
          <w:lang w:val="es-ES"/>
        </w:rPr>
        <w:t xml:space="preserve">. El </w:t>
      </w:r>
      <w:r w:rsidRPr="00F145EE">
        <w:rPr>
          <w:rFonts w:ascii="Verdana" w:eastAsia="Calibri" w:hAnsi="Verdana" w:cs="Arial"/>
          <w:bCs/>
          <w:color w:val="000000" w:themeColor="text1"/>
          <w:lang w:val="es-MX" w:eastAsia="es-ES_tradnl"/>
        </w:rPr>
        <w:t>numeral uno, inciso primero, de la norma citada</w:t>
      </w:r>
      <w:r w:rsidRPr="00F145EE">
        <w:rPr>
          <w:rFonts w:ascii="Verdana" w:hAnsi="Verdana" w:cs="Arial"/>
          <w:bCs/>
          <w:color w:val="000000" w:themeColor="text1"/>
          <w:lang w:val="es-ES_tradnl"/>
        </w:rPr>
        <w:t xml:space="preserve"> </w:t>
      </w:r>
      <w:r w:rsidRPr="00F145EE">
        <w:rPr>
          <w:rFonts w:ascii="Verdana" w:eastAsia="Calibri" w:hAnsi="Verdana" w:cs="Arial"/>
          <w:bCs/>
          <w:color w:val="000000" w:themeColor="text1"/>
          <w:lang w:val="es-MX" w:eastAsia="es-ES_tradnl"/>
        </w:rPr>
        <w:t xml:space="preserve">dispone que “La escogencia del contratista se efectuará por </w:t>
      </w:r>
      <w:r w:rsidRPr="00F145EE">
        <w:rPr>
          <w:rFonts w:ascii="Verdana" w:eastAsia="Calibri" w:hAnsi="Verdana" w:cs="Arial"/>
          <w:bCs/>
          <w:i/>
          <w:iCs/>
          <w:color w:val="000000" w:themeColor="text1"/>
          <w:lang w:val="es-MX" w:eastAsia="es-ES_tradnl"/>
        </w:rPr>
        <w:t>regla general</w:t>
      </w:r>
      <w:r w:rsidRPr="00F145EE">
        <w:rPr>
          <w:rFonts w:ascii="Verdana" w:eastAsia="Calibri" w:hAnsi="Verdana" w:cs="Arial"/>
          <w:bCs/>
          <w:color w:val="000000" w:themeColor="text1"/>
          <w:lang w:val="es-MX" w:eastAsia="es-ES_tradnl"/>
        </w:rPr>
        <w:t xml:space="preserve"> a través de licitación pública, con las </w:t>
      </w:r>
      <w:r w:rsidRPr="00F145EE">
        <w:rPr>
          <w:rFonts w:ascii="Verdana" w:eastAsia="Calibri" w:hAnsi="Verdana" w:cs="Arial"/>
          <w:bCs/>
          <w:i/>
          <w:iCs/>
          <w:color w:val="000000" w:themeColor="text1"/>
          <w:lang w:val="es-MX" w:eastAsia="es-ES_tradnl"/>
        </w:rPr>
        <w:t>excepciones</w:t>
      </w:r>
      <w:r w:rsidRPr="00F145EE">
        <w:rPr>
          <w:rFonts w:ascii="Verdana" w:eastAsia="Calibri" w:hAnsi="Verdana" w:cs="Arial"/>
          <w:bCs/>
          <w:color w:val="000000" w:themeColor="text1"/>
          <w:lang w:val="es-MX" w:eastAsia="es-ES_tradnl"/>
        </w:rPr>
        <w:t xml:space="preserve"> que se señalan en los numerales 2, 3 y 4 del presente artículo”, norma que sustituye el derogado numeral 1 del artículo 24 de la Ley 80 de 1993 sobre el principio de transparencia</w:t>
      </w:r>
      <w:r w:rsidRPr="00F145EE">
        <w:rPr>
          <w:rStyle w:val="Refdenotaalpie"/>
          <w:rFonts w:ascii="Verdana" w:eastAsia="Calibri" w:hAnsi="Verdana" w:cs="Arial"/>
          <w:bCs/>
          <w:color w:val="000000" w:themeColor="text1"/>
          <w:lang w:val="es-MX" w:eastAsia="es-ES_tradnl"/>
        </w:rPr>
        <w:footnoteReference w:id="2"/>
      </w:r>
      <w:r w:rsidRPr="00F145EE">
        <w:rPr>
          <w:rFonts w:ascii="Verdana" w:eastAsia="Calibri" w:hAnsi="Verdana" w:cs="Arial"/>
          <w:bCs/>
          <w:color w:val="000000" w:themeColor="text1"/>
          <w:lang w:val="es-MX" w:eastAsia="es-ES_tradnl"/>
        </w:rPr>
        <w:t xml:space="preserve">. </w:t>
      </w:r>
    </w:p>
    <w:p w14:paraId="2E436EA9" w14:textId="77777777" w:rsidR="0056051D" w:rsidRPr="00F145EE" w:rsidRDefault="0056051D" w:rsidP="0056051D">
      <w:pPr>
        <w:spacing w:after="120" w:line="276" w:lineRule="auto"/>
        <w:ind w:firstLine="708"/>
        <w:jc w:val="both"/>
        <w:rPr>
          <w:rFonts w:ascii="Verdana" w:eastAsia="Calibri" w:hAnsi="Verdana" w:cs="Arial"/>
          <w:bCs/>
          <w:color w:val="000000" w:themeColor="text1"/>
          <w:lang w:val="es-MX" w:eastAsia="es-ES_tradnl"/>
        </w:rPr>
      </w:pPr>
      <w:r w:rsidRPr="00F145EE">
        <w:rPr>
          <w:rFonts w:ascii="Verdana" w:eastAsia="Calibri" w:hAnsi="Verdana" w:cs="Arial"/>
          <w:bCs/>
          <w:color w:val="000000" w:themeColor="text1"/>
          <w:lang w:val="es-MX" w:eastAsia="es-ES_tradnl"/>
        </w:rPr>
        <w:t>Salvo norma especial que ordene la celebración del negocio jurídico por otra modalidad de selección, debe aplicarse la regla general de licitación pública</w:t>
      </w:r>
      <w:r w:rsidRPr="00F145EE">
        <w:rPr>
          <w:rStyle w:val="Refdenotaalpie"/>
          <w:rFonts w:ascii="Verdana" w:eastAsia="Calibri" w:hAnsi="Verdana" w:cs="Arial"/>
          <w:bCs/>
          <w:color w:val="000000" w:themeColor="text1"/>
          <w:lang w:val="es-MX" w:eastAsia="es-ES_tradnl"/>
        </w:rPr>
        <w:footnoteReference w:id="3"/>
      </w:r>
      <w:r w:rsidRPr="00F145EE">
        <w:rPr>
          <w:rFonts w:ascii="Verdana" w:eastAsia="Calibri" w:hAnsi="Verdana" w:cs="Arial"/>
          <w:bCs/>
          <w:color w:val="000000" w:themeColor="text1"/>
          <w:lang w:val="es-MX" w:eastAsia="es-ES_tradnl"/>
        </w:rPr>
        <w:t>.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6BF92614" w14:textId="73F2B405" w:rsidR="0056051D" w:rsidRPr="00F145EE" w:rsidRDefault="0056051D" w:rsidP="0056051D">
      <w:pPr>
        <w:spacing w:after="120" w:line="276" w:lineRule="auto"/>
        <w:ind w:firstLine="708"/>
        <w:jc w:val="both"/>
        <w:rPr>
          <w:rFonts w:ascii="Verdana" w:eastAsia="Calibri" w:hAnsi="Verdana" w:cs="Arial"/>
          <w:color w:val="000000" w:themeColor="text1"/>
        </w:rPr>
      </w:pPr>
      <w:r w:rsidRPr="00F145EE">
        <w:rPr>
          <w:rFonts w:ascii="Verdana" w:eastAsia="Calibri" w:hAnsi="Verdana" w:cs="Arial"/>
          <w:bCs/>
          <w:color w:val="000000" w:themeColor="text1"/>
          <w:lang w:val="es-MX" w:eastAsia="es-ES_tradnl"/>
        </w:rPr>
        <w:t xml:space="preserve">Respecto </w:t>
      </w:r>
      <w:r w:rsidR="004243C0" w:rsidRPr="00F145EE">
        <w:rPr>
          <w:rFonts w:ascii="Verdana" w:eastAsia="Calibri" w:hAnsi="Verdana" w:cs="Arial"/>
          <w:bCs/>
          <w:color w:val="000000" w:themeColor="text1"/>
          <w:lang w:val="es-MX" w:eastAsia="es-ES_tradnl"/>
        </w:rPr>
        <w:t>de</w:t>
      </w:r>
      <w:r w:rsidRPr="00F145EE">
        <w:rPr>
          <w:rFonts w:ascii="Verdana" w:eastAsia="Calibri" w:hAnsi="Verdana" w:cs="Arial"/>
          <w:bCs/>
          <w:color w:val="000000" w:themeColor="text1"/>
          <w:lang w:val="es-MX" w:eastAsia="es-ES_tradnl"/>
        </w:rPr>
        <w:t xml:space="preserve"> la selección abreviada, </w:t>
      </w:r>
      <w:r w:rsidRPr="00F145EE">
        <w:rPr>
          <w:rFonts w:ascii="Verdana" w:eastAsia="Calibri" w:hAnsi="Verdana" w:cs="Arial"/>
          <w:color w:val="000000" w:themeColor="text1"/>
        </w:rPr>
        <w:t xml:space="preserve">el numeral 2 del artículo 2 de la Ley 1150 de 2007 dispone que “[…] corresponde a la modalidad de selección objetiva </w:t>
      </w:r>
      <w:r w:rsidRPr="00F145EE">
        <w:rPr>
          <w:rFonts w:ascii="Verdana" w:eastAsia="Calibri" w:hAnsi="Verdana" w:cs="Arial"/>
          <w:color w:val="000000" w:themeColor="text1"/>
        </w:rPr>
        <w:lastRenderedPageBreak/>
        <w:t>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F145EE">
        <w:rPr>
          <w:rStyle w:val="Refdenotaalpie"/>
          <w:rFonts w:ascii="Verdana" w:eastAsia="Calibri" w:hAnsi="Verdana" w:cs="Arial"/>
          <w:color w:val="000000" w:themeColor="text1"/>
        </w:rPr>
        <w:footnoteReference w:id="4"/>
      </w:r>
      <w:r w:rsidRPr="00F145EE">
        <w:rPr>
          <w:rFonts w:ascii="Verdana" w:eastAsia="Calibri" w:hAnsi="Verdana" w:cs="Arial"/>
          <w:color w:val="000000" w:themeColor="text1"/>
        </w:rPr>
        <w:t xml:space="preserve">. </w:t>
      </w:r>
    </w:p>
    <w:p w14:paraId="5036C18E" w14:textId="77777777" w:rsidR="0056051D" w:rsidRPr="00F145EE" w:rsidRDefault="0056051D" w:rsidP="0056051D">
      <w:pPr>
        <w:spacing w:after="0" w:line="276" w:lineRule="auto"/>
        <w:ind w:firstLine="708"/>
        <w:jc w:val="both"/>
        <w:rPr>
          <w:rFonts w:ascii="Verdana" w:eastAsia="Calibri" w:hAnsi="Verdana" w:cs="Arial"/>
          <w:color w:val="000000" w:themeColor="text1"/>
        </w:rPr>
      </w:pPr>
      <w:r w:rsidRPr="00F145EE">
        <w:rPr>
          <w:rFonts w:ascii="Verdana" w:eastAsia="Calibri" w:hAnsi="Verdana" w:cs="Arial"/>
          <w:color w:val="000000" w:themeColor="text1"/>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 En la exposición de motivos se explica lo siguiente:</w:t>
      </w:r>
    </w:p>
    <w:p w14:paraId="5FAC3AD4" w14:textId="77777777" w:rsidR="0056051D" w:rsidRPr="00F145EE" w:rsidRDefault="0056051D" w:rsidP="0056051D">
      <w:pPr>
        <w:spacing w:after="0" w:line="276" w:lineRule="auto"/>
        <w:jc w:val="both"/>
        <w:rPr>
          <w:rFonts w:ascii="Verdana" w:eastAsia="Calibri" w:hAnsi="Verdana" w:cs="Arial"/>
          <w:color w:val="000000" w:themeColor="text1"/>
        </w:rPr>
      </w:pPr>
    </w:p>
    <w:p w14:paraId="6D59B37A" w14:textId="77777777" w:rsidR="0056051D" w:rsidRPr="00F145EE" w:rsidRDefault="0056051D" w:rsidP="0056051D">
      <w:pPr>
        <w:spacing w:after="120" w:line="240" w:lineRule="auto"/>
        <w:ind w:left="709" w:right="709"/>
        <w:jc w:val="both"/>
        <w:rPr>
          <w:rFonts w:ascii="Verdana" w:eastAsia="Calibri" w:hAnsi="Verdana" w:cs="Arial"/>
          <w:color w:val="000000" w:themeColor="text1"/>
          <w:sz w:val="21"/>
          <w:szCs w:val="21"/>
        </w:rPr>
      </w:pPr>
      <w:r w:rsidRPr="00F145EE">
        <w:rPr>
          <w:rFonts w:ascii="Verdana" w:eastAsia="Calibri" w:hAnsi="Verdana" w:cs="Arial"/>
          <w:color w:val="000000" w:themeColor="text1"/>
          <w:sz w:val="21"/>
          <w:szCs w:val="21"/>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25472EB5" w14:textId="77777777" w:rsidR="0056051D" w:rsidRPr="00F145EE" w:rsidRDefault="0056051D" w:rsidP="0056051D">
      <w:pPr>
        <w:spacing w:after="0" w:line="240" w:lineRule="auto"/>
        <w:ind w:left="709" w:right="709"/>
        <w:jc w:val="both"/>
        <w:rPr>
          <w:rFonts w:ascii="Verdana" w:eastAsia="Calibri" w:hAnsi="Verdana" w:cs="Arial"/>
          <w:color w:val="000000" w:themeColor="text1"/>
          <w:sz w:val="21"/>
          <w:szCs w:val="21"/>
        </w:rPr>
      </w:pPr>
      <w:r w:rsidRPr="00F145EE">
        <w:rPr>
          <w:rFonts w:ascii="Verdana" w:eastAsia="Calibri" w:hAnsi="Verdana" w:cs="Arial"/>
          <w:color w:val="000000" w:themeColor="text1"/>
          <w:sz w:val="21"/>
          <w:szCs w:val="21"/>
        </w:rPr>
        <w:t>– Se crea la llamada ‘selección abreviada’, para permitir la existencia de procedimientos de selección que, basados estrictamente en los principios cardinales de la contratación pública, permitan de manera ágil la adopción de decisiones de selección […]”</w:t>
      </w:r>
      <w:r w:rsidRPr="00F145EE">
        <w:rPr>
          <w:rStyle w:val="Refdenotaalpie"/>
          <w:rFonts w:ascii="Verdana" w:eastAsia="Calibri" w:hAnsi="Verdana" w:cs="Arial"/>
          <w:color w:val="000000" w:themeColor="text1"/>
          <w:sz w:val="21"/>
          <w:szCs w:val="21"/>
        </w:rPr>
        <w:footnoteReference w:id="5"/>
      </w:r>
      <w:r w:rsidRPr="00F145EE">
        <w:rPr>
          <w:rFonts w:ascii="Verdana" w:eastAsia="Calibri" w:hAnsi="Verdana" w:cs="Arial"/>
          <w:color w:val="000000" w:themeColor="text1"/>
          <w:sz w:val="21"/>
          <w:szCs w:val="21"/>
        </w:rPr>
        <w:t>.</w:t>
      </w:r>
    </w:p>
    <w:p w14:paraId="36D79212" w14:textId="77777777" w:rsidR="0056051D" w:rsidRPr="00F145EE" w:rsidRDefault="0056051D" w:rsidP="0056051D">
      <w:pPr>
        <w:spacing w:after="0" w:line="276" w:lineRule="auto"/>
        <w:jc w:val="both"/>
        <w:rPr>
          <w:rFonts w:ascii="Verdana" w:eastAsia="Calibri" w:hAnsi="Verdana" w:cs="Arial"/>
          <w:color w:val="000000" w:themeColor="text1"/>
        </w:rPr>
      </w:pPr>
    </w:p>
    <w:p w14:paraId="070B9ED9" w14:textId="5AEE5CE0" w:rsidR="0056051D" w:rsidRPr="00F145EE" w:rsidRDefault="0056051D" w:rsidP="0056051D">
      <w:pPr>
        <w:spacing w:after="120" w:line="276" w:lineRule="auto"/>
        <w:ind w:firstLine="709"/>
        <w:jc w:val="both"/>
        <w:rPr>
          <w:rFonts w:ascii="Verdana" w:eastAsia="Calibri" w:hAnsi="Verdana" w:cs="Arial"/>
          <w:color w:val="000000" w:themeColor="text1"/>
        </w:rPr>
      </w:pPr>
      <w:r w:rsidRPr="00F145EE">
        <w:rPr>
          <w:rFonts w:ascii="Verdana" w:eastAsia="Calibri" w:hAnsi="Verdana" w:cs="Arial"/>
          <w:color w:val="000000" w:themeColor="text1"/>
        </w:rPr>
        <w:t xml:space="preserve">La selección abreviada se caracteriza por tener etapas un poco </w:t>
      </w:r>
      <w:r w:rsidR="00236B57" w:rsidRPr="00F145EE">
        <w:rPr>
          <w:rFonts w:ascii="Verdana" w:eastAsia="Calibri" w:hAnsi="Verdana" w:cs="Arial"/>
          <w:color w:val="000000" w:themeColor="text1"/>
        </w:rPr>
        <w:t xml:space="preserve">más </w:t>
      </w:r>
      <w:r w:rsidRPr="00F145EE">
        <w:rPr>
          <w:rFonts w:ascii="Verdana" w:eastAsia="Calibri" w:hAnsi="Verdana" w:cs="Arial"/>
          <w:color w:val="000000" w:themeColor="text1"/>
        </w:rPr>
        <w:t>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F145EE">
        <w:rPr>
          <w:rStyle w:val="Refdenotaalpie"/>
          <w:rFonts w:ascii="Verdana" w:eastAsia="Calibri" w:hAnsi="Verdana" w:cs="Arial"/>
          <w:color w:val="000000" w:themeColor="text1"/>
        </w:rPr>
        <w:footnoteReference w:id="6"/>
      </w:r>
      <w:r w:rsidRPr="00F145EE">
        <w:rPr>
          <w:rFonts w:ascii="Verdana" w:eastAsia="Calibri" w:hAnsi="Verdana" w:cs="Arial"/>
          <w:color w:val="000000" w:themeColor="text1"/>
        </w:rPr>
        <w:t xml:space="preserve">. </w:t>
      </w:r>
    </w:p>
    <w:p w14:paraId="63D9AA4B" w14:textId="77777777" w:rsidR="0056051D" w:rsidRPr="00F145EE" w:rsidRDefault="0056051D" w:rsidP="0056051D">
      <w:pPr>
        <w:spacing w:after="120" w:line="276" w:lineRule="auto"/>
        <w:ind w:firstLine="709"/>
        <w:jc w:val="both"/>
        <w:rPr>
          <w:rFonts w:ascii="Verdana" w:eastAsia="Calibri" w:hAnsi="Verdana" w:cs="Arial"/>
          <w:color w:val="000000" w:themeColor="text1"/>
          <w:szCs w:val="24"/>
          <w:lang w:val="es-ES_tradnl" w:eastAsia="es-ES_tradnl"/>
        </w:rPr>
      </w:pPr>
      <w:r w:rsidRPr="00F145EE">
        <w:rPr>
          <w:rFonts w:ascii="Verdana" w:eastAsia="Calibri" w:hAnsi="Verdana" w:cs="Arial"/>
          <w:color w:val="000000" w:themeColor="text1"/>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F145EE">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F145EE">
        <w:rPr>
          <w:rFonts w:ascii="Verdana" w:eastAsia="Calibri" w:hAnsi="Verdana" w:cs="Arial"/>
          <w:bCs/>
          <w:i/>
          <w:iCs/>
          <w:color w:val="000000" w:themeColor="text1"/>
        </w:rPr>
        <w:t>ibidem</w:t>
      </w:r>
      <w:r w:rsidRPr="00F145EE">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F145EE">
        <w:rPr>
          <w:rStyle w:val="Refdenotaalpie"/>
          <w:rFonts w:ascii="Verdana" w:eastAsia="Calibri" w:hAnsi="Verdana" w:cs="Arial"/>
          <w:bCs/>
          <w:color w:val="000000" w:themeColor="text1"/>
        </w:rPr>
        <w:footnoteReference w:id="7"/>
      </w:r>
      <w:r w:rsidRPr="00F145EE">
        <w:rPr>
          <w:rFonts w:ascii="Verdana" w:eastAsia="Calibri" w:hAnsi="Verdana" w:cs="Arial"/>
          <w:bCs/>
          <w:color w:val="000000" w:themeColor="text1"/>
        </w:rPr>
        <w:t xml:space="preserve">. </w:t>
      </w:r>
    </w:p>
    <w:p w14:paraId="3066F9AE" w14:textId="77777777" w:rsidR="0056051D" w:rsidRPr="00F145EE" w:rsidRDefault="0056051D" w:rsidP="0056051D">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lastRenderedPageBreak/>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79855A67" w14:textId="77777777" w:rsidR="0056051D" w:rsidRPr="00F145EE" w:rsidRDefault="0056051D" w:rsidP="0056051D">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F145EE">
        <w:rPr>
          <w:rFonts w:ascii="Verdana" w:eastAsia="Calibri" w:hAnsi="Verdana" w:cs="Arial"/>
          <w:bCs/>
          <w:i/>
          <w:iCs/>
          <w:color w:val="000000" w:themeColor="text1"/>
        </w:rPr>
        <w:t>común utilización</w:t>
      </w:r>
      <w:r w:rsidRPr="00F145EE">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w:t>
      </w:r>
      <w:r w:rsidRPr="00F145EE">
        <w:rPr>
          <w:rStyle w:val="Refdenotaalpie"/>
          <w:rFonts w:ascii="Verdana" w:eastAsia="Calibri" w:hAnsi="Verdana" w:cs="Arial"/>
          <w:bCs/>
          <w:color w:val="000000" w:themeColor="text1"/>
        </w:rPr>
        <w:footnoteReference w:id="8"/>
      </w:r>
      <w:r w:rsidRPr="00F145EE">
        <w:rPr>
          <w:rFonts w:ascii="Verdana" w:eastAsia="Calibri" w:hAnsi="Verdana" w:cs="Arial"/>
          <w:bCs/>
          <w:color w:val="000000" w:themeColor="text1"/>
        </w:rPr>
        <w:t xml:space="preserve">. Por su parte, la </w:t>
      </w:r>
      <w:r w:rsidRPr="00F145EE">
        <w:rPr>
          <w:rFonts w:ascii="Verdana" w:eastAsia="Calibri" w:hAnsi="Verdana" w:cs="Arial"/>
          <w:bCs/>
          <w:i/>
          <w:iCs/>
          <w:color w:val="000000" w:themeColor="text1"/>
        </w:rPr>
        <w:t>homogeneidad</w:t>
      </w:r>
      <w:r w:rsidRPr="00F145EE">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F145EE">
        <w:rPr>
          <w:rStyle w:val="Refdenotaalpie"/>
          <w:rFonts w:ascii="Verdana" w:eastAsia="Calibri" w:hAnsi="Verdana" w:cs="Arial"/>
          <w:bCs/>
          <w:color w:val="000000" w:themeColor="text1"/>
        </w:rPr>
        <w:footnoteReference w:id="9"/>
      </w:r>
      <w:r w:rsidRPr="00F145EE">
        <w:rPr>
          <w:rFonts w:ascii="Verdana" w:eastAsia="Calibri" w:hAnsi="Verdana" w:cs="Arial"/>
          <w:bCs/>
          <w:color w:val="000000" w:themeColor="text1"/>
        </w:rPr>
        <w:t>.</w:t>
      </w:r>
    </w:p>
    <w:p w14:paraId="0BEA2B97" w14:textId="1CF8F706" w:rsidR="0056051D" w:rsidRPr="00F145EE" w:rsidRDefault="0056051D" w:rsidP="0056051D">
      <w:pPr>
        <w:spacing w:after="0" w:line="276" w:lineRule="auto"/>
        <w:ind w:firstLine="708"/>
        <w:jc w:val="both"/>
        <w:rPr>
          <w:rFonts w:ascii="Verdana" w:eastAsia="Calibri" w:hAnsi="Verdana" w:cs="Arial"/>
          <w:color w:val="000000" w:themeColor="text1"/>
        </w:rPr>
      </w:pPr>
      <w:r w:rsidRPr="00F145EE">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w:t>
      </w:r>
      <w:r w:rsidRPr="00F145EE">
        <w:rPr>
          <w:rFonts w:ascii="Verdana" w:eastAsia="Calibri" w:hAnsi="Verdana" w:cs="Arial"/>
          <w:bCs/>
          <w:color w:val="000000" w:themeColor="text1"/>
        </w:rPr>
        <w:lastRenderedPageBreak/>
        <w:t xml:space="preserve">condiciones estandarizadas u homogéneas, con independencia de su diseño o de sus características descriptivas, pues </w:t>
      </w:r>
      <w:r w:rsidR="002E3C56" w:rsidRPr="00F145EE">
        <w:rPr>
          <w:rFonts w:ascii="Verdana" w:eastAsia="Calibri" w:hAnsi="Verdana" w:cs="Arial"/>
          <w:bCs/>
          <w:color w:val="000000" w:themeColor="text1"/>
        </w:rPr>
        <w:t>e</w:t>
      </w:r>
      <w:r w:rsidRPr="00F145EE">
        <w:rPr>
          <w:rFonts w:ascii="Verdana" w:eastAsia="Calibri" w:hAnsi="Verdana" w:cs="Arial"/>
          <w:bCs/>
          <w:color w:val="000000" w:themeColor="text1"/>
        </w:rPr>
        <w:t xml:space="preserve">stas no afectan su funcionalidad. La forma </w:t>
      </w:r>
      <w:r w:rsidR="002E3C56" w:rsidRPr="00F145EE">
        <w:rPr>
          <w:rFonts w:ascii="Verdana" w:eastAsia="Calibri" w:hAnsi="Verdana" w:cs="Arial"/>
          <w:bCs/>
          <w:color w:val="000000" w:themeColor="text1"/>
        </w:rPr>
        <w:t>en que</w:t>
      </w:r>
      <w:r w:rsidRPr="00F145EE">
        <w:rPr>
          <w:rFonts w:ascii="Verdana" w:eastAsia="Calibri" w:hAnsi="Verdana" w:cs="Arial"/>
          <w:bCs/>
          <w:color w:val="000000" w:themeColor="text1"/>
        </w:rPr>
        <w:t xml:space="preserve">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Al respecto, la exposición de motivos de la Ley 1150 de 2007 explica que: </w:t>
      </w:r>
    </w:p>
    <w:p w14:paraId="3196F13C" w14:textId="77777777" w:rsidR="0056051D" w:rsidRPr="00F145EE" w:rsidRDefault="0056051D" w:rsidP="0056051D">
      <w:pPr>
        <w:spacing w:after="0" w:line="276" w:lineRule="auto"/>
        <w:jc w:val="both"/>
        <w:rPr>
          <w:rFonts w:ascii="Verdana" w:eastAsia="Calibri" w:hAnsi="Verdana" w:cs="Arial"/>
          <w:color w:val="000000" w:themeColor="text1"/>
        </w:rPr>
      </w:pPr>
    </w:p>
    <w:p w14:paraId="06B1592D" w14:textId="77777777" w:rsidR="0056051D" w:rsidRPr="00F145EE" w:rsidRDefault="0056051D" w:rsidP="0056051D">
      <w:pPr>
        <w:spacing w:after="0" w:line="240" w:lineRule="auto"/>
        <w:ind w:left="709" w:right="709"/>
        <w:jc w:val="both"/>
        <w:rPr>
          <w:rFonts w:ascii="Verdana" w:eastAsia="Calibri" w:hAnsi="Verdana" w:cs="Arial"/>
          <w:color w:val="000000" w:themeColor="text1"/>
          <w:sz w:val="21"/>
          <w:szCs w:val="21"/>
        </w:rPr>
      </w:pPr>
      <w:r w:rsidRPr="00F145EE">
        <w:rPr>
          <w:rFonts w:ascii="Verdana" w:eastAsia="Calibri" w:hAnsi="Verdana" w:cs="Arial"/>
          <w:color w:val="000000" w:themeColor="text1"/>
          <w:sz w:val="21"/>
          <w:szCs w:val="21"/>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Departamento Nacional de Planeación, corresponden a más del 80% en número de contratos. </w:t>
      </w:r>
      <w:r w:rsidRPr="00F145EE">
        <w:rPr>
          <w:rFonts w:ascii="Verdana" w:eastAsia="Calibri" w:hAnsi="Verdana" w:cs="Arial"/>
          <w:i/>
          <w:iCs/>
          <w:color w:val="000000" w:themeColor="text1"/>
          <w:sz w:val="21"/>
          <w:szCs w:val="21"/>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F145EE">
        <w:rPr>
          <w:rFonts w:ascii="Verdana" w:eastAsia="Calibri" w:hAnsi="Verdana" w:cs="Arial"/>
          <w:color w:val="000000" w:themeColor="text1"/>
          <w:sz w:val="21"/>
          <w:szCs w:val="21"/>
        </w:rPr>
        <w:t xml:space="preserve"> […]”</w:t>
      </w:r>
      <w:r w:rsidRPr="00F145EE">
        <w:rPr>
          <w:rStyle w:val="Refdenotaalpie"/>
          <w:rFonts w:ascii="Verdana" w:eastAsia="Calibri" w:hAnsi="Verdana" w:cs="Arial"/>
          <w:color w:val="000000" w:themeColor="text1"/>
          <w:sz w:val="21"/>
          <w:szCs w:val="21"/>
        </w:rPr>
        <w:footnoteReference w:id="10"/>
      </w:r>
      <w:r w:rsidRPr="00F145EE">
        <w:rPr>
          <w:rFonts w:ascii="Verdana" w:eastAsia="Calibri" w:hAnsi="Verdana" w:cs="Arial"/>
          <w:color w:val="000000" w:themeColor="text1"/>
          <w:sz w:val="21"/>
          <w:szCs w:val="21"/>
        </w:rPr>
        <w:t>. (Énfasis fuera de texto)</w:t>
      </w:r>
    </w:p>
    <w:p w14:paraId="5CB6C6AC" w14:textId="77777777" w:rsidR="0056051D" w:rsidRPr="00F145EE" w:rsidRDefault="0056051D" w:rsidP="0056051D">
      <w:pPr>
        <w:spacing w:after="0" w:line="276" w:lineRule="auto"/>
        <w:jc w:val="both"/>
        <w:rPr>
          <w:rFonts w:ascii="Verdana" w:eastAsia="Calibri" w:hAnsi="Verdana" w:cs="Arial"/>
          <w:color w:val="000000" w:themeColor="text1"/>
        </w:rPr>
      </w:pPr>
    </w:p>
    <w:p w14:paraId="6AF09E95" w14:textId="77777777" w:rsidR="0056051D" w:rsidRPr="00F145EE" w:rsidRDefault="0056051D" w:rsidP="0056051D">
      <w:pPr>
        <w:spacing w:after="120" w:line="276" w:lineRule="auto"/>
        <w:ind w:firstLine="709"/>
        <w:jc w:val="both"/>
        <w:rPr>
          <w:rFonts w:ascii="Verdana" w:eastAsia="Calibri" w:hAnsi="Verdana" w:cs="Arial"/>
          <w:color w:val="000000" w:themeColor="text1"/>
        </w:rPr>
      </w:pPr>
      <w:r w:rsidRPr="00F145EE">
        <w:rPr>
          <w:rFonts w:ascii="Verdana" w:eastAsia="Calibri" w:hAnsi="Verdana" w:cs="Arial"/>
          <w:color w:val="000000" w:themeColor="text1"/>
        </w:rPr>
        <w:t>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F145EE">
        <w:rPr>
          <w:rStyle w:val="Refdenotaalpie"/>
          <w:rFonts w:ascii="Verdana" w:eastAsia="Calibri" w:hAnsi="Verdana" w:cs="Arial"/>
          <w:color w:val="000000" w:themeColor="text1"/>
        </w:rPr>
        <w:footnoteReference w:id="11"/>
      </w:r>
    </w:p>
    <w:p w14:paraId="69E1FD40" w14:textId="77777777" w:rsidR="006505BF" w:rsidRPr="00F145EE" w:rsidRDefault="006505BF" w:rsidP="006505BF">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 xml:space="preserve">Ahora bien, como indica su denominación normativa, no basta con que el bien o servicio de que se trate sea de características técnicas uniformes, sino que, además, es necesario que sea de “común utilización”. Esta expresión, tal como ha indicado la doctrina especializada, debe interpretarse en el sentido de que el bien o servicio se ofrezca en el mercado en forma equivalente para </w:t>
      </w:r>
      <w:r w:rsidRPr="00F145EE">
        <w:rPr>
          <w:rFonts w:ascii="Verdana" w:eastAsia="Calibri" w:hAnsi="Verdana" w:cs="Times New Roman"/>
          <w:iCs/>
          <w:color w:val="000000" w:themeColor="text1"/>
          <w:lang w:val="es-ES"/>
        </w:rPr>
        <w:lastRenderedPageBreak/>
        <w:t xml:space="preserve">quienes deseen adquirirlo y usarlo. Eso no quiere decir que el bien o servicio deba ser usado por toda la sociedad, inexorablemente. Lo importante es que se encuentre estandarizado en el mercado para todo aquel que desee adquirirlo. </w:t>
      </w:r>
    </w:p>
    <w:p w14:paraId="22B3E196" w14:textId="2D2209FA" w:rsidR="006505BF" w:rsidRPr="00F145EE" w:rsidRDefault="006505BF" w:rsidP="006505BF">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Por ejemplo, una impresora o un proyector no son ni, quizá, serán usados por todas las personas, pero son de común utilización porque cualquier sujeto interesado puede buscarlos y adquirirlos según la oferta estándar que de esos bienes hay en el mercado. Es este el análisis que debe efectuar cada entidad estatal contratante para tipificar el bien o servicio que pretende adquirir y determinar si es de características técnicas uniformes y de común utilización. Para ello es recomendable que se sirva de la información que aporten los estudios previos, especialmente la suministrada por el personal de la entidad encargado de definir las especificaciones técnicas del contrato y de analizar sus condiciones de oferta en el mercado.</w:t>
      </w:r>
    </w:p>
    <w:p w14:paraId="52D0A51F" w14:textId="4854FDBD" w:rsidR="0056051D" w:rsidRPr="00F145EE" w:rsidRDefault="0056051D" w:rsidP="00805CE4">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que “</w:t>
      </w:r>
      <w:r w:rsidRPr="00F145EE">
        <w:rPr>
          <w:rFonts w:ascii="Verdana" w:eastAsia="Calibri" w:hAnsi="Verdana" w:cs="Arial"/>
          <w:bCs/>
          <w:i/>
          <w:iCs/>
          <w:color w:val="000000" w:themeColor="text1"/>
        </w:rPr>
        <w:t>Para la adquisición de estos bienes y servicios las entidades deberán</w:t>
      </w:r>
      <w:r w:rsidRPr="00F145EE">
        <w:rPr>
          <w:rFonts w:ascii="Verdana" w:eastAsia="Calibri" w:hAnsi="Verdana" w:cs="Arial"/>
          <w:bCs/>
          <w:color w:val="000000" w:themeColor="text1"/>
        </w:rPr>
        <w:t xml:space="preserve">, siempre que el reglamento así lo señale, </w:t>
      </w:r>
      <w:r w:rsidRPr="00F145EE">
        <w:rPr>
          <w:rFonts w:ascii="Verdana" w:eastAsia="Calibri" w:hAnsi="Verdana" w:cs="Arial"/>
          <w:bCs/>
          <w:i/>
          <w:iCs/>
          <w:color w:val="000000" w:themeColor="text1"/>
        </w:rPr>
        <w:t>hacer uso</w:t>
      </w:r>
      <w:r w:rsidRPr="00F145EE">
        <w:rPr>
          <w:rFonts w:ascii="Verdana" w:eastAsia="Calibri" w:hAnsi="Verdana" w:cs="Arial"/>
          <w:bCs/>
          <w:color w:val="000000" w:themeColor="text1"/>
        </w:rPr>
        <w:t xml:space="preserve"> de procedimientos de subasta inversa o de instrumentos de compra por catálogo derivados de la celebración de acuerdos marco de precios o </w:t>
      </w:r>
      <w:r w:rsidRPr="00F145EE">
        <w:rPr>
          <w:rFonts w:ascii="Verdana" w:eastAsia="Calibri" w:hAnsi="Verdana" w:cs="Arial"/>
          <w:bCs/>
          <w:i/>
          <w:iCs/>
          <w:color w:val="000000" w:themeColor="text1"/>
        </w:rPr>
        <w:t xml:space="preserve">de </w:t>
      </w:r>
      <w:r w:rsidRPr="00F145EE">
        <w:rPr>
          <w:rFonts w:ascii="Verdana" w:eastAsia="Calibri" w:hAnsi="Verdana" w:cs="Arial"/>
          <w:bCs/>
          <w:color w:val="000000" w:themeColor="text1"/>
        </w:rPr>
        <w:t>procedimientos de adquisición en bolsas de productos” (Énfasis fuera de texto). Estos mecanismos se aplicarán en la forma que disponga el Decreto 1082 de 2015 para para cada uno de ellos.</w:t>
      </w:r>
    </w:p>
    <w:p w14:paraId="4A43F55C" w14:textId="77777777" w:rsidR="00805CE4" w:rsidRPr="00F145EE" w:rsidRDefault="00805CE4" w:rsidP="00805CE4">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Si los bienes o servicios no son de características técnicas uniformes </w:t>
      </w:r>
      <w:r w:rsidRPr="00F145EE">
        <w:rPr>
          <w:rFonts w:ascii="Verdana" w:eastAsia="Calibri" w:hAnsi="Verdana" w:cs="Arial"/>
          <w:bCs/>
          <w:i/>
          <w:iCs/>
          <w:color w:val="000000" w:themeColor="text1"/>
        </w:rPr>
        <w:t xml:space="preserve">y </w:t>
      </w:r>
      <w:r w:rsidRPr="00F145EE">
        <w:rPr>
          <w:rFonts w:ascii="Verdana" w:eastAsia="Calibri" w:hAnsi="Verdana" w:cs="Arial"/>
          <w:bCs/>
          <w:color w:val="000000" w:themeColor="text1"/>
        </w:rPr>
        <w:t xml:space="preserve">de </w:t>
      </w:r>
      <w:r w:rsidRPr="00F145EE">
        <w:rPr>
          <w:rFonts w:ascii="Verdana" w:eastAsia="Calibri" w:hAnsi="Verdana" w:cs="Arial"/>
          <w:bCs/>
          <w:i/>
          <w:iCs/>
          <w:color w:val="000000" w:themeColor="text1"/>
        </w:rPr>
        <w:t>común utilización</w:t>
      </w:r>
      <w:r w:rsidRPr="00F145EE">
        <w:rPr>
          <w:rFonts w:ascii="Verdana" w:eastAsia="Calibri" w:hAnsi="Verdana" w:cs="Arial"/>
          <w:bCs/>
          <w:color w:val="000000" w:themeColor="text1"/>
        </w:rPr>
        <w:t xml:space="preserve">, faltándoles uno u otro atributo, la entidad estatal debe determinar, según las circunstancias concretas, en cuál de las otras causales y modalidades de contratación puede fundamentarse la adquisición. Por ejemplo, la licitación pública, prevista en el numeral 1 del artículo 2 de la Ley 1150 de 2007, es la regla general para objetos no sujetos a alguna modalidad en específico o que superen la menor cuantía. Por su parte, la modalidad de selección abreviada de menor cuantía se debe emplear cuando se requiera contratar por valores que se ubiquen dentro de la menor cuantía de la respectiva entidad estatal, de acuerdo con los rangos establecidos en el literal b) del numeral 2 del artículo 2 de la Ley 1150 de 2007. La mínima cuantía, a su vez, según el artículo 2, numeral 5, de la Ley 1150 de 2007, es la procedente cuando el bien o servicio no supere el diez por ciento de la menor cuantía, </w:t>
      </w:r>
      <w:r w:rsidRPr="00F145EE">
        <w:rPr>
          <w:rFonts w:ascii="Verdana" w:eastAsia="Calibri" w:hAnsi="Verdana" w:cs="Arial"/>
          <w:bCs/>
          <w:color w:val="000000" w:themeColor="text1"/>
        </w:rPr>
        <w:lastRenderedPageBreak/>
        <w:t xml:space="preserve">independientemente de su objeto. En estas modalidades la oferta más favorable se determina de acuerdo con lo establecido en el numeral 2 del artículo 5 de la Ley 1150 de 2007, esto es, en atención a la mejor relación calidad-precio. </w:t>
      </w:r>
    </w:p>
    <w:p w14:paraId="2C2894C1" w14:textId="6D8D2799" w:rsidR="00805CE4" w:rsidRPr="00F145EE" w:rsidRDefault="00805CE4" w:rsidP="00805CE4">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En este sentido, </w:t>
      </w:r>
      <w:r w:rsidR="009E1636" w:rsidRPr="00F145EE">
        <w:rPr>
          <w:rFonts w:ascii="Verdana" w:eastAsia="Calibri" w:hAnsi="Verdana" w:cs="Arial"/>
          <w:bCs/>
          <w:color w:val="000000" w:themeColor="text1"/>
        </w:rPr>
        <w:t xml:space="preserve">v.g. </w:t>
      </w:r>
      <w:r w:rsidRPr="00F145EE">
        <w:rPr>
          <w:rFonts w:ascii="Verdana" w:eastAsia="Calibri" w:hAnsi="Verdana" w:cs="Arial"/>
          <w:bCs/>
          <w:color w:val="000000" w:themeColor="text1"/>
        </w:rPr>
        <w:t xml:space="preserve">si el bien y servicio que pretende adquirirse no es de características técnicas uniformes y de común utilización, no debe aplicarse el procedimiento de selección abreviada en </w:t>
      </w:r>
      <w:r w:rsidRPr="00F145EE">
        <w:rPr>
          <w:rFonts w:ascii="Verdana" w:eastAsia="Calibri" w:hAnsi="Verdana" w:cs="Arial"/>
          <w:bCs/>
          <w:i/>
          <w:iCs/>
          <w:color w:val="000000" w:themeColor="text1"/>
        </w:rPr>
        <w:t>bolsa de productos</w:t>
      </w:r>
      <w:r w:rsidRPr="00F145EE">
        <w:rPr>
          <w:rFonts w:ascii="Verdana" w:eastAsia="Calibri" w:hAnsi="Verdana" w:cs="Arial"/>
          <w:bCs/>
          <w:color w:val="000000" w:themeColor="text1"/>
        </w:rPr>
        <w:t xml:space="preserve">, porque el artículo 2, numeral 2, literal a) </w:t>
      </w:r>
      <w:r w:rsidR="009E1636" w:rsidRPr="00F145EE">
        <w:rPr>
          <w:rFonts w:ascii="Verdana" w:eastAsia="Calibri" w:hAnsi="Verdana" w:cs="Arial"/>
          <w:bCs/>
          <w:color w:val="000000" w:themeColor="text1"/>
        </w:rPr>
        <w:t xml:space="preserve">de la Ley 1150 de 2007 </w:t>
      </w:r>
      <w:r w:rsidRPr="00F145EE">
        <w:rPr>
          <w:rFonts w:ascii="Verdana" w:eastAsia="Calibri" w:hAnsi="Verdana" w:cs="Arial"/>
          <w:bCs/>
          <w:color w:val="000000" w:themeColor="text1"/>
        </w:rPr>
        <w:t xml:space="preserve">establece que esta metodología debe emplearse para la adquisición o suministro de bienes y servicios que sí cumplan con esos rasgos. Aunque los artículos 2.2.1.2.1.2.11. y 2.2.1.2.1.2.12 del Decreto 1082 de 2015 emplean la expresión “Bienes y Servicios de Características Técnicas Uniformes”, el mismo Decreto, en el artículo 2.2.1.1.1.3.1. establece que los términos </w:t>
      </w:r>
      <w:r w:rsidR="009E1636" w:rsidRPr="00F145EE">
        <w:rPr>
          <w:rFonts w:ascii="Verdana" w:eastAsia="Calibri" w:hAnsi="Verdana" w:cs="Arial"/>
          <w:bCs/>
          <w:color w:val="000000" w:themeColor="text1"/>
        </w:rPr>
        <w:t>señalados</w:t>
      </w:r>
      <w:r w:rsidRPr="00F145EE">
        <w:rPr>
          <w:rFonts w:ascii="Verdana" w:eastAsia="Calibri" w:hAnsi="Verdana" w:cs="Arial"/>
          <w:bCs/>
          <w:color w:val="000000" w:themeColor="text1"/>
        </w:rPr>
        <w:t xml:space="preserve"> en dicho reglamento con mayúscula inicial deben entenderse según el significado establecido en ese enunciado normativo. Pues bien, el referido artículo 2.2.1.1.1.3.1. categoriza el concepto</w:t>
      </w:r>
      <w:r w:rsidR="00073D83" w:rsidRPr="00F145EE">
        <w:rPr>
          <w:rFonts w:ascii="Verdana" w:eastAsia="Calibri" w:hAnsi="Verdana" w:cs="Arial"/>
          <w:bCs/>
          <w:color w:val="000000" w:themeColor="text1"/>
        </w:rPr>
        <w:t>, de forma completa,</w:t>
      </w:r>
      <w:r w:rsidRPr="00F145EE">
        <w:rPr>
          <w:rFonts w:ascii="Verdana" w:eastAsia="Calibri" w:hAnsi="Verdana" w:cs="Arial"/>
          <w:bCs/>
          <w:color w:val="000000" w:themeColor="text1"/>
        </w:rPr>
        <w:t xml:space="preserve"> como “Bienes y Servicios de Características Técnicas Uniformes y Común Utilización”, razón por la cual todas las expresiones del Decreto 1082 de 2015 que aludan a ella habrán de entenderse según la definición de este término.</w:t>
      </w:r>
    </w:p>
    <w:p w14:paraId="6D8A9FA3" w14:textId="58D60608" w:rsidR="00B24B86" w:rsidRPr="00F145EE" w:rsidRDefault="0056051D" w:rsidP="00805CE4">
      <w:pPr>
        <w:spacing w:after="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 </w:t>
      </w:r>
    </w:p>
    <w:p w14:paraId="7A1B27A6" w14:textId="0A4A2C4A" w:rsidR="00B24B86" w:rsidRPr="00F145EE" w:rsidRDefault="00A126AC" w:rsidP="00A126AC">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 xml:space="preserve">IV. </w:t>
      </w:r>
      <w:r w:rsidR="00B24B86" w:rsidRPr="00F145EE">
        <w:rPr>
          <w:rFonts w:ascii="Verdana" w:eastAsia="Century Gothic" w:hAnsi="Verdana" w:cs="Century Gothic"/>
          <w:b/>
          <w:bCs/>
          <w:color w:val="000000" w:themeColor="text1"/>
        </w:rPr>
        <w:t>Referencias normativas:</w:t>
      </w:r>
    </w:p>
    <w:p w14:paraId="7ECCF9AC" w14:textId="77777777" w:rsidR="00B24B86" w:rsidRPr="00593A5F" w:rsidRDefault="00B24B86" w:rsidP="00B24B8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24B86" w:rsidRPr="002407CE" w14:paraId="1B7C1D54" w14:textId="77777777" w:rsidTr="001C39F7">
        <w:trPr>
          <w:trHeight w:val="870"/>
          <w:jc w:val="center"/>
        </w:trPr>
        <w:tc>
          <w:tcPr>
            <w:tcW w:w="8647" w:type="dxa"/>
          </w:tcPr>
          <w:p w14:paraId="0D881FCB" w14:textId="77777777" w:rsidR="004D44FD" w:rsidRPr="00F145EE" w:rsidRDefault="004D44FD" w:rsidP="004D44F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145EE">
              <w:rPr>
                <w:rFonts w:ascii="Verdana" w:hAnsi="Verdana" w:cs="Arial"/>
              </w:rPr>
              <w:t xml:space="preserve">Ley 1150 de 2007, artículo 2. </w:t>
            </w:r>
          </w:p>
          <w:p w14:paraId="1FA71BAF" w14:textId="77777777" w:rsidR="004D44FD" w:rsidRPr="00F145EE" w:rsidRDefault="004D44FD" w:rsidP="004D44F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145EE">
              <w:rPr>
                <w:rFonts w:ascii="Verdana" w:hAnsi="Verdana" w:cs="Arial"/>
              </w:rPr>
              <w:t xml:space="preserve">Decreto 1082 de 2015, artículos 2.2.2.1.1.1.3.1, </w:t>
            </w:r>
            <w:r w:rsidRPr="00F145EE">
              <w:rPr>
                <w:rFonts w:ascii="Verdana" w:eastAsia="Calibri" w:hAnsi="Verdana" w:cs="Arial"/>
                <w:bCs/>
                <w:color w:val="000000" w:themeColor="text1"/>
              </w:rPr>
              <w:t>2.2.1.1.2.2.2</w:t>
            </w:r>
            <w:r w:rsidRPr="00F145EE">
              <w:rPr>
                <w:rFonts w:ascii="Verdana" w:hAnsi="Verdana" w:cs="Arial"/>
              </w:rPr>
              <w:t xml:space="preserve"> </w:t>
            </w:r>
            <w:r w:rsidRPr="00F145EE">
              <w:rPr>
                <w:rFonts w:ascii="Verdana" w:eastAsia="Calibri" w:hAnsi="Verdana" w:cs="Arial"/>
                <w:bCs/>
                <w:color w:val="000000" w:themeColor="text1"/>
              </w:rPr>
              <w:t>2.2.1.2.4.2.10, 2.2.1.2.4.2.11, 2.2.1.2.4.2.12 y 2.2.1.2.4.2.13</w:t>
            </w:r>
          </w:p>
          <w:p w14:paraId="64DA0845" w14:textId="7C38CDB2" w:rsidR="00B24B86" w:rsidRPr="00DA543F" w:rsidRDefault="004D44FD" w:rsidP="00DA543F">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F145EE">
              <w:rPr>
                <w:rFonts w:ascii="Verdana" w:hAnsi="Verdana" w:cs="Arial"/>
              </w:rPr>
              <w:t>Código Civil, artículos 28 y 29.</w:t>
            </w:r>
          </w:p>
        </w:tc>
      </w:tr>
    </w:tbl>
    <w:p w14:paraId="037DE654" w14:textId="77777777" w:rsidR="00B24B86" w:rsidRPr="002407CE" w:rsidRDefault="00B24B86" w:rsidP="00B24B86">
      <w:pPr>
        <w:widowControl w:val="0"/>
        <w:autoSpaceDE w:val="0"/>
        <w:autoSpaceDN w:val="0"/>
        <w:spacing w:after="0" w:line="276" w:lineRule="auto"/>
        <w:jc w:val="both"/>
        <w:rPr>
          <w:rFonts w:ascii="Verdana" w:hAnsi="Verdana" w:cs="Arial"/>
        </w:rPr>
      </w:pPr>
    </w:p>
    <w:p w14:paraId="0FF9CA95" w14:textId="5A7B4144" w:rsidR="00B24B86" w:rsidRPr="00593A5F" w:rsidRDefault="00A126AC" w:rsidP="00A126A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V. </w:t>
      </w:r>
      <w:r w:rsidR="00B24B86">
        <w:rPr>
          <w:rFonts w:ascii="Verdana" w:eastAsia="Century Gothic" w:hAnsi="Verdana" w:cs="Century Gothic"/>
          <w:b/>
          <w:bCs/>
        </w:rPr>
        <w:t>Doctrina de la Agencia Nacional de Contratación Pública</w:t>
      </w:r>
      <w:r w:rsidR="00B24B86" w:rsidRPr="00593A5F">
        <w:rPr>
          <w:rFonts w:ascii="Verdana" w:eastAsia="Century Gothic" w:hAnsi="Verdana" w:cs="Century Gothic"/>
          <w:b/>
          <w:bCs/>
        </w:rPr>
        <w:t>:</w:t>
      </w:r>
    </w:p>
    <w:p w14:paraId="7CDD7417" w14:textId="77777777" w:rsidR="00B24B86" w:rsidRPr="00593A5F" w:rsidRDefault="00B24B86" w:rsidP="00B24B86">
      <w:pPr>
        <w:widowControl w:val="0"/>
        <w:autoSpaceDE w:val="0"/>
        <w:autoSpaceDN w:val="0"/>
        <w:spacing w:after="0" w:line="276" w:lineRule="auto"/>
        <w:jc w:val="both"/>
        <w:rPr>
          <w:rFonts w:ascii="Verdana" w:hAnsi="Verdana" w:cs="Arial"/>
        </w:rPr>
      </w:pPr>
    </w:p>
    <w:p w14:paraId="56BB9EE0" w14:textId="6A7FFA01" w:rsidR="00B24B86" w:rsidRPr="00ED0098" w:rsidRDefault="00B24B86" w:rsidP="00B24B86">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definición de los </w:t>
      </w:r>
      <w:r w:rsidRPr="00CC71AC">
        <w:rPr>
          <w:rFonts w:ascii="Verdana" w:hAnsi="Verdana" w:cs="Arial"/>
          <w:shd w:val="clear" w:color="auto" w:fill="FFFFFF"/>
        </w:rPr>
        <w:t>bienes y servicios de características técnicas uniformes</w:t>
      </w:r>
      <w:r>
        <w:rPr>
          <w:rFonts w:ascii="Verdana" w:hAnsi="Verdana" w:cs="Arial"/>
          <w:shd w:val="clear" w:color="auto" w:fill="FFFFFF"/>
        </w:rPr>
        <w:t xml:space="preserve"> en los Conceptos </w:t>
      </w:r>
      <w:r w:rsidRPr="001816D5">
        <w:rPr>
          <w:rFonts w:ascii="Verdana" w:hAnsi="Verdana" w:cs="Arial"/>
          <w:shd w:val="clear" w:color="auto" w:fill="FFFFFF"/>
        </w:rPr>
        <w:t>C-678 de 24 de noviembre de 2020</w:t>
      </w:r>
      <w:r>
        <w:rPr>
          <w:rFonts w:ascii="Verdana" w:hAnsi="Verdana" w:cs="Arial"/>
          <w:shd w:val="clear" w:color="auto" w:fill="FFFFFF"/>
        </w:rPr>
        <w:t>, C-024 de 24 de febrero de 2021, C-123 de 5 de abril de 2021, C-565 de 12 de septiembre de 2022, C-669 de 18 de octubre de 2022, C-850 de 16 de diciembre de 2022, C-905 de 28 de diciembre de 2022</w:t>
      </w:r>
      <w:r w:rsidR="004D44FD">
        <w:rPr>
          <w:rFonts w:ascii="Verdana" w:hAnsi="Verdana" w:cs="Arial"/>
          <w:shd w:val="clear" w:color="auto" w:fill="FFFFFF"/>
        </w:rPr>
        <w:t>,</w:t>
      </w:r>
      <w:r>
        <w:rPr>
          <w:rFonts w:ascii="Verdana" w:hAnsi="Verdana" w:cs="Arial"/>
          <w:shd w:val="clear" w:color="auto" w:fill="FFFFFF"/>
        </w:rPr>
        <w:t xml:space="preserve"> </w:t>
      </w:r>
      <w:r w:rsidR="00FA0030">
        <w:rPr>
          <w:rFonts w:ascii="Verdana" w:hAnsi="Verdana" w:cs="Arial"/>
          <w:shd w:val="clear" w:color="auto" w:fill="FFFFFF"/>
        </w:rPr>
        <w:t>C-957</w:t>
      </w:r>
      <w:r w:rsidR="00931A4A">
        <w:rPr>
          <w:rFonts w:ascii="Verdana" w:hAnsi="Verdana" w:cs="Arial"/>
          <w:shd w:val="clear" w:color="auto" w:fill="FFFFFF"/>
        </w:rPr>
        <w:t xml:space="preserve"> de 30 de enero de 2023, </w:t>
      </w:r>
      <w:r w:rsidR="00C73195">
        <w:rPr>
          <w:rFonts w:ascii="Verdana" w:hAnsi="Verdana" w:cs="Arial"/>
          <w:shd w:val="clear" w:color="auto" w:fill="FFFFFF"/>
        </w:rPr>
        <w:t xml:space="preserve">C-064 de </w:t>
      </w:r>
      <w:r w:rsidR="00CB01F0">
        <w:rPr>
          <w:rFonts w:ascii="Verdana" w:hAnsi="Verdana" w:cs="Arial"/>
          <w:shd w:val="clear" w:color="auto" w:fill="FFFFFF"/>
        </w:rPr>
        <w:t xml:space="preserve">5 de junio de 2023, </w:t>
      </w:r>
      <w:r>
        <w:rPr>
          <w:rFonts w:ascii="Verdana" w:hAnsi="Verdana" w:cs="Arial"/>
          <w:shd w:val="clear" w:color="auto" w:fill="FFFFFF"/>
        </w:rPr>
        <w:t>C-456 del 27 de octubre de 2023</w:t>
      </w:r>
      <w:r w:rsidR="00F72D30">
        <w:rPr>
          <w:rFonts w:ascii="Verdana" w:hAnsi="Verdana" w:cs="Arial"/>
          <w:shd w:val="clear" w:color="auto" w:fill="FFFFFF"/>
        </w:rPr>
        <w:t xml:space="preserve">, </w:t>
      </w:r>
      <w:r w:rsidR="001C52C7">
        <w:rPr>
          <w:rFonts w:ascii="Verdana" w:hAnsi="Verdana" w:cs="Arial"/>
          <w:shd w:val="clear" w:color="auto" w:fill="FFFFFF"/>
        </w:rPr>
        <w:t>C-597 de 8 de noviembre de 2024</w:t>
      </w:r>
      <w:r w:rsidR="00F72D30">
        <w:rPr>
          <w:rFonts w:ascii="Verdana" w:hAnsi="Verdana" w:cs="Arial"/>
          <w:shd w:val="clear" w:color="auto" w:fill="FFFFFF"/>
        </w:rPr>
        <w:t xml:space="preserve">, </w:t>
      </w:r>
      <w:r w:rsidR="009530C1">
        <w:rPr>
          <w:rFonts w:ascii="Verdana" w:hAnsi="Verdana" w:cs="Arial"/>
          <w:shd w:val="clear" w:color="auto" w:fill="FFFFFF"/>
        </w:rPr>
        <w:t>C-628 de 30 de octubre de 2024</w:t>
      </w:r>
      <w:r w:rsidR="000A507E">
        <w:rPr>
          <w:rFonts w:ascii="Verdana" w:hAnsi="Verdana" w:cs="Arial"/>
          <w:shd w:val="clear" w:color="auto" w:fill="FFFFFF"/>
        </w:rPr>
        <w:t>, C-749</w:t>
      </w:r>
      <w:r w:rsidR="000B1CFF">
        <w:rPr>
          <w:rFonts w:ascii="Verdana" w:hAnsi="Verdana" w:cs="Arial"/>
          <w:shd w:val="clear" w:color="auto" w:fill="FFFFFF"/>
        </w:rPr>
        <w:t xml:space="preserve"> de 12 de noviembre de 2024</w:t>
      </w:r>
      <w:r w:rsidR="00F14F88">
        <w:rPr>
          <w:rFonts w:ascii="Verdana" w:hAnsi="Verdana" w:cs="Arial"/>
          <w:shd w:val="clear" w:color="auto" w:fill="FFFFFF"/>
        </w:rPr>
        <w:t xml:space="preserve"> y </w:t>
      </w:r>
      <w:r w:rsidR="004E53E5">
        <w:rPr>
          <w:rFonts w:ascii="Verdana" w:hAnsi="Verdana" w:cs="Arial"/>
          <w:shd w:val="clear" w:color="auto" w:fill="FFFFFF"/>
        </w:rPr>
        <w:t>C</w:t>
      </w:r>
      <w:r w:rsidR="00521EDF">
        <w:rPr>
          <w:rFonts w:ascii="Verdana" w:hAnsi="Verdana" w:cs="Arial"/>
          <w:shd w:val="clear" w:color="auto" w:fill="FFFFFF"/>
        </w:rPr>
        <w:t>-787 de 19 de noviembre de 2024</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w:t>
      </w:r>
      <w:r w:rsidRPr="00DD0AFF">
        <w:rPr>
          <w:rFonts w:ascii="Verdana" w:hAnsi="Verdana" w:cs="Arial"/>
          <w:shd w:val="clear" w:color="auto" w:fill="FFFFFF"/>
        </w:rPr>
        <w:lastRenderedPageBreak/>
        <w:t>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C545656" w14:textId="77777777" w:rsidR="00523DCA" w:rsidRDefault="00523DCA" w:rsidP="00523DCA">
      <w:pPr>
        <w:widowControl w:val="0"/>
        <w:autoSpaceDE w:val="0"/>
        <w:autoSpaceDN w:val="0"/>
        <w:spacing w:after="0" w:line="276" w:lineRule="auto"/>
        <w:jc w:val="both"/>
        <w:rPr>
          <w:rFonts w:ascii="Verdana" w:hAnsi="Verdana" w:cs="Arial"/>
        </w:rPr>
      </w:pPr>
    </w:p>
    <w:p w14:paraId="0008EB2B" w14:textId="4309DC47" w:rsidR="00523DCA" w:rsidRPr="002B3F82" w:rsidRDefault="00523DCA" w:rsidP="00523DCA">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hAnsi="Verdana" w:cs="Arial"/>
          <w:color w:val="000000" w:themeColor="text1"/>
          <w:shd w:val="clear" w:color="auto" w:fill="FFFFFF"/>
        </w:rPr>
        <w:t>Igualmente</w:t>
      </w:r>
      <w:r w:rsidRPr="002B3F82">
        <w:rPr>
          <w:rFonts w:ascii="Verdana" w:hAnsi="Verdana" w:cs="Arial"/>
          <w:color w:val="000000" w:themeColor="text1"/>
          <w:shd w:val="clear" w:color="auto" w:fill="FFFFFF"/>
        </w:rPr>
        <w:t xml:space="preserve">, </w:t>
      </w:r>
      <w:r>
        <w:rPr>
          <w:rFonts w:ascii="Verdana" w:hAnsi="Verdana" w:cs="Arial"/>
          <w:color w:val="000000" w:themeColor="text1"/>
          <w:shd w:val="clear" w:color="auto" w:fill="FFFFFF"/>
        </w:rPr>
        <w:t>l</w:t>
      </w:r>
      <w:r w:rsidRPr="002B3F82">
        <w:rPr>
          <w:rFonts w:ascii="Verdana" w:hAnsi="Verdana" w:cs="Arial"/>
          <w:color w:val="000000" w:themeColor="text1"/>
          <w:shd w:val="clear" w:color="auto" w:fill="FFFFFF"/>
        </w:rPr>
        <w:t>e contamos que ya publicamos </w:t>
      </w:r>
      <w:r w:rsidRPr="002B3F82">
        <w:rPr>
          <w:rFonts w:ascii="Verdana" w:hAnsi="Verdana" w:cs="Arial"/>
          <w:b/>
          <w:bCs/>
          <w:color w:val="000000" w:themeColor="text1"/>
          <w:shd w:val="clear" w:color="auto" w:fill="FFFFFF"/>
        </w:rPr>
        <w:t>la nueva Guía de Contratación Pública Sostenible y Socialmente Responsable</w:t>
      </w:r>
      <w:r w:rsidRPr="002B3F82">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2B3F82">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713293E7" w14:textId="77777777" w:rsidR="00523DCA" w:rsidRPr="00115E3D" w:rsidRDefault="00523DCA" w:rsidP="00523DCA">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3C610978" w14:textId="77777777" w:rsidR="00523DCA" w:rsidRPr="00115E3D" w:rsidRDefault="00523DCA" w:rsidP="00523DCA">
      <w:pPr>
        <w:spacing w:after="0" w:line="240" w:lineRule="auto"/>
        <w:jc w:val="both"/>
        <w:rPr>
          <w:rFonts w:ascii="Verdana" w:hAnsi="Verdana"/>
          <w:color w:val="000000" w:themeColor="text1"/>
        </w:rPr>
      </w:pPr>
      <w:r>
        <w:rPr>
          <w:rFonts w:ascii="Verdana" w:hAnsi="Verdana"/>
          <w:color w:val="000000" w:themeColor="text1"/>
          <w:lang w:val="es-ES"/>
        </w:rPr>
        <w:t>L</w:t>
      </w:r>
      <w:r w:rsidRPr="00115E3D">
        <w:rPr>
          <w:rFonts w:ascii="Verdana" w:hAnsi="Verdana"/>
          <w:color w:val="000000" w:themeColor="text1"/>
        </w:rPr>
        <w:t xml:space="preserve">o invitamos a seguirnos en las redes sociales en las cuales se difunde información institucional: </w:t>
      </w:r>
    </w:p>
    <w:p w14:paraId="71B50E24" w14:textId="77777777" w:rsidR="00523DCA" w:rsidRPr="00115E3D" w:rsidRDefault="00523DCA" w:rsidP="00523DCA">
      <w:pPr>
        <w:spacing w:after="0" w:line="240" w:lineRule="auto"/>
        <w:jc w:val="both"/>
        <w:rPr>
          <w:rFonts w:ascii="Verdana" w:hAnsi="Verdana"/>
          <w:color w:val="000000" w:themeColor="text1"/>
        </w:rPr>
      </w:pPr>
    </w:p>
    <w:p w14:paraId="49EC7B35" w14:textId="77777777" w:rsidR="00523DCA" w:rsidRPr="00115E3D" w:rsidRDefault="00523DCA" w:rsidP="00523DCA">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A126AC">
        <w:rPr>
          <w:rStyle w:val="Hipervnculo"/>
          <w:rFonts w:ascii="Verdana" w:hAnsi="Verdana" w:cs="Arial"/>
          <w:shd w:val="clear" w:color="auto" w:fill="FFFFFF"/>
        </w:rPr>
        <w:t>@colombiacompra</w:t>
      </w:r>
      <w:r w:rsidRPr="00A126AC">
        <w:rPr>
          <w:rStyle w:val="Hipervnculo"/>
          <w:rFonts w:cs="Arial"/>
          <w:shd w:val="clear" w:color="auto" w:fill="FFFFFF"/>
        </w:rPr>
        <w:t xml:space="preserve"> </w:t>
      </w:r>
    </w:p>
    <w:p w14:paraId="103F6AF6" w14:textId="77777777" w:rsidR="00523DCA" w:rsidRPr="00115E3D" w:rsidRDefault="00523DCA" w:rsidP="00523DCA">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A126AC">
        <w:rPr>
          <w:rStyle w:val="Hipervnculo"/>
          <w:rFonts w:ascii="Verdana" w:hAnsi="Verdana" w:cs="Arial"/>
          <w:shd w:val="clear" w:color="auto" w:fill="FFFFFF"/>
        </w:rPr>
        <w:t>ColombiaCompraEficiente</w:t>
      </w:r>
      <w:proofErr w:type="spellEnd"/>
    </w:p>
    <w:p w14:paraId="6BF71683" w14:textId="77777777" w:rsidR="00523DCA" w:rsidRPr="00115E3D" w:rsidRDefault="00523DCA" w:rsidP="00523DCA">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A126AC">
        <w:rPr>
          <w:rStyle w:val="Hipervnculo"/>
          <w:rFonts w:ascii="Verdana" w:hAnsi="Verdana" w:cs="Arial"/>
          <w:shd w:val="clear" w:color="auto" w:fill="FFFFFF"/>
        </w:rPr>
        <w:t>Agencia Nacional de Contratación Pública - Colombia Compra Eficiente</w:t>
      </w:r>
      <w:r w:rsidRPr="00115E3D">
        <w:rPr>
          <w:rFonts w:ascii="Verdana" w:hAnsi="Verdana"/>
          <w:color w:val="000000" w:themeColor="text1"/>
        </w:rPr>
        <w:t xml:space="preserve"> Instagram: </w:t>
      </w:r>
      <w:r w:rsidRPr="00A126AC">
        <w:rPr>
          <w:rStyle w:val="Hipervnculo"/>
          <w:rFonts w:ascii="Verdana" w:hAnsi="Verdana" w:cs="Arial"/>
          <w:shd w:val="clear" w:color="auto" w:fill="FFFFFF"/>
        </w:rPr>
        <w:t>@colombiacompraeficiente_cce</w:t>
      </w:r>
    </w:p>
    <w:p w14:paraId="57916628" w14:textId="77777777" w:rsidR="00523DCA" w:rsidRPr="00593A5F" w:rsidRDefault="00523DCA" w:rsidP="00B24B86">
      <w:pPr>
        <w:widowControl w:val="0"/>
        <w:autoSpaceDE w:val="0"/>
        <w:autoSpaceDN w:val="0"/>
        <w:spacing w:after="120" w:line="276" w:lineRule="auto"/>
        <w:jc w:val="both"/>
        <w:rPr>
          <w:rFonts w:ascii="Verdana" w:hAnsi="Verdana" w:cs="Arial"/>
        </w:rPr>
      </w:pPr>
    </w:p>
    <w:p w14:paraId="7A0BBFEA" w14:textId="77777777" w:rsidR="00B24B86" w:rsidRPr="00593A5F" w:rsidRDefault="00B24B86" w:rsidP="00B24B8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FCE6946" w14:textId="77777777" w:rsidR="00B24B86" w:rsidRPr="00593A5F" w:rsidRDefault="00B24B86" w:rsidP="00B24B86">
      <w:pPr>
        <w:widowControl w:val="0"/>
        <w:autoSpaceDE w:val="0"/>
        <w:autoSpaceDN w:val="0"/>
        <w:spacing w:after="0" w:line="276" w:lineRule="auto"/>
        <w:jc w:val="both"/>
        <w:rPr>
          <w:rFonts w:ascii="Verdana" w:hAnsi="Verdana" w:cs="Arial"/>
        </w:rPr>
      </w:pPr>
    </w:p>
    <w:p w14:paraId="1CA9603F" w14:textId="77777777" w:rsidR="00B24B86" w:rsidRPr="00593A5F" w:rsidRDefault="00B24B86" w:rsidP="00B24B8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8DE251C" w14:textId="68C2D1A7" w:rsidR="00B24B86" w:rsidRPr="00593A5F" w:rsidRDefault="003509F9" w:rsidP="00B24B86">
      <w:pPr>
        <w:spacing w:line="276" w:lineRule="auto"/>
        <w:jc w:val="center"/>
        <w:rPr>
          <w:rFonts w:ascii="Verdana" w:hAnsi="Verdana" w:cs="Arial"/>
          <w:color w:val="000000"/>
          <w:lang w:val="es-ES_tradnl" w:eastAsia="es-CO"/>
        </w:rPr>
      </w:pPr>
      <w:r>
        <w:rPr>
          <w:noProof/>
        </w:rPr>
        <w:drawing>
          <wp:inline distT="0" distB="0" distL="0" distR="0" wp14:anchorId="14F1EB04" wp14:editId="1FD1B200">
            <wp:extent cx="3771900" cy="1400175"/>
            <wp:effectExtent l="0" t="0" r="381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24B86" w:rsidRPr="00593A5F" w14:paraId="1406EDE1" w14:textId="77777777" w:rsidTr="001C39F7">
        <w:trPr>
          <w:trHeight w:val="315"/>
        </w:trPr>
        <w:tc>
          <w:tcPr>
            <w:tcW w:w="893" w:type="dxa"/>
            <w:vAlign w:val="center"/>
            <w:hideMark/>
          </w:tcPr>
          <w:p w14:paraId="6D425CF0" w14:textId="77777777" w:rsidR="00B24B86" w:rsidRPr="003751C7" w:rsidRDefault="00B24B86" w:rsidP="001C39F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F4651D" w14:textId="76EAE917" w:rsidR="00B24B86" w:rsidRPr="00254A7A" w:rsidRDefault="00587524" w:rsidP="001C39F7">
            <w:pPr>
              <w:contextualSpacing/>
              <w:rPr>
                <w:rStyle w:val="normaltextrun"/>
                <w:rFonts w:ascii="Verdana" w:hAnsi="Verdana"/>
                <w:sz w:val="16"/>
                <w:szCs w:val="16"/>
              </w:rPr>
            </w:pPr>
            <w:r>
              <w:rPr>
                <w:rStyle w:val="normaltextrun"/>
                <w:rFonts w:ascii="Verdana" w:hAnsi="Verdana"/>
                <w:sz w:val="16"/>
                <w:szCs w:val="16"/>
              </w:rPr>
              <w:t>C</w:t>
            </w:r>
            <w:r w:rsidRPr="00587524">
              <w:rPr>
                <w:rStyle w:val="normaltextrun"/>
                <w:rFonts w:ascii="Verdana" w:hAnsi="Verdana"/>
                <w:sz w:val="16"/>
                <w:szCs w:val="16"/>
              </w:rPr>
              <w:t>ristian Andrés Díaz Díez</w:t>
            </w:r>
          </w:p>
          <w:p w14:paraId="2BD7E207" w14:textId="77777777" w:rsidR="00B24B86" w:rsidRPr="00254A7A" w:rsidRDefault="00B24B86" w:rsidP="001C39F7">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24B86" w:rsidRPr="00593A5F" w14:paraId="53434090" w14:textId="77777777" w:rsidTr="001C39F7">
        <w:trPr>
          <w:trHeight w:val="330"/>
        </w:trPr>
        <w:tc>
          <w:tcPr>
            <w:tcW w:w="893" w:type="dxa"/>
            <w:vAlign w:val="center"/>
            <w:hideMark/>
          </w:tcPr>
          <w:p w14:paraId="68E08137" w14:textId="77777777" w:rsidR="00B24B86" w:rsidRPr="003751C7" w:rsidRDefault="00B24B86" w:rsidP="001C39F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CA08D4" w14:textId="77777777" w:rsidR="00B24B86" w:rsidRPr="00E44E04" w:rsidRDefault="00B24B86" w:rsidP="001C39F7">
            <w:pPr>
              <w:pStyle w:val="paragraph"/>
              <w:spacing w:after="0"/>
              <w:contextualSpacing/>
              <w:textAlignment w:val="baseline"/>
              <w:rPr>
                <w:rStyle w:val="normaltextrun"/>
                <w:rFonts w:ascii="Verdana" w:hAnsi="Verdana" w:cs="Arial"/>
                <w:sz w:val="16"/>
                <w:szCs w:val="16"/>
                <w:lang w:val="es-ES"/>
              </w:rPr>
            </w:pPr>
            <w:r w:rsidRPr="00E44E04">
              <w:rPr>
                <w:rStyle w:val="normaltextrun"/>
                <w:rFonts w:ascii="Verdana" w:hAnsi="Verdana" w:cs="Arial"/>
                <w:sz w:val="16"/>
                <w:szCs w:val="16"/>
                <w:lang w:val="es-ES"/>
              </w:rPr>
              <w:t>Alejandro Sarmiento Cantillo</w:t>
            </w:r>
          </w:p>
          <w:p w14:paraId="6CC16B6E" w14:textId="77777777" w:rsidR="00B24B86" w:rsidRPr="00254A7A" w:rsidRDefault="00B24B86" w:rsidP="001C39F7">
            <w:pPr>
              <w:pStyle w:val="paragraph"/>
              <w:spacing w:before="0" w:beforeAutospacing="0" w:after="0" w:afterAutospacing="0"/>
              <w:contextualSpacing/>
              <w:textAlignment w:val="baseline"/>
              <w:rPr>
                <w:rFonts w:ascii="Verdana" w:hAnsi="Verdana" w:cs="Segoe UI"/>
                <w:sz w:val="16"/>
                <w:szCs w:val="16"/>
              </w:rPr>
            </w:pPr>
            <w:r w:rsidRPr="00E44E04">
              <w:rPr>
                <w:rStyle w:val="normaltextrun"/>
                <w:rFonts w:ascii="Verdana" w:hAnsi="Verdana" w:cs="Arial"/>
                <w:sz w:val="16"/>
                <w:szCs w:val="16"/>
                <w:lang w:val="es-ES"/>
              </w:rPr>
              <w:t>Gestor T1 ‒ 15 de la Subdirección de Gestión Contractual</w:t>
            </w:r>
          </w:p>
        </w:tc>
      </w:tr>
      <w:tr w:rsidR="00B24B86" w:rsidRPr="00593A5F" w14:paraId="6D34F9FE" w14:textId="77777777" w:rsidTr="001C39F7">
        <w:trPr>
          <w:trHeight w:val="300"/>
        </w:trPr>
        <w:tc>
          <w:tcPr>
            <w:tcW w:w="893" w:type="dxa"/>
            <w:vAlign w:val="center"/>
          </w:tcPr>
          <w:p w14:paraId="5610B9D7" w14:textId="77777777" w:rsidR="00B24B86" w:rsidRPr="003751C7" w:rsidRDefault="00B24B86" w:rsidP="001C39F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B64BAA" w14:textId="77777777" w:rsidR="00B24B86" w:rsidRPr="003751C7" w:rsidRDefault="00B24B86" w:rsidP="001C39F7">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E819B71" w14:textId="77777777" w:rsidR="00B24B86" w:rsidRPr="003751C7" w:rsidRDefault="00B24B86" w:rsidP="001C39F7">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7BBFAB11" w:rsidR="00127233" w:rsidRPr="00543BFE" w:rsidRDefault="00127233" w:rsidP="00543BFE"/>
    <w:sectPr w:rsidR="00127233" w:rsidRPr="00543BF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1C14B" w14:textId="77777777" w:rsidR="00720E9B" w:rsidRDefault="00720E9B" w:rsidP="004A1847">
      <w:pPr>
        <w:spacing w:after="0" w:line="240" w:lineRule="auto"/>
      </w:pPr>
      <w:r>
        <w:separator/>
      </w:r>
    </w:p>
  </w:endnote>
  <w:endnote w:type="continuationSeparator" w:id="0">
    <w:p w14:paraId="0DB0B7FC" w14:textId="77777777" w:rsidR="00720E9B" w:rsidRDefault="00720E9B" w:rsidP="004A1847">
      <w:pPr>
        <w:spacing w:after="0" w:line="240" w:lineRule="auto"/>
      </w:pPr>
      <w:r>
        <w:continuationSeparator/>
      </w:r>
    </w:p>
  </w:endnote>
  <w:endnote w:type="continuationNotice" w:id="1">
    <w:p w14:paraId="3A82DADE" w14:textId="77777777" w:rsidR="00720E9B" w:rsidRDefault="00720E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8771D" w14:textId="77777777" w:rsidR="00720E9B" w:rsidRDefault="00720E9B" w:rsidP="004A1847">
      <w:pPr>
        <w:spacing w:after="0" w:line="240" w:lineRule="auto"/>
      </w:pPr>
      <w:r>
        <w:separator/>
      </w:r>
    </w:p>
  </w:footnote>
  <w:footnote w:type="continuationSeparator" w:id="0">
    <w:p w14:paraId="27957FAC" w14:textId="77777777" w:rsidR="00720E9B" w:rsidRDefault="00720E9B" w:rsidP="004A1847">
      <w:pPr>
        <w:spacing w:after="0" w:line="240" w:lineRule="auto"/>
      </w:pPr>
      <w:r>
        <w:continuationSeparator/>
      </w:r>
    </w:p>
  </w:footnote>
  <w:footnote w:type="continuationNotice" w:id="1">
    <w:p w14:paraId="636D6DB7" w14:textId="77777777" w:rsidR="00720E9B" w:rsidRDefault="00720E9B">
      <w:pPr>
        <w:spacing w:after="0" w:line="240" w:lineRule="auto"/>
      </w:pPr>
    </w:p>
  </w:footnote>
  <w:footnote w:id="2">
    <w:p w14:paraId="1DCF4F0E" w14:textId="50788453" w:rsidR="00B24B86" w:rsidRPr="00457B8D" w:rsidRDefault="00B24B86" w:rsidP="00B24B86">
      <w:pPr>
        <w:pStyle w:val="Textonotapie"/>
        <w:ind w:firstLine="708"/>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El inciso primero de </w:t>
      </w:r>
      <w:r w:rsidR="00723EFD">
        <w:rPr>
          <w:rFonts w:ascii="Verdana" w:hAnsi="Verdana" w:cs="Arial"/>
          <w:sz w:val="16"/>
          <w:szCs w:val="16"/>
        </w:rPr>
        <w:t xml:space="preserve">la </w:t>
      </w:r>
      <w:r w:rsidRPr="00457B8D">
        <w:rPr>
          <w:rFonts w:ascii="Verdana" w:hAnsi="Verdana" w:cs="Arial"/>
          <w:sz w:val="16"/>
          <w:szCs w:val="16"/>
        </w:rPr>
        <w:t>norma disponía que, conforme al principio de transparencia, “</w:t>
      </w:r>
      <w:r w:rsidRPr="00457B8D">
        <w:rPr>
          <w:rFonts w:ascii="Verdana" w:hAnsi="Verdana" w:cs="Arial"/>
          <w:i/>
          <w:iCs/>
          <w:sz w:val="16"/>
          <w:szCs w:val="16"/>
        </w:rPr>
        <w:t>La escogencia del contratista se efectuará siempre a través de licitación o concurso públicos</w:t>
      </w:r>
      <w:r w:rsidRPr="00457B8D">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351894C4" w14:textId="77777777" w:rsidR="0056051D" w:rsidRPr="00457B8D" w:rsidRDefault="0056051D" w:rsidP="0056051D">
      <w:pPr>
        <w:pStyle w:val="Textonotapie"/>
        <w:ind w:firstLine="708"/>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57B8D">
        <w:rPr>
          <w:rFonts w:ascii="Verdana" w:hAnsi="Verdana" w:cs="Arial"/>
          <w:i/>
          <w:iCs/>
          <w:sz w:val="16"/>
          <w:szCs w:val="16"/>
        </w:rPr>
        <w:t>Presentación de la oferta de manera dinámica</w:t>
      </w:r>
      <w:r w:rsidRPr="00457B8D">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0B100464" w14:textId="77777777" w:rsidR="0056051D" w:rsidRPr="00457B8D" w:rsidRDefault="0056051D" w:rsidP="0056051D">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El numeral 2 del artículo 2 de la Ley 1150 de 2007 prescribe: </w:t>
      </w:r>
      <w:r w:rsidRPr="00457B8D">
        <w:rPr>
          <w:rFonts w:ascii="Verdana" w:hAnsi="Verdana"/>
          <w:sz w:val="16"/>
          <w:szCs w:val="16"/>
        </w:rPr>
        <w:t xml:space="preserve">“[…] </w:t>
      </w:r>
      <w:r w:rsidRPr="00457B8D">
        <w:rPr>
          <w:rFonts w:ascii="Verdana" w:hAnsi="Verdana" w:cs="Arial"/>
          <w:sz w:val="16"/>
          <w:szCs w:val="16"/>
        </w:rPr>
        <w:t>Serán causales de selección abreviada las siguientes:</w:t>
      </w:r>
    </w:p>
    <w:p w14:paraId="00851400"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C5CE2CD"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627578AF"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4FA3CF57"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w:t>
      </w:r>
    </w:p>
    <w:p w14:paraId="5A562534"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35DE2B9C"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273BD2D8"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e) La enajenación de bienes del Estado, con excepción de aquellos a que se refiere la Ley 226 de 1995.</w:t>
      </w:r>
    </w:p>
    <w:p w14:paraId="3D1473C6"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 xml:space="preserve">[…]; </w:t>
      </w:r>
    </w:p>
    <w:p w14:paraId="54AA3B76"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 xml:space="preserve">f) Productos de origen o destinación agropecuarios que se ofrezcan en las bolsas de productos legalmente constituidas; </w:t>
      </w:r>
    </w:p>
    <w:p w14:paraId="21B7F11D"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28A9B7CF"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11FD449D"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i) La contratación de bienes y servicios que se requieran para la defensa y seguridad nacional.</w:t>
      </w:r>
    </w:p>
    <w:p w14:paraId="3C3DE84B" w14:textId="77777777" w:rsidR="0056051D" w:rsidRPr="00457B8D" w:rsidRDefault="0056051D" w:rsidP="0056051D">
      <w:pPr>
        <w:pStyle w:val="Textonotapie"/>
        <w:ind w:firstLine="708"/>
        <w:jc w:val="both"/>
        <w:rPr>
          <w:rFonts w:ascii="Verdana" w:hAnsi="Verdana" w:cs="Arial"/>
          <w:sz w:val="16"/>
          <w:szCs w:val="16"/>
        </w:rPr>
      </w:pPr>
      <w:r w:rsidRPr="00457B8D">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5">
    <w:p w14:paraId="2E0553FF" w14:textId="77777777" w:rsidR="0056051D" w:rsidRPr="00457B8D" w:rsidRDefault="0056051D" w:rsidP="0056051D">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CONGRESO DE LA REPÚBLICA. Exposición de motivos de la Ley 1150 de 2007. Gaceta del Congreso No. 458 del 1º de agosto de 2005. p. 8. </w:t>
      </w:r>
    </w:p>
  </w:footnote>
  <w:footnote w:id="6">
    <w:p w14:paraId="1D7433CF" w14:textId="77777777" w:rsidR="0056051D" w:rsidRPr="00457B8D" w:rsidRDefault="0056051D" w:rsidP="0056051D">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CONSEJO DE ESTADO. Sección Tercera. Subsección A. Sentencia del 23 de julio de 2015. Exp. 36.805. C. P. Hernán Andrade Rincón. </w:t>
      </w:r>
    </w:p>
  </w:footnote>
  <w:footnote w:id="7">
    <w:p w14:paraId="0DF43B55" w14:textId="77777777" w:rsidR="0056051D" w:rsidRPr="00457B8D" w:rsidRDefault="0056051D" w:rsidP="0056051D">
      <w:pPr>
        <w:pStyle w:val="Textonotapie"/>
        <w:ind w:firstLine="708"/>
        <w:jc w:val="both"/>
        <w:rPr>
          <w:rFonts w:ascii="Verdana" w:hAnsi="Verdana"/>
          <w:sz w:val="16"/>
          <w:szCs w:val="16"/>
          <w:lang w:val="es-CO"/>
        </w:rPr>
      </w:pPr>
      <w:r w:rsidRPr="00457B8D">
        <w:rPr>
          <w:rStyle w:val="Refdenotaalpie"/>
          <w:rFonts w:ascii="Verdana" w:hAnsi="Verdana"/>
          <w:sz w:val="16"/>
          <w:szCs w:val="16"/>
        </w:rPr>
        <w:footnoteRef/>
      </w:r>
      <w:r w:rsidRPr="00457B8D">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457B8D">
        <w:rPr>
          <w:rFonts w:ascii="Verdana" w:hAnsi="Verdana"/>
          <w:i/>
          <w:iCs/>
          <w:sz w:val="16"/>
          <w:szCs w:val="16"/>
        </w:rPr>
        <w:t>las palabras de la ley se entenderán en su sentido natural y obvio, según el uso general de las mismas palabras</w:t>
      </w:r>
      <w:r w:rsidRPr="00457B8D">
        <w:rPr>
          <w:rFonts w:ascii="Verdana" w:hAnsi="Verdana"/>
          <w:sz w:val="16"/>
          <w:szCs w:val="16"/>
        </w:rPr>
        <w:t>’, es decir, el uso de la gente educada. El Diccionario de la Lengua publicado por la Real Academia Española goza a este respecto de gran autoridad. ‘</w:t>
      </w:r>
      <w:r w:rsidRPr="00457B8D">
        <w:rPr>
          <w:rFonts w:ascii="Verdana" w:hAnsi="Verdana"/>
          <w:i/>
          <w:iCs/>
          <w:sz w:val="16"/>
          <w:szCs w:val="16"/>
        </w:rPr>
        <w:t>Pero cuando el legislador</w:t>
      </w:r>
      <w:r w:rsidRPr="00457B8D">
        <w:rPr>
          <w:rFonts w:ascii="Verdana" w:hAnsi="Verdana"/>
          <w:sz w:val="16"/>
          <w:szCs w:val="16"/>
        </w:rPr>
        <w:t xml:space="preserve">, agrega el artículo 20, </w:t>
      </w:r>
      <w:r w:rsidRPr="00457B8D">
        <w:rPr>
          <w:rFonts w:ascii="Verdana" w:hAnsi="Verdana"/>
          <w:i/>
          <w:iCs/>
          <w:sz w:val="16"/>
          <w:szCs w:val="16"/>
        </w:rPr>
        <w:t>las haya definido expresamente para ciertas materias se les dará en éstas su significado legal</w:t>
      </w:r>
      <w:r w:rsidRPr="00457B8D">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8">
    <w:p w14:paraId="6D94E905" w14:textId="77777777" w:rsidR="0056051D" w:rsidRPr="00457B8D" w:rsidRDefault="0056051D" w:rsidP="0056051D">
      <w:pPr>
        <w:pStyle w:val="Textonotapie"/>
        <w:ind w:firstLine="708"/>
        <w:jc w:val="both"/>
        <w:rPr>
          <w:rFonts w:ascii="Verdana" w:hAnsi="Verdana"/>
          <w:sz w:val="16"/>
          <w:szCs w:val="16"/>
        </w:rPr>
      </w:pPr>
      <w:r w:rsidRPr="00457B8D">
        <w:rPr>
          <w:rStyle w:val="Refdenotaalpie"/>
          <w:rFonts w:ascii="Verdana" w:hAnsi="Verdana"/>
          <w:sz w:val="16"/>
          <w:szCs w:val="16"/>
        </w:rPr>
        <w:footnoteRef/>
      </w:r>
      <w:r w:rsidRPr="00457B8D">
        <w:rPr>
          <w:rFonts w:ascii="Verdana" w:hAnsi="Verdana"/>
          <w:sz w:val="16"/>
          <w:szCs w:val="16"/>
        </w:rPr>
        <w:t xml:space="preserve"> SUÁREZ BELTRÁN, Gonzalo. Estudios de derecho contractual público. Colombia: Bogotá, 2014. p. 72.</w:t>
      </w:r>
    </w:p>
  </w:footnote>
  <w:footnote w:id="9">
    <w:p w14:paraId="04BC470D" w14:textId="77777777" w:rsidR="0056051D" w:rsidRPr="002223F1" w:rsidRDefault="0056051D" w:rsidP="0056051D">
      <w:pPr>
        <w:pStyle w:val="Textonotapie"/>
        <w:ind w:firstLine="708"/>
        <w:jc w:val="both"/>
        <w:rPr>
          <w:rFonts w:ascii="Verdana" w:hAnsi="Verdana"/>
          <w:sz w:val="16"/>
          <w:szCs w:val="16"/>
          <w:lang w:val="es-CO"/>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i/>
          <w:iCs/>
          <w:sz w:val="16"/>
          <w:szCs w:val="16"/>
        </w:rPr>
        <w:t>Ibidem</w:t>
      </w:r>
      <w:r w:rsidRPr="00457B8D">
        <w:rPr>
          <w:rFonts w:ascii="Verdana" w:hAnsi="Verdana"/>
          <w:sz w:val="16"/>
          <w:szCs w:val="16"/>
        </w:rPr>
        <w:t>.</w:t>
      </w:r>
    </w:p>
  </w:footnote>
  <w:footnote w:id="10">
    <w:p w14:paraId="45FE764B" w14:textId="77777777" w:rsidR="0056051D" w:rsidRPr="00457B8D" w:rsidRDefault="0056051D" w:rsidP="0056051D">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CONGRESO DE LA REPÚBLICA. Exposición de motivos de la Ley 1150 de 2007. Gaceta del Congreso No. 458 del 1º de agosto de 2005. p. 8. </w:t>
      </w:r>
    </w:p>
  </w:footnote>
  <w:footnote w:id="11">
    <w:p w14:paraId="4E0CFA68" w14:textId="77777777" w:rsidR="0056051D" w:rsidRPr="000A4439" w:rsidRDefault="0056051D" w:rsidP="0056051D">
      <w:pPr>
        <w:pStyle w:val="Textonotapie"/>
        <w:ind w:firstLine="708"/>
        <w:jc w:val="both"/>
        <w:rPr>
          <w:rFonts w:ascii="Verdana" w:hAnsi="Verdana"/>
          <w:sz w:val="16"/>
          <w:szCs w:val="16"/>
          <w:lang w:val="es-CO"/>
        </w:rPr>
      </w:pPr>
      <w:r w:rsidRPr="00457B8D">
        <w:rPr>
          <w:rStyle w:val="Refdenotaalpie"/>
          <w:rFonts w:ascii="Verdana" w:hAnsi="Verdana"/>
          <w:sz w:val="16"/>
          <w:szCs w:val="16"/>
        </w:rPr>
        <w:footnoteRef/>
      </w:r>
      <w:r w:rsidRPr="00457B8D">
        <w:rPr>
          <w:rFonts w:ascii="Verdana" w:hAnsi="Verdana"/>
          <w:sz w:val="16"/>
          <w:szCs w:val="16"/>
        </w:rPr>
        <w:t xml:space="preserve"> DÁVILA VINUEZA, Luis Guillermo. Régimen jurídico de la contratación estatal. </w:t>
      </w:r>
      <w:r w:rsidRPr="000A4439">
        <w:rPr>
          <w:rFonts w:ascii="Verdana" w:hAnsi="Verdana" w:cs="Arial"/>
          <w:sz w:val="16"/>
          <w:szCs w:val="16"/>
          <w:lang w:val="es-CO"/>
        </w:rPr>
        <w:t>Tercera Edición</w:t>
      </w:r>
      <w:r w:rsidRPr="000A4439">
        <w:rPr>
          <w:rFonts w:ascii="Verdana" w:hAnsi="Verdana"/>
          <w:sz w:val="16"/>
          <w:szCs w:val="16"/>
          <w:lang w:val="es-CO"/>
        </w:rPr>
        <w:t>. Bogotá: Legis, 2016. pp. 466-467.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381C63F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806738597" o:spid="_x0000_i1025" type="#_x0000_t75" style="width:11.4pt;height:11.4pt;visibility:visible;mso-wrap-style:square">
            <v:imagedata r:id="rId1" o:title=""/>
          </v:shape>
        </w:pict>
      </mc:Choice>
      <mc:Fallback>
        <w:drawing>
          <wp:inline distT="0" distB="0" distL="0" distR="0" wp14:anchorId="6B38E577" wp14:editId="6B38E578">
            <wp:extent cx="144780" cy="144780"/>
            <wp:effectExtent l="0" t="0" r="0" b="0"/>
            <wp:docPr id="1806738597" name="Imagen 1806738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20538"/>
    <w:rsid w:val="000222AE"/>
    <w:rsid w:val="0002438E"/>
    <w:rsid w:val="00034488"/>
    <w:rsid w:val="00037348"/>
    <w:rsid w:val="00042567"/>
    <w:rsid w:val="00044386"/>
    <w:rsid w:val="00054DB6"/>
    <w:rsid w:val="00061B2A"/>
    <w:rsid w:val="000640D8"/>
    <w:rsid w:val="00073D83"/>
    <w:rsid w:val="00082362"/>
    <w:rsid w:val="000A4439"/>
    <w:rsid w:val="000A507E"/>
    <w:rsid w:val="000A683E"/>
    <w:rsid w:val="000B19B9"/>
    <w:rsid w:val="000B1CFF"/>
    <w:rsid w:val="000C6798"/>
    <w:rsid w:val="000D0334"/>
    <w:rsid w:val="000D6537"/>
    <w:rsid w:val="000E3238"/>
    <w:rsid w:val="000F6486"/>
    <w:rsid w:val="00125105"/>
    <w:rsid w:val="00127233"/>
    <w:rsid w:val="00141590"/>
    <w:rsid w:val="00144418"/>
    <w:rsid w:val="00177B83"/>
    <w:rsid w:val="001A41C7"/>
    <w:rsid w:val="001C52C7"/>
    <w:rsid w:val="001E4177"/>
    <w:rsid w:val="001E4EE6"/>
    <w:rsid w:val="001E7317"/>
    <w:rsid w:val="001F7DC6"/>
    <w:rsid w:val="00210DC4"/>
    <w:rsid w:val="00236B57"/>
    <w:rsid w:val="002421BB"/>
    <w:rsid w:val="0024362B"/>
    <w:rsid w:val="002474FC"/>
    <w:rsid w:val="0025796E"/>
    <w:rsid w:val="002707A2"/>
    <w:rsid w:val="00272C49"/>
    <w:rsid w:val="002860D9"/>
    <w:rsid w:val="002951A0"/>
    <w:rsid w:val="002962BC"/>
    <w:rsid w:val="00296ED6"/>
    <w:rsid w:val="002A093D"/>
    <w:rsid w:val="002A0DD0"/>
    <w:rsid w:val="002A49AC"/>
    <w:rsid w:val="002A5B13"/>
    <w:rsid w:val="002A64FD"/>
    <w:rsid w:val="002B2CEC"/>
    <w:rsid w:val="002B4AF4"/>
    <w:rsid w:val="002C7A84"/>
    <w:rsid w:val="002D5F5D"/>
    <w:rsid w:val="002D690E"/>
    <w:rsid w:val="002E088F"/>
    <w:rsid w:val="002E0A46"/>
    <w:rsid w:val="002E3C56"/>
    <w:rsid w:val="002E4FD9"/>
    <w:rsid w:val="002F0069"/>
    <w:rsid w:val="00322A85"/>
    <w:rsid w:val="00324168"/>
    <w:rsid w:val="0032598E"/>
    <w:rsid w:val="00335BE1"/>
    <w:rsid w:val="003448F4"/>
    <w:rsid w:val="003509F9"/>
    <w:rsid w:val="00372F94"/>
    <w:rsid w:val="00373254"/>
    <w:rsid w:val="00374F5E"/>
    <w:rsid w:val="00377E3E"/>
    <w:rsid w:val="003808B0"/>
    <w:rsid w:val="00393518"/>
    <w:rsid w:val="003A26D1"/>
    <w:rsid w:val="003A779E"/>
    <w:rsid w:val="003C4FBE"/>
    <w:rsid w:val="003C7F43"/>
    <w:rsid w:val="003D0F4D"/>
    <w:rsid w:val="003D5B0D"/>
    <w:rsid w:val="003E0499"/>
    <w:rsid w:val="003F3941"/>
    <w:rsid w:val="0040356B"/>
    <w:rsid w:val="00406575"/>
    <w:rsid w:val="004243C0"/>
    <w:rsid w:val="0042722E"/>
    <w:rsid w:val="0044528D"/>
    <w:rsid w:val="004770EC"/>
    <w:rsid w:val="004930DA"/>
    <w:rsid w:val="004A1847"/>
    <w:rsid w:val="004A305D"/>
    <w:rsid w:val="004B2B68"/>
    <w:rsid w:val="004D36A2"/>
    <w:rsid w:val="004D44FD"/>
    <w:rsid w:val="004E064E"/>
    <w:rsid w:val="004E53E5"/>
    <w:rsid w:val="004F21C4"/>
    <w:rsid w:val="004F685F"/>
    <w:rsid w:val="005145C2"/>
    <w:rsid w:val="00521EDF"/>
    <w:rsid w:val="00523DCA"/>
    <w:rsid w:val="005321C2"/>
    <w:rsid w:val="00543BFE"/>
    <w:rsid w:val="005566E8"/>
    <w:rsid w:val="0056051D"/>
    <w:rsid w:val="00563D4C"/>
    <w:rsid w:val="005713BA"/>
    <w:rsid w:val="00572B7C"/>
    <w:rsid w:val="00574867"/>
    <w:rsid w:val="00587524"/>
    <w:rsid w:val="0058752B"/>
    <w:rsid w:val="00591460"/>
    <w:rsid w:val="00592628"/>
    <w:rsid w:val="005A1DA5"/>
    <w:rsid w:val="005B00A7"/>
    <w:rsid w:val="005B4F13"/>
    <w:rsid w:val="005C3777"/>
    <w:rsid w:val="005C5CDC"/>
    <w:rsid w:val="005D476C"/>
    <w:rsid w:val="00610812"/>
    <w:rsid w:val="00612F4C"/>
    <w:rsid w:val="006202AB"/>
    <w:rsid w:val="006219F8"/>
    <w:rsid w:val="006505BF"/>
    <w:rsid w:val="00650FF7"/>
    <w:rsid w:val="00660527"/>
    <w:rsid w:val="00663335"/>
    <w:rsid w:val="00665D70"/>
    <w:rsid w:val="00671DAC"/>
    <w:rsid w:val="00684837"/>
    <w:rsid w:val="006900D9"/>
    <w:rsid w:val="006A28DC"/>
    <w:rsid w:val="006A662D"/>
    <w:rsid w:val="006B02AC"/>
    <w:rsid w:val="006C792D"/>
    <w:rsid w:val="006D12F8"/>
    <w:rsid w:val="006F36F3"/>
    <w:rsid w:val="006F45E8"/>
    <w:rsid w:val="00706C16"/>
    <w:rsid w:val="00710A79"/>
    <w:rsid w:val="00713432"/>
    <w:rsid w:val="0071757E"/>
    <w:rsid w:val="00720E9B"/>
    <w:rsid w:val="00723EFD"/>
    <w:rsid w:val="00744E53"/>
    <w:rsid w:val="00756841"/>
    <w:rsid w:val="007649AB"/>
    <w:rsid w:val="007702F5"/>
    <w:rsid w:val="00771D0C"/>
    <w:rsid w:val="007833AC"/>
    <w:rsid w:val="007B1028"/>
    <w:rsid w:val="007B268C"/>
    <w:rsid w:val="007B43DD"/>
    <w:rsid w:val="007B7171"/>
    <w:rsid w:val="007C0C0F"/>
    <w:rsid w:val="007C181B"/>
    <w:rsid w:val="007C3DC2"/>
    <w:rsid w:val="007C49ED"/>
    <w:rsid w:val="007D4BD8"/>
    <w:rsid w:val="007D52F7"/>
    <w:rsid w:val="007E5497"/>
    <w:rsid w:val="007F47A0"/>
    <w:rsid w:val="00805CE4"/>
    <w:rsid w:val="00806F5F"/>
    <w:rsid w:val="00820278"/>
    <w:rsid w:val="00847BA5"/>
    <w:rsid w:val="008503CC"/>
    <w:rsid w:val="00856B78"/>
    <w:rsid w:val="008750F9"/>
    <w:rsid w:val="008843B6"/>
    <w:rsid w:val="00891928"/>
    <w:rsid w:val="008A446D"/>
    <w:rsid w:val="008B5D32"/>
    <w:rsid w:val="008B6D3D"/>
    <w:rsid w:val="008D180B"/>
    <w:rsid w:val="008D62B7"/>
    <w:rsid w:val="008E4810"/>
    <w:rsid w:val="008F0EA7"/>
    <w:rsid w:val="00923EEF"/>
    <w:rsid w:val="00931A4A"/>
    <w:rsid w:val="00934D5D"/>
    <w:rsid w:val="00937173"/>
    <w:rsid w:val="009415BC"/>
    <w:rsid w:val="009419F9"/>
    <w:rsid w:val="009530C1"/>
    <w:rsid w:val="0095656C"/>
    <w:rsid w:val="0095685E"/>
    <w:rsid w:val="00961B09"/>
    <w:rsid w:val="00965334"/>
    <w:rsid w:val="0097093E"/>
    <w:rsid w:val="0098198A"/>
    <w:rsid w:val="009A0DFA"/>
    <w:rsid w:val="009B2D26"/>
    <w:rsid w:val="009C71FA"/>
    <w:rsid w:val="009C72E7"/>
    <w:rsid w:val="009D3058"/>
    <w:rsid w:val="009E1636"/>
    <w:rsid w:val="009F3A13"/>
    <w:rsid w:val="009F44A6"/>
    <w:rsid w:val="00A0259E"/>
    <w:rsid w:val="00A05849"/>
    <w:rsid w:val="00A122D3"/>
    <w:rsid w:val="00A126AC"/>
    <w:rsid w:val="00A17EF1"/>
    <w:rsid w:val="00A17F13"/>
    <w:rsid w:val="00A20739"/>
    <w:rsid w:val="00A2454E"/>
    <w:rsid w:val="00A27A14"/>
    <w:rsid w:val="00A33C78"/>
    <w:rsid w:val="00A3503B"/>
    <w:rsid w:val="00A575F5"/>
    <w:rsid w:val="00AB0ADB"/>
    <w:rsid w:val="00AC594E"/>
    <w:rsid w:val="00AC5B5D"/>
    <w:rsid w:val="00AE0183"/>
    <w:rsid w:val="00B01B1A"/>
    <w:rsid w:val="00B10CF2"/>
    <w:rsid w:val="00B120CF"/>
    <w:rsid w:val="00B17E37"/>
    <w:rsid w:val="00B24B86"/>
    <w:rsid w:val="00B52D91"/>
    <w:rsid w:val="00B72CD3"/>
    <w:rsid w:val="00B72FFF"/>
    <w:rsid w:val="00B93390"/>
    <w:rsid w:val="00BC3D36"/>
    <w:rsid w:val="00BC6EBA"/>
    <w:rsid w:val="00BD7F72"/>
    <w:rsid w:val="00BF51A9"/>
    <w:rsid w:val="00C04FB3"/>
    <w:rsid w:val="00C22DA4"/>
    <w:rsid w:val="00C3008F"/>
    <w:rsid w:val="00C330EB"/>
    <w:rsid w:val="00C35923"/>
    <w:rsid w:val="00C5138F"/>
    <w:rsid w:val="00C64B33"/>
    <w:rsid w:val="00C73195"/>
    <w:rsid w:val="00C74FB1"/>
    <w:rsid w:val="00C754BE"/>
    <w:rsid w:val="00C762DA"/>
    <w:rsid w:val="00C76B1C"/>
    <w:rsid w:val="00CB01F0"/>
    <w:rsid w:val="00CB3B76"/>
    <w:rsid w:val="00CB6357"/>
    <w:rsid w:val="00CC1B26"/>
    <w:rsid w:val="00CC552E"/>
    <w:rsid w:val="00CD2269"/>
    <w:rsid w:val="00CD6F19"/>
    <w:rsid w:val="00CD7B25"/>
    <w:rsid w:val="00CE720B"/>
    <w:rsid w:val="00CF3F37"/>
    <w:rsid w:val="00CF3FF0"/>
    <w:rsid w:val="00D03754"/>
    <w:rsid w:val="00D11CB7"/>
    <w:rsid w:val="00D139ED"/>
    <w:rsid w:val="00D25596"/>
    <w:rsid w:val="00D423A2"/>
    <w:rsid w:val="00D50CF2"/>
    <w:rsid w:val="00D520D8"/>
    <w:rsid w:val="00D55672"/>
    <w:rsid w:val="00D63AC2"/>
    <w:rsid w:val="00D7383B"/>
    <w:rsid w:val="00DA231B"/>
    <w:rsid w:val="00DA23A0"/>
    <w:rsid w:val="00DA543F"/>
    <w:rsid w:val="00DA6045"/>
    <w:rsid w:val="00DB2DEA"/>
    <w:rsid w:val="00DC118F"/>
    <w:rsid w:val="00DC39FC"/>
    <w:rsid w:val="00DE1964"/>
    <w:rsid w:val="00DE5A59"/>
    <w:rsid w:val="00DF3257"/>
    <w:rsid w:val="00DF5254"/>
    <w:rsid w:val="00DF6FF4"/>
    <w:rsid w:val="00E00D0C"/>
    <w:rsid w:val="00E1346A"/>
    <w:rsid w:val="00E16408"/>
    <w:rsid w:val="00E20894"/>
    <w:rsid w:val="00E245AB"/>
    <w:rsid w:val="00E259DB"/>
    <w:rsid w:val="00E2764C"/>
    <w:rsid w:val="00E27F2E"/>
    <w:rsid w:val="00E3604F"/>
    <w:rsid w:val="00E413EA"/>
    <w:rsid w:val="00E440DF"/>
    <w:rsid w:val="00E50AFE"/>
    <w:rsid w:val="00E53472"/>
    <w:rsid w:val="00E544F3"/>
    <w:rsid w:val="00E55E43"/>
    <w:rsid w:val="00E75C92"/>
    <w:rsid w:val="00E771DC"/>
    <w:rsid w:val="00E8772A"/>
    <w:rsid w:val="00E90F6B"/>
    <w:rsid w:val="00E92C27"/>
    <w:rsid w:val="00EA0E3D"/>
    <w:rsid w:val="00EA27C4"/>
    <w:rsid w:val="00EC1C21"/>
    <w:rsid w:val="00EC1E4E"/>
    <w:rsid w:val="00EC38A7"/>
    <w:rsid w:val="00ED4312"/>
    <w:rsid w:val="00ED7314"/>
    <w:rsid w:val="00EE1AA8"/>
    <w:rsid w:val="00EF7E5D"/>
    <w:rsid w:val="00F145EE"/>
    <w:rsid w:val="00F14F88"/>
    <w:rsid w:val="00F1691E"/>
    <w:rsid w:val="00F2276D"/>
    <w:rsid w:val="00F23C09"/>
    <w:rsid w:val="00F23E68"/>
    <w:rsid w:val="00F31EDC"/>
    <w:rsid w:val="00F462B3"/>
    <w:rsid w:val="00F4642C"/>
    <w:rsid w:val="00F5664F"/>
    <w:rsid w:val="00F61268"/>
    <w:rsid w:val="00F666C4"/>
    <w:rsid w:val="00F67A31"/>
    <w:rsid w:val="00F72D30"/>
    <w:rsid w:val="00F75D42"/>
    <w:rsid w:val="00F76AFC"/>
    <w:rsid w:val="00F87210"/>
    <w:rsid w:val="00FA0030"/>
    <w:rsid w:val="00FA47C0"/>
    <w:rsid w:val="00FB5DD1"/>
    <w:rsid w:val="00FC2B5D"/>
    <w:rsid w:val="00FD78BE"/>
    <w:rsid w:val="00FE0A63"/>
    <w:rsid w:val="00FE2943"/>
    <w:rsid w:val="00FF1449"/>
    <w:rsid w:val="00FF1F6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24B8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24B86"/>
    <w:rPr>
      <w:rFonts w:ascii="Geomanist Light" w:hAnsi="Geomanist Light"/>
      <w:lang w:val="es-ES"/>
    </w:rPr>
  </w:style>
  <w:style w:type="paragraph" w:styleId="Textoindependiente">
    <w:name w:val="Body Text"/>
    <w:basedOn w:val="Normal"/>
    <w:link w:val="TextoindependienteCar"/>
    <w:uiPriority w:val="99"/>
    <w:unhideWhenUsed/>
    <w:rsid w:val="00B24B86"/>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B24B86"/>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andreina.cerpa%40colombiacompra.gov.co%7Cb18b651bca3a4eb8eab008dd269b400d%7C7b09041e245149d08cb179d5e3d8c1be%7C0%7C0%7C638709170415772816%7CUnknown%7CTWFpbGZsb3d8eyJFbXB0eU1hcGkiOnRydWUsIlYiOiIwLjAuMDAwMCIsIlAiOiJXaW4zMiIsIkFOIjoiTWFpbCIsIldUIjoyfQ%3D%3D%7C0%7C%7C%7C&amp;sdata=PBDkvgAHeIoaCeeQekGFgDhs2Sk1tsb5MPeryxTBPf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obierno@met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A0BAFC1-77DA-42AF-AF25-EBB5DF02E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15</Pages>
  <Words>4478</Words>
  <Characters>24632</Characters>
  <Application>Microsoft Office Word</Application>
  <DocSecurity>0</DocSecurity>
  <Lines>205</Lines>
  <Paragraphs>58</Paragraphs>
  <ScaleCrop>false</ScaleCrop>
  <Company/>
  <LinksUpToDate>false</LinksUpToDate>
  <CharactersWithSpaces>29052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Cristian Andrés Díaz Díaz</cp:lastModifiedBy>
  <cp:revision>161</cp:revision>
  <cp:lastPrinted>2023-01-10T21:18:00Z</cp:lastPrinted>
  <dcterms:created xsi:type="dcterms:W3CDTF">2024-11-19T17:17:00Z</dcterms:created>
  <dcterms:modified xsi:type="dcterms:W3CDTF">2025-02-17T10:45:00Z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