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29494" w14:textId="77777777" w:rsidR="00027CA9" w:rsidRPr="007F716C" w:rsidRDefault="00027CA9" w:rsidP="00027CA9">
      <w:pPr>
        <w:spacing w:after="0" w:line="240" w:lineRule="auto"/>
        <w:jc w:val="both"/>
        <w:rPr>
          <w:rFonts w:ascii="Verdana" w:eastAsia="Calibri" w:hAnsi="Verdana" w:cs="Arial"/>
          <w:b/>
          <w:bCs/>
          <w:lang w:val="es-ES_tradnl" w:eastAsia="es-ES_tradnl"/>
        </w:rPr>
      </w:pPr>
      <w:bookmarkStart w:id="0" w:name="_Hlk186494164"/>
      <w:r w:rsidRPr="007F716C">
        <w:rPr>
          <w:rFonts w:ascii="Verdana" w:eastAsia="Calibri" w:hAnsi="Verdana" w:cs="Arial"/>
          <w:b/>
          <w:bCs/>
          <w:lang w:val="es-ES_tradnl" w:eastAsia="es-ES_tradnl"/>
        </w:rPr>
        <w:t>PLANEACIÓN CONTRACTUAL – Noción – Obligación de las entidades – Ley 80 de 1993</w:t>
      </w:r>
    </w:p>
    <w:p w14:paraId="101AB1E8" w14:textId="77777777" w:rsidR="00027CA9" w:rsidRPr="00C15FFD" w:rsidRDefault="00027CA9" w:rsidP="00027CA9">
      <w:pPr>
        <w:spacing w:after="0" w:line="240" w:lineRule="auto"/>
        <w:jc w:val="both"/>
        <w:rPr>
          <w:rFonts w:ascii="Verdana" w:eastAsia="Calibri" w:hAnsi="Verdana" w:cs="Arial"/>
          <w:b/>
          <w:bCs/>
          <w:sz w:val="20"/>
          <w:szCs w:val="20"/>
          <w:highlight w:val="yellow"/>
          <w:lang w:val="es-ES_tradnl" w:eastAsia="es-ES_tradnl"/>
        </w:rPr>
      </w:pPr>
    </w:p>
    <w:p w14:paraId="6B27D756" w14:textId="77777777" w:rsidR="00027CA9" w:rsidRDefault="00027CA9" w:rsidP="00027CA9">
      <w:pPr>
        <w:spacing w:after="0" w:line="240" w:lineRule="auto"/>
        <w:jc w:val="both"/>
        <w:rPr>
          <w:rFonts w:ascii="Verdana" w:eastAsia="Aptos" w:hAnsi="Verdana" w:cs="Times New Roman"/>
          <w:sz w:val="20"/>
          <w:szCs w:val="20"/>
        </w:rPr>
      </w:pPr>
      <w:r w:rsidRPr="00024394">
        <w:rPr>
          <w:rFonts w:ascii="Verdana" w:eastAsia="Aptos" w:hAnsi="Verdana" w:cs="Times New Roman"/>
          <w:sz w:val="20"/>
          <w:szCs w:val="20"/>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727CF813" w14:textId="77777777" w:rsidR="00027CA9" w:rsidRDefault="00027CA9" w:rsidP="00027CA9">
      <w:pPr>
        <w:spacing w:after="0" w:line="240" w:lineRule="auto"/>
        <w:jc w:val="both"/>
        <w:rPr>
          <w:rFonts w:ascii="Verdana" w:eastAsia="Aptos" w:hAnsi="Verdana" w:cs="Times New Roman"/>
          <w:sz w:val="20"/>
          <w:szCs w:val="20"/>
        </w:rPr>
      </w:pPr>
    </w:p>
    <w:p w14:paraId="3F45D83B" w14:textId="77777777" w:rsidR="00027CA9" w:rsidRDefault="00027CA9" w:rsidP="00027CA9">
      <w:pPr>
        <w:spacing w:after="0" w:line="240" w:lineRule="auto"/>
        <w:jc w:val="both"/>
        <w:rPr>
          <w:rFonts w:ascii="Verdana" w:eastAsia="Aptos" w:hAnsi="Verdana" w:cs="Times New Roman"/>
          <w:sz w:val="20"/>
          <w:szCs w:val="20"/>
        </w:rPr>
      </w:pPr>
      <w:r>
        <w:rPr>
          <w:rFonts w:ascii="Verdana" w:eastAsia="Aptos" w:hAnsi="Verdana" w:cs="Times New Roman"/>
          <w:sz w:val="20"/>
          <w:szCs w:val="20"/>
        </w:rPr>
        <w:t xml:space="preserve">[…] </w:t>
      </w:r>
      <w:r w:rsidRPr="00E17369">
        <w:rPr>
          <w:rFonts w:ascii="Verdana" w:eastAsia="Aptos" w:hAnsi="Verdana" w:cs="Times New Roman"/>
          <w:sz w:val="20"/>
          <w:szCs w:val="20"/>
        </w:rPr>
        <w:t>el Estatuto General de Contratación de la Administración Pública, en adelante EGCAP, contiene disposiciones que exigen a las Entidades Estatales el deber de realizar planeación en la etapa precontractual, esto con el fin de que los Procesos de Contratación satisfagan las necesidades de la Administración, cumplan sus fines, logren la continua y eficiente prestación de los servicios públicos y permitan la efectividad de los derechos e intereses de los administrados que colaboran en su consecución.</w:t>
      </w:r>
    </w:p>
    <w:p w14:paraId="7585157D" w14:textId="77777777" w:rsidR="00027CA9" w:rsidRPr="00C15FFD" w:rsidRDefault="00027CA9" w:rsidP="00027CA9">
      <w:pPr>
        <w:spacing w:after="0" w:line="240" w:lineRule="auto"/>
        <w:jc w:val="both"/>
        <w:rPr>
          <w:rFonts w:ascii="Verdana" w:eastAsia="Aptos" w:hAnsi="Verdana" w:cs="Times New Roman"/>
          <w:sz w:val="20"/>
          <w:szCs w:val="20"/>
          <w:highlight w:val="yellow"/>
        </w:rPr>
      </w:pPr>
    </w:p>
    <w:p w14:paraId="0D96563F" w14:textId="77777777" w:rsidR="00027CA9" w:rsidRPr="002B393F" w:rsidRDefault="00027CA9" w:rsidP="00027CA9">
      <w:pPr>
        <w:spacing w:after="0" w:line="240" w:lineRule="auto"/>
        <w:jc w:val="both"/>
        <w:rPr>
          <w:rFonts w:ascii="Verdana" w:eastAsia="Calibri" w:hAnsi="Verdana" w:cs="Arial"/>
          <w:b/>
          <w:bCs/>
          <w:lang w:val="es-ES" w:eastAsia="es-ES"/>
        </w:rPr>
      </w:pPr>
      <w:r w:rsidRPr="002B393F">
        <w:rPr>
          <w:rFonts w:ascii="Verdana" w:eastAsia="Calibri" w:hAnsi="Verdana" w:cs="Arial"/>
          <w:b/>
          <w:bCs/>
          <w:lang w:val="es-ES" w:eastAsia="es-ES"/>
        </w:rPr>
        <w:t xml:space="preserve">ESTUDIOS PREVIOS </w:t>
      </w:r>
      <w:r>
        <w:rPr>
          <w:rFonts w:ascii="Verdana" w:eastAsia="Calibri" w:hAnsi="Verdana" w:cs="Arial"/>
          <w:b/>
          <w:bCs/>
          <w:lang w:val="es-ES" w:eastAsia="es-ES"/>
        </w:rPr>
        <w:t>–</w:t>
      </w:r>
      <w:r w:rsidRPr="002B393F">
        <w:rPr>
          <w:rFonts w:ascii="Verdana" w:eastAsia="Calibri" w:hAnsi="Verdana" w:cs="Arial"/>
          <w:b/>
          <w:bCs/>
          <w:lang w:val="es-ES" w:eastAsia="es-ES"/>
        </w:rPr>
        <w:t xml:space="preserve"> Finalidad</w:t>
      </w:r>
    </w:p>
    <w:p w14:paraId="5B776FD9" w14:textId="77777777" w:rsidR="00027CA9" w:rsidRPr="00C15FFD" w:rsidRDefault="00027CA9" w:rsidP="00027CA9">
      <w:pPr>
        <w:spacing w:after="0" w:line="240" w:lineRule="auto"/>
        <w:jc w:val="both"/>
        <w:rPr>
          <w:rFonts w:ascii="Verdana" w:eastAsia="Calibri" w:hAnsi="Verdana" w:cs="Arial"/>
          <w:b/>
          <w:bCs/>
          <w:sz w:val="20"/>
          <w:szCs w:val="20"/>
          <w:highlight w:val="yellow"/>
          <w:lang w:val="es-ES_tradnl" w:eastAsia="es-ES_tradnl"/>
        </w:rPr>
      </w:pPr>
    </w:p>
    <w:p w14:paraId="100AC42E" w14:textId="77777777" w:rsidR="00027CA9" w:rsidRDefault="00027CA9" w:rsidP="00027CA9">
      <w:pPr>
        <w:spacing w:after="0" w:line="240" w:lineRule="auto"/>
        <w:jc w:val="both"/>
        <w:rPr>
          <w:rFonts w:ascii="Verdana" w:eastAsia="Aptos" w:hAnsi="Verdana" w:cs="Times New Roman"/>
          <w:sz w:val="20"/>
          <w:szCs w:val="20"/>
        </w:rPr>
      </w:pPr>
      <w:r>
        <w:rPr>
          <w:rFonts w:ascii="Verdana" w:eastAsia="Aptos" w:hAnsi="Verdana" w:cs="Times New Roman"/>
          <w:sz w:val="20"/>
          <w:szCs w:val="20"/>
        </w:rPr>
        <w:t xml:space="preserve">[…] </w:t>
      </w:r>
      <w:r w:rsidRPr="002B393F">
        <w:rPr>
          <w:rFonts w:ascii="Verdana" w:eastAsia="Aptos" w:hAnsi="Verdana" w:cs="Times New Roman"/>
          <w:sz w:val="20"/>
          <w:szCs w:val="20"/>
        </w:rPr>
        <w:t>la Entidad Estatal podrá determinar con los estudios previos: i) la verdadera necesidad de la celebración del contrato; ii) las modalidades existentes para satisfacer esa necesidad y las razones que justifiquen la modalidad o tipo contractual que se escoja; iii) las calidades, especificaciones, cantidades y demás características que puedan o deban reunir los bienes, las obras o los servicios cuya contratación se haya determinado necesaria, iv)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y la celebración del contrato que se pretenda celebrar. La consideración de todos estos aspectos permite que los contratos resultantes de la planeación cuenten con el sustento técnico, económico y jurídico que incidirá en una adecuada ejecución.</w:t>
      </w:r>
    </w:p>
    <w:p w14:paraId="0814E537" w14:textId="77777777" w:rsidR="00027CA9" w:rsidRDefault="00027CA9" w:rsidP="00027CA9">
      <w:pPr>
        <w:spacing w:after="0" w:line="240" w:lineRule="auto"/>
        <w:rPr>
          <w:rFonts w:ascii="Verdana" w:eastAsia="Aptos" w:hAnsi="Verdana" w:cs="Times New Roman"/>
          <w:sz w:val="20"/>
          <w:szCs w:val="20"/>
        </w:rPr>
      </w:pPr>
    </w:p>
    <w:p w14:paraId="24AA33EB" w14:textId="77777777" w:rsidR="00027CA9" w:rsidRPr="002B393F" w:rsidRDefault="00027CA9" w:rsidP="00027CA9">
      <w:pPr>
        <w:spacing w:after="0" w:line="240" w:lineRule="auto"/>
        <w:jc w:val="both"/>
        <w:rPr>
          <w:rFonts w:ascii="Verdana" w:eastAsia="Calibri" w:hAnsi="Verdana" w:cs="Arial"/>
          <w:b/>
          <w:bCs/>
          <w:lang w:val="es-ES" w:eastAsia="es-ES"/>
        </w:rPr>
      </w:pPr>
      <w:r w:rsidRPr="002B393F">
        <w:rPr>
          <w:rFonts w:ascii="Verdana" w:eastAsia="Calibri" w:hAnsi="Verdana" w:cs="Arial"/>
          <w:b/>
          <w:bCs/>
          <w:lang w:val="es-ES" w:eastAsia="es-ES"/>
        </w:rPr>
        <w:t xml:space="preserve">ESTUDIOS </w:t>
      </w:r>
      <w:r>
        <w:rPr>
          <w:rFonts w:ascii="Verdana" w:eastAsia="Calibri" w:hAnsi="Verdana" w:cs="Arial"/>
          <w:b/>
          <w:bCs/>
          <w:lang w:val="es-ES" w:eastAsia="es-ES"/>
        </w:rPr>
        <w:t>DE MERCADO</w:t>
      </w:r>
      <w:r w:rsidRPr="002B393F">
        <w:rPr>
          <w:rFonts w:ascii="Verdana" w:eastAsia="Calibri" w:hAnsi="Verdana" w:cs="Arial"/>
          <w:b/>
          <w:bCs/>
          <w:lang w:val="es-ES" w:eastAsia="es-ES"/>
        </w:rPr>
        <w:t xml:space="preserve"> </w:t>
      </w:r>
      <w:r>
        <w:rPr>
          <w:rFonts w:ascii="Verdana" w:eastAsia="Calibri" w:hAnsi="Verdana" w:cs="Arial"/>
          <w:b/>
          <w:bCs/>
          <w:lang w:val="es-ES" w:eastAsia="es-ES"/>
        </w:rPr>
        <w:t>–</w:t>
      </w:r>
      <w:r w:rsidRPr="002B393F">
        <w:rPr>
          <w:rFonts w:ascii="Verdana" w:eastAsia="Calibri" w:hAnsi="Verdana" w:cs="Arial"/>
          <w:b/>
          <w:bCs/>
          <w:lang w:val="es-ES" w:eastAsia="es-ES"/>
        </w:rPr>
        <w:t xml:space="preserve"> </w:t>
      </w:r>
      <w:r>
        <w:rPr>
          <w:rFonts w:ascii="Verdana" w:eastAsia="Calibri" w:hAnsi="Verdana" w:cs="Arial"/>
          <w:b/>
          <w:bCs/>
          <w:lang w:val="es-ES" w:eastAsia="es-ES"/>
        </w:rPr>
        <w:t>Finalidad – Recomendaciones – Colombia compra eficiente – Guía de elaboración de estudios del sector</w:t>
      </w:r>
    </w:p>
    <w:p w14:paraId="3096760B" w14:textId="77777777" w:rsidR="00027CA9" w:rsidRDefault="00027CA9" w:rsidP="00027CA9">
      <w:pPr>
        <w:spacing w:after="0" w:line="240" w:lineRule="auto"/>
        <w:rPr>
          <w:rFonts w:ascii="Verdana" w:eastAsia="Aptos" w:hAnsi="Verdana" w:cs="Times New Roman"/>
          <w:sz w:val="20"/>
          <w:szCs w:val="20"/>
        </w:rPr>
      </w:pPr>
    </w:p>
    <w:p w14:paraId="173B5C44" w14:textId="77777777" w:rsidR="00027CA9" w:rsidRDefault="00027CA9" w:rsidP="00027CA9">
      <w:pPr>
        <w:spacing w:after="0" w:line="240" w:lineRule="auto"/>
        <w:jc w:val="both"/>
        <w:rPr>
          <w:rFonts w:ascii="Verdana" w:eastAsia="Aptos" w:hAnsi="Verdana" w:cs="Times New Roman"/>
          <w:sz w:val="20"/>
          <w:szCs w:val="20"/>
        </w:rPr>
      </w:pPr>
      <w:r>
        <w:rPr>
          <w:rFonts w:ascii="Verdana" w:eastAsia="Aptos" w:hAnsi="Verdana" w:cs="Times New Roman"/>
          <w:sz w:val="20"/>
          <w:szCs w:val="20"/>
        </w:rPr>
        <w:t xml:space="preserve">[…] </w:t>
      </w:r>
      <w:r w:rsidRPr="004A1D12">
        <w:rPr>
          <w:rFonts w:ascii="Verdana" w:eastAsia="Aptos" w:hAnsi="Verdana" w:cs="Times New Roman"/>
          <w:sz w:val="20"/>
          <w:szCs w:val="20"/>
        </w:rPr>
        <w:t xml:space="preserve">este permite comprender la dinámica de los precios y establecer el presupuesto oficial de la contratación, el cual comprende la realización de un análisis de los diferentes precios de los bienes o servicios a contratar que se registran en el mercado, los cuales pueden consultarse a través de mecanismos como la solicitud de cotizaciones, la consulta </w:t>
      </w:r>
      <w:r w:rsidRPr="004A1D12">
        <w:rPr>
          <w:rFonts w:ascii="Verdana" w:eastAsia="Aptos" w:hAnsi="Verdana" w:cs="Times New Roman"/>
          <w:sz w:val="20"/>
          <w:szCs w:val="20"/>
        </w:rPr>
        <w:lastRenderedPageBreak/>
        <w:t>de bases de datos especializadas y el análisis de precios históricos. Este estudio de mercado debe responder claramente a las dinámicas de precio y, de esta manera, establecer el presupuesto oficial del proceso de contratación.</w:t>
      </w:r>
      <w:r w:rsidRPr="00A562DF">
        <w:t xml:space="preserve"> </w:t>
      </w:r>
      <w:r w:rsidRPr="00A562DF">
        <w:rPr>
          <w:rFonts w:ascii="Verdana" w:eastAsia="Aptos" w:hAnsi="Verdana" w:cs="Times New Roman"/>
          <w:sz w:val="20"/>
          <w:szCs w:val="20"/>
        </w:rPr>
        <w:t>De esta forma, se tiene que, la Guía de Elaboración de Estudios del Sector en el numeral 1.3.4, propone a las Entidades Estatales los siguientes mecanismos para elaborar el estudio de precios de mercado:</w:t>
      </w:r>
      <w:r>
        <w:rPr>
          <w:rFonts w:ascii="Verdana" w:eastAsia="Aptos" w:hAnsi="Verdana" w:cs="Times New Roman"/>
          <w:sz w:val="20"/>
          <w:szCs w:val="20"/>
        </w:rPr>
        <w:t xml:space="preserve"> i</w:t>
      </w:r>
      <w:r w:rsidRPr="00A562DF">
        <w:rPr>
          <w:rFonts w:ascii="Verdana" w:eastAsia="Aptos" w:hAnsi="Verdana" w:cs="Times New Roman"/>
          <w:sz w:val="20"/>
          <w:szCs w:val="20"/>
        </w:rPr>
        <w:t>) Revisión de precios por solicitud de cotizaciones</w:t>
      </w:r>
      <w:r>
        <w:rPr>
          <w:rFonts w:ascii="Verdana" w:eastAsia="Aptos" w:hAnsi="Verdana" w:cs="Times New Roman"/>
          <w:sz w:val="20"/>
          <w:szCs w:val="20"/>
        </w:rPr>
        <w:t xml:space="preserve"> […]. ii) </w:t>
      </w:r>
      <w:r w:rsidRPr="00A562DF">
        <w:rPr>
          <w:rFonts w:ascii="Verdana" w:eastAsia="Aptos" w:hAnsi="Verdana" w:cs="Times New Roman"/>
          <w:sz w:val="20"/>
          <w:szCs w:val="20"/>
        </w:rPr>
        <w:t>verificarse la ocurrencia de circunstancias que eventualmente pueden distorsionar los precios del mercado</w:t>
      </w:r>
      <w:r>
        <w:rPr>
          <w:rFonts w:ascii="Verdana" w:eastAsia="Aptos" w:hAnsi="Verdana" w:cs="Times New Roman"/>
          <w:sz w:val="20"/>
          <w:szCs w:val="20"/>
        </w:rPr>
        <w:t xml:space="preserve"> […]. iii)</w:t>
      </w:r>
      <w:r w:rsidRPr="00A562DF">
        <w:t xml:space="preserve"> </w:t>
      </w:r>
      <w:r w:rsidRPr="00A562DF">
        <w:rPr>
          <w:rFonts w:ascii="Verdana" w:eastAsia="Aptos" w:hAnsi="Verdana" w:cs="Times New Roman"/>
          <w:sz w:val="20"/>
          <w:szCs w:val="20"/>
        </w:rPr>
        <w:t>Revisión de bases de datos especializadas</w:t>
      </w:r>
      <w:r>
        <w:rPr>
          <w:rFonts w:ascii="Verdana" w:eastAsia="Aptos" w:hAnsi="Verdana" w:cs="Times New Roman"/>
          <w:sz w:val="20"/>
          <w:szCs w:val="20"/>
        </w:rPr>
        <w:t>. iv)</w:t>
      </w:r>
      <w:r w:rsidRPr="0039462C">
        <w:t xml:space="preserve"> </w:t>
      </w:r>
      <w:r w:rsidRPr="0039462C">
        <w:rPr>
          <w:rFonts w:ascii="Verdana" w:eastAsia="Aptos" w:hAnsi="Verdana" w:cs="Times New Roman"/>
          <w:sz w:val="20"/>
          <w:szCs w:val="20"/>
        </w:rPr>
        <w:t>Revisión de precios históricos</w:t>
      </w:r>
      <w:r>
        <w:rPr>
          <w:rFonts w:ascii="Verdana" w:eastAsia="Aptos" w:hAnsi="Verdana" w:cs="Times New Roman"/>
          <w:sz w:val="20"/>
          <w:szCs w:val="20"/>
        </w:rPr>
        <w:t xml:space="preserve"> […]</w:t>
      </w:r>
    </w:p>
    <w:p w14:paraId="5B4F4F21" w14:textId="77777777" w:rsidR="00027CA9" w:rsidRDefault="00027CA9" w:rsidP="00027CA9">
      <w:pPr>
        <w:spacing w:after="0" w:line="240" w:lineRule="auto"/>
        <w:rPr>
          <w:rFonts w:ascii="Verdana" w:eastAsia="Aptos" w:hAnsi="Verdana" w:cs="Times New Roman"/>
          <w:sz w:val="20"/>
          <w:szCs w:val="20"/>
        </w:rPr>
      </w:pPr>
    </w:p>
    <w:p w14:paraId="0C9B8832" w14:textId="77777777" w:rsidR="00027CA9" w:rsidRDefault="00027CA9" w:rsidP="00027CA9">
      <w:pPr>
        <w:spacing w:after="0" w:line="240" w:lineRule="auto"/>
        <w:rPr>
          <w:rFonts w:ascii="Verdana" w:eastAsia="Aptos" w:hAnsi="Verdana" w:cs="Times New Roman"/>
          <w:sz w:val="20"/>
          <w:szCs w:val="20"/>
        </w:rPr>
      </w:pPr>
    </w:p>
    <w:p w14:paraId="45C4AC86" w14:textId="77777777" w:rsidR="00027CA9" w:rsidRDefault="00027CA9" w:rsidP="00027CA9">
      <w:pPr>
        <w:spacing w:after="0" w:line="240" w:lineRule="auto"/>
        <w:rPr>
          <w:rFonts w:ascii="Verdana" w:eastAsia="Aptos" w:hAnsi="Verdana" w:cs="Times New Roman"/>
          <w:sz w:val="20"/>
          <w:szCs w:val="20"/>
        </w:rPr>
      </w:pPr>
    </w:p>
    <w:p w14:paraId="251B59A9" w14:textId="77777777" w:rsidR="00027CA9" w:rsidRDefault="00027CA9" w:rsidP="00027CA9">
      <w:pPr>
        <w:spacing w:after="0" w:line="240" w:lineRule="auto"/>
        <w:rPr>
          <w:rFonts w:ascii="Verdana" w:eastAsia="Aptos" w:hAnsi="Verdana" w:cs="Times New Roman"/>
          <w:sz w:val="20"/>
          <w:szCs w:val="20"/>
        </w:rPr>
      </w:pPr>
    </w:p>
    <w:p w14:paraId="43B81806" w14:textId="77777777" w:rsidR="00975AEF" w:rsidRDefault="00975AEF" w:rsidP="00D32067">
      <w:pPr>
        <w:spacing w:after="0" w:line="240" w:lineRule="auto"/>
        <w:rPr>
          <w:rFonts w:ascii="Verdana" w:eastAsia="Geomanist Light" w:hAnsi="Verdana" w:cs="Arial"/>
          <w:color w:val="000000" w:themeColor="text1"/>
        </w:rPr>
      </w:pPr>
    </w:p>
    <w:p w14:paraId="76E62873" w14:textId="77777777" w:rsidR="00975AEF" w:rsidRDefault="00975AEF" w:rsidP="00D32067">
      <w:pPr>
        <w:spacing w:after="0" w:line="240" w:lineRule="auto"/>
        <w:rPr>
          <w:rFonts w:ascii="Verdana" w:eastAsia="Geomanist Light" w:hAnsi="Verdana" w:cs="Arial"/>
          <w:color w:val="000000" w:themeColor="text1"/>
        </w:rPr>
      </w:pPr>
    </w:p>
    <w:p w14:paraId="10EAFD66" w14:textId="77777777" w:rsidR="00975AEF" w:rsidRDefault="00975AEF" w:rsidP="00D32067">
      <w:pPr>
        <w:spacing w:after="0" w:line="240" w:lineRule="auto"/>
        <w:rPr>
          <w:rFonts w:ascii="Verdana" w:eastAsia="Geomanist Light" w:hAnsi="Verdana" w:cs="Arial"/>
          <w:color w:val="000000" w:themeColor="text1"/>
        </w:rPr>
      </w:pPr>
    </w:p>
    <w:p w14:paraId="24761EA6" w14:textId="77777777" w:rsidR="00975AEF" w:rsidRDefault="00975AEF" w:rsidP="00D32067">
      <w:pPr>
        <w:spacing w:after="0" w:line="240" w:lineRule="auto"/>
        <w:rPr>
          <w:rFonts w:ascii="Verdana" w:eastAsia="Geomanist Light" w:hAnsi="Verdana" w:cs="Arial"/>
          <w:color w:val="000000" w:themeColor="text1"/>
        </w:rPr>
      </w:pPr>
    </w:p>
    <w:p w14:paraId="45441FC6" w14:textId="77777777" w:rsidR="00975AEF" w:rsidRDefault="00975AEF" w:rsidP="00D32067">
      <w:pPr>
        <w:spacing w:after="0" w:line="240" w:lineRule="auto"/>
        <w:rPr>
          <w:rFonts w:ascii="Verdana" w:eastAsia="Geomanist Light" w:hAnsi="Verdana" w:cs="Arial"/>
          <w:color w:val="000000" w:themeColor="text1"/>
        </w:rPr>
      </w:pPr>
    </w:p>
    <w:p w14:paraId="16724DFC" w14:textId="77777777" w:rsidR="00975AEF" w:rsidRDefault="00975AEF" w:rsidP="00D32067">
      <w:pPr>
        <w:spacing w:after="0" w:line="240" w:lineRule="auto"/>
        <w:rPr>
          <w:rFonts w:ascii="Verdana" w:eastAsia="Geomanist Light" w:hAnsi="Verdana" w:cs="Arial"/>
          <w:color w:val="000000" w:themeColor="text1"/>
        </w:rPr>
      </w:pPr>
    </w:p>
    <w:p w14:paraId="70FD5854" w14:textId="77777777" w:rsidR="00975AEF" w:rsidRDefault="00975AEF" w:rsidP="00D32067">
      <w:pPr>
        <w:spacing w:after="0" w:line="240" w:lineRule="auto"/>
        <w:rPr>
          <w:rFonts w:ascii="Verdana" w:eastAsia="Geomanist Light" w:hAnsi="Verdana" w:cs="Arial"/>
          <w:color w:val="000000" w:themeColor="text1"/>
        </w:rPr>
      </w:pPr>
    </w:p>
    <w:p w14:paraId="2929B420" w14:textId="77777777" w:rsidR="00975AEF" w:rsidRDefault="00975AEF" w:rsidP="00D32067">
      <w:pPr>
        <w:spacing w:after="0" w:line="240" w:lineRule="auto"/>
        <w:rPr>
          <w:rFonts w:ascii="Verdana" w:eastAsia="Geomanist Light" w:hAnsi="Verdana" w:cs="Arial"/>
          <w:color w:val="000000" w:themeColor="text1"/>
        </w:rPr>
      </w:pPr>
    </w:p>
    <w:p w14:paraId="757FD938" w14:textId="77777777" w:rsidR="00975AEF" w:rsidRDefault="00975AEF" w:rsidP="00D32067">
      <w:pPr>
        <w:spacing w:after="0" w:line="240" w:lineRule="auto"/>
        <w:rPr>
          <w:rFonts w:ascii="Verdana" w:eastAsia="Geomanist Light" w:hAnsi="Verdana" w:cs="Arial"/>
          <w:color w:val="000000" w:themeColor="text1"/>
        </w:rPr>
      </w:pPr>
    </w:p>
    <w:p w14:paraId="2AA31E31" w14:textId="77777777" w:rsidR="00975AEF" w:rsidRDefault="00975AEF" w:rsidP="00D32067">
      <w:pPr>
        <w:spacing w:after="0" w:line="240" w:lineRule="auto"/>
        <w:rPr>
          <w:rFonts w:ascii="Verdana" w:eastAsia="Geomanist Light" w:hAnsi="Verdana" w:cs="Arial"/>
          <w:color w:val="000000" w:themeColor="text1"/>
        </w:rPr>
      </w:pPr>
    </w:p>
    <w:p w14:paraId="36D20497" w14:textId="77777777" w:rsidR="00975AEF" w:rsidRDefault="00975AEF" w:rsidP="00D32067">
      <w:pPr>
        <w:spacing w:after="0" w:line="240" w:lineRule="auto"/>
        <w:rPr>
          <w:rFonts w:ascii="Verdana" w:eastAsia="Geomanist Light" w:hAnsi="Verdana" w:cs="Arial"/>
          <w:color w:val="000000" w:themeColor="text1"/>
        </w:rPr>
      </w:pPr>
    </w:p>
    <w:p w14:paraId="4FFFC8D3" w14:textId="77777777" w:rsidR="00975AEF" w:rsidRDefault="00975AEF" w:rsidP="00D32067">
      <w:pPr>
        <w:spacing w:after="0" w:line="240" w:lineRule="auto"/>
        <w:rPr>
          <w:rFonts w:ascii="Verdana" w:eastAsia="Geomanist Light" w:hAnsi="Verdana" w:cs="Arial"/>
          <w:color w:val="000000" w:themeColor="text1"/>
        </w:rPr>
      </w:pPr>
    </w:p>
    <w:p w14:paraId="7508D71F" w14:textId="77777777" w:rsidR="00975AEF" w:rsidRDefault="00975AEF" w:rsidP="00D32067">
      <w:pPr>
        <w:spacing w:after="0" w:line="240" w:lineRule="auto"/>
        <w:rPr>
          <w:rFonts w:ascii="Verdana" w:eastAsia="Geomanist Light" w:hAnsi="Verdana" w:cs="Arial"/>
          <w:color w:val="000000" w:themeColor="text1"/>
        </w:rPr>
      </w:pPr>
    </w:p>
    <w:p w14:paraId="5F9AEA77" w14:textId="77777777" w:rsidR="00975AEF" w:rsidRDefault="00975AEF" w:rsidP="00D32067">
      <w:pPr>
        <w:spacing w:after="0" w:line="240" w:lineRule="auto"/>
        <w:rPr>
          <w:rFonts w:ascii="Verdana" w:eastAsia="Geomanist Light" w:hAnsi="Verdana" w:cs="Arial"/>
          <w:color w:val="000000" w:themeColor="text1"/>
        </w:rPr>
      </w:pPr>
    </w:p>
    <w:p w14:paraId="0BA0AE0A" w14:textId="77777777" w:rsidR="00975AEF" w:rsidRDefault="00975AEF" w:rsidP="00D32067">
      <w:pPr>
        <w:spacing w:after="0" w:line="240" w:lineRule="auto"/>
        <w:rPr>
          <w:rFonts w:ascii="Verdana" w:eastAsia="Geomanist Light" w:hAnsi="Verdana" w:cs="Arial"/>
          <w:color w:val="000000" w:themeColor="text1"/>
        </w:rPr>
      </w:pPr>
    </w:p>
    <w:p w14:paraId="1D16F81B" w14:textId="77777777" w:rsidR="00975AEF" w:rsidRDefault="00975AEF" w:rsidP="00D32067">
      <w:pPr>
        <w:spacing w:after="0" w:line="240" w:lineRule="auto"/>
        <w:rPr>
          <w:rFonts w:ascii="Verdana" w:eastAsia="Geomanist Light" w:hAnsi="Verdana" w:cs="Arial"/>
          <w:color w:val="000000" w:themeColor="text1"/>
        </w:rPr>
      </w:pPr>
    </w:p>
    <w:p w14:paraId="44793138" w14:textId="77777777" w:rsidR="00975AEF" w:rsidRDefault="00975AEF" w:rsidP="00D32067">
      <w:pPr>
        <w:spacing w:after="0" w:line="240" w:lineRule="auto"/>
        <w:rPr>
          <w:rFonts w:ascii="Verdana" w:eastAsia="Geomanist Light" w:hAnsi="Verdana" w:cs="Arial"/>
          <w:color w:val="000000" w:themeColor="text1"/>
        </w:rPr>
      </w:pPr>
    </w:p>
    <w:p w14:paraId="66FFFCF7" w14:textId="77777777" w:rsidR="00975AEF" w:rsidRDefault="00975AEF" w:rsidP="00D32067">
      <w:pPr>
        <w:spacing w:after="0" w:line="240" w:lineRule="auto"/>
        <w:rPr>
          <w:rFonts w:ascii="Verdana" w:eastAsia="Geomanist Light" w:hAnsi="Verdana" w:cs="Arial"/>
          <w:color w:val="000000" w:themeColor="text1"/>
        </w:rPr>
      </w:pPr>
    </w:p>
    <w:p w14:paraId="4583BBC7" w14:textId="77777777" w:rsidR="00975AEF" w:rsidRDefault="00975AEF" w:rsidP="00D32067">
      <w:pPr>
        <w:spacing w:after="0" w:line="240" w:lineRule="auto"/>
        <w:rPr>
          <w:rFonts w:ascii="Verdana" w:eastAsia="Geomanist Light" w:hAnsi="Verdana" w:cs="Arial"/>
          <w:color w:val="000000" w:themeColor="text1"/>
        </w:rPr>
      </w:pPr>
    </w:p>
    <w:p w14:paraId="285B0740" w14:textId="77777777" w:rsidR="00975AEF" w:rsidRDefault="00975AEF" w:rsidP="00D32067">
      <w:pPr>
        <w:spacing w:after="0" w:line="240" w:lineRule="auto"/>
        <w:rPr>
          <w:rFonts w:ascii="Verdana" w:eastAsia="Geomanist Light" w:hAnsi="Verdana" w:cs="Arial"/>
          <w:color w:val="000000" w:themeColor="text1"/>
        </w:rPr>
      </w:pPr>
    </w:p>
    <w:p w14:paraId="62815CF5" w14:textId="77777777" w:rsidR="00975AEF" w:rsidRDefault="00975AEF" w:rsidP="00D32067">
      <w:pPr>
        <w:spacing w:after="0" w:line="240" w:lineRule="auto"/>
        <w:rPr>
          <w:rFonts w:ascii="Verdana" w:eastAsia="Geomanist Light" w:hAnsi="Verdana" w:cs="Arial"/>
          <w:color w:val="000000" w:themeColor="text1"/>
        </w:rPr>
      </w:pPr>
    </w:p>
    <w:p w14:paraId="583ECBC6" w14:textId="77777777" w:rsidR="00975AEF" w:rsidRDefault="00975AEF" w:rsidP="00D32067">
      <w:pPr>
        <w:spacing w:after="0" w:line="240" w:lineRule="auto"/>
        <w:rPr>
          <w:rFonts w:ascii="Verdana" w:eastAsia="Geomanist Light" w:hAnsi="Verdana" w:cs="Arial"/>
          <w:color w:val="000000" w:themeColor="text1"/>
        </w:rPr>
      </w:pPr>
    </w:p>
    <w:p w14:paraId="627317A7" w14:textId="77777777" w:rsidR="00975AEF" w:rsidRDefault="00975AEF" w:rsidP="00D32067">
      <w:pPr>
        <w:spacing w:after="0" w:line="240" w:lineRule="auto"/>
        <w:rPr>
          <w:rFonts w:ascii="Verdana" w:eastAsia="Geomanist Light" w:hAnsi="Verdana" w:cs="Arial"/>
          <w:color w:val="000000" w:themeColor="text1"/>
        </w:rPr>
      </w:pPr>
    </w:p>
    <w:p w14:paraId="063B27BA" w14:textId="77777777" w:rsidR="00975AEF" w:rsidRDefault="00975AEF" w:rsidP="00D32067">
      <w:pPr>
        <w:spacing w:after="0" w:line="240" w:lineRule="auto"/>
        <w:rPr>
          <w:rFonts w:ascii="Verdana" w:eastAsia="Geomanist Light" w:hAnsi="Verdana" w:cs="Arial"/>
          <w:color w:val="000000" w:themeColor="text1"/>
        </w:rPr>
      </w:pPr>
    </w:p>
    <w:p w14:paraId="29339484" w14:textId="77777777" w:rsidR="00975AEF" w:rsidRDefault="00975AEF" w:rsidP="00D32067">
      <w:pPr>
        <w:spacing w:after="0" w:line="240" w:lineRule="auto"/>
        <w:rPr>
          <w:rFonts w:ascii="Verdana" w:eastAsia="Geomanist Light" w:hAnsi="Verdana" w:cs="Arial"/>
          <w:color w:val="000000" w:themeColor="text1"/>
        </w:rPr>
      </w:pPr>
    </w:p>
    <w:p w14:paraId="227EEA2B" w14:textId="77777777" w:rsidR="00975AEF" w:rsidRDefault="00975AEF" w:rsidP="00D32067">
      <w:pPr>
        <w:spacing w:after="0" w:line="240" w:lineRule="auto"/>
        <w:rPr>
          <w:rFonts w:ascii="Verdana" w:eastAsia="Geomanist Light" w:hAnsi="Verdana" w:cs="Arial"/>
          <w:color w:val="000000" w:themeColor="text1"/>
        </w:rPr>
      </w:pPr>
    </w:p>
    <w:p w14:paraId="2A7712E3" w14:textId="77777777" w:rsidR="00975AEF" w:rsidRDefault="00975AEF" w:rsidP="00D32067">
      <w:pPr>
        <w:spacing w:after="0" w:line="240" w:lineRule="auto"/>
        <w:rPr>
          <w:rFonts w:ascii="Verdana" w:eastAsia="Geomanist Light" w:hAnsi="Verdana" w:cs="Arial"/>
          <w:color w:val="000000" w:themeColor="text1"/>
        </w:rPr>
      </w:pPr>
    </w:p>
    <w:p w14:paraId="1E1F46E8" w14:textId="77777777" w:rsidR="00975AEF" w:rsidRDefault="00975AEF" w:rsidP="00D32067">
      <w:pPr>
        <w:spacing w:after="0" w:line="240" w:lineRule="auto"/>
        <w:rPr>
          <w:rFonts w:ascii="Verdana" w:eastAsia="Geomanist Light" w:hAnsi="Verdana" w:cs="Arial"/>
          <w:color w:val="000000" w:themeColor="text1"/>
        </w:rPr>
      </w:pPr>
    </w:p>
    <w:p w14:paraId="00A9B9FF" w14:textId="77777777" w:rsidR="00975AEF" w:rsidRDefault="00975AEF" w:rsidP="00D32067">
      <w:pPr>
        <w:spacing w:after="0" w:line="240" w:lineRule="auto"/>
        <w:rPr>
          <w:rFonts w:ascii="Verdana" w:eastAsia="Geomanist Light" w:hAnsi="Verdana" w:cs="Arial"/>
          <w:color w:val="000000" w:themeColor="text1"/>
        </w:rPr>
      </w:pPr>
    </w:p>
    <w:p w14:paraId="61DC12F8" w14:textId="77777777" w:rsidR="00975AEF" w:rsidRDefault="00975AEF" w:rsidP="00D32067">
      <w:pPr>
        <w:spacing w:after="0" w:line="240" w:lineRule="auto"/>
        <w:rPr>
          <w:rFonts w:ascii="Verdana" w:eastAsia="Geomanist Light" w:hAnsi="Verdana" w:cs="Arial"/>
          <w:color w:val="000000" w:themeColor="text1"/>
        </w:rPr>
      </w:pPr>
    </w:p>
    <w:p w14:paraId="416605FF" w14:textId="5BE7C9BA" w:rsidR="00D32067" w:rsidRDefault="00D32067" w:rsidP="00D32067">
      <w:pPr>
        <w:spacing w:after="0" w:line="240" w:lineRule="auto"/>
        <w:rPr>
          <w:rFonts w:ascii="Verdana" w:eastAsia="Geomanist Light" w:hAnsi="Verdana" w:cs="Arial"/>
          <w:color w:val="201F1E"/>
        </w:rPr>
      </w:pPr>
      <w:r w:rsidRPr="00D32067">
        <w:rPr>
          <w:rFonts w:ascii="Verdana" w:eastAsia="Geomanist Light" w:hAnsi="Verdana" w:cs="Arial"/>
          <w:color w:val="000000" w:themeColor="text1"/>
        </w:rPr>
        <w:lastRenderedPageBreak/>
        <w:t>Bogotá D.C., </w:t>
      </w:r>
      <w:r w:rsidR="00096B0C">
        <w:rPr>
          <w:rFonts w:ascii="Verdana" w:eastAsia="Geomanist Light" w:hAnsi="Verdana" w:cs="Arial"/>
          <w:color w:val="201F1E"/>
        </w:rPr>
        <w:t>18 de marzo de 2025</w:t>
      </w:r>
    </w:p>
    <w:p w14:paraId="2E5BCAC6" w14:textId="77777777" w:rsidR="00096B0C" w:rsidRPr="00D32067" w:rsidRDefault="00096B0C" w:rsidP="00D32067">
      <w:pPr>
        <w:spacing w:after="0" w:line="240" w:lineRule="auto"/>
        <w:rPr>
          <w:rFonts w:ascii="Verdana" w:eastAsia="Geomanist Light" w:hAnsi="Verdana" w:cs="Arial"/>
          <w:color w:val="201F1E"/>
        </w:rPr>
      </w:pPr>
    </w:p>
    <w:p w14:paraId="0200F20A" w14:textId="2C027013" w:rsidR="00D32067" w:rsidRPr="00D32067" w:rsidRDefault="00096B0C" w:rsidP="00096B0C">
      <w:pPr>
        <w:spacing w:after="0" w:line="240" w:lineRule="auto"/>
        <w:jc w:val="right"/>
        <w:rPr>
          <w:rFonts w:ascii="Verdana" w:eastAsia="Calibri" w:hAnsi="Verdana" w:cs="Arial"/>
          <w:color w:val="000000"/>
        </w:rPr>
      </w:pPr>
      <w:r w:rsidRPr="00096B0C">
        <w:rPr>
          <w:rFonts w:ascii="Verdana" w:eastAsia="Calibri" w:hAnsi="Verdana" w:cs="Arial"/>
          <w:noProof/>
          <w:color w:val="000000"/>
        </w:rPr>
        <w:drawing>
          <wp:inline distT="0" distB="0" distL="0" distR="0" wp14:anchorId="5DA84785" wp14:editId="08460156">
            <wp:extent cx="2743200" cy="929640"/>
            <wp:effectExtent l="0" t="0" r="0" b="3810"/>
            <wp:docPr id="5317210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43200" cy="929640"/>
                    </a:xfrm>
                    <a:prstGeom prst="rect">
                      <a:avLst/>
                    </a:prstGeom>
                    <a:noFill/>
                    <a:ln>
                      <a:noFill/>
                    </a:ln>
                  </pic:spPr>
                </pic:pic>
              </a:graphicData>
            </a:graphic>
          </wp:inline>
        </w:drawing>
      </w:r>
    </w:p>
    <w:p w14:paraId="79521A68" w14:textId="77777777" w:rsidR="00D32067" w:rsidRPr="00D32067" w:rsidRDefault="00D32067" w:rsidP="00D32067">
      <w:pPr>
        <w:spacing w:after="0" w:line="240" w:lineRule="auto"/>
        <w:jc w:val="both"/>
        <w:rPr>
          <w:rFonts w:ascii="Verdana" w:eastAsia="Calibri" w:hAnsi="Verdana" w:cs="Arial"/>
          <w:color w:val="000000"/>
        </w:rPr>
      </w:pPr>
    </w:p>
    <w:p w14:paraId="5DCC1180" w14:textId="77777777" w:rsidR="00D32067" w:rsidRPr="00D32067" w:rsidRDefault="00D32067" w:rsidP="00D32067">
      <w:pPr>
        <w:spacing w:after="0" w:line="240" w:lineRule="auto"/>
        <w:jc w:val="both"/>
        <w:rPr>
          <w:rFonts w:ascii="Verdana" w:eastAsia="Calibri" w:hAnsi="Verdana" w:cs="Arial"/>
          <w:lang w:eastAsia="es-ES"/>
        </w:rPr>
      </w:pPr>
      <w:r w:rsidRPr="00D32067">
        <w:rPr>
          <w:rFonts w:ascii="Verdana" w:eastAsia="Calibri" w:hAnsi="Verdana" w:cs="Arial"/>
          <w:lang w:eastAsia="es-ES"/>
        </w:rPr>
        <w:t>Señor</w:t>
      </w:r>
    </w:p>
    <w:p w14:paraId="78C846DE" w14:textId="77777777" w:rsidR="00D32067" w:rsidRPr="00D32067" w:rsidRDefault="00D32067" w:rsidP="00D32067">
      <w:pPr>
        <w:spacing w:after="0" w:line="240" w:lineRule="auto"/>
        <w:rPr>
          <w:rFonts w:ascii="Verdana" w:eastAsia="Calibri" w:hAnsi="Verdana" w:cs="Arial"/>
          <w:b/>
          <w:lang w:eastAsia="es-ES"/>
        </w:rPr>
      </w:pPr>
      <w:r w:rsidRPr="00D32067">
        <w:rPr>
          <w:rFonts w:ascii="Verdana" w:eastAsia="Calibri" w:hAnsi="Verdana" w:cs="Arial"/>
          <w:b/>
          <w:lang w:eastAsia="es-ES"/>
        </w:rPr>
        <w:t>Javier Gonzalo Fernández Bolañoz</w:t>
      </w:r>
    </w:p>
    <w:p w14:paraId="3653BE04" w14:textId="77777777" w:rsidR="00D32067" w:rsidRPr="00D32067" w:rsidRDefault="00D32067" w:rsidP="00D32067">
      <w:pPr>
        <w:spacing w:after="0" w:line="240" w:lineRule="auto"/>
        <w:rPr>
          <w:rFonts w:ascii="Verdana" w:eastAsia="Calibri" w:hAnsi="Verdana" w:cs="Arial"/>
          <w:bCs/>
          <w:lang w:eastAsia="es-ES"/>
        </w:rPr>
      </w:pPr>
      <w:r w:rsidRPr="00D32067">
        <w:rPr>
          <w:rFonts w:ascii="Verdana" w:eastAsia="Calibri" w:hAnsi="Verdana" w:cs="Arial"/>
          <w:bCs/>
          <w:lang w:eastAsia="es-ES"/>
        </w:rPr>
        <w:t>Subdirección de Servicios Administrativos</w:t>
      </w:r>
    </w:p>
    <w:p w14:paraId="45AD7399" w14:textId="77777777" w:rsidR="00D32067" w:rsidRPr="00D32067" w:rsidRDefault="00D32067" w:rsidP="00D32067">
      <w:pPr>
        <w:spacing w:after="0" w:line="240" w:lineRule="auto"/>
        <w:rPr>
          <w:rFonts w:ascii="Verdana" w:eastAsia="Calibri" w:hAnsi="Verdana" w:cs="Arial"/>
          <w:b/>
          <w:lang w:eastAsia="es-ES"/>
        </w:rPr>
      </w:pPr>
      <w:r w:rsidRPr="00D32067">
        <w:rPr>
          <w:rFonts w:ascii="Verdana" w:eastAsia="Calibri" w:hAnsi="Verdana" w:cs="Arial"/>
          <w:b/>
          <w:lang w:eastAsia="es-ES"/>
        </w:rPr>
        <w:t>Secretaría General de la Alcaldía Mayor de Bogotá</w:t>
      </w:r>
    </w:p>
    <w:p w14:paraId="2A388DC0" w14:textId="77777777" w:rsidR="00D32067" w:rsidRPr="00D32067" w:rsidRDefault="00D32067" w:rsidP="00D32067">
      <w:pPr>
        <w:spacing w:after="0" w:line="240" w:lineRule="auto"/>
        <w:rPr>
          <w:rFonts w:ascii="Verdana" w:eastAsia="Calibri" w:hAnsi="Verdana" w:cs="Arial"/>
          <w:bCs/>
          <w:lang w:eastAsia="es-ES"/>
        </w:rPr>
      </w:pPr>
      <w:hyperlink r:id="rId12" w:history="1">
        <w:r w:rsidRPr="00D32067">
          <w:rPr>
            <w:rFonts w:ascii="Verdana" w:eastAsia="Calibri" w:hAnsi="Verdana" w:cs="Arial"/>
            <w:bCs/>
            <w:color w:val="0563C1" w:themeColor="hyperlink"/>
            <w:u w:val="single"/>
            <w:lang w:eastAsia="es-ES"/>
          </w:rPr>
          <w:t>jgfernandez@alcaldiabogota.gov.co</w:t>
        </w:r>
      </w:hyperlink>
      <w:r w:rsidRPr="00D32067">
        <w:rPr>
          <w:rFonts w:ascii="Verdana" w:eastAsia="Calibri" w:hAnsi="Verdana" w:cs="Arial"/>
          <w:bCs/>
          <w:lang w:eastAsia="es-ES"/>
        </w:rPr>
        <w:t xml:space="preserve"> </w:t>
      </w:r>
    </w:p>
    <w:p w14:paraId="56A2B812" w14:textId="77777777" w:rsidR="00D32067" w:rsidRPr="00D32067" w:rsidRDefault="00D32067" w:rsidP="00D32067">
      <w:pPr>
        <w:spacing w:after="0" w:line="240" w:lineRule="auto"/>
        <w:rPr>
          <w:rFonts w:ascii="Verdana" w:eastAsia="Calibri" w:hAnsi="Verdana" w:cs="Arial"/>
          <w:lang w:eastAsia="es-ES"/>
        </w:rPr>
      </w:pPr>
      <w:r w:rsidRPr="00D32067">
        <w:rPr>
          <w:rFonts w:ascii="Verdana" w:hAnsi="Verdana"/>
        </w:rPr>
        <w:t xml:space="preserve">Bogotá D.C </w:t>
      </w:r>
    </w:p>
    <w:p w14:paraId="3B7C62A8" w14:textId="77777777" w:rsidR="00D32067" w:rsidRPr="00D32067" w:rsidRDefault="00D32067" w:rsidP="00D32067">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32067" w:rsidRPr="00D32067" w14:paraId="2A1EC4D5" w14:textId="77777777" w:rsidTr="00ED423A">
        <w:trPr>
          <w:trHeight w:val="630"/>
        </w:trPr>
        <w:tc>
          <w:tcPr>
            <w:tcW w:w="2689" w:type="dxa"/>
          </w:tcPr>
          <w:p w14:paraId="2DE191E3" w14:textId="77777777" w:rsidR="00D32067" w:rsidRPr="00D32067" w:rsidRDefault="00D32067" w:rsidP="00D32067">
            <w:pPr>
              <w:jc w:val="both"/>
              <w:rPr>
                <w:rFonts w:ascii="Verdana" w:eastAsia="Calibri" w:hAnsi="Verdana" w:cs="Arial"/>
                <w:b/>
                <w:bCs/>
                <w:color w:val="7030A0"/>
                <w:lang w:eastAsia="es-ES_tradnl"/>
              </w:rPr>
            </w:pPr>
          </w:p>
        </w:tc>
        <w:tc>
          <w:tcPr>
            <w:tcW w:w="6100" w:type="dxa"/>
          </w:tcPr>
          <w:p w14:paraId="41A6768D" w14:textId="77777777" w:rsidR="00D32067" w:rsidRPr="00D32067" w:rsidRDefault="00D32067" w:rsidP="00D32067">
            <w:pPr>
              <w:jc w:val="both"/>
              <w:rPr>
                <w:rFonts w:ascii="Verdana" w:eastAsia="Calibri" w:hAnsi="Verdana" w:cs="Arial"/>
                <w:b/>
                <w:bCs/>
                <w:lang w:eastAsia="es-ES"/>
              </w:rPr>
            </w:pPr>
            <w:r w:rsidRPr="00D32067">
              <w:rPr>
                <w:rFonts w:ascii="Verdana" w:eastAsia="Calibri" w:hAnsi="Verdana" w:cs="Arial"/>
                <w:b/>
                <w:bCs/>
                <w:lang w:eastAsia="es-ES"/>
              </w:rPr>
              <w:t>Concepto C – 154 de 2025</w:t>
            </w:r>
          </w:p>
        </w:tc>
      </w:tr>
      <w:tr w:rsidR="00D32067" w:rsidRPr="00D32067" w14:paraId="1938AF01" w14:textId="77777777" w:rsidTr="00ED423A">
        <w:trPr>
          <w:trHeight w:val="884"/>
        </w:trPr>
        <w:tc>
          <w:tcPr>
            <w:tcW w:w="2689" w:type="dxa"/>
          </w:tcPr>
          <w:p w14:paraId="7971EF66" w14:textId="77777777" w:rsidR="00D32067" w:rsidRPr="00D32067" w:rsidRDefault="00D32067" w:rsidP="00D32067">
            <w:pPr>
              <w:jc w:val="both"/>
              <w:rPr>
                <w:rFonts w:ascii="Verdana" w:eastAsia="Calibri" w:hAnsi="Verdana" w:cs="Arial"/>
                <w:color w:val="000000"/>
                <w:lang w:eastAsia="es-ES_tradnl"/>
              </w:rPr>
            </w:pPr>
            <w:r w:rsidRPr="00D32067">
              <w:rPr>
                <w:rFonts w:ascii="Verdana" w:eastAsia="Calibri" w:hAnsi="Verdana" w:cs="Arial"/>
                <w:b/>
                <w:color w:val="000000"/>
                <w:lang w:eastAsia="es-ES_tradnl"/>
              </w:rPr>
              <w:t>Temas:</w:t>
            </w:r>
            <w:r w:rsidRPr="00D32067">
              <w:rPr>
                <w:rFonts w:ascii="Verdana" w:eastAsia="Calibri" w:hAnsi="Verdana" w:cs="Arial"/>
                <w:color w:val="000000"/>
                <w:lang w:eastAsia="es-ES_tradnl"/>
              </w:rPr>
              <w:t xml:space="preserve">                   </w:t>
            </w:r>
          </w:p>
        </w:tc>
        <w:tc>
          <w:tcPr>
            <w:tcW w:w="6100" w:type="dxa"/>
          </w:tcPr>
          <w:p w14:paraId="700F623D" w14:textId="4BBB8E4B" w:rsidR="00D32067" w:rsidRPr="00664753" w:rsidRDefault="00D32067" w:rsidP="00D32067">
            <w:pPr>
              <w:spacing w:line="276" w:lineRule="auto"/>
              <w:jc w:val="both"/>
              <w:rPr>
                <w:rFonts w:ascii="Verdana" w:eastAsia="Calibri" w:hAnsi="Verdana" w:cs="Arial"/>
                <w:lang w:val="es-ES" w:eastAsia="es-ES"/>
              </w:rPr>
            </w:pPr>
            <w:r w:rsidRPr="00D32067">
              <w:rPr>
                <w:rFonts w:ascii="Verdana" w:eastAsia="Calibri" w:hAnsi="Verdana" w:cs="Arial"/>
                <w:lang w:val="es-ES" w:eastAsia="es-ES"/>
              </w:rPr>
              <w:t>PLANEACIÓN CONTRACTUAL – Noción – Obligación de las entidades – Ley 80 de 1993 / ESTUDIOS PREVIOS – Finalidad / ESTUDIOS DE MERCADO – Finalidad – Recomendaciones – Colombia compra eficiente – Guía de elaboración de estudios del sector</w:t>
            </w:r>
          </w:p>
        </w:tc>
      </w:tr>
      <w:tr w:rsidR="00D32067" w:rsidRPr="00D32067" w14:paraId="241935A2" w14:textId="77777777" w:rsidTr="00ED423A">
        <w:tc>
          <w:tcPr>
            <w:tcW w:w="2689" w:type="dxa"/>
          </w:tcPr>
          <w:p w14:paraId="2E9E821F" w14:textId="77777777" w:rsidR="00D32067" w:rsidRPr="00D32067" w:rsidRDefault="00D32067" w:rsidP="00D32067">
            <w:pPr>
              <w:jc w:val="both"/>
              <w:rPr>
                <w:rFonts w:ascii="Verdana" w:eastAsia="Calibri" w:hAnsi="Verdana" w:cs="Arial"/>
                <w:b/>
                <w:lang w:eastAsia="es-ES_tradnl"/>
              </w:rPr>
            </w:pPr>
            <w:r w:rsidRPr="00D32067">
              <w:rPr>
                <w:rFonts w:ascii="Verdana" w:eastAsia="Calibri" w:hAnsi="Verdana" w:cs="Arial"/>
                <w:b/>
                <w:lang w:eastAsia="es-ES_tradnl"/>
              </w:rPr>
              <w:t>Radicación:</w:t>
            </w:r>
            <w:r w:rsidRPr="00D32067">
              <w:rPr>
                <w:rFonts w:ascii="Verdana" w:eastAsia="Calibri" w:hAnsi="Verdana" w:cs="Arial"/>
                <w:lang w:eastAsia="es-ES_tradnl"/>
              </w:rPr>
              <w:t xml:space="preserve">               </w:t>
            </w:r>
          </w:p>
        </w:tc>
        <w:tc>
          <w:tcPr>
            <w:tcW w:w="6100" w:type="dxa"/>
          </w:tcPr>
          <w:p w14:paraId="11F2A10D" w14:textId="77777777" w:rsidR="00D32067" w:rsidRPr="00D32067" w:rsidRDefault="00D32067" w:rsidP="00D32067">
            <w:pPr>
              <w:jc w:val="both"/>
              <w:rPr>
                <w:rFonts w:ascii="Verdana" w:eastAsia="Calibri" w:hAnsi="Verdana" w:cs="Arial"/>
                <w:lang w:eastAsia="es-ES_tradnl"/>
              </w:rPr>
            </w:pPr>
            <w:r w:rsidRPr="00D32067">
              <w:rPr>
                <w:rFonts w:ascii="Verdana" w:eastAsia="Calibri" w:hAnsi="Verdana" w:cs="Arial"/>
                <w:lang w:eastAsia="es-ES_tradnl"/>
              </w:rPr>
              <w:t xml:space="preserve">Respuesta a la consulta con radicado No.  P20250210001209                                 </w:t>
            </w:r>
          </w:p>
        </w:tc>
      </w:tr>
    </w:tbl>
    <w:p w14:paraId="762B4D62" w14:textId="77777777" w:rsidR="00D32067" w:rsidRPr="00D32067" w:rsidRDefault="00D32067" w:rsidP="00D32067">
      <w:pPr>
        <w:spacing w:after="0" w:line="240" w:lineRule="auto"/>
        <w:jc w:val="both"/>
        <w:rPr>
          <w:rFonts w:ascii="Verdana" w:eastAsia="Calibri" w:hAnsi="Verdana" w:cs="Arial"/>
          <w:color w:val="000000"/>
          <w:lang w:eastAsia="es-ES_tradnl"/>
        </w:rPr>
      </w:pPr>
    </w:p>
    <w:p w14:paraId="76449804" w14:textId="77777777" w:rsidR="00D32067" w:rsidRPr="00D32067" w:rsidRDefault="00D32067" w:rsidP="00D32067">
      <w:pPr>
        <w:spacing w:after="0" w:line="240" w:lineRule="auto"/>
        <w:jc w:val="both"/>
        <w:rPr>
          <w:rFonts w:ascii="Verdana" w:eastAsia="Calibri" w:hAnsi="Verdana" w:cs="Arial"/>
          <w:color w:val="000000"/>
          <w:lang w:eastAsia="es-ES_tradnl"/>
        </w:rPr>
      </w:pPr>
    </w:p>
    <w:p w14:paraId="4088D58D" w14:textId="77777777" w:rsidR="00D32067" w:rsidRPr="00D32067" w:rsidRDefault="00D32067" w:rsidP="00D32067">
      <w:pPr>
        <w:spacing w:after="0" w:line="276" w:lineRule="auto"/>
        <w:jc w:val="both"/>
        <w:rPr>
          <w:rFonts w:ascii="Verdana" w:eastAsia="Calibri" w:hAnsi="Verdana" w:cs="Arial"/>
          <w:lang w:eastAsia="es-ES"/>
        </w:rPr>
      </w:pPr>
      <w:r w:rsidRPr="00D32067">
        <w:rPr>
          <w:rFonts w:ascii="Verdana" w:eastAsia="Calibri" w:hAnsi="Verdana" w:cs="Arial"/>
          <w:lang w:eastAsia="es-ES"/>
        </w:rPr>
        <w:t xml:space="preserve">Estimado señor Fernández Bolañoz: </w:t>
      </w:r>
    </w:p>
    <w:p w14:paraId="5C75650D" w14:textId="77777777" w:rsidR="00D32067" w:rsidRPr="00D32067" w:rsidRDefault="00D32067" w:rsidP="00D32067">
      <w:pPr>
        <w:tabs>
          <w:tab w:val="left" w:pos="3768"/>
        </w:tabs>
        <w:spacing w:after="0" w:line="276" w:lineRule="auto"/>
        <w:jc w:val="both"/>
        <w:rPr>
          <w:rFonts w:ascii="Verdana" w:eastAsia="Calibri" w:hAnsi="Verdana" w:cs="Arial"/>
          <w:color w:val="000000" w:themeColor="text1"/>
          <w:lang w:eastAsia="es-ES"/>
        </w:rPr>
      </w:pPr>
      <w:r w:rsidRPr="00D32067">
        <w:rPr>
          <w:rFonts w:ascii="Verdana" w:eastAsia="Calibri" w:hAnsi="Verdana" w:cs="Arial"/>
          <w:color w:val="000000" w:themeColor="text1"/>
          <w:lang w:eastAsia="es-ES"/>
        </w:rPr>
        <w:tab/>
      </w:r>
    </w:p>
    <w:p w14:paraId="1EB293F8" w14:textId="77777777" w:rsidR="00D32067" w:rsidRPr="00D32067" w:rsidRDefault="00D32067" w:rsidP="00D32067">
      <w:pPr>
        <w:spacing w:after="120" w:line="276" w:lineRule="auto"/>
        <w:jc w:val="both"/>
        <w:rPr>
          <w:rFonts w:ascii="Verdana" w:eastAsia="Calibri" w:hAnsi="Verdana" w:cs="Arial"/>
          <w:lang w:eastAsia="es-ES"/>
        </w:rPr>
      </w:pPr>
      <w:r w:rsidRPr="00D32067">
        <w:rPr>
          <w:rFonts w:ascii="Verdana" w:eastAsia="Calibri" w:hAnsi="Verdana" w:cs="Arial"/>
          <w:color w:val="000000" w:themeColor="text1"/>
          <w:lang w:eastAsia="es-ES"/>
        </w:rPr>
        <w:t>En ejercicio de la competencia otorgada por los artículos 3, numeral 5º, y 11, numeral 8º, del Decreto Ley 4170 de 2011,</w:t>
      </w:r>
      <w:r w:rsidRPr="00D32067">
        <w:rPr>
          <w:rFonts w:ascii="Verdana" w:eastAsia="Arial MT" w:hAnsi="Verdana" w:cs="Arial MT"/>
          <w:lang w:eastAsia="es-ES"/>
        </w:rPr>
        <w:t xml:space="preserve"> </w:t>
      </w:r>
      <w:r w:rsidRPr="00D32067">
        <w:rPr>
          <w:rFonts w:ascii="Verdana" w:hAnsi="Verdana" w:cs="Arial"/>
        </w:rPr>
        <w:t xml:space="preserve">así como lo establecido en el artículo 4 de la Resolución 1707 de 2018 expedida por esta Entidad, </w:t>
      </w:r>
      <w:r w:rsidRPr="00D32067">
        <w:rPr>
          <w:rFonts w:ascii="Verdana" w:eastAsia="Calibri" w:hAnsi="Verdana" w:cs="Arial"/>
          <w:color w:val="000000" w:themeColor="text1"/>
          <w:lang w:eastAsia="es-ES"/>
        </w:rPr>
        <w:t>la Agencia Nacional de Contratación Pública – Colombia Compra Eficiente responde su solicitud del 10</w:t>
      </w:r>
      <w:r w:rsidRPr="00D32067">
        <w:rPr>
          <w:rFonts w:ascii="Verdana" w:eastAsia="Calibri" w:hAnsi="Verdana" w:cs="Arial"/>
          <w:lang w:eastAsia="es-ES"/>
        </w:rPr>
        <w:t xml:space="preserve"> de febrero de 2025, en la cual consulta sobre lo siguiente:</w:t>
      </w:r>
      <w:r w:rsidRPr="00D32067">
        <w:rPr>
          <w:rFonts w:ascii="Verdana" w:eastAsia="Calibri" w:hAnsi="Verdana" w:cs="Arial"/>
          <w:i/>
          <w:iCs/>
          <w:lang w:eastAsia="es-ES"/>
        </w:rPr>
        <w:t xml:space="preserve"> </w:t>
      </w:r>
      <w:bookmarkStart w:id="1" w:name="_Hlk95313578"/>
      <w:r w:rsidRPr="00D32067">
        <w:rPr>
          <w:rFonts w:ascii="Verdana" w:eastAsia="Arial" w:hAnsi="Verdana" w:cs="Arial"/>
          <w:i/>
          <w:iCs/>
          <w:color w:val="000000"/>
        </w:rPr>
        <w:t>“</w:t>
      </w:r>
      <w:bookmarkEnd w:id="1"/>
      <w:r w:rsidRPr="00D32067">
        <w:rPr>
          <w:rFonts w:ascii="Verdana" w:eastAsia="Arial" w:hAnsi="Verdana" w:cs="Arial"/>
          <w:i/>
          <w:iCs/>
          <w:color w:val="000000"/>
        </w:rPr>
        <w:t>La entidad puede utilizar las estructuras de costos aprobadas para cada proceso de contratación en cada vigencia antes de adjudicar el proceso contractual o la entidad está obligada a proyectar los precios históricos con los valores contratados en cada vigencia?, la pregunta busca contar con lineamientos para los diferentes procesos contractuales a realizarse en la vigencia 2025”.</w:t>
      </w:r>
    </w:p>
    <w:p w14:paraId="43E34851" w14:textId="77777777" w:rsidR="00D32067" w:rsidRPr="00D32067" w:rsidRDefault="00D32067" w:rsidP="00D32067">
      <w:pPr>
        <w:spacing w:after="120" w:line="276" w:lineRule="auto"/>
        <w:ind w:firstLine="709"/>
        <w:jc w:val="both"/>
        <w:rPr>
          <w:rFonts w:ascii="Verdana" w:eastAsia="Calibri" w:hAnsi="Verdana" w:cs="Arial"/>
          <w:color w:val="000000"/>
          <w:lang w:eastAsia="es-ES"/>
        </w:rPr>
      </w:pPr>
      <w:r w:rsidRPr="00D32067">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32067">
        <w:rPr>
          <w:rFonts w:ascii="Verdana" w:eastAsia="Calibri" w:hAnsi="Verdana" w:cs="Arial"/>
          <w:color w:val="000000"/>
          <w:szCs w:val="24"/>
          <w:lang w:eastAsia="es-ES_tradnl"/>
        </w:rPr>
        <w:tab/>
      </w:r>
    </w:p>
    <w:p w14:paraId="015A2040" w14:textId="77777777" w:rsidR="00D32067" w:rsidRPr="00D32067" w:rsidRDefault="00D32067" w:rsidP="00D32067">
      <w:pPr>
        <w:spacing w:after="0" w:line="276" w:lineRule="auto"/>
        <w:ind w:firstLine="709"/>
        <w:jc w:val="both"/>
        <w:rPr>
          <w:rFonts w:ascii="Verdana" w:eastAsia="Calibri" w:hAnsi="Verdana" w:cs="Arial"/>
          <w:color w:val="000000"/>
          <w:lang w:eastAsia="es-ES"/>
        </w:rPr>
      </w:pPr>
      <w:r w:rsidRPr="00D32067">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D32067">
        <w:rPr>
          <w:rFonts w:ascii="Verdana" w:eastAsia="Calibri" w:hAnsi="Verdana" w:cs="Arial"/>
          <w:color w:val="7030A0"/>
          <w:lang w:eastAsia="es-ES"/>
        </w:rPr>
        <w:t xml:space="preserve"> </w:t>
      </w:r>
      <w:r w:rsidRPr="00D32067">
        <w:rPr>
          <w:rFonts w:ascii="Verdana" w:eastAsia="Calibri" w:hAnsi="Verdana" w:cs="Arial"/>
          <w:color w:val="000000"/>
          <w:lang w:eastAsia="es-ES"/>
        </w:rPr>
        <w:t>problema</w:t>
      </w:r>
      <w:r w:rsidRPr="00D32067">
        <w:rPr>
          <w:rFonts w:ascii="Verdana" w:eastAsia="Calibri" w:hAnsi="Verdana" w:cs="Arial"/>
          <w:color w:val="7030A0"/>
          <w:lang w:eastAsia="es-ES"/>
        </w:rPr>
        <w:t xml:space="preserve"> </w:t>
      </w:r>
      <w:r w:rsidRPr="00D32067">
        <w:rPr>
          <w:rFonts w:ascii="Verdana" w:eastAsia="Calibri" w:hAnsi="Verdana" w:cs="Arial"/>
          <w:color w:val="000000"/>
          <w:lang w:eastAsia="es-ES"/>
        </w:rPr>
        <w:t>jurídico</w:t>
      </w:r>
      <w:r w:rsidRPr="00D32067">
        <w:rPr>
          <w:rFonts w:ascii="Verdana" w:eastAsia="Calibri" w:hAnsi="Verdana" w:cs="Arial"/>
          <w:color w:val="7030A0"/>
          <w:lang w:eastAsia="es-ES"/>
        </w:rPr>
        <w:t xml:space="preserve"> </w:t>
      </w:r>
      <w:r w:rsidRPr="00D32067">
        <w:rPr>
          <w:rFonts w:ascii="Verdana" w:eastAsia="Calibri" w:hAnsi="Verdana" w:cs="Arial"/>
          <w:color w:val="000000"/>
          <w:lang w:eastAsia="es-ES"/>
        </w:rPr>
        <w:t xml:space="preserve">de su consulta. </w:t>
      </w:r>
    </w:p>
    <w:p w14:paraId="7993DC09" w14:textId="77777777" w:rsidR="00D32067" w:rsidRPr="00D32067" w:rsidRDefault="00D32067" w:rsidP="00D32067">
      <w:pPr>
        <w:spacing w:after="0" w:line="276" w:lineRule="auto"/>
        <w:ind w:firstLine="709"/>
        <w:jc w:val="both"/>
        <w:rPr>
          <w:rFonts w:ascii="Verdana" w:eastAsia="Calibri" w:hAnsi="Verdana" w:cs="Arial"/>
          <w:color w:val="000000"/>
          <w:lang w:eastAsia="es-ES"/>
        </w:rPr>
      </w:pPr>
    </w:p>
    <w:p w14:paraId="386D4C98" w14:textId="77777777" w:rsidR="00D32067" w:rsidRPr="00D32067" w:rsidRDefault="00D32067" w:rsidP="00D32067">
      <w:pPr>
        <w:numPr>
          <w:ilvl w:val="0"/>
          <w:numId w:val="1"/>
        </w:numPr>
        <w:tabs>
          <w:tab w:val="left" w:pos="142"/>
          <w:tab w:val="left" w:pos="284"/>
        </w:tabs>
        <w:spacing w:after="0" w:line="276" w:lineRule="auto"/>
        <w:contextualSpacing/>
        <w:jc w:val="both"/>
        <w:rPr>
          <w:rFonts w:ascii="Verdana" w:eastAsia="Century Gothic" w:hAnsi="Verdana" w:cs="Century Gothic"/>
          <w:b/>
          <w:bCs/>
        </w:rPr>
      </w:pPr>
      <w:r w:rsidRPr="00D32067">
        <w:rPr>
          <w:rFonts w:ascii="Verdana" w:eastAsia="Century Gothic" w:hAnsi="Verdana" w:cs="Century Gothic"/>
          <w:b/>
          <w:bCs/>
        </w:rPr>
        <w:t>Problemas planteados:</w:t>
      </w:r>
    </w:p>
    <w:p w14:paraId="542023E2" w14:textId="77777777" w:rsidR="00D32067" w:rsidRPr="00D32067" w:rsidRDefault="00D32067" w:rsidP="00D32067">
      <w:pPr>
        <w:tabs>
          <w:tab w:val="left" w:pos="426"/>
        </w:tabs>
        <w:spacing w:after="0" w:line="276" w:lineRule="auto"/>
        <w:jc w:val="both"/>
        <w:rPr>
          <w:rFonts w:ascii="Verdana" w:eastAsia="Century Gothic" w:hAnsi="Verdana" w:cs="Century Gothic"/>
        </w:rPr>
      </w:pPr>
    </w:p>
    <w:p w14:paraId="700D6592" w14:textId="77777777" w:rsidR="00D32067" w:rsidRPr="00D32067" w:rsidRDefault="00D32067" w:rsidP="00D32067">
      <w:pPr>
        <w:spacing w:after="0" w:line="276" w:lineRule="auto"/>
        <w:jc w:val="both"/>
        <w:rPr>
          <w:rFonts w:ascii="Verdana" w:eastAsia="Century Gothic" w:hAnsi="Verdana" w:cs="Arial"/>
        </w:rPr>
      </w:pPr>
      <w:r w:rsidRPr="00D32067">
        <w:rPr>
          <w:rFonts w:ascii="Verdana" w:eastAsia="Century Gothic" w:hAnsi="Verdana" w:cs="Century Gothic"/>
        </w:rPr>
        <w:t>De acuerdo con el contenido de su solicitud, esta Agencia resolverá el siguiente problema jurídico: “¿Cómo debe estructurarse el presupuesto oficial del proceso de contratación?”</w:t>
      </w:r>
    </w:p>
    <w:p w14:paraId="4CFE9563" w14:textId="77777777" w:rsidR="00D32067" w:rsidRPr="00D32067" w:rsidRDefault="00D32067" w:rsidP="00D32067">
      <w:pPr>
        <w:spacing w:after="0" w:line="276" w:lineRule="auto"/>
        <w:jc w:val="both"/>
        <w:rPr>
          <w:rFonts w:ascii="Verdana" w:eastAsia="Calibri" w:hAnsi="Verdana" w:cs="Arial"/>
          <w:color w:val="7030A0"/>
        </w:rPr>
      </w:pPr>
    </w:p>
    <w:p w14:paraId="5DB5E0D6" w14:textId="77777777" w:rsidR="00D32067" w:rsidRPr="00D32067" w:rsidRDefault="00D32067" w:rsidP="00D32067">
      <w:pPr>
        <w:numPr>
          <w:ilvl w:val="0"/>
          <w:numId w:val="1"/>
        </w:numPr>
        <w:tabs>
          <w:tab w:val="left" w:pos="142"/>
          <w:tab w:val="left" w:pos="284"/>
        </w:tabs>
        <w:spacing w:after="0" w:line="276" w:lineRule="auto"/>
        <w:jc w:val="both"/>
        <w:rPr>
          <w:rFonts w:ascii="Verdana" w:eastAsia="Century Gothic" w:hAnsi="Verdana" w:cs="Century Gothic"/>
          <w:b/>
          <w:bCs/>
        </w:rPr>
      </w:pPr>
      <w:r w:rsidRPr="00D32067">
        <w:rPr>
          <w:rFonts w:ascii="Verdana" w:eastAsia="Century Gothic" w:hAnsi="Verdana" w:cs="Century Gothic"/>
          <w:b/>
          <w:bCs/>
        </w:rPr>
        <w:t>Respuestas:</w:t>
      </w:r>
    </w:p>
    <w:p w14:paraId="257F64D6" w14:textId="77777777" w:rsidR="00D32067" w:rsidRPr="00D32067" w:rsidRDefault="00D32067" w:rsidP="00D32067">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32067" w:rsidRPr="00D32067" w14:paraId="49646DD9" w14:textId="77777777" w:rsidTr="00ED423A">
        <w:trPr>
          <w:jc w:val="center"/>
        </w:trPr>
        <w:tc>
          <w:tcPr>
            <w:tcW w:w="8828" w:type="dxa"/>
            <w:shd w:val="clear" w:color="auto" w:fill="auto"/>
          </w:tcPr>
          <w:p w14:paraId="234C1938" w14:textId="77777777" w:rsidR="00D32067" w:rsidRPr="00D32067" w:rsidRDefault="00D32067" w:rsidP="00D32067">
            <w:pPr>
              <w:spacing w:line="276" w:lineRule="auto"/>
              <w:jc w:val="both"/>
              <w:rPr>
                <w:rFonts w:ascii="Verdana" w:eastAsia="Calibri" w:hAnsi="Verdana" w:cs="Arial"/>
                <w:bCs/>
                <w:lang w:val="es-ES_tradnl"/>
              </w:rPr>
            </w:pPr>
            <w:bookmarkStart w:id="2" w:name="_Hlk171694685"/>
            <w:r w:rsidRPr="00D32067">
              <w:rPr>
                <w:rFonts w:ascii="Verdana" w:hAnsi="Verdana" w:cs="Arial"/>
              </w:rPr>
              <w:t>Los numerales 2 y 4 del artículo 2.2.1.1.2.1.1 del Decreto 1082 de 2015 exigen que en los estudios previos se determine el objeto a contratar con sus especificaciones, y se señale el valor estimado del contrato y la justificación del mismo. En concordancia, e</w:t>
            </w:r>
            <w:r w:rsidRPr="00D32067">
              <w:rPr>
                <w:rFonts w:ascii="Verdana" w:eastAsia="Calibri" w:hAnsi="Verdana" w:cs="Arial"/>
                <w:bCs/>
                <w:lang w:val="es-ES_tradnl"/>
              </w:rPr>
              <w:t xml:space="preserve">l artículo 2.2.1.1.1.6.1 del Decreto 1082 de 2015 establece el deber de las entidades de realizar, durante la etapa de planeación, el análisis necesario para conocer el sector relativo al objeto del Proceso de Contratación desde la perspectiva legal, comercial, financiera, organizacional, técnica, y de análisis de Riesgo. La entidad debe dejar constancia de este análisis en los Documentos del Proceso. </w:t>
            </w:r>
          </w:p>
          <w:p w14:paraId="39704B04" w14:textId="77777777" w:rsidR="00D32067" w:rsidRPr="00D32067" w:rsidRDefault="00D32067" w:rsidP="00D32067">
            <w:pPr>
              <w:spacing w:before="120" w:line="276" w:lineRule="auto"/>
              <w:ind w:firstLine="709"/>
              <w:jc w:val="both"/>
              <w:rPr>
                <w:rFonts w:ascii="Verdana" w:hAnsi="Verdana" w:cs="Arial"/>
                <w:bCs/>
                <w:lang w:val="es-ES_tradnl"/>
              </w:rPr>
            </w:pPr>
            <w:r w:rsidRPr="00D32067">
              <w:rPr>
                <w:rFonts w:ascii="Verdana" w:eastAsia="Calibri" w:hAnsi="Verdana" w:cs="Arial"/>
                <w:bCs/>
                <w:lang w:val="es-ES_tradnl"/>
              </w:rPr>
              <w:lastRenderedPageBreak/>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D32067">
              <w:rPr>
                <w:rFonts w:ascii="Verdana" w:hAnsi="Verdana" w:cs="Arial"/>
                <w:lang w:eastAsia="es-CO"/>
              </w:rPr>
              <w:t xml:space="preserve">son autónomas para estructurarlo, para lo cual deberán cumplir lo establecido en el artículo </w:t>
            </w:r>
            <w:r w:rsidRPr="00D32067">
              <w:rPr>
                <w:rFonts w:ascii="Verdana" w:eastAsia="Calibri" w:hAnsi="Verdana" w:cs="Arial"/>
                <w:bCs/>
                <w:lang w:val="es-ES_tradnl"/>
              </w:rPr>
              <w:t xml:space="preserve">2.2.1.1.1.6.1 del Decreto 1082 de 2015 y realizar un análisis integral de planeación que </w:t>
            </w:r>
            <w:r w:rsidRPr="00D32067">
              <w:rPr>
                <w:rFonts w:ascii="Verdana" w:hAnsi="Verdana" w:cs="Arial"/>
              </w:rPr>
              <w:t xml:space="preserve">sirva de sustento a la decisión de </w:t>
            </w:r>
            <w:r w:rsidRPr="00D32067">
              <w:rPr>
                <w:rFonts w:ascii="Verdana" w:hAnsi="Verdana" w:cs="Arial"/>
                <w:bCs/>
                <w:lang w:val="es-ES_tradnl"/>
              </w:rPr>
              <w:t>realizar un proceso de contratación.</w:t>
            </w:r>
          </w:p>
          <w:p w14:paraId="23FAB1D8" w14:textId="77777777" w:rsidR="00D32067" w:rsidRPr="00D32067" w:rsidRDefault="00D32067" w:rsidP="00D32067">
            <w:pPr>
              <w:spacing w:before="120" w:line="276" w:lineRule="auto"/>
              <w:ind w:firstLine="709"/>
              <w:jc w:val="both"/>
              <w:rPr>
                <w:rFonts w:ascii="Verdana" w:eastAsia="Calibri" w:hAnsi="Verdana" w:cs="Arial"/>
                <w:bCs/>
                <w:lang w:val="es-ES_tradnl"/>
              </w:rPr>
            </w:pPr>
            <w:r w:rsidRPr="00D32067">
              <w:rPr>
                <w:rFonts w:ascii="Verdana" w:eastAsia="Calibri" w:hAnsi="Verdana" w:cs="Arial"/>
                <w:bCs/>
                <w:lang w:val="es-ES_tradnl"/>
              </w:rPr>
              <w:t xml:space="preserve">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 En esta Guía se indica que, como parte de la estructura del estudio del sector, se debe realizar un análisis del comportamiento del gasto histórico, el estudio de la oferta y el estudio del mercado. Este último </w:t>
            </w:r>
            <w:r w:rsidRPr="00D32067">
              <w:rPr>
                <w:rFonts w:ascii="Verdana" w:eastAsia="Calibri" w:hAnsi="Verdana" w:cs="Arial"/>
                <w:color w:val="000000" w:themeColor="text1"/>
                <w:lang w:val="es-ES"/>
              </w:rPr>
              <w:t xml:space="preserve">permite comprender la dinámica de los precios y establecer el presupuesto oficial de la contratación, el cual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w:t>
            </w:r>
          </w:p>
          <w:p w14:paraId="638579B1" w14:textId="77777777" w:rsidR="00D32067" w:rsidRPr="00D32067" w:rsidRDefault="00D32067" w:rsidP="00D32067">
            <w:pPr>
              <w:spacing w:before="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 xml:space="preserve">En relación con el mecanismo de revisión de precios históricos, se </w:t>
            </w:r>
            <w:r w:rsidRPr="00D32067">
              <w:rPr>
                <w:rFonts w:ascii="Verdana" w:eastAsia="Calibri" w:hAnsi="Verdana" w:cs="Arial"/>
                <w:color w:val="000000" w:themeColor="text1"/>
              </w:rPr>
              <w:t>sugiere verificar la variación de los precios históricos derivados del Índice de Precios al Consumidor (IPC) en cada año, analizando de manera detallada las fluctuaciones económicas que hayan influido en la evolución de los precios, tales como cambios en la oferta y demanda, factores externos (como crisis económicas o alteraciones en la cadena de suministro) y políticas monetarias que hayan afectado la inflación</w:t>
            </w:r>
          </w:p>
          <w:p w14:paraId="129A6D6B" w14:textId="77777777" w:rsidR="00D32067" w:rsidRPr="00D32067" w:rsidRDefault="00D32067" w:rsidP="00D32067">
            <w:pPr>
              <w:spacing w:before="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 xml:space="preserve">Sin embargo, se precisa que los mecanismos señalados para realizar el estudio del mercado no están determinados por la ley o el reglamento, por lo que no existen lineamientos obligatorios para su estructuración. De esta manera, </w:t>
            </w:r>
            <w:r w:rsidRPr="00D32067">
              <w:rPr>
                <w:rFonts w:ascii="Verdana" w:eastAsia="Calibri" w:hAnsi="Verdana" w:cs="Arial"/>
                <w:bCs/>
                <w:lang w:val="es-ES_tradnl"/>
              </w:rPr>
              <w:t xml:space="preserve">las entidades </w:t>
            </w:r>
            <w:r w:rsidRPr="00D32067">
              <w:rPr>
                <w:rFonts w:ascii="Verdana" w:hAnsi="Verdana" w:cs="Arial"/>
                <w:lang w:eastAsia="es-CO"/>
              </w:rPr>
              <w:t xml:space="preserve">son autónomas para establecer la forma en la cual se recopilará la información que sustente el estudio de mercado, y la decisión de </w:t>
            </w:r>
            <w:r w:rsidRPr="00D32067">
              <w:rPr>
                <w:rFonts w:ascii="Verdana" w:hAnsi="Verdana" w:cs="Arial"/>
                <w:lang w:eastAsia="es-CO"/>
              </w:rPr>
              <w:lastRenderedPageBreak/>
              <w:t xml:space="preserve">utilizar estructuras de costos aprobadas para cada proceso de contratación en cada periodo o de emplear los precios históricos basados en los valores contratados en cada vigencia para estimar el valor del contrato, dependerá del análisis de planeación que realice la entidad en esta </w:t>
            </w:r>
            <w:r w:rsidRPr="00D32067">
              <w:rPr>
                <w:rFonts w:ascii="Verdana" w:hAnsi="Verdana"/>
              </w:rPr>
              <w:t>etapa.</w:t>
            </w:r>
          </w:p>
        </w:tc>
      </w:tr>
    </w:tbl>
    <w:p w14:paraId="2CD6FEB7" w14:textId="77777777" w:rsidR="00D32067" w:rsidRPr="00D32067" w:rsidRDefault="00D32067" w:rsidP="00D32067">
      <w:pPr>
        <w:tabs>
          <w:tab w:val="left" w:pos="142"/>
          <w:tab w:val="left" w:pos="284"/>
        </w:tabs>
        <w:spacing w:after="0" w:line="276" w:lineRule="auto"/>
        <w:jc w:val="both"/>
        <w:rPr>
          <w:rFonts w:ascii="Verdana" w:eastAsia="Century Gothic" w:hAnsi="Verdana" w:cs="Century Gothic"/>
          <w:b/>
          <w:bCs/>
        </w:rPr>
      </w:pPr>
    </w:p>
    <w:bookmarkEnd w:id="2"/>
    <w:p w14:paraId="4EF68700" w14:textId="77777777" w:rsidR="00D32067" w:rsidRPr="00D32067" w:rsidRDefault="00D32067" w:rsidP="00D32067">
      <w:pPr>
        <w:numPr>
          <w:ilvl w:val="0"/>
          <w:numId w:val="1"/>
        </w:numPr>
        <w:tabs>
          <w:tab w:val="left" w:pos="142"/>
          <w:tab w:val="left" w:pos="284"/>
        </w:tabs>
        <w:spacing w:after="0" w:line="276" w:lineRule="auto"/>
        <w:jc w:val="both"/>
        <w:rPr>
          <w:rFonts w:ascii="Verdana" w:eastAsia="Century Gothic" w:hAnsi="Verdana" w:cs="Century Gothic"/>
          <w:b/>
          <w:bCs/>
        </w:rPr>
      </w:pPr>
      <w:r w:rsidRPr="00D32067">
        <w:rPr>
          <w:rFonts w:ascii="Verdana" w:eastAsia="Century Gothic" w:hAnsi="Verdana" w:cs="Century Gothic"/>
          <w:b/>
          <w:bCs/>
        </w:rPr>
        <w:t>Razones de las respuestas:</w:t>
      </w:r>
    </w:p>
    <w:p w14:paraId="62A5E0A4" w14:textId="77777777" w:rsidR="00D32067" w:rsidRPr="00D32067" w:rsidRDefault="00D32067" w:rsidP="00D32067">
      <w:pPr>
        <w:spacing w:after="0" w:line="276" w:lineRule="auto"/>
        <w:jc w:val="both"/>
        <w:rPr>
          <w:rFonts w:ascii="Verdana" w:eastAsia="Calibri" w:hAnsi="Verdana" w:cs="Arial"/>
          <w:color w:val="7030A0"/>
        </w:rPr>
      </w:pPr>
    </w:p>
    <w:p w14:paraId="10A7E506" w14:textId="77777777" w:rsidR="00D32067" w:rsidRPr="00D32067" w:rsidRDefault="00D32067" w:rsidP="00D32067">
      <w:pPr>
        <w:spacing w:after="0" w:line="276" w:lineRule="auto"/>
        <w:jc w:val="both"/>
        <w:rPr>
          <w:rFonts w:ascii="Verdana" w:eastAsia="Calibri" w:hAnsi="Verdana" w:cs="Arial"/>
        </w:rPr>
      </w:pPr>
      <w:r w:rsidRPr="00D32067">
        <w:rPr>
          <w:rFonts w:ascii="Verdana" w:eastAsia="Calibri" w:hAnsi="Verdana" w:cs="Arial"/>
        </w:rPr>
        <w:t>Lo anterior se sustenta en las siguientes consideraciones:</w:t>
      </w:r>
    </w:p>
    <w:p w14:paraId="1409CACF" w14:textId="77777777" w:rsidR="00D32067" w:rsidRPr="00D32067" w:rsidRDefault="00D32067" w:rsidP="00D32067">
      <w:pPr>
        <w:spacing w:after="0" w:line="276" w:lineRule="auto"/>
        <w:jc w:val="both"/>
        <w:rPr>
          <w:rFonts w:ascii="Verdana" w:eastAsia="Calibri" w:hAnsi="Verdana" w:cs="Arial"/>
          <w:color w:val="000000" w:themeColor="text1"/>
        </w:rPr>
      </w:pPr>
    </w:p>
    <w:p w14:paraId="56B62072" w14:textId="77777777" w:rsidR="00D32067" w:rsidRPr="00D32067" w:rsidRDefault="00D32067" w:rsidP="00D32067">
      <w:pPr>
        <w:spacing w:after="120" w:line="276" w:lineRule="auto"/>
        <w:jc w:val="both"/>
        <w:rPr>
          <w:rFonts w:ascii="Verdana" w:hAnsi="Verdana"/>
        </w:rPr>
      </w:pPr>
      <w:r w:rsidRPr="00D32067">
        <w:rPr>
          <w:rFonts w:ascii="Verdana" w:eastAsia="Calibri" w:hAnsi="Verdana" w:cs="Arial"/>
          <w:bCs/>
          <w:lang w:val="es-ES_tradnl"/>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24078690" w14:textId="77777777" w:rsidR="00D32067" w:rsidRPr="00D32067" w:rsidRDefault="00D32067" w:rsidP="00D32067">
      <w:pPr>
        <w:spacing w:after="0" w:line="276" w:lineRule="auto"/>
        <w:ind w:firstLine="708"/>
        <w:jc w:val="both"/>
        <w:rPr>
          <w:rFonts w:ascii="Verdana" w:eastAsia="Calibri" w:hAnsi="Verdana" w:cs="Arial"/>
          <w:lang w:val="es-MX"/>
        </w:rPr>
      </w:pPr>
      <w:r w:rsidRPr="00D32067">
        <w:rPr>
          <w:rFonts w:ascii="Verdana" w:eastAsia="Calibri" w:hAnsi="Verdana" w:cs="Arial"/>
          <w:bCs/>
          <w:lang w:val="es-MX"/>
        </w:rPr>
        <w:t xml:space="preserve">El Estatuto General de Contratación de la Administración Pública – en adelante EGCAP –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4FC21149" w14:textId="77777777" w:rsidR="00D32067" w:rsidRPr="00D32067" w:rsidRDefault="00D32067" w:rsidP="00D32067">
      <w:pPr>
        <w:spacing w:after="0" w:line="276" w:lineRule="auto"/>
        <w:ind w:firstLine="709"/>
        <w:jc w:val="both"/>
        <w:rPr>
          <w:rFonts w:ascii="Verdana" w:eastAsia="Calibri" w:hAnsi="Verdana" w:cs="Arial"/>
          <w:bCs/>
          <w:lang w:val="es-ES"/>
        </w:rPr>
      </w:pPr>
    </w:p>
    <w:p w14:paraId="631E0897" w14:textId="77777777" w:rsidR="00D32067" w:rsidRPr="00D32067" w:rsidRDefault="00D32067" w:rsidP="00D32067">
      <w:pPr>
        <w:spacing w:after="0" w:line="240" w:lineRule="auto"/>
        <w:ind w:left="709" w:right="709"/>
        <w:jc w:val="both"/>
        <w:rPr>
          <w:rFonts w:ascii="Verdana" w:eastAsia="Calibri" w:hAnsi="Verdana" w:cs="Arial"/>
          <w:sz w:val="20"/>
          <w:szCs w:val="20"/>
          <w:lang w:val="es-MX"/>
        </w:rPr>
      </w:pPr>
      <w:r w:rsidRPr="00D32067">
        <w:rPr>
          <w:rFonts w:ascii="Verdana" w:eastAsia="Calibri" w:hAnsi="Verdana" w:cs="Arial"/>
          <w:sz w:val="20"/>
          <w:szCs w:val="20"/>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123C785A" w14:textId="77777777" w:rsidR="00D32067" w:rsidRPr="00D32067" w:rsidRDefault="00D32067" w:rsidP="00D32067">
      <w:pPr>
        <w:spacing w:after="0" w:line="240" w:lineRule="auto"/>
        <w:ind w:left="709" w:right="709"/>
        <w:jc w:val="both"/>
        <w:rPr>
          <w:rFonts w:ascii="Verdana" w:eastAsia="Calibri" w:hAnsi="Verdana" w:cs="Arial"/>
          <w:sz w:val="20"/>
          <w:szCs w:val="20"/>
          <w:lang w:val="es-MX"/>
        </w:rPr>
      </w:pPr>
      <w:r w:rsidRPr="00D32067">
        <w:rPr>
          <w:rFonts w:ascii="Verdana" w:eastAsia="Calibri" w:hAnsi="Verdana" w:cs="Arial"/>
          <w:sz w:val="20"/>
          <w:szCs w:val="20"/>
          <w:lang w:val="es-MX"/>
        </w:rPr>
        <w:t>[…]</w:t>
      </w:r>
    </w:p>
    <w:p w14:paraId="34E1D2F6" w14:textId="77777777" w:rsidR="00D32067" w:rsidRPr="00D32067" w:rsidRDefault="00D32067" w:rsidP="00D32067">
      <w:pPr>
        <w:spacing w:after="0" w:line="240" w:lineRule="auto"/>
        <w:ind w:left="709" w:right="709"/>
        <w:jc w:val="both"/>
        <w:rPr>
          <w:rFonts w:ascii="Verdana" w:eastAsia="Calibri" w:hAnsi="Verdana" w:cs="Arial"/>
          <w:sz w:val="20"/>
          <w:szCs w:val="20"/>
          <w:lang w:val="es-MX"/>
        </w:rPr>
      </w:pPr>
      <w:r w:rsidRPr="00D32067">
        <w:rPr>
          <w:rFonts w:ascii="Verdana" w:eastAsia="Calibri" w:hAnsi="Verdana" w:cs="Arial"/>
          <w:sz w:val="20"/>
          <w:szCs w:val="20"/>
          <w:lang w:val="es-MX"/>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5666FF08" w14:textId="77777777" w:rsidR="00D32067" w:rsidRPr="00D32067" w:rsidRDefault="00D32067" w:rsidP="00D32067">
      <w:pPr>
        <w:spacing w:after="0" w:line="240" w:lineRule="auto"/>
        <w:ind w:left="709" w:right="709"/>
        <w:jc w:val="both"/>
        <w:rPr>
          <w:rFonts w:ascii="Verdana" w:eastAsia="Calibri" w:hAnsi="Verdana" w:cs="Arial"/>
          <w:sz w:val="20"/>
          <w:szCs w:val="20"/>
          <w:lang w:val="es-MX"/>
        </w:rPr>
      </w:pPr>
      <w:r w:rsidRPr="00D32067">
        <w:rPr>
          <w:rFonts w:ascii="Verdana" w:eastAsia="Calibri" w:hAnsi="Verdana" w:cs="Arial"/>
          <w:sz w:val="20"/>
          <w:szCs w:val="20"/>
          <w:lang w:val="es-MX"/>
        </w:rPr>
        <w:lastRenderedPageBreak/>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4852C3AD"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2A29A1A9"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1A2B93C2" w14:textId="77777777" w:rsidR="00D32067" w:rsidRPr="00D32067" w:rsidRDefault="00D32067" w:rsidP="00D32067">
      <w:pPr>
        <w:spacing w:after="0" w:line="276" w:lineRule="auto"/>
        <w:ind w:left="709" w:right="709"/>
        <w:jc w:val="both"/>
        <w:rPr>
          <w:rFonts w:ascii="Verdana" w:hAnsi="Verdana" w:cs="Arial"/>
          <w:sz w:val="20"/>
          <w:szCs w:val="20"/>
        </w:rPr>
      </w:pPr>
    </w:p>
    <w:p w14:paraId="14D03845" w14:textId="77777777" w:rsidR="00D32067" w:rsidRPr="00D32067" w:rsidRDefault="00D32067" w:rsidP="00D32067">
      <w:pPr>
        <w:spacing w:after="120" w:line="276" w:lineRule="auto"/>
        <w:ind w:firstLine="709"/>
        <w:jc w:val="both"/>
        <w:rPr>
          <w:rFonts w:ascii="Verdana" w:hAnsi="Verdana" w:cs="Arial"/>
        </w:rPr>
      </w:pPr>
      <w:r w:rsidRPr="00D32067">
        <w:rPr>
          <w:rFonts w:ascii="Verdana" w:hAnsi="Verdana" w:cs="Arial"/>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D32067">
        <w:rPr>
          <w:rFonts w:ascii="Verdana" w:hAnsi="Verdana" w:cs="Arial"/>
          <w:vertAlign w:val="superscript"/>
        </w:rPr>
        <w:footnoteReference w:id="2"/>
      </w:r>
      <w:r w:rsidRPr="00D32067">
        <w:rPr>
          <w:rFonts w:ascii="Verdana" w:hAnsi="Verdana" w:cs="Arial"/>
        </w:rPr>
        <w:t xml:space="preserve">. </w:t>
      </w:r>
    </w:p>
    <w:p w14:paraId="130B6ACA" w14:textId="77777777" w:rsidR="00D32067" w:rsidRPr="00D32067" w:rsidRDefault="00D32067" w:rsidP="00D32067">
      <w:pPr>
        <w:spacing w:after="0" w:line="276" w:lineRule="auto"/>
        <w:ind w:firstLine="709"/>
        <w:jc w:val="both"/>
        <w:rPr>
          <w:rFonts w:ascii="Verdana" w:hAnsi="Verdana" w:cs="Arial"/>
        </w:rPr>
      </w:pPr>
      <w:r w:rsidRPr="00D32067">
        <w:rPr>
          <w:rFonts w:ascii="Verdana" w:hAnsi="Verdana" w:cs="Arial"/>
        </w:rPr>
        <w:t>En congruencia con el artículo 25 de la Ley 80 de 1993, el Decreto Único Reglamentario del Sector Administrativo de Planeación Nacional –Decreto 1082 de 2015–, dispone en el artículo 2.2.1.1.2.1.1 el contenido mínimo de los estudios y documentos previos:</w:t>
      </w:r>
    </w:p>
    <w:p w14:paraId="380C71F1" w14:textId="77777777" w:rsidR="00D32067" w:rsidRPr="00D32067" w:rsidRDefault="00D32067" w:rsidP="00D32067">
      <w:pPr>
        <w:spacing w:after="0" w:line="276" w:lineRule="auto"/>
        <w:ind w:firstLine="709"/>
        <w:jc w:val="both"/>
        <w:rPr>
          <w:rFonts w:ascii="Verdana" w:hAnsi="Verdana" w:cs="Arial"/>
        </w:rPr>
      </w:pPr>
    </w:p>
    <w:p w14:paraId="507C0AFC"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41BE369F" w14:textId="77777777" w:rsidR="00D32067" w:rsidRPr="00D32067" w:rsidRDefault="00D32067" w:rsidP="00D32067">
      <w:pPr>
        <w:spacing w:after="0" w:line="240" w:lineRule="auto"/>
        <w:ind w:left="709" w:right="709"/>
        <w:jc w:val="both"/>
        <w:rPr>
          <w:rFonts w:ascii="Verdana" w:hAnsi="Verdana" w:cs="Arial"/>
          <w:sz w:val="20"/>
          <w:szCs w:val="20"/>
        </w:rPr>
      </w:pPr>
    </w:p>
    <w:p w14:paraId="394239C5"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lastRenderedPageBreak/>
        <w:t xml:space="preserve">1. La descripción de la necesidad que la Entidad Estatal pretende satisfacer con el Proceso de Contratación. </w:t>
      </w:r>
      <w:r w:rsidRPr="00D32067">
        <w:rPr>
          <w:rFonts w:ascii="Arial" w:hAnsi="Arial" w:cs="Arial"/>
          <w:sz w:val="20"/>
          <w:szCs w:val="20"/>
        </w:rPr>
        <w:t>​</w:t>
      </w:r>
    </w:p>
    <w:p w14:paraId="3CAF0366" w14:textId="77777777" w:rsidR="00D32067" w:rsidRPr="00D32067" w:rsidRDefault="00D32067" w:rsidP="00D32067">
      <w:pPr>
        <w:spacing w:after="0" w:line="240" w:lineRule="auto"/>
        <w:ind w:left="709" w:right="709"/>
        <w:jc w:val="both"/>
        <w:rPr>
          <w:rFonts w:ascii="Verdana" w:hAnsi="Verdana" w:cs="Arial"/>
          <w:sz w:val="20"/>
          <w:szCs w:val="20"/>
        </w:rPr>
      </w:pPr>
    </w:p>
    <w:p w14:paraId="212228D0"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 xml:space="preserve">2. El objeto a contratar, con sus especificaciones, las autorizaciones, permisos y licencias requeridos para su ejecución, y cuando el contrato incluye diseño y construcción, los documentos técnicos para el desarrollo del proyecto. </w:t>
      </w:r>
    </w:p>
    <w:p w14:paraId="3684755A" w14:textId="77777777" w:rsidR="00D32067" w:rsidRPr="00D32067" w:rsidRDefault="00D32067" w:rsidP="00D32067">
      <w:pPr>
        <w:spacing w:after="0" w:line="240" w:lineRule="auto"/>
        <w:ind w:left="709" w:right="709"/>
        <w:jc w:val="both"/>
        <w:rPr>
          <w:rFonts w:ascii="Verdana" w:hAnsi="Verdana" w:cs="Arial"/>
          <w:sz w:val="20"/>
          <w:szCs w:val="20"/>
        </w:rPr>
      </w:pPr>
    </w:p>
    <w:p w14:paraId="1296C39B"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 xml:space="preserve">3. La modalidad de selección del contratista y su justificación, incluyendo los fundamentos jurídicos. </w:t>
      </w:r>
    </w:p>
    <w:p w14:paraId="3CDAD6D8" w14:textId="77777777" w:rsidR="00D32067" w:rsidRPr="00D32067" w:rsidRDefault="00D32067" w:rsidP="00D32067">
      <w:pPr>
        <w:spacing w:after="0" w:line="240" w:lineRule="auto"/>
        <w:ind w:left="709" w:right="709"/>
        <w:jc w:val="both"/>
        <w:rPr>
          <w:rFonts w:ascii="Verdana" w:hAnsi="Verdana" w:cs="Arial"/>
          <w:sz w:val="20"/>
          <w:szCs w:val="20"/>
        </w:rPr>
      </w:pPr>
    </w:p>
    <w:p w14:paraId="3270E586"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 xml:space="preserve">4. </w:t>
      </w:r>
      <w:r w:rsidRPr="00D32067">
        <w:rPr>
          <w:rFonts w:ascii="Verdana" w:hAnsi="Verdana" w:cs="Arial"/>
          <w:i/>
          <w:iCs/>
          <w:sz w:val="20"/>
          <w:szCs w:val="20"/>
        </w:rPr>
        <w:t>El valor estimado del contrato y la justificación del mismo</w:t>
      </w:r>
      <w:r w:rsidRPr="00D32067">
        <w:rPr>
          <w:rFonts w:ascii="Verdana" w:hAnsi="Verdana" w:cs="Arial"/>
          <w:sz w:val="20"/>
          <w:szCs w:val="20"/>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30222357" w14:textId="77777777" w:rsidR="00D32067" w:rsidRPr="00D32067" w:rsidRDefault="00D32067" w:rsidP="00D32067">
      <w:pPr>
        <w:spacing w:after="0" w:line="240" w:lineRule="auto"/>
        <w:ind w:left="709" w:right="709"/>
        <w:jc w:val="both"/>
        <w:rPr>
          <w:rFonts w:ascii="Verdana" w:hAnsi="Verdana" w:cs="Arial"/>
          <w:sz w:val="20"/>
          <w:szCs w:val="20"/>
        </w:rPr>
      </w:pPr>
    </w:p>
    <w:p w14:paraId="28B29C65"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 xml:space="preserve">5. Los criterios para seleccionar la oferta más favorable. </w:t>
      </w:r>
    </w:p>
    <w:p w14:paraId="672695B9" w14:textId="77777777" w:rsidR="00D32067" w:rsidRPr="00D32067" w:rsidRDefault="00D32067" w:rsidP="00D32067">
      <w:pPr>
        <w:spacing w:after="0" w:line="240" w:lineRule="auto"/>
        <w:ind w:left="709" w:right="709"/>
        <w:jc w:val="both"/>
        <w:rPr>
          <w:rFonts w:ascii="Verdana" w:hAnsi="Verdana" w:cs="Arial"/>
          <w:sz w:val="20"/>
          <w:szCs w:val="20"/>
        </w:rPr>
      </w:pPr>
    </w:p>
    <w:p w14:paraId="4E4ABB8A"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 xml:space="preserve">6. El análisis de Riesgo y la forma de mitigarlo. </w:t>
      </w:r>
    </w:p>
    <w:p w14:paraId="2409751A" w14:textId="77777777" w:rsidR="00D32067" w:rsidRPr="00D32067" w:rsidRDefault="00D32067" w:rsidP="00D32067">
      <w:pPr>
        <w:spacing w:after="0" w:line="240" w:lineRule="auto"/>
        <w:ind w:left="709" w:right="709"/>
        <w:jc w:val="both"/>
        <w:rPr>
          <w:rFonts w:ascii="Verdana" w:hAnsi="Verdana" w:cs="Arial"/>
          <w:sz w:val="20"/>
          <w:szCs w:val="20"/>
        </w:rPr>
      </w:pPr>
    </w:p>
    <w:p w14:paraId="19DE235D"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 xml:space="preserve">7. Las garantías que la Entidad Estatal contempla exigir en el proceso de contratación. </w:t>
      </w:r>
    </w:p>
    <w:p w14:paraId="79FF741C" w14:textId="77777777" w:rsidR="00D32067" w:rsidRPr="00D32067" w:rsidRDefault="00D32067" w:rsidP="00D32067">
      <w:pPr>
        <w:spacing w:after="0" w:line="240" w:lineRule="auto"/>
        <w:ind w:left="709" w:right="709"/>
        <w:jc w:val="both"/>
        <w:rPr>
          <w:rFonts w:ascii="Verdana" w:hAnsi="Verdana" w:cs="Arial"/>
          <w:sz w:val="20"/>
          <w:szCs w:val="20"/>
        </w:rPr>
      </w:pPr>
    </w:p>
    <w:p w14:paraId="58164165"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 xml:space="preserve">8. La indicación de si el proceso de contratación está cobijado por un acuerdo comercial. </w:t>
      </w:r>
    </w:p>
    <w:p w14:paraId="68D796D5" w14:textId="77777777" w:rsidR="00D32067" w:rsidRPr="00D32067" w:rsidRDefault="00D32067" w:rsidP="00D32067">
      <w:pPr>
        <w:spacing w:after="0" w:line="240" w:lineRule="auto"/>
        <w:ind w:left="709" w:right="709"/>
        <w:jc w:val="both"/>
        <w:rPr>
          <w:rFonts w:ascii="Verdana" w:hAnsi="Verdana" w:cs="Arial"/>
          <w:sz w:val="20"/>
          <w:szCs w:val="20"/>
        </w:rPr>
      </w:pPr>
    </w:p>
    <w:p w14:paraId="31C24CBC" w14:textId="77777777" w:rsidR="00D32067" w:rsidRPr="00D32067" w:rsidRDefault="00D32067" w:rsidP="00D32067">
      <w:pPr>
        <w:spacing w:after="0" w:line="240" w:lineRule="auto"/>
        <w:ind w:left="709" w:right="709"/>
        <w:jc w:val="both"/>
        <w:rPr>
          <w:rFonts w:ascii="Verdana" w:hAnsi="Verdana" w:cs="Arial"/>
          <w:sz w:val="20"/>
          <w:szCs w:val="20"/>
        </w:rPr>
      </w:pPr>
      <w:r w:rsidRPr="00D32067">
        <w:rPr>
          <w:rFonts w:ascii="Verdana" w:hAnsi="Verdana" w:cs="Arial"/>
          <w:sz w:val="20"/>
          <w:szCs w:val="20"/>
        </w:rPr>
        <w:t>El presente artículo no es aplicable a la contratación por mínima cuantía. (Énfasis por fuera de texto)</w:t>
      </w:r>
    </w:p>
    <w:p w14:paraId="06069C98" w14:textId="77777777" w:rsidR="00D32067" w:rsidRPr="00D32067" w:rsidRDefault="00D32067" w:rsidP="00D32067">
      <w:pPr>
        <w:widowControl w:val="0"/>
        <w:tabs>
          <w:tab w:val="left" w:pos="1305"/>
        </w:tabs>
        <w:autoSpaceDE w:val="0"/>
        <w:autoSpaceDN w:val="0"/>
        <w:spacing w:after="0" w:line="276" w:lineRule="auto"/>
        <w:ind w:left="828" w:right="822"/>
        <w:rPr>
          <w:rFonts w:ascii="Verdana" w:eastAsia="Calibri" w:hAnsi="Verdana" w:cs="Arial"/>
          <w:lang w:val="es-MX"/>
        </w:rPr>
      </w:pPr>
    </w:p>
    <w:p w14:paraId="46B233F5" w14:textId="77777777" w:rsidR="00D32067" w:rsidRPr="00D32067" w:rsidRDefault="00D32067" w:rsidP="00D32067">
      <w:pPr>
        <w:spacing w:after="120" w:line="276" w:lineRule="auto"/>
        <w:ind w:firstLine="709"/>
        <w:jc w:val="both"/>
        <w:rPr>
          <w:rFonts w:ascii="Verdana" w:hAnsi="Verdana" w:cs="Arial"/>
        </w:rPr>
      </w:pPr>
      <w:bookmarkStart w:id="3" w:name="_Hlk54011351"/>
      <w:r w:rsidRPr="00D32067">
        <w:rPr>
          <w:rFonts w:ascii="Verdana" w:hAnsi="Verdana" w:cs="Arial"/>
        </w:rPr>
        <w:t xml:space="preserve">De esta manera, antes de iniciar un procedimiento de selección, la entidad estatal podrá determinar con los estudios previos: i) la verdadera necesidad de la celebración del contrato; ii) las modalidades existentes para satisfacer esa necesidad y las razones que justifiquen la modalidad o tipo contractual que se escoja; iii) las calidades, especificaciones, cantidades y demás características que puedan o deban reunir los bienes, las obras o los servicios cuya contratación se haya determinado necesaria, iv)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w:t>
      </w:r>
      <w:r w:rsidRPr="00D32067">
        <w:rPr>
          <w:rFonts w:ascii="Verdana" w:hAnsi="Verdana" w:cs="Arial"/>
        </w:rPr>
        <w:lastRenderedPageBreak/>
        <w:t>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y la celebración del contrato que se pretenda celebrar.</w:t>
      </w:r>
    </w:p>
    <w:bookmarkEnd w:id="3"/>
    <w:p w14:paraId="3D801572" w14:textId="77777777" w:rsidR="00D32067" w:rsidRPr="00D32067" w:rsidRDefault="00D32067" w:rsidP="00D32067">
      <w:pPr>
        <w:spacing w:after="120" w:line="276" w:lineRule="auto"/>
        <w:ind w:firstLine="709"/>
        <w:jc w:val="both"/>
        <w:rPr>
          <w:rFonts w:ascii="Verdana" w:hAnsi="Verdana" w:cs="Arial"/>
        </w:rPr>
      </w:pPr>
      <w:r w:rsidRPr="00D32067">
        <w:rPr>
          <w:rFonts w:ascii="Verdana" w:hAnsi="Verdana" w:cs="Arial"/>
        </w:rPr>
        <w:t xml:space="preserve">Por ello, el hecho que las entidades cumplan con los elementos mínimos establecidos en la norma y aquellos adicionales que identifiquen en la etapa de planeación de los </w:t>
      </w:r>
      <w:r w:rsidRPr="00D32067">
        <w:rPr>
          <w:rFonts w:ascii="Verdana" w:eastAsia="Calibri" w:hAnsi="Verdana" w:cs="Arial"/>
          <w:bCs/>
          <w:lang w:val="es-ES_tradnl"/>
        </w:rPr>
        <w:t xml:space="preserve">procedimientos de contratación, permite que los contratos resultantes cuenten con el sustento técnico, económico y jurídico que incidirá </w:t>
      </w:r>
      <w:r w:rsidRPr="00D32067">
        <w:rPr>
          <w:rFonts w:ascii="Verdana" w:hAnsi="Verdana" w:cs="Arial"/>
        </w:rPr>
        <w:t>en una adecuada ejecución.</w:t>
      </w:r>
    </w:p>
    <w:p w14:paraId="75C38F47" w14:textId="77777777" w:rsidR="00D32067" w:rsidRPr="00D32067" w:rsidRDefault="00D32067" w:rsidP="00D32067">
      <w:pPr>
        <w:spacing w:after="120" w:line="276" w:lineRule="auto"/>
        <w:ind w:right="103" w:firstLine="708"/>
        <w:jc w:val="both"/>
        <w:rPr>
          <w:rFonts w:ascii="Verdana" w:hAnsi="Verdana" w:cs="Arial"/>
        </w:rPr>
      </w:pPr>
      <w:r w:rsidRPr="00D32067">
        <w:rPr>
          <w:rFonts w:ascii="Verdana" w:hAnsi="Verdana" w:cs="Arial"/>
        </w:rPr>
        <w:t>Mas allá del cumplimiento de la normativa, “los estudios y documentos previos son el soporte para elaborar el proyecto de pliegos, los pliegos de condiciones, y el contrato”</w:t>
      </w:r>
      <w:r w:rsidRPr="00D32067">
        <w:rPr>
          <w:rFonts w:ascii="Verdana" w:hAnsi="Verdana" w:cs="Arial"/>
          <w:vertAlign w:val="superscript"/>
        </w:rPr>
        <w:footnoteReference w:id="3"/>
      </w:r>
      <w:r w:rsidRPr="00D32067">
        <w:rPr>
          <w:rFonts w:ascii="Verdana" w:hAnsi="Verdana" w:cs="Arial"/>
        </w:rPr>
        <w:t>, por lo que deben publicarse en la etapa precontractual y sirven de motivación para los documentos expedidos unilateralmente por la entidad estatal tales como el acto administrativo de apertura, los pliegos de condiciones y el acto de adjudicación, entre otros.</w:t>
      </w:r>
    </w:p>
    <w:p w14:paraId="6A5C80F7" w14:textId="77777777" w:rsidR="00D32067" w:rsidRPr="00D32067" w:rsidRDefault="00D32067" w:rsidP="00D32067">
      <w:pPr>
        <w:spacing w:after="120" w:line="276" w:lineRule="auto"/>
        <w:ind w:right="105" w:firstLine="709"/>
        <w:jc w:val="both"/>
        <w:rPr>
          <w:rFonts w:ascii="Verdana" w:hAnsi="Verdana" w:cs="Arial"/>
        </w:rPr>
      </w:pPr>
      <w:bookmarkStart w:id="5" w:name="_Hlk54011438"/>
      <w:r w:rsidRPr="00D32067">
        <w:rPr>
          <w:rFonts w:ascii="Verdana" w:hAnsi="Verdana" w:cs="Arial"/>
        </w:rPr>
        <w:t>De lo explicado se desprende que 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5"/>
      <w:r w:rsidRPr="00D32067">
        <w:rPr>
          <w:rFonts w:ascii="Verdana" w:hAnsi="Verdana" w:cs="Arial"/>
          <w:vertAlign w:val="superscript"/>
        </w:rPr>
        <w:footnoteReference w:id="4"/>
      </w:r>
      <w:r w:rsidRPr="00D32067">
        <w:rPr>
          <w:rFonts w:ascii="Verdana" w:hAnsi="Verdana" w:cs="Arial"/>
        </w:rPr>
        <w:t xml:space="preserve">. </w:t>
      </w:r>
    </w:p>
    <w:p w14:paraId="79CC6C67" w14:textId="77777777" w:rsidR="00D32067" w:rsidRPr="00D32067" w:rsidRDefault="00D32067" w:rsidP="00D32067">
      <w:pPr>
        <w:spacing w:after="120" w:line="276" w:lineRule="auto"/>
        <w:ind w:firstLine="708"/>
        <w:jc w:val="both"/>
        <w:rPr>
          <w:rFonts w:ascii="Verdana" w:eastAsia="Calibri" w:hAnsi="Verdana" w:cs="Arial"/>
          <w:bCs/>
          <w:lang w:val="es-ES_tradnl"/>
        </w:rPr>
      </w:pPr>
      <w:r w:rsidRPr="00D32067">
        <w:rPr>
          <w:rFonts w:ascii="Verdana" w:hAnsi="Verdana" w:cs="Arial"/>
        </w:rPr>
        <w:t xml:space="preserve">Por otra parte, los numerales 2 y 4 del artículo 2.2.1.1.2.1.1 del Decreto 1082 de 2015 exigen que en los estudios previos se determine el objeto a contratar con sus especificaciones, y se señale el valor estimado del contrato y </w:t>
      </w:r>
      <w:r w:rsidRPr="00D32067">
        <w:rPr>
          <w:rFonts w:ascii="Verdana" w:hAnsi="Verdana" w:cs="Arial"/>
        </w:rPr>
        <w:lastRenderedPageBreak/>
        <w:t xml:space="preserve">la justificación del mismo. </w:t>
      </w:r>
      <w:r w:rsidRPr="00D32067">
        <w:rPr>
          <w:rFonts w:ascii="Verdana" w:eastAsia="Calibri" w:hAnsi="Verdana" w:cs="Arial"/>
          <w:bCs/>
          <w:lang w:val="es-ES_tradnl"/>
        </w:rPr>
        <w:t xml:space="preserve">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w:t>
      </w:r>
    </w:p>
    <w:p w14:paraId="3267A21B" w14:textId="77777777" w:rsidR="00D32067" w:rsidRPr="00D32067" w:rsidRDefault="00D32067" w:rsidP="00D32067">
      <w:pPr>
        <w:spacing w:after="120" w:line="276" w:lineRule="auto"/>
        <w:ind w:firstLine="708"/>
        <w:jc w:val="both"/>
        <w:rPr>
          <w:rFonts w:ascii="Verdana" w:eastAsia="Calibri" w:hAnsi="Verdana" w:cs="Arial"/>
          <w:bCs/>
          <w:lang w:val="es-ES_tradnl"/>
        </w:rPr>
      </w:pPr>
      <w:r w:rsidRPr="00D32067">
        <w:rPr>
          <w:rFonts w:ascii="Verdana" w:eastAsia="Calibri" w:hAnsi="Verdana" w:cs="Arial"/>
          <w:bCs/>
          <w:lang w:val="es-ES_tradnl"/>
        </w:rPr>
        <w:t xml:space="preserve">En este sentido, el artículo </w:t>
      </w:r>
      <w:bookmarkStart w:id="6" w:name="_Hlk36117416"/>
      <w:r w:rsidRPr="00D32067">
        <w:rPr>
          <w:rFonts w:ascii="Verdana" w:eastAsia="Calibri" w:hAnsi="Verdana" w:cs="Arial"/>
          <w:bCs/>
          <w:lang w:val="es-ES_tradnl"/>
        </w:rPr>
        <w:t>2.2.1.1.1.6.1 del Decreto 1082 de 2015</w:t>
      </w:r>
      <w:bookmarkEnd w:id="6"/>
      <w:r w:rsidRPr="00D32067">
        <w:rPr>
          <w:rFonts w:ascii="Verdana" w:eastAsia="Calibri" w:hAnsi="Verdana" w:cs="Arial"/>
          <w:bCs/>
          <w:lang w:val="es-ES_tradnl"/>
        </w:rPr>
        <w:t xml:space="preserve"> dispone que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4CC2B4DC" w14:textId="77777777" w:rsidR="00D32067" w:rsidRPr="00D32067" w:rsidRDefault="00D32067" w:rsidP="00D32067">
      <w:pPr>
        <w:spacing w:after="120" w:line="276" w:lineRule="auto"/>
        <w:ind w:firstLine="709"/>
        <w:jc w:val="both"/>
        <w:rPr>
          <w:rFonts w:ascii="Verdana" w:eastAsia="Calibri" w:hAnsi="Verdana" w:cs="Arial"/>
          <w:lang w:val="es-ES"/>
        </w:rPr>
      </w:pPr>
      <w:r w:rsidRPr="00D32067">
        <w:rPr>
          <w:rFonts w:ascii="Verdana" w:eastAsia="Calibri" w:hAnsi="Verdana" w:cs="Arial"/>
          <w:lang w:val="es-ES"/>
        </w:rPr>
        <w:t xml:space="preserve">De acuerdo con la norma citada, </w:t>
      </w:r>
      <w:bookmarkStart w:id="7" w:name="_Hlk36140682"/>
      <w:r w:rsidRPr="00D32067">
        <w:rPr>
          <w:rFonts w:ascii="Verdana" w:eastAsia="Calibri" w:hAnsi="Verdana" w:cs="Arial"/>
          <w:lang w:val="es-ES"/>
        </w:rPr>
        <w:t>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64A12799" w14:textId="77777777" w:rsidR="00D32067" w:rsidRPr="00D32067" w:rsidRDefault="00D32067" w:rsidP="00D32067">
      <w:pPr>
        <w:spacing w:after="120" w:line="276" w:lineRule="auto"/>
        <w:ind w:firstLine="709"/>
        <w:jc w:val="both"/>
        <w:rPr>
          <w:rFonts w:ascii="Verdana" w:eastAsia="Calibri" w:hAnsi="Verdana" w:cs="Arial"/>
          <w:bCs/>
          <w:lang w:val="es-ES_tradnl"/>
        </w:rPr>
      </w:pPr>
      <w:r w:rsidRPr="00D32067">
        <w:rPr>
          <w:rFonts w:ascii="Verdana" w:eastAsia="Calibri" w:hAnsi="Verdana" w:cs="Arial"/>
          <w:bCs/>
          <w:lang w:val="es-ES_tradnl"/>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157903F5" w14:textId="77777777" w:rsidR="00D32067" w:rsidRPr="00D32067" w:rsidRDefault="00D32067" w:rsidP="00D32067">
      <w:pPr>
        <w:spacing w:after="120" w:line="276" w:lineRule="auto"/>
        <w:ind w:firstLine="709"/>
        <w:jc w:val="both"/>
        <w:rPr>
          <w:rFonts w:ascii="Verdana" w:eastAsia="Calibri" w:hAnsi="Verdana" w:cs="Arial"/>
          <w:lang w:val="es-ES"/>
        </w:rPr>
      </w:pPr>
      <w:r w:rsidRPr="00D32067">
        <w:rPr>
          <w:rFonts w:ascii="Verdana" w:eastAsia="Calibri" w:hAnsi="Verdana" w:cs="Arial"/>
          <w:lang w:val="es-ES"/>
        </w:rPr>
        <w:t xml:space="preserve">Dicho análisis facilita tanto el conocimiento del sector, desde una perspectiva multidisciplinaria, como de los proveedores disponibles en el </w:t>
      </w:r>
      <w:r w:rsidRPr="00D32067">
        <w:rPr>
          <w:rFonts w:ascii="Verdana" w:eastAsia="Calibri" w:hAnsi="Verdana" w:cs="Arial"/>
          <w:lang w:val="es-ES"/>
        </w:rPr>
        <w:lastRenderedPageBreak/>
        <w:t xml:space="preserve">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5E998CA4" w14:textId="77777777" w:rsidR="00D32067" w:rsidRPr="00D32067" w:rsidRDefault="00D32067" w:rsidP="00D32067">
      <w:pPr>
        <w:spacing w:after="120" w:line="276" w:lineRule="auto"/>
        <w:ind w:firstLine="709"/>
        <w:jc w:val="both"/>
        <w:rPr>
          <w:rFonts w:ascii="Verdana" w:eastAsia="Calibri" w:hAnsi="Verdana" w:cs="Arial"/>
          <w:bCs/>
          <w:lang w:val="es-ES_tradnl"/>
        </w:rPr>
      </w:pPr>
      <w:r w:rsidRPr="00D32067">
        <w:rPr>
          <w:rFonts w:ascii="Verdana" w:eastAsia="Calibri" w:hAnsi="Verdana" w:cs="Arial"/>
          <w:bCs/>
          <w:lang w:val="es-ES_tradnl"/>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ello, las entidades </w:t>
      </w:r>
      <w:r w:rsidRPr="00D32067">
        <w:rPr>
          <w:rFonts w:ascii="Verdana" w:hAnsi="Verdana" w:cs="Arial"/>
          <w:lang w:eastAsia="es-CO"/>
        </w:rPr>
        <w:t xml:space="preserve">son autónomas para estructurarlo, para lo cual deberán cumplir lo dispuesto en el artículo </w:t>
      </w:r>
      <w:r w:rsidRPr="00D32067">
        <w:rPr>
          <w:rFonts w:ascii="Verdana" w:eastAsia="Calibri" w:hAnsi="Verdana" w:cs="Arial"/>
          <w:bCs/>
          <w:lang w:val="es-ES_tradnl"/>
        </w:rPr>
        <w:t xml:space="preserve">2.2.1.1.1.6.1 del Decreto 1082 de 2015 y realizar un análisis integral de planeación que </w:t>
      </w:r>
      <w:r w:rsidRPr="00D32067">
        <w:rPr>
          <w:rFonts w:ascii="Verdana" w:hAnsi="Verdana" w:cs="Arial"/>
        </w:rPr>
        <w:t xml:space="preserve">sirva de sustento a la decisión de </w:t>
      </w:r>
      <w:r w:rsidRPr="00D32067">
        <w:rPr>
          <w:rFonts w:ascii="Verdana" w:hAnsi="Verdana" w:cs="Arial"/>
          <w:bCs/>
          <w:lang w:val="es-ES_tradnl"/>
        </w:rPr>
        <w:t>realizar un proceso de contratación.</w:t>
      </w:r>
    </w:p>
    <w:bookmarkEnd w:id="7"/>
    <w:p w14:paraId="43B56A16" w14:textId="77777777" w:rsidR="00D32067" w:rsidRPr="00D32067" w:rsidRDefault="00D32067" w:rsidP="00D32067">
      <w:pPr>
        <w:spacing w:after="120" w:line="276" w:lineRule="auto"/>
        <w:ind w:firstLine="709"/>
        <w:jc w:val="both"/>
        <w:rPr>
          <w:rFonts w:ascii="Verdana" w:eastAsia="Calibri" w:hAnsi="Verdana" w:cs="Arial"/>
          <w:bCs/>
          <w:lang w:val="es-ES"/>
        </w:rPr>
      </w:pPr>
      <w:r w:rsidRPr="00D32067">
        <w:rPr>
          <w:rFonts w:ascii="Verdana" w:eastAsia="Calibri" w:hAnsi="Verdana" w:cs="Arial"/>
          <w:bCs/>
          <w:lang w:val="es-ES_tradnl"/>
        </w:rPr>
        <w:t>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w:t>
      </w:r>
      <w:r w:rsidRPr="00D32067">
        <w:rPr>
          <w:rFonts w:ascii="Verdana" w:eastAsia="Calibri" w:hAnsi="Verdana" w:cs="Arial"/>
          <w:bCs/>
          <w:vertAlign w:val="superscript"/>
          <w:lang w:val="es-ES_tradnl"/>
        </w:rPr>
        <w:footnoteReference w:id="5"/>
      </w:r>
      <w:r w:rsidRPr="00D32067">
        <w:rPr>
          <w:rFonts w:ascii="Verdana" w:eastAsia="Calibri" w:hAnsi="Verdana" w:cs="Arial"/>
          <w:bCs/>
          <w:lang w:val="es-ES_tradnl"/>
        </w:rPr>
        <w:t>.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D32067">
        <w:rPr>
          <w:rFonts w:ascii="Verdana" w:eastAsia="Calibri" w:hAnsi="Verdana" w:cs="Arial"/>
          <w:bCs/>
          <w:lang w:val="es-ES"/>
        </w:rPr>
        <w:t xml:space="preserve"> recomendaciones generales por lo que no debe aplicarse de manera mecánica, pues la profundidad del </w:t>
      </w:r>
      <w:r w:rsidRPr="00D32067">
        <w:rPr>
          <w:rFonts w:ascii="Verdana" w:eastAsia="Calibri" w:hAnsi="Verdana" w:cs="Arial"/>
          <w:bCs/>
          <w:lang w:val="es-ES"/>
        </w:rPr>
        <w:lastRenderedPageBreak/>
        <w:t xml:space="preserve">estudio del sector depende de la complejidad y particularidades de cada proceso de contratación. </w:t>
      </w:r>
    </w:p>
    <w:p w14:paraId="21B3A729" w14:textId="77777777" w:rsidR="00D32067" w:rsidRPr="00D32067" w:rsidRDefault="00D32067" w:rsidP="00D32067">
      <w:pPr>
        <w:spacing w:after="120" w:line="276" w:lineRule="auto"/>
        <w:ind w:firstLine="709"/>
        <w:jc w:val="both"/>
        <w:rPr>
          <w:rFonts w:ascii="Verdana" w:eastAsia="Calibri" w:hAnsi="Verdana" w:cs="Arial"/>
          <w:bCs/>
          <w:lang w:val="es-ES_tradnl"/>
        </w:rPr>
      </w:pPr>
      <w:r w:rsidRPr="00D32067">
        <w:rPr>
          <w:rFonts w:ascii="Verdana" w:eastAsia="Calibri" w:hAnsi="Verdana" w:cs="Arial"/>
          <w:bCs/>
          <w:lang w:val="es-ES_tradnl"/>
        </w:rPr>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04208938" w14:textId="77777777" w:rsidR="00D32067" w:rsidRPr="00D32067" w:rsidRDefault="00D32067" w:rsidP="00D32067">
      <w:pPr>
        <w:spacing w:after="120" w:line="276" w:lineRule="auto"/>
        <w:ind w:firstLine="709"/>
        <w:jc w:val="both"/>
        <w:rPr>
          <w:rFonts w:ascii="Verdana" w:eastAsia="Calibri" w:hAnsi="Verdana" w:cs="Arial"/>
          <w:bCs/>
          <w:lang w:val="es-ES_tradnl"/>
        </w:rPr>
      </w:pPr>
      <w:r w:rsidRPr="00D32067">
        <w:rPr>
          <w:rFonts w:ascii="Verdana" w:eastAsia="Calibri" w:hAnsi="Verdana" w:cs="Arial"/>
          <w:bCs/>
          <w:lang w:val="es-ES_tradnl"/>
        </w:rPr>
        <w:t xml:space="preserve">Así mismo, en la Guía se indica que como parte de la estructura del estudio del sector se debe realizar un análisis del comportamiento del gasto histórico, el estudio de la oferta y el estudio del mercado. En </w:t>
      </w:r>
      <w:r w:rsidRPr="00D32067">
        <w:rPr>
          <w:rFonts w:ascii="Verdana" w:eastAsia="Calibri" w:hAnsi="Verdana" w:cs="Arial"/>
          <w:bCs/>
          <w:lang w:val="es-ES"/>
        </w:rPr>
        <w:t xml:space="preserve">el marco del comportamiento del gasto histórico se recomienda que la entidad analice el comportamiento de sus adquisiciones anteriores del bien, obra o servicio teniendo en cuenta distintas variables como la modalidad de selección, el objeto del contrato, el presupuesto, entre otros. También es importante que se analice la forma en la cual otras entidades o particulares han adquirido bienes y servicios iguales o comparables similares mediante plataformas de información como datos abiertos o las herramientas de visualización </w:t>
      </w:r>
      <w:r w:rsidRPr="00D32067">
        <w:rPr>
          <w:rFonts w:ascii="Verdana" w:eastAsia="Arial MT" w:hAnsi="Verdana" w:cs="Arial"/>
          <w:lang w:val="es-ES"/>
        </w:rPr>
        <w:t>desarrolladas por esta Agencia en el marco del modelo de abastecimiento estratégico</w:t>
      </w:r>
      <w:r w:rsidRPr="00D32067">
        <w:rPr>
          <w:rFonts w:ascii="Verdana" w:eastAsia="Arial MT" w:hAnsi="Verdana" w:cs="Arial"/>
          <w:vertAlign w:val="superscript"/>
          <w:lang w:val="es-ES"/>
        </w:rPr>
        <w:footnoteReference w:id="6"/>
      </w:r>
      <w:r w:rsidRPr="00D32067">
        <w:rPr>
          <w:rFonts w:ascii="Verdana" w:eastAsia="Arial MT" w:hAnsi="Verdana" w:cs="Arial"/>
          <w:lang w:val="es-ES"/>
        </w:rPr>
        <w:t xml:space="preserve">. </w:t>
      </w:r>
    </w:p>
    <w:p w14:paraId="6F3CDB18" w14:textId="77777777" w:rsidR="00D32067" w:rsidRPr="00D32067" w:rsidRDefault="00D32067" w:rsidP="00D32067">
      <w:pPr>
        <w:spacing w:after="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 xml:space="preserve">Por su parte, según la Guía, el </w:t>
      </w:r>
      <w:r w:rsidRPr="00D32067">
        <w:rPr>
          <w:rFonts w:ascii="Verdana" w:eastAsia="Calibri" w:hAnsi="Verdana" w:cs="Arial"/>
          <w:i/>
          <w:iCs/>
          <w:color w:val="000000" w:themeColor="text1"/>
          <w:lang w:val="es-ES"/>
        </w:rPr>
        <w:t>estudio de la oferta</w:t>
      </w:r>
      <w:r w:rsidRPr="00D32067">
        <w:rPr>
          <w:rFonts w:ascii="Verdana" w:eastAsia="Calibri" w:hAnsi="Verdana" w:cs="Arial"/>
          <w:color w:val="000000" w:themeColor="text1"/>
          <w:lang w:val="es-ES"/>
        </w:rPr>
        <w:t xml:space="preserve"> tiene como objetivo </w:t>
      </w:r>
      <w:r w:rsidRPr="00D32067">
        <w:rPr>
          <w:rFonts w:ascii="Verdana" w:eastAsia="Calibri" w:hAnsi="Verdana" w:cs="Arial"/>
          <w:color w:val="000000" w:themeColor="text1"/>
        </w:rPr>
        <w:t>identificar las opciones de suministro para las categorías de compra definidas, y los posibles proveedores que pueden suministrar los bienes, obras o servicios que requiere para satisfacer su necesidad</w:t>
      </w:r>
      <w:r w:rsidRPr="00D32067">
        <w:rPr>
          <w:rFonts w:ascii="Verdana" w:eastAsia="Calibri" w:hAnsi="Verdana" w:cs="Arial"/>
          <w:color w:val="000000" w:themeColor="text1"/>
          <w:lang w:val="es-ES"/>
        </w:rPr>
        <w:t xml:space="preserve">. En esta actividad las entidades estatales deben realizar un estudio de la oferta, que responda, entre otras, las siguientes preguntas: i) “¿Cuál es la dinámica de producción, distribución y entrega de bienes, obras o servicios?” –teniendo en cuenta elementos como la producción, la distribución, transporte etc.– y ii) “¿A quién se va a comprar?”. En relación con la primera pregunta, la Guía señala que “para la Entidad Estatal es importante conocer, entre otras, el proceso de producción, distribución y entrega de los bienes o servicios que pretende adquirir, así como los costos </w:t>
      </w:r>
      <w:r w:rsidRPr="00D32067">
        <w:rPr>
          <w:rFonts w:ascii="Verdana" w:eastAsia="Calibri" w:hAnsi="Verdana" w:cs="Arial"/>
          <w:color w:val="000000" w:themeColor="text1"/>
          <w:lang w:val="es-ES"/>
        </w:rPr>
        <w:lastRenderedPageBreak/>
        <w:t xml:space="preserve">asociados a tales procesos, cuáles son las formas de distribución y entrega de los bienes o suministros del servicio, y demás criterios que apliquen”. </w:t>
      </w:r>
    </w:p>
    <w:p w14:paraId="0CAE18F0" w14:textId="77777777" w:rsidR="00D32067" w:rsidRPr="00D32067" w:rsidRDefault="00D32067" w:rsidP="00D32067">
      <w:pPr>
        <w:spacing w:after="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Para estos efectos, se recomienda a la entidad diseñar e implementar escenarios y procedimientos de consulta de información abiertos e incluyentes con el mercado, en los cuales se defina qué información, cuándo, por qué medio y a quienes se solicitará.</w:t>
      </w:r>
      <w:bookmarkStart w:id="8" w:name="_Hlk78204338"/>
      <w:r w:rsidRPr="00D32067">
        <w:rPr>
          <w:rFonts w:ascii="Verdana" w:eastAsia="Calibri" w:hAnsi="Verdana" w:cs="Arial"/>
          <w:color w:val="000000" w:themeColor="text1"/>
          <w:lang w:val="es-ES"/>
        </w:rPr>
        <w:t xml:space="preserve"> La Guía</w:t>
      </w:r>
      <w:r w:rsidRPr="00D32067">
        <w:rPr>
          <w:rFonts w:ascii="Verdana" w:eastAsia="Calibri" w:hAnsi="Verdana" w:cs="Arial"/>
          <w:color w:val="000000" w:themeColor="text1"/>
        </w:rPr>
        <w:t xml:space="preserve"> indica que </w:t>
      </w:r>
      <w:r w:rsidRPr="00D32067">
        <w:rPr>
          <w:rFonts w:ascii="Verdana" w:eastAsia="Calibri" w:hAnsi="Verdana" w:cs="Arial"/>
          <w:color w:val="000000" w:themeColor="text1"/>
          <w:lang w:val="es-ES"/>
        </w:rPr>
        <w:t>“la Entidad Estatal debe identificar los proveedores en el mercado del bien o servicio, así como sus principales características como tamaño empresarial, ubicación, esquemas de producción y comportamiento financiero”</w:t>
      </w:r>
      <w:r w:rsidRPr="00D32067">
        <w:rPr>
          <w:rFonts w:ascii="Verdana" w:eastAsia="Calibri" w:hAnsi="Verdana" w:cs="Arial"/>
          <w:color w:val="000000" w:themeColor="text1"/>
        </w:rPr>
        <w:t>.</w:t>
      </w:r>
      <w:bookmarkEnd w:id="8"/>
      <w:r w:rsidRPr="00D32067">
        <w:rPr>
          <w:rFonts w:ascii="Verdana" w:eastAsia="Calibri" w:hAnsi="Verdana" w:cs="Arial"/>
          <w:color w:val="000000" w:themeColor="text1"/>
        </w:rPr>
        <w:t xml:space="preserve"> Para la identificación de los proveedores se propone analizar el listado de los proveedores que participaron en los procesos de contratación iguales o similares que haya realizado la entidad y los que hayan realizado otras entidades con objetos comparables.</w:t>
      </w:r>
    </w:p>
    <w:p w14:paraId="0DFF745A" w14:textId="77777777" w:rsidR="00D32067" w:rsidRPr="00D32067" w:rsidRDefault="00D32067" w:rsidP="00D32067">
      <w:pPr>
        <w:spacing w:after="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 xml:space="preserve">Por último, el estudio del mercado permite comprender la dinámica de los precios y establecer el presupuesto oficial de la contratación.  </w:t>
      </w:r>
      <w:r w:rsidRPr="00D32067">
        <w:rPr>
          <w:rFonts w:ascii="Verdana" w:eastAsia="Calibri" w:hAnsi="Verdana" w:cs="Arial"/>
          <w:lang w:val="es-ES"/>
        </w:rPr>
        <w:t xml:space="preserve">De esta forma, se tiene que, la Guía de Elaboración de Estudios del Sector en el numeral 1.3.4, propone a las Entidades Estatales los siguientes mecanismos para elaborar el estudio de precios de mercado: </w:t>
      </w:r>
    </w:p>
    <w:p w14:paraId="1C1F46E9" w14:textId="77777777" w:rsidR="00D32067" w:rsidRPr="00D32067" w:rsidRDefault="00D32067" w:rsidP="00D32067">
      <w:pPr>
        <w:spacing w:after="0" w:line="240" w:lineRule="auto"/>
        <w:ind w:left="720"/>
        <w:contextualSpacing/>
        <w:rPr>
          <w:rFonts w:ascii="Verdana" w:eastAsia="Calibri" w:hAnsi="Verdana" w:cs="Arial"/>
          <w:lang w:val="es-ES"/>
        </w:rPr>
      </w:pPr>
    </w:p>
    <w:p w14:paraId="76F0248B" w14:textId="77777777" w:rsidR="00D32067" w:rsidRPr="00D32067" w:rsidRDefault="00D32067" w:rsidP="00D32067">
      <w:pPr>
        <w:numPr>
          <w:ilvl w:val="0"/>
          <w:numId w:val="16"/>
        </w:numPr>
        <w:spacing w:after="0" w:line="240" w:lineRule="auto"/>
        <w:ind w:left="1072" w:right="618"/>
        <w:contextualSpacing/>
        <w:jc w:val="both"/>
        <w:rPr>
          <w:rFonts w:ascii="Verdana" w:eastAsia="Calibri" w:hAnsi="Verdana" w:cs="Arial"/>
          <w:sz w:val="20"/>
          <w:szCs w:val="20"/>
          <w:lang w:val="es-ES"/>
        </w:rPr>
      </w:pPr>
      <w:bookmarkStart w:id="9" w:name="_Hlk176860475"/>
      <w:r w:rsidRPr="00D32067">
        <w:rPr>
          <w:rFonts w:ascii="Verdana" w:eastAsia="Calibri" w:hAnsi="Verdana" w:cs="Arial"/>
          <w:sz w:val="20"/>
          <w:szCs w:val="20"/>
          <w:lang w:val="es-ES"/>
        </w:rPr>
        <w:t>Revisión de precios por solicitud de cotizaciones</w:t>
      </w:r>
      <w:bookmarkEnd w:id="9"/>
      <w:r w:rsidRPr="00D32067">
        <w:rPr>
          <w:rFonts w:ascii="Verdana" w:eastAsia="Calibri" w:hAnsi="Verdana" w:cs="Arial"/>
          <w:sz w:val="20"/>
          <w:szCs w:val="20"/>
          <w:lang w:val="es-ES"/>
        </w:rPr>
        <w:t>: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como por ejemplo, especificaciones técnicas del bien o servicio a contratar, plazo del contrato, así como toda aquella información relevante que incida en el precio del bien o servicio.</w:t>
      </w:r>
    </w:p>
    <w:p w14:paraId="75B6E8C5" w14:textId="77777777" w:rsidR="00D32067" w:rsidRPr="00D32067" w:rsidRDefault="00D32067" w:rsidP="00D32067">
      <w:pPr>
        <w:spacing w:after="0" w:line="240" w:lineRule="auto"/>
        <w:ind w:left="1072" w:right="618"/>
        <w:contextualSpacing/>
        <w:jc w:val="both"/>
        <w:rPr>
          <w:rFonts w:ascii="Verdana" w:eastAsia="Calibri" w:hAnsi="Verdana" w:cs="Arial"/>
          <w:sz w:val="20"/>
          <w:szCs w:val="20"/>
          <w:lang w:val="es-ES"/>
        </w:rPr>
      </w:pPr>
    </w:p>
    <w:p w14:paraId="050CCC93" w14:textId="77777777" w:rsidR="00D32067" w:rsidRPr="00D32067" w:rsidRDefault="00D32067" w:rsidP="00D32067">
      <w:pPr>
        <w:numPr>
          <w:ilvl w:val="0"/>
          <w:numId w:val="16"/>
        </w:numPr>
        <w:spacing w:after="0" w:line="240" w:lineRule="auto"/>
        <w:ind w:left="1072" w:right="618"/>
        <w:contextualSpacing/>
        <w:jc w:val="both"/>
        <w:rPr>
          <w:rFonts w:ascii="Verdana" w:eastAsia="Calibri" w:hAnsi="Verdana" w:cs="Arial"/>
          <w:sz w:val="20"/>
          <w:szCs w:val="20"/>
          <w:lang w:val="es-ES"/>
        </w:rPr>
      </w:pPr>
      <w:r w:rsidRPr="00D32067">
        <w:rPr>
          <w:rFonts w:ascii="Verdana" w:eastAsia="Calibri" w:hAnsi="Verdana" w:cs="Arial"/>
          <w:sz w:val="20"/>
          <w:szCs w:val="20"/>
          <w:lang w:val="es-ES"/>
        </w:rPr>
        <w:t>Al recibir las cotizaciones, debe verificarse la ocurrencia de circunstancias que eventualmente pueden distorsionar los precios del mercado, como ofertas especiales de almacenes de cadena, fenómenos de escasez o abundancia del producto, entre otros aspectos.</w:t>
      </w:r>
    </w:p>
    <w:p w14:paraId="5710D262" w14:textId="77777777" w:rsidR="00D32067" w:rsidRPr="00D32067" w:rsidRDefault="00D32067" w:rsidP="00D32067">
      <w:pPr>
        <w:spacing w:after="0" w:line="240" w:lineRule="auto"/>
        <w:ind w:left="1072" w:right="618"/>
        <w:contextualSpacing/>
        <w:jc w:val="both"/>
        <w:rPr>
          <w:rFonts w:ascii="Verdana" w:eastAsia="Calibri" w:hAnsi="Verdana" w:cs="Arial"/>
          <w:sz w:val="20"/>
          <w:szCs w:val="20"/>
          <w:lang w:val="es-ES"/>
        </w:rPr>
      </w:pPr>
    </w:p>
    <w:p w14:paraId="3B63CF2C" w14:textId="77777777" w:rsidR="00D32067" w:rsidRPr="00D32067" w:rsidRDefault="00D32067" w:rsidP="00D32067">
      <w:pPr>
        <w:numPr>
          <w:ilvl w:val="0"/>
          <w:numId w:val="16"/>
        </w:numPr>
        <w:spacing w:after="0" w:line="240" w:lineRule="auto"/>
        <w:ind w:left="1072" w:right="618"/>
        <w:contextualSpacing/>
        <w:jc w:val="both"/>
        <w:rPr>
          <w:rFonts w:ascii="Verdana" w:eastAsia="Calibri" w:hAnsi="Verdana" w:cs="Arial"/>
          <w:sz w:val="20"/>
          <w:szCs w:val="20"/>
          <w:lang w:val="es-ES"/>
        </w:rPr>
      </w:pPr>
      <w:r w:rsidRPr="00D32067">
        <w:rPr>
          <w:rFonts w:ascii="Verdana" w:eastAsia="Calibri" w:hAnsi="Verdana" w:cs="Arial"/>
          <w:sz w:val="20"/>
          <w:szCs w:val="20"/>
          <w:lang w:val="es-ES"/>
        </w:rPr>
        <w:t>Revisión de bases de datos especializadas: se adelanta cuando por las condiciones del mercado del bien o servicio a contratar se requiera, y el responsable deberá dejar constancia de las consultas realizadas y de los precios que soportan su estudio. Las bases de datos consultadas deben ser especializadas y representativas en el mercado del bien o servicio a contratar.</w:t>
      </w:r>
    </w:p>
    <w:p w14:paraId="7F0F8F17" w14:textId="77777777" w:rsidR="00D32067" w:rsidRPr="00D32067" w:rsidRDefault="00D32067" w:rsidP="00D32067">
      <w:pPr>
        <w:spacing w:after="0" w:line="240" w:lineRule="auto"/>
        <w:ind w:left="1072" w:right="618"/>
        <w:contextualSpacing/>
        <w:jc w:val="both"/>
        <w:rPr>
          <w:rFonts w:ascii="Verdana" w:eastAsia="Calibri" w:hAnsi="Verdana" w:cs="Arial"/>
          <w:sz w:val="20"/>
          <w:szCs w:val="20"/>
          <w:lang w:val="es-ES"/>
        </w:rPr>
      </w:pPr>
    </w:p>
    <w:p w14:paraId="12F169D5" w14:textId="77777777" w:rsidR="00D32067" w:rsidRPr="00D32067" w:rsidRDefault="00D32067" w:rsidP="00D32067">
      <w:pPr>
        <w:numPr>
          <w:ilvl w:val="0"/>
          <w:numId w:val="16"/>
        </w:numPr>
        <w:spacing w:after="0" w:line="240" w:lineRule="auto"/>
        <w:ind w:left="1072" w:right="618"/>
        <w:contextualSpacing/>
        <w:jc w:val="both"/>
        <w:rPr>
          <w:rFonts w:ascii="Verdana" w:eastAsia="Calibri" w:hAnsi="Verdana" w:cs="Arial"/>
          <w:sz w:val="20"/>
          <w:szCs w:val="20"/>
          <w:lang w:val="es-ES"/>
        </w:rPr>
      </w:pPr>
      <w:r w:rsidRPr="00D32067">
        <w:rPr>
          <w:rFonts w:ascii="Verdana" w:eastAsia="Calibri" w:hAnsi="Verdana" w:cs="Arial"/>
          <w:sz w:val="20"/>
          <w:szCs w:val="20"/>
          <w:lang w:val="es-ES"/>
        </w:rPr>
        <w:t>Revisión de precios históricos: para emplear el mecanismo se sugiere verificar la variación de los precios históricos derivados del índice de precios al consumidor en cada año, examinando si se han presentado fenómenos económicos que hayan implicado fluctuaciones importantes en el comercio del bien o servicio. Las características del bien o servicio deben ser las mismas entre una contratación y otra.</w:t>
      </w:r>
    </w:p>
    <w:p w14:paraId="5275C940" w14:textId="77777777" w:rsidR="00D32067" w:rsidRPr="00D32067" w:rsidRDefault="00D32067" w:rsidP="00D32067">
      <w:pPr>
        <w:spacing w:after="0" w:line="276" w:lineRule="auto"/>
        <w:ind w:firstLine="709"/>
        <w:jc w:val="both"/>
        <w:rPr>
          <w:rFonts w:ascii="Verdana" w:eastAsia="Calibri" w:hAnsi="Verdana" w:cs="Arial"/>
          <w:color w:val="000000" w:themeColor="text1"/>
          <w:lang w:val="es-ES"/>
        </w:rPr>
      </w:pPr>
    </w:p>
    <w:p w14:paraId="0BB670EC" w14:textId="77777777" w:rsidR="00D32067" w:rsidRPr="00D32067" w:rsidRDefault="00D32067" w:rsidP="00D32067">
      <w:pPr>
        <w:spacing w:after="120" w:line="276" w:lineRule="auto"/>
        <w:ind w:firstLine="709"/>
        <w:jc w:val="both"/>
        <w:rPr>
          <w:rFonts w:ascii="Verdana" w:eastAsia="Calibri" w:hAnsi="Verdana" w:cs="Arial"/>
          <w:color w:val="000000" w:themeColor="text1"/>
          <w:lang w:val="es-ES"/>
        </w:rPr>
      </w:pPr>
      <w:bookmarkStart w:id="10" w:name="_Hlk139466471"/>
      <w:r w:rsidRPr="00D32067">
        <w:rPr>
          <w:rFonts w:ascii="Verdana" w:eastAsia="Calibri" w:hAnsi="Verdana" w:cs="Arial"/>
          <w:color w:val="000000" w:themeColor="text1"/>
          <w:lang w:val="es-ES"/>
        </w:rPr>
        <w:t xml:space="preserve">Como se observa, la “Guía de Elaboración de Estudios del Sector” recomienda como mecanismo para la elaboración de </w:t>
      </w:r>
      <w:r w:rsidRPr="00D32067">
        <w:rPr>
          <w:rFonts w:ascii="Verdana" w:eastAsia="Calibri" w:hAnsi="Verdana" w:cs="Arial"/>
          <w:i/>
          <w:iCs/>
          <w:color w:val="000000" w:themeColor="text1"/>
          <w:lang w:val="es-ES"/>
        </w:rPr>
        <w:t>estudios del mercado</w:t>
      </w:r>
      <w:r w:rsidRPr="00D32067">
        <w:rPr>
          <w:rFonts w:ascii="Verdana" w:eastAsia="Calibri" w:hAnsi="Verdana" w:cs="Arial"/>
          <w:color w:val="000000" w:themeColor="text1"/>
          <w:lang w:val="es-ES"/>
        </w:rPr>
        <w:t xml:space="preserve">, que sirvan para entender la dinámica de los precios y establecer el presupuesto oficial de la contratación, </w:t>
      </w:r>
      <w:r w:rsidRPr="00D32067">
        <w:rPr>
          <w:rFonts w:ascii="Verdana" w:eastAsia="Calibri" w:hAnsi="Verdana" w:cs="Arial"/>
          <w:i/>
          <w:color w:val="000000" w:themeColor="text1"/>
          <w:lang w:val="es-ES"/>
        </w:rPr>
        <w:t>requerir a los potenciales proveedores</w:t>
      </w:r>
      <w:r w:rsidRPr="00D32067">
        <w:rPr>
          <w:rFonts w:ascii="Verdana" w:eastAsia="Calibri" w:hAnsi="Verdana" w:cs="Arial"/>
          <w:color w:val="000000" w:themeColor="text1"/>
          <w:lang w:val="es-ES"/>
        </w:rPr>
        <w:t xml:space="preserve"> a fin de que remitan la información necesaria para determinar diversos aspectos de los bienes o servicios a contratar, entre ellos su valor, especificaciones técnicas, el plazo, entre otra información relevante. </w:t>
      </w:r>
      <w:bookmarkEnd w:id="10"/>
    </w:p>
    <w:p w14:paraId="7116CAF3" w14:textId="77777777" w:rsidR="00D32067" w:rsidRPr="00D32067" w:rsidRDefault="00D32067" w:rsidP="00D32067">
      <w:pPr>
        <w:spacing w:after="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 xml:space="preserve">Así mismo, establece como mecanismo la </w:t>
      </w:r>
      <w:r w:rsidRPr="00D32067">
        <w:rPr>
          <w:rFonts w:ascii="Verdana" w:eastAsia="Calibri" w:hAnsi="Verdana" w:cs="Arial"/>
          <w:i/>
          <w:color w:val="000000" w:themeColor="text1"/>
          <w:lang w:val="es-ES"/>
        </w:rPr>
        <w:t>revisión de precios históricos</w:t>
      </w:r>
      <w:r w:rsidRPr="00D32067">
        <w:rPr>
          <w:rFonts w:ascii="Verdana" w:eastAsia="Calibri" w:hAnsi="Verdana" w:cs="Arial"/>
          <w:color w:val="000000" w:themeColor="text1"/>
          <w:lang w:val="es-ES"/>
        </w:rPr>
        <w:t>, al que hace referencia en su consulta, en la cual</w:t>
      </w:r>
      <w:r w:rsidRPr="00D32067">
        <w:rPr>
          <w:rFonts w:ascii="Verdana" w:eastAsia="Calibri" w:hAnsi="Verdana" w:cs="Arial"/>
          <w:color w:val="000000" w:themeColor="text1"/>
        </w:rPr>
        <w:t xml:space="preserve"> se sugiere verificar la variación de los precios históricos derivados del Índice de Precios al Consumidor (IPC) en cada año, analizando de manera detallada las fluctuaciones económicas que hayan influido en la evolución de los precios, tales como cambios en la oferta y demanda, factores externos (como crisis económicas o alteraciones en la cadena de suministro) y políticas monetarias que hayan afectado la inflación. Además, se debe examinar si estos cambios han tenido un impacto significativo en el comercio del bien o servicio a contratar, para asegurar que la revisión sea adecuada y pertinente. Es fundamental que las características del bien o servicio sean equivalentes en cada contratación, garantizando que no existan alteraciones en las especificaciones, calidad o cantidad que pudieran distorsionar la comparación de precios. </w:t>
      </w:r>
    </w:p>
    <w:p w14:paraId="1274B57B" w14:textId="77777777" w:rsidR="00D32067" w:rsidRPr="00D32067" w:rsidRDefault="00D32067" w:rsidP="00D32067">
      <w:pPr>
        <w:spacing w:after="120" w:line="276" w:lineRule="auto"/>
        <w:ind w:firstLine="709"/>
        <w:jc w:val="both"/>
        <w:rPr>
          <w:rFonts w:ascii="Verdana" w:hAnsi="Verdana" w:cs="Arial"/>
          <w:lang w:eastAsia="es-CO"/>
        </w:rPr>
      </w:pPr>
      <w:r w:rsidRPr="00D32067">
        <w:rPr>
          <w:rFonts w:ascii="Verdana" w:eastAsia="Calibri" w:hAnsi="Verdana" w:cs="Arial"/>
          <w:color w:val="000000" w:themeColor="text1"/>
          <w:lang w:val="es-ES"/>
        </w:rPr>
        <w:t xml:space="preserve">En este contexto, es pertinente precisar que los mecanismos señalados para realizar el estudio del mercado no están determinados por la ley o el reglamento, por lo que no existen lineamientos obligatorios para su estructuración. </w:t>
      </w:r>
      <w:r w:rsidRPr="00D32067">
        <w:rPr>
          <w:rFonts w:ascii="Verdana" w:hAnsi="Verdana" w:cs="Arial"/>
          <w:lang w:eastAsia="es-CO"/>
        </w:rPr>
        <w:t xml:space="preserve">Como se mencionó, la </w:t>
      </w:r>
      <w:r w:rsidRPr="00D32067">
        <w:rPr>
          <w:rFonts w:ascii="Verdana" w:eastAsia="Calibri" w:hAnsi="Verdana" w:cs="Arial"/>
          <w:bCs/>
          <w:lang w:val="es-ES_tradnl"/>
        </w:rPr>
        <w:t>“Guía de Elaboración del Estudio del Sector” desarrolla recomendaciones y buenas prácticas que servirán a las entidades para entender el mercado del bien o servicio a contratar</w:t>
      </w:r>
      <w:r w:rsidRPr="00D32067">
        <w:rPr>
          <w:rFonts w:ascii="Verdana" w:eastAsia="Calibri" w:hAnsi="Verdana" w:cs="Arial"/>
          <w:color w:val="000000" w:themeColor="text1"/>
          <w:lang w:val="es-ES"/>
        </w:rPr>
        <w:t xml:space="preserve">, por tanto, </w:t>
      </w:r>
      <w:r w:rsidRPr="00D32067">
        <w:rPr>
          <w:rFonts w:ascii="Verdana" w:eastAsia="Calibri" w:hAnsi="Verdana" w:cs="Arial"/>
          <w:bCs/>
          <w:lang w:val="es-ES_tradnl"/>
        </w:rPr>
        <w:t xml:space="preserve">las entidades </w:t>
      </w:r>
      <w:r w:rsidRPr="00D32067">
        <w:rPr>
          <w:rFonts w:ascii="Verdana" w:hAnsi="Verdana" w:cs="Arial"/>
          <w:lang w:eastAsia="es-CO"/>
        </w:rPr>
        <w:t xml:space="preserve">son autónomas para establecer la forma en la cual se recopilará la información que sustente el análisis del sector y de determinar el mecanismo para la estructuración del presupuesto oficial. </w:t>
      </w:r>
    </w:p>
    <w:p w14:paraId="2262E410" w14:textId="77777777" w:rsidR="00D32067" w:rsidRPr="00D32067" w:rsidRDefault="00D32067" w:rsidP="00D32067">
      <w:pPr>
        <w:spacing w:after="120" w:line="276" w:lineRule="auto"/>
        <w:ind w:firstLine="709"/>
        <w:jc w:val="both"/>
        <w:rPr>
          <w:rFonts w:ascii="Verdana" w:hAnsi="Verdana"/>
        </w:rPr>
      </w:pPr>
      <w:r w:rsidRPr="00D32067">
        <w:rPr>
          <w:rFonts w:ascii="Verdana" w:hAnsi="Verdana" w:cs="Arial"/>
          <w:lang w:eastAsia="es-CO"/>
        </w:rPr>
        <w:lastRenderedPageBreak/>
        <w:t xml:space="preserve">En este sentido, la decisión de utilizar estructuras de costos aprobadas para cada proceso de contratación en cada periodo o de emplear los precios históricos basados en los valores contratados en cada vigencia para estimar el valor del contrato, dependerá del análisis de planeación que realice la entidad en esta </w:t>
      </w:r>
      <w:r w:rsidRPr="00D32067">
        <w:rPr>
          <w:rFonts w:ascii="Verdana" w:hAnsi="Verdana"/>
        </w:rPr>
        <w:t xml:space="preserve">etapa. Para tales efectos, es importante considerar todos los factores relevantes relacionados con la contratación, tales como la modalidad de selección, las fluctuaciones económicas que puedan afectar el precio del bien o servicio a contratar, y los factores externos que impacten la economía tanto a nivel local como nacional, crisis económicas, variaciones en los costos de los insumos, alteraciones en la oferta y demanda, y cualquier otro factor que pueda incidir de manera significativa en la determinación del valor del bien o servicio. </w:t>
      </w:r>
    </w:p>
    <w:p w14:paraId="46D3EC04" w14:textId="77777777" w:rsidR="00D32067" w:rsidRPr="00D32067" w:rsidRDefault="00D32067" w:rsidP="00D32067">
      <w:pPr>
        <w:spacing w:after="120" w:line="276" w:lineRule="auto"/>
        <w:ind w:firstLine="709"/>
        <w:jc w:val="both"/>
        <w:rPr>
          <w:rFonts w:ascii="Verdana" w:hAnsi="Verdana"/>
        </w:rPr>
      </w:pPr>
      <w:r w:rsidRPr="00D32067">
        <w:rPr>
          <w:rFonts w:ascii="Verdana" w:hAnsi="Verdana"/>
        </w:rPr>
        <w:t xml:space="preserve">Así mismo, se podría tener en cuenta la información relacionada en el numeral 4.2 de la “Guía </w:t>
      </w:r>
      <w:r w:rsidRPr="00D32067">
        <w:rPr>
          <w:rFonts w:ascii="Verdana" w:eastAsia="Calibri" w:hAnsi="Verdana" w:cs="Arial"/>
          <w:bCs/>
          <w:lang w:val="es-ES_tradnl"/>
        </w:rPr>
        <w:t>de Elaboración del Estudio del Sector”</w:t>
      </w:r>
      <w:r w:rsidRPr="00D32067">
        <w:rPr>
          <w:rFonts w:ascii="Verdana" w:hAnsi="Verdana"/>
        </w:rPr>
        <w:t xml:space="preserve">, sobre el manejo de datos y análisis estadísticos en el cual se señalan recomendaciones para la elaboración del sector utilizando valores monetarios históricos. Esta información permitirá identificar el mecanismo más apropiado para establecer de manera adecuada y razonable el valor estimado del contrato. </w:t>
      </w:r>
    </w:p>
    <w:p w14:paraId="4B1223C1" w14:textId="77777777" w:rsidR="00D32067" w:rsidRPr="00D32067" w:rsidRDefault="00D32067" w:rsidP="00D32067">
      <w:pPr>
        <w:spacing w:after="120" w:line="276" w:lineRule="auto"/>
        <w:ind w:firstLine="709"/>
        <w:jc w:val="both"/>
        <w:rPr>
          <w:rFonts w:ascii="Verdana" w:hAnsi="Verdana"/>
        </w:rPr>
      </w:pPr>
      <w:r w:rsidRPr="00D32067">
        <w:rPr>
          <w:rFonts w:ascii="Verdana" w:hAnsi="Verdana" w:cs="Arial"/>
          <w:lang w:val="es-ES"/>
        </w:rPr>
        <w:t>Al respecto, es pertinente señalar que, el Consejo de Estado se pronunció sobre la relación existente entre el estudio del sector y la estimación del valor del contrato, indicando que se deben tener en cuenta las diferentes variables del mercado como los costos de la cadena de producción. Pero, con independencia de esto, la entidad debe obtener el menor precio o uno razonable. En todo caso, el valor debe estar justificado para que no corresponda a sobrecostos ni a precios artificialmente bajos, y que con ello la entidad pague un valor adecuado. Esto se logra con el estudio del mercado y sus costos, el cual debe estar a disposición de los participantes del procedimiento contractual</w:t>
      </w:r>
      <w:r w:rsidRPr="00D32067">
        <w:rPr>
          <w:rFonts w:ascii="Verdana" w:hAnsi="Verdana" w:cs="Arial"/>
          <w:vertAlign w:val="superscript"/>
          <w:lang w:val="es-ES"/>
        </w:rPr>
        <w:footnoteReference w:id="7"/>
      </w:r>
      <w:r w:rsidRPr="00D32067">
        <w:rPr>
          <w:rFonts w:ascii="Verdana" w:hAnsi="Verdana" w:cs="Arial"/>
          <w:lang w:val="es-ES"/>
        </w:rPr>
        <w:t>.</w:t>
      </w:r>
    </w:p>
    <w:p w14:paraId="11F275D6" w14:textId="77777777" w:rsidR="00D32067" w:rsidRPr="00D32067" w:rsidRDefault="00D32067" w:rsidP="00D32067">
      <w:pPr>
        <w:spacing w:after="120" w:line="276" w:lineRule="auto"/>
        <w:ind w:firstLine="708"/>
        <w:jc w:val="both"/>
        <w:rPr>
          <w:rFonts w:ascii="Verdana" w:hAnsi="Verdana" w:cs="Arial"/>
          <w:lang w:val="es-MX"/>
        </w:rPr>
      </w:pPr>
      <w:bookmarkStart w:id="11" w:name="_Hlk91231640"/>
      <w:r w:rsidRPr="00D32067">
        <w:rPr>
          <w:rFonts w:ascii="Verdana" w:hAnsi="Verdana" w:cs="Arial"/>
        </w:rPr>
        <w:t xml:space="preserve">En conclusión, el análisis del sector debe ser visto desde una perspectiva funcional, como una labor enfocada a situar la adquisición de bienes y servicios por parte de entidades estatales dentro de las condiciones del mercado o del sector en el que serán adquiridos, el cual constituye una manifestación de los principios de planeación y economía. Dicha labor debe evidenciarse de manera palpable en los </w:t>
      </w:r>
      <w:r w:rsidRPr="00D32067">
        <w:rPr>
          <w:rFonts w:ascii="Verdana" w:hAnsi="Verdana" w:cs="Arial"/>
          <w:i/>
          <w:iCs/>
        </w:rPr>
        <w:t>Documentos del Proceso</w:t>
      </w:r>
      <w:r w:rsidRPr="00D32067">
        <w:rPr>
          <w:rFonts w:ascii="Verdana" w:hAnsi="Verdana" w:cs="Arial"/>
        </w:rPr>
        <w:t xml:space="preserve">, ya sea dentro de los estudios previos, como documento autónomo o dentro de alguno de los soportes del proceso de </w:t>
      </w:r>
      <w:r w:rsidRPr="00D32067">
        <w:rPr>
          <w:rFonts w:ascii="Verdana" w:hAnsi="Verdana" w:cs="Arial"/>
        </w:rPr>
        <w:lastRenderedPageBreak/>
        <w:t xml:space="preserve">contratación, abarcando los campos legal, comercial, financiero, organizacional, técnico y de riesgos, de conformidad con el artículo </w:t>
      </w:r>
      <w:r w:rsidRPr="00D32067">
        <w:rPr>
          <w:rFonts w:ascii="Verdana" w:hAnsi="Verdana" w:cs="Arial"/>
          <w:lang w:val="es-MX"/>
        </w:rPr>
        <w:t>2.2.1.1.1.6.1 del Decreto 1082 del 2015.</w:t>
      </w:r>
    </w:p>
    <w:p w14:paraId="1D9F5A9A" w14:textId="77777777" w:rsidR="00D32067" w:rsidRPr="00D32067" w:rsidRDefault="00D32067" w:rsidP="00D32067">
      <w:pPr>
        <w:spacing w:after="0" w:line="276" w:lineRule="auto"/>
        <w:ind w:firstLine="708"/>
        <w:jc w:val="both"/>
        <w:rPr>
          <w:rFonts w:ascii="Verdana" w:eastAsia="Calibri" w:hAnsi="Verdana" w:cs="Times New Roman"/>
          <w:lang w:val="es-ES"/>
        </w:rPr>
      </w:pPr>
      <w:r w:rsidRPr="00D32067">
        <w:rPr>
          <w:rFonts w:ascii="Verdana" w:eastAsia="Calibri" w:hAnsi="Verdana" w:cs="Times New Roman"/>
          <w:lang w:val="es-ES"/>
        </w:rPr>
        <w:t>Finalmente, debe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bookmarkEnd w:id="11"/>
    <w:p w14:paraId="056380D8" w14:textId="77777777" w:rsidR="00D32067" w:rsidRPr="00D32067" w:rsidRDefault="00D32067" w:rsidP="00D32067">
      <w:pPr>
        <w:spacing w:after="0" w:line="276" w:lineRule="auto"/>
        <w:jc w:val="both"/>
        <w:rPr>
          <w:rFonts w:ascii="Verdana" w:eastAsia="Calibri" w:hAnsi="Verdana" w:cs="Arial"/>
          <w:lang w:eastAsia="es-MX"/>
        </w:rPr>
      </w:pPr>
    </w:p>
    <w:p w14:paraId="5552891A" w14:textId="77777777" w:rsidR="00D32067" w:rsidRPr="00D32067" w:rsidRDefault="00D32067" w:rsidP="00D32067">
      <w:pPr>
        <w:numPr>
          <w:ilvl w:val="0"/>
          <w:numId w:val="1"/>
        </w:numPr>
        <w:tabs>
          <w:tab w:val="left" w:pos="142"/>
          <w:tab w:val="left" w:pos="284"/>
        </w:tabs>
        <w:spacing w:after="0" w:line="276" w:lineRule="auto"/>
        <w:jc w:val="both"/>
        <w:rPr>
          <w:rFonts w:ascii="Verdana" w:eastAsia="Century Gothic" w:hAnsi="Verdana" w:cs="Century Gothic"/>
          <w:b/>
          <w:bCs/>
        </w:rPr>
      </w:pPr>
      <w:r w:rsidRPr="00D32067">
        <w:rPr>
          <w:rFonts w:ascii="Verdana" w:eastAsia="Century Gothic" w:hAnsi="Verdana" w:cs="Century Gothic"/>
          <w:b/>
          <w:bCs/>
        </w:rPr>
        <w:t>Referencias normativas y jurisprudenciales:</w:t>
      </w:r>
    </w:p>
    <w:p w14:paraId="5A6291D8" w14:textId="77777777" w:rsidR="00D32067" w:rsidRPr="00D32067" w:rsidRDefault="00D32067" w:rsidP="00D3206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32067" w:rsidRPr="00D32067" w14:paraId="76861F54" w14:textId="77777777" w:rsidTr="00ED423A">
        <w:trPr>
          <w:trHeight w:val="856"/>
          <w:jc w:val="center"/>
        </w:trPr>
        <w:tc>
          <w:tcPr>
            <w:tcW w:w="8647" w:type="dxa"/>
          </w:tcPr>
          <w:p w14:paraId="1281FEC9" w14:textId="77777777" w:rsidR="00D32067" w:rsidRPr="00D32067" w:rsidRDefault="00D32067" w:rsidP="00D32067">
            <w:pPr>
              <w:widowControl w:val="0"/>
              <w:numPr>
                <w:ilvl w:val="0"/>
                <w:numId w:val="3"/>
              </w:numPr>
              <w:autoSpaceDE w:val="0"/>
              <w:autoSpaceDN w:val="0"/>
              <w:spacing w:after="120" w:line="276" w:lineRule="auto"/>
              <w:contextualSpacing/>
              <w:jc w:val="both"/>
              <w:rPr>
                <w:rFonts w:ascii="Verdana" w:eastAsia="Calibri" w:hAnsi="Verdana" w:cs="Arial"/>
                <w:lang w:val="es-ES"/>
              </w:rPr>
            </w:pPr>
            <w:r w:rsidRPr="00D32067">
              <w:rPr>
                <w:rFonts w:ascii="Verdana" w:eastAsia="Arial MT" w:hAnsi="Verdana" w:cs="Arial"/>
                <w:lang w:eastAsia="es-ES" w:bidi="es-ES"/>
              </w:rPr>
              <w:t xml:space="preserve"> </w:t>
            </w:r>
            <w:r w:rsidRPr="00D32067">
              <w:rPr>
                <w:rFonts w:ascii="Verdana" w:eastAsia="Calibri" w:hAnsi="Verdana" w:cs="Arial"/>
                <w:lang w:val="es-ES"/>
              </w:rPr>
              <w:t xml:space="preserve">Ley 80 de 1993. Artículo 25 </w:t>
            </w:r>
          </w:p>
          <w:p w14:paraId="20182D67" w14:textId="77777777" w:rsidR="00D32067" w:rsidRPr="00D32067" w:rsidRDefault="00D32067" w:rsidP="00D32067">
            <w:pPr>
              <w:widowControl w:val="0"/>
              <w:numPr>
                <w:ilvl w:val="0"/>
                <w:numId w:val="3"/>
              </w:numPr>
              <w:autoSpaceDE w:val="0"/>
              <w:autoSpaceDN w:val="0"/>
              <w:spacing w:after="120" w:line="276" w:lineRule="auto"/>
              <w:contextualSpacing/>
              <w:jc w:val="both"/>
              <w:rPr>
                <w:rFonts w:ascii="Verdana" w:eastAsia="Calibri" w:hAnsi="Verdana" w:cs="Arial"/>
                <w:lang w:val="es-ES"/>
              </w:rPr>
            </w:pPr>
            <w:r w:rsidRPr="00D32067">
              <w:rPr>
                <w:rFonts w:ascii="Verdana" w:eastAsia="Calibri" w:hAnsi="Verdana" w:cs="Arial"/>
                <w:lang w:val="es-ES"/>
              </w:rPr>
              <w:t>Decreto 1082 de 2015. Artículos 2.2.1.1.2.1.1. y 2.2.1.1.1.6.1.</w:t>
            </w:r>
          </w:p>
          <w:p w14:paraId="5A928DBA" w14:textId="77777777" w:rsidR="00D32067" w:rsidRPr="00D32067" w:rsidRDefault="00D32067" w:rsidP="00D32067">
            <w:pPr>
              <w:widowControl w:val="0"/>
              <w:numPr>
                <w:ilvl w:val="0"/>
                <w:numId w:val="3"/>
              </w:numPr>
              <w:autoSpaceDE w:val="0"/>
              <w:autoSpaceDN w:val="0"/>
              <w:spacing w:after="120" w:line="276" w:lineRule="auto"/>
              <w:contextualSpacing/>
              <w:jc w:val="both"/>
              <w:rPr>
                <w:rFonts w:ascii="Verdana" w:eastAsia="Calibri" w:hAnsi="Verdana" w:cs="Arial"/>
                <w:lang w:val="es-ES"/>
              </w:rPr>
            </w:pPr>
            <w:r w:rsidRPr="00D32067">
              <w:rPr>
                <w:rFonts w:ascii="Verdana" w:eastAsia="Calibri" w:hAnsi="Verdana" w:cs="Arial"/>
                <w:lang w:val="es-ES"/>
              </w:rPr>
              <w:t>Consejo de Estado. Sección Tercera. Subsección B. Sentencia del 31 de agosto de 2011. Exp. 18.080.</w:t>
            </w:r>
          </w:p>
          <w:p w14:paraId="4353F315" w14:textId="77777777" w:rsidR="00D32067" w:rsidRPr="00D32067" w:rsidRDefault="00D32067" w:rsidP="00D32067">
            <w:pPr>
              <w:widowControl w:val="0"/>
              <w:numPr>
                <w:ilvl w:val="0"/>
                <w:numId w:val="3"/>
              </w:numPr>
              <w:autoSpaceDE w:val="0"/>
              <w:autoSpaceDN w:val="0"/>
              <w:spacing w:after="120" w:line="276" w:lineRule="auto"/>
              <w:contextualSpacing/>
              <w:jc w:val="both"/>
              <w:rPr>
                <w:rFonts w:ascii="Verdana" w:eastAsia="Calibri" w:hAnsi="Verdana" w:cs="Arial"/>
                <w:lang w:val="es-ES"/>
              </w:rPr>
            </w:pPr>
            <w:r w:rsidRPr="00D32067">
              <w:rPr>
                <w:rFonts w:ascii="Verdana" w:eastAsia="Calibri" w:hAnsi="Verdana" w:cs="Arial"/>
                <w:lang w:val="es-ES"/>
              </w:rPr>
              <w:t>Guía de Elaboración de Estudios de Sector:</w:t>
            </w:r>
          </w:p>
          <w:p w14:paraId="06A156A8" w14:textId="77777777" w:rsidR="00D32067" w:rsidRPr="00D32067" w:rsidRDefault="00D32067" w:rsidP="00D32067">
            <w:pPr>
              <w:widowControl w:val="0"/>
              <w:autoSpaceDE w:val="0"/>
              <w:autoSpaceDN w:val="0"/>
              <w:spacing w:after="120" w:line="276" w:lineRule="auto"/>
              <w:ind w:left="720"/>
              <w:contextualSpacing/>
              <w:jc w:val="both"/>
              <w:rPr>
                <w:rFonts w:ascii="Verdana" w:eastAsia="Calibri" w:hAnsi="Verdana" w:cs="Arial"/>
                <w:lang w:val="es-ES"/>
              </w:rPr>
            </w:pPr>
            <w:hyperlink r:id="rId13" w:history="1">
              <w:r w:rsidRPr="00D32067">
                <w:rPr>
                  <w:rFonts w:ascii="Verdana" w:eastAsia="Calibri" w:hAnsi="Verdana" w:cs="Arial"/>
                  <w:color w:val="0000FF"/>
                  <w:u w:val="single"/>
                  <w:lang w:val="es-ES"/>
                </w:rPr>
                <w:t>https://www.colombiacompra.gov.co/sites/cce_public/files/cce_documentos/cce-eicp-gi-18._gees_v.2_2.pdf</w:t>
              </w:r>
            </w:hyperlink>
            <w:r w:rsidRPr="00D32067">
              <w:rPr>
                <w:rFonts w:ascii="Verdana" w:eastAsia="Calibri" w:hAnsi="Verdana" w:cs="Arial"/>
                <w:lang w:val="es-ES"/>
              </w:rPr>
              <w:t xml:space="preserve"> </w:t>
            </w:r>
          </w:p>
        </w:tc>
      </w:tr>
    </w:tbl>
    <w:p w14:paraId="126CD17B" w14:textId="77777777" w:rsidR="00D32067" w:rsidRPr="00D32067" w:rsidRDefault="00D32067" w:rsidP="00D32067">
      <w:pPr>
        <w:widowControl w:val="0"/>
        <w:autoSpaceDE w:val="0"/>
        <w:autoSpaceDN w:val="0"/>
        <w:spacing w:after="0" w:line="276" w:lineRule="auto"/>
        <w:jc w:val="both"/>
        <w:rPr>
          <w:rFonts w:ascii="Verdana" w:hAnsi="Verdana" w:cs="Arial"/>
        </w:rPr>
      </w:pPr>
    </w:p>
    <w:p w14:paraId="73AD07D0" w14:textId="77777777" w:rsidR="00D32067" w:rsidRPr="00D32067" w:rsidRDefault="00D32067" w:rsidP="00D32067">
      <w:pPr>
        <w:numPr>
          <w:ilvl w:val="0"/>
          <w:numId w:val="1"/>
        </w:numPr>
        <w:tabs>
          <w:tab w:val="left" w:pos="142"/>
          <w:tab w:val="left" w:pos="284"/>
        </w:tabs>
        <w:spacing w:after="0" w:line="276" w:lineRule="auto"/>
        <w:jc w:val="both"/>
        <w:rPr>
          <w:rFonts w:ascii="Verdana" w:eastAsia="Century Gothic" w:hAnsi="Verdana" w:cs="Century Gothic"/>
          <w:b/>
          <w:bCs/>
        </w:rPr>
      </w:pPr>
      <w:r w:rsidRPr="00D32067">
        <w:rPr>
          <w:rFonts w:ascii="Verdana" w:eastAsia="Century Gothic" w:hAnsi="Verdana" w:cs="Century Gothic"/>
          <w:b/>
          <w:bCs/>
        </w:rPr>
        <w:t>Doctrina de la Agencia Nacional de Contratación Pública:</w:t>
      </w:r>
    </w:p>
    <w:p w14:paraId="5011B63D" w14:textId="77777777" w:rsidR="00D32067" w:rsidRPr="00D32067" w:rsidRDefault="00D32067" w:rsidP="00D32067">
      <w:pPr>
        <w:widowControl w:val="0"/>
        <w:autoSpaceDE w:val="0"/>
        <w:autoSpaceDN w:val="0"/>
        <w:spacing w:after="0" w:line="276" w:lineRule="auto"/>
        <w:jc w:val="both"/>
        <w:rPr>
          <w:rFonts w:ascii="Verdana" w:hAnsi="Verdana" w:cs="Arial"/>
        </w:rPr>
      </w:pPr>
    </w:p>
    <w:p w14:paraId="52892FC8" w14:textId="77777777" w:rsidR="00D32067" w:rsidRPr="00D32067" w:rsidRDefault="00D32067" w:rsidP="00D32067">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D32067">
        <w:rPr>
          <w:rFonts w:ascii="Verdana" w:eastAsia="Aptos" w:hAnsi="Verdana" w:cs="Arial"/>
          <w:shd w:val="clear" w:color="auto" w:fill="FFFFFF"/>
          <w:lang w:val="es-ES"/>
        </w:rPr>
        <w:t>Sobre el deber de elaborar análisis del sector frente a procesos de contratación, se pronunció esta Subdirección en los conceptos 2202013000000037 del 7 de enero de 2020, C-223 del 29 de abril de 2020 y C-148 de 2021. Igualmente, se reiteran los Conceptos C-387 del 23 de junio de 2020, C-415 del 7 de julio de 2020, C-443 del 7 de julio de 2020, C-387 del 23 de junio de 2020, C-223 del 29 de abril de 2020, C-671 de 2020 de 23 de noviembre de 2020, C-215 del 12 de mayo de 2021, C-742 del 27 de diciembre de 2021, C-519 del 13 de septiembre de 2022, C-716 del 15 de noviembre de 2022, C-680 del 19 de septiembre de 2022, C-856 del 13 de diciembre de 2022, C-235 del 5 de julio de 2023, C-124 del 24 de julio de 2024, C-168 del 25 de julio 2024, C-258 del 12 de agosto de 2024, C-255 del 14 de agosto de 2024, C-297 del 11 de septiembre de 2024 C-101 del 5 de marzo de 2025. entre otros</w:t>
      </w:r>
      <w:r w:rsidRPr="00D32067">
        <w:rPr>
          <w:rFonts w:ascii="Verdana" w:eastAsia="Calibri" w:hAnsi="Verdana" w:cs="Arial"/>
          <w:color w:val="000000" w:themeColor="text1"/>
          <w:lang w:val="es-ES_tradnl" w:eastAsia="es-ES_tradnl"/>
        </w:rPr>
        <w:t xml:space="preserve">. </w:t>
      </w:r>
      <w:r w:rsidRPr="00D32067">
        <w:rPr>
          <w:rFonts w:ascii="Verdana" w:hAnsi="Verdana" w:cs="Arial"/>
          <w:shd w:val="clear" w:color="auto" w:fill="FFFFFF"/>
        </w:rPr>
        <w:t>Es</w:t>
      </w:r>
      <w:r w:rsidRPr="00D32067">
        <w:rPr>
          <w:rFonts w:ascii="Verdana" w:hAnsi="Verdana"/>
        </w:rPr>
        <w:t>tos y otros conceptos se encuentran disponibles para consulta en el Sistema de relatoría de la Agencia, al cual se puede acceder a través del siguiente enlace:</w:t>
      </w:r>
      <w:r w:rsidRPr="00D32067">
        <w:rPr>
          <w:rFonts w:ascii="Verdana" w:hAnsi="Verdana" w:cs="Arial"/>
          <w:shd w:val="clear" w:color="auto" w:fill="FFFFFF"/>
        </w:rPr>
        <w:t xml:space="preserve"> </w:t>
      </w:r>
      <w:hyperlink r:id="rId14" w:history="1">
        <w:r w:rsidRPr="00D32067">
          <w:rPr>
            <w:rFonts w:ascii="Verdana" w:hAnsi="Verdana" w:cs="Arial"/>
            <w:color w:val="0563C1" w:themeColor="hyperlink"/>
            <w:u w:val="single"/>
            <w:shd w:val="clear" w:color="auto" w:fill="FFFFFF"/>
          </w:rPr>
          <w:t>https://relatoria.colombiacompra.gov.co/busqueda/conceptos</w:t>
        </w:r>
      </w:hyperlink>
      <w:r w:rsidRPr="00D32067">
        <w:rPr>
          <w:rFonts w:ascii="Verdana" w:hAnsi="Verdana" w:cs="Arial"/>
          <w:shd w:val="clear" w:color="auto" w:fill="FFFFFF"/>
        </w:rPr>
        <w:t>.</w:t>
      </w:r>
      <w:r w:rsidRPr="00D32067">
        <w:rPr>
          <w:rFonts w:ascii="Verdana" w:hAnsi="Verdana" w:cs="Arial"/>
          <w:color w:val="FF0000"/>
          <w:shd w:val="clear" w:color="auto" w:fill="FFFFFF"/>
        </w:rPr>
        <w:t xml:space="preserve"> </w:t>
      </w:r>
      <w:r w:rsidRPr="00D32067">
        <w:rPr>
          <w:rFonts w:ascii="Verdana" w:hAnsi="Verdana" w:cs="Arial"/>
          <w:color w:val="000000" w:themeColor="text1"/>
          <w:shd w:val="clear" w:color="auto" w:fill="FFFFFF"/>
        </w:rPr>
        <w:t>  </w:t>
      </w:r>
    </w:p>
    <w:p w14:paraId="73FADB87" w14:textId="77777777" w:rsidR="00D32067" w:rsidRPr="00D32067" w:rsidRDefault="00D32067" w:rsidP="00D32067">
      <w:pPr>
        <w:shd w:val="clear" w:color="auto" w:fill="FFFFFF"/>
        <w:spacing w:after="120" w:line="276" w:lineRule="auto"/>
        <w:ind w:firstLine="709"/>
        <w:jc w:val="both"/>
        <w:textAlignment w:val="baseline"/>
        <w:rPr>
          <w:rFonts w:ascii="Verdana" w:eastAsia="Times New Roman" w:hAnsi="Verdana" w:cs="Times New Roman"/>
          <w:lang w:eastAsia="es-CO"/>
        </w:rPr>
      </w:pPr>
      <w:r w:rsidRPr="00D32067">
        <w:rPr>
          <w:rFonts w:ascii="Verdana" w:eastAsia="Times New Roman" w:hAnsi="Verdana" w:cs="Times New Roman"/>
          <w:color w:val="000000"/>
          <w:bdr w:val="none" w:sz="0" w:space="0" w:color="auto" w:frame="1"/>
          <w:lang w:eastAsia="es-CO"/>
        </w:rPr>
        <w:t>Te informamos que ya se encuentra disponible la </w:t>
      </w:r>
      <w:r w:rsidRPr="00D32067">
        <w:rPr>
          <w:rFonts w:ascii="Verdana" w:eastAsia="Times New Roman" w:hAnsi="Verdana" w:cs="Times New Roman"/>
          <w:b/>
          <w:bCs/>
          <w:color w:val="000000"/>
          <w:bdr w:val="none" w:sz="0" w:space="0" w:color="auto" w:frame="1"/>
          <w:lang w:eastAsia="es-CO"/>
        </w:rPr>
        <w:t>Cartilla para incentivar y fortalecer el acceso a las compras y contratación pública de los pueblos y comunidades étnicas en Colombia.</w:t>
      </w:r>
      <w:r w:rsidRPr="00D32067">
        <w:rPr>
          <w:rFonts w:ascii="Verdana" w:eastAsia="Times New Roman" w:hAnsi="Verdana" w:cs="Times New Roman"/>
          <w:color w:val="000000"/>
          <w:bdr w:val="none" w:sz="0" w:space="0" w:color="auto" w:frame="1"/>
          <w:lang w:eastAsia="es-CO"/>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5" w:tgtFrame="_blank" w:tooltip="Dirección URL original: https://www.colombiacompra.gov.co/manuales-guias-y-pliegos-tipo/manuales-y-guias/cartilla-para-incentivar-y-fortalecer-el-acceso-las. Haga clic o pulse si confía en este vínculo." w:history="1">
        <w:r w:rsidRPr="00D32067">
          <w:rPr>
            <w:rFonts w:ascii="Verdana" w:eastAsia="Times New Roman" w:hAnsi="Verdana" w:cs="Times New Roman"/>
            <w:color w:val="467886"/>
            <w:u w:val="single"/>
            <w:bdr w:val="none" w:sz="0" w:space="0" w:color="auto" w:frame="1"/>
            <w:lang w:eastAsia="es-CO"/>
          </w:rPr>
          <w:t>Cartilla para incentivar y fortalecer el acceso a las compras y contratación pública de los pueblos y comunidades étnicas en Colombia | Colombia Compra Eficiente | Agencia Nacional de Contratación Pública</w:t>
        </w:r>
      </w:hyperlink>
    </w:p>
    <w:p w14:paraId="79C4BC01" w14:textId="77777777" w:rsidR="00D32067" w:rsidRPr="00D32067" w:rsidRDefault="00D32067" w:rsidP="00D32067">
      <w:pPr>
        <w:spacing w:after="120" w:line="276" w:lineRule="auto"/>
        <w:ind w:firstLine="709"/>
        <w:jc w:val="both"/>
        <w:textAlignment w:val="baseline"/>
        <w:rPr>
          <w:rFonts w:ascii="Verdana" w:eastAsia="Times New Roman" w:hAnsi="Verdana" w:cs="Times New Roman"/>
          <w:lang w:eastAsia="es-CO"/>
        </w:rPr>
      </w:pPr>
      <w:r w:rsidRPr="00D32067">
        <w:rPr>
          <w:rFonts w:ascii="Verdana" w:eastAsia="Times New Roman" w:hAnsi="Verdana" w:cs="Times New Roman"/>
          <w:color w:val="000000"/>
          <w:bdr w:val="none" w:sz="0" w:space="0" w:color="auto" w:frame="1"/>
          <w:lang w:eastAsia="es-CO"/>
        </w:rPr>
        <w:t>De otra parte, te informamos que, con el objetivo de garantizar un conocimiento adecuado de las </w:t>
      </w:r>
      <w:r w:rsidRPr="00D32067">
        <w:rPr>
          <w:rFonts w:ascii="Verdana" w:eastAsia="Times New Roman" w:hAnsi="Verdana" w:cs="Times New Roman"/>
          <w:b/>
          <w:bCs/>
          <w:color w:val="000000"/>
          <w:bdr w:val="none" w:sz="0" w:space="0" w:color="auto" w:frame="1"/>
          <w:lang w:eastAsia="es-CO"/>
        </w:rPr>
        <w:t>modificaciones y/o actualizaciones realizadas a los Documentos Tipo</w:t>
      </w:r>
      <w:r w:rsidRPr="00D32067">
        <w:rPr>
          <w:rFonts w:ascii="Verdana" w:eastAsia="Times New Roman" w:hAnsi="Verdana" w:cs="Times New Roman"/>
          <w:color w:val="000000"/>
          <w:bdr w:val="none" w:sz="0" w:space="0" w:color="auto" w:frame="1"/>
          <w:lang w:eastAsia="es-CO"/>
        </w:rPr>
        <w:t>, hemos programado una serie de </w:t>
      </w:r>
      <w:r w:rsidRPr="00D32067">
        <w:rPr>
          <w:rFonts w:ascii="Verdana" w:eastAsia="Times New Roman" w:hAnsi="Verdana" w:cs="Times New Roman"/>
          <w:b/>
          <w:bCs/>
          <w:color w:val="000000"/>
          <w:bdr w:val="none" w:sz="0" w:space="0" w:color="auto" w:frame="1"/>
          <w:lang w:eastAsia="es-CO"/>
        </w:rPr>
        <w:t>capacitaciones </w:t>
      </w:r>
      <w:r w:rsidRPr="00D32067">
        <w:rPr>
          <w:rFonts w:ascii="Verdana" w:eastAsia="Times New Roman" w:hAnsi="Verdana" w:cs="Times New Roman"/>
          <w:color w:val="000000"/>
          <w:bdr w:val="none" w:sz="0" w:space="0" w:color="auto" w:frame="1"/>
          <w:lang w:eastAsia="es-CO"/>
        </w:rPr>
        <w:t>dirigidas a todos los actores involucrados en los procesos de selección. Podrás conocer la programación y realizar tu inscripción a estas capacitaciones a través del siguiente enlace: </w:t>
      </w:r>
      <w:hyperlink r:id="rId16" w:tgtFrame="_blank" w:tooltip="Dirección URL original: https://www.colombiacompra.gov.co/ciudadanos/calendario. Haga clic o pulse si confía en este vínculo." w:history="1">
        <w:r w:rsidRPr="00D32067">
          <w:rPr>
            <w:rFonts w:ascii="Verdana" w:eastAsia="Times New Roman" w:hAnsi="Verdana" w:cs="Times New Roman"/>
            <w:color w:val="467886"/>
            <w:u w:val="single"/>
            <w:bdr w:val="none" w:sz="0" w:space="0" w:color="auto" w:frame="1"/>
            <w:lang w:eastAsia="es-CO"/>
          </w:rPr>
          <w:t>Calendario | Colombia Compra Eficiente | Agencia Nacional de Contratación Pública</w:t>
        </w:r>
      </w:hyperlink>
    </w:p>
    <w:p w14:paraId="0B6D7D35" w14:textId="77777777" w:rsidR="00D32067" w:rsidRPr="00D32067" w:rsidRDefault="00D32067" w:rsidP="00D32067">
      <w:pPr>
        <w:spacing w:after="120" w:line="276" w:lineRule="auto"/>
        <w:ind w:firstLine="709"/>
        <w:jc w:val="both"/>
        <w:textAlignment w:val="baseline"/>
        <w:rPr>
          <w:rFonts w:ascii="Verdana" w:eastAsia="Times New Roman" w:hAnsi="Verdana" w:cs="Times New Roman"/>
          <w:lang w:eastAsia="es-CO"/>
        </w:rPr>
      </w:pPr>
      <w:r w:rsidRPr="00D32067">
        <w:rPr>
          <w:rFonts w:ascii="Verdana" w:eastAsia="Times New Roman" w:hAnsi="Verdana" w:cs="Times New Roman"/>
          <w:color w:val="000000"/>
          <w:bdr w:val="none" w:sz="0" w:space="0" w:color="auto" w:frame="1"/>
          <w:lang w:eastAsia="es-CO"/>
        </w:rPr>
        <w:t>También, te contamos que ya publicamos </w:t>
      </w:r>
      <w:r w:rsidRPr="00D32067">
        <w:rPr>
          <w:rFonts w:ascii="Verdana" w:eastAsia="Times New Roman" w:hAnsi="Verdana" w:cs="Times New Roman"/>
          <w:b/>
          <w:bCs/>
          <w:color w:val="000000"/>
          <w:bdr w:val="none" w:sz="0" w:space="0" w:color="auto" w:frame="1"/>
          <w:lang w:eastAsia="es-CO"/>
        </w:rPr>
        <w:t>la nueva Guía de Contratación Pública Sostenible y Socialmente Responsable</w:t>
      </w:r>
      <w:r w:rsidRPr="00D32067">
        <w:rPr>
          <w:rFonts w:ascii="Verdana" w:eastAsia="Times New Roman" w:hAnsi="Verdana" w:cs="Times New Roman"/>
          <w:color w:val="000000"/>
          <w:bdr w:val="none" w:sz="0" w:space="0" w:color="auto" w:frame="1"/>
          <w:lang w:eastAsia="es-CO"/>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D32067">
          <w:rPr>
            <w:rFonts w:ascii="Verdana" w:eastAsia="Times New Roman" w:hAnsi="Verdana" w:cs="Times New Roman"/>
            <w:color w:val="467886"/>
            <w:u w:val="single"/>
            <w:bdr w:val="none" w:sz="0" w:space="0" w:color="auto" w:frame="1"/>
            <w:lang w:eastAsia="es-CO"/>
          </w:rPr>
          <w:t>Guía de Contratación Pública Sostenible y Socialmente Responsable | Colombia Compra Eficiente | Agencia Nacional de Contratación Pública</w:t>
        </w:r>
      </w:hyperlink>
    </w:p>
    <w:p w14:paraId="02692410" w14:textId="77777777" w:rsidR="00D32067" w:rsidRPr="00D32067" w:rsidRDefault="00D32067" w:rsidP="00D32067">
      <w:pPr>
        <w:widowControl w:val="0"/>
        <w:autoSpaceDE w:val="0"/>
        <w:autoSpaceDN w:val="0"/>
        <w:spacing w:after="0" w:line="276" w:lineRule="auto"/>
        <w:jc w:val="both"/>
        <w:rPr>
          <w:rFonts w:ascii="Verdana" w:eastAsia="Calibri" w:hAnsi="Verdana" w:cs="Arial"/>
          <w:color w:val="000000" w:themeColor="text1"/>
        </w:rPr>
      </w:pPr>
    </w:p>
    <w:p w14:paraId="16992A12" w14:textId="77777777" w:rsidR="00D32067" w:rsidRPr="00D32067" w:rsidRDefault="00D32067" w:rsidP="00D32067">
      <w:pPr>
        <w:widowControl w:val="0"/>
        <w:autoSpaceDE w:val="0"/>
        <w:autoSpaceDN w:val="0"/>
        <w:spacing w:after="0" w:line="276" w:lineRule="auto"/>
        <w:jc w:val="both"/>
        <w:rPr>
          <w:rFonts w:ascii="Verdana" w:hAnsi="Verdana" w:cs="Arial"/>
        </w:rPr>
      </w:pPr>
      <w:r w:rsidRPr="00D32067">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CEFA71F" w14:textId="77777777" w:rsidR="00D32067" w:rsidRPr="00D32067" w:rsidRDefault="00D32067" w:rsidP="00D32067">
      <w:pPr>
        <w:widowControl w:val="0"/>
        <w:autoSpaceDE w:val="0"/>
        <w:autoSpaceDN w:val="0"/>
        <w:spacing w:after="0" w:line="276" w:lineRule="auto"/>
        <w:jc w:val="both"/>
        <w:rPr>
          <w:rFonts w:ascii="Verdana" w:hAnsi="Verdana" w:cs="Arial"/>
        </w:rPr>
      </w:pPr>
    </w:p>
    <w:p w14:paraId="60EB0BAE" w14:textId="77777777" w:rsidR="00D32067" w:rsidRPr="00D32067" w:rsidRDefault="00D32067" w:rsidP="00D32067">
      <w:pPr>
        <w:spacing w:after="0" w:line="240" w:lineRule="auto"/>
        <w:rPr>
          <w:rFonts w:ascii="Verdana" w:hAnsi="Verdana" w:cs="Arial"/>
          <w:lang w:eastAsia="es-CO"/>
        </w:rPr>
      </w:pPr>
      <w:r w:rsidRPr="00D32067">
        <w:rPr>
          <w:rFonts w:ascii="Verdana" w:eastAsia="Times New Roman" w:hAnsi="Verdana" w:cs="Arial"/>
          <w:lang w:eastAsia="es-CO"/>
        </w:rPr>
        <w:t>Atentamente,</w:t>
      </w:r>
      <w:r w:rsidRPr="00D32067">
        <w:rPr>
          <w:rFonts w:ascii="Verdana" w:hAnsi="Verdana" w:cs="Arial"/>
          <w:lang w:eastAsia="es-CO"/>
        </w:rPr>
        <w:t xml:space="preserve"> </w:t>
      </w:r>
    </w:p>
    <w:p w14:paraId="342BEDA0" w14:textId="542BE294" w:rsidR="00D32067" w:rsidRPr="00D32067" w:rsidRDefault="00AD0F9F" w:rsidP="00D32067">
      <w:pPr>
        <w:spacing w:line="276" w:lineRule="auto"/>
        <w:jc w:val="center"/>
        <w:rPr>
          <w:rFonts w:ascii="Verdana" w:hAnsi="Verdana" w:cs="Arial"/>
          <w:color w:val="000000"/>
          <w:lang w:eastAsia="es-CO"/>
        </w:rPr>
      </w:pPr>
      <w:r>
        <w:rPr>
          <w:noProof/>
        </w:rPr>
        <w:lastRenderedPageBreak/>
        <w:drawing>
          <wp:inline distT="0" distB="0" distL="0" distR="0" wp14:anchorId="32A02547" wp14:editId="44C2E2A5">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32067" w:rsidRPr="00D32067" w14:paraId="2F7AEB10" w14:textId="77777777" w:rsidTr="00ED423A">
        <w:trPr>
          <w:trHeight w:val="315"/>
        </w:trPr>
        <w:tc>
          <w:tcPr>
            <w:tcW w:w="893" w:type="dxa"/>
            <w:vAlign w:val="center"/>
            <w:hideMark/>
          </w:tcPr>
          <w:p w14:paraId="1447DDAF" w14:textId="77777777" w:rsidR="00D32067" w:rsidRPr="00D32067" w:rsidRDefault="00D32067" w:rsidP="00D32067">
            <w:pPr>
              <w:contextualSpacing/>
              <w:rPr>
                <w:rFonts w:ascii="Verdana" w:hAnsi="Verdana" w:cs="Arial"/>
                <w:sz w:val="16"/>
                <w:szCs w:val="16"/>
                <w:lang w:eastAsia="es-ES"/>
              </w:rPr>
            </w:pPr>
            <w:r w:rsidRPr="00D32067">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4102BC9" w14:textId="77777777" w:rsidR="00D32067" w:rsidRPr="00D32067" w:rsidRDefault="00D32067" w:rsidP="00D32067">
            <w:pPr>
              <w:contextualSpacing/>
              <w:rPr>
                <w:rFonts w:ascii="Verdana" w:hAnsi="Verdana"/>
                <w:sz w:val="16"/>
                <w:szCs w:val="16"/>
              </w:rPr>
            </w:pPr>
            <w:r w:rsidRPr="00D32067">
              <w:rPr>
                <w:rFonts w:ascii="Verdana" w:hAnsi="Verdana"/>
                <w:sz w:val="16"/>
                <w:szCs w:val="16"/>
              </w:rPr>
              <w:t>Tatiana Baquero Iguarán</w:t>
            </w:r>
          </w:p>
          <w:p w14:paraId="1B6C941D" w14:textId="77777777" w:rsidR="00D32067" w:rsidRPr="00D32067" w:rsidRDefault="00D32067" w:rsidP="00D32067">
            <w:pPr>
              <w:contextualSpacing/>
              <w:rPr>
                <w:rFonts w:ascii="Verdana" w:eastAsia="Arial" w:hAnsi="Verdana" w:cs="Arial"/>
                <w:sz w:val="16"/>
                <w:szCs w:val="16"/>
              </w:rPr>
            </w:pPr>
            <w:r w:rsidRPr="00D32067">
              <w:rPr>
                <w:rFonts w:ascii="Verdana" w:hAnsi="Verdana"/>
                <w:sz w:val="16"/>
                <w:szCs w:val="16"/>
              </w:rPr>
              <w:t>Contratista de la Subdirección de Gestión Contractual</w:t>
            </w:r>
          </w:p>
        </w:tc>
      </w:tr>
      <w:tr w:rsidR="00D32067" w:rsidRPr="00D32067" w14:paraId="6FF90A5A" w14:textId="77777777" w:rsidTr="00ED423A">
        <w:trPr>
          <w:trHeight w:val="330"/>
        </w:trPr>
        <w:tc>
          <w:tcPr>
            <w:tcW w:w="893" w:type="dxa"/>
            <w:vAlign w:val="center"/>
            <w:hideMark/>
          </w:tcPr>
          <w:p w14:paraId="19988614" w14:textId="77777777" w:rsidR="00D32067" w:rsidRPr="00D32067" w:rsidRDefault="00D32067" w:rsidP="00D32067">
            <w:pPr>
              <w:contextualSpacing/>
              <w:rPr>
                <w:rFonts w:ascii="Verdana" w:hAnsi="Verdana" w:cs="Arial"/>
                <w:sz w:val="16"/>
                <w:szCs w:val="16"/>
                <w:lang w:eastAsia="es-ES"/>
              </w:rPr>
            </w:pPr>
            <w:r w:rsidRPr="00D32067">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B5C68C3" w14:textId="77777777" w:rsidR="00D32067" w:rsidRPr="00D32067" w:rsidRDefault="00D32067" w:rsidP="00D32067">
            <w:pPr>
              <w:spacing w:before="100" w:beforeAutospacing="1" w:after="100" w:afterAutospacing="1"/>
              <w:contextualSpacing/>
              <w:textAlignment w:val="baseline"/>
              <w:rPr>
                <w:rFonts w:ascii="Verdana" w:eastAsia="Times New Roman" w:hAnsi="Verdana" w:cs="Arial"/>
                <w:sz w:val="16"/>
                <w:szCs w:val="16"/>
                <w:lang w:eastAsia="es-ES_tradnl"/>
              </w:rPr>
            </w:pPr>
            <w:r w:rsidRPr="00D32067">
              <w:rPr>
                <w:rFonts w:ascii="Verdana" w:eastAsia="Times New Roman" w:hAnsi="Verdana" w:cs="Arial"/>
                <w:sz w:val="16"/>
                <w:szCs w:val="16"/>
                <w:lang w:eastAsia="es-ES_tradnl"/>
              </w:rPr>
              <w:t>Diana Lucía Saavedra Castañeda</w:t>
            </w:r>
          </w:p>
          <w:p w14:paraId="732BBCDB" w14:textId="77777777" w:rsidR="00D32067" w:rsidRPr="00D32067" w:rsidRDefault="00D32067" w:rsidP="00D32067">
            <w:pPr>
              <w:contextualSpacing/>
              <w:textAlignment w:val="baseline"/>
              <w:rPr>
                <w:rFonts w:ascii="Verdana" w:eastAsia="Times New Roman" w:hAnsi="Verdana" w:cs="Segoe UI"/>
                <w:sz w:val="16"/>
                <w:szCs w:val="16"/>
                <w:lang w:eastAsia="es-ES_tradnl"/>
              </w:rPr>
            </w:pPr>
            <w:r w:rsidRPr="00D32067">
              <w:rPr>
                <w:rFonts w:ascii="Verdana" w:hAnsi="Verdana"/>
                <w:sz w:val="16"/>
                <w:szCs w:val="16"/>
              </w:rPr>
              <w:t>Contratista de la Subdirección de Gestión Contractual</w:t>
            </w:r>
          </w:p>
        </w:tc>
      </w:tr>
      <w:tr w:rsidR="00D32067" w:rsidRPr="00D32067" w14:paraId="611B9537" w14:textId="77777777" w:rsidTr="00ED423A">
        <w:trPr>
          <w:trHeight w:val="300"/>
        </w:trPr>
        <w:tc>
          <w:tcPr>
            <w:tcW w:w="893" w:type="dxa"/>
            <w:vAlign w:val="center"/>
          </w:tcPr>
          <w:p w14:paraId="400F1502" w14:textId="77777777" w:rsidR="00D32067" w:rsidRPr="00D32067" w:rsidRDefault="00D32067" w:rsidP="00D32067">
            <w:pPr>
              <w:contextualSpacing/>
              <w:rPr>
                <w:rFonts w:ascii="Verdana" w:hAnsi="Verdana" w:cs="Arial"/>
                <w:sz w:val="16"/>
                <w:szCs w:val="16"/>
                <w:lang w:eastAsia="es-ES"/>
              </w:rPr>
            </w:pPr>
            <w:r w:rsidRPr="00D32067">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A5C060" w14:textId="77777777" w:rsidR="00D32067" w:rsidRPr="00D32067" w:rsidRDefault="00D32067" w:rsidP="00D32067">
            <w:pPr>
              <w:contextualSpacing/>
              <w:rPr>
                <w:rFonts w:ascii="Verdana" w:eastAsia="Calibri" w:hAnsi="Verdana" w:cs="Arial"/>
                <w:sz w:val="16"/>
                <w:szCs w:val="16"/>
                <w:lang w:eastAsia="es-ES"/>
              </w:rPr>
            </w:pPr>
            <w:r w:rsidRPr="00D32067">
              <w:rPr>
                <w:rFonts w:ascii="Verdana" w:eastAsia="Calibri" w:hAnsi="Verdana" w:cs="Arial"/>
                <w:sz w:val="16"/>
                <w:szCs w:val="16"/>
                <w:lang w:eastAsia="es-ES"/>
              </w:rPr>
              <w:t>Carolina Quintero Gacharná</w:t>
            </w:r>
          </w:p>
          <w:p w14:paraId="7AD1E3C2" w14:textId="77777777" w:rsidR="00D32067" w:rsidRPr="00D32067" w:rsidRDefault="00D32067" w:rsidP="00D32067">
            <w:pPr>
              <w:contextualSpacing/>
              <w:rPr>
                <w:rFonts w:ascii="Verdana" w:eastAsia="Calibri" w:hAnsi="Verdana" w:cs="Arial"/>
                <w:sz w:val="16"/>
                <w:szCs w:val="16"/>
                <w:lang w:eastAsia="es-ES"/>
              </w:rPr>
            </w:pPr>
            <w:r w:rsidRPr="00D32067">
              <w:rPr>
                <w:rFonts w:ascii="Verdana" w:eastAsia="Calibri" w:hAnsi="Verdana" w:cs="Arial"/>
                <w:sz w:val="16"/>
                <w:szCs w:val="16"/>
                <w:lang w:eastAsia="es-ES"/>
              </w:rPr>
              <w:t>Subdirectora de Gestión Contractual ANCP – CCE</w:t>
            </w:r>
          </w:p>
        </w:tc>
      </w:tr>
    </w:tbl>
    <w:p w14:paraId="7A38560A" w14:textId="77777777" w:rsidR="00D32067" w:rsidRPr="00D32067" w:rsidRDefault="00D32067" w:rsidP="00D32067">
      <w:pPr>
        <w:spacing w:after="0" w:line="240" w:lineRule="auto"/>
        <w:rPr>
          <w:rFonts w:ascii="Verdana" w:eastAsia="Times New Roman" w:hAnsi="Verdana" w:cs="Arial"/>
          <w:sz w:val="24"/>
          <w:szCs w:val="24"/>
          <w:lang w:eastAsia="es-ES"/>
        </w:rPr>
      </w:pPr>
    </w:p>
    <w:p w14:paraId="5E49AF86" w14:textId="77777777" w:rsidR="00D32067" w:rsidRPr="00D32067" w:rsidRDefault="00D32067" w:rsidP="00D32067"/>
    <w:p w14:paraId="4BDF851D" w14:textId="77777777" w:rsidR="00D32067" w:rsidRPr="00D32067" w:rsidRDefault="00D32067" w:rsidP="00D32067"/>
    <w:p w14:paraId="254B7F17" w14:textId="77777777" w:rsidR="00027CA9" w:rsidRDefault="00027CA9" w:rsidP="00027CA9">
      <w:pPr>
        <w:spacing w:after="0" w:line="240" w:lineRule="auto"/>
        <w:rPr>
          <w:rFonts w:ascii="Verdana" w:eastAsia="Aptos" w:hAnsi="Verdana" w:cs="Times New Roman"/>
          <w:sz w:val="20"/>
          <w:szCs w:val="20"/>
        </w:rPr>
      </w:pPr>
    </w:p>
    <w:p w14:paraId="5C574EE6" w14:textId="77777777" w:rsidR="00027CA9" w:rsidRDefault="00027CA9" w:rsidP="00027CA9">
      <w:pPr>
        <w:spacing w:after="0" w:line="240" w:lineRule="auto"/>
        <w:rPr>
          <w:rFonts w:ascii="Verdana" w:eastAsia="Aptos" w:hAnsi="Verdana" w:cs="Times New Roman"/>
          <w:sz w:val="20"/>
          <w:szCs w:val="20"/>
        </w:rPr>
      </w:pPr>
    </w:p>
    <w:p w14:paraId="1C7ABA94" w14:textId="77777777" w:rsidR="00027CA9" w:rsidRDefault="00027CA9" w:rsidP="00027CA9">
      <w:pPr>
        <w:spacing w:after="0" w:line="240" w:lineRule="auto"/>
        <w:rPr>
          <w:rFonts w:ascii="Verdana" w:eastAsia="Aptos" w:hAnsi="Verdana" w:cs="Times New Roman"/>
          <w:sz w:val="20"/>
          <w:szCs w:val="20"/>
        </w:rPr>
      </w:pPr>
    </w:p>
    <w:p w14:paraId="2B547E42" w14:textId="77777777" w:rsidR="00027CA9" w:rsidRDefault="00027CA9" w:rsidP="00027CA9">
      <w:pPr>
        <w:spacing w:after="0" w:line="240" w:lineRule="auto"/>
        <w:rPr>
          <w:rFonts w:ascii="Verdana" w:eastAsia="Aptos" w:hAnsi="Verdana" w:cs="Times New Roman"/>
          <w:sz w:val="20"/>
          <w:szCs w:val="20"/>
        </w:rPr>
      </w:pPr>
    </w:p>
    <w:p w14:paraId="637C702F" w14:textId="77777777" w:rsidR="00027CA9" w:rsidRDefault="00027CA9" w:rsidP="00027CA9">
      <w:pPr>
        <w:spacing w:after="0" w:line="240" w:lineRule="auto"/>
        <w:rPr>
          <w:rFonts w:ascii="Verdana" w:eastAsia="Aptos" w:hAnsi="Verdana" w:cs="Times New Roman"/>
          <w:sz w:val="20"/>
          <w:szCs w:val="20"/>
        </w:rPr>
      </w:pPr>
    </w:p>
    <w:p w14:paraId="37E89C7B" w14:textId="77777777" w:rsidR="00027CA9" w:rsidRDefault="00027CA9" w:rsidP="00027CA9">
      <w:pPr>
        <w:spacing w:after="0" w:line="240" w:lineRule="auto"/>
        <w:rPr>
          <w:rFonts w:ascii="Verdana" w:eastAsia="Aptos" w:hAnsi="Verdana" w:cs="Times New Roman"/>
          <w:sz w:val="20"/>
          <w:szCs w:val="20"/>
        </w:rPr>
      </w:pPr>
    </w:p>
    <w:p w14:paraId="71C7F99D" w14:textId="77777777" w:rsidR="00027CA9" w:rsidRDefault="00027CA9" w:rsidP="00027CA9">
      <w:pPr>
        <w:spacing w:after="0" w:line="240" w:lineRule="auto"/>
        <w:rPr>
          <w:rFonts w:ascii="Verdana" w:eastAsia="Aptos" w:hAnsi="Verdana" w:cs="Times New Roman"/>
          <w:sz w:val="20"/>
          <w:szCs w:val="20"/>
        </w:rPr>
      </w:pPr>
    </w:p>
    <w:p w14:paraId="1FC0018F" w14:textId="77777777" w:rsidR="00027CA9" w:rsidRDefault="00027CA9" w:rsidP="00027CA9">
      <w:pPr>
        <w:spacing w:after="0" w:line="240" w:lineRule="auto"/>
        <w:rPr>
          <w:rFonts w:ascii="Verdana" w:eastAsia="Aptos" w:hAnsi="Verdana" w:cs="Times New Roman"/>
          <w:sz w:val="20"/>
          <w:szCs w:val="20"/>
        </w:rPr>
      </w:pPr>
    </w:p>
    <w:p w14:paraId="240898CD" w14:textId="77777777" w:rsidR="00027CA9" w:rsidRDefault="00027CA9" w:rsidP="00027CA9">
      <w:pPr>
        <w:spacing w:after="0" w:line="240" w:lineRule="auto"/>
        <w:rPr>
          <w:rFonts w:ascii="Verdana" w:eastAsia="Aptos" w:hAnsi="Verdana" w:cs="Times New Roman"/>
          <w:sz w:val="20"/>
          <w:szCs w:val="20"/>
        </w:rPr>
      </w:pPr>
    </w:p>
    <w:p w14:paraId="78DABFBE" w14:textId="77777777" w:rsidR="00027CA9" w:rsidRDefault="00027CA9" w:rsidP="00027CA9">
      <w:pPr>
        <w:spacing w:after="0" w:line="240" w:lineRule="auto"/>
        <w:rPr>
          <w:rFonts w:ascii="Verdana" w:eastAsia="Aptos" w:hAnsi="Verdana" w:cs="Times New Roman"/>
          <w:sz w:val="20"/>
          <w:szCs w:val="20"/>
        </w:rPr>
      </w:pPr>
    </w:p>
    <w:bookmarkEnd w:id="0"/>
    <w:p w14:paraId="7A3FD2DA" w14:textId="77777777" w:rsidR="00027CA9" w:rsidRDefault="00027CA9" w:rsidP="00337DF3">
      <w:pPr>
        <w:spacing w:after="0" w:line="240" w:lineRule="auto"/>
        <w:rPr>
          <w:rFonts w:ascii="Verdana" w:eastAsia="Geomanist Light" w:hAnsi="Verdana" w:cs="Arial"/>
          <w:color w:val="000000" w:themeColor="text1"/>
        </w:rPr>
      </w:pPr>
    </w:p>
    <w:sectPr w:rsidR="00027CA9"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96333" w14:textId="77777777" w:rsidR="00D441C4" w:rsidRPr="009B7987" w:rsidRDefault="00D441C4" w:rsidP="00B30448">
      <w:pPr>
        <w:spacing w:after="0" w:line="240" w:lineRule="auto"/>
      </w:pPr>
      <w:r w:rsidRPr="009B7987">
        <w:separator/>
      </w:r>
    </w:p>
  </w:endnote>
  <w:endnote w:type="continuationSeparator" w:id="0">
    <w:p w14:paraId="6F84E507" w14:textId="77777777" w:rsidR="00D441C4" w:rsidRPr="009B7987" w:rsidRDefault="00D441C4" w:rsidP="00B30448">
      <w:pPr>
        <w:spacing w:after="0" w:line="240" w:lineRule="auto"/>
      </w:pPr>
      <w:r w:rsidRPr="009B7987">
        <w:continuationSeparator/>
      </w:r>
    </w:p>
  </w:endnote>
  <w:endnote w:type="continuationNotice" w:id="1">
    <w:p w14:paraId="0A0A95DE" w14:textId="77777777" w:rsidR="00D441C4" w:rsidRPr="009B7987" w:rsidRDefault="00D441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4ED55" w14:textId="77777777" w:rsidR="00D441C4" w:rsidRPr="009B7987" w:rsidRDefault="00D441C4" w:rsidP="00B30448">
      <w:pPr>
        <w:spacing w:after="0" w:line="240" w:lineRule="auto"/>
      </w:pPr>
      <w:r w:rsidRPr="009B7987">
        <w:separator/>
      </w:r>
    </w:p>
  </w:footnote>
  <w:footnote w:type="continuationSeparator" w:id="0">
    <w:p w14:paraId="5AEA00C5" w14:textId="77777777" w:rsidR="00D441C4" w:rsidRPr="009B7987" w:rsidRDefault="00D441C4" w:rsidP="00B30448">
      <w:pPr>
        <w:spacing w:after="0" w:line="240" w:lineRule="auto"/>
      </w:pPr>
      <w:r w:rsidRPr="009B7987">
        <w:continuationSeparator/>
      </w:r>
    </w:p>
  </w:footnote>
  <w:footnote w:type="continuationNotice" w:id="1">
    <w:p w14:paraId="68CD7982" w14:textId="77777777" w:rsidR="00D441C4" w:rsidRPr="009B7987" w:rsidRDefault="00D441C4">
      <w:pPr>
        <w:spacing w:after="0" w:line="240" w:lineRule="auto"/>
      </w:pPr>
    </w:p>
  </w:footnote>
  <w:footnote w:id="2">
    <w:p w14:paraId="09A8B4EF" w14:textId="77777777" w:rsidR="00D32067" w:rsidRPr="00797430" w:rsidRDefault="00D32067" w:rsidP="00D32067">
      <w:pPr>
        <w:spacing w:after="0" w:line="240" w:lineRule="auto"/>
        <w:ind w:firstLine="707"/>
        <w:jc w:val="both"/>
        <w:rPr>
          <w:rFonts w:ascii="Verdana" w:hAnsi="Verdana" w:cs="Arial"/>
          <w:sz w:val="14"/>
          <w:szCs w:val="14"/>
        </w:rPr>
      </w:pPr>
      <w:r w:rsidRPr="00797430">
        <w:rPr>
          <w:rStyle w:val="Refdenotaalpie"/>
          <w:rFonts w:ascii="Verdana" w:hAnsi="Verdana" w:cs="Arial"/>
          <w:sz w:val="14"/>
          <w:szCs w:val="14"/>
        </w:rPr>
        <w:footnoteRef/>
      </w:r>
      <w:r w:rsidRPr="00797430">
        <w:rPr>
          <w:rFonts w:ascii="Verdana" w:hAnsi="Verdana" w:cs="Arial"/>
          <w:position w:val="6"/>
          <w:sz w:val="14"/>
          <w:szCs w:val="14"/>
        </w:rPr>
        <w:t xml:space="preserve"> </w:t>
      </w:r>
      <w:r w:rsidRPr="00797430">
        <w:rPr>
          <w:rFonts w:ascii="Verdana" w:hAnsi="Verdana" w:cs="Arial"/>
          <w:sz w:val="14"/>
          <w:szCs w:val="14"/>
        </w:rPr>
        <w:t>DEIK ACOSTAMADIEDO, Carolina, Guía de Contratación Estatal: Deber de planeación y modalidades de selección, Buenos Aires, 2015, p. 59.</w:t>
      </w:r>
    </w:p>
    <w:p w14:paraId="2831F0FE" w14:textId="77777777" w:rsidR="00D32067" w:rsidRPr="00797430" w:rsidRDefault="00D32067" w:rsidP="00D32067">
      <w:pPr>
        <w:pStyle w:val="Textonotapie"/>
        <w:jc w:val="both"/>
        <w:rPr>
          <w:rFonts w:ascii="Verdana" w:hAnsi="Verdana" w:cs="Arial"/>
          <w:sz w:val="14"/>
          <w:szCs w:val="14"/>
        </w:rPr>
      </w:pPr>
    </w:p>
  </w:footnote>
  <w:footnote w:id="3">
    <w:p w14:paraId="1EF714A5" w14:textId="77777777" w:rsidR="00D32067" w:rsidRDefault="00D32067" w:rsidP="00D32067">
      <w:pPr>
        <w:pStyle w:val="Textoindependiente"/>
        <w:spacing w:after="0"/>
        <w:ind w:firstLine="709"/>
        <w:jc w:val="both"/>
        <w:rPr>
          <w:rFonts w:ascii="Verdana" w:hAnsi="Verdana" w:cs="Arial"/>
          <w:sz w:val="14"/>
          <w:szCs w:val="14"/>
        </w:rPr>
      </w:pPr>
      <w:r w:rsidRPr="00797430">
        <w:rPr>
          <w:rStyle w:val="Refdenotaalpie"/>
          <w:rFonts w:ascii="Verdana" w:hAnsi="Verdana" w:cs="Arial"/>
          <w:sz w:val="14"/>
          <w:szCs w:val="14"/>
        </w:rPr>
        <w:footnoteRef/>
      </w:r>
      <w:r w:rsidRPr="00797430">
        <w:rPr>
          <w:rFonts w:ascii="Verdana" w:hAnsi="Verdana" w:cs="Arial"/>
          <w:sz w:val="14"/>
          <w:szCs w:val="14"/>
        </w:rPr>
        <w:t xml:space="preserve"> </w:t>
      </w:r>
      <w:r w:rsidRPr="00797430">
        <w:rPr>
          <w:rFonts w:ascii="Verdana" w:hAnsi="Verdana" w:cs="Arial"/>
          <w:position w:val="6"/>
          <w:sz w:val="14"/>
          <w:szCs w:val="14"/>
        </w:rPr>
        <w:t xml:space="preserve"> </w:t>
      </w:r>
      <w:r>
        <w:rPr>
          <w:rFonts w:ascii="Verdana" w:hAnsi="Verdana" w:cs="Arial"/>
          <w:sz w:val="14"/>
          <w:szCs w:val="14"/>
        </w:rPr>
        <w:t>“</w:t>
      </w:r>
      <w:r w:rsidRPr="00797430">
        <w:rPr>
          <w:rFonts w:ascii="Verdana" w:hAnsi="Verdana" w:cs="Arial"/>
          <w:sz w:val="14"/>
          <w:szCs w:val="14"/>
        </w:rPr>
        <w:t xml:space="preserve">Artículo </w:t>
      </w:r>
      <w:bookmarkStart w:id="4" w:name="_Hlk54173885"/>
      <w:r w:rsidRPr="00797430">
        <w:rPr>
          <w:rFonts w:ascii="Verdana" w:hAnsi="Verdana" w:cs="Arial"/>
          <w:sz w:val="14"/>
          <w:szCs w:val="14"/>
        </w:rPr>
        <w:t>2.2.1.1.2.1.1</w:t>
      </w:r>
      <w:bookmarkEnd w:id="4"/>
      <w:r w:rsidRPr="00797430">
        <w:rPr>
          <w:rFonts w:ascii="Verdana" w:hAnsi="Verdana" w:cs="Arial"/>
          <w:sz w:val="14"/>
          <w:szCs w:val="14"/>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r>
        <w:rPr>
          <w:rFonts w:ascii="Verdana" w:hAnsi="Verdana" w:cs="Arial"/>
          <w:sz w:val="14"/>
          <w:szCs w:val="14"/>
        </w:rPr>
        <w:t>”</w:t>
      </w:r>
      <w:r w:rsidRPr="00797430">
        <w:rPr>
          <w:rFonts w:ascii="Verdana" w:hAnsi="Verdana" w:cs="Arial"/>
          <w:sz w:val="14"/>
          <w:szCs w:val="14"/>
        </w:rPr>
        <w:t>.</w:t>
      </w:r>
    </w:p>
    <w:p w14:paraId="07DFC5A7" w14:textId="77777777" w:rsidR="00D32067" w:rsidRPr="00797430" w:rsidRDefault="00D32067" w:rsidP="00D32067">
      <w:pPr>
        <w:pStyle w:val="Textoindependiente"/>
        <w:spacing w:after="0"/>
        <w:ind w:firstLine="709"/>
        <w:jc w:val="both"/>
        <w:rPr>
          <w:rFonts w:ascii="Verdana" w:hAnsi="Verdana" w:cs="Arial"/>
          <w:sz w:val="14"/>
          <w:szCs w:val="14"/>
        </w:rPr>
      </w:pPr>
    </w:p>
  </w:footnote>
  <w:footnote w:id="4">
    <w:p w14:paraId="2EAE44A0" w14:textId="77777777" w:rsidR="00D32067" w:rsidRPr="00797430" w:rsidRDefault="00D32067" w:rsidP="00D32067">
      <w:pPr>
        <w:pStyle w:val="Textoindependiente"/>
        <w:spacing w:after="0"/>
        <w:ind w:firstLine="709"/>
        <w:jc w:val="both"/>
        <w:rPr>
          <w:rFonts w:ascii="Verdana" w:hAnsi="Verdana" w:cs="Arial"/>
          <w:sz w:val="14"/>
          <w:szCs w:val="14"/>
        </w:rPr>
      </w:pPr>
      <w:r w:rsidRPr="00797430">
        <w:rPr>
          <w:rStyle w:val="Refdenotaalpie"/>
          <w:rFonts w:ascii="Verdana" w:hAnsi="Verdana" w:cs="Arial"/>
          <w:sz w:val="14"/>
          <w:szCs w:val="14"/>
        </w:rPr>
        <w:footnoteRef/>
      </w:r>
      <w:r w:rsidRPr="00797430">
        <w:rPr>
          <w:rFonts w:ascii="Verdana" w:hAnsi="Verdana" w:cs="Arial"/>
          <w:sz w:val="14"/>
          <w:szCs w:val="14"/>
        </w:rPr>
        <w:t xml:space="preserve"> Consejo de Estado. Sección Tercera. Subsección B. Sentencia del 31 de agosto de 2011. Exp. 18.080. C.P. Ruth Stella Correa Palacio: </w:t>
      </w:r>
      <w:r>
        <w:rPr>
          <w:rFonts w:ascii="Verdana" w:hAnsi="Verdana" w:cs="Arial"/>
          <w:sz w:val="14"/>
          <w:szCs w:val="14"/>
        </w:rPr>
        <w:t>“</w:t>
      </w:r>
      <w:r w:rsidRPr="00797430">
        <w:rPr>
          <w:rFonts w:ascii="Verdana" w:hAnsi="Verdana" w:cs="Arial"/>
          <w:sz w:val="14"/>
          <w:szCs w:val="14"/>
        </w:rPr>
        <w:t>(…)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r>
        <w:rPr>
          <w:rFonts w:ascii="Verdana" w:hAnsi="Verdana" w:cs="Arial"/>
          <w:sz w:val="14"/>
          <w:szCs w:val="14"/>
        </w:rPr>
        <w:t>”.</w:t>
      </w:r>
    </w:p>
  </w:footnote>
  <w:footnote w:id="5">
    <w:p w14:paraId="6E8B875D" w14:textId="77777777" w:rsidR="00D32067" w:rsidRPr="00797430" w:rsidRDefault="00D32067" w:rsidP="00D32067">
      <w:pPr>
        <w:pStyle w:val="Textonotapie"/>
        <w:ind w:firstLine="709"/>
        <w:jc w:val="both"/>
        <w:rPr>
          <w:rFonts w:ascii="Verdana" w:hAnsi="Verdana" w:cs="Arial"/>
          <w:color w:val="000000" w:themeColor="text1"/>
          <w:sz w:val="14"/>
          <w:szCs w:val="14"/>
        </w:rPr>
      </w:pPr>
      <w:r w:rsidRPr="00797430">
        <w:rPr>
          <w:rStyle w:val="Refdenotaalpie"/>
          <w:rFonts w:ascii="Verdana" w:hAnsi="Verdana" w:cs="Arial"/>
          <w:sz w:val="14"/>
          <w:szCs w:val="14"/>
        </w:rPr>
        <w:footnoteRef/>
      </w:r>
      <w:r w:rsidRPr="00797430">
        <w:rPr>
          <w:rFonts w:ascii="Verdana" w:hAnsi="Verdana" w:cs="Arial"/>
          <w:sz w:val="14"/>
          <w:szCs w:val="14"/>
        </w:rPr>
        <w:t xml:space="preserve"> </w:t>
      </w:r>
      <w:r w:rsidRPr="00797430">
        <w:rPr>
          <w:rFonts w:ascii="Verdana" w:hAnsi="Verdana" w:cs="Arial"/>
          <w:sz w:val="14"/>
          <w:szCs w:val="14"/>
          <w:lang w:val="es-CO"/>
        </w:rPr>
        <w:t xml:space="preserve">La Versión 02 de esta Guía fue adoptada el 24 de junio de 2022. Disponible en </w:t>
      </w:r>
      <w:hyperlink r:id="rId1" w:history="1">
        <w:r w:rsidRPr="00797430">
          <w:rPr>
            <w:rStyle w:val="Hipervnculo"/>
            <w:rFonts w:ascii="Verdana" w:hAnsi="Verdana" w:cs="Arial"/>
            <w:color w:val="000000" w:themeColor="text1"/>
            <w:sz w:val="14"/>
            <w:szCs w:val="14"/>
          </w:rPr>
          <w:t>https://colombiacompra.gov.co/sites/cce_public/files/cce_documentos/cce-eicp-gi-18._gees_v.2_2.pdf</w:t>
        </w:r>
      </w:hyperlink>
      <w:r w:rsidRPr="00797430">
        <w:rPr>
          <w:rFonts w:ascii="Verdana" w:hAnsi="Verdana" w:cs="Arial"/>
          <w:color w:val="000000" w:themeColor="text1"/>
          <w:sz w:val="14"/>
          <w:szCs w:val="14"/>
        </w:rPr>
        <w:t xml:space="preserve">  </w:t>
      </w:r>
    </w:p>
    <w:p w14:paraId="79D4E16F" w14:textId="77777777" w:rsidR="00D32067" w:rsidRPr="00797430" w:rsidRDefault="00D32067" w:rsidP="00D32067">
      <w:pPr>
        <w:pStyle w:val="Textonotapie"/>
        <w:ind w:firstLine="709"/>
        <w:jc w:val="both"/>
        <w:rPr>
          <w:rFonts w:ascii="Verdana" w:hAnsi="Verdana" w:cs="Arial"/>
          <w:sz w:val="14"/>
          <w:szCs w:val="14"/>
          <w:lang w:val="es-CO"/>
        </w:rPr>
      </w:pPr>
    </w:p>
  </w:footnote>
  <w:footnote w:id="6">
    <w:p w14:paraId="76D959D4" w14:textId="77777777" w:rsidR="00D32067" w:rsidRPr="00797430" w:rsidRDefault="00D32067" w:rsidP="00D32067">
      <w:pPr>
        <w:pStyle w:val="Textonotapie"/>
        <w:ind w:firstLine="709"/>
        <w:jc w:val="both"/>
        <w:rPr>
          <w:rFonts w:ascii="Verdana" w:hAnsi="Verdana" w:cs="Arial"/>
          <w:sz w:val="14"/>
          <w:szCs w:val="14"/>
          <w:lang w:val="es-ES"/>
        </w:rPr>
      </w:pPr>
      <w:r w:rsidRPr="00797430">
        <w:rPr>
          <w:rStyle w:val="Refdenotaalpie"/>
          <w:rFonts w:ascii="Verdana" w:hAnsi="Verdana" w:cs="Arial"/>
          <w:sz w:val="14"/>
          <w:szCs w:val="14"/>
        </w:rPr>
        <w:footnoteRef/>
      </w:r>
      <w:r w:rsidRPr="00797430">
        <w:rPr>
          <w:rFonts w:ascii="Verdana" w:hAnsi="Verdana" w:cs="Arial"/>
          <w:sz w:val="14"/>
          <w:szCs w:val="14"/>
        </w:rPr>
        <w:t xml:space="preserve"> De conformidad con lo indicado en la Guía, e</w:t>
      </w:r>
      <w:r w:rsidRPr="00797430">
        <w:rPr>
          <w:rFonts w:ascii="Verdana" w:hAnsi="Verdana" w:cs="Arial"/>
          <w:sz w:val="14"/>
          <w:szCs w:val="14"/>
          <w:lang w:val="es-ES"/>
        </w:rPr>
        <w:t>l MAE hace parte de la Política de Compras y Contratación Pública, enmarcada dentro del Modelo Integrado de Planeación y Gestión- MIPG, y se articula con las demás buenas prácticas y herramientas usadas en los procesos de compra y contratación estatal que han sido desarrolladas por la Agencia Nacional de Contratación Pública – Colombia Compra Eficiente, con el fin de generar una mayor eficiencia, transparencia y optimización de los recursos del Estado.</w:t>
      </w:r>
    </w:p>
  </w:footnote>
  <w:footnote w:id="7">
    <w:p w14:paraId="0B58199F" w14:textId="77777777" w:rsidR="00D32067" w:rsidRPr="00797430" w:rsidRDefault="00D32067" w:rsidP="00D32067">
      <w:pPr>
        <w:pStyle w:val="Textonotapie"/>
        <w:ind w:firstLine="708"/>
        <w:jc w:val="both"/>
        <w:rPr>
          <w:rFonts w:ascii="Verdana" w:hAnsi="Verdana" w:cs="Arial"/>
          <w:sz w:val="14"/>
          <w:szCs w:val="14"/>
        </w:rPr>
      </w:pPr>
      <w:r w:rsidRPr="00797430">
        <w:rPr>
          <w:rStyle w:val="Refdenotaalpie"/>
          <w:rFonts w:ascii="Verdana" w:hAnsi="Verdana" w:cs="Arial"/>
          <w:sz w:val="14"/>
          <w:szCs w:val="14"/>
        </w:rPr>
        <w:footnoteRef/>
      </w:r>
      <w:r w:rsidRPr="00797430">
        <w:rPr>
          <w:rFonts w:ascii="Verdana" w:hAnsi="Verdana" w:cs="Arial"/>
          <w:sz w:val="14"/>
          <w:szCs w:val="14"/>
        </w:rPr>
        <w:t xml:space="preserve"> Consejo de Estado. Sección Tercera. Sentencia del 27 de abril de 2011. Exp. 18.293. C.P. Ruth Stella Correa Palacio.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4"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0"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5"/>
  </w:num>
  <w:num w:numId="3" w16cid:durableId="679089576">
    <w:abstractNumId w:val="8"/>
  </w:num>
  <w:num w:numId="4" w16cid:durableId="893472101">
    <w:abstractNumId w:val="2"/>
  </w:num>
  <w:num w:numId="5" w16cid:durableId="1982299905">
    <w:abstractNumId w:val="15"/>
  </w:num>
  <w:num w:numId="6" w16cid:durableId="130758360">
    <w:abstractNumId w:val="10"/>
  </w:num>
  <w:num w:numId="7" w16cid:durableId="262541512">
    <w:abstractNumId w:val="14"/>
  </w:num>
  <w:num w:numId="8" w16cid:durableId="1947226218">
    <w:abstractNumId w:val="7"/>
  </w:num>
  <w:num w:numId="9" w16cid:durableId="1180706126">
    <w:abstractNumId w:val="9"/>
  </w:num>
  <w:num w:numId="10" w16cid:durableId="2097506960">
    <w:abstractNumId w:val="13"/>
  </w:num>
  <w:num w:numId="11" w16cid:durableId="1977490869">
    <w:abstractNumId w:val="12"/>
  </w:num>
  <w:num w:numId="12" w16cid:durableId="158663248">
    <w:abstractNumId w:val="11"/>
  </w:num>
  <w:num w:numId="13" w16cid:durableId="2024085788">
    <w:abstractNumId w:val="1"/>
  </w:num>
  <w:num w:numId="14" w16cid:durableId="1885099950">
    <w:abstractNumId w:val="6"/>
  </w:num>
  <w:num w:numId="15" w16cid:durableId="32047459">
    <w:abstractNumId w:val="3"/>
  </w:num>
  <w:num w:numId="16" w16cid:durableId="11922618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1025F"/>
    <w:rsid w:val="0001155E"/>
    <w:rsid w:val="00011613"/>
    <w:rsid w:val="00011D3C"/>
    <w:rsid w:val="0001222D"/>
    <w:rsid w:val="00012EDA"/>
    <w:rsid w:val="00013B3F"/>
    <w:rsid w:val="00014981"/>
    <w:rsid w:val="00014B0D"/>
    <w:rsid w:val="00016280"/>
    <w:rsid w:val="0001672C"/>
    <w:rsid w:val="00016F04"/>
    <w:rsid w:val="00017870"/>
    <w:rsid w:val="00021595"/>
    <w:rsid w:val="000219D1"/>
    <w:rsid w:val="00021C3A"/>
    <w:rsid w:val="0002202D"/>
    <w:rsid w:val="00022C23"/>
    <w:rsid w:val="00023DF7"/>
    <w:rsid w:val="000267DD"/>
    <w:rsid w:val="000273EA"/>
    <w:rsid w:val="00027B63"/>
    <w:rsid w:val="00027CA9"/>
    <w:rsid w:val="00030B3D"/>
    <w:rsid w:val="00030BC5"/>
    <w:rsid w:val="00030BFB"/>
    <w:rsid w:val="00031DA1"/>
    <w:rsid w:val="00031EAF"/>
    <w:rsid w:val="00033390"/>
    <w:rsid w:val="000361EA"/>
    <w:rsid w:val="000369C0"/>
    <w:rsid w:val="00037A8B"/>
    <w:rsid w:val="00040372"/>
    <w:rsid w:val="000408AD"/>
    <w:rsid w:val="00041469"/>
    <w:rsid w:val="000419D7"/>
    <w:rsid w:val="00042DD7"/>
    <w:rsid w:val="000442CC"/>
    <w:rsid w:val="000442DE"/>
    <w:rsid w:val="00044B24"/>
    <w:rsid w:val="0004508D"/>
    <w:rsid w:val="0004709D"/>
    <w:rsid w:val="000504AA"/>
    <w:rsid w:val="0005086B"/>
    <w:rsid w:val="00050C95"/>
    <w:rsid w:val="00050CAD"/>
    <w:rsid w:val="0005142D"/>
    <w:rsid w:val="00051A3C"/>
    <w:rsid w:val="00051BE4"/>
    <w:rsid w:val="000526A8"/>
    <w:rsid w:val="0005420B"/>
    <w:rsid w:val="000551CB"/>
    <w:rsid w:val="0005620B"/>
    <w:rsid w:val="00057392"/>
    <w:rsid w:val="000577A2"/>
    <w:rsid w:val="000577D3"/>
    <w:rsid w:val="00057963"/>
    <w:rsid w:val="000579AB"/>
    <w:rsid w:val="00060AE4"/>
    <w:rsid w:val="000622B9"/>
    <w:rsid w:val="00064721"/>
    <w:rsid w:val="00065973"/>
    <w:rsid w:val="00065C6D"/>
    <w:rsid w:val="000665D3"/>
    <w:rsid w:val="00066646"/>
    <w:rsid w:val="00066C7A"/>
    <w:rsid w:val="0007144A"/>
    <w:rsid w:val="000716AB"/>
    <w:rsid w:val="00071AB8"/>
    <w:rsid w:val="0007243A"/>
    <w:rsid w:val="000762C0"/>
    <w:rsid w:val="00076C2B"/>
    <w:rsid w:val="00076C73"/>
    <w:rsid w:val="00076F81"/>
    <w:rsid w:val="000779DE"/>
    <w:rsid w:val="000800B6"/>
    <w:rsid w:val="000847A0"/>
    <w:rsid w:val="00084BFD"/>
    <w:rsid w:val="00087073"/>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6B0C"/>
    <w:rsid w:val="00097285"/>
    <w:rsid w:val="000975EA"/>
    <w:rsid w:val="000A021A"/>
    <w:rsid w:val="000A1828"/>
    <w:rsid w:val="000A1D06"/>
    <w:rsid w:val="000A1F38"/>
    <w:rsid w:val="000A2030"/>
    <w:rsid w:val="000A413A"/>
    <w:rsid w:val="000A4F1E"/>
    <w:rsid w:val="000A5881"/>
    <w:rsid w:val="000A66A1"/>
    <w:rsid w:val="000A69FB"/>
    <w:rsid w:val="000B1087"/>
    <w:rsid w:val="000B199A"/>
    <w:rsid w:val="000B1FF7"/>
    <w:rsid w:val="000B2529"/>
    <w:rsid w:val="000B2B7C"/>
    <w:rsid w:val="000B381D"/>
    <w:rsid w:val="000B3DD4"/>
    <w:rsid w:val="000B4024"/>
    <w:rsid w:val="000B44BA"/>
    <w:rsid w:val="000B5313"/>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D0372"/>
    <w:rsid w:val="000D0ADE"/>
    <w:rsid w:val="000D1A8F"/>
    <w:rsid w:val="000D2914"/>
    <w:rsid w:val="000D2E60"/>
    <w:rsid w:val="000D2F50"/>
    <w:rsid w:val="000D3275"/>
    <w:rsid w:val="000D3A1B"/>
    <w:rsid w:val="000D5008"/>
    <w:rsid w:val="000D570C"/>
    <w:rsid w:val="000D5A0F"/>
    <w:rsid w:val="000D5B1E"/>
    <w:rsid w:val="000D5D9B"/>
    <w:rsid w:val="000D5E3F"/>
    <w:rsid w:val="000D6532"/>
    <w:rsid w:val="000D6E33"/>
    <w:rsid w:val="000E0622"/>
    <w:rsid w:val="000E07AA"/>
    <w:rsid w:val="000E1D6F"/>
    <w:rsid w:val="000E3381"/>
    <w:rsid w:val="000E3744"/>
    <w:rsid w:val="000E3CD9"/>
    <w:rsid w:val="000E481D"/>
    <w:rsid w:val="000E4DBF"/>
    <w:rsid w:val="000E4DF2"/>
    <w:rsid w:val="000F0144"/>
    <w:rsid w:val="000F0807"/>
    <w:rsid w:val="000F0B3C"/>
    <w:rsid w:val="000F13D5"/>
    <w:rsid w:val="000F1AD8"/>
    <w:rsid w:val="000F2F4C"/>
    <w:rsid w:val="000F38D9"/>
    <w:rsid w:val="000F3CED"/>
    <w:rsid w:val="000F414C"/>
    <w:rsid w:val="000F64FC"/>
    <w:rsid w:val="000F696E"/>
    <w:rsid w:val="000F718E"/>
    <w:rsid w:val="001001F2"/>
    <w:rsid w:val="00100207"/>
    <w:rsid w:val="001003C6"/>
    <w:rsid w:val="00100682"/>
    <w:rsid w:val="001010D3"/>
    <w:rsid w:val="00101C11"/>
    <w:rsid w:val="00102F4F"/>
    <w:rsid w:val="001034DD"/>
    <w:rsid w:val="00104425"/>
    <w:rsid w:val="00104B4C"/>
    <w:rsid w:val="001055A2"/>
    <w:rsid w:val="0010682A"/>
    <w:rsid w:val="00106C4C"/>
    <w:rsid w:val="00107DEF"/>
    <w:rsid w:val="0011037E"/>
    <w:rsid w:val="00110404"/>
    <w:rsid w:val="00110F73"/>
    <w:rsid w:val="00111E35"/>
    <w:rsid w:val="001128B4"/>
    <w:rsid w:val="00112EBD"/>
    <w:rsid w:val="001132C2"/>
    <w:rsid w:val="0011382D"/>
    <w:rsid w:val="00113AF2"/>
    <w:rsid w:val="00113C17"/>
    <w:rsid w:val="00114051"/>
    <w:rsid w:val="00114FDF"/>
    <w:rsid w:val="0011650B"/>
    <w:rsid w:val="00116616"/>
    <w:rsid w:val="00116FC5"/>
    <w:rsid w:val="00117BBD"/>
    <w:rsid w:val="001213E7"/>
    <w:rsid w:val="001224BA"/>
    <w:rsid w:val="001238BC"/>
    <w:rsid w:val="00124518"/>
    <w:rsid w:val="001248AB"/>
    <w:rsid w:val="00124981"/>
    <w:rsid w:val="00124B2E"/>
    <w:rsid w:val="00125D81"/>
    <w:rsid w:val="00126301"/>
    <w:rsid w:val="0012661F"/>
    <w:rsid w:val="001269B0"/>
    <w:rsid w:val="00126B24"/>
    <w:rsid w:val="00127234"/>
    <w:rsid w:val="001276C4"/>
    <w:rsid w:val="00127C68"/>
    <w:rsid w:val="00127D5B"/>
    <w:rsid w:val="00131373"/>
    <w:rsid w:val="001314A0"/>
    <w:rsid w:val="00131A1F"/>
    <w:rsid w:val="00131A66"/>
    <w:rsid w:val="00131F9C"/>
    <w:rsid w:val="00132336"/>
    <w:rsid w:val="00132425"/>
    <w:rsid w:val="0013280A"/>
    <w:rsid w:val="0013343F"/>
    <w:rsid w:val="001344F9"/>
    <w:rsid w:val="00135F76"/>
    <w:rsid w:val="001360E9"/>
    <w:rsid w:val="001360F4"/>
    <w:rsid w:val="001363C7"/>
    <w:rsid w:val="00136E87"/>
    <w:rsid w:val="00140793"/>
    <w:rsid w:val="001422BD"/>
    <w:rsid w:val="0014286D"/>
    <w:rsid w:val="00143B8E"/>
    <w:rsid w:val="00143F21"/>
    <w:rsid w:val="0014420C"/>
    <w:rsid w:val="001446C3"/>
    <w:rsid w:val="001461A7"/>
    <w:rsid w:val="00146946"/>
    <w:rsid w:val="00146E7C"/>
    <w:rsid w:val="001513CE"/>
    <w:rsid w:val="00151465"/>
    <w:rsid w:val="00151AD8"/>
    <w:rsid w:val="00151E77"/>
    <w:rsid w:val="00153287"/>
    <w:rsid w:val="001538BE"/>
    <w:rsid w:val="00153C33"/>
    <w:rsid w:val="00155198"/>
    <w:rsid w:val="00155EF1"/>
    <w:rsid w:val="00156192"/>
    <w:rsid w:val="00156E57"/>
    <w:rsid w:val="0015710D"/>
    <w:rsid w:val="00157338"/>
    <w:rsid w:val="00157DEB"/>
    <w:rsid w:val="001610BC"/>
    <w:rsid w:val="00161847"/>
    <w:rsid w:val="00161E13"/>
    <w:rsid w:val="001629D8"/>
    <w:rsid w:val="00162B2A"/>
    <w:rsid w:val="00162B8D"/>
    <w:rsid w:val="00162F9F"/>
    <w:rsid w:val="00164803"/>
    <w:rsid w:val="00164AE0"/>
    <w:rsid w:val="00165BF5"/>
    <w:rsid w:val="0016646A"/>
    <w:rsid w:val="00167C43"/>
    <w:rsid w:val="0017120C"/>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65BB"/>
    <w:rsid w:val="0017667E"/>
    <w:rsid w:val="00176AE8"/>
    <w:rsid w:val="00176E76"/>
    <w:rsid w:val="00177570"/>
    <w:rsid w:val="00177E95"/>
    <w:rsid w:val="0018007F"/>
    <w:rsid w:val="001811FC"/>
    <w:rsid w:val="00182338"/>
    <w:rsid w:val="00182348"/>
    <w:rsid w:val="00183F50"/>
    <w:rsid w:val="00184BD9"/>
    <w:rsid w:val="00184ED6"/>
    <w:rsid w:val="00184F13"/>
    <w:rsid w:val="00184FD9"/>
    <w:rsid w:val="00186037"/>
    <w:rsid w:val="00186AE4"/>
    <w:rsid w:val="00186D14"/>
    <w:rsid w:val="001876D8"/>
    <w:rsid w:val="00190325"/>
    <w:rsid w:val="00190391"/>
    <w:rsid w:val="001908AD"/>
    <w:rsid w:val="0019151E"/>
    <w:rsid w:val="00191593"/>
    <w:rsid w:val="001918F1"/>
    <w:rsid w:val="0019196E"/>
    <w:rsid w:val="00191FF5"/>
    <w:rsid w:val="001926D7"/>
    <w:rsid w:val="00192CCE"/>
    <w:rsid w:val="0019385B"/>
    <w:rsid w:val="00193F1C"/>
    <w:rsid w:val="001948F5"/>
    <w:rsid w:val="00194958"/>
    <w:rsid w:val="00197205"/>
    <w:rsid w:val="0019793F"/>
    <w:rsid w:val="00197A9D"/>
    <w:rsid w:val="001A08E7"/>
    <w:rsid w:val="001A17D7"/>
    <w:rsid w:val="001A1FDD"/>
    <w:rsid w:val="001A2D8F"/>
    <w:rsid w:val="001A3D89"/>
    <w:rsid w:val="001A545B"/>
    <w:rsid w:val="001A54DA"/>
    <w:rsid w:val="001A6861"/>
    <w:rsid w:val="001A6FEC"/>
    <w:rsid w:val="001B08B5"/>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E89"/>
    <w:rsid w:val="001C0125"/>
    <w:rsid w:val="001C1074"/>
    <w:rsid w:val="001C25F5"/>
    <w:rsid w:val="001C34D0"/>
    <w:rsid w:val="001C4249"/>
    <w:rsid w:val="001C4F27"/>
    <w:rsid w:val="001C6573"/>
    <w:rsid w:val="001C7D03"/>
    <w:rsid w:val="001D00BE"/>
    <w:rsid w:val="001D079B"/>
    <w:rsid w:val="001D0D32"/>
    <w:rsid w:val="001D17C9"/>
    <w:rsid w:val="001D1AB9"/>
    <w:rsid w:val="001D1F20"/>
    <w:rsid w:val="001D3795"/>
    <w:rsid w:val="001D4006"/>
    <w:rsid w:val="001D54BD"/>
    <w:rsid w:val="001D5C72"/>
    <w:rsid w:val="001D626E"/>
    <w:rsid w:val="001D733B"/>
    <w:rsid w:val="001E0902"/>
    <w:rsid w:val="001E1801"/>
    <w:rsid w:val="001E1C73"/>
    <w:rsid w:val="001E1E05"/>
    <w:rsid w:val="001E22D2"/>
    <w:rsid w:val="001E2343"/>
    <w:rsid w:val="001E3A17"/>
    <w:rsid w:val="001E3FCB"/>
    <w:rsid w:val="001E52DF"/>
    <w:rsid w:val="001E6BCB"/>
    <w:rsid w:val="001E783B"/>
    <w:rsid w:val="001E7FBC"/>
    <w:rsid w:val="001F0822"/>
    <w:rsid w:val="001F08CB"/>
    <w:rsid w:val="001F15F6"/>
    <w:rsid w:val="001F179C"/>
    <w:rsid w:val="001F24B7"/>
    <w:rsid w:val="001F2649"/>
    <w:rsid w:val="001F3496"/>
    <w:rsid w:val="001F41CA"/>
    <w:rsid w:val="001F4355"/>
    <w:rsid w:val="001F4819"/>
    <w:rsid w:val="001F61DE"/>
    <w:rsid w:val="001F7054"/>
    <w:rsid w:val="002000AA"/>
    <w:rsid w:val="00201502"/>
    <w:rsid w:val="0020302A"/>
    <w:rsid w:val="002032A0"/>
    <w:rsid w:val="00203532"/>
    <w:rsid w:val="00203AE0"/>
    <w:rsid w:val="00204106"/>
    <w:rsid w:val="00204109"/>
    <w:rsid w:val="00205041"/>
    <w:rsid w:val="0020524C"/>
    <w:rsid w:val="002059E3"/>
    <w:rsid w:val="002100FF"/>
    <w:rsid w:val="002118D1"/>
    <w:rsid w:val="00211DCE"/>
    <w:rsid w:val="00212390"/>
    <w:rsid w:val="00212897"/>
    <w:rsid w:val="0021386A"/>
    <w:rsid w:val="00213C44"/>
    <w:rsid w:val="002147EE"/>
    <w:rsid w:val="00215516"/>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5AB"/>
    <w:rsid w:val="002231B0"/>
    <w:rsid w:val="002250D1"/>
    <w:rsid w:val="002267D2"/>
    <w:rsid w:val="00230839"/>
    <w:rsid w:val="00231ADB"/>
    <w:rsid w:val="00232178"/>
    <w:rsid w:val="00232248"/>
    <w:rsid w:val="00232D12"/>
    <w:rsid w:val="00233975"/>
    <w:rsid w:val="002353E3"/>
    <w:rsid w:val="00235F30"/>
    <w:rsid w:val="00236287"/>
    <w:rsid w:val="002363FF"/>
    <w:rsid w:val="00236D10"/>
    <w:rsid w:val="002407CE"/>
    <w:rsid w:val="00242325"/>
    <w:rsid w:val="00243A38"/>
    <w:rsid w:val="0024474F"/>
    <w:rsid w:val="00244761"/>
    <w:rsid w:val="002450F2"/>
    <w:rsid w:val="00245B7F"/>
    <w:rsid w:val="002469C2"/>
    <w:rsid w:val="00247BDE"/>
    <w:rsid w:val="00247DE2"/>
    <w:rsid w:val="002505DE"/>
    <w:rsid w:val="002514FA"/>
    <w:rsid w:val="00252503"/>
    <w:rsid w:val="00252ED7"/>
    <w:rsid w:val="0025393C"/>
    <w:rsid w:val="002549E7"/>
    <w:rsid w:val="00254A7A"/>
    <w:rsid w:val="00254EA4"/>
    <w:rsid w:val="0025509C"/>
    <w:rsid w:val="002552F8"/>
    <w:rsid w:val="0025575F"/>
    <w:rsid w:val="002571E3"/>
    <w:rsid w:val="00260496"/>
    <w:rsid w:val="00260542"/>
    <w:rsid w:val="00260BAD"/>
    <w:rsid w:val="0026224C"/>
    <w:rsid w:val="00264C7C"/>
    <w:rsid w:val="0026650F"/>
    <w:rsid w:val="00266DC3"/>
    <w:rsid w:val="0027029D"/>
    <w:rsid w:val="00270443"/>
    <w:rsid w:val="00270EE2"/>
    <w:rsid w:val="0027138C"/>
    <w:rsid w:val="00272787"/>
    <w:rsid w:val="00272826"/>
    <w:rsid w:val="00272A7B"/>
    <w:rsid w:val="00272C44"/>
    <w:rsid w:val="00273527"/>
    <w:rsid w:val="00273F6B"/>
    <w:rsid w:val="002747EF"/>
    <w:rsid w:val="00274B06"/>
    <w:rsid w:val="002751D6"/>
    <w:rsid w:val="002754D3"/>
    <w:rsid w:val="00276944"/>
    <w:rsid w:val="002769AE"/>
    <w:rsid w:val="002817A6"/>
    <w:rsid w:val="002821E8"/>
    <w:rsid w:val="00282F1D"/>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B64"/>
    <w:rsid w:val="00291CB7"/>
    <w:rsid w:val="00292E91"/>
    <w:rsid w:val="002930AD"/>
    <w:rsid w:val="00293254"/>
    <w:rsid w:val="00295002"/>
    <w:rsid w:val="0029568E"/>
    <w:rsid w:val="002971C7"/>
    <w:rsid w:val="002971F2"/>
    <w:rsid w:val="00297785"/>
    <w:rsid w:val="00297E05"/>
    <w:rsid w:val="002A0444"/>
    <w:rsid w:val="002A0F8D"/>
    <w:rsid w:val="002A1311"/>
    <w:rsid w:val="002A1377"/>
    <w:rsid w:val="002A211A"/>
    <w:rsid w:val="002A264B"/>
    <w:rsid w:val="002A4A82"/>
    <w:rsid w:val="002A4B33"/>
    <w:rsid w:val="002A5311"/>
    <w:rsid w:val="002A6E9B"/>
    <w:rsid w:val="002A6FBB"/>
    <w:rsid w:val="002B05D1"/>
    <w:rsid w:val="002B1933"/>
    <w:rsid w:val="002B20BD"/>
    <w:rsid w:val="002B2611"/>
    <w:rsid w:val="002B38D2"/>
    <w:rsid w:val="002B3A46"/>
    <w:rsid w:val="002B3F1C"/>
    <w:rsid w:val="002B4ED9"/>
    <w:rsid w:val="002B4EF4"/>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532B"/>
    <w:rsid w:val="002C6D15"/>
    <w:rsid w:val="002C72F4"/>
    <w:rsid w:val="002C7E5B"/>
    <w:rsid w:val="002D0907"/>
    <w:rsid w:val="002D0E9E"/>
    <w:rsid w:val="002D1381"/>
    <w:rsid w:val="002D2D68"/>
    <w:rsid w:val="002D2F69"/>
    <w:rsid w:val="002D3067"/>
    <w:rsid w:val="002D38D9"/>
    <w:rsid w:val="002D3CE3"/>
    <w:rsid w:val="002D4298"/>
    <w:rsid w:val="002D47E8"/>
    <w:rsid w:val="002D4FCC"/>
    <w:rsid w:val="002D5FD5"/>
    <w:rsid w:val="002D68F4"/>
    <w:rsid w:val="002D7417"/>
    <w:rsid w:val="002D782B"/>
    <w:rsid w:val="002E0D9C"/>
    <w:rsid w:val="002E1247"/>
    <w:rsid w:val="002E26E8"/>
    <w:rsid w:val="002E3DD8"/>
    <w:rsid w:val="002E3ED8"/>
    <w:rsid w:val="002E5A01"/>
    <w:rsid w:val="002E5EA3"/>
    <w:rsid w:val="002E717C"/>
    <w:rsid w:val="002E7533"/>
    <w:rsid w:val="002E7A61"/>
    <w:rsid w:val="002F00B8"/>
    <w:rsid w:val="002F0106"/>
    <w:rsid w:val="002F03C8"/>
    <w:rsid w:val="002F188D"/>
    <w:rsid w:val="002F18A5"/>
    <w:rsid w:val="002F317F"/>
    <w:rsid w:val="002F51A2"/>
    <w:rsid w:val="002F5E95"/>
    <w:rsid w:val="002F63CA"/>
    <w:rsid w:val="002F67B4"/>
    <w:rsid w:val="002F6F73"/>
    <w:rsid w:val="002F7AA9"/>
    <w:rsid w:val="003004E3"/>
    <w:rsid w:val="00301C0D"/>
    <w:rsid w:val="00301D7B"/>
    <w:rsid w:val="00301E19"/>
    <w:rsid w:val="003023DE"/>
    <w:rsid w:val="00303DC4"/>
    <w:rsid w:val="00304676"/>
    <w:rsid w:val="00306BE7"/>
    <w:rsid w:val="00311B66"/>
    <w:rsid w:val="00311F29"/>
    <w:rsid w:val="00314036"/>
    <w:rsid w:val="00314347"/>
    <w:rsid w:val="00314C4F"/>
    <w:rsid w:val="00314FAF"/>
    <w:rsid w:val="003162A5"/>
    <w:rsid w:val="00316591"/>
    <w:rsid w:val="00320C6D"/>
    <w:rsid w:val="003213A8"/>
    <w:rsid w:val="00321FA8"/>
    <w:rsid w:val="00321FFD"/>
    <w:rsid w:val="00322E18"/>
    <w:rsid w:val="00323C3D"/>
    <w:rsid w:val="00323D1D"/>
    <w:rsid w:val="00323F8A"/>
    <w:rsid w:val="00324D73"/>
    <w:rsid w:val="00326011"/>
    <w:rsid w:val="0032643D"/>
    <w:rsid w:val="00326D02"/>
    <w:rsid w:val="00327069"/>
    <w:rsid w:val="00327812"/>
    <w:rsid w:val="00327AFB"/>
    <w:rsid w:val="00327BAF"/>
    <w:rsid w:val="00327D10"/>
    <w:rsid w:val="00332CB8"/>
    <w:rsid w:val="00333428"/>
    <w:rsid w:val="003350B6"/>
    <w:rsid w:val="0033595E"/>
    <w:rsid w:val="0033601B"/>
    <w:rsid w:val="003364B6"/>
    <w:rsid w:val="0033764C"/>
    <w:rsid w:val="00337DF3"/>
    <w:rsid w:val="00340039"/>
    <w:rsid w:val="003400D3"/>
    <w:rsid w:val="0034024F"/>
    <w:rsid w:val="00340A77"/>
    <w:rsid w:val="00340D39"/>
    <w:rsid w:val="00340DFB"/>
    <w:rsid w:val="00341941"/>
    <w:rsid w:val="0034207A"/>
    <w:rsid w:val="0034278F"/>
    <w:rsid w:val="00343B47"/>
    <w:rsid w:val="0034404F"/>
    <w:rsid w:val="00344ACC"/>
    <w:rsid w:val="00345F01"/>
    <w:rsid w:val="0034654F"/>
    <w:rsid w:val="00346B28"/>
    <w:rsid w:val="00347685"/>
    <w:rsid w:val="003509A5"/>
    <w:rsid w:val="00351E21"/>
    <w:rsid w:val="00352327"/>
    <w:rsid w:val="00354062"/>
    <w:rsid w:val="00354405"/>
    <w:rsid w:val="00355A76"/>
    <w:rsid w:val="0035635F"/>
    <w:rsid w:val="00356E0F"/>
    <w:rsid w:val="003607EE"/>
    <w:rsid w:val="00360BC8"/>
    <w:rsid w:val="00360E35"/>
    <w:rsid w:val="003617AE"/>
    <w:rsid w:val="0036215C"/>
    <w:rsid w:val="003630F7"/>
    <w:rsid w:val="00363589"/>
    <w:rsid w:val="00363636"/>
    <w:rsid w:val="003651AC"/>
    <w:rsid w:val="003653AA"/>
    <w:rsid w:val="00366120"/>
    <w:rsid w:val="003661FF"/>
    <w:rsid w:val="00366A0C"/>
    <w:rsid w:val="00367462"/>
    <w:rsid w:val="003677D5"/>
    <w:rsid w:val="0037034B"/>
    <w:rsid w:val="00370507"/>
    <w:rsid w:val="00370682"/>
    <w:rsid w:val="003718D8"/>
    <w:rsid w:val="00372A01"/>
    <w:rsid w:val="003733DF"/>
    <w:rsid w:val="00373865"/>
    <w:rsid w:val="00373CE8"/>
    <w:rsid w:val="00374DB0"/>
    <w:rsid w:val="003751C7"/>
    <w:rsid w:val="00375C84"/>
    <w:rsid w:val="00376524"/>
    <w:rsid w:val="00376E3B"/>
    <w:rsid w:val="003776FE"/>
    <w:rsid w:val="00380424"/>
    <w:rsid w:val="00380868"/>
    <w:rsid w:val="00380B9B"/>
    <w:rsid w:val="003818B3"/>
    <w:rsid w:val="003819F5"/>
    <w:rsid w:val="00381B57"/>
    <w:rsid w:val="00381D47"/>
    <w:rsid w:val="003821CC"/>
    <w:rsid w:val="003835F0"/>
    <w:rsid w:val="003853B1"/>
    <w:rsid w:val="003853ED"/>
    <w:rsid w:val="00386421"/>
    <w:rsid w:val="00387AA1"/>
    <w:rsid w:val="0039082A"/>
    <w:rsid w:val="0039101F"/>
    <w:rsid w:val="00392EDB"/>
    <w:rsid w:val="00392FAE"/>
    <w:rsid w:val="003931AA"/>
    <w:rsid w:val="00393EEE"/>
    <w:rsid w:val="00394D45"/>
    <w:rsid w:val="00395132"/>
    <w:rsid w:val="00395D99"/>
    <w:rsid w:val="003968DF"/>
    <w:rsid w:val="003976C3"/>
    <w:rsid w:val="00397A64"/>
    <w:rsid w:val="003A099A"/>
    <w:rsid w:val="003A1372"/>
    <w:rsid w:val="003A2B82"/>
    <w:rsid w:val="003A3927"/>
    <w:rsid w:val="003A3D2E"/>
    <w:rsid w:val="003A3FF7"/>
    <w:rsid w:val="003A43D1"/>
    <w:rsid w:val="003A6E29"/>
    <w:rsid w:val="003B0BDB"/>
    <w:rsid w:val="003B0E88"/>
    <w:rsid w:val="003B153F"/>
    <w:rsid w:val="003B17B0"/>
    <w:rsid w:val="003B1844"/>
    <w:rsid w:val="003B211E"/>
    <w:rsid w:val="003B24EA"/>
    <w:rsid w:val="003B2DA7"/>
    <w:rsid w:val="003B3AB7"/>
    <w:rsid w:val="003B3ABC"/>
    <w:rsid w:val="003B3D8E"/>
    <w:rsid w:val="003B3FED"/>
    <w:rsid w:val="003B3FF1"/>
    <w:rsid w:val="003B4217"/>
    <w:rsid w:val="003B59A1"/>
    <w:rsid w:val="003B74F1"/>
    <w:rsid w:val="003B7541"/>
    <w:rsid w:val="003B7F07"/>
    <w:rsid w:val="003B7FCE"/>
    <w:rsid w:val="003C0F87"/>
    <w:rsid w:val="003C141E"/>
    <w:rsid w:val="003C1B83"/>
    <w:rsid w:val="003C210E"/>
    <w:rsid w:val="003C21B3"/>
    <w:rsid w:val="003C3503"/>
    <w:rsid w:val="003C40DE"/>
    <w:rsid w:val="003C4851"/>
    <w:rsid w:val="003C4C96"/>
    <w:rsid w:val="003C55E0"/>
    <w:rsid w:val="003C5E39"/>
    <w:rsid w:val="003C683A"/>
    <w:rsid w:val="003D0079"/>
    <w:rsid w:val="003D04D6"/>
    <w:rsid w:val="003D10EC"/>
    <w:rsid w:val="003D29B9"/>
    <w:rsid w:val="003D3500"/>
    <w:rsid w:val="003D37B6"/>
    <w:rsid w:val="003D503A"/>
    <w:rsid w:val="003D71A6"/>
    <w:rsid w:val="003D7709"/>
    <w:rsid w:val="003E0BAF"/>
    <w:rsid w:val="003E0E25"/>
    <w:rsid w:val="003E1409"/>
    <w:rsid w:val="003E16F2"/>
    <w:rsid w:val="003E4A52"/>
    <w:rsid w:val="003E78A9"/>
    <w:rsid w:val="003E7912"/>
    <w:rsid w:val="003F04E6"/>
    <w:rsid w:val="003F2CDD"/>
    <w:rsid w:val="003F5660"/>
    <w:rsid w:val="003F5717"/>
    <w:rsid w:val="003F5A39"/>
    <w:rsid w:val="003F5B56"/>
    <w:rsid w:val="003F5B9F"/>
    <w:rsid w:val="003F5C1A"/>
    <w:rsid w:val="003F6A6A"/>
    <w:rsid w:val="003F738D"/>
    <w:rsid w:val="003F7554"/>
    <w:rsid w:val="003F7FA1"/>
    <w:rsid w:val="00400B4E"/>
    <w:rsid w:val="0040130D"/>
    <w:rsid w:val="00402E56"/>
    <w:rsid w:val="00403634"/>
    <w:rsid w:val="00404592"/>
    <w:rsid w:val="00404B58"/>
    <w:rsid w:val="0040544F"/>
    <w:rsid w:val="0040625C"/>
    <w:rsid w:val="004069D2"/>
    <w:rsid w:val="004076FF"/>
    <w:rsid w:val="00411B17"/>
    <w:rsid w:val="0041222D"/>
    <w:rsid w:val="004124F2"/>
    <w:rsid w:val="00412E6F"/>
    <w:rsid w:val="00413C5C"/>
    <w:rsid w:val="0041413F"/>
    <w:rsid w:val="0041567A"/>
    <w:rsid w:val="00415BCF"/>
    <w:rsid w:val="00416297"/>
    <w:rsid w:val="00417083"/>
    <w:rsid w:val="0042057C"/>
    <w:rsid w:val="00420BDF"/>
    <w:rsid w:val="00421608"/>
    <w:rsid w:val="00421C23"/>
    <w:rsid w:val="0042261E"/>
    <w:rsid w:val="00422749"/>
    <w:rsid w:val="004233DC"/>
    <w:rsid w:val="00424888"/>
    <w:rsid w:val="004255D9"/>
    <w:rsid w:val="00425763"/>
    <w:rsid w:val="00425C3C"/>
    <w:rsid w:val="00427D1B"/>
    <w:rsid w:val="004306AB"/>
    <w:rsid w:val="0043159D"/>
    <w:rsid w:val="0043171D"/>
    <w:rsid w:val="00432F78"/>
    <w:rsid w:val="004334A2"/>
    <w:rsid w:val="004335BC"/>
    <w:rsid w:val="00434723"/>
    <w:rsid w:val="00434729"/>
    <w:rsid w:val="0043617B"/>
    <w:rsid w:val="00437D17"/>
    <w:rsid w:val="00437D2F"/>
    <w:rsid w:val="00437DFA"/>
    <w:rsid w:val="0044046D"/>
    <w:rsid w:val="004410D3"/>
    <w:rsid w:val="00441DAF"/>
    <w:rsid w:val="0044270D"/>
    <w:rsid w:val="00442E8C"/>
    <w:rsid w:val="00443310"/>
    <w:rsid w:val="004435D5"/>
    <w:rsid w:val="00443A34"/>
    <w:rsid w:val="00443D38"/>
    <w:rsid w:val="00444140"/>
    <w:rsid w:val="00444BF5"/>
    <w:rsid w:val="00444F43"/>
    <w:rsid w:val="00450744"/>
    <w:rsid w:val="00450BE7"/>
    <w:rsid w:val="00450FE8"/>
    <w:rsid w:val="0045213A"/>
    <w:rsid w:val="0045230E"/>
    <w:rsid w:val="004528FA"/>
    <w:rsid w:val="00452D67"/>
    <w:rsid w:val="00452E53"/>
    <w:rsid w:val="00454EDC"/>
    <w:rsid w:val="00455B00"/>
    <w:rsid w:val="00455B97"/>
    <w:rsid w:val="00456635"/>
    <w:rsid w:val="00456BFD"/>
    <w:rsid w:val="004575D5"/>
    <w:rsid w:val="004607D0"/>
    <w:rsid w:val="00460CE3"/>
    <w:rsid w:val="004612A4"/>
    <w:rsid w:val="004624D2"/>
    <w:rsid w:val="004625C8"/>
    <w:rsid w:val="0046442A"/>
    <w:rsid w:val="00464BF1"/>
    <w:rsid w:val="0046626B"/>
    <w:rsid w:val="004676E4"/>
    <w:rsid w:val="00467AFF"/>
    <w:rsid w:val="00470183"/>
    <w:rsid w:val="004708C9"/>
    <w:rsid w:val="00470C48"/>
    <w:rsid w:val="0047139F"/>
    <w:rsid w:val="00471429"/>
    <w:rsid w:val="004722B1"/>
    <w:rsid w:val="00473A47"/>
    <w:rsid w:val="00473A4F"/>
    <w:rsid w:val="00473C0A"/>
    <w:rsid w:val="00473EEF"/>
    <w:rsid w:val="00474415"/>
    <w:rsid w:val="00474BC1"/>
    <w:rsid w:val="00477459"/>
    <w:rsid w:val="00477CC9"/>
    <w:rsid w:val="0048026E"/>
    <w:rsid w:val="00480303"/>
    <w:rsid w:val="004807A9"/>
    <w:rsid w:val="00480A8A"/>
    <w:rsid w:val="004810E0"/>
    <w:rsid w:val="00481318"/>
    <w:rsid w:val="004813EE"/>
    <w:rsid w:val="00481835"/>
    <w:rsid w:val="00482CDC"/>
    <w:rsid w:val="00482FB0"/>
    <w:rsid w:val="00483B03"/>
    <w:rsid w:val="0048444C"/>
    <w:rsid w:val="00485058"/>
    <w:rsid w:val="00485702"/>
    <w:rsid w:val="004867EC"/>
    <w:rsid w:val="00486A37"/>
    <w:rsid w:val="00487662"/>
    <w:rsid w:val="004876C6"/>
    <w:rsid w:val="00487D7B"/>
    <w:rsid w:val="00490F7A"/>
    <w:rsid w:val="00490FD5"/>
    <w:rsid w:val="00491241"/>
    <w:rsid w:val="00491813"/>
    <w:rsid w:val="00493278"/>
    <w:rsid w:val="00493855"/>
    <w:rsid w:val="004951D8"/>
    <w:rsid w:val="004952C1"/>
    <w:rsid w:val="00497575"/>
    <w:rsid w:val="004A078B"/>
    <w:rsid w:val="004A12C0"/>
    <w:rsid w:val="004A169A"/>
    <w:rsid w:val="004A18C9"/>
    <w:rsid w:val="004A191A"/>
    <w:rsid w:val="004A1A70"/>
    <w:rsid w:val="004A419E"/>
    <w:rsid w:val="004A6463"/>
    <w:rsid w:val="004A6B58"/>
    <w:rsid w:val="004B06C3"/>
    <w:rsid w:val="004B0917"/>
    <w:rsid w:val="004B0B09"/>
    <w:rsid w:val="004B140F"/>
    <w:rsid w:val="004B21CF"/>
    <w:rsid w:val="004B2DE3"/>
    <w:rsid w:val="004B53F1"/>
    <w:rsid w:val="004B5D6E"/>
    <w:rsid w:val="004B60BA"/>
    <w:rsid w:val="004B6946"/>
    <w:rsid w:val="004B6E81"/>
    <w:rsid w:val="004C136D"/>
    <w:rsid w:val="004C1619"/>
    <w:rsid w:val="004C177F"/>
    <w:rsid w:val="004C1B59"/>
    <w:rsid w:val="004C3C25"/>
    <w:rsid w:val="004C3EEA"/>
    <w:rsid w:val="004C4EA2"/>
    <w:rsid w:val="004C596B"/>
    <w:rsid w:val="004C5E41"/>
    <w:rsid w:val="004C60E7"/>
    <w:rsid w:val="004C7BDE"/>
    <w:rsid w:val="004D0090"/>
    <w:rsid w:val="004D020F"/>
    <w:rsid w:val="004D03D1"/>
    <w:rsid w:val="004D11AF"/>
    <w:rsid w:val="004D2E58"/>
    <w:rsid w:val="004D41A2"/>
    <w:rsid w:val="004D502C"/>
    <w:rsid w:val="004D60A3"/>
    <w:rsid w:val="004D71CA"/>
    <w:rsid w:val="004E016A"/>
    <w:rsid w:val="004E0461"/>
    <w:rsid w:val="004E29B1"/>
    <w:rsid w:val="004E3F87"/>
    <w:rsid w:val="004E461B"/>
    <w:rsid w:val="004E477D"/>
    <w:rsid w:val="004E5890"/>
    <w:rsid w:val="004E79EF"/>
    <w:rsid w:val="004E7B33"/>
    <w:rsid w:val="004F0368"/>
    <w:rsid w:val="004F0D19"/>
    <w:rsid w:val="004F121B"/>
    <w:rsid w:val="004F2811"/>
    <w:rsid w:val="004F3326"/>
    <w:rsid w:val="004F590E"/>
    <w:rsid w:val="004F5966"/>
    <w:rsid w:val="004F60F4"/>
    <w:rsid w:val="004F62E8"/>
    <w:rsid w:val="004F6C17"/>
    <w:rsid w:val="004F7390"/>
    <w:rsid w:val="004F78F8"/>
    <w:rsid w:val="005001A5"/>
    <w:rsid w:val="00500CCD"/>
    <w:rsid w:val="005019AA"/>
    <w:rsid w:val="005032E9"/>
    <w:rsid w:val="00503C3B"/>
    <w:rsid w:val="00503CE7"/>
    <w:rsid w:val="005040C9"/>
    <w:rsid w:val="005042DB"/>
    <w:rsid w:val="0050458E"/>
    <w:rsid w:val="00505928"/>
    <w:rsid w:val="00505CD6"/>
    <w:rsid w:val="005069B2"/>
    <w:rsid w:val="00510452"/>
    <w:rsid w:val="005108EC"/>
    <w:rsid w:val="00511F8F"/>
    <w:rsid w:val="00513291"/>
    <w:rsid w:val="005147DA"/>
    <w:rsid w:val="005153AC"/>
    <w:rsid w:val="005153C3"/>
    <w:rsid w:val="00515745"/>
    <w:rsid w:val="00515862"/>
    <w:rsid w:val="005165FE"/>
    <w:rsid w:val="00516942"/>
    <w:rsid w:val="00516DC0"/>
    <w:rsid w:val="00516DC5"/>
    <w:rsid w:val="00520BBA"/>
    <w:rsid w:val="005225AC"/>
    <w:rsid w:val="005233F3"/>
    <w:rsid w:val="0052365C"/>
    <w:rsid w:val="005245D2"/>
    <w:rsid w:val="0052488B"/>
    <w:rsid w:val="00524C98"/>
    <w:rsid w:val="00524C9C"/>
    <w:rsid w:val="00524EDD"/>
    <w:rsid w:val="00525B59"/>
    <w:rsid w:val="005269C4"/>
    <w:rsid w:val="00526A20"/>
    <w:rsid w:val="005329DA"/>
    <w:rsid w:val="0053322F"/>
    <w:rsid w:val="00533DBF"/>
    <w:rsid w:val="00534940"/>
    <w:rsid w:val="00535673"/>
    <w:rsid w:val="00535D6B"/>
    <w:rsid w:val="00536442"/>
    <w:rsid w:val="005374FE"/>
    <w:rsid w:val="0054053D"/>
    <w:rsid w:val="0054126C"/>
    <w:rsid w:val="005415DD"/>
    <w:rsid w:val="005423F3"/>
    <w:rsid w:val="005426DB"/>
    <w:rsid w:val="005442F1"/>
    <w:rsid w:val="00544A24"/>
    <w:rsid w:val="0054583C"/>
    <w:rsid w:val="00546227"/>
    <w:rsid w:val="005468E2"/>
    <w:rsid w:val="00546D83"/>
    <w:rsid w:val="00550113"/>
    <w:rsid w:val="0055019B"/>
    <w:rsid w:val="005504BE"/>
    <w:rsid w:val="0055082B"/>
    <w:rsid w:val="0055093A"/>
    <w:rsid w:val="00550F00"/>
    <w:rsid w:val="00551ED7"/>
    <w:rsid w:val="0055211C"/>
    <w:rsid w:val="0055263A"/>
    <w:rsid w:val="005526EE"/>
    <w:rsid w:val="00552B57"/>
    <w:rsid w:val="00552E53"/>
    <w:rsid w:val="00553E34"/>
    <w:rsid w:val="005547B7"/>
    <w:rsid w:val="005551E9"/>
    <w:rsid w:val="0055680D"/>
    <w:rsid w:val="00560094"/>
    <w:rsid w:val="00560C62"/>
    <w:rsid w:val="00562A61"/>
    <w:rsid w:val="00562E78"/>
    <w:rsid w:val="005652D5"/>
    <w:rsid w:val="00567227"/>
    <w:rsid w:val="00570C7B"/>
    <w:rsid w:val="00571C77"/>
    <w:rsid w:val="00574614"/>
    <w:rsid w:val="00574A70"/>
    <w:rsid w:val="00574D35"/>
    <w:rsid w:val="00575C75"/>
    <w:rsid w:val="005770CF"/>
    <w:rsid w:val="00577904"/>
    <w:rsid w:val="00577922"/>
    <w:rsid w:val="00577AC3"/>
    <w:rsid w:val="005815A8"/>
    <w:rsid w:val="00581915"/>
    <w:rsid w:val="00583431"/>
    <w:rsid w:val="005846C0"/>
    <w:rsid w:val="00584D04"/>
    <w:rsid w:val="0058567E"/>
    <w:rsid w:val="0058659E"/>
    <w:rsid w:val="005869EE"/>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7108"/>
    <w:rsid w:val="005A3E82"/>
    <w:rsid w:val="005A4DB0"/>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5AB"/>
    <w:rsid w:val="005B4D8F"/>
    <w:rsid w:val="005B6551"/>
    <w:rsid w:val="005B71A8"/>
    <w:rsid w:val="005B744B"/>
    <w:rsid w:val="005C0A6F"/>
    <w:rsid w:val="005C0FA7"/>
    <w:rsid w:val="005C1C0E"/>
    <w:rsid w:val="005C36E2"/>
    <w:rsid w:val="005C3E9E"/>
    <w:rsid w:val="005C400C"/>
    <w:rsid w:val="005C410C"/>
    <w:rsid w:val="005C4BF1"/>
    <w:rsid w:val="005C4BF2"/>
    <w:rsid w:val="005C5BED"/>
    <w:rsid w:val="005C5D86"/>
    <w:rsid w:val="005C6167"/>
    <w:rsid w:val="005C6ADB"/>
    <w:rsid w:val="005C6EE2"/>
    <w:rsid w:val="005C7A07"/>
    <w:rsid w:val="005C7DDC"/>
    <w:rsid w:val="005C7F7C"/>
    <w:rsid w:val="005D107D"/>
    <w:rsid w:val="005D123A"/>
    <w:rsid w:val="005D2506"/>
    <w:rsid w:val="005D3677"/>
    <w:rsid w:val="005D4E4C"/>
    <w:rsid w:val="005D5B5E"/>
    <w:rsid w:val="005D5C85"/>
    <w:rsid w:val="005D5CA0"/>
    <w:rsid w:val="005D72FC"/>
    <w:rsid w:val="005D7DFC"/>
    <w:rsid w:val="005E035A"/>
    <w:rsid w:val="005E0681"/>
    <w:rsid w:val="005E1218"/>
    <w:rsid w:val="005E1B6B"/>
    <w:rsid w:val="005E1F61"/>
    <w:rsid w:val="005E2281"/>
    <w:rsid w:val="005E236C"/>
    <w:rsid w:val="005E351B"/>
    <w:rsid w:val="005E38A8"/>
    <w:rsid w:val="005E39F9"/>
    <w:rsid w:val="005E4828"/>
    <w:rsid w:val="005E5016"/>
    <w:rsid w:val="005E5231"/>
    <w:rsid w:val="005E55BB"/>
    <w:rsid w:val="005E5D11"/>
    <w:rsid w:val="005E667C"/>
    <w:rsid w:val="005E6A1D"/>
    <w:rsid w:val="005E6F12"/>
    <w:rsid w:val="005E733E"/>
    <w:rsid w:val="005F0694"/>
    <w:rsid w:val="005F06E1"/>
    <w:rsid w:val="005F077C"/>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585E"/>
    <w:rsid w:val="00605B9D"/>
    <w:rsid w:val="00606213"/>
    <w:rsid w:val="00606B57"/>
    <w:rsid w:val="00606B85"/>
    <w:rsid w:val="00607390"/>
    <w:rsid w:val="006076D8"/>
    <w:rsid w:val="00607E6D"/>
    <w:rsid w:val="0061061D"/>
    <w:rsid w:val="00611A3B"/>
    <w:rsid w:val="00612389"/>
    <w:rsid w:val="00612570"/>
    <w:rsid w:val="00612871"/>
    <w:rsid w:val="00612929"/>
    <w:rsid w:val="00612A44"/>
    <w:rsid w:val="00612A8E"/>
    <w:rsid w:val="00613098"/>
    <w:rsid w:val="006134D9"/>
    <w:rsid w:val="006135DA"/>
    <w:rsid w:val="00613BDC"/>
    <w:rsid w:val="00615564"/>
    <w:rsid w:val="006155E2"/>
    <w:rsid w:val="00615F26"/>
    <w:rsid w:val="00617A81"/>
    <w:rsid w:val="00617DEC"/>
    <w:rsid w:val="00620579"/>
    <w:rsid w:val="006208AA"/>
    <w:rsid w:val="0062258F"/>
    <w:rsid w:val="00622732"/>
    <w:rsid w:val="00622E6D"/>
    <w:rsid w:val="00623BC7"/>
    <w:rsid w:val="00623E70"/>
    <w:rsid w:val="006241D0"/>
    <w:rsid w:val="00624665"/>
    <w:rsid w:val="00625434"/>
    <w:rsid w:val="0062576B"/>
    <w:rsid w:val="00625C5F"/>
    <w:rsid w:val="00626032"/>
    <w:rsid w:val="00627643"/>
    <w:rsid w:val="00627788"/>
    <w:rsid w:val="006300CD"/>
    <w:rsid w:val="0063017E"/>
    <w:rsid w:val="00630EAE"/>
    <w:rsid w:val="006312D0"/>
    <w:rsid w:val="006318A4"/>
    <w:rsid w:val="00631D4F"/>
    <w:rsid w:val="00633496"/>
    <w:rsid w:val="006338D2"/>
    <w:rsid w:val="00633F92"/>
    <w:rsid w:val="0063435E"/>
    <w:rsid w:val="00634CB2"/>
    <w:rsid w:val="006357E2"/>
    <w:rsid w:val="00635FD8"/>
    <w:rsid w:val="00636651"/>
    <w:rsid w:val="00636F7B"/>
    <w:rsid w:val="0064019C"/>
    <w:rsid w:val="00640288"/>
    <w:rsid w:val="006405AC"/>
    <w:rsid w:val="0064099D"/>
    <w:rsid w:val="006412CD"/>
    <w:rsid w:val="006413D8"/>
    <w:rsid w:val="00641B7B"/>
    <w:rsid w:val="00641C55"/>
    <w:rsid w:val="00642405"/>
    <w:rsid w:val="00642645"/>
    <w:rsid w:val="006437E8"/>
    <w:rsid w:val="006438E0"/>
    <w:rsid w:val="00644BED"/>
    <w:rsid w:val="006455CB"/>
    <w:rsid w:val="00646FD5"/>
    <w:rsid w:val="00647680"/>
    <w:rsid w:val="00647743"/>
    <w:rsid w:val="006510C0"/>
    <w:rsid w:val="00652092"/>
    <w:rsid w:val="00652472"/>
    <w:rsid w:val="0065394E"/>
    <w:rsid w:val="00653B38"/>
    <w:rsid w:val="00656385"/>
    <w:rsid w:val="00656F19"/>
    <w:rsid w:val="00657BB7"/>
    <w:rsid w:val="00660552"/>
    <w:rsid w:val="00660DBE"/>
    <w:rsid w:val="00661113"/>
    <w:rsid w:val="0066127D"/>
    <w:rsid w:val="00661AB0"/>
    <w:rsid w:val="006623A4"/>
    <w:rsid w:val="0066351C"/>
    <w:rsid w:val="006635BF"/>
    <w:rsid w:val="00664693"/>
    <w:rsid w:val="00664753"/>
    <w:rsid w:val="00664DC0"/>
    <w:rsid w:val="006651CC"/>
    <w:rsid w:val="0066582B"/>
    <w:rsid w:val="006658DA"/>
    <w:rsid w:val="00665CA1"/>
    <w:rsid w:val="00667421"/>
    <w:rsid w:val="0066780E"/>
    <w:rsid w:val="00667A31"/>
    <w:rsid w:val="00670702"/>
    <w:rsid w:val="006708EB"/>
    <w:rsid w:val="0067147C"/>
    <w:rsid w:val="00672A8A"/>
    <w:rsid w:val="00673F50"/>
    <w:rsid w:val="00674EEA"/>
    <w:rsid w:val="0067549D"/>
    <w:rsid w:val="006759B0"/>
    <w:rsid w:val="00677012"/>
    <w:rsid w:val="006771EA"/>
    <w:rsid w:val="00680D0E"/>
    <w:rsid w:val="00680F00"/>
    <w:rsid w:val="006825A6"/>
    <w:rsid w:val="006825B4"/>
    <w:rsid w:val="006829BA"/>
    <w:rsid w:val="00682AF2"/>
    <w:rsid w:val="00682E8A"/>
    <w:rsid w:val="00682FB7"/>
    <w:rsid w:val="006837DE"/>
    <w:rsid w:val="0068537F"/>
    <w:rsid w:val="00686104"/>
    <w:rsid w:val="00686334"/>
    <w:rsid w:val="00686C3A"/>
    <w:rsid w:val="00687628"/>
    <w:rsid w:val="00687CFE"/>
    <w:rsid w:val="0069035A"/>
    <w:rsid w:val="00690EB8"/>
    <w:rsid w:val="006915E5"/>
    <w:rsid w:val="00692401"/>
    <w:rsid w:val="006941CC"/>
    <w:rsid w:val="006945D4"/>
    <w:rsid w:val="00694EC0"/>
    <w:rsid w:val="00695F56"/>
    <w:rsid w:val="0069758B"/>
    <w:rsid w:val="006A0A70"/>
    <w:rsid w:val="006A0B6C"/>
    <w:rsid w:val="006A1692"/>
    <w:rsid w:val="006A16E1"/>
    <w:rsid w:val="006A3293"/>
    <w:rsid w:val="006A3C8A"/>
    <w:rsid w:val="006A3E61"/>
    <w:rsid w:val="006A5213"/>
    <w:rsid w:val="006A6003"/>
    <w:rsid w:val="006A6737"/>
    <w:rsid w:val="006B1E08"/>
    <w:rsid w:val="006B26B1"/>
    <w:rsid w:val="006B2E45"/>
    <w:rsid w:val="006B3875"/>
    <w:rsid w:val="006B425B"/>
    <w:rsid w:val="006B545C"/>
    <w:rsid w:val="006B5AC8"/>
    <w:rsid w:val="006B5D32"/>
    <w:rsid w:val="006B758B"/>
    <w:rsid w:val="006B7BF8"/>
    <w:rsid w:val="006C0F11"/>
    <w:rsid w:val="006C23E1"/>
    <w:rsid w:val="006C25D5"/>
    <w:rsid w:val="006C25F9"/>
    <w:rsid w:val="006C262B"/>
    <w:rsid w:val="006C31C6"/>
    <w:rsid w:val="006C3A2D"/>
    <w:rsid w:val="006C4666"/>
    <w:rsid w:val="006C49BF"/>
    <w:rsid w:val="006C63D7"/>
    <w:rsid w:val="006C6894"/>
    <w:rsid w:val="006C69D9"/>
    <w:rsid w:val="006C7535"/>
    <w:rsid w:val="006C76A6"/>
    <w:rsid w:val="006C796D"/>
    <w:rsid w:val="006D0525"/>
    <w:rsid w:val="006D08DC"/>
    <w:rsid w:val="006D2F09"/>
    <w:rsid w:val="006D2FD2"/>
    <w:rsid w:val="006D33E6"/>
    <w:rsid w:val="006D3DC0"/>
    <w:rsid w:val="006D40C4"/>
    <w:rsid w:val="006D4162"/>
    <w:rsid w:val="006D5303"/>
    <w:rsid w:val="006D5E84"/>
    <w:rsid w:val="006D7A4C"/>
    <w:rsid w:val="006D7C99"/>
    <w:rsid w:val="006E0443"/>
    <w:rsid w:val="006E0C50"/>
    <w:rsid w:val="006E0DCF"/>
    <w:rsid w:val="006E14D6"/>
    <w:rsid w:val="006E1647"/>
    <w:rsid w:val="006E2298"/>
    <w:rsid w:val="006E2F3A"/>
    <w:rsid w:val="006E310A"/>
    <w:rsid w:val="006E3C3E"/>
    <w:rsid w:val="006E3FBD"/>
    <w:rsid w:val="006E429F"/>
    <w:rsid w:val="006E47E0"/>
    <w:rsid w:val="006E6F30"/>
    <w:rsid w:val="006E6FE9"/>
    <w:rsid w:val="006E7082"/>
    <w:rsid w:val="006E709F"/>
    <w:rsid w:val="006E7F73"/>
    <w:rsid w:val="006F030F"/>
    <w:rsid w:val="006F193C"/>
    <w:rsid w:val="006F1B58"/>
    <w:rsid w:val="006F2B89"/>
    <w:rsid w:val="006F36F1"/>
    <w:rsid w:val="006F3B81"/>
    <w:rsid w:val="006F4D59"/>
    <w:rsid w:val="006F4F79"/>
    <w:rsid w:val="006F4F80"/>
    <w:rsid w:val="006F5532"/>
    <w:rsid w:val="006F62CC"/>
    <w:rsid w:val="006F644B"/>
    <w:rsid w:val="006F66C1"/>
    <w:rsid w:val="006F681D"/>
    <w:rsid w:val="006F78E9"/>
    <w:rsid w:val="0070235F"/>
    <w:rsid w:val="00702BC3"/>
    <w:rsid w:val="007032AC"/>
    <w:rsid w:val="00703496"/>
    <w:rsid w:val="007036FE"/>
    <w:rsid w:val="00704614"/>
    <w:rsid w:val="00705B37"/>
    <w:rsid w:val="0070658A"/>
    <w:rsid w:val="00706B65"/>
    <w:rsid w:val="00707C1A"/>
    <w:rsid w:val="00710023"/>
    <w:rsid w:val="00710207"/>
    <w:rsid w:val="0071023D"/>
    <w:rsid w:val="00710530"/>
    <w:rsid w:val="007107BD"/>
    <w:rsid w:val="00711E77"/>
    <w:rsid w:val="00712912"/>
    <w:rsid w:val="007141DC"/>
    <w:rsid w:val="00714B04"/>
    <w:rsid w:val="00714F75"/>
    <w:rsid w:val="007155CE"/>
    <w:rsid w:val="007168A0"/>
    <w:rsid w:val="00716BC6"/>
    <w:rsid w:val="00716C95"/>
    <w:rsid w:val="00717762"/>
    <w:rsid w:val="007204DA"/>
    <w:rsid w:val="00721A63"/>
    <w:rsid w:val="00721DED"/>
    <w:rsid w:val="00721FF9"/>
    <w:rsid w:val="0072229E"/>
    <w:rsid w:val="0072337E"/>
    <w:rsid w:val="00723696"/>
    <w:rsid w:val="0072442F"/>
    <w:rsid w:val="0072541E"/>
    <w:rsid w:val="00725735"/>
    <w:rsid w:val="0072630D"/>
    <w:rsid w:val="00726A2A"/>
    <w:rsid w:val="007271E9"/>
    <w:rsid w:val="007273BC"/>
    <w:rsid w:val="007275FD"/>
    <w:rsid w:val="007276E5"/>
    <w:rsid w:val="00730943"/>
    <w:rsid w:val="00733E5A"/>
    <w:rsid w:val="00733F25"/>
    <w:rsid w:val="00736395"/>
    <w:rsid w:val="00736459"/>
    <w:rsid w:val="0073685F"/>
    <w:rsid w:val="00737821"/>
    <w:rsid w:val="0074058F"/>
    <w:rsid w:val="00740E86"/>
    <w:rsid w:val="00741175"/>
    <w:rsid w:val="007419FB"/>
    <w:rsid w:val="00742606"/>
    <w:rsid w:val="007441FF"/>
    <w:rsid w:val="00744EE8"/>
    <w:rsid w:val="007459F5"/>
    <w:rsid w:val="007467E4"/>
    <w:rsid w:val="00747569"/>
    <w:rsid w:val="00750238"/>
    <w:rsid w:val="0075023C"/>
    <w:rsid w:val="007518E3"/>
    <w:rsid w:val="007518E9"/>
    <w:rsid w:val="00752247"/>
    <w:rsid w:val="007523E7"/>
    <w:rsid w:val="007531CA"/>
    <w:rsid w:val="00754252"/>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D18"/>
    <w:rsid w:val="0076640B"/>
    <w:rsid w:val="00770C54"/>
    <w:rsid w:val="00771344"/>
    <w:rsid w:val="00772613"/>
    <w:rsid w:val="00772B41"/>
    <w:rsid w:val="00772CED"/>
    <w:rsid w:val="00773EA1"/>
    <w:rsid w:val="00775215"/>
    <w:rsid w:val="00776ACC"/>
    <w:rsid w:val="00777C71"/>
    <w:rsid w:val="00777D6B"/>
    <w:rsid w:val="00777F20"/>
    <w:rsid w:val="0078080B"/>
    <w:rsid w:val="00781148"/>
    <w:rsid w:val="00781F98"/>
    <w:rsid w:val="0078265B"/>
    <w:rsid w:val="00782E10"/>
    <w:rsid w:val="00784926"/>
    <w:rsid w:val="00784DB8"/>
    <w:rsid w:val="00784FDD"/>
    <w:rsid w:val="0078508F"/>
    <w:rsid w:val="00786448"/>
    <w:rsid w:val="007875D7"/>
    <w:rsid w:val="007906B2"/>
    <w:rsid w:val="0079134E"/>
    <w:rsid w:val="007925F0"/>
    <w:rsid w:val="0079278E"/>
    <w:rsid w:val="00792DCA"/>
    <w:rsid w:val="00792E3C"/>
    <w:rsid w:val="007930C1"/>
    <w:rsid w:val="0079315D"/>
    <w:rsid w:val="00793B45"/>
    <w:rsid w:val="00795706"/>
    <w:rsid w:val="007960E3"/>
    <w:rsid w:val="00796F7C"/>
    <w:rsid w:val="00797131"/>
    <w:rsid w:val="00797254"/>
    <w:rsid w:val="00797430"/>
    <w:rsid w:val="007A0F8D"/>
    <w:rsid w:val="007A1078"/>
    <w:rsid w:val="007A257D"/>
    <w:rsid w:val="007A2CB0"/>
    <w:rsid w:val="007A343D"/>
    <w:rsid w:val="007A38CE"/>
    <w:rsid w:val="007A3F1C"/>
    <w:rsid w:val="007A5ACE"/>
    <w:rsid w:val="007A5C5C"/>
    <w:rsid w:val="007A6528"/>
    <w:rsid w:val="007A7B48"/>
    <w:rsid w:val="007B18C6"/>
    <w:rsid w:val="007B20C2"/>
    <w:rsid w:val="007B25D5"/>
    <w:rsid w:val="007B27E4"/>
    <w:rsid w:val="007B2910"/>
    <w:rsid w:val="007B301D"/>
    <w:rsid w:val="007B3264"/>
    <w:rsid w:val="007B35F6"/>
    <w:rsid w:val="007B3F87"/>
    <w:rsid w:val="007B404F"/>
    <w:rsid w:val="007B44A6"/>
    <w:rsid w:val="007B494E"/>
    <w:rsid w:val="007B4C5E"/>
    <w:rsid w:val="007B7462"/>
    <w:rsid w:val="007B7B52"/>
    <w:rsid w:val="007C02A3"/>
    <w:rsid w:val="007C0C55"/>
    <w:rsid w:val="007C1507"/>
    <w:rsid w:val="007C2F60"/>
    <w:rsid w:val="007C4D8D"/>
    <w:rsid w:val="007C5144"/>
    <w:rsid w:val="007C5613"/>
    <w:rsid w:val="007C6138"/>
    <w:rsid w:val="007C6153"/>
    <w:rsid w:val="007C6849"/>
    <w:rsid w:val="007C6BC6"/>
    <w:rsid w:val="007C6C12"/>
    <w:rsid w:val="007C73B2"/>
    <w:rsid w:val="007D0435"/>
    <w:rsid w:val="007D1B24"/>
    <w:rsid w:val="007D267F"/>
    <w:rsid w:val="007D3A3E"/>
    <w:rsid w:val="007D400A"/>
    <w:rsid w:val="007D4B0E"/>
    <w:rsid w:val="007D4DD2"/>
    <w:rsid w:val="007D5D0F"/>
    <w:rsid w:val="007D6EA8"/>
    <w:rsid w:val="007E1247"/>
    <w:rsid w:val="007E1A44"/>
    <w:rsid w:val="007E2419"/>
    <w:rsid w:val="007E3FF5"/>
    <w:rsid w:val="007E4219"/>
    <w:rsid w:val="007E577E"/>
    <w:rsid w:val="007E635E"/>
    <w:rsid w:val="007E6A9C"/>
    <w:rsid w:val="007E6C0C"/>
    <w:rsid w:val="007E7300"/>
    <w:rsid w:val="007E767B"/>
    <w:rsid w:val="007F038C"/>
    <w:rsid w:val="007F0428"/>
    <w:rsid w:val="007F0F24"/>
    <w:rsid w:val="007F1755"/>
    <w:rsid w:val="007F222B"/>
    <w:rsid w:val="007F3092"/>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4E4C"/>
    <w:rsid w:val="0080662C"/>
    <w:rsid w:val="008070B2"/>
    <w:rsid w:val="00807D79"/>
    <w:rsid w:val="00810102"/>
    <w:rsid w:val="008102BC"/>
    <w:rsid w:val="008116F3"/>
    <w:rsid w:val="008117C4"/>
    <w:rsid w:val="0081222E"/>
    <w:rsid w:val="00812461"/>
    <w:rsid w:val="008127E0"/>
    <w:rsid w:val="00812810"/>
    <w:rsid w:val="0081398E"/>
    <w:rsid w:val="008149D8"/>
    <w:rsid w:val="00815714"/>
    <w:rsid w:val="00815A2A"/>
    <w:rsid w:val="0081788A"/>
    <w:rsid w:val="00817927"/>
    <w:rsid w:val="00817CFC"/>
    <w:rsid w:val="00817E82"/>
    <w:rsid w:val="00821D81"/>
    <w:rsid w:val="00822A52"/>
    <w:rsid w:val="00823654"/>
    <w:rsid w:val="00823A90"/>
    <w:rsid w:val="00825C68"/>
    <w:rsid w:val="0082757E"/>
    <w:rsid w:val="00827B6C"/>
    <w:rsid w:val="00827D77"/>
    <w:rsid w:val="00830561"/>
    <w:rsid w:val="00831115"/>
    <w:rsid w:val="0083249C"/>
    <w:rsid w:val="00832D42"/>
    <w:rsid w:val="008333A9"/>
    <w:rsid w:val="00833419"/>
    <w:rsid w:val="008342A5"/>
    <w:rsid w:val="00834B7C"/>
    <w:rsid w:val="00834BE2"/>
    <w:rsid w:val="00834EA4"/>
    <w:rsid w:val="008354B9"/>
    <w:rsid w:val="00835DCB"/>
    <w:rsid w:val="00836090"/>
    <w:rsid w:val="00836921"/>
    <w:rsid w:val="00837237"/>
    <w:rsid w:val="008376C0"/>
    <w:rsid w:val="0084035D"/>
    <w:rsid w:val="008405F9"/>
    <w:rsid w:val="0084060B"/>
    <w:rsid w:val="0084139B"/>
    <w:rsid w:val="0084143B"/>
    <w:rsid w:val="00842547"/>
    <w:rsid w:val="008427D3"/>
    <w:rsid w:val="008429CF"/>
    <w:rsid w:val="0084324C"/>
    <w:rsid w:val="008451F8"/>
    <w:rsid w:val="008457D2"/>
    <w:rsid w:val="00846212"/>
    <w:rsid w:val="008468E0"/>
    <w:rsid w:val="0084790F"/>
    <w:rsid w:val="00847BE7"/>
    <w:rsid w:val="00850EAB"/>
    <w:rsid w:val="00851D70"/>
    <w:rsid w:val="008529B3"/>
    <w:rsid w:val="00852ADD"/>
    <w:rsid w:val="00853883"/>
    <w:rsid w:val="00854CF7"/>
    <w:rsid w:val="00854DA7"/>
    <w:rsid w:val="008557A0"/>
    <w:rsid w:val="00856607"/>
    <w:rsid w:val="008616A2"/>
    <w:rsid w:val="00861C6C"/>
    <w:rsid w:val="00863862"/>
    <w:rsid w:val="00863AAD"/>
    <w:rsid w:val="00864644"/>
    <w:rsid w:val="00866296"/>
    <w:rsid w:val="008665C7"/>
    <w:rsid w:val="008707A3"/>
    <w:rsid w:val="00870A36"/>
    <w:rsid w:val="008711AE"/>
    <w:rsid w:val="00872F21"/>
    <w:rsid w:val="00873736"/>
    <w:rsid w:val="0087378E"/>
    <w:rsid w:val="008737DF"/>
    <w:rsid w:val="008755E7"/>
    <w:rsid w:val="00875E16"/>
    <w:rsid w:val="00877D03"/>
    <w:rsid w:val="00877E96"/>
    <w:rsid w:val="0088023D"/>
    <w:rsid w:val="008803CE"/>
    <w:rsid w:val="00882077"/>
    <w:rsid w:val="008820D9"/>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59FC"/>
    <w:rsid w:val="0089605E"/>
    <w:rsid w:val="00896668"/>
    <w:rsid w:val="00896E9A"/>
    <w:rsid w:val="008A1D0E"/>
    <w:rsid w:val="008A25EA"/>
    <w:rsid w:val="008A31C7"/>
    <w:rsid w:val="008A3215"/>
    <w:rsid w:val="008A3E8B"/>
    <w:rsid w:val="008A47BE"/>
    <w:rsid w:val="008A4AEC"/>
    <w:rsid w:val="008A5609"/>
    <w:rsid w:val="008A6DD5"/>
    <w:rsid w:val="008A6DF0"/>
    <w:rsid w:val="008A6FA0"/>
    <w:rsid w:val="008B15CE"/>
    <w:rsid w:val="008B1C8F"/>
    <w:rsid w:val="008B2570"/>
    <w:rsid w:val="008B2B19"/>
    <w:rsid w:val="008B2F40"/>
    <w:rsid w:val="008B2FCD"/>
    <w:rsid w:val="008B3627"/>
    <w:rsid w:val="008B3EAD"/>
    <w:rsid w:val="008B49B6"/>
    <w:rsid w:val="008B56A0"/>
    <w:rsid w:val="008B5AA1"/>
    <w:rsid w:val="008B5E61"/>
    <w:rsid w:val="008B64CE"/>
    <w:rsid w:val="008B7914"/>
    <w:rsid w:val="008C127A"/>
    <w:rsid w:val="008C18BD"/>
    <w:rsid w:val="008C1932"/>
    <w:rsid w:val="008C2C7F"/>
    <w:rsid w:val="008C2F0D"/>
    <w:rsid w:val="008C500C"/>
    <w:rsid w:val="008C5D2A"/>
    <w:rsid w:val="008C6754"/>
    <w:rsid w:val="008C6C16"/>
    <w:rsid w:val="008C74FB"/>
    <w:rsid w:val="008C7AF4"/>
    <w:rsid w:val="008C7DA4"/>
    <w:rsid w:val="008D0210"/>
    <w:rsid w:val="008D033E"/>
    <w:rsid w:val="008D0851"/>
    <w:rsid w:val="008D0DEF"/>
    <w:rsid w:val="008D0FCD"/>
    <w:rsid w:val="008D1074"/>
    <w:rsid w:val="008D1079"/>
    <w:rsid w:val="008D280F"/>
    <w:rsid w:val="008D318B"/>
    <w:rsid w:val="008D3994"/>
    <w:rsid w:val="008D3C3D"/>
    <w:rsid w:val="008D478E"/>
    <w:rsid w:val="008D534E"/>
    <w:rsid w:val="008D6E81"/>
    <w:rsid w:val="008D7739"/>
    <w:rsid w:val="008D7A64"/>
    <w:rsid w:val="008D7A92"/>
    <w:rsid w:val="008E0302"/>
    <w:rsid w:val="008E1267"/>
    <w:rsid w:val="008E19FD"/>
    <w:rsid w:val="008E22F8"/>
    <w:rsid w:val="008E39D8"/>
    <w:rsid w:val="008E5D73"/>
    <w:rsid w:val="008E606F"/>
    <w:rsid w:val="008E6AD9"/>
    <w:rsid w:val="008F022A"/>
    <w:rsid w:val="008F06FD"/>
    <w:rsid w:val="008F1172"/>
    <w:rsid w:val="008F27E3"/>
    <w:rsid w:val="008F3485"/>
    <w:rsid w:val="008F3AC3"/>
    <w:rsid w:val="008F51FF"/>
    <w:rsid w:val="008F5DEF"/>
    <w:rsid w:val="008F7C0A"/>
    <w:rsid w:val="00901DBB"/>
    <w:rsid w:val="009026CB"/>
    <w:rsid w:val="00902876"/>
    <w:rsid w:val="00903FB2"/>
    <w:rsid w:val="00904038"/>
    <w:rsid w:val="009041AF"/>
    <w:rsid w:val="009042AA"/>
    <w:rsid w:val="009049AB"/>
    <w:rsid w:val="009050B7"/>
    <w:rsid w:val="00905130"/>
    <w:rsid w:val="009053BD"/>
    <w:rsid w:val="00905728"/>
    <w:rsid w:val="009061B8"/>
    <w:rsid w:val="009064BF"/>
    <w:rsid w:val="009069B8"/>
    <w:rsid w:val="009130CC"/>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4119"/>
    <w:rsid w:val="00925120"/>
    <w:rsid w:val="009255FA"/>
    <w:rsid w:val="009262E4"/>
    <w:rsid w:val="009266D2"/>
    <w:rsid w:val="00927D4E"/>
    <w:rsid w:val="00930AC2"/>
    <w:rsid w:val="00930D2A"/>
    <w:rsid w:val="009312BF"/>
    <w:rsid w:val="00931680"/>
    <w:rsid w:val="00931B84"/>
    <w:rsid w:val="009322B2"/>
    <w:rsid w:val="00932E7E"/>
    <w:rsid w:val="0093442D"/>
    <w:rsid w:val="00934CD2"/>
    <w:rsid w:val="009375E5"/>
    <w:rsid w:val="00937BC5"/>
    <w:rsid w:val="00937D30"/>
    <w:rsid w:val="00941848"/>
    <w:rsid w:val="0094337A"/>
    <w:rsid w:val="009437F2"/>
    <w:rsid w:val="009442E8"/>
    <w:rsid w:val="00944BA7"/>
    <w:rsid w:val="0094636D"/>
    <w:rsid w:val="00947222"/>
    <w:rsid w:val="0094759C"/>
    <w:rsid w:val="009503FE"/>
    <w:rsid w:val="00950448"/>
    <w:rsid w:val="009507D4"/>
    <w:rsid w:val="00950ACD"/>
    <w:rsid w:val="00950E37"/>
    <w:rsid w:val="00951666"/>
    <w:rsid w:val="0095182F"/>
    <w:rsid w:val="00952524"/>
    <w:rsid w:val="0095278F"/>
    <w:rsid w:val="00953EAF"/>
    <w:rsid w:val="0095426C"/>
    <w:rsid w:val="00955EE9"/>
    <w:rsid w:val="00956BF5"/>
    <w:rsid w:val="009571C2"/>
    <w:rsid w:val="009575C3"/>
    <w:rsid w:val="0095770C"/>
    <w:rsid w:val="009579AF"/>
    <w:rsid w:val="00957CC8"/>
    <w:rsid w:val="00957EE7"/>
    <w:rsid w:val="0096086A"/>
    <w:rsid w:val="00961453"/>
    <w:rsid w:val="009616D4"/>
    <w:rsid w:val="00962150"/>
    <w:rsid w:val="00964166"/>
    <w:rsid w:val="009645AD"/>
    <w:rsid w:val="0096475C"/>
    <w:rsid w:val="0096546E"/>
    <w:rsid w:val="0096562A"/>
    <w:rsid w:val="00965865"/>
    <w:rsid w:val="00966096"/>
    <w:rsid w:val="00966A13"/>
    <w:rsid w:val="00967473"/>
    <w:rsid w:val="00967730"/>
    <w:rsid w:val="00970D56"/>
    <w:rsid w:val="00970E50"/>
    <w:rsid w:val="00971074"/>
    <w:rsid w:val="009725B2"/>
    <w:rsid w:val="009747AA"/>
    <w:rsid w:val="00974B99"/>
    <w:rsid w:val="00974BCB"/>
    <w:rsid w:val="0097529C"/>
    <w:rsid w:val="009758CD"/>
    <w:rsid w:val="00975AEF"/>
    <w:rsid w:val="00975BF2"/>
    <w:rsid w:val="0097616C"/>
    <w:rsid w:val="009763E4"/>
    <w:rsid w:val="0097649D"/>
    <w:rsid w:val="0097654D"/>
    <w:rsid w:val="009766B7"/>
    <w:rsid w:val="00980A22"/>
    <w:rsid w:val="00980D85"/>
    <w:rsid w:val="00981E09"/>
    <w:rsid w:val="00983094"/>
    <w:rsid w:val="00983599"/>
    <w:rsid w:val="009843DE"/>
    <w:rsid w:val="0098544F"/>
    <w:rsid w:val="00985B04"/>
    <w:rsid w:val="00986A6D"/>
    <w:rsid w:val="00986BEF"/>
    <w:rsid w:val="00987298"/>
    <w:rsid w:val="00987B34"/>
    <w:rsid w:val="00991DF8"/>
    <w:rsid w:val="00992499"/>
    <w:rsid w:val="00992986"/>
    <w:rsid w:val="009936E2"/>
    <w:rsid w:val="00994B55"/>
    <w:rsid w:val="00995D86"/>
    <w:rsid w:val="00995FB2"/>
    <w:rsid w:val="0099781E"/>
    <w:rsid w:val="00997A68"/>
    <w:rsid w:val="009A00EA"/>
    <w:rsid w:val="009A0587"/>
    <w:rsid w:val="009A0DA2"/>
    <w:rsid w:val="009A1F6B"/>
    <w:rsid w:val="009A2C4C"/>
    <w:rsid w:val="009A2DD8"/>
    <w:rsid w:val="009A30DE"/>
    <w:rsid w:val="009A3D29"/>
    <w:rsid w:val="009A509F"/>
    <w:rsid w:val="009A5453"/>
    <w:rsid w:val="009A6A7B"/>
    <w:rsid w:val="009A7532"/>
    <w:rsid w:val="009A7883"/>
    <w:rsid w:val="009B1D50"/>
    <w:rsid w:val="009B237F"/>
    <w:rsid w:val="009B2760"/>
    <w:rsid w:val="009B308D"/>
    <w:rsid w:val="009B38D5"/>
    <w:rsid w:val="009B3B62"/>
    <w:rsid w:val="009B3C8D"/>
    <w:rsid w:val="009B4FFB"/>
    <w:rsid w:val="009B53C7"/>
    <w:rsid w:val="009B7489"/>
    <w:rsid w:val="009B7987"/>
    <w:rsid w:val="009B7B0A"/>
    <w:rsid w:val="009C07C9"/>
    <w:rsid w:val="009C08D7"/>
    <w:rsid w:val="009C1866"/>
    <w:rsid w:val="009C1FDE"/>
    <w:rsid w:val="009C375C"/>
    <w:rsid w:val="009C4E0D"/>
    <w:rsid w:val="009C4F1B"/>
    <w:rsid w:val="009C503B"/>
    <w:rsid w:val="009C5816"/>
    <w:rsid w:val="009C61EA"/>
    <w:rsid w:val="009C63EC"/>
    <w:rsid w:val="009C7DAC"/>
    <w:rsid w:val="009D08A6"/>
    <w:rsid w:val="009D1B69"/>
    <w:rsid w:val="009D1EB3"/>
    <w:rsid w:val="009D2ABF"/>
    <w:rsid w:val="009D3AD2"/>
    <w:rsid w:val="009D3E06"/>
    <w:rsid w:val="009D5843"/>
    <w:rsid w:val="009D638D"/>
    <w:rsid w:val="009D6393"/>
    <w:rsid w:val="009E0885"/>
    <w:rsid w:val="009E1CC8"/>
    <w:rsid w:val="009E2827"/>
    <w:rsid w:val="009E30D2"/>
    <w:rsid w:val="009E4885"/>
    <w:rsid w:val="009E508B"/>
    <w:rsid w:val="009E6A00"/>
    <w:rsid w:val="009F03AB"/>
    <w:rsid w:val="009F0619"/>
    <w:rsid w:val="009F068A"/>
    <w:rsid w:val="009F08C5"/>
    <w:rsid w:val="009F0A85"/>
    <w:rsid w:val="009F1260"/>
    <w:rsid w:val="009F15CA"/>
    <w:rsid w:val="009F1B71"/>
    <w:rsid w:val="009F220A"/>
    <w:rsid w:val="009F36D6"/>
    <w:rsid w:val="009F6575"/>
    <w:rsid w:val="009F7ADC"/>
    <w:rsid w:val="00A0002A"/>
    <w:rsid w:val="00A0236D"/>
    <w:rsid w:val="00A02985"/>
    <w:rsid w:val="00A02B2B"/>
    <w:rsid w:val="00A02FA8"/>
    <w:rsid w:val="00A03F1A"/>
    <w:rsid w:val="00A03F74"/>
    <w:rsid w:val="00A046BF"/>
    <w:rsid w:val="00A05B25"/>
    <w:rsid w:val="00A05C04"/>
    <w:rsid w:val="00A06254"/>
    <w:rsid w:val="00A06842"/>
    <w:rsid w:val="00A07459"/>
    <w:rsid w:val="00A07DB6"/>
    <w:rsid w:val="00A10972"/>
    <w:rsid w:val="00A11406"/>
    <w:rsid w:val="00A13205"/>
    <w:rsid w:val="00A132A1"/>
    <w:rsid w:val="00A15132"/>
    <w:rsid w:val="00A1554D"/>
    <w:rsid w:val="00A15792"/>
    <w:rsid w:val="00A158E3"/>
    <w:rsid w:val="00A1591A"/>
    <w:rsid w:val="00A172E0"/>
    <w:rsid w:val="00A211C5"/>
    <w:rsid w:val="00A221A3"/>
    <w:rsid w:val="00A223D5"/>
    <w:rsid w:val="00A23F41"/>
    <w:rsid w:val="00A25547"/>
    <w:rsid w:val="00A3003E"/>
    <w:rsid w:val="00A31E14"/>
    <w:rsid w:val="00A3325E"/>
    <w:rsid w:val="00A34276"/>
    <w:rsid w:val="00A34524"/>
    <w:rsid w:val="00A345B6"/>
    <w:rsid w:val="00A357A4"/>
    <w:rsid w:val="00A36453"/>
    <w:rsid w:val="00A37970"/>
    <w:rsid w:val="00A37A68"/>
    <w:rsid w:val="00A37B0C"/>
    <w:rsid w:val="00A37CE6"/>
    <w:rsid w:val="00A37D1C"/>
    <w:rsid w:val="00A37FFE"/>
    <w:rsid w:val="00A40ECF"/>
    <w:rsid w:val="00A41FEF"/>
    <w:rsid w:val="00A42476"/>
    <w:rsid w:val="00A433CA"/>
    <w:rsid w:val="00A43A1A"/>
    <w:rsid w:val="00A43D48"/>
    <w:rsid w:val="00A43F3C"/>
    <w:rsid w:val="00A447A5"/>
    <w:rsid w:val="00A4646E"/>
    <w:rsid w:val="00A468FD"/>
    <w:rsid w:val="00A46921"/>
    <w:rsid w:val="00A47249"/>
    <w:rsid w:val="00A47E3B"/>
    <w:rsid w:val="00A501C7"/>
    <w:rsid w:val="00A5058A"/>
    <w:rsid w:val="00A50905"/>
    <w:rsid w:val="00A513FD"/>
    <w:rsid w:val="00A5254B"/>
    <w:rsid w:val="00A52BC1"/>
    <w:rsid w:val="00A534A0"/>
    <w:rsid w:val="00A537EA"/>
    <w:rsid w:val="00A539AD"/>
    <w:rsid w:val="00A53E3E"/>
    <w:rsid w:val="00A540B2"/>
    <w:rsid w:val="00A5414D"/>
    <w:rsid w:val="00A54A3E"/>
    <w:rsid w:val="00A556B7"/>
    <w:rsid w:val="00A56819"/>
    <w:rsid w:val="00A568AC"/>
    <w:rsid w:val="00A6025F"/>
    <w:rsid w:val="00A60E9C"/>
    <w:rsid w:val="00A6131E"/>
    <w:rsid w:val="00A616AF"/>
    <w:rsid w:val="00A61879"/>
    <w:rsid w:val="00A628B4"/>
    <w:rsid w:val="00A62E6A"/>
    <w:rsid w:val="00A63E4E"/>
    <w:rsid w:val="00A6444F"/>
    <w:rsid w:val="00A652FF"/>
    <w:rsid w:val="00A65A0D"/>
    <w:rsid w:val="00A65C27"/>
    <w:rsid w:val="00A65F3C"/>
    <w:rsid w:val="00A66FB3"/>
    <w:rsid w:val="00A71216"/>
    <w:rsid w:val="00A714A3"/>
    <w:rsid w:val="00A71B8B"/>
    <w:rsid w:val="00A75089"/>
    <w:rsid w:val="00A75EDC"/>
    <w:rsid w:val="00A80404"/>
    <w:rsid w:val="00A80548"/>
    <w:rsid w:val="00A8085F"/>
    <w:rsid w:val="00A80A3D"/>
    <w:rsid w:val="00A817A8"/>
    <w:rsid w:val="00A81E50"/>
    <w:rsid w:val="00A81F1C"/>
    <w:rsid w:val="00A82602"/>
    <w:rsid w:val="00A82DA0"/>
    <w:rsid w:val="00A83E49"/>
    <w:rsid w:val="00A8401C"/>
    <w:rsid w:val="00A8415A"/>
    <w:rsid w:val="00A841A6"/>
    <w:rsid w:val="00A84221"/>
    <w:rsid w:val="00A84B7A"/>
    <w:rsid w:val="00A86FBC"/>
    <w:rsid w:val="00A879C5"/>
    <w:rsid w:val="00A902AD"/>
    <w:rsid w:val="00A9099E"/>
    <w:rsid w:val="00A91FB7"/>
    <w:rsid w:val="00A9298F"/>
    <w:rsid w:val="00A9301E"/>
    <w:rsid w:val="00A93E3A"/>
    <w:rsid w:val="00A95186"/>
    <w:rsid w:val="00A951AD"/>
    <w:rsid w:val="00A961BD"/>
    <w:rsid w:val="00AA027E"/>
    <w:rsid w:val="00AA1224"/>
    <w:rsid w:val="00AA14F2"/>
    <w:rsid w:val="00AA180B"/>
    <w:rsid w:val="00AA1D43"/>
    <w:rsid w:val="00AA2469"/>
    <w:rsid w:val="00AA2CD7"/>
    <w:rsid w:val="00AA2FA4"/>
    <w:rsid w:val="00AA3301"/>
    <w:rsid w:val="00AA3360"/>
    <w:rsid w:val="00AA386B"/>
    <w:rsid w:val="00AA6384"/>
    <w:rsid w:val="00AA6B93"/>
    <w:rsid w:val="00AA7A06"/>
    <w:rsid w:val="00AA7A7F"/>
    <w:rsid w:val="00AB13A6"/>
    <w:rsid w:val="00AB1984"/>
    <w:rsid w:val="00AB1CBB"/>
    <w:rsid w:val="00AB215B"/>
    <w:rsid w:val="00AB333E"/>
    <w:rsid w:val="00AB37DB"/>
    <w:rsid w:val="00AB3ECC"/>
    <w:rsid w:val="00AB5A73"/>
    <w:rsid w:val="00AB5F48"/>
    <w:rsid w:val="00AB716D"/>
    <w:rsid w:val="00AB72BB"/>
    <w:rsid w:val="00AB7BF3"/>
    <w:rsid w:val="00AC09D5"/>
    <w:rsid w:val="00AC0D8E"/>
    <w:rsid w:val="00AC175B"/>
    <w:rsid w:val="00AC1AA3"/>
    <w:rsid w:val="00AC1F8E"/>
    <w:rsid w:val="00AC22C1"/>
    <w:rsid w:val="00AC3ED5"/>
    <w:rsid w:val="00AC4CB3"/>
    <w:rsid w:val="00AC4D7C"/>
    <w:rsid w:val="00AC53B0"/>
    <w:rsid w:val="00AC6EF2"/>
    <w:rsid w:val="00AC71A6"/>
    <w:rsid w:val="00AC742F"/>
    <w:rsid w:val="00AC7664"/>
    <w:rsid w:val="00AC774F"/>
    <w:rsid w:val="00AC780D"/>
    <w:rsid w:val="00AC787B"/>
    <w:rsid w:val="00AC78A0"/>
    <w:rsid w:val="00AC7956"/>
    <w:rsid w:val="00AC7E18"/>
    <w:rsid w:val="00AD0F9F"/>
    <w:rsid w:val="00AD1B79"/>
    <w:rsid w:val="00AD3208"/>
    <w:rsid w:val="00AD3C00"/>
    <w:rsid w:val="00AD50F8"/>
    <w:rsid w:val="00AD719F"/>
    <w:rsid w:val="00AD7447"/>
    <w:rsid w:val="00AD7D36"/>
    <w:rsid w:val="00AE0DED"/>
    <w:rsid w:val="00AE284A"/>
    <w:rsid w:val="00AE307E"/>
    <w:rsid w:val="00AE3E11"/>
    <w:rsid w:val="00AE40B3"/>
    <w:rsid w:val="00AE4BDC"/>
    <w:rsid w:val="00AE4CFD"/>
    <w:rsid w:val="00AE4EA6"/>
    <w:rsid w:val="00AE51FF"/>
    <w:rsid w:val="00AE55AD"/>
    <w:rsid w:val="00AE5D8F"/>
    <w:rsid w:val="00AE67D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6AC5"/>
    <w:rsid w:val="00AF7809"/>
    <w:rsid w:val="00AF7F7B"/>
    <w:rsid w:val="00B0104B"/>
    <w:rsid w:val="00B021E0"/>
    <w:rsid w:val="00B03A30"/>
    <w:rsid w:val="00B03A35"/>
    <w:rsid w:val="00B04F99"/>
    <w:rsid w:val="00B057B6"/>
    <w:rsid w:val="00B05A7C"/>
    <w:rsid w:val="00B06361"/>
    <w:rsid w:val="00B0651D"/>
    <w:rsid w:val="00B06955"/>
    <w:rsid w:val="00B07BEA"/>
    <w:rsid w:val="00B07F41"/>
    <w:rsid w:val="00B102F9"/>
    <w:rsid w:val="00B11C80"/>
    <w:rsid w:val="00B12152"/>
    <w:rsid w:val="00B12DCA"/>
    <w:rsid w:val="00B13ECB"/>
    <w:rsid w:val="00B1524F"/>
    <w:rsid w:val="00B15A54"/>
    <w:rsid w:val="00B15ECF"/>
    <w:rsid w:val="00B169CD"/>
    <w:rsid w:val="00B16C0A"/>
    <w:rsid w:val="00B17F60"/>
    <w:rsid w:val="00B2039A"/>
    <w:rsid w:val="00B20AC8"/>
    <w:rsid w:val="00B215D5"/>
    <w:rsid w:val="00B225CB"/>
    <w:rsid w:val="00B22870"/>
    <w:rsid w:val="00B22A22"/>
    <w:rsid w:val="00B22AA6"/>
    <w:rsid w:val="00B23F4C"/>
    <w:rsid w:val="00B24233"/>
    <w:rsid w:val="00B246DD"/>
    <w:rsid w:val="00B248D8"/>
    <w:rsid w:val="00B24BA7"/>
    <w:rsid w:val="00B268D0"/>
    <w:rsid w:val="00B269D3"/>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704D"/>
    <w:rsid w:val="00B40162"/>
    <w:rsid w:val="00B4054D"/>
    <w:rsid w:val="00B40FDB"/>
    <w:rsid w:val="00B420B2"/>
    <w:rsid w:val="00B42800"/>
    <w:rsid w:val="00B42863"/>
    <w:rsid w:val="00B430F6"/>
    <w:rsid w:val="00B43511"/>
    <w:rsid w:val="00B43CE6"/>
    <w:rsid w:val="00B45528"/>
    <w:rsid w:val="00B478FA"/>
    <w:rsid w:val="00B50156"/>
    <w:rsid w:val="00B501E8"/>
    <w:rsid w:val="00B502A3"/>
    <w:rsid w:val="00B50953"/>
    <w:rsid w:val="00B509AE"/>
    <w:rsid w:val="00B50E13"/>
    <w:rsid w:val="00B51581"/>
    <w:rsid w:val="00B518AD"/>
    <w:rsid w:val="00B51BB6"/>
    <w:rsid w:val="00B52056"/>
    <w:rsid w:val="00B52B0E"/>
    <w:rsid w:val="00B52D81"/>
    <w:rsid w:val="00B5355B"/>
    <w:rsid w:val="00B5402E"/>
    <w:rsid w:val="00B540E8"/>
    <w:rsid w:val="00B55852"/>
    <w:rsid w:val="00B560A9"/>
    <w:rsid w:val="00B56866"/>
    <w:rsid w:val="00B56CC4"/>
    <w:rsid w:val="00B604BB"/>
    <w:rsid w:val="00B6062A"/>
    <w:rsid w:val="00B60A96"/>
    <w:rsid w:val="00B60DD7"/>
    <w:rsid w:val="00B60EB6"/>
    <w:rsid w:val="00B60EE5"/>
    <w:rsid w:val="00B616A5"/>
    <w:rsid w:val="00B628BE"/>
    <w:rsid w:val="00B637FB"/>
    <w:rsid w:val="00B6386F"/>
    <w:rsid w:val="00B65D9B"/>
    <w:rsid w:val="00B66E51"/>
    <w:rsid w:val="00B67346"/>
    <w:rsid w:val="00B6793A"/>
    <w:rsid w:val="00B67AC3"/>
    <w:rsid w:val="00B70880"/>
    <w:rsid w:val="00B71422"/>
    <w:rsid w:val="00B71486"/>
    <w:rsid w:val="00B71607"/>
    <w:rsid w:val="00B71EF7"/>
    <w:rsid w:val="00B72361"/>
    <w:rsid w:val="00B74AB0"/>
    <w:rsid w:val="00B75345"/>
    <w:rsid w:val="00B76327"/>
    <w:rsid w:val="00B76400"/>
    <w:rsid w:val="00B76C94"/>
    <w:rsid w:val="00B76D4E"/>
    <w:rsid w:val="00B76D6E"/>
    <w:rsid w:val="00B771AA"/>
    <w:rsid w:val="00B772D0"/>
    <w:rsid w:val="00B80A99"/>
    <w:rsid w:val="00B80F4E"/>
    <w:rsid w:val="00B814CF"/>
    <w:rsid w:val="00B81A33"/>
    <w:rsid w:val="00B82B2D"/>
    <w:rsid w:val="00B83117"/>
    <w:rsid w:val="00B8319C"/>
    <w:rsid w:val="00B90351"/>
    <w:rsid w:val="00B906F2"/>
    <w:rsid w:val="00B90D9B"/>
    <w:rsid w:val="00B91259"/>
    <w:rsid w:val="00B91B81"/>
    <w:rsid w:val="00B91FF0"/>
    <w:rsid w:val="00B92FFF"/>
    <w:rsid w:val="00B936F8"/>
    <w:rsid w:val="00B9492E"/>
    <w:rsid w:val="00B96799"/>
    <w:rsid w:val="00B96DE5"/>
    <w:rsid w:val="00B97A76"/>
    <w:rsid w:val="00BA0166"/>
    <w:rsid w:val="00BA0584"/>
    <w:rsid w:val="00BA0755"/>
    <w:rsid w:val="00BA1E9D"/>
    <w:rsid w:val="00BA249D"/>
    <w:rsid w:val="00BA4D00"/>
    <w:rsid w:val="00BA5665"/>
    <w:rsid w:val="00BB0AB5"/>
    <w:rsid w:val="00BB195B"/>
    <w:rsid w:val="00BB1BBA"/>
    <w:rsid w:val="00BB204A"/>
    <w:rsid w:val="00BB33E9"/>
    <w:rsid w:val="00BB34B7"/>
    <w:rsid w:val="00BB3BE4"/>
    <w:rsid w:val="00BB44DB"/>
    <w:rsid w:val="00BB57D3"/>
    <w:rsid w:val="00BB58EE"/>
    <w:rsid w:val="00BB64EC"/>
    <w:rsid w:val="00BB7589"/>
    <w:rsid w:val="00BC077E"/>
    <w:rsid w:val="00BC0E57"/>
    <w:rsid w:val="00BC1F5F"/>
    <w:rsid w:val="00BC21BE"/>
    <w:rsid w:val="00BC2465"/>
    <w:rsid w:val="00BC3E36"/>
    <w:rsid w:val="00BC4CE8"/>
    <w:rsid w:val="00BC4D54"/>
    <w:rsid w:val="00BC7632"/>
    <w:rsid w:val="00BC7C9E"/>
    <w:rsid w:val="00BD1E79"/>
    <w:rsid w:val="00BD23A5"/>
    <w:rsid w:val="00BD2937"/>
    <w:rsid w:val="00BD2AFC"/>
    <w:rsid w:val="00BD2CD4"/>
    <w:rsid w:val="00BD330C"/>
    <w:rsid w:val="00BD359B"/>
    <w:rsid w:val="00BD3663"/>
    <w:rsid w:val="00BD367F"/>
    <w:rsid w:val="00BD4871"/>
    <w:rsid w:val="00BD48A9"/>
    <w:rsid w:val="00BD5712"/>
    <w:rsid w:val="00BD581A"/>
    <w:rsid w:val="00BD5C02"/>
    <w:rsid w:val="00BD658C"/>
    <w:rsid w:val="00BD6819"/>
    <w:rsid w:val="00BD7EC6"/>
    <w:rsid w:val="00BE0FF2"/>
    <w:rsid w:val="00BE1345"/>
    <w:rsid w:val="00BE18BC"/>
    <w:rsid w:val="00BE2147"/>
    <w:rsid w:val="00BE239E"/>
    <w:rsid w:val="00BE3B83"/>
    <w:rsid w:val="00BE3C67"/>
    <w:rsid w:val="00BE3CF7"/>
    <w:rsid w:val="00BE42FC"/>
    <w:rsid w:val="00BE66FC"/>
    <w:rsid w:val="00BE73FA"/>
    <w:rsid w:val="00BF00D1"/>
    <w:rsid w:val="00BF0353"/>
    <w:rsid w:val="00BF090A"/>
    <w:rsid w:val="00BF2001"/>
    <w:rsid w:val="00BF2575"/>
    <w:rsid w:val="00BF31A0"/>
    <w:rsid w:val="00BF323A"/>
    <w:rsid w:val="00BF36C0"/>
    <w:rsid w:val="00BF3F0A"/>
    <w:rsid w:val="00BF4E35"/>
    <w:rsid w:val="00BF6F82"/>
    <w:rsid w:val="00BF7B9B"/>
    <w:rsid w:val="00C0083F"/>
    <w:rsid w:val="00C00976"/>
    <w:rsid w:val="00C020CD"/>
    <w:rsid w:val="00C02DDE"/>
    <w:rsid w:val="00C0367B"/>
    <w:rsid w:val="00C04E51"/>
    <w:rsid w:val="00C05074"/>
    <w:rsid w:val="00C05AF9"/>
    <w:rsid w:val="00C060A3"/>
    <w:rsid w:val="00C060B0"/>
    <w:rsid w:val="00C06D2C"/>
    <w:rsid w:val="00C072F0"/>
    <w:rsid w:val="00C07344"/>
    <w:rsid w:val="00C079A3"/>
    <w:rsid w:val="00C07C1F"/>
    <w:rsid w:val="00C07C79"/>
    <w:rsid w:val="00C11A79"/>
    <w:rsid w:val="00C1211E"/>
    <w:rsid w:val="00C13607"/>
    <w:rsid w:val="00C137B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908"/>
    <w:rsid w:val="00C250E8"/>
    <w:rsid w:val="00C2515F"/>
    <w:rsid w:val="00C25DCF"/>
    <w:rsid w:val="00C26AEA"/>
    <w:rsid w:val="00C276EC"/>
    <w:rsid w:val="00C27C0A"/>
    <w:rsid w:val="00C31AD4"/>
    <w:rsid w:val="00C31C63"/>
    <w:rsid w:val="00C32481"/>
    <w:rsid w:val="00C3394C"/>
    <w:rsid w:val="00C34581"/>
    <w:rsid w:val="00C34AD7"/>
    <w:rsid w:val="00C3516D"/>
    <w:rsid w:val="00C361A6"/>
    <w:rsid w:val="00C3670F"/>
    <w:rsid w:val="00C36E1A"/>
    <w:rsid w:val="00C371DF"/>
    <w:rsid w:val="00C37818"/>
    <w:rsid w:val="00C37EFC"/>
    <w:rsid w:val="00C37FF9"/>
    <w:rsid w:val="00C40126"/>
    <w:rsid w:val="00C41099"/>
    <w:rsid w:val="00C41425"/>
    <w:rsid w:val="00C41B4A"/>
    <w:rsid w:val="00C4213A"/>
    <w:rsid w:val="00C42C11"/>
    <w:rsid w:val="00C43ADB"/>
    <w:rsid w:val="00C44949"/>
    <w:rsid w:val="00C44B4C"/>
    <w:rsid w:val="00C450E3"/>
    <w:rsid w:val="00C45830"/>
    <w:rsid w:val="00C45C56"/>
    <w:rsid w:val="00C45CCD"/>
    <w:rsid w:val="00C46734"/>
    <w:rsid w:val="00C5105D"/>
    <w:rsid w:val="00C511F0"/>
    <w:rsid w:val="00C513C7"/>
    <w:rsid w:val="00C51639"/>
    <w:rsid w:val="00C53220"/>
    <w:rsid w:val="00C533A0"/>
    <w:rsid w:val="00C537E7"/>
    <w:rsid w:val="00C53E9D"/>
    <w:rsid w:val="00C5426B"/>
    <w:rsid w:val="00C54C18"/>
    <w:rsid w:val="00C573DA"/>
    <w:rsid w:val="00C5772E"/>
    <w:rsid w:val="00C5781B"/>
    <w:rsid w:val="00C616B4"/>
    <w:rsid w:val="00C621A7"/>
    <w:rsid w:val="00C62AA0"/>
    <w:rsid w:val="00C62BF2"/>
    <w:rsid w:val="00C62D1B"/>
    <w:rsid w:val="00C638A6"/>
    <w:rsid w:val="00C63FB9"/>
    <w:rsid w:val="00C64266"/>
    <w:rsid w:val="00C647DF"/>
    <w:rsid w:val="00C66CE8"/>
    <w:rsid w:val="00C70074"/>
    <w:rsid w:val="00C70DF4"/>
    <w:rsid w:val="00C71252"/>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BF"/>
    <w:rsid w:val="00C84BE9"/>
    <w:rsid w:val="00C85DEF"/>
    <w:rsid w:val="00C910F8"/>
    <w:rsid w:val="00C91106"/>
    <w:rsid w:val="00C9117B"/>
    <w:rsid w:val="00C91D19"/>
    <w:rsid w:val="00C93B58"/>
    <w:rsid w:val="00C93C2F"/>
    <w:rsid w:val="00C9437C"/>
    <w:rsid w:val="00C946FF"/>
    <w:rsid w:val="00C94A14"/>
    <w:rsid w:val="00C94CDA"/>
    <w:rsid w:val="00C95BED"/>
    <w:rsid w:val="00C96725"/>
    <w:rsid w:val="00C97A66"/>
    <w:rsid w:val="00CA007B"/>
    <w:rsid w:val="00CA0AA4"/>
    <w:rsid w:val="00CA15B0"/>
    <w:rsid w:val="00CA1D4C"/>
    <w:rsid w:val="00CA1D50"/>
    <w:rsid w:val="00CA1DAB"/>
    <w:rsid w:val="00CA20E0"/>
    <w:rsid w:val="00CA2598"/>
    <w:rsid w:val="00CA3347"/>
    <w:rsid w:val="00CA523D"/>
    <w:rsid w:val="00CA6FDA"/>
    <w:rsid w:val="00CA77CF"/>
    <w:rsid w:val="00CA7B58"/>
    <w:rsid w:val="00CB1413"/>
    <w:rsid w:val="00CB2518"/>
    <w:rsid w:val="00CB3920"/>
    <w:rsid w:val="00CB4C4C"/>
    <w:rsid w:val="00CB6413"/>
    <w:rsid w:val="00CB696F"/>
    <w:rsid w:val="00CB6A00"/>
    <w:rsid w:val="00CB77F4"/>
    <w:rsid w:val="00CC0F1C"/>
    <w:rsid w:val="00CC299A"/>
    <w:rsid w:val="00CC3039"/>
    <w:rsid w:val="00CC32B7"/>
    <w:rsid w:val="00CC36DE"/>
    <w:rsid w:val="00CC4F99"/>
    <w:rsid w:val="00CC5FC3"/>
    <w:rsid w:val="00CC6369"/>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56B7"/>
    <w:rsid w:val="00CE6660"/>
    <w:rsid w:val="00CE6855"/>
    <w:rsid w:val="00CE6B6F"/>
    <w:rsid w:val="00CE7033"/>
    <w:rsid w:val="00CE770A"/>
    <w:rsid w:val="00CF02A6"/>
    <w:rsid w:val="00CF05A6"/>
    <w:rsid w:val="00CF06CF"/>
    <w:rsid w:val="00CF101C"/>
    <w:rsid w:val="00CF2DC1"/>
    <w:rsid w:val="00CF2EE2"/>
    <w:rsid w:val="00CF3948"/>
    <w:rsid w:val="00CF3ACF"/>
    <w:rsid w:val="00CF441D"/>
    <w:rsid w:val="00CF4FCF"/>
    <w:rsid w:val="00CF4FDC"/>
    <w:rsid w:val="00CF56AF"/>
    <w:rsid w:val="00CF5BE0"/>
    <w:rsid w:val="00CF5BF1"/>
    <w:rsid w:val="00CF61CB"/>
    <w:rsid w:val="00CF666F"/>
    <w:rsid w:val="00CF686F"/>
    <w:rsid w:val="00CF6CA7"/>
    <w:rsid w:val="00CF6E7D"/>
    <w:rsid w:val="00D00175"/>
    <w:rsid w:val="00D00223"/>
    <w:rsid w:val="00D00DBF"/>
    <w:rsid w:val="00D0149B"/>
    <w:rsid w:val="00D01F5D"/>
    <w:rsid w:val="00D01FA9"/>
    <w:rsid w:val="00D03DBE"/>
    <w:rsid w:val="00D03EED"/>
    <w:rsid w:val="00D0597D"/>
    <w:rsid w:val="00D06274"/>
    <w:rsid w:val="00D066D8"/>
    <w:rsid w:val="00D11949"/>
    <w:rsid w:val="00D11A69"/>
    <w:rsid w:val="00D12C98"/>
    <w:rsid w:val="00D12FFC"/>
    <w:rsid w:val="00D1484F"/>
    <w:rsid w:val="00D14BA0"/>
    <w:rsid w:val="00D14D7B"/>
    <w:rsid w:val="00D1516D"/>
    <w:rsid w:val="00D158B0"/>
    <w:rsid w:val="00D1707A"/>
    <w:rsid w:val="00D21435"/>
    <w:rsid w:val="00D2242C"/>
    <w:rsid w:val="00D224FA"/>
    <w:rsid w:val="00D23033"/>
    <w:rsid w:val="00D2402F"/>
    <w:rsid w:val="00D245C2"/>
    <w:rsid w:val="00D25660"/>
    <w:rsid w:val="00D258EB"/>
    <w:rsid w:val="00D271CD"/>
    <w:rsid w:val="00D315CC"/>
    <w:rsid w:val="00D32067"/>
    <w:rsid w:val="00D327A3"/>
    <w:rsid w:val="00D34C82"/>
    <w:rsid w:val="00D36550"/>
    <w:rsid w:val="00D379EC"/>
    <w:rsid w:val="00D41E42"/>
    <w:rsid w:val="00D41F6B"/>
    <w:rsid w:val="00D42380"/>
    <w:rsid w:val="00D42C9B"/>
    <w:rsid w:val="00D4348D"/>
    <w:rsid w:val="00D436D7"/>
    <w:rsid w:val="00D441C4"/>
    <w:rsid w:val="00D44E42"/>
    <w:rsid w:val="00D44FC3"/>
    <w:rsid w:val="00D450E2"/>
    <w:rsid w:val="00D453D7"/>
    <w:rsid w:val="00D462D6"/>
    <w:rsid w:val="00D474AB"/>
    <w:rsid w:val="00D4754E"/>
    <w:rsid w:val="00D50961"/>
    <w:rsid w:val="00D50A02"/>
    <w:rsid w:val="00D512A1"/>
    <w:rsid w:val="00D52AB4"/>
    <w:rsid w:val="00D52F26"/>
    <w:rsid w:val="00D531F5"/>
    <w:rsid w:val="00D538C1"/>
    <w:rsid w:val="00D538D5"/>
    <w:rsid w:val="00D54640"/>
    <w:rsid w:val="00D55455"/>
    <w:rsid w:val="00D559B5"/>
    <w:rsid w:val="00D56420"/>
    <w:rsid w:val="00D56A94"/>
    <w:rsid w:val="00D56C0C"/>
    <w:rsid w:val="00D5798B"/>
    <w:rsid w:val="00D60736"/>
    <w:rsid w:val="00D6170E"/>
    <w:rsid w:val="00D61B58"/>
    <w:rsid w:val="00D6307D"/>
    <w:rsid w:val="00D63632"/>
    <w:rsid w:val="00D63732"/>
    <w:rsid w:val="00D6405D"/>
    <w:rsid w:val="00D6568E"/>
    <w:rsid w:val="00D65893"/>
    <w:rsid w:val="00D658EC"/>
    <w:rsid w:val="00D6742A"/>
    <w:rsid w:val="00D67B9B"/>
    <w:rsid w:val="00D71733"/>
    <w:rsid w:val="00D718AC"/>
    <w:rsid w:val="00D719A3"/>
    <w:rsid w:val="00D71E7A"/>
    <w:rsid w:val="00D72DE7"/>
    <w:rsid w:val="00D7302F"/>
    <w:rsid w:val="00D73BB2"/>
    <w:rsid w:val="00D74D14"/>
    <w:rsid w:val="00D74F3B"/>
    <w:rsid w:val="00D752E7"/>
    <w:rsid w:val="00D7574B"/>
    <w:rsid w:val="00D75E82"/>
    <w:rsid w:val="00D76270"/>
    <w:rsid w:val="00D769C5"/>
    <w:rsid w:val="00D76E76"/>
    <w:rsid w:val="00D80631"/>
    <w:rsid w:val="00D818EC"/>
    <w:rsid w:val="00D81A20"/>
    <w:rsid w:val="00D81F55"/>
    <w:rsid w:val="00D8321A"/>
    <w:rsid w:val="00D85152"/>
    <w:rsid w:val="00D85F2C"/>
    <w:rsid w:val="00D861BD"/>
    <w:rsid w:val="00D86D55"/>
    <w:rsid w:val="00D8789C"/>
    <w:rsid w:val="00D87B3F"/>
    <w:rsid w:val="00D9003D"/>
    <w:rsid w:val="00D90558"/>
    <w:rsid w:val="00D9082F"/>
    <w:rsid w:val="00D914EB"/>
    <w:rsid w:val="00D94085"/>
    <w:rsid w:val="00D96D4F"/>
    <w:rsid w:val="00DA1806"/>
    <w:rsid w:val="00DA1BD1"/>
    <w:rsid w:val="00DA212B"/>
    <w:rsid w:val="00DA3A76"/>
    <w:rsid w:val="00DA6D6D"/>
    <w:rsid w:val="00DA73C1"/>
    <w:rsid w:val="00DA770D"/>
    <w:rsid w:val="00DA7851"/>
    <w:rsid w:val="00DA7DC1"/>
    <w:rsid w:val="00DB00EE"/>
    <w:rsid w:val="00DB0132"/>
    <w:rsid w:val="00DB2754"/>
    <w:rsid w:val="00DB2D88"/>
    <w:rsid w:val="00DB3687"/>
    <w:rsid w:val="00DB38D1"/>
    <w:rsid w:val="00DB41CB"/>
    <w:rsid w:val="00DB681B"/>
    <w:rsid w:val="00DB7E24"/>
    <w:rsid w:val="00DC0445"/>
    <w:rsid w:val="00DC2082"/>
    <w:rsid w:val="00DC225F"/>
    <w:rsid w:val="00DC2883"/>
    <w:rsid w:val="00DC2C48"/>
    <w:rsid w:val="00DC46B5"/>
    <w:rsid w:val="00DC4B28"/>
    <w:rsid w:val="00DC4B5D"/>
    <w:rsid w:val="00DC525E"/>
    <w:rsid w:val="00DC535C"/>
    <w:rsid w:val="00DC5DCB"/>
    <w:rsid w:val="00DC6C0D"/>
    <w:rsid w:val="00DD074A"/>
    <w:rsid w:val="00DD0D70"/>
    <w:rsid w:val="00DD1941"/>
    <w:rsid w:val="00DD26A5"/>
    <w:rsid w:val="00DD2812"/>
    <w:rsid w:val="00DD34F2"/>
    <w:rsid w:val="00DD3C6B"/>
    <w:rsid w:val="00DD54ED"/>
    <w:rsid w:val="00DD697F"/>
    <w:rsid w:val="00DD699C"/>
    <w:rsid w:val="00DD739F"/>
    <w:rsid w:val="00DD7631"/>
    <w:rsid w:val="00DD7762"/>
    <w:rsid w:val="00DD781E"/>
    <w:rsid w:val="00DD7A2C"/>
    <w:rsid w:val="00DD7F63"/>
    <w:rsid w:val="00DE0A1B"/>
    <w:rsid w:val="00DE1238"/>
    <w:rsid w:val="00DE1FFE"/>
    <w:rsid w:val="00DE2F9E"/>
    <w:rsid w:val="00DE31B1"/>
    <w:rsid w:val="00DE32E7"/>
    <w:rsid w:val="00DE3BB8"/>
    <w:rsid w:val="00DE40EB"/>
    <w:rsid w:val="00DE5117"/>
    <w:rsid w:val="00DE5648"/>
    <w:rsid w:val="00DE568A"/>
    <w:rsid w:val="00DE595E"/>
    <w:rsid w:val="00DE5CD9"/>
    <w:rsid w:val="00DE6A70"/>
    <w:rsid w:val="00DE70B5"/>
    <w:rsid w:val="00DE7113"/>
    <w:rsid w:val="00DF00F9"/>
    <w:rsid w:val="00DF0576"/>
    <w:rsid w:val="00DF1981"/>
    <w:rsid w:val="00DF1D07"/>
    <w:rsid w:val="00DF1E89"/>
    <w:rsid w:val="00DF2144"/>
    <w:rsid w:val="00DF2EA5"/>
    <w:rsid w:val="00DF310B"/>
    <w:rsid w:val="00DF3E47"/>
    <w:rsid w:val="00DF56E8"/>
    <w:rsid w:val="00DF6EB6"/>
    <w:rsid w:val="00DF7133"/>
    <w:rsid w:val="00DF722A"/>
    <w:rsid w:val="00DF764C"/>
    <w:rsid w:val="00DF7FBF"/>
    <w:rsid w:val="00E00BB4"/>
    <w:rsid w:val="00E00CAA"/>
    <w:rsid w:val="00E01441"/>
    <w:rsid w:val="00E01682"/>
    <w:rsid w:val="00E01D4A"/>
    <w:rsid w:val="00E02F4B"/>
    <w:rsid w:val="00E03D04"/>
    <w:rsid w:val="00E04332"/>
    <w:rsid w:val="00E043BB"/>
    <w:rsid w:val="00E04ECF"/>
    <w:rsid w:val="00E0502A"/>
    <w:rsid w:val="00E05902"/>
    <w:rsid w:val="00E067C4"/>
    <w:rsid w:val="00E06A36"/>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C65"/>
    <w:rsid w:val="00E2307E"/>
    <w:rsid w:val="00E2352B"/>
    <w:rsid w:val="00E23E84"/>
    <w:rsid w:val="00E23F9B"/>
    <w:rsid w:val="00E24D23"/>
    <w:rsid w:val="00E26285"/>
    <w:rsid w:val="00E26649"/>
    <w:rsid w:val="00E2703D"/>
    <w:rsid w:val="00E271F9"/>
    <w:rsid w:val="00E27F0A"/>
    <w:rsid w:val="00E309B0"/>
    <w:rsid w:val="00E326E9"/>
    <w:rsid w:val="00E345C2"/>
    <w:rsid w:val="00E352C3"/>
    <w:rsid w:val="00E35476"/>
    <w:rsid w:val="00E355C0"/>
    <w:rsid w:val="00E359A5"/>
    <w:rsid w:val="00E35C28"/>
    <w:rsid w:val="00E372F7"/>
    <w:rsid w:val="00E37DC0"/>
    <w:rsid w:val="00E37EC6"/>
    <w:rsid w:val="00E40432"/>
    <w:rsid w:val="00E40850"/>
    <w:rsid w:val="00E40D52"/>
    <w:rsid w:val="00E41187"/>
    <w:rsid w:val="00E411B3"/>
    <w:rsid w:val="00E41585"/>
    <w:rsid w:val="00E4220D"/>
    <w:rsid w:val="00E4231E"/>
    <w:rsid w:val="00E4279A"/>
    <w:rsid w:val="00E44AC7"/>
    <w:rsid w:val="00E45B2D"/>
    <w:rsid w:val="00E468F2"/>
    <w:rsid w:val="00E47A20"/>
    <w:rsid w:val="00E5084C"/>
    <w:rsid w:val="00E50871"/>
    <w:rsid w:val="00E50B4C"/>
    <w:rsid w:val="00E53533"/>
    <w:rsid w:val="00E537ED"/>
    <w:rsid w:val="00E5384D"/>
    <w:rsid w:val="00E53F2E"/>
    <w:rsid w:val="00E54004"/>
    <w:rsid w:val="00E546C9"/>
    <w:rsid w:val="00E54BB9"/>
    <w:rsid w:val="00E54D3F"/>
    <w:rsid w:val="00E55F1F"/>
    <w:rsid w:val="00E56866"/>
    <w:rsid w:val="00E56904"/>
    <w:rsid w:val="00E57DFD"/>
    <w:rsid w:val="00E60423"/>
    <w:rsid w:val="00E607E5"/>
    <w:rsid w:val="00E60A16"/>
    <w:rsid w:val="00E610CB"/>
    <w:rsid w:val="00E6125B"/>
    <w:rsid w:val="00E6170A"/>
    <w:rsid w:val="00E62ADF"/>
    <w:rsid w:val="00E62FA7"/>
    <w:rsid w:val="00E637A3"/>
    <w:rsid w:val="00E659FD"/>
    <w:rsid w:val="00E65B0C"/>
    <w:rsid w:val="00E66B16"/>
    <w:rsid w:val="00E66BA2"/>
    <w:rsid w:val="00E677DB"/>
    <w:rsid w:val="00E700F8"/>
    <w:rsid w:val="00E71C2D"/>
    <w:rsid w:val="00E7266C"/>
    <w:rsid w:val="00E72BB6"/>
    <w:rsid w:val="00E730AC"/>
    <w:rsid w:val="00E734CE"/>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48F0"/>
    <w:rsid w:val="00E84D1C"/>
    <w:rsid w:val="00E84D9C"/>
    <w:rsid w:val="00E8628F"/>
    <w:rsid w:val="00E86888"/>
    <w:rsid w:val="00E92C96"/>
    <w:rsid w:val="00E942B8"/>
    <w:rsid w:val="00E944ED"/>
    <w:rsid w:val="00E945AF"/>
    <w:rsid w:val="00E94A0B"/>
    <w:rsid w:val="00E94A2C"/>
    <w:rsid w:val="00E9544C"/>
    <w:rsid w:val="00E95799"/>
    <w:rsid w:val="00E95D93"/>
    <w:rsid w:val="00E9683D"/>
    <w:rsid w:val="00E970B7"/>
    <w:rsid w:val="00E97D95"/>
    <w:rsid w:val="00EA010D"/>
    <w:rsid w:val="00EA04C5"/>
    <w:rsid w:val="00EA0507"/>
    <w:rsid w:val="00EA0BB5"/>
    <w:rsid w:val="00EA1A8A"/>
    <w:rsid w:val="00EA21FA"/>
    <w:rsid w:val="00EA25EB"/>
    <w:rsid w:val="00EA26D5"/>
    <w:rsid w:val="00EA2775"/>
    <w:rsid w:val="00EA305D"/>
    <w:rsid w:val="00EA3106"/>
    <w:rsid w:val="00EA3874"/>
    <w:rsid w:val="00EA5AB6"/>
    <w:rsid w:val="00EA612E"/>
    <w:rsid w:val="00EA761C"/>
    <w:rsid w:val="00EA7D7F"/>
    <w:rsid w:val="00EB0810"/>
    <w:rsid w:val="00EB0B5F"/>
    <w:rsid w:val="00EB1CF7"/>
    <w:rsid w:val="00EB25C2"/>
    <w:rsid w:val="00EB2B6F"/>
    <w:rsid w:val="00EB2CAD"/>
    <w:rsid w:val="00EB2FA2"/>
    <w:rsid w:val="00EB3272"/>
    <w:rsid w:val="00EB37B2"/>
    <w:rsid w:val="00EB3FF9"/>
    <w:rsid w:val="00EB7352"/>
    <w:rsid w:val="00EB769A"/>
    <w:rsid w:val="00EC11E4"/>
    <w:rsid w:val="00EC14E1"/>
    <w:rsid w:val="00EC2A3F"/>
    <w:rsid w:val="00EC2E64"/>
    <w:rsid w:val="00EC3A35"/>
    <w:rsid w:val="00EC3C52"/>
    <w:rsid w:val="00EC3E69"/>
    <w:rsid w:val="00EC5554"/>
    <w:rsid w:val="00EC572B"/>
    <w:rsid w:val="00EC5B8E"/>
    <w:rsid w:val="00EC7356"/>
    <w:rsid w:val="00EC75F6"/>
    <w:rsid w:val="00ED0065"/>
    <w:rsid w:val="00ED17B5"/>
    <w:rsid w:val="00ED353D"/>
    <w:rsid w:val="00ED588C"/>
    <w:rsid w:val="00ED6E7A"/>
    <w:rsid w:val="00ED6EA1"/>
    <w:rsid w:val="00ED7A7F"/>
    <w:rsid w:val="00EE07AC"/>
    <w:rsid w:val="00EE0891"/>
    <w:rsid w:val="00EE1062"/>
    <w:rsid w:val="00EE17F2"/>
    <w:rsid w:val="00EE188A"/>
    <w:rsid w:val="00EE1B01"/>
    <w:rsid w:val="00EE1DB8"/>
    <w:rsid w:val="00EE2746"/>
    <w:rsid w:val="00EE4759"/>
    <w:rsid w:val="00EE4C20"/>
    <w:rsid w:val="00EE4F2D"/>
    <w:rsid w:val="00EE6755"/>
    <w:rsid w:val="00EF03DC"/>
    <w:rsid w:val="00EF0437"/>
    <w:rsid w:val="00EF0BFE"/>
    <w:rsid w:val="00EF2AC7"/>
    <w:rsid w:val="00EF3397"/>
    <w:rsid w:val="00EF40BF"/>
    <w:rsid w:val="00EF4557"/>
    <w:rsid w:val="00EF493F"/>
    <w:rsid w:val="00EF5947"/>
    <w:rsid w:val="00EF5E22"/>
    <w:rsid w:val="00EF60CA"/>
    <w:rsid w:val="00EF63C1"/>
    <w:rsid w:val="00EF6C2B"/>
    <w:rsid w:val="00F008BD"/>
    <w:rsid w:val="00F021A9"/>
    <w:rsid w:val="00F02C54"/>
    <w:rsid w:val="00F02D03"/>
    <w:rsid w:val="00F0448C"/>
    <w:rsid w:val="00F0553C"/>
    <w:rsid w:val="00F06BA7"/>
    <w:rsid w:val="00F071BA"/>
    <w:rsid w:val="00F1284F"/>
    <w:rsid w:val="00F136A4"/>
    <w:rsid w:val="00F1377B"/>
    <w:rsid w:val="00F13C5E"/>
    <w:rsid w:val="00F148D5"/>
    <w:rsid w:val="00F1601A"/>
    <w:rsid w:val="00F160BF"/>
    <w:rsid w:val="00F1675C"/>
    <w:rsid w:val="00F16A3C"/>
    <w:rsid w:val="00F17428"/>
    <w:rsid w:val="00F20046"/>
    <w:rsid w:val="00F20D22"/>
    <w:rsid w:val="00F21A58"/>
    <w:rsid w:val="00F2302A"/>
    <w:rsid w:val="00F23048"/>
    <w:rsid w:val="00F239CD"/>
    <w:rsid w:val="00F23DCC"/>
    <w:rsid w:val="00F24294"/>
    <w:rsid w:val="00F2477C"/>
    <w:rsid w:val="00F24EBB"/>
    <w:rsid w:val="00F27F06"/>
    <w:rsid w:val="00F314E8"/>
    <w:rsid w:val="00F316A2"/>
    <w:rsid w:val="00F323A2"/>
    <w:rsid w:val="00F332D4"/>
    <w:rsid w:val="00F33B57"/>
    <w:rsid w:val="00F33CA8"/>
    <w:rsid w:val="00F33D5C"/>
    <w:rsid w:val="00F356D6"/>
    <w:rsid w:val="00F37D37"/>
    <w:rsid w:val="00F400E3"/>
    <w:rsid w:val="00F4021A"/>
    <w:rsid w:val="00F40876"/>
    <w:rsid w:val="00F44642"/>
    <w:rsid w:val="00F454A2"/>
    <w:rsid w:val="00F45E89"/>
    <w:rsid w:val="00F47845"/>
    <w:rsid w:val="00F47B6C"/>
    <w:rsid w:val="00F50675"/>
    <w:rsid w:val="00F5071D"/>
    <w:rsid w:val="00F50BD6"/>
    <w:rsid w:val="00F50E16"/>
    <w:rsid w:val="00F513B2"/>
    <w:rsid w:val="00F51520"/>
    <w:rsid w:val="00F52140"/>
    <w:rsid w:val="00F521E4"/>
    <w:rsid w:val="00F52CCE"/>
    <w:rsid w:val="00F53151"/>
    <w:rsid w:val="00F535A9"/>
    <w:rsid w:val="00F53F92"/>
    <w:rsid w:val="00F5480F"/>
    <w:rsid w:val="00F552F7"/>
    <w:rsid w:val="00F554EB"/>
    <w:rsid w:val="00F5562D"/>
    <w:rsid w:val="00F566EA"/>
    <w:rsid w:val="00F567A4"/>
    <w:rsid w:val="00F578EB"/>
    <w:rsid w:val="00F605BE"/>
    <w:rsid w:val="00F60DDC"/>
    <w:rsid w:val="00F610A9"/>
    <w:rsid w:val="00F617BE"/>
    <w:rsid w:val="00F61C7A"/>
    <w:rsid w:val="00F625F7"/>
    <w:rsid w:val="00F64D5A"/>
    <w:rsid w:val="00F65399"/>
    <w:rsid w:val="00F65C22"/>
    <w:rsid w:val="00F65EC9"/>
    <w:rsid w:val="00F66CB1"/>
    <w:rsid w:val="00F672BD"/>
    <w:rsid w:val="00F67E15"/>
    <w:rsid w:val="00F67FCA"/>
    <w:rsid w:val="00F70815"/>
    <w:rsid w:val="00F709F4"/>
    <w:rsid w:val="00F71019"/>
    <w:rsid w:val="00F710A9"/>
    <w:rsid w:val="00F7284D"/>
    <w:rsid w:val="00F72CFE"/>
    <w:rsid w:val="00F72FB0"/>
    <w:rsid w:val="00F73423"/>
    <w:rsid w:val="00F7365E"/>
    <w:rsid w:val="00F737A4"/>
    <w:rsid w:val="00F75481"/>
    <w:rsid w:val="00F76A4C"/>
    <w:rsid w:val="00F76AB3"/>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5B"/>
    <w:rsid w:val="00F87FEA"/>
    <w:rsid w:val="00F90613"/>
    <w:rsid w:val="00F906F4"/>
    <w:rsid w:val="00F915F3"/>
    <w:rsid w:val="00F91800"/>
    <w:rsid w:val="00F91853"/>
    <w:rsid w:val="00F91987"/>
    <w:rsid w:val="00F9208E"/>
    <w:rsid w:val="00F92571"/>
    <w:rsid w:val="00F93B2F"/>
    <w:rsid w:val="00F93CAE"/>
    <w:rsid w:val="00F95CCE"/>
    <w:rsid w:val="00F9692D"/>
    <w:rsid w:val="00F978BE"/>
    <w:rsid w:val="00F97D7B"/>
    <w:rsid w:val="00FA0013"/>
    <w:rsid w:val="00FA0288"/>
    <w:rsid w:val="00FA0F71"/>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629"/>
    <w:rsid w:val="00FB577F"/>
    <w:rsid w:val="00FB5E5D"/>
    <w:rsid w:val="00FB5FC4"/>
    <w:rsid w:val="00FB6A07"/>
    <w:rsid w:val="00FB6FB1"/>
    <w:rsid w:val="00FB7460"/>
    <w:rsid w:val="00FB7A10"/>
    <w:rsid w:val="00FC0F81"/>
    <w:rsid w:val="00FC3798"/>
    <w:rsid w:val="00FC59AF"/>
    <w:rsid w:val="00FC5F72"/>
    <w:rsid w:val="00FC62B5"/>
    <w:rsid w:val="00FC6D4E"/>
    <w:rsid w:val="00FC7073"/>
    <w:rsid w:val="00FC736F"/>
    <w:rsid w:val="00FD0CDB"/>
    <w:rsid w:val="00FD1FA7"/>
    <w:rsid w:val="00FD2D42"/>
    <w:rsid w:val="00FD30B5"/>
    <w:rsid w:val="00FD3453"/>
    <w:rsid w:val="00FD39CF"/>
    <w:rsid w:val="00FD4D84"/>
    <w:rsid w:val="00FD5468"/>
    <w:rsid w:val="00FD58F5"/>
    <w:rsid w:val="00FD754C"/>
    <w:rsid w:val="00FE0DAE"/>
    <w:rsid w:val="00FE1370"/>
    <w:rsid w:val="00FE1510"/>
    <w:rsid w:val="00FE2121"/>
    <w:rsid w:val="00FE254A"/>
    <w:rsid w:val="00FE321B"/>
    <w:rsid w:val="00FE3D07"/>
    <w:rsid w:val="00FE4B6F"/>
    <w:rsid w:val="00FE6818"/>
    <w:rsid w:val="00FF0CF5"/>
    <w:rsid w:val="00FF0D6F"/>
    <w:rsid w:val="00FF0E9E"/>
    <w:rsid w:val="00FF1103"/>
    <w:rsid w:val="00FF1712"/>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os/cce-eicp-gi-18._gees_v.2_2.pdf"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gfernandez@alcaldiabogota.gov.co"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eb0fd05604104aa4d3bc08dd4c4ad35e%7C7b09041e245149d08cb179d5e3d8c1be%7C0%7C0%7C638750606445955315%7CUnknown%7CTWFpbGZsb3d8eyJFbXB0eU1hcGkiOnRydWUsIlYiOiIwLjAuMDAwMCIsIlAiOiJXaW4zMiIsIkFOIjoiTWFpbCIsIldUIjoyfQ%3D%3D%7C0%7C%7C%7C&amp;sdata=rg5gIZMXUibmlW0fQooF%2BImy%2B2nR%2B%2FKlCtwBQuhqOtM%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iudadanos%2Fcalendario&amp;data=05%7C02%7Ctatiana.baquero%40colombiacompra.gov.co%7Ceb0fd05604104aa4d3bc08dd4c4ad35e%7C7b09041e245149d08cb179d5e3d8c1be%7C0%7C0%7C638750606445942981%7CUnknown%7CTWFpbGZsb3d8eyJFbXB0eU1hcGkiOnRydWUsIlYiOiIwLjAuMDAwMCIsIlAiOiJXaW4zMiIsIkFOIjoiTWFpbCIsIldUIjoyfQ%3D%3D%7C0%7C%7C%7C&amp;sdata=vELObfe7WBLRkZAqY%2BUNk6oCbo4SVElKFox0kR2OcRM%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tatiana.baquero%40colombiacompra.gov.co%7Ceb0fd05604104aa4d3bc08dd4c4ad35e%7C7b09041e245149d08cb179d5e3d8c1be%7C0%7C0%7C638750606445917849%7CUnknown%7CTWFpbGZsb3d8eyJFbXB0eU1hcGkiOnRydWUsIlYiOiIwLjAuMDAwMCIsIlAiOiJXaW4zMiIsIkFOIjoiTWFpbCIsIldUIjoyfQ%3D%3D%7C0%7C%7C%7C&amp;sdata=CIYlMJvb8%2FkyVQ4wnSJNk2cjQdOhR92iwUE8nmXIOWg%3D&amp;reserved=0"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os/cce-eicp-gi-18._gees_v.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6181</Words>
  <Characters>34000</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40101</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6</cp:revision>
  <dcterms:created xsi:type="dcterms:W3CDTF">2025-03-21T01:44:00Z</dcterms:created>
  <dcterms:modified xsi:type="dcterms:W3CDTF">2025-03-21T13:20:00Z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