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24D0C" w14:textId="77777777" w:rsidR="00B33517" w:rsidRPr="00474E5D" w:rsidRDefault="00B33517" w:rsidP="00B33517">
      <w:pPr>
        <w:spacing w:after="0" w:line="240" w:lineRule="auto"/>
        <w:jc w:val="both"/>
        <w:rPr>
          <w:rFonts w:ascii="Verdana" w:eastAsia="Calibri" w:hAnsi="Verdana" w:cs="Arial"/>
          <w:b/>
          <w:bCs/>
          <w:color w:val="000000"/>
          <w:kern w:val="2"/>
          <w:sz w:val="20"/>
          <w:szCs w:val="20"/>
          <w14:ligatures w14:val="standardContextual"/>
        </w:rPr>
      </w:pPr>
      <w:bookmarkStart w:id="0" w:name="_Hlk181166130"/>
      <w:bookmarkStart w:id="1" w:name="_Hlk143780582"/>
    </w:p>
    <w:p w14:paraId="29A2470F" w14:textId="77777777" w:rsidR="00474E5D" w:rsidRPr="00474E5D" w:rsidRDefault="00474E5D" w:rsidP="00474E5D">
      <w:pPr>
        <w:spacing w:after="0"/>
        <w:jc w:val="both"/>
        <w:rPr>
          <w:rFonts w:ascii="Verdana" w:hAnsi="Verdana"/>
          <w:b/>
          <w:bCs/>
          <w:sz w:val="20"/>
          <w:szCs w:val="20"/>
          <w:lang w:val="es-MX"/>
        </w:rPr>
      </w:pPr>
      <w:r w:rsidRPr="00474E5D">
        <w:rPr>
          <w:rFonts w:ascii="Verdana" w:hAnsi="Verdana"/>
          <w:b/>
          <w:bCs/>
          <w:sz w:val="20"/>
          <w:szCs w:val="20"/>
          <w:lang w:val="es-MX"/>
        </w:rPr>
        <w:t>DOCUMENTOS TIPO – Fundamento jurídico – Aplicación</w:t>
      </w:r>
    </w:p>
    <w:p w14:paraId="518CDDD8" w14:textId="77777777" w:rsidR="00474E5D" w:rsidRPr="00474E5D" w:rsidRDefault="00474E5D" w:rsidP="00474E5D">
      <w:pPr>
        <w:spacing w:after="0"/>
        <w:jc w:val="both"/>
        <w:rPr>
          <w:rFonts w:ascii="Verdana" w:hAnsi="Verdana"/>
          <w:b/>
          <w:bCs/>
          <w:sz w:val="20"/>
          <w:szCs w:val="20"/>
          <w:lang w:val="es-MX"/>
        </w:rPr>
      </w:pPr>
    </w:p>
    <w:p w14:paraId="242787AE" w14:textId="77777777" w:rsidR="00474E5D" w:rsidRPr="00474E5D" w:rsidRDefault="00474E5D" w:rsidP="00474E5D">
      <w:pPr>
        <w:spacing w:after="0" w:line="240" w:lineRule="auto"/>
        <w:jc w:val="both"/>
        <w:rPr>
          <w:rFonts w:ascii="Verdana" w:hAnsi="Verdana"/>
          <w:sz w:val="20"/>
          <w:szCs w:val="20"/>
          <w:lang w:val="es-MX"/>
        </w:rPr>
      </w:pPr>
      <w:r w:rsidRPr="00474E5D">
        <w:rPr>
          <w:rFonts w:ascii="Verdana" w:hAnsi="Verdana"/>
          <w:sz w:val="20"/>
          <w:szCs w:val="20"/>
          <w:lang w:val="es-MX"/>
        </w:rPr>
        <w:t>[…] : i) la adopción de los documentos tipo estaba en cabeza del gobierno nacional; ii) estos debían relacionarse con procesos de obras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w:t>
      </w:r>
    </w:p>
    <w:p w14:paraId="1B8CDA62" w14:textId="77777777" w:rsidR="00474E5D" w:rsidRPr="00474E5D" w:rsidRDefault="00474E5D" w:rsidP="00474E5D">
      <w:pPr>
        <w:spacing w:after="0" w:line="240" w:lineRule="auto"/>
        <w:jc w:val="both"/>
        <w:rPr>
          <w:rFonts w:ascii="Verdana" w:hAnsi="Verdana"/>
          <w:sz w:val="20"/>
          <w:szCs w:val="20"/>
          <w:lang w:val="es-MX"/>
        </w:rPr>
      </w:pPr>
    </w:p>
    <w:p w14:paraId="05A28F9D" w14:textId="77777777" w:rsidR="00474E5D" w:rsidRPr="00474E5D" w:rsidRDefault="00474E5D" w:rsidP="00474E5D">
      <w:pPr>
        <w:spacing w:after="0" w:line="240" w:lineRule="auto"/>
        <w:jc w:val="both"/>
        <w:rPr>
          <w:rFonts w:ascii="Verdana" w:hAnsi="Verdana"/>
          <w:sz w:val="20"/>
          <w:szCs w:val="20"/>
          <w:lang w:val="es-MX"/>
        </w:rPr>
      </w:pPr>
      <w:r w:rsidRPr="00474E5D">
        <w:rPr>
          <w:rFonts w:ascii="Verdana" w:hAnsi="Verdana"/>
          <w:sz w:val="20"/>
          <w:szCs w:val="20"/>
          <w:lang w:val="es-MX"/>
        </w:rPr>
        <w:t>[…]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14:paraId="486C1B61" w14:textId="77777777" w:rsidR="00474E5D" w:rsidRPr="00474E5D" w:rsidRDefault="00474E5D" w:rsidP="00474E5D">
      <w:pPr>
        <w:spacing w:after="0" w:line="240" w:lineRule="auto"/>
        <w:jc w:val="both"/>
        <w:rPr>
          <w:rFonts w:ascii="Verdana" w:hAnsi="Verdana"/>
          <w:sz w:val="20"/>
          <w:szCs w:val="20"/>
          <w:lang w:val="es-MX"/>
        </w:rPr>
      </w:pPr>
    </w:p>
    <w:p w14:paraId="76632B8E" w14:textId="77777777" w:rsidR="00474E5D" w:rsidRPr="00474E5D" w:rsidRDefault="00474E5D" w:rsidP="00474E5D">
      <w:pPr>
        <w:spacing w:after="0" w:line="240" w:lineRule="auto"/>
        <w:jc w:val="both"/>
        <w:rPr>
          <w:rFonts w:ascii="Verdana" w:hAnsi="Verdana"/>
          <w:sz w:val="20"/>
          <w:szCs w:val="20"/>
          <w:lang w:val="es-MX"/>
        </w:rPr>
      </w:pPr>
      <w:r w:rsidRPr="00474E5D">
        <w:rPr>
          <w:rFonts w:ascii="Verdana" w:hAnsi="Verdana"/>
          <w:sz w:val="20"/>
          <w:szCs w:val="20"/>
          <w:lang w:val="es-MX"/>
        </w:rPr>
        <w:t>[…]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558AE630" w14:textId="77777777" w:rsidR="00474E5D" w:rsidRPr="00474E5D" w:rsidRDefault="00474E5D" w:rsidP="00474E5D">
      <w:pPr>
        <w:spacing w:after="0" w:line="240" w:lineRule="auto"/>
        <w:jc w:val="both"/>
        <w:rPr>
          <w:rFonts w:ascii="Verdana" w:hAnsi="Verdana"/>
          <w:sz w:val="20"/>
          <w:szCs w:val="20"/>
          <w:lang w:val="es-MX"/>
        </w:rPr>
      </w:pPr>
    </w:p>
    <w:p w14:paraId="4CADA62A" w14:textId="77777777" w:rsidR="00474E5D" w:rsidRPr="00474E5D" w:rsidRDefault="00474E5D" w:rsidP="00474E5D">
      <w:pPr>
        <w:spacing w:after="0" w:line="240" w:lineRule="auto"/>
        <w:jc w:val="both"/>
        <w:rPr>
          <w:rFonts w:ascii="Verdana" w:hAnsi="Verdana"/>
          <w:b/>
          <w:bCs/>
          <w:sz w:val="20"/>
          <w:szCs w:val="20"/>
          <w:lang w:val="es-MX"/>
        </w:rPr>
      </w:pPr>
      <w:r w:rsidRPr="00474E5D">
        <w:rPr>
          <w:rFonts w:ascii="Verdana" w:hAnsi="Verdana"/>
          <w:b/>
          <w:bCs/>
          <w:sz w:val="20"/>
          <w:szCs w:val="20"/>
          <w:lang w:val="es-MX"/>
        </w:rPr>
        <w:t>DOCUMENTOS TIPO DE INTERVENTORÍA DE INFRAESTRUCTURA DE TRANSPORTE - «Matriz 4-Lineamientos de requisitos del personal» – Experiencia</w:t>
      </w:r>
    </w:p>
    <w:p w14:paraId="3CCC7439" w14:textId="77777777" w:rsidR="00474E5D" w:rsidRPr="00474E5D" w:rsidRDefault="00474E5D" w:rsidP="00474E5D">
      <w:pPr>
        <w:spacing w:after="0" w:line="240" w:lineRule="auto"/>
        <w:jc w:val="both"/>
        <w:rPr>
          <w:rFonts w:ascii="Verdana" w:hAnsi="Verdana"/>
          <w:b/>
          <w:bCs/>
          <w:sz w:val="20"/>
          <w:szCs w:val="20"/>
          <w:lang w:val="es-MX"/>
        </w:rPr>
      </w:pPr>
    </w:p>
    <w:p w14:paraId="0A9375D1" w14:textId="77777777" w:rsidR="00474E5D" w:rsidRPr="00474E5D" w:rsidRDefault="00474E5D" w:rsidP="00474E5D">
      <w:pPr>
        <w:spacing w:after="0" w:line="240" w:lineRule="auto"/>
        <w:jc w:val="both"/>
        <w:rPr>
          <w:rFonts w:ascii="Verdana" w:hAnsi="Verdana"/>
          <w:sz w:val="20"/>
          <w:szCs w:val="20"/>
          <w:lang w:val="es-MX"/>
        </w:rPr>
      </w:pPr>
      <w:r w:rsidRPr="00474E5D">
        <w:rPr>
          <w:rFonts w:ascii="Verdana" w:hAnsi="Verdana"/>
          <w:sz w:val="20"/>
          <w:szCs w:val="20"/>
          <w:lang w:val="es-MX"/>
        </w:rPr>
        <w:t xml:space="preserve">La «Matriz 4» de los documentos tipo, tanto de interventoría como de consultoría, estandariza los requisitos de experiencia y formación académica de parte del equipo de </w:t>
      </w:r>
      <w:r w:rsidRPr="00474E5D">
        <w:rPr>
          <w:rFonts w:ascii="Verdana" w:hAnsi="Verdana"/>
          <w:sz w:val="20"/>
          <w:szCs w:val="20"/>
          <w:lang w:val="es-MX"/>
        </w:rPr>
        <w:lastRenderedPageBreak/>
        <w:t>trabajo del proponente, en particular del «Personal clave evaluable». En tal sentido, con fundamento en dicha matriz, la entidad debe diligenciar o completar algunos apartes de los documentos que conforman el documento tipo de interventoría, entre otros, siendo los más relevantes el numeral 7 del «Anexo 1 – Anexo Técnico» «INFORMACIÓN SOBRE EL PERSONAL PROFESIONAL Y EQUIPOS DEL INTERVENTOR» y el numeral 3.8.2 del documento base «3.8.2 EXIGENCIAS MÍNIMAS DE EXPERIENCIA Y FORMACIÓN ACADÉMICA DEL EQUIPO DE TRABAJO (Personal clave evaluable)». Además, tal regulación incidirá en el numeral 4.2. del documento base «EQUIPO DE TRABAJO (Personal clave evaluable)».</w:t>
      </w:r>
    </w:p>
    <w:p w14:paraId="50589955" w14:textId="77777777" w:rsidR="00474E5D" w:rsidRDefault="00474E5D" w:rsidP="00474E5D">
      <w:pPr>
        <w:spacing w:after="0" w:line="240" w:lineRule="auto"/>
        <w:jc w:val="both"/>
        <w:rPr>
          <w:rFonts w:ascii="Verdana" w:hAnsi="Verdana"/>
          <w:sz w:val="20"/>
          <w:szCs w:val="20"/>
          <w:lang w:val="es-MX"/>
        </w:rPr>
      </w:pPr>
    </w:p>
    <w:p w14:paraId="561B94DD" w14:textId="714071BF" w:rsidR="00474E5D" w:rsidRDefault="00474E5D" w:rsidP="00474E5D">
      <w:pPr>
        <w:spacing w:after="0" w:line="240" w:lineRule="auto"/>
        <w:jc w:val="both"/>
        <w:rPr>
          <w:rFonts w:ascii="Verdana" w:hAnsi="Verdana"/>
          <w:sz w:val="20"/>
          <w:szCs w:val="20"/>
          <w:lang w:val="es-MX"/>
        </w:rPr>
      </w:pPr>
      <w:r w:rsidRPr="00474E5D">
        <w:rPr>
          <w:rFonts w:ascii="Verdana" w:hAnsi="Verdana"/>
          <w:sz w:val="20"/>
          <w:szCs w:val="20"/>
          <w:lang w:val="es-MX"/>
        </w:rPr>
        <w:t>[…]</w:t>
      </w:r>
    </w:p>
    <w:p w14:paraId="3FFD3E01" w14:textId="77777777" w:rsidR="00474E5D" w:rsidRPr="00474E5D" w:rsidRDefault="00474E5D" w:rsidP="00474E5D">
      <w:pPr>
        <w:spacing w:after="0" w:line="240" w:lineRule="auto"/>
        <w:jc w:val="both"/>
        <w:rPr>
          <w:rFonts w:ascii="Verdana" w:hAnsi="Verdana"/>
          <w:sz w:val="20"/>
          <w:szCs w:val="20"/>
          <w:lang w:val="es-MX"/>
        </w:rPr>
      </w:pPr>
    </w:p>
    <w:p w14:paraId="7B2AB620" w14:textId="77777777" w:rsidR="00474E5D" w:rsidRPr="00474E5D" w:rsidRDefault="00474E5D" w:rsidP="00474E5D">
      <w:pPr>
        <w:spacing w:after="0" w:line="240" w:lineRule="auto"/>
        <w:jc w:val="both"/>
        <w:rPr>
          <w:rFonts w:ascii="Verdana" w:hAnsi="Verdana"/>
          <w:sz w:val="20"/>
          <w:szCs w:val="20"/>
          <w:lang w:val="es-MX"/>
        </w:rPr>
      </w:pPr>
      <w:r w:rsidRPr="00474E5D">
        <w:rPr>
          <w:rFonts w:ascii="Verdana" w:hAnsi="Verdana"/>
          <w:sz w:val="20"/>
          <w:szCs w:val="20"/>
          <w:lang w:val="es-MX"/>
        </w:rPr>
        <w:t>[…] dependiendo de la naturaleza del contrato y las exigencias de experiencia del personal que la entidad considere proporcionales al proceso de contratación, y teniendo en cuenta los recursos con los que cuente, esta determinará la categoría con fundamento en la cual se formularán los requisitos de experiencia general y específica del personal […].</w:t>
      </w:r>
    </w:p>
    <w:p w14:paraId="64D679C0" w14:textId="77777777" w:rsidR="00B33517" w:rsidRDefault="00B33517" w:rsidP="009143F1">
      <w:pPr>
        <w:tabs>
          <w:tab w:val="left" w:pos="3374"/>
        </w:tabs>
        <w:jc w:val="both"/>
        <w:rPr>
          <w:rFonts w:ascii="Verdana" w:hAnsi="Verdana" w:cs="Arial"/>
          <w:color w:val="000000" w:themeColor="text1"/>
          <w:lang w:val="es-ES_tradnl"/>
        </w:rPr>
      </w:pPr>
    </w:p>
    <w:p w14:paraId="7395DF81" w14:textId="77777777" w:rsidR="00B33517" w:rsidRDefault="00B33517" w:rsidP="009143F1">
      <w:pPr>
        <w:tabs>
          <w:tab w:val="left" w:pos="3374"/>
        </w:tabs>
        <w:jc w:val="both"/>
        <w:rPr>
          <w:rFonts w:ascii="Verdana" w:hAnsi="Verdana" w:cs="Arial"/>
          <w:color w:val="000000" w:themeColor="text1"/>
          <w:lang w:val="es-ES_tradnl"/>
        </w:rPr>
      </w:pPr>
    </w:p>
    <w:p w14:paraId="08F7DEB8" w14:textId="77777777" w:rsidR="00B33517" w:rsidRDefault="00B33517" w:rsidP="009143F1">
      <w:pPr>
        <w:tabs>
          <w:tab w:val="left" w:pos="3374"/>
        </w:tabs>
        <w:jc w:val="both"/>
        <w:rPr>
          <w:rFonts w:ascii="Verdana" w:hAnsi="Verdana" w:cs="Arial"/>
          <w:color w:val="000000" w:themeColor="text1"/>
          <w:lang w:val="es-ES_tradnl"/>
        </w:rPr>
      </w:pPr>
    </w:p>
    <w:p w14:paraId="65DDFC45" w14:textId="77777777" w:rsidR="00474E5D" w:rsidRDefault="00474E5D" w:rsidP="009143F1">
      <w:pPr>
        <w:tabs>
          <w:tab w:val="left" w:pos="3374"/>
        </w:tabs>
        <w:jc w:val="both"/>
        <w:rPr>
          <w:rFonts w:ascii="Verdana" w:hAnsi="Verdana" w:cs="Arial"/>
          <w:color w:val="000000" w:themeColor="text1"/>
          <w:lang w:val="es-ES_tradnl"/>
        </w:rPr>
      </w:pPr>
    </w:p>
    <w:p w14:paraId="4BB0214A" w14:textId="77777777" w:rsidR="00474E5D" w:rsidRDefault="00474E5D" w:rsidP="009143F1">
      <w:pPr>
        <w:tabs>
          <w:tab w:val="left" w:pos="3374"/>
        </w:tabs>
        <w:jc w:val="both"/>
        <w:rPr>
          <w:rFonts w:ascii="Verdana" w:hAnsi="Verdana" w:cs="Arial"/>
          <w:color w:val="000000" w:themeColor="text1"/>
          <w:lang w:val="es-ES_tradnl"/>
        </w:rPr>
      </w:pPr>
    </w:p>
    <w:p w14:paraId="16B9D184" w14:textId="77777777" w:rsidR="00474E5D" w:rsidRDefault="00474E5D" w:rsidP="009143F1">
      <w:pPr>
        <w:tabs>
          <w:tab w:val="left" w:pos="3374"/>
        </w:tabs>
        <w:jc w:val="both"/>
        <w:rPr>
          <w:rFonts w:ascii="Verdana" w:hAnsi="Verdana" w:cs="Arial"/>
          <w:color w:val="000000" w:themeColor="text1"/>
          <w:lang w:val="es-ES_tradnl"/>
        </w:rPr>
      </w:pPr>
    </w:p>
    <w:p w14:paraId="4296E502" w14:textId="77777777" w:rsidR="00474E5D" w:rsidRDefault="00474E5D" w:rsidP="009143F1">
      <w:pPr>
        <w:tabs>
          <w:tab w:val="left" w:pos="3374"/>
        </w:tabs>
        <w:jc w:val="both"/>
        <w:rPr>
          <w:rFonts w:ascii="Verdana" w:hAnsi="Verdana" w:cs="Arial"/>
          <w:color w:val="000000" w:themeColor="text1"/>
          <w:lang w:val="es-ES_tradnl"/>
        </w:rPr>
      </w:pPr>
    </w:p>
    <w:p w14:paraId="6ACDC1BA" w14:textId="77777777" w:rsidR="00474E5D" w:rsidRDefault="00474E5D" w:rsidP="009143F1">
      <w:pPr>
        <w:tabs>
          <w:tab w:val="left" w:pos="3374"/>
        </w:tabs>
        <w:jc w:val="both"/>
        <w:rPr>
          <w:rFonts w:ascii="Verdana" w:hAnsi="Verdana" w:cs="Arial"/>
          <w:color w:val="000000" w:themeColor="text1"/>
          <w:lang w:val="es-ES_tradnl"/>
        </w:rPr>
      </w:pPr>
    </w:p>
    <w:p w14:paraId="4B975024" w14:textId="77777777" w:rsidR="00474E5D" w:rsidRDefault="00474E5D" w:rsidP="009143F1">
      <w:pPr>
        <w:tabs>
          <w:tab w:val="left" w:pos="3374"/>
        </w:tabs>
        <w:jc w:val="both"/>
        <w:rPr>
          <w:rFonts w:ascii="Verdana" w:hAnsi="Verdana" w:cs="Arial"/>
          <w:color w:val="000000" w:themeColor="text1"/>
          <w:lang w:val="es-ES_tradnl"/>
        </w:rPr>
      </w:pPr>
    </w:p>
    <w:p w14:paraId="215C5809" w14:textId="77777777" w:rsidR="00B33517" w:rsidRDefault="00B33517" w:rsidP="009143F1">
      <w:pPr>
        <w:tabs>
          <w:tab w:val="left" w:pos="3374"/>
        </w:tabs>
        <w:jc w:val="both"/>
        <w:rPr>
          <w:rFonts w:ascii="Verdana" w:hAnsi="Verdana" w:cs="Arial"/>
          <w:color w:val="000000" w:themeColor="text1"/>
          <w:lang w:val="es-ES_tradnl"/>
        </w:rPr>
      </w:pPr>
    </w:p>
    <w:p w14:paraId="109B0A7A" w14:textId="77777777" w:rsidR="00B33517" w:rsidRDefault="00B33517" w:rsidP="009143F1">
      <w:pPr>
        <w:tabs>
          <w:tab w:val="left" w:pos="3374"/>
        </w:tabs>
        <w:jc w:val="both"/>
        <w:rPr>
          <w:rFonts w:ascii="Verdana" w:hAnsi="Verdana" w:cs="Arial"/>
          <w:color w:val="000000" w:themeColor="text1"/>
          <w:lang w:val="es-ES_tradnl"/>
        </w:rPr>
      </w:pPr>
    </w:p>
    <w:p w14:paraId="3BBCBD7E" w14:textId="77777777" w:rsidR="009143F1" w:rsidRDefault="009143F1" w:rsidP="009143F1">
      <w:pPr>
        <w:tabs>
          <w:tab w:val="left" w:pos="3374"/>
        </w:tabs>
        <w:jc w:val="both"/>
        <w:rPr>
          <w:rFonts w:ascii="Verdana" w:hAnsi="Verdana" w:cs="Arial"/>
          <w:color w:val="000000" w:themeColor="text1"/>
          <w:lang w:val="es-ES_tradnl"/>
        </w:rPr>
      </w:pPr>
    </w:p>
    <w:p w14:paraId="7F384CCC" w14:textId="237934C5" w:rsidR="007D5768" w:rsidRDefault="007D5768" w:rsidP="007D5768">
      <w:pPr>
        <w:spacing w:after="0"/>
        <w:rPr>
          <w:rFonts w:ascii="Verdana" w:hAnsi="Verdana"/>
        </w:rPr>
      </w:pPr>
      <w:r w:rsidRPr="0044528D">
        <w:rPr>
          <w:rFonts w:ascii="Verdana" w:hAnsi="Verdana"/>
        </w:rPr>
        <w:lastRenderedPageBreak/>
        <w:t xml:space="preserve">Bogotá D.C., </w:t>
      </w:r>
      <w:r w:rsidR="00C515B6">
        <w:rPr>
          <w:rFonts w:ascii="Verdana" w:hAnsi="Verdana"/>
        </w:rPr>
        <w:t>20 de marzo de 2025</w:t>
      </w:r>
    </w:p>
    <w:p w14:paraId="1673010F" w14:textId="77777777" w:rsidR="007D5768" w:rsidRDefault="007D5768" w:rsidP="007D5768">
      <w:pPr>
        <w:spacing w:after="0"/>
        <w:rPr>
          <w:rFonts w:ascii="Verdana" w:hAnsi="Verdana"/>
        </w:rPr>
      </w:pPr>
      <w:bookmarkStart w:id="2" w:name="_Hlk180638295"/>
      <w:bookmarkEnd w:id="0"/>
    </w:p>
    <w:p w14:paraId="54FC63A1" w14:textId="433158AA" w:rsidR="007D5768" w:rsidRPr="005E62E2" w:rsidRDefault="007D5768" w:rsidP="00C515B6">
      <w:pPr>
        <w:spacing w:after="0" w:line="240" w:lineRule="auto"/>
        <w:rPr>
          <w:rFonts w:ascii="Verdana" w:eastAsia="Calibri" w:hAnsi="Verdana" w:cs="Arial"/>
          <w:lang w:eastAsia="es-ES"/>
        </w:rPr>
      </w:pPr>
      <w:bookmarkStart w:id="3" w:name="_Hlk181166167"/>
      <w:r w:rsidRPr="005E62E2">
        <w:rPr>
          <w:rFonts w:ascii="Verdana" w:eastAsia="Calibri" w:hAnsi="Verdana" w:cs="Arial"/>
          <w:lang w:eastAsia="es-ES"/>
        </w:rPr>
        <w:t>Señor</w:t>
      </w:r>
      <w:r w:rsidR="00ED58AB" w:rsidRPr="005E62E2">
        <w:rPr>
          <w:rFonts w:ascii="Verdana" w:eastAsia="Calibri" w:hAnsi="Verdana" w:cs="Arial"/>
          <w:lang w:eastAsia="es-ES"/>
        </w:rPr>
        <w:t>a</w:t>
      </w:r>
      <w:r w:rsidR="003A2ECF" w:rsidRPr="005E62E2">
        <w:rPr>
          <w:rFonts w:ascii="Verdana" w:eastAsia="Calibri" w:hAnsi="Verdana" w:cs="Arial"/>
          <w:lang w:eastAsia="es-ES"/>
        </w:rPr>
        <w:tab/>
      </w:r>
      <w:r w:rsidR="00C515B6">
        <w:rPr>
          <w:rFonts w:ascii="Verdana" w:eastAsia="Calibri" w:hAnsi="Verdana" w:cs="Arial"/>
          <w:lang w:eastAsia="es-ES"/>
        </w:rPr>
        <w:t xml:space="preserve">                                                 </w:t>
      </w:r>
    </w:p>
    <w:p w14:paraId="7719F98D" w14:textId="03DBF184" w:rsidR="00EF4E84" w:rsidRPr="005E62E2" w:rsidRDefault="00FB76D0" w:rsidP="00EF4E84">
      <w:pPr>
        <w:spacing w:after="0" w:line="240" w:lineRule="auto"/>
        <w:jc w:val="both"/>
        <w:rPr>
          <w:rFonts w:ascii="Verdana" w:eastAsia="Calibri" w:hAnsi="Verdana" w:cs="Arial"/>
          <w:b/>
          <w:bCs/>
          <w:color w:val="000000"/>
          <w:lang w:eastAsia="es-ES_tradnl"/>
        </w:rPr>
      </w:pPr>
      <w:r w:rsidRPr="005E62E2">
        <w:rPr>
          <w:rFonts w:ascii="Verdana" w:eastAsia="Calibri" w:hAnsi="Verdana" w:cs="Arial"/>
          <w:b/>
          <w:bCs/>
          <w:color w:val="000000"/>
          <w:lang w:eastAsia="es-ES_tradnl"/>
        </w:rPr>
        <w:t>A</w:t>
      </w:r>
      <w:r w:rsidR="00474E5D">
        <w:rPr>
          <w:rFonts w:ascii="Verdana" w:eastAsia="Calibri" w:hAnsi="Verdana" w:cs="Arial"/>
          <w:b/>
          <w:bCs/>
          <w:color w:val="000000"/>
          <w:lang w:eastAsia="es-ES_tradnl"/>
        </w:rPr>
        <w:t>NDRES SAYARI IKEDA RANGEL</w:t>
      </w:r>
    </w:p>
    <w:p w14:paraId="54D726CF" w14:textId="008E9727" w:rsidR="00474E5D" w:rsidRPr="00474E5D" w:rsidRDefault="00DC43BD" w:rsidP="007D5768">
      <w:pPr>
        <w:spacing w:after="0" w:line="240" w:lineRule="auto"/>
        <w:rPr>
          <w:rFonts w:ascii="Verdana" w:hAnsi="Verdana"/>
        </w:rPr>
      </w:pPr>
      <w:hyperlink r:id="rId11" w:history="1">
        <w:r w:rsidR="00474E5D" w:rsidRPr="00474E5D">
          <w:rPr>
            <w:rStyle w:val="Hipervnculo"/>
            <w:rFonts w:ascii="Verdana" w:hAnsi="Verdana"/>
          </w:rPr>
          <w:t>tmikedaingenieriasas@gmail.com</w:t>
        </w:r>
      </w:hyperlink>
    </w:p>
    <w:p w14:paraId="4E77D58E" w14:textId="07A7EBE8" w:rsidR="00C63E0F" w:rsidRPr="005E62E2" w:rsidRDefault="00474E5D" w:rsidP="007D5768">
      <w:pPr>
        <w:spacing w:after="0" w:line="240" w:lineRule="auto"/>
        <w:rPr>
          <w:rFonts w:ascii="Verdana" w:hAnsi="Verdana"/>
        </w:rPr>
      </w:pPr>
      <w:r>
        <w:rPr>
          <w:rFonts w:ascii="Verdana" w:hAnsi="Verdana"/>
        </w:rPr>
        <w:t>Barbosa</w:t>
      </w:r>
      <w:r w:rsidR="005E62E2" w:rsidRPr="005E62E2">
        <w:rPr>
          <w:rFonts w:ascii="Verdana" w:hAnsi="Verdana"/>
        </w:rPr>
        <w:t xml:space="preserve"> (Santander)</w:t>
      </w:r>
      <w:r w:rsidR="00C515B6" w:rsidRPr="00C515B6">
        <w:rPr>
          <w:rFonts w:ascii="Verdana" w:eastAsia="Calibri" w:hAnsi="Verdana" w:cs="Arial"/>
          <w:noProof/>
          <w:lang w:eastAsia="es-ES"/>
        </w:rPr>
        <w:t xml:space="preserve"> </w:t>
      </w:r>
    </w:p>
    <w:p w14:paraId="70547B69" w14:textId="7D653E32" w:rsidR="003A2ECF" w:rsidRDefault="00C515B6" w:rsidP="00C515B6">
      <w:pPr>
        <w:spacing w:after="0" w:line="240" w:lineRule="auto"/>
        <w:jc w:val="right"/>
        <w:rPr>
          <w:rFonts w:ascii="Verdana" w:eastAsia="Calibri" w:hAnsi="Verdana" w:cs="Arial"/>
          <w:b/>
          <w:bCs/>
          <w:color w:val="000000"/>
          <w:lang w:val="es-ES_tradnl" w:eastAsia="es-ES_tradnl"/>
        </w:rPr>
      </w:pPr>
      <w:r>
        <w:rPr>
          <w:rFonts w:ascii="Verdana" w:eastAsia="Calibri" w:hAnsi="Verdana" w:cs="Arial"/>
          <w:noProof/>
          <w:lang w:eastAsia="es-ES"/>
        </w:rPr>
        <w:drawing>
          <wp:inline distT="0" distB="0" distL="0" distR="0" wp14:anchorId="30100E8F" wp14:editId="730B4A4E">
            <wp:extent cx="2990850" cy="885825"/>
            <wp:effectExtent l="0" t="0" r="0" b="9525"/>
            <wp:docPr id="70682479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824799" name="Imagen 1" descr="Texto&#10;&#10;El contenido generado por IA puede ser incorrec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0850" cy="885825"/>
                    </a:xfrm>
                    <a:prstGeom prst="rect">
                      <a:avLst/>
                    </a:prstGeom>
                    <a:noFill/>
                    <a:ln>
                      <a:noFill/>
                    </a:ln>
                  </pic:spPr>
                </pic:pic>
              </a:graphicData>
            </a:graphic>
          </wp:inline>
        </w:drawing>
      </w:r>
    </w:p>
    <w:p w14:paraId="4E060AE6" w14:textId="77777777" w:rsidR="00AA2B1E" w:rsidRPr="00593A5F" w:rsidRDefault="00AA2B1E"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648FD0B1">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7DA5281D" w:rsidR="007D5768" w:rsidRPr="00E5644F" w:rsidRDefault="007D5768" w:rsidP="00E1079D">
            <w:pPr>
              <w:jc w:val="both"/>
              <w:rPr>
                <w:rFonts w:ascii="Verdana" w:eastAsia="Calibri" w:hAnsi="Verdana" w:cs="Arial"/>
                <w:b/>
                <w:bCs/>
                <w:color w:val="7030A0"/>
                <w:lang w:val="es-ES" w:eastAsia="es-ES"/>
              </w:rPr>
            </w:pPr>
            <w:r w:rsidRPr="648FD0B1">
              <w:rPr>
                <w:rFonts w:ascii="Verdana" w:eastAsia="Calibri" w:hAnsi="Verdana" w:cs="Arial"/>
                <w:b/>
                <w:bCs/>
                <w:lang w:val="es-ES" w:eastAsia="es-ES"/>
              </w:rPr>
              <w:t xml:space="preserve">Concepto C- </w:t>
            </w:r>
            <w:r w:rsidR="009F1FE3">
              <w:rPr>
                <w:rFonts w:ascii="Verdana" w:eastAsia="Calibri" w:hAnsi="Verdana" w:cs="Arial"/>
                <w:b/>
                <w:bCs/>
                <w:lang w:val="es-ES" w:eastAsia="es-ES"/>
              </w:rPr>
              <w:t>229</w:t>
            </w:r>
            <w:r w:rsidRPr="648FD0B1">
              <w:rPr>
                <w:rFonts w:ascii="Verdana" w:eastAsia="Calibri" w:hAnsi="Verdana" w:cs="Arial"/>
                <w:b/>
                <w:bCs/>
                <w:lang w:val="es-ES" w:eastAsia="es-ES"/>
              </w:rPr>
              <w:t xml:space="preserve"> de 202</w:t>
            </w:r>
            <w:r w:rsidR="00FB76D0" w:rsidRPr="648FD0B1">
              <w:rPr>
                <w:rFonts w:ascii="Verdana" w:eastAsia="Calibri" w:hAnsi="Verdana" w:cs="Arial"/>
                <w:b/>
                <w:bCs/>
                <w:lang w:val="es-ES" w:eastAsia="es-ES"/>
              </w:rPr>
              <w:t>5</w:t>
            </w:r>
          </w:p>
        </w:tc>
      </w:tr>
      <w:tr w:rsidR="003F2418" w:rsidRPr="00593A5F" w14:paraId="0E5838A4" w14:textId="77777777" w:rsidTr="648FD0B1">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642E5C0A" w14:textId="45A8BF5D" w:rsidR="005E62E2" w:rsidRPr="005E62E2" w:rsidRDefault="00474E5D" w:rsidP="005E62E2">
            <w:pPr>
              <w:tabs>
                <w:tab w:val="left" w:pos="0"/>
              </w:tabs>
              <w:spacing w:line="276" w:lineRule="auto"/>
              <w:jc w:val="both"/>
              <w:rPr>
                <w:rFonts w:ascii="Verdana" w:eastAsia="Calibri" w:hAnsi="Verdana" w:cs="Arial"/>
                <w:lang w:val="es-ES"/>
              </w:rPr>
            </w:pPr>
            <w:r w:rsidRPr="00474E5D">
              <w:rPr>
                <w:rFonts w:ascii="Verdana" w:eastAsia="Times New Roman" w:hAnsi="Verdana" w:cs="Arial"/>
                <w:lang w:eastAsia="es-ES_tradnl"/>
              </w:rPr>
              <w:t>DOCUMENTOS TIPO – Fundamento jurídico – Aplicación / DOCUMENTOS TIPO DE INTERVENTORÍA DE INFRAESTRUCTURA DE TRANSPORTE – Matriz 4 – Lineamientos de Requisitos del Personal– Experiencia</w:t>
            </w:r>
            <w:r w:rsidR="005E62E2" w:rsidRPr="005E62E2">
              <w:rPr>
                <w:rFonts w:ascii="Verdana" w:hAnsi="Verdana" w:cs="Arial"/>
                <w:lang w:val="es-ES" w:eastAsia="es-ES"/>
              </w:rPr>
              <w:t>.</w:t>
            </w:r>
          </w:p>
          <w:p w14:paraId="62C72EB8" w14:textId="5DD5E4AE" w:rsidR="003F2418" w:rsidRPr="00EF4E84" w:rsidRDefault="003F2418" w:rsidP="003F2418">
            <w:pPr>
              <w:spacing w:line="276" w:lineRule="auto"/>
              <w:jc w:val="both"/>
              <w:rPr>
                <w:rFonts w:ascii="Verdana" w:eastAsia="Calibri" w:hAnsi="Verdana" w:cs="Arial"/>
                <w:highlight w:val="yellow"/>
                <w:lang w:val="es-ES" w:eastAsia="es-ES"/>
              </w:rPr>
            </w:pPr>
            <w:r w:rsidRPr="00EF4E84">
              <w:rPr>
                <w:rFonts w:ascii="Verdana" w:hAnsi="Verdana" w:cs="Arial"/>
                <w:highlight w:val="yellow"/>
                <w:lang w:val="es-ES" w:eastAsia="es-ES"/>
              </w:rPr>
              <w:t xml:space="preserve">  </w:t>
            </w:r>
          </w:p>
        </w:tc>
      </w:tr>
      <w:tr w:rsidR="003F2418" w:rsidRPr="00593A5F" w14:paraId="09936C6F" w14:textId="77777777" w:rsidTr="648FD0B1">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13637D89"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474E5D" w:rsidRPr="00474E5D">
              <w:rPr>
                <w:rFonts w:ascii="Verdana" w:eastAsia="Calibri" w:hAnsi="Verdana" w:cs="Arial"/>
                <w:lang w:val="es-ES_tradnl" w:eastAsia="es-ES_tradnl"/>
              </w:rPr>
              <w:t>P20250211001261</w:t>
            </w:r>
          </w:p>
        </w:tc>
      </w:tr>
      <w:tr w:rsidR="003F2418" w:rsidRPr="00DB23D2" w14:paraId="3D69289B" w14:textId="77777777" w:rsidTr="648FD0B1">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2E40CDB5"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74E5D">
        <w:rPr>
          <w:rFonts w:ascii="Verdana" w:eastAsia="Calibri" w:hAnsi="Verdana" w:cs="Arial"/>
          <w:lang w:val="es-ES" w:eastAsia="es-ES"/>
        </w:rPr>
        <w:t>o</w:t>
      </w:r>
      <w:r w:rsidR="00EF4E84">
        <w:rPr>
          <w:rFonts w:ascii="Verdana" w:eastAsia="Calibri" w:hAnsi="Verdana" w:cs="Arial"/>
          <w:lang w:val="es-ES" w:eastAsia="es-ES"/>
        </w:rPr>
        <w:t xml:space="preserve"> </w:t>
      </w:r>
      <w:r w:rsidRPr="006730E9">
        <w:rPr>
          <w:rFonts w:ascii="Verdana" w:eastAsia="Calibri" w:hAnsi="Verdana" w:cs="Arial"/>
          <w:lang w:val="es-ES" w:eastAsia="es-ES"/>
        </w:rPr>
        <w:t>señor</w:t>
      </w:r>
      <w:r w:rsidR="00474E5D">
        <w:rPr>
          <w:rFonts w:ascii="Verdana" w:eastAsia="Calibri" w:hAnsi="Verdana" w:cs="Arial"/>
          <w:lang w:val="es-ES" w:eastAsia="es-ES"/>
        </w:rPr>
        <w:t xml:space="preserve"> Ikeda</w:t>
      </w:r>
      <w:r w:rsidR="00ED58AB">
        <w:rPr>
          <w:rFonts w:ascii="Verdana" w:eastAsia="Calibri" w:hAnsi="Verdana" w:cs="Arial"/>
          <w:lang w:val="es-ES" w:eastAsia="es-ES"/>
        </w:rPr>
        <w:t>;</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6EDDF6CE"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radicada </w:t>
      </w:r>
      <w:r w:rsidR="00ED58AB">
        <w:rPr>
          <w:rFonts w:ascii="Verdana" w:eastAsia="Calibri" w:hAnsi="Verdana" w:cs="Arial"/>
          <w:lang w:val="es-ES" w:eastAsia="es-ES"/>
        </w:rPr>
        <w:t xml:space="preserve">trasladada por competencia por el Departamento Administrativo de la Función Pública y 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F4E84">
        <w:rPr>
          <w:rFonts w:ascii="Verdana" w:eastAsia="Calibri" w:hAnsi="Verdana" w:cs="Arial"/>
          <w:lang w:val="es-ES" w:eastAsia="es-ES"/>
        </w:rPr>
        <w:t>1</w:t>
      </w:r>
      <w:r w:rsidR="00ED58AB">
        <w:rPr>
          <w:rFonts w:ascii="Verdana" w:eastAsia="Calibri" w:hAnsi="Verdana" w:cs="Arial"/>
          <w:lang w:val="es-ES" w:eastAsia="es-ES"/>
        </w:rPr>
        <w:t>8</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043043">
        <w:rPr>
          <w:rFonts w:ascii="Verdana" w:eastAsia="Calibri" w:hAnsi="Verdana" w:cs="Arial"/>
          <w:lang w:val="es-ES" w:eastAsia="es-ES"/>
        </w:rPr>
        <w:t>diciembre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63235BA7" w14:textId="2F7CB61B" w:rsidR="00C65533" w:rsidRPr="00C65533" w:rsidRDefault="00E6781E" w:rsidP="00C65533">
      <w:pPr>
        <w:pStyle w:val="Prrafodelista"/>
        <w:tabs>
          <w:tab w:val="left" w:pos="142"/>
          <w:tab w:val="left" w:pos="284"/>
        </w:tabs>
        <w:ind w:left="709" w:right="709"/>
        <w:jc w:val="both"/>
        <w:rPr>
          <w:rFonts w:ascii="Verdana" w:eastAsia="Century Gothic" w:hAnsi="Verdana" w:cs="Century Gothic"/>
          <w:i/>
          <w:iCs/>
        </w:rPr>
      </w:pPr>
      <w:r w:rsidRPr="00FB76D0">
        <w:rPr>
          <w:rFonts w:ascii="Verdana" w:eastAsia="Century Gothic" w:hAnsi="Verdana" w:cs="Century Gothic"/>
          <w:i/>
          <w:iCs/>
          <w:lang w:val="es-CO"/>
        </w:rPr>
        <w:lastRenderedPageBreak/>
        <w:t>“</w:t>
      </w:r>
      <w:r w:rsidR="00FB76D0">
        <w:rPr>
          <w:rFonts w:ascii="Verdana" w:eastAsia="Century Gothic" w:hAnsi="Verdana" w:cs="Century Gothic"/>
          <w:i/>
          <w:iCs/>
          <w:lang w:val="es-CO"/>
        </w:rPr>
        <w:t xml:space="preserve">(…) </w:t>
      </w:r>
      <w:r w:rsidR="00C65533" w:rsidRPr="00C65533">
        <w:rPr>
          <w:rFonts w:ascii="Verdana" w:eastAsia="Century Gothic" w:hAnsi="Verdana" w:cs="Century Gothic"/>
          <w:i/>
          <w:iCs/>
        </w:rPr>
        <w:t>1.</w:t>
      </w:r>
      <w:r w:rsidR="00C65533">
        <w:rPr>
          <w:rFonts w:ascii="Verdana" w:eastAsia="Century Gothic" w:hAnsi="Verdana" w:cs="Century Gothic"/>
          <w:i/>
          <w:iCs/>
        </w:rPr>
        <w:t xml:space="preserve"> </w:t>
      </w:r>
      <w:r w:rsidR="00C65533" w:rsidRPr="00C65533">
        <w:rPr>
          <w:rFonts w:ascii="Verdana" w:eastAsia="Century Gothic" w:hAnsi="Verdana" w:cs="Century Gothic"/>
          <w:i/>
          <w:iCs/>
        </w:rPr>
        <w:t>En un proceso licitatorio por pliego tipo la entidad solicito unos perfiles profesionales de acuerdo con las características y necesidades del proyecto.</w:t>
      </w:r>
    </w:p>
    <w:p w14:paraId="5E7FEEE8" w14:textId="5E630778" w:rsidR="00C65533" w:rsidRPr="00C65533" w:rsidRDefault="00C65533" w:rsidP="00C65533">
      <w:pPr>
        <w:pStyle w:val="Prrafodelista"/>
        <w:tabs>
          <w:tab w:val="left" w:pos="142"/>
          <w:tab w:val="left" w:pos="284"/>
        </w:tabs>
        <w:ind w:left="709" w:right="709"/>
        <w:jc w:val="both"/>
        <w:rPr>
          <w:rFonts w:ascii="Verdana" w:eastAsia="Century Gothic" w:hAnsi="Verdana" w:cs="Century Gothic"/>
          <w:i/>
          <w:iCs/>
        </w:rPr>
      </w:pPr>
      <w:r w:rsidRPr="00C65533">
        <w:rPr>
          <w:rFonts w:ascii="Verdana" w:eastAsia="Century Gothic" w:hAnsi="Verdana" w:cs="Century Gothic"/>
          <w:i/>
          <w:iCs/>
        </w:rPr>
        <w:t>2.</w:t>
      </w:r>
      <w:r>
        <w:rPr>
          <w:rFonts w:ascii="Verdana" w:eastAsia="Century Gothic" w:hAnsi="Verdana" w:cs="Century Gothic"/>
          <w:i/>
          <w:iCs/>
        </w:rPr>
        <w:t xml:space="preserve"> </w:t>
      </w:r>
      <w:r w:rsidRPr="00C65533">
        <w:rPr>
          <w:rFonts w:ascii="Verdana" w:eastAsia="Century Gothic" w:hAnsi="Verdana" w:cs="Century Gothic"/>
          <w:i/>
          <w:iCs/>
        </w:rPr>
        <w:t>La hoja de vida de dichos profesionales requeridos para este proyecto se debe adjuntar en el momento de la adjudicación del contrato, es decir no fueron solicitados para presentación en la propuesta, pero si para la adjudicación.</w:t>
      </w:r>
    </w:p>
    <w:p w14:paraId="6CFD20EE" w14:textId="18226262" w:rsidR="00C65533" w:rsidRPr="00C65533" w:rsidRDefault="00C65533" w:rsidP="00C65533">
      <w:pPr>
        <w:pStyle w:val="Prrafodelista"/>
        <w:tabs>
          <w:tab w:val="left" w:pos="142"/>
          <w:tab w:val="left" w:pos="284"/>
        </w:tabs>
        <w:ind w:left="709" w:right="709"/>
        <w:jc w:val="both"/>
        <w:rPr>
          <w:rFonts w:ascii="Verdana" w:eastAsia="Century Gothic" w:hAnsi="Verdana" w:cs="Century Gothic"/>
          <w:i/>
          <w:iCs/>
        </w:rPr>
      </w:pPr>
      <w:r w:rsidRPr="00C65533">
        <w:rPr>
          <w:rFonts w:ascii="Verdana" w:eastAsia="Century Gothic" w:hAnsi="Verdana" w:cs="Century Gothic"/>
          <w:i/>
          <w:iCs/>
        </w:rPr>
        <w:t>3.</w:t>
      </w:r>
      <w:r>
        <w:rPr>
          <w:rFonts w:ascii="Verdana" w:eastAsia="Century Gothic" w:hAnsi="Verdana" w:cs="Century Gothic"/>
          <w:i/>
          <w:iCs/>
        </w:rPr>
        <w:t xml:space="preserve"> </w:t>
      </w:r>
      <w:r w:rsidRPr="00C65533">
        <w:rPr>
          <w:rFonts w:ascii="Verdana" w:eastAsia="Century Gothic" w:hAnsi="Verdana" w:cs="Century Gothic"/>
          <w:i/>
          <w:iCs/>
        </w:rPr>
        <w:t>En caso de que un oferente sea el ganador del proceso licitatorio, pero no cumpla con los perfiles profesionales exigidos a adjudicación, ¿puede la entidad cambiar los requisitos de estos perfiles? (...)".</w:t>
      </w:r>
    </w:p>
    <w:p w14:paraId="409F5F76" w14:textId="45E544D2" w:rsidR="00EF4E84" w:rsidRPr="00FB76D0" w:rsidRDefault="00EF4E84" w:rsidP="00FB76D0">
      <w:pPr>
        <w:pStyle w:val="Prrafodelista"/>
        <w:tabs>
          <w:tab w:val="left" w:pos="142"/>
          <w:tab w:val="left" w:pos="284"/>
        </w:tabs>
        <w:ind w:left="709" w:right="709"/>
        <w:jc w:val="both"/>
        <w:rPr>
          <w:rFonts w:ascii="Verdana" w:eastAsia="Century Gothic" w:hAnsi="Verdana" w:cs="Century Gothic"/>
          <w:i/>
          <w:iCs/>
          <w:lang w:val="es-CO"/>
        </w:rPr>
      </w:pP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77777777" w:rsidR="00E6781E" w:rsidRPr="00AA3B9F"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60344BA" w14:textId="77777777" w:rsidR="007D5768" w:rsidRDefault="007D576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5CB2E569" w14:textId="77777777" w:rsidR="007D5768" w:rsidRPr="00593A5F" w:rsidRDefault="007D5768" w:rsidP="007D5768">
      <w:pPr>
        <w:tabs>
          <w:tab w:val="left" w:pos="426"/>
        </w:tabs>
        <w:spacing w:after="0" w:line="276" w:lineRule="auto"/>
        <w:jc w:val="both"/>
        <w:rPr>
          <w:rFonts w:ascii="Verdana" w:eastAsia="Century Gothic" w:hAnsi="Verdana" w:cs="Century Gothic"/>
          <w:lang w:val="es-ES"/>
        </w:rPr>
      </w:pPr>
    </w:p>
    <w:p w14:paraId="21696E8E" w14:textId="276011BB" w:rsidR="00BC156D" w:rsidRDefault="007D5768" w:rsidP="001561D6">
      <w:pPr>
        <w:pStyle w:val="Prrafodelista"/>
        <w:ind w:left="0" w:right="49"/>
        <w:jc w:val="both"/>
        <w:rPr>
          <w:rFonts w:ascii="Verdana" w:eastAsia="Century Gothic" w:hAnsi="Verdana" w:cs="Century Gothic"/>
          <w:i/>
          <w:iCs/>
          <w:lang w:val="es-CO"/>
        </w:rPr>
      </w:pPr>
      <w:r w:rsidRPr="00B22D91">
        <w:rPr>
          <w:rFonts w:ascii="Verdana" w:eastAsia="Century Gothic" w:hAnsi="Verdana" w:cs="Century Gothic"/>
        </w:rPr>
        <w:t xml:space="preserve">De acuerdo con el contenido de su solicitud, esta Agencia resolverá </w:t>
      </w:r>
      <w:r w:rsidR="00ED291B">
        <w:rPr>
          <w:rFonts w:ascii="Verdana" w:eastAsia="Century Gothic" w:hAnsi="Verdana" w:cs="Century Gothic"/>
        </w:rPr>
        <w:t xml:space="preserve">el </w:t>
      </w:r>
      <w:r>
        <w:rPr>
          <w:rFonts w:ascii="Verdana" w:eastAsia="Century Gothic" w:hAnsi="Verdana" w:cs="Century Gothic"/>
        </w:rPr>
        <w:t xml:space="preserve">siguiente </w:t>
      </w:r>
      <w:r w:rsidRPr="00B22D91">
        <w:rPr>
          <w:rFonts w:ascii="Verdana" w:eastAsia="Century Gothic" w:hAnsi="Verdana" w:cs="Century Gothic"/>
        </w:rPr>
        <w:t>problema jurídico</w:t>
      </w:r>
      <w:r w:rsidR="005F7B58">
        <w:rPr>
          <w:rFonts w:ascii="Verdana" w:eastAsia="Century Gothic" w:hAnsi="Verdana" w:cs="Century Gothic"/>
        </w:rPr>
        <w:t>s</w:t>
      </w:r>
      <w:r w:rsidRPr="00B22D91">
        <w:rPr>
          <w:rFonts w:ascii="Verdana" w:eastAsia="Century Gothic" w:hAnsi="Verdana" w:cs="Century Gothic"/>
        </w:rPr>
        <w:t>:</w:t>
      </w:r>
      <w:r w:rsidR="003103F2">
        <w:rPr>
          <w:rFonts w:ascii="Verdana" w:eastAsia="Century Gothic" w:hAnsi="Verdana" w:cs="Century Gothic"/>
        </w:rPr>
        <w:t xml:space="preserve"> </w:t>
      </w:r>
      <w:r w:rsidR="00BC156D">
        <w:rPr>
          <w:rFonts w:ascii="Verdana" w:eastAsia="Times New Roman" w:hAnsi="Verdana" w:cstheme="minorHAnsi"/>
          <w:i/>
          <w:iCs/>
          <w:kern w:val="2"/>
          <w:lang w:val="es-CO"/>
        </w:rPr>
        <w:t xml:space="preserve">En el marco de un proceso de contratación adelantado bajo la modalidad de documento tipo </w:t>
      </w:r>
      <w:r w:rsidR="00BC156D" w:rsidRPr="00BC156D">
        <w:rPr>
          <w:rFonts w:ascii="Verdana" w:eastAsia="Century Gothic" w:hAnsi="Verdana" w:cstheme="minorHAnsi"/>
          <w:i/>
          <w:iCs/>
        </w:rPr>
        <w:t>¿</w:t>
      </w:r>
      <w:r w:rsidR="00BC156D">
        <w:rPr>
          <w:rFonts w:ascii="Verdana" w:eastAsia="Times New Roman" w:hAnsi="Verdana" w:cstheme="minorHAnsi"/>
          <w:i/>
          <w:iCs/>
          <w:kern w:val="2"/>
          <w:lang w:val="es-CO"/>
        </w:rPr>
        <w:t>c</w:t>
      </w:r>
      <w:r w:rsidR="00BC156D" w:rsidRPr="00BC156D">
        <w:rPr>
          <w:rFonts w:ascii="Verdana" w:eastAsia="Times New Roman" w:hAnsi="Verdana" w:cstheme="minorHAnsi"/>
          <w:i/>
          <w:iCs/>
          <w:kern w:val="2"/>
          <w:lang w:val="es-CO"/>
        </w:rPr>
        <w:t>uál es el procedimiento</w:t>
      </w:r>
      <w:r w:rsidR="00BC156D" w:rsidRPr="00BC156D">
        <w:rPr>
          <w:rFonts w:ascii="Verdana" w:eastAsia="Century Gothic" w:hAnsi="Verdana" w:cs="Century Gothic"/>
          <w:i/>
          <w:iCs/>
          <w:lang w:val="es-CO"/>
        </w:rPr>
        <w:t xml:space="preserve"> </w:t>
      </w:r>
      <w:r w:rsidR="00BC156D">
        <w:rPr>
          <w:rFonts w:ascii="Verdana" w:eastAsia="Century Gothic" w:hAnsi="Verdana" w:cs="Century Gothic"/>
          <w:i/>
          <w:iCs/>
          <w:lang w:val="es-CO"/>
        </w:rPr>
        <w:t xml:space="preserve">a seguir </w:t>
      </w:r>
      <w:r w:rsidR="00BC156D">
        <w:rPr>
          <w:rFonts w:ascii="Verdana" w:eastAsia="Century Gothic" w:hAnsi="Verdana" w:cs="Century Gothic"/>
          <w:i/>
          <w:iCs/>
        </w:rPr>
        <w:t>e</w:t>
      </w:r>
      <w:r w:rsidR="00BC156D" w:rsidRPr="00C65533">
        <w:rPr>
          <w:rFonts w:ascii="Verdana" w:eastAsia="Century Gothic" w:hAnsi="Verdana" w:cs="Century Gothic"/>
          <w:i/>
          <w:iCs/>
        </w:rPr>
        <w:t xml:space="preserve">n caso de que el ganador no cumpla con los perfiles profesionales exigidos </w:t>
      </w:r>
      <w:r w:rsidR="00BC156D">
        <w:rPr>
          <w:rFonts w:ascii="Verdana" w:eastAsia="Century Gothic" w:hAnsi="Verdana" w:cs="Century Gothic"/>
          <w:i/>
          <w:iCs/>
        </w:rPr>
        <w:t>para la</w:t>
      </w:r>
      <w:r w:rsidR="00BC156D" w:rsidRPr="00C65533">
        <w:rPr>
          <w:rFonts w:ascii="Verdana" w:eastAsia="Century Gothic" w:hAnsi="Verdana" w:cs="Century Gothic"/>
          <w:i/>
          <w:iCs/>
        </w:rPr>
        <w:t xml:space="preserve"> adjudicación?</w:t>
      </w:r>
    </w:p>
    <w:p w14:paraId="248FD51D" w14:textId="77777777" w:rsidR="001561D6" w:rsidRDefault="001561D6" w:rsidP="001561D6">
      <w:pPr>
        <w:pStyle w:val="Prrafodelista"/>
        <w:ind w:left="0" w:right="49"/>
        <w:jc w:val="both"/>
        <w:rPr>
          <w:rFonts w:ascii="Verdana" w:eastAsia="Century Gothic" w:hAnsi="Verdana" w:cs="Century Gothic"/>
          <w:i/>
          <w:iCs/>
        </w:rPr>
      </w:pPr>
    </w:p>
    <w:p w14:paraId="1B309637" w14:textId="77777777" w:rsidR="00AA2B1E" w:rsidRDefault="00AA2B1E" w:rsidP="001561D6">
      <w:pPr>
        <w:pStyle w:val="Prrafodelista"/>
        <w:ind w:left="0" w:right="49"/>
        <w:jc w:val="both"/>
        <w:rPr>
          <w:rFonts w:ascii="Verdana" w:eastAsia="Century Gothic" w:hAnsi="Verdana" w:cs="Century Gothic"/>
          <w:i/>
          <w:iCs/>
        </w:rPr>
      </w:pPr>
    </w:p>
    <w:p w14:paraId="305DC1ED" w14:textId="77777777" w:rsidR="00AA2B1E" w:rsidRPr="00727DDD" w:rsidRDefault="00AA2B1E" w:rsidP="001561D6">
      <w:pPr>
        <w:pStyle w:val="Prrafodelista"/>
        <w:ind w:left="0" w:right="49"/>
        <w:jc w:val="both"/>
        <w:rPr>
          <w:rFonts w:ascii="Verdana" w:eastAsia="Century Gothic" w:hAnsi="Verdana" w:cs="Century Gothic"/>
          <w:i/>
          <w:iCs/>
        </w:rPr>
      </w:pP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shd w:val="clear" w:color="auto" w:fill="auto"/>
          </w:tcPr>
          <w:p w14:paraId="1699CDAC" w14:textId="19AA3120" w:rsidR="00F03C4A" w:rsidRPr="00F03C4A" w:rsidRDefault="00306C5A" w:rsidP="00F03C4A">
            <w:pPr>
              <w:spacing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        </w:t>
            </w:r>
            <w:r w:rsidR="00F03C4A" w:rsidRPr="00F03C4A">
              <w:rPr>
                <w:rFonts w:ascii="Verdana" w:hAnsi="Verdana" w:cs="Arial"/>
                <w:bCs/>
                <w:color w:val="000000" w:themeColor="text1"/>
              </w:rPr>
              <w:t xml:space="preserve">Los documentos tipo expedidos por la Agencia Nacional de Contratación Pública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6FB99914" w14:textId="6073CCDF" w:rsidR="004329FD" w:rsidRPr="004329FD" w:rsidRDefault="004329FD" w:rsidP="004329FD">
            <w:pPr>
              <w:spacing w:line="276" w:lineRule="auto"/>
              <w:ind w:firstLine="708"/>
              <w:jc w:val="both"/>
              <w:rPr>
                <w:rFonts w:ascii="Verdana" w:hAnsi="Verdana" w:cs="Arial"/>
                <w:bCs/>
                <w:color w:val="000000" w:themeColor="text1"/>
              </w:rPr>
            </w:pPr>
            <w:r>
              <w:rPr>
                <w:rFonts w:ascii="Verdana" w:hAnsi="Verdana" w:cs="Arial"/>
                <w:bCs/>
                <w:color w:val="000000" w:themeColor="text1"/>
              </w:rPr>
              <w:t xml:space="preserve">En este orden de ideas </w:t>
            </w:r>
            <w:r w:rsidRPr="004329FD">
              <w:rPr>
                <w:rFonts w:ascii="Verdana" w:hAnsi="Verdana" w:cs="Arial"/>
                <w:bCs/>
                <w:color w:val="000000" w:themeColor="text1"/>
              </w:rPr>
              <w:t xml:space="preserve">la Agencia para los procesos de </w:t>
            </w:r>
            <w:r>
              <w:rPr>
                <w:rFonts w:ascii="Verdana" w:hAnsi="Verdana" w:cs="Arial"/>
                <w:bCs/>
                <w:color w:val="000000" w:themeColor="text1"/>
              </w:rPr>
              <w:t>c</w:t>
            </w:r>
            <w:r w:rsidRPr="004329FD">
              <w:rPr>
                <w:rFonts w:ascii="Verdana" w:hAnsi="Verdana" w:cs="Arial"/>
                <w:bCs/>
                <w:color w:val="000000" w:themeColor="text1"/>
              </w:rPr>
              <w:t xml:space="preserve">oncurso de </w:t>
            </w:r>
            <w:r>
              <w:rPr>
                <w:rFonts w:ascii="Verdana" w:hAnsi="Verdana" w:cs="Arial"/>
                <w:bCs/>
                <w:color w:val="000000" w:themeColor="text1"/>
              </w:rPr>
              <w:t>m</w:t>
            </w:r>
            <w:r w:rsidRPr="004329FD">
              <w:rPr>
                <w:rFonts w:ascii="Verdana" w:hAnsi="Verdana" w:cs="Arial"/>
                <w:bCs/>
                <w:color w:val="000000" w:themeColor="text1"/>
              </w:rPr>
              <w:t>éritos incluye documentos tipo para los sectores de: Infraestructura Social en Interventoría, para Agua Potable y Saneamiento Básico en Interventoría  y para Infraestructura de Transporte en Consultoría e Interventoría, en segundo lugar, indicar que solamente los documentos tipo relacionados con las modalidades de Concurso de Méritos, establecen la inclusión de los requisitos de personal, como factores de ponderación de la oferta.</w:t>
            </w:r>
          </w:p>
          <w:p w14:paraId="3E3288C8" w14:textId="77777777" w:rsidR="004329FD" w:rsidRPr="004329FD" w:rsidRDefault="004329FD" w:rsidP="004329FD">
            <w:pPr>
              <w:spacing w:line="276" w:lineRule="auto"/>
              <w:ind w:firstLine="708"/>
              <w:jc w:val="both"/>
              <w:rPr>
                <w:rFonts w:ascii="Verdana" w:hAnsi="Verdana" w:cs="Arial"/>
                <w:bCs/>
                <w:color w:val="000000" w:themeColor="text1"/>
              </w:rPr>
            </w:pPr>
          </w:p>
          <w:p w14:paraId="611A7A02" w14:textId="2ABE9EE6" w:rsidR="004329FD" w:rsidRPr="004329FD" w:rsidRDefault="004329FD" w:rsidP="004329FD">
            <w:pPr>
              <w:spacing w:line="276" w:lineRule="auto"/>
              <w:ind w:firstLine="708"/>
              <w:jc w:val="both"/>
              <w:rPr>
                <w:rFonts w:ascii="Verdana" w:hAnsi="Verdana" w:cs="Arial"/>
                <w:bCs/>
                <w:color w:val="000000" w:themeColor="text1"/>
              </w:rPr>
            </w:pPr>
            <w:r w:rsidRPr="004329FD">
              <w:rPr>
                <w:rFonts w:ascii="Verdana" w:hAnsi="Verdana" w:cs="Arial"/>
                <w:bCs/>
                <w:color w:val="000000" w:themeColor="text1"/>
              </w:rPr>
              <w:t>En este sentido, por ejemplo, el documento base de Infraestructura de Transporte en su numeral 3.8.2. establece las exigencias mínimas de la experiencia y formación académica del equipo de trabajo para el “personal clave evaluabl</w:t>
            </w:r>
            <w:r>
              <w:rPr>
                <w:rFonts w:ascii="Verdana" w:hAnsi="Verdana" w:cs="Arial"/>
                <w:bCs/>
                <w:color w:val="000000" w:themeColor="text1"/>
              </w:rPr>
              <w:t>e, de igual manera</w:t>
            </w:r>
            <w:r w:rsidRPr="004329FD">
              <w:rPr>
                <w:rFonts w:ascii="Verdana" w:hAnsi="Verdana" w:cs="Arial"/>
                <w:bCs/>
                <w:color w:val="000000" w:themeColor="text1"/>
              </w:rPr>
              <w:t xml:space="preserve">, en el numeral 4.2. establece el equipo de </w:t>
            </w:r>
            <w:r w:rsidRPr="004329FD">
              <w:rPr>
                <w:rFonts w:ascii="Verdana" w:hAnsi="Verdana" w:cs="Arial"/>
                <w:bCs/>
                <w:color w:val="000000" w:themeColor="text1"/>
              </w:rPr>
              <w:lastRenderedPageBreak/>
              <w:t>trabajo relacionado con el “Personal Clave Evaluable” y se indica que se otorgarán cinco (5) puntos al proponente que se comprometa con el diligenciamiento del Formato 9 – Experiencia y formación académica adicional del personal clave evaluable”.</w:t>
            </w:r>
          </w:p>
          <w:p w14:paraId="47B5D167" w14:textId="77777777" w:rsidR="004329FD" w:rsidRDefault="004329FD" w:rsidP="004329FD">
            <w:pPr>
              <w:spacing w:line="276" w:lineRule="auto"/>
              <w:ind w:firstLine="708"/>
              <w:jc w:val="both"/>
              <w:rPr>
                <w:rFonts w:ascii="Verdana" w:hAnsi="Verdana" w:cs="Arial"/>
                <w:bCs/>
                <w:color w:val="000000" w:themeColor="text1"/>
              </w:rPr>
            </w:pPr>
          </w:p>
          <w:p w14:paraId="1593792F" w14:textId="46476A52" w:rsidR="004329FD" w:rsidRPr="004329FD" w:rsidRDefault="004329FD" w:rsidP="004329FD">
            <w:pPr>
              <w:spacing w:line="276" w:lineRule="auto"/>
              <w:ind w:firstLine="708"/>
              <w:jc w:val="both"/>
              <w:rPr>
                <w:rFonts w:ascii="Verdana" w:hAnsi="Verdana" w:cs="Arial"/>
                <w:bCs/>
                <w:color w:val="000000" w:themeColor="text1"/>
              </w:rPr>
            </w:pPr>
            <w:r w:rsidRPr="004329FD">
              <w:rPr>
                <w:rFonts w:ascii="Verdana" w:hAnsi="Verdana" w:cs="Arial"/>
                <w:bCs/>
                <w:color w:val="000000" w:themeColor="text1"/>
              </w:rPr>
              <w:t>A</w:t>
            </w:r>
            <w:r>
              <w:rPr>
                <w:rFonts w:ascii="Verdana" w:hAnsi="Verdana" w:cs="Arial"/>
                <w:bCs/>
                <w:color w:val="000000" w:themeColor="text1"/>
              </w:rPr>
              <w:t>hora bien en atención a su consulta se precisa que en</w:t>
            </w:r>
            <w:r w:rsidRPr="004329FD">
              <w:rPr>
                <w:rFonts w:ascii="Verdana" w:hAnsi="Verdana" w:cs="Arial"/>
                <w:bCs/>
                <w:color w:val="000000" w:themeColor="text1"/>
              </w:rPr>
              <w:t xml:space="preserve"> el numeral 4.2.3. se indican las condiciones relacionadas con el “Cambio del Personal Clave Evaluable”, como se indica:</w:t>
            </w:r>
          </w:p>
          <w:p w14:paraId="559CAAA2" w14:textId="77777777" w:rsidR="004329FD" w:rsidRPr="004329FD" w:rsidRDefault="004329FD" w:rsidP="004329FD">
            <w:pPr>
              <w:spacing w:line="276" w:lineRule="auto"/>
              <w:ind w:firstLine="708"/>
              <w:jc w:val="both"/>
              <w:rPr>
                <w:rFonts w:ascii="Verdana" w:hAnsi="Verdana" w:cs="Arial"/>
                <w:bCs/>
                <w:color w:val="000000" w:themeColor="text1"/>
              </w:rPr>
            </w:pPr>
          </w:p>
          <w:p w14:paraId="764AE948" w14:textId="77777777" w:rsidR="004329FD" w:rsidRPr="004329FD" w:rsidRDefault="004329FD" w:rsidP="004329FD">
            <w:pPr>
              <w:spacing w:line="276" w:lineRule="auto"/>
              <w:ind w:firstLine="708"/>
              <w:jc w:val="both"/>
              <w:rPr>
                <w:rFonts w:ascii="Verdana" w:hAnsi="Verdana" w:cs="Arial"/>
                <w:bCs/>
                <w:i/>
                <w:iCs/>
                <w:color w:val="000000" w:themeColor="text1"/>
              </w:rPr>
            </w:pPr>
            <w:r w:rsidRPr="004329FD">
              <w:rPr>
                <w:rFonts w:ascii="Verdana" w:hAnsi="Verdana" w:cs="Arial"/>
                <w:bCs/>
                <w:i/>
                <w:iCs/>
                <w:color w:val="000000" w:themeColor="text1"/>
              </w:rPr>
              <w:t xml:space="preserve">“El Personal Clave Evaluable ofrecido inicialmente será quien debe ejecutar el contrato. Excepcionalmente, en caso de requerir el cambio de personal, por razones que deben quedar sustentadas en el expediente del contrato, el Interventor presentará las hojas de vida del  aspirante con sus respectivos soportes para evaluación y consideración de la Entidad en un plazo no mayor a [incluir el número de días] días hábiles, contados a partir de que el Interventor solicite el cambio del personal. </w:t>
            </w:r>
          </w:p>
          <w:p w14:paraId="32E46698" w14:textId="77777777" w:rsidR="004329FD" w:rsidRPr="004329FD" w:rsidRDefault="004329FD" w:rsidP="004329FD">
            <w:pPr>
              <w:spacing w:line="276" w:lineRule="auto"/>
              <w:ind w:firstLine="708"/>
              <w:jc w:val="both"/>
              <w:rPr>
                <w:rFonts w:ascii="Verdana" w:hAnsi="Verdana" w:cs="Arial"/>
                <w:bCs/>
                <w:i/>
                <w:iCs/>
                <w:color w:val="000000" w:themeColor="text1"/>
              </w:rPr>
            </w:pPr>
          </w:p>
          <w:p w14:paraId="7F409D5F" w14:textId="77777777" w:rsidR="004329FD" w:rsidRPr="004329FD" w:rsidRDefault="004329FD" w:rsidP="004329FD">
            <w:pPr>
              <w:spacing w:line="276" w:lineRule="auto"/>
              <w:ind w:firstLine="708"/>
              <w:jc w:val="both"/>
              <w:rPr>
                <w:rFonts w:ascii="Verdana" w:hAnsi="Verdana" w:cs="Arial"/>
                <w:bCs/>
                <w:i/>
                <w:iCs/>
                <w:color w:val="000000" w:themeColor="text1"/>
              </w:rPr>
            </w:pPr>
            <w:r w:rsidRPr="004329FD">
              <w:rPr>
                <w:rFonts w:ascii="Verdana" w:hAnsi="Verdana" w:cs="Arial"/>
                <w:bCs/>
                <w:i/>
                <w:iCs/>
                <w:color w:val="000000" w:themeColor="text1"/>
              </w:rPr>
              <w:t xml:space="preserve">La persona que reemplazará al profesional del Personal Clave Evaluable </w:t>
            </w:r>
            <w:r w:rsidRPr="004329FD">
              <w:rPr>
                <w:rFonts w:ascii="Verdana" w:hAnsi="Verdana" w:cs="Arial"/>
                <w:b/>
                <w:bCs/>
                <w:i/>
                <w:iCs/>
                <w:color w:val="000000" w:themeColor="text1"/>
              </w:rPr>
              <w:t>debe cumplir con los requisitos mínimos descritos en la “Matriz 4- Lineamientos de requisitos del Personal</w:t>
            </w:r>
            <w:r w:rsidRPr="004329FD">
              <w:rPr>
                <w:rFonts w:ascii="Verdana" w:hAnsi="Verdana" w:cs="Arial"/>
                <w:bCs/>
                <w:i/>
                <w:iCs/>
                <w:color w:val="000000" w:themeColor="text1"/>
              </w:rPr>
              <w:t>”, tener el año de experiencia específica adicional y/o el título de formación académica adicional, si se trata de un profesional por el cual se asignó puntaje. En todo caso, la Entidad se reserva el derecho de aceptarlos o no, sin perjuicio de que, en el evento de rechazarlo, deba motivar las razones objetivas y suficientes relacionadas directamente con alguna o algunas de las condiciones exigidas.”(resaltado fuera de texto)</w:t>
            </w:r>
          </w:p>
          <w:p w14:paraId="6CE242A4" w14:textId="77777777" w:rsidR="004329FD" w:rsidRPr="004329FD" w:rsidRDefault="004329FD" w:rsidP="004329FD">
            <w:pPr>
              <w:spacing w:line="276" w:lineRule="auto"/>
              <w:ind w:firstLine="708"/>
              <w:jc w:val="both"/>
              <w:rPr>
                <w:rFonts w:ascii="Verdana" w:hAnsi="Verdana" w:cs="Arial"/>
                <w:bCs/>
                <w:color w:val="000000" w:themeColor="text1"/>
              </w:rPr>
            </w:pPr>
          </w:p>
          <w:p w14:paraId="3F23749B" w14:textId="77777777" w:rsidR="004329FD" w:rsidRPr="004329FD" w:rsidRDefault="004329FD" w:rsidP="004329FD">
            <w:pPr>
              <w:spacing w:line="276" w:lineRule="auto"/>
              <w:ind w:firstLine="708"/>
              <w:jc w:val="both"/>
              <w:rPr>
                <w:rFonts w:ascii="Verdana" w:hAnsi="Verdana" w:cs="Arial"/>
                <w:bCs/>
                <w:color w:val="000000" w:themeColor="text1"/>
              </w:rPr>
            </w:pPr>
            <w:r w:rsidRPr="004329FD">
              <w:rPr>
                <w:rFonts w:ascii="Verdana" w:hAnsi="Verdana" w:cs="Arial"/>
                <w:bCs/>
                <w:color w:val="000000" w:themeColor="text1"/>
              </w:rPr>
              <w:t xml:space="preserve">Como se puede ver, los perfiles requeridos en el proceso de selección, para el “personal clave evaluable”, corresponden a los definidos en la Matriz 4 de Lineamientos de Personal y para el resto del equipo de trabajo que se </w:t>
            </w:r>
            <w:r w:rsidRPr="004329FD">
              <w:rPr>
                <w:rFonts w:ascii="Verdana" w:hAnsi="Verdana" w:cs="Arial"/>
                <w:bCs/>
                <w:color w:val="000000" w:themeColor="text1"/>
              </w:rPr>
              <w:lastRenderedPageBreak/>
              <w:t>requiere en desarrollo del proyecto, serán adicionalmente, los que se incluyen en el Anexo 1 – Anexo Técnico.</w:t>
            </w:r>
          </w:p>
          <w:p w14:paraId="4E3D2EDB" w14:textId="77777777" w:rsidR="004329FD" w:rsidRPr="004329FD" w:rsidRDefault="004329FD" w:rsidP="004329FD">
            <w:pPr>
              <w:spacing w:line="276" w:lineRule="auto"/>
              <w:ind w:firstLine="708"/>
              <w:jc w:val="both"/>
              <w:rPr>
                <w:rFonts w:ascii="Verdana" w:hAnsi="Verdana" w:cs="Arial"/>
                <w:bCs/>
                <w:color w:val="000000" w:themeColor="text1"/>
              </w:rPr>
            </w:pPr>
          </w:p>
          <w:p w14:paraId="47EEB54F" w14:textId="0EB4A182" w:rsidR="00851635" w:rsidRPr="00831CDD" w:rsidRDefault="004329FD" w:rsidP="00B64B94">
            <w:pPr>
              <w:spacing w:line="276" w:lineRule="auto"/>
              <w:ind w:firstLine="708"/>
              <w:jc w:val="both"/>
              <w:rPr>
                <w:rFonts w:ascii="Verdana" w:hAnsi="Verdana" w:cs="Arial"/>
                <w:bCs/>
                <w:color w:val="000000" w:themeColor="text1"/>
              </w:rPr>
            </w:pPr>
            <w:r>
              <w:rPr>
                <w:rFonts w:ascii="Verdana" w:hAnsi="Verdana" w:cs="Arial"/>
                <w:bCs/>
                <w:color w:val="000000" w:themeColor="text1"/>
              </w:rPr>
              <w:t>Así las cosas</w:t>
            </w:r>
            <w:r w:rsidR="00B64B94">
              <w:rPr>
                <w:rFonts w:ascii="Verdana" w:hAnsi="Verdana" w:cs="Arial"/>
                <w:bCs/>
                <w:color w:val="000000" w:themeColor="text1"/>
              </w:rPr>
              <w:t>,</w:t>
            </w:r>
            <w:r>
              <w:rPr>
                <w:rFonts w:ascii="Verdana" w:hAnsi="Verdana" w:cs="Arial"/>
                <w:bCs/>
                <w:color w:val="000000" w:themeColor="text1"/>
              </w:rPr>
              <w:t xml:space="preserve"> e</w:t>
            </w:r>
            <w:r w:rsidRPr="004329FD">
              <w:rPr>
                <w:rFonts w:ascii="Verdana" w:hAnsi="Verdana" w:cs="Arial"/>
                <w:bCs/>
                <w:color w:val="000000" w:themeColor="text1"/>
              </w:rPr>
              <w:t>n el evento de requerirse el cambio de alguno de los perfiles definidos en el Documento Base, como “Personal Clave Evaluable”, este cambio debe hacerse conforme a lo establecido en el numeral 4.2.3, que se describió previamente, que como puede verse el cambio se hará con fundamento en la Matriz 4, en consecuencia, de ninguna manera implica el cambio en las condiciones de los perfiles descritos en esta matriz.</w:t>
            </w: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04FA502B" w14:textId="52A1EE3B" w:rsidR="00206269" w:rsidRPr="00206269" w:rsidRDefault="008C3E8A" w:rsidP="00206269">
      <w:pPr>
        <w:spacing w:after="120" w:line="276" w:lineRule="auto"/>
        <w:jc w:val="both"/>
        <w:rPr>
          <w:rFonts w:ascii="Verdana" w:eastAsia="Times New Roman" w:hAnsi="Verdana" w:cs="Arial"/>
          <w:lang w:val="es-ES" w:eastAsia="es-MX"/>
        </w:rPr>
      </w:pPr>
      <w:bookmarkStart w:id="5" w:name="_Hlk185366844"/>
      <w:r>
        <w:rPr>
          <w:rFonts w:ascii="Verdana" w:eastAsia="Times New Roman" w:hAnsi="Verdana" w:cs="Arial"/>
          <w:lang w:val="es-ES" w:eastAsia="es-MX"/>
        </w:rPr>
        <w:t>En primer</w:t>
      </w:r>
      <w:r w:rsidR="00206269">
        <w:rPr>
          <w:rFonts w:ascii="Verdana" w:eastAsia="Times New Roman" w:hAnsi="Verdana" w:cs="Arial"/>
          <w:lang w:val="es-ES" w:eastAsia="es-MX"/>
        </w:rPr>
        <w:t xml:space="preserve"> resulta importante indicar que l</w:t>
      </w:r>
      <w:r w:rsidR="00206269" w:rsidRPr="00206269">
        <w:rPr>
          <w:rFonts w:ascii="Verdana" w:eastAsia="Times New Roman" w:hAnsi="Verdana" w:cs="Arial"/>
          <w:lang w:val="es-ES" w:eastAsia="es-MX"/>
        </w:rPr>
        <w:t xml:space="preserve">a adopción de los documentos tipo obligatorios en el ordenamiento jurídico colombiano se incluyó por primera vez en el </w:t>
      </w:r>
      <w:bookmarkStart w:id="6" w:name="_Hlk193208930"/>
      <w:r w:rsidR="00206269" w:rsidRPr="00206269">
        <w:rPr>
          <w:rFonts w:ascii="Verdana" w:eastAsia="Times New Roman" w:hAnsi="Verdana" w:cs="Arial"/>
          <w:lang w:val="es-ES" w:eastAsia="es-MX"/>
        </w:rPr>
        <w:t>parágrafo 3 del artículo 2 de la Ley 1150 de 2007</w:t>
      </w:r>
      <w:bookmarkEnd w:id="6"/>
      <w:r w:rsidR="00206269" w:rsidRPr="00206269">
        <w:rPr>
          <w:rFonts w:ascii="Verdana" w:eastAsia="Times New Roman" w:hAnsi="Verdana" w:cs="Arial"/>
          <w:vertAlign w:val="superscript"/>
          <w:lang w:val="es-ES" w:eastAsia="es-MX"/>
        </w:rPr>
        <w:footnoteReference w:id="1"/>
      </w:r>
      <w:r w:rsidR="00206269" w:rsidRPr="00206269">
        <w:rPr>
          <w:rFonts w:ascii="Verdana" w:eastAsia="Times New Roman" w:hAnsi="Verdana" w:cs="Arial"/>
          <w:lang w:val="es-ES" w:eastAsia="es-MX"/>
        </w:rPr>
        <w:t xml:space="preserve">, que 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11E24163" w14:textId="77777777" w:rsidR="00206269" w:rsidRPr="00206269" w:rsidRDefault="00206269" w:rsidP="00206269">
      <w:pPr>
        <w:spacing w:after="120" w:line="276" w:lineRule="auto"/>
        <w:ind w:firstLine="708"/>
        <w:jc w:val="both"/>
        <w:rPr>
          <w:rFonts w:ascii="Verdana" w:eastAsia="Times New Roman" w:hAnsi="Verdana" w:cs="Arial"/>
          <w:lang w:val="es-ES" w:eastAsia="es-MX"/>
        </w:rPr>
      </w:pPr>
      <w:r w:rsidRPr="00206269">
        <w:rPr>
          <w:rFonts w:ascii="Verdana" w:eastAsia="Times New Roman" w:hAnsi="Verdana" w:cs="Arial"/>
          <w:lang w:val="es-ES" w:eastAsia="es-MX"/>
        </w:rPr>
        <w:t xml:space="preserve">Debido a lo anterior, </w:t>
      </w:r>
      <w:bookmarkStart w:id="7" w:name="_Hlk193208941"/>
      <w:r w:rsidRPr="00206269">
        <w:rPr>
          <w:rFonts w:ascii="Verdana" w:eastAsia="Times New Roman" w:hAnsi="Verdana" w:cs="Arial"/>
          <w:lang w:val="es-ES" w:eastAsia="es-MX"/>
        </w:rPr>
        <w:t xml:space="preserve">el artículo 4 de la Ley 1882 de 2018 </w:t>
      </w:r>
      <w:bookmarkEnd w:id="7"/>
      <w:r w:rsidRPr="00206269">
        <w:rPr>
          <w:rFonts w:ascii="Verdana" w:eastAsia="Times New Roman" w:hAnsi="Verdana" w:cs="Arial"/>
          <w:lang w:val="es-ES" w:eastAsia="es-MX"/>
        </w:rPr>
        <w:t xml:space="preserve">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w:t>
      </w:r>
      <w:bookmarkStart w:id="8" w:name="_Hlk193208957"/>
      <w:r w:rsidRPr="00206269">
        <w:rPr>
          <w:rFonts w:ascii="Verdana" w:eastAsia="Times New Roman" w:hAnsi="Verdana" w:cs="Arial"/>
          <w:lang w:val="es-ES" w:eastAsia="es-MX"/>
        </w:rPr>
        <w:t xml:space="preserve">Ley 1882 de 2018 </w:t>
      </w:r>
      <w:bookmarkEnd w:id="8"/>
      <w:r w:rsidRPr="00206269">
        <w:rPr>
          <w:rFonts w:ascii="Verdana" w:eastAsia="Times New Roman" w:hAnsi="Verdana" w:cs="Arial"/>
          <w:lang w:val="es-ES" w:eastAsia="es-MX"/>
        </w:rPr>
        <w:t xml:space="preserve">se expidieron varios documentos tipo para el </w:t>
      </w:r>
      <w:r w:rsidRPr="00206269">
        <w:rPr>
          <w:rFonts w:ascii="Verdana" w:eastAsia="Times New Roman" w:hAnsi="Verdana" w:cs="Arial"/>
          <w:lang w:val="es-ES" w:eastAsia="es-MX"/>
        </w:rPr>
        <w:lastRenderedPageBreak/>
        <w:t xml:space="preserve">sector de infraestructura de transporte y, por tanto, es importante explicar el proceso previsto en dicho cuerpo normativo. </w:t>
      </w:r>
    </w:p>
    <w:p w14:paraId="2FF33C8C" w14:textId="77777777" w:rsidR="00206269" w:rsidRPr="00206269" w:rsidRDefault="00206269" w:rsidP="00206269">
      <w:pPr>
        <w:spacing w:before="120" w:after="120" w:line="276" w:lineRule="auto"/>
        <w:ind w:firstLine="709"/>
        <w:jc w:val="both"/>
        <w:rPr>
          <w:rFonts w:ascii="Verdana" w:eastAsia="Times New Roman" w:hAnsi="Verdana" w:cs="Arial"/>
          <w:lang w:val="es-ES" w:eastAsia="es-MX"/>
        </w:rPr>
      </w:pPr>
      <w:r w:rsidRPr="00206269">
        <w:rPr>
          <w:rFonts w:ascii="Verdana" w:eastAsia="Times New Roman" w:hAnsi="Verdana" w:cs="Arial"/>
          <w:lang w:val="es-ES" w:eastAsia="es-MX"/>
        </w:rPr>
        <w:t xml:space="preserve">La Ley 1882 de 2018, </w:t>
      </w:r>
      <w:bookmarkStart w:id="9" w:name="_Hlk193208974"/>
      <w:r w:rsidRPr="00206269">
        <w:rPr>
          <w:rFonts w:ascii="Verdana" w:eastAsia="Times New Roman" w:hAnsi="Verdana" w:cs="Arial"/>
          <w:lang w:val="es-ES" w:eastAsia="es-MX"/>
        </w:rPr>
        <w:t>en el artículo 4</w:t>
      </w:r>
      <w:bookmarkEnd w:id="9"/>
      <w:r w:rsidRPr="00206269">
        <w:rPr>
          <w:rFonts w:ascii="Verdana" w:eastAsia="Times New Roman" w:hAnsi="Verdana" w:cs="Arial"/>
          <w:lang w:val="es-ES" w:eastAsia="es-MX"/>
        </w:rPr>
        <w:t>,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206269">
        <w:rPr>
          <w:rFonts w:ascii="Verdana" w:eastAsia="Times New Roman" w:hAnsi="Verdana" w:cs="Arial"/>
          <w:vertAlign w:val="superscript"/>
          <w:lang w:val="es-ES" w:eastAsia="es-MX"/>
        </w:rPr>
        <w:footnoteReference w:id="2"/>
      </w:r>
      <w:r w:rsidRPr="00206269">
        <w:rPr>
          <w:rFonts w:ascii="Verdana" w:eastAsia="Times New Roman" w:hAnsi="Verdana" w:cs="Arial"/>
          <w:lang w:val="es-ES" w:eastAsia="es-MX"/>
        </w:rPr>
        <w:t>.</w:t>
      </w:r>
    </w:p>
    <w:p w14:paraId="21668893" w14:textId="77777777" w:rsidR="00206269" w:rsidRPr="00206269" w:rsidRDefault="00206269" w:rsidP="00206269">
      <w:pPr>
        <w:spacing w:before="120" w:after="120" w:line="276" w:lineRule="auto"/>
        <w:jc w:val="both"/>
        <w:rPr>
          <w:rFonts w:ascii="Verdana" w:eastAsia="Times New Roman" w:hAnsi="Verdana" w:cs="Arial"/>
          <w:lang w:val="es-ES" w:eastAsia="es-MX"/>
        </w:rPr>
      </w:pPr>
      <w:r w:rsidRPr="00206269">
        <w:rPr>
          <w:rFonts w:ascii="Verdana" w:eastAsia="Times New Roman" w:hAnsi="Verdana" w:cs="Arial"/>
          <w:lang w:val="es-ES" w:eastAsia="es-MX"/>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w:t>
      </w:r>
      <w:r w:rsidRPr="00206269">
        <w:rPr>
          <w:rFonts w:ascii="Verdana" w:eastAsia="Times New Roman" w:hAnsi="Verdana" w:cs="Arial"/>
          <w:lang w:val="es-ES" w:eastAsia="es-MX"/>
        </w:rPr>
        <w:lastRenderedPageBreak/>
        <w:t xml:space="preserve">adoptar los documentos tipo cuando lo considerara necesario en relación con otros contratos o procesos de selección. </w:t>
      </w:r>
    </w:p>
    <w:p w14:paraId="75922E57" w14:textId="77777777" w:rsidR="00206269" w:rsidRPr="00206269" w:rsidRDefault="00206269" w:rsidP="00206269">
      <w:pPr>
        <w:spacing w:before="120" w:after="120" w:line="276" w:lineRule="auto"/>
        <w:jc w:val="both"/>
        <w:rPr>
          <w:rFonts w:ascii="Verdana" w:eastAsia="Times New Roman" w:hAnsi="Verdana" w:cs="Arial"/>
          <w:lang w:val="es-ES" w:eastAsia="es-MX"/>
        </w:rPr>
      </w:pPr>
      <w:r w:rsidRPr="00206269">
        <w:rPr>
          <w:rFonts w:ascii="Verdana" w:eastAsia="Times New Roman" w:hAnsi="Verdana" w:cs="Arial"/>
          <w:lang w:val="es-ES" w:eastAsia="es-MX"/>
        </w:rPr>
        <w:tab/>
        <w:t>De la norma descrita se concluía lo siguiente</w:t>
      </w:r>
      <w:bookmarkStart w:id="10" w:name="_Hlk120691482"/>
      <w:r w:rsidRPr="00206269">
        <w:rPr>
          <w:rFonts w:ascii="Verdana" w:eastAsia="Times New Roman" w:hAnsi="Verdana" w:cs="Arial"/>
          <w:lang w:val="es-ES" w:eastAsia="es-MX"/>
        </w:rPr>
        <w:t xml:space="preserve">: i) la adopción de los documentos tipo estaba en cabeza del gobierno nacional; ii) estos debían relacionarse con procesos de obras públicas, interventoría para las obras públicas, interventoría para consultoría de estudios y diseños y, finalmente, consultoría en ingeniería para obras; iii) eran de obligatorio cumplimiento por parte de todas las entidades sometidas al Estatuto General de Contratación de la Administración Pública; iv)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bookmarkEnd w:id="10"/>
    <w:p w14:paraId="73052A20" w14:textId="77777777" w:rsidR="00812AE6" w:rsidRDefault="008C3E8A" w:rsidP="00812AE6">
      <w:pPr>
        <w:spacing w:after="0" w:line="276" w:lineRule="auto"/>
        <w:ind w:firstLine="708"/>
        <w:jc w:val="both"/>
        <w:rPr>
          <w:rFonts w:ascii="Verdana" w:hAnsi="Verdana" w:cs="Arial"/>
          <w:color w:val="000000" w:themeColor="text1"/>
        </w:rPr>
      </w:pPr>
      <w:r>
        <w:rPr>
          <w:rFonts w:ascii="Verdana" w:hAnsi="Verdana" w:cs="Arial"/>
          <w:color w:val="000000" w:themeColor="text1"/>
        </w:rPr>
        <w:t>En segundo</w:t>
      </w:r>
      <w:r w:rsidR="00206269" w:rsidRPr="00206269">
        <w:rPr>
          <w:rFonts w:ascii="Verdana" w:hAnsi="Verdana" w:cs="Arial"/>
          <w:color w:val="000000" w:themeColor="text1"/>
        </w:rPr>
        <w:t xml:space="preserve"> lugar hay que indicar que, la Agencia para los procesos de Concurso de Méritos incluye documentos tipo para los sectores de: Infraestructura Social en Interventoría, para Agua Potable y Saneamiento Básico en Interventoría  y para Infraestructura de Transporte en Consultoría e Interventoría, en segundo lugar, indicar que solamente los documentos tipo relacionados con las modalidades de Concurso de Méritos, establecen la inclusión de los requisitos de personal, como factores de ponderación de la oferta.</w:t>
      </w:r>
    </w:p>
    <w:p w14:paraId="08096475" w14:textId="77777777" w:rsidR="00812AE6" w:rsidRDefault="00812AE6" w:rsidP="00812AE6">
      <w:pPr>
        <w:spacing w:after="0" w:line="276" w:lineRule="auto"/>
        <w:ind w:firstLine="708"/>
        <w:jc w:val="both"/>
        <w:rPr>
          <w:rFonts w:ascii="Verdana" w:hAnsi="Verdana" w:cs="Arial"/>
          <w:color w:val="000000" w:themeColor="text1"/>
        </w:rPr>
      </w:pPr>
    </w:p>
    <w:p w14:paraId="7B609A6F" w14:textId="282E01D7" w:rsidR="00206269" w:rsidRPr="00206269" w:rsidRDefault="00206269" w:rsidP="00812AE6">
      <w:pPr>
        <w:spacing w:after="0" w:line="276" w:lineRule="auto"/>
        <w:ind w:firstLine="708"/>
        <w:jc w:val="both"/>
        <w:rPr>
          <w:rFonts w:ascii="Verdana" w:hAnsi="Verdana" w:cs="Arial"/>
          <w:color w:val="000000" w:themeColor="text1"/>
        </w:rPr>
      </w:pPr>
      <w:r w:rsidRPr="00206269">
        <w:rPr>
          <w:rFonts w:ascii="Verdana" w:hAnsi="Verdana" w:cs="Arial"/>
          <w:color w:val="000000" w:themeColor="text1"/>
        </w:rPr>
        <w:t>En este sentido, por ejemplo el documento base de Infraestructura de Transporte en su numeral 3.8.2. establece las exigencias mínimas de la experiencia y formación académica del equipo de trabajo para el “personal clave evaluable”, en donde se indica que:</w:t>
      </w:r>
    </w:p>
    <w:p w14:paraId="44119A85" w14:textId="77777777" w:rsidR="00206269" w:rsidRPr="00206269" w:rsidRDefault="00206269" w:rsidP="00206269">
      <w:pPr>
        <w:spacing w:after="0" w:line="276" w:lineRule="auto"/>
        <w:ind w:firstLine="708"/>
        <w:jc w:val="both"/>
        <w:rPr>
          <w:rFonts w:ascii="Verdana" w:hAnsi="Verdana" w:cs="Arial"/>
          <w:color w:val="000000" w:themeColor="text1"/>
        </w:rPr>
      </w:pPr>
    </w:p>
    <w:p w14:paraId="7261C671" w14:textId="77777777" w:rsidR="00206269" w:rsidRPr="00206269" w:rsidRDefault="00206269" w:rsidP="00206269">
      <w:pPr>
        <w:spacing w:after="0" w:line="276" w:lineRule="auto"/>
        <w:ind w:firstLine="708"/>
        <w:jc w:val="both"/>
        <w:rPr>
          <w:rFonts w:ascii="Verdana" w:hAnsi="Verdana" w:cs="Arial"/>
          <w:i/>
          <w:iCs/>
          <w:color w:val="000000" w:themeColor="text1"/>
        </w:rPr>
      </w:pPr>
      <w:r w:rsidRPr="00206269">
        <w:rPr>
          <w:rFonts w:ascii="Verdana" w:hAnsi="Verdana" w:cs="Arial"/>
          <w:i/>
          <w:iCs/>
          <w:color w:val="000000" w:themeColor="text1"/>
        </w:rPr>
        <w:lastRenderedPageBreak/>
        <w:t xml:space="preserve">“[La Entidad deberá definir los perfiles profesionales del equipo de trabajo del Interventor de acuerdo con la </w:t>
      </w:r>
      <w:r w:rsidRPr="00206269">
        <w:rPr>
          <w:rFonts w:ascii="Verdana" w:hAnsi="Verdana" w:cs="Arial"/>
          <w:b/>
          <w:bCs/>
          <w:i/>
          <w:iCs/>
          <w:color w:val="000000" w:themeColor="text1"/>
        </w:rPr>
        <w:t>“Matriz 4 – Lineamientos de requisitos del personal”,</w:t>
      </w:r>
      <w:r w:rsidRPr="00206269">
        <w:rPr>
          <w:rFonts w:ascii="Verdana" w:hAnsi="Verdana" w:cs="Arial"/>
          <w:i/>
          <w:iCs/>
          <w:color w:val="000000" w:themeColor="text1"/>
        </w:rPr>
        <w:t xml:space="preserve"> para establecer las condiciones de experiencia y formación académica del equipo de trabajo. Así mismo, no podrá, bajo ningún supuesto, incluir títulos de posgrado particulares (especializaciones, maestrías, doctorados o posdoctorados, ej: “maestría en Project management”, sino definirlo como “posgrado en: gerencia de proyectos, gerencia de obras, entre otros”), ya que la formación académica obedece a un título de posgrado independiente de su nivel académico, en un área de conocimiento acorde al cargo a desempeñar]”(resaltado fuera de texto) (…)</w:t>
      </w:r>
    </w:p>
    <w:p w14:paraId="2C06CCFF" w14:textId="77777777" w:rsidR="00206269" w:rsidRPr="00206269" w:rsidRDefault="00206269" w:rsidP="00206269">
      <w:pPr>
        <w:spacing w:after="0" w:line="276" w:lineRule="auto"/>
        <w:ind w:firstLine="708"/>
        <w:jc w:val="both"/>
        <w:rPr>
          <w:rFonts w:ascii="Verdana" w:hAnsi="Verdana" w:cs="Arial"/>
          <w:i/>
          <w:iCs/>
          <w:color w:val="000000" w:themeColor="text1"/>
        </w:rPr>
      </w:pPr>
    </w:p>
    <w:p w14:paraId="1BF31480" w14:textId="77777777" w:rsidR="00206269" w:rsidRPr="00206269" w:rsidRDefault="00206269" w:rsidP="00206269">
      <w:pPr>
        <w:spacing w:after="0" w:line="276" w:lineRule="auto"/>
        <w:ind w:firstLine="708"/>
        <w:jc w:val="both"/>
        <w:rPr>
          <w:rFonts w:ascii="Verdana" w:hAnsi="Verdana" w:cs="Arial"/>
          <w:color w:val="000000" w:themeColor="text1"/>
        </w:rPr>
      </w:pPr>
      <w:r w:rsidRPr="00206269">
        <w:rPr>
          <w:rFonts w:ascii="Verdana" w:hAnsi="Verdana" w:cs="Arial"/>
          <w:color w:val="000000" w:themeColor="text1"/>
        </w:rPr>
        <w:t>E igualmente, en el numeral 4.2. establece el equipo de trabajo relacionado con el “Personal Clave Evaluable” y se indica que se otorgarán cinco (5) puntos al proponente que se comprometa con el diligenciamiento del Formato 9 – Experiencia y formación académica adicional del personal clave evaluable”.</w:t>
      </w:r>
    </w:p>
    <w:p w14:paraId="57663F60" w14:textId="77777777" w:rsidR="00206269" w:rsidRPr="00206269" w:rsidRDefault="00206269" w:rsidP="00206269">
      <w:pPr>
        <w:spacing w:after="0" w:line="276" w:lineRule="auto"/>
        <w:ind w:firstLine="708"/>
        <w:jc w:val="both"/>
        <w:rPr>
          <w:rFonts w:ascii="Verdana" w:hAnsi="Verdana" w:cs="Arial"/>
          <w:color w:val="000000" w:themeColor="text1"/>
        </w:rPr>
      </w:pPr>
    </w:p>
    <w:p w14:paraId="089A2DA8" w14:textId="77777777" w:rsidR="00206269" w:rsidRPr="00206269" w:rsidRDefault="00206269" w:rsidP="00206269">
      <w:pPr>
        <w:spacing w:after="0" w:line="276" w:lineRule="auto"/>
        <w:ind w:firstLine="708"/>
        <w:jc w:val="both"/>
        <w:rPr>
          <w:rFonts w:ascii="Verdana" w:hAnsi="Verdana" w:cs="Arial"/>
          <w:color w:val="000000" w:themeColor="text1"/>
        </w:rPr>
      </w:pPr>
      <w:r w:rsidRPr="00206269">
        <w:rPr>
          <w:rFonts w:ascii="Verdana" w:hAnsi="Verdana" w:cs="Arial"/>
          <w:color w:val="000000" w:themeColor="text1"/>
        </w:rPr>
        <w:t>La determinación de la experiencia para el personal clave evaluable, se incluye en la matriz 4 – lineamientos de personal, de acuerdo con las categorías de experiencia y los lineamientos definidos en dicha matriz.</w:t>
      </w:r>
    </w:p>
    <w:p w14:paraId="1DD6291A" w14:textId="77777777" w:rsidR="00206269" w:rsidRPr="00206269" w:rsidRDefault="00206269" w:rsidP="00206269">
      <w:pPr>
        <w:spacing w:after="0" w:line="276" w:lineRule="auto"/>
        <w:ind w:firstLine="708"/>
        <w:jc w:val="both"/>
        <w:rPr>
          <w:rFonts w:ascii="Verdana" w:hAnsi="Verdana" w:cs="Arial"/>
          <w:color w:val="000000" w:themeColor="text1"/>
        </w:rPr>
      </w:pPr>
    </w:p>
    <w:p w14:paraId="3BF37E39" w14:textId="77777777" w:rsidR="00206269" w:rsidRPr="00206269" w:rsidRDefault="00206269" w:rsidP="00206269">
      <w:pPr>
        <w:spacing w:after="0" w:line="276" w:lineRule="auto"/>
        <w:ind w:firstLine="708"/>
        <w:jc w:val="both"/>
        <w:rPr>
          <w:rFonts w:ascii="Verdana" w:hAnsi="Verdana" w:cs="Arial"/>
          <w:color w:val="000000" w:themeColor="text1"/>
        </w:rPr>
      </w:pPr>
      <w:r w:rsidRPr="00206269">
        <w:rPr>
          <w:rFonts w:ascii="Verdana" w:hAnsi="Verdana" w:cs="Arial"/>
          <w:color w:val="000000" w:themeColor="text1"/>
        </w:rPr>
        <w:t>Adicionalmente, en el numeral 4.2.3. se indican las condiciones relacionadas con el “Cambio del Personal Clave Evaluable”, como se indica:</w:t>
      </w:r>
    </w:p>
    <w:p w14:paraId="073E17E5" w14:textId="77777777" w:rsidR="00206269" w:rsidRPr="00206269" w:rsidRDefault="00206269" w:rsidP="00206269">
      <w:pPr>
        <w:spacing w:after="0" w:line="276" w:lineRule="auto"/>
        <w:ind w:firstLine="708"/>
        <w:jc w:val="both"/>
        <w:rPr>
          <w:rFonts w:ascii="Verdana" w:hAnsi="Verdana" w:cs="Arial"/>
          <w:color w:val="000000" w:themeColor="text1"/>
        </w:rPr>
      </w:pPr>
    </w:p>
    <w:p w14:paraId="74274EBB" w14:textId="77777777" w:rsidR="00206269" w:rsidRPr="00206269" w:rsidRDefault="00206269" w:rsidP="00206269">
      <w:pPr>
        <w:spacing w:after="0" w:line="276" w:lineRule="auto"/>
        <w:ind w:firstLine="708"/>
        <w:jc w:val="both"/>
        <w:rPr>
          <w:rFonts w:ascii="Verdana" w:hAnsi="Verdana" w:cs="Arial"/>
          <w:i/>
          <w:iCs/>
          <w:color w:val="000000" w:themeColor="text1"/>
        </w:rPr>
      </w:pPr>
      <w:r w:rsidRPr="00206269">
        <w:rPr>
          <w:rFonts w:ascii="Verdana" w:hAnsi="Verdana" w:cs="Arial"/>
          <w:i/>
          <w:iCs/>
          <w:color w:val="000000" w:themeColor="text1"/>
        </w:rPr>
        <w:t xml:space="preserve">“El Personal Clave Evaluable ofrecido inicialmente será quien debe ejecutar el contrato. Excepcionalmente, en caso de requerir el cambio de personal, por razones que deben quedar sustentadas en el expediente del contrato, el Interventor presentará las hojas de vida del  aspirante con sus respectivos soportes para evaluación y consideración de la Entidad en un plazo no mayor a [incluir el número de días] días hábiles, contados a partir de que el Interventor solicite el cambio del personal. </w:t>
      </w:r>
    </w:p>
    <w:p w14:paraId="23045206" w14:textId="77777777" w:rsidR="00206269" w:rsidRPr="00206269" w:rsidRDefault="00206269" w:rsidP="00206269">
      <w:pPr>
        <w:spacing w:after="0" w:line="276" w:lineRule="auto"/>
        <w:ind w:firstLine="708"/>
        <w:jc w:val="both"/>
        <w:rPr>
          <w:rFonts w:ascii="Verdana" w:hAnsi="Verdana" w:cs="Arial"/>
          <w:i/>
          <w:iCs/>
          <w:color w:val="000000" w:themeColor="text1"/>
        </w:rPr>
      </w:pPr>
    </w:p>
    <w:p w14:paraId="77CB6DD8" w14:textId="77777777" w:rsidR="00206269" w:rsidRPr="00206269" w:rsidRDefault="00206269" w:rsidP="00206269">
      <w:pPr>
        <w:spacing w:after="0" w:line="276" w:lineRule="auto"/>
        <w:ind w:firstLine="708"/>
        <w:jc w:val="both"/>
        <w:rPr>
          <w:rFonts w:ascii="Verdana" w:hAnsi="Verdana" w:cs="Arial"/>
          <w:i/>
          <w:iCs/>
          <w:color w:val="000000" w:themeColor="text1"/>
        </w:rPr>
      </w:pPr>
      <w:r w:rsidRPr="00206269">
        <w:rPr>
          <w:rFonts w:ascii="Verdana" w:hAnsi="Verdana" w:cs="Arial"/>
          <w:i/>
          <w:iCs/>
          <w:color w:val="000000" w:themeColor="text1"/>
        </w:rPr>
        <w:t xml:space="preserve">La persona que reemplazará al profesional del Personal Clave Evaluable </w:t>
      </w:r>
      <w:r w:rsidRPr="00206269">
        <w:rPr>
          <w:rFonts w:ascii="Verdana" w:hAnsi="Verdana" w:cs="Arial"/>
          <w:b/>
          <w:bCs/>
          <w:i/>
          <w:iCs/>
          <w:color w:val="000000" w:themeColor="text1"/>
        </w:rPr>
        <w:t>debe cumplir con los requisitos mínimos descritos en la “Matriz 4- Lineamientos de requisitos del Personal</w:t>
      </w:r>
      <w:r w:rsidRPr="00206269">
        <w:rPr>
          <w:rFonts w:ascii="Verdana" w:hAnsi="Verdana" w:cs="Arial"/>
          <w:i/>
          <w:iCs/>
          <w:color w:val="000000" w:themeColor="text1"/>
        </w:rPr>
        <w:t>”, tener el año de experiencia específica adicional y/o el título de formación académica adicional, si se trata de un profesional por el cual se asignó puntaje. En todo caso, la Entidad se reserva el derecho de aceptarlos o no, sin perjuicio de que, en el evento de rechazarlo, deba motivar las razones objetivas y suficientes relacionadas directamente con alguna o algunas de las condiciones exigidas.”(resaltado fuera de texto)</w:t>
      </w:r>
    </w:p>
    <w:p w14:paraId="5241E41D" w14:textId="77777777" w:rsidR="00206269" w:rsidRPr="00206269" w:rsidRDefault="00206269" w:rsidP="00206269">
      <w:pPr>
        <w:spacing w:after="0" w:line="276" w:lineRule="auto"/>
        <w:ind w:firstLine="708"/>
        <w:jc w:val="both"/>
        <w:rPr>
          <w:rFonts w:ascii="Verdana" w:hAnsi="Verdana" w:cs="Arial"/>
          <w:color w:val="000000" w:themeColor="text1"/>
        </w:rPr>
      </w:pPr>
    </w:p>
    <w:p w14:paraId="44D9150F" w14:textId="77777777" w:rsidR="00206269" w:rsidRPr="00206269" w:rsidRDefault="00206269" w:rsidP="00206269">
      <w:pPr>
        <w:spacing w:after="0" w:line="276" w:lineRule="auto"/>
        <w:ind w:firstLine="708"/>
        <w:jc w:val="both"/>
        <w:rPr>
          <w:rFonts w:ascii="Verdana" w:hAnsi="Verdana" w:cs="Arial"/>
          <w:color w:val="000000" w:themeColor="text1"/>
        </w:rPr>
      </w:pPr>
      <w:r w:rsidRPr="00206269">
        <w:rPr>
          <w:rFonts w:ascii="Verdana" w:hAnsi="Verdana" w:cs="Arial"/>
          <w:color w:val="000000" w:themeColor="text1"/>
        </w:rPr>
        <w:t>Como se puede ver, los perfiles requeridos en el proceso de selección, para el “personal clave evaluable”, corresponden a los definidos en la Matriz 4 de Lineamientos de Personal y para el resto del equipo de trabajo que se requiere en desarrollo del proyecto, serán adicionalmente, los que se incluyen en el Anexo 1 – Anexo Técnico.</w:t>
      </w:r>
    </w:p>
    <w:p w14:paraId="5709C933" w14:textId="77777777" w:rsidR="00206269" w:rsidRPr="00206269" w:rsidRDefault="00206269" w:rsidP="00206269">
      <w:pPr>
        <w:spacing w:after="0" w:line="276" w:lineRule="auto"/>
        <w:ind w:firstLine="708"/>
        <w:jc w:val="both"/>
        <w:rPr>
          <w:rFonts w:ascii="Verdana" w:hAnsi="Verdana" w:cs="Arial"/>
          <w:color w:val="000000" w:themeColor="text1"/>
        </w:rPr>
      </w:pPr>
    </w:p>
    <w:p w14:paraId="2D7880D2" w14:textId="77777777" w:rsidR="00206269" w:rsidRPr="00206269" w:rsidRDefault="00206269" w:rsidP="00206269">
      <w:pPr>
        <w:spacing w:after="0" w:line="276" w:lineRule="auto"/>
        <w:ind w:firstLine="708"/>
        <w:jc w:val="both"/>
        <w:rPr>
          <w:rFonts w:ascii="Verdana" w:hAnsi="Verdana" w:cs="Arial"/>
          <w:color w:val="000000" w:themeColor="text1"/>
        </w:rPr>
      </w:pPr>
      <w:r w:rsidRPr="00206269">
        <w:rPr>
          <w:rFonts w:ascii="Verdana" w:hAnsi="Verdana" w:cs="Arial"/>
          <w:color w:val="000000" w:themeColor="text1"/>
        </w:rPr>
        <w:t>En el evento de requerirse el cambio de alguno de los perfiles definidos en el Documento Base, como “Personal Clave Evaluable”, este cambio debe hacerse conforme a lo establecido en el numeral 4.2.3, que se describió previamente, que como puede verse el cambio se hará con fundamento en la Matriz 4, en consecuencia, de ninguna manera implica el cambio en las condiciones de los perfiles descritos en esta matriz.</w:t>
      </w:r>
    </w:p>
    <w:p w14:paraId="7ACAFDAD" w14:textId="77777777" w:rsidR="00206269" w:rsidRDefault="00206269" w:rsidP="00BC4CD4">
      <w:pPr>
        <w:spacing w:after="0" w:line="276" w:lineRule="auto"/>
        <w:ind w:firstLine="708"/>
        <w:jc w:val="both"/>
        <w:rPr>
          <w:rFonts w:ascii="Verdana" w:hAnsi="Verdana" w:cs="Arial"/>
          <w:color w:val="000000" w:themeColor="text1"/>
          <w:lang w:val="es-ES_tradnl"/>
        </w:rPr>
      </w:pPr>
    </w:p>
    <w:bookmarkEnd w:id="5"/>
    <w:p w14:paraId="23064A8B" w14:textId="2421BF7D" w:rsidR="00DB7D44" w:rsidRPr="00593A5F" w:rsidRDefault="00DB7D44" w:rsidP="00FB67C7">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557D0CE8" w14:textId="77777777" w:rsidR="008C3E8A" w:rsidRPr="008C3E8A" w:rsidRDefault="00AF4209" w:rsidP="00812AE6">
            <w:pPr>
              <w:pStyle w:val="Prrafodelista"/>
              <w:widowControl w:val="0"/>
              <w:numPr>
                <w:ilvl w:val="0"/>
                <w:numId w:val="30"/>
              </w:numPr>
              <w:autoSpaceDE w:val="0"/>
              <w:autoSpaceDN w:val="0"/>
              <w:spacing w:after="120" w:line="276" w:lineRule="auto"/>
              <w:jc w:val="both"/>
              <w:rPr>
                <w:rFonts w:ascii="Verdana" w:hAnsi="Verdana" w:cs="Arial"/>
              </w:rPr>
            </w:pPr>
            <w:r w:rsidRPr="008C3E8A">
              <w:rPr>
                <w:rFonts w:ascii="Verdana" w:eastAsia="Aptos" w:hAnsi="Verdana" w:cs="Arial"/>
                <w:bCs/>
                <w:kern w:val="2"/>
                <w:lang w:val="es-ES_tradnl"/>
                <w14:ligatures w14:val="standardContextual"/>
              </w:rPr>
              <w:t>Constitución Política</w:t>
            </w:r>
          </w:p>
          <w:p w14:paraId="4FC0963A" w14:textId="7006F1F4" w:rsidR="00D56962" w:rsidRPr="008C3E8A" w:rsidRDefault="00D56962" w:rsidP="00812AE6">
            <w:pPr>
              <w:pStyle w:val="Prrafodelista"/>
              <w:widowControl w:val="0"/>
              <w:numPr>
                <w:ilvl w:val="0"/>
                <w:numId w:val="30"/>
              </w:numPr>
              <w:autoSpaceDE w:val="0"/>
              <w:autoSpaceDN w:val="0"/>
              <w:spacing w:after="120" w:line="276" w:lineRule="auto"/>
              <w:jc w:val="both"/>
              <w:rPr>
                <w:rFonts w:ascii="Verdana" w:hAnsi="Verdana" w:cs="Arial"/>
              </w:rPr>
            </w:pPr>
            <w:r w:rsidRPr="008C3E8A">
              <w:rPr>
                <w:rFonts w:ascii="Verdana" w:hAnsi="Verdana" w:cs="Arial"/>
              </w:rPr>
              <w:t>Ley 1150 de 2007 parágrafo 3 del artículo 2</w:t>
            </w:r>
          </w:p>
          <w:p w14:paraId="75A54C43" w14:textId="77777777" w:rsidR="00812AE6" w:rsidRDefault="00D56962" w:rsidP="00812AE6">
            <w:pPr>
              <w:pStyle w:val="Prrafodelista"/>
              <w:widowControl w:val="0"/>
              <w:numPr>
                <w:ilvl w:val="0"/>
                <w:numId w:val="30"/>
              </w:numPr>
              <w:autoSpaceDE w:val="0"/>
              <w:autoSpaceDN w:val="0"/>
              <w:spacing w:after="120" w:line="276" w:lineRule="auto"/>
              <w:jc w:val="both"/>
              <w:rPr>
                <w:rFonts w:ascii="Verdana" w:hAnsi="Verdana" w:cs="Arial"/>
              </w:rPr>
            </w:pPr>
            <w:r w:rsidRPr="00D56962">
              <w:rPr>
                <w:rFonts w:ascii="Verdana" w:hAnsi="Verdana" w:cs="Arial"/>
              </w:rPr>
              <w:t>Ley 1882 de 2018</w:t>
            </w:r>
            <w:r>
              <w:rPr>
                <w:rFonts w:ascii="Verdana" w:hAnsi="Verdana" w:cs="Arial"/>
              </w:rPr>
              <w:t xml:space="preserve"> </w:t>
            </w:r>
            <w:r w:rsidRPr="00D56962">
              <w:rPr>
                <w:rFonts w:ascii="Verdana" w:hAnsi="Verdana" w:cs="Arial"/>
              </w:rPr>
              <w:t xml:space="preserve">artículo 4 </w:t>
            </w:r>
          </w:p>
          <w:p w14:paraId="62F8587A" w14:textId="725302F4" w:rsidR="00812AE6" w:rsidRPr="00812AE6" w:rsidRDefault="00812AE6" w:rsidP="00812AE6">
            <w:pPr>
              <w:pStyle w:val="Prrafodelista"/>
              <w:widowControl w:val="0"/>
              <w:numPr>
                <w:ilvl w:val="0"/>
                <w:numId w:val="30"/>
              </w:numPr>
              <w:autoSpaceDE w:val="0"/>
              <w:autoSpaceDN w:val="0"/>
              <w:spacing w:after="120" w:line="276" w:lineRule="auto"/>
              <w:jc w:val="both"/>
              <w:rPr>
                <w:rFonts w:ascii="Verdana" w:hAnsi="Verdana" w:cs="Arial"/>
              </w:rPr>
            </w:pPr>
            <w:r w:rsidRPr="00812AE6">
              <w:rPr>
                <w:rFonts w:ascii="Verdana" w:eastAsia="Calibri" w:hAnsi="Verdana" w:cs="Arial"/>
                <w:lang w:val="es-ES_tradnl"/>
              </w:rPr>
              <w:t xml:space="preserve">Ley 2022 de 2020, artículo 1. </w:t>
            </w:r>
          </w:p>
          <w:p w14:paraId="58C39A03" w14:textId="1F971469" w:rsidR="00812AE6" w:rsidRPr="00D56962" w:rsidRDefault="00812AE6" w:rsidP="00812AE6">
            <w:pPr>
              <w:pStyle w:val="Prrafodelista"/>
              <w:widowControl w:val="0"/>
              <w:numPr>
                <w:ilvl w:val="0"/>
                <w:numId w:val="30"/>
              </w:numPr>
              <w:autoSpaceDE w:val="0"/>
              <w:autoSpaceDN w:val="0"/>
              <w:spacing w:after="120" w:line="276" w:lineRule="auto"/>
              <w:jc w:val="both"/>
              <w:rPr>
                <w:rFonts w:ascii="Verdana" w:hAnsi="Verdana" w:cs="Arial"/>
              </w:rPr>
            </w:pPr>
            <w:r w:rsidRPr="009446F5">
              <w:rPr>
                <w:rFonts w:ascii="Verdana" w:eastAsia="Calibri" w:hAnsi="Verdana" w:cs="Arial"/>
                <w:lang w:val="es-ES_tradnl"/>
              </w:rPr>
              <w:t xml:space="preserve">Documentos Tipo. Disponibles en: </w:t>
            </w:r>
            <w:hyperlink r:id="rId13" w:history="1">
              <w:r w:rsidRPr="009446F5">
                <w:rPr>
                  <w:rFonts w:ascii="Verdana" w:eastAsia="Calibri" w:hAnsi="Verdana" w:cs="Arial"/>
                  <w:color w:val="0000FF"/>
                  <w:u w:val="single"/>
                  <w:lang w:val="es-ES_tradnl"/>
                </w:rPr>
                <w:t>https://www.colombiacompra.gov.co/documentos-tipo/documentos-tipo</w:t>
              </w:r>
            </w:hyperlink>
            <w:r w:rsidRPr="009446F5">
              <w:rPr>
                <w:rFonts w:ascii="Verdana" w:eastAsia="Calibri" w:hAnsi="Verdana" w:cs="Arial"/>
                <w:lang w:val="es-ES_tradnl"/>
              </w:rPr>
              <w:t>.</w:t>
            </w:r>
          </w:p>
          <w:p w14:paraId="2E3B0684" w14:textId="68D64912" w:rsidR="00E52602" w:rsidRPr="000D446F" w:rsidRDefault="00E52602" w:rsidP="008C3E8A">
            <w:pPr>
              <w:pStyle w:val="Prrafodelista"/>
              <w:widowControl w:val="0"/>
              <w:autoSpaceDE w:val="0"/>
              <w:autoSpaceDN w:val="0"/>
              <w:spacing w:after="120" w:line="276" w:lineRule="auto"/>
              <w:jc w:val="both"/>
              <w:rPr>
                <w:rFonts w:ascii="Verdana" w:hAnsi="Verdana" w:cs="Arial"/>
              </w:rPr>
            </w:pPr>
          </w:p>
        </w:tc>
      </w:tr>
    </w:tbl>
    <w:p w14:paraId="268F1D7B" w14:textId="77777777" w:rsidR="00DB7D44" w:rsidRPr="00593A5F" w:rsidRDefault="00DB7D44"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7AA80262" w14:textId="57EC79B6" w:rsidR="00DB7D44" w:rsidRDefault="005C05C9" w:rsidP="00DB7D44">
      <w:pPr>
        <w:widowControl w:val="0"/>
        <w:autoSpaceDE w:val="0"/>
        <w:autoSpaceDN w:val="0"/>
        <w:spacing w:after="0" w:line="276" w:lineRule="auto"/>
        <w:jc w:val="both"/>
        <w:rPr>
          <w:rFonts w:ascii="Verdana" w:eastAsia="Times New Roman" w:hAnsi="Verdana" w:cs="Arial"/>
          <w:shd w:val="clear" w:color="auto" w:fill="FFFFFF"/>
          <w:lang w:val="es-ES"/>
        </w:rPr>
      </w:pPr>
      <w:r w:rsidRPr="00C269C0">
        <w:rPr>
          <w:rFonts w:ascii="Verdana" w:eastAsia="Calibri" w:hAnsi="Verdana" w:cs="Arial"/>
          <w:shd w:val="clear" w:color="auto" w:fill="FFFFFF"/>
        </w:rPr>
        <w:t>L</w:t>
      </w:r>
      <w:r w:rsidRPr="00C269C0">
        <w:rPr>
          <w:rFonts w:ascii="Verdana" w:eastAsia="Calibri" w:hAnsi="Verdana" w:cs="Arial"/>
          <w:shd w:val="clear" w:color="auto" w:fill="FFFFFF"/>
          <w:lang w:val="es-ES"/>
        </w:rPr>
        <w:t>a Agencia Nacional de Contratación Pública – Colombia Compra Eficiente,</w:t>
      </w:r>
      <w:r w:rsidRPr="0075145D">
        <w:rPr>
          <w:rFonts w:ascii="Verdana" w:eastAsia="Calibri" w:hAnsi="Verdana" w:cs="Arial"/>
          <w:shd w:val="clear" w:color="auto" w:fill="FFFFFF"/>
          <w:lang w:val="es-ES"/>
        </w:rPr>
        <w:t xml:space="preserve"> </w:t>
      </w:r>
      <w:r>
        <w:rPr>
          <w:rFonts w:ascii="Verdana" w:eastAsia="Calibri" w:hAnsi="Verdana" w:cs="Arial"/>
          <w:shd w:val="clear" w:color="auto" w:fill="FFFFFF"/>
          <w:lang w:val="es-ES"/>
        </w:rPr>
        <w:t xml:space="preserve">se ha pronunciado sobre el fundamento normativo de los documentos tipo en los conceptos: </w:t>
      </w:r>
      <w:r w:rsidRPr="00484D44">
        <w:rPr>
          <w:rFonts w:ascii="Verdana" w:eastAsia="Times New Roman" w:hAnsi="Verdana" w:cs="Arial"/>
          <w:shd w:val="clear" w:color="auto" w:fill="FFFFFF"/>
          <w:lang w:val="es-ES"/>
        </w:rPr>
        <w:t>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w:t>
      </w:r>
      <w:r>
        <w:rPr>
          <w:rFonts w:ascii="Verdana" w:eastAsia="Times New Roman" w:hAnsi="Verdana" w:cs="Arial"/>
          <w:shd w:val="clear" w:color="auto" w:fill="FFFFFF"/>
          <w:lang w:val="es-ES"/>
        </w:rPr>
        <w:t>, C- 272 del 22 de agosto de 2024, C- 516 del 07 de octubre de 2024, C- 481 del 09 de noviembre de 2024, C- 692 del 19 de noviembre de 2024 y C-753 del 4 de enero de 2024.</w:t>
      </w:r>
    </w:p>
    <w:p w14:paraId="0C02F00A" w14:textId="77777777" w:rsidR="005C05C9" w:rsidRDefault="005C05C9" w:rsidP="00DB7D44">
      <w:pPr>
        <w:widowControl w:val="0"/>
        <w:autoSpaceDE w:val="0"/>
        <w:autoSpaceDN w:val="0"/>
        <w:spacing w:after="0" w:line="276" w:lineRule="auto"/>
        <w:jc w:val="both"/>
        <w:rPr>
          <w:rStyle w:val="normaltextrun"/>
          <w:rFonts w:ascii="Verdana" w:hAnsi="Verdana" w:cs="Arial"/>
          <w:shd w:val="clear" w:color="auto" w:fill="FFFFFF"/>
          <w:lang w:val="es-ES"/>
        </w:rPr>
      </w:pPr>
    </w:p>
    <w:p w14:paraId="5362D59A"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1A94559"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25D616FD"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lastRenderedPageBreak/>
        <w:t>Documentos tipo para los procesos de selección de interventoría de obra pública de infraestructura de transporte – versión 3: </w:t>
      </w:r>
      <w:hyperlink r:id="rId14"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213CAF78"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5"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14:paraId="302453FB"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7CB67F4C"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p>
    <w:p w14:paraId="003E92E1" w14:textId="77777777" w:rsidR="00A80691" w:rsidRPr="00505CD6" w:rsidRDefault="00A80691" w:rsidP="00A80691">
      <w:pPr>
        <w:widowControl w:val="0"/>
        <w:autoSpaceDE w:val="0"/>
        <w:autoSpaceDN w:val="0"/>
        <w:spacing w:after="0" w:line="276" w:lineRule="auto"/>
        <w:jc w:val="both"/>
        <w:rPr>
          <w:rFonts w:ascii="Verdana" w:eastAsia="Calibri" w:hAnsi="Verdana" w:cs="Arial"/>
          <w:color w:val="000000" w:themeColor="text1"/>
        </w:rPr>
      </w:pPr>
    </w:p>
    <w:p w14:paraId="7B957669" w14:textId="77777777" w:rsidR="00A80691" w:rsidRPr="00505CD6" w:rsidRDefault="00A80691" w:rsidP="00A8069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FEC8E96" w14:textId="77777777" w:rsidR="00A80691" w:rsidRPr="00505CD6" w:rsidRDefault="00A80691" w:rsidP="00A80691">
      <w:pPr>
        <w:widowControl w:val="0"/>
        <w:autoSpaceDE w:val="0"/>
        <w:autoSpaceDN w:val="0"/>
        <w:spacing w:after="0" w:line="276" w:lineRule="auto"/>
        <w:jc w:val="both"/>
        <w:rPr>
          <w:rFonts w:ascii="Verdana" w:hAnsi="Verdana" w:cs="Arial"/>
        </w:rPr>
      </w:pPr>
    </w:p>
    <w:p w14:paraId="40938A73" w14:textId="7E8D2EC6" w:rsidR="00FE66BE" w:rsidRDefault="00A80691" w:rsidP="00397E32">
      <w:pPr>
        <w:spacing w:after="0" w:line="276" w:lineRule="auto"/>
        <w:jc w:val="both"/>
        <w:rPr>
          <w:rFonts w:ascii="Verdana" w:hAnsi="Verdana"/>
          <w:noProof/>
          <w:color w:val="000000"/>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28C199" w14:textId="7BEA39F6" w:rsidR="00A80691" w:rsidRDefault="00A80691" w:rsidP="00FE66BE">
      <w:pPr>
        <w:spacing w:line="276" w:lineRule="auto"/>
        <w:jc w:val="center"/>
        <w:rPr>
          <w:rFonts w:ascii="Verdana" w:hAnsi="Verdana"/>
          <w:noProof/>
        </w:rPr>
      </w:pPr>
    </w:p>
    <w:p w14:paraId="2077234F" w14:textId="77777777" w:rsidR="00C515B6" w:rsidRDefault="00C515B6" w:rsidP="00FE66BE">
      <w:pPr>
        <w:spacing w:line="276" w:lineRule="auto"/>
        <w:jc w:val="center"/>
        <w:rPr>
          <w:rFonts w:ascii="Verdana" w:hAnsi="Verdana"/>
          <w:noProof/>
          <w:color w:val="000000"/>
        </w:rPr>
      </w:pPr>
    </w:p>
    <w:p w14:paraId="393DB0A0" w14:textId="77777777" w:rsidR="00C515B6" w:rsidRDefault="00C515B6" w:rsidP="00FE66BE">
      <w:pPr>
        <w:spacing w:line="276" w:lineRule="auto"/>
        <w:jc w:val="center"/>
        <w:rPr>
          <w:rFonts w:ascii="Verdana" w:hAnsi="Verdana"/>
          <w:noProof/>
          <w:color w:val="000000"/>
        </w:rPr>
      </w:pPr>
    </w:p>
    <w:p w14:paraId="3CD61A4C" w14:textId="77777777" w:rsidR="00C515B6" w:rsidRDefault="00C515B6" w:rsidP="00FE66BE">
      <w:pPr>
        <w:spacing w:line="276" w:lineRule="auto"/>
        <w:jc w:val="center"/>
        <w:rPr>
          <w:rFonts w:ascii="Verdana" w:hAnsi="Verdana"/>
          <w:noProof/>
          <w:color w:val="000000"/>
        </w:rPr>
      </w:pPr>
    </w:p>
    <w:p w14:paraId="46FBE3D0" w14:textId="77777777" w:rsidR="00C515B6" w:rsidRDefault="00C515B6" w:rsidP="00FE66BE">
      <w:pPr>
        <w:spacing w:line="276" w:lineRule="auto"/>
        <w:jc w:val="center"/>
        <w:rPr>
          <w:rFonts w:ascii="Verdana" w:hAnsi="Verdana"/>
          <w:noProof/>
          <w:color w:val="000000"/>
        </w:rPr>
      </w:pPr>
    </w:p>
    <w:p w14:paraId="382C8EFD" w14:textId="24A958BC" w:rsidR="00C515B6" w:rsidRPr="00C515B6" w:rsidRDefault="00C515B6" w:rsidP="00C515B6">
      <w:pPr>
        <w:spacing w:line="276" w:lineRule="auto"/>
        <w:jc w:val="center"/>
        <w:rPr>
          <w:rFonts w:ascii="Verdana" w:hAnsi="Verdana"/>
          <w:noProof/>
          <w:color w:val="000000"/>
        </w:rPr>
      </w:pPr>
      <w:r w:rsidRPr="00C515B6">
        <w:rPr>
          <w:rFonts w:ascii="Verdana" w:hAnsi="Verdana"/>
          <w:noProof/>
          <w:color w:val="000000"/>
        </w:rPr>
        <w:drawing>
          <wp:inline distT="0" distB="0" distL="0" distR="0" wp14:anchorId="5962A3A3" wp14:editId="1885F573">
            <wp:extent cx="3439134" cy="1476375"/>
            <wp:effectExtent l="0" t="0" r="9525" b="0"/>
            <wp:docPr id="3181674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51002" cy="148147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0691" w:rsidRPr="00593A5F" w14:paraId="31D06E98" w14:textId="77777777" w:rsidTr="00E1079D">
        <w:trPr>
          <w:trHeight w:val="315"/>
        </w:trPr>
        <w:tc>
          <w:tcPr>
            <w:tcW w:w="893" w:type="dxa"/>
            <w:vAlign w:val="center"/>
            <w:hideMark/>
          </w:tcPr>
          <w:p w14:paraId="03E2D651"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0E6222" w14:textId="77777777" w:rsidR="00A80691" w:rsidRPr="00E24803" w:rsidRDefault="00A80691" w:rsidP="00A80691">
            <w:pPr>
              <w:spacing w:line="276" w:lineRule="auto"/>
              <w:contextualSpacing/>
              <w:jc w:val="both"/>
              <w:rPr>
                <w:rFonts w:ascii="Verdana" w:hAnsi="Verdana"/>
                <w:sz w:val="16"/>
                <w:szCs w:val="16"/>
              </w:rPr>
            </w:pPr>
            <w:r w:rsidRPr="00E24803">
              <w:rPr>
                <w:rFonts w:ascii="Verdana" w:hAnsi="Verdana"/>
                <w:sz w:val="16"/>
                <w:szCs w:val="16"/>
              </w:rPr>
              <w:t>Nicolas Andrés Guzmán Padilla</w:t>
            </w:r>
          </w:p>
          <w:p w14:paraId="53926242" w14:textId="33D77AA9" w:rsidR="00A80691" w:rsidRPr="000015E6" w:rsidRDefault="00A80691" w:rsidP="00A80691">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A80691" w:rsidRPr="00593A5F" w14:paraId="7860D780" w14:textId="77777777" w:rsidTr="00E1079D">
        <w:trPr>
          <w:trHeight w:val="330"/>
        </w:trPr>
        <w:tc>
          <w:tcPr>
            <w:tcW w:w="893" w:type="dxa"/>
            <w:vAlign w:val="center"/>
            <w:hideMark/>
          </w:tcPr>
          <w:p w14:paraId="242F9749"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CC40AB" w14:textId="3DF0B6BF" w:rsidR="00A80691" w:rsidRDefault="005C05C9" w:rsidP="00A80691">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Adriana López</w:t>
            </w:r>
          </w:p>
          <w:p w14:paraId="2BBC7853" w14:textId="6C5DBAC2" w:rsidR="00A80691" w:rsidRPr="00EF40D2" w:rsidRDefault="00A80691" w:rsidP="00A80691">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A80691" w:rsidRPr="00593A5F" w14:paraId="2DB10D30" w14:textId="77777777" w:rsidTr="00E1079D">
        <w:trPr>
          <w:trHeight w:val="300"/>
        </w:trPr>
        <w:tc>
          <w:tcPr>
            <w:tcW w:w="893" w:type="dxa"/>
            <w:vAlign w:val="center"/>
          </w:tcPr>
          <w:p w14:paraId="3638310D"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7777777"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Gacharná</w:t>
            </w:r>
          </w:p>
          <w:p w14:paraId="3F43F8EA" w14:textId="2BA9B9FC"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2"/>
      <w:bookmarkEnd w:id="3"/>
    </w:tbl>
    <w:p w14:paraId="7C53BEA7" w14:textId="77777777" w:rsidR="007D5768" w:rsidRPr="00593A5F" w:rsidRDefault="007D5768" w:rsidP="007D5768">
      <w:pPr>
        <w:spacing w:after="0" w:line="240" w:lineRule="auto"/>
        <w:rPr>
          <w:rFonts w:ascii="Verdana" w:eastAsia="Times New Roman" w:hAnsi="Verdana" w:cs="Arial"/>
          <w:sz w:val="24"/>
          <w:szCs w:val="24"/>
          <w:lang w:eastAsia="es-ES"/>
        </w:rPr>
      </w:pPr>
    </w:p>
    <w:bookmarkEnd w:id="1"/>
    <w:p w14:paraId="0465BA6D" w14:textId="7095F8D7" w:rsidR="00E245AB" w:rsidRPr="0044528D" w:rsidRDefault="00E245AB" w:rsidP="00E245AB">
      <w:pPr>
        <w:spacing w:after="0"/>
        <w:rPr>
          <w:rFonts w:ascii="Verdana" w:hAnsi="Verdana"/>
        </w:rPr>
      </w:pPr>
    </w:p>
    <w:sectPr w:rsidR="00E245AB" w:rsidRPr="0044528D" w:rsidSect="00AC0B6D">
      <w:headerReference w:type="even" r:id="rId18"/>
      <w:headerReference w:type="default" r:id="rId19"/>
      <w:footerReference w:type="even" r:id="rId20"/>
      <w:footerReference w:type="default" r:id="rId21"/>
      <w:pgSz w:w="12240" w:h="15840" w:code="1"/>
      <w:pgMar w:top="1417" w:right="1750"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1D1AC" w14:textId="77777777" w:rsidR="00DC43BD" w:rsidRDefault="00DC43BD" w:rsidP="004A1847">
      <w:pPr>
        <w:spacing w:after="0" w:line="240" w:lineRule="auto"/>
      </w:pPr>
      <w:r>
        <w:separator/>
      </w:r>
    </w:p>
  </w:endnote>
  <w:endnote w:type="continuationSeparator" w:id="0">
    <w:p w14:paraId="1E243B8C" w14:textId="77777777" w:rsidR="00DC43BD" w:rsidRDefault="00DC43B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7AAC8" w14:textId="77777777" w:rsidR="00AF4209" w:rsidRDefault="00AF4209">
    <w:pPr>
      <w:pStyle w:val="Piedepgina"/>
    </w:pPr>
  </w:p>
  <w:p w14:paraId="3526CBDE" w14:textId="77777777" w:rsidR="008245EB" w:rsidRDefault="008245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8245EB" w:rsidRDefault="008245EB"/>
  <w:p w14:paraId="14D52991" w14:textId="77777777" w:rsidR="008245EB" w:rsidRDefault="008245EB"/>
  <w:p w14:paraId="57ADEE0D" w14:textId="77777777" w:rsidR="008245EB" w:rsidRDefault="008245EB"/>
  <w:p w14:paraId="71FAF27A" w14:textId="77777777" w:rsidR="008245EB" w:rsidRDefault="008245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F69E0" w14:textId="77777777" w:rsidR="00DC43BD" w:rsidRDefault="00DC43BD" w:rsidP="004A1847">
      <w:pPr>
        <w:spacing w:after="0" w:line="240" w:lineRule="auto"/>
      </w:pPr>
      <w:r>
        <w:separator/>
      </w:r>
    </w:p>
  </w:footnote>
  <w:footnote w:type="continuationSeparator" w:id="0">
    <w:p w14:paraId="6CCD6D28" w14:textId="77777777" w:rsidR="00DC43BD" w:rsidRDefault="00DC43BD" w:rsidP="004A1847">
      <w:pPr>
        <w:spacing w:after="0" w:line="240" w:lineRule="auto"/>
      </w:pPr>
      <w:r>
        <w:continuationSeparator/>
      </w:r>
    </w:p>
  </w:footnote>
  <w:footnote w:id="1">
    <w:p w14:paraId="0408AFA1" w14:textId="77777777" w:rsidR="00206269" w:rsidRPr="003C1782" w:rsidRDefault="00206269" w:rsidP="00D56962">
      <w:pPr>
        <w:pStyle w:val="Textonotapie"/>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5C4655E1" w14:textId="77777777" w:rsidR="00206269" w:rsidRPr="003C1782" w:rsidRDefault="00206269" w:rsidP="00206269">
      <w:pPr>
        <w:pStyle w:val="Textonotapie"/>
        <w:ind w:firstLine="709"/>
        <w:jc w:val="both"/>
        <w:rPr>
          <w:rFonts w:ascii="Arial" w:hAnsi="Arial" w:cs="Arial"/>
          <w:sz w:val="18"/>
          <w:szCs w:val="18"/>
          <w:lang w:val="es-CO"/>
        </w:rPr>
      </w:pPr>
    </w:p>
  </w:footnote>
  <w:footnote w:id="2">
    <w:p w14:paraId="115980E4" w14:textId="77777777" w:rsidR="00206269" w:rsidRPr="003C1782" w:rsidRDefault="00206269" w:rsidP="00206269">
      <w:pPr>
        <w:pStyle w:val="Textonotapie"/>
        <w:ind w:firstLine="709"/>
        <w:jc w:val="both"/>
        <w:rPr>
          <w:rFonts w:ascii="Arial" w:hAnsi="Arial" w:cs="Arial"/>
          <w:sz w:val="18"/>
          <w:szCs w:val="18"/>
        </w:rPr>
      </w:pPr>
      <w:r w:rsidRPr="003C1782">
        <w:rPr>
          <w:rStyle w:val="Refdenotaalpie"/>
          <w:rFonts w:ascii="Arial" w:hAnsi="Arial" w:cs="Arial"/>
          <w:sz w:val="18"/>
          <w:szCs w:val="18"/>
        </w:rPr>
        <w:footnoteRef/>
      </w:r>
      <w:r w:rsidRPr="003C1782">
        <w:rPr>
          <w:rFonts w:ascii="Arial" w:hAnsi="Arial" w:cs="Arial"/>
          <w:sz w:val="18"/>
          <w:szCs w:val="18"/>
        </w:rPr>
        <w:t xml:space="preserve"> </w:t>
      </w:r>
      <w:r w:rsidRPr="003C1782">
        <w:rPr>
          <w:rFonts w:ascii="Arial" w:hAnsi="Arial" w:cs="Arial"/>
          <w:sz w:val="18"/>
          <w:szCs w:val="18"/>
          <w:lang w:val="es-CO"/>
        </w:rPr>
        <w:t xml:space="preserve">Ley 1882 de 2018: «Artículo 4. </w:t>
      </w:r>
      <w:r w:rsidRPr="003C1782">
        <w:rPr>
          <w:rFonts w:ascii="Arial" w:hAnsi="Arial" w:cs="Arial"/>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31B270BD" w14:textId="77777777" w:rsidR="00206269" w:rsidRPr="003C1782" w:rsidRDefault="00206269" w:rsidP="00206269">
      <w:pPr>
        <w:pStyle w:val="Textonotapie"/>
        <w:ind w:firstLine="709"/>
        <w:jc w:val="both"/>
        <w:rPr>
          <w:rFonts w:ascii="Arial" w:hAnsi="Arial" w:cs="Arial"/>
          <w:sz w:val="18"/>
          <w:szCs w:val="18"/>
          <w:lang w:val="es-CO"/>
        </w:rPr>
      </w:pPr>
      <w:r w:rsidRPr="003C1782">
        <w:rPr>
          <w:rFonts w:ascii="Arial" w:hAnsi="Arial" w:cs="Arial"/>
          <w:sz w:val="18"/>
          <w:szCs w:val="18"/>
          <w:lang w:val="es-CO"/>
        </w:rPr>
        <w:t>»La facultad de adoptar documentos tipo la tendrá el Gobierno nacional, cuando lo considere necesario, en relación con otros contratos o procesos de selección.</w:t>
      </w:r>
    </w:p>
    <w:p w14:paraId="259BC832" w14:textId="77777777" w:rsidR="00206269" w:rsidRPr="003C1782" w:rsidRDefault="00206269" w:rsidP="00206269">
      <w:pPr>
        <w:pStyle w:val="Textonotapie"/>
        <w:ind w:firstLine="709"/>
        <w:jc w:val="both"/>
        <w:rPr>
          <w:rFonts w:ascii="Arial" w:hAnsi="Arial" w:cs="Arial"/>
          <w:sz w:val="18"/>
          <w:szCs w:val="18"/>
          <w:lang w:val="es-CO"/>
        </w:rPr>
      </w:pPr>
      <w:r w:rsidRPr="003C1782">
        <w:rPr>
          <w:rFonts w:ascii="Arial" w:hAnsi="Arial" w:cs="Arial"/>
          <w:sz w:val="18"/>
          <w:szCs w:val="18"/>
          <w:lang w:val="es-CO"/>
        </w:rPr>
        <w:t>»Los pliegos tipo se adoptarán por categorías de acuerdo con la cuantía de la contratación, según la reglamentación que expida el Gobierno nacional».</w:t>
      </w:r>
    </w:p>
    <w:p w14:paraId="645BEF38" w14:textId="77777777" w:rsidR="00206269" w:rsidRPr="003C1782" w:rsidRDefault="00206269" w:rsidP="00206269">
      <w:pPr>
        <w:pStyle w:val="Textonotapie"/>
        <w:ind w:firstLine="709"/>
        <w:jc w:val="both"/>
        <w:rPr>
          <w:rFonts w:ascii="Arial" w:hAnsi="Arial"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90070" w14:textId="77777777" w:rsidR="00AF4209" w:rsidRDefault="00AF4209">
    <w:pPr>
      <w:pStyle w:val="Encabezado"/>
    </w:pPr>
  </w:p>
  <w:p w14:paraId="136C5567" w14:textId="77777777" w:rsidR="008245EB" w:rsidRDefault="008245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44670566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300462686" name="Imagen 30046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8245EB" w:rsidRDefault="008245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7"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0"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19"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0"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6"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11"/>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31"/>
  </w:num>
  <w:num w:numId="7">
    <w:abstractNumId w:val="12"/>
  </w:num>
  <w:num w:numId="8">
    <w:abstractNumId w:val="29"/>
  </w:num>
  <w:num w:numId="9">
    <w:abstractNumId w:val="15"/>
  </w:num>
  <w:num w:numId="10">
    <w:abstractNumId w:val="28"/>
  </w:num>
  <w:num w:numId="11">
    <w:abstractNumId w:val="16"/>
  </w:num>
  <w:num w:numId="12">
    <w:abstractNumId w:val="1"/>
  </w:num>
  <w:num w:numId="13">
    <w:abstractNumId w:val="8"/>
  </w:num>
  <w:num w:numId="14">
    <w:abstractNumId w:val="32"/>
  </w:num>
  <w:num w:numId="15">
    <w:abstractNumId w:val="25"/>
  </w:num>
  <w:num w:numId="16">
    <w:abstractNumId w:val="0"/>
  </w:num>
  <w:num w:numId="17">
    <w:abstractNumId w:val="30"/>
  </w:num>
  <w:num w:numId="18">
    <w:abstractNumId w:val="22"/>
  </w:num>
  <w:num w:numId="19">
    <w:abstractNumId w:val="7"/>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num>
  <w:num w:numId="23">
    <w:abstractNumId w:val="35"/>
  </w:num>
  <w:num w:numId="24">
    <w:abstractNumId w:val="21"/>
  </w:num>
  <w:num w:numId="25">
    <w:abstractNumId w:val="3"/>
  </w:num>
  <w:num w:numId="26">
    <w:abstractNumId w:val="18"/>
  </w:num>
  <w:num w:numId="27">
    <w:abstractNumId w:val="5"/>
  </w:num>
  <w:num w:numId="28">
    <w:abstractNumId w:val="6"/>
  </w:num>
  <w:num w:numId="29">
    <w:abstractNumId w:val="26"/>
  </w:num>
  <w:num w:numId="30">
    <w:abstractNumId w:val="33"/>
  </w:num>
  <w:num w:numId="31">
    <w:abstractNumId w:val="20"/>
  </w:num>
  <w:num w:numId="32">
    <w:abstractNumId w:val="4"/>
  </w:num>
  <w:num w:numId="33">
    <w:abstractNumId w:val="14"/>
  </w:num>
  <w:num w:numId="34">
    <w:abstractNumId w:val="9"/>
  </w:num>
  <w:num w:numId="35">
    <w:abstractNumId w:val="19"/>
  </w:num>
  <w:num w:numId="36">
    <w:abstractNumId w:val="17"/>
  </w:num>
  <w:num w:numId="37">
    <w:abstractNumId w:val="27"/>
  </w:num>
  <w:num w:numId="3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43043"/>
    <w:rsid w:val="0004364F"/>
    <w:rsid w:val="0005032D"/>
    <w:rsid w:val="00052A7F"/>
    <w:rsid w:val="00061B2A"/>
    <w:rsid w:val="00065774"/>
    <w:rsid w:val="000716C3"/>
    <w:rsid w:val="000816DD"/>
    <w:rsid w:val="00082362"/>
    <w:rsid w:val="00091052"/>
    <w:rsid w:val="00097A44"/>
    <w:rsid w:val="000A683E"/>
    <w:rsid w:val="000B19B9"/>
    <w:rsid w:val="000C3898"/>
    <w:rsid w:val="000D0334"/>
    <w:rsid w:val="000F6486"/>
    <w:rsid w:val="00117E40"/>
    <w:rsid w:val="00125105"/>
    <w:rsid w:val="001254C6"/>
    <w:rsid w:val="00127233"/>
    <w:rsid w:val="001318DA"/>
    <w:rsid w:val="0015095D"/>
    <w:rsid w:val="001561D6"/>
    <w:rsid w:val="001572FA"/>
    <w:rsid w:val="001643A7"/>
    <w:rsid w:val="00171AE9"/>
    <w:rsid w:val="00174353"/>
    <w:rsid w:val="001A13C1"/>
    <w:rsid w:val="001B30FC"/>
    <w:rsid w:val="001B7AF4"/>
    <w:rsid w:val="001C4152"/>
    <w:rsid w:val="001D4052"/>
    <w:rsid w:val="001D756C"/>
    <w:rsid w:val="001E4177"/>
    <w:rsid w:val="001E5B16"/>
    <w:rsid w:val="001F0FB2"/>
    <w:rsid w:val="001F6D8D"/>
    <w:rsid w:val="001F7DC6"/>
    <w:rsid w:val="00201766"/>
    <w:rsid w:val="00206269"/>
    <w:rsid w:val="002121EB"/>
    <w:rsid w:val="002221DA"/>
    <w:rsid w:val="00232683"/>
    <w:rsid w:val="002421BB"/>
    <w:rsid w:val="00250743"/>
    <w:rsid w:val="002520F5"/>
    <w:rsid w:val="0025398C"/>
    <w:rsid w:val="0025796E"/>
    <w:rsid w:val="002707A2"/>
    <w:rsid w:val="00272513"/>
    <w:rsid w:val="002933DA"/>
    <w:rsid w:val="002951A0"/>
    <w:rsid w:val="002962BC"/>
    <w:rsid w:val="002A08C5"/>
    <w:rsid w:val="002A093D"/>
    <w:rsid w:val="002A0DD0"/>
    <w:rsid w:val="002A4677"/>
    <w:rsid w:val="002A49AC"/>
    <w:rsid w:val="002A64FD"/>
    <w:rsid w:val="002C7A84"/>
    <w:rsid w:val="002E22F1"/>
    <w:rsid w:val="002E4FD9"/>
    <w:rsid w:val="00306C5A"/>
    <w:rsid w:val="003103F2"/>
    <w:rsid w:val="0031501D"/>
    <w:rsid w:val="00322A85"/>
    <w:rsid w:val="00324168"/>
    <w:rsid w:val="003448F4"/>
    <w:rsid w:val="00355F0B"/>
    <w:rsid w:val="00362EC9"/>
    <w:rsid w:val="0036753A"/>
    <w:rsid w:val="00374F5E"/>
    <w:rsid w:val="00376CD8"/>
    <w:rsid w:val="00377E3E"/>
    <w:rsid w:val="003838FF"/>
    <w:rsid w:val="00391EB2"/>
    <w:rsid w:val="00397E32"/>
    <w:rsid w:val="003A26D1"/>
    <w:rsid w:val="003A2ECF"/>
    <w:rsid w:val="003A779E"/>
    <w:rsid w:val="003C28D0"/>
    <w:rsid w:val="003C3A88"/>
    <w:rsid w:val="003D0F4D"/>
    <w:rsid w:val="003D5B0D"/>
    <w:rsid w:val="003E0499"/>
    <w:rsid w:val="003E41C3"/>
    <w:rsid w:val="003F2418"/>
    <w:rsid w:val="003F3941"/>
    <w:rsid w:val="003F5236"/>
    <w:rsid w:val="00404877"/>
    <w:rsid w:val="00406575"/>
    <w:rsid w:val="00412AC0"/>
    <w:rsid w:val="00426B4E"/>
    <w:rsid w:val="0042722E"/>
    <w:rsid w:val="0043208F"/>
    <w:rsid w:val="004329FD"/>
    <w:rsid w:val="00437B03"/>
    <w:rsid w:val="00440694"/>
    <w:rsid w:val="00442DEF"/>
    <w:rsid w:val="0044528D"/>
    <w:rsid w:val="004470E1"/>
    <w:rsid w:val="0045343A"/>
    <w:rsid w:val="00455FCA"/>
    <w:rsid w:val="00456F45"/>
    <w:rsid w:val="004634BD"/>
    <w:rsid w:val="004735E5"/>
    <w:rsid w:val="00474E5D"/>
    <w:rsid w:val="00491ED8"/>
    <w:rsid w:val="004A1847"/>
    <w:rsid w:val="004A305D"/>
    <w:rsid w:val="004E0A42"/>
    <w:rsid w:val="004F21C4"/>
    <w:rsid w:val="004F685F"/>
    <w:rsid w:val="00521153"/>
    <w:rsid w:val="00540088"/>
    <w:rsid w:val="0055375E"/>
    <w:rsid w:val="005566E8"/>
    <w:rsid w:val="00566D40"/>
    <w:rsid w:val="00574867"/>
    <w:rsid w:val="00574CB1"/>
    <w:rsid w:val="0058374D"/>
    <w:rsid w:val="00591460"/>
    <w:rsid w:val="00592628"/>
    <w:rsid w:val="005C05C9"/>
    <w:rsid w:val="005C1B4D"/>
    <w:rsid w:val="005C3777"/>
    <w:rsid w:val="005C5CDC"/>
    <w:rsid w:val="005C74BA"/>
    <w:rsid w:val="005D2DA6"/>
    <w:rsid w:val="005D476C"/>
    <w:rsid w:val="005D5319"/>
    <w:rsid w:val="005E62E2"/>
    <w:rsid w:val="005F7B58"/>
    <w:rsid w:val="00610812"/>
    <w:rsid w:val="006173C6"/>
    <w:rsid w:val="006219F8"/>
    <w:rsid w:val="00626EA8"/>
    <w:rsid w:val="00650FF7"/>
    <w:rsid w:val="00665D70"/>
    <w:rsid w:val="00670EF2"/>
    <w:rsid w:val="00671DAC"/>
    <w:rsid w:val="00677639"/>
    <w:rsid w:val="006900D9"/>
    <w:rsid w:val="00691D55"/>
    <w:rsid w:val="006A319E"/>
    <w:rsid w:val="006A5AE8"/>
    <w:rsid w:val="006A6837"/>
    <w:rsid w:val="006C5F67"/>
    <w:rsid w:val="006D0268"/>
    <w:rsid w:val="006D12F8"/>
    <w:rsid w:val="006F3640"/>
    <w:rsid w:val="00706C16"/>
    <w:rsid w:val="00712B92"/>
    <w:rsid w:val="00756841"/>
    <w:rsid w:val="007649AB"/>
    <w:rsid w:val="00771D0C"/>
    <w:rsid w:val="00771EEC"/>
    <w:rsid w:val="00775EFA"/>
    <w:rsid w:val="007833AC"/>
    <w:rsid w:val="00783B11"/>
    <w:rsid w:val="00793192"/>
    <w:rsid w:val="007937A8"/>
    <w:rsid w:val="00794660"/>
    <w:rsid w:val="007964E2"/>
    <w:rsid w:val="007A4461"/>
    <w:rsid w:val="007B268C"/>
    <w:rsid w:val="007B7171"/>
    <w:rsid w:val="007C0C0F"/>
    <w:rsid w:val="007C3DC2"/>
    <w:rsid w:val="007D0253"/>
    <w:rsid w:val="007D5768"/>
    <w:rsid w:val="007E5497"/>
    <w:rsid w:val="007F56E0"/>
    <w:rsid w:val="0080518E"/>
    <w:rsid w:val="00806F5F"/>
    <w:rsid w:val="00811ADC"/>
    <w:rsid w:val="00812AE6"/>
    <w:rsid w:val="00820278"/>
    <w:rsid w:val="008245EB"/>
    <w:rsid w:val="00842E01"/>
    <w:rsid w:val="00845A8D"/>
    <w:rsid w:val="00847CCC"/>
    <w:rsid w:val="00851635"/>
    <w:rsid w:val="008677DE"/>
    <w:rsid w:val="008734E3"/>
    <w:rsid w:val="008843B6"/>
    <w:rsid w:val="00891928"/>
    <w:rsid w:val="008A446D"/>
    <w:rsid w:val="008C0A2F"/>
    <w:rsid w:val="008C3E8A"/>
    <w:rsid w:val="008D180B"/>
    <w:rsid w:val="008E712D"/>
    <w:rsid w:val="008F0EA7"/>
    <w:rsid w:val="008F4339"/>
    <w:rsid w:val="008F7D92"/>
    <w:rsid w:val="00903114"/>
    <w:rsid w:val="009143F1"/>
    <w:rsid w:val="00922211"/>
    <w:rsid w:val="00922EAB"/>
    <w:rsid w:val="00923EEF"/>
    <w:rsid w:val="00927F89"/>
    <w:rsid w:val="009419F9"/>
    <w:rsid w:val="00943A3B"/>
    <w:rsid w:val="0095685E"/>
    <w:rsid w:val="00961B09"/>
    <w:rsid w:val="00965334"/>
    <w:rsid w:val="0097093E"/>
    <w:rsid w:val="009A0DFA"/>
    <w:rsid w:val="009B2421"/>
    <w:rsid w:val="009B28FC"/>
    <w:rsid w:val="009B2D26"/>
    <w:rsid w:val="009B3357"/>
    <w:rsid w:val="009C547E"/>
    <w:rsid w:val="009C71FA"/>
    <w:rsid w:val="009C72E7"/>
    <w:rsid w:val="009D05E0"/>
    <w:rsid w:val="009D3058"/>
    <w:rsid w:val="009F1FE3"/>
    <w:rsid w:val="009F3A13"/>
    <w:rsid w:val="00A122D3"/>
    <w:rsid w:val="00A17F13"/>
    <w:rsid w:val="00A20739"/>
    <w:rsid w:val="00A27867"/>
    <w:rsid w:val="00A33C78"/>
    <w:rsid w:val="00A3710E"/>
    <w:rsid w:val="00A42AAE"/>
    <w:rsid w:val="00A519A0"/>
    <w:rsid w:val="00A644E0"/>
    <w:rsid w:val="00A65B78"/>
    <w:rsid w:val="00A80691"/>
    <w:rsid w:val="00A8229A"/>
    <w:rsid w:val="00AA2B1E"/>
    <w:rsid w:val="00AA7047"/>
    <w:rsid w:val="00AB0ADB"/>
    <w:rsid w:val="00AB2AC1"/>
    <w:rsid w:val="00AC0B6D"/>
    <w:rsid w:val="00AC1F25"/>
    <w:rsid w:val="00AD1BDE"/>
    <w:rsid w:val="00AE7B20"/>
    <w:rsid w:val="00AF4209"/>
    <w:rsid w:val="00B01B1A"/>
    <w:rsid w:val="00B05B83"/>
    <w:rsid w:val="00B33517"/>
    <w:rsid w:val="00B44494"/>
    <w:rsid w:val="00B64B94"/>
    <w:rsid w:val="00B72CD3"/>
    <w:rsid w:val="00B72FFF"/>
    <w:rsid w:val="00B75709"/>
    <w:rsid w:val="00B75E24"/>
    <w:rsid w:val="00B96BEA"/>
    <w:rsid w:val="00BA0D07"/>
    <w:rsid w:val="00BC156D"/>
    <w:rsid w:val="00BC3D36"/>
    <w:rsid w:val="00BC4CD4"/>
    <w:rsid w:val="00BD77C4"/>
    <w:rsid w:val="00BD7F72"/>
    <w:rsid w:val="00BE6BAA"/>
    <w:rsid w:val="00C04307"/>
    <w:rsid w:val="00C04FB3"/>
    <w:rsid w:val="00C21782"/>
    <w:rsid w:val="00C259CE"/>
    <w:rsid w:val="00C330EB"/>
    <w:rsid w:val="00C42100"/>
    <w:rsid w:val="00C45B33"/>
    <w:rsid w:val="00C515B6"/>
    <w:rsid w:val="00C6013F"/>
    <w:rsid w:val="00C63E0F"/>
    <w:rsid w:val="00C65533"/>
    <w:rsid w:val="00C754BE"/>
    <w:rsid w:val="00C76B1C"/>
    <w:rsid w:val="00C83C0F"/>
    <w:rsid w:val="00C8442F"/>
    <w:rsid w:val="00C903DE"/>
    <w:rsid w:val="00C90ADE"/>
    <w:rsid w:val="00CA31BC"/>
    <w:rsid w:val="00CB6357"/>
    <w:rsid w:val="00CC02E3"/>
    <w:rsid w:val="00CC1B26"/>
    <w:rsid w:val="00CD5214"/>
    <w:rsid w:val="00D16132"/>
    <w:rsid w:val="00D423A2"/>
    <w:rsid w:val="00D520D8"/>
    <w:rsid w:val="00D56962"/>
    <w:rsid w:val="00D63AC2"/>
    <w:rsid w:val="00D7383B"/>
    <w:rsid w:val="00DA022D"/>
    <w:rsid w:val="00DA231B"/>
    <w:rsid w:val="00DA23A0"/>
    <w:rsid w:val="00DA2CA2"/>
    <w:rsid w:val="00DB29E1"/>
    <w:rsid w:val="00DB7D44"/>
    <w:rsid w:val="00DC2958"/>
    <w:rsid w:val="00DC39FC"/>
    <w:rsid w:val="00DC43BD"/>
    <w:rsid w:val="00DE2464"/>
    <w:rsid w:val="00DE3616"/>
    <w:rsid w:val="00DF0103"/>
    <w:rsid w:val="00DF5254"/>
    <w:rsid w:val="00DF7F54"/>
    <w:rsid w:val="00E005E5"/>
    <w:rsid w:val="00E16408"/>
    <w:rsid w:val="00E20894"/>
    <w:rsid w:val="00E245AB"/>
    <w:rsid w:val="00E2764C"/>
    <w:rsid w:val="00E27F2E"/>
    <w:rsid w:val="00E362C7"/>
    <w:rsid w:val="00E413EA"/>
    <w:rsid w:val="00E41CC9"/>
    <w:rsid w:val="00E447AD"/>
    <w:rsid w:val="00E50AFE"/>
    <w:rsid w:val="00E52602"/>
    <w:rsid w:val="00E56422"/>
    <w:rsid w:val="00E6781E"/>
    <w:rsid w:val="00E7019A"/>
    <w:rsid w:val="00E75C92"/>
    <w:rsid w:val="00E771DC"/>
    <w:rsid w:val="00E845F4"/>
    <w:rsid w:val="00E8671A"/>
    <w:rsid w:val="00E8772A"/>
    <w:rsid w:val="00E90F6B"/>
    <w:rsid w:val="00E92C27"/>
    <w:rsid w:val="00EA0E3D"/>
    <w:rsid w:val="00EA7B0A"/>
    <w:rsid w:val="00EB3CD8"/>
    <w:rsid w:val="00EB7D13"/>
    <w:rsid w:val="00EC38A7"/>
    <w:rsid w:val="00EC4550"/>
    <w:rsid w:val="00ED291B"/>
    <w:rsid w:val="00ED58AB"/>
    <w:rsid w:val="00EE1AA8"/>
    <w:rsid w:val="00EF40D2"/>
    <w:rsid w:val="00EF4E84"/>
    <w:rsid w:val="00F03C4A"/>
    <w:rsid w:val="00F31EDC"/>
    <w:rsid w:val="00F45BF2"/>
    <w:rsid w:val="00F462B3"/>
    <w:rsid w:val="00F5664F"/>
    <w:rsid w:val="00F666C4"/>
    <w:rsid w:val="00F73C01"/>
    <w:rsid w:val="00F76AFC"/>
    <w:rsid w:val="00F81493"/>
    <w:rsid w:val="00F930CF"/>
    <w:rsid w:val="00FA0CF8"/>
    <w:rsid w:val="00FA47C0"/>
    <w:rsid w:val="00FA738A"/>
    <w:rsid w:val="00FB5CB7"/>
    <w:rsid w:val="00FB5DD1"/>
    <w:rsid w:val="00FB67C7"/>
    <w:rsid w:val="00FB76D0"/>
    <w:rsid w:val="00FB7EA8"/>
    <w:rsid w:val="00FC2B5D"/>
    <w:rsid w:val="00FE66BE"/>
    <w:rsid w:val="00FF1449"/>
    <w:rsid w:val="00FF5F98"/>
    <w:rsid w:val="129D4995"/>
    <w:rsid w:val="5CEADB7B"/>
    <w:rsid w:val="648FD0B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110394475">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401871953">
      <w:bodyDiv w:val="1"/>
      <w:marLeft w:val="0"/>
      <w:marRight w:val="0"/>
      <w:marTop w:val="0"/>
      <w:marBottom w:val="0"/>
      <w:divBdr>
        <w:top w:val="none" w:sz="0" w:space="0" w:color="auto"/>
        <w:left w:val="none" w:sz="0" w:space="0" w:color="auto"/>
        <w:bottom w:val="none" w:sz="0" w:space="0" w:color="auto"/>
        <w:right w:val="none" w:sz="0" w:space="0" w:color="auto"/>
      </w:divBdr>
    </w:div>
    <w:div w:id="467433066">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931417">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967474297">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377010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192787794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17030948">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mikedaingenieriasas@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4638744-E6B1-4579-90C0-B7ABBBC15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3694</Words>
  <Characters>20317</Characters>
  <Application>Microsoft Office Word</Application>
  <DocSecurity>0</DocSecurity>
  <Lines>169</Lines>
  <Paragraphs>47</Paragraphs>
  <ScaleCrop>false</ScaleCrop>
  <Company/>
  <LinksUpToDate>false</LinksUpToDate>
  <CharactersWithSpaces>23964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46</cp:revision>
  <cp:lastPrinted>2023-01-10T21:18:00Z</cp:lastPrinted>
  <dcterms:created xsi:type="dcterms:W3CDTF">2024-12-12T15:03:00Z</dcterms:created>
  <dcterms:modified xsi:type="dcterms:W3CDTF">2025-09-22T02:56:00Z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