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24D0C" w14:textId="77777777" w:rsidR="00B33517" w:rsidRDefault="00B33517" w:rsidP="00B33517">
      <w:pPr>
        <w:spacing w:after="0" w:line="240" w:lineRule="auto"/>
        <w:jc w:val="both"/>
        <w:rPr>
          <w:rFonts w:ascii="Verdana" w:eastAsia="Calibri" w:hAnsi="Verdana" w:cs="Arial"/>
          <w:b/>
          <w:bCs/>
          <w:color w:val="000000"/>
          <w:kern w:val="2"/>
          <w14:ligatures w14:val="standardContextual"/>
        </w:rPr>
      </w:pPr>
      <w:bookmarkStart w:id="0" w:name="_Hlk181166130"/>
      <w:bookmarkStart w:id="1" w:name="_Hlk143780582"/>
    </w:p>
    <w:p w14:paraId="30229AA1" w14:textId="77777777" w:rsidR="00B33517" w:rsidRPr="006A09D6" w:rsidRDefault="00B33517" w:rsidP="00B33517">
      <w:pPr>
        <w:spacing w:after="0" w:line="240" w:lineRule="auto"/>
        <w:jc w:val="both"/>
        <w:rPr>
          <w:rFonts w:ascii="Verdana" w:eastAsia="Calibri" w:hAnsi="Verdana" w:cs="Arial"/>
          <w:b/>
          <w:bCs/>
          <w:color w:val="000000"/>
          <w:kern w:val="2"/>
          <w14:ligatures w14:val="standardContextual"/>
        </w:rPr>
      </w:pPr>
      <w:r w:rsidRPr="006A09D6">
        <w:rPr>
          <w:rFonts w:ascii="Verdana" w:eastAsia="Calibri" w:hAnsi="Verdana" w:cs="Arial"/>
          <w:b/>
          <w:bCs/>
          <w:color w:val="000000"/>
          <w:kern w:val="2"/>
          <w14:ligatures w14:val="standardContextual"/>
        </w:rPr>
        <w:t xml:space="preserve">INHABILIDADES E INCOMPATIBILIDADES </w:t>
      </w:r>
      <w:r w:rsidRPr="006A09D6">
        <w:rPr>
          <w:rFonts w:ascii="Verdana" w:eastAsia="Calibri" w:hAnsi="Verdana" w:cs="Arial"/>
          <w:b/>
          <w:color w:val="000000"/>
          <w:kern w:val="2"/>
          <w14:ligatures w14:val="standardContextual"/>
        </w:rPr>
        <w:t>–</w:t>
      </w:r>
      <w:r w:rsidRPr="006A09D6">
        <w:rPr>
          <w:rFonts w:ascii="Verdana" w:eastAsia="Calibri" w:hAnsi="Verdana" w:cs="Arial"/>
          <w:b/>
          <w:bCs/>
          <w:color w:val="000000"/>
          <w:kern w:val="2"/>
          <w14:ligatures w14:val="standardContextual"/>
        </w:rPr>
        <w:t xml:space="preserve"> Concepto </w:t>
      </w:r>
      <w:r w:rsidRPr="006A09D6">
        <w:rPr>
          <w:rFonts w:ascii="Verdana" w:eastAsia="Calibri" w:hAnsi="Verdana" w:cs="Arial"/>
          <w:b/>
          <w:color w:val="000000"/>
          <w:kern w:val="2"/>
          <w14:ligatures w14:val="standardContextual"/>
        </w:rPr>
        <w:t xml:space="preserve">– </w:t>
      </w:r>
      <w:r w:rsidRPr="006A09D6">
        <w:rPr>
          <w:rFonts w:ascii="Verdana" w:eastAsia="Calibri" w:hAnsi="Verdana" w:cs="Arial"/>
          <w:b/>
          <w:bCs/>
          <w:color w:val="000000"/>
          <w:kern w:val="2"/>
          <w14:ligatures w14:val="standardContextual"/>
        </w:rPr>
        <w:t xml:space="preserve">Principio de legalidad </w:t>
      </w:r>
      <w:r w:rsidRPr="006A09D6">
        <w:rPr>
          <w:rFonts w:ascii="Verdana" w:eastAsia="Calibri" w:hAnsi="Verdana" w:cs="Arial"/>
          <w:b/>
          <w:color w:val="000000"/>
          <w:kern w:val="2"/>
          <w14:ligatures w14:val="standardContextual"/>
        </w:rPr>
        <w:t>–</w:t>
      </w:r>
      <w:r w:rsidRPr="006A09D6">
        <w:rPr>
          <w:rFonts w:ascii="Verdana" w:eastAsia="Calibri" w:hAnsi="Verdana" w:cs="Arial"/>
          <w:b/>
          <w:bCs/>
          <w:color w:val="000000"/>
          <w:kern w:val="2"/>
          <w14:ligatures w14:val="standardContextual"/>
        </w:rPr>
        <w:t xml:space="preserve"> Interpretación restrictiva</w:t>
      </w:r>
    </w:p>
    <w:p w14:paraId="3A92E117" w14:textId="77777777" w:rsidR="00B33517" w:rsidRPr="006A09D6" w:rsidRDefault="00B33517" w:rsidP="00B33517">
      <w:pPr>
        <w:spacing w:after="0" w:line="240" w:lineRule="auto"/>
        <w:jc w:val="both"/>
        <w:rPr>
          <w:rFonts w:ascii="Verdana" w:eastAsia="Calibri" w:hAnsi="Verdana" w:cs="Arial"/>
          <w:b/>
          <w:bCs/>
          <w:color w:val="000000"/>
          <w:kern w:val="2"/>
          <w14:ligatures w14:val="standardContextual"/>
        </w:rPr>
      </w:pPr>
    </w:p>
    <w:p w14:paraId="2FD1F796" w14:textId="77777777" w:rsidR="00B33517" w:rsidRPr="006A09D6" w:rsidRDefault="00B33517" w:rsidP="00B33517">
      <w:pPr>
        <w:spacing w:after="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 xml:space="preserve">Las </w:t>
      </w:r>
      <w:r w:rsidRPr="006A09D6">
        <w:rPr>
          <w:rFonts w:ascii="Verdana" w:eastAsia="Calibri" w:hAnsi="Verdana" w:cs="Arial"/>
          <w:i/>
          <w:iCs/>
          <w:color w:val="000000"/>
          <w:kern w:val="2"/>
          <w:sz w:val="20"/>
          <w:szCs w:val="20"/>
          <w14:ligatures w14:val="standardContextual"/>
        </w:rPr>
        <w:t>inhabilidades</w:t>
      </w:r>
      <w:r w:rsidRPr="006A09D6">
        <w:rPr>
          <w:rFonts w:ascii="Verdana" w:eastAsia="Calibri" w:hAnsi="Verdana" w:cs="Arial"/>
          <w:color w:val="000000"/>
          <w:kern w:val="2"/>
          <w:sz w:val="20"/>
          <w:szCs w:val="20"/>
          <w14:ligatures w14:val="standardContextual"/>
        </w:rPr>
        <w:t xml:space="preserve"> son prohibiciones para concurrir a los procedimientos de selección y para contratar con el Estado, que se derivan de:  i) la existencia de comportamientos reprochables o sanciones anteriormente impuestas, ii) vínculos personales relativos al parentesco o al estado civil o iii) una actividad u oficio que se desempeñó en el pasado. De otro lado, las </w:t>
      </w:r>
      <w:r w:rsidRPr="006A09D6">
        <w:rPr>
          <w:rFonts w:ascii="Verdana" w:eastAsia="Calibri" w:hAnsi="Verdana" w:cs="Arial"/>
          <w:i/>
          <w:iCs/>
          <w:color w:val="000000"/>
          <w:kern w:val="2"/>
          <w:sz w:val="20"/>
          <w:szCs w:val="20"/>
          <w14:ligatures w14:val="standardContextual"/>
        </w:rPr>
        <w:t>incompatibilidades</w:t>
      </w:r>
      <w:r w:rsidRPr="006A09D6">
        <w:rPr>
          <w:rFonts w:ascii="Verdana" w:eastAsia="Calibri" w:hAnsi="Verdana" w:cs="Arial"/>
          <w:color w:val="000000"/>
          <w:kern w:val="2"/>
          <w:sz w:val="20"/>
          <w:szCs w:val="20"/>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2514133B" w14:textId="77777777" w:rsidR="00B33517" w:rsidRPr="006A09D6" w:rsidRDefault="00B33517" w:rsidP="00B33517">
      <w:pPr>
        <w:spacing w:after="12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w:t>
      </w:r>
    </w:p>
    <w:p w14:paraId="0E327AD4" w14:textId="77777777" w:rsidR="00B33517" w:rsidRPr="006A09D6" w:rsidRDefault="00B33517" w:rsidP="00B33517">
      <w:pPr>
        <w:spacing w:after="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419ED9ED" w14:textId="77777777" w:rsidR="00B33517" w:rsidRPr="006A09D6" w:rsidRDefault="00B33517" w:rsidP="00B33517">
      <w:pPr>
        <w:spacing w:after="0" w:line="240" w:lineRule="auto"/>
        <w:jc w:val="both"/>
        <w:rPr>
          <w:rFonts w:ascii="Verdana" w:eastAsia="Calibri" w:hAnsi="Verdana" w:cs="Arial"/>
          <w:color w:val="000000"/>
          <w:kern w:val="2"/>
          <w:sz w:val="20"/>
          <w:szCs w:val="20"/>
          <w14:ligatures w14:val="standardContextual"/>
        </w:rPr>
      </w:pPr>
    </w:p>
    <w:p w14:paraId="061B3ACF" w14:textId="77777777" w:rsidR="00B33517" w:rsidRDefault="00B33517" w:rsidP="00B33517">
      <w:pPr>
        <w:spacing w:after="0" w:line="240" w:lineRule="auto"/>
        <w:jc w:val="both"/>
        <w:rPr>
          <w:rFonts w:ascii="Verdana" w:eastAsia="Calibri" w:hAnsi="Verdana" w:cs="Arial"/>
          <w:b/>
          <w:bCs/>
          <w:color w:val="000000"/>
          <w:kern w:val="2"/>
          <w14:ligatures w14:val="standardContextual"/>
        </w:rPr>
      </w:pPr>
      <w:r w:rsidRPr="00E62283">
        <w:rPr>
          <w:rFonts w:ascii="Verdana" w:eastAsia="Calibri" w:hAnsi="Verdana" w:cs="Arial"/>
          <w:b/>
          <w:bCs/>
          <w:color w:val="000000"/>
          <w:kern w:val="2"/>
          <w14:ligatures w14:val="standardContextual"/>
        </w:rPr>
        <w:t>PERSONAS NATURALES – En calidad de representantes legales de compañías constituidas en Colombia – No afecta su capacidad jurídica para contratar</w:t>
      </w:r>
    </w:p>
    <w:p w14:paraId="5DABC547" w14:textId="77777777" w:rsidR="00B33517" w:rsidRPr="00E62283" w:rsidRDefault="00B33517" w:rsidP="00B33517">
      <w:pPr>
        <w:spacing w:after="0" w:line="240" w:lineRule="auto"/>
        <w:jc w:val="both"/>
        <w:rPr>
          <w:rFonts w:ascii="Verdana" w:eastAsia="Calibri" w:hAnsi="Verdana" w:cs="Arial"/>
          <w:b/>
          <w:bCs/>
          <w:color w:val="000000"/>
          <w:kern w:val="2"/>
          <w14:ligatures w14:val="standardContextual"/>
        </w:rPr>
      </w:pPr>
    </w:p>
    <w:p w14:paraId="21BC29D5" w14:textId="77777777" w:rsidR="00B33517" w:rsidRPr="00E62283" w:rsidRDefault="00B33517" w:rsidP="00B33517">
      <w:pPr>
        <w:spacing w:after="0" w:line="240" w:lineRule="auto"/>
        <w:jc w:val="both"/>
        <w:rPr>
          <w:rFonts w:ascii="Verdana" w:eastAsia="Calibri" w:hAnsi="Verdana" w:cs="Arial"/>
          <w:color w:val="000000"/>
          <w:kern w:val="2"/>
          <w:sz w:val="20"/>
          <w:szCs w:val="20"/>
          <w14:ligatures w14:val="standardContextual"/>
        </w:rPr>
      </w:pPr>
      <w:r w:rsidRPr="00E62283">
        <w:rPr>
          <w:rFonts w:ascii="Verdana" w:eastAsia="Calibri" w:hAnsi="Verdana" w:cs="Arial"/>
          <w:color w:val="000000"/>
          <w:kern w:val="2"/>
          <w:sz w:val="20"/>
          <w:szCs w:val="20"/>
          <w14:ligatures w14:val="standardContextual"/>
        </w:rPr>
        <w:t xml:space="preserve">Verificado el régimen de inhabilidades e incompatibilidades contenido en la Ley 80 de 1993, no se identifica alguna causal que limite la capacidad jurídica de aquellas personas naturales que pretendan contratar con el Estado, durante el ejercicio de la representación legal de compañías constituidas en Colombia. </w:t>
      </w:r>
      <w:r w:rsidRPr="008459BA">
        <w:rPr>
          <w:rFonts w:ascii="Verdana" w:eastAsia="Calibri" w:hAnsi="Verdana" w:cs="Arial"/>
          <w:color w:val="000000"/>
          <w:kern w:val="2"/>
          <w:sz w:val="20"/>
          <w:szCs w:val="20"/>
          <w14:ligatures w14:val="standardContextual"/>
        </w:rPr>
        <w:t xml:space="preserve">Sobre todo, cuando en la exposición del supuesto de hecho de la consulta no existen elementos que puedan interpretarse como posibles incompatibilidades o conflictos de intereses que afecten </w:t>
      </w:r>
      <w:r w:rsidRPr="00BC4A88">
        <w:rPr>
          <w:rFonts w:ascii="Verdana" w:eastAsia="Calibri" w:hAnsi="Verdana" w:cs="Arial"/>
          <w:color w:val="000000"/>
          <w:kern w:val="2"/>
          <w:sz w:val="20"/>
          <w:szCs w:val="20"/>
          <w14:ligatures w14:val="standardContextual"/>
        </w:rPr>
        <w:t>la capacidad jurídica de</w:t>
      </w:r>
      <w:r w:rsidRPr="008459BA">
        <w:rPr>
          <w:rFonts w:ascii="Verdana" w:eastAsia="Calibri" w:hAnsi="Verdana" w:cs="Arial"/>
          <w:color w:val="000000"/>
          <w:kern w:val="2"/>
          <w:sz w:val="20"/>
          <w:szCs w:val="20"/>
          <w14:ligatures w14:val="standardContextual"/>
        </w:rPr>
        <w:t xml:space="preserve"> la persona natural que pretenda participar en procesos de selección o suscriba contratos con entidades estatales, al tiempo que ejerce la representación legal de compañías constituidas en Colombia.</w:t>
      </w:r>
    </w:p>
    <w:p w14:paraId="4A9D9F94" w14:textId="77777777" w:rsidR="00B33517" w:rsidRPr="00E62283" w:rsidRDefault="00B33517" w:rsidP="00B33517">
      <w:pPr>
        <w:spacing w:after="0" w:line="240" w:lineRule="auto"/>
        <w:jc w:val="both"/>
        <w:rPr>
          <w:rFonts w:ascii="Verdana" w:eastAsia="Calibri" w:hAnsi="Verdana" w:cs="Arial"/>
          <w:color w:val="000000"/>
          <w:kern w:val="2"/>
          <w:sz w:val="20"/>
          <w:szCs w:val="20"/>
          <w14:ligatures w14:val="standardContextual"/>
        </w:rPr>
      </w:pPr>
    </w:p>
    <w:p w14:paraId="422410DE" w14:textId="77777777" w:rsidR="00B33517" w:rsidRDefault="00B33517" w:rsidP="00B33517">
      <w:pPr>
        <w:spacing w:after="0" w:line="240" w:lineRule="auto"/>
        <w:jc w:val="both"/>
        <w:rPr>
          <w:rFonts w:ascii="Verdana" w:eastAsia="Calibri" w:hAnsi="Verdana" w:cs="Arial"/>
          <w:b/>
          <w:bCs/>
          <w:color w:val="000000"/>
          <w:kern w:val="2"/>
          <w14:ligatures w14:val="standardContextual"/>
        </w:rPr>
      </w:pPr>
    </w:p>
    <w:p w14:paraId="1BFFCA62" w14:textId="787F2E67" w:rsidR="00B33517" w:rsidRDefault="00B33517" w:rsidP="00B33517">
      <w:pPr>
        <w:spacing w:after="0" w:line="240" w:lineRule="auto"/>
        <w:jc w:val="both"/>
        <w:rPr>
          <w:rFonts w:ascii="Verdana" w:eastAsia="Calibri" w:hAnsi="Verdana" w:cs="Arial"/>
          <w:b/>
          <w:bCs/>
          <w:color w:val="000000"/>
          <w:kern w:val="2"/>
          <w14:ligatures w14:val="standardContextual"/>
        </w:rPr>
      </w:pPr>
      <w:r w:rsidRPr="00A90EBB">
        <w:rPr>
          <w:rFonts w:ascii="Verdana" w:eastAsia="Calibri" w:hAnsi="Verdana" w:cs="Arial"/>
          <w:b/>
          <w:bCs/>
          <w:color w:val="000000"/>
          <w:kern w:val="2"/>
          <w14:ligatures w14:val="standardContextual"/>
        </w:rPr>
        <w:lastRenderedPageBreak/>
        <w:t>CONFLICTOS DE INTERES – Verificación de cada caso en concreto</w:t>
      </w:r>
    </w:p>
    <w:p w14:paraId="3F03CE5E" w14:textId="77777777" w:rsidR="00B33517" w:rsidRPr="00A90EBB" w:rsidRDefault="00B33517" w:rsidP="00B33517">
      <w:pPr>
        <w:spacing w:after="0" w:line="240" w:lineRule="auto"/>
        <w:jc w:val="both"/>
        <w:rPr>
          <w:rFonts w:ascii="Verdana" w:eastAsia="Calibri" w:hAnsi="Verdana" w:cs="Arial"/>
          <w:b/>
          <w:bCs/>
          <w:color w:val="000000"/>
          <w:kern w:val="2"/>
          <w14:ligatures w14:val="standardContextual"/>
        </w:rPr>
      </w:pPr>
    </w:p>
    <w:p w14:paraId="1010D1E8" w14:textId="1B5F81E8" w:rsidR="00B33517" w:rsidRPr="00A90EBB" w:rsidRDefault="00B33517" w:rsidP="00B33517">
      <w:pPr>
        <w:spacing w:after="0" w:line="240" w:lineRule="auto"/>
        <w:jc w:val="both"/>
        <w:rPr>
          <w:rFonts w:ascii="Verdana" w:eastAsia="Calibri" w:hAnsi="Verdana" w:cs="Arial"/>
          <w:color w:val="000000"/>
          <w:kern w:val="2"/>
          <w:sz w:val="20"/>
          <w:szCs w:val="20"/>
          <w14:ligatures w14:val="standardContextual"/>
        </w:rPr>
      </w:pPr>
      <w:r w:rsidRPr="00A90EBB">
        <w:rPr>
          <w:rFonts w:ascii="Verdana" w:eastAsia="Calibri" w:hAnsi="Verdana" w:cs="Arial"/>
          <w:color w:val="000000"/>
          <w:kern w:val="2"/>
          <w:sz w:val="20"/>
          <w:szCs w:val="20"/>
          <w14:ligatures w14:val="standardContextual"/>
        </w:rPr>
        <w:t xml:space="preserve">Con todo, es importante señalar que, si bien el supuesto de hecho planteado en la consulta no constituye una inhabilidad per se, debe valorarse cada caso en concreto para descartar posibles conflictos de intereses. Es decir, situaciones en las cuales los intereses personales de alguien se opongan a sus deberes. Puede ser el caso de aquellas personas jurídicas que, luego de celebrar un contrato con una entidad estatal, el representante legal de dicha </w:t>
      </w:r>
      <w:r w:rsidR="00EC4550">
        <w:rPr>
          <w:rFonts w:ascii="Verdana" w:eastAsia="Calibri" w:hAnsi="Verdana" w:cs="Arial"/>
          <w:color w:val="000000"/>
          <w:kern w:val="2"/>
          <w:sz w:val="20"/>
          <w:szCs w:val="20"/>
          <w14:ligatures w14:val="standardContextual"/>
        </w:rPr>
        <w:t>empresa</w:t>
      </w:r>
      <w:r w:rsidRPr="00A90EBB">
        <w:rPr>
          <w:rFonts w:ascii="Verdana" w:eastAsia="Calibri" w:hAnsi="Verdana" w:cs="Arial"/>
          <w:color w:val="000000"/>
          <w:kern w:val="2"/>
          <w:sz w:val="20"/>
          <w:szCs w:val="20"/>
          <w14:ligatures w14:val="standardContextual"/>
        </w:rPr>
        <w:t xml:space="preserve"> celebre a título personal, en calidad de persona natural, otro contrato con la misma entidad estatal, circunstancia que, aunque no se advierte como una inhabilidad o incompatibilidad en particular, sí podría constituir un conflicto de intereses que afecte el cumplimiento de deberes.</w:t>
      </w:r>
    </w:p>
    <w:p w14:paraId="70515804" w14:textId="77777777" w:rsidR="00B33517" w:rsidRDefault="00B33517" w:rsidP="00B33517">
      <w:pPr>
        <w:spacing w:after="0" w:line="240" w:lineRule="auto"/>
        <w:jc w:val="both"/>
        <w:rPr>
          <w:rFonts w:ascii="Verdana" w:eastAsia="Calibri" w:hAnsi="Verdana" w:cs="Arial"/>
          <w:b/>
          <w:color w:val="000000"/>
          <w:kern w:val="2"/>
          <w14:ligatures w14:val="standardContextual"/>
        </w:rPr>
      </w:pPr>
    </w:p>
    <w:p w14:paraId="7BAA8E21" w14:textId="77777777" w:rsidR="00B33517" w:rsidRDefault="00B33517" w:rsidP="00B33517">
      <w:pPr>
        <w:spacing w:after="0" w:line="240" w:lineRule="auto"/>
        <w:jc w:val="both"/>
        <w:rPr>
          <w:rFonts w:ascii="Verdana" w:eastAsia="Calibri" w:hAnsi="Verdana" w:cs="Arial"/>
          <w:b/>
          <w:color w:val="000000"/>
          <w:kern w:val="2"/>
          <w14:ligatures w14:val="standardContextual"/>
        </w:rPr>
      </w:pPr>
    </w:p>
    <w:p w14:paraId="1708B1D4" w14:textId="77777777" w:rsidR="00426B4E" w:rsidRPr="00485E57" w:rsidRDefault="00426B4E" w:rsidP="00C42100">
      <w:pPr>
        <w:spacing w:after="0" w:line="240" w:lineRule="auto"/>
        <w:contextualSpacing/>
        <w:jc w:val="both"/>
        <w:rPr>
          <w:rFonts w:ascii="Verdana" w:eastAsia="Times New Roman" w:hAnsi="Verdana" w:cs="Arial"/>
          <w:lang w:eastAsia="es-CO"/>
        </w:rPr>
      </w:pPr>
    </w:p>
    <w:p w14:paraId="4D012188" w14:textId="77777777" w:rsidR="009143F1" w:rsidRDefault="009143F1" w:rsidP="009143F1">
      <w:pPr>
        <w:spacing w:line="276" w:lineRule="auto"/>
        <w:jc w:val="both"/>
        <w:rPr>
          <w:rFonts w:ascii="Verdana" w:hAnsi="Verdana" w:cs="Arial"/>
          <w:bCs/>
          <w:color w:val="000000" w:themeColor="text1"/>
        </w:rPr>
      </w:pPr>
    </w:p>
    <w:p w14:paraId="63251559" w14:textId="77777777" w:rsidR="009143F1" w:rsidRDefault="009143F1" w:rsidP="009143F1">
      <w:pPr>
        <w:tabs>
          <w:tab w:val="left" w:pos="3374"/>
        </w:tabs>
        <w:jc w:val="both"/>
        <w:rPr>
          <w:rFonts w:ascii="Verdana" w:hAnsi="Verdana" w:cs="Arial"/>
          <w:color w:val="000000" w:themeColor="text1"/>
          <w:lang w:val="es-ES_tradnl"/>
        </w:rPr>
      </w:pPr>
    </w:p>
    <w:p w14:paraId="4E72A5BE" w14:textId="77777777" w:rsidR="00B33517" w:rsidRDefault="00B33517" w:rsidP="009143F1">
      <w:pPr>
        <w:tabs>
          <w:tab w:val="left" w:pos="3374"/>
        </w:tabs>
        <w:jc w:val="both"/>
        <w:rPr>
          <w:rFonts w:ascii="Verdana" w:hAnsi="Verdana" w:cs="Arial"/>
          <w:color w:val="000000" w:themeColor="text1"/>
          <w:lang w:val="es-ES_tradnl"/>
        </w:rPr>
      </w:pPr>
    </w:p>
    <w:p w14:paraId="70EF5570" w14:textId="77777777" w:rsidR="00B33517" w:rsidRDefault="00B33517" w:rsidP="009143F1">
      <w:pPr>
        <w:tabs>
          <w:tab w:val="left" w:pos="3374"/>
        </w:tabs>
        <w:jc w:val="both"/>
        <w:rPr>
          <w:rFonts w:ascii="Verdana" w:hAnsi="Verdana" w:cs="Arial"/>
          <w:color w:val="000000" w:themeColor="text1"/>
          <w:lang w:val="es-ES_tradnl"/>
        </w:rPr>
      </w:pPr>
    </w:p>
    <w:p w14:paraId="29782049" w14:textId="77777777" w:rsidR="00B33517" w:rsidRDefault="00B33517" w:rsidP="009143F1">
      <w:pPr>
        <w:tabs>
          <w:tab w:val="left" w:pos="3374"/>
        </w:tabs>
        <w:jc w:val="both"/>
        <w:rPr>
          <w:rFonts w:ascii="Verdana" w:hAnsi="Verdana" w:cs="Arial"/>
          <w:color w:val="000000" w:themeColor="text1"/>
          <w:lang w:val="es-ES_tradnl"/>
        </w:rPr>
      </w:pPr>
    </w:p>
    <w:p w14:paraId="147938F9" w14:textId="77777777" w:rsidR="00B33517" w:rsidRDefault="00B33517" w:rsidP="009143F1">
      <w:pPr>
        <w:tabs>
          <w:tab w:val="left" w:pos="3374"/>
        </w:tabs>
        <w:jc w:val="both"/>
        <w:rPr>
          <w:rFonts w:ascii="Verdana" w:hAnsi="Verdana" w:cs="Arial"/>
          <w:color w:val="000000" w:themeColor="text1"/>
          <w:lang w:val="es-ES_tradnl"/>
        </w:rPr>
      </w:pPr>
    </w:p>
    <w:p w14:paraId="467D2D05" w14:textId="77777777" w:rsidR="00B33517" w:rsidRDefault="00B33517" w:rsidP="009143F1">
      <w:pPr>
        <w:tabs>
          <w:tab w:val="left" w:pos="3374"/>
        </w:tabs>
        <w:jc w:val="both"/>
        <w:rPr>
          <w:rFonts w:ascii="Verdana" w:hAnsi="Verdana" w:cs="Arial"/>
          <w:color w:val="000000" w:themeColor="text1"/>
          <w:lang w:val="es-ES_tradnl"/>
        </w:rPr>
      </w:pPr>
    </w:p>
    <w:p w14:paraId="468678AC" w14:textId="77777777" w:rsidR="00B33517" w:rsidRDefault="00B33517" w:rsidP="009143F1">
      <w:pPr>
        <w:tabs>
          <w:tab w:val="left" w:pos="3374"/>
        </w:tabs>
        <w:jc w:val="both"/>
        <w:rPr>
          <w:rFonts w:ascii="Verdana" w:hAnsi="Verdana" w:cs="Arial"/>
          <w:color w:val="000000" w:themeColor="text1"/>
          <w:lang w:val="es-ES_tradnl"/>
        </w:rPr>
      </w:pPr>
    </w:p>
    <w:p w14:paraId="64D679C0" w14:textId="77777777" w:rsidR="00B33517" w:rsidRDefault="00B33517" w:rsidP="009143F1">
      <w:pPr>
        <w:tabs>
          <w:tab w:val="left" w:pos="3374"/>
        </w:tabs>
        <w:jc w:val="both"/>
        <w:rPr>
          <w:rFonts w:ascii="Verdana" w:hAnsi="Verdana" w:cs="Arial"/>
          <w:color w:val="000000" w:themeColor="text1"/>
          <w:lang w:val="es-ES_tradnl"/>
        </w:rPr>
      </w:pPr>
    </w:p>
    <w:p w14:paraId="7395DF81" w14:textId="77777777" w:rsidR="00B33517" w:rsidRDefault="00B33517" w:rsidP="009143F1">
      <w:pPr>
        <w:tabs>
          <w:tab w:val="left" w:pos="3374"/>
        </w:tabs>
        <w:jc w:val="both"/>
        <w:rPr>
          <w:rFonts w:ascii="Verdana" w:hAnsi="Verdana" w:cs="Arial"/>
          <w:color w:val="000000" w:themeColor="text1"/>
          <w:lang w:val="es-ES_tradnl"/>
        </w:rPr>
      </w:pPr>
    </w:p>
    <w:p w14:paraId="08F7DEB8" w14:textId="77777777" w:rsidR="00B33517" w:rsidRDefault="00B33517" w:rsidP="009143F1">
      <w:pPr>
        <w:tabs>
          <w:tab w:val="left" w:pos="3374"/>
        </w:tabs>
        <w:jc w:val="both"/>
        <w:rPr>
          <w:rFonts w:ascii="Verdana" w:hAnsi="Verdana" w:cs="Arial"/>
          <w:color w:val="000000" w:themeColor="text1"/>
          <w:lang w:val="es-ES_tradnl"/>
        </w:rPr>
      </w:pPr>
    </w:p>
    <w:p w14:paraId="215C5809" w14:textId="77777777" w:rsidR="00B33517" w:rsidRDefault="00B33517" w:rsidP="009143F1">
      <w:pPr>
        <w:tabs>
          <w:tab w:val="left" w:pos="3374"/>
        </w:tabs>
        <w:jc w:val="both"/>
        <w:rPr>
          <w:rFonts w:ascii="Verdana" w:hAnsi="Verdana" w:cs="Arial"/>
          <w:color w:val="000000" w:themeColor="text1"/>
          <w:lang w:val="es-ES_tradnl"/>
        </w:rPr>
      </w:pPr>
    </w:p>
    <w:p w14:paraId="109B0A7A" w14:textId="77777777" w:rsidR="00B33517" w:rsidRDefault="00B33517" w:rsidP="009143F1">
      <w:pPr>
        <w:tabs>
          <w:tab w:val="left" w:pos="3374"/>
        </w:tabs>
        <w:jc w:val="both"/>
        <w:rPr>
          <w:rFonts w:ascii="Verdana" w:hAnsi="Verdana" w:cs="Arial"/>
          <w:color w:val="000000" w:themeColor="text1"/>
          <w:lang w:val="es-ES_tradnl"/>
        </w:rPr>
      </w:pPr>
    </w:p>
    <w:p w14:paraId="3BBCBD7E" w14:textId="77777777" w:rsidR="009143F1" w:rsidRDefault="009143F1" w:rsidP="009143F1">
      <w:pPr>
        <w:tabs>
          <w:tab w:val="left" w:pos="3374"/>
        </w:tabs>
        <w:jc w:val="both"/>
        <w:rPr>
          <w:rFonts w:ascii="Verdana" w:hAnsi="Verdana" w:cs="Arial"/>
          <w:color w:val="000000" w:themeColor="text1"/>
          <w:lang w:val="es-ES_tradnl"/>
        </w:rPr>
      </w:pPr>
    </w:p>
    <w:p w14:paraId="7F384CCC" w14:textId="1B647DED" w:rsidR="007D5768" w:rsidRDefault="007D5768" w:rsidP="007D5768">
      <w:pPr>
        <w:spacing w:after="0"/>
        <w:rPr>
          <w:rFonts w:ascii="Verdana" w:hAnsi="Verdana"/>
        </w:rPr>
      </w:pPr>
      <w:r w:rsidRPr="0044528D">
        <w:rPr>
          <w:rFonts w:ascii="Verdana" w:hAnsi="Verdana"/>
        </w:rPr>
        <w:lastRenderedPageBreak/>
        <w:t xml:space="preserve">Bogotá D.C., </w:t>
      </w:r>
      <w:r w:rsidR="0006733B">
        <w:rPr>
          <w:rFonts w:ascii="Verdana" w:hAnsi="Verdana"/>
        </w:rPr>
        <w:t>19 de marzo de 2025.</w:t>
      </w:r>
    </w:p>
    <w:p w14:paraId="1673010F" w14:textId="77777777" w:rsidR="007D5768" w:rsidRDefault="007D5768" w:rsidP="007D5768">
      <w:pPr>
        <w:spacing w:after="0"/>
        <w:rPr>
          <w:rFonts w:ascii="Verdana" w:hAnsi="Verdana"/>
        </w:rPr>
      </w:pPr>
      <w:bookmarkStart w:id="2" w:name="_Hlk180638295"/>
      <w:bookmarkEnd w:id="0"/>
    </w:p>
    <w:p w14:paraId="54FC63A1" w14:textId="37E4B908" w:rsidR="007D5768" w:rsidRPr="005E62E2" w:rsidRDefault="007D5768" w:rsidP="007D5768">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00ED58AB" w:rsidRPr="005E62E2">
        <w:rPr>
          <w:rFonts w:ascii="Verdana" w:eastAsia="Calibri" w:hAnsi="Verdana" w:cs="Arial"/>
          <w:lang w:eastAsia="es-ES"/>
        </w:rPr>
        <w:t>a</w:t>
      </w:r>
      <w:r w:rsidR="003A2ECF" w:rsidRPr="005E62E2">
        <w:rPr>
          <w:rFonts w:ascii="Verdana" w:eastAsia="Calibri" w:hAnsi="Verdana" w:cs="Arial"/>
          <w:lang w:eastAsia="es-ES"/>
        </w:rPr>
        <w:tab/>
      </w:r>
    </w:p>
    <w:p w14:paraId="7719F98D" w14:textId="598D2477" w:rsidR="00EF4E84" w:rsidRPr="005E62E2" w:rsidRDefault="00FB76D0" w:rsidP="00EF4E84">
      <w:pPr>
        <w:spacing w:after="0" w:line="240" w:lineRule="auto"/>
        <w:jc w:val="both"/>
        <w:rPr>
          <w:rFonts w:ascii="Verdana" w:eastAsia="Calibri" w:hAnsi="Verdana" w:cs="Arial"/>
          <w:b/>
          <w:bCs/>
          <w:color w:val="000000"/>
          <w:lang w:eastAsia="es-ES_tradnl"/>
        </w:rPr>
      </w:pPr>
      <w:r w:rsidRPr="005E62E2">
        <w:rPr>
          <w:rFonts w:ascii="Verdana" w:eastAsia="Calibri" w:hAnsi="Verdana" w:cs="Arial"/>
          <w:b/>
          <w:bCs/>
          <w:color w:val="000000"/>
          <w:lang w:eastAsia="es-ES_tradnl"/>
        </w:rPr>
        <w:t>LAURA YESENIA VILLAMIZAR VERA</w:t>
      </w:r>
    </w:p>
    <w:p w14:paraId="5D92203E" w14:textId="2D04E397" w:rsidR="005E62E2" w:rsidRPr="005E62E2" w:rsidRDefault="00AE7522" w:rsidP="007D5768">
      <w:pPr>
        <w:spacing w:after="0" w:line="240" w:lineRule="auto"/>
        <w:rPr>
          <w:rFonts w:ascii="Verdana" w:hAnsi="Verdana"/>
        </w:rPr>
      </w:pPr>
      <w:hyperlink r:id="rId11" w:history="1">
        <w:r w:rsidR="005E62E2" w:rsidRPr="005E62E2">
          <w:rPr>
            <w:rStyle w:val="Hipervnculo"/>
            <w:rFonts w:ascii="Verdana" w:hAnsi="Verdana"/>
          </w:rPr>
          <w:t>abogadalauravillamizar@gmail.com</w:t>
        </w:r>
      </w:hyperlink>
    </w:p>
    <w:p w14:paraId="4E77D58E" w14:textId="738D0908" w:rsidR="00C63E0F" w:rsidRPr="005E62E2" w:rsidRDefault="005E62E2" w:rsidP="007D5768">
      <w:pPr>
        <w:spacing w:after="0" w:line="240" w:lineRule="auto"/>
        <w:rPr>
          <w:rFonts w:ascii="Verdana" w:hAnsi="Verdana"/>
        </w:rPr>
      </w:pPr>
      <w:r w:rsidRPr="005E62E2">
        <w:rPr>
          <w:rFonts w:ascii="Verdana" w:hAnsi="Verdana"/>
        </w:rPr>
        <w:t>Málaga (Santander)</w:t>
      </w:r>
    </w:p>
    <w:p w14:paraId="70547B69" w14:textId="77777777" w:rsidR="003A2ECF" w:rsidRDefault="003A2ECF" w:rsidP="007D5768">
      <w:pPr>
        <w:spacing w:after="0" w:line="240" w:lineRule="auto"/>
        <w:rPr>
          <w:rFonts w:ascii="Verdana" w:eastAsia="Calibri" w:hAnsi="Verdana" w:cs="Arial"/>
          <w:b/>
          <w:bCs/>
          <w:color w:val="000000"/>
          <w:lang w:val="es-ES_tradnl" w:eastAsia="es-ES_tradnl"/>
        </w:rPr>
      </w:pPr>
    </w:p>
    <w:p w14:paraId="4E060AE6" w14:textId="6BCBA4CB" w:rsidR="00AA2B1E" w:rsidRDefault="0006733B" w:rsidP="0006733B">
      <w:pPr>
        <w:spacing w:after="0" w:line="240" w:lineRule="auto"/>
        <w:jc w:val="right"/>
        <w:rPr>
          <w:rFonts w:ascii="Verdana" w:eastAsia="Calibri" w:hAnsi="Verdana" w:cs="Arial"/>
          <w:b/>
          <w:bCs/>
          <w:color w:val="000000"/>
          <w:lang w:val="es-ES_tradnl" w:eastAsia="es-ES_tradnl"/>
        </w:rPr>
      </w:pPr>
      <w:r>
        <w:rPr>
          <w:rFonts w:ascii="Verdana" w:eastAsia="Calibri" w:hAnsi="Verdana" w:cs="Arial"/>
          <w:b/>
          <w:bCs/>
          <w:noProof/>
          <w:color w:val="000000"/>
          <w:lang w:val="es-ES_tradnl" w:eastAsia="es-ES_tradnl"/>
        </w:rPr>
        <w:drawing>
          <wp:inline distT="0" distB="0" distL="0" distR="0" wp14:anchorId="0BF5FF14" wp14:editId="60064681">
            <wp:extent cx="2752725" cy="828675"/>
            <wp:effectExtent l="0" t="0" r="9525" b="9525"/>
            <wp:docPr id="14492838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52725" cy="828675"/>
                    </a:xfrm>
                    <a:prstGeom prst="rect">
                      <a:avLst/>
                    </a:prstGeom>
                    <a:noFill/>
                    <a:ln>
                      <a:noFill/>
                    </a:ln>
                  </pic:spPr>
                </pic:pic>
              </a:graphicData>
            </a:graphic>
          </wp:inline>
        </w:drawing>
      </w:r>
    </w:p>
    <w:p w14:paraId="03063642" w14:textId="77777777" w:rsidR="0006733B" w:rsidRDefault="0006733B" w:rsidP="007D5768">
      <w:pPr>
        <w:spacing w:after="0" w:line="240" w:lineRule="auto"/>
        <w:rPr>
          <w:rFonts w:ascii="Verdana" w:eastAsia="Calibri" w:hAnsi="Verdana" w:cs="Arial"/>
          <w:b/>
          <w:bCs/>
          <w:color w:val="000000"/>
          <w:lang w:val="es-ES_tradnl" w:eastAsia="es-ES_tradnl"/>
        </w:rPr>
      </w:pPr>
    </w:p>
    <w:p w14:paraId="0DF403E0" w14:textId="77777777" w:rsidR="0006733B" w:rsidRPr="00593A5F" w:rsidRDefault="0006733B"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6B8A5FC8">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699DDC2D" w:rsidR="007D5768" w:rsidRPr="00E5644F" w:rsidRDefault="007D5768" w:rsidP="00E1079D">
            <w:pPr>
              <w:jc w:val="both"/>
              <w:rPr>
                <w:rFonts w:ascii="Verdana" w:eastAsia="Calibri" w:hAnsi="Verdana" w:cs="Arial"/>
                <w:b/>
                <w:bCs/>
                <w:color w:val="7030A0"/>
                <w:lang w:val="es-ES" w:eastAsia="es-ES"/>
              </w:rPr>
            </w:pPr>
            <w:r w:rsidRPr="6B8A5FC8">
              <w:rPr>
                <w:rFonts w:ascii="Verdana" w:eastAsia="Calibri" w:hAnsi="Verdana" w:cs="Arial"/>
                <w:b/>
                <w:bCs/>
                <w:lang w:val="es-ES" w:eastAsia="es-ES"/>
              </w:rPr>
              <w:t xml:space="preserve">Concepto C- </w:t>
            </w:r>
            <w:r w:rsidR="00960349">
              <w:rPr>
                <w:rFonts w:ascii="Verdana" w:eastAsia="Calibri" w:hAnsi="Verdana" w:cs="Arial"/>
                <w:b/>
                <w:bCs/>
                <w:lang w:val="es-ES" w:eastAsia="es-ES"/>
              </w:rPr>
              <w:t>229</w:t>
            </w:r>
            <w:r w:rsidRPr="6B8A5FC8">
              <w:rPr>
                <w:rFonts w:ascii="Verdana" w:eastAsia="Calibri" w:hAnsi="Verdana" w:cs="Arial"/>
                <w:b/>
                <w:bCs/>
                <w:lang w:val="es-ES" w:eastAsia="es-ES"/>
              </w:rPr>
              <w:t xml:space="preserve"> de 202</w:t>
            </w:r>
            <w:r w:rsidR="00FB76D0" w:rsidRPr="6B8A5FC8">
              <w:rPr>
                <w:rFonts w:ascii="Verdana" w:eastAsia="Calibri" w:hAnsi="Verdana" w:cs="Arial"/>
                <w:b/>
                <w:bCs/>
                <w:lang w:val="es-ES" w:eastAsia="es-ES"/>
              </w:rPr>
              <w:t>5</w:t>
            </w:r>
          </w:p>
        </w:tc>
      </w:tr>
      <w:tr w:rsidR="003F2418" w:rsidRPr="00593A5F" w14:paraId="0E5838A4" w14:textId="77777777" w:rsidTr="6B8A5FC8">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642E5C0A" w14:textId="24693BE4" w:rsidR="005E62E2" w:rsidRPr="005E62E2" w:rsidRDefault="00EC4550" w:rsidP="005E62E2">
            <w:pPr>
              <w:tabs>
                <w:tab w:val="left" w:pos="0"/>
              </w:tabs>
              <w:spacing w:line="276" w:lineRule="auto"/>
              <w:jc w:val="both"/>
              <w:rPr>
                <w:rFonts w:ascii="Verdana" w:eastAsia="Calibri" w:hAnsi="Verdana" w:cs="Arial"/>
                <w:lang w:val="es-ES"/>
              </w:rPr>
            </w:pPr>
            <w:r w:rsidRPr="00E31955">
              <w:rPr>
                <w:rFonts w:ascii="Verdana" w:eastAsia="Times New Roman" w:hAnsi="Verdana" w:cs="Arial"/>
                <w:lang w:eastAsia="es-ES_tradnl"/>
              </w:rPr>
              <w:t>INHABILIDADES E INCOMPATIBILIDADES – Concepto – Principio de legalidad – Interpretación restrictiva</w:t>
            </w:r>
            <w:r>
              <w:rPr>
                <w:rFonts w:ascii="Verdana" w:eastAsia="Times New Roman" w:hAnsi="Verdana" w:cs="Arial"/>
                <w:lang w:eastAsia="es-ES_tradnl"/>
              </w:rPr>
              <w:t xml:space="preserve"> / PERSONAS NATURALES – En calidad de representantes legales de compañías constituidas en Colombia – No afecta su capacidad jurídica para contratar / CONFLICTOS DE INTERES – Verificación de cada caso en concreto</w:t>
            </w:r>
            <w:r w:rsidR="005E62E2" w:rsidRPr="005E62E2">
              <w:rPr>
                <w:rFonts w:ascii="Verdana" w:hAnsi="Verdana" w:cs="Arial"/>
                <w:lang w:val="es-ES" w:eastAsia="es-ES"/>
              </w:rPr>
              <w:t>.</w:t>
            </w:r>
          </w:p>
          <w:p w14:paraId="62C72EB8" w14:textId="5DD5E4AE" w:rsidR="003F2418" w:rsidRPr="00EF4E84" w:rsidRDefault="003F2418" w:rsidP="003F2418">
            <w:pPr>
              <w:spacing w:line="276" w:lineRule="auto"/>
              <w:jc w:val="both"/>
              <w:rPr>
                <w:rFonts w:ascii="Verdana" w:eastAsia="Calibri" w:hAnsi="Verdana" w:cs="Arial"/>
                <w:highlight w:val="yellow"/>
                <w:lang w:val="es-ES" w:eastAsia="es-ES"/>
              </w:rPr>
            </w:pPr>
            <w:r w:rsidRPr="00EF4E84">
              <w:rPr>
                <w:rFonts w:ascii="Verdana" w:hAnsi="Verdana" w:cs="Arial"/>
                <w:highlight w:val="yellow"/>
                <w:lang w:val="es-ES" w:eastAsia="es-ES"/>
              </w:rPr>
              <w:t xml:space="preserve">  </w:t>
            </w:r>
          </w:p>
        </w:tc>
      </w:tr>
      <w:tr w:rsidR="003F2418" w:rsidRPr="00593A5F" w14:paraId="09936C6F" w14:textId="77777777" w:rsidTr="6B8A5FC8">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20436F76"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04364F" w:rsidRPr="0004364F">
              <w:rPr>
                <w:rFonts w:ascii="Verdana" w:eastAsia="Calibri" w:hAnsi="Verdana" w:cs="Arial"/>
                <w:lang w:val="es-ES_tradnl" w:eastAsia="es-ES_tradnl"/>
              </w:rPr>
              <w:t>P20250212001305</w:t>
            </w:r>
          </w:p>
        </w:tc>
      </w:tr>
      <w:tr w:rsidR="003F2418" w:rsidRPr="00DB23D2" w14:paraId="3D69289B" w14:textId="77777777" w:rsidTr="6B8A5FC8">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13F2AA59"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EF4E84">
        <w:rPr>
          <w:rFonts w:ascii="Verdana" w:eastAsia="Calibri" w:hAnsi="Verdana" w:cs="Arial"/>
          <w:lang w:val="es-ES" w:eastAsia="es-ES"/>
        </w:rPr>
        <w:t xml:space="preserve">a </w:t>
      </w:r>
      <w:r w:rsidRPr="006730E9">
        <w:rPr>
          <w:rFonts w:ascii="Verdana" w:eastAsia="Calibri" w:hAnsi="Verdana" w:cs="Arial"/>
          <w:lang w:val="es-ES" w:eastAsia="es-ES"/>
        </w:rPr>
        <w:t>señor</w:t>
      </w:r>
      <w:r w:rsidR="00EF4E84">
        <w:rPr>
          <w:rFonts w:ascii="Verdana" w:eastAsia="Calibri" w:hAnsi="Verdana" w:cs="Arial"/>
          <w:lang w:val="es-ES" w:eastAsia="es-ES"/>
        </w:rPr>
        <w:t xml:space="preserve">a </w:t>
      </w:r>
      <w:r w:rsidR="005E62E2">
        <w:rPr>
          <w:rFonts w:ascii="Verdana" w:eastAsia="Calibri" w:hAnsi="Verdana" w:cs="Arial"/>
          <w:lang w:val="es-ES" w:eastAsia="es-ES"/>
        </w:rPr>
        <w:t>Villamizar</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6EDDF6CE"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w:t>
      </w:r>
      <w:r w:rsidR="00ED58AB">
        <w:rPr>
          <w:rFonts w:ascii="Verdana" w:eastAsia="Calibri" w:hAnsi="Verdana" w:cs="Arial"/>
          <w:lang w:val="es-ES" w:eastAsia="es-ES"/>
        </w:rPr>
        <w:t xml:space="preserve">trasladada por competencia por el Departamento Administrativo de la </w:t>
      </w:r>
      <w:r w:rsidR="00ED58AB">
        <w:rPr>
          <w:rFonts w:ascii="Verdana" w:eastAsia="Calibri" w:hAnsi="Verdana" w:cs="Arial"/>
          <w:lang w:val="es-ES" w:eastAsia="es-ES"/>
        </w:rPr>
        <w:lastRenderedPageBreak/>
        <w:t xml:space="preserve">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F4E84">
        <w:rPr>
          <w:rFonts w:ascii="Verdana" w:eastAsia="Calibri" w:hAnsi="Verdana" w:cs="Arial"/>
          <w:lang w:val="es-ES" w:eastAsia="es-ES"/>
        </w:rPr>
        <w:t>1</w:t>
      </w:r>
      <w:r w:rsidR="00ED58AB">
        <w:rPr>
          <w:rFonts w:ascii="Verdana" w:eastAsia="Calibri" w:hAnsi="Verdana" w:cs="Arial"/>
          <w:lang w:val="es-ES" w:eastAsia="es-ES"/>
        </w:rPr>
        <w:t>8</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043043">
        <w:rPr>
          <w:rFonts w:ascii="Verdana" w:eastAsia="Calibri" w:hAnsi="Verdana" w:cs="Arial"/>
          <w:lang w:val="es-ES" w:eastAsia="es-ES"/>
        </w:rPr>
        <w:t>diciembre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409F5F76" w14:textId="064AB7FD" w:rsidR="00EF4E84" w:rsidRPr="00FB76D0" w:rsidRDefault="00E6781E" w:rsidP="00FB76D0">
      <w:pPr>
        <w:pStyle w:val="Prrafodelista"/>
        <w:tabs>
          <w:tab w:val="left" w:pos="142"/>
          <w:tab w:val="left" w:pos="284"/>
        </w:tabs>
        <w:ind w:left="709" w:right="709"/>
        <w:jc w:val="both"/>
        <w:rPr>
          <w:rFonts w:ascii="Verdana" w:eastAsia="Century Gothic" w:hAnsi="Verdana" w:cs="Century Gothic"/>
          <w:i/>
          <w:iCs/>
          <w:lang w:val="es-CO"/>
        </w:rPr>
      </w:pPr>
      <w:r w:rsidRPr="00FB76D0">
        <w:rPr>
          <w:rFonts w:ascii="Verdana" w:eastAsia="Century Gothic" w:hAnsi="Verdana" w:cs="Century Gothic"/>
          <w:i/>
          <w:iCs/>
          <w:lang w:val="es-CO"/>
        </w:rPr>
        <w:t>“</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cuento con la calidad de contratista de una alcaldía, mi contrato es de prestación de servicios</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 xml:space="preserve">profesionales y el objeto es asesorar administrativamente al despacho; sin </w:t>
      </w:r>
      <w:r w:rsidR="005E62E2" w:rsidRPr="00FB76D0">
        <w:rPr>
          <w:rFonts w:ascii="Verdana" w:eastAsia="Century Gothic" w:hAnsi="Verdana" w:cs="Century Gothic"/>
          <w:i/>
          <w:iCs/>
          <w:lang w:val="es-CO"/>
        </w:rPr>
        <w:t>embargo,</w:t>
      </w:r>
      <w:r w:rsidR="00FB76D0" w:rsidRPr="00FB76D0">
        <w:rPr>
          <w:rFonts w:ascii="Verdana" w:eastAsia="Century Gothic" w:hAnsi="Verdana" w:cs="Century Gothic"/>
          <w:i/>
          <w:iCs/>
          <w:lang w:val="es-CO"/>
        </w:rPr>
        <w:t xml:space="preserve"> me quiero presentar</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con mi empresa a una subasta inversa, en el mismo municipio y alcaldía en la que trabajo. ¿Me encuentro</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inhabilitada, para presentarme como persona jurídica a un proceso de licitación en la misma alcaldía</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donde presto mis servicios profesionales ? o ¿puedo presentarme y declararme frente al asunto</w:t>
      </w:r>
      <w:r w:rsidR="00FB76D0">
        <w:rPr>
          <w:rFonts w:ascii="Verdana" w:eastAsia="Century Gothic" w:hAnsi="Verdana" w:cs="Century Gothic"/>
          <w:i/>
          <w:iCs/>
          <w:lang w:val="es-CO"/>
        </w:rPr>
        <w:t xml:space="preserve"> </w:t>
      </w:r>
      <w:r w:rsidR="00FB76D0" w:rsidRPr="00FB76D0">
        <w:rPr>
          <w:rFonts w:ascii="Verdana" w:eastAsia="Century Gothic" w:hAnsi="Verdana" w:cs="Century Gothic"/>
          <w:i/>
          <w:iCs/>
          <w:lang w:val="es-CO"/>
        </w:rPr>
        <w:t>impedida por conflicto de intereses?</w:t>
      </w:r>
      <w:r w:rsidR="00EF4E84" w:rsidRPr="00FB76D0">
        <w:rPr>
          <w:rFonts w:ascii="Verdana" w:eastAsia="Century Gothic" w:hAnsi="Verdana" w:cs="Century Gothic"/>
          <w:i/>
          <w:iCs/>
          <w:lang w:val="es-CO"/>
        </w:rPr>
        <w:t>”.</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77777777"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699821C4" w14:textId="65011A52" w:rsidR="001561D6" w:rsidRDefault="007D5768" w:rsidP="001561D6">
      <w:pPr>
        <w:pStyle w:val="Prrafodelista"/>
        <w:ind w:left="0" w:right="49"/>
        <w:jc w:val="both"/>
        <w:rPr>
          <w:rFonts w:ascii="Verdana" w:eastAsia="Century Gothic" w:hAnsi="Verdana" w:cs="Century Gothic"/>
          <w:i/>
          <w:iCs/>
        </w:rPr>
      </w:pPr>
      <w:r w:rsidRPr="00B22D91">
        <w:rPr>
          <w:rFonts w:ascii="Verdana" w:eastAsia="Century Gothic" w:hAnsi="Verdana" w:cs="Century Gothic"/>
        </w:rPr>
        <w:t xml:space="preserve">De acuerdo con el contenido de su solicitud, esta Agencia resolverá </w:t>
      </w:r>
      <w:r w:rsidR="00ED291B">
        <w:rPr>
          <w:rFonts w:ascii="Verdana" w:eastAsia="Century Gothic" w:hAnsi="Verdana" w:cs="Century Gothic"/>
        </w:rPr>
        <w:t xml:space="preserve">el </w:t>
      </w:r>
      <w:r>
        <w:rPr>
          <w:rFonts w:ascii="Verdana" w:eastAsia="Century Gothic" w:hAnsi="Verdana" w:cs="Century Gothic"/>
        </w:rPr>
        <w:t xml:space="preserve">siguiente </w:t>
      </w:r>
      <w:r w:rsidRPr="00B22D91">
        <w:rPr>
          <w:rFonts w:ascii="Verdana" w:eastAsia="Century Gothic" w:hAnsi="Verdana" w:cs="Century Gothic"/>
        </w:rPr>
        <w:t>problema jurídico</w:t>
      </w:r>
      <w:r w:rsidR="005F7B58">
        <w:rPr>
          <w:rFonts w:ascii="Verdana" w:eastAsia="Century Gothic" w:hAnsi="Verdana" w:cs="Century Gothic"/>
        </w:rPr>
        <w:t>s</w:t>
      </w:r>
      <w:r w:rsidRPr="00B22D91">
        <w:rPr>
          <w:rFonts w:ascii="Verdana" w:eastAsia="Century Gothic" w:hAnsi="Verdana" w:cs="Century Gothic"/>
        </w:rPr>
        <w:t>:</w:t>
      </w:r>
      <w:r w:rsidR="003103F2">
        <w:rPr>
          <w:rFonts w:ascii="Verdana" w:eastAsia="Century Gothic" w:hAnsi="Verdana" w:cs="Century Gothic"/>
        </w:rPr>
        <w:t xml:space="preserve"> </w:t>
      </w:r>
      <w:r w:rsidR="001561D6" w:rsidRPr="00F365E7">
        <w:rPr>
          <w:rFonts w:ascii="Verdana" w:eastAsia="Century Gothic" w:hAnsi="Verdana" w:cs="Century Gothic"/>
          <w:i/>
          <w:iCs/>
        </w:rPr>
        <w:t>¿</w:t>
      </w:r>
      <w:r w:rsidR="00FB76D0">
        <w:rPr>
          <w:rFonts w:ascii="Verdana" w:eastAsia="Century Gothic" w:hAnsi="Verdana" w:cs="Century Gothic"/>
          <w:i/>
          <w:iCs/>
        </w:rPr>
        <w:t>Una</w:t>
      </w:r>
      <w:r w:rsidR="001561D6" w:rsidRPr="00F365E7">
        <w:rPr>
          <w:rFonts w:ascii="Verdana" w:eastAsia="Century Gothic" w:hAnsi="Verdana" w:cs="Century Gothic"/>
          <w:i/>
          <w:iCs/>
        </w:rPr>
        <w:t xml:space="preserve"> persona natural </w:t>
      </w:r>
      <w:r w:rsidR="00FB76D0">
        <w:rPr>
          <w:rFonts w:ascii="Verdana" w:eastAsia="Century Gothic" w:hAnsi="Verdana" w:cs="Century Gothic"/>
          <w:i/>
          <w:iCs/>
        </w:rPr>
        <w:t>contratista de una entidad pública puede presentarse a una licitación con la misma entidad actuando como representante legal de una empresa privada</w:t>
      </w:r>
      <w:r w:rsidR="001561D6" w:rsidRPr="00F365E7">
        <w:rPr>
          <w:rFonts w:ascii="Verdana" w:eastAsia="Century Gothic" w:hAnsi="Verdana" w:cs="Century Gothic"/>
          <w:i/>
          <w:iCs/>
        </w:rPr>
        <w:t>?</w:t>
      </w:r>
    </w:p>
    <w:p w14:paraId="248FD51D" w14:textId="77777777" w:rsidR="001561D6" w:rsidRDefault="001561D6" w:rsidP="001561D6">
      <w:pPr>
        <w:pStyle w:val="Prrafodelista"/>
        <w:ind w:left="0" w:right="49"/>
        <w:jc w:val="both"/>
        <w:rPr>
          <w:rFonts w:ascii="Verdana" w:eastAsia="Century Gothic" w:hAnsi="Verdana" w:cs="Century Gothic"/>
          <w:i/>
          <w:iCs/>
        </w:rPr>
      </w:pPr>
    </w:p>
    <w:p w14:paraId="1B309637" w14:textId="77777777" w:rsidR="00AA2B1E" w:rsidRDefault="00AA2B1E" w:rsidP="001561D6">
      <w:pPr>
        <w:pStyle w:val="Prrafodelista"/>
        <w:ind w:left="0" w:right="49"/>
        <w:jc w:val="both"/>
        <w:rPr>
          <w:rFonts w:ascii="Verdana" w:eastAsia="Century Gothic" w:hAnsi="Verdana" w:cs="Century Gothic"/>
          <w:i/>
          <w:iCs/>
        </w:rPr>
      </w:pPr>
    </w:p>
    <w:p w14:paraId="305DC1ED" w14:textId="77777777" w:rsidR="00AA2B1E" w:rsidRPr="00727DDD" w:rsidRDefault="00AA2B1E" w:rsidP="001561D6">
      <w:pPr>
        <w:pStyle w:val="Prrafodelista"/>
        <w:ind w:left="0" w:right="49"/>
        <w:jc w:val="both"/>
        <w:rPr>
          <w:rFonts w:ascii="Verdana" w:eastAsia="Century Gothic" w:hAnsi="Verdana" w:cs="Century Gothic"/>
          <w:i/>
          <w:iCs/>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5F8EA475" w14:textId="77777777" w:rsidR="00306C5A" w:rsidRDefault="00306C5A" w:rsidP="00306C5A">
            <w:pPr>
              <w:spacing w:after="120" w:line="276" w:lineRule="auto"/>
              <w:jc w:val="both"/>
              <w:rPr>
                <w:rFonts w:ascii="Verdana" w:eastAsia="Arial MT" w:hAnsi="Verdana" w:cs="Arial"/>
                <w:lang w:eastAsia="es-ES" w:bidi="es-ES"/>
              </w:rPr>
            </w:pPr>
          </w:p>
          <w:p w14:paraId="54E45384" w14:textId="246BD1EE" w:rsidR="00306C5A" w:rsidRDefault="00306C5A" w:rsidP="00306C5A">
            <w:pPr>
              <w:spacing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        </w:t>
            </w:r>
            <w:r w:rsidRPr="4B5C42DE">
              <w:rPr>
                <w:rFonts w:ascii="Verdana" w:eastAsia="Arial MT" w:hAnsi="Verdana" w:cs="Arial"/>
                <w:lang w:eastAsia="es-ES" w:bidi="es-ES"/>
              </w:rPr>
              <w:t xml:space="preserve">Verificado el régimen de inhabilidades e incompatibilidades contenido en la Ley 80 de 1993, no se identifica alguna causal que limite la capacidad jurídica de aquellas personas naturales que pretendan contratar con el Estado, durante el ejercicio de la representación legal de </w:t>
            </w:r>
            <w:r w:rsidR="00065774">
              <w:rPr>
                <w:rFonts w:ascii="Verdana" w:eastAsia="Arial MT" w:hAnsi="Verdana" w:cs="Arial"/>
                <w:lang w:eastAsia="es-ES" w:bidi="es-ES"/>
              </w:rPr>
              <w:t>una empresa</w:t>
            </w:r>
            <w:r w:rsidRPr="4B5C42DE">
              <w:rPr>
                <w:rFonts w:ascii="Verdana" w:eastAsia="Arial MT" w:hAnsi="Verdana" w:cs="Arial"/>
                <w:lang w:eastAsia="es-ES" w:bidi="es-ES"/>
              </w:rPr>
              <w:t xml:space="preserve"> constituida en Colombia. Sobre todo, cuando en la exposición del supuesto de hecho de la consulta no existen elementos que puedan interpretarse como posibles incompatibilidades o conflictos de intereses que afecten la capacidad jurídica de la persona natural que pretenda participar en procesos de selección o suscriba contratos con entidades estatales, al tiempo que ejerce la representación legal de </w:t>
            </w:r>
            <w:r w:rsidR="00065774">
              <w:rPr>
                <w:rFonts w:ascii="Verdana" w:eastAsia="Arial MT" w:hAnsi="Verdana" w:cs="Arial"/>
                <w:lang w:eastAsia="es-ES" w:bidi="es-ES"/>
              </w:rPr>
              <w:t>una empresa</w:t>
            </w:r>
            <w:r w:rsidRPr="4B5C42DE">
              <w:rPr>
                <w:rFonts w:ascii="Verdana" w:eastAsia="Arial MT" w:hAnsi="Verdana" w:cs="Arial"/>
                <w:lang w:eastAsia="es-ES" w:bidi="es-ES"/>
              </w:rPr>
              <w:t xml:space="preserve"> constituida en Colombia.</w:t>
            </w:r>
          </w:p>
          <w:p w14:paraId="73845585" w14:textId="77777777" w:rsidR="001561D6" w:rsidRPr="001561D6" w:rsidRDefault="001561D6" w:rsidP="001561D6">
            <w:pPr>
              <w:spacing w:line="276" w:lineRule="auto"/>
              <w:ind w:firstLine="708"/>
              <w:jc w:val="both"/>
              <w:rPr>
                <w:rFonts w:ascii="Verdana" w:hAnsi="Verdana" w:cs="Arial"/>
                <w:bCs/>
                <w:color w:val="000000" w:themeColor="text1"/>
              </w:rPr>
            </w:pPr>
          </w:p>
          <w:p w14:paraId="0B8B6F5F" w14:textId="7174A44D" w:rsidR="00FA0CF8" w:rsidRDefault="00065774" w:rsidP="00FA738A">
            <w:pPr>
              <w:spacing w:line="276" w:lineRule="auto"/>
              <w:jc w:val="both"/>
              <w:rPr>
                <w:rFonts w:ascii="Verdana" w:hAnsi="Verdana" w:cs="Arial"/>
                <w:bCs/>
                <w:color w:val="000000" w:themeColor="text1"/>
              </w:rPr>
            </w:pPr>
            <w:r>
              <w:rPr>
                <w:rFonts w:ascii="Verdana" w:hAnsi="Verdana" w:cs="Arial"/>
                <w:bCs/>
                <w:color w:val="000000" w:themeColor="text1"/>
              </w:rPr>
              <w:t>No obstante lo anterior, s</w:t>
            </w:r>
            <w:r w:rsidR="00851635" w:rsidRPr="00851635">
              <w:rPr>
                <w:rFonts w:ascii="Verdana" w:hAnsi="Verdana" w:cs="Arial"/>
                <w:bCs/>
                <w:color w:val="000000" w:themeColor="text1"/>
              </w:rPr>
              <w:t xml:space="preserve">í bien, una misma persona puede, en principio, suscribir dos contratos con una misma entidad estatal, uno en su calidad de persona natural y otro como representante legal de una persona jurídica, existen ciertas condiciones y restricciones que deben cumplirse para evitar conflictos de interés y garantizar la transparencia en la contratación estatal. Algunos aspectos claves para revisar por parte de la entidad estatal en esta </w:t>
            </w:r>
            <w:r w:rsidR="00FA0CF8" w:rsidRPr="00851635">
              <w:rPr>
                <w:rFonts w:ascii="Verdana" w:hAnsi="Verdana" w:cs="Arial"/>
                <w:bCs/>
                <w:color w:val="000000" w:themeColor="text1"/>
              </w:rPr>
              <w:t>eventualidad</w:t>
            </w:r>
            <w:r w:rsidR="00851635" w:rsidRPr="00851635">
              <w:rPr>
                <w:rFonts w:ascii="Verdana" w:hAnsi="Verdana" w:cs="Arial"/>
                <w:bCs/>
                <w:color w:val="000000" w:themeColor="text1"/>
              </w:rPr>
              <w:t xml:space="preserve"> son: Considerar que la persona jurídica y la persona natural son </w:t>
            </w:r>
            <w:r w:rsidR="00851635" w:rsidRPr="00851635">
              <w:rPr>
                <w:rFonts w:ascii="Verdana" w:hAnsi="Verdana" w:cs="Arial"/>
                <w:bCs/>
                <w:color w:val="000000" w:themeColor="text1"/>
              </w:rPr>
              <w:lastRenderedPageBreak/>
              <w:t xml:space="preserve">sujetos jurídicos distintos, incluso por </w:t>
            </w:r>
            <w:r w:rsidR="00FA0CF8">
              <w:rPr>
                <w:rFonts w:ascii="Verdana" w:hAnsi="Verdana" w:cs="Arial"/>
                <w:bCs/>
                <w:color w:val="000000" w:themeColor="text1"/>
              </w:rPr>
              <w:t>lo que</w:t>
            </w:r>
            <w:r w:rsidR="00851635" w:rsidRPr="00851635">
              <w:rPr>
                <w:rFonts w:ascii="Verdana" w:hAnsi="Verdana" w:cs="Arial"/>
                <w:bCs/>
                <w:color w:val="000000" w:themeColor="text1"/>
              </w:rPr>
              <w:t xml:space="preserve"> cada contrato debe estar justificado de forma independiente y cumplir con los principios de la contratación estatal, como el de transparencia, economía y responsabilidad. Tanto la persona natural como la persona jurídica deben acreditar su capacidad jurídica, técnica y financiera de manera independiente para suscribir los contratos respectivos y </w:t>
            </w:r>
            <w:r w:rsidR="00FA0CF8" w:rsidRPr="00851635">
              <w:rPr>
                <w:rFonts w:ascii="Verdana" w:hAnsi="Verdana" w:cs="Arial"/>
                <w:bCs/>
                <w:color w:val="000000" w:themeColor="text1"/>
              </w:rPr>
              <w:t>deber</w:t>
            </w:r>
            <w:r w:rsidR="00FA0CF8">
              <w:rPr>
                <w:rFonts w:ascii="Verdana" w:hAnsi="Verdana" w:cs="Arial"/>
                <w:bCs/>
                <w:color w:val="000000" w:themeColor="text1"/>
              </w:rPr>
              <w:t>á</w:t>
            </w:r>
            <w:r w:rsidR="00851635" w:rsidRPr="00851635">
              <w:rPr>
                <w:rFonts w:ascii="Verdana" w:hAnsi="Verdana" w:cs="Arial"/>
                <w:bCs/>
                <w:color w:val="000000" w:themeColor="text1"/>
              </w:rPr>
              <w:t xml:space="preserve"> evaluarse la propuesta presentada por la persona jurídica de forma autónoma y objetiva</w:t>
            </w:r>
            <w:r w:rsidR="00FA0CF8">
              <w:rPr>
                <w:rFonts w:ascii="Verdana" w:hAnsi="Verdana" w:cs="Arial"/>
                <w:bCs/>
                <w:color w:val="000000" w:themeColor="text1"/>
              </w:rPr>
              <w:t xml:space="preserve"> </w:t>
            </w:r>
            <w:r w:rsidR="00851635" w:rsidRPr="00851635">
              <w:rPr>
                <w:rFonts w:ascii="Verdana" w:hAnsi="Verdana" w:cs="Arial"/>
                <w:bCs/>
                <w:color w:val="000000" w:themeColor="text1"/>
              </w:rPr>
              <w:t>, propendiendo por garantizar los principios de selección objetiva, promover la pluralidad de oferentes y evitar cualquier situación que pueda restringir la libre competencia</w:t>
            </w:r>
            <w:r>
              <w:rPr>
                <w:rFonts w:ascii="Verdana" w:hAnsi="Verdana" w:cs="Arial"/>
                <w:bCs/>
                <w:color w:val="000000" w:themeColor="text1"/>
              </w:rPr>
              <w:t xml:space="preserve"> y en </w:t>
            </w:r>
            <w:r w:rsidR="00851635" w:rsidRPr="00851635">
              <w:rPr>
                <w:rFonts w:ascii="Verdana" w:hAnsi="Verdana" w:cs="Arial"/>
                <w:bCs/>
                <w:color w:val="000000" w:themeColor="text1"/>
              </w:rPr>
              <w:t>el caso de contratos con personas jurídicas debe verificarse igualmente si existen restricciones específicas en el pliego de condiciones, en el tipo de contrato o en las normas internas de la entidad estatal contratante,</w:t>
            </w:r>
            <w:r w:rsidR="00FA0CF8">
              <w:rPr>
                <w:rFonts w:ascii="Verdana" w:hAnsi="Verdana" w:cs="Arial"/>
                <w:bCs/>
                <w:color w:val="000000" w:themeColor="text1"/>
              </w:rPr>
              <w:t xml:space="preserve"> </w:t>
            </w:r>
            <w:r w:rsidR="00851635" w:rsidRPr="00851635">
              <w:rPr>
                <w:rFonts w:ascii="Verdana" w:hAnsi="Verdana" w:cs="Arial"/>
                <w:bCs/>
                <w:color w:val="000000" w:themeColor="text1"/>
              </w:rPr>
              <w:t>que impidan esta simultaneidad de vínculos contractuales. Se debe garantizar en cada proceso contractual la no ocurrencia de conflictos de interés, ni violación de los principios de la contratación estatal</w:t>
            </w:r>
            <w:r w:rsidR="007F56E0">
              <w:rPr>
                <w:rFonts w:ascii="Verdana" w:hAnsi="Verdana" w:cs="Arial"/>
                <w:bCs/>
                <w:color w:val="000000" w:themeColor="text1"/>
              </w:rPr>
              <w:t>.</w:t>
            </w:r>
          </w:p>
          <w:p w14:paraId="3E6763D7" w14:textId="77777777" w:rsidR="007F56E0" w:rsidRDefault="007F56E0" w:rsidP="00FA0CF8">
            <w:pPr>
              <w:spacing w:line="276" w:lineRule="auto"/>
              <w:jc w:val="both"/>
              <w:rPr>
                <w:rFonts w:ascii="Verdana" w:hAnsi="Verdana" w:cs="Arial"/>
                <w:bCs/>
                <w:color w:val="000000" w:themeColor="text1"/>
              </w:rPr>
            </w:pPr>
          </w:p>
          <w:p w14:paraId="2F3DD2E5" w14:textId="0DF4E64C" w:rsidR="00171AE9" w:rsidRDefault="00171AE9" w:rsidP="00171AE9">
            <w:pPr>
              <w:spacing w:after="120" w:line="276" w:lineRule="auto"/>
              <w:jc w:val="both"/>
              <w:rPr>
                <w:rFonts w:ascii="Verdana" w:eastAsia="Arial MT" w:hAnsi="Verdana" w:cs="Arial"/>
                <w:lang w:eastAsia="es-ES" w:bidi="es-ES"/>
              </w:rPr>
            </w:pPr>
            <w:r w:rsidRPr="1C93D55D">
              <w:rPr>
                <w:rFonts w:ascii="Verdana" w:eastAsia="Arial MT" w:hAnsi="Verdana" w:cs="Arial"/>
                <w:lang w:eastAsia="es-ES" w:bidi="es-ES"/>
              </w:rPr>
              <w:t xml:space="preserve">Con todo, es importante señalar que, si bien el supuesto de hecho planteado en la consulta no constituye una inhabilidad </w:t>
            </w:r>
            <w:r w:rsidRPr="1C93D55D">
              <w:rPr>
                <w:rFonts w:ascii="Verdana" w:eastAsia="Arial MT" w:hAnsi="Verdana" w:cs="Arial"/>
                <w:i/>
                <w:iCs/>
                <w:lang w:eastAsia="es-ES" w:bidi="es-ES"/>
              </w:rPr>
              <w:t>per se</w:t>
            </w:r>
            <w:r w:rsidRPr="1C93D55D">
              <w:rPr>
                <w:rFonts w:ascii="Verdana" w:eastAsia="Arial MT" w:hAnsi="Verdana" w:cs="Arial"/>
                <w:lang w:eastAsia="es-ES" w:bidi="es-ES"/>
              </w:rPr>
              <w:t xml:space="preserve">, debe valorarse cada caso en concreto para descartar posibles conflictos de intereses. Es decir, situaciones en las cuales los intereses personales de alguien se opongan a sus deberes. Puede ser el caso de aquellas personas </w:t>
            </w:r>
            <w:r>
              <w:rPr>
                <w:rFonts w:ascii="Verdana" w:eastAsia="Arial MT" w:hAnsi="Verdana" w:cs="Arial"/>
                <w:lang w:eastAsia="es-ES" w:bidi="es-ES"/>
              </w:rPr>
              <w:t>naturales</w:t>
            </w:r>
            <w:r w:rsidRPr="1C93D55D">
              <w:rPr>
                <w:rFonts w:ascii="Verdana" w:eastAsia="Arial MT" w:hAnsi="Verdana" w:cs="Arial"/>
                <w:lang w:eastAsia="es-ES" w:bidi="es-ES"/>
              </w:rPr>
              <w:t xml:space="preserve"> que, luego de celebrar un contrato </w:t>
            </w:r>
            <w:r>
              <w:rPr>
                <w:rFonts w:ascii="Verdana" w:eastAsia="Arial MT" w:hAnsi="Verdana" w:cs="Arial"/>
                <w:lang w:eastAsia="es-ES" w:bidi="es-ES"/>
              </w:rPr>
              <w:t xml:space="preserve">de prestación de servicios </w:t>
            </w:r>
            <w:r w:rsidRPr="1C93D55D">
              <w:rPr>
                <w:rFonts w:ascii="Verdana" w:eastAsia="Arial MT" w:hAnsi="Verdana" w:cs="Arial"/>
                <w:lang w:eastAsia="es-ES" w:bidi="es-ES"/>
              </w:rPr>
              <w:t xml:space="preserve">con una entidad estatal, </w:t>
            </w:r>
            <w:r>
              <w:rPr>
                <w:rFonts w:ascii="Verdana" w:eastAsia="Arial MT" w:hAnsi="Verdana" w:cs="Arial"/>
                <w:lang w:eastAsia="es-ES" w:bidi="es-ES"/>
              </w:rPr>
              <w:t>celebren</w:t>
            </w:r>
            <w:r w:rsidRPr="1C93D55D">
              <w:rPr>
                <w:rFonts w:ascii="Verdana" w:eastAsia="Arial MT" w:hAnsi="Verdana" w:cs="Arial"/>
                <w:lang w:eastAsia="es-ES" w:bidi="es-ES"/>
              </w:rPr>
              <w:t xml:space="preserve"> otro contrato</w:t>
            </w:r>
            <w:r>
              <w:rPr>
                <w:rFonts w:ascii="Verdana" w:eastAsia="Arial MT" w:hAnsi="Verdana" w:cs="Arial"/>
                <w:lang w:eastAsia="es-ES" w:bidi="es-ES"/>
              </w:rPr>
              <w:t xml:space="preserve"> con la misma entidad actuando como </w:t>
            </w:r>
            <w:r w:rsidRPr="1C93D55D">
              <w:rPr>
                <w:rFonts w:ascii="Verdana" w:eastAsia="Arial MT" w:hAnsi="Verdana" w:cs="Arial"/>
                <w:lang w:eastAsia="es-ES" w:bidi="es-ES"/>
              </w:rPr>
              <w:t>representante</w:t>
            </w:r>
            <w:r>
              <w:rPr>
                <w:rFonts w:ascii="Verdana" w:eastAsia="Arial MT" w:hAnsi="Verdana" w:cs="Arial"/>
                <w:lang w:eastAsia="es-ES" w:bidi="es-ES"/>
              </w:rPr>
              <w:t>s</w:t>
            </w:r>
            <w:r w:rsidRPr="1C93D55D">
              <w:rPr>
                <w:rFonts w:ascii="Verdana" w:eastAsia="Arial MT" w:hAnsi="Verdana" w:cs="Arial"/>
                <w:lang w:eastAsia="es-ES" w:bidi="es-ES"/>
              </w:rPr>
              <w:t xml:space="preserve"> legal</w:t>
            </w:r>
            <w:r>
              <w:rPr>
                <w:rFonts w:ascii="Verdana" w:eastAsia="Arial MT" w:hAnsi="Verdana" w:cs="Arial"/>
                <w:lang w:eastAsia="es-ES" w:bidi="es-ES"/>
              </w:rPr>
              <w:t>es</w:t>
            </w:r>
            <w:r w:rsidRPr="1C93D55D">
              <w:rPr>
                <w:rFonts w:ascii="Verdana" w:eastAsia="Arial MT" w:hAnsi="Verdana" w:cs="Arial"/>
                <w:lang w:eastAsia="es-ES" w:bidi="es-ES"/>
              </w:rPr>
              <w:t xml:space="preserve"> de </w:t>
            </w:r>
            <w:r>
              <w:rPr>
                <w:rFonts w:ascii="Verdana" w:eastAsia="Arial MT" w:hAnsi="Verdana" w:cs="Arial"/>
                <w:lang w:eastAsia="es-ES" w:bidi="es-ES"/>
              </w:rPr>
              <w:t>una persona jurídica</w:t>
            </w:r>
            <w:r w:rsidRPr="1C93D55D">
              <w:rPr>
                <w:rFonts w:ascii="Verdana" w:eastAsia="Arial MT" w:hAnsi="Verdana" w:cs="Arial"/>
                <w:lang w:eastAsia="es-ES" w:bidi="es-ES"/>
              </w:rPr>
              <w:t>, circunstancia que, aunque no se advierte como una inhabilidad o incompatibilidad en particular, sí podría constituir un conflicto de intereses que afecte el cumplimiento de deberes.</w:t>
            </w:r>
          </w:p>
          <w:p w14:paraId="3AD18B78" w14:textId="7CBA3E9F" w:rsidR="00171AE9" w:rsidRDefault="00171AE9" w:rsidP="00171AE9">
            <w:pPr>
              <w:spacing w:line="276" w:lineRule="auto"/>
              <w:jc w:val="both"/>
              <w:rPr>
                <w:rFonts w:ascii="Verdana" w:hAnsi="Verdana" w:cs="Arial"/>
                <w:bCs/>
                <w:color w:val="000000" w:themeColor="text1"/>
              </w:rPr>
            </w:pPr>
            <w:r w:rsidRPr="00851635">
              <w:rPr>
                <w:rFonts w:ascii="Verdana" w:hAnsi="Verdana" w:cs="Arial"/>
                <w:bCs/>
                <w:color w:val="000000" w:themeColor="text1"/>
              </w:rPr>
              <w:t xml:space="preserve">Así las cosas, corresponde a cada entidad pública, en ejercicio de su competencia y previa valoración de los elementos fácticos y jurídicos, determinar la viabilidad de </w:t>
            </w:r>
            <w:r>
              <w:rPr>
                <w:rFonts w:ascii="Verdana" w:hAnsi="Verdana" w:cs="Arial"/>
                <w:bCs/>
                <w:color w:val="000000" w:themeColor="text1"/>
              </w:rPr>
              <w:t xml:space="preserve">adjudicar una </w:t>
            </w:r>
            <w:r w:rsidR="00306C5A">
              <w:rPr>
                <w:rFonts w:ascii="Verdana" w:hAnsi="Verdana" w:cs="Arial"/>
                <w:bCs/>
                <w:color w:val="000000" w:themeColor="text1"/>
              </w:rPr>
              <w:t>licitación</w:t>
            </w:r>
            <w:r w:rsidRPr="00851635">
              <w:rPr>
                <w:rFonts w:ascii="Verdana" w:hAnsi="Verdana" w:cs="Arial"/>
                <w:bCs/>
                <w:color w:val="000000" w:themeColor="text1"/>
              </w:rPr>
              <w:t xml:space="preserve"> a una empresa cuyo representante legal ostenta la calidad de contratista en su condición de </w:t>
            </w:r>
            <w:r w:rsidRPr="00851635">
              <w:rPr>
                <w:rFonts w:ascii="Verdana" w:hAnsi="Verdana" w:cs="Arial"/>
                <w:bCs/>
                <w:color w:val="000000" w:themeColor="text1"/>
              </w:rPr>
              <w:lastRenderedPageBreak/>
              <w:t xml:space="preserve">persona natural o viceversa garantizando principios de imparcialidad y transparencia previstos en el artículo 209 de la Constitución Política y el artículo 3 de la Ley 489 de 1998. </w:t>
            </w:r>
          </w:p>
          <w:p w14:paraId="47EEB54F" w14:textId="1870CF68" w:rsidR="00851635" w:rsidRPr="00831CDD" w:rsidRDefault="00851635" w:rsidP="00FA0CF8">
            <w:pPr>
              <w:spacing w:line="276" w:lineRule="auto"/>
              <w:jc w:val="both"/>
              <w:rPr>
                <w:rFonts w:ascii="Verdana" w:hAnsi="Verdana" w:cs="Arial"/>
                <w:bCs/>
                <w:color w:val="000000" w:themeColor="text1"/>
              </w:rPr>
            </w:pP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2B9C7990" w14:textId="77777777" w:rsidR="007D5768" w:rsidRDefault="007D5768" w:rsidP="007D5768">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0861D08" w14:textId="77777777" w:rsidR="00C42100" w:rsidRDefault="00C42100" w:rsidP="00BC4CD4">
      <w:pPr>
        <w:spacing w:after="0" w:line="276" w:lineRule="auto"/>
        <w:ind w:firstLine="708"/>
        <w:jc w:val="both"/>
        <w:rPr>
          <w:rFonts w:ascii="Verdana" w:hAnsi="Verdana" w:cs="Arial"/>
          <w:color w:val="000000" w:themeColor="text1"/>
          <w:lang w:val="es-ES_tradnl"/>
        </w:rPr>
      </w:pPr>
      <w:bookmarkStart w:id="5" w:name="_Hlk185366844"/>
    </w:p>
    <w:p w14:paraId="371D596B" w14:textId="798CB595" w:rsidR="00A65B78" w:rsidRDefault="00A65B78" w:rsidP="00B33517">
      <w:pPr>
        <w:spacing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De manera preliminar resulta pertinente indicar que e</w:t>
      </w:r>
      <w:r w:rsidRPr="0013495B">
        <w:rPr>
          <w:rFonts w:ascii="Verdana" w:eastAsia="Calibri" w:hAnsi="Verdana" w:cs="Arial"/>
          <w:color w:val="000000" w:themeColor="text1"/>
        </w:rPr>
        <w:t>l artículo 209 de la Constitución Política, señala</w:t>
      </w:r>
      <w:bookmarkStart w:id="6" w:name="209"/>
      <w:r w:rsidRPr="0013495B">
        <w:rPr>
          <w:rFonts w:ascii="Verdana" w:eastAsia="Calibri" w:hAnsi="Verdana" w:cs="Arial"/>
          <w:color w:val="000000" w:themeColor="text1"/>
        </w:rPr>
        <w:t> que</w:t>
      </w:r>
      <w:r>
        <w:rPr>
          <w:rFonts w:ascii="Verdana" w:eastAsia="Calibri" w:hAnsi="Verdana" w:cs="Arial"/>
          <w:color w:val="000000" w:themeColor="text1"/>
        </w:rPr>
        <w:t xml:space="preserve"> </w:t>
      </w:r>
      <w:r w:rsidRPr="0013495B">
        <w:rPr>
          <w:rFonts w:ascii="Verdana" w:eastAsia="Calibri" w:hAnsi="Verdana" w:cs="Arial"/>
          <w:color w:val="000000" w:themeColor="text1"/>
        </w:rPr>
        <w:t>“</w:t>
      </w:r>
      <w:bookmarkEnd w:id="6"/>
      <w:r w:rsidRPr="0013495B">
        <w:rPr>
          <w:rFonts w:ascii="Verdana" w:eastAsia="Calibri" w:hAnsi="Verdana" w:cs="Arial"/>
          <w:color w:val="000000" w:themeColor="text1"/>
        </w:rPr>
        <w:t xml:space="preserve">La función administrativa está al servicio de los intereses generales y se desarrolla con fundamento en los principios de igualdad, moralidad, eficacia, economía, celeridad, </w:t>
      </w:r>
      <w:r w:rsidRPr="0013495B">
        <w:rPr>
          <w:rFonts w:ascii="Verdana" w:eastAsia="Calibri" w:hAnsi="Verdana" w:cs="Arial"/>
          <w:b/>
          <w:bCs/>
          <w:color w:val="000000" w:themeColor="text1"/>
        </w:rPr>
        <w:t xml:space="preserve">imparcialidad </w:t>
      </w:r>
      <w:r w:rsidRPr="0013495B">
        <w:rPr>
          <w:rFonts w:ascii="Verdana" w:eastAsia="Calibri" w:hAnsi="Verdana" w:cs="Arial"/>
          <w:color w:val="000000" w:themeColor="text1"/>
        </w:rPr>
        <w:t>y publicidad, mediante la descentralización, la delegación y la desconcentración de funciones (…)”</w:t>
      </w:r>
    </w:p>
    <w:p w14:paraId="132932DD" w14:textId="77777777" w:rsidR="00A65B78" w:rsidRDefault="00A65B78" w:rsidP="00B33517">
      <w:pPr>
        <w:spacing w:line="276" w:lineRule="auto"/>
        <w:ind w:firstLine="708"/>
        <w:jc w:val="both"/>
        <w:rPr>
          <w:rFonts w:ascii="Verdana" w:eastAsia="Calibri" w:hAnsi="Verdana" w:cs="Arial"/>
          <w:color w:val="000000" w:themeColor="text1"/>
        </w:rPr>
      </w:pPr>
      <w:r w:rsidRPr="001A1312">
        <w:rPr>
          <w:rFonts w:ascii="Verdana" w:eastAsia="Calibri" w:hAnsi="Verdana" w:cs="Arial"/>
          <w:color w:val="000000" w:themeColor="text1"/>
        </w:rPr>
        <w:t>En desarrollo de lo anterior</w:t>
      </w:r>
      <w:r>
        <w:rPr>
          <w:rFonts w:ascii="Verdana" w:eastAsia="Calibri" w:hAnsi="Verdana" w:cs="Arial"/>
          <w:i/>
          <w:iCs/>
          <w:color w:val="000000" w:themeColor="text1"/>
        </w:rPr>
        <w:t xml:space="preserve"> </w:t>
      </w:r>
      <w:r>
        <w:rPr>
          <w:rFonts w:ascii="Verdana" w:eastAsia="Calibri" w:hAnsi="Verdana" w:cs="Arial"/>
          <w:color w:val="000000" w:themeColor="text1"/>
        </w:rPr>
        <w:t>el artículo 3 de la Ley 489 de 1998 prevé que l</w:t>
      </w:r>
      <w:r w:rsidRPr="001A1312">
        <w:rPr>
          <w:rFonts w:ascii="Verdana" w:eastAsia="Calibri" w:hAnsi="Verdana" w:cs="Arial"/>
          <w:color w:val="000000" w:themeColor="text1"/>
        </w:rPr>
        <w:t xml:space="preserve">a función administrativa se desarrollará conforme a los principios constitucionales, en particular los atinentes a la buena fe, igualdad, moralidad, celeridad, economía, </w:t>
      </w:r>
      <w:r w:rsidRPr="001A1312">
        <w:rPr>
          <w:rFonts w:ascii="Verdana" w:eastAsia="Calibri" w:hAnsi="Verdana" w:cs="Arial"/>
          <w:b/>
          <w:bCs/>
          <w:color w:val="000000" w:themeColor="text1"/>
        </w:rPr>
        <w:t>imparcialidad</w:t>
      </w:r>
      <w:r w:rsidRPr="001A1312">
        <w:rPr>
          <w:rFonts w:ascii="Verdana" w:eastAsia="Calibri" w:hAnsi="Verdana" w:cs="Arial"/>
          <w:color w:val="000000" w:themeColor="text1"/>
        </w:rPr>
        <w:t xml:space="preserve">, eficacia, eficiencia, participación, </w:t>
      </w:r>
      <w:r w:rsidRPr="009236FA">
        <w:rPr>
          <w:rFonts w:ascii="Verdana" w:eastAsia="Calibri" w:hAnsi="Verdana" w:cs="Arial"/>
          <w:color w:val="000000" w:themeColor="text1"/>
        </w:rPr>
        <w:t>publicidad, responsabilidad</w:t>
      </w:r>
      <w:r w:rsidRPr="001A1312">
        <w:rPr>
          <w:rFonts w:ascii="Verdana" w:eastAsia="Calibri" w:hAnsi="Verdana" w:cs="Arial"/>
          <w:b/>
          <w:bCs/>
          <w:color w:val="000000" w:themeColor="text1"/>
        </w:rPr>
        <w:t xml:space="preserve"> y transparencia</w:t>
      </w:r>
      <w:r w:rsidRPr="001A1312">
        <w:rPr>
          <w:rFonts w:ascii="Verdana" w:eastAsia="Calibri" w:hAnsi="Verdana" w:cs="Arial"/>
          <w:color w:val="000000" w:themeColor="text1"/>
        </w:rPr>
        <w:t>.</w:t>
      </w:r>
    </w:p>
    <w:p w14:paraId="3E66CADB" w14:textId="3B431BF3" w:rsidR="00B33517" w:rsidRPr="006A09D6" w:rsidRDefault="00B33517" w:rsidP="00B33517">
      <w:pPr>
        <w:widowControl w:val="0"/>
        <w:autoSpaceDE w:val="0"/>
        <w:autoSpaceDN w:val="0"/>
        <w:spacing w:after="0" w:line="276" w:lineRule="auto"/>
        <w:ind w:right="68" w:firstLine="708"/>
        <w:jc w:val="both"/>
        <w:rPr>
          <w:rFonts w:ascii="Verdana" w:eastAsia="Arial MT" w:hAnsi="Verdana" w:cs="Arial"/>
          <w:u w:val="single"/>
        </w:rPr>
      </w:pPr>
      <w:r>
        <w:rPr>
          <w:rFonts w:ascii="Verdana" w:eastAsia="Arial MT" w:hAnsi="Verdana" w:cs="Arial"/>
        </w:rPr>
        <w:t>Ahora bien, e</w:t>
      </w:r>
      <w:r w:rsidRPr="006A09D6">
        <w:rPr>
          <w:rFonts w:ascii="Verdana" w:eastAsia="Arial MT" w:hAnsi="Verdana" w:cs="Arial"/>
        </w:rPr>
        <w:t>l régimen de inhabilidades e incompatibilidades en la contratación pública</w:t>
      </w:r>
      <w:r w:rsidRPr="006A09D6">
        <w:rPr>
          <w:rFonts w:ascii="Verdana" w:eastAsia="Arial MT" w:hAnsi="Verdana" w:cs="Arial"/>
          <w:spacing w:val="1"/>
        </w:rPr>
        <w:t xml:space="preserve"> </w:t>
      </w:r>
      <w:r w:rsidRPr="006A09D6">
        <w:rPr>
          <w:rFonts w:ascii="Verdana" w:eastAsia="Arial MT" w:hAnsi="Verdana" w:cs="Arial"/>
        </w:rPr>
        <w:t xml:space="preserve">responde al propósito de asegurar que la actividad de adquisición y provisión de </w:t>
      </w:r>
      <w:r w:rsidRPr="006A09D6">
        <w:rPr>
          <w:rFonts w:ascii="Verdana" w:eastAsia="Arial MT" w:hAnsi="Verdana" w:cs="Arial"/>
          <w:spacing w:val="1"/>
        </w:rPr>
        <w:t>bienes</w:t>
      </w:r>
      <w:r w:rsidRPr="006A09D6">
        <w:rPr>
          <w:rFonts w:ascii="Verdana" w:eastAsia="Arial MT" w:hAnsi="Verdana" w:cs="Arial"/>
        </w:rPr>
        <w:t xml:space="preserve"> y servicios por parte de las entidades estatales se efectúe cumpliendo con los</w:t>
      </w:r>
      <w:r w:rsidRPr="006A09D6">
        <w:rPr>
          <w:rFonts w:ascii="Verdana" w:eastAsia="Arial MT" w:hAnsi="Verdana" w:cs="Arial"/>
          <w:spacing w:val="1"/>
        </w:rPr>
        <w:t xml:space="preserve"> </w:t>
      </w:r>
      <w:r w:rsidRPr="006A09D6">
        <w:rPr>
          <w:rFonts w:ascii="Verdana" w:eastAsia="Arial MT" w:hAnsi="Verdana" w:cs="Arial"/>
        </w:rPr>
        <w:t>principios</w:t>
      </w:r>
      <w:r w:rsidRPr="006A09D6">
        <w:rPr>
          <w:rFonts w:ascii="Verdana" w:eastAsia="Arial MT" w:hAnsi="Verdana" w:cs="Arial"/>
          <w:spacing w:val="-11"/>
        </w:rPr>
        <w:t xml:space="preserve"> </w:t>
      </w:r>
      <w:r w:rsidRPr="006A09D6">
        <w:rPr>
          <w:rFonts w:ascii="Verdana" w:eastAsia="Arial MT" w:hAnsi="Verdana" w:cs="Arial"/>
        </w:rPr>
        <w:t>de</w:t>
      </w:r>
      <w:r w:rsidRPr="006A09D6">
        <w:rPr>
          <w:rFonts w:ascii="Verdana" w:eastAsia="Arial MT" w:hAnsi="Verdana" w:cs="Arial"/>
          <w:spacing w:val="-11"/>
        </w:rPr>
        <w:t xml:space="preserve"> </w:t>
      </w:r>
      <w:r w:rsidRPr="006A09D6">
        <w:rPr>
          <w:rFonts w:ascii="Verdana" w:eastAsia="Arial MT" w:hAnsi="Verdana" w:cs="Arial"/>
        </w:rPr>
        <w:t>la</w:t>
      </w:r>
      <w:r w:rsidRPr="006A09D6">
        <w:rPr>
          <w:rFonts w:ascii="Verdana" w:eastAsia="Arial MT" w:hAnsi="Verdana" w:cs="Arial"/>
          <w:spacing w:val="-11"/>
        </w:rPr>
        <w:t xml:space="preserve"> </w:t>
      </w:r>
      <w:r w:rsidRPr="006A09D6">
        <w:rPr>
          <w:rFonts w:ascii="Verdana" w:eastAsia="Arial MT" w:hAnsi="Verdana" w:cs="Arial"/>
        </w:rPr>
        <w:t>función</w:t>
      </w:r>
      <w:r w:rsidRPr="006A09D6">
        <w:rPr>
          <w:rFonts w:ascii="Verdana" w:eastAsia="Arial MT" w:hAnsi="Verdana" w:cs="Arial"/>
          <w:spacing w:val="-10"/>
        </w:rPr>
        <w:t xml:space="preserve"> </w:t>
      </w:r>
      <w:r w:rsidRPr="006A09D6">
        <w:rPr>
          <w:rFonts w:ascii="Verdana" w:eastAsia="Arial MT" w:hAnsi="Verdana" w:cs="Arial"/>
        </w:rPr>
        <w:t>administrativa</w:t>
      </w:r>
      <w:r w:rsidRPr="006A09D6">
        <w:rPr>
          <w:rFonts w:ascii="Verdana" w:eastAsia="Arial MT" w:hAnsi="Verdana" w:cs="Arial"/>
          <w:spacing w:val="-11"/>
        </w:rPr>
        <w:t xml:space="preserve"> </w:t>
      </w:r>
      <w:r w:rsidRPr="006A09D6">
        <w:rPr>
          <w:rFonts w:ascii="Verdana" w:eastAsia="Arial MT" w:hAnsi="Verdana" w:cs="Arial"/>
        </w:rPr>
        <w:t>y</w:t>
      </w:r>
      <w:r w:rsidRPr="006A09D6">
        <w:rPr>
          <w:rFonts w:ascii="Verdana" w:eastAsia="Arial MT" w:hAnsi="Verdana" w:cs="Arial"/>
          <w:spacing w:val="-10"/>
        </w:rPr>
        <w:t xml:space="preserve"> </w:t>
      </w:r>
      <w:r w:rsidRPr="006A09D6">
        <w:rPr>
          <w:rFonts w:ascii="Verdana" w:eastAsia="Arial MT" w:hAnsi="Verdana" w:cs="Arial"/>
        </w:rPr>
        <w:t>de</w:t>
      </w:r>
      <w:r w:rsidRPr="006A09D6">
        <w:rPr>
          <w:rFonts w:ascii="Verdana" w:eastAsia="Arial MT" w:hAnsi="Verdana" w:cs="Arial"/>
          <w:spacing w:val="-11"/>
        </w:rPr>
        <w:t xml:space="preserve"> </w:t>
      </w:r>
      <w:r w:rsidRPr="006A09D6">
        <w:rPr>
          <w:rFonts w:ascii="Verdana" w:eastAsia="Arial MT" w:hAnsi="Verdana" w:cs="Arial"/>
        </w:rPr>
        <w:t>la</w:t>
      </w:r>
      <w:r w:rsidRPr="006A09D6">
        <w:rPr>
          <w:rFonts w:ascii="Verdana" w:eastAsia="Arial MT" w:hAnsi="Verdana" w:cs="Arial"/>
          <w:spacing w:val="-11"/>
        </w:rPr>
        <w:t xml:space="preserve"> </w:t>
      </w:r>
      <w:r w:rsidRPr="006A09D6">
        <w:rPr>
          <w:rFonts w:ascii="Verdana" w:eastAsia="Arial MT" w:hAnsi="Verdana" w:cs="Arial"/>
        </w:rPr>
        <w:t>gestión</w:t>
      </w:r>
      <w:r w:rsidRPr="006A09D6">
        <w:rPr>
          <w:rFonts w:ascii="Verdana" w:eastAsia="Arial MT" w:hAnsi="Verdana" w:cs="Arial"/>
          <w:spacing w:val="-11"/>
        </w:rPr>
        <w:t xml:space="preserve"> </w:t>
      </w:r>
      <w:r w:rsidRPr="006A09D6">
        <w:rPr>
          <w:rFonts w:ascii="Verdana" w:eastAsia="Arial MT" w:hAnsi="Verdana" w:cs="Arial"/>
        </w:rPr>
        <w:t>fiscal,</w:t>
      </w:r>
      <w:r w:rsidRPr="006A09D6">
        <w:rPr>
          <w:rFonts w:ascii="Verdana" w:eastAsia="Arial MT" w:hAnsi="Verdana" w:cs="Arial"/>
          <w:spacing w:val="-10"/>
        </w:rPr>
        <w:t xml:space="preserve"> </w:t>
      </w:r>
      <w:r w:rsidRPr="006A09D6">
        <w:rPr>
          <w:rFonts w:ascii="Verdana" w:eastAsia="Arial MT" w:hAnsi="Verdana" w:cs="Arial"/>
        </w:rPr>
        <w:t>especialmente</w:t>
      </w:r>
      <w:r w:rsidRPr="006A09D6">
        <w:rPr>
          <w:rFonts w:ascii="Verdana" w:eastAsia="Arial MT" w:hAnsi="Verdana" w:cs="Arial"/>
          <w:spacing w:val="-11"/>
        </w:rPr>
        <w:t xml:space="preserve"> </w:t>
      </w:r>
      <w:r w:rsidRPr="006A09D6">
        <w:rPr>
          <w:rFonts w:ascii="Verdana" w:eastAsia="Arial MT" w:hAnsi="Verdana" w:cs="Arial"/>
        </w:rPr>
        <w:t>con</w:t>
      </w:r>
      <w:r w:rsidRPr="006A09D6">
        <w:rPr>
          <w:rFonts w:ascii="Verdana" w:eastAsia="Arial MT" w:hAnsi="Verdana" w:cs="Arial"/>
          <w:spacing w:val="-11"/>
        </w:rPr>
        <w:t xml:space="preserve"> </w:t>
      </w:r>
      <w:r w:rsidRPr="006A09D6">
        <w:rPr>
          <w:rFonts w:ascii="Verdana" w:eastAsia="Arial MT" w:hAnsi="Verdana" w:cs="Arial"/>
        </w:rPr>
        <w:t>probidad</w:t>
      </w:r>
      <w:r w:rsidRPr="006A09D6">
        <w:rPr>
          <w:rFonts w:ascii="Verdana" w:eastAsia="Arial MT" w:hAnsi="Verdana" w:cs="Arial"/>
          <w:spacing w:val="1"/>
        </w:rPr>
        <w:t xml:space="preserve"> </w:t>
      </w:r>
      <w:r w:rsidRPr="006A09D6">
        <w:rPr>
          <w:rFonts w:ascii="Verdana" w:eastAsia="Arial MT" w:hAnsi="Verdana" w:cs="Arial"/>
        </w:rPr>
        <w:t>y</w:t>
      </w:r>
      <w:r w:rsidRPr="006A09D6">
        <w:rPr>
          <w:rFonts w:ascii="Verdana" w:eastAsia="Arial MT" w:hAnsi="Verdana" w:cs="Arial"/>
          <w:spacing w:val="1"/>
        </w:rPr>
        <w:t xml:space="preserve"> </w:t>
      </w:r>
      <w:r w:rsidRPr="006A09D6">
        <w:rPr>
          <w:rFonts w:ascii="Verdana" w:eastAsia="Arial MT" w:hAnsi="Verdana" w:cs="Arial"/>
        </w:rPr>
        <w:t>transparencia.</w:t>
      </w:r>
      <w:r w:rsidRPr="006A09D6">
        <w:rPr>
          <w:rFonts w:ascii="Verdana" w:eastAsia="Arial MT" w:hAnsi="Verdana" w:cs="Arial"/>
          <w:spacing w:val="1"/>
        </w:rPr>
        <w:t xml:space="preserve"> </w:t>
      </w:r>
      <w:r w:rsidRPr="006A09D6">
        <w:rPr>
          <w:rFonts w:ascii="Verdana" w:eastAsia="Arial MT" w:hAnsi="Verdana" w:cs="Arial"/>
        </w:rPr>
        <w:t>Por</w:t>
      </w:r>
      <w:r w:rsidRPr="006A09D6">
        <w:rPr>
          <w:rFonts w:ascii="Verdana" w:eastAsia="Arial MT" w:hAnsi="Verdana" w:cs="Arial"/>
          <w:spacing w:val="1"/>
        </w:rPr>
        <w:t xml:space="preserve"> </w:t>
      </w:r>
      <w:r w:rsidRPr="006A09D6">
        <w:rPr>
          <w:rFonts w:ascii="Verdana" w:eastAsia="Arial MT" w:hAnsi="Verdana" w:cs="Arial"/>
        </w:rPr>
        <w:t>ello,</w:t>
      </w:r>
      <w:r w:rsidRPr="006A09D6">
        <w:rPr>
          <w:rFonts w:ascii="Verdana" w:eastAsia="Arial MT" w:hAnsi="Verdana" w:cs="Arial"/>
          <w:spacing w:val="1"/>
        </w:rPr>
        <w:t xml:space="preserve"> </w:t>
      </w:r>
      <w:r w:rsidRPr="006A09D6">
        <w:rPr>
          <w:rFonts w:ascii="Verdana" w:eastAsia="Arial MT" w:hAnsi="Verdana" w:cs="Arial"/>
        </w:rPr>
        <w:t>como</w:t>
      </w:r>
      <w:r w:rsidRPr="006A09D6">
        <w:rPr>
          <w:rFonts w:ascii="Verdana" w:eastAsia="Arial MT" w:hAnsi="Verdana" w:cs="Arial"/>
          <w:spacing w:val="1"/>
        </w:rPr>
        <w:t xml:space="preserve"> </w:t>
      </w:r>
      <w:r w:rsidRPr="006A09D6">
        <w:rPr>
          <w:rFonts w:ascii="Verdana" w:eastAsia="Arial MT" w:hAnsi="Verdana" w:cs="Arial"/>
        </w:rPr>
        <w:t>lo</w:t>
      </w:r>
      <w:r w:rsidRPr="006A09D6">
        <w:rPr>
          <w:rFonts w:ascii="Verdana" w:eastAsia="Arial MT" w:hAnsi="Verdana" w:cs="Arial"/>
          <w:spacing w:val="1"/>
        </w:rPr>
        <w:t xml:space="preserve"> </w:t>
      </w:r>
      <w:r w:rsidRPr="006A09D6">
        <w:rPr>
          <w:rFonts w:ascii="Verdana" w:eastAsia="Arial MT" w:hAnsi="Verdana" w:cs="Arial"/>
        </w:rPr>
        <w:t>ha</w:t>
      </w:r>
      <w:r w:rsidRPr="006A09D6">
        <w:rPr>
          <w:rFonts w:ascii="Verdana" w:eastAsia="Arial MT" w:hAnsi="Verdana" w:cs="Arial"/>
          <w:spacing w:val="1"/>
        </w:rPr>
        <w:t xml:space="preserve"> </w:t>
      </w:r>
      <w:r w:rsidRPr="006A09D6">
        <w:rPr>
          <w:rFonts w:ascii="Verdana" w:eastAsia="Arial MT" w:hAnsi="Verdana" w:cs="Arial"/>
        </w:rPr>
        <w:t>destacado</w:t>
      </w:r>
      <w:r w:rsidRPr="006A09D6">
        <w:rPr>
          <w:rFonts w:ascii="Verdana" w:eastAsia="Arial MT" w:hAnsi="Verdana" w:cs="Arial"/>
          <w:spacing w:val="1"/>
        </w:rPr>
        <w:t xml:space="preserve"> </w:t>
      </w:r>
      <w:r w:rsidRPr="006A09D6">
        <w:rPr>
          <w:rFonts w:ascii="Verdana" w:eastAsia="Arial MT" w:hAnsi="Verdana" w:cs="Arial"/>
        </w:rPr>
        <w:t>la</w:t>
      </w:r>
      <w:r w:rsidRPr="006A09D6">
        <w:rPr>
          <w:rFonts w:ascii="Verdana" w:eastAsia="Arial MT" w:hAnsi="Verdana" w:cs="Arial"/>
          <w:spacing w:val="1"/>
        </w:rPr>
        <w:t xml:space="preserve"> </w:t>
      </w:r>
      <w:r w:rsidRPr="006A09D6">
        <w:rPr>
          <w:rFonts w:ascii="Verdana" w:eastAsia="Arial MT" w:hAnsi="Verdana" w:cs="Arial"/>
        </w:rPr>
        <w:t>doctrina,</w:t>
      </w:r>
      <w:r w:rsidRPr="006A09D6">
        <w:rPr>
          <w:rFonts w:ascii="Verdana" w:eastAsia="Arial MT" w:hAnsi="Verdana" w:cs="Arial"/>
          <w:spacing w:val="1"/>
        </w:rPr>
        <w:t xml:space="preserve"> </w:t>
      </w:r>
      <w:r w:rsidRPr="006A09D6">
        <w:rPr>
          <w:rFonts w:ascii="Verdana" w:eastAsia="Arial MT" w:hAnsi="Verdana" w:cs="Arial"/>
        </w:rPr>
        <w:t>las</w:t>
      </w:r>
      <w:r w:rsidRPr="006A09D6">
        <w:rPr>
          <w:rFonts w:ascii="Verdana" w:eastAsia="Arial MT" w:hAnsi="Verdana" w:cs="Arial"/>
          <w:spacing w:val="1"/>
        </w:rPr>
        <w:t xml:space="preserve"> </w:t>
      </w:r>
      <w:r w:rsidRPr="006A09D6">
        <w:rPr>
          <w:rFonts w:ascii="Verdana" w:eastAsia="Arial MT" w:hAnsi="Verdana" w:cs="Arial"/>
        </w:rPr>
        <w:t>inhabilidades</w:t>
      </w:r>
      <w:r w:rsidRPr="006A09D6">
        <w:rPr>
          <w:rFonts w:ascii="Verdana" w:eastAsia="Arial MT" w:hAnsi="Verdana" w:cs="Arial"/>
          <w:spacing w:val="1"/>
        </w:rPr>
        <w:t xml:space="preserve"> </w:t>
      </w:r>
      <w:r w:rsidRPr="006A09D6">
        <w:rPr>
          <w:rFonts w:ascii="Verdana" w:eastAsia="Arial MT" w:hAnsi="Verdana" w:cs="Arial"/>
        </w:rPr>
        <w:t>e</w:t>
      </w:r>
      <w:r w:rsidRPr="006A09D6">
        <w:rPr>
          <w:rFonts w:ascii="Verdana" w:eastAsia="Arial MT" w:hAnsi="Verdana" w:cs="Arial"/>
          <w:spacing w:val="1"/>
        </w:rPr>
        <w:t xml:space="preserve"> </w:t>
      </w:r>
      <w:r w:rsidRPr="006A09D6">
        <w:rPr>
          <w:rFonts w:ascii="Verdana" w:eastAsia="Arial MT" w:hAnsi="Verdana" w:cs="Arial"/>
        </w:rPr>
        <w:t>incompatibilidades se han convertido en herramientas en la lucha contra la corrupción,</w:t>
      </w:r>
      <w:r w:rsidRPr="006A09D6">
        <w:rPr>
          <w:rFonts w:ascii="Verdana" w:eastAsia="Arial MT" w:hAnsi="Verdana" w:cs="Arial"/>
          <w:spacing w:val="1"/>
        </w:rPr>
        <w:t xml:space="preserve"> </w:t>
      </w:r>
      <w:r w:rsidRPr="006A09D6">
        <w:rPr>
          <w:rFonts w:ascii="Verdana" w:eastAsia="Arial MT" w:hAnsi="Verdana" w:cs="Arial"/>
        </w:rPr>
        <w:t>adoptando</w:t>
      </w:r>
      <w:r w:rsidRPr="006A09D6">
        <w:rPr>
          <w:rFonts w:ascii="Verdana" w:eastAsia="Arial MT" w:hAnsi="Verdana" w:cs="Arial"/>
          <w:spacing w:val="-14"/>
        </w:rPr>
        <w:t xml:space="preserve"> </w:t>
      </w:r>
      <w:r w:rsidRPr="006A09D6">
        <w:rPr>
          <w:rFonts w:ascii="Verdana" w:eastAsia="Arial MT" w:hAnsi="Verdana" w:cs="Arial"/>
        </w:rPr>
        <w:t>paulatinamente</w:t>
      </w:r>
      <w:r w:rsidRPr="006A09D6">
        <w:rPr>
          <w:rFonts w:ascii="Verdana" w:eastAsia="Arial MT" w:hAnsi="Verdana" w:cs="Arial"/>
          <w:spacing w:val="-14"/>
        </w:rPr>
        <w:t xml:space="preserve"> </w:t>
      </w:r>
      <w:r w:rsidRPr="006A09D6">
        <w:rPr>
          <w:rFonts w:ascii="Verdana" w:eastAsia="Arial MT" w:hAnsi="Verdana" w:cs="Arial"/>
        </w:rPr>
        <w:t>un</w:t>
      </w:r>
      <w:r w:rsidRPr="006A09D6">
        <w:rPr>
          <w:rFonts w:ascii="Verdana" w:eastAsia="Arial MT" w:hAnsi="Verdana" w:cs="Arial"/>
          <w:spacing w:val="-14"/>
        </w:rPr>
        <w:t xml:space="preserve"> </w:t>
      </w:r>
      <w:r w:rsidRPr="006A09D6">
        <w:rPr>
          <w:rFonts w:ascii="Verdana" w:eastAsia="Arial MT" w:hAnsi="Verdana" w:cs="Arial"/>
        </w:rPr>
        <w:lastRenderedPageBreak/>
        <w:t>carácter</w:t>
      </w:r>
      <w:r w:rsidRPr="006A09D6">
        <w:rPr>
          <w:rFonts w:ascii="Verdana" w:eastAsia="Arial MT" w:hAnsi="Verdana" w:cs="Arial"/>
          <w:spacing w:val="-15"/>
        </w:rPr>
        <w:t xml:space="preserve"> </w:t>
      </w:r>
      <w:r w:rsidRPr="006A09D6">
        <w:rPr>
          <w:rFonts w:ascii="Verdana" w:eastAsia="Arial MT" w:hAnsi="Verdana" w:cs="Arial"/>
        </w:rPr>
        <w:t>sancionatorio</w:t>
      </w:r>
      <w:r w:rsidRPr="006A09D6">
        <w:rPr>
          <w:rFonts w:ascii="Verdana" w:eastAsia="Arial MT" w:hAnsi="Verdana" w:cs="Arial"/>
          <w:spacing w:val="-14"/>
        </w:rPr>
        <w:t xml:space="preserve"> </w:t>
      </w:r>
      <w:r w:rsidRPr="006A09D6">
        <w:rPr>
          <w:rFonts w:ascii="Verdana" w:eastAsia="Arial MT" w:hAnsi="Verdana" w:cs="Arial"/>
        </w:rPr>
        <w:t>o</w:t>
      </w:r>
      <w:r w:rsidRPr="006A09D6">
        <w:rPr>
          <w:rFonts w:ascii="Verdana" w:eastAsia="Arial MT" w:hAnsi="Verdana" w:cs="Arial"/>
          <w:spacing w:val="-15"/>
        </w:rPr>
        <w:t xml:space="preserve"> </w:t>
      </w:r>
      <w:r w:rsidRPr="006A09D6">
        <w:rPr>
          <w:rFonts w:ascii="Verdana" w:eastAsia="Arial MT" w:hAnsi="Verdana" w:cs="Arial"/>
        </w:rPr>
        <w:t>“neopunitivo”</w:t>
      </w:r>
      <w:r w:rsidRPr="006A09D6">
        <w:rPr>
          <w:rFonts w:ascii="Verdana" w:hAnsi="Verdana"/>
          <w:vertAlign w:val="superscript"/>
        </w:rPr>
        <w:footnoteReference w:id="1"/>
      </w:r>
      <w:r w:rsidRPr="006A09D6">
        <w:rPr>
          <w:rFonts w:ascii="Verdana" w:eastAsia="Arial MT" w:hAnsi="Verdana" w:cs="Arial"/>
        </w:rPr>
        <w:t>.</w:t>
      </w:r>
      <w:r w:rsidRPr="006A09D6">
        <w:rPr>
          <w:rFonts w:ascii="Verdana" w:eastAsia="Arial MT" w:hAnsi="Verdana" w:cs="Arial"/>
          <w:spacing w:val="-14"/>
        </w:rPr>
        <w:t xml:space="preserve"> </w:t>
      </w:r>
      <w:r w:rsidRPr="006A09D6">
        <w:rPr>
          <w:rFonts w:ascii="Verdana" w:eastAsia="Arial MT" w:hAnsi="Verdana" w:cs="Arial"/>
        </w:rPr>
        <w:t>Si</w:t>
      </w:r>
      <w:r w:rsidRPr="006A09D6">
        <w:rPr>
          <w:rFonts w:ascii="Verdana" w:eastAsia="Arial MT" w:hAnsi="Verdana" w:cs="Arial"/>
          <w:spacing w:val="-14"/>
        </w:rPr>
        <w:t xml:space="preserve"> </w:t>
      </w:r>
      <w:r w:rsidRPr="006A09D6">
        <w:rPr>
          <w:rFonts w:ascii="Verdana" w:eastAsia="Arial MT" w:hAnsi="Verdana" w:cs="Arial"/>
        </w:rPr>
        <w:t>bien</w:t>
      </w:r>
      <w:r w:rsidRPr="006A09D6">
        <w:rPr>
          <w:rFonts w:ascii="Verdana" w:eastAsia="Arial MT" w:hAnsi="Verdana" w:cs="Arial"/>
          <w:spacing w:val="-14"/>
        </w:rPr>
        <w:t xml:space="preserve"> </w:t>
      </w:r>
      <w:r w:rsidRPr="006A09D6">
        <w:rPr>
          <w:rFonts w:ascii="Verdana" w:eastAsia="Arial MT" w:hAnsi="Verdana" w:cs="Arial"/>
        </w:rPr>
        <w:t>no</w:t>
      </w:r>
      <w:r w:rsidRPr="006A09D6">
        <w:rPr>
          <w:rFonts w:ascii="Verdana" w:eastAsia="Arial MT" w:hAnsi="Verdana" w:cs="Arial"/>
          <w:spacing w:val="-14"/>
        </w:rPr>
        <w:t xml:space="preserve"> </w:t>
      </w:r>
      <w:r w:rsidRPr="006A09D6">
        <w:rPr>
          <w:rFonts w:ascii="Verdana" w:eastAsia="Arial MT" w:hAnsi="Verdana" w:cs="Arial"/>
        </w:rPr>
        <w:t>todas las causales de inhabilidad y de incompatibilidad son consecuencia de una medida de</w:t>
      </w:r>
      <w:r w:rsidRPr="006A09D6">
        <w:rPr>
          <w:rFonts w:ascii="Verdana" w:eastAsia="Arial MT" w:hAnsi="Verdana" w:cs="Arial"/>
          <w:spacing w:val="1"/>
        </w:rPr>
        <w:t xml:space="preserve"> </w:t>
      </w:r>
      <w:r w:rsidRPr="006A09D6">
        <w:rPr>
          <w:rFonts w:ascii="Verdana" w:eastAsia="Arial MT" w:hAnsi="Verdana" w:cs="Arial"/>
        </w:rPr>
        <w:t>reproche,</w:t>
      </w:r>
      <w:r w:rsidRPr="006A09D6">
        <w:rPr>
          <w:rFonts w:ascii="Verdana" w:eastAsia="Arial MT" w:hAnsi="Verdana" w:cs="Arial"/>
          <w:spacing w:val="2"/>
        </w:rPr>
        <w:t xml:space="preserve"> </w:t>
      </w:r>
      <w:r w:rsidRPr="006A09D6">
        <w:rPr>
          <w:rFonts w:ascii="Verdana" w:eastAsia="Arial MT" w:hAnsi="Verdana" w:cs="Arial"/>
        </w:rPr>
        <w:t>ni</w:t>
      </w:r>
      <w:r w:rsidRPr="006A09D6">
        <w:rPr>
          <w:rFonts w:ascii="Verdana" w:eastAsia="Arial MT" w:hAnsi="Verdana" w:cs="Arial"/>
          <w:spacing w:val="3"/>
        </w:rPr>
        <w:t xml:space="preserve"> </w:t>
      </w:r>
      <w:r w:rsidRPr="006A09D6">
        <w:rPr>
          <w:rFonts w:ascii="Verdana" w:eastAsia="Arial MT" w:hAnsi="Verdana" w:cs="Arial"/>
        </w:rPr>
        <w:t>de</w:t>
      </w:r>
      <w:r w:rsidRPr="006A09D6">
        <w:rPr>
          <w:rFonts w:ascii="Verdana" w:eastAsia="Arial MT" w:hAnsi="Verdana" w:cs="Arial"/>
          <w:spacing w:val="2"/>
        </w:rPr>
        <w:t xml:space="preserve"> </w:t>
      </w:r>
      <w:r w:rsidRPr="006A09D6">
        <w:rPr>
          <w:rFonts w:ascii="Verdana" w:eastAsia="Arial MT" w:hAnsi="Verdana" w:cs="Arial"/>
        </w:rPr>
        <w:t>una</w:t>
      </w:r>
      <w:r w:rsidRPr="006A09D6">
        <w:rPr>
          <w:rFonts w:ascii="Verdana" w:eastAsia="Arial MT" w:hAnsi="Verdana" w:cs="Arial"/>
          <w:spacing w:val="3"/>
        </w:rPr>
        <w:t xml:space="preserve"> </w:t>
      </w:r>
      <w:r w:rsidRPr="006A09D6">
        <w:rPr>
          <w:rFonts w:ascii="Verdana" w:eastAsia="Arial MT" w:hAnsi="Verdana" w:cs="Arial"/>
        </w:rPr>
        <w:t>sanción</w:t>
      </w:r>
      <w:r w:rsidRPr="006A09D6">
        <w:rPr>
          <w:rFonts w:ascii="Verdana" w:eastAsia="Arial MT" w:hAnsi="Verdana" w:cs="Arial"/>
          <w:spacing w:val="2"/>
        </w:rPr>
        <w:t xml:space="preserve"> </w:t>
      </w:r>
      <w:r w:rsidRPr="006A09D6">
        <w:rPr>
          <w:rFonts w:ascii="Verdana" w:eastAsia="Arial MT" w:hAnsi="Verdana" w:cs="Arial"/>
        </w:rPr>
        <w:t>previa,</w:t>
      </w:r>
      <w:r w:rsidRPr="006A09D6">
        <w:rPr>
          <w:rFonts w:ascii="Verdana" w:eastAsia="Arial MT" w:hAnsi="Verdana" w:cs="Arial"/>
          <w:spacing w:val="3"/>
        </w:rPr>
        <w:t xml:space="preserve"> </w:t>
      </w:r>
      <w:r w:rsidRPr="006A09D6">
        <w:rPr>
          <w:rFonts w:ascii="Verdana" w:eastAsia="Arial MT" w:hAnsi="Verdana" w:cs="Arial"/>
        </w:rPr>
        <w:t>es</w:t>
      </w:r>
      <w:r w:rsidRPr="006A09D6">
        <w:rPr>
          <w:rFonts w:ascii="Verdana" w:eastAsia="Arial MT" w:hAnsi="Verdana" w:cs="Arial"/>
          <w:spacing w:val="3"/>
        </w:rPr>
        <w:t xml:space="preserve"> </w:t>
      </w:r>
      <w:r w:rsidRPr="006A09D6">
        <w:rPr>
          <w:rFonts w:ascii="Verdana" w:eastAsia="Arial MT" w:hAnsi="Verdana" w:cs="Arial"/>
        </w:rPr>
        <w:t>indiscutible</w:t>
      </w:r>
      <w:r w:rsidRPr="006A09D6">
        <w:rPr>
          <w:rFonts w:ascii="Verdana" w:eastAsia="Arial MT" w:hAnsi="Verdana" w:cs="Arial"/>
          <w:spacing w:val="2"/>
        </w:rPr>
        <w:t xml:space="preserve"> </w:t>
      </w:r>
      <w:r w:rsidRPr="006A09D6">
        <w:rPr>
          <w:rFonts w:ascii="Verdana" w:eastAsia="Arial MT" w:hAnsi="Verdana" w:cs="Arial"/>
        </w:rPr>
        <w:t>que</w:t>
      </w:r>
      <w:r w:rsidRPr="006A09D6">
        <w:rPr>
          <w:rFonts w:ascii="Verdana" w:eastAsia="Arial MT" w:hAnsi="Verdana" w:cs="Arial"/>
          <w:spacing w:val="3"/>
        </w:rPr>
        <w:t xml:space="preserve"> </w:t>
      </w:r>
      <w:r w:rsidRPr="006A09D6">
        <w:rPr>
          <w:rFonts w:ascii="Verdana" w:eastAsia="Arial MT" w:hAnsi="Verdana" w:cs="Arial"/>
        </w:rPr>
        <w:t>en</w:t>
      </w:r>
      <w:r w:rsidRPr="006A09D6">
        <w:rPr>
          <w:rFonts w:ascii="Verdana" w:eastAsia="Arial MT" w:hAnsi="Verdana" w:cs="Arial"/>
          <w:spacing w:val="3"/>
        </w:rPr>
        <w:t xml:space="preserve"> </w:t>
      </w:r>
      <w:r w:rsidRPr="006A09D6">
        <w:rPr>
          <w:rFonts w:ascii="Verdana" w:eastAsia="Arial MT" w:hAnsi="Verdana" w:cs="Arial"/>
        </w:rPr>
        <w:t>los</w:t>
      </w:r>
      <w:r w:rsidRPr="006A09D6">
        <w:rPr>
          <w:rFonts w:ascii="Verdana" w:eastAsia="Arial MT" w:hAnsi="Verdana" w:cs="Arial"/>
          <w:spacing w:val="2"/>
        </w:rPr>
        <w:t xml:space="preserve"> </w:t>
      </w:r>
      <w:r w:rsidRPr="006A09D6">
        <w:rPr>
          <w:rFonts w:ascii="Verdana" w:eastAsia="Arial MT" w:hAnsi="Verdana" w:cs="Arial"/>
        </w:rPr>
        <w:t>años más recientes los lamentables hechos de corrupción han generado como respuesta</w:t>
      </w:r>
      <w:r w:rsidRPr="006A09D6">
        <w:rPr>
          <w:rFonts w:ascii="Verdana" w:eastAsia="Arial MT" w:hAnsi="Verdana" w:cs="Arial"/>
          <w:spacing w:val="1"/>
        </w:rPr>
        <w:t xml:space="preserve"> </w:t>
      </w:r>
      <w:r w:rsidRPr="006A09D6">
        <w:rPr>
          <w:rFonts w:ascii="Verdana" w:eastAsia="Arial MT" w:hAnsi="Verdana" w:cs="Arial"/>
        </w:rPr>
        <w:t>del legislador, un incremento de las restricciones a la capacidad contractual, dirigidas a</w:t>
      </w:r>
      <w:r w:rsidRPr="006A09D6">
        <w:rPr>
          <w:rFonts w:ascii="Verdana" w:eastAsia="Arial MT" w:hAnsi="Verdana" w:cs="Arial"/>
          <w:spacing w:val="-59"/>
        </w:rPr>
        <w:t xml:space="preserve"> </w:t>
      </w:r>
      <w:r w:rsidRPr="006A09D6">
        <w:rPr>
          <w:rFonts w:ascii="Verdana" w:eastAsia="Arial MT" w:hAnsi="Verdana" w:cs="Arial"/>
        </w:rPr>
        <w:t>prevenir</w:t>
      </w:r>
      <w:r w:rsidRPr="006A09D6">
        <w:rPr>
          <w:rFonts w:ascii="Verdana" w:eastAsia="Arial MT" w:hAnsi="Verdana" w:cs="Arial"/>
          <w:spacing w:val="-2"/>
        </w:rPr>
        <w:t xml:space="preserve"> </w:t>
      </w:r>
      <w:r w:rsidRPr="006A09D6">
        <w:rPr>
          <w:rFonts w:ascii="Verdana" w:eastAsia="Arial MT" w:hAnsi="Verdana" w:cs="Arial"/>
        </w:rPr>
        <w:t>este</w:t>
      </w:r>
      <w:r w:rsidRPr="006A09D6">
        <w:rPr>
          <w:rFonts w:ascii="Verdana" w:eastAsia="Arial MT" w:hAnsi="Verdana" w:cs="Arial"/>
          <w:spacing w:val="-1"/>
        </w:rPr>
        <w:t xml:space="preserve"> </w:t>
      </w:r>
      <w:r w:rsidRPr="006A09D6">
        <w:rPr>
          <w:rFonts w:ascii="Verdana" w:eastAsia="Arial MT" w:hAnsi="Verdana" w:cs="Arial"/>
        </w:rPr>
        <w:t>tipo</w:t>
      </w:r>
      <w:r w:rsidRPr="006A09D6">
        <w:rPr>
          <w:rFonts w:ascii="Verdana" w:eastAsia="Arial MT" w:hAnsi="Verdana" w:cs="Arial"/>
          <w:spacing w:val="-2"/>
        </w:rPr>
        <w:t xml:space="preserve"> </w:t>
      </w:r>
      <w:r w:rsidRPr="006A09D6">
        <w:rPr>
          <w:rFonts w:ascii="Verdana" w:eastAsia="Arial MT" w:hAnsi="Verdana" w:cs="Arial"/>
        </w:rPr>
        <w:t>de</w:t>
      </w:r>
      <w:r w:rsidRPr="006A09D6">
        <w:rPr>
          <w:rFonts w:ascii="Verdana" w:eastAsia="Arial MT" w:hAnsi="Verdana" w:cs="Arial"/>
          <w:spacing w:val="-1"/>
        </w:rPr>
        <w:t xml:space="preserve"> </w:t>
      </w:r>
      <w:r w:rsidRPr="006A09D6">
        <w:rPr>
          <w:rFonts w:ascii="Verdana" w:eastAsia="Arial MT" w:hAnsi="Verdana" w:cs="Arial"/>
        </w:rPr>
        <w:t>situaciones</w:t>
      </w:r>
      <w:r w:rsidRPr="006A09D6">
        <w:rPr>
          <w:rFonts w:ascii="Verdana" w:eastAsia="Arial MT" w:hAnsi="Verdana" w:cs="Arial"/>
          <w:spacing w:val="-1"/>
        </w:rPr>
        <w:t xml:space="preserve"> </w:t>
      </w:r>
      <w:r w:rsidRPr="006A09D6">
        <w:rPr>
          <w:rFonts w:ascii="Verdana" w:eastAsia="Arial MT" w:hAnsi="Verdana" w:cs="Arial"/>
        </w:rPr>
        <w:t>o</w:t>
      </w:r>
      <w:r w:rsidRPr="006A09D6">
        <w:rPr>
          <w:rFonts w:ascii="Verdana" w:eastAsia="Arial MT" w:hAnsi="Verdana" w:cs="Arial"/>
          <w:spacing w:val="-2"/>
        </w:rPr>
        <w:t xml:space="preserve"> </w:t>
      </w:r>
      <w:r w:rsidRPr="006A09D6">
        <w:rPr>
          <w:rFonts w:ascii="Verdana" w:eastAsia="Arial MT" w:hAnsi="Verdana" w:cs="Arial"/>
        </w:rPr>
        <w:t>a</w:t>
      </w:r>
      <w:r w:rsidRPr="006A09D6">
        <w:rPr>
          <w:rFonts w:ascii="Verdana" w:eastAsia="Arial MT" w:hAnsi="Verdana" w:cs="Arial"/>
          <w:spacing w:val="-1"/>
        </w:rPr>
        <w:t xml:space="preserve"> </w:t>
      </w:r>
      <w:r w:rsidRPr="006A09D6">
        <w:rPr>
          <w:rFonts w:ascii="Verdana" w:eastAsia="Arial MT" w:hAnsi="Verdana" w:cs="Arial"/>
        </w:rPr>
        <w:t>sancionar</w:t>
      </w:r>
      <w:r w:rsidRPr="006A09D6">
        <w:rPr>
          <w:rFonts w:ascii="Verdana" w:eastAsia="Arial MT" w:hAnsi="Verdana" w:cs="Arial"/>
          <w:spacing w:val="-1"/>
        </w:rPr>
        <w:t xml:space="preserve"> </w:t>
      </w:r>
      <w:r w:rsidRPr="006A09D6">
        <w:rPr>
          <w:rFonts w:ascii="Verdana" w:eastAsia="Arial MT" w:hAnsi="Verdana" w:cs="Arial"/>
        </w:rPr>
        <w:t>tales</w:t>
      </w:r>
      <w:r w:rsidRPr="006A09D6">
        <w:rPr>
          <w:rFonts w:ascii="Verdana" w:eastAsia="Arial MT" w:hAnsi="Verdana" w:cs="Arial"/>
          <w:spacing w:val="-2"/>
        </w:rPr>
        <w:t xml:space="preserve"> </w:t>
      </w:r>
      <w:r w:rsidRPr="006A09D6">
        <w:rPr>
          <w:rFonts w:ascii="Verdana" w:eastAsia="Arial MT" w:hAnsi="Verdana" w:cs="Arial"/>
        </w:rPr>
        <w:t>conductas.</w:t>
      </w:r>
    </w:p>
    <w:p w14:paraId="0880FC65" w14:textId="77777777" w:rsidR="00B33517" w:rsidRPr="006A09D6" w:rsidRDefault="00B33517" w:rsidP="00B33517">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Ahora bien, las inhabilidades e incompatibilidades, al ser</w:t>
      </w:r>
      <w:r w:rsidRPr="006A09D6">
        <w:rPr>
          <w:rFonts w:ascii="Verdana" w:eastAsia="Arial MT" w:hAnsi="Verdana" w:cs="Arial"/>
          <w:spacing w:val="1"/>
        </w:rPr>
        <w:t xml:space="preserve"> </w:t>
      </w:r>
      <w:r w:rsidRPr="006A09D6">
        <w:rPr>
          <w:rFonts w:ascii="Verdana" w:eastAsia="Arial MT" w:hAnsi="Verdana" w:cs="Arial"/>
        </w:rPr>
        <w:t>restricciones o límites especiales a la capacidad para presentar ofertas y celebrar</w:t>
      </w:r>
      <w:r w:rsidRPr="006A09D6">
        <w:rPr>
          <w:rFonts w:ascii="Verdana" w:eastAsia="Arial MT" w:hAnsi="Verdana" w:cs="Arial"/>
          <w:spacing w:val="1"/>
        </w:rPr>
        <w:t xml:space="preserve"> </w:t>
      </w:r>
      <w:r w:rsidRPr="006A09D6">
        <w:rPr>
          <w:rFonts w:ascii="Verdana" w:eastAsia="Arial MT" w:hAnsi="Verdana" w:cs="Arial"/>
        </w:rPr>
        <w:t>contratos</w:t>
      </w:r>
      <w:r w:rsidRPr="006A09D6">
        <w:rPr>
          <w:rFonts w:ascii="Verdana" w:eastAsia="Arial MT" w:hAnsi="Verdana" w:cs="Arial"/>
          <w:spacing w:val="-12"/>
        </w:rPr>
        <w:t xml:space="preserve"> </w:t>
      </w:r>
      <w:r w:rsidRPr="006A09D6">
        <w:rPr>
          <w:rFonts w:ascii="Verdana" w:eastAsia="Arial MT" w:hAnsi="Verdana" w:cs="Arial"/>
        </w:rPr>
        <w:t>estatales,</w:t>
      </w:r>
      <w:r w:rsidRPr="006A09D6">
        <w:rPr>
          <w:rFonts w:ascii="Verdana" w:eastAsia="Arial MT" w:hAnsi="Verdana" w:cs="Arial"/>
          <w:spacing w:val="-12"/>
        </w:rPr>
        <w:t xml:space="preserve"> </w:t>
      </w:r>
      <w:r w:rsidRPr="006A09D6">
        <w:rPr>
          <w:rFonts w:ascii="Verdana" w:eastAsia="Arial MT" w:hAnsi="Verdana" w:cs="Arial"/>
        </w:rPr>
        <w:t>solo</w:t>
      </w:r>
      <w:r w:rsidRPr="006A09D6">
        <w:rPr>
          <w:rFonts w:ascii="Verdana" w:eastAsia="Arial MT" w:hAnsi="Verdana" w:cs="Arial"/>
          <w:spacing w:val="-12"/>
        </w:rPr>
        <w:t xml:space="preserve"> </w:t>
      </w:r>
      <w:r w:rsidRPr="006A09D6">
        <w:rPr>
          <w:rFonts w:ascii="Verdana" w:eastAsia="Arial MT" w:hAnsi="Verdana" w:cs="Arial"/>
        </w:rPr>
        <w:t>pueden</w:t>
      </w:r>
      <w:r w:rsidRPr="006A09D6">
        <w:rPr>
          <w:rFonts w:ascii="Verdana" w:eastAsia="Arial MT" w:hAnsi="Verdana" w:cs="Arial"/>
          <w:spacing w:val="-11"/>
        </w:rPr>
        <w:t xml:space="preserve"> </w:t>
      </w:r>
      <w:r w:rsidRPr="006A09D6">
        <w:rPr>
          <w:rFonts w:ascii="Verdana" w:eastAsia="Arial MT" w:hAnsi="Verdana" w:cs="Arial"/>
        </w:rPr>
        <w:t>tipificarse</w:t>
      </w:r>
      <w:r w:rsidRPr="006A09D6">
        <w:rPr>
          <w:rFonts w:ascii="Verdana" w:eastAsia="Arial MT" w:hAnsi="Verdana" w:cs="Arial"/>
          <w:spacing w:val="-10"/>
        </w:rPr>
        <w:t xml:space="preserve"> </w:t>
      </w:r>
      <w:r w:rsidRPr="006A09D6">
        <w:rPr>
          <w:rFonts w:ascii="Verdana" w:eastAsia="Arial MT" w:hAnsi="Verdana" w:cs="Arial"/>
        </w:rPr>
        <w:t>en</w:t>
      </w:r>
      <w:r w:rsidRPr="006A09D6">
        <w:rPr>
          <w:rFonts w:ascii="Verdana" w:eastAsia="Arial MT" w:hAnsi="Verdana" w:cs="Arial"/>
          <w:spacing w:val="-12"/>
        </w:rPr>
        <w:t xml:space="preserve"> </w:t>
      </w:r>
      <w:r w:rsidRPr="006A09D6">
        <w:rPr>
          <w:rFonts w:ascii="Verdana" w:eastAsia="Arial MT" w:hAnsi="Verdana" w:cs="Arial"/>
        </w:rPr>
        <w:t>la</w:t>
      </w:r>
      <w:r w:rsidRPr="006A09D6">
        <w:rPr>
          <w:rFonts w:ascii="Verdana" w:eastAsia="Arial MT" w:hAnsi="Verdana" w:cs="Arial"/>
          <w:spacing w:val="-12"/>
        </w:rPr>
        <w:t xml:space="preserve"> </w:t>
      </w:r>
      <w:r w:rsidRPr="006A09D6">
        <w:rPr>
          <w:rFonts w:ascii="Verdana" w:eastAsia="Arial MT" w:hAnsi="Verdana" w:cs="Arial"/>
        </w:rPr>
        <w:t>ley</w:t>
      </w:r>
      <w:r w:rsidRPr="006A09D6">
        <w:rPr>
          <w:rFonts w:ascii="Verdana" w:eastAsia="Arial MT" w:hAnsi="Verdana" w:cs="Arial"/>
          <w:spacing w:val="-12"/>
        </w:rPr>
        <w:t xml:space="preserve"> </w:t>
      </w:r>
      <w:r w:rsidRPr="006A09D6">
        <w:rPr>
          <w:rFonts w:ascii="Verdana" w:eastAsia="Arial MT" w:hAnsi="Verdana" w:cs="Arial"/>
        </w:rPr>
        <w:t xml:space="preserve">y su interpretación debe ser </w:t>
      </w:r>
      <w:r w:rsidRPr="006A09D6">
        <w:rPr>
          <w:rFonts w:ascii="Verdana" w:eastAsia="Arial MT" w:hAnsi="Verdana" w:cs="Arial"/>
          <w:i/>
        </w:rPr>
        <w:t>restrictiva</w:t>
      </w:r>
      <w:r w:rsidRPr="006A09D6">
        <w:rPr>
          <w:i/>
          <w:vertAlign w:val="superscript"/>
        </w:rPr>
        <w:footnoteReference w:id="2"/>
      </w:r>
      <w:r w:rsidRPr="006A09D6">
        <w:rPr>
          <w:rFonts w:ascii="Verdana" w:eastAsia="Arial MT" w:hAnsi="Verdana" w:cs="Arial"/>
        </w:rPr>
        <w:t>. De admitirse una interpretación</w:t>
      </w:r>
      <w:r w:rsidRPr="006A09D6">
        <w:rPr>
          <w:rFonts w:ascii="Verdana" w:eastAsia="Arial MT" w:hAnsi="Verdana" w:cs="Arial"/>
          <w:spacing w:val="1"/>
        </w:rPr>
        <w:t xml:space="preserve"> </w:t>
      </w:r>
      <w:r w:rsidRPr="006A09D6">
        <w:rPr>
          <w:rFonts w:ascii="Verdana" w:eastAsia="Arial MT" w:hAnsi="Verdana" w:cs="Arial"/>
        </w:rPr>
        <w:t>extensiva,</w:t>
      </w:r>
      <w:r w:rsidRPr="006A09D6">
        <w:rPr>
          <w:rFonts w:ascii="Verdana" w:eastAsia="Arial MT" w:hAnsi="Verdana" w:cs="Arial"/>
          <w:spacing w:val="1"/>
        </w:rPr>
        <w:t xml:space="preserve"> </w:t>
      </w:r>
      <w:r w:rsidRPr="006A09D6">
        <w:rPr>
          <w:rFonts w:ascii="Verdana" w:eastAsia="Arial MT" w:hAnsi="Verdana" w:cs="Arial"/>
        </w:rPr>
        <w:t>tales</w:t>
      </w:r>
      <w:r w:rsidRPr="006A09D6">
        <w:rPr>
          <w:rFonts w:ascii="Verdana" w:eastAsia="Arial MT" w:hAnsi="Verdana" w:cs="Arial"/>
          <w:spacing w:val="1"/>
        </w:rPr>
        <w:t xml:space="preserve"> </w:t>
      </w:r>
      <w:r w:rsidRPr="006A09D6">
        <w:rPr>
          <w:rFonts w:ascii="Verdana" w:eastAsia="Arial MT" w:hAnsi="Verdana" w:cs="Arial"/>
        </w:rPr>
        <w:t>enunciados</w:t>
      </w:r>
      <w:r w:rsidRPr="006A09D6">
        <w:rPr>
          <w:rFonts w:ascii="Verdana" w:eastAsia="Arial MT" w:hAnsi="Verdana" w:cs="Arial"/>
          <w:spacing w:val="1"/>
        </w:rPr>
        <w:t xml:space="preserve"> </w:t>
      </w:r>
      <w:r w:rsidRPr="006A09D6">
        <w:rPr>
          <w:rFonts w:ascii="Verdana" w:eastAsia="Arial MT" w:hAnsi="Verdana" w:cs="Arial"/>
        </w:rPr>
        <w:t>normativos</w:t>
      </w:r>
      <w:r w:rsidRPr="006A09D6">
        <w:rPr>
          <w:rFonts w:ascii="Verdana" w:eastAsia="Arial MT" w:hAnsi="Verdana" w:cs="Arial"/>
          <w:spacing w:val="1"/>
        </w:rPr>
        <w:t xml:space="preserve"> </w:t>
      </w:r>
      <w:r w:rsidRPr="006A09D6">
        <w:rPr>
          <w:rFonts w:ascii="Verdana" w:eastAsia="Arial MT" w:hAnsi="Verdana" w:cs="Arial"/>
        </w:rPr>
        <w:t>podrían</w:t>
      </w:r>
      <w:r w:rsidRPr="006A09D6">
        <w:rPr>
          <w:rFonts w:ascii="Verdana" w:eastAsia="Arial MT" w:hAnsi="Verdana" w:cs="Arial"/>
          <w:spacing w:val="1"/>
        </w:rPr>
        <w:t xml:space="preserve"> </w:t>
      </w:r>
      <w:r w:rsidRPr="006A09D6">
        <w:rPr>
          <w:rFonts w:ascii="Verdana" w:eastAsia="Arial MT" w:hAnsi="Verdana" w:cs="Arial"/>
        </w:rPr>
        <w:t>contemplar</w:t>
      </w:r>
      <w:r w:rsidRPr="006A09D6">
        <w:rPr>
          <w:rFonts w:ascii="Verdana" w:eastAsia="Arial MT" w:hAnsi="Verdana" w:cs="Arial"/>
          <w:spacing w:val="1"/>
        </w:rPr>
        <w:t xml:space="preserve"> </w:t>
      </w:r>
      <w:r w:rsidRPr="006A09D6">
        <w:rPr>
          <w:rFonts w:ascii="Verdana" w:eastAsia="Arial MT" w:hAnsi="Verdana" w:cs="Arial"/>
        </w:rPr>
        <w:t>múltiples</w:t>
      </w:r>
      <w:r w:rsidRPr="006A09D6">
        <w:rPr>
          <w:rFonts w:ascii="Verdana" w:eastAsia="Arial MT" w:hAnsi="Verdana" w:cs="Arial"/>
          <w:spacing w:val="1"/>
        </w:rPr>
        <w:t xml:space="preserve"> </w:t>
      </w:r>
      <w:r w:rsidRPr="006A09D6">
        <w:rPr>
          <w:rFonts w:ascii="Verdana" w:eastAsia="Arial MT" w:hAnsi="Verdana" w:cs="Arial"/>
        </w:rPr>
        <w:t>supuestos</w:t>
      </w:r>
      <w:r w:rsidRPr="006A09D6">
        <w:rPr>
          <w:rFonts w:ascii="Verdana" w:eastAsia="Arial MT" w:hAnsi="Verdana" w:cs="Arial"/>
          <w:spacing w:val="1"/>
        </w:rPr>
        <w:t xml:space="preserve"> </w:t>
      </w:r>
      <w:r w:rsidRPr="006A09D6">
        <w:rPr>
          <w:rFonts w:ascii="Verdana" w:eastAsia="Arial MT" w:hAnsi="Verdana" w:cs="Arial"/>
        </w:rPr>
        <w:t>indeterminados,</w:t>
      </w:r>
      <w:r w:rsidRPr="006A09D6">
        <w:rPr>
          <w:rFonts w:ascii="Verdana" w:eastAsia="Arial MT" w:hAnsi="Verdana" w:cs="Arial"/>
          <w:spacing w:val="-4"/>
        </w:rPr>
        <w:t xml:space="preserve"> </w:t>
      </w:r>
      <w:r w:rsidRPr="006A09D6">
        <w:rPr>
          <w:rFonts w:ascii="Verdana" w:eastAsia="Arial MT" w:hAnsi="Verdana" w:cs="Arial"/>
        </w:rPr>
        <w:t>adquiriendo</w:t>
      </w:r>
      <w:r w:rsidRPr="006A09D6">
        <w:rPr>
          <w:rFonts w:ascii="Verdana" w:eastAsia="Arial MT" w:hAnsi="Verdana" w:cs="Arial"/>
          <w:spacing w:val="-4"/>
        </w:rPr>
        <w:t xml:space="preserve"> </w:t>
      </w:r>
      <w:r w:rsidRPr="006A09D6">
        <w:rPr>
          <w:rFonts w:ascii="Verdana" w:eastAsia="Arial MT" w:hAnsi="Verdana" w:cs="Arial"/>
        </w:rPr>
        <w:t>un</w:t>
      </w:r>
      <w:r w:rsidRPr="006A09D6">
        <w:rPr>
          <w:rFonts w:ascii="Verdana" w:eastAsia="Arial MT" w:hAnsi="Verdana" w:cs="Arial"/>
          <w:spacing w:val="-4"/>
        </w:rPr>
        <w:t xml:space="preserve"> </w:t>
      </w:r>
      <w:r w:rsidRPr="006A09D6">
        <w:rPr>
          <w:rFonts w:ascii="Verdana" w:eastAsia="Arial MT" w:hAnsi="Verdana" w:cs="Arial"/>
        </w:rPr>
        <w:t>cariz</w:t>
      </w:r>
      <w:r w:rsidRPr="006A09D6">
        <w:rPr>
          <w:rFonts w:ascii="Verdana" w:eastAsia="Arial MT" w:hAnsi="Verdana" w:cs="Arial"/>
          <w:spacing w:val="-4"/>
        </w:rPr>
        <w:t xml:space="preserve"> </w:t>
      </w:r>
      <w:r w:rsidRPr="006A09D6">
        <w:rPr>
          <w:rFonts w:ascii="Verdana" w:eastAsia="Arial MT" w:hAnsi="Verdana" w:cs="Arial"/>
        </w:rPr>
        <w:t>subjetivo,</w:t>
      </w:r>
      <w:r w:rsidRPr="006A09D6">
        <w:rPr>
          <w:rFonts w:ascii="Verdana" w:eastAsia="Arial MT" w:hAnsi="Verdana" w:cs="Arial"/>
          <w:spacing w:val="-3"/>
        </w:rPr>
        <w:t xml:space="preserve"> </w:t>
      </w:r>
      <w:r w:rsidRPr="006A09D6">
        <w:rPr>
          <w:rFonts w:ascii="Verdana" w:eastAsia="Arial MT" w:hAnsi="Verdana" w:cs="Arial"/>
        </w:rPr>
        <w:t>según</w:t>
      </w:r>
      <w:r w:rsidRPr="006A09D6">
        <w:rPr>
          <w:rFonts w:ascii="Verdana" w:eastAsia="Arial MT" w:hAnsi="Verdana" w:cs="Arial"/>
          <w:spacing w:val="-4"/>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parecer</w:t>
      </w:r>
      <w:r w:rsidRPr="006A09D6">
        <w:rPr>
          <w:rFonts w:ascii="Verdana" w:eastAsia="Arial MT" w:hAnsi="Verdana" w:cs="Arial"/>
          <w:spacing w:val="-4"/>
        </w:rPr>
        <w:t xml:space="preserve"> </w:t>
      </w:r>
      <w:r w:rsidRPr="006A09D6">
        <w:rPr>
          <w:rFonts w:ascii="Verdana" w:eastAsia="Arial MT" w:hAnsi="Verdana" w:cs="Arial"/>
        </w:rPr>
        <w:t>o</w:t>
      </w:r>
      <w:r w:rsidRPr="006A09D6">
        <w:rPr>
          <w:rFonts w:ascii="Verdana" w:eastAsia="Arial MT" w:hAnsi="Verdana" w:cs="Arial"/>
          <w:spacing w:val="-3"/>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sentido</w:t>
      </w:r>
      <w:r w:rsidRPr="006A09D6">
        <w:rPr>
          <w:rFonts w:ascii="Verdana" w:eastAsia="Arial MT" w:hAnsi="Verdana" w:cs="Arial"/>
          <w:spacing w:val="-4"/>
        </w:rPr>
        <w:t xml:space="preserve"> </w:t>
      </w:r>
      <w:r w:rsidRPr="006A09D6">
        <w:rPr>
          <w:rFonts w:ascii="Verdana" w:eastAsia="Arial MT" w:hAnsi="Verdana" w:cs="Arial"/>
        </w:rPr>
        <w:t>común</w:t>
      </w:r>
      <w:r w:rsidRPr="006A09D6">
        <w:rPr>
          <w:rFonts w:ascii="Verdana" w:eastAsia="Arial MT" w:hAnsi="Verdana" w:cs="Arial"/>
          <w:spacing w:val="-4"/>
        </w:rPr>
        <w:t xml:space="preserve"> </w:t>
      </w:r>
      <w:r w:rsidRPr="006A09D6">
        <w:rPr>
          <w:rFonts w:ascii="Verdana" w:eastAsia="Arial MT" w:hAnsi="Verdana" w:cs="Arial"/>
        </w:rPr>
        <w:t>de los operadores jurídicos, poniendo en riesgo principios como la igualdad, el debido</w:t>
      </w:r>
      <w:r w:rsidRPr="006A09D6">
        <w:rPr>
          <w:rFonts w:ascii="Verdana" w:eastAsia="Arial MT" w:hAnsi="Verdana" w:cs="Arial"/>
          <w:spacing w:val="1"/>
        </w:rPr>
        <w:t xml:space="preserve"> </w:t>
      </w:r>
      <w:r w:rsidRPr="006A09D6">
        <w:rPr>
          <w:rFonts w:ascii="Verdana" w:eastAsia="Arial MT" w:hAnsi="Verdana" w:cs="Arial"/>
        </w:rPr>
        <w:t>proceso, la libre concurrencia y el ejercicio de la profesión u oficio. Tal ha sido la postura al interior de la jurisprudencia, tanto de la Corte Constitucional como de la Sección</w:t>
      </w:r>
      <w:r w:rsidRPr="006A09D6">
        <w:rPr>
          <w:rFonts w:ascii="Verdana" w:eastAsia="Arial MT" w:hAnsi="Verdana" w:cs="Arial"/>
          <w:spacing w:val="1"/>
        </w:rPr>
        <w:t xml:space="preserve"> </w:t>
      </w:r>
      <w:r w:rsidRPr="006A09D6">
        <w:rPr>
          <w:rFonts w:ascii="Verdana" w:eastAsia="Arial MT" w:hAnsi="Verdana" w:cs="Arial"/>
        </w:rPr>
        <w:t>Tercera</w:t>
      </w:r>
      <w:r w:rsidRPr="006A09D6">
        <w:rPr>
          <w:rFonts w:ascii="Verdana" w:eastAsia="Arial MT" w:hAnsi="Verdana" w:cs="Arial"/>
          <w:spacing w:val="-2"/>
        </w:rPr>
        <w:t xml:space="preserve"> </w:t>
      </w:r>
      <w:r w:rsidRPr="006A09D6">
        <w:rPr>
          <w:rFonts w:ascii="Verdana" w:eastAsia="Arial MT" w:hAnsi="Verdana" w:cs="Arial"/>
        </w:rPr>
        <w:t>del</w:t>
      </w:r>
      <w:r w:rsidRPr="006A09D6">
        <w:rPr>
          <w:rFonts w:ascii="Verdana" w:eastAsia="Arial MT" w:hAnsi="Verdana" w:cs="Arial"/>
          <w:spacing w:val="-1"/>
        </w:rPr>
        <w:t xml:space="preserve"> </w:t>
      </w:r>
      <w:r w:rsidRPr="006A09D6">
        <w:rPr>
          <w:rFonts w:ascii="Verdana" w:eastAsia="Arial MT" w:hAnsi="Verdana" w:cs="Arial"/>
        </w:rPr>
        <w:t>Consejo</w:t>
      </w:r>
      <w:r w:rsidRPr="006A09D6">
        <w:rPr>
          <w:rFonts w:ascii="Verdana" w:eastAsia="Arial MT" w:hAnsi="Verdana" w:cs="Arial"/>
          <w:spacing w:val="-1"/>
        </w:rPr>
        <w:t xml:space="preserve"> </w:t>
      </w:r>
      <w:r w:rsidRPr="006A09D6">
        <w:rPr>
          <w:rFonts w:ascii="Verdana" w:eastAsia="Arial MT" w:hAnsi="Verdana" w:cs="Arial"/>
        </w:rPr>
        <w:t>de</w:t>
      </w:r>
      <w:r w:rsidRPr="006A09D6">
        <w:rPr>
          <w:rFonts w:ascii="Verdana" w:eastAsia="Arial MT" w:hAnsi="Verdana" w:cs="Arial"/>
          <w:spacing w:val="-1"/>
        </w:rPr>
        <w:t xml:space="preserve"> </w:t>
      </w:r>
      <w:r w:rsidRPr="006A09D6">
        <w:rPr>
          <w:rFonts w:ascii="Verdana" w:eastAsia="Arial MT" w:hAnsi="Verdana" w:cs="Arial"/>
        </w:rPr>
        <w:t>Estado.</w:t>
      </w:r>
    </w:p>
    <w:p w14:paraId="575F5115" w14:textId="77777777" w:rsidR="00B33517" w:rsidRPr="006A09D6" w:rsidRDefault="00B33517" w:rsidP="00B33517">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En</w:t>
      </w:r>
      <w:r w:rsidRPr="006A09D6">
        <w:rPr>
          <w:rFonts w:ascii="Verdana" w:eastAsia="Arial MT" w:hAnsi="Verdana" w:cs="Arial"/>
          <w:spacing w:val="-11"/>
        </w:rPr>
        <w:t xml:space="preserve"> </w:t>
      </w:r>
      <w:r w:rsidRPr="006A09D6">
        <w:rPr>
          <w:rFonts w:ascii="Verdana" w:eastAsia="Arial MT" w:hAnsi="Verdana" w:cs="Arial"/>
        </w:rPr>
        <w:t>efecto,</w:t>
      </w:r>
      <w:r w:rsidRPr="006A09D6">
        <w:rPr>
          <w:rFonts w:ascii="Verdana" w:eastAsia="Arial MT" w:hAnsi="Verdana" w:cs="Arial"/>
          <w:spacing w:val="-10"/>
        </w:rPr>
        <w:t xml:space="preserve"> </w:t>
      </w:r>
      <w:r w:rsidRPr="006A09D6">
        <w:rPr>
          <w:rFonts w:ascii="Verdana" w:eastAsia="Arial MT" w:hAnsi="Verdana" w:cs="Arial"/>
        </w:rPr>
        <w:t>el</w:t>
      </w:r>
      <w:r w:rsidRPr="006A09D6">
        <w:rPr>
          <w:rFonts w:ascii="Verdana" w:eastAsia="Arial MT" w:hAnsi="Verdana" w:cs="Arial"/>
          <w:spacing w:val="-10"/>
        </w:rPr>
        <w:t xml:space="preserve"> </w:t>
      </w:r>
      <w:r w:rsidRPr="006A09D6">
        <w:rPr>
          <w:rFonts w:ascii="Verdana" w:eastAsia="Arial MT" w:hAnsi="Verdana" w:cs="Arial"/>
        </w:rPr>
        <w:t>máximo</w:t>
      </w:r>
      <w:r w:rsidRPr="006A09D6">
        <w:rPr>
          <w:rFonts w:ascii="Verdana" w:eastAsia="Arial MT" w:hAnsi="Verdana" w:cs="Arial"/>
          <w:spacing w:val="-10"/>
        </w:rPr>
        <w:t xml:space="preserve"> </w:t>
      </w:r>
      <w:r w:rsidRPr="006A09D6">
        <w:rPr>
          <w:rFonts w:ascii="Verdana" w:eastAsia="Arial MT" w:hAnsi="Verdana" w:cs="Arial"/>
        </w:rPr>
        <w:t>tribunal</w:t>
      </w:r>
      <w:r w:rsidRPr="006A09D6">
        <w:rPr>
          <w:rFonts w:ascii="Verdana" w:eastAsia="Arial MT" w:hAnsi="Verdana" w:cs="Arial"/>
          <w:spacing w:val="-9"/>
        </w:rPr>
        <w:t xml:space="preserve"> </w:t>
      </w:r>
      <w:r w:rsidRPr="006A09D6">
        <w:rPr>
          <w:rFonts w:ascii="Verdana" w:eastAsia="Arial MT" w:hAnsi="Verdana" w:cs="Arial"/>
        </w:rPr>
        <w:t>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A09D6">
        <w:rPr>
          <w:rFonts w:ascii="Verdana" w:eastAsia="Arial MT" w:hAnsi="Verdana" w:cs="Arial"/>
          <w:vertAlign w:val="superscript"/>
        </w:rPr>
        <w:footnoteReference w:id="3"/>
      </w:r>
      <w:r w:rsidRPr="006A09D6">
        <w:rPr>
          <w:rFonts w:ascii="Verdana" w:eastAsia="Arial MT" w:hAnsi="Verdana" w:cs="Arial"/>
        </w:rPr>
        <w:t xml:space="preserve">. Por su parte, el Consejo de Estado también ha acogido este criterio, considerando –como expresa la Sala de Consulta y Servicio Civil–, que “La interpretación </w:t>
      </w:r>
      <w:r w:rsidRPr="006A09D6">
        <w:rPr>
          <w:rFonts w:ascii="Verdana" w:eastAsia="Arial MT" w:hAnsi="Verdana" w:cs="Arial"/>
        </w:rPr>
        <w:lastRenderedPageBreak/>
        <w:t>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A09D6">
        <w:rPr>
          <w:rFonts w:ascii="Verdana" w:eastAsia="Arial MT" w:hAnsi="Verdana" w:cs="Arial"/>
          <w:vertAlign w:val="superscript"/>
        </w:rPr>
        <w:footnoteReference w:id="4"/>
      </w:r>
      <w:r w:rsidRPr="006A09D6">
        <w:rPr>
          <w:rFonts w:ascii="Verdana" w:eastAsia="Arial MT" w:hAnsi="Verdana" w:cs="Arial"/>
        </w:rPr>
        <w:t>. En tal sentido, la Sección Tercera ha señalado que:</w:t>
      </w:r>
    </w:p>
    <w:p w14:paraId="7EB67AC7" w14:textId="77777777" w:rsidR="00B33517" w:rsidRPr="006A09D6" w:rsidRDefault="00B33517" w:rsidP="00B33517">
      <w:pPr>
        <w:widowControl w:val="0"/>
        <w:autoSpaceDE w:val="0"/>
        <w:autoSpaceDN w:val="0"/>
        <w:spacing w:after="0" w:line="276" w:lineRule="auto"/>
        <w:ind w:firstLine="708"/>
        <w:jc w:val="both"/>
        <w:rPr>
          <w:rFonts w:ascii="Verdana" w:eastAsia="Arial MT" w:hAnsi="Verdana" w:cs="Arial"/>
          <w:sz w:val="25"/>
        </w:rPr>
      </w:pPr>
    </w:p>
    <w:p w14:paraId="39911091" w14:textId="77777777" w:rsidR="00B33517" w:rsidRPr="006A09D6" w:rsidRDefault="00B33517" w:rsidP="00B33517">
      <w:pPr>
        <w:widowControl w:val="0"/>
        <w:autoSpaceDE w:val="0"/>
        <w:autoSpaceDN w:val="0"/>
        <w:spacing w:after="0" w:line="240" w:lineRule="auto"/>
        <w:ind w:left="709" w:right="709"/>
        <w:jc w:val="both"/>
        <w:rPr>
          <w:rFonts w:ascii="Verdana" w:eastAsia="Calibri" w:hAnsi="Verdana" w:cs="Arial"/>
          <w:sz w:val="20"/>
          <w:szCs w:val="20"/>
        </w:rPr>
      </w:pPr>
      <w:r w:rsidRPr="006A09D6">
        <w:rPr>
          <w:rFonts w:ascii="Verdana" w:eastAsia="Arial MT" w:hAnsi="Verdana" w:cs="Arial"/>
          <w:sz w:val="20"/>
          <w:szCs w:val="20"/>
        </w:rPr>
        <w:t>“[…]</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conformidad</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la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jurisprudencia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uniforme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y</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reiterada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esta</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Corporación, la aplicación de las normas que contemplan inhabilidades 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incompatibilidades,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como</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general</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todas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aquellas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que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comportan</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prohibiciones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o</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limitaciones,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deben</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responder</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a</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una</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interpretación</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 xml:space="preserve">restrictiva </w:t>
      </w:r>
      <w:r w:rsidRPr="006A09D6">
        <w:rPr>
          <w:rFonts w:ascii="Verdana" w:eastAsia="Calibri" w:hAnsi="Verdana" w:cs="Arial"/>
          <w:sz w:val="20"/>
          <w:szCs w:val="20"/>
        </w:rPr>
        <w:t>que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no</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permite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su</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extensión,</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vía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figura</w:t>
      </w:r>
      <w:r w:rsidRPr="006A09D6">
        <w:rPr>
          <w:rFonts w:ascii="Verdana" w:eastAsia="Calibri" w:hAnsi="Verdana" w:cs="Arial"/>
          <w:spacing w:val="-4"/>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analogía,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a</w:t>
      </w:r>
      <w:r w:rsidRPr="006A09D6">
        <w:rPr>
          <w:rFonts w:ascii="Verdana" w:eastAsia="Calibri" w:hAnsi="Verdana" w:cs="Arial"/>
          <w:spacing w:val="-5"/>
          <w:sz w:val="20"/>
          <w:szCs w:val="20"/>
        </w:rPr>
        <w:t xml:space="preserve"> </w:t>
      </w:r>
      <w:r w:rsidRPr="006A09D6">
        <w:rPr>
          <w:rFonts w:ascii="Verdana" w:eastAsia="Arial MT" w:hAnsi="Verdana" w:cs="Arial"/>
          <w:sz w:val="20"/>
          <w:szCs w:val="20"/>
        </w:rPr>
        <w:t>supuestos no contemplados</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el</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ordenamiento”</w:t>
      </w:r>
      <w:r w:rsidRPr="006A09D6">
        <w:rPr>
          <w:rFonts w:ascii="Verdana" w:eastAsia="Calibri" w:hAnsi="Verdana" w:cs="Arial"/>
          <w:sz w:val="20"/>
          <w:szCs w:val="20"/>
          <w:vertAlign w:val="superscript"/>
        </w:rPr>
        <w:footnoteReference w:id="5"/>
      </w:r>
      <w:r w:rsidRPr="006A09D6">
        <w:rPr>
          <w:rFonts w:ascii="Verdana" w:eastAsia="Calibri" w:hAnsi="Verdana" w:cs="Arial"/>
          <w:sz w:val="20"/>
          <w:szCs w:val="20"/>
        </w:rPr>
        <w:t>.</w:t>
      </w:r>
    </w:p>
    <w:p w14:paraId="0D35504A" w14:textId="77777777" w:rsidR="00B33517" w:rsidRPr="006A09D6" w:rsidRDefault="00B33517" w:rsidP="00B33517">
      <w:pPr>
        <w:widowControl w:val="0"/>
        <w:autoSpaceDE w:val="0"/>
        <w:autoSpaceDN w:val="0"/>
        <w:spacing w:after="0" w:line="240" w:lineRule="auto"/>
        <w:ind w:left="709" w:right="709"/>
        <w:jc w:val="both"/>
        <w:rPr>
          <w:rFonts w:ascii="Verdana" w:eastAsia="Arial MT" w:hAnsi="Verdana" w:cs="Arial"/>
          <w:sz w:val="21"/>
        </w:rPr>
      </w:pPr>
    </w:p>
    <w:p w14:paraId="5155D08B" w14:textId="77777777" w:rsidR="00B33517" w:rsidRPr="006A09D6" w:rsidRDefault="00B33517" w:rsidP="00B33517">
      <w:pPr>
        <w:widowControl w:val="0"/>
        <w:autoSpaceDE w:val="0"/>
        <w:autoSpaceDN w:val="0"/>
        <w:spacing w:after="0" w:line="240" w:lineRule="auto"/>
        <w:ind w:right="709" w:firstLine="708"/>
        <w:jc w:val="both"/>
        <w:rPr>
          <w:rFonts w:ascii="Verdana" w:eastAsia="Arial MT" w:hAnsi="Verdana" w:cs="Arial"/>
        </w:rPr>
      </w:pPr>
      <w:r w:rsidRPr="006A09D6">
        <w:rPr>
          <w:rFonts w:ascii="Verdana" w:eastAsia="Arial MT" w:hAnsi="Verdana" w:cs="Arial"/>
        </w:rPr>
        <w:t>En el mismo sentido ha expuesto que:</w:t>
      </w:r>
    </w:p>
    <w:p w14:paraId="642E3E09" w14:textId="77777777" w:rsidR="00B33517" w:rsidRPr="006A09D6" w:rsidRDefault="00B33517" w:rsidP="00B33517">
      <w:pPr>
        <w:widowControl w:val="0"/>
        <w:autoSpaceDE w:val="0"/>
        <w:autoSpaceDN w:val="0"/>
        <w:spacing w:after="0" w:line="240" w:lineRule="auto"/>
        <w:ind w:right="709"/>
        <w:jc w:val="both"/>
        <w:rPr>
          <w:rFonts w:ascii="Verdana" w:eastAsia="Arial MT" w:hAnsi="Verdana" w:cs="Arial"/>
        </w:rPr>
      </w:pPr>
    </w:p>
    <w:p w14:paraId="5D0EBB6E" w14:textId="77777777" w:rsidR="00B33517" w:rsidRPr="006A09D6" w:rsidRDefault="00B33517" w:rsidP="00B33517">
      <w:pPr>
        <w:widowControl w:val="0"/>
        <w:autoSpaceDE w:val="0"/>
        <w:autoSpaceDN w:val="0"/>
        <w:spacing w:after="0" w:line="240" w:lineRule="auto"/>
        <w:ind w:left="709" w:right="709"/>
        <w:jc w:val="both"/>
        <w:rPr>
          <w:rFonts w:ascii="Verdana" w:eastAsia="Arial MT" w:hAnsi="Verdana" w:cs="Arial"/>
          <w:sz w:val="20"/>
          <w:szCs w:val="20"/>
        </w:rPr>
      </w:pPr>
      <w:r w:rsidRPr="006A09D6">
        <w:rPr>
          <w:rFonts w:ascii="Verdana" w:eastAsia="Arial MT" w:hAnsi="Verdana" w:cs="Arial"/>
          <w:sz w:val="20"/>
          <w:szCs w:val="20"/>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A09D6">
        <w:rPr>
          <w:rFonts w:ascii="Verdana" w:eastAsia="Arial MT" w:hAnsi="Verdana" w:cs="Arial"/>
          <w:sz w:val="20"/>
          <w:szCs w:val="20"/>
          <w:vertAlign w:val="superscript"/>
        </w:rPr>
        <w:footnoteReference w:id="6"/>
      </w:r>
      <w:r w:rsidRPr="006A09D6">
        <w:rPr>
          <w:rFonts w:ascii="Verdana" w:eastAsia="Arial MT" w:hAnsi="Verdana" w:cs="Arial"/>
          <w:sz w:val="20"/>
          <w:szCs w:val="20"/>
        </w:rPr>
        <w:t>.</w:t>
      </w:r>
    </w:p>
    <w:p w14:paraId="193954D6" w14:textId="77777777" w:rsidR="00B33517" w:rsidRPr="006A09D6" w:rsidRDefault="00B33517" w:rsidP="00B33517">
      <w:pPr>
        <w:widowControl w:val="0"/>
        <w:autoSpaceDE w:val="0"/>
        <w:autoSpaceDN w:val="0"/>
        <w:spacing w:after="0" w:line="240" w:lineRule="auto"/>
        <w:ind w:left="810" w:right="1243"/>
        <w:jc w:val="both"/>
        <w:rPr>
          <w:rFonts w:ascii="Verdana" w:eastAsia="Arial MT" w:hAnsi="Verdana" w:cs="Arial"/>
          <w:sz w:val="20"/>
        </w:rPr>
      </w:pPr>
    </w:p>
    <w:p w14:paraId="47786278" w14:textId="77777777" w:rsidR="00B33517" w:rsidRPr="006A09D6" w:rsidRDefault="00B33517" w:rsidP="00B33517">
      <w:pPr>
        <w:widowControl w:val="0"/>
        <w:autoSpaceDE w:val="0"/>
        <w:autoSpaceDN w:val="0"/>
        <w:spacing w:after="120" w:line="276" w:lineRule="auto"/>
        <w:ind w:firstLine="708"/>
        <w:jc w:val="both"/>
        <w:rPr>
          <w:rFonts w:ascii="Verdana" w:eastAsia="Arial" w:hAnsi="Verdana" w:cs="Arial"/>
          <w:color w:val="333333"/>
          <w:shd w:val="clear" w:color="auto" w:fill="FFFFFF"/>
          <w:lang w:eastAsia="es-ES" w:bidi="es-ES"/>
        </w:rPr>
      </w:pPr>
      <w:r w:rsidRPr="006A09D6">
        <w:rPr>
          <w:rFonts w:ascii="Verdana" w:eastAsia="Arial MT" w:hAnsi="Verdana" w:cs="Arial"/>
          <w:lang w:eastAsia="es-ES" w:bidi="es-ES"/>
        </w:rPr>
        <w:t xml:space="preserve">De igual forma, </w:t>
      </w:r>
      <w:r w:rsidRPr="006A09D6">
        <w:rPr>
          <w:rFonts w:ascii="Verdana" w:eastAsia="Arial" w:hAnsi="Verdana" w:cs="Arial"/>
          <w:lang w:eastAsia="es-ES" w:bidi="es-ES"/>
        </w:rPr>
        <w:t>la Corte Constitucional en jurisprudencia</w:t>
      </w:r>
      <w:r w:rsidRPr="006A09D6">
        <w:rPr>
          <w:vertAlign w:val="superscript"/>
          <w:lang w:eastAsia="es-ES" w:bidi="es-ES"/>
        </w:rPr>
        <w:footnoteReference w:id="7"/>
      </w:r>
      <w:r w:rsidRPr="006A09D6">
        <w:rPr>
          <w:rFonts w:ascii="Verdana" w:eastAsia="Arial" w:hAnsi="Verdana" w:cs="Arial"/>
          <w:lang w:eastAsia="es-ES" w:bidi="es-ES"/>
        </w:rPr>
        <w:t xml:space="preserve"> citada a su vez por el Consejo de Estado</w:t>
      </w:r>
      <w:r w:rsidRPr="006A09D6">
        <w:rPr>
          <w:vertAlign w:val="superscript"/>
          <w:lang w:eastAsia="es-ES" w:bidi="es-ES"/>
        </w:rPr>
        <w:footnoteReference w:id="8"/>
      </w:r>
      <w:r w:rsidRPr="006A09D6">
        <w:rPr>
          <w:rFonts w:ascii="Verdana" w:eastAsia="Arial" w:hAnsi="Verdana" w:cs="Arial"/>
          <w:lang w:eastAsia="es-ES" w:bidi="es-ES"/>
        </w:rPr>
        <w:t xml:space="preserve">, se ha referido al régimen general de inhabilidades e </w:t>
      </w:r>
      <w:r w:rsidRPr="006A09D6">
        <w:rPr>
          <w:rFonts w:ascii="Verdana" w:eastAsia="Arial" w:hAnsi="Verdana" w:cs="Arial"/>
          <w:lang w:eastAsia="es-ES" w:bidi="es-ES"/>
        </w:rPr>
        <w:lastRenderedPageBreak/>
        <w:t>incompatibilidades, destacando de este la prevalencia del interés general sobre el particular y su doble connotación, como quiera que no solo puede ser consecuencia de una sanción sino también erigirse con una finalidad preventiva que busca asegurar la no afectación del interés general, en suma</w:t>
      </w:r>
      <w:r w:rsidRPr="006A09D6">
        <w:rPr>
          <w:rFonts w:ascii="Verdana" w:eastAsia="Arial" w:hAnsi="Verdana" w:cs="Arial"/>
          <w:i/>
          <w:lang w:eastAsia="es-ES" w:bidi="es-ES"/>
        </w:rPr>
        <w:t xml:space="preserve">, </w:t>
      </w:r>
      <w:r w:rsidRPr="006A09D6">
        <w:rPr>
          <w:rFonts w:ascii="Verdana" w:eastAsia="Arial MT" w:hAnsi="Verdana" w:cs="Arial"/>
          <w:i/>
          <w:lang w:eastAsia="es-ES" w:bidi="es-ES"/>
        </w:rPr>
        <w:t>“[…] l</w:t>
      </w:r>
      <w:r w:rsidRPr="006A09D6">
        <w:rPr>
          <w:rFonts w:ascii="Verdana" w:eastAsia="Arial" w:hAnsi="Verdana" w:cs="Arial"/>
          <w:i/>
          <w:color w:val="333333"/>
          <w:shd w:val="clear" w:color="auto" w:fill="FFFFFF"/>
          <w:lang w:eastAsia="es-ES" w:bidi="es-ES"/>
        </w:rPr>
        <w:t>a inhabilidad no es una pena sino una garantía de que el comportamiento anterior no afectará el desempeño de la función o cargo, de protección del interés general y de la idoneidad, probidad y moralidad del aspirante</w:t>
      </w:r>
      <w:r w:rsidRPr="006A09D6">
        <w:rPr>
          <w:rFonts w:ascii="Verdana" w:eastAsia="Arial MT" w:hAnsi="Verdana" w:cs="Arial"/>
          <w:i/>
          <w:lang w:eastAsia="es-ES" w:bidi="es-ES"/>
        </w:rPr>
        <w:t>”</w:t>
      </w:r>
      <w:r w:rsidRPr="006A09D6">
        <w:rPr>
          <w:rFonts w:ascii="Verdana" w:eastAsia="Arial" w:hAnsi="Verdana" w:cs="Arial"/>
          <w:color w:val="333333"/>
          <w:shd w:val="clear" w:color="auto" w:fill="FFFFFF"/>
          <w:vertAlign w:val="superscript"/>
          <w:lang w:eastAsia="es-ES" w:bidi="es-ES"/>
        </w:rPr>
        <w:t>12</w:t>
      </w:r>
      <w:r w:rsidRPr="006A09D6">
        <w:rPr>
          <w:rFonts w:ascii="Verdana" w:eastAsia="Arial" w:hAnsi="Verdana" w:cs="Arial"/>
          <w:color w:val="333333"/>
          <w:shd w:val="clear" w:color="auto" w:fill="FFFFFF"/>
          <w:lang w:eastAsia="es-ES" w:bidi="es-ES"/>
        </w:rPr>
        <w:t>;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70666F6E" w14:textId="77777777" w:rsidR="00B33517" w:rsidRPr="006A09D6" w:rsidRDefault="00B33517" w:rsidP="00B33517">
      <w:pPr>
        <w:spacing w:after="0" w:line="276" w:lineRule="auto"/>
        <w:ind w:firstLine="708"/>
        <w:jc w:val="both"/>
        <w:rPr>
          <w:rFonts w:ascii="Verdana" w:eastAsia="Calibri" w:hAnsi="Verdana" w:cs="Arial"/>
          <w:color w:val="000000"/>
          <w:szCs w:val="24"/>
        </w:rPr>
      </w:pPr>
      <w:r w:rsidRPr="006A09D6">
        <w:rPr>
          <w:rFonts w:ascii="Verdana" w:eastAsia="Arial" w:hAnsi="Verdana" w:cs="Arial"/>
          <w:color w:val="000000"/>
        </w:rPr>
        <w:t xml:space="preserve">Como se aprecia, el principio </w:t>
      </w:r>
      <w:r w:rsidRPr="006A09D6">
        <w:rPr>
          <w:rFonts w:ascii="Verdana" w:eastAsia="Arial" w:hAnsi="Verdana" w:cs="Arial"/>
          <w:i/>
          <w:color w:val="000000"/>
        </w:rPr>
        <w:t>pro libertate</w:t>
      </w:r>
      <w:r w:rsidRPr="006A09D6">
        <w:rPr>
          <w:rFonts w:ascii="Verdana" w:eastAsia="Arial" w:hAnsi="Verdana" w:cs="Arial"/>
          <w:color w:val="000000"/>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A09D6">
        <w:rPr>
          <w:rFonts w:ascii="Verdana" w:eastAsia="Calibri" w:hAnsi="Verdana" w:cs="Arial"/>
          <w:color w:val="000000"/>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24CDC700" w14:textId="77777777" w:rsidR="00B33517" w:rsidRPr="006A09D6" w:rsidRDefault="00B33517" w:rsidP="00B33517">
      <w:pPr>
        <w:tabs>
          <w:tab w:val="left" w:pos="1532"/>
        </w:tabs>
        <w:spacing w:after="0" w:line="276" w:lineRule="auto"/>
        <w:jc w:val="both"/>
        <w:rPr>
          <w:rFonts w:ascii="Verdana" w:eastAsia="Calibri" w:hAnsi="Verdana" w:cs="Arial"/>
          <w:color w:val="000000"/>
        </w:rPr>
      </w:pPr>
      <w:r w:rsidRPr="006A09D6">
        <w:rPr>
          <w:rFonts w:ascii="Verdana" w:eastAsia="Calibri" w:hAnsi="Verdana" w:cs="Arial"/>
          <w:color w:val="000000"/>
          <w:sz w:val="24"/>
        </w:rPr>
        <w:tab/>
      </w:r>
    </w:p>
    <w:p w14:paraId="0557FE2E" w14:textId="77777777" w:rsidR="00B33517" w:rsidRPr="006A09D6" w:rsidRDefault="00B33517" w:rsidP="00B33517">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 xml:space="preserve">“[…] 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w:t>
      </w:r>
      <w:r w:rsidRPr="006A09D6">
        <w:rPr>
          <w:rFonts w:ascii="Verdana" w:eastAsia="Calibri" w:hAnsi="Verdana" w:cs="Arial"/>
          <w:color w:val="000000"/>
          <w:sz w:val="20"/>
          <w:szCs w:val="20"/>
        </w:rPr>
        <w:lastRenderedPageBreak/>
        <w:t xml:space="preserve">principio pro libertate, sino el de legalidad, el que ordena que la función pública debe someterse estrictamente a lo que disponga la Constitución y la ley (CP art. 6). </w:t>
      </w:r>
    </w:p>
    <w:p w14:paraId="1BBEE083" w14:textId="77777777" w:rsidR="00B33517" w:rsidRPr="006A09D6" w:rsidRDefault="00B33517" w:rsidP="00B33517">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w:t>
      </w:r>
    </w:p>
    <w:p w14:paraId="04B7C51B" w14:textId="77777777" w:rsidR="00B33517" w:rsidRPr="006A09D6" w:rsidRDefault="00B33517" w:rsidP="00B33517">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A09D6">
        <w:rPr>
          <w:rFonts w:ascii="Verdana" w:eastAsia="Calibri" w:hAnsi="Verdana" w:cs="Arial"/>
          <w:color w:val="000000"/>
          <w:sz w:val="20"/>
          <w:szCs w:val="20"/>
          <w:vertAlign w:val="superscript"/>
        </w:rPr>
        <w:footnoteReference w:id="9"/>
      </w:r>
      <w:r w:rsidRPr="006A09D6">
        <w:rPr>
          <w:rFonts w:ascii="Verdana" w:eastAsia="Calibri" w:hAnsi="Verdana" w:cs="Arial"/>
          <w:color w:val="000000"/>
          <w:sz w:val="20"/>
          <w:szCs w:val="20"/>
        </w:rPr>
        <w:t>.</w:t>
      </w:r>
    </w:p>
    <w:p w14:paraId="1911432D" w14:textId="77777777" w:rsidR="00B33517" w:rsidRPr="006A09D6" w:rsidRDefault="00B33517" w:rsidP="00B33517">
      <w:pPr>
        <w:widowControl w:val="0"/>
        <w:autoSpaceDE w:val="0"/>
        <w:autoSpaceDN w:val="0"/>
        <w:spacing w:after="0" w:line="240" w:lineRule="auto"/>
        <w:ind w:left="1049" w:rightChars="709" w:right="1560" w:firstLine="709"/>
        <w:jc w:val="both"/>
        <w:rPr>
          <w:rFonts w:ascii="Verdana" w:eastAsia="Arial" w:hAnsi="Verdana" w:cs="Arial"/>
          <w:color w:val="333333"/>
          <w:shd w:val="clear" w:color="auto" w:fill="FFFFFF"/>
          <w:lang w:eastAsia="es-ES" w:bidi="es-ES"/>
        </w:rPr>
      </w:pPr>
    </w:p>
    <w:p w14:paraId="464AC8D3" w14:textId="77777777" w:rsidR="00B33517" w:rsidRPr="006A09D6" w:rsidRDefault="00B33517" w:rsidP="00B33517">
      <w:pPr>
        <w:widowControl w:val="0"/>
        <w:autoSpaceDE w:val="0"/>
        <w:autoSpaceDN w:val="0"/>
        <w:spacing w:after="120"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t>En suma, el régimen de inhabilidades e incompatibilidades se origina en la prerrogativa legislativa, obedece al principio de legalidad y su interpretación es restrictiva, como quiera que su aplicación implica limitaciones para el acceso a cargos o ejercicio de funciones públicas y para participar en procesos de contratación pública adelantados por las entidades estatales, según sea el caso.</w:t>
      </w:r>
    </w:p>
    <w:p w14:paraId="3E071853" w14:textId="762D15F1" w:rsidR="00B33517" w:rsidRDefault="00B33517" w:rsidP="00B33517">
      <w:pPr>
        <w:widowControl w:val="0"/>
        <w:autoSpaceDE w:val="0"/>
        <w:autoSpaceDN w:val="0"/>
        <w:spacing w:after="120"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t xml:space="preserve">Con relación al objeto de la consulta, </w:t>
      </w:r>
      <w:r>
        <w:rPr>
          <w:rFonts w:ascii="Verdana" w:eastAsia="Arial MT" w:hAnsi="Verdana" w:cs="Arial"/>
          <w:lang w:eastAsia="es-ES" w:bidi="es-ES"/>
        </w:rPr>
        <w:t xml:space="preserve">verificado el régimen de inhabilidades e incompatibilidades contenido en la Ley 80 de 1993, no se identifica alguna causal que limite la capacidad jurídica de aquellas personas naturales que pretendan contratar con el Estado, durante el ejercicio de la representación legal de empresas constituidas en Colombia. </w:t>
      </w:r>
      <w:r w:rsidRPr="00BC4A88">
        <w:rPr>
          <w:rFonts w:ascii="Verdana" w:eastAsia="Arial MT" w:hAnsi="Verdana" w:cs="Arial"/>
          <w:lang w:eastAsia="es-ES" w:bidi="es-ES"/>
        </w:rPr>
        <w:t xml:space="preserve">Sobre todo, cuando en la exposición del supuesto de hecho de la consulta no existen elementos que puedan interpretarse como posibles incompatibilidades o conflictos de intereses que afecten la capacidad jurídica de la persona natural que pretenda participar en procesos de selección o suscriba contratos con entidades estatales, al tiempo que ejerce la representación legal de </w:t>
      </w:r>
      <w:r>
        <w:rPr>
          <w:rFonts w:ascii="Verdana" w:eastAsia="Arial MT" w:hAnsi="Verdana" w:cs="Arial"/>
          <w:lang w:eastAsia="es-ES" w:bidi="es-ES"/>
        </w:rPr>
        <w:t>una empresa</w:t>
      </w:r>
      <w:r w:rsidRPr="00BC4A88">
        <w:rPr>
          <w:rFonts w:ascii="Verdana" w:eastAsia="Arial MT" w:hAnsi="Verdana" w:cs="Arial"/>
          <w:lang w:eastAsia="es-ES" w:bidi="es-ES"/>
        </w:rPr>
        <w:t xml:space="preserve"> constituidas en Colombia.</w:t>
      </w:r>
    </w:p>
    <w:bookmarkEnd w:id="5"/>
    <w:p w14:paraId="34E18C20" w14:textId="77777777" w:rsidR="00FB67C7" w:rsidRDefault="00FB67C7" w:rsidP="00B33517">
      <w:pPr>
        <w:spacing w:line="276" w:lineRule="auto"/>
        <w:ind w:firstLine="708"/>
        <w:jc w:val="both"/>
        <w:rPr>
          <w:rFonts w:ascii="Verdana" w:hAnsi="Verdana" w:cs="Arial"/>
          <w:bCs/>
          <w:color w:val="000000" w:themeColor="text1"/>
        </w:rPr>
      </w:pPr>
      <w:r w:rsidRPr="00B33517">
        <w:rPr>
          <w:rFonts w:ascii="Verdana" w:hAnsi="Verdana" w:cs="Arial"/>
          <w:bCs/>
          <w:color w:val="000000" w:themeColor="text1"/>
        </w:rPr>
        <w:t>Así las cosas , corresponde a cada entidad pública,</w:t>
      </w:r>
      <w:r w:rsidRPr="00851635">
        <w:rPr>
          <w:rFonts w:ascii="Verdana" w:hAnsi="Verdana" w:cs="Arial"/>
          <w:bCs/>
          <w:color w:val="000000" w:themeColor="text1"/>
        </w:rPr>
        <w:t xml:space="preserve"> en ejercicio de su competencia y previa valoración de los elementos fácticos y jurídicos, determinar la viabilidad de contratar a una empresa cuyo representante legal ostenta la calidad de contratista en su condición de persona natural o viceversa </w:t>
      </w:r>
      <w:r w:rsidRPr="00851635">
        <w:rPr>
          <w:rFonts w:ascii="Verdana" w:hAnsi="Verdana" w:cs="Arial"/>
          <w:bCs/>
          <w:color w:val="000000" w:themeColor="text1"/>
        </w:rPr>
        <w:lastRenderedPageBreak/>
        <w:t xml:space="preserve">garantizando principios de imparcialidad y transparencia previstos en el artículo 209 de la Constitución Política y el artículo 3 de la Ley 489 de 1998. </w:t>
      </w:r>
    </w:p>
    <w:p w14:paraId="4BC97985" w14:textId="77777777" w:rsidR="00FB67C7" w:rsidRDefault="00FB67C7" w:rsidP="00FB67C7">
      <w:pPr>
        <w:spacing w:line="276" w:lineRule="auto"/>
        <w:jc w:val="both"/>
        <w:rPr>
          <w:rFonts w:ascii="Verdana" w:hAnsi="Verdana" w:cs="Arial"/>
          <w:bCs/>
          <w:color w:val="000000" w:themeColor="text1"/>
        </w:rPr>
      </w:pPr>
    </w:p>
    <w:p w14:paraId="0B47D19D" w14:textId="77777777" w:rsidR="00FB67C7" w:rsidRDefault="00FB67C7" w:rsidP="00FB67C7">
      <w:pPr>
        <w:spacing w:line="276" w:lineRule="auto"/>
        <w:jc w:val="both"/>
        <w:rPr>
          <w:rFonts w:ascii="Verdana" w:hAnsi="Verdana" w:cs="Arial"/>
          <w:bCs/>
          <w:color w:val="000000" w:themeColor="text1"/>
        </w:rPr>
      </w:pPr>
      <w:r>
        <w:rPr>
          <w:rFonts w:ascii="Verdana" w:hAnsi="Verdana" w:cs="Arial"/>
          <w:bCs/>
          <w:color w:val="000000" w:themeColor="text1"/>
        </w:rPr>
        <w:t xml:space="preserve">De igual manera, </w:t>
      </w:r>
      <w:r w:rsidRPr="00851635">
        <w:rPr>
          <w:rFonts w:ascii="Verdana" w:hAnsi="Verdana" w:cs="Arial"/>
          <w:bCs/>
          <w:color w:val="000000" w:themeColor="text1"/>
        </w:rPr>
        <w:t xml:space="preserve">el artículo 1503 del Código Civil, prevé que toda persona es legalmente capaz, excepto aquellas que la ley declara incapaces y a lo suyo el a </w:t>
      </w:r>
      <w:r>
        <w:rPr>
          <w:rFonts w:ascii="Verdana" w:hAnsi="Verdana" w:cs="Arial"/>
          <w:bCs/>
          <w:color w:val="000000" w:themeColor="text1"/>
        </w:rPr>
        <w:t>a</w:t>
      </w:r>
      <w:r w:rsidRPr="00851635">
        <w:rPr>
          <w:rFonts w:ascii="Verdana" w:hAnsi="Verdana" w:cs="Arial"/>
          <w:bCs/>
          <w:color w:val="000000" w:themeColor="text1"/>
        </w:rPr>
        <w:t>rtículo 6 de la Ley 80 de 1993 establece que pueden celebrar contratos con las entidades estatales las personas consideradas legalmente capaces. Por lo tanto, salvo disposición legal en contrario, tanto las personas naturales como las jurídicas son hábiles para contratar con el Estado, siempre que no existan inhabilidades o incompatibilidades específicas establecidas por la ley.</w:t>
      </w:r>
    </w:p>
    <w:p w14:paraId="3DBBD542" w14:textId="77777777" w:rsidR="00FB67C7" w:rsidRDefault="00FB67C7" w:rsidP="00FB67C7">
      <w:pPr>
        <w:spacing w:after="120" w:line="276" w:lineRule="auto"/>
        <w:jc w:val="both"/>
        <w:rPr>
          <w:rFonts w:ascii="Verdana" w:hAnsi="Verdana" w:cs="Arial"/>
          <w:bCs/>
          <w:color w:val="000000" w:themeColor="text1"/>
        </w:rPr>
      </w:pPr>
      <w:r w:rsidRPr="00851635">
        <w:rPr>
          <w:rFonts w:ascii="Verdana" w:hAnsi="Verdana" w:cs="Arial"/>
          <w:bCs/>
          <w:color w:val="000000" w:themeColor="text1"/>
        </w:rPr>
        <w:t>En conclusión, si se cumplen los principios y requisitos mencionados, la suscripción de dos contratos de manera simultánea por la misma persona en calidad de persona natural y como representante legal de una persona jurídica es legalmente posible. Sin embargo, se recomienda documentar adecuadamente cada proceso contractual y garantizar que no haya lugar a conflictos de interés ni violación de los principios de la contratación estatal</w:t>
      </w:r>
    </w:p>
    <w:p w14:paraId="23064A8B" w14:textId="2421BF7D" w:rsidR="00DB7D44" w:rsidRPr="00593A5F" w:rsidRDefault="00DB7D44" w:rsidP="00FB67C7">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5D8B1EB3" w14:textId="77777777" w:rsidR="00AF4209" w:rsidRPr="00CC2F1E"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lang w:val="es-CO"/>
              </w:rPr>
            </w:pPr>
            <w:r w:rsidRPr="00CC2F1E">
              <w:rPr>
                <w:rFonts w:ascii="Verdana" w:eastAsia="Aptos" w:hAnsi="Verdana" w:cs="Arial"/>
                <w:bCs/>
                <w:kern w:val="2"/>
                <w:lang w:val="es-ES_tradnl"/>
                <w14:ligatures w14:val="standardContextual"/>
              </w:rPr>
              <w:t>Constitución Política, artículos </w:t>
            </w:r>
            <w:hyperlink r:id="rId13" w:anchor="209" w:history="1">
              <w:r w:rsidRPr="00CC2F1E">
                <w:rPr>
                  <w:rFonts w:ascii="Verdana" w:eastAsia="Aptos" w:hAnsi="Verdana" w:cs="Arial"/>
                  <w:bCs/>
                  <w:kern w:val="2"/>
                  <w:lang w:val="es-ES_tradnl"/>
                  <w14:ligatures w14:val="standardContextual"/>
                </w:rPr>
                <w:t>209</w:t>
              </w:r>
            </w:hyperlink>
            <w:r w:rsidRPr="00CC2F1E">
              <w:rPr>
                <w:rFonts w:ascii="Verdana" w:eastAsia="Aptos" w:hAnsi="Verdana" w:cs="Arial"/>
                <w:bCs/>
                <w:kern w:val="2"/>
                <w:lang w:val="es-ES_tradnl"/>
                <w14:ligatures w14:val="standardContextual"/>
              </w:rPr>
              <w:t xml:space="preserve">, </w:t>
            </w:r>
            <w:hyperlink r:id="rId14" w:anchor="267" w:history="1">
              <w:r w:rsidRPr="00CC2F1E">
                <w:rPr>
                  <w:rFonts w:ascii="Verdana" w:eastAsia="Aptos" w:hAnsi="Verdana" w:cs="Arial"/>
                  <w:bCs/>
                  <w:kern w:val="2"/>
                  <w:lang w:val="es-ES_tradnl"/>
                  <w14:ligatures w14:val="standardContextual"/>
                </w:rPr>
                <w:t>267</w:t>
              </w:r>
            </w:hyperlink>
            <w:r w:rsidRPr="00CC2F1E">
              <w:rPr>
                <w:rFonts w:ascii="Verdana" w:eastAsia="Aptos" w:hAnsi="Verdana" w:cs="Arial"/>
                <w:bCs/>
                <w:kern w:val="2"/>
                <w:lang w:val="es-ES_tradnl"/>
                <w14:ligatures w14:val="standardContextual"/>
              </w:rPr>
              <w:t>.</w:t>
            </w:r>
          </w:p>
          <w:p w14:paraId="3D25938B" w14:textId="77777777" w:rsidR="00AF4209" w:rsidRPr="00CC2F1E" w:rsidRDefault="00AF4209" w:rsidP="00AF4209">
            <w:pPr>
              <w:pStyle w:val="Prrafodelista"/>
              <w:numPr>
                <w:ilvl w:val="0"/>
                <w:numId w:val="30"/>
              </w:numPr>
              <w:spacing w:line="360" w:lineRule="auto"/>
              <w:ind w:left="714" w:hanging="357"/>
              <w:rPr>
                <w:rFonts w:ascii="Verdana" w:hAnsi="Verdana" w:cs="Arial"/>
                <w:color w:val="000000" w:themeColor="text1"/>
              </w:rPr>
            </w:pPr>
            <w:r w:rsidRPr="00CC2F1E">
              <w:rPr>
                <w:rFonts w:ascii="Verdana" w:hAnsi="Verdana" w:cs="Arial"/>
                <w:color w:val="000000" w:themeColor="text1"/>
              </w:rPr>
              <w:t>Ley 78 de 1931.</w:t>
            </w:r>
          </w:p>
          <w:p w14:paraId="6599FF28" w14:textId="454E1FB3" w:rsidR="00AF4209" w:rsidRPr="00CC2F1E" w:rsidRDefault="00AF4209" w:rsidP="00AF4209">
            <w:pPr>
              <w:widowControl w:val="0"/>
              <w:numPr>
                <w:ilvl w:val="0"/>
                <w:numId w:val="30"/>
              </w:numPr>
              <w:autoSpaceDE w:val="0"/>
              <w:autoSpaceDN w:val="0"/>
              <w:spacing w:line="360" w:lineRule="auto"/>
              <w:ind w:left="714" w:hanging="357"/>
              <w:contextualSpacing/>
              <w:jc w:val="both"/>
              <w:rPr>
                <w:rFonts w:ascii="Verdana" w:eastAsia="Calibri" w:hAnsi="Verdana" w:cs="Arial"/>
                <w:lang w:val="es-ES_tradnl"/>
              </w:rPr>
            </w:pPr>
            <w:r w:rsidRPr="00CC2F1E">
              <w:rPr>
                <w:rFonts w:ascii="Verdana" w:eastAsia="Calibri" w:hAnsi="Verdana" w:cs="Arial"/>
                <w:lang w:val="es-ES_tradnl"/>
              </w:rPr>
              <w:t xml:space="preserve">Ley 80 de 1993, artículo </w:t>
            </w:r>
            <w:r w:rsidR="00FB67C7">
              <w:rPr>
                <w:rFonts w:ascii="Verdana" w:eastAsia="Calibri" w:hAnsi="Verdana" w:cs="Arial"/>
                <w:lang w:val="es-ES_tradnl"/>
              </w:rPr>
              <w:t xml:space="preserve">6, </w:t>
            </w:r>
            <w:r w:rsidRPr="00CC2F1E">
              <w:rPr>
                <w:rFonts w:ascii="Verdana" w:eastAsia="Calibri" w:hAnsi="Verdana" w:cs="Arial"/>
                <w:lang w:val="es-ES_tradnl"/>
              </w:rPr>
              <w:t>32.</w:t>
            </w:r>
          </w:p>
          <w:p w14:paraId="5FDE7C31" w14:textId="77777777" w:rsidR="00AF4209" w:rsidRPr="00FB67C7"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sidRPr="00CC2F1E">
              <w:rPr>
                <w:rFonts w:ascii="Verdana" w:eastAsia="Aptos" w:hAnsi="Verdana" w:cs="Arial"/>
                <w:bCs/>
                <w:kern w:val="2"/>
                <w14:ligatures w14:val="standardContextual"/>
              </w:rPr>
              <w:t>Ley 1150 de 2007, artículo 13.</w:t>
            </w:r>
          </w:p>
          <w:p w14:paraId="7E53B0CB" w14:textId="44056208" w:rsidR="00FB67C7" w:rsidRPr="00CC2F1E" w:rsidRDefault="00FB67C7"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sidRPr="00851635">
              <w:rPr>
                <w:rFonts w:ascii="Verdana" w:hAnsi="Verdana" w:cs="Arial"/>
                <w:bCs/>
                <w:color w:val="000000" w:themeColor="text1"/>
              </w:rPr>
              <w:t>Ley 489 de 1998</w:t>
            </w:r>
            <w:r>
              <w:rPr>
                <w:rFonts w:ascii="Verdana" w:hAnsi="Verdana" w:cs="Arial"/>
                <w:bCs/>
                <w:color w:val="000000" w:themeColor="text1"/>
              </w:rPr>
              <w:t xml:space="preserve">, </w:t>
            </w:r>
            <w:r w:rsidRPr="00851635">
              <w:rPr>
                <w:rFonts w:ascii="Verdana" w:hAnsi="Verdana" w:cs="Arial"/>
                <w:bCs/>
                <w:color w:val="000000" w:themeColor="text1"/>
              </w:rPr>
              <w:t>artículo 3</w:t>
            </w:r>
            <w:r>
              <w:rPr>
                <w:rFonts w:ascii="Verdana" w:hAnsi="Verdana" w:cs="Arial"/>
                <w:bCs/>
                <w:color w:val="000000" w:themeColor="text1"/>
              </w:rPr>
              <w:t>.</w:t>
            </w:r>
          </w:p>
          <w:p w14:paraId="4D7C4EAF" w14:textId="77777777" w:rsidR="00AF4209"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sidRPr="00CC2F1E">
              <w:rPr>
                <w:rFonts w:ascii="Verdana" w:hAnsi="Verdana" w:cs="Arial"/>
                <w:color w:val="000000" w:themeColor="text1"/>
              </w:rPr>
              <w:t>Decreto 1082 de 2015.</w:t>
            </w:r>
          </w:p>
          <w:p w14:paraId="61FE8C2F" w14:textId="5E5ED7B7" w:rsidR="00FB67C7" w:rsidRPr="00CC2F1E" w:rsidRDefault="00FB67C7"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Pr>
                <w:rFonts w:ascii="Verdana" w:hAnsi="Verdana" w:cs="Arial"/>
                <w:bCs/>
                <w:color w:val="000000" w:themeColor="text1"/>
              </w:rPr>
              <w:t>A</w:t>
            </w:r>
            <w:r w:rsidRPr="00851635">
              <w:rPr>
                <w:rFonts w:ascii="Verdana" w:hAnsi="Verdana" w:cs="Arial"/>
                <w:bCs/>
                <w:color w:val="000000" w:themeColor="text1"/>
              </w:rPr>
              <w:t>rtículo 1503 del Código Civil</w:t>
            </w:r>
          </w:p>
          <w:p w14:paraId="34E38151" w14:textId="77777777" w:rsidR="00AF4209" w:rsidRPr="00CC2F1E" w:rsidRDefault="00AF4209" w:rsidP="00AF4209">
            <w:pPr>
              <w:pStyle w:val="Prrafodelista"/>
              <w:widowControl w:val="0"/>
              <w:numPr>
                <w:ilvl w:val="0"/>
                <w:numId w:val="30"/>
              </w:numPr>
              <w:autoSpaceDE w:val="0"/>
              <w:autoSpaceDN w:val="0"/>
              <w:spacing w:after="120" w:line="276" w:lineRule="auto"/>
              <w:ind w:left="714" w:hanging="357"/>
              <w:jc w:val="both"/>
              <w:rPr>
                <w:rFonts w:ascii="Verdana" w:hAnsi="Verdana" w:cs="Arial"/>
                <w:color w:val="000000" w:themeColor="text1"/>
              </w:rPr>
            </w:pPr>
            <w:r w:rsidRPr="00CC2F1E">
              <w:rPr>
                <w:rFonts w:ascii="Verdana" w:eastAsia="Calibri" w:hAnsi="Verdana" w:cs="Arial"/>
                <w:bCs/>
                <w:color w:val="000000"/>
                <w:lang w:val="es-ES_tradnl"/>
              </w:rPr>
              <w:t xml:space="preserve">Consejo De Estado. Sección Tercera. Subsección A. Sentencia del 24 </w:t>
            </w:r>
            <w:r w:rsidRPr="00CC2F1E">
              <w:rPr>
                <w:rFonts w:ascii="Verdana" w:eastAsia="Calibri" w:hAnsi="Verdana" w:cs="Arial"/>
                <w:bCs/>
                <w:color w:val="000000"/>
                <w:lang w:val="es-ES_tradnl"/>
              </w:rPr>
              <w:lastRenderedPageBreak/>
              <w:t xml:space="preserve">de octubre de 2016. Exp. 45.607. </w:t>
            </w:r>
            <w:r w:rsidRPr="00CC2F1E">
              <w:rPr>
                <w:rFonts w:ascii="Verdana" w:hAnsi="Verdana" w:cs="Arial"/>
              </w:rPr>
              <w:t>Consejera Ponente:</w:t>
            </w:r>
            <w:r w:rsidRPr="00CC2F1E">
              <w:rPr>
                <w:rFonts w:ascii="Verdana" w:eastAsia="Calibri" w:hAnsi="Verdana" w:cs="Arial"/>
                <w:bCs/>
                <w:color w:val="000000"/>
                <w:lang w:val="es-ES_tradnl"/>
              </w:rPr>
              <w:t xml:space="preserve"> Marta Nubia Velásquez</w:t>
            </w:r>
            <w:r w:rsidRPr="00CC2F1E">
              <w:rPr>
                <w:rFonts w:ascii="Century Gothic" w:eastAsia="Calibri" w:hAnsi="Century Gothic" w:cs="Arial"/>
                <w:bCs/>
                <w:color w:val="000000"/>
                <w:sz w:val="12"/>
                <w:szCs w:val="12"/>
                <w:lang w:val="es-ES_tradnl"/>
              </w:rPr>
              <w:t xml:space="preserve"> </w:t>
            </w:r>
            <w:r w:rsidRPr="00CC2F1E">
              <w:rPr>
                <w:rFonts w:ascii="Verdana" w:eastAsia="Calibri" w:hAnsi="Verdana" w:cs="Arial"/>
                <w:bCs/>
                <w:color w:val="000000"/>
                <w:lang w:val="es-ES_tradnl"/>
              </w:rPr>
              <w:t>Rico.</w:t>
            </w:r>
          </w:p>
          <w:p w14:paraId="16E4DB64" w14:textId="77777777" w:rsidR="00AF4209" w:rsidRPr="00CC2F1E" w:rsidRDefault="00AF4209" w:rsidP="00AF4209">
            <w:pPr>
              <w:pStyle w:val="Prrafodelista"/>
              <w:widowControl w:val="0"/>
              <w:numPr>
                <w:ilvl w:val="0"/>
                <w:numId w:val="30"/>
              </w:numPr>
              <w:autoSpaceDE w:val="0"/>
              <w:autoSpaceDN w:val="0"/>
              <w:spacing w:after="120" w:line="276" w:lineRule="auto"/>
              <w:ind w:left="714" w:hanging="357"/>
              <w:jc w:val="both"/>
              <w:rPr>
                <w:rFonts w:ascii="Verdana" w:hAnsi="Verdana" w:cs="Arial"/>
                <w:color w:val="000000" w:themeColor="text1"/>
              </w:rPr>
            </w:pPr>
            <w:r w:rsidRPr="00CC2F1E">
              <w:rPr>
                <w:rFonts w:ascii="Verdana" w:hAnsi="Verdana" w:cs="Arial"/>
                <w:color w:val="000000" w:themeColor="text1"/>
              </w:rPr>
              <w:t>Corte Constitucional - Sentencia C-154 de 1997.</w:t>
            </w:r>
          </w:p>
          <w:p w14:paraId="2E3B0684" w14:textId="1D8EB49C" w:rsidR="00E52602" w:rsidRPr="000D446F" w:rsidRDefault="00AF4209" w:rsidP="00FB67C7">
            <w:pPr>
              <w:pStyle w:val="Prrafodelista"/>
              <w:widowControl w:val="0"/>
              <w:numPr>
                <w:ilvl w:val="0"/>
                <w:numId w:val="30"/>
              </w:numPr>
              <w:autoSpaceDE w:val="0"/>
              <w:autoSpaceDN w:val="0"/>
              <w:spacing w:after="120" w:line="276" w:lineRule="auto"/>
              <w:ind w:left="714" w:hanging="357"/>
              <w:jc w:val="both"/>
              <w:rPr>
                <w:rFonts w:ascii="Verdana" w:hAnsi="Verdana" w:cs="Arial"/>
              </w:rPr>
            </w:pPr>
            <w:r w:rsidRPr="00CC2F1E">
              <w:rPr>
                <w:rFonts w:ascii="Verdana" w:hAnsi="Verdana" w:cs="Arial"/>
                <w:color w:val="000000" w:themeColor="text1"/>
              </w:rPr>
              <w:t>Consejo de Estado. Sección Tercera. Subsección C. Sentencia del 2 de diciembre de 2013.</w:t>
            </w: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8F60A9B" w14:textId="0F8F1FAF" w:rsidR="00117E40" w:rsidRPr="00165F2C" w:rsidRDefault="00E52602" w:rsidP="00C4210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52602">
        <w:rPr>
          <w:rFonts w:ascii="Verdana" w:hAnsi="Verdana" w:cs="Arial"/>
          <w:shd w:val="clear" w:color="auto" w:fill="FFFFFF"/>
        </w:rPr>
        <w:t xml:space="preserve">La Agencia Nacional de Contratación Pública – Colombia Compra Eficiente </w:t>
      </w:r>
      <w:r w:rsidR="00A27867">
        <w:rPr>
          <w:rFonts w:ascii="Verdana" w:hAnsi="Verdana" w:cs="Arial"/>
          <w:shd w:val="clear" w:color="auto" w:fill="FFFFFF"/>
        </w:rPr>
        <w:t>se ha pronunciado frente a los</w:t>
      </w:r>
      <w:r w:rsidR="00C42100" w:rsidRPr="00C42100">
        <w:rPr>
          <w:rFonts w:ascii="Verdana" w:hAnsi="Verdana" w:cs="Arial"/>
          <w:shd w:val="clear" w:color="auto" w:fill="FFFFFF"/>
        </w:rPr>
        <w:t xml:space="preserve"> requisitos para </w:t>
      </w:r>
      <w:r w:rsidR="00A27867">
        <w:rPr>
          <w:rFonts w:ascii="Verdana" w:hAnsi="Verdana" w:cs="Arial"/>
          <w:shd w:val="clear" w:color="auto" w:fill="FFFFFF"/>
        </w:rPr>
        <w:t xml:space="preserve">la </w:t>
      </w:r>
      <w:r w:rsidR="00C42100" w:rsidRPr="00C42100">
        <w:rPr>
          <w:rFonts w:ascii="Verdana" w:hAnsi="Verdana" w:cs="Arial"/>
          <w:shd w:val="clear" w:color="auto" w:fill="FFFFFF"/>
        </w:rPr>
        <w:t>celebración</w:t>
      </w:r>
      <w:r w:rsidR="00A27867">
        <w:rPr>
          <w:rFonts w:ascii="Verdana" w:hAnsi="Verdana" w:cs="Arial"/>
          <w:shd w:val="clear" w:color="auto" w:fill="FFFFFF"/>
        </w:rPr>
        <w:t xml:space="preserve"> de los contratos de prestación de servicios</w:t>
      </w:r>
      <w:r w:rsidR="00C42100" w:rsidRPr="00C42100">
        <w:rPr>
          <w:rFonts w:ascii="Verdana" w:hAnsi="Verdana" w:cs="Arial"/>
          <w:shd w:val="clear" w:color="auto" w:fill="FFFFFF"/>
        </w:rPr>
        <w:t>, en los conceptos con radicado</w:t>
      </w:r>
      <w:r w:rsidR="00A27867">
        <w:rPr>
          <w:rFonts w:ascii="Verdana" w:hAnsi="Verdana" w:cs="Arial"/>
          <w:shd w:val="clear" w:color="auto" w:fill="FFFFFF"/>
        </w:rPr>
        <w:t>s</w:t>
      </w:r>
      <w:r w:rsidR="00C42100" w:rsidRPr="00C42100">
        <w:rPr>
          <w:rFonts w:ascii="Verdana" w:hAnsi="Verdana" w:cs="Arial"/>
          <w:shd w:val="clear" w:color="auto" w:fill="FFFFFF"/>
        </w:rPr>
        <w:t>: 4201913000006452 del 07 de octubre de 2019, 4201912000006434 del 30 de octubre de 2019,</w:t>
      </w:r>
      <w:r w:rsidR="00C42100">
        <w:rPr>
          <w:rFonts w:ascii="Verdana" w:hAnsi="Verdana" w:cs="Arial"/>
          <w:shd w:val="clear" w:color="auto" w:fill="FFFFFF"/>
        </w:rPr>
        <w:t xml:space="preserve"> </w:t>
      </w:r>
      <w:r w:rsidR="00C42100" w:rsidRPr="00C42100">
        <w:rPr>
          <w:rFonts w:ascii="Verdana" w:hAnsi="Verdana" w:cs="Arial"/>
          <w:shd w:val="clear" w:color="auto" w:fill="FFFFFF"/>
        </w:rPr>
        <w:t>4201913000006444 del 01 de noviembre de 2019, 4201913000006331 del 07</w:t>
      </w:r>
      <w:r w:rsidR="00C42100">
        <w:rPr>
          <w:rFonts w:ascii="Verdana" w:hAnsi="Verdana" w:cs="Arial"/>
          <w:shd w:val="clear" w:color="auto" w:fill="FFFFFF"/>
        </w:rPr>
        <w:t xml:space="preserve"> </w:t>
      </w:r>
      <w:r w:rsidR="00C42100" w:rsidRPr="00C42100">
        <w:rPr>
          <w:rFonts w:ascii="Verdana" w:hAnsi="Verdana" w:cs="Arial"/>
          <w:shd w:val="clear" w:color="auto" w:fill="FFFFFF"/>
        </w:rPr>
        <w:t>de noviembre de 2019, 4201912000006692 del 12 de noviembre de 2019,</w:t>
      </w:r>
      <w:r w:rsidR="00C42100">
        <w:rPr>
          <w:rFonts w:ascii="Verdana" w:hAnsi="Verdana" w:cs="Arial"/>
          <w:shd w:val="clear" w:color="auto" w:fill="FFFFFF"/>
        </w:rPr>
        <w:t xml:space="preserve"> </w:t>
      </w:r>
      <w:r w:rsidR="00C42100" w:rsidRPr="00C42100">
        <w:rPr>
          <w:rFonts w:ascii="Verdana" w:hAnsi="Verdana" w:cs="Arial"/>
          <w:shd w:val="clear" w:color="auto" w:fill="FFFFFF"/>
        </w:rPr>
        <w:t>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 2023</w:t>
      </w:r>
      <w:r w:rsidR="00FB67C7">
        <w:rPr>
          <w:rFonts w:ascii="Verdana" w:hAnsi="Verdana" w:cs="Arial"/>
          <w:shd w:val="clear" w:color="auto" w:fill="FFFFFF"/>
        </w:rPr>
        <w:t xml:space="preserve"> y C-1011</w:t>
      </w:r>
      <w:r w:rsidR="001D4052">
        <w:rPr>
          <w:rFonts w:ascii="Verdana" w:hAnsi="Verdana" w:cs="Arial"/>
          <w:shd w:val="clear" w:color="auto" w:fill="FFFFFF"/>
        </w:rPr>
        <w:t xml:space="preserve"> del 06 de enero de 2025</w:t>
      </w:r>
      <w:r w:rsidRPr="00E52602">
        <w:rPr>
          <w:rFonts w:ascii="Verdana" w:hAnsi="Verdana" w:cs="Arial"/>
          <w:shd w:val="clear" w:color="auto" w:fill="FFFFFF"/>
        </w:rPr>
        <w:t xml:space="preserve"> entre otros. Las tesis expuestas en estos conceptos se reiteran a continuación y se complementan en lo pertinente</w:t>
      </w:r>
      <w:r w:rsidR="00052A7F" w:rsidRPr="00052A7F">
        <w:rPr>
          <w:rFonts w:ascii="Verdana" w:hAnsi="Verdana" w:cs="Arial"/>
          <w:shd w:val="clear" w:color="auto" w:fill="FFFFFF"/>
        </w:rPr>
        <w:t xml:space="preserve">. </w:t>
      </w:r>
    </w:p>
    <w:p w14:paraId="7AA80262" w14:textId="77777777" w:rsidR="00DB7D44" w:rsidRDefault="00DB7D44"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5362D59A"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1A94559"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25D616FD"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5"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13CAF78"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6"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302453FB"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7CB67F4C"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14:paraId="003E92E1" w14:textId="77777777" w:rsidR="00A80691" w:rsidRPr="00505CD6" w:rsidRDefault="00A80691" w:rsidP="00A80691">
      <w:pPr>
        <w:widowControl w:val="0"/>
        <w:autoSpaceDE w:val="0"/>
        <w:autoSpaceDN w:val="0"/>
        <w:spacing w:after="0" w:line="276" w:lineRule="auto"/>
        <w:jc w:val="both"/>
        <w:rPr>
          <w:rFonts w:ascii="Verdana" w:eastAsia="Calibri" w:hAnsi="Verdana" w:cs="Arial"/>
          <w:color w:val="000000" w:themeColor="text1"/>
        </w:rPr>
      </w:pPr>
    </w:p>
    <w:p w14:paraId="7B957669" w14:textId="77777777" w:rsidR="00A80691" w:rsidRPr="00505CD6" w:rsidRDefault="00A80691" w:rsidP="00A8069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EC8E96" w14:textId="77777777" w:rsidR="00A80691" w:rsidRPr="00505CD6" w:rsidRDefault="00A80691" w:rsidP="00A80691">
      <w:pPr>
        <w:widowControl w:val="0"/>
        <w:autoSpaceDE w:val="0"/>
        <w:autoSpaceDN w:val="0"/>
        <w:spacing w:after="0" w:line="276" w:lineRule="auto"/>
        <w:jc w:val="both"/>
        <w:rPr>
          <w:rFonts w:ascii="Verdana" w:hAnsi="Verdana" w:cs="Arial"/>
        </w:rPr>
      </w:pPr>
    </w:p>
    <w:p w14:paraId="2126DCB2" w14:textId="77777777" w:rsidR="00A80691" w:rsidRPr="00505CD6" w:rsidRDefault="00A80691" w:rsidP="00A80691">
      <w:pPr>
        <w:spacing w:after="0" w:line="276" w:lineRule="auto"/>
        <w:jc w:val="both"/>
        <w:rPr>
          <w:rFonts w:ascii="Verdana" w:hAnsi="Verdana" w:cs="Arial"/>
          <w:lang w:eastAsia="es-CO"/>
        </w:rPr>
      </w:pPr>
      <w:r w:rsidRPr="00505CD6">
        <w:rPr>
          <w:rFonts w:ascii="Verdana" w:eastAsia="Times New Roman" w:hAnsi="Verdana" w:cs="Arial"/>
          <w:lang w:eastAsia="es-CO"/>
        </w:rPr>
        <w:lastRenderedPageBreak/>
        <w:t>Atentamente,</w:t>
      </w:r>
      <w:r w:rsidRPr="00505CD6">
        <w:rPr>
          <w:rFonts w:ascii="Verdana" w:hAnsi="Verdana" w:cs="Arial"/>
          <w:lang w:eastAsia="es-CO"/>
        </w:rPr>
        <w:t xml:space="preserve"> </w:t>
      </w:r>
    </w:p>
    <w:p w14:paraId="3B6523D2" w14:textId="77777777" w:rsidR="00DB7D44" w:rsidRPr="00593A5F" w:rsidRDefault="00DB7D44" w:rsidP="00DB7D44">
      <w:pPr>
        <w:widowControl w:val="0"/>
        <w:autoSpaceDE w:val="0"/>
        <w:autoSpaceDN w:val="0"/>
        <w:spacing w:after="0" w:line="276" w:lineRule="auto"/>
        <w:jc w:val="both"/>
        <w:rPr>
          <w:rFonts w:ascii="Verdana" w:hAnsi="Verdana" w:cs="Arial"/>
        </w:rPr>
      </w:pPr>
    </w:p>
    <w:p w14:paraId="713B1A5B" w14:textId="464A671D" w:rsidR="0006733B" w:rsidRPr="0006733B" w:rsidRDefault="0006733B" w:rsidP="0006733B">
      <w:pPr>
        <w:spacing w:line="276" w:lineRule="auto"/>
        <w:jc w:val="center"/>
        <w:rPr>
          <w:rFonts w:ascii="Verdana" w:hAnsi="Verdana"/>
          <w:noProof/>
          <w:color w:val="000000"/>
        </w:rPr>
      </w:pPr>
      <w:r w:rsidRPr="0006733B">
        <w:rPr>
          <w:rFonts w:ascii="Verdana" w:hAnsi="Verdana"/>
          <w:noProof/>
          <w:color w:val="000000"/>
        </w:rPr>
        <w:drawing>
          <wp:inline distT="0" distB="0" distL="0" distR="0" wp14:anchorId="7F7972EE" wp14:editId="1304739C">
            <wp:extent cx="4171315" cy="1790690"/>
            <wp:effectExtent l="0" t="0" r="635" b="635"/>
            <wp:docPr id="72774018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76831" cy="1793058"/>
                    </a:xfrm>
                    <a:prstGeom prst="rect">
                      <a:avLst/>
                    </a:prstGeom>
                    <a:noFill/>
                    <a:ln>
                      <a:noFill/>
                    </a:ln>
                  </pic:spPr>
                </pic:pic>
              </a:graphicData>
            </a:graphic>
          </wp:inline>
        </w:drawing>
      </w:r>
    </w:p>
    <w:p w14:paraId="40938A73" w14:textId="59EAB57A" w:rsidR="00FE66BE" w:rsidRDefault="00FE66BE" w:rsidP="00FE66BE">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0691" w:rsidRPr="00593A5F" w14:paraId="31D06E98" w14:textId="77777777" w:rsidTr="00E1079D">
        <w:trPr>
          <w:trHeight w:val="315"/>
        </w:trPr>
        <w:tc>
          <w:tcPr>
            <w:tcW w:w="893" w:type="dxa"/>
            <w:vAlign w:val="center"/>
            <w:hideMark/>
          </w:tcPr>
          <w:p w14:paraId="03E2D651"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E6222" w14:textId="77777777" w:rsidR="00A80691" w:rsidRPr="00E24803" w:rsidRDefault="00A80691" w:rsidP="00A80691">
            <w:pPr>
              <w:spacing w:line="276" w:lineRule="auto"/>
              <w:contextualSpacing/>
              <w:jc w:val="both"/>
              <w:rPr>
                <w:rFonts w:ascii="Verdana" w:hAnsi="Verdana"/>
                <w:sz w:val="16"/>
                <w:szCs w:val="16"/>
              </w:rPr>
            </w:pPr>
            <w:r w:rsidRPr="00E24803">
              <w:rPr>
                <w:rFonts w:ascii="Verdana" w:hAnsi="Verdana"/>
                <w:sz w:val="16"/>
                <w:szCs w:val="16"/>
              </w:rPr>
              <w:t>Nicolas Andrés Guzmán Padilla</w:t>
            </w:r>
          </w:p>
          <w:p w14:paraId="53926242" w14:textId="33D77AA9" w:rsidR="00A80691" w:rsidRPr="000015E6" w:rsidRDefault="00A80691" w:rsidP="00A80691">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A80691" w:rsidRPr="00593A5F" w14:paraId="7860D780" w14:textId="77777777" w:rsidTr="00E1079D">
        <w:trPr>
          <w:trHeight w:val="330"/>
        </w:trPr>
        <w:tc>
          <w:tcPr>
            <w:tcW w:w="893" w:type="dxa"/>
            <w:vAlign w:val="center"/>
            <w:hideMark/>
          </w:tcPr>
          <w:p w14:paraId="242F9749"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C40AB" w14:textId="1266B037" w:rsidR="00A80691" w:rsidRDefault="00A80691" w:rsidP="00A80691">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Gonzáles</w:t>
            </w:r>
          </w:p>
          <w:p w14:paraId="2BBC7853" w14:textId="6C5DBAC2" w:rsidR="00A80691" w:rsidRPr="00EF40D2" w:rsidRDefault="00A80691" w:rsidP="00A80691">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A80691" w:rsidRPr="00593A5F" w14:paraId="2DB10D30" w14:textId="77777777" w:rsidTr="00E1079D">
        <w:trPr>
          <w:trHeight w:val="300"/>
        </w:trPr>
        <w:tc>
          <w:tcPr>
            <w:tcW w:w="893" w:type="dxa"/>
            <w:vAlign w:val="center"/>
          </w:tcPr>
          <w:p w14:paraId="3638310D"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7777777"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Gacharná</w:t>
            </w:r>
          </w:p>
          <w:p w14:paraId="3F43F8EA" w14:textId="2BA9B9FC"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2"/>
      <w:bookmarkEnd w:id="3"/>
    </w:tbl>
    <w:p w14:paraId="7C53BEA7" w14:textId="77777777" w:rsidR="007D5768" w:rsidRPr="00593A5F" w:rsidRDefault="007D5768" w:rsidP="007D5768">
      <w:pPr>
        <w:spacing w:after="0" w:line="240" w:lineRule="auto"/>
        <w:rPr>
          <w:rFonts w:ascii="Verdana" w:eastAsia="Times New Roman" w:hAnsi="Verdana" w:cs="Arial"/>
          <w:sz w:val="24"/>
          <w:szCs w:val="24"/>
          <w:lang w:eastAsia="es-ES"/>
        </w:rPr>
      </w:pPr>
    </w:p>
    <w:bookmarkEnd w:id="1"/>
    <w:p w14:paraId="0465BA6D" w14:textId="409EEA43" w:rsidR="00E245AB" w:rsidRPr="0044528D" w:rsidRDefault="00E245AB" w:rsidP="00E245AB">
      <w:pPr>
        <w:spacing w:after="0"/>
        <w:rPr>
          <w:rFonts w:ascii="Verdana" w:hAnsi="Verdana"/>
        </w:rPr>
      </w:pPr>
    </w:p>
    <w:sectPr w:rsidR="00E245AB" w:rsidRPr="0044528D" w:rsidSect="00AC0B6D">
      <w:headerReference w:type="even" r:id="rId19"/>
      <w:headerReference w:type="default" r:id="rId20"/>
      <w:footerReference w:type="even" r:id="rId21"/>
      <w:footerReference w:type="default" r:id="rId22"/>
      <w:pgSz w:w="12240" w:h="15840" w:code="1"/>
      <w:pgMar w:top="1417" w:right="1750"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B2A72" w14:textId="77777777" w:rsidR="00AE7522" w:rsidRDefault="00AE7522" w:rsidP="004A1847">
      <w:pPr>
        <w:spacing w:after="0" w:line="240" w:lineRule="auto"/>
      </w:pPr>
      <w:r>
        <w:separator/>
      </w:r>
    </w:p>
  </w:endnote>
  <w:endnote w:type="continuationSeparator" w:id="0">
    <w:p w14:paraId="36E9EA32" w14:textId="77777777" w:rsidR="00AE7522" w:rsidRDefault="00AE75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473AA" w14:textId="77777777" w:rsidR="00AE7522" w:rsidRDefault="00AE7522" w:rsidP="004A1847">
      <w:pPr>
        <w:spacing w:after="0" w:line="240" w:lineRule="auto"/>
      </w:pPr>
      <w:r>
        <w:separator/>
      </w:r>
    </w:p>
  </w:footnote>
  <w:footnote w:type="continuationSeparator" w:id="0">
    <w:p w14:paraId="16D08DA3" w14:textId="77777777" w:rsidR="00AE7522" w:rsidRDefault="00AE7522" w:rsidP="004A1847">
      <w:pPr>
        <w:spacing w:after="0" w:line="240" w:lineRule="auto"/>
      </w:pPr>
      <w:r>
        <w:continuationSeparator/>
      </w:r>
    </w:p>
  </w:footnote>
  <w:footnote w:id="1">
    <w:p w14:paraId="0C70FFBA" w14:textId="77777777" w:rsidR="00B33517" w:rsidRPr="006A09D6" w:rsidRDefault="00B33517" w:rsidP="00B33517">
      <w:pPr>
        <w:spacing w:after="0" w:line="240" w:lineRule="auto"/>
        <w:jc w:val="both"/>
        <w:rPr>
          <w:rFonts w:ascii="Verdana" w:hAnsi="Verdana" w:cs="Arial"/>
          <w:color w:val="000000"/>
          <w:sz w:val="14"/>
          <w:szCs w:val="14"/>
        </w:rPr>
      </w:pPr>
      <w:r w:rsidRPr="006A09D6">
        <w:rPr>
          <w:rStyle w:val="Refdenotaalpie"/>
          <w:rFonts w:ascii="Verdana" w:hAnsi="Verdana" w:cs="Arial"/>
          <w:color w:val="000000"/>
          <w:sz w:val="14"/>
          <w:szCs w:val="14"/>
        </w:rPr>
        <w:footnoteRef/>
      </w:r>
      <w:r w:rsidRPr="006A09D6">
        <w:rPr>
          <w:rFonts w:ascii="Verdana" w:hAnsi="Verdana" w:cs="Arial"/>
          <w:color w:val="000000"/>
          <w:sz w:val="14"/>
          <w:szCs w:val="14"/>
        </w:rPr>
        <w:t xml:space="preserve"> 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660F27F5" w14:textId="77777777" w:rsidR="00B33517" w:rsidRPr="006A09D6" w:rsidRDefault="00B33517" w:rsidP="00B33517">
      <w:pPr>
        <w:spacing w:after="0" w:line="240" w:lineRule="auto"/>
        <w:ind w:firstLine="709"/>
        <w:jc w:val="both"/>
        <w:rPr>
          <w:rFonts w:ascii="Verdana" w:hAnsi="Verdana" w:cs="Arial"/>
          <w:color w:val="000000"/>
          <w:sz w:val="14"/>
          <w:szCs w:val="14"/>
        </w:rPr>
      </w:pPr>
    </w:p>
  </w:footnote>
  <w:footnote w:id="2">
    <w:p w14:paraId="45EB14DA" w14:textId="1894051C" w:rsidR="00B33517" w:rsidRPr="006A09D6" w:rsidRDefault="00B33517" w:rsidP="00B33517">
      <w:pPr>
        <w:pStyle w:val="Textonotapie"/>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Ibíd., p. 69</w:t>
      </w:r>
    </w:p>
  </w:footnote>
  <w:footnote w:id="3">
    <w:p w14:paraId="668BC3CA" w14:textId="77777777" w:rsidR="00B33517" w:rsidRPr="006A09D6" w:rsidRDefault="00B33517" w:rsidP="00B33517">
      <w:pPr>
        <w:pStyle w:val="Textonotapie"/>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Corte Constitucional. Sentencia T-1039 de 2006. Magistrado Ponente: Humberto Sierra Porto. La Corte ha mantenido este criterio en las sentencias: C-903 de 2008. Magistrado Ponente: Jaime Araujo Rentería; C-101 de 2018. Magistrada Ponente Gloria Stella Ortiz Delgado; entre otras.</w:t>
      </w:r>
    </w:p>
    <w:p w14:paraId="1AE2F8FF" w14:textId="77777777" w:rsidR="00B33517" w:rsidRPr="006A09D6" w:rsidRDefault="00B33517" w:rsidP="00B33517">
      <w:pPr>
        <w:pStyle w:val="Textonotapie"/>
        <w:ind w:firstLine="709"/>
        <w:jc w:val="both"/>
        <w:rPr>
          <w:rFonts w:ascii="Verdana" w:hAnsi="Verdana" w:cs="Arial"/>
          <w:color w:val="000000"/>
          <w:sz w:val="14"/>
          <w:szCs w:val="14"/>
          <w:lang w:val="es-CO"/>
        </w:rPr>
      </w:pPr>
    </w:p>
  </w:footnote>
  <w:footnote w:id="4">
    <w:p w14:paraId="43844295" w14:textId="0A9F1622" w:rsidR="00B33517" w:rsidRPr="006A09D6" w:rsidRDefault="00B33517" w:rsidP="00B33517">
      <w:pPr>
        <w:pStyle w:val="Textonotapie"/>
        <w:ind w:hanging="142"/>
        <w:contextualSpacing/>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Consejo de Estado. Sala de Consulta y Servicio Civil. Concepto del 30 de abril de 2015. Expediente: 2251. Consejero Ponente: Álvaro Namén Vargas.</w:t>
      </w:r>
    </w:p>
  </w:footnote>
  <w:footnote w:id="5">
    <w:p w14:paraId="158F62E4" w14:textId="1420BC0B" w:rsidR="00B33517" w:rsidRPr="006A09D6" w:rsidRDefault="00B33517" w:rsidP="00B33517">
      <w:pPr>
        <w:spacing w:after="0" w:line="240" w:lineRule="auto"/>
        <w:ind w:hanging="142"/>
        <w:contextualSpacing/>
        <w:jc w:val="both"/>
        <w:rPr>
          <w:rFonts w:ascii="Verdana" w:hAnsi="Verdana" w:cs="Arial"/>
          <w:color w:val="000000"/>
          <w:sz w:val="14"/>
          <w:szCs w:val="14"/>
        </w:rPr>
      </w:pPr>
      <w:r w:rsidRPr="006A09D6">
        <w:rPr>
          <w:rStyle w:val="Refdenotaalpie"/>
          <w:rFonts w:ascii="Verdana" w:hAnsi="Verdana" w:cs="Arial"/>
          <w:color w:val="000000"/>
          <w:sz w:val="14"/>
          <w:szCs w:val="14"/>
        </w:rPr>
        <w:footnoteRef/>
      </w:r>
      <w:r w:rsidRPr="006A09D6">
        <w:rPr>
          <w:rFonts w:ascii="Verdana" w:hAnsi="Verdana" w:cs="Arial"/>
          <w:color w:val="000000"/>
          <w:sz w:val="14"/>
          <w:szCs w:val="14"/>
        </w:rPr>
        <w:t xml:space="preserve"> Consejo</w:t>
      </w:r>
      <w:r w:rsidRPr="006A09D6">
        <w:rPr>
          <w:rFonts w:ascii="Verdana" w:hAnsi="Verdana" w:cs="Arial"/>
          <w:color w:val="000000"/>
          <w:spacing w:val="12"/>
          <w:sz w:val="14"/>
          <w:szCs w:val="14"/>
        </w:rPr>
        <w:t xml:space="preserve"> </w:t>
      </w:r>
      <w:r w:rsidRPr="006A09D6">
        <w:rPr>
          <w:rFonts w:ascii="Verdana" w:hAnsi="Verdana" w:cs="Arial"/>
          <w:color w:val="000000"/>
          <w:sz w:val="14"/>
          <w:szCs w:val="14"/>
        </w:rPr>
        <w:t>de</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Estado.</w:t>
      </w:r>
      <w:r w:rsidRPr="006A09D6">
        <w:rPr>
          <w:rFonts w:ascii="Verdana" w:hAnsi="Verdana" w:cs="Arial"/>
          <w:color w:val="000000"/>
          <w:spacing w:val="12"/>
          <w:sz w:val="14"/>
          <w:szCs w:val="14"/>
        </w:rPr>
        <w:t xml:space="preserve"> </w:t>
      </w:r>
      <w:r w:rsidRPr="006A09D6">
        <w:rPr>
          <w:rFonts w:ascii="Verdana" w:hAnsi="Verdana" w:cs="Arial"/>
          <w:color w:val="000000"/>
          <w:sz w:val="14"/>
          <w:szCs w:val="14"/>
        </w:rPr>
        <w:t>Sección</w:t>
      </w:r>
      <w:r w:rsidRPr="006A09D6">
        <w:rPr>
          <w:rFonts w:ascii="Verdana" w:hAnsi="Verdana" w:cs="Arial"/>
          <w:color w:val="000000"/>
          <w:spacing w:val="12"/>
          <w:sz w:val="14"/>
          <w:szCs w:val="14"/>
        </w:rPr>
        <w:t xml:space="preserve"> </w:t>
      </w:r>
      <w:r w:rsidRPr="006A09D6">
        <w:rPr>
          <w:rFonts w:ascii="Verdana" w:hAnsi="Verdana" w:cs="Arial"/>
          <w:color w:val="000000"/>
          <w:sz w:val="14"/>
          <w:szCs w:val="14"/>
        </w:rPr>
        <w:t>Tercera.</w:t>
      </w:r>
      <w:r w:rsidRPr="006A09D6">
        <w:rPr>
          <w:rFonts w:ascii="Verdana" w:hAnsi="Verdana" w:cs="Arial"/>
          <w:color w:val="000000"/>
          <w:spacing w:val="12"/>
          <w:sz w:val="14"/>
          <w:szCs w:val="14"/>
        </w:rPr>
        <w:t xml:space="preserve"> </w:t>
      </w:r>
      <w:r w:rsidRPr="006A09D6">
        <w:rPr>
          <w:rFonts w:ascii="Verdana" w:hAnsi="Verdana" w:cs="Arial"/>
          <w:color w:val="000000"/>
          <w:sz w:val="14"/>
          <w:szCs w:val="14"/>
        </w:rPr>
        <w:t>Subsección</w:t>
      </w:r>
      <w:r w:rsidRPr="006A09D6">
        <w:rPr>
          <w:rFonts w:ascii="Verdana" w:hAnsi="Verdana" w:cs="Arial"/>
          <w:color w:val="000000"/>
          <w:spacing w:val="13"/>
          <w:sz w:val="14"/>
          <w:szCs w:val="14"/>
        </w:rPr>
        <w:t xml:space="preserve"> </w:t>
      </w:r>
      <w:r w:rsidRPr="006A09D6">
        <w:rPr>
          <w:rFonts w:ascii="Verdana" w:hAnsi="Verdana" w:cs="Arial"/>
          <w:color w:val="000000"/>
          <w:sz w:val="14"/>
          <w:szCs w:val="14"/>
        </w:rPr>
        <w:t>A.</w:t>
      </w:r>
      <w:r w:rsidRPr="006A09D6">
        <w:rPr>
          <w:rFonts w:ascii="Verdana" w:hAnsi="Verdana" w:cs="Arial"/>
          <w:color w:val="000000"/>
          <w:spacing w:val="12"/>
          <w:sz w:val="14"/>
          <w:szCs w:val="14"/>
        </w:rPr>
        <w:t xml:space="preserve"> </w:t>
      </w:r>
      <w:r w:rsidRPr="006A09D6">
        <w:rPr>
          <w:rFonts w:ascii="Verdana" w:hAnsi="Verdana" w:cs="Arial"/>
          <w:color w:val="000000"/>
          <w:sz w:val="14"/>
          <w:szCs w:val="14"/>
        </w:rPr>
        <w:t>Sentencia</w:t>
      </w:r>
      <w:r w:rsidRPr="006A09D6">
        <w:rPr>
          <w:rFonts w:ascii="Verdana" w:hAnsi="Verdana" w:cs="Arial"/>
          <w:color w:val="000000"/>
          <w:spacing w:val="13"/>
          <w:sz w:val="14"/>
          <w:szCs w:val="14"/>
        </w:rPr>
        <w:t xml:space="preserve"> </w:t>
      </w:r>
      <w:r w:rsidRPr="006A09D6">
        <w:rPr>
          <w:rFonts w:ascii="Verdana" w:hAnsi="Verdana" w:cs="Arial"/>
          <w:color w:val="000000"/>
          <w:sz w:val="14"/>
          <w:szCs w:val="14"/>
        </w:rPr>
        <w:t>del</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24</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de</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junio</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de</w:t>
      </w:r>
      <w:r w:rsidRPr="006A09D6">
        <w:rPr>
          <w:rFonts w:ascii="Verdana" w:hAnsi="Verdana" w:cs="Arial"/>
          <w:color w:val="000000"/>
          <w:spacing w:val="11"/>
          <w:sz w:val="14"/>
          <w:szCs w:val="14"/>
        </w:rPr>
        <w:t xml:space="preserve"> </w:t>
      </w:r>
      <w:r w:rsidRPr="006A09D6">
        <w:rPr>
          <w:rFonts w:ascii="Verdana" w:hAnsi="Verdana" w:cs="Arial"/>
          <w:color w:val="000000"/>
          <w:sz w:val="14"/>
          <w:szCs w:val="14"/>
        </w:rPr>
        <w:t>2015.</w:t>
      </w:r>
      <w:r w:rsidRPr="006A09D6">
        <w:rPr>
          <w:rFonts w:ascii="Verdana" w:hAnsi="Verdana" w:cs="Arial"/>
          <w:color w:val="000000"/>
          <w:spacing w:val="1"/>
          <w:sz w:val="14"/>
          <w:szCs w:val="14"/>
        </w:rPr>
        <w:t xml:space="preserve"> </w:t>
      </w:r>
      <w:r w:rsidRPr="006A09D6">
        <w:rPr>
          <w:rFonts w:ascii="Verdana" w:hAnsi="Verdana" w:cs="Arial"/>
          <w:color w:val="000000"/>
          <w:sz w:val="14"/>
          <w:szCs w:val="14"/>
        </w:rPr>
        <w:t>Exp.</w:t>
      </w:r>
      <w:r w:rsidRPr="006A09D6">
        <w:rPr>
          <w:rFonts w:ascii="Verdana" w:hAnsi="Verdana" w:cs="Arial"/>
          <w:color w:val="000000"/>
          <w:spacing w:val="-2"/>
          <w:sz w:val="14"/>
          <w:szCs w:val="14"/>
        </w:rPr>
        <w:t xml:space="preserve"> </w:t>
      </w:r>
      <w:r w:rsidRPr="006A09D6">
        <w:rPr>
          <w:rFonts w:ascii="Verdana" w:hAnsi="Verdana" w:cs="Arial"/>
          <w:color w:val="000000"/>
          <w:sz w:val="14"/>
          <w:szCs w:val="14"/>
        </w:rPr>
        <w:t>40.635.</w:t>
      </w:r>
      <w:r w:rsidRPr="006A09D6">
        <w:rPr>
          <w:rFonts w:ascii="Verdana" w:hAnsi="Verdana" w:cs="Arial"/>
          <w:color w:val="000000"/>
          <w:spacing w:val="-2"/>
          <w:sz w:val="14"/>
          <w:szCs w:val="14"/>
        </w:rPr>
        <w:t xml:space="preserve"> </w:t>
      </w:r>
      <w:r w:rsidRPr="006A09D6">
        <w:rPr>
          <w:rFonts w:ascii="Verdana" w:hAnsi="Verdana" w:cs="Arial"/>
          <w:color w:val="000000"/>
          <w:sz w:val="14"/>
          <w:szCs w:val="14"/>
        </w:rPr>
        <w:t>Consejero</w:t>
      </w:r>
      <w:r w:rsidRPr="006A09D6">
        <w:rPr>
          <w:rFonts w:ascii="Verdana" w:hAnsi="Verdana" w:cs="Arial"/>
          <w:color w:val="000000"/>
          <w:spacing w:val="-1"/>
          <w:sz w:val="14"/>
          <w:szCs w:val="14"/>
        </w:rPr>
        <w:t xml:space="preserve"> </w:t>
      </w:r>
      <w:r w:rsidRPr="006A09D6">
        <w:rPr>
          <w:rFonts w:ascii="Verdana" w:hAnsi="Verdana" w:cs="Arial"/>
          <w:color w:val="000000"/>
          <w:sz w:val="14"/>
          <w:szCs w:val="14"/>
        </w:rPr>
        <w:t>Ponente:</w:t>
      </w:r>
      <w:r w:rsidRPr="006A09D6">
        <w:rPr>
          <w:rFonts w:ascii="Verdana" w:hAnsi="Verdana" w:cs="Arial"/>
          <w:color w:val="000000"/>
          <w:spacing w:val="-2"/>
          <w:sz w:val="14"/>
          <w:szCs w:val="14"/>
        </w:rPr>
        <w:t xml:space="preserve"> </w:t>
      </w:r>
      <w:r w:rsidRPr="006A09D6">
        <w:rPr>
          <w:rFonts w:ascii="Verdana" w:hAnsi="Verdana" w:cs="Arial"/>
          <w:color w:val="000000"/>
          <w:sz w:val="14"/>
          <w:szCs w:val="14"/>
        </w:rPr>
        <w:t>Hernán</w:t>
      </w:r>
      <w:r w:rsidRPr="006A09D6">
        <w:rPr>
          <w:rFonts w:ascii="Verdana" w:hAnsi="Verdana" w:cs="Arial"/>
          <w:color w:val="000000"/>
          <w:spacing w:val="-1"/>
          <w:sz w:val="14"/>
          <w:szCs w:val="14"/>
        </w:rPr>
        <w:t xml:space="preserve"> </w:t>
      </w:r>
      <w:r w:rsidRPr="006A09D6">
        <w:rPr>
          <w:rFonts w:ascii="Verdana" w:hAnsi="Verdana" w:cs="Arial"/>
          <w:color w:val="000000"/>
          <w:sz w:val="14"/>
          <w:szCs w:val="14"/>
        </w:rPr>
        <w:t>Andrade</w:t>
      </w:r>
      <w:r w:rsidRPr="006A09D6">
        <w:rPr>
          <w:rFonts w:ascii="Verdana" w:hAnsi="Verdana" w:cs="Arial"/>
          <w:color w:val="000000"/>
          <w:spacing w:val="-2"/>
          <w:sz w:val="14"/>
          <w:szCs w:val="14"/>
        </w:rPr>
        <w:t xml:space="preserve"> </w:t>
      </w:r>
      <w:r w:rsidRPr="006A09D6">
        <w:rPr>
          <w:rFonts w:ascii="Verdana" w:hAnsi="Verdana" w:cs="Arial"/>
          <w:color w:val="000000"/>
          <w:sz w:val="14"/>
          <w:szCs w:val="14"/>
        </w:rPr>
        <w:t>Rincón</w:t>
      </w:r>
      <w:r w:rsidRPr="006A09D6">
        <w:rPr>
          <w:rFonts w:ascii="Verdana" w:hAnsi="Verdana" w:cs="Arial"/>
          <w:color w:val="000000"/>
          <w:spacing w:val="-1"/>
          <w:sz w:val="14"/>
          <w:szCs w:val="14"/>
        </w:rPr>
        <w:t xml:space="preserve"> </w:t>
      </w:r>
      <w:r w:rsidRPr="006A09D6">
        <w:rPr>
          <w:rFonts w:ascii="Verdana" w:hAnsi="Verdana" w:cs="Arial"/>
          <w:color w:val="000000"/>
          <w:sz w:val="14"/>
          <w:szCs w:val="14"/>
        </w:rPr>
        <w:t>(E).</w:t>
      </w:r>
    </w:p>
  </w:footnote>
  <w:footnote w:id="6">
    <w:p w14:paraId="55A82987" w14:textId="46DAB37C" w:rsidR="00B33517" w:rsidRPr="006A09D6" w:rsidRDefault="00B33517" w:rsidP="00B33517">
      <w:pPr>
        <w:pStyle w:val="Textonotapie"/>
        <w:ind w:hanging="142"/>
        <w:contextualSpacing/>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Consejo de Estado. Sección Tercera. Subsección C. Sentencia del 22 de mayo de 2013. Exp. 24.057. C.P. Olga Melida Valle De La Hoz.</w:t>
      </w:r>
    </w:p>
  </w:footnote>
  <w:footnote w:id="7">
    <w:p w14:paraId="5CC5ECCA" w14:textId="4F246C72" w:rsidR="00B33517" w:rsidRPr="006A09D6" w:rsidRDefault="00B33517" w:rsidP="00B33517">
      <w:pPr>
        <w:pStyle w:val="Textonotapie"/>
        <w:ind w:hanging="142"/>
        <w:contextualSpacing/>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Corte Constitucional, Sentencia C- 373 de 2002, M.P. Jaime Córdoba Triviño; sentencia C-325 de 2009, M.P. Gabriel Eduardo Mendoza Martelo.</w:t>
      </w:r>
    </w:p>
  </w:footnote>
  <w:footnote w:id="8">
    <w:p w14:paraId="3019F419" w14:textId="77777777" w:rsidR="00B33517" w:rsidRPr="006A09D6" w:rsidRDefault="00B33517" w:rsidP="00B33517">
      <w:pPr>
        <w:pStyle w:val="Textonotapie"/>
        <w:ind w:hanging="142"/>
        <w:contextualSpacing/>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Consejo de Estado, Sección Quinta, Sentencia del 13 de junio de 2019, Exp. No. 00111 C.P. Rocío Araújo Oñate.</w:t>
      </w:r>
    </w:p>
  </w:footnote>
  <w:footnote w:id="9">
    <w:p w14:paraId="6EB64071" w14:textId="77777777" w:rsidR="00B33517" w:rsidRPr="006A09D6" w:rsidRDefault="00B33517" w:rsidP="00B33517">
      <w:pPr>
        <w:pStyle w:val="Textonotapie"/>
        <w:jc w:val="both"/>
        <w:rPr>
          <w:rFonts w:ascii="Verdana" w:hAnsi="Verdana" w:cs="Arial"/>
          <w:color w:val="000000"/>
          <w:sz w:val="14"/>
          <w:szCs w:val="14"/>
          <w:lang w:val="es-CO"/>
        </w:rPr>
      </w:pPr>
      <w:r w:rsidRPr="006A09D6">
        <w:rPr>
          <w:rStyle w:val="Refdenotaalpie"/>
          <w:rFonts w:ascii="Verdana" w:hAnsi="Verdana" w:cs="Arial"/>
          <w:color w:val="000000"/>
          <w:sz w:val="14"/>
          <w:szCs w:val="14"/>
          <w:lang w:val="es-CO"/>
        </w:rPr>
        <w:footnoteRef/>
      </w:r>
      <w:r w:rsidRPr="006A09D6">
        <w:rPr>
          <w:rFonts w:ascii="Verdana" w:hAnsi="Verdana" w:cs="Arial"/>
          <w:color w:val="000000"/>
          <w:sz w:val="14"/>
          <w:szCs w:val="14"/>
          <w:lang w:val="es-CO"/>
        </w:rPr>
        <w:t xml:space="preserve"> </w:t>
      </w:r>
      <w:r w:rsidRPr="006A09D6">
        <w:rPr>
          <w:rFonts w:ascii="Verdana" w:hAnsi="Verdana" w:cs="Arial"/>
          <w:i/>
          <w:color w:val="000000"/>
          <w:sz w:val="14"/>
          <w:szCs w:val="14"/>
          <w:lang w:val="es-CO"/>
        </w:rPr>
        <w:t>Ibid</w:t>
      </w:r>
      <w:r w:rsidRPr="006A09D6">
        <w:rPr>
          <w:rFonts w:ascii="Verdana" w:hAnsi="Verdana" w:cs="Arial"/>
          <w:color w:val="000000"/>
          <w:sz w:val="14"/>
          <w:szCs w:val="14"/>
          <w:lang w:val="es-CO"/>
        </w:rPr>
        <w:t xml:space="preserve">. </w:t>
      </w:r>
    </w:p>
    <w:p w14:paraId="60D31554" w14:textId="77777777" w:rsidR="00B33517" w:rsidRPr="006A09D6" w:rsidRDefault="00B33517" w:rsidP="00B33517">
      <w:pPr>
        <w:pStyle w:val="Textonotapie"/>
        <w:ind w:firstLine="709"/>
        <w:jc w:val="both"/>
        <w:rPr>
          <w:rFonts w:ascii="Verdana" w:hAnsi="Verdana" w:cs="Arial"/>
          <w:color w:val="000000"/>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44670566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00462686" name="Imagen 3004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045021415" o:spid="_x0000_i1035" type="#_x0000_t75" style="width:11.5pt;height:11.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7"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19"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0"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6"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11"/>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1"/>
  </w:num>
  <w:num w:numId="7">
    <w:abstractNumId w:val="12"/>
  </w:num>
  <w:num w:numId="8">
    <w:abstractNumId w:val="29"/>
  </w:num>
  <w:num w:numId="9">
    <w:abstractNumId w:val="15"/>
  </w:num>
  <w:num w:numId="10">
    <w:abstractNumId w:val="28"/>
  </w:num>
  <w:num w:numId="11">
    <w:abstractNumId w:val="16"/>
  </w:num>
  <w:num w:numId="12">
    <w:abstractNumId w:val="1"/>
  </w:num>
  <w:num w:numId="13">
    <w:abstractNumId w:val="8"/>
  </w:num>
  <w:num w:numId="14">
    <w:abstractNumId w:val="32"/>
  </w:num>
  <w:num w:numId="15">
    <w:abstractNumId w:val="25"/>
  </w:num>
  <w:num w:numId="16">
    <w:abstractNumId w:val="0"/>
  </w:num>
  <w:num w:numId="17">
    <w:abstractNumId w:val="30"/>
  </w:num>
  <w:num w:numId="18">
    <w:abstractNumId w:val="22"/>
  </w:num>
  <w:num w:numId="19">
    <w:abstractNumId w:val="7"/>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35"/>
  </w:num>
  <w:num w:numId="24">
    <w:abstractNumId w:val="21"/>
  </w:num>
  <w:num w:numId="25">
    <w:abstractNumId w:val="3"/>
  </w:num>
  <w:num w:numId="26">
    <w:abstractNumId w:val="18"/>
  </w:num>
  <w:num w:numId="27">
    <w:abstractNumId w:val="5"/>
  </w:num>
  <w:num w:numId="28">
    <w:abstractNumId w:val="6"/>
  </w:num>
  <w:num w:numId="29">
    <w:abstractNumId w:val="26"/>
  </w:num>
  <w:num w:numId="30">
    <w:abstractNumId w:val="33"/>
  </w:num>
  <w:num w:numId="31">
    <w:abstractNumId w:val="20"/>
  </w:num>
  <w:num w:numId="32">
    <w:abstractNumId w:val="4"/>
  </w:num>
  <w:num w:numId="33">
    <w:abstractNumId w:val="14"/>
  </w:num>
  <w:num w:numId="34">
    <w:abstractNumId w:val="9"/>
  </w:num>
  <w:num w:numId="35">
    <w:abstractNumId w:val="19"/>
  </w:num>
  <w:num w:numId="36">
    <w:abstractNumId w:val="17"/>
  </w:num>
  <w:num w:numId="37">
    <w:abstractNumId w:val="27"/>
  </w:num>
  <w:num w:numId="3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43043"/>
    <w:rsid w:val="0004364F"/>
    <w:rsid w:val="0005032D"/>
    <w:rsid w:val="00051351"/>
    <w:rsid w:val="00052A7F"/>
    <w:rsid w:val="00061B2A"/>
    <w:rsid w:val="00065774"/>
    <w:rsid w:val="0006733B"/>
    <w:rsid w:val="000716C3"/>
    <w:rsid w:val="000816DD"/>
    <w:rsid w:val="00082362"/>
    <w:rsid w:val="00091052"/>
    <w:rsid w:val="00097A44"/>
    <w:rsid w:val="000A1AAE"/>
    <w:rsid w:val="000A683E"/>
    <w:rsid w:val="000B19B9"/>
    <w:rsid w:val="000C3898"/>
    <w:rsid w:val="000D0334"/>
    <w:rsid w:val="000F6486"/>
    <w:rsid w:val="00117E40"/>
    <w:rsid w:val="001226A0"/>
    <w:rsid w:val="00125105"/>
    <w:rsid w:val="001254C6"/>
    <w:rsid w:val="00127233"/>
    <w:rsid w:val="001318DA"/>
    <w:rsid w:val="0015095D"/>
    <w:rsid w:val="001561D6"/>
    <w:rsid w:val="001572FA"/>
    <w:rsid w:val="001643A7"/>
    <w:rsid w:val="00171AE9"/>
    <w:rsid w:val="00174353"/>
    <w:rsid w:val="001A13C1"/>
    <w:rsid w:val="001B7AF4"/>
    <w:rsid w:val="001C4152"/>
    <w:rsid w:val="001D4052"/>
    <w:rsid w:val="001D756C"/>
    <w:rsid w:val="001E4177"/>
    <w:rsid w:val="001E5B16"/>
    <w:rsid w:val="001F0FB2"/>
    <w:rsid w:val="001F6D8D"/>
    <w:rsid w:val="001F7DC6"/>
    <w:rsid w:val="00201766"/>
    <w:rsid w:val="002121EB"/>
    <w:rsid w:val="002221DA"/>
    <w:rsid w:val="00232683"/>
    <w:rsid w:val="002421BB"/>
    <w:rsid w:val="00250743"/>
    <w:rsid w:val="002520F5"/>
    <w:rsid w:val="0025398C"/>
    <w:rsid w:val="0025796E"/>
    <w:rsid w:val="002707A2"/>
    <w:rsid w:val="00272513"/>
    <w:rsid w:val="002933DA"/>
    <w:rsid w:val="002951A0"/>
    <w:rsid w:val="002962BC"/>
    <w:rsid w:val="002A093D"/>
    <w:rsid w:val="002A0DD0"/>
    <w:rsid w:val="002A4677"/>
    <w:rsid w:val="002A49AC"/>
    <w:rsid w:val="002A64FD"/>
    <w:rsid w:val="002C7A84"/>
    <w:rsid w:val="002E22F1"/>
    <w:rsid w:val="002E4FD9"/>
    <w:rsid w:val="00306C5A"/>
    <w:rsid w:val="003103F2"/>
    <w:rsid w:val="00322A85"/>
    <w:rsid w:val="00324168"/>
    <w:rsid w:val="003448F4"/>
    <w:rsid w:val="00355F0B"/>
    <w:rsid w:val="00362EC9"/>
    <w:rsid w:val="0036753A"/>
    <w:rsid w:val="00374F5E"/>
    <w:rsid w:val="00376CD8"/>
    <w:rsid w:val="00377E3E"/>
    <w:rsid w:val="003838FF"/>
    <w:rsid w:val="00391EB2"/>
    <w:rsid w:val="003A26D1"/>
    <w:rsid w:val="003A2ECF"/>
    <w:rsid w:val="003A779E"/>
    <w:rsid w:val="003C28D0"/>
    <w:rsid w:val="003C3A88"/>
    <w:rsid w:val="003D0F4D"/>
    <w:rsid w:val="003D5B0D"/>
    <w:rsid w:val="003E0499"/>
    <w:rsid w:val="003E41C3"/>
    <w:rsid w:val="003F2418"/>
    <w:rsid w:val="003F3941"/>
    <w:rsid w:val="003F5236"/>
    <w:rsid w:val="00404877"/>
    <w:rsid w:val="00406575"/>
    <w:rsid w:val="00412AC0"/>
    <w:rsid w:val="00426B4E"/>
    <w:rsid w:val="0042722E"/>
    <w:rsid w:val="0043208F"/>
    <w:rsid w:val="00437B03"/>
    <w:rsid w:val="00440694"/>
    <w:rsid w:val="00442DEF"/>
    <w:rsid w:val="0044528D"/>
    <w:rsid w:val="004470E1"/>
    <w:rsid w:val="0045343A"/>
    <w:rsid w:val="00456F45"/>
    <w:rsid w:val="004634BD"/>
    <w:rsid w:val="004735E5"/>
    <w:rsid w:val="00491ED8"/>
    <w:rsid w:val="004A1847"/>
    <w:rsid w:val="004A305D"/>
    <w:rsid w:val="004E0A42"/>
    <w:rsid w:val="004F21C4"/>
    <w:rsid w:val="004F685F"/>
    <w:rsid w:val="00521153"/>
    <w:rsid w:val="00540088"/>
    <w:rsid w:val="0055375E"/>
    <w:rsid w:val="005566E8"/>
    <w:rsid w:val="00566D40"/>
    <w:rsid w:val="00574867"/>
    <w:rsid w:val="00574CB1"/>
    <w:rsid w:val="0058374D"/>
    <w:rsid w:val="00591460"/>
    <w:rsid w:val="00592628"/>
    <w:rsid w:val="005C1B4D"/>
    <w:rsid w:val="005C3777"/>
    <w:rsid w:val="005C5CDC"/>
    <w:rsid w:val="005C74BA"/>
    <w:rsid w:val="005D2DA6"/>
    <w:rsid w:val="005D476C"/>
    <w:rsid w:val="005D5319"/>
    <w:rsid w:val="005E62E2"/>
    <w:rsid w:val="005F7B58"/>
    <w:rsid w:val="00610812"/>
    <w:rsid w:val="006173C6"/>
    <w:rsid w:val="006219F8"/>
    <w:rsid w:val="00650FF7"/>
    <w:rsid w:val="00665D70"/>
    <w:rsid w:val="00670EF2"/>
    <w:rsid w:val="00671DAC"/>
    <w:rsid w:val="00677639"/>
    <w:rsid w:val="006900D9"/>
    <w:rsid w:val="00691D55"/>
    <w:rsid w:val="006A319E"/>
    <w:rsid w:val="006A5AE8"/>
    <w:rsid w:val="006A6837"/>
    <w:rsid w:val="006C5F67"/>
    <w:rsid w:val="006D0268"/>
    <w:rsid w:val="006D12F8"/>
    <w:rsid w:val="006F3640"/>
    <w:rsid w:val="00706C16"/>
    <w:rsid w:val="00712B92"/>
    <w:rsid w:val="00756841"/>
    <w:rsid w:val="007649AB"/>
    <w:rsid w:val="00771D0C"/>
    <w:rsid w:val="00771EEC"/>
    <w:rsid w:val="00775EFA"/>
    <w:rsid w:val="007833AC"/>
    <w:rsid w:val="00783B11"/>
    <w:rsid w:val="00793192"/>
    <w:rsid w:val="007937A8"/>
    <w:rsid w:val="00794660"/>
    <w:rsid w:val="007964E2"/>
    <w:rsid w:val="007A4461"/>
    <w:rsid w:val="007B268C"/>
    <w:rsid w:val="007B7171"/>
    <w:rsid w:val="007C0C0F"/>
    <w:rsid w:val="007C3DC2"/>
    <w:rsid w:val="007D0253"/>
    <w:rsid w:val="007D5768"/>
    <w:rsid w:val="007E5497"/>
    <w:rsid w:val="007F56E0"/>
    <w:rsid w:val="0080518E"/>
    <w:rsid w:val="00806F5F"/>
    <w:rsid w:val="00811ADC"/>
    <w:rsid w:val="00820278"/>
    <w:rsid w:val="008245EB"/>
    <w:rsid w:val="00842E01"/>
    <w:rsid w:val="00845A8D"/>
    <w:rsid w:val="00847CCC"/>
    <w:rsid w:val="00851635"/>
    <w:rsid w:val="008677DE"/>
    <w:rsid w:val="008734E3"/>
    <w:rsid w:val="008843B6"/>
    <w:rsid w:val="00891928"/>
    <w:rsid w:val="008A446D"/>
    <w:rsid w:val="008C0A2F"/>
    <w:rsid w:val="008D180B"/>
    <w:rsid w:val="008E712D"/>
    <w:rsid w:val="008F0EA7"/>
    <w:rsid w:val="008F4339"/>
    <w:rsid w:val="008F7D92"/>
    <w:rsid w:val="00903114"/>
    <w:rsid w:val="009143F1"/>
    <w:rsid w:val="00922211"/>
    <w:rsid w:val="00922EAB"/>
    <w:rsid w:val="00923EEF"/>
    <w:rsid w:val="00927F89"/>
    <w:rsid w:val="009419F9"/>
    <w:rsid w:val="00943A3B"/>
    <w:rsid w:val="0095685E"/>
    <w:rsid w:val="00960349"/>
    <w:rsid w:val="00961B09"/>
    <w:rsid w:val="00965334"/>
    <w:rsid w:val="0097093E"/>
    <w:rsid w:val="009A0DFA"/>
    <w:rsid w:val="009B2421"/>
    <w:rsid w:val="009B28FC"/>
    <w:rsid w:val="009B2D26"/>
    <w:rsid w:val="009B3357"/>
    <w:rsid w:val="009C547E"/>
    <w:rsid w:val="009C71FA"/>
    <w:rsid w:val="009C72E7"/>
    <w:rsid w:val="009D05E0"/>
    <w:rsid w:val="009D3058"/>
    <w:rsid w:val="009F3A13"/>
    <w:rsid w:val="00A122D3"/>
    <w:rsid w:val="00A17F13"/>
    <w:rsid w:val="00A20739"/>
    <w:rsid w:val="00A27867"/>
    <w:rsid w:val="00A33C78"/>
    <w:rsid w:val="00A3710E"/>
    <w:rsid w:val="00A42AAE"/>
    <w:rsid w:val="00A519A0"/>
    <w:rsid w:val="00A644E0"/>
    <w:rsid w:val="00A65B78"/>
    <w:rsid w:val="00A80691"/>
    <w:rsid w:val="00A8229A"/>
    <w:rsid w:val="00AA2B1E"/>
    <w:rsid w:val="00AA7047"/>
    <w:rsid w:val="00AB0ADB"/>
    <w:rsid w:val="00AB2AC1"/>
    <w:rsid w:val="00AC0B6D"/>
    <w:rsid w:val="00AC1F25"/>
    <w:rsid w:val="00AD1BDE"/>
    <w:rsid w:val="00AE7522"/>
    <w:rsid w:val="00AE7B20"/>
    <w:rsid w:val="00AF4209"/>
    <w:rsid w:val="00B01B1A"/>
    <w:rsid w:val="00B05B83"/>
    <w:rsid w:val="00B33517"/>
    <w:rsid w:val="00B44494"/>
    <w:rsid w:val="00B72CD3"/>
    <w:rsid w:val="00B72FFF"/>
    <w:rsid w:val="00B75709"/>
    <w:rsid w:val="00B75E24"/>
    <w:rsid w:val="00B96BEA"/>
    <w:rsid w:val="00BA0D07"/>
    <w:rsid w:val="00BC3D36"/>
    <w:rsid w:val="00BC4CD4"/>
    <w:rsid w:val="00BD77C4"/>
    <w:rsid w:val="00BD7F72"/>
    <w:rsid w:val="00BE6BAA"/>
    <w:rsid w:val="00C04307"/>
    <w:rsid w:val="00C04FB3"/>
    <w:rsid w:val="00C21782"/>
    <w:rsid w:val="00C259CE"/>
    <w:rsid w:val="00C330EB"/>
    <w:rsid w:val="00C42100"/>
    <w:rsid w:val="00C45B33"/>
    <w:rsid w:val="00C63E0F"/>
    <w:rsid w:val="00C754BE"/>
    <w:rsid w:val="00C76B1C"/>
    <w:rsid w:val="00C83C0F"/>
    <w:rsid w:val="00C8442F"/>
    <w:rsid w:val="00C903DE"/>
    <w:rsid w:val="00C90ADE"/>
    <w:rsid w:val="00CA31BC"/>
    <w:rsid w:val="00CB6357"/>
    <w:rsid w:val="00CC02E3"/>
    <w:rsid w:val="00CC1B26"/>
    <w:rsid w:val="00CD5214"/>
    <w:rsid w:val="00D16132"/>
    <w:rsid w:val="00D423A2"/>
    <w:rsid w:val="00D520D8"/>
    <w:rsid w:val="00D63AC2"/>
    <w:rsid w:val="00D7383B"/>
    <w:rsid w:val="00DA022D"/>
    <w:rsid w:val="00DA231B"/>
    <w:rsid w:val="00DA23A0"/>
    <w:rsid w:val="00DA2CA2"/>
    <w:rsid w:val="00DB29E1"/>
    <w:rsid w:val="00DB7D44"/>
    <w:rsid w:val="00DC2958"/>
    <w:rsid w:val="00DC39FC"/>
    <w:rsid w:val="00DE2464"/>
    <w:rsid w:val="00DE3616"/>
    <w:rsid w:val="00DF0103"/>
    <w:rsid w:val="00DF5254"/>
    <w:rsid w:val="00DF7F54"/>
    <w:rsid w:val="00E005E5"/>
    <w:rsid w:val="00E16408"/>
    <w:rsid w:val="00E20894"/>
    <w:rsid w:val="00E245AB"/>
    <w:rsid w:val="00E2764C"/>
    <w:rsid w:val="00E27F2E"/>
    <w:rsid w:val="00E362C7"/>
    <w:rsid w:val="00E413EA"/>
    <w:rsid w:val="00E41CC9"/>
    <w:rsid w:val="00E447AD"/>
    <w:rsid w:val="00E50AFE"/>
    <w:rsid w:val="00E52602"/>
    <w:rsid w:val="00E56422"/>
    <w:rsid w:val="00E6781E"/>
    <w:rsid w:val="00E7019A"/>
    <w:rsid w:val="00E75C92"/>
    <w:rsid w:val="00E771DC"/>
    <w:rsid w:val="00E845F4"/>
    <w:rsid w:val="00E8671A"/>
    <w:rsid w:val="00E8772A"/>
    <w:rsid w:val="00E90F6B"/>
    <w:rsid w:val="00E92C27"/>
    <w:rsid w:val="00EA0E3D"/>
    <w:rsid w:val="00EA7B0A"/>
    <w:rsid w:val="00EB3CD8"/>
    <w:rsid w:val="00EB7D13"/>
    <w:rsid w:val="00EC38A7"/>
    <w:rsid w:val="00EC4550"/>
    <w:rsid w:val="00ED291B"/>
    <w:rsid w:val="00ED58AB"/>
    <w:rsid w:val="00EE1AA8"/>
    <w:rsid w:val="00EF40D2"/>
    <w:rsid w:val="00EF4E84"/>
    <w:rsid w:val="00F31EDC"/>
    <w:rsid w:val="00F45BF2"/>
    <w:rsid w:val="00F462B3"/>
    <w:rsid w:val="00F5664F"/>
    <w:rsid w:val="00F666C4"/>
    <w:rsid w:val="00F73C01"/>
    <w:rsid w:val="00F76AFC"/>
    <w:rsid w:val="00F81493"/>
    <w:rsid w:val="00F930CF"/>
    <w:rsid w:val="00FA0CF8"/>
    <w:rsid w:val="00FA47C0"/>
    <w:rsid w:val="00FA738A"/>
    <w:rsid w:val="00FB5CB7"/>
    <w:rsid w:val="00FB5DD1"/>
    <w:rsid w:val="00FB67C7"/>
    <w:rsid w:val="00FB76D0"/>
    <w:rsid w:val="00FB7EA8"/>
    <w:rsid w:val="00FC2B5D"/>
    <w:rsid w:val="00FE66BE"/>
    <w:rsid w:val="00FF1449"/>
    <w:rsid w:val="00FF5F98"/>
    <w:rsid w:val="569DF91B"/>
    <w:rsid w:val="5CEADB7B"/>
    <w:rsid w:val="6B8A5F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8713">
      <w:bodyDiv w:val="1"/>
      <w:marLeft w:val="0"/>
      <w:marRight w:val="0"/>
      <w:marTop w:val="0"/>
      <w:marBottom w:val="0"/>
      <w:divBdr>
        <w:top w:val="none" w:sz="0" w:space="0" w:color="auto"/>
        <w:left w:val="none" w:sz="0" w:space="0" w:color="auto"/>
        <w:bottom w:val="none" w:sz="0" w:space="0" w:color="auto"/>
        <w:right w:val="none" w:sz="0" w:space="0" w:color="auto"/>
      </w:divBdr>
    </w:div>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215299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bogadalauravillamizar@gmail.co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D636BB9-199E-4DBC-8E84-E7E407896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4129</Words>
  <Characters>22711</Characters>
  <Application>Microsoft Office Word</Application>
  <DocSecurity>0</DocSecurity>
  <Lines>189</Lines>
  <Paragraphs>53</Paragraphs>
  <ScaleCrop>false</ScaleCrop>
  <Company/>
  <LinksUpToDate>false</LinksUpToDate>
  <CharactersWithSpaces>26787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44</cp:revision>
  <cp:lastPrinted>2023-01-10T21:18:00Z</cp:lastPrinted>
  <dcterms:created xsi:type="dcterms:W3CDTF">2024-12-12T15:03:00Z</dcterms:created>
  <dcterms:modified xsi:type="dcterms:W3CDTF">2025-09-22T02:59:00Z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