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B0B4CB" w14:textId="342493A4" w:rsidR="0048690C" w:rsidRPr="0048690C" w:rsidRDefault="00B01C98" w:rsidP="0048690C">
      <w:pPr>
        <w:spacing w:after="0"/>
        <w:jc w:val="both"/>
        <w:rPr>
          <w:rFonts w:ascii="Verdana" w:eastAsia="Calibri" w:hAnsi="Verdana" w:cs="Arial"/>
          <w:b/>
          <w:bCs/>
          <w:color w:val="000000" w:themeColor="text1"/>
          <w:lang w:val="es-ES" w:eastAsia="es-ES"/>
        </w:rPr>
      </w:pPr>
      <w:bookmarkStart w:id="0" w:name="_Hlk143780582"/>
      <w:r w:rsidRPr="00B01C98">
        <w:rPr>
          <w:rFonts w:ascii="Verdana" w:eastAsia="Calibri" w:hAnsi="Verdana" w:cs="Arial"/>
          <w:b/>
          <w:bCs/>
          <w:color w:val="000000" w:themeColor="text1"/>
          <w:lang w:val="es-ES" w:eastAsia="es-ES"/>
        </w:rPr>
        <w:t>CONSORCIOS Y UNIONES TEMPORALES – Constitución</w:t>
      </w:r>
    </w:p>
    <w:p w14:paraId="3C6424CB" w14:textId="77777777" w:rsidR="0048690C" w:rsidRDefault="0048690C" w:rsidP="0048690C">
      <w:pPr>
        <w:spacing w:after="0" w:line="276" w:lineRule="auto"/>
        <w:contextualSpacing/>
        <w:jc w:val="both"/>
        <w:rPr>
          <w:rFonts w:ascii="Verdana" w:eastAsia="Calibri" w:hAnsi="Verdana" w:cs="Arial"/>
          <w:color w:val="000000" w:themeColor="text1"/>
          <w:lang w:val="es-ES" w:eastAsia="es-ES"/>
        </w:rPr>
      </w:pPr>
    </w:p>
    <w:p w14:paraId="11D260E4" w14:textId="277B331A" w:rsidR="0048690C" w:rsidRPr="00B85F0E" w:rsidRDefault="0048690C" w:rsidP="00FB5A84">
      <w:pPr>
        <w:spacing w:after="0" w:line="240" w:lineRule="auto"/>
        <w:contextualSpacing/>
        <w:jc w:val="both"/>
        <w:rPr>
          <w:rFonts w:ascii="Verdana" w:eastAsia="Calibri" w:hAnsi="Verdana" w:cs="Arial"/>
        </w:rPr>
      </w:pPr>
      <w:r w:rsidRPr="0048690C">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w:t>
      </w:r>
      <w:r w:rsidRPr="00162725">
        <w:rPr>
          <w:rFonts w:ascii="Verdana" w:eastAsia="Calibri" w:hAnsi="Verdana" w:cs="Arial"/>
        </w:rPr>
        <w:t>Como se observa, el artículo citado señala que el consorcio o la unión temporal se da “[c]</w:t>
      </w:r>
      <w:proofErr w:type="spellStart"/>
      <w:r w:rsidRPr="00162725">
        <w:rPr>
          <w:rFonts w:ascii="Verdana" w:eastAsia="Calibri" w:hAnsi="Verdana" w:cs="Arial"/>
        </w:rPr>
        <w:t>uando</w:t>
      </w:r>
      <w:proofErr w:type="spellEnd"/>
      <w:r w:rsidRPr="00162725">
        <w:rPr>
          <w:rFonts w:ascii="Verdana" w:eastAsia="Calibri" w:hAnsi="Verdana" w:cs="Arial"/>
        </w:rPr>
        <w:t xml:space="preserve"> dos o más personas en forma conjunta presentan una misma propuesta para la adjudicación, celebración y ejecución de un contrato […]”. Desde esta perspectiva, su capacidad para participar en la adjudicación, celebración y ejecución de uno o varios contratos estatales, dependerá de dos aspectos: </w:t>
      </w:r>
      <w:r>
        <w:rPr>
          <w:rFonts w:ascii="Verdana" w:eastAsia="Calibri" w:hAnsi="Verdana" w:cs="Arial"/>
        </w:rPr>
        <w:t>(</w:t>
      </w:r>
      <w:r w:rsidRPr="00162725">
        <w:rPr>
          <w:rFonts w:ascii="Verdana" w:eastAsia="Calibri" w:hAnsi="Verdana" w:cs="Arial"/>
        </w:rPr>
        <w:t>i) que los integrantes de la estructural plural adopten la decisión conjunta de presentar una misma propuesta al proceso de selección</w:t>
      </w:r>
      <w:r>
        <w:rPr>
          <w:rFonts w:ascii="Verdana" w:eastAsia="Calibri" w:hAnsi="Verdana" w:cs="Arial"/>
        </w:rPr>
        <w:t>,</w:t>
      </w:r>
      <w:r w:rsidRPr="00162725">
        <w:rPr>
          <w:rFonts w:ascii="Verdana" w:eastAsia="Calibri" w:hAnsi="Verdana" w:cs="Arial"/>
        </w:rPr>
        <w:t xml:space="preserve"> y </w:t>
      </w:r>
      <w:r>
        <w:rPr>
          <w:rFonts w:ascii="Verdana" w:eastAsia="Calibri" w:hAnsi="Verdana" w:cs="Arial"/>
        </w:rPr>
        <w:t>(</w:t>
      </w:r>
      <w:proofErr w:type="spellStart"/>
      <w:r w:rsidRPr="00162725">
        <w:rPr>
          <w:rFonts w:ascii="Verdana" w:eastAsia="Calibri" w:hAnsi="Verdana" w:cs="Arial"/>
        </w:rPr>
        <w:t>ii</w:t>
      </w:r>
      <w:proofErr w:type="spellEnd"/>
      <w:r w:rsidRPr="00162725">
        <w:rPr>
          <w:rFonts w:ascii="Verdana" w:eastAsia="Calibri" w:hAnsi="Verdana" w:cs="Arial"/>
        </w:rPr>
        <w:t>) que el objeto del consorcio o unión temporal se encuentre alineado con las actividades a desarrollar en un determinado proceso</w:t>
      </w:r>
      <w:r>
        <w:rPr>
          <w:rFonts w:ascii="Verdana" w:eastAsia="Calibri" w:hAnsi="Verdana" w:cs="Arial"/>
        </w:rPr>
        <w:t>, de manera que les permita ejecutar el respectivo contrato</w:t>
      </w:r>
      <w:r w:rsidRPr="00162725">
        <w:rPr>
          <w:rFonts w:ascii="Verdana" w:eastAsia="Calibri" w:hAnsi="Verdana" w:cs="Arial"/>
        </w:rPr>
        <w:t>.</w:t>
      </w:r>
    </w:p>
    <w:p w14:paraId="32195B5A" w14:textId="4EDBD276" w:rsidR="0048690C" w:rsidRDefault="0048690C" w:rsidP="00FB5A84">
      <w:pPr>
        <w:spacing w:after="0" w:line="240" w:lineRule="auto"/>
        <w:jc w:val="both"/>
        <w:rPr>
          <w:rFonts w:ascii="Verdana" w:hAnsi="Verdana" w:cs="Arial"/>
          <w:color w:val="000000" w:themeColor="text1"/>
        </w:rPr>
      </w:pPr>
      <w:r>
        <w:rPr>
          <w:rFonts w:ascii="Verdana" w:eastAsia="Calibri" w:hAnsi="Verdana" w:cs="Arial"/>
        </w:rPr>
        <w:t>En este sentido, las estructuras plurales</w:t>
      </w:r>
      <w:r w:rsidRPr="003734FE">
        <w:rPr>
          <w:rFonts w:ascii="Verdana" w:eastAsia="Calibri" w:hAnsi="Verdana" w:cs="Arial"/>
        </w:rPr>
        <w:t xml:space="preserve"> son convenios de asociación provenientes de la colaboración empresarial, mediante los cuales sus integrantes se unen y se organizan mancomunadamente para lograr con mayor eficacia un fin común de contenido patrimonial y lucrativo, como lo es la obtención del derecho a ser adjudicatarios de un</w:t>
      </w:r>
      <w:r>
        <w:rPr>
          <w:rFonts w:ascii="Verdana" w:eastAsia="Calibri" w:hAnsi="Verdana" w:cs="Arial"/>
        </w:rPr>
        <w:t>o</w:t>
      </w:r>
      <w:r w:rsidRPr="003734FE">
        <w:rPr>
          <w:rFonts w:ascii="Verdana" w:eastAsia="Calibri" w:hAnsi="Verdana" w:cs="Arial"/>
        </w:rPr>
        <w:t xml:space="preserve"> o varios contratos estatales, compartiendo recursos, de toda índole, para su ejecución, así como las utilidades y los riesgos.</w:t>
      </w:r>
      <w:r>
        <w:rPr>
          <w:rFonts w:ascii="Verdana" w:eastAsia="Calibri" w:hAnsi="Verdana" w:cs="Arial"/>
        </w:rPr>
        <w:t xml:space="preserve"> </w:t>
      </w:r>
      <w:r w:rsidRPr="007D6693">
        <w:rPr>
          <w:rFonts w:ascii="Verdana" w:hAnsi="Verdana" w:cs="Arial"/>
          <w:color w:val="000000" w:themeColor="text1"/>
        </w:rPr>
        <w:t>La diferencia radica en la responsabilidad frente a las eventuales sanciones por el incumplimiento de las obligaciones, toda vez que tratándose de una unión temporal, estas se individualizan según la participación de sus miembros, mientras que en el consorcio los miembros responden solidariamente, con independencia de este aspecto.</w:t>
      </w:r>
    </w:p>
    <w:p w14:paraId="5E0BD2B4" w14:textId="77777777" w:rsidR="0048690C" w:rsidRPr="00B01C98" w:rsidRDefault="0048690C" w:rsidP="0048690C">
      <w:pPr>
        <w:spacing w:after="0"/>
        <w:jc w:val="both"/>
        <w:rPr>
          <w:rFonts w:ascii="Verdana" w:eastAsia="Calibri" w:hAnsi="Verdana" w:cs="Arial"/>
          <w:b/>
          <w:bCs/>
          <w:color w:val="000000" w:themeColor="text1"/>
          <w:lang w:val="es-ES" w:eastAsia="es-ES"/>
        </w:rPr>
      </w:pPr>
    </w:p>
    <w:p w14:paraId="20E7E206" w14:textId="77CC5D8C" w:rsidR="00B01C98" w:rsidRDefault="00B01C98" w:rsidP="00B01C98">
      <w:pPr>
        <w:spacing w:after="0"/>
        <w:jc w:val="both"/>
        <w:rPr>
          <w:rFonts w:ascii="Verdana" w:eastAsia="Calibri" w:hAnsi="Verdana" w:cs="Arial"/>
          <w:b/>
          <w:bCs/>
          <w:color w:val="000000" w:themeColor="text1"/>
          <w:lang w:val="es-ES" w:eastAsia="es-ES"/>
        </w:rPr>
      </w:pPr>
      <w:r w:rsidRPr="00B01C98">
        <w:rPr>
          <w:rFonts w:ascii="Verdana" w:eastAsia="Calibri" w:hAnsi="Verdana" w:cs="Arial"/>
          <w:b/>
          <w:bCs/>
          <w:color w:val="000000" w:themeColor="text1"/>
          <w:lang w:val="es-ES" w:eastAsia="es-ES"/>
        </w:rPr>
        <w:t>CONSORCIOS Y UNIONES TEMPORALES – Múltiples ofertas</w:t>
      </w:r>
    </w:p>
    <w:p w14:paraId="7941015A" w14:textId="77777777" w:rsidR="0048690C" w:rsidRDefault="0048690C" w:rsidP="00B01C98">
      <w:pPr>
        <w:spacing w:after="0"/>
        <w:jc w:val="both"/>
        <w:rPr>
          <w:rFonts w:ascii="Verdana" w:eastAsia="Calibri" w:hAnsi="Verdana" w:cs="Arial"/>
          <w:b/>
          <w:bCs/>
          <w:color w:val="000000" w:themeColor="text1"/>
          <w:lang w:val="es-ES" w:eastAsia="es-ES"/>
        </w:rPr>
      </w:pPr>
    </w:p>
    <w:p w14:paraId="04FE67A4" w14:textId="77777777" w:rsidR="0048690C" w:rsidRDefault="0048690C" w:rsidP="0048690C">
      <w:pPr>
        <w:spacing w:after="120" w:line="240" w:lineRule="auto"/>
        <w:ind w:right="49"/>
        <w:jc w:val="both"/>
        <w:rPr>
          <w:rFonts w:ascii="Verdana" w:hAnsi="Verdana" w:cs="Arial"/>
          <w:color w:val="000000" w:themeColor="text1"/>
        </w:rPr>
      </w:pPr>
      <w:r>
        <w:rPr>
          <w:rFonts w:ascii="Verdana" w:eastAsia="Calibri" w:hAnsi="Verdana" w:cs="Arial"/>
        </w:rPr>
        <w:t xml:space="preserve">Así, </w:t>
      </w:r>
      <w:r w:rsidRPr="003734FE">
        <w:rPr>
          <w:rFonts w:ascii="Verdana" w:eastAsia="Calibri" w:hAnsi="Verdana" w:cs="Arial"/>
        </w:rPr>
        <w:t xml:space="preserve">no existe impedimento o prohibición alguna que limite </w:t>
      </w:r>
      <w:r>
        <w:rPr>
          <w:rFonts w:ascii="Verdana" w:eastAsia="Calibri" w:hAnsi="Verdana" w:cs="Arial"/>
        </w:rPr>
        <w:t>la</w:t>
      </w:r>
      <w:r w:rsidRPr="003734FE">
        <w:rPr>
          <w:rFonts w:ascii="Verdana" w:eastAsia="Calibri" w:hAnsi="Verdana" w:cs="Arial"/>
        </w:rPr>
        <w:t xml:space="preserve"> actividad </w:t>
      </w:r>
      <w:r>
        <w:rPr>
          <w:rFonts w:ascii="Verdana" w:eastAsia="Calibri" w:hAnsi="Verdana" w:cs="Arial"/>
        </w:rPr>
        <w:t xml:space="preserve">de los consorcios o uniones temporales </w:t>
      </w:r>
      <w:r w:rsidRPr="003734FE">
        <w:rPr>
          <w:rFonts w:ascii="Verdana" w:eastAsia="Calibri" w:hAnsi="Verdana" w:cs="Arial"/>
        </w:rPr>
        <w:t>a un solo contrato</w:t>
      </w:r>
      <w:r>
        <w:rPr>
          <w:rFonts w:ascii="Verdana" w:eastAsia="Calibri" w:hAnsi="Verdana" w:cs="Arial"/>
        </w:rPr>
        <w:t xml:space="preserve">. En consecuencia, es jurídicamente viable que </w:t>
      </w:r>
      <w:r>
        <w:rPr>
          <w:rFonts w:ascii="Verdana" w:eastAsia="Calibri" w:hAnsi="Verdana" w:cs="Arial"/>
          <w:lang w:val="es-ES" w:eastAsia="es-ES"/>
        </w:rPr>
        <w:t xml:space="preserve">los </w:t>
      </w:r>
      <w:r>
        <w:rPr>
          <w:rFonts w:ascii="Verdana" w:hAnsi="Verdana" w:cs="Arial"/>
          <w:color w:val="000000" w:themeColor="text1"/>
        </w:rPr>
        <w:t xml:space="preserve">proponentes plurales presenten </w:t>
      </w:r>
      <w:r w:rsidRPr="00B33BA7">
        <w:rPr>
          <w:rFonts w:ascii="Verdana" w:hAnsi="Verdana" w:cs="Arial"/>
          <w:color w:val="000000" w:themeColor="text1"/>
        </w:rPr>
        <w:t>propuesta</w:t>
      </w:r>
      <w:r>
        <w:rPr>
          <w:rFonts w:ascii="Verdana" w:hAnsi="Verdana" w:cs="Arial"/>
          <w:color w:val="000000" w:themeColor="text1"/>
        </w:rPr>
        <w:t>s</w:t>
      </w:r>
      <w:r w:rsidRPr="00B33BA7">
        <w:rPr>
          <w:rFonts w:ascii="Verdana" w:hAnsi="Verdana" w:cs="Arial"/>
          <w:color w:val="000000" w:themeColor="text1"/>
        </w:rPr>
        <w:t xml:space="preserve"> para la adjudicación, celebración y ejecución d</w:t>
      </w:r>
      <w:r>
        <w:rPr>
          <w:rFonts w:ascii="Verdana" w:hAnsi="Verdana" w:cs="Arial"/>
          <w:color w:val="000000" w:themeColor="text1"/>
        </w:rPr>
        <w:t xml:space="preserve">e contratos con </w:t>
      </w:r>
      <w:r w:rsidRPr="008706A7">
        <w:rPr>
          <w:rFonts w:ascii="Verdana" w:hAnsi="Verdana" w:cs="Arial"/>
          <w:i/>
          <w:iCs/>
          <w:color w:val="000000" w:themeColor="text1"/>
        </w:rPr>
        <w:t>una o varias</w:t>
      </w:r>
      <w:r>
        <w:rPr>
          <w:rFonts w:ascii="Verdana" w:hAnsi="Verdana" w:cs="Arial"/>
          <w:color w:val="000000" w:themeColor="text1"/>
        </w:rPr>
        <w:t xml:space="preserve"> entidades estatales. En este orden, las ofertas serán analizadas de acuerdo con los criterios habilitantes y factores de evaluación del pliego de condiciones o documento equivalente, en el marco de las reglas previstas en el Estatuto General de Contratación de la Administración Pública, sus normas complementarias y los reglamentos respectivos. </w:t>
      </w:r>
    </w:p>
    <w:p w14:paraId="516AB068" w14:textId="77777777" w:rsidR="0048690C" w:rsidRPr="00B01C98" w:rsidRDefault="0048690C" w:rsidP="00B01C98">
      <w:pPr>
        <w:spacing w:after="0"/>
        <w:jc w:val="both"/>
        <w:rPr>
          <w:rFonts w:ascii="Verdana" w:eastAsia="Calibri" w:hAnsi="Verdana" w:cs="Arial"/>
          <w:b/>
          <w:bCs/>
          <w:color w:val="000000" w:themeColor="text1"/>
          <w:lang w:val="es-ES" w:eastAsia="es-ES"/>
        </w:rPr>
      </w:pPr>
    </w:p>
    <w:p w14:paraId="053B8AF7" w14:textId="6569A4E5" w:rsidR="00B01C98" w:rsidRDefault="00B01C98" w:rsidP="00B01C98">
      <w:pPr>
        <w:spacing w:after="0"/>
        <w:jc w:val="both"/>
        <w:rPr>
          <w:rFonts w:ascii="Verdana" w:eastAsia="Calibri" w:hAnsi="Verdana" w:cs="Arial"/>
          <w:b/>
          <w:bCs/>
          <w:color w:val="000000" w:themeColor="text1"/>
          <w:lang w:val="es-ES" w:eastAsia="es-ES"/>
        </w:rPr>
      </w:pPr>
      <w:r w:rsidRPr="00B01C98">
        <w:rPr>
          <w:rFonts w:ascii="Verdana" w:eastAsia="Calibri" w:hAnsi="Verdana" w:cs="Arial"/>
          <w:b/>
          <w:bCs/>
          <w:color w:val="000000" w:themeColor="text1"/>
          <w:lang w:val="es-ES" w:eastAsia="es-ES"/>
        </w:rPr>
        <w:t xml:space="preserve">CONSORCIOS Y UNIONES TEMPORALES – Modificación de condiciones – Límites  </w:t>
      </w:r>
    </w:p>
    <w:p w14:paraId="0CD2D4E7" w14:textId="77777777" w:rsidR="006621D7" w:rsidRDefault="006621D7" w:rsidP="00B01C98">
      <w:pPr>
        <w:spacing w:after="0"/>
        <w:jc w:val="both"/>
        <w:rPr>
          <w:rFonts w:ascii="Verdana" w:eastAsia="Calibri" w:hAnsi="Verdana" w:cs="Arial"/>
          <w:b/>
          <w:bCs/>
          <w:color w:val="000000" w:themeColor="text1"/>
          <w:lang w:val="es-ES" w:eastAsia="es-ES"/>
        </w:rPr>
      </w:pPr>
    </w:p>
    <w:p w14:paraId="63340E52" w14:textId="55402E7D" w:rsidR="006621D7" w:rsidRDefault="006621D7" w:rsidP="00B01C98">
      <w:pPr>
        <w:spacing w:after="0"/>
        <w:jc w:val="both"/>
        <w:rPr>
          <w:rFonts w:ascii="Verdana" w:eastAsia="Calibri" w:hAnsi="Verdana" w:cs="Arial"/>
        </w:rPr>
      </w:pPr>
      <w:r>
        <w:rPr>
          <w:rFonts w:ascii="Verdana" w:eastAsia="Calibri" w:hAnsi="Verdana" w:cs="Arial"/>
        </w:rPr>
        <w:t>Con respecto al segundo problema jurídico planteado,</w:t>
      </w:r>
      <w:r w:rsidRPr="00BC6EBA">
        <w:rPr>
          <w:rFonts w:ascii="Verdana" w:eastAsia="Calibri" w:hAnsi="Verdana" w:cs="Arial"/>
        </w:rPr>
        <w:t xml:space="preserve"> </w:t>
      </w:r>
      <w:r w:rsidRPr="00EB0795">
        <w:rPr>
          <w:rFonts w:ascii="Verdana" w:eastAsia="Calibri" w:hAnsi="Verdana" w:cs="Arial"/>
        </w:rPr>
        <w:t xml:space="preserve">los consorcios y las uniones temporales </w:t>
      </w:r>
      <w:r>
        <w:rPr>
          <w:rFonts w:ascii="Verdana" w:eastAsia="Calibri" w:hAnsi="Verdana" w:cs="Arial"/>
        </w:rPr>
        <w:t xml:space="preserve">son </w:t>
      </w:r>
      <w:r w:rsidRPr="00EB0795">
        <w:rPr>
          <w:rFonts w:ascii="Verdana" w:eastAsia="Calibri" w:hAnsi="Verdana" w:cs="Arial"/>
        </w:rPr>
        <w:t xml:space="preserve">una creación de carácter convencional que se logra </w:t>
      </w:r>
      <w:r w:rsidRPr="00EB0795">
        <w:rPr>
          <w:rFonts w:ascii="Verdana" w:eastAsia="Calibri" w:hAnsi="Verdana" w:cs="Arial"/>
        </w:rPr>
        <w:lastRenderedPageBreak/>
        <w:t xml:space="preserve">mediante un acuerdo de carácter privado en la que concurre la voluntad de los miembros. </w:t>
      </w:r>
      <w:r>
        <w:rPr>
          <w:rFonts w:ascii="Verdana" w:eastAsia="Calibri" w:hAnsi="Verdana" w:cs="Arial"/>
        </w:rPr>
        <w:t>En este sentido, es viable que sus miembros acuerden modificar el nombre,</w:t>
      </w:r>
      <w:r w:rsidR="00FB5A84">
        <w:rPr>
          <w:rFonts w:ascii="Verdana" w:eastAsia="Calibri" w:hAnsi="Verdana" w:cs="Arial"/>
        </w:rPr>
        <w:t xml:space="preserve"> </w:t>
      </w:r>
      <w:r>
        <w:rPr>
          <w:rFonts w:ascii="Verdana" w:eastAsia="Calibri" w:hAnsi="Verdana" w:cs="Arial"/>
        </w:rPr>
        <w:t>el porcentaje de participación y su composición para presentar propuesta en un proceso de contratación</w:t>
      </w:r>
      <w:r w:rsidR="00FB5A84">
        <w:rPr>
          <w:rFonts w:ascii="Verdana" w:eastAsia="Calibri" w:hAnsi="Verdana" w:cs="Arial"/>
        </w:rPr>
        <w:t xml:space="preserve"> </w:t>
      </w:r>
      <w:r>
        <w:rPr>
          <w:rFonts w:ascii="Verdana" w:eastAsia="Calibri" w:hAnsi="Verdana" w:cs="Arial"/>
        </w:rPr>
        <w:t>[…]</w:t>
      </w:r>
    </w:p>
    <w:p w14:paraId="49A0E4E8" w14:textId="1A4447A8" w:rsidR="006621D7" w:rsidRDefault="006621D7" w:rsidP="00FB5A84">
      <w:pPr>
        <w:spacing w:after="0" w:line="240" w:lineRule="auto"/>
        <w:contextualSpacing/>
        <w:jc w:val="both"/>
        <w:rPr>
          <w:rFonts w:ascii="Verdana" w:eastAsia="Calibri" w:hAnsi="Verdana" w:cs="Arial"/>
        </w:rPr>
      </w:pPr>
      <w:r w:rsidRPr="006621D7">
        <w:rPr>
          <w:rFonts w:ascii="Verdana" w:eastAsia="Calibri" w:hAnsi="Verdana" w:cs="Arial"/>
        </w:rPr>
        <w:t>Es claro que la modificación del porcentaje de participación de los miembros de un consorcio o unión temporal, o de su conformación, no cabe en el ámbito de la subsanabilidad de la propuesta, sino en el de modificación de la misma. Variar este tipo de condiciones del proponente plural, con posterioridad al cierre del proceso, no es asunto subsanable, pues implica la modificación o mejoramiento de la oferta, circunstancia prohibida por el numeral 8 del artículo 30 de la Ley 80 de 1993 y por el artículo 5 de la Ley 1882 de 2018</w:t>
      </w:r>
      <w:r w:rsidR="00FB5A84">
        <w:rPr>
          <w:rFonts w:ascii="Verdana" w:eastAsia="Calibri" w:hAnsi="Verdana" w:cs="Arial"/>
        </w:rPr>
        <w:t xml:space="preserve"> […]</w:t>
      </w:r>
    </w:p>
    <w:p w14:paraId="7DD70834" w14:textId="77777777" w:rsidR="00FB5A84" w:rsidRPr="00FB5A84" w:rsidRDefault="00FB5A84" w:rsidP="00FB5A84">
      <w:pPr>
        <w:spacing w:after="0" w:line="240" w:lineRule="auto"/>
        <w:ind w:right="51"/>
        <w:contextualSpacing/>
        <w:jc w:val="both"/>
        <w:rPr>
          <w:rFonts w:ascii="Verdana" w:eastAsia="Calibri" w:hAnsi="Verdana" w:cs="Arial"/>
        </w:rPr>
      </w:pPr>
      <w:r w:rsidRPr="00FB5A84">
        <w:rPr>
          <w:rFonts w:ascii="Verdana" w:eastAsia="Calibri" w:hAnsi="Verdana" w:cs="Arial"/>
        </w:rPr>
        <w:t>De esta manera, si el consorcio ha presentado una oferta en otro proceso que se encuentra en curso no podrá modificar la condiciones del proponente plural para presentarse a otro. Sin embargo, una vez finalizado el proceso, siempre que no resulte adjudicatario, el consorcio podrá modificar condiciones como el nombre, el porcentaje de participación o los integrantes para presentar oferta en un proceso de contratación distinto. De cualquier manera, es importante analizar las normas específicas de cada proceso de contratación y las restricciones que puedan aplicar en términos de integridad, conflicto de interés o competencia desleal. Estas disposiciones pueden variar según la entidad contratante y el tipo de proceso contractual al cual se presente propuesta como proponente plural.</w:t>
      </w:r>
    </w:p>
    <w:p w14:paraId="49AF59A5" w14:textId="77777777" w:rsidR="006621D7" w:rsidRPr="006621D7" w:rsidRDefault="006621D7" w:rsidP="00B01C98">
      <w:pPr>
        <w:spacing w:after="0"/>
        <w:jc w:val="both"/>
        <w:rPr>
          <w:rFonts w:ascii="Verdana" w:eastAsia="Calibri" w:hAnsi="Verdana" w:cs="Arial"/>
        </w:rPr>
      </w:pPr>
    </w:p>
    <w:p w14:paraId="6ECF0DCB" w14:textId="2C42441B" w:rsidR="00B01C98" w:rsidRDefault="00B01C98" w:rsidP="00B01C98">
      <w:pPr>
        <w:spacing w:after="0"/>
        <w:jc w:val="both"/>
        <w:rPr>
          <w:rFonts w:ascii="Verdana" w:eastAsia="Calibri" w:hAnsi="Verdana" w:cs="Arial"/>
          <w:b/>
          <w:bCs/>
          <w:color w:val="000000" w:themeColor="text1"/>
          <w:lang w:val="es-ES" w:eastAsia="es-ES"/>
        </w:rPr>
      </w:pPr>
      <w:r w:rsidRPr="00B01C98">
        <w:rPr>
          <w:rFonts w:ascii="Verdana" w:eastAsia="Calibri" w:hAnsi="Verdana" w:cs="Arial"/>
          <w:b/>
          <w:bCs/>
          <w:color w:val="000000" w:themeColor="text1"/>
          <w:lang w:val="es-ES" w:eastAsia="es-ES"/>
        </w:rPr>
        <w:t>CAUSALES DE RECHAZO – Alcance – Proponentes plurales</w:t>
      </w:r>
    </w:p>
    <w:p w14:paraId="68873C46" w14:textId="77777777" w:rsidR="00FB5A84" w:rsidRDefault="00FB5A84" w:rsidP="00FB5A84">
      <w:pPr>
        <w:spacing w:after="0" w:line="240" w:lineRule="auto"/>
        <w:contextualSpacing/>
        <w:jc w:val="both"/>
        <w:rPr>
          <w:rFonts w:ascii="Verdana" w:hAnsi="Verdana" w:cs="Arial"/>
          <w:bCs/>
          <w:color w:val="000000" w:themeColor="text1"/>
        </w:rPr>
      </w:pPr>
    </w:p>
    <w:p w14:paraId="311075D6" w14:textId="39C57E33" w:rsidR="00FB5A84" w:rsidRDefault="00FB5A84" w:rsidP="00FB5A84">
      <w:pPr>
        <w:spacing w:after="0" w:line="240" w:lineRule="auto"/>
        <w:contextualSpacing/>
        <w:jc w:val="both"/>
        <w:rPr>
          <w:rFonts w:ascii="Verdana" w:hAnsi="Verdana" w:cs="Arial"/>
          <w:bCs/>
          <w:color w:val="000000" w:themeColor="text1"/>
        </w:rPr>
      </w:pPr>
      <w:r>
        <w:rPr>
          <w:rFonts w:ascii="Verdana" w:hAnsi="Verdana" w:cs="Arial"/>
          <w:bCs/>
          <w:color w:val="000000" w:themeColor="text1"/>
        </w:rPr>
        <w:t xml:space="preserve">[…] </w:t>
      </w:r>
      <w:r>
        <w:rPr>
          <w:rFonts w:ascii="Verdana" w:hAnsi="Verdana" w:cs="Arial"/>
          <w:bCs/>
          <w:color w:val="000000" w:themeColor="text1"/>
        </w:rPr>
        <w:t xml:space="preserve">no existe un impedimento jurídico para que los proponentes puedan presentar ofertas en uno o en varios procesos de contratación. De forma similar, no existe disposición en el ordenamiento jurídico que condicione la capacidad del proponente plural al cargue de la promesa o el documento de conformación del consorcio al SECOP II, durante el proceso de creación del perfil del proponente. En este sentido, no existe causal en la ley que dé lugar al rechazo en estos supuestos. </w:t>
      </w:r>
    </w:p>
    <w:p w14:paraId="4402A393" w14:textId="10C03FFE" w:rsidR="00FB5A84" w:rsidRDefault="00FB5A84" w:rsidP="00FB5A84">
      <w:pPr>
        <w:spacing w:after="0" w:line="240" w:lineRule="auto"/>
        <w:contextualSpacing/>
        <w:jc w:val="both"/>
        <w:rPr>
          <w:rFonts w:ascii="Verdana" w:eastAsia="Calibri" w:hAnsi="Verdana" w:cs="Arial"/>
          <w:b/>
          <w:bCs/>
          <w:color w:val="000000" w:themeColor="text1"/>
          <w:lang w:val="es-ES" w:eastAsia="es-ES"/>
        </w:rPr>
      </w:pPr>
      <w:r>
        <w:rPr>
          <w:rFonts w:ascii="Verdana" w:hAnsi="Verdana" w:cs="Arial"/>
          <w:bCs/>
          <w:color w:val="000000" w:themeColor="text1"/>
        </w:rPr>
        <w:t xml:space="preserve">Sin embargo, </w:t>
      </w:r>
      <w:r w:rsidRPr="00321C89">
        <w:rPr>
          <w:rFonts w:ascii="Verdana" w:hAnsi="Verdana" w:cs="Arial"/>
          <w:bCs/>
          <w:color w:val="000000" w:themeColor="text1"/>
        </w:rPr>
        <w:t xml:space="preserve">será́ la Entidad Estatal quién determinará </w:t>
      </w:r>
      <w:r>
        <w:rPr>
          <w:rFonts w:ascii="Verdana" w:hAnsi="Verdana" w:cs="Arial"/>
          <w:bCs/>
          <w:color w:val="000000" w:themeColor="text1"/>
        </w:rPr>
        <w:t xml:space="preserve">en los documentos del proceso </w:t>
      </w:r>
      <w:r w:rsidRPr="00321C89">
        <w:rPr>
          <w:rFonts w:ascii="Verdana" w:hAnsi="Verdana" w:cs="Arial"/>
          <w:bCs/>
          <w:color w:val="000000" w:themeColor="text1"/>
        </w:rPr>
        <w:t xml:space="preserve">las circunstancias que no permitan admitir una propuesta en un </w:t>
      </w:r>
      <w:r>
        <w:rPr>
          <w:rFonts w:ascii="Verdana" w:hAnsi="Verdana" w:cs="Arial"/>
          <w:bCs/>
          <w:color w:val="000000" w:themeColor="text1"/>
        </w:rPr>
        <w:t>p</w:t>
      </w:r>
      <w:r w:rsidRPr="00321C89">
        <w:rPr>
          <w:rFonts w:ascii="Verdana" w:hAnsi="Verdana" w:cs="Arial"/>
          <w:bCs/>
          <w:color w:val="000000" w:themeColor="text1"/>
        </w:rPr>
        <w:t xml:space="preserve">roceso de </w:t>
      </w:r>
      <w:r>
        <w:rPr>
          <w:rFonts w:ascii="Verdana" w:hAnsi="Verdana" w:cs="Arial"/>
          <w:bCs/>
          <w:color w:val="000000" w:themeColor="text1"/>
        </w:rPr>
        <w:t>c</w:t>
      </w:r>
      <w:r w:rsidRPr="00321C89">
        <w:rPr>
          <w:rFonts w:ascii="Verdana" w:hAnsi="Verdana" w:cs="Arial"/>
          <w:bCs/>
          <w:color w:val="000000" w:themeColor="text1"/>
        </w:rPr>
        <w:t>ontratación</w:t>
      </w:r>
      <w:r>
        <w:rPr>
          <w:rFonts w:ascii="Verdana" w:hAnsi="Verdana" w:cs="Arial"/>
          <w:bCs/>
          <w:color w:val="000000" w:themeColor="text1"/>
        </w:rPr>
        <w:t xml:space="preserve">. Como se señaló antes, en el ejercicio de esta facultad, las entidades deben respetar el deber de selección objetiva, de manera que las causales de rechazo que dispongan no impongan barreras injustificadas a la participación, y respondan a principios de proporcionalidad y razonabilidad. Lo anterior, pues </w:t>
      </w:r>
      <w:r w:rsidRPr="00321C89">
        <w:rPr>
          <w:rFonts w:ascii="Verdana" w:hAnsi="Verdana"/>
        </w:rPr>
        <w:t>la</w:t>
      </w:r>
      <w:r w:rsidRPr="00321C89">
        <w:rPr>
          <w:rFonts w:ascii="Verdana" w:hAnsi="Verdana"/>
          <w:spacing w:val="-3"/>
        </w:rPr>
        <w:t xml:space="preserve"> </w:t>
      </w:r>
      <w:r>
        <w:rPr>
          <w:rFonts w:ascii="Verdana" w:hAnsi="Verdana"/>
        </w:rPr>
        <w:t>l</w:t>
      </w:r>
      <w:r w:rsidRPr="00321C89">
        <w:rPr>
          <w:rFonts w:ascii="Verdana" w:hAnsi="Verdana"/>
        </w:rPr>
        <w:t>ey</w:t>
      </w:r>
      <w:r w:rsidRPr="00321C89">
        <w:rPr>
          <w:rFonts w:ascii="Verdana" w:hAnsi="Verdana"/>
          <w:spacing w:val="-3"/>
        </w:rPr>
        <w:t xml:space="preserve"> </w:t>
      </w:r>
      <w:r w:rsidRPr="00321C89">
        <w:rPr>
          <w:rFonts w:ascii="Verdana" w:hAnsi="Verdana"/>
        </w:rPr>
        <w:t>dispone</w:t>
      </w:r>
      <w:r w:rsidRPr="00321C89">
        <w:rPr>
          <w:rFonts w:ascii="Verdana" w:hAnsi="Verdana"/>
          <w:spacing w:val="-2"/>
        </w:rPr>
        <w:t xml:space="preserve"> </w:t>
      </w:r>
      <w:r w:rsidRPr="00321C89">
        <w:rPr>
          <w:rFonts w:ascii="Verdana" w:hAnsi="Verdana"/>
        </w:rPr>
        <w:t>que</w:t>
      </w:r>
      <w:r w:rsidRPr="00321C89">
        <w:rPr>
          <w:rFonts w:ascii="Verdana" w:hAnsi="Verdana"/>
          <w:spacing w:val="-3"/>
        </w:rPr>
        <w:t xml:space="preserve"> </w:t>
      </w:r>
      <w:r>
        <w:rPr>
          <w:rFonts w:ascii="Verdana" w:hAnsi="Verdana"/>
          <w:spacing w:val="-3"/>
        </w:rPr>
        <w:t xml:space="preserve">la </w:t>
      </w:r>
      <w:r w:rsidRPr="00321C89">
        <w:rPr>
          <w:rFonts w:ascii="Verdana" w:hAnsi="Verdana"/>
        </w:rPr>
        <w:t>ausencia de requisitos o la falta de documentos referentes a la futura contratación o al proponente que no son necesarios para la comparación de las</w:t>
      </w:r>
      <w:r w:rsidRPr="00321C89">
        <w:rPr>
          <w:rFonts w:ascii="Verdana" w:hAnsi="Verdana"/>
          <w:spacing w:val="-3"/>
        </w:rPr>
        <w:t xml:space="preserve"> </w:t>
      </w:r>
      <w:r w:rsidRPr="00321C89">
        <w:rPr>
          <w:rFonts w:ascii="Verdana" w:hAnsi="Verdana"/>
        </w:rPr>
        <w:t xml:space="preserve">propuestas, </w:t>
      </w:r>
      <w:r>
        <w:rPr>
          <w:rFonts w:ascii="Verdana" w:hAnsi="Verdana"/>
        </w:rPr>
        <w:t>no serán</w:t>
      </w:r>
      <w:r w:rsidRPr="00321C89">
        <w:rPr>
          <w:rFonts w:ascii="Verdana" w:hAnsi="Verdana"/>
          <w:spacing w:val="-3"/>
        </w:rPr>
        <w:t xml:space="preserve"> </w:t>
      </w:r>
      <w:r w:rsidRPr="00321C89">
        <w:rPr>
          <w:rFonts w:ascii="Verdana" w:hAnsi="Verdana"/>
        </w:rPr>
        <w:t>título</w:t>
      </w:r>
      <w:r w:rsidRPr="00321C89">
        <w:rPr>
          <w:rFonts w:ascii="Verdana" w:hAnsi="Verdana"/>
          <w:spacing w:val="-2"/>
        </w:rPr>
        <w:t xml:space="preserve"> </w:t>
      </w:r>
      <w:r w:rsidRPr="00321C89">
        <w:rPr>
          <w:rFonts w:ascii="Verdana" w:hAnsi="Verdana"/>
        </w:rPr>
        <w:t>suficiente para</w:t>
      </w:r>
      <w:r w:rsidRPr="00321C89">
        <w:rPr>
          <w:rFonts w:ascii="Verdana" w:hAnsi="Verdana"/>
          <w:spacing w:val="-3"/>
        </w:rPr>
        <w:t xml:space="preserve"> </w:t>
      </w:r>
      <w:r w:rsidRPr="00321C89">
        <w:rPr>
          <w:rFonts w:ascii="Verdana" w:hAnsi="Verdana"/>
        </w:rPr>
        <w:t>el</w:t>
      </w:r>
      <w:r w:rsidRPr="00321C89">
        <w:rPr>
          <w:rFonts w:ascii="Verdana" w:hAnsi="Verdana"/>
          <w:spacing w:val="-3"/>
        </w:rPr>
        <w:t xml:space="preserve"> </w:t>
      </w:r>
      <w:r w:rsidRPr="00321C89">
        <w:rPr>
          <w:rFonts w:ascii="Verdana" w:hAnsi="Verdana"/>
        </w:rPr>
        <w:t>rechazo de las propuesta</w:t>
      </w:r>
      <w:r>
        <w:rPr>
          <w:rFonts w:ascii="Verdana" w:hAnsi="Verdana"/>
        </w:rPr>
        <w:t>s</w:t>
      </w:r>
      <w:r w:rsidR="001D6D2C">
        <w:rPr>
          <w:rFonts w:ascii="Verdana" w:hAnsi="Verdana"/>
        </w:rPr>
        <w:t>.</w:t>
      </w:r>
    </w:p>
    <w:p w14:paraId="6A510160" w14:textId="77777777" w:rsidR="00FB5A84" w:rsidRDefault="00FB5A84" w:rsidP="006A648E">
      <w:pPr>
        <w:spacing w:after="0"/>
        <w:rPr>
          <w:rFonts w:ascii="Verdana" w:eastAsia="Calibri" w:hAnsi="Verdana" w:cs="Arial"/>
          <w:color w:val="000000" w:themeColor="text1"/>
          <w:lang w:val="es-ES" w:eastAsia="es-ES"/>
        </w:rPr>
      </w:pPr>
    </w:p>
    <w:p w14:paraId="3E9E09C3" w14:textId="61D2AD58" w:rsidR="006A648E" w:rsidRPr="0044528D" w:rsidRDefault="006A648E" w:rsidP="006A648E">
      <w:pPr>
        <w:spacing w:after="0"/>
        <w:rPr>
          <w:rFonts w:ascii="Verdana" w:hAnsi="Verdana"/>
        </w:rPr>
      </w:pPr>
      <w:r w:rsidRPr="0044528D">
        <w:rPr>
          <w:rFonts w:ascii="Verdana" w:hAnsi="Verdana"/>
        </w:rPr>
        <w:t xml:space="preserve">Bogotá D.C., </w:t>
      </w:r>
      <w:r w:rsidR="002F7275">
        <w:rPr>
          <w:rFonts w:ascii="Verdana" w:hAnsi="Verdana"/>
        </w:rPr>
        <w:t>26 Marzo 2025</w:t>
      </w:r>
    </w:p>
    <w:p w14:paraId="4FE9483E" w14:textId="5C0BA8EC" w:rsidR="006A648E" w:rsidRDefault="009A0F01" w:rsidP="006A648E">
      <w:pPr>
        <w:spacing w:after="0"/>
        <w:rPr>
          <w:rFonts w:ascii="Verdana" w:hAnsi="Verdana"/>
        </w:rPr>
      </w:pPr>
      <w:r>
        <w:rPr>
          <w:rFonts w:ascii="Verdana" w:eastAsia="Calibri" w:hAnsi="Verdana" w:cs="Arial"/>
          <w:noProof/>
          <w:color w:val="000000" w:themeColor="text1"/>
          <w:lang w:val="en-CO" w:eastAsia="es-ES_tradnl"/>
          <w14:ligatures w14:val="standardContextual"/>
        </w:rPr>
        <w:drawing>
          <wp:anchor distT="0" distB="0" distL="114300" distR="114300" simplePos="0" relativeHeight="251658240" behindDoc="0" locked="0" layoutInCell="1" allowOverlap="1" wp14:anchorId="09778F48" wp14:editId="0B421575">
            <wp:simplePos x="0" y="0"/>
            <wp:positionH relativeFrom="column">
              <wp:posOffset>3205480</wp:posOffset>
            </wp:positionH>
            <wp:positionV relativeFrom="paragraph">
              <wp:posOffset>50800</wp:posOffset>
            </wp:positionV>
            <wp:extent cx="2501900" cy="730250"/>
            <wp:effectExtent l="0" t="0" r="0" b="6350"/>
            <wp:wrapSquare wrapText="bothSides"/>
            <wp:docPr id="5718448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844839" name="Picture 571844839"/>
                    <pic:cNvPicPr/>
                  </pic:nvPicPr>
                  <pic:blipFill>
                    <a:blip r:embed="rId7">
                      <a:extLst>
                        <a:ext uri="{28A0092B-C50C-407E-A947-70E740481C1C}">
                          <a14:useLocalDpi xmlns:a14="http://schemas.microsoft.com/office/drawing/2010/main" val="0"/>
                        </a:ext>
                      </a:extLst>
                    </a:blip>
                    <a:stretch>
                      <a:fillRect/>
                    </a:stretch>
                  </pic:blipFill>
                  <pic:spPr>
                    <a:xfrm>
                      <a:off x="0" y="0"/>
                      <a:ext cx="2501900" cy="730250"/>
                    </a:xfrm>
                    <a:prstGeom prst="rect">
                      <a:avLst/>
                    </a:prstGeom>
                  </pic:spPr>
                </pic:pic>
              </a:graphicData>
            </a:graphic>
            <wp14:sizeRelH relativeFrom="page">
              <wp14:pctWidth>0</wp14:pctWidth>
            </wp14:sizeRelH>
            <wp14:sizeRelV relativeFrom="page">
              <wp14:pctHeight>0</wp14:pctHeight>
            </wp14:sizeRelV>
          </wp:anchor>
        </w:drawing>
      </w:r>
    </w:p>
    <w:p w14:paraId="43855A86" w14:textId="77777777" w:rsidR="006A648E" w:rsidRPr="00FE5A24" w:rsidRDefault="006A648E" w:rsidP="006A648E">
      <w:pPr>
        <w:spacing w:after="0" w:line="240"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Señor</w:t>
      </w:r>
    </w:p>
    <w:p w14:paraId="6DEEA503" w14:textId="089DF13A" w:rsidR="006A648E" w:rsidRDefault="006A648E" w:rsidP="006A648E">
      <w:pPr>
        <w:spacing w:after="0" w:line="240" w:lineRule="auto"/>
        <w:rPr>
          <w:rFonts w:ascii="Verdana" w:eastAsia="Calibri" w:hAnsi="Verdana" w:cs="Arial"/>
          <w:b/>
          <w:color w:val="000000" w:themeColor="text1"/>
          <w:lang w:eastAsia="es-ES_tradnl"/>
        </w:rPr>
      </w:pPr>
      <w:r>
        <w:rPr>
          <w:rFonts w:ascii="Verdana" w:eastAsia="Calibri" w:hAnsi="Verdana" w:cs="Arial"/>
          <w:b/>
          <w:color w:val="000000" w:themeColor="text1"/>
          <w:lang w:eastAsia="es-ES_tradnl"/>
        </w:rPr>
        <w:t>Julián Andrés Castrillón</w:t>
      </w:r>
    </w:p>
    <w:p w14:paraId="773D583A" w14:textId="6DCAF0A1" w:rsidR="006A648E" w:rsidRDefault="006A648E" w:rsidP="006A648E">
      <w:pPr>
        <w:spacing w:after="0" w:line="240" w:lineRule="auto"/>
        <w:rPr>
          <w:rFonts w:ascii="Verdana" w:eastAsia="Calibri" w:hAnsi="Verdana" w:cs="Arial"/>
          <w:color w:val="000000" w:themeColor="text1"/>
          <w:lang w:val="en-CO" w:eastAsia="es-ES_tradnl"/>
        </w:rPr>
      </w:pPr>
      <w:hyperlink r:id="rId8" w:history="1">
        <w:r w:rsidRPr="00A272A5">
          <w:rPr>
            <w:rStyle w:val="Hyperlink"/>
            <w:rFonts w:ascii="Verdana" w:eastAsia="Calibri" w:hAnsi="Verdana" w:cs="Arial"/>
            <w:lang w:val="en-CO" w:eastAsia="es-ES_tradnl"/>
          </w:rPr>
          <w:t>brasco.licitaciones2020@gmail.com</w:t>
        </w:r>
      </w:hyperlink>
    </w:p>
    <w:p w14:paraId="076E97E5" w14:textId="77777777" w:rsidR="006A648E" w:rsidRPr="00A272A5" w:rsidRDefault="006A648E" w:rsidP="006A648E">
      <w:pPr>
        <w:spacing w:after="0" w:line="240" w:lineRule="auto"/>
        <w:rPr>
          <w:rFonts w:ascii="Verdana" w:eastAsia="Calibri" w:hAnsi="Verdana" w:cs="Arial"/>
          <w:color w:val="000000" w:themeColor="text1"/>
          <w:lang w:val="en-CO" w:eastAsia="es-ES_tradnl"/>
        </w:rPr>
      </w:pPr>
      <w:r>
        <w:rPr>
          <w:rFonts w:ascii="Verdana" w:eastAsia="Calibri" w:hAnsi="Verdana" w:cs="Arial"/>
          <w:color w:val="000000" w:themeColor="text1"/>
          <w:lang w:val="es-ES_tradnl" w:eastAsia="es-ES_tradnl"/>
        </w:rPr>
        <w:t>Neiva, Huila</w:t>
      </w:r>
    </w:p>
    <w:p w14:paraId="38C5D22E" w14:textId="48E61AB5" w:rsidR="006A648E" w:rsidRPr="00FE5A24" w:rsidRDefault="006A648E" w:rsidP="006A648E">
      <w:pPr>
        <w:spacing w:after="0" w:line="240" w:lineRule="auto"/>
        <w:rPr>
          <w:rFonts w:ascii="Verdana" w:eastAsia="Calibri" w:hAnsi="Verdana" w:cs="Arial"/>
          <w:b/>
          <w:bCs/>
          <w:color w:val="000000" w:themeColor="text1"/>
          <w:lang w:val="es-ES_tradnl" w:eastAsia="es-ES_tradnl"/>
        </w:rPr>
      </w:pPr>
    </w:p>
    <w:tbl>
      <w:tblPr>
        <w:tblStyle w:val="TableGrid"/>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A648E" w:rsidRPr="00FE5A24" w14:paraId="1510CD72" w14:textId="77777777" w:rsidTr="00D13F89">
        <w:trPr>
          <w:trHeight w:val="884"/>
        </w:trPr>
        <w:tc>
          <w:tcPr>
            <w:tcW w:w="2689" w:type="dxa"/>
          </w:tcPr>
          <w:p w14:paraId="181D0C13" w14:textId="77777777" w:rsidR="006A648E" w:rsidRPr="00FE5A24" w:rsidRDefault="006A648E" w:rsidP="00D13F89">
            <w:pPr>
              <w:jc w:val="both"/>
              <w:rPr>
                <w:rFonts w:ascii="Verdana" w:eastAsia="Calibri" w:hAnsi="Verdana" w:cs="Arial"/>
                <w:b/>
                <w:bCs/>
                <w:color w:val="000000" w:themeColor="text1"/>
                <w:lang w:val="es-ES_tradnl" w:eastAsia="es-ES_tradnl"/>
              </w:rPr>
            </w:pPr>
          </w:p>
        </w:tc>
        <w:tc>
          <w:tcPr>
            <w:tcW w:w="6100" w:type="dxa"/>
          </w:tcPr>
          <w:p w14:paraId="2D64F4D1" w14:textId="74BB3293" w:rsidR="006A648E" w:rsidRPr="00FE5A24" w:rsidRDefault="006A648E" w:rsidP="00D13F89">
            <w:pPr>
              <w:jc w:val="both"/>
              <w:rPr>
                <w:rFonts w:ascii="Verdana" w:eastAsia="Calibri" w:hAnsi="Verdana" w:cs="Arial"/>
                <w:b/>
                <w:bCs/>
                <w:color w:val="000000" w:themeColor="text1"/>
                <w:lang w:val="es-ES" w:eastAsia="es-ES"/>
              </w:rPr>
            </w:pPr>
            <w:r w:rsidRPr="00FE5A24">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226</w:t>
            </w:r>
            <w:r w:rsidRPr="00FE5A24">
              <w:rPr>
                <w:rFonts w:ascii="Verdana" w:eastAsia="Calibri" w:hAnsi="Verdana" w:cs="Arial"/>
                <w:b/>
                <w:bCs/>
                <w:color w:val="000000" w:themeColor="text1"/>
                <w:lang w:val="es-ES" w:eastAsia="es-ES"/>
              </w:rPr>
              <w:t xml:space="preserve"> de 2025</w:t>
            </w:r>
          </w:p>
        </w:tc>
      </w:tr>
      <w:tr w:rsidR="006A648E" w:rsidRPr="00FE5A24" w14:paraId="03ABB547" w14:textId="77777777" w:rsidTr="00D13F89">
        <w:trPr>
          <w:trHeight w:val="884"/>
        </w:trPr>
        <w:tc>
          <w:tcPr>
            <w:tcW w:w="2689" w:type="dxa"/>
          </w:tcPr>
          <w:p w14:paraId="40A647E2" w14:textId="77777777" w:rsidR="006A648E" w:rsidRPr="00FE5A24" w:rsidRDefault="006A648E" w:rsidP="00D13F89">
            <w:pPr>
              <w:jc w:val="both"/>
              <w:rPr>
                <w:rFonts w:ascii="Verdana" w:eastAsia="Calibri" w:hAnsi="Verdana" w:cs="Arial"/>
                <w:color w:val="000000" w:themeColor="text1"/>
                <w:lang w:val="es-ES_tradnl" w:eastAsia="es-ES_tradnl"/>
              </w:rPr>
            </w:pPr>
            <w:r w:rsidRPr="00FE5A24">
              <w:rPr>
                <w:rFonts w:ascii="Verdana" w:eastAsia="Calibri" w:hAnsi="Verdana" w:cs="Arial"/>
                <w:b/>
                <w:color w:val="000000" w:themeColor="text1"/>
                <w:lang w:val="es-ES_tradnl" w:eastAsia="es-ES_tradnl"/>
              </w:rPr>
              <w:t>Temas:</w:t>
            </w:r>
            <w:r w:rsidRPr="00FE5A24">
              <w:rPr>
                <w:rFonts w:ascii="Verdana" w:eastAsia="Calibri" w:hAnsi="Verdana" w:cs="Arial"/>
                <w:color w:val="000000" w:themeColor="text1"/>
                <w:lang w:val="es-ES_tradnl" w:eastAsia="es-ES_tradnl"/>
              </w:rPr>
              <w:t xml:space="preserve">                   </w:t>
            </w:r>
          </w:p>
        </w:tc>
        <w:tc>
          <w:tcPr>
            <w:tcW w:w="6100" w:type="dxa"/>
          </w:tcPr>
          <w:p w14:paraId="46208F27" w14:textId="77777777" w:rsidR="006A648E" w:rsidRPr="00B1528C" w:rsidRDefault="006A648E" w:rsidP="00D13F89">
            <w:pPr>
              <w:spacing w:after="120"/>
              <w:jc w:val="both"/>
              <w:rPr>
                <w:rFonts w:ascii="Verdana" w:eastAsia="Calibri" w:hAnsi="Verdana" w:cs="Arial"/>
                <w:color w:val="000000" w:themeColor="text1"/>
                <w:lang w:val="es-ES" w:eastAsia="es-ES"/>
              </w:rPr>
            </w:pPr>
            <w:r w:rsidRPr="08569FC0">
              <w:rPr>
                <w:rFonts w:ascii="Verdana" w:eastAsia="Calibri" w:hAnsi="Verdana" w:cs="Arial"/>
                <w:color w:val="000000" w:themeColor="text1"/>
                <w:lang w:val="es-ES" w:eastAsia="es-ES"/>
              </w:rPr>
              <w:t>CONSORCIOS Y UNIONES TEMPORALES – Constitución / CONSORCIOS Y UNIONES TEMPORALES – Múltiples ofertas / CONSORCIOS Y UNIONES TEMPORALES – Modificación de condiciones – Límites  / CAUSALES DE RECHAZO – Alcance – Proponentes plurales</w:t>
            </w:r>
          </w:p>
          <w:p w14:paraId="6A20B424" w14:textId="77777777" w:rsidR="006A648E" w:rsidRPr="00B1528C" w:rsidRDefault="006A648E" w:rsidP="00D13F89">
            <w:pPr>
              <w:jc w:val="both"/>
              <w:rPr>
                <w:rFonts w:ascii="Verdana" w:eastAsia="Calibri" w:hAnsi="Verdana" w:cs="Arial"/>
                <w:color w:val="000000" w:themeColor="text1"/>
                <w:lang w:val="es-ES_tradnl" w:eastAsia="es-ES_tradnl"/>
              </w:rPr>
            </w:pPr>
          </w:p>
        </w:tc>
      </w:tr>
      <w:tr w:rsidR="006A648E" w:rsidRPr="00744CC5" w14:paraId="7388C404" w14:textId="77777777" w:rsidTr="00D13F89">
        <w:tc>
          <w:tcPr>
            <w:tcW w:w="2689" w:type="dxa"/>
          </w:tcPr>
          <w:p w14:paraId="6D56235B" w14:textId="77777777" w:rsidR="006A648E" w:rsidRPr="00FE5A24" w:rsidRDefault="006A648E" w:rsidP="00D13F89">
            <w:pPr>
              <w:jc w:val="both"/>
              <w:rPr>
                <w:rFonts w:ascii="Verdana" w:eastAsia="Calibri" w:hAnsi="Verdana" w:cs="Arial"/>
                <w:b/>
                <w:color w:val="000000" w:themeColor="text1"/>
                <w:lang w:val="es-ES_tradnl" w:eastAsia="es-ES_tradnl"/>
              </w:rPr>
            </w:pPr>
            <w:r w:rsidRPr="00FE5A24">
              <w:rPr>
                <w:rFonts w:ascii="Verdana" w:eastAsia="Calibri" w:hAnsi="Verdana" w:cs="Arial"/>
                <w:b/>
                <w:color w:val="000000" w:themeColor="text1"/>
                <w:lang w:val="es-ES_tradnl" w:eastAsia="es-ES_tradnl"/>
              </w:rPr>
              <w:t>Radicación:</w:t>
            </w:r>
            <w:r w:rsidRPr="00FE5A24">
              <w:rPr>
                <w:rFonts w:ascii="Verdana" w:eastAsia="Calibri" w:hAnsi="Verdana" w:cs="Arial"/>
                <w:color w:val="000000" w:themeColor="text1"/>
                <w:lang w:val="es-ES_tradnl" w:eastAsia="es-ES_tradnl"/>
              </w:rPr>
              <w:t xml:space="preserve">               </w:t>
            </w:r>
          </w:p>
        </w:tc>
        <w:tc>
          <w:tcPr>
            <w:tcW w:w="6100" w:type="dxa"/>
          </w:tcPr>
          <w:p w14:paraId="1C974D9A" w14:textId="77777777" w:rsidR="006A648E" w:rsidRPr="00FE5A24" w:rsidRDefault="006A648E" w:rsidP="00D13F89">
            <w:pPr>
              <w:jc w:val="both"/>
              <w:rPr>
                <w:rFonts w:ascii="Verdana" w:eastAsia="Calibri" w:hAnsi="Verdana" w:cs="Arial"/>
                <w:color w:val="000000" w:themeColor="text1"/>
                <w:lang w:val="es-ES_tradnl" w:eastAsia="es-ES_tradnl"/>
              </w:rPr>
            </w:pPr>
            <w:r w:rsidRPr="00FE5A24">
              <w:rPr>
                <w:rFonts w:ascii="Verdana" w:eastAsia="Calibri" w:hAnsi="Verdana" w:cs="Arial"/>
                <w:color w:val="000000" w:themeColor="text1"/>
                <w:lang w:val="es-ES_tradnl" w:eastAsia="es-ES_tradnl"/>
              </w:rPr>
              <w:t>Respuesta a consulta con radicado No.</w:t>
            </w:r>
            <w:r>
              <w:rPr>
                <w:rFonts w:ascii="Verdana" w:eastAsia="Calibri" w:hAnsi="Verdana" w:cs="Arial"/>
                <w:color w:val="000000" w:themeColor="text1"/>
                <w:lang w:val="es-ES_tradnl" w:eastAsia="es-ES_tradnl"/>
              </w:rPr>
              <w:t xml:space="preserve"> </w:t>
            </w:r>
            <w:r w:rsidRPr="00FE5A24">
              <w:rPr>
                <w:rFonts w:ascii="Verdana" w:eastAsia="Calibri" w:hAnsi="Verdana" w:cs="Arial"/>
                <w:color w:val="000000" w:themeColor="text1"/>
                <w:lang w:val="es-ES_tradnl" w:eastAsia="es-ES_tradnl"/>
              </w:rPr>
              <w:t xml:space="preserve"> </w:t>
            </w:r>
            <w:r w:rsidRPr="00835CEA">
              <w:rPr>
                <w:rFonts w:ascii="Verdana" w:eastAsia="Calibri" w:hAnsi="Verdana" w:cs="Arial"/>
                <w:color w:val="000000" w:themeColor="text1"/>
                <w:lang w:val="es-ES_tradnl" w:eastAsia="es-ES_tradnl"/>
              </w:rPr>
              <w:t>P20250221001735</w:t>
            </w:r>
          </w:p>
        </w:tc>
      </w:tr>
    </w:tbl>
    <w:p w14:paraId="60D4BAB2" w14:textId="77777777" w:rsidR="006A648E" w:rsidRPr="00FE5A24" w:rsidRDefault="006A648E" w:rsidP="006A648E">
      <w:pPr>
        <w:spacing w:after="0" w:line="240" w:lineRule="auto"/>
        <w:jc w:val="both"/>
        <w:rPr>
          <w:rFonts w:ascii="Verdana" w:eastAsia="Calibri" w:hAnsi="Verdana" w:cs="Arial"/>
          <w:color w:val="000000" w:themeColor="text1"/>
          <w:lang w:val="es-ES_tradnl" w:eastAsia="es-ES_tradnl"/>
        </w:rPr>
      </w:pPr>
    </w:p>
    <w:p w14:paraId="5C0B3892" w14:textId="77777777" w:rsidR="006A648E" w:rsidRPr="00FE5A24" w:rsidRDefault="006A648E" w:rsidP="006A648E">
      <w:pPr>
        <w:spacing w:after="0" w:line="240" w:lineRule="auto"/>
        <w:jc w:val="both"/>
        <w:rPr>
          <w:rFonts w:ascii="Verdana" w:eastAsia="Calibri" w:hAnsi="Verdana" w:cs="Arial"/>
          <w:color w:val="000000" w:themeColor="text1"/>
          <w:lang w:val="es-ES_tradnl" w:eastAsia="es-ES_tradnl"/>
        </w:rPr>
      </w:pPr>
    </w:p>
    <w:p w14:paraId="3586272F" w14:textId="77777777" w:rsidR="006A648E" w:rsidRPr="00FE5A24" w:rsidRDefault="006A648E" w:rsidP="006A648E">
      <w:pPr>
        <w:spacing w:after="0" w:line="276"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 xml:space="preserve">Estimado señor </w:t>
      </w:r>
      <w:r>
        <w:rPr>
          <w:rFonts w:ascii="Verdana" w:eastAsia="Calibri" w:hAnsi="Verdana" w:cs="Arial"/>
          <w:color w:val="000000" w:themeColor="text1"/>
          <w:lang w:val="es-ES" w:eastAsia="es-ES"/>
        </w:rPr>
        <w:t>Castrillón:</w:t>
      </w:r>
      <w:r w:rsidRPr="00FE5A24">
        <w:rPr>
          <w:rFonts w:ascii="Verdana" w:eastAsia="Calibri" w:hAnsi="Verdana" w:cs="Arial"/>
          <w:color w:val="000000" w:themeColor="text1"/>
          <w:lang w:val="es-ES" w:eastAsia="es-ES"/>
        </w:rPr>
        <w:t xml:space="preserve"> </w:t>
      </w:r>
    </w:p>
    <w:p w14:paraId="769A105C" w14:textId="77777777" w:rsidR="006A648E" w:rsidRPr="00FE5A24" w:rsidRDefault="006A648E" w:rsidP="006A648E">
      <w:pPr>
        <w:tabs>
          <w:tab w:val="left" w:pos="3768"/>
        </w:tabs>
        <w:spacing w:after="0" w:line="276"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ab/>
      </w:r>
    </w:p>
    <w:p w14:paraId="0F7294E8" w14:textId="77777777" w:rsidR="006A648E" w:rsidRPr="00FE5A24" w:rsidRDefault="006A648E" w:rsidP="006A648E">
      <w:pPr>
        <w:spacing w:after="0" w:line="276"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En ejercicio de la competencia otorgada por los artículos 3, numeral 5º, y 11, numeral 8º, del Decreto Ley 4170 de 2011,</w:t>
      </w:r>
      <w:r w:rsidRPr="00FE5A24">
        <w:rPr>
          <w:rFonts w:ascii="Verdana" w:eastAsia="Arial MT" w:hAnsi="Verdana" w:cs="Arial MT"/>
          <w:color w:val="000000" w:themeColor="text1"/>
          <w:lang w:val="es-ES" w:eastAsia="es-ES"/>
        </w:rPr>
        <w:t xml:space="preserve"> </w:t>
      </w:r>
      <w:r w:rsidRPr="00FE5A24">
        <w:rPr>
          <w:rFonts w:ascii="Verdana" w:hAnsi="Verdana" w:cs="Arial"/>
          <w:color w:val="000000" w:themeColor="text1"/>
        </w:rPr>
        <w:t xml:space="preserve">así como lo establecido en el artículo 4 de la Resolución 1707 de 2018 expedida por esta Entidad, la Agencia Nacional de Contratación Pública – Colombia Compra Eficiente– responde su solicitud </w:t>
      </w:r>
      <w:r w:rsidRPr="00593A5F">
        <w:rPr>
          <w:rFonts w:ascii="Verdana" w:eastAsia="Calibri" w:hAnsi="Verdana" w:cs="Arial"/>
          <w:color w:val="000000" w:themeColor="text1"/>
          <w:lang w:val="es-ES" w:eastAsia="es-ES"/>
        </w:rPr>
        <w:t>de</w:t>
      </w:r>
      <w:r>
        <w:rPr>
          <w:rFonts w:ascii="Verdana" w:eastAsia="Calibri" w:hAnsi="Verdana" w:cs="Arial"/>
          <w:color w:val="000000" w:themeColor="text1"/>
          <w:lang w:val="es-ES" w:eastAsia="es-ES"/>
        </w:rPr>
        <w:t xml:space="preserve"> consulta de fecha</w:t>
      </w:r>
      <w:r w:rsidRPr="00593A5F">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21</w:t>
      </w:r>
      <w:r w:rsidRPr="00014EDD">
        <w:rPr>
          <w:rFonts w:ascii="Verdana" w:eastAsia="Calibri" w:hAnsi="Verdana" w:cs="Arial"/>
          <w:color w:val="000000" w:themeColor="text1"/>
          <w:lang w:val="es-ES" w:eastAsia="es-ES"/>
        </w:rPr>
        <w:t xml:space="preserve"> de febrero de 2025</w:t>
      </w:r>
      <w:r w:rsidRPr="00FE5A24">
        <w:rPr>
          <w:rFonts w:ascii="Verdana" w:hAnsi="Verdana" w:cs="Arial"/>
          <w:color w:val="000000" w:themeColor="text1"/>
        </w:rPr>
        <w:t>, en la cual manifiesta lo siguiente:</w:t>
      </w:r>
      <w:r w:rsidRPr="00FE5A24">
        <w:rPr>
          <w:rFonts w:ascii="Verdana" w:eastAsia="Calibri" w:hAnsi="Verdana" w:cs="Arial"/>
          <w:color w:val="000000" w:themeColor="text1"/>
          <w:lang w:val="es-ES" w:eastAsia="es-ES"/>
        </w:rPr>
        <w:t xml:space="preserve"> </w:t>
      </w:r>
    </w:p>
    <w:p w14:paraId="39C748F2" w14:textId="77777777" w:rsidR="006A648E" w:rsidRPr="00F5256E" w:rsidRDefault="006A648E" w:rsidP="006A648E">
      <w:pPr>
        <w:spacing w:before="120" w:after="120" w:line="240" w:lineRule="auto"/>
        <w:ind w:left="709" w:right="709"/>
        <w:jc w:val="both"/>
        <w:rPr>
          <w:rFonts w:ascii="Verdana" w:eastAsia="Century Gothic" w:hAnsi="Verdana" w:cs="Century Gothic"/>
          <w:color w:val="000000" w:themeColor="text1"/>
          <w:sz w:val="21"/>
          <w:szCs w:val="21"/>
          <w:lang w:val="en-CO"/>
        </w:rPr>
      </w:pPr>
      <w:bookmarkStart w:id="1" w:name="_Hlk95313578"/>
      <w:r w:rsidRPr="00C86A50">
        <w:rPr>
          <w:rFonts w:ascii="Verdana" w:eastAsia="Century Gothic" w:hAnsi="Verdana" w:cs="Century Gothic"/>
          <w:color w:val="000000" w:themeColor="text1"/>
          <w:sz w:val="21"/>
          <w:szCs w:val="21"/>
          <w:lang w:val="es-ES"/>
        </w:rPr>
        <w:t>“</w:t>
      </w:r>
      <w:r w:rsidRPr="00F5256E">
        <w:rPr>
          <w:rFonts w:ascii="Verdana" w:eastAsia="Century Gothic" w:hAnsi="Verdana" w:cs="Century Gothic"/>
          <w:color w:val="000000" w:themeColor="text1"/>
          <w:sz w:val="21"/>
          <w:szCs w:val="21"/>
          <w:lang w:val="en-CO"/>
        </w:rPr>
        <w:t>Por medio de la presente solicito a la entidad me aclare lo siguiente:</w:t>
      </w:r>
      <w:r w:rsidRPr="00F5256E">
        <w:rPr>
          <w:rFonts w:ascii="Verdana" w:eastAsia="Century Gothic" w:hAnsi="Verdana" w:cs="Century Gothic"/>
          <w:color w:val="000000" w:themeColor="text1"/>
          <w:sz w:val="21"/>
          <w:szCs w:val="21"/>
          <w:lang w:val="en-CO"/>
        </w:rPr>
        <w:br/>
        <w:t xml:space="preserve">1. ¿Puedo un mismo consorcio participar en varios procesos de selección o solo en un proceso de selección? </w:t>
      </w:r>
    </w:p>
    <w:p w14:paraId="2D463C63" w14:textId="77777777" w:rsidR="006A648E" w:rsidRPr="00F5256E" w:rsidRDefault="006A648E" w:rsidP="006A648E">
      <w:pPr>
        <w:spacing w:before="120" w:after="120" w:line="240" w:lineRule="auto"/>
        <w:ind w:left="709" w:right="709"/>
        <w:jc w:val="both"/>
        <w:rPr>
          <w:rFonts w:ascii="Verdana" w:eastAsia="Century Gothic" w:hAnsi="Verdana" w:cs="Century Gothic"/>
          <w:color w:val="000000" w:themeColor="text1"/>
          <w:sz w:val="21"/>
          <w:szCs w:val="21"/>
          <w:lang w:val="en-CO"/>
        </w:rPr>
      </w:pPr>
      <w:r w:rsidRPr="00F5256E">
        <w:rPr>
          <w:rFonts w:ascii="Verdana" w:eastAsia="Century Gothic" w:hAnsi="Verdana" w:cs="Century Gothic"/>
          <w:color w:val="000000" w:themeColor="text1"/>
          <w:sz w:val="21"/>
          <w:szCs w:val="21"/>
          <w:lang w:val="en-CO"/>
        </w:rPr>
        <w:t xml:space="preserve">2. ¿Si participa en varios procesos de selección se considera causal de rechazo? </w:t>
      </w:r>
    </w:p>
    <w:p w14:paraId="7A877EF3" w14:textId="77777777" w:rsidR="006A648E" w:rsidRPr="00F5256E" w:rsidRDefault="006A648E" w:rsidP="006A648E">
      <w:pPr>
        <w:spacing w:before="120" w:after="120" w:line="240" w:lineRule="auto"/>
        <w:ind w:left="709" w:right="709"/>
        <w:jc w:val="both"/>
        <w:rPr>
          <w:rFonts w:ascii="Verdana" w:eastAsia="Century Gothic" w:hAnsi="Verdana" w:cs="Century Gothic"/>
          <w:color w:val="000000" w:themeColor="text1"/>
          <w:sz w:val="21"/>
          <w:szCs w:val="21"/>
          <w:lang w:val="en-CO"/>
        </w:rPr>
      </w:pPr>
      <w:r w:rsidRPr="00F5256E">
        <w:rPr>
          <w:rFonts w:ascii="Verdana" w:eastAsia="Century Gothic" w:hAnsi="Verdana" w:cs="Century Gothic"/>
          <w:color w:val="000000" w:themeColor="text1"/>
          <w:sz w:val="21"/>
          <w:szCs w:val="21"/>
          <w:lang w:val="en-CO"/>
        </w:rPr>
        <w:t>3. ¿Es posible modificar un consorcio en su nombre, integrantes y/o % de participación, creado anteriormente y que no cuenta con contratos adjudicados para presentarse a otro proceso bajo otro nombre?</w:t>
      </w:r>
    </w:p>
    <w:p w14:paraId="3B1E1A14" w14:textId="77777777" w:rsidR="006A648E" w:rsidRPr="00C86A50" w:rsidRDefault="006A648E" w:rsidP="006A648E">
      <w:pPr>
        <w:spacing w:before="120" w:after="120" w:line="240" w:lineRule="auto"/>
        <w:ind w:left="709" w:right="709"/>
        <w:jc w:val="both"/>
        <w:rPr>
          <w:rFonts w:ascii="Verdana" w:eastAsia="Century Gothic" w:hAnsi="Verdana" w:cs="Century Gothic"/>
          <w:color w:val="000000" w:themeColor="text1"/>
          <w:sz w:val="21"/>
          <w:szCs w:val="21"/>
          <w:lang w:val="en-CO"/>
        </w:rPr>
      </w:pPr>
      <w:r>
        <w:rPr>
          <w:rFonts w:ascii="Verdana" w:eastAsia="Century Gothic" w:hAnsi="Verdana" w:cs="Century Gothic"/>
          <w:color w:val="000000" w:themeColor="text1"/>
          <w:sz w:val="21"/>
          <w:szCs w:val="21"/>
          <w:lang w:val="en-CO"/>
        </w:rPr>
        <w:t xml:space="preserve">[…] </w:t>
      </w:r>
      <w:r w:rsidRPr="00F5256E">
        <w:rPr>
          <w:rFonts w:ascii="Verdana" w:eastAsia="Century Gothic" w:hAnsi="Verdana" w:cs="Century Gothic"/>
          <w:color w:val="000000" w:themeColor="text1"/>
          <w:sz w:val="21"/>
          <w:szCs w:val="21"/>
          <w:lang w:val="en-CO"/>
        </w:rPr>
        <w:t xml:space="preserve">4. ¿El no cargue del documento consorcial en el registro de creación de consorcio se considera causal de rechazo? </w:t>
      </w:r>
      <w:r w:rsidRPr="00C86A50">
        <w:rPr>
          <w:rFonts w:ascii="Verdana" w:eastAsia="Century Gothic" w:hAnsi="Verdana" w:cs="Century Gothic"/>
          <w:color w:val="000000" w:themeColor="text1"/>
          <w:sz w:val="21"/>
          <w:szCs w:val="21"/>
          <w:lang w:val="en-CO"/>
        </w:rPr>
        <w:t>”.</w:t>
      </w:r>
      <w:bookmarkEnd w:id="1"/>
    </w:p>
    <w:p w14:paraId="0CDB3707" w14:textId="77777777" w:rsidR="006A648E" w:rsidRPr="00FE5A24" w:rsidRDefault="006A648E" w:rsidP="006A648E">
      <w:pPr>
        <w:spacing w:before="120" w:after="120" w:line="276" w:lineRule="auto"/>
        <w:ind w:firstLine="709"/>
        <w:jc w:val="both"/>
        <w:rPr>
          <w:rFonts w:ascii="Verdana" w:eastAsia="Calibri" w:hAnsi="Verdana" w:cs="Arial"/>
          <w:color w:val="000000" w:themeColor="text1"/>
          <w:szCs w:val="24"/>
          <w:lang w:val="es-ES_tradnl" w:eastAsia="es-ES_tradnl"/>
        </w:rPr>
      </w:pPr>
      <w:r w:rsidRPr="00FE5A24">
        <w:rPr>
          <w:rFonts w:ascii="Verdana" w:eastAsia="Calibri" w:hAnsi="Verdana" w:cs="Arial"/>
          <w:color w:val="000000" w:themeColor="text1"/>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E5A24">
        <w:rPr>
          <w:rFonts w:ascii="Verdana" w:eastAsia="Calibri" w:hAnsi="Verdana" w:cs="Arial"/>
          <w:color w:val="000000" w:themeColor="text1"/>
          <w:szCs w:val="24"/>
          <w:lang w:val="es-ES_tradnl" w:eastAsia="es-ES_tradnl"/>
        </w:rPr>
        <w:tab/>
      </w:r>
    </w:p>
    <w:p w14:paraId="50DABF24" w14:textId="77777777" w:rsidR="006A648E" w:rsidRDefault="006A648E" w:rsidP="006A648E">
      <w:pPr>
        <w:spacing w:after="0" w:line="276" w:lineRule="auto"/>
        <w:ind w:firstLine="709"/>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72E3995F" w14:textId="77777777" w:rsidR="006A648E" w:rsidRPr="00FE5A24" w:rsidRDefault="006A648E" w:rsidP="006A648E">
      <w:pPr>
        <w:spacing w:after="0" w:line="276" w:lineRule="auto"/>
        <w:ind w:firstLine="709"/>
        <w:jc w:val="both"/>
        <w:rPr>
          <w:rFonts w:ascii="Verdana" w:eastAsia="Calibri" w:hAnsi="Verdana" w:cs="Arial"/>
          <w:color w:val="000000" w:themeColor="text1"/>
          <w:lang w:val="es-ES" w:eastAsia="es-ES"/>
        </w:rPr>
      </w:pPr>
    </w:p>
    <w:p w14:paraId="207FD4CA" w14:textId="77777777" w:rsidR="006A648E" w:rsidRPr="00FE5A24" w:rsidRDefault="006A648E" w:rsidP="006A648E">
      <w:pPr>
        <w:pStyle w:val="ListParagraph"/>
        <w:numPr>
          <w:ilvl w:val="0"/>
          <w:numId w:val="1"/>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Problema planteado:</w:t>
      </w:r>
    </w:p>
    <w:p w14:paraId="631305D9" w14:textId="77777777" w:rsidR="006A648E" w:rsidRPr="00FE5A24" w:rsidRDefault="006A648E" w:rsidP="006A648E">
      <w:pPr>
        <w:tabs>
          <w:tab w:val="left" w:pos="426"/>
        </w:tabs>
        <w:spacing w:after="0" w:line="276" w:lineRule="auto"/>
        <w:jc w:val="both"/>
        <w:rPr>
          <w:rFonts w:ascii="Verdana" w:eastAsia="Century Gothic" w:hAnsi="Verdana" w:cs="Century Gothic"/>
          <w:color w:val="000000" w:themeColor="text1"/>
          <w:lang w:val="es-ES"/>
        </w:rPr>
      </w:pPr>
    </w:p>
    <w:p w14:paraId="6BD44612" w14:textId="2395904D" w:rsidR="006A648E" w:rsidRPr="00FE5A24" w:rsidRDefault="006A648E" w:rsidP="006A648E">
      <w:pPr>
        <w:spacing w:after="0" w:line="276" w:lineRule="auto"/>
        <w:ind w:right="49"/>
        <w:jc w:val="both"/>
        <w:rPr>
          <w:rFonts w:ascii="Verdana" w:eastAsia="Century Gothic" w:hAnsi="Verdana" w:cs="Century Gothic"/>
          <w:color w:val="000000" w:themeColor="text1"/>
        </w:rPr>
      </w:pPr>
      <w:r w:rsidRPr="00FE5A24">
        <w:rPr>
          <w:rFonts w:ascii="Verdana" w:eastAsia="Century Gothic" w:hAnsi="Verdana" w:cs="Century Gothic"/>
          <w:color w:val="000000" w:themeColor="text1"/>
        </w:rPr>
        <w:t>De acuerdo con el contenido de su solicitud, esta Agencia resolverá</w:t>
      </w:r>
      <w:r>
        <w:rPr>
          <w:rFonts w:ascii="Verdana" w:eastAsia="Century Gothic" w:hAnsi="Verdana" w:cs="Century Gothic"/>
          <w:color w:val="000000" w:themeColor="text1"/>
        </w:rPr>
        <w:t xml:space="preserve"> los</w:t>
      </w:r>
      <w:r w:rsidRPr="00FE5A24">
        <w:rPr>
          <w:rFonts w:ascii="Verdana" w:eastAsia="Century Gothic" w:hAnsi="Verdana" w:cs="Century Gothic"/>
          <w:color w:val="000000" w:themeColor="text1"/>
        </w:rPr>
        <w:t xml:space="preserve"> siguiente</w:t>
      </w:r>
      <w:r>
        <w:rPr>
          <w:rFonts w:ascii="Verdana" w:eastAsia="Century Gothic" w:hAnsi="Verdana" w:cs="Century Gothic"/>
          <w:color w:val="000000" w:themeColor="text1"/>
        </w:rPr>
        <w:t>s</w:t>
      </w:r>
      <w:r w:rsidRPr="00FE5A24">
        <w:rPr>
          <w:rFonts w:ascii="Verdana" w:eastAsia="Century Gothic" w:hAnsi="Verdana" w:cs="Century Gothic"/>
          <w:color w:val="000000" w:themeColor="text1"/>
        </w:rPr>
        <w:t xml:space="preserve"> problema</w:t>
      </w:r>
      <w:r>
        <w:rPr>
          <w:rFonts w:ascii="Verdana" w:eastAsia="Century Gothic" w:hAnsi="Verdana" w:cs="Century Gothic"/>
          <w:color w:val="000000" w:themeColor="text1"/>
        </w:rPr>
        <w:t>s</w:t>
      </w:r>
      <w:r w:rsidRPr="00FE5A24">
        <w:rPr>
          <w:rFonts w:ascii="Verdana" w:eastAsia="Century Gothic" w:hAnsi="Verdana" w:cs="Century Gothic"/>
          <w:color w:val="000000" w:themeColor="text1"/>
        </w:rPr>
        <w:t xml:space="preserve"> jurídico</w:t>
      </w:r>
      <w:r>
        <w:rPr>
          <w:rFonts w:ascii="Verdana" w:eastAsia="Century Gothic" w:hAnsi="Verdana" w:cs="Century Gothic"/>
          <w:color w:val="000000" w:themeColor="text1"/>
        </w:rPr>
        <w:t>s</w:t>
      </w:r>
      <w:r w:rsidRPr="00FE5A24">
        <w:rPr>
          <w:rFonts w:ascii="Verdana" w:eastAsia="Century Gothic" w:hAnsi="Verdana" w:cs="Century Gothic"/>
          <w:color w:val="000000" w:themeColor="text1"/>
        </w:rPr>
        <w:t xml:space="preserve">: </w:t>
      </w:r>
      <w:r>
        <w:rPr>
          <w:rFonts w:ascii="Verdana" w:eastAsia="Century Gothic" w:hAnsi="Verdana" w:cs="Century Gothic"/>
          <w:color w:val="000000" w:themeColor="text1"/>
        </w:rPr>
        <w:t xml:space="preserve">(i) </w:t>
      </w:r>
      <w:r w:rsidRPr="00FE5A24">
        <w:rPr>
          <w:rFonts w:ascii="Verdana" w:eastAsia="Century Gothic" w:hAnsi="Verdana" w:cs="Century Gothic"/>
          <w:color w:val="000000" w:themeColor="text1"/>
        </w:rPr>
        <w:t>¿</w:t>
      </w:r>
      <w:r>
        <w:rPr>
          <w:rFonts w:ascii="Verdana" w:eastAsia="Century Gothic" w:hAnsi="Verdana" w:cs="Century Gothic"/>
        </w:rPr>
        <w:t>p</w:t>
      </w:r>
      <w:r w:rsidRPr="008368C0">
        <w:rPr>
          <w:rFonts w:ascii="Verdana" w:eastAsia="Century Gothic" w:hAnsi="Verdana" w:cs="Century Gothic"/>
        </w:rPr>
        <w:t>ueden los proponentes plurales participar en varios procesos de contratación pública</w:t>
      </w:r>
      <w:r w:rsidRPr="00FE5A24">
        <w:rPr>
          <w:rFonts w:ascii="Verdana" w:eastAsia="Century Gothic" w:hAnsi="Verdana" w:cs="Century Gothic"/>
          <w:color w:val="000000" w:themeColor="text1"/>
        </w:rPr>
        <w:t>?</w:t>
      </w:r>
      <w:r>
        <w:rPr>
          <w:rFonts w:ascii="Verdana" w:eastAsia="Century Gothic" w:hAnsi="Verdana" w:cs="Century Gothic"/>
          <w:color w:val="000000" w:themeColor="text1"/>
        </w:rPr>
        <w:t>, (</w:t>
      </w:r>
      <w:proofErr w:type="spellStart"/>
      <w:r>
        <w:rPr>
          <w:rFonts w:ascii="Verdana" w:eastAsia="Century Gothic" w:hAnsi="Verdana" w:cs="Century Gothic"/>
          <w:color w:val="000000" w:themeColor="text1"/>
        </w:rPr>
        <w:t>ii</w:t>
      </w:r>
      <w:proofErr w:type="spellEnd"/>
      <w:r>
        <w:rPr>
          <w:rFonts w:ascii="Verdana" w:eastAsia="Century Gothic" w:hAnsi="Verdana" w:cs="Century Gothic"/>
          <w:color w:val="000000" w:themeColor="text1"/>
        </w:rPr>
        <w:t xml:space="preserve">) </w:t>
      </w:r>
      <w:r w:rsidRPr="00F55AA3">
        <w:rPr>
          <w:rFonts w:ascii="Verdana" w:eastAsia="Century Gothic" w:hAnsi="Verdana" w:cs="Century Gothic"/>
          <w:color w:val="000000" w:themeColor="text1"/>
        </w:rPr>
        <w:t>¿</w:t>
      </w:r>
      <w:r>
        <w:rPr>
          <w:rFonts w:ascii="Verdana" w:eastAsia="Century Gothic" w:hAnsi="Verdana" w:cs="Century Gothic"/>
          <w:color w:val="000000" w:themeColor="text1"/>
        </w:rPr>
        <w:t>e</w:t>
      </w:r>
      <w:r w:rsidRPr="00F55AA3">
        <w:rPr>
          <w:rFonts w:ascii="Verdana" w:eastAsia="Century Gothic" w:hAnsi="Verdana" w:cs="Century Gothic"/>
          <w:color w:val="000000" w:themeColor="text1"/>
        </w:rPr>
        <w:t xml:space="preserve">s posible modificar </w:t>
      </w:r>
      <w:r>
        <w:rPr>
          <w:rFonts w:ascii="Verdana" w:eastAsia="Century Gothic" w:hAnsi="Verdana" w:cs="Century Gothic"/>
          <w:color w:val="000000" w:themeColor="text1"/>
        </w:rPr>
        <w:t xml:space="preserve">el </w:t>
      </w:r>
      <w:r w:rsidRPr="00F55AA3">
        <w:rPr>
          <w:rFonts w:ascii="Verdana" w:eastAsia="Century Gothic" w:hAnsi="Verdana" w:cs="Century Gothic"/>
          <w:color w:val="000000" w:themeColor="text1"/>
        </w:rPr>
        <w:t xml:space="preserve">nombre, integrantes y/o </w:t>
      </w:r>
      <w:r>
        <w:rPr>
          <w:rFonts w:ascii="Verdana" w:eastAsia="Century Gothic" w:hAnsi="Verdana" w:cs="Century Gothic"/>
          <w:color w:val="000000" w:themeColor="text1"/>
        </w:rPr>
        <w:t>porcentaje</w:t>
      </w:r>
      <w:r w:rsidRPr="00F55AA3">
        <w:rPr>
          <w:rFonts w:ascii="Verdana" w:eastAsia="Century Gothic" w:hAnsi="Verdana" w:cs="Century Gothic"/>
          <w:color w:val="000000" w:themeColor="text1"/>
        </w:rPr>
        <w:t xml:space="preserve"> de participación</w:t>
      </w:r>
      <w:r>
        <w:rPr>
          <w:rFonts w:ascii="Verdana" w:eastAsia="Century Gothic" w:hAnsi="Verdana" w:cs="Century Gothic"/>
          <w:color w:val="000000" w:themeColor="text1"/>
        </w:rPr>
        <w:t xml:space="preserve"> de un consorcio </w:t>
      </w:r>
      <w:r w:rsidRPr="00F55AA3">
        <w:rPr>
          <w:rFonts w:ascii="Verdana" w:eastAsia="Century Gothic" w:hAnsi="Verdana" w:cs="Century Gothic"/>
          <w:color w:val="000000" w:themeColor="text1"/>
        </w:rPr>
        <w:t>que no cuenta con contratos adjudicados para presentarse a otro proceso?</w:t>
      </w:r>
      <w:r>
        <w:rPr>
          <w:rFonts w:ascii="Verdana" w:eastAsia="Century Gothic" w:hAnsi="Verdana" w:cs="Century Gothic"/>
          <w:color w:val="000000" w:themeColor="text1"/>
        </w:rPr>
        <w:t>,</w:t>
      </w:r>
      <w:r w:rsidR="007C62BB">
        <w:rPr>
          <w:rFonts w:ascii="Verdana" w:eastAsia="Century Gothic" w:hAnsi="Verdana" w:cs="Century Gothic"/>
          <w:color w:val="000000" w:themeColor="text1"/>
        </w:rPr>
        <w:t xml:space="preserve"> y</w:t>
      </w:r>
      <w:r>
        <w:rPr>
          <w:rFonts w:ascii="Verdana" w:eastAsia="Century Gothic" w:hAnsi="Verdana" w:cs="Century Gothic"/>
          <w:color w:val="000000" w:themeColor="text1"/>
        </w:rPr>
        <w:t xml:space="preserve"> (</w:t>
      </w:r>
      <w:proofErr w:type="spellStart"/>
      <w:r>
        <w:rPr>
          <w:rFonts w:ascii="Verdana" w:eastAsia="Century Gothic" w:hAnsi="Verdana" w:cs="Century Gothic"/>
          <w:color w:val="000000" w:themeColor="text1"/>
        </w:rPr>
        <w:t>iii</w:t>
      </w:r>
      <w:proofErr w:type="spellEnd"/>
      <w:r>
        <w:rPr>
          <w:rFonts w:ascii="Verdana" w:eastAsia="Century Gothic" w:hAnsi="Verdana" w:cs="Century Gothic"/>
          <w:color w:val="000000" w:themeColor="text1"/>
        </w:rPr>
        <w:t xml:space="preserve">) </w:t>
      </w:r>
      <w:r w:rsidRPr="00F55AA3">
        <w:rPr>
          <w:rFonts w:ascii="Verdana" w:eastAsia="Century Gothic" w:hAnsi="Verdana" w:cs="Century Gothic"/>
          <w:color w:val="000000" w:themeColor="text1"/>
        </w:rPr>
        <w:t>¿</w:t>
      </w:r>
      <w:r>
        <w:rPr>
          <w:rFonts w:ascii="Verdana" w:eastAsia="Century Gothic" w:hAnsi="Verdana" w:cs="Century Gothic"/>
          <w:color w:val="000000" w:themeColor="text1"/>
        </w:rPr>
        <w:t>puede ser causal de rechazo que los proponentes plurales se presenten a varios procesos de contratación o que</w:t>
      </w:r>
      <w:r w:rsidRPr="00F55AA3">
        <w:rPr>
          <w:rFonts w:ascii="Verdana" w:eastAsia="Century Gothic" w:hAnsi="Verdana" w:cs="Century Gothic"/>
          <w:color w:val="000000" w:themeColor="text1"/>
        </w:rPr>
        <w:t xml:space="preserve"> no carg</w:t>
      </w:r>
      <w:r>
        <w:rPr>
          <w:rFonts w:ascii="Verdana" w:eastAsia="Century Gothic" w:hAnsi="Verdana" w:cs="Century Gothic"/>
          <w:color w:val="000000" w:themeColor="text1"/>
        </w:rPr>
        <w:t>uen</w:t>
      </w:r>
      <w:r w:rsidRPr="00F55AA3">
        <w:rPr>
          <w:rFonts w:ascii="Verdana" w:eastAsia="Century Gothic" w:hAnsi="Verdana" w:cs="Century Gothic"/>
          <w:color w:val="000000" w:themeColor="text1"/>
        </w:rPr>
        <w:t xml:space="preserve"> el documento </w:t>
      </w:r>
      <w:r>
        <w:rPr>
          <w:rFonts w:ascii="Verdana" w:eastAsia="Century Gothic" w:hAnsi="Verdana" w:cs="Century Gothic"/>
          <w:color w:val="000000" w:themeColor="text1"/>
        </w:rPr>
        <w:t>de constitución al crear el usuario</w:t>
      </w:r>
      <w:r w:rsidRPr="00F55AA3">
        <w:rPr>
          <w:rFonts w:ascii="Verdana" w:eastAsia="Century Gothic" w:hAnsi="Verdana" w:cs="Century Gothic"/>
          <w:color w:val="000000" w:themeColor="text1"/>
        </w:rPr>
        <w:t xml:space="preserve"> </w:t>
      </w:r>
      <w:r>
        <w:rPr>
          <w:rFonts w:ascii="Verdana" w:eastAsia="Century Gothic" w:hAnsi="Verdana" w:cs="Century Gothic"/>
          <w:color w:val="000000" w:themeColor="text1"/>
        </w:rPr>
        <w:t>en el SECOP II</w:t>
      </w:r>
      <w:r w:rsidRPr="00F55AA3">
        <w:rPr>
          <w:rFonts w:ascii="Verdana" w:eastAsia="Century Gothic" w:hAnsi="Verdana" w:cs="Century Gothic"/>
          <w:color w:val="000000" w:themeColor="text1"/>
        </w:rPr>
        <w:t>?</w:t>
      </w:r>
    </w:p>
    <w:p w14:paraId="4991247D" w14:textId="77777777" w:rsidR="006A648E" w:rsidRPr="00FE5A24" w:rsidRDefault="006A648E" w:rsidP="006A648E">
      <w:pPr>
        <w:spacing w:after="0" w:line="276" w:lineRule="auto"/>
        <w:jc w:val="both"/>
        <w:rPr>
          <w:rFonts w:ascii="Verdana" w:eastAsia="Calibri" w:hAnsi="Verdana" w:cs="Arial"/>
          <w:color w:val="000000" w:themeColor="text1"/>
          <w:lang w:val="es-ES"/>
        </w:rPr>
      </w:pPr>
    </w:p>
    <w:p w14:paraId="6031A44D" w14:textId="77777777" w:rsidR="006A648E" w:rsidRPr="00FE5A24" w:rsidRDefault="006A648E" w:rsidP="006A648E">
      <w:pPr>
        <w:pStyle w:val="ListParagraph"/>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Respuesta:</w:t>
      </w:r>
    </w:p>
    <w:p w14:paraId="6B791674" w14:textId="77777777" w:rsidR="006A648E" w:rsidRPr="00FE5A24" w:rsidRDefault="006A648E" w:rsidP="006A648E">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A648E" w:rsidRPr="00FE5A24" w14:paraId="6BC739EC" w14:textId="77777777" w:rsidTr="00D13F89">
        <w:tc>
          <w:tcPr>
            <w:tcW w:w="9067" w:type="dxa"/>
            <w:shd w:val="clear" w:color="auto" w:fill="auto"/>
          </w:tcPr>
          <w:p w14:paraId="1F5F6358" w14:textId="77777777" w:rsidR="006A648E" w:rsidRDefault="006A648E" w:rsidP="00D13F89">
            <w:pPr>
              <w:spacing w:after="120" w:line="276" w:lineRule="auto"/>
              <w:jc w:val="both"/>
              <w:rPr>
                <w:rFonts w:ascii="Verdana" w:eastAsia="Calibri" w:hAnsi="Verdana" w:cs="Arial"/>
                <w:lang w:val="es-ES" w:eastAsia="es-ES"/>
              </w:rPr>
            </w:pPr>
            <w:r>
              <w:rPr>
                <w:rFonts w:ascii="Verdana" w:eastAsia="Calibri" w:hAnsi="Verdana" w:cs="Arial"/>
                <w:lang w:val="es-ES"/>
              </w:rPr>
              <w:t xml:space="preserve">(i) </w:t>
            </w:r>
            <w:r w:rsidRPr="00A44D4F">
              <w:rPr>
                <w:rFonts w:ascii="Verdana" w:eastAsia="Calibri" w:hAnsi="Verdana" w:cs="Arial"/>
                <w:lang w:val="es-ES"/>
              </w:rPr>
              <w:t>De acuerdo con lo señalo en los numerales 6 y 7 del artículo 7 de la Ley 80 de 1993, el consorcio o la unión temporal se da “[c]</w:t>
            </w:r>
            <w:proofErr w:type="spellStart"/>
            <w:r w:rsidRPr="00A44D4F">
              <w:rPr>
                <w:rFonts w:ascii="Verdana" w:eastAsia="Calibri" w:hAnsi="Verdana" w:cs="Arial"/>
                <w:lang w:val="es-ES"/>
              </w:rPr>
              <w:t>uando</w:t>
            </w:r>
            <w:proofErr w:type="spellEnd"/>
            <w:r w:rsidRPr="00A44D4F">
              <w:rPr>
                <w:rFonts w:ascii="Verdana" w:eastAsia="Calibri" w:hAnsi="Verdana" w:cs="Arial"/>
                <w:lang w:val="es-ES"/>
              </w:rPr>
              <w:t xml:space="preserve"> dos o más personas en forma conjunta presentan una misma propuesta para la adjudicación, celebración y ejecución de un contrato […]”. Desde esta perspectiva, su capacidad para participar en la adjudicación, celebración y ejecución de uno o </w:t>
            </w:r>
            <w:r w:rsidRPr="00A44D4F">
              <w:rPr>
                <w:rFonts w:ascii="Verdana" w:eastAsia="Calibri" w:hAnsi="Verdana" w:cs="Arial"/>
                <w:lang w:val="es-ES"/>
              </w:rPr>
              <w:lastRenderedPageBreak/>
              <w:t xml:space="preserve">varios contratos estatales, dependerá de dos aspectos: </w:t>
            </w:r>
            <w:r>
              <w:rPr>
                <w:rFonts w:ascii="Verdana" w:eastAsia="Calibri" w:hAnsi="Verdana" w:cs="Arial"/>
                <w:lang w:val="es-ES"/>
              </w:rPr>
              <w:t>(</w:t>
            </w:r>
            <w:r w:rsidRPr="00A44D4F">
              <w:rPr>
                <w:rFonts w:ascii="Verdana" w:eastAsia="Calibri" w:hAnsi="Verdana" w:cs="Arial"/>
                <w:lang w:val="es-ES"/>
              </w:rPr>
              <w:t xml:space="preserve">i) que los integrantes de la estructural plural adopten la decisión conjunta de presentar una misma propuesta al proceso de selección; y </w:t>
            </w:r>
            <w:r>
              <w:rPr>
                <w:rFonts w:ascii="Verdana" w:eastAsia="Calibri" w:hAnsi="Verdana" w:cs="Arial"/>
                <w:lang w:val="es-ES"/>
              </w:rPr>
              <w:t>(</w:t>
            </w:r>
            <w:proofErr w:type="spellStart"/>
            <w:r w:rsidRPr="00A44D4F">
              <w:rPr>
                <w:rFonts w:ascii="Verdana" w:eastAsia="Calibri" w:hAnsi="Verdana" w:cs="Arial"/>
                <w:lang w:val="es-ES"/>
              </w:rPr>
              <w:t>ii</w:t>
            </w:r>
            <w:proofErr w:type="spellEnd"/>
            <w:r w:rsidRPr="00A44D4F">
              <w:rPr>
                <w:rFonts w:ascii="Verdana" w:eastAsia="Calibri" w:hAnsi="Verdana" w:cs="Arial"/>
                <w:lang w:val="es-ES"/>
              </w:rPr>
              <w:t>) que el objeto del consorcio o unión temporal se encuentre alineado con las actividades a desarrollar en un determinado proceso.</w:t>
            </w:r>
          </w:p>
          <w:p w14:paraId="2972DC8B" w14:textId="77777777" w:rsidR="006A648E" w:rsidRPr="000671B5" w:rsidRDefault="006A648E" w:rsidP="00D13F89">
            <w:pPr>
              <w:spacing w:after="120" w:line="276" w:lineRule="auto"/>
              <w:ind w:firstLine="877"/>
              <w:jc w:val="both"/>
              <w:rPr>
                <w:rFonts w:ascii="Verdana" w:hAnsi="Verdana" w:cs="Arial"/>
                <w:color w:val="000000" w:themeColor="text1"/>
              </w:rPr>
            </w:pPr>
            <w:r w:rsidRPr="008368C0">
              <w:rPr>
                <w:rFonts w:ascii="Verdana" w:eastAsia="Calibri" w:hAnsi="Verdana" w:cs="Arial"/>
                <w:lang w:val="es-ES" w:eastAsia="es-ES"/>
              </w:rPr>
              <w:t>Así las cosas, e</w:t>
            </w:r>
            <w:r>
              <w:rPr>
                <w:rFonts w:ascii="Verdana" w:eastAsia="Calibri" w:hAnsi="Verdana" w:cs="Arial"/>
                <w:lang w:val="es-ES" w:eastAsia="es-ES"/>
              </w:rPr>
              <w:t>s</w:t>
            </w:r>
            <w:r w:rsidRPr="008368C0">
              <w:rPr>
                <w:rFonts w:ascii="Verdana" w:eastAsia="Calibri" w:hAnsi="Verdana" w:cs="Arial"/>
                <w:lang w:val="es-ES" w:eastAsia="es-ES"/>
              </w:rPr>
              <w:t xml:space="preserve"> jurídicamente viable que los</w:t>
            </w:r>
            <w:r w:rsidRPr="008368C0">
              <w:rPr>
                <w:rFonts w:ascii="Verdana" w:hAnsi="Verdana" w:cs="Arial"/>
                <w:color w:val="000000" w:themeColor="text1"/>
              </w:rPr>
              <w:t xml:space="preserve"> proponentes plurales presenten propuestas para la adjudicación, celebración y ejecución de contratos estatales con </w:t>
            </w:r>
            <w:r w:rsidRPr="008368C0">
              <w:rPr>
                <w:rFonts w:ascii="Verdana" w:hAnsi="Verdana" w:cs="Arial"/>
                <w:i/>
                <w:iCs/>
                <w:color w:val="000000" w:themeColor="text1"/>
              </w:rPr>
              <w:t>una o varias</w:t>
            </w:r>
            <w:r w:rsidRPr="008368C0">
              <w:rPr>
                <w:rFonts w:ascii="Verdana" w:hAnsi="Verdana" w:cs="Arial"/>
                <w:color w:val="000000" w:themeColor="text1"/>
              </w:rPr>
              <w:t xml:space="preserve"> entidades, lo anterior, en concordancia con el cumplimiento de los supuestos previamente descritos. En ese orden, las ofertas serán analizadas de acuerdo con los criterios habilitantes y factores de evaluación del pliego de condiciones o documento equivalente</w:t>
            </w:r>
            <w:r>
              <w:rPr>
                <w:rFonts w:ascii="Verdana" w:hAnsi="Verdana" w:cs="Arial"/>
                <w:color w:val="000000" w:themeColor="text1"/>
              </w:rPr>
              <w:t xml:space="preserve"> de cada proceso</w:t>
            </w:r>
            <w:r w:rsidRPr="008368C0">
              <w:rPr>
                <w:rFonts w:ascii="Verdana" w:hAnsi="Verdana" w:cs="Arial"/>
                <w:color w:val="000000" w:themeColor="text1"/>
              </w:rPr>
              <w:t>, en el marco de las reglas previstas en el Estatuto General de Contratación</w:t>
            </w:r>
            <w:r>
              <w:rPr>
                <w:rFonts w:ascii="Verdana" w:hAnsi="Verdana" w:cs="Arial"/>
                <w:color w:val="000000" w:themeColor="text1"/>
              </w:rPr>
              <w:t xml:space="preserve"> de la Administración Pública</w:t>
            </w:r>
            <w:r w:rsidRPr="008368C0">
              <w:rPr>
                <w:rFonts w:ascii="Verdana" w:hAnsi="Verdana" w:cs="Arial"/>
                <w:color w:val="000000" w:themeColor="text1"/>
              </w:rPr>
              <w:t xml:space="preserve">, sus normas complementarias y los reglamentos respectivos. </w:t>
            </w:r>
            <w:r>
              <w:rPr>
                <w:rFonts w:ascii="Verdana" w:hAnsi="Verdana" w:cs="Arial"/>
                <w:color w:val="000000" w:themeColor="text1"/>
              </w:rPr>
              <w:t xml:space="preserve">Lo anterior, sin desconocer la obligación de </w:t>
            </w:r>
            <w:r w:rsidRPr="008368C0">
              <w:rPr>
                <w:rFonts w:ascii="Verdana" w:hAnsi="Verdana" w:cs="Arial"/>
                <w:color w:val="000000" w:themeColor="text1"/>
              </w:rPr>
              <w:t>realizar la respectiva inscripción del consorcio de manera individual en cada proceso en el que pretenda postularse</w:t>
            </w:r>
            <w:r>
              <w:rPr>
                <w:rFonts w:ascii="Verdana" w:hAnsi="Verdana" w:cs="Arial"/>
                <w:color w:val="000000" w:themeColor="text1"/>
              </w:rPr>
              <w:t>,</w:t>
            </w:r>
            <w:r w:rsidRPr="008368C0">
              <w:rPr>
                <w:rFonts w:ascii="Verdana" w:hAnsi="Verdana" w:cs="Arial"/>
                <w:color w:val="000000" w:themeColor="text1"/>
              </w:rPr>
              <w:t xml:space="preserve"> de acuerdo con las condiciones de uso del SECOP II</w:t>
            </w:r>
            <w:r>
              <w:rPr>
                <w:rFonts w:ascii="Verdana" w:hAnsi="Verdana" w:cs="Arial"/>
                <w:color w:val="000000" w:themeColor="text1"/>
              </w:rPr>
              <w:t>.</w:t>
            </w:r>
          </w:p>
          <w:p w14:paraId="36839577" w14:textId="77777777" w:rsidR="006A648E" w:rsidRDefault="006A648E" w:rsidP="00D13F89">
            <w:pPr>
              <w:spacing w:after="120" w:line="276" w:lineRule="auto"/>
              <w:ind w:right="49" w:firstLine="708"/>
              <w:jc w:val="both"/>
              <w:rPr>
                <w:rFonts w:ascii="Verdana" w:eastAsia="Calibri" w:hAnsi="Verdana" w:cs="Arial"/>
              </w:rPr>
            </w:pPr>
            <w:r>
              <w:rPr>
                <w:rFonts w:ascii="Verdana" w:eastAsia="Calibri" w:hAnsi="Verdana" w:cs="Arial"/>
                <w:lang w:val="es-ES"/>
              </w:rPr>
              <w:t>(</w:t>
            </w:r>
            <w:proofErr w:type="spellStart"/>
            <w:r>
              <w:rPr>
                <w:rFonts w:ascii="Verdana" w:eastAsia="Calibri" w:hAnsi="Verdana" w:cs="Arial"/>
                <w:lang w:val="es-ES"/>
              </w:rPr>
              <w:t>ii</w:t>
            </w:r>
            <w:proofErr w:type="spellEnd"/>
            <w:r>
              <w:rPr>
                <w:rFonts w:ascii="Verdana" w:eastAsia="Calibri" w:hAnsi="Verdana" w:cs="Arial"/>
                <w:lang w:val="es-ES"/>
              </w:rPr>
              <w:t xml:space="preserve">)  Los consorcios y uniones temporales son figuras </w:t>
            </w:r>
            <w:r w:rsidRPr="008C48E3">
              <w:rPr>
                <w:rFonts w:ascii="Verdana" w:eastAsia="Verdana" w:hAnsi="Verdana" w:cs="Verdana"/>
              </w:rPr>
              <w:t xml:space="preserve">asociativas cuya creación </w:t>
            </w:r>
            <w:r>
              <w:rPr>
                <w:rFonts w:ascii="Verdana" w:eastAsia="Verdana" w:hAnsi="Verdana" w:cs="Verdana"/>
              </w:rPr>
              <w:t xml:space="preserve">y características </w:t>
            </w:r>
            <w:r w:rsidRPr="008C48E3">
              <w:rPr>
                <w:rFonts w:ascii="Verdana" w:eastAsia="Verdana" w:hAnsi="Verdana" w:cs="Verdana"/>
              </w:rPr>
              <w:t>depende de un acuerdo en el que concurre la voluntad de sus integrantes para regular</w:t>
            </w:r>
            <w:r>
              <w:rPr>
                <w:rFonts w:ascii="Verdana" w:eastAsia="Verdana" w:hAnsi="Verdana" w:cs="Verdana"/>
              </w:rPr>
              <w:t xml:space="preserve"> sus características y composición, con el objetivo de </w:t>
            </w:r>
            <w:r w:rsidRPr="008C48E3">
              <w:rPr>
                <w:rFonts w:ascii="Verdana" w:eastAsia="Verdana" w:hAnsi="Verdana" w:cs="Verdana"/>
              </w:rPr>
              <w:t>facilitar la organización de diversos miembros a efectos de presentar propuesta</w:t>
            </w:r>
            <w:r>
              <w:rPr>
                <w:rFonts w:ascii="Verdana" w:eastAsia="Verdana" w:hAnsi="Verdana" w:cs="Verdana"/>
              </w:rPr>
              <w:t xml:space="preserve"> en procesos de contratación, así como para </w:t>
            </w:r>
            <w:r w:rsidRPr="008C48E3">
              <w:rPr>
                <w:rFonts w:ascii="Verdana" w:eastAsia="Verdana" w:hAnsi="Verdana" w:cs="Verdana"/>
              </w:rPr>
              <w:t xml:space="preserve">celebrar y ejecutar </w:t>
            </w:r>
            <w:r>
              <w:rPr>
                <w:rFonts w:ascii="Verdana" w:eastAsia="Verdana" w:hAnsi="Verdana" w:cs="Verdana"/>
              </w:rPr>
              <w:t xml:space="preserve">contratos estatales. </w:t>
            </w:r>
            <w:r>
              <w:rPr>
                <w:rFonts w:ascii="Verdana" w:eastAsia="Calibri" w:hAnsi="Verdana" w:cs="Arial"/>
              </w:rPr>
              <w:t xml:space="preserve">En consecuencia, es viable jurídicamente que sus miembros acuerden modificar el nombre, el porcentaje de participación y su composición para presentar propuesta en un proceso de contratación. </w:t>
            </w:r>
          </w:p>
          <w:p w14:paraId="7109CF51" w14:textId="77777777" w:rsidR="006A648E" w:rsidRDefault="006A648E" w:rsidP="00D13F89">
            <w:pPr>
              <w:spacing w:after="120" w:line="276" w:lineRule="auto"/>
              <w:ind w:right="49" w:firstLine="708"/>
              <w:jc w:val="both"/>
              <w:rPr>
                <w:rFonts w:ascii="Verdana" w:eastAsia="Calibri" w:hAnsi="Verdana" w:cs="Arial"/>
              </w:rPr>
            </w:pPr>
            <w:r>
              <w:rPr>
                <w:rFonts w:ascii="Verdana" w:eastAsia="Verdana" w:hAnsi="Verdana" w:cs="Verdana"/>
              </w:rPr>
              <w:t xml:space="preserve">No obstante, </w:t>
            </w:r>
            <w:r w:rsidRPr="00984F15">
              <w:rPr>
                <w:rFonts w:ascii="Verdana" w:eastAsia="Verdana" w:hAnsi="Verdana" w:cs="Verdana"/>
              </w:rPr>
              <w:t>si el consorcio ha presentado una oferta en otro proceso</w:t>
            </w:r>
            <w:r>
              <w:rPr>
                <w:rFonts w:ascii="Verdana" w:eastAsia="Verdana" w:hAnsi="Verdana" w:cs="Verdana"/>
              </w:rPr>
              <w:t xml:space="preserve"> que se encuentra en curso, </w:t>
            </w:r>
            <w:r w:rsidRPr="00984F15">
              <w:rPr>
                <w:rFonts w:ascii="Verdana" w:eastAsia="Verdana" w:hAnsi="Verdana" w:cs="Verdana"/>
              </w:rPr>
              <w:t xml:space="preserve">no podrá </w:t>
            </w:r>
            <w:r>
              <w:rPr>
                <w:rFonts w:ascii="Verdana" w:eastAsia="Verdana" w:hAnsi="Verdana" w:cs="Verdana"/>
              </w:rPr>
              <w:t xml:space="preserve">modificar la condiciones del proponente plural para </w:t>
            </w:r>
            <w:r w:rsidRPr="00984F15">
              <w:rPr>
                <w:rFonts w:ascii="Verdana" w:eastAsia="Verdana" w:hAnsi="Verdana" w:cs="Verdana"/>
              </w:rPr>
              <w:t>presentarse a otro</w:t>
            </w:r>
            <w:r>
              <w:rPr>
                <w:rFonts w:ascii="Verdana" w:eastAsia="Verdana" w:hAnsi="Verdana" w:cs="Verdana"/>
              </w:rPr>
              <w:t xml:space="preserve"> proceso</w:t>
            </w:r>
            <w:r w:rsidRPr="00984F15">
              <w:rPr>
                <w:rFonts w:ascii="Verdana" w:eastAsia="Verdana" w:hAnsi="Verdana" w:cs="Verdana"/>
              </w:rPr>
              <w:t>.</w:t>
            </w:r>
            <w:r w:rsidRPr="008359E0">
              <w:rPr>
                <w:rFonts w:ascii="Verdana" w:eastAsia="Verdana" w:hAnsi="Verdana" w:cs="Verdana"/>
              </w:rPr>
              <w:t xml:space="preserve"> Variar </w:t>
            </w:r>
            <w:r>
              <w:rPr>
                <w:rFonts w:ascii="Verdana" w:eastAsia="Verdana" w:hAnsi="Verdana" w:cs="Verdana"/>
              </w:rPr>
              <w:t>las condiciones de</w:t>
            </w:r>
            <w:r w:rsidRPr="00C93DEA">
              <w:rPr>
                <w:rFonts w:ascii="Verdana" w:eastAsia="Verdana" w:hAnsi="Verdana" w:cs="Verdana"/>
              </w:rPr>
              <w:t>l proponente plural</w:t>
            </w:r>
            <w:r w:rsidRPr="008359E0">
              <w:rPr>
                <w:rFonts w:ascii="Verdana" w:eastAsia="Verdana" w:hAnsi="Verdana" w:cs="Verdana"/>
              </w:rPr>
              <w:t>,</w:t>
            </w:r>
            <w:r>
              <w:rPr>
                <w:rFonts w:ascii="Verdana" w:eastAsia="Verdana" w:hAnsi="Verdana" w:cs="Verdana"/>
              </w:rPr>
              <w:t xml:space="preserve"> como el porcentaje de participación o los integrantes, </w:t>
            </w:r>
            <w:r w:rsidRPr="008359E0">
              <w:rPr>
                <w:rFonts w:ascii="Verdana" w:eastAsia="Verdana" w:hAnsi="Verdana" w:cs="Verdana"/>
              </w:rPr>
              <w:t>con posterioridad al cierre del proceso</w:t>
            </w:r>
            <w:r>
              <w:rPr>
                <w:rFonts w:ascii="Verdana" w:eastAsia="Verdana" w:hAnsi="Verdana" w:cs="Verdana"/>
              </w:rPr>
              <w:t xml:space="preserve"> </w:t>
            </w:r>
            <w:r w:rsidRPr="00C93DEA">
              <w:rPr>
                <w:rFonts w:ascii="Verdana" w:eastAsia="Verdana" w:hAnsi="Verdana" w:cs="Verdana"/>
              </w:rPr>
              <w:t xml:space="preserve">no </w:t>
            </w:r>
            <w:r w:rsidRPr="008359E0">
              <w:rPr>
                <w:rFonts w:ascii="Verdana" w:eastAsia="Verdana" w:hAnsi="Verdana" w:cs="Verdana"/>
              </w:rPr>
              <w:t xml:space="preserve">es </w:t>
            </w:r>
            <w:r>
              <w:rPr>
                <w:rFonts w:ascii="Verdana" w:eastAsia="Verdana" w:hAnsi="Verdana" w:cs="Verdana"/>
              </w:rPr>
              <w:t xml:space="preserve">un </w:t>
            </w:r>
            <w:r w:rsidRPr="008359E0">
              <w:rPr>
                <w:rFonts w:ascii="Verdana" w:eastAsia="Verdana" w:hAnsi="Verdana" w:cs="Verdana"/>
              </w:rPr>
              <w:t>asunto subsanable, pues implica la modificación o mejoramiento de la oferta, circunstancia prohibida por el numeral 8 del artículo 30 de la Ley 80 de 1993 y por el artículo 5 de la Ley 1882 de 2018</w:t>
            </w:r>
            <w:r>
              <w:rPr>
                <w:rFonts w:ascii="Verdana" w:eastAsia="Verdana" w:hAnsi="Verdana" w:cs="Verdana"/>
              </w:rPr>
              <w:t>.</w:t>
            </w:r>
          </w:p>
          <w:p w14:paraId="20635582" w14:textId="77777777" w:rsidR="006A648E" w:rsidRDefault="006A648E" w:rsidP="00D13F89">
            <w:pPr>
              <w:spacing w:after="120" w:line="276" w:lineRule="auto"/>
              <w:ind w:firstLine="739"/>
              <w:jc w:val="both"/>
              <w:rPr>
                <w:rFonts w:ascii="Verdana" w:eastAsia="Century Gothic" w:hAnsi="Verdana" w:cs="Century Gothic"/>
              </w:rPr>
            </w:pPr>
            <w:r>
              <w:rPr>
                <w:rFonts w:ascii="Verdana" w:eastAsia="Calibri" w:hAnsi="Verdana" w:cs="Arial"/>
              </w:rPr>
              <w:t>(</w:t>
            </w:r>
            <w:proofErr w:type="spellStart"/>
            <w:r>
              <w:rPr>
                <w:rFonts w:ascii="Verdana" w:eastAsia="Calibri" w:hAnsi="Verdana" w:cs="Arial"/>
              </w:rPr>
              <w:t>iii</w:t>
            </w:r>
            <w:proofErr w:type="spellEnd"/>
            <w:r>
              <w:rPr>
                <w:rFonts w:ascii="Verdana" w:eastAsia="Calibri" w:hAnsi="Verdana" w:cs="Arial"/>
              </w:rPr>
              <w:t xml:space="preserve">) </w:t>
            </w:r>
            <w:r>
              <w:rPr>
                <w:rFonts w:ascii="Verdana" w:eastAsia="Verdana" w:hAnsi="Verdana" w:cs="Verdana"/>
              </w:rPr>
              <w:t xml:space="preserve">Finalmente, es importante resaltar que </w:t>
            </w:r>
            <w:r>
              <w:rPr>
                <w:rFonts w:ascii="Verdana" w:eastAsia="Century Gothic" w:hAnsi="Verdana" w:cs="Century Gothic"/>
              </w:rPr>
              <w:t>l</w:t>
            </w:r>
            <w:r w:rsidRPr="00573C59">
              <w:rPr>
                <w:rFonts w:ascii="Verdana" w:eastAsia="Century Gothic" w:hAnsi="Verdana" w:cs="Century Gothic"/>
              </w:rPr>
              <w:t xml:space="preserve">as causales de rechazo son las establecidas en la ley y las fijadas por la Entidad Estatal en los pliegos de condiciones. </w:t>
            </w:r>
            <w:r>
              <w:rPr>
                <w:rFonts w:ascii="Verdana" w:eastAsia="Century Gothic" w:hAnsi="Verdana" w:cs="Century Gothic"/>
              </w:rPr>
              <w:t>N</w:t>
            </w:r>
            <w:r>
              <w:rPr>
                <w:rFonts w:ascii="Verdana" w:hAnsi="Verdana" w:cs="Arial"/>
                <w:bCs/>
                <w:color w:val="000000" w:themeColor="text1"/>
              </w:rPr>
              <w:t xml:space="preserve">o existe un impedimento jurídico para que los proponentes </w:t>
            </w:r>
            <w:r>
              <w:rPr>
                <w:rFonts w:ascii="Verdana" w:hAnsi="Verdana" w:cs="Arial"/>
                <w:bCs/>
                <w:color w:val="000000" w:themeColor="text1"/>
              </w:rPr>
              <w:lastRenderedPageBreak/>
              <w:t xml:space="preserve">puedan presentar ofertas en uno o en varios procesos de contratación, ni disposición en el ordenamiento jurídico que condicione la capacidad del proponente plural al cargue de la promesa o el documento de conformación del consorcio al SECOP II, durante el proceso de creación del perfil de dicho proponente. En este sentido, no existe causal en la ley que dé lugar al rechazo en estos supuestos. </w:t>
            </w:r>
          </w:p>
          <w:p w14:paraId="1DD4121A" w14:textId="77777777" w:rsidR="006A648E" w:rsidRPr="003751B6" w:rsidRDefault="006A648E" w:rsidP="00D13F89">
            <w:pPr>
              <w:spacing w:after="120" w:line="276" w:lineRule="auto"/>
              <w:ind w:firstLine="739"/>
              <w:jc w:val="both"/>
              <w:rPr>
                <w:rFonts w:ascii="Verdana" w:eastAsia="Calibri" w:hAnsi="Verdana" w:cs="Arial"/>
              </w:rPr>
            </w:pPr>
            <w:r>
              <w:rPr>
                <w:rFonts w:ascii="Verdana" w:hAnsi="Verdana" w:cs="Arial"/>
                <w:bCs/>
                <w:color w:val="000000" w:themeColor="text1"/>
              </w:rPr>
              <w:t xml:space="preserve">Sin embargo, </w:t>
            </w:r>
            <w:r w:rsidRPr="00321C89">
              <w:rPr>
                <w:rFonts w:ascii="Verdana" w:hAnsi="Verdana" w:cs="Arial"/>
                <w:bCs/>
                <w:color w:val="000000" w:themeColor="text1"/>
              </w:rPr>
              <w:t xml:space="preserve">será́ la Entidad Estatal quién determinará </w:t>
            </w:r>
            <w:r>
              <w:rPr>
                <w:rFonts w:ascii="Verdana" w:hAnsi="Verdana" w:cs="Arial"/>
                <w:bCs/>
                <w:color w:val="000000" w:themeColor="text1"/>
              </w:rPr>
              <w:t xml:space="preserve">en los documentos del proceso </w:t>
            </w:r>
            <w:r w:rsidRPr="00321C89">
              <w:rPr>
                <w:rFonts w:ascii="Verdana" w:hAnsi="Verdana" w:cs="Arial"/>
                <w:bCs/>
                <w:color w:val="000000" w:themeColor="text1"/>
              </w:rPr>
              <w:t xml:space="preserve">las circunstancias que no permitan admitir una propuesta en un </w:t>
            </w:r>
            <w:r>
              <w:rPr>
                <w:rFonts w:ascii="Verdana" w:hAnsi="Verdana" w:cs="Arial"/>
                <w:bCs/>
                <w:color w:val="000000" w:themeColor="text1"/>
              </w:rPr>
              <w:t>p</w:t>
            </w:r>
            <w:r w:rsidRPr="00321C89">
              <w:rPr>
                <w:rFonts w:ascii="Verdana" w:hAnsi="Verdana" w:cs="Arial"/>
                <w:bCs/>
                <w:color w:val="000000" w:themeColor="text1"/>
              </w:rPr>
              <w:t xml:space="preserve">roceso de </w:t>
            </w:r>
            <w:r>
              <w:rPr>
                <w:rFonts w:ascii="Verdana" w:hAnsi="Verdana" w:cs="Arial"/>
                <w:bCs/>
                <w:color w:val="000000" w:themeColor="text1"/>
              </w:rPr>
              <w:t>c</w:t>
            </w:r>
            <w:r w:rsidRPr="00321C89">
              <w:rPr>
                <w:rFonts w:ascii="Verdana" w:hAnsi="Verdana" w:cs="Arial"/>
                <w:bCs/>
                <w:color w:val="000000" w:themeColor="text1"/>
              </w:rPr>
              <w:t>ontratación</w:t>
            </w:r>
            <w:r>
              <w:rPr>
                <w:rFonts w:ascii="Verdana" w:hAnsi="Verdana" w:cs="Arial"/>
                <w:bCs/>
                <w:color w:val="000000" w:themeColor="text1"/>
              </w:rPr>
              <w:t>. En el ejercicio de esta facultad, las entidades deben respetar el deber de selección objetiva, de manera que las causales de rechazo que dispongan no impongan barreras injustificadas a la participación, y respondan a principios de proporcionalidad y razonabilidad.</w:t>
            </w:r>
          </w:p>
        </w:tc>
      </w:tr>
    </w:tbl>
    <w:p w14:paraId="550601B4" w14:textId="77777777" w:rsidR="006A648E" w:rsidRPr="00FE5A24" w:rsidRDefault="006A648E" w:rsidP="006A648E">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627C30AD" w14:textId="77777777" w:rsidR="006A648E" w:rsidRPr="00D55655" w:rsidRDefault="006A648E" w:rsidP="006A648E">
      <w:pPr>
        <w:pStyle w:val="ListParagraph"/>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Razones de la respuesta:</w:t>
      </w:r>
    </w:p>
    <w:p w14:paraId="51645854" w14:textId="77777777" w:rsidR="006A648E" w:rsidRPr="00FE5A24" w:rsidRDefault="006A648E" w:rsidP="006A648E">
      <w:pPr>
        <w:spacing w:before="120" w:after="120" w:line="276" w:lineRule="auto"/>
        <w:jc w:val="both"/>
        <w:rPr>
          <w:rFonts w:ascii="Verdana" w:eastAsia="Calibri" w:hAnsi="Verdana" w:cs="Arial"/>
          <w:color w:val="000000" w:themeColor="text1"/>
          <w:lang w:val="es-ES"/>
        </w:rPr>
      </w:pPr>
      <w:r w:rsidRPr="00FE5A24">
        <w:rPr>
          <w:rFonts w:ascii="Verdana" w:eastAsia="Calibri" w:hAnsi="Verdana" w:cs="Arial"/>
          <w:color w:val="000000" w:themeColor="text1"/>
          <w:lang w:val="es-ES"/>
        </w:rPr>
        <w:t xml:space="preserve">Lo anterior se sustenta en las siguientes consideraciones: </w:t>
      </w:r>
    </w:p>
    <w:p w14:paraId="119D758C" w14:textId="77777777" w:rsidR="006A648E" w:rsidRPr="00255A37" w:rsidRDefault="006A648E" w:rsidP="006A648E">
      <w:pPr>
        <w:spacing w:before="120" w:after="120" w:line="276" w:lineRule="auto"/>
        <w:jc w:val="both"/>
        <w:rPr>
          <w:rFonts w:ascii="Verdana" w:eastAsia="Calibri" w:hAnsi="Verdana" w:cs="Arial"/>
        </w:rPr>
      </w:pPr>
      <w:r w:rsidRPr="007D6693">
        <w:rPr>
          <w:rFonts w:ascii="Verdana" w:eastAsia="Calibri" w:hAnsi="Verdana" w:cs="Arial"/>
          <w:shd w:val="clear" w:color="auto" w:fill="FFFFFF"/>
        </w:rPr>
        <w:t xml:space="preserve">(i) </w:t>
      </w:r>
      <w:r>
        <w:rPr>
          <w:rFonts w:ascii="Verdana" w:eastAsia="Calibri" w:hAnsi="Verdana" w:cs="Arial"/>
        </w:rPr>
        <w:t xml:space="preserve">El artículo 6 de la Ley 80 de 1993 señala que pueden celebrar contratos con las Entidades Estatales las personas naturales, las personas jurídicas </w:t>
      </w:r>
      <w:r w:rsidRPr="00BF1559">
        <w:rPr>
          <w:rFonts w:ascii="Verdana" w:eastAsia="Calibri" w:hAnsi="Verdana" w:cs="Arial"/>
        </w:rPr>
        <w:t>que tengan dentro de su objeto social actividades relacionadas con el objeto a contratar y, por virtud de la ley, los consorcios y uniones temporales.</w:t>
      </w:r>
      <w:r>
        <w:rPr>
          <w:rFonts w:ascii="Verdana" w:eastAsia="Calibri" w:hAnsi="Verdana" w:cs="Arial"/>
        </w:rPr>
        <w:t xml:space="preserve"> </w:t>
      </w:r>
    </w:p>
    <w:p w14:paraId="60B325F8" w14:textId="77777777" w:rsidR="006A648E" w:rsidRPr="008368C0" w:rsidRDefault="006A648E" w:rsidP="006A648E">
      <w:pPr>
        <w:spacing w:before="120" w:after="120" w:line="276" w:lineRule="auto"/>
        <w:ind w:firstLine="708"/>
        <w:jc w:val="both"/>
        <w:rPr>
          <w:rFonts w:ascii="Verdana" w:eastAsia="Calibri" w:hAnsi="Verdana" w:cs="Arial"/>
          <w:lang w:val="es-MX"/>
        </w:rPr>
      </w:pPr>
      <w:r w:rsidRPr="007D6693">
        <w:rPr>
          <w:rFonts w:ascii="Verdana" w:eastAsia="Calibri" w:hAnsi="Verdana" w:cs="Arial"/>
          <w:lang w:val="es-MX"/>
        </w:rPr>
        <w:t>La capacidad para contratar</w:t>
      </w:r>
      <w:r>
        <w:rPr>
          <w:rFonts w:ascii="Verdana" w:eastAsia="Calibri" w:hAnsi="Verdana" w:cs="Arial"/>
          <w:lang w:val="es-MX"/>
        </w:rPr>
        <w:t xml:space="preserve"> y de </w:t>
      </w:r>
      <w:r w:rsidRPr="007D6693">
        <w:rPr>
          <w:rFonts w:ascii="Verdana" w:eastAsia="Calibri" w:hAnsi="Verdana" w:cs="Arial"/>
          <w:lang w:val="es-MX"/>
        </w:rPr>
        <w:t>realizar actos jurídicamente vinculantes</w:t>
      </w:r>
      <w:r>
        <w:rPr>
          <w:rFonts w:ascii="Verdana" w:eastAsia="Calibri" w:hAnsi="Verdana" w:cs="Arial"/>
          <w:lang w:val="es-MX"/>
        </w:rPr>
        <w:t xml:space="preserve">, </w:t>
      </w:r>
      <w:r w:rsidRPr="007D6693">
        <w:rPr>
          <w:rFonts w:ascii="Verdana" w:eastAsia="Calibri" w:hAnsi="Verdana" w:cs="Arial"/>
          <w:lang w:val="es-MX"/>
        </w:rPr>
        <w:t>como la presentación de una oferta en un procedimiento de selección de contratistas, se consideró por mucho tiempo uno de los atributos de la personalidad reservado</w:t>
      </w:r>
      <w:r>
        <w:rPr>
          <w:rFonts w:ascii="Verdana" w:eastAsia="Calibri" w:hAnsi="Verdana" w:cs="Arial"/>
          <w:lang w:val="es-MX"/>
        </w:rPr>
        <w:t xml:space="preserve"> </w:t>
      </w:r>
      <w:r w:rsidRPr="007D6693">
        <w:rPr>
          <w:rFonts w:ascii="Verdana" w:eastAsia="Calibri" w:hAnsi="Verdana" w:cs="Arial"/>
          <w:lang w:val="es-MX"/>
        </w:rPr>
        <w:t>a las personas jurídicas y naturales. No obstante, el progreso en las formas negociales y asociativas hizo necesario reconocer nuevas estructuras plurales y otorgarles atributos que tradicionalmente habían estado reservados a las personas jurídicas. En este sentido, la Corte Constitucional ha sostenido</w:t>
      </w:r>
      <w:r>
        <w:rPr>
          <w:rFonts w:ascii="Verdana" w:eastAsia="Calibri" w:hAnsi="Verdana" w:cs="Arial"/>
          <w:lang w:val="es-MX"/>
        </w:rPr>
        <w:t xml:space="preserve"> sobre la capacidad para contratar otorgada a los consorcios y uniones temporales</w:t>
      </w:r>
      <w:r w:rsidRPr="007D6693">
        <w:rPr>
          <w:rFonts w:ascii="Verdana" w:eastAsia="Calibri" w:hAnsi="Verdana" w:cs="Arial"/>
          <w:lang w:val="es-MX"/>
        </w:rPr>
        <w:t>:</w:t>
      </w:r>
    </w:p>
    <w:p w14:paraId="53C47814" w14:textId="77777777" w:rsidR="006A648E" w:rsidRPr="00EB0795" w:rsidRDefault="006A648E" w:rsidP="006A648E">
      <w:pPr>
        <w:spacing w:before="120" w:after="120" w:line="240" w:lineRule="auto"/>
        <w:ind w:left="709" w:right="709"/>
        <w:jc w:val="both"/>
        <w:rPr>
          <w:rFonts w:ascii="Verdana" w:eastAsia="Calibri" w:hAnsi="Verdana" w:cs="Arial"/>
          <w:sz w:val="21"/>
          <w:szCs w:val="21"/>
        </w:rPr>
      </w:pPr>
      <w:r w:rsidRPr="008368C0">
        <w:rPr>
          <w:rFonts w:ascii="Verdana" w:eastAsia="Calibri" w:hAnsi="Verdana" w:cs="Arial"/>
          <w:sz w:val="20"/>
          <w:szCs w:val="20"/>
        </w:rPr>
        <w:t>“</w:t>
      </w:r>
      <w:r w:rsidRPr="00EB0795">
        <w:rPr>
          <w:rFonts w:ascii="Verdana" w:eastAsia="Calibri" w:hAnsi="Verdana" w:cs="Arial"/>
          <w:sz w:val="21"/>
          <w:szCs w:val="21"/>
        </w:rPr>
        <w:t xml:space="preserve">Respecto de la capacidad legal para contratar y la personalidad jurídica señala, que la Ley 80 de 1993 al crear las figuras de los consorcios y uniones temporales, y construirlas como sujetos de la contratación administrativa, reconoce una realidad del mundo negocial: la necesidad de los contratos de colaboración económica para la efectiva realización de proyectos de contratación pública, altamente especializados e intensivos en capital y, así mismo, indispensables para </w:t>
      </w:r>
      <w:r w:rsidRPr="00EB0795">
        <w:rPr>
          <w:rFonts w:ascii="Verdana" w:eastAsia="Calibri" w:hAnsi="Verdana" w:cs="Arial"/>
          <w:sz w:val="21"/>
          <w:szCs w:val="21"/>
        </w:rPr>
        <w:lastRenderedPageBreak/>
        <w:t>que el Estado Social de Derecho, cumpla los cometidos para los cuales fue instituido- Preámbulo, artículos 1 y 2 de la Carta Política.</w:t>
      </w:r>
    </w:p>
    <w:p w14:paraId="333F8111" w14:textId="77777777" w:rsidR="006A648E" w:rsidRPr="00EB0795" w:rsidRDefault="006A648E" w:rsidP="006A648E">
      <w:pPr>
        <w:spacing w:before="120" w:after="120" w:line="240" w:lineRule="auto"/>
        <w:ind w:left="709" w:right="709"/>
        <w:jc w:val="both"/>
        <w:rPr>
          <w:rFonts w:ascii="Verdana" w:eastAsia="Calibri" w:hAnsi="Verdana" w:cs="Arial"/>
          <w:sz w:val="21"/>
          <w:szCs w:val="21"/>
        </w:rPr>
      </w:pPr>
      <w:r w:rsidRPr="00EB0795">
        <w:rPr>
          <w:rFonts w:ascii="Verdana" w:eastAsia="Calibri" w:hAnsi="Verdana" w:cs="Arial"/>
          <w:sz w:val="21"/>
          <w:szCs w:val="21"/>
        </w:rPr>
        <w:t>[…]</w:t>
      </w:r>
    </w:p>
    <w:p w14:paraId="26472EF0" w14:textId="77777777" w:rsidR="006A648E" w:rsidRPr="00EB0795" w:rsidRDefault="006A648E" w:rsidP="006A648E">
      <w:pPr>
        <w:spacing w:before="120" w:after="120" w:line="240" w:lineRule="auto"/>
        <w:ind w:left="709" w:right="709"/>
        <w:jc w:val="both"/>
        <w:rPr>
          <w:rFonts w:ascii="Verdana" w:eastAsia="Calibri" w:hAnsi="Verdana" w:cs="Arial"/>
          <w:sz w:val="21"/>
          <w:szCs w:val="21"/>
        </w:rPr>
      </w:pPr>
      <w:r w:rsidRPr="00EB0795">
        <w:rPr>
          <w:rFonts w:ascii="Verdana" w:eastAsia="Calibri" w:hAnsi="Verdana" w:cs="Arial"/>
          <w:sz w:val="21"/>
          <w:szCs w:val="21"/>
        </w:rPr>
        <w:t>En torno a la capacidad contractual de los consorcios y uniones temporales la jurisprudencia constitucional ha expresado que el Estatuto de contratación les reconoce este atributo sin exigirles como condición de su ejercicio la de ser personas morales. También ha dicho que el consorcio es un convenio de asociación, o mejor, un sistema de mediación que permite a sus miembros organizarse mancomunadamente para la celebración y ejecución de un contrato con el Estado, sin que por ello pierdan su individualidad jurídica, pero asumiendo un grado de responsabilidad solidaria en el cumplimiento de las obligaciones contractuales”</w:t>
      </w:r>
      <w:r w:rsidRPr="00EB0795">
        <w:rPr>
          <w:rStyle w:val="FootnoteReference"/>
          <w:rFonts w:ascii="Verdana" w:eastAsia="Calibri" w:hAnsi="Verdana" w:cs="Arial"/>
          <w:sz w:val="21"/>
          <w:szCs w:val="21"/>
        </w:rPr>
        <w:footnoteReference w:id="1"/>
      </w:r>
      <w:r w:rsidRPr="00EB0795">
        <w:rPr>
          <w:rFonts w:ascii="Verdana" w:eastAsia="Calibri" w:hAnsi="Verdana" w:cs="Arial"/>
          <w:sz w:val="21"/>
          <w:szCs w:val="21"/>
        </w:rPr>
        <w:t>.</w:t>
      </w:r>
    </w:p>
    <w:p w14:paraId="13E064CA" w14:textId="77777777" w:rsidR="006A648E" w:rsidRPr="009A0F01" w:rsidRDefault="006A648E" w:rsidP="006A648E">
      <w:pPr>
        <w:spacing w:before="120" w:after="120" w:line="276" w:lineRule="auto"/>
        <w:ind w:firstLine="708"/>
        <w:jc w:val="both"/>
        <w:rPr>
          <w:rFonts w:ascii="Verdana" w:eastAsia="Calibri" w:hAnsi="Verdana"/>
        </w:rPr>
      </w:pPr>
      <w:r w:rsidRPr="009A0F01">
        <w:rPr>
          <w:rFonts w:ascii="Verdana" w:eastAsia="Calibri" w:hAnsi="Verdana"/>
        </w:rPr>
        <w:t>De un lado, la Corte Constitucional destaca que las estructuras plurales son el reconocimiento de una realidad negocial en materia de contratación estatal, de otro, resalta que esta colaboración económica entre sujetos de derecho permite la materialización de los fines del estado, al facilitar la efectiva ejecución de los contratos. Adicionalmente, puntualiza que la capacidad contractual de los consorcios y uniones temporales se reconoce sin necesidad de exigirles como condición de su ejercicio que sean personas morales.</w:t>
      </w:r>
    </w:p>
    <w:p w14:paraId="22874452" w14:textId="77777777" w:rsidR="006A648E" w:rsidRPr="002743B8" w:rsidRDefault="006A648E" w:rsidP="006A648E">
      <w:pPr>
        <w:spacing w:before="120" w:after="120" w:line="276" w:lineRule="auto"/>
        <w:ind w:firstLine="708"/>
        <w:jc w:val="both"/>
        <w:rPr>
          <w:rFonts w:ascii="Verdana" w:eastAsia="Calibri" w:hAnsi="Verdana" w:cs="Arial"/>
          <w:sz w:val="20"/>
          <w:szCs w:val="20"/>
        </w:rPr>
      </w:pPr>
      <w:r>
        <w:rPr>
          <w:rFonts w:ascii="Verdana" w:eastAsia="Calibri" w:hAnsi="Verdana" w:cs="Arial"/>
        </w:rPr>
        <w:t xml:space="preserve">En línea con lo anterior, los consorcios y las uniones temporales </w:t>
      </w:r>
      <w:r w:rsidRPr="00255A37">
        <w:rPr>
          <w:rFonts w:ascii="Verdana" w:eastAsia="Calibri" w:hAnsi="Verdana" w:cs="Arial"/>
        </w:rPr>
        <w:t>no son personas jurídicas</w:t>
      </w:r>
      <w:r>
        <w:rPr>
          <w:rFonts w:ascii="Verdana" w:eastAsia="Calibri" w:hAnsi="Verdana" w:cs="Arial"/>
        </w:rPr>
        <w:t xml:space="preserve">, pero </w:t>
      </w:r>
      <w:r w:rsidRPr="00255A37">
        <w:rPr>
          <w:rFonts w:ascii="Verdana" w:eastAsia="Calibri" w:hAnsi="Verdana" w:cs="Arial"/>
        </w:rPr>
        <w:t xml:space="preserve">su creación depende de un acuerdo en el que concurre la voluntad de sus integrantes para </w:t>
      </w:r>
      <w:r>
        <w:rPr>
          <w:rFonts w:ascii="Verdana" w:eastAsia="Calibri" w:hAnsi="Verdana" w:cs="Arial"/>
        </w:rPr>
        <w:t xml:space="preserve">determinar </w:t>
      </w:r>
      <w:r w:rsidRPr="00255A37">
        <w:rPr>
          <w:rFonts w:ascii="Verdana" w:eastAsia="Calibri" w:hAnsi="Verdana" w:cs="Arial"/>
        </w:rPr>
        <w:t>su objeto, la participación de los miembros, las obligaciones frente al proyecto, su responsabilidad, la forma en que regirán sus relaciones internas y el relacionamiento con la entidad contratante, mediante la designación de un representante</w:t>
      </w:r>
      <w:r>
        <w:rPr>
          <w:rFonts w:ascii="Verdana" w:eastAsia="Calibri" w:hAnsi="Verdana" w:cs="Arial"/>
        </w:rPr>
        <w:t>.</w:t>
      </w:r>
      <w:r w:rsidRPr="00255A37">
        <w:rPr>
          <w:rFonts w:ascii="Verdana" w:eastAsia="Calibri" w:hAnsi="Verdana" w:cs="Arial"/>
        </w:rPr>
        <w:t xml:space="preserve"> </w:t>
      </w:r>
      <w:r>
        <w:rPr>
          <w:rFonts w:ascii="Verdana" w:eastAsia="Calibri" w:hAnsi="Verdana" w:cs="Arial"/>
        </w:rPr>
        <w:t xml:space="preserve">Al respecto, </w:t>
      </w:r>
      <w:r w:rsidRPr="00255A37">
        <w:rPr>
          <w:rFonts w:ascii="Verdana" w:eastAsia="Calibri" w:hAnsi="Verdana" w:cs="Arial"/>
        </w:rPr>
        <w:t>el parágrafo 1 del artículo 7 de la Ley 80 de 1993 dispone que:</w:t>
      </w:r>
    </w:p>
    <w:p w14:paraId="3A54B456" w14:textId="77777777" w:rsidR="006A648E" w:rsidRPr="006D6082" w:rsidRDefault="006A648E" w:rsidP="006A648E">
      <w:pPr>
        <w:pStyle w:val="ListParagraph"/>
        <w:spacing w:after="0" w:line="240" w:lineRule="auto"/>
        <w:ind w:left="709" w:right="616"/>
        <w:jc w:val="both"/>
        <w:rPr>
          <w:rFonts w:ascii="Verdana" w:eastAsia="Calibri" w:hAnsi="Verdana" w:cs="Arial"/>
          <w:sz w:val="21"/>
          <w:szCs w:val="21"/>
        </w:rPr>
      </w:pPr>
      <w:r w:rsidRPr="006D6082">
        <w:rPr>
          <w:rFonts w:ascii="Verdana" w:eastAsia="Calibri" w:hAnsi="Verdana" w:cs="Arial"/>
          <w:bCs/>
          <w:color w:val="000000" w:themeColor="text1"/>
          <w:sz w:val="21"/>
          <w:szCs w:val="21"/>
        </w:rPr>
        <w:t>“</w:t>
      </w:r>
      <w:r w:rsidRPr="006D6082">
        <w:rPr>
          <w:rFonts w:ascii="Verdana" w:eastAsia="Calibri" w:hAnsi="Verdana" w:cs="Arial"/>
          <w:sz w:val="21"/>
          <w:szCs w:val="21"/>
        </w:rPr>
        <w:t>Para los efectos de esta Ley se entiende por:[…]</w:t>
      </w:r>
    </w:p>
    <w:p w14:paraId="5E972A12" w14:textId="77777777" w:rsidR="006A648E" w:rsidRPr="006D6082" w:rsidRDefault="006A648E" w:rsidP="006A648E">
      <w:pPr>
        <w:pStyle w:val="ListParagraph"/>
        <w:spacing w:after="120" w:line="240" w:lineRule="auto"/>
        <w:ind w:left="709" w:right="616"/>
        <w:jc w:val="both"/>
        <w:rPr>
          <w:rFonts w:ascii="Verdana" w:eastAsia="Calibri" w:hAnsi="Verdana" w:cs="Arial"/>
          <w:sz w:val="21"/>
          <w:szCs w:val="21"/>
        </w:rPr>
      </w:pPr>
      <w:r w:rsidRPr="006D6082">
        <w:rPr>
          <w:rFonts w:ascii="Verdana" w:eastAsia="Calibri" w:hAnsi="Verdana" w:cs="Arial"/>
          <w:sz w:val="21"/>
          <w:szCs w:val="21"/>
        </w:rPr>
        <w:t>6. Consorcio: Cuando dos o más personas en forma conjunta presentan una misma propuesta para la adjudicación, celebración y ejecución de un contrato, respondiendo solidariamente de todas y cada una de las obligaciones derivadas de la propuesta y del contrato. En consecuencia, las actuaciones, hechos y omisiones que se presenten en desarrollo de la propuesta y del contrato, afectarán a todos los miembros que lo conforman.</w:t>
      </w:r>
    </w:p>
    <w:p w14:paraId="6835E4C8" w14:textId="77777777" w:rsidR="006A648E" w:rsidRPr="006D6082" w:rsidRDefault="006A648E" w:rsidP="006A648E">
      <w:pPr>
        <w:pStyle w:val="ListParagraph"/>
        <w:spacing w:after="0" w:line="240" w:lineRule="auto"/>
        <w:ind w:left="709" w:right="616"/>
        <w:jc w:val="both"/>
        <w:rPr>
          <w:rFonts w:ascii="Verdana" w:eastAsia="Calibri" w:hAnsi="Verdana" w:cs="Arial"/>
          <w:sz w:val="21"/>
          <w:szCs w:val="21"/>
        </w:rPr>
      </w:pPr>
      <w:r w:rsidRPr="006D6082">
        <w:rPr>
          <w:rFonts w:ascii="Verdana" w:eastAsia="Calibri" w:hAnsi="Verdana" w:cs="Arial"/>
          <w:sz w:val="21"/>
          <w:szCs w:val="21"/>
        </w:rPr>
        <w:t xml:space="preserve">7. Unión Temporal: Cuando dos o más personas en forma conjunta presentan una misma propuesta para la adjudicación, celebración y </w:t>
      </w:r>
      <w:r w:rsidRPr="006D6082">
        <w:rPr>
          <w:rFonts w:ascii="Verdana" w:eastAsia="Calibri" w:hAnsi="Verdana" w:cs="Arial"/>
          <w:sz w:val="21"/>
          <w:szCs w:val="21"/>
        </w:rPr>
        <w:lastRenderedPageBreak/>
        <w:t>ejecución de un contrato, respondiendo solidariamente por el cumplimiento total de la propuesta y del objeto contratado, pero las sanciones por el incumplimiento de las obligaciones derivadas de la propuesta y del contrato se impondrán de acuerdo con la participación en la ejecución de cada uno de los miembros de la unión temporal. </w:t>
      </w:r>
    </w:p>
    <w:p w14:paraId="7696AA3D" w14:textId="77777777" w:rsidR="006A648E" w:rsidRPr="006D6082" w:rsidRDefault="006A648E" w:rsidP="006A648E">
      <w:pPr>
        <w:pStyle w:val="ListParagraph"/>
        <w:spacing w:after="0" w:line="240" w:lineRule="auto"/>
        <w:ind w:left="709" w:right="616"/>
        <w:jc w:val="both"/>
        <w:rPr>
          <w:rFonts w:ascii="Verdana" w:eastAsia="Calibri" w:hAnsi="Verdana" w:cs="Arial"/>
          <w:bCs/>
          <w:color w:val="000000" w:themeColor="text1"/>
          <w:sz w:val="21"/>
          <w:szCs w:val="21"/>
        </w:rPr>
      </w:pPr>
      <w:r w:rsidRPr="006D6082">
        <w:rPr>
          <w:rFonts w:ascii="Verdana" w:eastAsia="Calibri" w:hAnsi="Verdana" w:cs="Arial"/>
          <w:bCs/>
          <w:color w:val="000000" w:themeColor="text1"/>
          <w:sz w:val="21"/>
          <w:szCs w:val="21"/>
        </w:rPr>
        <w:t>[…]</w:t>
      </w:r>
    </w:p>
    <w:p w14:paraId="0D0DE158" w14:textId="77777777" w:rsidR="006A648E" w:rsidRPr="006D6082" w:rsidRDefault="006A648E" w:rsidP="006A648E">
      <w:pPr>
        <w:pStyle w:val="ListParagraph"/>
        <w:spacing w:after="0" w:line="240" w:lineRule="auto"/>
        <w:ind w:left="709" w:right="616"/>
        <w:jc w:val="both"/>
        <w:rPr>
          <w:rFonts w:ascii="Verdana" w:eastAsia="Calibri" w:hAnsi="Verdana" w:cs="Arial"/>
          <w:bCs/>
          <w:color w:val="000000" w:themeColor="text1"/>
          <w:sz w:val="21"/>
          <w:szCs w:val="21"/>
        </w:rPr>
      </w:pPr>
      <w:r w:rsidRPr="006D6082">
        <w:rPr>
          <w:rFonts w:ascii="Verdana" w:eastAsia="Calibri" w:hAnsi="Verdana" w:cs="Arial"/>
          <w:bCs/>
          <w:color w:val="000000" w:themeColor="text1"/>
          <w:sz w:val="21"/>
          <w:szCs w:val="21"/>
        </w:rPr>
        <w:t>Parágrafo 1º.- Los proponentes indicarán si su participación es a título de consorcio o unión temporal y, en este último caso, señalarán los términos y extensión de la participación en la propuesta y en su ejecución, los cuales no podrán ser modificados sin el consentimiento previo de la entidad estatal contratante.</w:t>
      </w:r>
    </w:p>
    <w:p w14:paraId="688AB81F" w14:textId="77777777" w:rsidR="006A648E" w:rsidRPr="006D6082" w:rsidRDefault="006A648E" w:rsidP="006A648E">
      <w:pPr>
        <w:pStyle w:val="ListParagraph"/>
        <w:spacing w:after="0" w:line="240" w:lineRule="auto"/>
        <w:ind w:left="709" w:right="616"/>
        <w:jc w:val="both"/>
        <w:rPr>
          <w:rFonts w:ascii="Verdana" w:eastAsia="Calibri" w:hAnsi="Verdana" w:cs="Arial"/>
          <w:bCs/>
          <w:color w:val="000000" w:themeColor="text1"/>
          <w:sz w:val="21"/>
          <w:szCs w:val="21"/>
        </w:rPr>
      </w:pPr>
      <w:r w:rsidRPr="006D6082">
        <w:rPr>
          <w:rFonts w:ascii="Verdana" w:eastAsia="Calibri" w:hAnsi="Verdana" w:cs="Arial"/>
          <w:bCs/>
          <w:color w:val="000000" w:themeColor="text1"/>
          <w:sz w:val="21"/>
          <w:szCs w:val="21"/>
        </w:rPr>
        <w:t>Los miembros del consorcio y de la unión temporal deberán designar la persona que, para todos los efectos, representará al consorcio o unión temporal y señalarán las reglas básicas que regulen las relaciones entre ellos y su responsabilidad.</w:t>
      </w:r>
    </w:p>
    <w:p w14:paraId="2CC65E38" w14:textId="77777777" w:rsidR="006A648E" w:rsidRPr="006D6082" w:rsidRDefault="006A648E" w:rsidP="006A648E">
      <w:pPr>
        <w:pStyle w:val="ListParagraph"/>
        <w:spacing w:after="0" w:line="240" w:lineRule="auto"/>
        <w:ind w:left="709" w:right="616"/>
        <w:jc w:val="both"/>
        <w:rPr>
          <w:rFonts w:ascii="Verdana" w:eastAsia="Calibri" w:hAnsi="Verdana" w:cs="Arial"/>
          <w:sz w:val="21"/>
          <w:szCs w:val="21"/>
        </w:rPr>
      </w:pPr>
      <w:r w:rsidRPr="006D6082">
        <w:rPr>
          <w:rFonts w:ascii="Verdana" w:eastAsia="Calibri" w:hAnsi="Verdana" w:cs="Arial"/>
          <w:bCs/>
          <w:color w:val="000000" w:themeColor="text1"/>
          <w:sz w:val="21"/>
          <w:szCs w:val="21"/>
        </w:rPr>
        <w:t>[…]”.</w:t>
      </w:r>
    </w:p>
    <w:p w14:paraId="511965D5" w14:textId="77777777" w:rsidR="006A648E" w:rsidRPr="00B85F0E" w:rsidRDefault="006A648E" w:rsidP="006A648E">
      <w:pPr>
        <w:spacing w:before="120" w:after="120" w:line="276" w:lineRule="auto"/>
        <w:ind w:firstLine="709"/>
        <w:jc w:val="both"/>
        <w:rPr>
          <w:rFonts w:ascii="Verdana" w:eastAsia="Calibri" w:hAnsi="Verdana" w:cs="Arial"/>
        </w:rPr>
      </w:pPr>
      <w:r w:rsidRPr="00162725">
        <w:rPr>
          <w:rFonts w:ascii="Verdana" w:eastAsia="Calibri" w:hAnsi="Verdana" w:cs="Arial"/>
        </w:rPr>
        <w:t>Como se observa, el artículo citado señala que el consorcio o la unión temporal se da “[c]</w:t>
      </w:r>
      <w:proofErr w:type="spellStart"/>
      <w:r w:rsidRPr="00162725">
        <w:rPr>
          <w:rFonts w:ascii="Verdana" w:eastAsia="Calibri" w:hAnsi="Verdana" w:cs="Arial"/>
        </w:rPr>
        <w:t>uando</w:t>
      </w:r>
      <w:proofErr w:type="spellEnd"/>
      <w:r w:rsidRPr="00162725">
        <w:rPr>
          <w:rFonts w:ascii="Verdana" w:eastAsia="Calibri" w:hAnsi="Verdana" w:cs="Arial"/>
        </w:rPr>
        <w:t xml:space="preserve"> dos o más personas en forma conjunta presentan una misma propuesta para la adjudicación, celebración y ejecución de un contrato […]”. Desde esta perspectiva, su capacidad para participar en la adjudicación, celebración y ejecución de uno o varios contratos estatales, dependerá de dos aspectos: </w:t>
      </w:r>
      <w:r>
        <w:rPr>
          <w:rFonts w:ascii="Verdana" w:eastAsia="Calibri" w:hAnsi="Verdana" w:cs="Arial"/>
        </w:rPr>
        <w:t>(</w:t>
      </w:r>
      <w:r w:rsidRPr="00162725">
        <w:rPr>
          <w:rFonts w:ascii="Verdana" w:eastAsia="Calibri" w:hAnsi="Verdana" w:cs="Arial"/>
        </w:rPr>
        <w:t>i) que los integrantes de la estructural plural adopten la decisión conjunta de presentar una misma propuesta al proceso de selección</w:t>
      </w:r>
      <w:r>
        <w:rPr>
          <w:rFonts w:ascii="Verdana" w:eastAsia="Calibri" w:hAnsi="Verdana" w:cs="Arial"/>
        </w:rPr>
        <w:t>,</w:t>
      </w:r>
      <w:r w:rsidRPr="00162725">
        <w:rPr>
          <w:rFonts w:ascii="Verdana" w:eastAsia="Calibri" w:hAnsi="Verdana" w:cs="Arial"/>
        </w:rPr>
        <w:t xml:space="preserve"> y </w:t>
      </w:r>
      <w:r>
        <w:rPr>
          <w:rFonts w:ascii="Verdana" w:eastAsia="Calibri" w:hAnsi="Verdana" w:cs="Arial"/>
        </w:rPr>
        <w:t>(</w:t>
      </w:r>
      <w:proofErr w:type="spellStart"/>
      <w:r w:rsidRPr="00162725">
        <w:rPr>
          <w:rFonts w:ascii="Verdana" w:eastAsia="Calibri" w:hAnsi="Verdana" w:cs="Arial"/>
        </w:rPr>
        <w:t>ii</w:t>
      </w:r>
      <w:proofErr w:type="spellEnd"/>
      <w:r w:rsidRPr="00162725">
        <w:rPr>
          <w:rFonts w:ascii="Verdana" w:eastAsia="Calibri" w:hAnsi="Verdana" w:cs="Arial"/>
        </w:rPr>
        <w:t>) que el objeto del consorcio o unión temporal se encuentre alineado con las actividades a desarrollar en un determinado proceso</w:t>
      </w:r>
      <w:r>
        <w:rPr>
          <w:rFonts w:ascii="Verdana" w:eastAsia="Calibri" w:hAnsi="Verdana" w:cs="Arial"/>
        </w:rPr>
        <w:t>, de manera que les permita ejecutar el respectivo contrato</w:t>
      </w:r>
      <w:r w:rsidRPr="00162725">
        <w:rPr>
          <w:rFonts w:ascii="Verdana" w:eastAsia="Calibri" w:hAnsi="Verdana" w:cs="Arial"/>
        </w:rPr>
        <w:t>.</w:t>
      </w:r>
    </w:p>
    <w:p w14:paraId="56646DE6" w14:textId="77777777" w:rsidR="006A648E" w:rsidRPr="00AE129A" w:rsidRDefault="006A648E" w:rsidP="006A648E">
      <w:pPr>
        <w:spacing w:after="120" w:line="276" w:lineRule="auto"/>
        <w:ind w:firstLine="708"/>
        <w:jc w:val="both"/>
        <w:rPr>
          <w:rFonts w:ascii="Verdana" w:hAnsi="Verdana" w:cs="Arial"/>
          <w:color w:val="000000" w:themeColor="text1"/>
        </w:rPr>
      </w:pPr>
      <w:r>
        <w:rPr>
          <w:rFonts w:ascii="Verdana" w:eastAsia="Calibri" w:hAnsi="Verdana" w:cs="Arial"/>
        </w:rPr>
        <w:t>En este sentido, las estructuras plurales</w:t>
      </w:r>
      <w:r w:rsidRPr="003734FE">
        <w:rPr>
          <w:rFonts w:ascii="Verdana" w:eastAsia="Calibri" w:hAnsi="Verdana" w:cs="Arial"/>
        </w:rPr>
        <w:t xml:space="preserve"> son convenios de asociación provenientes de la colaboración empresarial, mediante los cuales sus integrantes se unen y se organizan mancomunadamente para lograr con mayor eficacia un fin común de contenido patrimonial y lucrativo, como lo es la obtención del derecho a ser adjudicatarios de un</w:t>
      </w:r>
      <w:r>
        <w:rPr>
          <w:rFonts w:ascii="Verdana" w:eastAsia="Calibri" w:hAnsi="Verdana" w:cs="Arial"/>
        </w:rPr>
        <w:t>o</w:t>
      </w:r>
      <w:r w:rsidRPr="003734FE">
        <w:rPr>
          <w:rFonts w:ascii="Verdana" w:eastAsia="Calibri" w:hAnsi="Verdana" w:cs="Arial"/>
        </w:rPr>
        <w:t xml:space="preserve"> o varios contratos estatales, compartiendo recursos, de toda índole, para su ejecución, así como las utilidades y los riesgos.</w:t>
      </w:r>
      <w:r>
        <w:rPr>
          <w:rFonts w:ascii="Verdana" w:eastAsia="Calibri" w:hAnsi="Verdana" w:cs="Arial"/>
        </w:rPr>
        <w:t xml:space="preserve"> </w:t>
      </w:r>
      <w:r w:rsidRPr="007D6693">
        <w:rPr>
          <w:rFonts w:ascii="Verdana" w:hAnsi="Verdana" w:cs="Arial"/>
          <w:color w:val="000000" w:themeColor="text1"/>
        </w:rPr>
        <w:t xml:space="preserve">La diferencia radica en la responsabilidad frente a las eventuales sanciones por el incumplimiento de las obligaciones, toda vez que tratándose de una unión temporal, estas se individualizan según la participación de sus miembros, mientras que en el consorcio los miembros responden solidariamente, con independencia de este aspecto.   </w:t>
      </w:r>
    </w:p>
    <w:p w14:paraId="65D9025E" w14:textId="77777777" w:rsidR="006A648E" w:rsidRDefault="006A648E" w:rsidP="006A648E">
      <w:pPr>
        <w:spacing w:after="120" w:line="276" w:lineRule="auto"/>
        <w:ind w:right="49" w:firstLine="708"/>
        <w:jc w:val="both"/>
        <w:rPr>
          <w:rFonts w:ascii="Verdana" w:hAnsi="Verdana" w:cs="Arial"/>
          <w:color w:val="000000" w:themeColor="text1"/>
        </w:rPr>
      </w:pPr>
      <w:r>
        <w:rPr>
          <w:rFonts w:ascii="Verdana" w:eastAsia="Calibri" w:hAnsi="Verdana" w:cs="Arial"/>
        </w:rPr>
        <w:t xml:space="preserve">Así, </w:t>
      </w:r>
      <w:r w:rsidRPr="003734FE">
        <w:rPr>
          <w:rFonts w:ascii="Verdana" w:eastAsia="Calibri" w:hAnsi="Verdana" w:cs="Arial"/>
        </w:rPr>
        <w:t xml:space="preserve">no existe impedimento o prohibición alguna que limite </w:t>
      </w:r>
      <w:r>
        <w:rPr>
          <w:rFonts w:ascii="Verdana" w:eastAsia="Calibri" w:hAnsi="Verdana" w:cs="Arial"/>
        </w:rPr>
        <w:t>la</w:t>
      </w:r>
      <w:r w:rsidRPr="003734FE">
        <w:rPr>
          <w:rFonts w:ascii="Verdana" w:eastAsia="Calibri" w:hAnsi="Verdana" w:cs="Arial"/>
        </w:rPr>
        <w:t xml:space="preserve"> actividad </w:t>
      </w:r>
      <w:r>
        <w:rPr>
          <w:rFonts w:ascii="Verdana" w:eastAsia="Calibri" w:hAnsi="Verdana" w:cs="Arial"/>
        </w:rPr>
        <w:t xml:space="preserve">de los consorcios o uniones temporales </w:t>
      </w:r>
      <w:r w:rsidRPr="003734FE">
        <w:rPr>
          <w:rFonts w:ascii="Verdana" w:eastAsia="Calibri" w:hAnsi="Verdana" w:cs="Arial"/>
        </w:rPr>
        <w:t>a un solo contrato</w:t>
      </w:r>
      <w:r>
        <w:rPr>
          <w:rFonts w:ascii="Verdana" w:eastAsia="Calibri" w:hAnsi="Verdana" w:cs="Arial"/>
        </w:rPr>
        <w:t xml:space="preserve">. En consecuencia, es </w:t>
      </w:r>
      <w:r>
        <w:rPr>
          <w:rFonts w:ascii="Verdana" w:eastAsia="Calibri" w:hAnsi="Verdana" w:cs="Arial"/>
        </w:rPr>
        <w:lastRenderedPageBreak/>
        <w:t xml:space="preserve">jurídicamente viable que </w:t>
      </w:r>
      <w:r>
        <w:rPr>
          <w:rFonts w:ascii="Verdana" w:eastAsia="Calibri" w:hAnsi="Verdana" w:cs="Arial"/>
          <w:lang w:val="es-ES" w:eastAsia="es-ES"/>
        </w:rPr>
        <w:t xml:space="preserve">los </w:t>
      </w:r>
      <w:r>
        <w:rPr>
          <w:rFonts w:ascii="Verdana" w:hAnsi="Verdana" w:cs="Arial"/>
          <w:color w:val="000000" w:themeColor="text1"/>
        </w:rPr>
        <w:t xml:space="preserve">proponentes plurales presenten </w:t>
      </w:r>
      <w:r w:rsidRPr="00B33BA7">
        <w:rPr>
          <w:rFonts w:ascii="Verdana" w:hAnsi="Verdana" w:cs="Arial"/>
          <w:color w:val="000000" w:themeColor="text1"/>
        </w:rPr>
        <w:t>propuesta</w:t>
      </w:r>
      <w:r>
        <w:rPr>
          <w:rFonts w:ascii="Verdana" w:hAnsi="Verdana" w:cs="Arial"/>
          <w:color w:val="000000" w:themeColor="text1"/>
        </w:rPr>
        <w:t>s</w:t>
      </w:r>
      <w:r w:rsidRPr="00B33BA7">
        <w:rPr>
          <w:rFonts w:ascii="Verdana" w:hAnsi="Verdana" w:cs="Arial"/>
          <w:color w:val="000000" w:themeColor="text1"/>
        </w:rPr>
        <w:t xml:space="preserve"> para la adjudicación, celebración y ejecución d</w:t>
      </w:r>
      <w:r>
        <w:rPr>
          <w:rFonts w:ascii="Verdana" w:hAnsi="Verdana" w:cs="Arial"/>
          <w:color w:val="000000" w:themeColor="text1"/>
        </w:rPr>
        <w:t xml:space="preserve">e contratos con </w:t>
      </w:r>
      <w:r w:rsidRPr="008706A7">
        <w:rPr>
          <w:rFonts w:ascii="Verdana" w:hAnsi="Verdana" w:cs="Arial"/>
          <w:i/>
          <w:iCs/>
          <w:color w:val="000000" w:themeColor="text1"/>
        </w:rPr>
        <w:t>una o varias</w:t>
      </w:r>
      <w:r>
        <w:rPr>
          <w:rFonts w:ascii="Verdana" w:hAnsi="Verdana" w:cs="Arial"/>
          <w:color w:val="000000" w:themeColor="text1"/>
        </w:rPr>
        <w:t xml:space="preserve"> entidades estatales. En este orden, las ofertas serán analizadas de acuerdo con los criterios habilitantes y factores de evaluación del pliego de condiciones o documento equivalente, en el marco de las reglas previstas en el Estatuto General de Contratación de la Administración Pública, sus normas complementarias y los reglamentos respectivos. </w:t>
      </w:r>
    </w:p>
    <w:p w14:paraId="513CCCFA" w14:textId="77777777" w:rsidR="006A648E" w:rsidRPr="00F238FB" w:rsidRDefault="006A648E" w:rsidP="006A648E">
      <w:pPr>
        <w:spacing w:after="120" w:line="276" w:lineRule="auto"/>
        <w:ind w:firstLine="708"/>
        <w:jc w:val="both"/>
        <w:rPr>
          <w:rFonts w:ascii="Verdana" w:hAnsi="Verdana" w:cs="Arial"/>
          <w:color w:val="000000" w:themeColor="text1"/>
        </w:rPr>
      </w:pPr>
      <w:r>
        <w:rPr>
          <w:rFonts w:ascii="Verdana" w:hAnsi="Verdana" w:cs="Arial"/>
          <w:color w:val="000000" w:themeColor="text1"/>
        </w:rPr>
        <w:t xml:space="preserve">Ahora bien, no será viable que los integrantes del proponente plural presenten ofertas de manera individual en la misma entidad o entidades donde ya han presentado oferta a través de un proponente plural, puesto que al momento de evaluación de ofertas, se evalúan los requisitos habilitantes de oferentes, y para el caso, se evalúan los aportes de manera individual de los integrantes del proponente plural, los cuales serán evaluados doblemente en caso que se presenten la situación, rompiendo con los principios de la contratación. </w:t>
      </w:r>
    </w:p>
    <w:p w14:paraId="24908430" w14:textId="77777777" w:rsidR="006A648E" w:rsidRPr="00EB0795" w:rsidRDefault="006A648E" w:rsidP="006A648E">
      <w:pPr>
        <w:spacing w:after="120" w:line="276" w:lineRule="auto"/>
        <w:ind w:right="49" w:firstLine="708"/>
        <w:jc w:val="both"/>
        <w:rPr>
          <w:rFonts w:ascii="Verdana" w:eastAsia="Calibri" w:hAnsi="Verdana" w:cs="Arial"/>
        </w:rPr>
      </w:pPr>
      <w:r w:rsidRPr="00BC6EBA">
        <w:rPr>
          <w:rFonts w:ascii="Verdana" w:hAnsi="Verdana" w:cs="Arial"/>
          <w:color w:val="000000" w:themeColor="text1"/>
        </w:rPr>
        <w:t>En todo caso, r</w:t>
      </w:r>
      <w:r w:rsidRPr="008368C0">
        <w:rPr>
          <w:rFonts w:ascii="Verdana" w:hAnsi="Verdana" w:cs="Arial"/>
          <w:color w:val="000000" w:themeColor="text1"/>
        </w:rPr>
        <w:t>esulta necesario indicar que el proponente plural deberá estar debidamente constituido dentro de cada uno de los procesos en que desee participar, es decir, es deber de los proponentes realizar la respectiva inscripción del proponente plural de manera individual a cada proceso en el que pretende postularse de acuerdo con las condiciones de uso del SECOP II.</w:t>
      </w:r>
      <w:r w:rsidRPr="00EB0795">
        <w:rPr>
          <w:rFonts w:ascii="Verdana" w:hAnsi="Verdana" w:cs="Arial"/>
          <w:color w:val="000000" w:themeColor="text1"/>
        </w:rPr>
        <w:t xml:space="preserve"> Considerando lo anterior, si un proponente plural desea participar nuevamente en un proceso de contratación desde la plataforma del SECOP II, tendrá que crear una nueva cuenta en la que cumpla los requisitos para su creación. Por consiguiente, deberá crear una nueva cuenta por cada proceso de contratación en el que participe, pues el sistema no permite que presentar ofertas en más de un proceso de contratación desde una misma cuenta</w:t>
      </w:r>
      <w:r>
        <w:rPr>
          <w:rFonts w:ascii="Verdana" w:hAnsi="Verdana" w:cs="Arial"/>
          <w:color w:val="000000" w:themeColor="text1"/>
        </w:rPr>
        <w:t>.</w:t>
      </w:r>
    </w:p>
    <w:p w14:paraId="572BF875" w14:textId="264F6BDE" w:rsidR="006A648E" w:rsidRDefault="006A648E" w:rsidP="006A648E">
      <w:pPr>
        <w:spacing w:after="120" w:line="276" w:lineRule="auto"/>
        <w:ind w:right="49" w:firstLine="708"/>
        <w:jc w:val="both"/>
        <w:rPr>
          <w:rFonts w:ascii="Verdana" w:eastAsia="Calibri" w:hAnsi="Verdana" w:cs="Arial"/>
        </w:rPr>
      </w:pPr>
      <w:r w:rsidRPr="004B2926">
        <w:rPr>
          <w:rFonts w:ascii="Verdana" w:eastAsia="Calibri" w:hAnsi="Verdana" w:cs="Arial"/>
        </w:rPr>
        <w:t>(</w:t>
      </w:r>
      <w:proofErr w:type="spellStart"/>
      <w:r w:rsidRPr="004B2926">
        <w:rPr>
          <w:rFonts w:ascii="Verdana" w:eastAsia="Calibri" w:hAnsi="Verdana" w:cs="Arial"/>
        </w:rPr>
        <w:t>ii</w:t>
      </w:r>
      <w:proofErr w:type="spellEnd"/>
      <w:r w:rsidRPr="004B2926">
        <w:rPr>
          <w:rFonts w:ascii="Verdana" w:eastAsia="Calibri" w:hAnsi="Verdana" w:cs="Arial"/>
        </w:rPr>
        <w:t xml:space="preserve">) </w:t>
      </w:r>
      <w:r>
        <w:rPr>
          <w:rFonts w:ascii="Verdana" w:eastAsia="Calibri" w:hAnsi="Verdana" w:cs="Arial"/>
        </w:rPr>
        <w:t>Con respecto al segundo problema jurídico planteado,</w:t>
      </w:r>
      <w:r w:rsidRPr="00BC6EBA">
        <w:rPr>
          <w:rFonts w:ascii="Verdana" w:eastAsia="Calibri" w:hAnsi="Verdana" w:cs="Arial"/>
        </w:rPr>
        <w:t xml:space="preserve"> </w:t>
      </w:r>
      <w:r w:rsidRPr="00EB0795">
        <w:rPr>
          <w:rFonts w:ascii="Verdana" w:eastAsia="Calibri" w:hAnsi="Verdana" w:cs="Arial"/>
        </w:rPr>
        <w:t xml:space="preserve">los consorcios y las uniones temporales </w:t>
      </w:r>
      <w:r>
        <w:rPr>
          <w:rFonts w:ascii="Verdana" w:eastAsia="Calibri" w:hAnsi="Verdana" w:cs="Arial"/>
        </w:rPr>
        <w:t xml:space="preserve">son </w:t>
      </w:r>
      <w:r w:rsidRPr="00EB0795">
        <w:rPr>
          <w:rFonts w:ascii="Verdana" w:eastAsia="Calibri" w:hAnsi="Verdana" w:cs="Arial"/>
        </w:rPr>
        <w:t xml:space="preserve">una creación de carácter convencional que se logra mediante un acuerdo de carácter privado en la que concurre la voluntad de los miembros. </w:t>
      </w:r>
      <w:r>
        <w:rPr>
          <w:rFonts w:ascii="Verdana" w:eastAsia="Calibri" w:hAnsi="Verdana" w:cs="Arial"/>
        </w:rPr>
        <w:t xml:space="preserve">En este sentido, es viable que sus miembros acuerden modificar el nombre, el porcentaje de participación y su composición para presentar propuesta en un proceso de contratación. Como se señaló antes, </w:t>
      </w:r>
      <w:r>
        <w:rPr>
          <w:rFonts w:ascii="Verdana" w:eastAsia="Verdana" w:hAnsi="Verdana" w:cs="Verdana"/>
        </w:rPr>
        <w:t xml:space="preserve">se trata de </w:t>
      </w:r>
      <w:r w:rsidRPr="008C48E3">
        <w:rPr>
          <w:rFonts w:ascii="Verdana" w:eastAsia="Verdana" w:hAnsi="Verdana" w:cs="Verdana"/>
        </w:rPr>
        <w:t xml:space="preserve">figuras asociativas cuya creación </w:t>
      </w:r>
      <w:r>
        <w:rPr>
          <w:rFonts w:ascii="Verdana" w:eastAsia="Verdana" w:hAnsi="Verdana" w:cs="Verdana"/>
        </w:rPr>
        <w:t xml:space="preserve">y características </w:t>
      </w:r>
      <w:r w:rsidRPr="008C48E3">
        <w:rPr>
          <w:rFonts w:ascii="Verdana" w:eastAsia="Verdana" w:hAnsi="Verdana" w:cs="Verdana"/>
        </w:rPr>
        <w:t>depende</w:t>
      </w:r>
      <w:r w:rsidR="0048690C">
        <w:rPr>
          <w:rFonts w:ascii="Verdana" w:eastAsia="Verdana" w:hAnsi="Verdana" w:cs="Verdana"/>
        </w:rPr>
        <w:t>n</w:t>
      </w:r>
      <w:r w:rsidRPr="008C48E3">
        <w:rPr>
          <w:rFonts w:ascii="Verdana" w:eastAsia="Verdana" w:hAnsi="Verdana" w:cs="Verdana"/>
        </w:rPr>
        <w:t xml:space="preserve"> de un acuerdo en el que concurre la voluntad de sus integrantes para regular</w:t>
      </w:r>
      <w:r>
        <w:rPr>
          <w:rFonts w:ascii="Verdana" w:eastAsia="Verdana" w:hAnsi="Verdana" w:cs="Verdana"/>
        </w:rPr>
        <w:t xml:space="preserve"> sus características y composición, con el objetivo de </w:t>
      </w:r>
      <w:r w:rsidRPr="008C48E3">
        <w:rPr>
          <w:rFonts w:ascii="Verdana" w:eastAsia="Verdana" w:hAnsi="Verdana" w:cs="Verdana"/>
        </w:rPr>
        <w:t>facilitar la organización de diversos miembros a efectos de presentar propuesta</w:t>
      </w:r>
      <w:r>
        <w:rPr>
          <w:rFonts w:ascii="Verdana" w:eastAsia="Verdana" w:hAnsi="Verdana" w:cs="Verdana"/>
        </w:rPr>
        <w:t xml:space="preserve"> en procesos de contratación, así como para </w:t>
      </w:r>
      <w:r w:rsidRPr="008C48E3">
        <w:rPr>
          <w:rFonts w:ascii="Verdana" w:eastAsia="Verdana" w:hAnsi="Verdana" w:cs="Verdana"/>
        </w:rPr>
        <w:lastRenderedPageBreak/>
        <w:t xml:space="preserve">celebrar y ejecutar </w:t>
      </w:r>
      <w:r>
        <w:rPr>
          <w:rFonts w:ascii="Verdana" w:eastAsia="Verdana" w:hAnsi="Verdana" w:cs="Verdana"/>
        </w:rPr>
        <w:t>contratos estatales. En consecuencia, el acuerdo de voluntades será suficiente para modificar sus condiciones y presentar propuesta en un proceso de contratación.</w:t>
      </w:r>
    </w:p>
    <w:p w14:paraId="4CE7843C" w14:textId="77777777" w:rsidR="006A648E" w:rsidRPr="003C2B43" w:rsidRDefault="006A648E" w:rsidP="006A648E">
      <w:pPr>
        <w:pStyle w:val="BodyText"/>
        <w:spacing w:before="1" w:line="276" w:lineRule="auto"/>
        <w:ind w:left="100" w:right="111" w:firstLine="608"/>
        <w:jc w:val="both"/>
        <w:rPr>
          <w:color w:val="000000" w:themeColor="text1"/>
        </w:rPr>
      </w:pPr>
      <w:r>
        <w:t>Sin embargo, es importante tener en cuenta el momento en el cual se pretenda modificar las condiciones del consorcio. Si el proponente plural se presentó a un proceso de contratación que aún se encuentra en curso, existen ciertos límites, pues el proponente no podrá</w:t>
      </w:r>
      <w:r w:rsidRPr="00984F15">
        <w:t xml:space="preserve">, de conformidad con el artículo 5 de la Ley 1882 de 2018, y en general del Estatuto General de Contratación </w:t>
      </w:r>
      <w:r>
        <w:t xml:space="preserve">de la Administración </w:t>
      </w:r>
      <w:r w:rsidRPr="00984F15">
        <w:t>Pública, modificar el porcentaje de participación o los miembros de un consorcio o una unión temporal</w:t>
      </w:r>
      <w:r>
        <w:t xml:space="preserve"> con posterioridad al cierre del proceso en curso. </w:t>
      </w:r>
      <w:r>
        <w:rPr>
          <w:color w:val="000000" w:themeColor="text1"/>
        </w:rPr>
        <w:t>P</w:t>
      </w:r>
      <w:r w:rsidRPr="003C2B43">
        <w:rPr>
          <w:color w:val="000000" w:themeColor="text1"/>
        </w:rPr>
        <w:t>or cierre del proceso debe entenderse el vencimiento del plazo para la presentación de las ofertas</w:t>
      </w:r>
      <w:r>
        <w:rPr>
          <w:rStyle w:val="FootnoteReference"/>
          <w:color w:val="000000" w:themeColor="text1"/>
        </w:rPr>
        <w:footnoteReference w:id="2"/>
      </w:r>
    </w:p>
    <w:p w14:paraId="68C8C291" w14:textId="77777777" w:rsidR="006A648E" w:rsidRPr="00B37E1A" w:rsidRDefault="006A648E" w:rsidP="006A648E">
      <w:pPr>
        <w:pStyle w:val="BodyText"/>
        <w:spacing w:before="120" w:after="120" w:line="276" w:lineRule="auto"/>
        <w:ind w:left="102" w:right="113" w:firstLine="607"/>
        <w:jc w:val="both"/>
        <w:rPr>
          <w:color w:val="000000" w:themeColor="text1"/>
        </w:rPr>
      </w:pPr>
      <w:r>
        <w:t>E</w:t>
      </w:r>
      <w:r w:rsidRPr="00477160">
        <w:t>s claro que la modificación del porcentaje de participación de los miembros de un consorcio o unión temporal, o de su conformación, no cabe en el ámbito de la subsanabilidad de la propuesta, sino en el de modificación de la misma.</w:t>
      </w:r>
      <w:r w:rsidRPr="00B37E1A">
        <w:rPr>
          <w:color w:val="000000" w:themeColor="text1"/>
        </w:rPr>
        <w:t xml:space="preserve"> </w:t>
      </w:r>
      <w:r w:rsidRPr="008359E0">
        <w:t xml:space="preserve">Variar </w:t>
      </w:r>
      <w:r>
        <w:t>este tipo de condiciones del proponente plural</w:t>
      </w:r>
      <w:r w:rsidRPr="008359E0">
        <w:t xml:space="preserve">, con posterioridad al cierre del proceso, </w:t>
      </w:r>
      <w:r>
        <w:t xml:space="preserve">no </w:t>
      </w:r>
      <w:r w:rsidRPr="008359E0">
        <w:t>es asunto subsanable, pues implica la modificación o mejoramiento de la oferta, circunstancia prohibida por el numeral 8 del artículo 30 de la Ley 80 de 1993 y por el artículo 5 de la Ley 1882 de 2018</w:t>
      </w:r>
      <w:r>
        <w:rPr>
          <w:rStyle w:val="FootnoteReference"/>
        </w:rPr>
        <w:footnoteReference w:id="3"/>
      </w:r>
      <w:r w:rsidRPr="008359E0">
        <w:t>.</w:t>
      </w:r>
      <w:r>
        <w:t xml:space="preserve"> Además, </w:t>
      </w:r>
      <w:r w:rsidRPr="003C2B43">
        <w:rPr>
          <w:color w:val="000000" w:themeColor="text1"/>
        </w:rPr>
        <w:t xml:space="preserve">en virtud del carácter serio e irrevocable de la oferta, </w:t>
      </w:r>
      <w:r>
        <w:rPr>
          <w:color w:val="000000" w:themeColor="text1"/>
        </w:rPr>
        <w:t xml:space="preserve">no es posible </w:t>
      </w:r>
      <w:r w:rsidRPr="003C2B43">
        <w:rPr>
          <w:color w:val="000000" w:themeColor="text1"/>
        </w:rPr>
        <w:t>que</w:t>
      </w:r>
      <w:r>
        <w:rPr>
          <w:color w:val="000000" w:themeColor="text1"/>
        </w:rPr>
        <w:t>,</w:t>
      </w:r>
      <w:r w:rsidRPr="003C2B43">
        <w:rPr>
          <w:color w:val="000000" w:themeColor="text1"/>
        </w:rPr>
        <w:t xml:space="preserve"> una vez propuestos los porcentajes de participación del consorcio o la unión temporal, el oferente pretenda modificarlos después del vencimiento del término para la presentación de</w:t>
      </w:r>
      <w:r w:rsidRPr="003C2B43">
        <w:rPr>
          <w:color w:val="000000" w:themeColor="text1"/>
          <w:spacing w:val="-4"/>
        </w:rPr>
        <w:t xml:space="preserve"> </w:t>
      </w:r>
      <w:r w:rsidRPr="003C2B43">
        <w:rPr>
          <w:color w:val="000000" w:themeColor="text1"/>
        </w:rPr>
        <w:t>ofertas,</w:t>
      </w:r>
      <w:r w:rsidRPr="003C2B43">
        <w:rPr>
          <w:color w:val="000000" w:themeColor="text1"/>
          <w:spacing w:val="-3"/>
        </w:rPr>
        <w:t xml:space="preserve"> </w:t>
      </w:r>
      <w:r w:rsidRPr="003C2B43">
        <w:rPr>
          <w:color w:val="000000" w:themeColor="text1"/>
        </w:rPr>
        <w:t>después</w:t>
      </w:r>
      <w:r w:rsidRPr="003C2B43">
        <w:rPr>
          <w:color w:val="000000" w:themeColor="text1"/>
          <w:spacing w:val="-3"/>
        </w:rPr>
        <w:t xml:space="preserve"> </w:t>
      </w:r>
      <w:r w:rsidRPr="003C2B43">
        <w:rPr>
          <w:color w:val="000000" w:themeColor="text1"/>
        </w:rPr>
        <w:t>de</w:t>
      </w:r>
      <w:r w:rsidRPr="003C2B43">
        <w:rPr>
          <w:color w:val="000000" w:themeColor="text1"/>
          <w:spacing w:val="-2"/>
        </w:rPr>
        <w:t xml:space="preserve"> </w:t>
      </w:r>
      <w:r w:rsidRPr="003C2B43">
        <w:rPr>
          <w:color w:val="000000" w:themeColor="text1"/>
        </w:rPr>
        <w:t>conocer</w:t>
      </w:r>
      <w:r w:rsidRPr="003C2B43">
        <w:rPr>
          <w:color w:val="000000" w:themeColor="text1"/>
          <w:spacing w:val="-5"/>
        </w:rPr>
        <w:t xml:space="preserve"> </w:t>
      </w:r>
      <w:r w:rsidRPr="003C2B43">
        <w:rPr>
          <w:color w:val="000000" w:themeColor="text1"/>
        </w:rPr>
        <w:t>las</w:t>
      </w:r>
      <w:r w:rsidRPr="003C2B43">
        <w:rPr>
          <w:color w:val="000000" w:themeColor="text1"/>
          <w:spacing w:val="-4"/>
        </w:rPr>
        <w:t xml:space="preserve"> </w:t>
      </w:r>
      <w:r w:rsidRPr="003C2B43">
        <w:rPr>
          <w:color w:val="000000" w:themeColor="text1"/>
        </w:rPr>
        <w:t>de</w:t>
      </w:r>
      <w:r w:rsidRPr="003C2B43">
        <w:rPr>
          <w:color w:val="000000" w:themeColor="text1"/>
          <w:spacing w:val="-4"/>
        </w:rPr>
        <w:t xml:space="preserve"> </w:t>
      </w:r>
      <w:r w:rsidRPr="003C2B43">
        <w:rPr>
          <w:color w:val="000000" w:themeColor="text1"/>
        </w:rPr>
        <w:t>los</w:t>
      </w:r>
      <w:r w:rsidRPr="003C2B43">
        <w:rPr>
          <w:color w:val="000000" w:themeColor="text1"/>
          <w:spacing w:val="-3"/>
        </w:rPr>
        <w:t xml:space="preserve"> </w:t>
      </w:r>
      <w:r w:rsidRPr="003C2B43">
        <w:rPr>
          <w:color w:val="000000" w:themeColor="text1"/>
        </w:rPr>
        <w:t>demás</w:t>
      </w:r>
      <w:r w:rsidRPr="003C2B43">
        <w:rPr>
          <w:color w:val="000000" w:themeColor="text1"/>
          <w:spacing w:val="-4"/>
        </w:rPr>
        <w:t xml:space="preserve"> </w:t>
      </w:r>
      <w:r w:rsidRPr="003C2B43">
        <w:rPr>
          <w:color w:val="000000" w:themeColor="text1"/>
        </w:rPr>
        <w:t>proponentes</w:t>
      </w:r>
      <w:r w:rsidRPr="003C2B43">
        <w:rPr>
          <w:color w:val="000000" w:themeColor="text1"/>
          <w:spacing w:val="-3"/>
        </w:rPr>
        <w:t xml:space="preserve"> </w:t>
      </w:r>
      <w:r>
        <w:rPr>
          <w:color w:val="000000" w:themeColor="text1"/>
        </w:rPr>
        <w:t>o</w:t>
      </w:r>
      <w:r w:rsidRPr="003C2B43">
        <w:rPr>
          <w:color w:val="000000" w:themeColor="text1"/>
          <w:spacing w:val="-6"/>
        </w:rPr>
        <w:t xml:space="preserve"> </w:t>
      </w:r>
      <w:r w:rsidRPr="003C2B43">
        <w:rPr>
          <w:color w:val="000000" w:themeColor="text1"/>
        </w:rPr>
        <w:t>el</w:t>
      </w:r>
      <w:r w:rsidRPr="003C2B43">
        <w:rPr>
          <w:color w:val="000000" w:themeColor="text1"/>
          <w:spacing w:val="-3"/>
        </w:rPr>
        <w:t xml:space="preserve"> </w:t>
      </w:r>
      <w:r w:rsidRPr="003C2B43">
        <w:rPr>
          <w:color w:val="000000" w:themeColor="text1"/>
        </w:rPr>
        <w:t>informe</w:t>
      </w:r>
      <w:r w:rsidRPr="003C2B43">
        <w:rPr>
          <w:color w:val="000000" w:themeColor="text1"/>
          <w:spacing w:val="-4"/>
        </w:rPr>
        <w:t xml:space="preserve"> </w:t>
      </w:r>
      <w:r w:rsidRPr="003C2B43">
        <w:rPr>
          <w:color w:val="000000" w:themeColor="text1"/>
        </w:rPr>
        <w:t>de</w:t>
      </w:r>
      <w:r w:rsidRPr="003C2B43">
        <w:rPr>
          <w:color w:val="000000" w:themeColor="text1"/>
          <w:spacing w:val="-4"/>
        </w:rPr>
        <w:t xml:space="preserve"> </w:t>
      </w:r>
      <w:r w:rsidRPr="003C2B43">
        <w:rPr>
          <w:color w:val="000000" w:themeColor="text1"/>
        </w:rPr>
        <w:t>evaluación.</w:t>
      </w:r>
    </w:p>
    <w:p w14:paraId="78DD2D88" w14:textId="77777777" w:rsidR="006A648E" w:rsidRDefault="006A648E" w:rsidP="006A648E">
      <w:pPr>
        <w:pStyle w:val="BodyText"/>
        <w:spacing w:before="120" w:after="120" w:line="276" w:lineRule="auto"/>
        <w:ind w:left="102" w:right="113" w:firstLine="607"/>
        <w:jc w:val="both"/>
        <w:rPr>
          <w:color w:val="000000" w:themeColor="text1"/>
        </w:rPr>
      </w:pPr>
      <w:r>
        <w:t xml:space="preserve">Específicamente frente a </w:t>
      </w:r>
      <w:r w:rsidRPr="00984F15">
        <w:t>la modificación del nombre del consorcio</w:t>
      </w:r>
      <w:r>
        <w:t>, esta Agencia ha sostenido que</w:t>
      </w:r>
      <w:r w:rsidRPr="00984F15">
        <w:t xml:space="preserve"> es jurídicamente </w:t>
      </w:r>
      <w:r>
        <w:t xml:space="preserve">viable, cuando esto se realice </w:t>
      </w:r>
      <w:r>
        <w:lastRenderedPageBreak/>
        <w:t>previo al cierre del proceso de contratación</w:t>
      </w:r>
      <w:r>
        <w:rPr>
          <w:rStyle w:val="FootnoteReference"/>
        </w:rPr>
        <w:footnoteReference w:id="4"/>
      </w:r>
      <w:r>
        <w:t>. N</w:t>
      </w:r>
      <w:r w:rsidRPr="008C48E3">
        <w:t xml:space="preserve">o obstante, </w:t>
      </w:r>
      <w:r>
        <w:t xml:space="preserve">es necesario tener </w:t>
      </w:r>
      <w:r w:rsidRPr="008C48E3">
        <w:t>presente</w:t>
      </w:r>
      <w:r>
        <w:t>s</w:t>
      </w:r>
      <w:r w:rsidRPr="008C48E3">
        <w:t xml:space="preserve"> los documentos que pueden llegar a verse eventualmente afectados por e</w:t>
      </w:r>
      <w:r>
        <w:t>l</w:t>
      </w:r>
      <w:r w:rsidRPr="008C48E3">
        <w:t xml:space="preserve"> cambio y que tienen incidencia directa en la oferta, como sería el caso de la garantía de seriedad de oferta, si ésta alcanzo a expedirse con </w:t>
      </w:r>
      <w:r>
        <w:t xml:space="preserve">las condiciones anteriores </w:t>
      </w:r>
      <w:r w:rsidRPr="008C48E3">
        <w:t>del proponente plural. Sobre el particular</w:t>
      </w:r>
      <w:r>
        <w:t>,</w:t>
      </w:r>
      <w:r w:rsidRPr="008C48E3">
        <w:t xml:space="preserve"> </w:t>
      </w:r>
      <w:r>
        <w:t xml:space="preserve">se reitera que los proponentes no podrán acreditar </w:t>
      </w:r>
      <w:r w:rsidRPr="008C48E3">
        <w:t>hechos que ocurrieron después del cierre del proceso.</w:t>
      </w:r>
      <w:r w:rsidRPr="00477160">
        <w:rPr>
          <w:color w:val="000000" w:themeColor="text1"/>
        </w:rPr>
        <w:t xml:space="preserve"> </w:t>
      </w:r>
    </w:p>
    <w:p w14:paraId="5828BA15" w14:textId="77777777" w:rsidR="006A648E" w:rsidRPr="008C48E3" w:rsidRDefault="006A648E" w:rsidP="006A648E">
      <w:pPr>
        <w:spacing w:before="120" w:after="120" w:line="276" w:lineRule="auto"/>
        <w:ind w:right="51" w:firstLine="709"/>
        <w:jc w:val="both"/>
        <w:rPr>
          <w:rFonts w:ascii="Verdana" w:eastAsia="Verdana" w:hAnsi="Verdana" w:cs="Verdana"/>
        </w:rPr>
      </w:pPr>
      <w:r>
        <w:rPr>
          <w:rFonts w:ascii="Verdana" w:eastAsia="Verdana" w:hAnsi="Verdana" w:cs="Verdana"/>
        </w:rPr>
        <w:t xml:space="preserve">De esta manera, </w:t>
      </w:r>
      <w:r w:rsidRPr="00984F15">
        <w:rPr>
          <w:rFonts w:ascii="Verdana" w:eastAsia="Verdana" w:hAnsi="Verdana" w:cs="Verdana"/>
        </w:rPr>
        <w:t>si el consorcio ha presentado una oferta en otro proceso</w:t>
      </w:r>
      <w:r>
        <w:rPr>
          <w:rFonts w:ascii="Verdana" w:eastAsia="Verdana" w:hAnsi="Verdana" w:cs="Verdana"/>
        </w:rPr>
        <w:t xml:space="preserve"> que se encuentra en curso </w:t>
      </w:r>
      <w:r w:rsidRPr="00984F15">
        <w:rPr>
          <w:rFonts w:ascii="Verdana" w:eastAsia="Verdana" w:hAnsi="Verdana" w:cs="Verdana"/>
        </w:rPr>
        <w:t xml:space="preserve">no podrá </w:t>
      </w:r>
      <w:r>
        <w:rPr>
          <w:rFonts w:ascii="Verdana" w:eastAsia="Verdana" w:hAnsi="Verdana" w:cs="Verdana"/>
        </w:rPr>
        <w:t xml:space="preserve">modificar la condiciones del proponente plural para </w:t>
      </w:r>
      <w:r w:rsidRPr="00984F15">
        <w:rPr>
          <w:rFonts w:ascii="Verdana" w:eastAsia="Verdana" w:hAnsi="Verdana" w:cs="Verdana"/>
        </w:rPr>
        <w:t>presentarse a otro.</w:t>
      </w:r>
      <w:r>
        <w:rPr>
          <w:rFonts w:ascii="Verdana" w:eastAsia="Verdana" w:hAnsi="Verdana" w:cs="Verdana"/>
        </w:rPr>
        <w:t xml:space="preserve"> Sin embargo, una vez finalizado el proceso, siempre que no resulte adjudicatario</w:t>
      </w:r>
      <w:r w:rsidRPr="00984F15">
        <w:rPr>
          <w:rFonts w:ascii="Verdana" w:eastAsia="Verdana" w:hAnsi="Verdana" w:cs="Verdana"/>
        </w:rPr>
        <w:t xml:space="preserve">, </w:t>
      </w:r>
      <w:r>
        <w:rPr>
          <w:rFonts w:ascii="Verdana" w:eastAsia="Verdana" w:hAnsi="Verdana" w:cs="Verdana"/>
        </w:rPr>
        <w:t xml:space="preserve">el consorcio </w:t>
      </w:r>
      <w:r w:rsidRPr="00984F15">
        <w:rPr>
          <w:rFonts w:ascii="Verdana" w:eastAsia="Verdana" w:hAnsi="Verdana" w:cs="Verdana"/>
        </w:rPr>
        <w:t xml:space="preserve">podrá </w:t>
      </w:r>
      <w:r>
        <w:rPr>
          <w:rFonts w:ascii="Verdana" w:eastAsia="Verdana" w:hAnsi="Verdana" w:cs="Verdana"/>
        </w:rPr>
        <w:t>modificar condiciones como el nombre, el porcentaje de participación o los integrantes para</w:t>
      </w:r>
      <w:r w:rsidRPr="00984F15">
        <w:rPr>
          <w:rFonts w:ascii="Verdana" w:eastAsia="Verdana" w:hAnsi="Verdana" w:cs="Verdana"/>
        </w:rPr>
        <w:t xml:space="preserve"> presentar</w:t>
      </w:r>
      <w:r>
        <w:rPr>
          <w:rFonts w:ascii="Verdana" w:eastAsia="Verdana" w:hAnsi="Verdana" w:cs="Verdana"/>
        </w:rPr>
        <w:t xml:space="preserve"> oferta</w:t>
      </w:r>
      <w:r w:rsidRPr="00984F15">
        <w:rPr>
          <w:rFonts w:ascii="Verdana" w:eastAsia="Verdana" w:hAnsi="Verdana" w:cs="Verdana"/>
        </w:rPr>
        <w:t xml:space="preserve"> </w:t>
      </w:r>
      <w:r>
        <w:rPr>
          <w:rFonts w:ascii="Verdana" w:eastAsia="Verdana" w:hAnsi="Verdana" w:cs="Verdana"/>
        </w:rPr>
        <w:t>en un</w:t>
      </w:r>
      <w:r w:rsidRPr="00984F15">
        <w:rPr>
          <w:rFonts w:ascii="Verdana" w:eastAsia="Verdana" w:hAnsi="Verdana" w:cs="Verdana"/>
        </w:rPr>
        <w:t xml:space="preserve"> proceso </w:t>
      </w:r>
      <w:r>
        <w:rPr>
          <w:rFonts w:ascii="Verdana" w:eastAsia="Verdana" w:hAnsi="Verdana" w:cs="Verdana"/>
        </w:rPr>
        <w:t xml:space="preserve">de contratación </w:t>
      </w:r>
      <w:r w:rsidRPr="00984F15">
        <w:rPr>
          <w:rFonts w:ascii="Verdana" w:eastAsia="Verdana" w:hAnsi="Verdana" w:cs="Verdana"/>
        </w:rPr>
        <w:t>distinto</w:t>
      </w:r>
      <w:r>
        <w:rPr>
          <w:rFonts w:ascii="Verdana" w:eastAsia="Verdana" w:hAnsi="Verdana" w:cs="Verdana"/>
        </w:rPr>
        <w:t xml:space="preserve">. De cualquier manera, es </w:t>
      </w:r>
      <w:r>
        <w:rPr>
          <w:rFonts w:ascii="Verdana" w:hAnsi="Verdana" w:cs="Arial"/>
          <w:color w:val="000000" w:themeColor="text1"/>
        </w:rPr>
        <w:t>i</w:t>
      </w:r>
      <w:r w:rsidRPr="006B4D4E">
        <w:rPr>
          <w:rFonts w:ascii="Verdana" w:hAnsi="Verdana" w:cs="Arial"/>
          <w:color w:val="000000" w:themeColor="text1"/>
        </w:rPr>
        <w:t>mportante analizar las normas específicas de cada proceso de contratación y las restricciones que puedan aplicar en términos de integridad, conflicto de interés o competencia desleal. Estas disposiciones pueden variar según la entidad contratante y el tipo de proceso</w:t>
      </w:r>
      <w:r>
        <w:rPr>
          <w:rFonts w:ascii="Verdana" w:hAnsi="Verdana" w:cs="Arial"/>
          <w:color w:val="000000" w:themeColor="text1"/>
        </w:rPr>
        <w:t xml:space="preserve"> contractual al cual se presente propuesta como proponente plural.</w:t>
      </w:r>
    </w:p>
    <w:p w14:paraId="2D77A540" w14:textId="77777777" w:rsidR="006A648E" w:rsidRPr="00573C59" w:rsidRDefault="006A648E" w:rsidP="006A648E">
      <w:pPr>
        <w:spacing w:after="120" w:line="276" w:lineRule="auto"/>
        <w:jc w:val="both"/>
        <w:rPr>
          <w:rFonts w:ascii="Verdana" w:eastAsia="Century Gothic" w:hAnsi="Verdana" w:cs="Century Gothic"/>
        </w:rPr>
      </w:pPr>
      <w:r>
        <w:rPr>
          <w:rFonts w:ascii="Verdana" w:eastAsia="Verdana" w:hAnsi="Verdana" w:cs="Verdana"/>
        </w:rPr>
        <w:t>(</w:t>
      </w:r>
      <w:proofErr w:type="spellStart"/>
      <w:r>
        <w:rPr>
          <w:rFonts w:ascii="Verdana" w:eastAsia="Verdana" w:hAnsi="Verdana" w:cs="Verdana"/>
        </w:rPr>
        <w:t>iii</w:t>
      </w:r>
      <w:proofErr w:type="spellEnd"/>
      <w:r>
        <w:rPr>
          <w:rFonts w:ascii="Verdana" w:eastAsia="Verdana" w:hAnsi="Verdana" w:cs="Verdana"/>
        </w:rPr>
        <w:t xml:space="preserve">) Finalmente, es importante resaltar que </w:t>
      </w:r>
      <w:r>
        <w:rPr>
          <w:rFonts w:ascii="Verdana" w:eastAsia="Century Gothic" w:hAnsi="Verdana" w:cs="Century Gothic"/>
        </w:rPr>
        <w:t>l</w:t>
      </w:r>
      <w:r w:rsidRPr="00573C59">
        <w:rPr>
          <w:rFonts w:ascii="Verdana" w:eastAsia="Century Gothic" w:hAnsi="Verdana" w:cs="Century Gothic"/>
        </w:rPr>
        <w:t xml:space="preserve">as causales de rechazo son las establecidas en la ley y las fijadas por la Entidad Estatal en los pliegos de condiciones. No obstante, en el ejercicio de </w:t>
      </w:r>
      <w:r>
        <w:rPr>
          <w:rFonts w:ascii="Verdana" w:eastAsia="Century Gothic" w:hAnsi="Verdana" w:cs="Century Gothic"/>
        </w:rPr>
        <w:t>esta</w:t>
      </w:r>
      <w:r w:rsidRPr="00573C59">
        <w:rPr>
          <w:rFonts w:ascii="Verdana" w:eastAsia="Century Gothic" w:hAnsi="Verdana" w:cs="Century Gothic"/>
        </w:rPr>
        <w:t xml:space="preserve"> facultad las entidades no </w:t>
      </w:r>
      <w:r>
        <w:rPr>
          <w:rFonts w:ascii="Verdana" w:eastAsia="Century Gothic" w:hAnsi="Verdana" w:cs="Century Gothic"/>
        </w:rPr>
        <w:t xml:space="preserve">deben </w:t>
      </w:r>
      <w:r w:rsidRPr="00573C59">
        <w:rPr>
          <w:rFonts w:ascii="Verdana" w:eastAsia="Century Gothic" w:hAnsi="Verdana" w:cs="Century Gothic"/>
        </w:rPr>
        <w:t>establecer causales de rechazo que afecten la selección objetiva en la contratación. Sobre el particular, el Consejo de Estado</w:t>
      </w:r>
      <w:r>
        <w:rPr>
          <w:rStyle w:val="FootnoteReference"/>
          <w:rFonts w:ascii="Verdana" w:eastAsia="Century Gothic" w:hAnsi="Verdana" w:cs="Century Gothic"/>
        </w:rPr>
        <w:footnoteReference w:id="5"/>
      </w:r>
      <w:r w:rsidRPr="00573C59">
        <w:rPr>
          <w:rFonts w:ascii="Verdana" w:eastAsia="Century Gothic" w:hAnsi="Verdana" w:cs="Century Gothic"/>
        </w:rPr>
        <w:t xml:space="preserve"> señala:</w:t>
      </w:r>
    </w:p>
    <w:p w14:paraId="620B581F" w14:textId="77777777" w:rsidR="006A648E" w:rsidRPr="00C3173B" w:rsidRDefault="006A648E" w:rsidP="006A648E">
      <w:pPr>
        <w:spacing w:after="120" w:line="240" w:lineRule="auto"/>
        <w:ind w:left="567" w:right="616"/>
        <w:jc w:val="both"/>
        <w:rPr>
          <w:rFonts w:ascii="Verdana" w:eastAsia="Calibri" w:hAnsi="Verdana" w:cs="Arial"/>
          <w:sz w:val="21"/>
          <w:szCs w:val="21"/>
        </w:rPr>
      </w:pPr>
      <w:r w:rsidRPr="00573C59">
        <w:rPr>
          <w:rFonts w:ascii="Verdana" w:eastAsia="Century Gothic" w:hAnsi="Verdana" w:cs="Century Gothic"/>
        </w:rPr>
        <w:t>“</w:t>
      </w:r>
      <w:r w:rsidRPr="00C3173B">
        <w:rPr>
          <w:rFonts w:ascii="Verdana" w:eastAsia="Calibri" w:hAnsi="Verdana" w:cs="Arial"/>
          <w:sz w:val="21"/>
          <w:szCs w:val="21"/>
        </w:rPr>
        <w:t xml:space="preserve">Quiere con esto destacar la Sala que las causales de rechazo de las propuestas pueden ser legales y por lo mismo generan el efecto del descarte o exclusión de la oferta </w:t>
      </w:r>
      <w:proofErr w:type="spellStart"/>
      <w:r w:rsidRPr="00C3173B">
        <w:rPr>
          <w:rFonts w:ascii="Verdana" w:eastAsia="Calibri" w:hAnsi="Verdana" w:cs="Arial"/>
          <w:sz w:val="21"/>
          <w:szCs w:val="21"/>
        </w:rPr>
        <w:t>ope</w:t>
      </w:r>
      <w:proofErr w:type="spellEnd"/>
      <w:r w:rsidRPr="00C3173B">
        <w:rPr>
          <w:rFonts w:ascii="Verdana" w:eastAsia="Calibri" w:hAnsi="Verdana" w:cs="Arial"/>
          <w:sz w:val="21"/>
          <w:szCs w:val="21"/>
        </w:rPr>
        <w:t xml:space="preserve"> </w:t>
      </w:r>
      <w:proofErr w:type="spellStart"/>
      <w:r w:rsidRPr="00C3173B">
        <w:rPr>
          <w:rFonts w:ascii="Verdana" w:eastAsia="Calibri" w:hAnsi="Verdana" w:cs="Arial"/>
          <w:sz w:val="21"/>
          <w:szCs w:val="21"/>
        </w:rPr>
        <w:t>legis</w:t>
      </w:r>
      <w:proofErr w:type="spellEnd"/>
      <w:r w:rsidRPr="00C3173B">
        <w:rPr>
          <w:rFonts w:ascii="Verdana" w:eastAsia="Calibri" w:hAnsi="Verdana" w:cs="Arial"/>
          <w:sz w:val="21"/>
          <w:szCs w:val="21"/>
        </w:rPr>
        <w:t xml:space="preserve">,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 transparencia, economía y </w:t>
      </w:r>
      <w:r w:rsidRPr="00C3173B">
        <w:rPr>
          <w:rFonts w:ascii="Verdana" w:eastAsia="Calibri" w:hAnsi="Verdana" w:cs="Arial"/>
          <w:sz w:val="21"/>
          <w:szCs w:val="21"/>
        </w:rPr>
        <w:lastRenderedPageBreak/>
        <w:t>responsabilidad, así como el deber de selección objetiva en la contratación.”</w:t>
      </w:r>
    </w:p>
    <w:p w14:paraId="68408F3A" w14:textId="77777777" w:rsidR="006A648E" w:rsidRDefault="006A648E" w:rsidP="006A648E">
      <w:pPr>
        <w:spacing w:after="120" w:line="276" w:lineRule="auto"/>
        <w:jc w:val="both"/>
        <w:rPr>
          <w:rFonts w:ascii="Verdana" w:eastAsia="Century Gothic" w:hAnsi="Verdana" w:cs="Century Gothic"/>
        </w:rPr>
      </w:pPr>
      <w:r w:rsidRPr="00573C59">
        <w:rPr>
          <w:rFonts w:ascii="Verdana" w:eastAsia="Century Gothic" w:hAnsi="Verdana" w:cs="Century Gothic"/>
        </w:rPr>
        <w:t>De igual forma, esta Agencia ha reiterado la postura del Consejo de Estado, según la cual, por l</w:t>
      </w:r>
      <w:r>
        <w:rPr>
          <w:rFonts w:ascii="Verdana" w:eastAsia="Century Gothic" w:hAnsi="Verdana" w:cs="Century Gothic"/>
        </w:rPr>
        <w:t>a</w:t>
      </w:r>
      <w:r w:rsidRPr="00573C59">
        <w:rPr>
          <w:rFonts w:ascii="Verdana" w:eastAsia="Century Gothic" w:hAnsi="Verdana" w:cs="Century Gothic"/>
        </w:rPr>
        <w:t xml:space="preserve"> naturaleza propia de las causales de rechazo, su aplicación</w:t>
      </w:r>
      <w:r>
        <w:rPr>
          <w:rFonts w:ascii="Verdana" w:eastAsia="Century Gothic" w:hAnsi="Verdana" w:cs="Century Gothic"/>
        </w:rPr>
        <w:t xml:space="preserve"> </w:t>
      </w:r>
      <w:r w:rsidRPr="00573C59">
        <w:rPr>
          <w:rFonts w:ascii="Verdana" w:eastAsia="Century Gothic" w:hAnsi="Verdana" w:cs="Century Gothic"/>
        </w:rPr>
        <w:t>es estricta y restrictiva, lo que significa que su interpretación gramatical prevalece sobre una interpretación extensiva o de otra índole, mediante la cual se pretenda ampliar su alcance. Al respecto, el Consejo de Estado</w:t>
      </w:r>
      <w:r>
        <w:rPr>
          <w:rStyle w:val="FootnoteReference"/>
          <w:rFonts w:ascii="Verdana" w:eastAsia="Century Gothic" w:hAnsi="Verdana" w:cs="Century Gothic"/>
        </w:rPr>
        <w:footnoteReference w:id="6"/>
      </w:r>
      <w:r w:rsidRPr="00573C59">
        <w:rPr>
          <w:rFonts w:ascii="Verdana" w:eastAsia="Century Gothic" w:hAnsi="Verdana" w:cs="Century Gothic"/>
        </w:rPr>
        <w:t xml:space="preserve"> sostuvo:</w:t>
      </w:r>
    </w:p>
    <w:p w14:paraId="0FC3887A" w14:textId="77777777" w:rsidR="006A648E" w:rsidRPr="007B707A" w:rsidRDefault="006A648E" w:rsidP="006A648E">
      <w:pPr>
        <w:tabs>
          <w:tab w:val="left" w:pos="8222"/>
        </w:tabs>
        <w:spacing w:after="120" w:line="240" w:lineRule="auto"/>
        <w:ind w:left="567" w:right="616"/>
        <w:jc w:val="both"/>
        <w:rPr>
          <w:rFonts w:ascii="Verdana" w:eastAsia="Calibri" w:hAnsi="Verdana" w:cs="Arial"/>
          <w:sz w:val="21"/>
          <w:szCs w:val="21"/>
        </w:rPr>
      </w:pPr>
      <w:r w:rsidRPr="00573C59">
        <w:rPr>
          <w:rFonts w:ascii="Verdana" w:eastAsia="Century Gothic" w:hAnsi="Verdana" w:cs="Century Gothic"/>
        </w:rPr>
        <w:t>“</w:t>
      </w:r>
      <w:r w:rsidRPr="007B707A">
        <w:rPr>
          <w:rFonts w:ascii="Verdana" w:eastAsia="Calibri" w:hAnsi="Verdana" w:cs="Arial"/>
          <w:sz w:val="21"/>
          <w:szCs w:val="21"/>
        </w:rPr>
        <w:t>En esta línea de pensamiento, resulta claro que el rechazo o la descalificación de ofertas no puede depender de la libre discrecionalidad de la administración, en la medida en que el oferente, por el hecho de participar en el proceso licitatorio,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5B577315" w14:textId="77777777" w:rsidR="006A648E" w:rsidRPr="00143B1F" w:rsidRDefault="006A648E" w:rsidP="006A648E">
      <w:pPr>
        <w:spacing w:after="0" w:line="276" w:lineRule="auto"/>
        <w:ind w:firstLine="567"/>
        <w:jc w:val="both"/>
        <w:rPr>
          <w:rFonts w:ascii="Verdana" w:eastAsia="Calibri" w:hAnsi="Verdana" w:cs="Arial"/>
          <w:kern w:val="2"/>
          <w:lang w:val="es-ES_tradnl"/>
          <w14:ligatures w14:val="standardContextual"/>
        </w:rPr>
      </w:pPr>
      <w:r w:rsidRPr="00F217FD">
        <w:rPr>
          <w:rFonts w:ascii="Verdana" w:eastAsia="Calibri" w:hAnsi="Verdana" w:cs="Arial"/>
          <w:kern w:val="2"/>
          <w:lang w:val="es-ES_tradnl"/>
          <w14:ligatures w14:val="standardContextual"/>
        </w:rPr>
        <w:t>De igual forma, esta Agencia ha reiterado la postura del Consejo de Estado, según la cual, por la naturaleza propia de las causales de rechazo, su aplicación es estricta y restrictiva, lo que significa que su interpretación gramatical prevalece sobre una interpretación extensiva o de otra índole, mediante la cual se pretenda ampliar su alcance. Al respecto, el Consejo de Estado</w:t>
      </w:r>
      <w:r w:rsidRPr="00F217FD">
        <w:rPr>
          <w:rFonts w:ascii="Aptos" w:eastAsia="Aptos" w:hAnsi="Aptos" w:cs="Times New Roman"/>
          <w:i/>
          <w:kern w:val="2"/>
          <w:sz w:val="24"/>
          <w:szCs w:val="24"/>
          <w:vertAlign w:val="superscript"/>
          <w:lang w:val="es-ES_tradnl"/>
          <w14:ligatures w14:val="standardContextual"/>
        </w:rPr>
        <w:footnoteReference w:id="7"/>
      </w:r>
      <w:r w:rsidRPr="00F217FD">
        <w:rPr>
          <w:rFonts w:ascii="Verdana" w:eastAsia="Calibri" w:hAnsi="Verdana" w:cs="Arial"/>
          <w:kern w:val="2"/>
          <w:lang w:val="es-ES_tradnl"/>
          <w14:ligatures w14:val="standardContextual"/>
        </w:rPr>
        <w:t xml:space="preserve"> sostuvo: </w:t>
      </w:r>
    </w:p>
    <w:p w14:paraId="44E6C066" w14:textId="77777777" w:rsidR="006A648E" w:rsidRPr="00143B1F" w:rsidRDefault="006A648E" w:rsidP="006A648E">
      <w:pPr>
        <w:spacing w:before="120" w:after="120" w:line="240" w:lineRule="auto"/>
        <w:ind w:left="709" w:right="616"/>
        <w:jc w:val="both"/>
        <w:rPr>
          <w:rFonts w:ascii="Verdana" w:eastAsia="Times New Roman" w:hAnsi="Verdana" w:cs="Arial"/>
          <w:bCs/>
          <w:iCs/>
          <w:kern w:val="2"/>
          <w:sz w:val="21"/>
          <w:szCs w:val="21"/>
          <w:lang w:val="es-ES_tradnl" w:eastAsia="es-MX"/>
          <w14:ligatures w14:val="standardContextual"/>
        </w:rPr>
      </w:pPr>
      <w:r w:rsidRPr="00F217FD">
        <w:rPr>
          <w:rFonts w:ascii="Verdana" w:eastAsia="Times New Roman" w:hAnsi="Verdana" w:cs="Arial"/>
          <w:bCs/>
          <w:iCs/>
          <w:kern w:val="2"/>
          <w:sz w:val="21"/>
          <w:szCs w:val="21"/>
          <w:lang w:val="es-ES_tradnl" w:eastAsia="es-MX"/>
          <w14:ligatures w14:val="standardContextual"/>
        </w:rPr>
        <w:t xml:space="preserve">“En esta línea de pensamiento, resulta claro que el rechazo o la descalificación de ofertas no puede depender de la libre discrecionalidad de la administración, en la medida en que el oferente, por el hecho de participar en el proceso licitatorio,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w:t>
      </w:r>
      <w:r w:rsidRPr="00F217FD">
        <w:rPr>
          <w:rFonts w:ascii="Verdana" w:eastAsia="Times New Roman" w:hAnsi="Verdana" w:cs="Arial"/>
          <w:bCs/>
          <w:iCs/>
          <w:kern w:val="2"/>
          <w:sz w:val="21"/>
          <w:szCs w:val="21"/>
          <w:lang w:val="es-ES_tradnl" w:eastAsia="es-MX"/>
          <w14:ligatures w14:val="standardContextual"/>
        </w:rPr>
        <w:lastRenderedPageBreak/>
        <w:t>establecidas en la ley,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636FE5BD" w14:textId="77777777" w:rsidR="006A648E" w:rsidRDefault="006A648E" w:rsidP="006A648E">
      <w:pPr>
        <w:spacing w:before="120" w:after="120" w:line="276" w:lineRule="auto"/>
        <w:ind w:firstLine="708"/>
        <w:jc w:val="both"/>
        <w:rPr>
          <w:rFonts w:ascii="Verdana" w:eastAsia="Calibri" w:hAnsi="Verdana" w:cs="Arial"/>
          <w:kern w:val="2"/>
          <w:lang w:val="es-ES"/>
          <w14:ligatures w14:val="standardContextual"/>
        </w:rPr>
      </w:pPr>
      <w:r w:rsidRPr="0594F8A8">
        <w:rPr>
          <w:rFonts w:ascii="Verdana" w:eastAsia="Calibri" w:hAnsi="Verdana" w:cs="Arial"/>
          <w:kern w:val="2"/>
          <w:lang w:val="es-ES"/>
          <w14:ligatures w14:val="standardContextual"/>
        </w:rPr>
        <w:t>Por lo expuesto, las causales de rechazo deben estar necesariamente nominadas en la Ley o en el pliego de condiciones, y no puede realizarse, frente a su redacción, ninguna interpretación extensiva. Por esta razón si el Estatuto General de Contratación de la Administración Pública o el pliego de condiciones no establecen de manera literal una causal de rechazo, en los términos expuestos, no podrán rechazarse las propuestas.</w:t>
      </w:r>
    </w:p>
    <w:p w14:paraId="56CD77F3" w14:textId="77777777" w:rsidR="006A648E" w:rsidRDefault="006A648E" w:rsidP="006A648E">
      <w:pPr>
        <w:spacing w:before="120" w:after="120" w:line="276" w:lineRule="auto"/>
        <w:ind w:firstLine="708"/>
        <w:jc w:val="both"/>
        <w:rPr>
          <w:rFonts w:ascii="Verdana" w:eastAsia="Calibri" w:hAnsi="Verdana" w:cs="Arial"/>
          <w:kern w:val="2"/>
          <w:lang w:val="es-ES"/>
          <w14:ligatures w14:val="standardContextual"/>
        </w:rPr>
      </w:pPr>
      <w:r w:rsidRPr="00F217FD">
        <w:rPr>
          <w:rFonts w:ascii="Verdana" w:eastAsia="Arial" w:hAnsi="Verdana" w:cs="Arial"/>
          <w:color w:val="000000"/>
          <w:kern w:val="2"/>
          <w14:ligatures w14:val="standardContextual"/>
        </w:rPr>
        <w:t xml:space="preserve">Por otra parte, es importante señalar que, uno de los principios transversales de los procedimientos de selección es el de </w:t>
      </w:r>
      <w:r w:rsidRPr="00F217FD">
        <w:rPr>
          <w:rFonts w:ascii="Verdana" w:eastAsia="Arial" w:hAnsi="Verdana" w:cs="Arial"/>
          <w:i/>
          <w:color w:val="000000"/>
          <w:kern w:val="2"/>
          <w14:ligatures w14:val="standardContextual"/>
        </w:rPr>
        <w:t>selección objetiva</w:t>
      </w:r>
      <w:r w:rsidRPr="00F217FD">
        <w:rPr>
          <w:rFonts w:ascii="Verdana" w:eastAsia="Arial" w:hAnsi="Verdana" w:cs="Arial"/>
          <w:color w:val="000000"/>
          <w:kern w:val="2"/>
          <w14:ligatures w14:val="standardContextual"/>
        </w:rPr>
        <w:t>. Se trata del postulado que exige que la escogencia de la oferta ganadora deba fundamentarse en factores objetivos, de carácter técnico, jurídico y financiero, y no en criterios subjetivos, como el afecto, la amistad, el ánimo de ayuda, el interés personal, etc. Si bien dentro de la historia de la contratación pública en Colombia se vislumbran antecedentes normativos que consagraban dicho principio</w:t>
      </w:r>
      <w:r w:rsidRPr="00F217FD">
        <w:rPr>
          <w:rFonts w:ascii="Aptos" w:eastAsia="Aptos" w:hAnsi="Aptos" w:cs="Times New Roman"/>
          <w:kern w:val="2"/>
          <w:sz w:val="24"/>
          <w:szCs w:val="24"/>
          <w:vertAlign w:val="superscript"/>
          <w14:ligatures w14:val="standardContextual"/>
        </w:rPr>
        <w:footnoteReference w:id="8"/>
      </w:r>
      <w:r w:rsidRPr="00F217FD">
        <w:rPr>
          <w:rFonts w:ascii="Verdana" w:eastAsia="Arial" w:hAnsi="Verdana" w:cs="Arial"/>
          <w:color w:val="000000"/>
          <w:kern w:val="2"/>
          <w14:ligatures w14:val="standardContextual"/>
        </w:rPr>
        <w:t>, en la actualidad la disposición legal que lo prevé de manera más clara y contundente es el artículo 5 de la Ley 1150 de 2007, modificado por el artículo 88 de la Ley 1474 de 2011 y por el artículo 5 de la Ley 1882 de 2018.</w:t>
      </w:r>
    </w:p>
    <w:p w14:paraId="237F7B86" w14:textId="77777777" w:rsidR="006A648E" w:rsidRDefault="006A648E" w:rsidP="006A648E">
      <w:pPr>
        <w:spacing w:before="120" w:after="120" w:line="276" w:lineRule="auto"/>
        <w:ind w:firstLine="708"/>
        <w:jc w:val="both"/>
        <w:rPr>
          <w:rFonts w:ascii="Verdana" w:eastAsia="Calibri" w:hAnsi="Verdana" w:cs="Arial"/>
          <w:kern w:val="2"/>
          <w:lang w:val="es-ES"/>
          <w14:ligatures w14:val="standardContextual"/>
        </w:rPr>
      </w:pPr>
      <w:r w:rsidRPr="00F217FD">
        <w:rPr>
          <w:rFonts w:ascii="Verdana" w:eastAsia="Arial" w:hAnsi="Verdana" w:cs="Arial"/>
          <w:color w:val="000000"/>
          <w:kern w:val="2"/>
          <w14:ligatures w14:val="standardContextual"/>
        </w:rPr>
        <w:t xml:space="preserve">Para garantizar </w:t>
      </w:r>
      <w:r>
        <w:rPr>
          <w:rFonts w:ascii="Verdana" w:eastAsia="Arial" w:hAnsi="Verdana" w:cs="Arial"/>
          <w:color w:val="000000"/>
          <w:kern w:val="2"/>
          <w14:ligatures w14:val="standardContextual"/>
        </w:rPr>
        <w:t xml:space="preserve">la </w:t>
      </w:r>
      <w:r w:rsidRPr="00F217FD">
        <w:rPr>
          <w:rFonts w:ascii="Verdana" w:eastAsia="Arial" w:hAnsi="Verdana" w:cs="Arial"/>
          <w:color w:val="000000"/>
          <w:kern w:val="2"/>
          <w14:ligatures w14:val="standardContextual"/>
        </w:rPr>
        <w:t xml:space="preserve">selección objetiva, es necesario, entre otras, que las entidades estatales se abstengan de rechazar las ofertas por el incumplimiento </w:t>
      </w:r>
      <w:r w:rsidRPr="00F217FD">
        <w:rPr>
          <w:rFonts w:ascii="Verdana" w:eastAsia="Arial" w:hAnsi="Verdana" w:cs="Arial"/>
          <w:color w:val="000000"/>
          <w:kern w:val="2"/>
          <w14:ligatures w14:val="standardContextual"/>
        </w:rPr>
        <w:lastRenderedPageBreak/>
        <w:t>de requisitos meramente formales, sacrificando la favorabilidad que podría representar la oferta que adolezca de estos defectos, si se permitiese su corrección. En otras palabras, la selección objetiva</w:t>
      </w:r>
      <w:r>
        <w:rPr>
          <w:rFonts w:ascii="Verdana" w:eastAsia="Arial" w:hAnsi="Verdana" w:cs="Arial"/>
          <w:color w:val="000000"/>
          <w:kern w:val="2"/>
          <w14:ligatures w14:val="standardContextual"/>
        </w:rPr>
        <w:t xml:space="preserve"> se encuentra ligada a</w:t>
      </w:r>
      <w:r w:rsidRPr="00F217FD">
        <w:rPr>
          <w:rFonts w:ascii="Verdana" w:eastAsia="Arial" w:hAnsi="Verdana" w:cs="Arial"/>
          <w:color w:val="000000"/>
          <w:kern w:val="2"/>
          <w14:ligatures w14:val="standardContextual"/>
        </w:rPr>
        <w:t xml:space="preserve"> la obligación que tienen las entidades estatales de permitir la subsanación de los requisitos de participación, bajo las condiciones indicadas en la ley, antes de tomar la decisión de rechazar las propuestas que hayan omitido la observancia de requisitos </w:t>
      </w:r>
      <w:r>
        <w:rPr>
          <w:rFonts w:ascii="Verdana" w:eastAsia="Arial" w:hAnsi="Verdana" w:cs="Arial"/>
          <w:color w:val="000000"/>
          <w:kern w:val="2"/>
          <w14:ligatures w14:val="standardContextual"/>
        </w:rPr>
        <w:t>no necesarios para la comparación de las ofertas</w:t>
      </w:r>
      <w:r w:rsidRPr="00F217FD">
        <w:rPr>
          <w:rFonts w:ascii="Verdana" w:eastAsia="Arial" w:hAnsi="Verdana" w:cs="Arial"/>
          <w:color w:val="000000"/>
          <w:kern w:val="2"/>
          <w14:ligatures w14:val="standardContextual"/>
        </w:rPr>
        <w:t>.</w:t>
      </w:r>
    </w:p>
    <w:p w14:paraId="6CB279C7" w14:textId="77777777" w:rsidR="006A648E" w:rsidRDefault="006A648E" w:rsidP="006A648E">
      <w:pPr>
        <w:spacing w:before="120" w:after="120" w:line="276" w:lineRule="auto"/>
        <w:ind w:firstLine="708"/>
        <w:jc w:val="both"/>
        <w:rPr>
          <w:rFonts w:ascii="Verdana" w:hAnsi="Verdana" w:cs="Arial"/>
          <w:bCs/>
          <w:color w:val="000000" w:themeColor="text1"/>
        </w:rPr>
      </w:pPr>
      <w:r w:rsidRPr="00F217FD">
        <w:rPr>
          <w:rFonts w:ascii="Verdana" w:eastAsia="Arial" w:hAnsi="Verdana" w:cs="Arial"/>
          <w:color w:val="000000"/>
          <w:kern w:val="2"/>
          <w14:ligatures w14:val="standardContextual"/>
        </w:rPr>
        <w:t>La decisión de rechazar, por regla general –salvo en los casos específicos previstos en la ley, como el de la imposibilidad de subsanar la no entrega de la garantía de seriedad de la oferta o de acreditar circunstancias ocurridas con posterioridad al cierre del procedimiento de selección –art. 5, par. 1º y 3º, Ley 1150 de 2007– solo puede tomarse si, previamente, se ha permitido que los proponentes completen o corrijan la información relacionada con los requisitos que no asignan puntaje, como mecanismo para hacer prevalecer el derecho sustancial sobre las formalidades.</w:t>
      </w:r>
      <w:r w:rsidRPr="00143B1F">
        <w:rPr>
          <w:rFonts w:ascii="Verdana" w:hAnsi="Verdana" w:cs="Arial"/>
          <w:bCs/>
          <w:color w:val="000000" w:themeColor="text1"/>
        </w:rPr>
        <w:t xml:space="preserve"> </w:t>
      </w:r>
      <w:r w:rsidRPr="00321C89">
        <w:rPr>
          <w:rFonts w:ascii="Verdana" w:hAnsi="Verdana" w:cs="Arial"/>
          <w:bCs/>
          <w:color w:val="000000" w:themeColor="text1"/>
        </w:rPr>
        <w:t>En ese orden de ideas, el rechazo de las ofertas debe provenir entre otros factores, de la imposibilidad de hacer una escogencia favorable a la</w:t>
      </w:r>
      <w:r>
        <w:rPr>
          <w:rFonts w:ascii="Verdana" w:hAnsi="Verdana" w:cs="Arial"/>
          <w:bCs/>
          <w:color w:val="000000" w:themeColor="text1"/>
        </w:rPr>
        <w:t xml:space="preserve"> entidad estatal y a los fines que ella busca en cumplimiento del deber </w:t>
      </w:r>
      <w:r w:rsidRPr="00321C89">
        <w:rPr>
          <w:rFonts w:ascii="Verdana" w:hAnsi="Verdana" w:cs="Arial"/>
          <w:bCs/>
          <w:color w:val="000000" w:themeColor="text1"/>
        </w:rPr>
        <w:t>selección objetiva.</w:t>
      </w:r>
    </w:p>
    <w:p w14:paraId="15F6A6AE" w14:textId="77777777" w:rsidR="006A648E" w:rsidRDefault="006A648E" w:rsidP="006A648E">
      <w:pPr>
        <w:spacing w:before="120" w:after="120" w:line="276" w:lineRule="auto"/>
        <w:ind w:firstLine="708"/>
        <w:jc w:val="both"/>
        <w:rPr>
          <w:rFonts w:ascii="Verdana" w:hAnsi="Verdana" w:cs="Arial"/>
          <w:bCs/>
          <w:color w:val="000000" w:themeColor="text1"/>
        </w:rPr>
      </w:pPr>
      <w:r>
        <w:rPr>
          <w:rFonts w:ascii="Verdana" w:hAnsi="Verdana" w:cs="Arial"/>
          <w:bCs/>
          <w:color w:val="000000" w:themeColor="text1"/>
        </w:rPr>
        <w:t>Conforme con lo expuesto, se reitera que no existe un impedimento jurídico para que los proponentes puedan presentar ofertas en uno o en varios procesos de contratación. De forma similar, no existe disposición en el ordenamiento jurídico que condicione la capacidad del proponente plural al cargue de la promesa o el documento de conformación del consorcio al SECOP II, durante el proceso de creación del perfil del proponente</w:t>
      </w:r>
      <w:r>
        <w:rPr>
          <w:rStyle w:val="FootnoteReference"/>
          <w:rFonts w:ascii="Verdana" w:hAnsi="Verdana" w:cs="Arial"/>
          <w:bCs/>
          <w:color w:val="000000" w:themeColor="text1"/>
        </w:rPr>
        <w:footnoteReference w:id="9"/>
      </w:r>
      <w:r>
        <w:rPr>
          <w:rFonts w:ascii="Verdana" w:hAnsi="Verdana" w:cs="Arial"/>
          <w:bCs/>
          <w:color w:val="000000" w:themeColor="text1"/>
        </w:rPr>
        <w:t xml:space="preserve">. En este sentido, no existe causal en la ley que dé lugar al rechazo en estos supuestos. </w:t>
      </w:r>
    </w:p>
    <w:p w14:paraId="32651D88" w14:textId="77777777" w:rsidR="006A648E" w:rsidRDefault="006A648E" w:rsidP="006A648E">
      <w:pPr>
        <w:spacing w:line="276" w:lineRule="auto"/>
        <w:ind w:firstLine="708"/>
        <w:jc w:val="both"/>
        <w:rPr>
          <w:rFonts w:ascii="Verdana" w:hAnsi="Verdana"/>
        </w:rPr>
      </w:pPr>
      <w:r>
        <w:rPr>
          <w:rFonts w:ascii="Verdana" w:hAnsi="Verdana" w:cs="Arial"/>
          <w:bCs/>
          <w:color w:val="000000" w:themeColor="text1"/>
        </w:rPr>
        <w:t xml:space="preserve">Sin embargo, </w:t>
      </w:r>
      <w:r w:rsidRPr="00321C89">
        <w:rPr>
          <w:rFonts w:ascii="Verdana" w:hAnsi="Verdana" w:cs="Arial"/>
          <w:bCs/>
          <w:color w:val="000000" w:themeColor="text1"/>
        </w:rPr>
        <w:t xml:space="preserve">será́ la Entidad Estatal quién determinará </w:t>
      </w:r>
      <w:r>
        <w:rPr>
          <w:rFonts w:ascii="Verdana" w:hAnsi="Verdana" w:cs="Arial"/>
          <w:bCs/>
          <w:color w:val="000000" w:themeColor="text1"/>
        </w:rPr>
        <w:t xml:space="preserve">en los documentos del proceso </w:t>
      </w:r>
      <w:r w:rsidRPr="00321C89">
        <w:rPr>
          <w:rFonts w:ascii="Verdana" w:hAnsi="Verdana" w:cs="Arial"/>
          <w:bCs/>
          <w:color w:val="000000" w:themeColor="text1"/>
        </w:rPr>
        <w:t xml:space="preserve">las circunstancias que no permitan admitir una propuesta en un </w:t>
      </w:r>
      <w:r>
        <w:rPr>
          <w:rFonts w:ascii="Verdana" w:hAnsi="Verdana" w:cs="Arial"/>
          <w:bCs/>
          <w:color w:val="000000" w:themeColor="text1"/>
        </w:rPr>
        <w:t>p</w:t>
      </w:r>
      <w:r w:rsidRPr="00321C89">
        <w:rPr>
          <w:rFonts w:ascii="Verdana" w:hAnsi="Verdana" w:cs="Arial"/>
          <w:bCs/>
          <w:color w:val="000000" w:themeColor="text1"/>
        </w:rPr>
        <w:t xml:space="preserve">roceso de </w:t>
      </w:r>
      <w:r>
        <w:rPr>
          <w:rFonts w:ascii="Verdana" w:hAnsi="Verdana" w:cs="Arial"/>
          <w:bCs/>
          <w:color w:val="000000" w:themeColor="text1"/>
        </w:rPr>
        <w:t>c</w:t>
      </w:r>
      <w:r w:rsidRPr="00321C89">
        <w:rPr>
          <w:rFonts w:ascii="Verdana" w:hAnsi="Verdana" w:cs="Arial"/>
          <w:bCs/>
          <w:color w:val="000000" w:themeColor="text1"/>
        </w:rPr>
        <w:t>ontratación</w:t>
      </w:r>
      <w:r>
        <w:rPr>
          <w:rFonts w:ascii="Verdana" w:hAnsi="Verdana" w:cs="Arial"/>
          <w:bCs/>
          <w:color w:val="000000" w:themeColor="text1"/>
        </w:rPr>
        <w:t xml:space="preserve">. Como se señaló antes, en el ejercicio de esta facultad, las entidades deben respetar el deber de selección objetiva, de manera que las </w:t>
      </w:r>
      <w:r>
        <w:rPr>
          <w:rFonts w:ascii="Verdana" w:hAnsi="Verdana" w:cs="Arial"/>
          <w:bCs/>
          <w:color w:val="000000" w:themeColor="text1"/>
        </w:rPr>
        <w:lastRenderedPageBreak/>
        <w:t xml:space="preserve">causales de rechazo que dispongan no impongan barreras injustificadas a la participación, y respondan a principios de proporcionalidad y razonabilidad. Lo anterior, pues </w:t>
      </w:r>
      <w:r w:rsidRPr="00321C89">
        <w:rPr>
          <w:rFonts w:ascii="Verdana" w:hAnsi="Verdana"/>
        </w:rPr>
        <w:t>la</w:t>
      </w:r>
      <w:r w:rsidRPr="00321C89">
        <w:rPr>
          <w:rFonts w:ascii="Verdana" w:hAnsi="Verdana"/>
          <w:spacing w:val="-3"/>
        </w:rPr>
        <w:t xml:space="preserve"> </w:t>
      </w:r>
      <w:r>
        <w:rPr>
          <w:rFonts w:ascii="Verdana" w:hAnsi="Verdana"/>
        </w:rPr>
        <w:t>l</w:t>
      </w:r>
      <w:r w:rsidRPr="00321C89">
        <w:rPr>
          <w:rFonts w:ascii="Verdana" w:hAnsi="Verdana"/>
        </w:rPr>
        <w:t>ey</w:t>
      </w:r>
      <w:r w:rsidRPr="00321C89">
        <w:rPr>
          <w:rFonts w:ascii="Verdana" w:hAnsi="Verdana"/>
          <w:spacing w:val="-3"/>
        </w:rPr>
        <w:t xml:space="preserve"> </w:t>
      </w:r>
      <w:r w:rsidRPr="00321C89">
        <w:rPr>
          <w:rFonts w:ascii="Verdana" w:hAnsi="Verdana"/>
        </w:rPr>
        <w:t>dispone</w:t>
      </w:r>
      <w:r w:rsidRPr="00321C89">
        <w:rPr>
          <w:rFonts w:ascii="Verdana" w:hAnsi="Verdana"/>
          <w:spacing w:val="-2"/>
        </w:rPr>
        <w:t xml:space="preserve"> </w:t>
      </w:r>
      <w:r w:rsidRPr="00321C89">
        <w:rPr>
          <w:rFonts w:ascii="Verdana" w:hAnsi="Verdana"/>
        </w:rPr>
        <w:t>que</w:t>
      </w:r>
      <w:r w:rsidRPr="00321C89">
        <w:rPr>
          <w:rFonts w:ascii="Verdana" w:hAnsi="Verdana"/>
          <w:spacing w:val="-3"/>
        </w:rPr>
        <w:t xml:space="preserve"> </w:t>
      </w:r>
      <w:r>
        <w:rPr>
          <w:rFonts w:ascii="Verdana" w:hAnsi="Verdana"/>
          <w:spacing w:val="-3"/>
        </w:rPr>
        <w:t xml:space="preserve">la </w:t>
      </w:r>
      <w:r w:rsidRPr="00321C89">
        <w:rPr>
          <w:rFonts w:ascii="Verdana" w:hAnsi="Verdana"/>
        </w:rPr>
        <w:t>ausencia de requisitos o la falta de documentos referentes a la futura contratación o al proponente que no son necesarios para la comparación de las</w:t>
      </w:r>
      <w:r w:rsidRPr="00321C89">
        <w:rPr>
          <w:rFonts w:ascii="Verdana" w:hAnsi="Verdana"/>
          <w:spacing w:val="-3"/>
        </w:rPr>
        <w:t xml:space="preserve"> </w:t>
      </w:r>
      <w:r w:rsidRPr="00321C89">
        <w:rPr>
          <w:rFonts w:ascii="Verdana" w:hAnsi="Verdana"/>
        </w:rPr>
        <w:t xml:space="preserve">propuestas, </w:t>
      </w:r>
      <w:r>
        <w:rPr>
          <w:rFonts w:ascii="Verdana" w:hAnsi="Verdana"/>
        </w:rPr>
        <w:t>no serán</w:t>
      </w:r>
      <w:r w:rsidRPr="00321C89">
        <w:rPr>
          <w:rFonts w:ascii="Verdana" w:hAnsi="Verdana"/>
          <w:spacing w:val="-3"/>
        </w:rPr>
        <w:t xml:space="preserve"> </w:t>
      </w:r>
      <w:r w:rsidRPr="00321C89">
        <w:rPr>
          <w:rFonts w:ascii="Verdana" w:hAnsi="Verdana"/>
        </w:rPr>
        <w:t>título</w:t>
      </w:r>
      <w:r w:rsidRPr="00321C89">
        <w:rPr>
          <w:rFonts w:ascii="Verdana" w:hAnsi="Verdana"/>
          <w:spacing w:val="-2"/>
        </w:rPr>
        <w:t xml:space="preserve"> </w:t>
      </w:r>
      <w:r w:rsidRPr="00321C89">
        <w:rPr>
          <w:rFonts w:ascii="Verdana" w:hAnsi="Verdana"/>
        </w:rPr>
        <w:t>suficiente para</w:t>
      </w:r>
      <w:r w:rsidRPr="00321C89">
        <w:rPr>
          <w:rFonts w:ascii="Verdana" w:hAnsi="Verdana"/>
          <w:spacing w:val="-3"/>
        </w:rPr>
        <w:t xml:space="preserve"> </w:t>
      </w:r>
      <w:r w:rsidRPr="00321C89">
        <w:rPr>
          <w:rFonts w:ascii="Verdana" w:hAnsi="Verdana"/>
        </w:rPr>
        <w:t>el</w:t>
      </w:r>
      <w:r w:rsidRPr="00321C89">
        <w:rPr>
          <w:rFonts w:ascii="Verdana" w:hAnsi="Verdana"/>
          <w:spacing w:val="-3"/>
        </w:rPr>
        <w:t xml:space="preserve"> </w:t>
      </w:r>
      <w:r w:rsidRPr="00321C89">
        <w:rPr>
          <w:rFonts w:ascii="Verdana" w:hAnsi="Verdana"/>
        </w:rPr>
        <w:t>rechazo de las propuesta</w:t>
      </w:r>
      <w:r>
        <w:rPr>
          <w:rFonts w:ascii="Verdana" w:hAnsi="Verdana"/>
        </w:rPr>
        <w:t>s.</w:t>
      </w:r>
    </w:p>
    <w:p w14:paraId="6C2AA659" w14:textId="77777777" w:rsidR="006A648E" w:rsidRDefault="006A648E" w:rsidP="006A648E">
      <w:pPr>
        <w:spacing w:after="120" w:line="276" w:lineRule="auto"/>
        <w:ind w:firstLine="708"/>
        <w:jc w:val="both"/>
        <w:rPr>
          <w:rFonts w:ascii="Verdana" w:hAnsi="Verdana" w:cs="Arial"/>
          <w:color w:val="000000" w:themeColor="text1"/>
        </w:rPr>
      </w:pPr>
      <w:r>
        <w:rPr>
          <w:rFonts w:ascii="Verdana" w:eastAsia="Calibri" w:hAnsi="Verdana" w:cs="Arial"/>
          <w:lang w:val="es-ES"/>
        </w:rPr>
        <w:t>En conclusión</w:t>
      </w:r>
      <w:r w:rsidRPr="006B4D4E">
        <w:rPr>
          <w:rFonts w:ascii="Verdana" w:hAnsi="Verdana" w:cs="Arial"/>
          <w:color w:val="000000" w:themeColor="text1"/>
        </w:rPr>
        <w:t>, es posible</w:t>
      </w:r>
      <w:r>
        <w:rPr>
          <w:rFonts w:ascii="Verdana" w:hAnsi="Verdana" w:cs="Arial"/>
          <w:color w:val="000000" w:themeColor="text1"/>
        </w:rPr>
        <w:t xml:space="preserve"> que</w:t>
      </w:r>
      <w:r w:rsidRPr="006B4D4E">
        <w:rPr>
          <w:rFonts w:ascii="Verdana" w:hAnsi="Verdana" w:cs="Arial"/>
          <w:color w:val="000000" w:themeColor="text1"/>
        </w:rPr>
        <w:t xml:space="preserve"> </w:t>
      </w:r>
      <w:r>
        <w:rPr>
          <w:rFonts w:ascii="Verdana" w:hAnsi="Verdana" w:cs="Arial"/>
          <w:color w:val="000000" w:themeColor="text1"/>
        </w:rPr>
        <w:t xml:space="preserve">los </w:t>
      </w:r>
      <w:r w:rsidRPr="006B4D4E">
        <w:rPr>
          <w:rFonts w:ascii="Verdana" w:hAnsi="Verdana" w:cs="Arial"/>
          <w:color w:val="000000" w:themeColor="text1"/>
        </w:rPr>
        <w:t>consorcios</w:t>
      </w:r>
      <w:r>
        <w:rPr>
          <w:rFonts w:ascii="Verdana" w:hAnsi="Verdana" w:cs="Arial"/>
          <w:color w:val="000000" w:themeColor="text1"/>
        </w:rPr>
        <w:t xml:space="preserve"> y/o uniones temporales</w:t>
      </w:r>
      <w:r w:rsidRPr="006B4D4E">
        <w:rPr>
          <w:rFonts w:ascii="Verdana" w:hAnsi="Verdana" w:cs="Arial"/>
          <w:color w:val="000000" w:themeColor="text1"/>
        </w:rPr>
        <w:t xml:space="preserve"> </w:t>
      </w:r>
      <w:r>
        <w:rPr>
          <w:rFonts w:ascii="Verdana" w:hAnsi="Verdana" w:cs="Arial"/>
          <w:color w:val="000000" w:themeColor="text1"/>
        </w:rPr>
        <w:t xml:space="preserve">participen en uno o en varios procesos de contratación estatal. Además, </w:t>
      </w:r>
      <w:r w:rsidRPr="008E73D3">
        <w:rPr>
          <w:rFonts w:ascii="Verdana" w:eastAsia="Calibri" w:hAnsi="Verdana" w:cs="Arial"/>
          <w:lang w:val="es-ES"/>
        </w:rPr>
        <w:t>al ser una creación de carácter convencional que se logra mediante un acuerdo de carácter privado en la que concurre la voluntad de los miembros, es jurídicamente viable modificar</w:t>
      </w:r>
      <w:r>
        <w:rPr>
          <w:rFonts w:ascii="Verdana" w:eastAsia="Calibri" w:hAnsi="Verdana" w:cs="Arial"/>
          <w:lang w:val="es-ES"/>
        </w:rPr>
        <w:t xml:space="preserve"> las condiciones del consorcio</w:t>
      </w:r>
      <w:r w:rsidRPr="008E73D3">
        <w:rPr>
          <w:rFonts w:ascii="Verdana" w:eastAsia="Calibri" w:hAnsi="Verdana" w:cs="Arial"/>
          <w:lang w:val="es-ES"/>
        </w:rPr>
        <w:t xml:space="preserve">, </w:t>
      </w:r>
      <w:r w:rsidRPr="1901AB3C">
        <w:rPr>
          <w:rFonts w:ascii="Verdana" w:eastAsia="Calibri" w:hAnsi="Verdana" w:cs="Arial"/>
          <w:lang w:val="es-ES"/>
        </w:rPr>
        <w:t>en el momento y bajo la</w:t>
      </w:r>
      <w:r>
        <w:rPr>
          <w:rFonts w:ascii="Verdana" w:eastAsia="Calibri" w:hAnsi="Verdana" w:cs="Arial"/>
          <w:lang w:val="es-ES"/>
        </w:rPr>
        <w:t>s</w:t>
      </w:r>
      <w:r w:rsidRPr="1901AB3C">
        <w:rPr>
          <w:rFonts w:ascii="Verdana" w:eastAsia="Calibri" w:hAnsi="Verdana" w:cs="Arial"/>
          <w:lang w:val="es-ES"/>
        </w:rPr>
        <w:t xml:space="preserve"> hipótesis presentada</w:t>
      </w:r>
      <w:r>
        <w:rPr>
          <w:rFonts w:ascii="Verdana" w:eastAsia="Calibri" w:hAnsi="Verdana" w:cs="Arial"/>
          <w:lang w:val="es-ES"/>
        </w:rPr>
        <w:t>s en este concepto. N</w:t>
      </w:r>
      <w:r w:rsidRPr="008E73D3">
        <w:rPr>
          <w:rFonts w:ascii="Verdana" w:eastAsia="Calibri" w:hAnsi="Verdana" w:cs="Arial"/>
          <w:lang w:val="es-ES"/>
        </w:rPr>
        <w:t>o obstante, al realizar</w:t>
      </w:r>
      <w:r>
        <w:rPr>
          <w:rFonts w:ascii="Verdana" w:eastAsia="Calibri" w:hAnsi="Verdana" w:cs="Arial"/>
          <w:lang w:val="es-ES"/>
        </w:rPr>
        <w:t xml:space="preserve"> las modificaciones,</w:t>
      </w:r>
      <w:r w:rsidRPr="008E73D3">
        <w:rPr>
          <w:rFonts w:ascii="Verdana" w:eastAsia="Calibri" w:hAnsi="Verdana" w:cs="Arial"/>
          <w:lang w:val="es-ES"/>
        </w:rPr>
        <w:t xml:space="preserve"> </w:t>
      </w:r>
      <w:r w:rsidRPr="1901AB3C">
        <w:rPr>
          <w:rFonts w:ascii="Verdana" w:hAnsi="Verdana" w:cs="Arial"/>
          <w:color w:val="000000" w:themeColor="text1"/>
        </w:rPr>
        <w:t>deberán tener</w:t>
      </w:r>
      <w:r w:rsidRPr="008E73D3">
        <w:rPr>
          <w:rFonts w:ascii="Verdana" w:hAnsi="Verdana" w:cs="Arial"/>
          <w:color w:val="000000" w:themeColor="text1"/>
        </w:rPr>
        <w:t xml:space="preserve"> presente los documentos que pueden llegar a verse eventualmente afectados por este cambio y que </w:t>
      </w:r>
      <w:r w:rsidRPr="1901AB3C">
        <w:rPr>
          <w:rFonts w:ascii="Verdana" w:hAnsi="Verdana" w:cs="Arial"/>
          <w:color w:val="000000" w:themeColor="text1"/>
        </w:rPr>
        <w:t>tienen</w:t>
      </w:r>
      <w:r w:rsidRPr="008E73D3">
        <w:rPr>
          <w:rFonts w:ascii="Verdana" w:hAnsi="Verdana" w:cs="Arial"/>
          <w:color w:val="000000" w:themeColor="text1"/>
        </w:rPr>
        <w:t xml:space="preserve"> incidencia directa en la oferta</w:t>
      </w:r>
      <w:r>
        <w:rPr>
          <w:rFonts w:ascii="Verdana" w:hAnsi="Verdana" w:cs="Arial"/>
          <w:color w:val="000000" w:themeColor="text1"/>
        </w:rPr>
        <w:t xml:space="preserve">. De cualquier modo, los proponentes </w:t>
      </w:r>
      <w:r w:rsidRPr="008E73D3">
        <w:rPr>
          <w:rFonts w:ascii="Verdana" w:hAnsi="Verdana" w:cs="Arial"/>
          <w:color w:val="000000" w:themeColor="text1"/>
        </w:rPr>
        <w:t xml:space="preserve">no </w:t>
      </w:r>
      <w:r>
        <w:rPr>
          <w:rFonts w:ascii="Verdana" w:hAnsi="Verdana" w:cs="Arial"/>
          <w:color w:val="000000" w:themeColor="text1"/>
        </w:rPr>
        <w:t xml:space="preserve">podrán acreditar hechos </w:t>
      </w:r>
      <w:r w:rsidRPr="008E73D3">
        <w:rPr>
          <w:rFonts w:ascii="Verdana" w:hAnsi="Verdana" w:cs="Arial"/>
          <w:color w:val="000000" w:themeColor="text1"/>
        </w:rPr>
        <w:t xml:space="preserve">que </w:t>
      </w:r>
      <w:r>
        <w:rPr>
          <w:rFonts w:ascii="Verdana" w:hAnsi="Verdana" w:cs="Arial"/>
          <w:color w:val="000000" w:themeColor="text1"/>
        </w:rPr>
        <w:t>ocurran d</w:t>
      </w:r>
      <w:r w:rsidRPr="008E73D3">
        <w:rPr>
          <w:rFonts w:ascii="Verdana" w:hAnsi="Verdana" w:cs="Arial"/>
          <w:color w:val="000000" w:themeColor="text1"/>
        </w:rPr>
        <w:t>espués del cierre del proceso.</w:t>
      </w:r>
      <w:r>
        <w:rPr>
          <w:rFonts w:ascii="Verdana" w:hAnsi="Verdana" w:cs="Arial"/>
          <w:color w:val="000000" w:themeColor="text1"/>
        </w:rPr>
        <w:t xml:space="preserve"> </w:t>
      </w:r>
    </w:p>
    <w:p w14:paraId="3B3C8A29" w14:textId="77777777" w:rsidR="006A648E" w:rsidRDefault="006A648E" w:rsidP="006A648E">
      <w:pPr>
        <w:spacing w:after="120" w:line="276" w:lineRule="auto"/>
        <w:ind w:right="49" w:firstLine="708"/>
        <w:jc w:val="both"/>
        <w:rPr>
          <w:rFonts w:ascii="Verdana" w:eastAsia="Verdana" w:hAnsi="Verdana" w:cs="Verdana"/>
        </w:rPr>
      </w:pPr>
      <w:r>
        <w:rPr>
          <w:rFonts w:ascii="Verdana" w:hAnsi="Verdana" w:cs="Arial"/>
          <w:color w:val="000000" w:themeColor="text1"/>
        </w:rPr>
        <w:t>Por otra parte, las causales de rechazo asociadas a la participación o acreditación de documentos por parte de los proponentes plurales serán las que establezca la ley o la entidad en el pliego de condiciones. Sin embargo, éstas deberán respetar el deber de selección objetiva, de modo que sean razonables y proporcionales frente al objeto a contratar.</w:t>
      </w:r>
    </w:p>
    <w:p w14:paraId="1C8D1B0B" w14:textId="77777777" w:rsidR="006A648E" w:rsidRPr="00FE5A24" w:rsidRDefault="006A648E" w:rsidP="006A648E">
      <w:pPr>
        <w:widowControl w:val="0"/>
        <w:autoSpaceDE w:val="0"/>
        <w:autoSpaceDN w:val="0"/>
        <w:spacing w:after="0" w:line="276" w:lineRule="auto"/>
        <w:jc w:val="both"/>
        <w:rPr>
          <w:rFonts w:ascii="Verdana" w:eastAsia="Calibri" w:hAnsi="Verdana" w:cs="Arial"/>
          <w:color w:val="000000" w:themeColor="text1"/>
        </w:rPr>
      </w:pPr>
    </w:p>
    <w:p w14:paraId="6C5327CC" w14:textId="77777777" w:rsidR="006A648E" w:rsidRPr="00FE5A24" w:rsidRDefault="006A648E" w:rsidP="006A648E">
      <w:pPr>
        <w:pStyle w:val="ListParagraph"/>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Referencias normativas, jurisprudenciales y otras fuentes:</w:t>
      </w:r>
    </w:p>
    <w:p w14:paraId="4D2A9CCB" w14:textId="77777777" w:rsidR="006A648E" w:rsidRPr="00FE5A24" w:rsidRDefault="006A648E" w:rsidP="006A648E">
      <w:pPr>
        <w:widowControl w:val="0"/>
        <w:autoSpaceDE w:val="0"/>
        <w:autoSpaceDN w:val="0"/>
        <w:spacing w:after="0" w:line="276" w:lineRule="auto"/>
        <w:jc w:val="both"/>
        <w:rPr>
          <w:rFonts w:ascii="Verdana" w:hAnsi="Verdana" w:cs="Arial"/>
          <w:color w:val="000000" w:themeColor="text1"/>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A648E" w:rsidRPr="00FE5A24" w14:paraId="7252B629" w14:textId="77777777" w:rsidTr="00D13F89">
        <w:trPr>
          <w:trHeight w:val="870"/>
        </w:trPr>
        <w:tc>
          <w:tcPr>
            <w:tcW w:w="8647" w:type="dxa"/>
          </w:tcPr>
          <w:p w14:paraId="76CDEFEF" w14:textId="77777777" w:rsidR="006A648E" w:rsidRPr="00E708A8" w:rsidRDefault="006A648E" w:rsidP="006A648E">
            <w:pPr>
              <w:pStyle w:val="ListParagraph"/>
              <w:widowControl w:val="0"/>
              <w:numPr>
                <w:ilvl w:val="0"/>
                <w:numId w:val="2"/>
              </w:numPr>
              <w:autoSpaceDE w:val="0"/>
              <w:autoSpaceDN w:val="0"/>
              <w:spacing w:after="120" w:line="276" w:lineRule="auto"/>
              <w:jc w:val="both"/>
              <w:rPr>
                <w:rFonts w:ascii="Verdana" w:hAnsi="Verdana" w:cs="Arial"/>
              </w:rPr>
            </w:pPr>
            <w:r w:rsidRPr="00E708A8">
              <w:rPr>
                <w:rFonts w:ascii="Verdana" w:hAnsi="Verdana" w:cs="Arial"/>
              </w:rPr>
              <w:t xml:space="preserve">Código Civil, artículos 1502, 1503 y 1504. </w:t>
            </w:r>
          </w:p>
          <w:p w14:paraId="557A9C02" w14:textId="77777777" w:rsidR="006A648E" w:rsidRPr="00E708A8" w:rsidRDefault="006A648E" w:rsidP="00D13F89">
            <w:pPr>
              <w:pStyle w:val="ListParagraph"/>
              <w:widowControl w:val="0"/>
              <w:autoSpaceDE w:val="0"/>
              <w:autoSpaceDN w:val="0"/>
              <w:spacing w:after="120" w:line="276" w:lineRule="auto"/>
              <w:jc w:val="both"/>
              <w:rPr>
                <w:rFonts w:ascii="Verdana" w:hAnsi="Verdana" w:cs="Arial"/>
                <w:sz w:val="12"/>
                <w:szCs w:val="12"/>
              </w:rPr>
            </w:pPr>
          </w:p>
          <w:p w14:paraId="5BBFE00D" w14:textId="77777777" w:rsidR="006A648E" w:rsidRPr="00E708A8" w:rsidRDefault="006A648E" w:rsidP="006A648E">
            <w:pPr>
              <w:pStyle w:val="ListParagraph"/>
              <w:widowControl w:val="0"/>
              <w:numPr>
                <w:ilvl w:val="0"/>
                <w:numId w:val="2"/>
              </w:numPr>
              <w:autoSpaceDE w:val="0"/>
              <w:autoSpaceDN w:val="0"/>
              <w:spacing w:after="120" w:line="276" w:lineRule="auto"/>
              <w:contextualSpacing w:val="0"/>
              <w:jc w:val="both"/>
              <w:rPr>
                <w:rFonts w:ascii="Verdana" w:hAnsi="Verdana" w:cs="Arial"/>
              </w:rPr>
            </w:pPr>
            <w:r w:rsidRPr="00E708A8">
              <w:rPr>
                <w:rFonts w:ascii="Verdana" w:hAnsi="Verdana" w:cs="Arial"/>
              </w:rPr>
              <w:t>Código de Comercio, artículo 99.</w:t>
            </w:r>
          </w:p>
          <w:p w14:paraId="6B033F11" w14:textId="77777777" w:rsidR="006A648E" w:rsidRDefault="006A648E" w:rsidP="006A648E">
            <w:pPr>
              <w:pStyle w:val="ListParagraph"/>
              <w:widowControl w:val="0"/>
              <w:numPr>
                <w:ilvl w:val="0"/>
                <w:numId w:val="2"/>
              </w:numPr>
              <w:autoSpaceDE w:val="0"/>
              <w:autoSpaceDN w:val="0"/>
              <w:spacing w:after="120" w:line="276" w:lineRule="auto"/>
              <w:contextualSpacing w:val="0"/>
              <w:jc w:val="both"/>
              <w:rPr>
                <w:rFonts w:ascii="Verdana" w:hAnsi="Verdana" w:cs="Arial"/>
              </w:rPr>
            </w:pPr>
            <w:r w:rsidRPr="00E708A8">
              <w:rPr>
                <w:rFonts w:ascii="Verdana" w:hAnsi="Verdana" w:cs="Arial"/>
              </w:rPr>
              <w:t>Ley 80 de 1993, artículos 2, 6 y 7.</w:t>
            </w:r>
          </w:p>
          <w:p w14:paraId="7697620A" w14:textId="77777777" w:rsidR="006A648E" w:rsidRDefault="006A648E" w:rsidP="006A648E">
            <w:pPr>
              <w:pStyle w:val="ListParagraph"/>
              <w:widowControl w:val="0"/>
              <w:numPr>
                <w:ilvl w:val="0"/>
                <w:numId w:val="2"/>
              </w:numPr>
              <w:autoSpaceDE w:val="0"/>
              <w:autoSpaceDN w:val="0"/>
              <w:spacing w:after="120" w:line="276" w:lineRule="auto"/>
              <w:contextualSpacing w:val="0"/>
              <w:jc w:val="both"/>
              <w:rPr>
                <w:rFonts w:ascii="Verdana" w:hAnsi="Verdana" w:cs="Arial"/>
              </w:rPr>
            </w:pPr>
            <w:r>
              <w:rPr>
                <w:rFonts w:ascii="Verdana" w:hAnsi="Verdana" w:cs="Arial"/>
              </w:rPr>
              <w:t>Ley 1150 de 2007, artículo 5º, modificado por la Ley 1474 de 2011 y la Ley 1882 de 2018.</w:t>
            </w:r>
          </w:p>
          <w:p w14:paraId="28990502" w14:textId="77777777" w:rsidR="006A648E" w:rsidRPr="00E708A8" w:rsidRDefault="006A648E" w:rsidP="006A648E">
            <w:pPr>
              <w:pStyle w:val="ListParagraph"/>
              <w:widowControl w:val="0"/>
              <w:numPr>
                <w:ilvl w:val="0"/>
                <w:numId w:val="2"/>
              </w:numPr>
              <w:autoSpaceDE w:val="0"/>
              <w:autoSpaceDN w:val="0"/>
              <w:spacing w:after="120" w:line="276" w:lineRule="auto"/>
              <w:contextualSpacing w:val="0"/>
              <w:jc w:val="both"/>
              <w:rPr>
                <w:rFonts w:ascii="Verdana" w:hAnsi="Verdana" w:cs="Arial"/>
              </w:rPr>
            </w:pPr>
            <w:r w:rsidRPr="002407CE">
              <w:rPr>
                <w:rFonts w:ascii="Verdana" w:hAnsi="Verdana" w:cs="Arial"/>
              </w:rPr>
              <w:t xml:space="preserve">Jurisprudencia de la Corte Constitucional. Disponible en:  </w:t>
            </w:r>
            <w:hyperlink r:id="rId9" w:history="1">
              <w:r w:rsidRPr="00DE449B">
                <w:rPr>
                  <w:rFonts w:ascii="Verdana" w:eastAsia="Verdana" w:hAnsi="Verdana" w:cs="Verdana"/>
                  <w:color w:val="0000FF"/>
                  <w:u w:color="0000FF"/>
                </w:rPr>
                <w:t>https://www.corteconstitucional.gov./relatoria/</w:t>
              </w:r>
            </w:hyperlink>
            <w:r w:rsidRPr="002407CE">
              <w:rPr>
                <w:rFonts w:ascii="Verdana" w:hAnsi="Verdana" w:cs="Arial"/>
              </w:rPr>
              <w:t xml:space="preserve"> </w:t>
            </w:r>
          </w:p>
          <w:p w14:paraId="1161DC72" w14:textId="77777777" w:rsidR="006A648E" w:rsidRPr="00DE449B" w:rsidRDefault="006A648E" w:rsidP="006A648E">
            <w:pPr>
              <w:pStyle w:val="BodyText"/>
              <w:numPr>
                <w:ilvl w:val="0"/>
                <w:numId w:val="2"/>
              </w:numPr>
              <w:tabs>
                <w:tab w:val="left" w:pos="817"/>
              </w:tabs>
              <w:spacing w:before="120" w:line="237" w:lineRule="auto"/>
              <w:ind w:right="107"/>
              <w:rPr>
                <w:rFonts w:ascii="Symbol" w:hAnsi="Symbol"/>
              </w:rPr>
            </w:pPr>
            <w:r>
              <w:t>Jurisprudencia del Consejo de Estado. Disponible en:</w:t>
            </w:r>
            <w:r>
              <w:rPr>
                <w:color w:val="0000FF"/>
              </w:rPr>
              <w:t xml:space="preserve"> </w:t>
            </w:r>
            <w:hyperlink r:id="rId10">
              <w:r>
                <w:rPr>
                  <w:color w:val="0000FF"/>
                  <w:u w:val="single" w:color="0000FF"/>
                </w:rPr>
                <w:t>https://relatoria.c</w:t>
              </w:r>
            </w:hyperlink>
            <w:r>
              <w:rPr>
                <w:color w:val="0000FF"/>
                <w:spacing w:val="-75"/>
              </w:rPr>
              <w:t xml:space="preserve"> </w:t>
            </w:r>
            <w:hyperlink r:id="rId11">
              <w:r>
                <w:rPr>
                  <w:color w:val="0000FF"/>
                  <w:u w:val="single" w:color="0000FF"/>
                </w:rPr>
                <w:t>olombiacompra.gov.co/providencias-consejo-de-estado/</w:t>
              </w:r>
            </w:hyperlink>
          </w:p>
        </w:tc>
      </w:tr>
    </w:tbl>
    <w:p w14:paraId="6A233E4D" w14:textId="77777777" w:rsidR="006A648E" w:rsidRPr="00FE5A24" w:rsidRDefault="006A648E" w:rsidP="006A648E">
      <w:pPr>
        <w:widowControl w:val="0"/>
        <w:autoSpaceDE w:val="0"/>
        <w:autoSpaceDN w:val="0"/>
        <w:spacing w:after="0" w:line="276" w:lineRule="auto"/>
        <w:jc w:val="both"/>
        <w:rPr>
          <w:rFonts w:ascii="Verdana" w:hAnsi="Verdana" w:cs="Arial"/>
          <w:color w:val="000000" w:themeColor="text1"/>
        </w:rPr>
      </w:pPr>
    </w:p>
    <w:p w14:paraId="6519F01B" w14:textId="77777777" w:rsidR="006A648E" w:rsidRPr="00FE5A24" w:rsidRDefault="006A648E" w:rsidP="006A648E">
      <w:pPr>
        <w:pStyle w:val="ListParagraph"/>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Doctrina de la Agencia Nacional de Contratación Pública:</w:t>
      </w:r>
    </w:p>
    <w:p w14:paraId="2F1D175F" w14:textId="77777777" w:rsidR="006A648E" w:rsidRPr="00FE5A24" w:rsidRDefault="006A648E" w:rsidP="006A648E">
      <w:pPr>
        <w:widowControl w:val="0"/>
        <w:autoSpaceDE w:val="0"/>
        <w:autoSpaceDN w:val="0"/>
        <w:spacing w:after="0" w:line="276" w:lineRule="auto"/>
        <w:jc w:val="both"/>
        <w:rPr>
          <w:rFonts w:ascii="Verdana" w:hAnsi="Verdana" w:cs="Arial"/>
          <w:color w:val="000000" w:themeColor="text1"/>
        </w:rPr>
      </w:pPr>
    </w:p>
    <w:p w14:paraId="0A167001" w14:textId="77777777" w:rsidR="006A648E" w:rsidRPr="00824BAD" w:rsidRDefault="006A648E" w:rsidP="006A648E">
      <w:pPr>
        <w:widowControl w:val="0"/>
        <w:autoSpaceDE w:val="0"/>
        <w:autoSpaceDN w:val="0"/>
        <w:spacing w:after="0" w:line="276" w:lineRule="auto"/>
        <w:jc w:val="both"/>
        <w:rPr>
          <w:rStyle w:val="normaltextrun"/>
          <w:rFonts w:ascii="Verdana" w:eastAsia="Times New Roman" w:hAnsi="Verdana" w:cs="Arial"/>
          <w:shd w:val="clear" w:color="auto" w:fill="FFFFFF"/>
          <w:lang w:val="es-ES"/>
        </w:rPr>
      </w:pPr>
      <w:r>
        <w:rPr>
          <w:rStyle w:val="normaltextrun"/>
          <w:rFonts w:ascii="Verdana" w:hAnsi="Verdana" w:cs="Arial"/>
          <w:shd w:val="clear" w:color="auto" w:fill="FFFFFF"/>
          <w:lang w:val="es-ES"/>
        </w:rPr>
        <w:t>E</w:t>
      </w:r>
      <w:r w:rsidRPr="00EA761C">
        <w:rPr>
          <w:rStyle w:val="normaltextrun"/>
          <w:rFonts w:ascii="Verdana" w:hAnsi="Verdana" w:cs="Arial"/>
          <w:shd w:val="clear" w:color="auto" w:fill="FFFFFF"/>
          <w:lang w:val="es-ES"/>
        </w:rPr>
        <w:t>sta Subdirección </w:t>
      </w:r>
      <w:r>
        <w:rPr>
          <w:rStyle w:val="normaltextrun"/>
          <w:rFonts w:ascii="Verdana" w:hAnsi="Verdana" w:cs="Arial"/>
          <w:shd w:val="clear" w:color="auto" w:fill="FFFFFF"/>
          <w:lang w:val="es-ES"/>
        </w:rPr>
        <w:t>se ha pronunciado s</w:t>
      </w:r>
      <w:r w:rsidRPr="00EA761C">
        <w:rPr>
          <w:rStyle w:val="normaltextrun"/>
          <w:rFonts w:ascii="Verdana" w:hAnsi="Verdana" w:cs="Arial"/>
          <w:shd w:val="clear" w:color="auto" w:fill="FFFFFF"/>
          <w:lang w:val="es-ES"/>
        </w:rPr>
        <w:t>obre los consorcios y las uniones temporales en los Conceptos</w:t>
      </w:r>
      <w:r w:rsidRPr="00EA761C">
        <w:rPr>
          <w:rStyle w:val="normaltextrun"/>
          <w:rFonts w:ascii="Verdana" w:hAnsi="Verdana" w:cs="Calibri"/>
          <w:shd w:val="clear" w:color="auto" w:fill="FFFFFF"/>
        </w:rPr>
        <w:t xml:space="preserve"> </w:t>
      </w:r>
      <w:r w:rsidRPr="00167520">
        <w:rPr>
          <w:rStyle w:val="normaltextrun"/>
          <w:rFonts w:ascii="Verdana" w:hAnsi="Verdana" w:cs="Calibri"/>
          <w:shd w:val="clear" w:color="auto" w:fill="FFFFFF"/>
        </w:rPr>
        <w:t>4201912000006909</w:t>
      </w:r>
      <w:r>
        <w:rPr>
          <w:rStyle w:val="normaltextrun"/>
          <w:rFonts w:ascii="Verdana" w:hAnsi="Verdana" w:cs="Calibri"/>
          <w:shd w:val="clear" w:color="auto" w:fill="FFFFFF"/>
        </w:rPr>
        <w:t xml:space="preserve"> del 28 de octubre de 2029, </w:t>
      </w:r>
      <w:r w:rsidRPr="00EA761C">
        <w:rPr>
          <w:rStyle w:val="normaltextrun"/>
          <w:rFonts w:ascii="Verdana" w:hAnsi="Verdana" w:cs="Arial"/>
          <w:shd w:val="clear" w:color="auto" w:fill="FFFFFF"/>
          <w:lang w:val="es-ES"/>
        </w:rPr>
        <w:t xml:space="preserve">4201913000007643 del 26 de diciembre de 2019, C-343 del 17 de junio de 2020, C-518 del 9 de septiembre de 2020, C-614 del 5 de octubre de 2022, C-882 del 21 de diciembre </w:t>
      </w:r>
      <w:r w:rsidRPr="00167520">
        <w:rPr>
          <w:rStyle w:val="normaltextrun"/>
          <w:rFonts w:ascii="Verdana" w:hAnsi="Verdana" w:cs="Arial"/>
          <w:shd w:val="clear" w:color="auto" w:fill="FFFFFF"/>
          <w:lang w:val="es-ES"/>
        </w:rPr>
        <w:t>de 2022, C-172 del 6 de junio de 2023, C-032 del 16 de abril de 2024, C-050 del 18 de julio de 2024,</w:t>
      </w:r>
      <w:r w:rsidRPr="00167520">
        <w:rPr>
          <w:rStyle w:val="normaltextrun"/>
          <w:rFonts w:ascii="Verdana" w:hAnsi="Verdana" w:cs="Arial"/>
          <w:color w:val="000000" w:themeColor="text1"/>
          <w:shd w:val="clear" w:color="auto" w:fill="FFFFFF"/>
          <w:lang w:val="es-ES"/>
        </w:rPr>
        <w:t xml:space="preserve"> C-100 del 12 de junio de 2024, 727 del 28 de octubre de 2024, Concepto C-894 del 11 de diciembre de 2024, </w:t>
      </w:r>
      <w:r w:rsidRPr="00167520">
        <w:rPr>
          <w:rStyle w:val="normaltextrun"/>
          <w:rFonts w:ascii="Verdana" w:hAnsi="Verdana"/>
          <w:color w:val="000000" w:themeColor="text1"/>
          <w:shd w:val="clear" w:color="auto" w:fill="FFFFFF"/>
          <w:lang w:val="es-ES"/>
        </w:rPr>
        <w:t xml:space="preserve">C-936 </w:t>
      </w:r>
      <w:r w:rsidRPr="00167520">
        <w:rPr>
          <w:rStyle w:val="normaltextrun"/>
          <w:rFonts w:ascii="Verdana" w:hAnsi="Verdana"/>
          <w:color w:val="000000" w:themeColor="text1"/>
          <w:shd w:val="clear" w:color="auto" w:fill="FFFFFF"/>
        </w:rPr>
        <w:t xml:space="preserve">del 18 de diciembre de 2024, Concepto C-016 del 11 de febrero de 2025, </w:t>
      </w:r>
      <w:r w:rsidRPr="00167520">
        <w:rPr>
          <w:rStyle w:val="normaltextrun"/>
          <w:rFonts w:ascii="Verdana" w:hAnsi="Verdana" w:cs="Arial"/>
          <w:color w:val="000000" w:themeColor="text1"/>
          <w:shd w:val="clear" w:color="auto" w:fill="FFFFFF"/>
          <w:lang w:val="es-ES"/>
        </w:rPr>
        <w:t>entre otros</w:t>
      </w:r>
      <w:r w:rsidRPr="00167520">
        <w:rPr>
          <w:rFonts w:ascii="Verdana" w:hAnsi="Verdana"/>
          <w:color w:val="000000" w:themeColor="text1"/>
        </w:rPr>
        <w:t>.</w:t>
      </w:r>
      <w:r w:rsidRPr="00167520">
        <w:rPr>
          <w:rFonts w:ascii="Verdana" w:hAnsi="Verdana" w:cs="Arial"/>
          <w:color w:val="000000" w:themeColor="text1"/>
          <w:shd w:val="clear" w:color="auto" w:fill="FFFFFF"/>
        </w:rPr>
        <w:t xml:space="preserve"> </w:t>
      </w:r>
      <w:r w:rsidRPr="00FE5A24">
        <w:rPr>
          <w:rFonts w:ascii="Verdana" w:hAnsi="Verdana" w:cs="Arial"/>
          <w:color w:val="000000" w:themeColor="text1"/>
          <w:shd w:val="clear" w:color="auto" w:fill="FFFFFF"/>
        </w:rPr>
        <w:t xml:space="preserve">Estos </w:t>
      </w:r>
      <w:r w:rsidRPr="00FE5A24">
        <w:rPr>
          <w:rStyle w:val="normaltextrun"/>
          <w:rFonts w:ascii="Verdana" w:hAnsi="Verdana" w:cs="Arial"/>
          <w:color w:val="000000" w:themeColor="text1"/>
          <w:shd w:val="clear" w:color="auto" w:fill="FFFFFF"/>
        </w:rPr>
        <w:t xml:space="preserve">se encuentran disponibles para consulta en el Sistema de relatoría de la Agencia, al cual puede accederse a través del siguiente enlace: </w:t>
      </w:r>
      <w:hyperlink r:id="rId12" w:history="1">
        <w:r w:rsidRPr="00401F64">
          <w:rPr>
            <w:rStyle w:val="Hyperlink"/>
            <w:rFonts w:ascii="Verdana" w:hAnsi="Verdana" w:cs="Arial"/>
            <w:shd w:val="clear" w:color="auto" w:fill="FFFFFF"/>
          </w:rPr>
          <w:t>https://relatoria.colombiacompra.gov.co/busqueda/conceptos</w:t>
        </w:r>
      </w:hyperlink>
      <w:r w:rsidRPr="00401F64">
        <w:rPr>
          <w:rStyle w:val="Hyperlink"/>
        </w:rPr>
        <w:t>.</w:t>
      </w:r>
      <w:r w:rsidRPr="00FE5A24">
        <w:rPr>
          <w:rStyle w:val="normaltextrun"/>
          <w:rFonts w:ascii="Verdana" w:hAnsi="Verdana" w:cs="Arial"/>
          <w:color w:val="000000" w:themeColor="text1"/>
          <w:shd w:val="clear" w:color="auto" w:fill="FFFFFF"/>
        </w:rPr>
        <w:t xml:space="preserve"> </w:t>
      </w:r>
      <w:r w:rsidRPr="00FE5A24">
        <w:rPr>
          <w:rStyle w:val="normaltextrun"/>
          <w:rFonts w:ascii="Verdana" w:hAnsi="Verdana" w:cs="Arial"/>
          <w:color w:val="000000" w:themeColor="text1"/>
          <w:shd w:val="clear" w:color="auto" w:fill="FFFFFF"/>
          <w:lang w:val="es-ES"/>
        </w:rPr>
        <w:t xml:space="preserve"> </w:t>
      </w:r>
    </w:p>
    <w:p w14:paraId="19D39DB3" w14:textId="77777777" w:rsidR="006A648E" w:rsidRPr="00FE5A24" w:rsidRDefault="006A648E" w:rsidP="006A648E">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p>
    <w:p w14:paraId="66558C81" w14:textId="77777777" w:rsidR="006A648E" w:rsidRDefault="006A648E" w:rsidP="006A648E">
      <w:pPr>
        <w:widowControl w:val="0"/>
        <w:autoSpaceDE w:val="0"/>
        <w:autoSpaceDN w:val="0"/>
        <w:spacing w:after="0" w:line="276" w:lineRule="auto"/>
        <w:jc w:val="both"/>
        <w:rPr>
          <w:rFonts w:ascii="Verdana" w:hAnsi="Verdana" w:cs="Arial"/>
          <w:color w:val="FF0000"/>
          <w:shd w:val="clear" w:color="auto" w:fill="FFFFFF"/>
          <w:lang w:val="es-ES"/>
        </w:rPr>
      </w:pPr>
      <w:r>
        <w:rPr>
          <w:rStyle w:val="normaltextrun"/>
          <w:rFonts w:ascii="Verdana" w:hAnsi="Verdana"/>
          <w:lang w:val="es-ES"/>
        </w:rPr>
        <w:t>L</w:t>
      </w:r>
      <w:r w:rsidRPr="009E61FE">
        <w:rPr>
          <w:rStyle w:val="normaltextrun"/>
          <w:rFonts w:ascii="Verdana" w:hAnsi="Verdana"/>
          <w:lang w:val="es-ES"/>
        </w:rPr>
        <w:t>e informamos que ya se encuentra disponible la Cartilla para incentivar y fortalecer el acceso a las compras y contratación pública de los pueblos y comunidades étnicas en Colombia.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r:id="rId13" w:tgtFrame="_blank" w:tooltip="Original URL: https://www.colombiacompra.gov.co/manuales-guias-y-pliegos-tipo/manuales-y-guias/cartilla-para-incentivar-y-fortalecer-el-acceso-las. Click or tap if you trust this link." w:history="1">
        <w:r w:rsidRPr="009E61FE">
          <w:rPr>
            <w:rStyle w:val="Hyperlink"/>
            <w:rFonts w:ascii="Verdana" w:hAnsi="Verdana" w:cs="Arial"/>
            <w:shd w:val="clear" w:color="auto" w:fill="FFFFFF"/>
          </w:rPr>
          <w:t>Cartilla para incentivar y fortalecer el acceso a las compras y contratación pública de los pueblos y comunidades étnicas en Colombia | Colombia Compra Eficiente | Agencia Nacional de Contratación Pública</w:t>
        </w:r>
      </w:hyperlink>
    </w:p>
    <w:p w14:paraId="7AFC1EB4" w14:textId="77777777" w:rsidR="006A648E" w:rsidRPr="009E61FE" w:rsidRDefault="006A648E" w:rsidP="006A648E">
      <w:pPr>
        <w:widowControl w:val="0"/>
        <w:autoSpaceDE w:val="0"/>
        <w:autoSpaceDN w:val="0"/>
        <w:spacing w:after="0" w:line="276" w:lineRule="auto"/>
        <w:jc w:val="both"/>
        <w:rPr>
          <w:rFonts w:ascii="Verdana" w:hAnsi="Verdana" w:cs="Arial"/>
          <w:color w:val="FF0000"/>
          <w:shd w:val="clear" w:color="auto" w:fill="FFFFFF"/>
        </w:rPr>
      </w:pPr>
    </w:p>
    <w:p w14:paraId="3532EA89" w14:textId="77777777" w:rsidR="006A648E" w:rsidRDefault="006A648E" w:rsidP="006A648E">
      <w:pPr>
        <w:widowControl w:val="0"/>
        <w:autoSpaceDE w:val="0"/>
        <w:autoSpaceDN w:val="0"/>
        <w:spacing w:after="0" w:line="276" w:lineRule="auto"/>
        <w:jc w:val="both"/>
        <w:rPr>
          <w:rFonts w:ascii="Verdana" w:hAnsi="Verdana" w:cs="Arial"/>
          <w:color w:val="FF0000"/>
          <w:shd w:val="clear" w:color="auto" w:fill="FFFFFF"/>
          <w:lang w:val="es-ES"/>
        </w:rPr>
      </w:pPr>
      <w:r w:rsidRPr="009E61FE">
        <w:rPr>
          <w:rFonts w:ascii="Verdana" w:hAnsi="Verdana" w:cs="Arial"/>
          <w:color w:val="000000" w:themeColor="text1"/>
          <w:shd w:val="clear" w:color="auto" w:fill="FFFFFF"/>
        </w:rPr>
        <w:t>De otra parte, informamos que, con el objetivo de garantizar un conocimiento adecuado de las </w:t>
      </w:r>
      <w:r w:rsidRPr="009E61FE">
        <w:rPr>
          <w:rFonts w:ascii="Verdana" w:hAnsi="Verdana" w:cs="Arial"/>
          <w:b/>
          <w:color w:val="000000" w:themeColor="text1"/>
          <w:shd w:val="clear" w:color="auto" w:fill="FFFFFF"/>
        </w:rPr>
        <w:t>modificaciones y/o actualizaciones realizadas a los Documentos Tipo</w:t>
      </w:r>
      <w:r w:rsidRPr="009E61FE">
        <w:rPr>
          <w:rFonts w:ascii="Verdana" w:hAnsi="Verdana" w:cs="Arial"/>
          <w:color w:val="000000" w:themeColor="text1"/>
          <w:shd w:val="clear" w:color="auto" w:fill="FFFFFF"/>
        </w:rPr>
        <w:t>, hemos programado una serie de </w:t>
      </w:r>
      <w:r w:rsidRPr="009E61FE">
        <w:rPr>
          <w:rFonts w:ascii="Verdana" w:hAnsi="Verdana" w:cs="Arial"/>
          <w:b/>
          <w:color w:val="000000" w:themeColor="text1"/>
          <w:shd w:val="clear" w:color="auto" w:fill="FFFFFF"/>
        </w:rPr>
        <w:t>capacitaciones </w:t>
      </w:r>
      <w:r w:rsidRPr="009E61FE">
        <w:rPr>
          <w:rFonts w:ascii="Verdana" w:hAnsi="Verdana" w:cs="Arial"/>
          <w:color w:val="000000" w:themeColor="text1"/>
          <w:shd w:val="clear" w:color="auto" w:fill="FFFFFF"/>
        </w:rPr>
        <w:t xml:space="preserve">dirigidas a todos los actores involucrados en los procesos de selección. Podrá conocer la programación y realizar </w:t>
      </w:r>
      <w:r>
        <w:rPr>
          <w:rFonts w:ascii="Verdana" w:hAnsi="Verdana" w:cs="Arial"/>
          <w:color w:val="000000" w:themeColor="text1"/>
          <w:shd w:val="clear" w:color="auto" w:fill="FFFFFF"/>
        </w:rPr>
        <w:t>s</w:t>
      </w:r>
      <w:r w:rsidRPr="009E61FE">
        <w:rPr>
          <w:rFonts w:ascii="Verdana" w:hAnsi="Verdana" w:cs="Arial"/>
          <w:color w:val="000000" w:themeColor="text1"/>
          <w:shd w:val="clear" w:color="auto" w:fill="FFFFFF"/>
        </w:rPr>
        <w:t>u inscripción a estas capacitaciones a través del siguiente enlace: </w:t>
      </w:r>
      <w:hyperlink r:id="rId14" w:tgtFrame="_blank" w:tooltip="Original URL: https://www.colombiacompra.gov.co/ciudadanos/calendario. Click or tap if you trust this link." w:history="1">
        <w:r w:rsidRPr="009E61FE">
          <w:rPr>
            <w:rStyle w:val="Hyperlink"/>
            <w:rFonts w:ascii="Verdana" w:hAnsi="Verdana" w:cs="Arial"/>
            <w:shd w:val="clear" w:color="auto" w:fill="FFFFFF"/>
          </w:rPr>
          <w:t>Calendario | Colombia Compra Eficiente | Agencia Nacional de Contratación Pública</w:t>
        </w:r>
      </w:hyperlink>
    </w:p>
    <w:p w14:paraId="7D5C4915" w14:textId="77777777" w:rsidR="006A648E" w:rsidRPr="009E61FE" w:rsidRDefault="006A648E" w:rsidP="006A648E">
      <w:pPr>
        <w:widowControl w:val="0"/>
        <w:autoSpaceDE w:val="0"/>
        <w:autoSpaceDN w:val="0"/>
        <w:spacing w:after="0" w:line="276" w:lineRule="auto"/>
        <w:jc w:val="both"/>
        <w:rPr>
          <w:rFonts w:ascii="Verdana" w:hAnsi="Verdana" w:cs="Arial"/>
          <w:color w:val="FF0000"/>
          <w:shd w:val="clear" w:color="auto" w:fill="FFFFFF"/>
        </w:rPr>
      </w:pPr>
    </w:p>
    <w:p w14:paraId="586C9720" w14:textId="77777777" w:rsidR="006A648E" w:rsidRPr="009E61FE" w:rsidRDefault="006A648E" w:rsidP="006A648E">
      <w:pPr>
        <w:widowControl w:val="0"/>
        <w:autoSpaceDE w:val="0"/>
        <w:autoSpaceDN w:val="0"/>
        <w:spacing w:after="0" w:line="276" w:lineRule="auto"/>
        <w:jc w:val="both"/>
        <w:rPr>
          <w:rFonts w:ascii="Verdana" w:hAnsi="Verdana" w:cs="Arial"/>
          <w:color w:val="FF0000"/>
          <w:shd w:val="clear" w:color="auto" w:fill="FFFFFF"/>
        </w:rPr>
      </w:pPr>
      <w:r w:rsidRPr="009E61FE">
        <w:rPr>
          <w:rFonts w:ascii="Verdana" w:hAnsi="Verdana" w:cs="Arial"/>
          <w:color w:val="000000" w:themeColor="text1"/>
          <w:shd w:val="clear" w:color="auto" w:fill="FFFFFF"/>
        </w:rPr>
        <w:t xml:space="preserve">También, </w:t>
      </w:r>
      <w:r>
        <w:rPr>
          <w:rFonts w:ascii="Verdana" w:hAnsi="Verdana" w:cs="Arial"/>
          <w:color w:val="000000" w:themeColor="text1"/>
          <w:shd w:val="clear" w:color="auto" w:fill="FFFFFF"/>
        </w:rPr>
        <w:t>l</w:t>
      </w:r>
      <w:r w:rsidRPr="009E61FE">
        <w:rPr>
          <w:rFonts w:ascii="Verdana" w:hAnsi="Verdana" w:cs="Arial"/>
          <w:color w:val="000000" w:themeColor="text1"/>
          <w:shd w:val="clear" w:color="auto" w:fill="FFFFFF"/>
        </w:rPr>
        <w:t>e contamos que ya publicamos </w:t>
      </w:r>
      <w:r w:rsidRPr="009E61FE">
        <w:rPr>
          <w:rFonts w:ascii="Verdana" w:hAnsi="Verdana" w:cs="Arial"/>
          <w:b/>
          <w:color w:val="000000" w:themeColor="text1"/>
          <w:shd w:val="clear" w:color="auto" w:fill="FFFFFF"/>
        </w:rPr>
        <w:t>la nueva Guía de Contratación Pública Sostenible y Socialmente Responsable</w:t>
      </w:r>
      <w:r w:rsidRPr="009E61FE">
        <w:rPr>
          <w:rFonts w:ascii="Verdana" w:hAnsi="Verdana" w:cs="Arial"/>
          <w:color w:val="000000" w:themeColor="text1"/>
          <w:shd w:val="clear" w:color="auto" w:fill="FFFFFF"/>
        </w:rPr>
        <w:t xml:space="preserve">. Esta guía es un instrumento clave para integrar buenas prácticas en la contratación estatal, promoviendo los </w:t>
      </w:r>
      <w:r w:rsidRPr="009E61FE">
        <w:rPr>
          <w:rFonts w:ascii="Verdana" w:hAnsi="Verdana" w:cs="Arial"/>
          <w:color w:val="000000" w:themeColor="text1"/>
          <w:shd w:val="clear" w:color="auto" w:fill="FFFFFF"/>
        </w:rPr>
        <w:lastRenderedPageBreak/>
        <w:t>Objetivos de Desarrollo Sostenible (ODS) a través de criterios y obligaciones ambientales y sociales en todas las etapas del proceso. Puede consultar la guía en el siguiente enlace: </w:t>
      </w:r>
      <w:hyperlink r:id="rId15" w:tgtFrame="_blank" w:tooltip="Original URL: https://www.colombiacompra.gov.co/manuales-guias-y-pliegos-tipo/manuales-y-guias/guia-de-contratacion-publica-sostenible-y-socialmente. Click or tap if you trust this link." w:history="1">
        <w:r w:rsidRPr="009E61FE">
          <w:rPr>
            <w:rStyle w:val="Hyperlink"/>
            <w:rFonts w:ascii="Verdana" w:hAnsi="Verdana" w:cs="Arial"/>
            <w:shd w:val="clear" w:color="auto" w:fill="FFFFFF"/>
          </w:rPr>
          <w:t>Guía de Contratación Pública Sostenible y Socialmente Responsable | Colombia Compra Eficiente | Agencia Nacional de Contratación Pública</w:t>
        </w:r>
      </w:hyperlink>
    </w:p>
    <w:p w14:paraId="58EE8110" w14:textId="77777777" w:rsidR="006A648E" w:rsidRDefault="006A648E" w:rsidP="006A648E">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50DA25DE" w14:textId="77777777" w:rsidR="006A648E" w:rsidRPr="003E2460" w:rsidRDefault="006A648E" w:rsidP="006A648E">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5BEB946E" w14:textId="77777777" w:rsidR="006A648E" w:rsidRPr="003E2460" w:rsidRDefault="006A648E" w:rsidP="006A648E">
      <w:pPr>
        <w:spacing w:after="0" w:line="240" w:lineRule="auto"/>
        <w:jc w:val="both"/>
        <w:rPr>
          <w:rFonts w:ascii="Verdana" w:hAnsi="Verdana"/>
        </w:rPr>
      </w:pPr>
    </w:p>
    <w:p w14:paraId="77AA378B" w14:textId="77777777" w:rsidR="006A648E" w:rsidRPr="003E2460" w:rsidRDefault="006A648E" w:rsidP="006A648E">
      <w:pPr>
        <w:spacing w:after="0" w:line="240" w:lineRule="auto"/>
        <w:jc w:val="both"/>
        <w:rPr>
          <w:rFonts w:ascii="Verdana" w:hAnsi="Verdana"/>
        </w:rPr>
      </w:pPr>
      <w:r w:rsidRPr="003E2460">
        <w:rPr>
          <w:rFonts w:ascii="Verdana" w:hAnsi="Verdana"/>
        </w:rPr>
        <w:t xml:space="preserve">Twitter: </w:t>
      </w:r>
      <w:r w:rsidRPr="00386BAA">
        <w:rPr>
          <w:rStyle w:val="Hyperlink"/>
          <w:rFonts w:ascii="Verdana" w:hAnsi="Verdana" w:cs="Arial"/>
          <w:shd w:val="clear" w:color="auto" w:fill="FFFFFF"/>
        </w:rPr>
        <w:t>@colombiacompra</w:t>
      </w:r>
      <w:r w:rsidRPr="003E2460">
        <w:rPr>
          <w:rFonts w:ascii="Verdana" w:hAnsi="Verdana"/>
          <w:color w:val="156082" w:themeColor="accent1"/>
        </w:rPr>
        <w:t xml:space="preserve"> </w:t>
      </w:r>
    </w:p>
    <w:p w14:paraId="5821CBCD" w14:textId="77777777" w:rsidR="006A648E" w:rsidRPr="003E2460" w:rsidRDefault="006A648E" w:rsidP="006A648E">
      <w:pPr>
        <w:spacing w:after="0" w:line="240" w:lineRule="auto"/>
        <w:jc w:val="both"/>
        <w:rPr>
          <w:rFonts w:ascii="Verdana" w:hAnsi="Verdana"/>
        </w:rPr>
      </w:pPr>
      <w:r w:rsidRPr="003E2460">
        <w:rPr>
          <w:rFonts w:ascii="Verdana" w:hAnsi="Verdana"/>
        </w:rPr>
        <w:t xml:space="preserve">Facebook: </w:t>
      </w:r>
      <w:proofErr w:type="spellStart"/>
      <w:r w:rsidRPr="00386BAA">
        <w:rPr>
          <w:rStyle w:val="Hyperlink"/>
          <w:rFonts w:ascii="Verdana" w:hAnsi="Verdana" w:cs="Arial"/>
          <w:shd w:val="clear" w:color="auto" w:fill="FFFFFF"/>
        </w:rPr>
        <w:t>ColombiaCompraEficiente</w:t>
      </w:r>
      <w:proofErr w:type="spellEnd"/>
    </w:p>
    <w:p w14:paraId="23945E80" w14:textId="77777777" w:rsidR="006A648E" w:rsidRPr="003E2460" w:rsidRDefault="006A648E" w:rsidP="006A648E">
      <w:pPr>
        <w:spacing w:after="0" w:line="240" w:lineRule="auto"/>
        <w:jc w:val="both"/>
        <w:rPr>
          <w:rFonts w:ascii="Verdana" w:hAnsi="Verdana"/>
        </w:rPr>
      </w:pPr>
      <w:r w:rsidRPr="003E2460">
        <w:rPr>
          <w:rFonts w:ascii="Verdana" w:hAnsi="Verdana"/>
        </w:rPr>
        <w:t xml:space="preserve">LinkedIn: </w:t>
      </w:r>
      <w:r w:rsidRPr="00386BAA">
        <w:rPr>
          <w:rStyle w:val="Hyperlink"/>
          <w:rFonts w:ascii="Verdana" w:hAnsi="Verdana" w:cs="Arial"/>
          <w:shd w:val="clear" w:color="auto" w:fill="FFFFFF"/>
        </w:rPr>
        <w:t>Agencia Nacional de Contratación Pública - Colombia Compra Eficiente</w:t>
      </w:r>
      <w:r w:rsidRPr="00386BAA">
        <w:rPr>
          <w:rStyle w:val="Hyperlink"/>
          <w:rFonts w:cs="Arial"/>
          <w:shd w:val="clear" w:color="auto" w:fill="FFFFFF"/>
        </w:rPr>
        <w:t xml:space="preserve"> </w:t>
      </w:r>
      <w:r w:rsidRPr="003E2460">
        <w:rPr>
          <w:rFonts w:ascii="Verdana" w:hAnsi="Verdana"/>
        </w:rPr>
        <w:t xml:space="preserve">Instagram: </w:t>
      </w:r>
      <w:r w:rsidRPr="00386BAA">
        <w:rPr>
          <w:rStyle w:val="Hyperlink"/>
          <w:rFonts w:ascii="Verdana" w:hAnsi="Verdana" w:cs="Arial"/>
          <w:shd w:val="clear" w:color="auto" w:fill="FFFFFF"/>
        </w:rPr>
        <w:t>@colombiacompraeficiente_cce</w:t>
      </w:r>
    </w:p>
    <w:p w14:paraId="0DFA24FA" w14:textId="77777777" w:rsidR="006A648E" w:rsidRPr="00FE5A24" w:rsidRDefault="006A648E" w:rsidP="006A648E">
      <w:pPr>
        <w:widowControl w:val="0"/>
        <w:autoSpaceDE w:val="0"/>
        <w:autoSpaceDN w:val="0"/>
        <w:spacing w:after="0" w:line="276" w:lineRule="auto"/>
        <w:jc w:val="both"/>
        <w:rPr>
          <w:rFonts w:ascii="Verdana" w:hAnsi="Verdana" w:cs="Arial"/>
          <w:color w:val="000000" w:themeColor="text1"/>
        </w:rPr>
      </w:pPr>
    </w:p>
    <w:p w14:paraId="50694171" w14:textId="77777777" w:rsidR="006A648E" w:rsidRPr="00FE5A24" w:rsidRDefault="006A648E" w:rsidP="006A648E">
      <w:pPr>
        <w:widowControl w:val="0"/>
        <w:autoSpaceDE w:val="0"/>
        <w:autoSpaceDN w:val="0"/>
        <w:spacing w:after="0" w:line="276" w:lineRule="auto"/>
        <w:jc w:val="both"/>
        <w:rPr>
          <w:rFonts w:ascii="Verdana" w:hAnsi="Verdana" w:cs="Arial"/>
          <w:color w:val="000000" w:themeColor="text1"/>
          <w:lang w:val="es-ES_tradnl"/>
        </w:rPr>
      </w:pPr>
      <w:r w:rsidRPr="00FE5A24">
        <w:rPr>
          <w:rFonts w:ascii="Verdana" w:hAnsi="Verdana" w:cs="Arial"/>
          <w:color w:val="000000" w:themeColor="text1"/>
        </w:rPr>
        <w:t xml:space="preserve">Este concepto tiene el alcance previsto en el artículo 28 del Código de Procedimiento Administrativo y de lo Contencioso Administrativo </w:t>
      </w:r>
      <w:r w:rsidRPr="00FE5A24">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710075D9" w14:textId="77777777" w:rsidR="006A648E" w:rsidRPr="00FE5A24" w:rsidRDefault="006A648E" w:rsidP="006A648E">
      <w:pPr>
        <w:widowControl w:val="0"/>
        <w:autoSpaceDE w:val="0"/>
        <w:autoSpaceDN w:val="0"/>
        <w:spacing w:after="0" w:line="276" w:lineRule="auto"/>
        <w:jc w:val="both"/>
        <w:rPr>
          <w:rFonts w:ascii="Verdana" w:hAnsi="Verdana" w:cs="Arial"/>
          <w:color w:val="000000" w:themeColor="text1"/>
        </w:rPr>
      </w:pPr>
    </w:p>
    <w:p w14:paraId="39B5F1F4" w14:textId="77777777" w:rsidR="006A648E" w:rsidRPr="00FE5A24" w:rsidRDefault="006A648E" w:rsidP="006A648E">
      <w:pPr>
        <w:spacing w:after="0" w:line="240" w:lineRule="auto"/>
        <w:rPr>
          <w:rFonts w:ascii="Verdana" w:hAnsi="Verdana" w:cs="Arial"/>
          <w:color w:val="000000" w:themeColor="text1"/>
          <w:lang w:eastAsia="es-CO"/>
        </w:rPr>
      </w:pPr>
      <w:r w:rsidRPr="00FE5A24">
        <w:rPr>
          <w:rFonts w:ascii="Verdana" w:eastAsia="Times New Roman" w:hAnsi="Verdana" w:cs="Arial"/>
          <w:color w:val="000000" w:themeColor="text1"/>
          <w:lang w:eastAsia="es-CO"/>
        </w:rPr>
        <w:t>Atentamente,</w:t>
      </w:r>
      <w:r w:rsidRPr="00FE5A24">
        <w:rPr>
          <w:rFonts w:ascii="Verdana" w:hAnsi="Verdana" w:cs="Arial"/>
          <w:color w:val="000000" w:themeColor="text1"/>
          <w:lang w:eastAsia="es-CO"/>
        </w:rPr>
        <w:t xml:space="preserve"> </w:t>
      </w:r>
    </w:p>
    <w:p w14:paraId="140FFBAE" w14:textId="4FB6D7EB" w:rsidR="006A648E" w:rsidRPr="00FE5A24" w:rsidRDefault="00DE5870" w:rsidP="006A648E">
      <w:pPr>
        <w:spacing w:line="276" w:lineRule="auto"/>
        <w:jc w:val="center"/>
        <w:rPr>
          <w:rFonts w:ascii="Verdana" w:hAnsi="Verdana" w:cs="Arial"/>
          <w:color w:val="000000" w:themeColor="text1"/>
          <w:lang w:val="es-ES_tradnl" w:eastAsia="es-CO"/>
        </w:rPr>
      </w:pPr>
      <w:r w:rsidRPr="002C3AD6">
        <w:rPr>
          <w:rFonts w:ascii="Century Gothic" w:hAnsi="Century Gothic"/>
          <w:noProof/>
        </w:rPr>
        <w:drawing>
          <wp:inline distT="0" distB="0" distL="0" distR="0" wp14:anchorId="3486452A" wp14:editId="1E181A3A">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A648E" w:rsidRPr="003751C7" w14:paraId="15FEF3C8" w14:textId="77777777" w:rsidTr="00D13F89">
        <w:trPr>
          <w:trHeight w:val="315"/>
        </w:trPr>
        <w:tc>
          <w:tcPr>
            <w:tcW w:w="893" w:type="dxa"/>
            <w:vAlign w:val="center"/>
            <w:hideMark/>
          </w:tcPr>
          <w:p w14:paraId="4436F41D" w14:textId="77777777" w:rsidR="006A648E" w:rsidRPr="003751C7" w:rsidRDefault="006A648E" w:rsidP="00D13F89">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B3FD554" w14:textId="77777777" w:rsidR="006A648E" w:rsidRPr="00FF1EF8" w:rsidRDefault="006A648E" w:rsidP="00D13F89">
            <w:pPr>
              <w:contextualSpacing/>
              <w:rPr>
                <w:rFonts w:ascii="Verdana" w:eastAsia="Arial" w:hAnsi="Verdana" w:cs="Arial"/>
                <w:color w:val="000000" w:themeColor="text1"/>
                <w:sz w:val="16"/>
                <w:szCs w:val="16"/>
              </w:rPr>
            </w:pPr>
            <w:r w:rsidRPr="00FF1EF8">
              <w:rPr>
                <w:rFonts w:ascii="Verdana" w:eastAsia="Arial" w:hAnsi="Verdana" w:cs="Arial"/>
                <w:color w:val="000000" w:themeColor="text1"/>
                <w:sz w:val="16"/>
                <w:szCs w:val="16"/>
              </w:rPr>
              <w:t>Anamaría Bonilla Prieto</w:t>
            </w:r>
          </w:p>
          <w:p w14:paraId="2AE7B45C" w14:textId="77777777" w:rsidR="006A648E" w:rsidRPr="003751C7" w:rsidRDefault="006A648E" w:rsidP="00D13F89">
            <w:pPr>
              <w:contextualSpacing/>
              <w:rPr>
                <w:rFonts w:ascii="Verdana" w:eastAsia="Arial" w:hAnsi="Verdana" w:cs="Arial"/>
                <w:sz w:val="16"/>
                <w:szCs w:val="16"/>
              </w:rPr>
            </w:pPr>
            <w:r w:rsidRPr="00FF1EF8">
              <w:rPr>
                <w:rStyle w:val="normaltextrun"/>
                <w:rFonts w:ascii="Verdana" w:eastAsia="Arial" w:hAnsi="Verdana" w:cs="Arial"/>
                <w:color w:val="000000" w:themeColor="text1"/>
                <w:sz w:val="16"/>
                <w:szCs w:val="16"/>
              </w:rPr>
              <w:t xml:space="preserve">Contratista de la Subdirección </w:t>
            </w:r>
            <w:r w:rsidRPr="003751C7">
              <w:rPr>
                <w:rStyle w:val="normaltextrun"/>
                <w:rFonts w:ascii="Verdana" w:eastAsia="Arial" w:hAnsi="Verdana" w:cs="Arial"/>
                <w:sz w:val="16"/>
                <w:szCs w:val="16"/>
              </w:rPr>
              <w:t>de Gestión Contractual</w:t>
            </w:r>
          </w:p>
        </w:tc>
      </w:tr>
      <w:tr w:rsidR="006A648E" w:rsidRPr="003751C7" w14:paraId="47FD5554" w14:textId="77777777" w:rsidTr="00D13F89">
        <w:trPr>
          <w:trHeight w:val="330"/>
        </w:trPr>
        <w:tc>
          <w:tcPr>
            <w:tcW w:w="893" w:type="dxa"/>
            <w:vAlign w:val="center"/>
            <w:hideMark/>
          </w:tcPr>
          <w:p w14:paraId="70DB08A2" w14:textId="77777777" w:rsidR="006A648E" w:rsidRPr="003751C7" w:rsidRDefault="006A648E" w:rsidP="00D13F89">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DE72BE9" w14:textId="77777777" w:rsidR="006A648E" w:rsidRPr="00B6469F" w:rsidRDefault="006A648E" w:rsidP="00D13F89">
            <w:pPr>
              <w:contextualSpacing/>
              <w:textAlignment w:val="baseline"/>
              <w:rPr>
                <w:rFonts w:ascii="Verdana" w:eastAsia="Times New Roman" w:hAnsi="Verdana" w:cs="Arial"/>
                <w:sz w:val="16"/>
                <w:szCs w:val="16"/>
                <w:lang w:val="es-ES" w:eastAsia="es-ES_tradnl"/>
              </w:rPr>
            </w:pPr>
            <w:r>
              <w:rPr>
                <w:rFonts w:ascii="Verdana" w:eastAsia="Times New Roman" w:hAnsi="Verdana" w:cs="Arial"/>
                <w:sz w:val="16"/>
                <w:szCs w:val="16"/>
                <w:lang w:val="es-ES" w:eastAsia="es-ES_tradnl"/>
              </w:rPr>
              <w:t>Diana Lucía Saavedra Castañeda</w:t>
            </w:r>
          </w:p>
          <w:p w14:paraId="488C4344" w14:textId="77777777" w:rsidR="006A648E" w:rsidRPr="003751C7" w:rsidRDefault="006A648E" w:rsidP="00D13F89">
            <w:pPr>
              <w:pStyle w:val="paragraph"/>
              <w:spacing w:before="0" w:beforeAutospacing="0" w:after="0" w:afterAutospacing="0"/>
              <w:contextualSpacing/>
              <w:textAlignment w:val="baseline"/>
              <w:rPr>
                <w:rFonts w:ascii="Verdana" w:hAnsi="Verdana" w:cs="Segoe UI"/>
                <w:sz w:val="16"/>
                <w:szCs w:val="16"/>
              </w:rPr>
            </w:pPr>
            <w:r w:rsidRPr="00904175">
              <w:rPr>
                <w:rStyle w:val="normaltextrun"/>
                <w:rFonts w:ascii="Verdana" w:hAnsi="Verdana" w:cs="Arial"/>
                <w:sz w:val="16"/>
                <w:szCs w:val="16"/>
                <w:lang w:val="es-ES"/>
              </w:rPr>
              <w:t xml:space="preserve">Contratista </w:t>
            </w:r>
            <w:r w:rsidRPr="003751C7">
              <w:rPr>
                <w:rStyle w:val="normaltextrun"/>
                <w:rFonts w:ascii="Verdana" w:hAnsi="Verdana" w:cs="Arial"/>
                <w:sz w:val="16"/>
                <w:szCs w:val="16"/>
                <w:lang w:val="es-ES"/>
              </w:rPr>
              <w:t>de la Subdirección de Gestión Contractual</w:t>
            </w:r>
            <w:r w:rsidRPr="003751C7">
              <w:rPr>
                <w:rStyle w:val="eop"/>
                <w:rFonts w:ascii="Verdana" w:hAnsi="Verdana" w:cs="Arial"/>
                <w:sz w:val="16"/>
                <w:szCs w:val="16"/>
              </w:rPr>
              <w:t> </w:t>
            </w:r>
          </w:p>
        </w:tc>
      </w:tr>
      <w:tr w:rsidR="006A648E" w:rsidRPr="003751C7" w14:paraId="1EE6BD09" w14:textId="77777777" w:rsidTr="00D13F89">
        <w:trPr>
          <w:trHeight w:val="300"/>
        </w:trPr>
        <w:tc>
          <w:tcPr>
            <w:tcW w:w="893" w:type="dxa"/>
            <w:vAlign w:val="center"/>
          </w:tcPr>
          <w:p w14:paraId="5CBF583F" w14:textId="77777777" w:rsidR="006A648E" w:rsidRPr="003751C7" w:rsidRDefault="006A648E" w:rsidP="00D13F89">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3A955D5" w14:textId="77777777" w:rsidR="006A648E" w:rsidRPr="003751C7" w:rsidRDefault="006A648E" w:rsidP="00D13F89">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024EAA45" w14:textId="77777777" w:rsidR="006A648E" w:rsidRPr="003751C7" w:rsidRDefault="006A648E" w:rsidP="00D13F89">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14EEBCF2" w14:textId="77777777" w:rsidR="006A648E" w:rsidRPr="0044528D" w:rsidRDefault="006A648E" w:rsidP="006A648E">
      <w:pPr>
        <w:spacing w:after="0"/>
        <w:rPr>
          <w:rFonts w:ascii="Verdana" w:hAnsi="Verdana"/>
        </w:rPr>
      </w:pPr>
    </w:p>
    <w:bookmarkEnd w:id="0"/>
    <w:p w14:paraId="40CBA65D" w14:textId="77777777" w:rsidR="006A648E" w:rsidRDefault="006A648E"/>
    <w:sectPr w:rsidR="006A648E" w:rsidSect="006A648E">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72D91D" w14:textId="77777777" w:rsidR="003A2DAE" w:rsidRDefault="003A2DAE" w:rsidP="006A648E">
      <w:pPr>
        <w:spacing w:after="0" w:line="240" w:lineRule="auto"/>
      </w:pPr>
      <w:r>
        <w:separator/>
      </w:r>
    </w:p>
  </w:endnote>
  <w:endnote w:type="continuationSeparator" w:id="0">
    <w:p w14:paraId="17F1A48A" w14:textId="77777777" w:rsidR="003A2DAE" w:rsidRDefault="003A2DAE" w:rsidP="006A64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604020202020204"/>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4E83BF" w14:textId="77777777" w:rsidR="0021487A" w:rsidRDefault="0021487A">
    <w:pPr>
      <w:pStyle w:val="Footer"/>
    </w:pPr>
  </w:p>
  <w:p w14:paraId="5A21147F" w14:textId="77777777" w:rsidR="0021487A" w:rsidRPr="00174B77" w:rsidRDefault="00000000"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421C2B5F" w14:textId="77777777" w:rsidR="0021487A" w:rsidRDefault="00000000"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4DB8B02E" w14:textId="77777777" w:rsidR="0021487A" w:rsidRPr="00E41027" w:rsidRDefault="00000000" w:rsidP="00D520D8">
    <w:pPr>
      <w:spacing w:after="0"/>
      <w:jc w:val="both"/>
      <w:rPr>
        <w:rFonts w:ascii="Verdana" w:hAnsi="Verdana"/>
        <w:sz w:val="18"/>
        <w:szCs w:val="18"/>
      </w:rPr>
    </w:pPr>
    <w:r w:rsidRPr="00E41027">
      <w:rPr>
        <w:rFonts w:ascii="Verdana" w:hAnsi="Verdana"/>
        <w:sz w:val="18"/>
        <w:szCs w:val="18"/>
      </w:rPr>
      <w:t>Mesa de servicio: (+57) 601 7456788</w:t>
    </w:r>
  </w:p>
  <w:p w14:paraId="414BB84A" w14:textId="77777777" w:rsidR="0021487A" w:rsidRDefault="00000000"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2EE0C6" w14:textId="77777777" w:rsidR="003A2DAE" w:rsidRDefault="003A2DAE" w:rsidP="006A648E">
      <w:pPr>
        <w:spacing w:after="0" w:line="240" w:lineRule="auto"/>
      </w:pPr>
      <w:r>
        <w:separator/>
      </w:r>
    </w:p>
  </w:footnote>
  <w:footnote w:type="continuationSeparator" w:id="0">
    <w:p w14:paraId="335AE154" w14:textId="77777777" w:rsidR="003A2DAE" w:rsidRDefault="003A2DAE" w:rsidP="006A648E">
      <w:pPr>
        <w:spacing w:after="0" w:line="240" w:lineRule="auto"/>
      </w:pPr>
      <w:r>
        <w:continuationSeparator/>
      </w:r>
    </w:p>
  </w:footnote>
  <w:footnote w:id="1">
    <w:p w14:paraId="7850103A" w14:textId="77777777" w:rsidR="006A648E" w:rsidRPr="0008723A" w:rsidRDefault="006A648E" w:rsidP="006A648E">
      <w:pPr>
        <w:pStyle w:val="FootnoteText"/>
        <w:ind w:firstLine="708"/>
        <w:jc w:val="both"/>
        <w:rPr>
          <w:rFonts w:ascii="Verdana" w:hAnsi="Verdana"/>
          <w:sz w:val="16"/>
          <w:szCs w:val="16"/>
          <w:lang w:val="es-ES"/>
        </w:rPr>
      </w:pPr>
      <w:r w:rsidRPr="0008723A">
        <w:rPr>
          <w:rStyle w:val="FootnoteReference"/>
          <w:rFonts w:ascii="Verdana" w:hAnsi="Verdana"/>
          <w:sz w:val="16"/>
          <w:szCs w:val="16"/>
        </w:rPr>
        <w:footnoteRef/>
      </w:r>
      <w:r w:rsidRPr="0008723A">
        <w:rPr>
          <w:rFonts w:ascii="Verdana" w:hAnsi="Verdana"/>
          <w:sz w:val="16"/>
          <w:szCs w:val="16"/>
        </w:rPr>
        <w:t xml:space="preserve"> CORTE CONSTITUCIONAL. Sentencia C-949 del 5 de septiembre de 2001. M.P. Clara Inés Vargas Hernández.  </w:t>
      </w:r>
    </w:p>
  </w:footnote>
  <w:footnote w:id="2">
    <w:p w14:paraId="328B7A4E" w14:textId="77777777" w:rsidR="006A648E" w:rsidRPr="0008723A" w:rsidRDefault="006A648E" w:rsidP="006A648E">
      <w:pPr>
        <w:pStyle w:val="FootnoteText"/>
        <w:ind w:firstLine="708"/>
        <w:rPr>
          <w:rFonts w:ascii="Verdana" w:hAnsi="Verdana"/>
          <w:sz w:val="16"/>
          <w:szCs w:val="16"/>
          <w:lang w:val="es-ES"/>
        </w:rPr>
      </w:pPr>
      <w:r w:rsidRPr="0008723A">
        <w:rPr>
          <w:rStyle w:val="FootnoteReference"/>
          <w:rFonts w:ascii="Verdana" w:hAnsi="Verdana"/>
          <w:sz w:val="16"/>
          <w:szCs w:val="16"/>
        </w:rPr>
        <w:footnoteRef/>
      </w:r>
      <w:r w:rsidRPr="0008723A">
        <w:rPr>
          <w:rFonts w:ascii="Verdana" w:hAnsi="Verdana"/>
          <w:sz w:val="16"/>
          <w:szCs w:val="16"/>
        </w:rPr>
        <w:t xml:space="preserve"> </w:t>
      </w:r>
      <w:r w:rsidRPr="0008723A">
        <w:rPr>
          <w:rFonts w:ascii="Verdana" w:hAnsi="Verdana"/>
          <w:color w:val="000000" w:themeColor="text1"/>
          <w:sz w:val="16"/>
          <w:szCs w:val="16"/>
        </w:rPr>
        <w:t>Consejo de Estado, Sala de Consulta y Servicio Civil, concepto del 6 de noviembre de 2008. C.P. William Zambrano Cetina. Rad. 2008-00079-00(1927).</w:t>
      </w:r>
    </w:p>
  </w:footnote>
  <w:footnote w:id="3">
    <w:p w14:paraId="2BDFD848" w14:textId="77777777" w:rsidR="006A648E" w:rsidRPr="0008723A" w:rsidRDefault="006A648E" w:rsidP="006A648E">
      <w:pPr>
        <w:pStyle w:val="BodyText"/>
        <w:ind w:left="100" w:right="111" w:firstLine="608"/>
        <w:jc w:val="both"/>
        <w:rPr>
          <w:color w:val="000000" w:themeColor="text1"/>
          <w:sz w:val="16"/>
          <w:szCs w:val="16"/>
        </w:rPr>
      </w:pPr>
      <w:r w:rsidRPr="0008723A">
        <w:rPr>
          <w:rStyle w:val="FootnoteReference"/>
          <w:sz w:val="16"/>
          <w:szCs w:val="16"/>
        </w:rPr>
        <w:footnoteRef/>
      </w:r>
      <w:r w:rsidRPr="0008723A">
        <w:rPr>
          <w:sz w:val="16"/>
          <w:szCs w:val="16"/>
        </w:rPr>
        <w:t xml:space="preserve"> Parágrafo 1º del </w:t>
      </w:r>
      <w:r w:rsidRPr="0008723A">
        <w:rPr>
          <w:color w:val="000000" w:themeColor="text1"/>
          <w:sz w:val="16"/>
          <w:szCs w:val="16"/>
        </w:rPr>
        <w:t>Artículo 5 de la Ley 1882 de 2018, que modificó el parágrafo 1º del artículo 5 de la Ley 1150 de</w:t>
      </w:r>
      <w:r w:rsidRPr="0008723A">
        <w:rPr>
          <w:color w:val="000000" w:themeColor="text1"/>
          <w:spacing w:val="-11"/>
          <w:sz w:val="16"/>
          <w:szCs w:val="16"/>
        </w:rPr>
        <w:t xml:space="preserve"> </w:t>
      </w:r>
      <w:r w:rsidRPr="0008723A">
        <w:rPr>
          <w:color w:val="000000" w:themeColor="text1"/>
          <w:sz w:val="16"/>
          <w:szCs w:val="16"/>
        </w:rPr>
        <w:t>2007: “[…] Parágrafo 1º.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 Durante el término otorgado para subsanar las ofertas, los proponentes no podrán acreditar circunstancias ocurridas con posterioridad al cierre del proceso”.</w:t>
      </w:r>
    </w:p>
  </w:footnote>
  <w:footnote w:id="4">
    <w:p w14:paraId="457902BF" w14:textId="77777777" w:rsidR="006A648E" w:rsidRPr="0008723A" w:rsidRDefault="006A648E" w:rsidP="006A648E">
      <w:pPr>
        <w:pStyle w:val="FootnoteText"/>
        <w:ind w:firstLine="708"/>
        <w:jc w:val="both"/>
        <w:rPr>
          <w:rFonts w:ascii="Verdana" w:hAnsi="Verdana"/>
          <w:sz w:val="16"/>
          <w:szCs w:val="16"/>
          <w:lang w:val="es-ES"/>
        </w:rPr>
      </w:pPr>
      <w:r w:rsidRPr="0008723A">
        <w:rPr>
          <w:rStyle w:val="FootnoteReference"/>
          <w:rFonts w:ascii="Verdana" w:hAnsi="Verdana"/>
          <w:sz w:val="16"/>
          <w:szCs w:val="16"/>
        </w:rPr>
        <w:footnoteRef/>
      </w:r>
      <w:r w:rsidRPr="0008723A">
        <w:rPr>
          <w:rFonts w:ascii="Verdana" w:hAnsi="Verdana"/>
          <w:sz w:val="16"/>
          <w:szCs w:val="16"/>
        </w:rPr>
        <w:t xml:space="preserve"> Conc</w:t>
      </w:r>
      <w:r w:rsidRPr="0008723A">
        <w:rPr>
          <w:rFonts w:ascii="Verdana" w:eastAsia="Verdana" w:hAnsi="Verdana" w:cs="Verdana"/>
          <w:color w:val="000000" w:themeColor="text1"/>
          <w:sz w:val="16"/>
          <w:szCs w:val="16"/>
          <w:lang w:val="es-ES"/>
        </w:rPr>
        <w:t>epto No. C-936 del 18 de Diciembre 2024.</w:t>
      </w:r>
    </w:p>
  </w:footnote>
  <w:footnote w:id="5">
    <w:p w14:paraId="4E6B22E4" w14:textId="77777777" w:rsidR="006A648E" w:rsidRPr="0008723A" w:rsidRDefault="006A648E" w:rsidP="006A648E">
      <w:pPr>
        <w:pStyle w:val="FootnoteText"/>
        <w:ind w:firstLine="708"/>
        <w:jc w:val="both"/>
        <w:rPr>
          <w:rFonts w:ascii="Verdana" w:hAnsi="Verdana"/>
          <w:sz w:val="16"/>
          <w:szCs w:val="16"/>
          <w:lang w:val="es-ES"/>
        </w:rPr>
      </w:pPr>
      <w:r w:rsidRPr="0008723A">
        <w:rPr>
          <w:rStyle w:val="FootnoteReference"/>
          <w:rFonts w:ascii="Verdana" w:hAnsi="Verdana"/>
          <w:sz w:val="16"/>
          <w:szCs w:val="16"/>
        </w:rPr>
        <w:footnoteRef/>
      </w:r>
      <w:r w:rsidRPr="0008723A">
        <w:rPr>
          <w:rFonts w:ascii="Verdana" w:hAnsi="Verdana"/>
          <w:sz w:val="16"/>
          <w:szCs w:val="16"/>
        </w:rPr>
        <w:t xml:space="preserve"> Consejo de Estado. Sección Tercera. Sentencia del 27 de abril de 2011. Exp. 18.293. C.P. Ruth Stella Correa Palacio.</w:t>
      </w:r>
    </w:p>
  </w:footnote>
  <w:footnote w:id="6">
    <w:p w14:paraId="7F2665EF" w14:textId="77777777" w:rsidR="006A648E" w:rsidRPr="0008723A" w:rsidRDefault="006A648E" w:rsidP="006A648E">
      <w:pPr>
        <w:pStyle w:val="FootnoteText"/>
        <w:ind w:firstLine="708"/>
        <w:jc w:val="both"/>
        <w:rPr>
          <w:rFonts w:ascii="Verdana" w:hAnsi="Verdana"/>
          <w:sz w:val="16"/>
          <w:szCs w:val="16"/>
          <w:lang w:val="es-ES"/>
        </w:rPr>
      </w:pPr>
      <w:r w:rsidRPr="0008723A">
        <w:rPr>
          <w:rStyle w:val="FootnoteReference"/>
          <w:rFonts w:ascii="Verdana" w:hAnsi="Verdana"/>
          <w:sz w:val="16"/>
          <w:szCs w:val="16"/>
        </w:rPr>
        <w:footnoteRef/>
      </w:r>
      <w:r w:rsidRPr="0008723A">
        <w:rPr>
          <w:rFonts w:ascii="Verdana" w:hAnsi="Verdana"/>
          <w:sz w:val="16"/>
          <w:szCs w:val="16"/>
        </w:rPr>
        <w:t xml:space="preserve"> Consejo de Estado. Sección Tercera. Sentencia del 21 de noviembre de 2013 Exp. 25397. C.P. Carlos Alberto Zambrano Barrera.</w:t>
      </w:r>
    </w:p>
  </w:footnote>
  <w:footnote w:id="7">
    <w:p w14:paraId="7F216B3F" w14:textId="77777777" w:rsidR="006A648E" w:rsidRPr="0008723A" w:rsidRDefault="006A648E" w:rsidP="006A648E">
      <w:pPr>
        <w:pStyle w:val="FootnoteText"/>
        <w:ind w:firstLine="708"/>
        <w:jc w:val="both"/>
        <w:rPr>
          <w:rFonts w:ascii="Verdana" w:eastAsia="Times New Roman" w:hAnsi="Verdana" w:cs="Arial"/>
          <w:sz w:val="16"/>
          <w:szCs w:val="16"/>
          <w:lang w:val="es-CO" w:eastAsia="es-CO"/>
        </w:rPr>
      </w:pPr>
      <w:r w:rsidRPr="0008723A">
        <w:rPr>
          <w:rStyle w:val="FootnoteReference"/>
          <w:rFonts w:ascii="Verdana" w:hAnsi="Verdana" w:cs="Arial"/>
          <w:sz w:val="16"/>
          <w:szCs w:val="16"/>
        </w:rPr>
        <w:footnoteRef/>
      </w:r>
      <w:r w:rsidRPr="0008723A">
        <w:rPr>
          <w:rFonts w:ascii="Verdana" w:hAnsi="Verdana" w:cs="Arial"/>
          <w:sz w:val="16"/>
          <w:szCs w:val="16"/>
        </w:rPr>
        <w:t xml:space="preserve"> </w:t>
      </w:r>
      <w:r w:rsidRPr="0008723A">
        <w:rPr>
          <w:rFonts w:ascii="Verdana" w:eastAsia="Times New Roman" w:hAnsi="Verdana" w:cs="Arial"/>
          <w:sz w:val="16"/>
          <w:szCs w:val="16"/>
          <w:lang w:val="es-CO" w:eastAsia="es-CO"/>
        </w:rPr>
        <w:t>Consejo de Estado. Sección Tercera. Sentencia del 21 de noviembre de 2013  Exp. 25397. C.P. Carlos Alberto Zambrano Barrera.</w:t>
      </w:r>
    </w:p>
    <w:p w14:paraId="401C3F9B" w14:textId="77777777" w:rsidR="006A648E" w:rsidRPr="0008723A" w:rsidRDefault="006A648E" w:rsidP="006A648E">
      <w:pPr>
        <w:pStyle w:val="FootnoteText"/>
        <w:ind w:firstLine="709"/>
        <w:jc w:val="both"/>
        <w:rPr>
          <w:rFonts w:ascii="Verdana" w:eastAsia="Calibri" w:hAnsi="Verdana" w:cs="Arial"/>
          <w:sz w:val="16"/>
          <w:szCs w:val="16"/>
          <w:lang w:val="es-CO"/>
        </w:rPr>
      </w:pPr>
    </w:p>
  </w:footnote>
  <w:footnote w:id="8">
    <w:p w14:paraId="16C0F08F" w14:textId="77777777" w:rsidR="006A648E" w:rsidRPr="0008723A" w:rsidRDefault="006A648E" w:rsidP="006A648E">
      <w:pPr>
        <w:pBdr>
          <w:top w:val="nil"/>
          <w:left w:val="nil"/>
          <w:bottom w:val="nil"/>
          <w:right w:val="nil"/>
          <w:between w:val="nil"/>
        </w:pBdr>
        <w:spacing w:after="0" w:line="240" w:lineRule="auto"/>
        <w:ind w:firstLine="708"/>
        <w:jc w:val="both"/>
        <w:rPr>
          <w:rFonts w:ascii="Verdana" w:eastAsia="Arial" w:hAnsi="Verdana" w:cs="Arial"/>
          <w:color w:val="000000"/>
          <w:sz w:val="16"/>
          <w:szCs w:val="16"/>
        </w:rPr>
      </w:pPr>
      <w:r w:rsidRPr="0008723A">
        <w:rPr>
          <w:rFonts w:ascii="Verdana" w:hAnsi="Verdana" w:cs="Arial"/>
          <w:sz w:val="16"/>
          <w:szCs w:val="16"/>
          <w:vertAlign w:val="superscript"/>
        </w:rPr>
        <w:footnoteRef/>
      </w:r>
      <w:r w:rsidRPr="0008723A">
        <w:rPr>
          <w:rFonts w:ascii="Verdana" w:eastAsia="Arial" w:hAnsi="Verdana" w:cs="Arial"/>
          <w:color w:val="000000"/>
          <w:sz w:val="16"/>
          <w:szCs w:val="16"/>
        </w:rPr>
        <w:t xml:space="preserve"> Al respecto, conviene recordar el artículo 29 de la Ley 80 de 1993, derogado por el artículo 32 de la Ley 1150 de 2007, que establecía: “La selección de contratistas será objetiva.</w:t>
      </w:r>
    </w:p>
    <w:p w14:paraId="02D949DC" w14:textId="77777777" w:rsidR="006A648E" w:rsidRPr="0008723A" w:rsidRDefault="006A648E" w:rsidP="006A648E">
      <w:pPr>
        <w:pBdr>
          <w:top w:val="nil"/>
          <w:left w:val="nil"/>
          <w:bottom w:val="nil"/>
          <w:right w:val="nil"/>
          <w:between w:val="nil"/>
        </w:pBdr>
        <w:spacing w:after="0" w:line="240" w:lineRule="auto"/>
        <w:jc w:val="both"/>
        <w:rPr>
          <w:rFonts w:ascii="Verdana" w:eastAsia="Arial" w:hAnsi="Verdana" w:cs="Arial"/>
          <w:color w:val="000000"/>
          <w:sz w:val="16"/>
          <w:szCs w:val="16"/>
        </w:rPr>
      </w:pPr>
      <w:r w:rsidRPr="0008723A">
        <w:rPr>
          <w:rFonts w:ascii="Verdana" w:eastAsia="Arial" w:hAnsi="Verdana" w:cs="Arial"/>
          <w:color w:val="000000"/>
          <w:sz w:val="16"/>
          <w:szCs w:val="16"/>
        </w:rPr>
        <w:t>Es objetiva la selección en la cual la escogencia se hace al ofrecimiento más favorable a la entidad y a los fines que ella busca, sin tener en consideración factores de afecto o de interés y, en general, cualquier clase de motivación subjetiva.</w:t>
      </w:r>
    </w:p>
    <w:p w14:paraId="64F34154" w14:textId="77777777" w:rsidR="006A648E" w:rsidRPr="0008723A" w:rsidRDefault="006A648E" w:rsidP="006A648E">
      <w:pPr>
        <w:pBdr>
          <w:top w:val="nil"/>
          <w:left w:val="nil"/>
          <w:bottom w:val="nil"/>
          <w:right w:val="nil"/>
          <w:between w:val="nil"/>
        </w:pBdr>
        <w:spacing w:after="0" w:line="240" w:lineRule="auto"/>
        <w:jc w:val="both"/>
        <w:rPr>
          <w:rFonts w:ascii="Verdana" w:eastAsia="Arial" w:hAnsi="Verdana" w:cs="Arial"/>
          <w:color w:val="000000"/>
          <w:sz w:val="16"/>
          <w:szCs w:val="16"/>
        </w:rPr>
      </w:pPr>
      <w:r w:rsidRPr="0008723A">
        <w:rPr>
          <w:rFonts w:ascii="Verdana" w:eastAsia="Arial" w:hAnsi="Verdana" w:cs="Arial"/>
          <w:color w:val="000000"/>
          <w:sz w:val="16"/>
          <w:szCs w:val="16"/>
        </w:rPr>
        <w:t>Ofrecimiento más favorable es aquel que, teniendo en cuenta los factores de escogencia, tales como cumplimiento, experiencia, organización, equipos, plazo, precio y la ponderación precisa, detallada y concreta de los mismos, contenida en los pliegos de condiciones o términos de referencia o en el análisis previo a la suscripción del contrato, si se trata de contratación directa, resulta ser el más ventajoso para la entidad, sin que la favorabilidad la constituyan factores diferentes a los contenidos en dichos documentos, sólo alguno de ellos, el más bajo precio o el plazo ofrecido. El menor plazo que se ofrezca inferior al solicitado en los pliegos, no será objeto de evaluación”.</w:t>
      </w:r>
    </w:p>
    <w:p w14:paraId="631E2D80" w14:textId="77777777" w:rsidR="006A648E" w:rsidRPr="0008723A" w:rsidRDefault="006A648E" w:rsidP="006A648E">
      <w:pPr>
        <w:pBdr>
          <w:top w:val="nil"/>
          <w:left w:val="nil"/>
          <w:bottom w:val="nil"/>
          <w:right w:val="nil"/>
          <w:between w:val="nil"/>
        </w:pBdr>
        <w:spacing w:after="0" w:line="240" w:lineRule="auto"/>
        <w:jc w:val="both"/>
        <w:rPr>
          <w:rFonts w:ascii="Verdana" w:eastAsia="Arial" w:hAnsi="Verdana" w:cs="Arial"/>
          <w:color w:val="000000"/>
          <w:sz w:val="16"/>
          <w:szCs w:val="16"/>
        </w:rPr>
      </w:pPr>
      <w:r w:rsidRPr="0008723A">
        <w:rPr>
          <w:rFonts w:ascii="Verdana" w:eastAsia="Arial" w:hAnsi="Verdana" w:cs="Arial"/>
          <w:color w:val="000000"/>
          <w:sz w:val="16"/>
          <w:szCs w:val="16"/>
        </w:rPr>
        <w:t>El administrador efectuará las comparaciones del caso mediante el cotejo de los diferentes ofrecimientos recibidos, la consulta de precios o condiciones del mercado y los estudios y deducciones de la entidad o de los organismos consultores o asesores designados para ello.</w:t>
      </w:r>
    </w:p>
    <w:p w14:paraId="17C46D41" w14:textId="77777777" w:rsidR="006A648E" w:rsidRPr="0008723A" w:rsidRDefault="006A648E" w:rsidP="006A648E">
      <w:pPr>
        <w:pBdr>
          <w:top w:val="nil"/>
          <w:left w:val="nil"/>
          <w:bottom w:val="nil"/>
          <w:right w:val="nil"/>
          <w:between w:val="nil"/>
        </w:pBdr>
        <w:spacing w:after="0" w:line="240" w:lineRule="auto"/>
        <w:jc w:val="both"/>
        <w:rPr>
          <w:rFonts w:ascii="Verdana" w:eastAsia="Arial" w:hAnsi="Verdana" w:cs="Arial"/>
          <w:color w:val="000000"/>
          <w:sz w:val="16"/>
          <w:szCs w:val="16"/>
        </w:rPr>
      </w:pPr>
      <w:r w:rsidRPr="0008723A">
        <w:rPr>
          <w:rFonts w:ascii="Verdana" w:eastAsia="Arial" w:hAnsi="Verdana" w:cs="Arial"/>
          <w:color w:val="000000"/>
          <w:sz w:val="16"/>
          <w:szCs w:val="16"/>
        </w:rPr>
        <w:t>En caso de comparación de propuestas nacionales y extranjeras, se incluirán los costos necesarios para la entrega del producto terminado en el lugar de su utilización”.</w:t>
      </w:r>
    </w:p>
  </w:footnote>
  <w:footnote w:id="9">
    <w:p w14:paraId="65A023B6" w14:textId="77777777" w:rsidR="006A648E" w:rsidRPr="0008723A" w:rsidRDefault="006A648E" w:rsidP="006A648E">
      <w:pPr>
        <w:pStyle w:val="FootnoteText"/>
        <w:ind w:firstLine="708"/>
        <w:jc w:val="both"/>
        <w:rPr>
          <w:rFonts w:ascii="Verdana" w:hAnsi="Verdana"/>
          <w:sz w:val="16"/>
          <w:szCs w:val="16"/>
          <w:lang w:val="en-CO"/>
        </w:rPr>
      </w:pPr>
      <w:r w:rsidRPr="0008723A">
        <w:rPr>
          <w:rStyle w:val="FootnoteReference"/>
          <w:rFonts w:ascii="Verdana" w:hAnsi="Verdana"/>
          <w:sz w:val="16"/>
          <w:szCs w:val="16"/>
        </w:rPr>
        <w:footnoteRef/>
      </w:r>
      <w:r w:rsidRPr="0008723A">
        <w:rPr>
          <w:rFonts w:ascii="Verdana" w:hAnsi="Verdana"/>
          <w:sz w:val="16"/>
          <w:szCs w:val="16"/>
        </w:rPr>
        <w:t xml:space="preserve"> </w:t>
      </w:r>
      <w:r w:rsidRPr="0008723A">
        <w:rPr>
          <w:rFonts w:ascii="Verdana" w:hAnsi="Verdana"/>
          <w:sz w:val="16"/>
          <w:szCs w:val="16"/>
          <w:lang w:val="es-ES"/>
        </w:rPr>
        <w:t>Aunque el ordenamiento no establece una causal de rechazo o un requisito de capacidad jurídica asociado a cargar el acto de constitución de la estructura plural</w:t>
      </w:r>
      <w:r>
        <w:rPr>
          <w:rFonts w:ascii="Verdana" w:hAnsi="Verdana"/>
          <w:sz w:val="16"/>
          <w:szCs w:val="16"/>
          <w:lang w:val="es-ES"/>
        </w:rPr>
        <w:t xml:space="preserve"> al momento de la creación del perfil en el SECOP II</w:t>
      </w:r>
      <w:r w:rsidRPr="0008723A">
        <w:rPr>
          <w:rFonts w:ascii="Verdana" w:hAnsi="Verdana"/>
          <w:sz w:val="16"/>
          <w:szCs w:val="16"/>
          <w:lang w:val="es-ES"/>
        </w:rPr>
        <w:t>, es claro que este documento deberá ser presentado en el marco del proceso de contratación en el cual pretenda participar, pues evidencia el acuerdo de voluntades que da origen al proponente plural</w:t>
      </w:r>
      <w:r>
        <w:rPr>
          <w:rFonts w:ascii="Verdana" w:hAnsi="Verdana"/>
          <w:sz w:val="16"/>
          <w:szCs w:val="16"/>
          <w:lang w:val="es-ES"/>
        </w:rPr>
        <w:t>, así como su capacidad para ejecutar el objeto del proceso</w:t>
      </w:r>
      <w:r w:rsidRPr="0008723A">
        <w:rPr>
          <w:rFonts w:ascii="Verdana" w:hAnsi="Verdana"/>
          <w:sz w:val="16"/>
          <w:szCs w:val="16"/>
          <w:lang w:val="es-ES"/>
        </w:rPr>
        <w:t xml:space="preserve">. Por otra parte, esto no implica que el proponente no </w:t>
      </w:r>
      <w:r>
        <w:rPr>
          <w:rFonts w:ascii="Verdana" w:hAnsi="Verdana"/>
          <w:sz w:val="16"/>
          <w:szCs w:val="16"/>
          <w:lang w:val="es-ES"/>
        </w:rPr>
        <w:t xml:space="preserve">deba </w:t>
      </w:r>
      <w:r w:rsidRPr="0008723A">
        <w:rPr>
          <w:rFonts w:ascii="Verdana" w:hAnsi="Verdana"/>
          <w:sz w:val="16"/>
          <w:szCs w:val="16"/>
          <w:lang w:val="es-ES"/>
        </w:rPr>
        <w:t>cumplir con los parámetros que exige l</w:t>
      </w:r>
      <w:r>
        <w:rPr>
          <w:rFonts w:ascii="Verdana" w:hAnsi="Verdana"/>
          <w:sz w:val="16"/>
          <w:szCs w:val="16"/>
          <w:lang w:val="es-ES"/>
        </w:rPr>
        <w:t>a</w:t>
      </w:r>
      <w:r w:rsidRPr="0008723A">
        <w:rPr>
          <w:rFonts w:ascii="Verdana" w:hAnsi="Verdana"/>
          <w:sz w:val="16"/>
          <w:szCs w:val="16"/>
          <w:lang w:val="es-ES"/>
        </w:rPr>
        <w:t xml:space="preserve"> plataforma para la creación de este tipo de usuarios. En esta medida, el proponente plural deberá tener en cuenta lo dispuesto en la “</w:t>
      </w:r>
      <w:r w:rsidRPr="0008723A">
        <w:rPr>
          <w:rFonts w:ascii="Verdana" w:hAnsi="Verdana"/>
          <w:sz w:val="16"/>
          <w:szCs w:val="16"/>
          <w:lang w:val="en-CO"/>
        </w:rPr>
        <w:t>Guía de creación de proponentes plurales en EL SECOP II” expedida por esta Agencia, la cual se encuentra disponible en:</w:t>
      </w:r>
      <w:r w:rsidRPr="0008723A">
        <w:t xml:space="preserve"> </w:t>
      </w:r>
      <w:hyperlink r:id="rId1" w:history="1">
        <w:r w:rsidRPr="001D6E8D">
          <w:rPr>
            <w:rStyle w:val="Hyperlink"/>
            <w:rFonts w:ascii="Verdana" w:hAnsi="Verdana"/>
            <w:sz w:val="16"/>
            <w:szCs w:val="16"/>
            <w:lang w:val="en-CO"/>
          </w:rPr>
          <w:t>https://www.colombiacompra.gov.co/sites/cce_public/files/cce_step/cce-sec-gi-06_guia_de_creacion_de_proponentes_plurales_en_el_secop_ii_29-05-2024.pdf</w:t>
        </w:r>
      </w:hyperlink>
      <w:r>
        <w:rPr>
          <w:rFonts w:ascii="Verdana" w:hAnsi="Verdana"/>
          <w:sz w:val="16"/>
          <w:szCs w:val="16"/>
          <w:lang w:val="en-CO"/>
        </w:rPr>
        <w:t xml:space="preserve"> </w:t>
      </w:r>
      <w:r w:rsidRPr="0008723A">
        <w:rPr>
          <w:rFonts w:ascii="Verdana" w:hAnsi="Verdana"/>
          <w:sz w:val="16"/>
          <w:szCs w:val="16"/>
          <w:lang w:val="en-CO"/>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86F9CC" w14:textId="77777777" w:rsidR="0021487A" w:rsidRDefault="00000000">
    <w:pPr>
      <w:pStyle w:val="Header"/>
    </w:pPr>
    <w:r>
      <w:rPr>
        <w:rFonts w:ascii="Geomanist Bold" w:hAnsi="Geomanist Bold"/>
        <w:b/>
        <w:bCs/>
        <w:noProof/>
        <w:color w:val="002060"/>
        <w:sz w:val="24"/>
        <w:szCs w:val="24"/>
      </w:rPr>
      <w:drawing>
        <wp:anchor distT="0" distB="0" distL="114300" distR="114300" simplePos="0" relativeHeight="251660288" behindDoc="1" locked="0" layoutInCell="1" allowOverlap="1" wp14:anchorId="7613785D" wp14:editId="63FD86B6">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1025E8EF" wp14:editId="1965D31F">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429EA8B" w14:textId="77777777" w:rsidR="0021487A" w:rsidRDefault="0021487A">
    <w:pPr>
      <w:pStyle w:val="Header"/>
    </w:pPr>
  </w:p>
  <w:p w14:paraId="27178B66" w14:textId="77777777" w:rsidR="0021487A" w:rsidRDefault="0021487A" w:rsidP="004A305D">
    <w:pPr>
      <w:spacing w:after="0"/>
      <w:rPr>
        <w:rFonts w:ascii="Verdana" w:hAnsi="Verdana"/>
        <w:b/>
        <w:bCs/>
      </w:rPr>
    </w:pPr>
  </w:p>
  <w:p w14:paraId="4D4B84AC" w14:textId="77777777" w:rsidR="0021487A" w:rsidRPr="00DC39FC" w:rsidRDefault="00000000" w:rsidP="004A305D">
    <w:pPr>
      <w:spacing w:after="0"/>
      <w:rPr>
        <w:rFonts w:ascii="Verdana" w:hAnsi="Verdana"/>
        <w:b/>
        <w:bCs/>
      </w:rPr>
    </w:pPr>
    <w:r w:rsidRPr="00DC39FC">
      <w:rPr>
        <w:rFonts w:ascii="Verdana" w:hAnsi="Verdana"/>
        <w:b/>
        <w:bCs/>
      </w:rPr>
      <w:t>FORMATO PQRSD</w:t>
    </w:r>
  </w:p>
  <w:p w14:paraId="652D924C" w14:textId="77777777" w:rsidR="0021487A" w:rsidRPr="004A305D" w:rsidRDefault="0021487A" w:rsidP="00B01B1A">
    <w:pPr>
      <w:spacing w:after="0" w:line="120" w:lineRule="auto"/>
      <w:rPr>
        <w:rFonts w:ascii="Century Gothic" w:eastAsia="Geo" w:hAnsi="Century Gothic" w:cs="Geo"/>
        <w:sz w:val="16"/>
        <w:szCs w:val="16"/>
        <w:lang w:eastAsia="es-CO"/>
      </w:rPr>
    </w:pPr>
  </w:p>
  <w:p w14:paraId="20526951" w14:textId="77777777" w:rsidR="0021487A" w:rsidRDefault="0021487A" w:rsidP="00061B2A">
    <w:pPr>
      <w:pStyle w:val="Header"/>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341274352">
    <w:abstractNumId w:val="0"/>
  </w:num>
  <w:num w:numId="2" w16cid:durableId="6790895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9"/>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648E"/>
    <w:rsid w:val="001D6D2C"/>
    <w:rsid w:val="0021487A"/>
    <w:rsid w:val="002F7275"/>
    <w:rsid w:val="002F74B2"/>
    <w:rsid w:val="0036206B"/>
    <w:rsid w:val="003A2DAE"/>
    <w:rsid w:val="0048690C"/>
    <w:rsid w:val="00522A45"/>
    <w:rsid w:val="00660C2B"/>
    <w:rsid w:val="006621D7"/>
    <w:rsid w:val="006A648E"/>
    <w:rsid w:val="007C62BB"/>
    <w:rsid w:val="009A0F01"/>
    <w:rsid w:val="00A37E7B"/>
    <w:rsid w:val="00B01C98"/>
    <w:rsid w:val="00DE5870"/>
    <w:rsid w:val="00FB5A84"/>
  </w:rsids>
  <m:mathPr>
    <m:mathFont m:val="Cambria Math"/>
    <m:brkBin m:val="before"/>
    <m:brkBinSub m:val="--"/>
    <m:smallFrac m:val="0"/>
    <m:dispDef/>
    <m:lMargin m:val="0"/>
    <m:rMargin m:val="0"/>
    <m:defJc m:val="centerGroup"/>
    <m:wrapIndent m:val="1440"/>
    <m:intLim m:val="subSup"/>
    <m:naryLim m:val="undOvr"/>
  </m:mathPr>
  <w:themeFontLang w:val="en-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75CE70"/>
  <w15:chartTrackingRefBased/>
  <w15:docId w15:val="{42C4BA84-C628-044E-938F-2B8B2178B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648E"/>
    <w:pPr>
      <w:spacing w:line="259" w:lineRule="auto"/>
    </w:pPr>
    <w:rPr>
      <w:kern w:val="0"/>
      <w:sz w:val="22"/>
      <w:szCs w:val="22"/>
      <w:lang w:val="es-CO"/>
      <w14:ligatures w14:val="none"/>
    </w:rPr>
  </w:style>
  <w:style w:type="paragraph" w:styleId="Heading1">
    <w:name w:val="heading 1"/>
    <w:basedOn w:val="Normal"/>
    <w:next w:val="Normal"/>
    <w:link w:val="Heading1Char"/>
    <w:uiPriority w:val="9"/>
    <w:qFormat/>
    <w:rsid w:val="006A64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A64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A64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A64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A64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A648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A648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A648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A648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64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A64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A64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A64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A64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A64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64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64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648E"/>
    <w:rPr>
      <w:rFonts w:eastAsiaTheme="majorEastAsia" w:cstheme="majorBidi"/>
      <w:color w:val="272727" w:themeColor="text1" w:themeTint="D8"/>
    </w:rPr>
  </w:style>
  <w:style w:type="paragraph" w:styleId="Title">
    <w:name w:val="Title"/>
    <w:basedOn w:val="Normal"/>
    <w:next w:val="Normal"/>
    <w:link w:val="TitleChar"/>
    <w:uiPriority w:val="10"/>
    <w:qFormat/>
    <w:rsid w:val="006A64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64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64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A64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648E"/>
    <w:pPr>
      <w:spacing w:before="160"/>
      <w:jc w:val="center"/>
    </w:pPr>
    <w:rPr>
      <w:i/>
      <w:iCs/>
      <w:color w:val="404040" w:themeColor="text1" w:themeTint="BF"/>
    </w:rPr>
  </w:style>
  <w:style w:type="character" w:customStyle="1" w:styleId="QuoteChar">
    <w:name w:val="Quote Char"/>
    <w:basedOn w:val="DefaultParagraphFont"/>
    <w:link w:val="Quote"/>
    <w:uiPriority w:val="29"/>
    <w:rsid w:val="006A648E"/>
    <w:rPr>
      <w:i/>
      <w:iCs/>
      <w:color w:val="404040" w:themeColor="text1" w:themeTint="BF"/>
    </w:r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6A648E"/>
    <w:pPr>
      <w:ind w:left="720"/>
      <w:contextualSpacing/>
    </w:pPr>
  </w:style>
  <w:style w:type="character" w:styleId="IntenseEmphasis">
    <w:name w:val="Intense Emphasis"/>
    <w:basedOn w:val="DefaultParagraphFont"/>
    <w:uiPriority w:val="21"/>
    <w:qFormat/>
    <w:rsid w:val="006A648E"/>
    <w:rPr>
      <w:i/>
      <w:iCs/>
      <w:color w:val="0F4761" w:themeColor="accent1" w:themeShade="BF"/>
    </w:rPr>
  </w:style>
  <w:style w:type="paragraph" w:styleId="IntenseQuote">
    <w:name w:val="Intense Quote"/>
    <w:basedOn w:val="Normal"/>
    <w:next w:val="Normal"/>
    <w:link w:val="IntenseQuoteChar"/>
    <w:uiPriority w:val="30"/>
    <w:qFormat/>
    <w:rsid w:val="006A64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A648E"/>
    <w:rPr>
      <w:i/>
      <w:iCs/>
      <w:color w:val="0F4761" w:themeColor="accent1" w:themeShade="BF"/>
    </w:rPr>
  </w:style>
  <w:style w:type="character" w:styleId="IntenseReference">
    <w:name w:val="Intense Reference"/>
    <w:basedOn w:val="DefaultParagraphFont"/>
    <w:uiPriority w:val="32"/>
    <w:qFormat/>
    <w:rsid w:val="006A648E"/>
    <w:rPr>
      <w:b/>
      <w:bCs/>
      <w:smallCaps/>
      <w:color w:val="0F4761" w:themeColor="accent1" w:themeShade="BF"/>
      <w:spacing w:val="5"/>
    </w:rPr>
  </w:style>
  <w:style w:type="paragraph" w:styleId="Header">
    <w:name w:val="header"/>
    <w:basedOn w:val="Normal"/>
    <w:link w:val="HeaderChar"/>
    <w:uiPriority w:val="99"/>
    <w:unhideWhenUsed/>
    <w:rsid w:val="006A648E"/>
    <w:pPr>
      <w:tabs>
        <w:tab w:val="center" w:pos="4419"/>
        <w:tab w:val="right" w:pos="8838"/>
      </w:tabs>
      <w:spacing w:after="0" w:line="240" w:lineRule="auto"/>
    </w:pPr>
  </w:style>
  <w:style w:type="character" w:customStyle="1" w:styleId="HeaderChar">
    <w:name w:val="Header Char"/>
    <w:basedOn w:val="DefaultParagraphFont"/>
    <w:link w:val="Header"/>
    <w:uiPriority w:val="99"/>
    <w:rsid w:val="006A648E"/>
    <w:rPr>
      <w:kern w:val="0"/>
      <w:sz w:val="22"/>
      <w:szCs w:val="22"/>
      <w:lang w:val="es-CO"/>
      <w14:ligatures w14:val="none"/>
    </w:rPr>
  </w:style>
  <w:style w:type="paragraph" w:styleId="Footer">
    <w:name w:val="footer"/>
    <w:basedOn w:val="Normal"/>
    <w:link w:val="FooterChar"/>
    <w:uiPriority w:val="99"/>
    <w:unhideWhenUsed/>
    <w:rsid w:val="006A648E"/>
    <w:pPr>
      <w:tabs>
        <w:tab w:val="center" w:pos="4419"/>
        <w:tab w:val="right" w:pos="8838"/>
      </w:tabs>
      <w:spacing w:after="0" w:line="240" w:lineRule="auto"/>
    </w:pPr>
  </w:style>
  <w:style w:type="character" w:customStyle="1" w:styleId="FooterChar">
    <w:name w:val="Footer Char"/>
    <w:basedOn w:val="DefaultParagraphFont"/>
    <w:link w:val="Footer"/>
    <w:uiPriority w:val="99"/>
    <w:rsid w:val="006A648E"/>
    <w:rPr>
      <w:kern w:val="0"/>
      <w:sz w:val="22"/>
      <w:szCs w:val="22"/>
      <w:lang w:val="es-CO"/>
      <w14:ligatures w14:val="none"/>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A648E"/>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A648E"/>
    <w:pPr>
      <w:spacing w:after="0" w:line="240" w:lineRule="auto"/>
    </w:pPr>
    <w:rPr>
      <w:kern w:val="2"/>
      <w:sz w:val="20"/>
      <w:szCs w:val="20"/>
      <w:lang w:val="es-MX"/>
      <w14:ligatures w14:val="standardContextual"/>
    </w:rPr>
  </w:style>
  <w:style w:type="character" w:customStyle="1" w:styleId="FootnoteTextChar1">
    <w:name w:val="Footnote Text Char1"/>
    <w:basedOn w:val="DefaultParagraphFont"/>
    <w:uiPriority w:val="99"/>
    <w:semiHidden/>
    <w:rsid w:val="006A648E"/>
    <w:rPr>
      <w:kern w:val="0"/>
      <w:sz w:val="20"/>
      <w:szCs w:val="20"/>
      <w:lang w:val="es-CO"/>
      <w14:ligatures w14:val="none"/>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A648E"/>
    <w:rPr>
      <w:vertAlign w:val="superscript"/>
    </w:rPr>
  </w:style>
  <w:style w:type="character" w:customStyle="1" w:styleId="normaltextrun">
    <w:name w:val="normaltextrun"/>
    <w:basedOn w:val="DefaultParagraphFont"/>
    <w:rsid w:val="006A648E"/>
  </w:style>
  <w:style w:type="table" w:styleId="TableGrid">
    <w:name w:val="Table Grid"/>
    <w:basedOn w:val="TableNormal"/>
    <w:uiPriority w:val="39"/>
    <w:qFormat/>
    <w:rsid w:val="006A648E"/>
    <w:pPr>
      <w:spacing w:after="0" w:line="240" w:lineRule="auto"/>
    </w:pPr>
    <w:rPr>
      <w:kern w:val="0"/>
      <w:sz w:val="22"/>
      <w:szCs w:val="22"/>
      <w:lang w:val="es-CO"/>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A648E"/>
    <w:rPr>
      <w:color w:val="0000FF"/>
      <w:u w:val="single"/>
    </w:rPr>
  </w:style>
  <w:style w:type="paragraph" w:customStyle="1" w:styleId="paragraph">
    <w:name w:val="paragraph"/>
    <w:basedOn w:val="Normal"/>
    <w:rsid w:val="006A648E"/>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eop">
    <w:name w:val="eop"/>
    <w:basedOn w:val="DefaultParagraphFont"/>
    <w:rsid w:val="006A648E"/>
  </w:style>
  <w:style w:type="paragraph" w:customStyle="1" w:styleId="Appelnotedebasde">
    <w:name w:val="Appel note de bas de..."/>
    <w:basedOn w:val="Normal"/>
    <w:link w:val="FootnoteReference"/>
    <w:uiPriority w:val="99"/>
    <w:rsid w:val="006A648E"/>
    <w:pPr>
      <w:spacing w:line="240" w:lineRule="exact"/>
    </w:pPr>
    <w:rPr>
      <w:kern w:val="2"/>
      <w:sz w:val="24"/>
      <w:szCs w:val="24"/>
      <w:vertAlign w:val="superscript"/>
      <w:lang w:val="en-CO"/>
      <w14:ligatures w14:val="standardContextual"/>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6A648E"/>
  </w:style>
  <w:style w:type="paragraph" w:styleId="BodyText">
    <w:name w:val="Body Text"/>
    <w:basedOn w:val="Normal"/>
    <w:link w:val="BodyTextChar"/>
    <w:uiPriority w:val="1"/>
    <w:qFormat/>
    <w:rsid w:val="006A648E"/>
    <w:pPr>
      <w:widowControl w:val="0"/>
      <w:autoSpaceDE w:val="0"/>
      <w:autoSpaceDN w:val="0"/>
      <w:spacing w:after="0" w:line="240" w:lineRule="auto"/>
    </w:pPr>
    <w:rPr>
      <w:rFonts w:ascii="Verdana" w:eastAsia="Verdana" w:hAnsi="Verdana" w:cs="Verdana"/>
      <w:lang w:val="es-ES"/>
    </w:rPr>
  </w:style>
  <w:style w:type="character" w:customStyle="1" w:styleId="BodyTextChar">
    <w:name w:val="Body Text Char"/>
    <w:basedOn w:val="DefaultParagraphFont"/>
    <w:link w:val="BodyText"/>
    <w:uiPriority w:val="1"/>
    <w:rsid w:val="006A648E"/>
    <w:rPr>
      <w:rFonts w:ascii="Verdana" w:eastAsia="Verdana" w:hAnsi="Verdana" w:cs="Verdana"/>
      <w:kern w:val="0"/>
      <w:sz w:val="22"/>
      <w:szCs w:val="22"/>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rasco.licitaciones2020@gmail.com" TargetMode="External"/><Relationship Id="rId13" Type="http://schemas.openxmlformats.org/officeDocument/2006/relationships/hyperlink" Target="https://nam02.safelinks.protection.outlook.com/?url=https%3A%2F%2Fwww.colombiacompra.gov.co%2Fmanuales-guias-y-pliegos-tipo%2Fmanuales-y-guias%2Fcartilla-para-incentivar-y-fortalecer-el-acceso-las&amp;data=05%7C02%7Cana.bonilla%40colombiacompra.gov.co%7Ceb0fd05604104aa4d3bc08dd4c4ad35e%7C7b09041e245149d08cb179d5e3d8c1be%7C0%7C0%7C638750606446092694%7CUnknown%7CTWFpbGZsb3d8eyJFbXB0eU1hcGkiOnRydWUsIlYiOiIwLjAuMDAwMCIsIlAiOiJXaW4zMiIsIkFOIjoiTWFpbCIsIldUIjoyfQ%3D%3D%7C0%7C%7C%7C&amp;sdata=iuMSUNSIHYcn%2By48hB4feMl9Ay5ZO5BW821EblA%2BTsw%3D&amp;reserved=0"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customXml" Target="../customXml/item1.xml"/><Relationship Id="rId7" Type="http://schemas.openxmlformats.org/officeDocument/2006/relationships/image" Target="media/image1.png"/><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elatoria.colombiacompra.gov.co/providencias-consejo-de-estado/" TargetMode="External"/><Relationship Id="rId5" Type="http://schemas.openxmlformats.org/officeDocument/2006/relationships/footnotes" Target="footnotes.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ana.bonilla%40colombiacompra.gov.co%7Ceb0fd05604104aa4d3bc08dd4c4ad35e%7C7b09041e245149d08cb179d5e3d8c1be%7C0%7C0%7C638750606446155438%7CUnknown%7CTWFpbGZsb3d8eyJFbXB0eU1hcGkiOnRydWUsIlYiOiIwLjAuMDAwMCIsIlAiOiJXaW4zMiIsIkFOIjoiTWFpbCIsIldUIjoyfQ%3D%3D%7C0%7C%7C%7C&amp;sdata=ic3WTaBfpaepFaQwtKguuk2iqwchOIarahXEw6rZudc%3D&amp;reserved=0" TargetMode="External"/><Relationship Id="rId23" Type="http://schemas.openxmlformats.org/officeDocument/2006/relationships/customXml" Target="../customXml/item3.xml"/><Relationship Id="rId10" Type="http://schemas.openxmlformats.org/officeDocument/2006/relationships/hyperlink" Target="https://relatoria.colombiacompra.gov.co/providencias-consejo-de-estado/"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corteconstitucional.gov./relatoria/" TargetMode="External"/><Relationship Id="rId14" Type="http://schemas.openxmlformats.org/officeDocument/2006/relationships/hyperlink" Target="https://nam02.safelinks.protection.outlook.com/?url=https%3A%2F%2Fwww.colombiacompra.gov.co%2Fciudadanos%2Fcalendario&amp;data=05%7C02%7Cana.bonilla%40colombiacompra.gov.co%7Ceb0fd05604104aa4d3bc08dd4c4ad35e%7C7b09041e245149d08cb179d5e3d8c1be%7C0%7C0%7C638750606446128989%7CUnknown%7CTWFpbGZsb3d8eyJFbXB0eU1hcGkiOnRydWUsIlYiOiIwLjAuMDAwMCIsIlAiOiJXaW4zMiIsIkFOIjoiTWFpbCIsIldUIjoyfQ%3D%3D%7C0%7C%7C%7C&amp;sdata=xTWY%2FUqVDzIjD31KT9C2PATlzA59vDRd90bBlKbERgE%3D&amp;reserved=0" TargetMode="External"/><Relationship Id="rId22" Type="http://schemas.openxmlformats.org/officeDocument/2006/relationships/customXml" Target="../customXml/item2.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sites/cce_public/files/cce_step/cce-sec-gi-06_guia_de_creacion_de_proponentes_plurales_en_el_secop_ii_29-05-2024.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f2aded54591a7fd7c71e00322775124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8225e9d864fb3b86d94084293229f75"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80D5BD0-576E-45D0-8B8F-DCF3DDDDCAEC}"/>
</file>

<file path=customXml/itemProps2.xml><?xml version="1.0" encoding="utf-8"?>
<ds:datastoreItem xmlns:ds="http://schemas.openxmlformats.org/officeDocument/2006/customXml" ds:itemID="{C5872E01-EC9F-43DE-A69D-94053D7C04E1}"/>
</file>

<file path=customXml/itemProps3.xml><?xml version="1.0" encoding="utf-8"?>
<ds:datastoreItem xmlns:ds="http://schemas.openxmlformats.org/officeDocument/2006/customXml" ds:itemID="{858E9BBE-1EB3-44EC-8F1E-CAE149F40185}"/>
</file>

<file path=docProps/app.xml><?xml version="1.0" encoding="utf-8"?>
<Properties xmlns="http://schemas.openxmlformats.org/officeDocument/2006/extended-properties" xmlns:vt="http://schemas.openxmlformats.org/officeDocument/2006/docPropsVTypes">
  <Template>Normal.dotm</Template>
  <TotalTime>45</TotalTime>
  <Pages>17</Pages>
  <Words>6034</Words>
  <Characters>34399</Characters>
  <Application>Microsoft Office Word</Application>
  <DocSecurity>0</DocSecurity>
  <Lines>286</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Anamaría Bonilla</dc:creator>
  <cp:keywords/>
  <dc:description/>
  <cp:lastModifiedBy>Anamaría Bonilla</cp:lastModifiedBy>
  <cp:revision>9</cp:revision>
  <dcterms:created xsi:type="dcterms:W3CDTF">2025-03-31T16:04:00Z</dcterms:created>
  <dcterms:modified xsi:type="dcterms:W3CDTF">2025-03-31T16:52:00Z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