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3D6862" w14:textId="77777777" w:rsidR="00563879" w:rsidRDefault="00563879" w:rsidP="00912A18">
      <w:pPr>
        <w:spacing w:after="0" w:line="240" w:lineRule="auto"/>
        <w:rPr>
          <w:rFonts w:ascii="Verdana" w:hAnsi="Verdana"/>
        </w:rPr>
      </w:pPr>
      <w:bookmarkStart w:id="0" w:name="_Hlk143780582"/>
    </w:p>
    <w:p w14:paraId="589D4CF4" w14:textId="77777777" w:rsidR="00563879" w:rsidRPr="00F615E3" w:rsidRDefault="00563879" w:rsidP="00563879">
      <w:pPr>
        <w:tabs>
          <w:tab w:val="left" w:pos="709"/>
        </w:tabs>
        <w:contextualSpacing/>
        <w:jc w:val="both"/>
        <w:rPr>
          <w:rFonts w:ascii="Verdana" w:eastAsia="Calibri" w:hAnsi="Verdana" w:cs="Arial"/>
          <w:b/>
          <w:lang w:val="es-ES"/>
        </w:rPr>
      </w:pPr>
      <w:r w:rsidRPr="00F615E3">
        <w:rPr>
          <w:rFonts w:ascii="Verdana" w:eastAsia="Calibri" w:hAnsi="Verdana" w:cs="Arial"/>
          <w:b/>
          <w:lang w:val="es-ES"/>
        </w:rPr>
        <w:t>SISTEMA GENERAL DE REGALÍAS – Fundamento normativo – Acto Legislativo 01 de 2019</w:t>
      </w:r>
    </w:p>
    <w:p w14:paraId="259E0129" w14:textId="77777777" w:rsidR="00563879" w:rsidRPr="00F615E3" w:rsidRDefault="00563879" w:rsidP="00563879">
      <w:pPr>
        <w:tabs>
          <w:tab w:val="left" w:pos="709"/>
        </w:tabs>
        <w:contextualSpacing/>
        <w:jc w:val="both"/>
        <w:rPr>
          <w:rFonts w:ascii="Verdana" w:eastAsia="Calibri" w:hAnsi="Verdana" w:cs="Arial"/>
          <w:bCs/>
          <w:sz w:val="20"/>
          <w:szCs w:val="20"/>
          <w:lang w:val="es-ES"/>
        </w:rPr>
      </w:pPr>
      <w:r w:rsidRPr="00F615E3">
        <w:rPr>
          <w:rFonts w:ascii="Verdana" w:eastAsia="Calibri" w:hAnsi="Verdana" w:cs="Arial"/>
          <w:bCs/>
          <w:sz w:val="20"/>
          <w:szCs w:val="20"/>
          <w:lang w:val="es-ES"/>
        </w:rPr>
        <w:t xml:space="preserve"> </w:t>
      </w:r>
    </w:p>
    <w:p w14:paraId="399F578A" w14:textId="77777777" w:rsidR="00563879" w:rsidRPr="00F615E3" w:rsidRDefault="00563879" w:rsidP="00563879">
      <w:pPr>
        <w:contextualSpacing/>
        <w:jc w:val="both"/>
        <w:rPr>
          <w:rFonts w:ascii="Verdana" w:hAnsi="Verdana" w:cs="Arial"/>
          <w:noProof/>
          <w:sz w:val="20"/>
          <w:szCs w:val="20"/>
          <w:lang w:val="es-ES_tradnl"/>
        </w:rPr>
      </w:pPr>
      <w:r w:rsidRPr="00F615E3">
        <w:rPr>
          <w:rFonts w:ascii="Verdana" w:hAnsi="Verdana" w:cs="Arial"/>
          <w:noProof/>
          <w:sz w:val="20"/>
          <w:szCs w:val="20"/>
          <w:lang w:val="es-ES_tradnl"/>
        </w:rPr>
        <w:t xml:space="preserve">En el inciso segundo, el mismo artículo define al Sistema General de Regalías como el conjunto de ingresos, asignaciones, órganos, procedimientos y regulaciones que deberán establecerse y definirse mediante la ley que, por iniciativa previa del Gobierno Nacional, se expida a fin de determinar la distribución, objetivos, fines, administración, ejecución, control, el uso eficiente y la destinación de los ingresos provenientes de la explotación de los recursos naturales no renovables, precisando las condiciones de participación de sus beneficiarios. En ese sentido, la Corte Constitucional define las regalías como una contraprestación recibida a cambio de la concesión de derechos a particulares para la exploración de recursos naturales, diferenciándolas de otros ingresos nacionales como los impuestos, dado que estas carecen del carácter impositivo de los tributos. </w:t>
      </w:r>
    </w:p>
    <w:p w14:paraId="30EE1436" w14:textId="77777777" w:rsidR="00563879" w:rsidRPr="00F615E3" w:rsidRDefault="00563879" w:rsidP="00563879">
      <w:pPr>
        <w:contextualSpacing/>
        <w:jc w:val="both"/>
        <w:rPr>
          <w:rFonts w:ascii="Verdana" w:hAnsi="Verdana" w:cs="Arial"/>
          <w:noProof/>
          <w:sz w:val="20"/>
          <w:szCs w:val="20"/>
          <w:lang w:val="es-ES_tradnl"/>
        </w:rPr>
      </w:pPr>
    </w:p>
    <w:p w14:paraId="388A359B" w14:textId="77777777" w:rsidR="00563879" w:rsidRPr="00F615E3" w:rsidRDefault="00563879" w:rsidP="00563879">
      <w:pPr>
        <w:contextualSpacing/>
        <w:jc w:val="both"/>
        <w:rPr>
          <w:rFonts w:ascii="Verdana" w:hAnsi="Verdana" w:cs="Arial"/>
          <w:noProof/>
          <w:sz w:val="20"/>
          <w:szCs w:val="20"/>
          <w:lang w:val="es-ES_tradnl"/>
        </w:rPr>
      </w:pPr>
      <w:r w:rsidRPr="00F615E3">
        <w:rPr>
          <w:rFonts w:ascii="Verdana" w:hAnsi="Verdana" w:cs="Arial"/>
          <w:noProof/>
          <w:sz w:val="20"/>
          <w:szCs w:val="20"/>
          <w:lang w:val="es-ES_tradnl"/>
        </w:rPr>
        <w:t xml:space="preserve">El artículo 1 del Acto Legislativo 05 de 2019 modificó el artículo 361 de la Constitución, disponiendo que “los ingresos corrientes del Sistema General de Regalías se destinarán a la financiación de proyectos de inversión que contribuyan al desarrollo social, económico y ambiental de las entidades territoriales”. </w:t>
      </w:r>
    </w:p>
    <w:p w14:paraId="29375AEB" w14:textId="77777777" w:rsidR="00563879" w:rsidRPr="00F615E3" w:rsidRDefault="00563879" w:rsidP="00563879">
      <w:pPr>
        <w:tabs>
          <w:tab w:val="left" w:pos="709"/>
        </w:tabs>
        <w:contextualSpacing/>
        <w:jc w:val="both"/>
        <w:rPr>
          <w:rFonts w:ascii="Verdana" w:eastAsia="Calibri" w:hAnsi="Verdana" w:cs="Arial"/>
          <w:bCs/>
          <w:sz w:val="20"/>
          <w:szCs w:val="20"/>
          <w:lang w:val="es-ES_tradnl"/>
        </w:rPr>
      </w:pPr>
    </w:p>
    <w:p w14:paraId="4BA7BA85" w14:textId="77777777" w:rsidR="00563879" w:rsidRPr="00F615E3" w:rsidRDefault="00563879" w:rsidP="00563879">
      <w:pPr>
        <w:tabs>
          <w:tab w:val="left" w:pos="709"/>
        </w:tabs>
        <w:contextualSpacing/>
        <w:jc w:val="both"/>
        <w:rPr>
          <w:rFonts w:ascii="Verdana" w:eastAsia="Calibri" w:hAnsi="Verdana" w:cs="Arial"/>
          <w:b/>
          <w:lang w:val="es-MX"/>
        </w:rPr>
      </w:pPr>
      <w:r w:rsidRPr="00F615E3">
        <w:rPr>
          <w:rFonts w:ascii="Verdana" w:eastAsia="Calibri" w:hAnsi="Verdana" w:cs="Arial"/>
          <w:b/>
          <w:lang w:val="es-MX"/>
        </w:rPr>
        <w:t>SISTEMA GENERAL DE REGALÍAS – Ley 2056 de 2020 – Finalidad – Objeto</w:t>
      </w:r>
    </w:p>
    <w:p w14:paraId="7CAB4F4A" w14:textId="77777777" w:rsidR="00563879" w:rsidRPr="00F615E3" w:rsidRDefault="00563879" w:rsidP="00563879">
      <w:pPr>
        <w:tabs>
          <w:tab w:val="left" w:pos="709"/>
        </w:tabs>
        <w:contextualSpacing/>
        <w:jc w:val="both"/>
        <w:rPr>
          <w:rFonts w:ascii="Verdana" w:eastAsia="Calibri" w:hAnsi="Verdana" w:cs="Arial"/>
          <w:b/>
          <w:sz w:val="20"/>
          <w:szCs w:val="20"/>
          <w:lang w:val="es-MX"/>
        </w:rPr>
      </w:pPr>
    </w:p>
    <w:p w14:paraId="530DB4F4" w14:textId="77777777" w:rsidR="00563879" w:rsidRPr="00F615E3" w:rsidRDefault="00563879" w:rsidP="00563879">
      <w:pPr>
        <w:tabs>
          <w:tab w:val="left" w:pos="709"/>
        </w:tabs>
        <w:contextualSpacing/>
        <w:jc w:val="both"/>
        <w:rPr>
          <w:rFonts w:ascii="Verdana" w:hAnsi="Verdana" w:cs="Arial"/>
          <w:sz w:val="20"/>
          <w:szCs w:val="20"/>
        </w:rPr>
      </w:pPr>
      <w:r w:rsidRPr="00F615E3">
        <w:rPr>
          <w:rFonts w:ascii="Verdana" w:hAnsi="Verdana" w:cs="Arial"/>
          <w:noProof/>
          <w:sz w:val="20"/>
          <w:szCs w:val="20"/>
          <w:lang w:val="es-ES_tradnl"/>
        </w:rPr>
        <w:t xml:space="preserve">Con fundamento en los artículos 360 y 361 de la Constitución Política, se expidió la Ley 2056 de 2020, por medio de la cual se deroga, entre otras, la Ley 1530 de 2012, y </w:t>
      </w:r>
      <w:r w:rsidRPr="00F615E3">
        <w:rPr>
          <w:rFonts w:ascii="Verdana" w:hAnsi="Verdana" w:cs="Arial"/>
          <w:bCs/>
          <w:sz w:val="20"/>
          <w:szCs w:val="20"/>
          <w:lang w:val="es-ES_tradnl"/>
        </w:rPr>
        <w:t>“</w:t>
      </w:r>
      <w:r w:rsidRPr="00F615E3">
        <w:rPr>
          <w:rFonts w:ascii="Verdana" w:hAnsi="Verdana" w:cs="Arial"/>
          <w:sz w:val="20"/>
          <w:szCs w:val="20"/>
        </w:rPr>
        <w:t>Por la cual se regula la organización y el funcionamiento del Sistema General de Regalías</w:t>
      </w:r>
      <w:r w:rsidRPr="00F615E3">
        <w:rPr>
          <w:rFonts w:ascii="Verdana" w:hAnsi="Verdana" w:cs="Arial"/>
          <w:noProof/>
          <w:sz w:val="20"/>
          <w:szCs w:val="20"/>
        </w:rPr>
        <w:t>”</w:t>
      </w:r>
      <w:r w:rsidRPr="00F615E3">
        <w:rPr>
          <w:rFonts w:ascii="Verdana" w:hAnsi="Verdana" w:cs="Arial"/>
          <w:sz w:val="20"/>
          <w:szCs w:val="20"/>
        </w:rPr>
        <w:t>.</w:t>
      </w:r>
    </w:p>
    <w:p w14:paraId="4FE3E435" w14:textId="77777777" w:rsidR="00563879" w:rsidRPr="00F615E3" w:rsidRDefault="00563879" w:rsidP="00563879">
      <w:pPr>
        <w:tabs>
          <w:tab w:val="left" w:pos="709"/>
        </w:tabs>
        <w:contextualSpacing/>
        <w:jc w:val="both"/>
        <w:rPr>
          <w:rFonts w:ascii="Verdana" w:hAnsi="Verdana" w:cs="Arial"/>
          <w:sz w:val="20"/>
          <w:szCs w:val="20"/>
        </w:rPr>
      </w:pPr>
    </w:p>
    <w:p w14:paraId="74B6B0D9" w14:textId="77777777" w:rsidR="00563879" w:rsidRPr="00F615E3" w:rsidRDefault="00563879" w:rsidP="00563879">
      <w:pPr>
        <w:tabs>
          <w:tab w:val="left" w:pos="709"/>
        </w:tabs>
        <w:contextualSpacing/>
        <w:jc w:val="both"/>
        <w:rPr>
          <w:rFonts w:ascii="Verdana" w:hAnsi="Verdana" w:cs="Arial"/>
          <w:sz w:val="20"/>
          <w:szCs w:val="20"/>
        </w:rPr>
      </w:pPr>
      <w:r w:rsidRPr="00F615E3">
        <w:rPr>
          <w:rFonts w:ascii="Verdana" w:hAnsi="Verdana" w:cs="Arial"/>
          <w:sz w:val="20"/>
          <w:szCs w:val="20"/>
        </w:rPr>
        <w:t>[…]</w:t>
      </w:r>
    </w:p>
    <w:p w14:paraId="1FAB6EBE" w14:textId="77777777" w:rsidR="00563879" w:rsidRPr="00F615E3" w:rsidRDefault="00563879" w:rsidP="00563879">
      <w:pPr>
        <w:contextualSpacing/>
        <w:jc w:val="both"/>
        <w:rPr>
          <w:rFonts w:ascii="Verdana" w:hAnsi="Verdana" w:cs="Arial"/>
          <w:noProof/>
          <w:sz w:val="20"/>
          <w:szCs w:val="20"/>
          <w:lang w:val="es-ES_tradnl"/>
        </w:rPr>
      </w:pPr>
    </w:p>
    <w:p w14:paraId="0EC436E2" w14:textId="77777777" w:rsidR="00563879" w:rsidRPr="00F615E3" w:rsidRDefault="00563879" w:rsidP="00563879">
      <w:pPr>
        <w:contextualSpacing/>
        <w:jc w:val="both"/>
        <w:rPr>
          <w:rFonts w:ascii="Verdana" w:hAnsi="Verdana" w:cs="Arial"/>
          <w:noProof/>
          <w:sz w:val="20"/>
          <w:szCs w:val="20"/>
          <w:lang w:val="es-ES_tradnl"/>
        </w:rPr>
      </w:pPr>
      <w:r w:rsidRPr="00F615E3">
        <w:rPr>
          <w:rFonts w:ascii="Verdana" w:hAnsi="Verdana" w:cs="Arial"/>
          <w:noProof/>
          <w:sz w:val="20"/>
          <w:szCs w:val="20"/>
          <w:lang w:val="es-ES_tradnl"/>
        </w:rPr>
        <w:t xml:space="preserve">En concordancia con los artículos 360 y 361 constitucionales, dicha ley tiene como objeto determinar la distribución, objetivos, fines, administración, ejecución, control del uso eficiente y la destinación de los ingresos que se encuadren dentro del concepto de regalías, precisando las condiciones para la participación de los beneficiarios o destinatarios de los mismos. El artículo 3 establece los organos del Estado que hacen parte del Sistema General Regalias, como son </w:t>
      </w:r>
      <w:r w:rsidRPr="00F615E3">
        <w:rPr>
          <w:rFonts w:ascii="Verdana" w:hAnsi="Verdana" w:cs="Arial"/>
          <w:sz w:val="20"/>
          <w:szCs w:val="20"/>
        </w:rPr>
        <w:t>la Comisión Rectora, el Departamento Nacional de Planeación, el Ministerio de Minas y Energía, así como sus entidades adscritas y vinculadas que cumplan funciones en el ciclo de las regalías, el Ministerio de Hacienda y Crédito Público, el Ministerio de Ciencia, Tecnología e Innovación, el Ministerio de Ambiente y Desarrollo Sostenible y los Órganos Colegiados de Administración y Decisión Paz, de Inversión Regional y de Ciencia, Tecnología e Innovación,</w:t>
      </w:r>
      <w:r w:rsidRPr="00F615E3">
        <w:rPr>
          <w:rFonts w:ascii="Verdana" w:hAnsi="Verdana" w:cs="Arial"/>
          <w:noProof/>
          <w:sz w:val="20"/>
          <w:szCs w:val="20"/>
          <w:lang w:val="es-ES_tradnl"/>
        </w:rPr>
        <w:t xml:space="preserve"> incluyendo dentro de los mismos al Ministerio de Ciencia, Tenoclogía e </w:t>
      </w:r>
      <w:r w:rsidRPr="00F615E3">
        <w:rPr>
          <w:rFonts w:ascii="Verdana" w:hAnsi="Verdana" w:cs="Arial"/>
          <w:noProof/>
          <w:sz w:val="20"/>
          <w:szCs w:val="20"/>
          <w:lang w:val="es-ES_tradnl"/>
        </w:rPr>
        <w:lastRenderedPageBreak/>
        <w:t xml:space="preserve">Innovación. Estas entidades deben ejercer sus competencias, de acuerdo a lo prescrito en dicha ley y los lineamientos que expida la Comisión Rectora. </w:t>
      </w:r>
    </w:p>
    <w:p w14:paraId="187A36FF" w14:textId="77777777" w:rsidR="00563879" w:rsidRPr="00F615E3" w:rsidRDefault="00563879" w:rsidP="00563879">
      <w:pPr>
        <w:contextualSpacing/>
        <w:jc w:val="both"/>
        <w:rPr>
          <w:rFonts w:ascii="Verdana" w:hAnsi="Verdana" w:cs="Arial"/>
          <w:noProof/>
          <w:sz w:val="20"/>
          <w:szCs w:val="20"/>
          <w:lang w:val="es-ES_tradnl"/>
        </w:rPr>
      </w:pPr>
    </w:p>
    <w:p w14:paraId="239CA5A3" w14:textId="77777777" w:rsidR="00563879" w:rsidRPr="00F615E3" w:rsidRDefault="00563879" w:rsidP="00563879">
      <w:pPr>
        <w:tabs>
          <w:tab w:val="left" w:pos="709"/>
        </w:tabs>
        <w:contextualSpacing/>
        <w:jc w:val="both"/>
        <w:rPr>
          <w:rFonts w:ascii="Verdana" w:eastAsia="Calibri" w:hAnsi="Verdana" w:cs="Arial"/>
          <w:b/>
          <w:bCs/>
          <w:lang w:val="es-MX"/>
        </w:rPr>
      </w:pPr>
      <w:r w:rsidRPr="00F615E3">
        <w:rPr>
          <w:rFonts w:ascii="Verdana" w:eastAsia="Calibri" w:hAnsi="Verdana" w:cs="Arial"/>
          <w:b/>
          <w:bCs/>
          <w:lang w:val="es-MX"/>
        </w:rPr>
        <w:t xml:space="preserve">SISTEMA GENERAL DE GARANTÍAS – Régimen contractual – Entidades ejecutoras – Aplicación del Estatuto General de Contratación de la Administración Pública </w:t>
      </w:r>
    </w:p>
    <w:p w14:paraId="4B8B1F41" w14:textId="77777777" w:rsidR="00563879" w:rsidRPr="00F615E3" w:rsidRDefault="00563879" w:rsidP="00563879">
      <w:pPr>
        <w:tabs>
          <w:tab w:val="left" w:pos="709"/>
        </w:tabs>
        <w:contextualSpacing/>
        <w:jc w:val="both"/>
        <w:rPr>
          <w:rFonts w:ascii="Verdana" w:eastAsia="Calibri" w:hAnsi="Verdana" w:cs="Arial"/>
          <w:b/>
          <w:bCs/>
          <w:lang w:val="es-MX"/>
        </w:rPr>
      </w:pPr>
    </w:p>
    <w:p w14:paraId="333ACD91" w14:textId="77777777" w:rsidR="00563879" w:rsidRPr="00F615E3" w:rsidRDefault="00563879" w:rsidP="00563879">
      <w:pPr>
        <w:contextualSpacing/>
        <w:jc w:val="both"/>
        <w:rPr>
          <w:rFonts w:ascii="Verdana" w:hAnsi="Verdana" w:cs="Arial"/>
          <w:noProof/>
          <w:sz w:val="20"/>
          <w:szCs w:val="20"/>
        </w:rPr>
      </w:pPr>
      <w:r w:rsidRPr="00F615E3">
        <w:rPr>
          <w:rFonts w:ascii="Verdana" w:hAnsi="Verdana" w:cs="Arial"/>
          <w:sz w:val="20"/>
          <w:szCs w:val="20"/>
        </w:rPr>
        <w:t xml:space="preserve">[…] el parágrafo primero del artículo 37 dispone: “La ejecución de proyectos de que trata este artículo, se adelantará, con estricta sujeción al régimen presupuestal definido en esta ley, </w:t>
      </w:r>
      <w:r w:rsidRPr="00F615E3">
        <w:rPr>
          <w:rFonts w:ascii="Verdana" w:hAnsi="Verdana" w:cs="Arial"/>
          <w:i/>
          <w:iCs/>
          <w:sz w:val="20"/>
          <w:szCs w:val="20"/>
        </w:rPr>
        <w:t>al de contratación pública</w:t>
      </w:r>
      <w:r w:rsidRPr="00F615E3">
        <w:rPr>
          <w:rFonts w:ascii="Verdana" w:hAnsi="Verdana" w:cs="Arial"/>
          <w:sz w:val="20"/>
          <w:szCs w:val="20"/>
        </w:rPr>
        <w:t xml:space="preserve"> y las demás normas legales vigentes. El ejecutor garantizará la correcta ejecución de los recursos asignados al proyecto de inversión, así como el suministro y registro de la información requerida por el sistema de seguimiento, evaluación y control” [Énfasis fuera del texto original].</w:t>
      </w:r>
      <w:r w:rsidRPr="00F615E3">
        <w:rPr>
          <w:rFonts w:ascii="Verdana" w:hAnsi="Verdana" w:cs="Arial"/>
          <w:noProof/>
          <w:sz w:val="20"/>
          <w:szCs w:val="20"/>
        </w:rPr>
        <w:t xml:space="preserve"> A partir de esta norma, el ejercutor de los proyectos de inversion en el Sistema General de Regalias debe sujetarse a las reglas de contratación pública, es decir, a las prescripciones establecidas en el Estatuto General de Contratación de la Administración Pública, así como las normas que lo modifiquen, sustituyan o reglamenten. En efecto, el ejecutor debe someterse a las reglas generales de la contratación pública cuando desarrolle proyectos en el marco del Sistema General de Regalías. </w:t>
      </w:r>
    </w:p>
    <w:p w14:paraId="71ECFC0E" w14:textId="77777777" w:rsidR="00563879" w:rsidRPr="00F615E3" w:rsidRDefault="00563879" w:rsidP="00563879">
      <w:pPr>
        <w:contextualSpacing/>
        <w:jc w:val="both"/>
        <w:rPr>
          <w:rFonts w:ascii="Verdana" w:hAnsi="Verdana" w:cs="Arial"/>
          <w:sz w:val="20"/>
          <w:szCs w:val="20"/>
        </w:rPr>
      </w:pPr>
    </w:p>
    <w:p w14:paraId="2B8E90C2" w14:textId="77777777" w:rsidR="00563879" w:rsidRPr="00F615E3" w:rsidRDefault="00563879" w:rsidP="00563879">
      <w:pPr>
        <w:contextualSpacing/>
        <w:jc w:val="both"/>
        <w:rPr>
          <w:rFonts w:ascii="Verdana" w:hAnsi="Verdana" w:cs="Arial"/>
          <w:color w:val="000000"/>
          <w:sz w:val="20"/>
          <w:szCs w:val="20"/>
          <w:bdr w:val="none" w:sz="0" w:space="0" w:color="auto" w:frame="1"/>
          <w:lang w:val="es-MX"/>
        </w:rPr>
      </w:pPr>
      <w:r w:rsidRPr="00F615E3">
        <w:rPr>
          <w:rFonts w:ascii="Verdana" w:hAnsi="Verdana" w:cs="Arial"/>
          <w:sz w:val="20"/>
          <w:szCs w:val="20"/>
        </w:rPr>
        <w:t>Por tanto, en caso de que se realicen proyectos de inversión en el marco del Sistema General de Regalías, los ejecutores designados para desarrollarlos deben sujetarse al Estatuto General de Contratación de la Administración Pública</w:t>
      </w:r>
      <w:r w:rsidRPr="00F615E3">
        <w:rPr>
          <w:rFonts w:ascii="Verdana" w:eastAsia="Calibri" w:hAnsi="Verdana" w:cs="Arial"/>
          <w:sz w:val="20"/>
          <w:szCs w:val="20"/>
          <w:lang w:val="es-MX"/>
        </w:rPr>
        <w:t>.</w:t>
      </w:r>
      <w:r w:rsidRPr="00F615E3">
        <w:rPr>
          <w:rFonts w:ascii="Verdana" w:hAnsi="Verdana" w:cs="Arial"/>
          <w:sz w:val="20"/>
          <w:szCs w:val="20"/>
        </w:rPr>
        <w:t xml:space="preserve"> </w:t>
      </w:r>
      <w:r w:rsidRPr="00F615E3">
        <w:rPr>
          <w:rFonts w:ascii="Verdana" w:hAnsi="Verdana" w:cs="Arial"/>
          <w:color w:val="000000"/>
          <w:sz w:val="20"/>
          <w:szCs w:val="20"/>
          <w:bdr w:val="none" w:sz="0" w:space="0" w:color="auto" w:frame="1"/>
        </w:rPr>
        <w:t xml:space="preserve">En </w:t>
      </w:r>
      <w:r w:rsidRPr="00F615E3">
        <w:rPr>
          <w:rFonts w:ascii="Verdana" w:hAnsi="Verdana" w:cs="Arial"/>
          <w:color w:val="000000"/>
          <w:sz w:val="20"/>
          <w:szCs w:val="20"/>
          <w:bdr w:val="none" w:sz="0" w:space="0" w:color="auto" w:frame="1"/>
          <w:lang w:val="es-MX"/>
        </w:rPr>
        <w:t xml:space="preserve">el evento en que determinados asuntos estén sometidos por norma especial al Estatuto General de Contratación de la Administración Pública, la ejecución de los contratos deberá realizarse conforme a este régimen. </w:t>
      </w:r>
    </w:p>
    <w:p w14:paraId="2D39DBD2" w14:textId="77777777" w:rsidR="00563879" w:rsidRPr="00563879" w:rsidRDefault="00563879" w:rsidP="00912A18">
      <w:pPr>
        <w:spacing w:after="0" w:line="240" w:lineRule="auto"/>
        <w:rPr>
          <w:rFonts w:ascii="Verdana" w:hAnsi="Verdana"/>
          <w:lang w:val="es-MX"/>
        </w:rPr>
      </w:pPr>
    </w:p>
    <w:p w14:paraId="2AB5F4B5" w14:textId="77777777" w:rsidR="00563879" w:rsidRDefault="00563879" w:rsidP="00912A18">
      <w:pPr>
        <w:spacing w:after="0" w:line="240" w:lineRule="auto"/>
        <w:rPr>
          <w:rFonts w:ascii="Verdana" w:hAnsi="Verdana"/>
        </w:rPr>
      </w:pPr>
    </w:p>
    <w:p w14:paraId="4F8BD9D1" w14:textId="77777777" w:rsidR="00563879" w:rsidRDefault="00563879" w:rsidP="00912A18">
      <w:pPr>
        <w:spacing w:after="0" w:line="240" w:lineRule="auto"/>
        <w:rPr>
          <w:rFonts w:ascii="Verdana" w:hAnsi="Verdana"/>
        </w:rPr>
      </w:pPr>
    </w:p>
    <w:p w14:paraId="22CE1A0F" w14:textId="77777777" w:rsidR="00563879" w:rsidRDefault="00563879" w:rsidP="00912A18">
      <w:pPr>
        <w:spacing w:after="0" w:line="240" w:lineRule="auto"/>
        <w:rPr>
          <w:rFonts w:ascii="Verdana" w:hAnsi="Verdana"/>
        </w:rPr>
      </w:pPr>
    </w:p>
    <w:p w14:paraId="0E182109" w14:textId="77777777" w:rsidR="00563879" w:rsidRDefault="00563879" w:rsidP="00912A18">
      <w:pPr>
        <w:spacing w:after="0" w:line="240" w:lineRule="auto"/>
        <w:rPr>
          <w:rFonts w:ascii="Verdana" w:hAnsi="Verdana"/>
        </w:rPr>
      </w:pPr>
    </w:p>
    <w:p w14:paraId="06380C1B" w14:textId="77777777" w:rsidR="00563879" w:rsidRDefault="00563879" w:rsidP="00912A18">
      <w:pPr>
        <w:spacing w:after="0" w:line="240" w:lineRule="auto"/>
        <w:rPr>
          <w:rFonts w:ascii="Verdana" w:hAnsi="Verdana"/>
        </w:rPr>
      </w:pPr>
    </w:p>
    <w:p w14:paraId="21C3C3F2" w14:textId="77777777" w:rsidR="00563879" w:rsidRDefault="00563879" w:rsidP="00912A18">
      <w:pPr>
        <w:spacing w:after="0" w:line="240" w:lineRule="auto"/>
        <w:rPr>
          <w:rFonts w:ascii="Verdana" w:hAnsi="Verdana"/>
        </w:rPr>
      </w:pPr>
    </w:p>
    <w:p w14:paraId="4A795EA0" w14:textId="77777777" w:rsidR="00563879" w:rsidRDefault="00563879" w:rsidP="00912A18">
      <w:pPr>
        <w:spacing w:after="0" w:line="240" w:lineRule="auto"/>
        <w:rPr>
          <w:rFonts w:ascii="Verdana" w:hAnsi="Verdana"/>
        </w:rPr>
      </w:pPr>
    </w:p>
    <w:p w14:paraId="2444CE07" w14:textId="77777777" w:rsidR="00563879" w:rsidRDefault="00563879" w:rsidP="00912A18">
      <w:pPr>
        <w:spacing w:after="0" w:line="240" w:lineRule="auto"/>
        <w:rPr>
          <w:rFonts w:ascii="Verdana" w:hAnsi="Verdana"/>
        </w:rPr>
      </w:pPr>
    </w:p>
    <w:p w14:paraId="71A24FBF" w14:textId="77777777" w:rsidR="00563879" w:rsidRDefault="00563879" w:rsidP="00912A18">
      <w:pPr>
        <w:spacing w:after="0" w:line="240" w:lineRule="auto"/>
        <w:rPr>
          <w:rFonts w:ascii="Verdana" w:hAnsi="Verdana"/>
        </w:rPr>
      </w:pPr>
    </w:p>
    <w:p w14:paraId="200A715F" w14:textId="77777777" w:rsidR="00563879" w:rsidRDefault="00563879" w:rsidP="00912A18">
      <w:pPr>
        <w:spacing w:after="0" w:line="240" w:lineRule="auto"/>
        <w:rPr>
          <w:rFonts w:ascii="Verdana" w:hAnsi="Verdana"/>
        </w:rPr>
      </w:pPr>
    </w:p>
    <w:p w14:paraId="20154796" w14:textId="77777777" w:rsidR="00563879" w:rsidRDefault="00563879" w:rsidP="00912A18">
      <w:pPr>
        <w:spacing w:after="0" w:line="240" w:lineRule="auto"/>
        <w:rPr>
          <w:rFonts w:ascii="Verdana" w:hAnsi="Verdana"/>
        </w:rPr>
      </w:pPr>
    </w:p>
    <w:p w14:paraId="0EB5D48B" w14:textId="77777777" w:rsidR="00563879" w:rsidRDefault="00563879" w:rsidP="00912A18">
      <w:pPr>
        <w:spacing w:after="0" w:line="240" w:lineRule="auto"/>
        <w:rPr>
          <w:rFonts w:ascii="Verdana" w:hAnsi="Verdana"/>
        </w:rPr>
      </w:pPr>
    </w:p>
    <w:p w14:paraId="6A54F73A" w14:textId="66E8B8A7" w:rsidR="00563879" w:rsidRDefault="00563879" w:rsidP="00912A18">
      <w:pPr>
        <w:spacing w:after="0" w:line="240" w:lineRule="auto"/>
        <w:rPr>
          <w:rFonts w:ascii="Verdana" w:hAnsi="Verdana"/>
        </w:rPr>
      </w:pPr>
    </w:p>
    <w:p w14:paraId="0465BA6D" w14:textId="18CF4C00" w:rsidR="00E245AB" w:rsidRDefault="00E245AB" w:rsidP="00912A18">
      <w:pPr>
        <w:spacing w:after="0" w:line="240" w:lineRule="auto"/>
        <w:rPr>
          <w:rFonts w:ascii="Verdana" w:hAnsi="Verdana"/>
        </w:rPr>
      </w:pPr>
    </w:p>
    <w:p w14:paraId="52144B1C" w14:textId="47454FD3" w:rsidR="00563879" w:rsidRDefault="00563879" w:rsidP="00912A18">
      <w:pPr>
        <w:spacing w:after="0" w:line="240" w:lineRule="auto"/>
        <w:rPr>
          <w:rFonts w:ascii="Verdana" w:hAnsi="Verdana"/>
        </w:rPr>
      </w:pPr>
    </w:p>
    <w:p w14:paraId="59DBC931" w14:textId="3D9B88AA" w:rsidR="00563879" w:rsidRPr="0044528D" w:rsidRDefault="00563879" w:rsidP="00912A18">
      <w:pPr>
        <w:spacing w:after="0" w:line="240" w:lineRule="auto"/>
        <w:rPr>
          <w:rFonts w:ascii="Verdana" w:hAnsi="Verdana"/>
        </w:rPr>
      </w:pPr>
    </w:p>
    <w:p w14:paraId="671AA674" w14:textId="3C41911C" w:rsidR="00563879" w:rsidRDefault="00563879" w:rsidP="009041A3">
      <w:pPr>
        <w:spacing w:after="0" w:line="240" w:lineRule="auto"/>
        <w:jc w:val="both"/>
        <w:rPr>
          <w:rFonts w:ascii="Verdana" w:eastAsia="Calibri" w:hAnsi="Verdana" w:cs="Arial"/>
          <w:lang w:val="es-ES" w:eastAsia="es-ES"/>
        </w:rPr>
      </w:pPr>
    </w:p>
    <w:p w14:paraId="6CB2109F" w14:textId="63A354F2" w:rsidR="00563879" w:rsidRDefault="00563879" w:rsidP="009041A3">
      <w:pPr>
        <w:spacing w:after="0" w:line="240" w:lineRule="auto"/>
        <w:jc w:val="both"/>
        <w:rPr>
          <w:rFonts w:ascii="Verdana" w:eastAsia="Calibri" w:hAnsi="Verdana" w:cs="Arial"/>
          <w:lang w:val="es-ES" w:eastAsia="es-ES"/>
        </w:rPr>
      </w:pPr>
      <w:r>
        <w:rPr>
          <w:noProof/>
        </w:rPr>
        <w:drawing>
          <wp:anchor distT="0" distB="0" distL="0" distR="0" simplePos="0" relativeHeight="251658241" behindDoc="0" locked="0" layoutInCell="1" allowOverlap="1" wp14:anchorId="3B96E225" wp14:editId="5DD1E0E3">
            <wp:simplePos x="0" y="0"/>
            <wp:positionH relativeFrom="page">
              <wp:posOffset>4241937</wp:posOffset>
            </wp:positionH>
            <wp:positionV relativeFrom="paragraph">
              <wp:posOffset>21804</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0" cstate="print"/>
                    <a:stretch>
                      <a:fillRect/>
                    </a:stretch>
                  </pic:blipFill>
                  <pic:spPr>
                    <a:xfrm>
                      <a:off x="0" y="0"/>
                      <a:ext cx="2400300" cy="615950"/>
                    </a:xfrm>
                    <a:prstGeom prst="rect">
                      <a:avLst/>
                    </a:prstGeom>
                  </pic:spPr>
                </pic:pic>
              </a:graphicData>
            </a:graphic>
          </wp:anchor>
        </w:drawing>
      </w:r>
    </w:p>
    <w:p w14:paraId="2880DA93" w14:textId="435A35B2" w:rsidR="00563879" w:rsidRPr="00563879" w:rsidRDefault="00563879" w:rsidP="009041A3">
      <w:pPr>
        <w:spacing w:after="0" w:line="240" w:lineRule="auto"/>
        <w:jc w:val="both"/>
        <w:rPr>
          <w:rFonts w:ascii="Verdana" w:eastAsia="Calibri" w:hAnsi="Verdana" w:cs="Arial"/>
          <w:lang w:val="es-ES" w:eastAsia="es-ES"/>
        </w:rPr>
      </w:pPr>
      <w:r w:rsidRPr="00563879">
        <w:rPr>
          <w:rFonts w:ascii="Verdana" w:hAnsi="Verdana"/>
        </w:rPr>
        <w:t>Bogotá</w:t>
      </w:r>
      <w:r w:rsidRPr="00563879">
        <w:rPr>
          <w:rFonts w:ascii="Verdana" w:hAnsi="Verdana"/>
          <w:spacing w:val="-6"/>
        </w:rPr>
        <w:t xml:space="preserve"> </w:t>
      </w:r>
      <w:r w:rsidRPr="00563879">
        <w:rPr>
          <w:rFonts w:ascii="Verdana" w:hAnsi="Verdana"/>
        </w:rPr>
        <w:t>D.C.,</w:t>
      </w:r>
      <w:r w:rsidRPr="00563879">
        <w:rPr>
          <w:rFonts w:ascii="Verdana" w:hAnsi="Verdana"/>
          <w:spacing w:val="1"/>
        </w:rPr>
        <w:t xml:space="preserve"> </w:t>
      </w:r>
      <w:r w:rsidRPr="00563879">
        <w:rPr>
          <w:rFonts w:ascii="Verdana" w:hAnsi="Verdana"/>
        </w:rPr>
        <w:t>07</w:t>
      </w:r>
      <w:r w:rsidRPr="00563879">
        <w:rPr>
          <w:rFonts w:ascii="Verdana" w:hAnsi="Verdana"/>
          <w:spacing w:val="-1"/>
        </w:rPr>
        <w:t xml:space="preserve"> </w:t>
      </w:r>
      <w:r w:rsidRPr="00563879">
        <w:rPr>
          <w:rFonts w:ascii="Verdana" w:hAnsi="Verdana"/>
        </w:rPr>
        <w:t>Abril</w:t>
      </w:r>
      <w:r w:rsidRPr="00563879">
        <w:rPr>
          <w:rFonts w:ascii="Verdana" w:hAnsi="Verdana"/>
          <w:spacing w:val="-1"/>
        </w:rPr>
        <w:t xml:space="preserve"> </w:t>
      </w:r>
      <w:r w:rsidRPr="00563879">
        <w:rPr>
          <w:rFonts w:ascii="Verdana" w:hAnsi="Verdana"/>
          <w:spacing w:val="-4"/>
        </w:rPr>
        <w:t>2025</w:t>
      </w:r>
    </w:p>
    <w:p w14:paraId="34768F0A" w14:textId="77777777" w:rsidR="00563879" w:rsidRPr="00563879" w:rsidRDefault="00563879" w:rsidP="009041A3">
      <w:pPr>
        <w:spacing w:after="0" w:line="240" w:lineRule="auto"/>
        <w:jc w:val="both"/>
        <w:rPr>
          <w:rFonts w:ascii="Verdana" w:eastAsia="Calibri" w:hAnsi="Verdana" w:cs="Arial"/>
          <w:lang w:val="es-ES" w:eastAsia="es-ES"/>
        </w:rPr>
      </w:pPr>
    </w:p>
    <w:p w14:paraId="13A5CDF3" w14:textId="724DF9D7" w:rsidR="009041A3" w:rsidRPr="00563879" w:rsidRDefault="009041A3" w:rsidP="009041A3">
      <w:pPr>
        <w:spacing w:after="0" w:line="240" w:lineRule="auto"/>
        <w:jc w:val="both"/>
        <w:rPr>
          <w:rFonts w:ascii="Verdana" w:eastAsia="Calibri" w:hAnsi="Verdana" w:cs="Arial"/>
          <w:lang w:val="es-ES" w:eastAsia="es-ES"/>
        </w:rPr>
      </w:pPr>
      <w:r w:rsidRPr="00563879">
        <w:rPr>
          <w:rFonts w:ascii="Verdana" w:eastAsia="Calibri" w:hAnsi="Verdana" w:cs="Arial"/>
          <w:lang w:val="es-ES" w:eastAsia="es-ES"/>
        </w:rPr>
        <w:t>Señor</w:t>
      </w:r>
    </w:p>
    <w:p w14:paraId="5ADA93AE" w14:textId="77777777" w:rsidR="009041A3" w:rsidRPr="00563879" w:rsidRDefault="009041A3" w:rsidP="009041A3">
      <w:pPr>
        <w:spacing w:after="0" w:line="240" w:lineRule="auto"/>
        <w:rPr>
          <w:rFonts w:ascii="Verdana" w:eastAsia="Calibri" w:hAnsi="Verdana" w:cs="Arial"/>
          <w:b/>
          <w:bCs/>
          <w:lang w:val="es-ES" w:eastAsia="es-ES"/>
        </w:rPr>
      </w:pPr>
      <w:r w:rsidRPr="00563879">
        <w:rPr>
          <w:rFonts w:ascii="Verdana" w:eastAsia="Calibri" w:hAnsi="Verdana" w:cs="Arial"/>
          <w:b/>
          <w:bCs/>
          <w:lang w:val="es-ES" w:eastAsia="es-ES"/>
        </w:rPr>
        <w:t xml:space="preserve">Elmo Guevara Peña </w:t>
      </w:r>
    </w:p>
    <w:p w14:paraId="0E606117" w14:textId="77777777" w:rsidR="009041A3" w:rsidRPr="00563879" w:rsidRDefault="009041A3" w:rsidP="009041A3">
      <w:pPr>
        <w:spacing w:after="0" w:line="240" w:lineRule="auto"/>
        <w:rPr>
          <w:rFonts w:ascii="Verdana" w:eastAsia="Calibri" w:hAnsi="Verdana" w:cs="Arial"/>
          <w:lang w:val="es-ES" w:eastAsia="es-ES"/>
        </w:rPr>
      </w:pPr>
      <w:r w:rsidRPr="00563879">
        <w:rPr>
          <w:rFonts w:ascii="Verdana" w:eastAsia="Calibri" w:hAnsi="Verdana" w:cs="Arial"/>
          <w:lang w:val="es-ES" w:eastAsia="es-ES"/>
        </w:rPr>
        <w:t xml:space="preserve">Empresas Públicas de Hobo - </w:t>
      </w:r>
      <w:proofErr w:type="spellStart"/>
      <w:r w:rsidRPr="00563879">
        <w:rPr>
          <w:rFonts w:ascii="Verdana" w:eastAsia="Calibri" w:hAnsi="Verdana" w:cs="Arial"/>
          <w:lang w:val="es-ES" w:eastAsia="es-ES"/>
        </w:rPr>
        <w:t>Emuserhobo</w:t>
      </w:r>
      <w:proofErr w:type="spellEnd"/>
    </w:p>
    <w:p w14:paraId="227971E5" w14:textId="77777777" w:rsidR="009041A3" w:rsidRPr="00563879" w:rsidRDefault="009041A3" w:rsidP="009041A3">
      <w:pPr>
        <w:spacing w:after="0" w:line="240" w:lineRule="auto"/>
        <w:rPr>
          <w:rFonts w:ascii="Verdana" w:eastAsia="Calibri" w:hAnsi="Verdana" w:cs="Arial"/>
          <w:b/>
          <w:bCs/>
          <w:lang w:val="es-ES" w:eastAsia="es-ES"/>
        </w:rPr>
      </w:pPr>
      <w:r w:rsidRPr="00563879">
        <w:rPr>
          <w:rFonts w:ascii="Verdana" w:eastAsia="Calibri" w:hAnsi="Verdana" w:cs="Arial"/>
          <w:lang w:val="es-ES" w:eastAsia="es-ES"/>
        </w:rPr>
        <w:t>Bogotá D.C</w:t>
      </w:r>
    </w:p>
    <w:p w14:paraId="28131D0F" w14:textId="77777777" w:rsidR="009041A3" w:rsidRPr="00F615E3" w:rsidRDefault="009041A3" w:rsidP="009041A3">
      <w:pPr>
        <w:spacing w:after="0" w:line="240" w:lineRule="auto"/>
        <w:rPr>
          <w:rFonts w:ascii="Verdana" w:eastAsia="Calibri" w:hAnsi="Verdana" w:cs="Arial"/>
          <w:b/>
          <w:bCs/>
          <w:lang w:val="es-ES_tradnl" w:eastAsia="es-ES_tradnl"/>
        </w:rPr>
      </w:pPr>
    </w:p>
    <w:p w14:paraId="004E8B24" w14:textId="77777777" w:rsidR="009041A3" w:rsidRPr="00F615E3" w:rsidRDefault="009041A3" w:rsidP="009041A3">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041A3" w:rsidRPr="00F615E3" w14:paraId="64168543" w14:textId="77777777" w:rsidTr="00906C29">
        <w:trPr>
          <w:trHeight w:val="243"/>
        </w:trPr>
        <w:tc>
          <w:tcPr>
            <w:tcW w:w="2689" w:type="dxa"/>
          </w:tcPr>
          <w:p w14:paraId="603C8A84" w14:textId="77777777" w:rsidR="009041A3" w:rsidRPr="00F615E3" w:rsidRDefault="009041A3" w:rsidP="00906C29">
            <w:pPr>
              <w:jc w:val="both"/>
              <w:rPr>
                <w:rFonts w:ascii="Verdana" w:eastAsia="Calibri" w:hAnsi="Verdana" w:cs="Arial"/>
                <w:b/>
                <w:bCs/>
                <w:lang w:val="es-ES_tradnl" w:eastAsia="es-ES_tradnl"/>
              </w:rPr>
            </w:pPr>
          </w:p>
        </w:tc>
        <w:tc>
          <w:tcPr>
            <w:tcW w:w="6100" w:type="dxa"/>
          </w:tcPr>
          <w:p w14:paraId="0D9ACAC4" w14:textId="6ABFA870" w:rsidR="009041A3" w:rsidRPr="00F615E3" w:rsidRDefault="009041A3" w:rsidP="00906C29">
            <w:pPr>
              <w:jc w:val="both"/>
              <w:rPr>
                <w:rFonts w:ascii="Verdana" w:eastAsia="Calibri" w:hAnsi="Verdana" w:cs="Arial"/>
                <w:b/>
                <w:bCs/>
                <w:lang w:val="es-ES" w:eastAsia="es-ES"/>
              </w:rPr>
            </w:pPr>
            <w:r w:rsidRPr="00F615E3">
              <w:rPr>
                <w:rFonts w:ascii="Verdana" w:eastAsia="Calibri" w:hAnsi="Verdana" w:cs="Arial"/>
                <w:b/>
                <w:bCs/>
                <w:lang w:val="es-ES" w:eastAsia="es-ES"/>
              </w:rPr>
              <w:t>Concepto C- 253 de 202</w:t>
            </w:r>
            <w:r w:rsidR="00C305EA">
              <w:rPr>
                <w:rFonts w:ascii="Verdana" w:eastAsia="Calibri" w:hAnsi="Verdana" w:cs="Arial"/>
                <w:b/>
                <w:bCs/>
                <w:lang w:val="es-ES" w:eastAsia="es-ES"/>
              </w:rPr>
              <w:t>5</w:t>
            </w:r>
          </w:p>
          <w:p w14:paraId="066176C8" w14:textId="77777777" w:rsidR="009041A3" w:rsidRPr="00F615E3" w:rsidRDefault="009041A3" w:rsidP="00906C29">
            <w:pPr>
              <w:jc w:val="both"/>
              <w:rPr>
                <w:rFonts w:ascii="Verdana" w:eastAsia="Calibri" w:hAnsi="Verdana" w:cs="Arial"/>
                <w:b/>
                <w:bCs/>
                <w:lang w:val="es-ES" w:eastAsia="es-ES"/>
              </w:rPr>
            </w:pPr>
          </w:p>
        </w:tc>
      </w:tr>
      <w:tr w:rsidR="009041A3" w:rsidRPr="00F615E3" w14:paraId="3EB81379" w14:textId="77777777" w:rsidTr="00906C29">
        <w:trPr>
          <w:trHeight w:val="884"/>
        </w:trPr>
        <w:tc>
          <w:tcPr>
            <w:tcW w:w="2689" w:type="dxa"/>
          </w:tcPr>
          <w:p w14:paraId="4F03346E" w14:textId="77777777" w:rsidR="009041A3" w:rsidRPr="00F615E3" w:rsidRDefault="009041A3" w:rsidP="00906C29">
            <w:pPr>
              <w:jc w:val="both"/>
              <w:rPr>
                <w:rFonts w:ascii="Verdana" w:eastAsia="Calibri" w:hAnsi="Verdana" w:cs="Arial"/>
                <w:lang w:val="es-ES_tradnl" w:eastAsia="es-ES_tradnl"/>
              </w:rPr>
            </w:pPr>
            <w:r w:rsidRPr="00F615E3">
              <w:rPr>
                <w:rFonts w:ascii="Verdana" w:eastAsia="Calibri" w:hAnsi="Verdana" w:cs="Arial"/>
                <w:b/>
                <w:lang w:val="es-ES_tradnl" w:eastAsia="es-ES_tradnl"/>
              </w:rPr>
              <w:t>Temas:</w:t>
            </w:r>
            <w:r w:rsidRPr="00F615E3">
              <w:rPr>
                <w:rFonts w:ascii="Verdana" w:eastAsia="Calibri" w:hAnsi="Verdana" w:cs="Arial"/>
                <w:lang w:val="es-ES_tradnl" w:eastAsia="es-ES_tradnl"/>
              </w:rPr>
              <w:t xml:space="preserve">                   </w:t>
            </w:r>
          </w:p>
        </w:tc>
        <w:tc>
          <w:tcPr>
            <w:tcW w:w="6100" w:type="dxa"/>
          </w:tcPr>
          <w:p w14:paraId="48FF38AD" w14:textId="01619DCD" w:rsidR="009041A3" w:rsidRPr="00F615E3" w:rsidRDefault="009041A3" w:rsidP="00912A18">
            <w:pPr>
              <w:jc w:val="both"/>
              <w:rPr>
                <w:rFonts w:ascii="Verdana" w:eastAsia="Calibri" w:hAnsi="Verdana" w:cs="Arial"/>
                <w:lang w:val="es-ES_tradnl" w:eastAsia="es-ES"/>
              </w:rPr>
            </w:pPr>
            <w:r w:rsidRPr="00F615E3">
              <w:rPr>
                <w:rFonts w:ascii="Verdana" w:eastAsia="Calibri" w:hAnsi="Verdana" w:cs="Arial"/>
                <w:bCs/>
                <w:lang w:val="es-ES"/>
              </w:rPr>
              <w:t xml:space="preserve">SISTEMA GENERAL DE REGALÍAS – Fundamento normativo – Acto Legislativo 01 de 2019 / </w:t>
            </w:r>
            <w:r w:rsidRPr="00F615E3">
              <w:rPr>
                <w:rFonts w:ascii="Verdana" w:eastAsia="Calibri" w:hAnsi="Verdana" w:cs="Arial"/>
                <w:bCs/>
                <w:lang w:val="es-MX"/>
              </w:rPr>
              <w:t xml:space="preserve">SISTEMA GENERAL DE REGALÍAS – Ley 2056 de 2020 – Finalidad – Objeto / </w:t>
            </w:r>
            <w:r w:rsidRPr="00F615E3">
              <w:rPr>
                <w:rFonts w:ascii="Verdana" w:eastAsia="Calibri" w:hAnsi="Verdana" w:cs="Arial"/>
                <w:lang w:val="es-MX"/>
              </w:rPr>
              <w:t xml:space="preserve">SISTEMA GENERAL DE </w:t>
            </w:r>
            <w:r w:rsidRPr="00F615E3">
              <w:rPr>
                <w:rFonts w:ascii="Verdana" w:eastAsia="Calibri" w:hAnsi="Verdana" w:cs="Arial"/>
                <w:bCs/>
                <w:lang w:val="es-MX"/>
              </w:rPr>
              <w:t>REGALÍAS</w:t>
            </w:r>
            <w:r w:rsidRPr="00F615E3">
              <w:rPr>
                <w:rFonts w:ascii="Verdana" w:eastAsia="Calibri" w:hAnsi="Verdana" w:cs="Arial"/>
                <w:lang w:val="es-MX"/>
              </w:rPr>
              <w:t xml:space="preserve"> – Régimen contractual – Entidades ejecutoras – Aplicación del Estatuto General de Contratación de la Administración Pública / </w:t>
            </w:r>
            <w:r w:rsidRPr="00F615E3">
              <w:rPr>
                <w:rFonts w:ascii="Verdana" w:eastAsia="Calibri" w:hAnsi="Verdana" w:cs="Arial"/>
                <w:lang w:val="es-ES_tradnl" w:eastAsia="es-ES"/>
              </w:rPr>
              <w:t>ENTIDADES EXCEPTUADAS – Régimen especial – Derecho privado</w:t>
            </w:r>
          </w:p>
          <w:p w14:paraId="022E2117" w14:textId="77777777" w:rsidR="009041A3" w:rsidRPr="00F615E3" w:rsidRDefault="009041A3" w:rsidP="00906C29">
            <w:pPr>
              <w:tabs>
                <w:tab w:val="left" w:pos="709"/>
              </w:tabs>
              <w:jc w:val="both"/>
              <w:rPr>
                <w:rFonts w:ascii="Verdana" w:eastAsia="Calibri" w:hAnsi="Verdana" w:cs="Arial"/>
                <w:lang w:val="es-MX" w:eastAsia="es-ES"/>
              </w:rPr>
            </w:pPr>
          </w:p>
        </w:tc>
      </w:tr>
      <w:tr w:rsidR="009041A3" w:rsidRPr="00F615E3" w14:paraId="7BE1907D" w14:textId="77777777" w:rsidTr="00906C29">
        <w:trPr>
          <w:trHeight w:val="377"/>
        </w:trPr>
        <w:tc>
          <w:tcPr>
            <w:tcW w:w="2689" w:type="dxa"/>
          </w:tcPr>
          <w:p w14:paraId="36CFD191" w14:textId="77777777" w:rsidR="009041A3" w:rsidRPr="00F615E3" w:rsidRDefault="009041A3" w:rsidP="00906C29">
            <w:pPr>
              <w:jc w:val="both"/>
              <w:rPr>
                <w:rFonts w:ascii="Verdana" w:eastAsia="Calibri" w:hAnsi="Verdana" w:cs="Arial"/>
                <w:b/>
                <w:lang w:val="es-ES_tradnl" w:eastAsia="es-ES_tradnl"/>
              </w:rPr>
            </w:pPr>
            <w:r w:rsidRPr="00F615E3">
              <w:rPr>
                <w:rFonts w:ascii="Verdana" w:eastAsia="Calibri" w:hAnsi="Verdana" w:cs="Arial"/>
                <w:b/>
                <w:lang w:val="es-ES_tradnl" w:eastAsia="es-ES_tradnl"/>
              </w:rPr>
              <w:t>Radicación:</w:t>
            </w:r>
            <w:r w:rsidRPr="00F615E3">
              <w:rPr>
                <w:rFonts w:ascii="Verdana" w:eastAsia="Calibri" w:hAnsi="Verdana" w:cs="Arial"/>
                <w:lang w:val="es-ES_tradnl" w:eastAsia="es-ES_tradnl"/>
              </w:rPr>
              <w:t xml:space="preserve">               </w:t>
            </w:r>
          </w:p>
        </w:tc>
        <w:tc>
          <w:tcPr>
            <w:tcW w:w="6100" w:type="dxa"/>
          </w:tcPr>
          <w:p w14:paraId="5DA77287" w14:textId="6CECEF8C" w:rsidR="009041A3" w:rsidRPr="00F615E3" w:rsidRDefault="009041A3" w:rsidP="00906C29">
            <w:pPr>
              <w:jc w:val="both"/>
              <w:rPr>
                <w:rFonts w:ascii="Verdana" w:hAnsi="Verdana" w:cs="Calibri"/>
                <w:color w:val="000000"/>
              </w:rPr>
            </w:pPr>
            <w:r w:rsidRPr="00F615E3">
              <w:rPr>
                <w:rFonts w:ascii="Verdana" w:eastAsia="Calibri" w:hAnsi="Verdana" w:cs="Arial"/>
                <w:lang w:val="es-ES_tradnl" w:eastAsia="es-ES_tradnl"/>
              </w:rPr>
              <w:t xml:space="preserve">Respuesta a </w:t>
            </w:r>
            <w:r w:rsidR="00D14728">
              <w:rPr>
                <w:rFonts w:ascii="Verdana" w:eastAsia="Calibri" w:hAnsi="Verdana" w:cs="Arial"/>
                <w:lang w:val="es-ES_tradnl" w:eastAsia="es-ES_tradnl"/>
              </w:rPr>
              <w:t xml:space="preserve">las </w:t>
            </w:r>
            <w:r w:rsidRPr="00F615E3">
              <w:rPr>
                <w:rFonts w:ascii="Verdana" w:eastAsia="Calibri" w:hAnsi="Verdana" w:cs="Arial"/>
                <w:lang w:val="es-ES_tradnl" w:eastAsia="es-ES_tradnl"/>
              </w:rPr>
              <w:t>consulta</w:t>
            </w:r>
            <w:r w:rsidR="00D14728">
              <w:rPr>
                <w:rFonts w:ascii="Verdana" w:eastAsia="Calibri" w:hAnsi="Verdana" w:cs="Arial"/>
                <w:lang w:val="es-ES_tradnl" w:eastAsia="es-ES_tradnl"/>
              </w:rPr>
              <w:t>s</w:t>
            </w:r>
            <w:r w:rsidRPr="00F615E3">
              <w:rPr>
                <w:rFonts w:ascii="Verdana" w:eastAsia="Calibri" w:hAnsi="Verdana" w:cs="Arial"/>
                <w:lang w:val="es-ES_tradnl" w:eastAsia="es-ES_tradnl"/>
              </w:rPr>
              <w:t xml:space="preserve"> acumulada</w:t>
            </w:r>
            <w:r w:rsidR="00D14728">
              <w:rPr>
                <w:rFonts w:ascii="Verdana" w:eastAsia="Calibri" w:hAnsi="Verdana" w:cs="Arial"/>
                <w:lang w:val="es-ES_tradnl" w:eastAsia="es-ES_tradnl"/>
              </w:rPr>
              <w:t>s</w:t>
            </w:r>
            <w:r w:rsidRPr="00F615E3">
              <w:rPr>
                <w:rFonts w:ascii="Verdana" w:eastAsia="Calibri" w:hAnsi="Verdana" w:cs="Arial"/>
                <w:lang w:val="es-ES_tradnl" w:eastAsia="es-ES_tradnl"/>
              </w:rPr>
              <w:t xml:space="preserve"> con radicado</w:t>
            </w:r>
            <w:r w:rsidR="00D14728">
              <w:rPr>
                <w:rFonts w:ascii="Verdana" w:eastAsia="Calibri" w:hAnsi="Verdana" w:cs="Arial"/>
                <w:lang w:val="es-ES_tradnl" w:eastAsia="es-ES_tradnl"/>
              </w:rPr>
              <w:t>s</w:t>
            </w:r>
            <w:r w:rsidRPr="00F615E3">
              <w:rPr>
                <w:rFonts w:ascii="Verdana" w:eastAsia="Calibri" w:hAnsi="Verdana" w:cs="Arial"/>
                <w:lang w:val="es-ES_tradnl" w:eastAsia="es-ES_tradnl"/>
              </w:rPr>
              <w:t xml:space="preserve"> </w:t>
            </w:r>
            <w:proofErr w:type="spellStart"/>
            <w:r w:rsidRPr="00F615E3">
              <w:rPr>
                <w:rFonts w:ascii="Verdana" w:eastAsia="Calibri" w:hAnsi="Verdana" w:cs="Arial"/>
                <w:lang w:val="es-ES_tradnl" w:eastAsia="es-ES_tradnl"/>
              </w:rPr>
              <w:t>Nrs</w:t>
            </w:r>
            <w:proofErr w:type="spellEnd"/>
            <w:r w:rsidRPr="00F615E3">
              <w:rPr>
                <w:rFonts w:ascii="Verdana" w:eastAsia="Calibri" w:hAnsi="Verdana" w:cs="Arial"/>
                <w:lang w:val="es-ES_tradnl" w:eastAsia="es-ES_tradnl"/>
              </w:rPr>
              <w:t xml:space="preserve">. </w:t>
            </w:r>
            <w:r w:rsidR="00D14728" w:rsidRPr="00D14728">
              <w:rPr>
                <w:rFonts w:ascii="Verdana" w:hAnsi="Verdana" w:cs="Calibri"/>
                <w:color w:val="000000"/>
              </w:rPr>
              <w:t>P20250227001921</w:t>
            </w:r>
            <w:r w:rsidRPr="00F615E3">
              <w:rPr>
                <w:rFonts w:ascii="Verdana" w:hAnsi="Verdana" w:cs="Calibri"/>
                <w:color w:val="000000"/>
              </w:rPr>
              <w:t xml:space="preserve"> y P20250313002481.</w:t>
            </w:r>
          </w:p>
        </w:tc>
      </w:tr>
    </w:tbl>
    <w:p w14:paraId="1770F762" w14:textId="77777777" w:rsidR="009041A3" w:rsidRPr="00AE43ED" w:rsidRDefault="009041A3" w:rsidP="009041A3">
      <w:pPr>
        <w:spacing w:after="0" w:line="240" w:lineRule="auto"/>
        <w:jc w:val="both"/>
        <w:rPr>
          <w:rFonts w:ascii="Verdana" w:eastAsia="Calibri" w:hAnsi="Verdana" w:cs="Arial"/>
          <w:lang w:eastAsia="es-ES_tradnl"/>
        </w:rPr>
      </w:pPr>
    </w:p>
    <w:p w14:paraId="63CF3AB3" w14:textId="77777777" w:rsidR="009041A3" w:rsidRPr="00F615E3" w:rsidRDefault="009041A3" w:rsidP="009041A3">
      <w:pPr>
        <w:spacing w:after="0" w:line="240" w:lineRule="auto"/>
        <w:jc w:val="both"/>
        <w:rPr>
          <w:rFonts w:ascii="Verdana" w:eastAsia="Calibri" w:hAnsi="Verdana" w:cs="Arial"/>
          <w:lang w:val="es-ES_tradnl" w:eastAsia="es-ES_tradnl"/>
        </w:rPr>
      </w:pPr>
    </w:p>
    <w:p w14:paraId="200BC58A" w14:textId="77777777" w:rsidR="009041A3" w:rsidRPr="00F615E3" w:rsidRDefault="009041A3" w:rsidP="009041A3">
      <w:pPr>
        <w:spacing w:after="0" w:line="276" w:lineRule="auto"/>
        <w:jc w:val="both"/>
        <w:rPr>
          <w:rFonts w:ascii="Verdana" w:eastAsia="Calibri" w:hAnsi="Verdana" w:cs="Arial"/>
          <w:lang w:val="es-ES" w:eastAsia="es-ES"/>
        </w:rPr>
      </w:pPr>
      <w:r w:rsidRPr="00F615E3">
        <w:rPr>
          <w:rFonts w:ascii="Verdana" w:eastAsia="Calibri" w:hAnsi="Verdana" w:cs="Arial"/>
          <w:lang w:val="es-ES" w:eastAsia="es-ES"/>
        </w:rPr>
        <w:t xml:space="preserve">Estimado señor </w:t>
      </w:r>
      <w:r w:rsidRPr="00F615E3">
        <w:rPr>
          <w:rFonts w:ascii="Verdana" w:eastAsia="Calibri" w:hAnsi="Verdana" w:cs="Arial"/>
          <w:lang w:val="es-ES_tradnl" w:eastAsia="es-ES_tradnl"/>
        </w:rPr>
        <w:t>Guevara</w:t>
      </w:r>
      <w:r w:rsidRPr="00F615E3">
        <w:rPr>
          <w:rFonts w:ascii="Verdana" w:eastAsia="Calibri" w:hAnsi="Verdana" w:cs="Arial"/>
          <w:lang w:val="es-ES" w:eastAsia="es-ES"/>
        </w:rPr>
        <w:t xml:space="preserve">: </w:t>
      </w:r>
    </w:p>
    <w:p w14:paraId="7EA5F0CF" w14:textId="77777777" w:rsidR="009041A3" w:rsidRPr="00F615E3" w:rsidRDefault="009041A3" w:rsidP="009041A3">
      <w:pPr>
        <w:tabs>
          <w:tab w:val="left" w:pos="3768"/>
        </w:tabs>
        <w:spacing w:after="0" w:line="276" w:lineRule="auto"/>
        <w:jc w:val="both"/>
        <w:rPr>
          <w:rFonts w:ascii="Verdana" w:eastAsia="Calibri" w:hAnsi="Verdana" w:cs="Arial"/>
          <w:lang w:val="es-ES" w:eastAsia="es-ES"/>
        </w:rPr>
      </w:pPr>
      <w:r w:rsidRPr="00F615E3">
        <w:rPr>
          <w:rFonts w:ascii="Verdana" w:eastAsia="Calibri" w:hAnsi="Verdana" w:cs="Arial"/>
          <w:lang w:val="es-ES" w:eastAsia="es-ES"/>
        </w:rPr>
        <w:tab/>
      </w:r>
    </w:p>
    <w:p w14:paraId="3F141F73" w14:textId="77777777" w:rsidR="009041A3" w:rsidRPr="00F615E3" w:rsidRDefault="009041A3" w:rsidP="009041A3">
      <w:pPr>
        <w:spacing w:after="0" w:line="276" w:lineRule="auto"/>
        <w:jc w:val="both"/>
        <w:rPr>
          <w:rFonts w:ascii="Verdana" w:eastAsia="Calibri" w:hAnsi="Verdana" w:cs="Arial"/>
          <w:lang w:val="es-ES" w:eastAsia="es-ES"/>
        </w:rPr>
      </w:pPr>
      <w:r w:rsidRPr="00F615E3">
        <w:rPr>
          <w:rFonts w:ascii="Verdana" w:eastAsia="Calibri" w:hAnsi="Verdana" w:cs="Arial"/>
          <w:lang w:val="es-ES" w:eastAsia="es-ES"/>
        </w:rPr>
        <w:t>En ejercicio de la competencia otorgada por los artículos 3, numeral 5º, y 11, numeral 8º, del Decreto Ley 4170 de 2011,</w:t>
      </w:r>
      <w:r w:rsidRPr="00F615E3">
        <w:rPr>
          <w:rFonts w:ascii="Verdana" w:eastAsia="Arial MT" w:hAnsi="Verdana" w:cs="Arial MT"/>
          <w:lang w:val="es-ES" w:eastAsia="es-ES"/>
        </w:rPr>
        <w:t xml:space="preserve"> </w:t>
      </w:r>
      <w:r w:rsidRPr="00F615E3">
        <w:rPr>
          <w:rFonts w:ascii="Verdana" w:hAnsi="Verdana" w:cs="Arial"/>
        </w:rPr>
        <w:t xml:space="preserve">así como lo establecido en el artículo 4 de la Resolución 1707 de 2018 expedida por esta Entidad, </w:t>
      </w:r>
      <w:r w:rsidRPr="00F615E3">
        <w:rPr>
          <w:rFonts w:ascii="Verdana" w:eastAsia="Calibri" w:hAnsi="Verdana" w:cs="Arial"/>
          <w:lang w:val="es-ES" w:eastAsia="es-ES"/>
        </w:rPr>
        <w:t xml:space="preserve">la Agencia Nacional de Contratación Pública – Colombia Compra Eficiente– responde su solicitud de consulta trasladada por competencia, por el Departamento Administrativo de Planeación, el 27 de febrero de 2025, en la cual manifiesta lo siguiente: </w:t>
      </w:r>
    </w:p>
    <w:p w14:paraId="020747FD" w14:textId="77777777" w:rsidR="009041A3" w:rsidRPr="00F615E3" w:rsidRDefault="009041A3" w:rsidP="00AE43ED">
      <w:pPr>
        <w:pStyle w:val="Prrafodelista"/>
        <w:tabs>
          <w:tab w:val="left" w:pos="142"/>
          <w:tab w:val="left" w:pos="284"/>
        </w:tabs>
        <w:spacing w:after="0" w:line="276" w:lineRule="auto"/>
        <w:ind w:left="709" w:right="709"/>
        <w:contextualSpacing w:val="0"/>
        <w:jc w:val="both"/>
        <w:rPr>
          <w:rFonts w:ascii="Verdana" w:eastAsia="Century Gothic" w:hAnsi="Verdana" w:cs="Century Gothic"/>
          <w:b/>
          <w:bCs/>
          <w:sz w:val="20"/>
          <w:szCs w:val="20"/>
        </w:rPr>
      </w:pPr>
    </w:p>
    <w:p w14:paraId="6C6153C7" w14:textId="77777777" w:rsidR="009041A3" w:rsidRPr="00F615E3" w:rsidRDefault="009041A3" w:rsidP="009041A3">
      <w:pPr>
        <w:pStyle w:val="p1"/>
        <w:ind w:left="709" w:right="709"/>
        <w:jc w:val="both"/>
        <w:rPr>
          <w:rFonts w:ascii="Verdana" w:hAnsi="Verdana"/>
          <w:sz w:val="20"/>
          <w:szCs w:val="20"/>
        </w:rPr>
      </w:pPr>
      <w:bookmarkStart w:id="1" w:name="_Hlk95313578"/>
      <w:r w:rsidRPr="00AE43ED">
        <w:rPr>
          <w:rFonts w:ascii="Verdana" w:hAnsi="Verdana"/>
          <w:sz w:val="20"/>
          <w:szCs w:val="20"/>
        </w:rPr>
        <w:t>“(…) 1. ¿Cuál es el régimen contractual aplicable en la ejecución de proyectos cuya fuente de financiación es el</w:t>
      </w:r>
      <w:r w:rsidRPr="00F615E3">
        <w:rPr>
          <w:rFonts w:ascii="Verdana" w:hAnsi="Verdana"/>
          <w:sz w:val="20"/>
          <w:szCs w:val="20"/>
        </w:rPr>
        <w:t xml:space="preserve"> </w:t>
      </w:r>
      <w:r w:rsidRPr="00AE43ED">
        <w:rPr>
          <w:rFonts w:ascii="Verdana" w:hAnsi="Verdana"/>
          <w:sz w:val="20"/>
          <w:szCs w:val="20"/>
        </w:rPr>
        <w:t>Sistema General de Regalías considerando que la Entidad Ejecutoria designada corresponde a una Empresa de</w:t>
      </w:r>
      <w:r w:rsidRPr="00F615E3">
        <w:rPr>
          <w:rFonts w:ascii="Verdana" w:hAnsi="Verdana"/>
          <w:sz w:val="20"/>
          <w:szCs w:val="20"/>
        </w:rPr>
        <w:t xml:space="preserve"> </w:t>
      </w:r>
      <w:r w:rsidRPr="00AE43ED">
        <w:rPr>
          <w:rFonts w:ascii="Verdana" w:hAnsi="Verdana"/>
          <w:sz w:val="20"/>
          <w:szCs w:val="20"/>
        </w:rPr>
        <w:t>Servicios Públicos Domiciliarios S.A. E.S.P de carácter Público? (sic)</w:t>
      </w:r>
    </w:p>
    <w:p w14:paraId="6CD7F334" w14:textId="77777777" w:rsidR="009041A3" w:rsidRPr="00F615E3" w:rsidRDefault="009041A3" w:rsidP="009041A3">
      <w:pPr>
        <w:pStyle w:val="p1"/>
        <w:ind w:left="709" w:right="709"/>
        <w:jc w:val="both"/>
        <w:rPr>
          <w:rFonts w:ascii="Verdana" w:hAnsi="Verdana"/>
          <w:sz w:val="20"/>
          <w:szCs w:val="20"/>
        </w:rPr>
      </w:pPr>
      <w:r w:rsidRPr="00AE43ED">
        <w:rPr>
          <w:rFonts w:ascii="Verdana" w:hAnsi="Verdana"/>
          <w:sz w:val="20"/>
          <w:szCs w:val="20"/>
        </w:rPr>
        <w:t>2. Una Empresa de Servicios Públicos S.A. E.S.P designada como Entidad Ejecutora por el Municipio en relación con</w:t>
      </w:r>
      <w:r w:rsidRPr="00F615E3">
        <w:rPr>
          <w:rFonts w:ascii="Verdana" w:hAnsi="Verdana"/>
          <w:sz w:val="20"/>
          <w:szCs w:val="20"/>
        </w:rPr>
        <w:t xml:space="preserve"> </w:t>
      </w:r>
      <w:r w:rsidRPr="00AE43ED">
        <w:rPr>
          <w:rFonts w:ascii="Verdana" w:hAnsi="Verdana"/>
          <w:sz w:val="20"/>
          <w:szCs w:val="20"/>
        </w:rPr>
        <w:t xml:space="preserve">la ejecución de un proyecto de reposición del Sistema de Acueducto y Alcantarillado, cuyas fuentes de </w:t>
      </w:r>
      <w:r w:rsidRPr="00AE43ED">
        <w:rPr>
          <w:rFonts w:ascii="Verdana" w:hAnsi="Verdana"/>
          <w:sz w:val="20"/>
          <w:szCs w:val="20"/>
        </w:rPr>
        <w:lastRenderedPageBreak/>
        <w:t>financiación</w:t>
      </w:r>
      <w:r w:rsidRPr="00F615E3">
        <w:rPr>
          <w:rFonts w:ascii="Verdana" w:hAnsi="Verdana"/>
          <w:sz w:val="20"/>
          <w:szCs w:val="20"/>
        </w:rPr>
        <w:t xml:space="preserve"> </w:t>
      </w:r>
      <w:r w:rsidRPr="00AE43ED">
        <w:rPr>
          <w:rFonts w:ascii="Verdana" w:hAnsi="Verdana"/>
          <w:sz w:val="20"/>
          <w:szCs w:val="20"/>
        </w:rPr>
        <w:t>son (SGR) y (SGP - Agua Potable), ¿Cuál es el régimen contractual que se debe aplicar; ¿el Manual Interno de Contratación de la Empresa S.A.E.S.P o el Estatuto General de Contratación Estatal? (…)”</w:t>
      </w:r>
    </w:p>
    <w:bookmarkEnd w:id="1"/>
    <w:p w14:paraId="3399F0AD" w14:textId="77777777" w:rsidR="009041A3" w:rsidRPr="00F615E3" w:rsidRDefault="009041A3" w:rsidP="00AE43E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3B2EE25" w14:textId="77777777" w:rsidR="009041A3" w:rsidRPr="00F615E3" w:rsidRDefault="009041A3" w:rsidP="009041A3">
      <w:pPr>
        <w:spacing w:after="120" w:line="276" w:lineRule="auto"/>
        <w:jc w:val="both"/>
        <w:rPr>
          <w:rFonts w:ascii="Verdana" w:eastAsia="Calibri" w:hAnsi="Verdana" w:cs="Arial"/>
          <w:color w:val="000000"/>
          <w:lang w:val="es-ES_tradnl" w:eastAsia="es-ES_tradnl"/>
        </w:rPr>
      </w:pPr>
      <w:r w:rsidRPr="00F615E3">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615E3">
        <w:rPr>
          <w:rFonts w:ascii="Verdana" w:eastAsia="Calibri" w:hAnsi="Verdana" w:cs="Arial"/>
          <w:color w:val="000000"/>
          <w:lang w:val="es-ES_tradnl" w:eastAsia="es-ES_tradnl"/>
        </w:rPr>
        <w:tab/>
      </w:r>
    </w:p>
    <w:p w14:paraId="7266DE5A" w14:textId="77777777" w:rsidR="009041A3" w:rsidRPr="00F615E3" w:rsidRDefault="009041A3" w:rsidP="009041A3">
      <w:pPr>
        <w:spacing w:after="0" w:line="276" w:lineRule="auto"/>
        <w:ind w:firstLine="709"/>
        <w:jc w:val="both"/>
        <w:rPr>
          <w:rFonts w:ascii="Verdana" w:eastAsia="Calibri" w:hAnsi="Verdana" w:cs="Arial"/>
          <w:color w:val="000000"/>
          <w:lang w:val="es-ES" w:eastAsia="es-ES"/>
        </w:rPr>
      </w:pPr>
      <w:r w:rsidRPr="00F615E3">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señalando unas consideraciones sobre las normas generales relacionadas con los problemas</w:t>
      </w:r>
      <w:r w:rsidRPr="00F615E3">
        <w:rPr>
          <w:rFonts w:ascii="Verdana" w:eastAsia="Calibri" w:hAnsi="Verdana" w:cs="Arial"/>
          <w:color w:val="7030A0"/>
          <w:lang w:val="es-ES" w:eastAsia="es-ES"/>
        </w:rPr>
        <w:t xml:space="preserve"> </w:t>
      </w:r>
      <w:r w:rsidRPr="00F615E3">
        <w:rPr>
          <w:rFonts w:ascii="Verdana" w:eastAsia="Calibri" w:hAnsi="Verdana" w:cs="Arial"/>
          <w:color w:val="000000"/>
          <w:lang w:val="es-ES" w:eastAsia="es-ES"/>
        </w:rPr>
        <w:t>jurídicos</w:t>
      </w:r>
      <w:r w:rsidRPr="00F615E3">
        <w:rPr>
          <w:rFonts w:ascii="Verdana" w:eastAsia="Calibri" w:hAnsi="Verdana" w:cs="Arial"/>
          <w:color w:val="7030A0"/>
          <w:lang w:val="es-ES" w:eastAsia="es-ES"/>
        </w:rPr>
        <w:t xml:space="preserve"> </w:t>
      </w:r>
      <w:r w:rsidRPr="00F615E3">
        <w:rPr>
          <w:rFonts w:ascii="Verdana" w:eastAsia="Calibri" w:hAnsi="Verdana" w:cs="Arial"/>
          <w:color w:val="000000"/>
          <w:lang w:val="es-ES" w:eastAsia="es-ES"/>
        </w:rPr>
        <w:t xml:space="preserve">de su consulta. </w:t>
      </w:r>
    </w:p>
    <w:p w14:paraId="6F6D0586" w14:textId="77777777" w:rsidR="009041A3" w:rsidRPr="00F615E3" w:rsidRDefault="009041A3" w:rsidP="009041A3">
      <w:pPr>
        <w:spacing w:after="0" w:line="276" w:lineRule="auto"/>
        <w:ind w:firstLine="709"/>
        <w:jc w:val="both"/>
        <w:rPr>
          <w:rFonts w:ascii="Verdana" w:eastAsia="Calibri" w:hAnsi="Verdana" w:cs="Arial"/>
          <w:color w:val="000000"/>
          <w:lang w:val="es-ES" w:eastAsia="es-ES"/>
        </w:rPr>
      </w:pPr>
    </w:p>
    <w:p w14:paraId="4479D5FF" w14:textId="77777777" w:rsidR="009041A3" w:rsidRPr="00F615E3" w:rsidRDefault="009041A3" w:rsidP="009041A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15E3">
        <w:rPr>
          <w:rFonts w:ascii="Verdana" w:eastAsia="Century Gothic" w:hAnsi="Verdana" w:cs="Century Gothic"/>
          <w:b/>
          <w:bCs/>
        </w:rPr>
        <w:t>Problema planteado:</w:t>
      </w:r>
    </w:p>
    <w:p w14:paraId="11137C45" w14:textId="77777777" w:rsidR="009041A3" w:rsidRPr="00F615E3" w:rsidRDefault="009041A3" w:rsidP="009041A3">
      <w:pPr>
        <w:tabs>
          <w:tab w:val="left" w:pos="426"/>
        </w:tabs>
        <w:spacing w:after="0" w:line="276" w:lineRule="auto"/>
        <w:jc w:val="both"/>
        <w:rPr>
          <w:rFonts w:ascii="Verdana" w:eastAsia="Century Gothic" w:hAnsi="Verdana" w:cs="Century Gothic"/>
          <w:lang w:val="es-ES"/>
        </w:rPr>
      </w:pPr>
    </w:p>
    <w:p w14:paraId="3393145F" w14:textId="54C661DA" w:rsidR="009041A3" w:rsidRPr="00F615E3" w:rsidRDefault="009041A3" w:rsidP="00AE43ED">
      <w:pPr>
        <w:pStyle w:val="p1"/>
        <w:spacing w:line="276" w:lineRule="auto"/>
        <w:jc w:val="both"/>
        <w:rPr>
          <w:rFonts w:ascii="Verdana" w:hAnsi="Verdana"/>
          <w:sz w:val="22"/>
          <w:szCs w:val="22"/>
        </w:rPr>
      </w:pPr>
      <w:r w:rsidRPr="00F615E3">
        <w:rPr>
          <w:rFonts w:ascii="Verdana" w:eastAsia="Century Gothic" w:hAnsi="Verdana" w:cs="Century Gothic"/>
          <w:sz w:val="22"/>
          <w:szCs w:val="22"/>
        </w:rPr>
        <w:t>De acuerdo con el contenido de su solicitud, esta Agencia resolverá el siguiente problema jurídico: i) ¿</w:t>
      </w:r>
      <w:r w:rsidRPr="00F615E3">
        <w:rPr>
          <w:rFonts w:ascii="Verdana" w:hAnsi="Verdana"/>
          <w:sz w:val="22"/>
          <w:szCs w:val="22"/>
        </w:rPr>
        <w:t xml:space="preserve">Cuál es el régimen contractual aplicable en la ejecución de proyectos cuya fuente de financiación son </w:t>
      </w:r>
      <w:r w:rsidR="00FC7258" w:rsidRPr="00EA72F9">
        <w:rPr>
          <w:rFonts w:ascii="Verdana" w:hAnsi="Verdana"/>
          <w:sz w:val="22"/>
          <w:szCs w:val="22"/>
        </w:rPr>
        <w:t>los recursos del Sistema General de Rega</w:t>
      </w:r>
      <w:r w:rsidR="0090310D" w:rsidRPr="00EA72F9">
        <w:rPr>
          <w:rFonts w:ascii="Verdana" w:hAnsi="Verdana"/>
          <w:sz w:val="22"/>
          <w:szCs w:val="22"/>
        </w:rPr>
        <w:t>lías</w:t>
      </w:r>
      <w:r w:rsidR="00A3166B" w:rsidRPr="00EA72F9">
        <w:rPr>
          <w:rFonts w:ascii="Verdana" w:hAnsi="Verdana"/>
          <w:i/>
          <w:iCs/>
          <w:sz w:val="22"/>
          <w:szCs w:val="22"/>
        </w:rPr>
        <w:t xml:space="preserve"> </w:t>
      </w:r>
      <w:r w:rsidR="00A3166B" w:rsidRPr="00EA72F9">
        <w:rPr>
          <w:rFonts w:ascii="Verdana" w:hAnsi="Verdana"/>
          <w:sz w:val="22"/>
          <w:szCs w:val="22"/>
        </w:rPr>
        <w:t xml:space="preserve"> y el Sistema General de Participación </w:t>
      </w:r>
      <w:r w:rsidRPr="00F615E3">
        <w:rPr>
          <w:rFonts w:ascii="Verdana" w:hAnsi="Verdana"/>
          <w:sz w:val="22"/>
          <w:szCs w:val="22"/>
        </w:rPr>
        <w:t xml:space="preserve">cuando </w:t>
      </w:r>
      <w:r w:rsidR="0090310D" w:rsidRPr="00EA72F9">
        <w:rPr>
          <w:rFonts w:ascii="Verdana" w:hAnsi="Verdana"/>
          <w:sz w:val="22"/>
          <w:szCs w:val="22"/>
        </w:rPr>
        <w:t xml:space="preserve">la entidad ejecutora </w:t>
      </w:r>
      <w:r w:rsidRPr="00F615E3">
        <w:rPr>
          <w:rFonts w:ascii="Verdana" w:hAnsi="Verdana"/>
          <w:sz w:val="22"/>
          <w:szCs w:val="22"/>
        </w:rPr>
        <w:t>es una Empresa de Servicios Públicos Domiciliarios S.A. E.S.P?</w:t>
      </w:r>
      <w:r w:rsidR="00660FD0" w:rsidRPr="00EA72F9">
        <w:rPr>
          <w:rFonts w:ascii="Verdana" w:hAnsi="Verdana"/>
          <w:sz w:val="22"/>
          <w:szCs w:val="22"/>
        </w:rPr>
        <w:t xml:space="preserve"> </w:t>
      </w:r>
      <w:proofErr w:type="spellStart"/>
      <w:r w:rsidR="00660FD0" w:rsidRPr="00EA72F9">
        <w:rPr>
          <w:rFonts w:ascii="Verdana" w:hAnsi="Verdana"/>
          <w:sz w:val="22"/>
          <w:szCs w:val="22"/>
        </w:rPr>
        <w:t>ii</w:t>
      </w:r>
      <w:proofErr w:type="spellEnd"/>
      <w:r w:rsidR="00660FD0" w:rsidRPr="00EA72F9">
        <w:rPr>
          <w:rFonts w:ascii="Verdana" w:hAnsi="Verdana"/>
          <w:sz w:val="22"/>
          <w:szCs w:val="22"/>
        </w:rPr>
        <w:t xml:space="preserve">) </w:t>
      </w:r>
      <w:r w:rsidR="00EA72F9" w:rsidRPr="00E314E3">
        <w:rPr>
          <w:rFonts w:ascii="Verdana" w:eastAsia="Calibri" w:hAnsi="Verdana"/>
          <w:iCs/>
          <w:sz w:val="22"/>
          <w:szCs w:val="22"/>
        </w:rPr>
        <w:t xml:space="preserve">¿Existen restricciones o límites jurídicos para subcontratar en el marco de </w:t>
      </w:r>
      <w:r w:rsidR="00EA72F9" w:rsidRPr="00EA72F9">
        <w:rPr>
          <w:rFonts w:ascii="Verdana" w:hAnsi="Verdana"/>
          <w:sz w:val="22"/>
          <w:szCs w:val="22"/>
        </w:rPr>
        <w:t>la ejecución de proyectos cuya fuente de financiación son los recursos del Sistema General de Regalías</w:t>
      </w:r>
      <w:r w:rsidR="00EA72F9" w:rsidRPr="00EA72F9">
        <w:rPr>
          <w:rFonts w:ascii="Verdana" w:hAnsi="Verdana"/>
          <w:i/>
          <w:iCs/>
          <w:sz w:val="22"/>
          <w:szCs w:val="22"/>
        </w:rPr>
        <w:t xml:space="preserve"> </w:t>
      </w:r>
      <w:r w:rsidR="00EA72F9" w:rsidRPr="00E314E3">
        <w:rPr>
          <w:rFonts w:ascii="Verdana" w:eastAsia="Calibri" w:hAnsi="Verdana"/>
          <w:iCs/>
          <w:sz w:val="22"/>
          <w:szCs w:val="22"/>
        </w:rPr>
        <w:t>?</w:t>
      </w:r>
    </w:p>
    <w:p w14:paraId="2C8147EB" w14:textId="77777777" w:rsidR="009041A3" w:rsidRPr="00F615E3" w:rsidRDefault="009041A3" w:rsidP="009041A3">
      <w:pPr>
        <w:spacing w:after="0" w:line="276" w:lineRule="auto"/>
        <w:jc w:val="both"/>
        <w:rPr>
          <w:rFonts w:ascii="Verdana" w:eastAsia="Calibri" w:hAnsi="Verdana" w:cs="Arial"/>
        </w:rPr>
      </w:pPr>
    </w:p>
    <w:p w14:paraId="7A952E6E" w14:textId="7A6364AD" w:rsidR="009041A3" w:rsidRPr="001952CD" w:rsidRDefault="009041A3" w:rsidP="001952C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15E3">
        <w:rPr>
          <w:rFonts w:ascii="Verdana" w:eastAsia="Century Gothic" w:hAnsi="Verdana" w:cs="Century Gothic"/>
          <w:b/>
          <w:bCs/>
        </w:rPr>
        <w:t>Respuesta:</w:t>
      </w:r>
    </w:p>
    <w:tbl>
      <w:tblPr>
        <w:tblStyle w:val="Tablaconcuadrcula"/>
        <w:tblW w:w="0" w:type="auto"/>
        <w:tblInd w:w="-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041A3" w:rsidRPr="00F615E3" w14:paraId="44ACCF09" w14:textId="77777777" w:rsidTr="001952CD">
        <w:trPr>
          <w:trHeight w:val="7436"/>
        </w:trPr>
        <w:tc>
          <w:tcPr>
            <w:tcW w:w="8828" w:type="dxa"/>
            <w:shd w:val="clear" w:color="auto" w:fill="auto"/>
          </w:tcPr>
          <w:p w14:paraId="068BE0C6" w14:textId="598989D9" w:rsidR="00CC0A7B" w:rsidRPr="00F615E3" w:rsidRDefault="00F74ACC" w:rsidP="00BD7A85">
            <w:pPr>
              <w:spacing w:after="120" w:line="276" w:lineRule="auto"/>
              <w:jc w:val="both"/>
              <w:rPr>
                <w:rFonts w:ascii="Verdana" w:hAnsi="Verdana"/>
              </w:rPr>
            </w:pPr>
            <w:r>
              <w:rPr>
                <w:rFonts w:ascii="Verdana" w:hAnsi="Verdana" w:cs="Arial"/>
                <w:color w:val="000000"/>
                <w:bdr w:val="none" w:sz="0" w:space="0" w:color="auto" w:frame="1"/>
                <w:lang w:val="es-MX"/>
              </w:rPr>
              <w:lastRenderedPageBreak/>
              <w:t>i) P</w:t>
            </w:r>
            <w:r w:rsidRPr="00BD7A85">
              <w:rPr>
                <w:rFonts w:ascii="Verdana" w:hAnsi="Verdana" w:cs="Arial"/>
                <w:color w:val="000000"/>
                <w:bdr w:val="none" w:sz="0" w:space="0" w:color="auto" w:frame="1"/>
                <w:lang w:val="es-MX"/>
              </w:rPr>
              <w:t xml:space="preserve">ara la ejecución de </w:t>
            </w:r>
            <w:r w:rsidRPr="00BD7A85">
              <w:rPr>
                <w:rFonts w:ascii="Verdana" w:hAnsi="Verdana" w:cs="Arial"/>
                <w:color w:val="000000"/>
                <w:bdr w:val="none" w:sz="0" w:space="0" w:color="auto" w:frame="1"/>
              </w:rPr>
              <w:t xml:space="preserve">proyectos de inversión financiados con recursos del Sistema General de Regalías financiados con las asignaciones a las que se refieren los artículos 35 y 36 de la Ley 2056 de 2020, de conformidad con el artículo 37 de dicha ley, las entidades ejecutoras deberán aplicar las disposiciones del Estatuto General de Contratación de la Administración Pública – en adelante EGCAP –. En atención a estas disposiciones, </w:t>
            </w:r>
            <w:r w:rsidR="00715257">
              <w:rPr>
                <w:rFonts w:ascii="Verdana" w:hAnsi="Verdana" w:cs="Arial"/>
                <w:color w:val="000000"/>
                <w:bdr w:val="none" w:sz="0" w:space="0" w:color="auto" w:frame="1"/>
              </w:rPr>
              <w:t>las empresas de servicios públicos</w:t>
            </w:r>
            <w:r w:rsidRPr="00BD7A85">
              <w:rPr>
                <w:rFonts w:ascii="Verdana" w:hAnsi="Verdana" w:cs="Arial"/>
                <w:color w:val="000000"/>
                <w:bdr w:val="none" w:sz="0" w:space="0" w:color="auto" w:frame="1"/>
              </w:rPr>
              <w:t xml:space="preserve"> que sean designados como ejecutores de este tipo de proyectos deberán aplicar el régimen general de contratación pública para el desarrollo de la actividad contractual requerida para la implementación de los proyectos. Esto sin perjuicio de</w:t>
            </w:r>
            <w:r w:rsidR="00CC0A7B">
              <w:rPr>
                <w:rFonts w:ascii="Verdana" w:hAnsi="Verdana" w:cs="Arial"/>
                <w:color w:val="000000"/>
                <w:bdr w:val="none" w:sz="0" w:space="0" w:color="auto" w:frame="1"/>
              </w:rPr>
              <w:t>l</w:t>
            </w:r>
            <w:r w:rsidRPr="00BD7A85">
              <w:rPr>
                <w:rFonts w:ascii="Verdana" w:hAnsi="Verdana" w:cs="Arial"/>
                <w:color w:val="000000"/>
                <w:bdr w:val="none" w:sz="0" w:space="0" w:color="auto" w:frame="1"/>
              </w:rPr>
              <w:t xml:space="preserve"> régimen </w:t>
            </w:r>
            <w:r w:rsidR="00CC0A7B">
              <w:rPr>
                <w:rFonts w:ascii="Verdana" w:hAnsi="Verdana" w:cs="Arial"/>
                <w:color w:val="000000"/>
                <w:bdr w:val="none" w:sz="0" w:space="0" w:color="auto" w:frame="1"/>
              </w:rPr>
              <w:t>de derecho privado</w:t>
            </w:r>
            <w:r w:rsidRPr="00BD7A85">
              <w:rPr>
                <w:rFonts w:ascii="Verdana" w:hAnsi="Verdana" w:cs="Arial"/>
                <w:color w:val="000000"/>
                <w:bdr w:val="none" w:sz="0" w:space="0" w:color="auto" w:frame="1"/>
              </w:rPr>
              <w:t xml:space="preserve"> contemplado</w:t>
            </w:r>
            <w:r w:rsidR="00CC0A7B">
              <w:rPr>
                <w:rFonts w:ascii="Verdana" w:hAnsi="Verdana" w:cs="Arial"/>
                <w:color w:val="000000"/>
                <w:bdr w:val="none" w:sz="0" w:space="0" w:color="auto" w:frame="1"/>
              </w:rPr>
              <w:t xml:space="preserve"> en el artículo 31 de la Ley 142 de 1993</w:t>
            </w:r>
            <w:r w:rsidRPr="00BD7A85">
              <w:rPr>
                <w:rFonts w:ascii="Verdana" w:hAnsi="Verdana" w:cs="Arial"/>
                <w:color w:val="000000"/>
                <w:bdr w:val="none" w:sz="0" w:space="0" w:color="auto" w:frame="1"/>
              </w:rPr>
              <w:t xml:space="preserve">, el cual podrán seguir aplicando para la contratación no relacionada con la ejecución de recursos del Sistema General de Regalías. </w:t>
            </w:r>
          </w:p>
          <w:p w14:paraId="65D72E94" w14:textId="087451C8" w:rsidR="00F56D88" w:rsidRPr="00677B2E" w:rsidRDefault="00F56D88" w:rsidP="00F56D88">
            <w:pPr>
              <w:spacing w:after="120" w:line="276" w:lineRule="auto"/>
              <w:ind w:firstLine="709"/>
              <w:jc w:val="both"/>
              <w:rPr>
                <w:rFonts w:ascii="Verdana" w:hAnsi="Verdana" w:cs="Arial"/>
                <w:bdr w:val="none" w:sz="0" w:space="0" w:color="auto" w:frame="1"/>
              </w:rPr>
            </w:pPr>
            <w:r w:rsidRPr="00677B2E">
              <w:rPr>
                <w:rFonts w:ascii="Verdana" w:hAnsi="Verdana" w:cs="Arial"/>
                <w:bdr w:val="none" w:sz="0" w:space="0" w:color="auto" w:frame="1"/>
              </w:rPr>
              <w:t xml:space="preserve">Por otro lado, la Ley 715 del 2001 se refiere al Sistema General de Participaciones, correspondiente a los recursos que la Nación transfiere a las entidades territoriales para la financiación de ciertos servicios a su cargo. A diferencia de lo dispuesto para el Sistema General de Regalías, en la Ley 715 de 2001 y la Ley 1176 de 2007 no se observa una norma específica que establezca una sujeción a la Ley 80 de 1993 en relación con actos o contratos para la ejecución de proyectos de agua potable y saneamiento básico. </w:t>
            </w:r>
          </w:p>
          <w:p w14:paraId="0B22CE9E" w14:textId="027192F1" w:rsidR="00F56D88" w:rsidRPr="00677B2E" w:rsidRDefault="00F56D88" w:rsidP="00F56D88">
            <w:pPr>
              <w:spacing w:after="120" w:line="276" w:lineRule="auto"/>
              <w:ind w:firstLine="709"/>
              <w:jc w:val="both"/>
              <w:rPr>
                <w:rFonts w:ascii="Verdana" w:hAnsi="Verdana" w:cs="Arial"/>
                <w:bdr w:val="none" w:sz="0" w:space="0" w:color="auto" w:frame="1"/>
              </w:rPr>
            </w:pPr>
            <w:r w:rsidRPr="00677B2E">
              <w:rPr>
                <w:rFonts w:ascii="Verdana" w:hAnsi="Verdana" w:cs="Arial"/>
                <w:bdr w:val="none" w:sz="0" w:space="0" w:color="auto" w:frame="1"/>
              </w:rPr>
              <w:t>Por tanto, salvo mandato legal en contrario, las normas aplicables a</w:t>
            </w:r>
            <w:r w:rsidR="00A35C92">
              <w:rPr>
                <w:rFonts w:ascii="Verdana" w:hAnsi="Verdana" w:cs="Arial"/>
                <w:bdr w:val="none" w:sz="0" w:space="0" w:color="auto" w:frame="1"/>
              </w:rPr>
              <w:t xml:space="preserve"> </w:t>
            </w:r>
            <w:r w:rsidRPr="00677B2E">
              <w:rPr>
                <w:rFonts w:ascii="Verdana" w:hAnsi="Verdana" w:cs="Arial"/>
                <w:bdr w:val="none" w:sz="0" w:space="0" w:color="auto" w:frame="1"/>
              </w:rPr>
              <w:t>l</w:t>
            </w:r>
            <w:r w:rsidR="00A35C92">
              <w:rPr>
                <w:rFonts w:ascii="Verdana" w:hAnsi="Verdana" w:cs="Arial"/>
                <w:bdr w:val="none" w:sz="0" w:space="0" w:color="auto" w:frame="1"/>
              </w:rPr>
              <w:t>os</w:t>
            </w:r>
            <w:r w:rsidRPr="00677B2E">
              <w:rPr>
                <w:rFonts w:ascii="Verdana" w:hAnsi="Verdana" w:cs="Arial"/>
                <w:bdr w:val="none" w:sz="0" w:space="0" w:color="auto" w:frame="1"/>
              </w:rPr>
              <w:t xml:space="preserve"> contrato</w:t>
            </w:r>
            <w:r w:rsidR="00A35C92">
              <w:rPr>
                <w:rFonts w:ascii="Verdana" w:hAnsi="Verdana" w:cs="Arial"/>
                <w:bdr w:val="none" w:sz="0" w:space="0" w:color="auto" w:frame="1"/>
              </w:rPr>
              <w:t>s</w:t>
            </w:r>
            <w:r w:rsidRPr="00677B2E">
              <w:rPr>
                <w:rFonts w:ascii="Verdana" w:hAnsi="Verdana" w:cs="Arial"/>
                <w:bdr w:val="none" w:sz="0" w:space="0" w:color="auto" w:frame="1"/>
              </w:rPr>
              <w:t xml:space="preserve"> </w:t>
            </w:r>
            <w:r w:rsidR="00A35C92">
              <w:rPr>
                <w:rFonts w:ascii="Verdana" w:hAnsi="Verdana" w:cs="Arial"/>
                <w:bdr w:val="none" w:sz="0" w:space="0" w:color="auto" w:frame="1"/>
              </w:rPr>
              <w:t xml:space="preserve">financiados </w:t>
            </w:r>
            <w:r w:rsidRPr="00677B2E">
              <w:rPr>
                <w:rFonts w:ascii="Verdana" w:hAnsi="Verdana" w:cs="Arial"/>
                <w:bdr w:val="none" w:sz="0" w:space="0" w:color="auto" w:frame="1"/>
              </w:rPr>
              <w:t xml:space="preserve">con recursos del Sistema General de Participaciones dependerán del régimen contractual al cual esté sujeto la entidad ejecutora. Así las cosas, la entidad deberá analizar e identificar, en la etapa de planeación, las normas presupuestales que apliquen a los proyectos que se ejecutarán. De este modo, en el evento en que la entidad ejecutora esté sujeta al Estatuto General de Contratación Pública, la celebración y ejecución de los contratos deberá realizarse conforme a este régimen. </w:t>
            </w:r>
          </w:p>
          <w:p w14:paraId="515D379F" w14:textId="01E2C787" w:rsidR="00F56D88" w:rsidRDefault="00F56D88" w:rsidP="00F56D88">
            <w:pPr>
              <w:spacing w:after="120" w:line="276" w:lineRule="auto"/>
              <w:ind w:firstLine="709"/>
              <w:jc w:val="both"/>
              <w:rPr>
                <w:rFonts w:ascii="Verdana" w:hAnsi="Verdana"/>
              </w:rPr>
            </w:pPr>
            <w:r>
              <w:rPr>
                <w:rFonts w:ascii="Verdana" w:hAnsi="Verdana"/>
              </w:rPr>
              <w:t xml:space="preserve">Ahora bien, </w:t>
            </w:r>
            <w:r w:rsidR="00A35C92">
              <w:rPr>
                <w:rFonts w:ascii="Verdana" w:hAnsi="Verdana"/>
              </w:rPr>
              <w:t>a</w:t>
            </w:r>
            <w:r w:rsidRPr="00F615E3">
              <w:rPr>
                <w:rFonts w:ascii="Verdana" w:hAnsi="Verdana"/>
              </w:rPr>
              <w:t xml:space="preserve">nte la convergencia de dos fuentes de financiación </w:t>
            </w:r>
            <w:r>
              <w:rPr>
                <w:rFonts w:ascii="Verdana" w:hAnsi="Verdana"/>
              </w:rPr>
              <w:t xml:space="preserve">- </w:t>
            </w:r>
            <w:r w:rsidRPr="00F615E3">
              <w:rPr>
                <w:rFonts w:ascii="Verdana" w:hAnsi="Verdana"/>
              </w:rPr>
              <w:t>S</w:t>
            </w:r>
            <w:r>
              <w:rPr>
                <w:rFonts w:ascii="Verdana" w:hAnsi="Verdana"/>
              </w:rPr>
              <w:t xml:space="preserve">istema </w:t>
            </w:r>
            <w:r w:rsidRPr="00F615E3">
              <w:rPr>
                <w:rFonts w:ascii="Verdana" w:hAnsi="Verdana"/>
              </w:rPr>
              <w:t>G</w:t>
            </w:r>
            <w:r>
              <w:rPr>
                <w:rFonts w:ascii="Verdana" w:hAnsi="Verdana"/>
              </w:rPr>
              <w:t xml:space="preserve">eneral de </w:t>
            </w:r>
            <w:r w:rsidRPr="00F615E3">
              <w:rPr>
                <w:rFonts w:ascii="Verdana" w:hAnsi="Verdana"/>
              </w:rPr>
              <w:t>R</w:t>
            </w:r>
            <w:r>
              <w:rPr>
                <w:rFonts w:ascii="Verdana" w:hAnsi="Verdana"/>
              </w:rPr>
              <w:t>egalías</w:t>
            </w:r>
            <w:r w:rsidRPr="00F615E3">
              <w:rPr>
                <w:rFonts w:ascii="Verdana" w:hAnsi="Verdana"/>
              </w:rPr>
              <w:t xml:space="preserve"> y S</w:t>
            </w:r>
            <w:r>
              <w:rPr>
                <w:rFonts w:ascii="Verdana" w:hAnsi="Verdana"/>
              </w:rPr>
              <w:t xml:space="preserve">istema </w:t>
            </w:r>
            <w:r w:rsidRPr="00F615E3">
              <w:rPr>
                <w:rFonts w:ascii="Verdana" w:hAnsi="Verdana"/>
              </w:rPr>
              <w:t>G</w:t>
            </w:r>
            <w:r>
              <w:rPr>
                <w:rFonts w:ascii="Verdana" w:hAnsi="Verdana"/>
              </w:rPr>
              <w:t>eneral de Participación</w:t>
            </w:r>
            <w:r w:rsidRPr="00F615E3">
              <w:rPr>
                <w:rFonts w:ascii="Verdana" w:hAnsi="Verdana"/>
              </w:rPr>
              <w:t xml:space="preserve"> </w:t>
            </w:r>
            <w:r>
              <w:rPr>
                <w:rFonts w:ascii="Verdana" w:hAnsi="Verdana"/>
              </w:rPr>
              <w:t>–</w:t>
            </w:r>
            <w:r w:rsidRPr="00F615E3">
              <w:rPr>
                <w:rFonts w:ascii="Verdana" w:hAnsi="Verdana"/>
              </w:rPr>
              <w:t xml:space="preserve">la conclusión lógica y jurídicamente consistente, es que </w:t>
            </w:r>
            <w:r w:rsidRPr="00F615E3">
              <w:rPr>
                <w:rStyle w:val="Textoennegrita"/>
                <w:rFonts w:ascii="Verdana" w:hAnsi="Verdana"/>
                <w:b w:val="0"/>
                <w:bCs w:val="0"/>
              </w:rPr>
              <w:t xml:space="preserve">la totalidad del proyecto y los contratos derivados de su ejecución deben sujetarse al </w:t>
            </w:r>
            <w:r>
              <w:rPr>
                <w:rStyle w:val="Textoennegrita"/>
                <w:rFonts w:ascii="Verdana" w:hAnsi="Verdana"/>
                <w:b w:val="0"/>
                <w:bCs w:val="0"/>
              </w:rPr>
              <w:t>EGCAP</w:t>
            </w:r>
            <w:r w:rsidRPr="00F615E3">
              <w:rPr>
                <w:rStyle w:val="Textoennegrita"/>
                <w:rFonts w:ascii="Verdana" w:hAnsi="Verdana"/>
                <w:b w:val="0"/>
                <w:bCs w:val="0"/>
              </w:rPr>
              <w:t xml:space="preserve">, ya que en el caso que se dé aplicación de un régimen </w:t>
            </w:r>
            <w:r w:rsidRPr="00F615E3">
              <w:rPr>
                <w:rFonts w:ascii="Verdana" w:hAnsi="Verdana"/>
              </w:rPr>
              <w:t xml:space="preserve">dual entre los lineamientos privados y los preceptos </w:t>
            </w:r>
            <w:r>
              <w:rPr>
                <w:rFonts w:ascii="Verdana" w:hAnsi="Verdana"/>
              </w:rPr>
              <w:t xml:space="preserve">del EGCAP </w:t>
            </w:r>
            <w:r w:rsidRPr="00F615E3">
              <w:rPr>
                <w:rFonts w:ascii="Verdana" w:hAnsi="Verdana"/>
              </w:rPr>
              <w:t>resultaría altamente ineficiente y generador de complejidades administrativas y riesgos jurídicos.</w:t>
            </w:r>
            <w:r>
              <w:rPr>
                <w:rFonts w:ascii="Verdana" w:hAnsi="Verdana"/>
              </w:rPr>
              <w:t xml:space="preserve"> </w:t>
            </w:r>
          </w:p>
          <w:p w14:paraId="72420F21" w14:textId="4E7120D4" w:rsidR="009041A3" w:rsidRPr="00F615E3" w:rsidRDefault="00F56D88" w:rsidP="00C114CE">
            <w:pPr>
              <w:spacing w:after="120" w:line="276" w:lineRule="auto"/>
              <w:ind w:firstLine="709"/>
              <w:jc w:val="both"/>
              <w:rPr>
                <w:rFonts w:ascii="Verdana" w:hAnsi="Verdana"/>
              </w:rPr>
            </w:pPr>
            <w:r>
              <w:rPr>
                <w:rFonts w:ascii="Verdana" w:hAnsi="Verdana"/>
              </w:rPr>
              <w:lastRenderedPageBreak/>
              <w:t xml:space="preserve">Así las cosas, </w:t>
            </w:r>
            <w:r w:rsidR="00435A9A">
              <w:rPr>
                <w:rFonts w:ascii="Verdana" w:hAnsi="Verdana"/>
              </w:rPr>
              <w:t>l</w:t>
            </w:r>
            <w:r w:rsidR="009041A3" w:rsidRPr="00F615E3">
              <w:rPr>
                <w:rFonts w:ascii="Verdana" w:hAnsi="Verdana"/>
              </w:rPr>
              <w:t xml:space="preserve">a aplicación del EGCAP a todo el proyecto garantiza la </w:t>
            </w:r>
            <w:r w:rsidR="009041A3" w:rsidRPr="00F615E3">
              <w:rPr>
                <w:rStyle w:val="Textoennegrita"/>
                <w:rFonts w:ascii="Verdana" w:hAnsi="Verdana"/>
                <w:b w:val="0"/>
                <w:bCs w:val="0"/>
              </w:rPr>
              <w:t>unidad de materia</w:t>
            </w:r>
            <w:r w:rsidR="009041A3" w:rsidRPr="00F615E3">
              <w:rPr>
                <w:rFonts w:ascii="Verdana" w:hAnsi="Verdana"/>
              </w:rPr>
              <w:t xml:space="preserve">, la </w:t>
            </w:r>
            <w:r w:rsidR="009041A3" w:rsidRPr="00F615E3">
              <w:rPr>
                <w:rStyle w:val="Textoennegrita"/>
                <w:rFonts w:ascii="Verdana" w:hAnsi="Verdana"/>
                <w:b w:val="0"/>
                <w:bCs w:val="0"/>
              </w:rPr>
              <w:t>eficiencia administrativa</w:t>
            </w:r>
            <w:r w:rsidR="009041A3" w:rsidRPr="00F615E3">
              <w:rPr>
                <w:rFonts w:ascii="Verdana" w:hAnsi="Verdana"/>
              </w:rPr>
              <w:t xml:space="preserve">, la </w:t>
            </w:r>
            <w:r w:rsidR="009041A3" w:rsidRPr="00F615E3">
              <w:rPr>
                <w:rStyle w:val="Textoennegrita"/>
                <w:rFonts w:ascii="Verdana" w:hAnsi="Verdana"/>
                <w:b w:val="0"/>
                <w:bCs w:val="0"/>
              </w:rPr>
              <w:t>transparencia</w:t>
            </w:r>
            <w:r w:rsidR="009041A3" w:rsidRPr="00F615E3">
              <w:rPr>
                <w:rFonts w:ascii="Verdana" w:hAnsi="Verdana"/>
              </w:rPr>
              <w:t xml:space="preserve"> en la gestión de todos los recursos públicos involucrados (SGR y SGP) y la aplicación uniforme de los principios rectores de la contratación estatal. </w:t>
            </w:r>
          </w:p>
          <w:p w14:paraId="0B41E8F0" w14:textId="77777777" w:rsidR="009D0E8B" w:rsidRPr="00F615E3" w:rsidRDefault="009D0E8B" w:rsidP="007E2DBC">
            <w:pPr>
              <w:spacing w:line="276" w:lineRule="auto"/>
              <w:ind w:firstLine="709"/>
              <w:jc w:val="both"/>
              <w:rPr>
                <w:rFonts w:ascii="Verdana" w:hAnsi="Verdana"/>
              </w:rPr>
            </w:pPr>
          </w:p>
          <w:p w14:paraId="2260FC5D" w14:textId="1B17D75F" w:rsidR="009D0E8B" w:rsidRDefault="00CC0A7B" w:rsidP="009D0E8B">
            <w:pPr>
              <w:spacing w:after="120" w:line="276" w:lineRule="auto"/>
              <w:jc w:val="both"/>
              <w:rPr>
                <w:rFonts w:ascii="Verdana" w:eastAsia="Calibri" w:hAnsi="Verdana" w:cs="Arial"/>
                <w:bCs/>
              </w:rPr>
            </w:pPr>
            <w:proofErr w:type="spellStart"/>
            <w:r>
              <w:rPr>
                <w:rFonts w:ascii="Verdana" w:eastAsia="Calibri" w:hAnsi="Verdana" w:cs="Arial"/>
                <w:bCs/>
                <w:color w:val="000000"/>
              </w:rPr>
              <w:t>ii</w:t>
            </w:r>
            <w:proofErr w:type="spellEnd"/>
            <w:r>
              <w:rPr>
                <w:rFonts w:ascii="Verdana" w:eastAsia="Calibri" w:hAnsi="Verdana" w:cs="Arial"/>
                <w:bCs/>
                <w:color w:val="000000"/>
              </w:rPr>
              <w:t xml:space="preserve">) </w:t>
            </w:r>
            <w:r w:rsidR="009D0E8B">
              <w:rPr>
                <w:rFonts w:ascii="Verdana" w:eastAsia="Calibri" w:hAnsi="Verdana" w:cs="Arial"/>
                <w:bCs/>
                <w:color w:val="000000"/>
              </w:rPr>
              <w:t>L</w:t>
            </w:r>
            <w:r w:rsidR="009D0E8B" w:rsidRPr="008910F7">
              <w:rPr>
                <w:rFonts w:ascii="Verdana" w:eastAsia="Calibri" w:hAnsi="Verdana" w:cs="Arial"/>
                <w:bCs/>
              </w:rPr>
              <w:t>a subcontratación no está proscrita en la contratación pública</w:t>
            </w:r>
            <w:r w:rsidR="009D0E8B">
              <w:rPr>
                <w:rFonts w:ascii="Verdana" w:eastAsia="Calibri" w:hAnsi="Verdana" w:cs="Arial"/>
                <w:bCs/>
              </w:rPr>
              <w:t>,</w:t>
            </w:r>
            <w:r w:rsidR="009D0E8B" w:rsidRPr="008910F7">
              <w:rPr>
                <w:rFonts w:ascii="Verdana" w:eastAsia="Calibri" w:hAnsi="Verdana" w:cs="Arial"/>
                <w:bCs/>
              </w:rPr>
              <w:t xml:space="preserve"> pero sí encuentra limites en su aplicación en el principio de la autonomía de la voluntad, representada en lo pactado en</w:t>
            </w:r>
            <w:r w:rsidR="009D0E8B">
              <w:rPr>
                <w:rFonts w:ascii="Verdana" w:eastAsia="Calibri" w:hAnsi="Verdana" w:cs="Arial"/>
                <w:bCs/>
              </w:rPr>
              <w:t xml:space="preserve"> los documentos del proceso de contratación,</w:t>
            </w:r>
            <w:r w:rsidR="009D0E8B" w:rsidRPr="008910F7">
              <w:rPr>
                <w:rFonts w:ascii="Verdana" w:eastAsia="Calibri" w:hAnsi="Verdana" w:cs="Arial"/>
                <w:bCs/>
              </w:rPr>
              <w:t xml:space="preserve"> el contrato principal, y en algunas normas específicas</w:t>
            </w:r>
            <w:r w:rsidR="009D0E8B">
              <w:rPr>
                <w:rFonts w:ascii="Verdana" w:eastAsia="Calibri" w:hAnsi="Verdana" w:cs="Arial"/>
                <w:bCs/>
              </w:rPr>
              <w:t xml:space="preserve"> de carácter legal</w:t>
            </w:r>
            <w:r w:rsidR="009D0E8B" w:rsidRPr="007000F0">
              <w:rPr>
                <w:rFonts w:ascii="Verdana" w:eastAsia="Calibri" w:hAnsi="Verdana" w:cs="Arial"/>
                <w:bCs/>
                <w:lang w:val="es-ES_tradnl"/>
              </w:rPr>
              <w:t>.</w:t>
            </w:r>
            <w:r w:rsidR="009D0E8B" w:rsidRPr="008910F7">
              <w:rPr>
                <w:rFonts w:ascii="Verdana" w:eastAsia="Calibri" w:hAnsi="Verdana" w:cs="Arial"/>
                <w:bCs/>
              </w:rPr>
              <w:t xml:space="preserve"> </w:t>
            </w:r>
          </w:p>
          <w:p w14:paraId="6B4B5946" w14:textId="062AA25A" w:rsidR="009041A3" w:rsidRPr="007E2DBC" w:rsidRDefault="009D0E8B" w:rsidP="007E2DBC">
            <w:pPr>
              <w:widowControl w:val="0"/>
              <w:autoSpaceDE w:val="0"/>
              <w:autoSpaceDN w:val="0"/>
              <w:spacing w:after="120" w:line="276" w:lineRule="auto"/>
              <w:ind w:firstLine="709"/>
              <w:jc w:val="both"/>
              <w:rPr>
                <w:rFonts w:ascii="Verdana" w:eastAsia="Arial MT" w:hAnsi="Verdana" w:cs="Arial MT"/>
                <w:lang w:val="es-ES"/>
              </w:rPr>
            </w:pPr>
            <w:r>
              <w:rPr>
                <w:rFonts w:ascii="Verdana" w:eastAsia="Calibri" w:hAnsi="Verdana" w:cs="Arial"/>
                <w:lang w:val="es-ES"/>
              </w:rPr>
              <w:t>La posibilidad de subcontratar y las condiciones en las cuales se deberá efectuar esa subcontratación, dependerá</w:t>
            </w:r>
            <w:r w:rsidRPr="00D70581">
              <w:rPr>
                <w:rFonts w:ascii="Verdana" w:eastAsia="Calibri" w:hAnsi="Verdana" w:cs="Arial"/>
                <w:lang w:val="es-ES"/>
              </w:rPr>
              <w:t xml:space="preserve"> de las condiciones definidas en el acuerdo de voluntades</w:t>
            </w:r>
            <w:r>
              <w:rPr>
                <w:rFonts w:ascii="Verdana" w:eastAsia="Calibri" w:hAnsi="Verdana" w:cs="Arial"/>
                <w:lang w:val="es-ES"/>
              </w:rPr>
              <w:t>. D</w:t>
            </w:r>
            <w:r w:rsidRPr="00D70581">
              <w:rPr>
                <w:rFonts w:ascii="Verdana" w:eastAsia="Calibri" w:hAnsi="Verdana" w:cs="Arial"/>
                <w:lang w:val="es-ES"/>
              </w:rPr>
              <w:t xml:space="preserve">e tal forma que, si esta no se permite para determinadas actividades, está sujeta a la autorización previa de la entidad o al cumplimiento de algún otro requisito, el contratista no podrá subcontratar sin </w:t>
            </w:r>
            <w:r>
              <w:rPr>
                <w:rFonts w:ascii="Verdana" w:eastAsia="Calibri" w:hAnsi="Verdana" w:cs="Arial"/>
                <w:lang w:val="es-ES"/>
              </w:rPr>
              <w:t>la</w:t>
            </w:r>
            <w:r w:rsidRPr="00D70581">
              <w:rPr>
                <w:rFonts w:ascii="Verdana" w:eastAsia="Calibri" w:hAnsi="Verdana" w:cs="Arial"/>
                <w:lang w:val="es-ES"/>
              </w:rPr>
              <w:t xml:space="preserve"> autorización o sin el cumplimiento de la condición establecida en el negocio jurídico.</w:t>
            </w:r>
            <w:r w:rsidRPr="00D70581">
              <w:rPr>
                <w:rFonts w:ascii="Verdana" w:eastAsia="Arial MT" w:hAnsi="Verdana" w:cs="Arial MT"/>
                <w:lang w:val="es-ES"/>
              </w:rPr>
              <w:t xml:space="preserve"> </w:t>
            </w:r>
            <w:r>
              <w:rPr>
                <w:rFonts w:ascii="Verdana" w:eastAsia="Arial MT" w:hAnsi="Verdana" w:cs="Arial MT"/>
                <w:lang w:val="es-ES"/>
              </w:rPr>
              <w:t>Por el contrario</w:t>
            </w:r>
            <w:r w:rsidRPr="00D70581">
              <w:rPr>
                <w:rFonts w:ascii="Verdana" w:eastAsia="Arial MT" w:hAnsi="Verdana" w:cs="Arial MT"/>
                <w:lang w:val="es-ES"/>
              </w:rPr>
              <w:t xml:space="preserve">, si en </w:t>
            </w:r>
            <w:r>
              <w:rPr>
                <w:rFonts w:ascii="Verdana" w:eastAsia="Arial MT" w:hAnsi="Verdana" w:cs="Arial MT"/>
                <w:lang w:val="es-ES"/>
              </w:rPr>
              <w:t xml:space="preserve">los documentos del proceso de contratación o en </w:t>
            </w:r>
            <w:r w:rsidRPr="00D70581">
              <w:rPr>
                <w:rFonts w:ascii="Verdana" w:eastAsia="Arial MT" w:hAnsi="Verdana" w:cs="Arial MT"/>
                <w:lang w:val="es-ES"/>
              </w:rPr>
              <w:t>el contrato no se estipula esta institución, se entiende que en principio está permitida y,</w:t>
            </w:r>
            <w:r w:rsidRPr="00D70581">
              <w:rPr>
                <w:rFonts w:ascii="Verdana" w:eastAsia="Arial MT" w:hAnsi="Verdana" w:cs="Arial MT"/>
                <w:spacing w:val="1"/>
                <w:lang w:val="es-ES"/>
              </w:rPr>
              <w:t xml:space="preserve"> </w:t>
            </w:r>
            <w:r w:rsidRPr="00D70581">
              <w:rPr>
                <w:rFonts w:ascii="Verdana" w:eastAsia="Arial MT" w:hAnsi="Verdana" w:cs="Arial MT"/>
                <w:lang w:val="es-ES"/>
              </w:rPr>
              <w:t>por tanto, el contratista podrá subcontratar parcialmente con fundamento en la libertad de</w:t>
            </w:r>
            <w:r w:rsidRPr="00D70581">
              <w:rPr>
                <w:rFonts w:ascii="Verdana" w:eastAsia="Arial MT" w:hAnsi="Verdana" w:cs="Arial MT"/>
                <w:spacing w:val="1"/>
                <w:lang w:val="es-ES"/>
              </w:rPr>
              <w:t xml:space="preserve"> </w:t>
            </w:r>
            <w:r w:rsidRPr="00D70581">
              <w:rPr>
                <w:rFonts w:ascii="Verdana" w:eastAsia="Arial MT" w:hAnsi="Verdana" w:cs="Arial MT"/>
                <w:lang w:val="es-ES"/>
              </w:rPr>
              <w:t>empresa</w:t>
            </w:r>
            <w:r>
              <w:rPr>
                <w:rFonts w:ascii="Verdana" w:eastAsia="Arial MT" w:hAnsi="Verdana" w:cs="Arial MT"/>
                <w:lang w:val="es-ES"/>
              </w:rPr>
              <w:t>, respetando los límites legales</w:t>
            </w:r>
            <w:r w:rsidRPr="00D70581">
              <w:rPr>
                <w:rFonts w:ascii="Verdana" w:eastAsia="Arial MT" w:hAnsi="Verdana" w:cs="Arial MT"/>
                <w:lang w:val="es-ES"/>
              </w:rPr>
              <w:t>.</w:t>
            </w:r>
          </w:p>
        </w:tc>
      </w:tr>
    </w:tbl>
    <w:p w14:paraId="348F68CF" w14:textId="77777777" w:rsidR="009041A3" w:rsidRPr="00F615E3" w:rsidRDefault="009041A3" w:rsidP="009041A3">
      <w:pPr>
        <w:tabs>
          <w:tab w:val="left" w:pos="142"/>
          <w:tab w:val="left" w:pos="284"/>
        </w:tabs>
        <w:spacing w:after="0" w:line="276" w:lineRule="auto"/>
        <w:jc w:val="both"/>
        <w:rPr>
          <w:rFonts w:ascii="Verdana" w:eastAsia="Century Gothic" w:hAnsi="Verdana" w:cs="Century Gothic"/>
          <w:b/>
          <w:bCs/>
          <w:lang w:val="es-ES"/>
        </w:rPr>
      </w:pPr>
    </w:p>
    <w:p w14:paraId="7CB48D2F" w14:textId="77777777" w:rsidR="009041A3" w:rsidRPr="00F615E3" w:rsidRDefault="009041A3" w:rsidP="009041A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15E3">
        <w:rPr>
          <w:rFonts w:ascii="Verdana" w:eastAsia="Century Gothic" w:hAnsi="Verdana" w:cs="Century Gothic"/>
          <w:b/>
          <w:bCs/>
        </w:rPr>
        <w:t>Razones de la respuesta:</w:t>
      </w:r>
    </w:p>
    <w:p w14:paraId="359948EC" w14:textId="77777777" w:rsidR="009041A3" w:rsidRPr="00F615E3" w:rsidRDefault="009041A3" w:rsidP="009041A3">
      <w:pPr>
        <w:spacing w:after="0" w:line="276" w:lineRule="auto"/>
        <w:jc w:val="both"/>
        <w:rPr>
          <w:rFonts w:ascii="Verdana" w:eastAsia="Calibri" w:hAnsi="Verdana" w:cs="Arial"/>
          <w:lang w:val="es-ES"/>
        </w:rPr>
      </w:pPr>
    </w:p>
    <w:p w14:paraId="548F6185" w14:textId="77777777" w:rsidR="009041A3" w:rsidRPr="00F615E3" w:rsidRDefault="009041A3" w:rsidP="009041A3">
      <w:pPr>
        <w:spacing w:after="0" w:line="276" w:lineRule="auto"/>
        <w:jc w:val="both"/>
        <w:rPr>
          <w:rFonts w:ascii="Verdana" w:eastAsia="Calibri" w:hAnsi="Verdana" w:cs="Arial"/>
          <w:lang w:val="es-ES"/>
        </w:rPr>
      </w:pPr>
      <w:r w:rsidRPr="00F615E3">
        <w:rPr>
          <w:rFonts w:ascii="Verdana" w:eastAsia="Calibri" w:hAnsi="Verdana" w:cs="Arial"/>
          <w:lang w:val="es-ES"/>
        </w:rPr>
        <w:t xml:space="preserve">Lo anterior se sustenta en las siguientes consideraciones: </w:t>
      </w:r>
    </w:p>
    <w:p w14:paraId="1B9D18B7" w14:textId="77777777" w:rsidR="009041A3" w:rsidRPr="00F615E3" w:rsidRDefault="009041A3" w:rsidP="009041A3">
      <w:pPr>
        <w:spacing w:after="0" w:line="276" w:lineRule="auto"/>
        <w:jc w:val="both"/>
        <w:rPr>
          <w:rFonts w:ascii="Verdana" w:eastAsia="Calibri" w:hAnsi="Verdana" w:cs="Arial"/>
          <w:lang w:val="es-ES" w:eastAsia="es-ES"/>
        </w:rPr>
      </w:pPr>
    </w:p>
    <w:p w14:paraId="74C9DF72" w14:textId="701350C2" w:rsidR="009041A3" w:rsidRPr="00F615E3" w:rsidRDefault="00644165" w:rsidP="009041A3">
      <w:pPr>
        <w:tabs>
          <w:tab w:val="left" w:pos="426"/>
        </w:tabs>
        <w:spacing w:after="0" w:line="276" w:lineRule="auto"/>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 xml:space="preserve">i) </w:t>
      </w:r>
      <w:r w:rsidR="009041A3" w:rsidRPr="00F615E3">
        <w:rPr>
          <w:rFonts w:ascii="Verdana" w:eastAsia="Calibri" w:hAnsi="Verdana" w:cs="Arial"/>
          <w:color w:val="000000" w:themeColor="text1"/>
          <w:lang w:val="es-ES_tradnl"/>
        </w:rPr>
        <w:t>El artículo 360 de la Constitución Política, modificado por el artículo 1 del Acto Legislativo 5 de 2011, define las regalías como una contraprestación económica a favor del Estado, que es causada por la explotación de un recurso natural no renovable. Al respecto, el precitado artículo prescribe:</w:t>
      </w:r>
    </w:p>
    <w:p w14:paraId="7F8E16BD" w14:textId="77777777" w:rsidR="009041A3" w:rsidRPr="00F615E3" w:rsidRDefault="009041A3" w:rsidP="009041A3">
      <w:pPr>
        <w:tabs>
          <w:tab w:val="left" w:pos="426"/>
        </w:tabs>
        <w:spacing w:after="0" w:line="276" w:lineRule="auto"/>
        <w:jc w:val="both"/>
        <w:rPr>
          <w:rFonts w:ascii="Verdana" w:eastAsia="Calibri" w:hAnsi="Verdana" w:cs="Arial"/>
          <w:color w:val="000000" w:themeColor="text1"/>
          <w:lang w:val="es-ES_tradnl"/>
        </w:rPr>
      </w:pPr>
    </w:p>
    <w:p w14:paraId="090B5A4F" w14:textId="77777777" w:rsidR="009041A3" w:rsidRPr="00F615E3" w:rsidRDefault="009041A3" w:rsidP="009041A3">
      <w:pPr>
        <w:spacing w:after="0" w:line="240" w:lineRule="auto"/>
        <w:ind w:left="709" w:right="709"/>
        <w:jc w:val="both"/>
        <w:rPr>
          <w:rFonts w:ascii="Verdana" w:eastAsia="Calibri" w:hAnsi="Verdana" w:cs="Arial"/>
          <w:sz w:val="20"/>
          <w:szCs w:val="20"/>
          <w:lang w:val="es-ES_tradnl"/>
        </w:rPr>
      </w:pPr>
      <w:r w:rsidRPr="00F615E3">
        <w:rPr>
          <w:rFonts w:ascii="Verdana" w:eastAsia="Calibri" w:hAnsi="Verdana" w:cs="Arial"/>
          <w:sz w:val="20"/>
          <w:szCs w:val="20"/>
          <w:lang w:val="es-ES_tradnl"/>
        </w:rPr>
        <w:t xml:space="preserve">“La explotación de un recurso natural no renovable causará, a favor del Estado, una contraprestación económica a título de regalía, sin perjuicio de cualquier otro derecho o compensación que se pacte. La ley </w:t>
      </w:r>
      <w:r w:rsidRPr="00F615E3">
        <w:rPr>
          <w:rFonts w:ascii="Verdana" w:eastAsia="Calibri" w:hAnsi="Verdana" w:cs="Arial"/>
          <w:sz w:val="20"/>
          <w:szCs w:val="20"/>
          <w:lang w:val="es-ES_tradnl"/>
        </w:rPr>
        <w:lastRenderedPageBreak/>
        <w:t>determinará las condiciones para la explotación de los recursos naturales no renovables.</w:t>
      </w:r>
    </w:p>
    <w:p w14:paraId="13942FBD" w14:textId="77777777" w:rsidR="009041A3" w:rsidRPr="00F615E3" w:rsidRDefault="009041A3" w:rsidP="009041A3">
      <w:pPr>
        <w:spacing w:after="0" w:line="240" w:lineRule="auto"/>
        <w:ind w:left="709" w:right="709"/>
        <w:jc w:val="both"/>
        <w:rPr>
          <w:rFonts w:ascii="Verdana" w:eastAsia="Calibri" w:hAnsi="Verdana" w:cs="Arial"/>
          <w:sz w:val="20"/>
          <w:szCs w:val="20"/>
          <w:lang w:val="es-ES_tradnl"/>
        </w:rPr>
      </w:pPr>
    </w:p>
    <w:p w14:paraId="36F8317D" w14:textId="77777777" w:rsidR="009041A3" w:rsidRPr="00F615E3" w:rsidRDefault="009041A3" w:rsidP="009041A3">
      <w:pPr>
        <w:spacing w:after="0" w:line="240" w:lineRule="auto"/>
        <w:ind w:left="709" w:right="709"/>
        <w:jc w:val="both"/>
        <w:rPr>
          <w:rFonts w:ascii="Verdana" w:eastAsia="Calibri" w:hAnsi="Verdana" w:cs="Arial"/>
          <w:sz w:val="20"/>
          <w:szCs w:val="20"/>
          <w:lang w:val="es-ES_tradnl"/>
        </w:rPr>
      </w:pPr>
      <w:r w:rsidRPr="00F615E3">
        <w:rPr>
          <w:rFonts w:ascii="Verdana" w:eastAsia="Calibri" w:hAnsi="Verdana" w:cs="Arial"/>
          <w:sz w:val="20"/>
          <w:szCs w:val="20"/>
          <w:lang w:val="es-ES_tradnl"/>
        </w:rPr>
        <w:t>Mediante otra ley, a iniciativa del Gobierno, la ley determinará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w:t>
      </w:r>
    </w:p>
    <w:p w14:paraId="6A8F5B5A" w14:textId="77777777" w:rsidR="009041A3" w:rsidRPr="00F615E3" w:rsidRDefault="009041A3" w:rsidP="009041A3">
      <w:pPr>
        <w:spacing w:after="0" w:line="276" w:lineRule="auto"/>
        <w:ind w:left="709" w:right="709"/>
        <w:jc w:val="both"/>
        <w:rPr>
          <w:rFonts w:ascii="Verdana" w:eastAsia="Calibri" w:hAnsi="Verdana" w:cs="Arial"/>
          <w:lang w:val="es-ES_tradnl"/>
        </w:rPr>
      </w:pPr>
    </w:p>
    <w:p w14:paraId="6CD83C7A" w14:textId="77777777" w:rsidR="00F71989" w:rsidRDefault="009041A3" w:rsidP="009041A3">
      <w:pPr>
        <w:spacing w:after="120" w:line="276" w:lineRule="auto"/>
        <w:ind w:firstLine="709"/>
        <w:jc w:val="both"/>
        <w:rPr>
          <w:rFonts w:ascii="Verdana" w:hAnsi="Verdana" w:cs="Arial"/>
          <w:noProof/>
          <w:lang w:val="es-ES_tradnl"/>
        </w:rPr>
      </w:pPr>
      <w:r w:rsidRPr="00F615E3">
        <w:rPr>
          <w:rFonts w:ascii="Verdana" w:hAnsi="Verdana" w:cs="Arial"/>
          <w:noProof/>
          <w:lang w:val="es-ES_tradnl"/>
        </w:rPr>
        <w:t xml:space="preserve">En el inciso segundo, el mismo artículo define al Sistema General de Regalías como el conjunto de ingresos, asignaciones, órganos, procedimientos y regulaciones que deberán establecerse y definirse mediante la ley que, por iniciativa previa del Gobierno Nacional, se expida a fin de determinar la distribución, objetivos, fines, administración, ejecución, control, el uso eficiente y la destinación de los ingresos provenientes de la explotación de los recursos naturales no renovables, precisando las condiciones de participación de sus beneficiarios. </w:t>
      </w:r>
    </w:p>
    <w:p w14:paraId="18B08ED3" w14:textId="4AD8739D" w:rsidR="009041A3" w:rsidRPr="00F615E3" w:rsidRDefault="009041A3" w:rsidP="009041A3">
      <w:pPr>
        <w:spacing w:after="120" w:line="276" w:lineRule="auto"/>
        <w:ind w:firstLine="709"/>
        <w:jc w:val="both"/>
        <w:rPr>
          <w:rFonts w:ascii="Verdana" w:hAnsi="Verdana" w:cs="Arial"/>
          <w:noProof/>
          <w:lang w:val="es-ES_tradnl"/>
        </w:rPr>
      </w:pPr>
      <w:r w:rsidRPr="00F615E3">
        <w:rPr>
          <w:rFonts w:ascii="Verdana" w:hAnsi="Verdana" w:cs="Arial"/>
          <w:noProof/>
          <w:lang w:val="es-ES_tradnl"/>
        </w:rPr>
        <w:t>En ese sentido, la Corte Constitucional define las regalías como una contraprestación recibida a cambio de la concesión de derechos a particulares para la exploración de recursos naturales, diferenciándolas de otros ingresos nacionales como los impuestos, dado que estas carecen del carácter impositivo de los tributos</w:t>
      </w:r>
      <w:r w:rsidRPr="00F615E3">
        <w:rPr>
          <w:rFonts w:ascii="Verdana" w:hAnsi="Verdana" w:cs="Arial"/>
          <w:noProof/>
          <w:vertAlign w:val="superscript"/>
          <w:lang w:val="es-ES_tradnl"/>
        </w:rPr>
        <w:footnoteReference w:id="2"/>
      </w:r>
      <w:r w:rsidRPr="00F615E3">
        <w:rPr>
          <w:rFonts w:ascii="Verdana" w:hAnsi="Verdana" w:cs="Arial"/>
          <w:noProof/>
          <w:lang w:val="es-ES_tradnl"/>
        </w:rPr>
        <w:t xml:space="preserve">. </w:t>
      </w:r>
    </w:p>
    <w:p w14:paraId="4863E32F" w14:textId="77777777" w:rsidR="009041A3" w:rsidRPr="00F615E3" w:rsidRDefault="009041A3" w:rsidP="009041A3">
      <w:pPr>
        <w:spacing w:after="120" w:line="276" w:lineRule="auto"/>
        <w:ind w:firstLine="709"/>
        <w:jc w:val="both"/>
        <w:rPr>
          <w:rFonts w:ascii="Verdana" w:hAnsi="Verdana" w:cs="Arial"/>
          <w:noProof/>
          <w:lang w:val="es-ES_tradnl"/>
        </w:rPr>
      </w:pPr>
      <w:r w:rsidRPr="00F615E3">
        <w:rPr>
          <w:rFonts w:ascii="Verdana" w:hAnsi="Verdana" w:cs="Arial"/>
          <w:noProof/>
          <w:lang w:val="es-ES_tradnl"/>
        </w:rPr>
        <w:lastRenderedPageBreak/>
        <w:t xml:space="preserve">El artículo 1 del Acto Legislativo 05 de 2019 modificó el artículo 361 de la Constitución, disponiendo que “los ingresos corrientes del Sistema General de Regalías se destinarán a la financiación de proyectos de inversión que contribuyan al desarrollo social, económico y ambiental de las entidades territoriales”. </w:t>
      </w:r>
    </w:p>
    <w:p w14:paraId="3B0F5432" w14:textId="77777777" w:rsidR="009041A3" w:rsidRPr="00F615E3" w:rsidRDefault="009041A3" w:rsidP="009041A3">
      <w:pPr>
        <w:spacing w:before="120" w:after="0" w:line="276" w:lineRule="auto"/>
        <w:ind w:firstLine="709"/>
        <w:jc w:val="both"/>
        <w:rPr>
          <w:rFonts w:ascii="Verdana" w:hAnsi="Verdana" w:cs="Arial"/>
        </w:rPr>
      </w:pPr>
      <w:r w:rsidRPr="00F615E3">
        <w:rPr>
          <w:rFonts w:ascii="Verdana" w:hAnsi="Verdana" w:cs="Arial"/>
          <w:noProof/>
          <w:lang w:val="es-ES_tradnl"/>
        </w:rPr>
        <w:t xml:space="preserve">Con fundamento en los artículos </w:t>
      </w:r>
      <w:bookmarkStart w:id="2" w:name="_Hlk181026059"/>
      <w:r w:rsidRPr="00F615E3">
        <w:rPr>
          <w:rFonts w:ascii="Verdana" w:hAnsi="Verdana" w:cs="Arial"/>
          <w:noProof/>
          <w:lang w:val="es-ES_tradnl"/>
        </w:rPr>
        <w:t>360 y 361 de la Constitución Política</w:t>
      </w:r>
      <w:bookmarkEnd w:id="2"/>
      <w:r w:rsidRPr="00F615E3">
        <w:rPr>
          <w:rFonts w:ascii="Verdana" w:hAnsi="Verdana" w:cs="Arial"/>
          <w:noProof/>
          <w:lang w:val="es-ES_tradnl"/>
        </w:rPr>
        <w:t xml:space="preserve">, se expidió la </w:t>
      </w:r>
      <w:bookmarkStart w:id="3" w:name="_Hlk181026083"/>
      <w:r w:rsidRPr="00F615E3">
        <w:rPr>
          <w:rFonts w:ascii="Verdana" w:hAnsi="Verdana" w:cs="Arial"/>
          <w:noProof/>
          <w:lang w:val="es-ES_tradnl"/>
        </w:rPr>
        <w:t>Ley 2056 de 2020</w:t>
      </w:r>
      <w:bookmarkEnd w:id="3"/>
      <w:r w:rsidRPr="00F615E3">
        <w:rPr>
          <w:rFonts w:ascii="Verdana" w:hAnsi="Verdana" w:cs="Arial"/>
          <w:noProof/>
          <w:lang w:val="es-ES_tradnl"/>
        </w:rPr>
        <w:t xml:space="preserve">, por medio de la cual se deroga, entre otras, la Ley 1530 de 2012, y </w:t>
      </w:r>
      <w:r w:rsidRPr="00F615E3">
        <w:rPr>
          <w:rFonts w:ascii="Verdana" w:hAnsi="Verdana" w:cs="Arial"/>
          <w:bCs/>
          <w:lang w:val="es-ES_tradnl"/>
        </w:rPr>
        <w:t>“</w:t>
      </w:r>
      <w:r w:rsidRPr="00F615E3">
        <w:rPr>
          <w:rFonts w:ascii="Verdana" w:hAnsi="Verdana" w:cs="Arial"/>
        </w:rPr>
        <w:t>Por la cual se regula la organización y el funcionamiento del Sistema General de Regalías</w:t>
      </w:r>
      <w:r w:rsidRPr="00F615E3">
        <w:rPr>
          <w:rFonts w:ascii="Verdana" w:hAnsi="Verdana" w:cs="Arial"/>
          <w:noProof/>
        </w:rPr>
        <w:t>”</w:t>
      </w:r>
      <w:r w:rsidRPr="00F615E3">
        <w:rPr>
          <w:rFonts w:ascii="Verdana" w:hAnsi="Verdana" w:cs="Arial"/>
        </w:rPr>
        <w:t xml:space="preserve">. En este sentido, la exposición de motivos de esta Ley expresó que: </w:t>
      </w:r>
    </w:p>
    <w:p w14:paraId="561DDF00" w14:textId="77777777" w:rsidR="009041A3" w:rsidRPr="00F615E3" w:rsidRDefault="009041A3" w:rsidP="009041A3">
      <w:pPr>
        <w:spacing w:after="0" w:line="276" w:lineRule="auto"/>
        <w:jc w:val="both"/>
        <w:rPr>
          <w:rFonts w:ascii="Verdana" w:hAnsi="Verdana" w:cs="Arial"/>
        </w:rPr>
      </w:pPr>
    </w:p>
    <w:p w14:paraId="5300DEDC" w14:textId="77777777" w:rsidR="009041A3" w:rsidRPr="00F615E3" w:rsidRDefault="009041A3" w:rsidP="009041A3">
      <w:pPr>
        <w:spacing w:after="0" w:line="240" w:lineRule="auto"/>
        <w:ind w:left="709" w:right="709"/>
        <w:contextualSpacing/>
        <w:jc w:val="both"/>
        <w:rPr>
          <w:rFonts w:ascii="Verdana" w:hAnsi="Verdana" w:cs="Arial"/>
          <w:sz w:val="20"/>
          <w:szCs w:val="20"/>
        </w:rPr>
      </w:pPr>
      <w:r w:rsidRPr="00F615E3">
        <w:rPr>
          <w:rFonts w:ascii="Verdana" w:hAnsi="Verdana" w:cs="Arial"/>
          <w:sz w:val="20"/>
          <w:szCs w:val="20"/>
        </w:rPr>
        <w:t xml:space="preserve">“Para adecuar el funcionamiento del SGR a las disposiciones del Acto Legislativo 01 de 2019, el Título I del proyecto de ley introduce nuevas disposiciones, como las siguientes, en relación con los objetivos y fines del Sistema, adicionales a las que originariamente se hallaban previas en el clausulado de la Ley 1530 de 2012: </w:t>
      </w:r>
    </w:p>
    <w:p w14:paraId="63729249" w14:textId="77777777" w:rsidR="009041A3" w:rsidRPr="00F615E3" w:rsidRDefault="009041A3" w:rsidP="009041A3">
      <w:pPr>
        <w:spacing w:after="0" w:line="240" w:lineRule="auto"/>
        <w:ind w:left="709" w:right="709"/>
        <w:contextualSpacing/>
        <w:jc w:val="both"/>
        <w:rPr>
          <w:rFonts w:ascii="Verdana" w:hAnsi="Verdana" w:cs="Arial"/>
          <w:sz w:val="20"/>
          <w:szCs w:val="20"/>
        </w:rPr>
      </w:pPr>
    </w:p>
    <w:p w14:paraId="3D62D7BB" w14:textId="77777777" w:rsidR="009041A3" w:rsidRPr="00F615E3" w:rsidRDefault="009041A3" w:rsidP="009041A3">
      <w:pPr>
        <w:pStyle w:val="Prrafodelista"/>
        <w:numPr>
          <w:ilvl w:val="0"/>
          <w:numId w:val="18"/>
        </w:numPr>
        <w:spacing w:after="0" w:line="240" w:lineRule="auto"/>
        <w:ind w:left="709" w:right="709" w:firstLine="0"/>
        <w:jc w:val="both"/>
        <w:rPr>
          <w:rFonts w:ascii="Verdana" w:hAnsi="Verdana" w:cs="Arial"/>
          <w:sz w:val="20"/>
          <w:szCs w:val="20"/>
        </w:rPr>
      </w:pPr>
      <w:r w:rsidRPr="00F615E3">
        <w:rPr>
          <w:rFonts w:ascii="Verdana" w:hAnsi="Verdana" w:cs="Arial"/>
          <w:sz w:val="20"/>
          <w:szCs w:val="20"/>
        </w:rPr>
        <w:t xml:space="preserve">Incentivar en el territorio nacional el desarrollo de actividades de exploración y explotación de recursos naturales no renovables, en el marco de la normativa vigente. </w:t>
      </w:r>
    </w:p>
    <w:p w14:paraId="13FAF947" w14:textId="77777777" w:rsidR="009041A3" w:rsidRPr="00F615E3" w:rsidRDefault="009041A3" w:rsidP="009041A3">
      <w:pPr>
        <w:pStyle w:val="Prrafodelista"/>
        <w:spacing w:after="0" w:line="240" w:lineRule="auto"/>
        <w:ind w:left="709" w:right="709"/>
        <w:jc w:val="both"/>
        <w:rPr>
          <w:rFonts w:ascii="Verdana" w:hAnsi="Verdana" w:cs="Arial"/>
          <w:sz w:val="20"/>
          <w:szCs w:val="20"/>
        </w:rPr>
      </w:pPr>
    </w:p>
    <w:p w14:paraId="1E39D231" w14:textId="77777777" w:rsidR="009041A3" w:rsidRPr="00F615E3" w:rsidRDefault="009041A3" w:rsidP="009041A3">
      <w:pPr>
        <w:pStyle w:val="Prrafodelista"/>
        <w:numPr>
          <w:ilvl w:val="0"/>
          <w:numId w:val="18"/>
        </w:numPr>
        <w:spacing w:after="0" w:line="240" w:lineRule="auto"/>
        <w:ind w:left="709" w:right="709" w:firstLine="0"/>
        <w:jc w:val="both"/>
        <w:rPr>
          <w:rFonts w:ascii="Verdana" w:hAnsi="Verdana" w:cs="Arial"/>
          <w:sz w:val="20"/>
          <w:szCs w:val="20"/>
        </w:rPr>
      </w:pPr>
      <w:r w:rsidRPr="00F615E3">
        <w:rPr>
          <w:rFonts w:ascii="Verdana" w:hAnsi="Verdana" w:cs="Arial"/>
          <w:sz w:val="20"/>
          <w:szCs w:val="20"/>
        </w:rPr>
        <w:t>Fomentar la estructuración y aprobación de proyectos de inversión que permitan la implementación del Acuerdo Final para la Terminación del Conflicto y la Construcción de una Paz Estable y Duradera, en los términos establecidos en las normas vigentes”</w:t>
      </w:r>
      <w:r w:rsidRPr="00F615E3">
        <w:rPr>
          <w:rStyle w:val="Refdenotaalpie"/>
          <w:rFonts w:ascii="Verdana" w:hAnsi="Verdana" w:cs="Arial"/>
          <w:sz w:val="20"/>
          <w:szCs w:val="20"/>
        </w:rPr>
        <w:footnoteReference w:id="3"/>
      </w:r>
      <w:r w:rsidRPr="00F615E3">
        <w:rPr>
          <w:rFonts w:ascii="Verdana" w:hAnsi="Verdana" w:cs="Arial"/>
          <w:sz w:val="20"/>
          <w:szCs w:val="20"/>
        </w:rPr>
        <w:t xml:space="preserve">. </w:t>
      </w:r>
    </w:p>
    <w:p w14:paraId="2B415A86" w14:textId="77777777" w:rsidR="009041A3" w:rsidRPr="00F615E3" w:rsidRDefault="009041A3" w:rsidP="007E2DBC">
      <w:pPr>
        <w:pStyle w:val="Prrafodelista"/>
        <w:spacing w:after="0" w:line="276" w:lineRule="auto"/>
        <w:ind w:left="709" w:right="709"/>
        <w:contextualSpacing w:val="0"/>
        <w:jc w:val="both"/>
        <w:rPr>
          <w:rFonts w:ascii="Verdana" w:hAnsi="Verdana" w:cs="Arial"/>
        </w:rPr>
      </w:pPr>
    </w:p>
    <w:p w14:paraId="40665F28" w14:textId="77777777" w:rsidR="00D24396" w:rsidRDefault="009041A3" w:rsidP="009041A3">
      <w:pPr>
        <w:spacing w:after="120" w:line="276" w:lineRule="auto"/>
        <w:ind w:firstLine="709"/>
        <w:jc w:val="both"/>
        <w:rPr>
          <w:rFonts w:ascii="Verdana" w:hAnsi="Verdana" w:cs="Arial"/>
          <w:noProof/>
          <w:lang w:val="es-ES_tradnl"/>
        </w:rPr>
      </w:pPr>
      <w:r w:rsidRPr="00F615E3">
        <w:rPr>
          <w:rFonts w:ascii="Verdana" w:hAnsi="Verdana" w:cs="Arial"/>
          <w:noProof/>
          <w:lang w:val="es-ES_tradnl"/>
        </w:rPr>
        <w:t>En concordancia con los artículos 360 y 361 constitucionales, dicha ley tiene como objeto determinar la distribución, objetivos, fines, administración, ejecución, control del uso eficiente y la destinación de los ingresos que se encuadren dentro del concepto de regalías, precisando las condiciones para la participación de los beneficiarios o destinatarios de los mismos</w:t>
      </w:r>
      <w:r w:rsidRPr="00F615E3">
        <w:rPr>
          <w:rFonts w:ascii="Verdana" w:hAnsi="Verdana" w:cs="Arial"/>
          <w:noProof/>
          <w:vertAlign w:val="superscript"/>
          <w:lang w:val="es-ES_tradnl"/>
        </w:rPr>
        <w:footnoteReference w:id="4"/>
      </w:r>
      <w:r w:rsidRPr="00F615E3">
        <w:rPr>
          <w:rFonts w:ascii="Verdana" w:hAnsi="Verdana" w:cs="Arial"/>
          <w:noProof/>
          <w:lang w:val="es-ES_tradnl"/>
        </w:rPr>
        <w:t xml:space="preserve">. </w:t>
      </w:r>
    </w:p>
    <w:p w14:paraId="75582230" w14:textId="194D2A8F" w:rsidR="0028023C" w:rsidRDefault="009041A3" w:rsidP="009041A3">
      <w:pPr>
        <w:spacing w:after="120" w:line="276" w:lineRule="auto"/>
        <w:ind w:firstLine="709"/>
        <w:jc w:val="both"/>
        <w:rPr>
          <w:rFonts w:ascii="Verdana" w:hAnsi="Verdana" w:cs="Arial"/>
          <w:noProof/>
          <w:lang w:val="es-ES_tradnl"/>
        </w:rPr>
      </w:pPr>
      <w:r w:rsidRPr="00F615E3">
        <w:rPr>
          <w:rFonts w:ascii="Verdana" w:hAnsi="Verdana" w:cs="Arial"/>
          <w:noProof/>
          <w:lang w:val="es-ES_tradnl"/>
        </w:rPr>
        <w:t xml:space="preserve">El artículo 3 establece los organos del Estado que hacen parte del Sistema General Regalias, como son </w:t>
      </w:r>
      <w:r w:rsidRPr="00F615E3">
        <w:rPr>
          <w:rFonts w:ascii="Verdana" w:hAnsi="Verdana" w:cs="Arial"/>
        </w:rPr>
        <w:t xml:space="preserve">la Comisión Rectora, el Departamento Nacional de </w:t>
      </w:r>
      <w:r w:rsidRPr="00F615E3">
        <w:rPr>
          <w:rFonts w:ascii="Verdana" w:hAnsi="Verdana" w:cs="Arial"/>
        </w:rPr>
        <w:lastRenderedPageBreak/>
        <w:t>Planeación, el Ministerio de Minas y Energía, así como sus entidades adscritas y vinculadas que cumplan funciones en el ciclo de las regalías, el Ministerio de Hacienda y Crédito Público, el Ministerio de Ciencia, Tecnología e Innovación, el Ministerio de Ambiente y Desarrollo Sostenible y los Órganos Colegiados de Administración y Decisión Paz, de Inversión Regional y de Ciencia, Tecnología e Innovación,</w:t>
      </w:r>
      <w:r w:rsidRPr="00F615E3">
        <w:rPr>
          <w:rFonts w:ascii="Verdana" w:hAnsi="Verdana" w:cs="Arial"/>
          <w:noProof/>
          <w:lang w:val="es-ES_tradnl"/>
        </w:rPr>
        <w:t xml:space="preserve"> incluyendo dentro de los mismos al Ministerio de Ciencia, Tenoclogía e Innovación</w:t>
      </w:r>
      <w:r w:rsidRPr="00F615E3">
        <w:rPr>
          <w:rFonts w:ascii="Verdana" w:hAnsi="Verdana" w:cs="Arial"/>
          <w:noProof/>
          <w:vertAlign w:val="superscript"/>
          <w:lang w:val="es-ES_tradnl"/>
        </w:rPr>
        <w:footnoteReference w:id="5"/>
      </w:r>
      <w:r w:rsidRPr="00F615E3">
        <w:rPr>
          <w:rFonts w:ascii="Verdana" w:hAnsi="Verdana" w:cs="Arial"/>
          <w:noProof/>
          <w:lang w:val="es-ES_tradnl"/>
        </w:rPr>
        <w:t xml:space="preserve">. Estas entidades deben ejercer sus competencias, de acuerdo a lo prescrito en dicha ley y los lineamientos que expida la Comisión Rectora. </w:t>
      </w:r>
    </w:p>
    <w:p w14:paraId="3C144681" w14:textId="5B4ED94D" w:rsidR="003871C3" w:rsidRDefault="009041A3" w:rsidP="009041A3">
      <w:pPr>
        <w:spacing w:after="120" w:line="276" w:lineRule="auto"/>
        <w:ind w:firstLine="709"/>
        <w:jc w:val="both"/>
        <w:rPr>
          <w:rFonts w:ascii="Verdana" w:hAnsi="Verdana" w:cs="Arial"/>
          <w:noProof/>
          <w:lang w:val="es-ES_tradnl"/>
        </w:rPr>
      </w:pPr>
      <w:r w:rsidRPr="00F615E3">
        <w:rPr>
          <w:rFonts w:ascii="Verdana" w:hAnsi="Verdana" w:cs="Arial"/>
          <w:noProof/>
        </w:rPr>
        <w:t>E</w:t>
      </w:r>
      <w:r w:rsidRPr="00F615E3">
        <w:rPr>
          <w:rFonts w:ascii="Verdana" w:hAnsi="Verdana" w:cs="Arial"/>
          <w:noProof/>
          <w:lang w:val="es-ES_tradnl"/>
        </w:rPr>
        <w:t xml:space="preserve">n el marco de la Ley 2056 de 2020, tambien se expidió el </w:t>
      </w:r>
      <w:bookmarkStart w:id="4" w:name="_Hlk181026109"/>
      <w:r w:rsidRPr="00F615E3">
        <w:rPr>
          <w:rFonts w:ascii="Verdana" w:hAnsi="Verdana" w:cs="Arial"/>
          <w:noProof/>
          <w:lang w:val="es-ES_tradnl"/>
        </w:rPr>
        <w:t>Decreto 1821 de 2020</w:t>
      </w:r>
      <w:bookmarkEnd w:id="4"/>
      <w:r w:rsidRPr="00F615E3">
        <w:rPr>
          <w:rFonts w:ascii="Verdana" w:hAnsi="Verdana" w:cs="Arial"/>
          <w:noProof/>
          <w:lang w:val="es-ES_tradnl"/>
        </w:rPr>
        <w:t>, “</w:t>
      </w:r>
      <w:r w:rsidRPr="00F615E3">
        <w:rPr>
          <w:rStyle w:val="Textoennegrita"/>
          <w:rFonts w:ascii="Verdana" w:hAnsi="Verdana" w:cs="Arial"/>
          <w:b w:val="0"/>
          <w:bCs w:val="0"/>
          <w:shd w:val="clear" w:color="auto" w:fill="FFFFFF"/>
        </w:rPr>
        <w:t>Por el cual se expide el Decreto Único Reglamentario del Sistema General de Regalías”</w:t>
      </w:r>
      <w:r w:rsidRPr="00F615E3">
        <w:rPr>
          <w:rFonts w:ascii="Verdana" w:hAnsi="Verdana" w:cs="Arial"/>
          <w:noProof/>
          <w:lang w:val="es-ES_tradnl"/>
        </w:rPr>
        <w:t xml:space="preserve">, reglamento que regula la ejecución de los proyectos. </w:t>
      </w:r>
    </w:p>
    <w:p w14:paraId="324FE0F8" w14:textId="590AA6DE" w:rsidR="009041A3" w:rsidRPr="00F615E3" w:rsidRDefault="009041A3" w:rsidP="009041A3">
      <w:pPr>
        <w:spacing w:after="120" w:line="276" w:lineRule="auto"/>
        <w:ind w:firstLine="709"/>
        <w:jc w:val="both"/>
        <w:rPr>
          <w:rFonts w:ascii="Verdana" w:hAnsi="Verdana"/>
        </w:rPr>
      </w:pPr>
      <w:r w:rsidRPr="00F615E3">
        <w:rPr>
          <w:rFonts w:ascii="Verdana" w:hAnsi="Verdana" w:cs="Arial"/>
          <w:noProof/>
          <w:lang w:val="es-ES_tradnl"/>
        </w:rPr>
        <w:t>A partir de lo expuesto, se analizará el régimen</w:t>
      </w:r>
      <w:r w:rsidRPr="00F615E3">
        <w:rPr>
          <w:rFonts w:ascii="Verdana" w:hAnsi="Verdana"/>
        </w:rPr>
        <w:t xml:space="preserve"> régimen contractual aplicable en la ejecución de proyectos cuya fuente de financiación es el Sistema General de Regalías, </w:t>
      </w:r>
      <w:r w:rsidR="003871C3">
        <w:rPr>
          <w:rFonts w:ascii="Verdana" w:hAnsi="Verdana"/>
        </w:rPr>
        <w:t xml:space="preserve">con el de responder a sus consultas. </w:t>
      </w:r>
      <w:r w:rsidRPr="00F615E3">
        <w:rPr>
          <w:rFonts w:ascii="Verdana" w:hAnsi="Verdana"/>
        </w:rPr>
        <w:t xml:space="preserve"> </w:t>
      </w:r>
    </w:p>
    <w:p w14:paraId="3D764C2E" w14:textId="77777777" w:rsidR="009041A3" w:rsidRPr="00F615E3" w:rsidRDefault="009041A3" w:rsidP="009041A3">
      <w:pPr>
        <w:spacing w:after="120" w:line="276" w:lineRule="auto"/>
        <w:ind w:firstLine="709"/>
        <w:jc w:val="both"/>
        <w:rPr>
          <w:rFonts w:ascii="Verdana" w:hAnsi="Verdana" w:cs="Arial"/>
          <w:noProof/>
          <w:lang w:val="es-ES_tradnl"/>
        </w:rPr>
      </w:pPr>
      <w:r w:rsidRPr="00F615E3">
        <w:rPr>
          <w:rFonts w:ascii="Verdana" w:hAnsi="Verdana" w:cs="Arial"/>
          <w:noProof/>
          <w:lang w:val="es-ES_tradnl"/>
        </w:rPr>
        <w:t xml:space="preserve">En </w:t>
      </w:r>
      <w:r w:rsidRPr="00F615E3">
        <w:rPr>
          <w:rFonts w:ascii="Verdana" w:hAnsi="Verdana" w:cs="Arial"/>
          <w:noProof/>
        </w:rPr>
        <w:t xml:space="preserve">el Título IV, Capítulo I, la Ley 2056 de 2020 establece las reglas generales para los proyectos de inversión en el Sistema General de Regalías. En esta línea, regula la destinación de los proyectos del Sistema General de Regalías –artículo 28–, las características de los proyectos de inversión –artículo 29–, los ejercicios de planeación –artículo 30–, el ciclo de los proyectos de inversión –artículo 31–, el registro de proyectos –artículo 32–, formulación y presentación de los proyectos de inversión –artículo 33–, viabilidad de los proyectos de inversión–artículo 34–, priorización y aprobación de los proyectos de inversión de la asignación para la inversión regional –artículo 35–, priorización y aprobación de proyectos de inversión para las asignaciones directas y asignación para la inversión local –artículo 36–, así como la ejecución de proyectos de inversión –artículo 37–. De esta manera, se destacan algunos artículos que regulan aspectos importantes en la materia: </w:t>
      </w:r>
    </w:p>
    <w:p w14:paraId="7E55627D" w14:textId="77777777" w:rsidR="009041A3" w:rsidRPr="00F615E3" w:rsidRDefault="009041A3" w:rsidP="009041A3">
      <w:pPr>
        <w:spacing w:after="120" w:line="276" w:lineRule="auto"/>
        <w:ind w:firstLine="708"/>
        <w:jc w:val="both"/>
        <w:rPr>
          <w:rFonts w:ascii="Verdana" w:hAnsi="Verdana" w:cs="Arial"/>
          <w:noProof/>
        </w:rPr>
      </w:pPr>
      <w:r w:rsidRPr="00F615E3">
        <w:rPr>
          <w:rFonts w:ascii="Verdana" w:hAnsi="Verdana" w:cs="Arial"/>
          <w:noProof/>
        </w:rPr>
        <w:t>i) E</w:t>
      </w:r>
      <w:r w:rsidRPr="00F615E3">
        <w:rPr>
          <w:rFonts w:ascii="Verdana" w:hAnsi="Verdana" w:cs="Arial"/>
          <w:noProof/>
          <w:lang w:val="es-ES_tradnl"/>
        </w:rPr>
        <w:t xml:space="preserve">l artículo 28 dispone que con este tipo de recursos se financian proyectos de inversión en sus diferentes etapas, con la condición que estén en el horizonte de realización. Asimismo, pueden financiarse estudios y diseños como parte de los proyectos de inversión y sus obras complementarias. Estos </w:t>
      </w:r>
      <w:r w:rsidRPr="00F615E3">
        <w:rPr>
          <w:rFonts w:ascii="Verdana" w:hAnsi="Verdana" w:cs="Arial"/>
          <w:noProof/>
          <w:lang w:val="es-ES_tradnl"/>
        </w:rPr>
        <w:lastRenderedPageBreak/>
        <w:t>proyectos deben basarse en la metodología dispuesta por el Departamento Nacional de Planeación. A su vez, se dispone que estos recursos no podrán financiar gastos permanentes: una vez finalizada la etapa de inversión, la prestación del servicio debe ser sostenible y financiada por recursos diferentes al Sistema General de Regalías</w:t>
      </w:r>
      <w:r w:rsidRPr="00F615E3">
        <w:rPr>
          <w:rStyle w:val="Refdenotaalpie"/>
          <w:rFonts w:ascii="Verdana" w:hAnsi="Verdana" w:cs="Arial"/>
          <w:noProof/>
          <w:lang w:val="es-ES_tradnl"/>
        </w:rPr>
        <w:footnoteReference w:id="6"/>
      </w:r>
      <w:r w:rsidRPr="00F615E3">
        <w:rPr>
          <w:rFonts w:ascii="Verdana" w:hAnsi="Verdana" w:cs="Arial"/>
          <w:noProof/>
          <w:lang w:val="es-ES_tradnl"/>
        </w:rPr>
        <w:t>.</w:t>
      </w:r>
      <w:r w:rsidRPr="00F615E3">
        <w:rPr>
          <w:rFonts w:ascii="Verdana" w:hAnsi="Verdana" w:cs="Arial"/>
          <w:noProof/>
        </w:rPr>
        <w:t xml:space="preserve"> </w:t>
      </w:r>
    </w:p>
    <w:p w14:paraId="2CB05730" w14:textId="77777777" w:rsidR="009041A3" w:rsidRPr="00F615E3" w:rsidRDefault="009041A3" w:rsidP="009041A3">
      <w:pPr>
        <w:spacing w:after="120" w:line="276" w:lineRule="auto"/>
        <w:ind w:firstLine="709"/>
        <w:jc w:val="both"/>
        <w:rPr>
          <w:rFonts w:ascii="Verdana" w:hAnsi="Verdana" w:cs="Arial"/>
          <w:noProof/>
        </w:rPr>
      </w:pPr>
      <w:r w:rsidRPr="00F615E3">
        <w:rPr>
          <w:rFonts w:ascii="Verdana" w:hAnsi="Verdana" w:cs="Arial"/>
          <w:noProof/>
        </w:rPr>
        <w:t>ii) El artículo 35, parágrafo 2, dispone que los Departamentos y Órganos Colegiados de Administración y Decisión Regionales de que trata el artículo citado, en el marco de sus competencia, deben designar una</w:t>
      </w:r>
      <w:r w:rsidRPr="00F615E3" w:rsidDel="003822CF">
        <w:rPr>
          <w:rFonts w:ascii="Verdana" w:hAnsi="Verdana" w:cs="Arial"/>
          <w:noProof/>
        </w:rPr>
        <w:t xml:space="preserve"> </w:t>
      </w:r>
      <w:r w:rsidRPr="00F615E3">
        <w:rPr>
          <w:rFonts w:ascii="Verdana" w:hAnsi="Verdana" w:cs="Arial"/>
          <w:noProof/>
        </w:rPr>
        <w:t>entidad ejecutora de naturaleza pública, que además debe estar a cargo de la contratación de la interventoría, de acuerdo a lo regulado en dicha ley</w:t>
      </w:r>
      <w:r w:rsidRPr="00F615E3">
        <w:rPr>
          <w:rStyle w:val="Refdenotaalpie"/>
          <w:rFonts w:ascii="Verdana" w:hAnsi="Verdana" w:cs="Arial"/>
          <w:noProof/>
        </w:rPr>
        <w:footnoteReference w:id="7"/>
      </w:r>
      <w:r w:rsidRPr="00F615E3">
        <w:rPr>
          <w:rFonts w:ascii="Verdana" w:hAnsi="Verdana" w:cs="Arial"/>
          <w:noProof/>
        </w:rPr>
        <w:t xml:space="preserve">. </w:t>
      </w:r>
    </w:p>
    <w:p w14:paraId="040D96FF" w14:textId="77777777" w:rsidR="009041A3" w:rsidRPr="00F615E3" w:rsidRDefault="009041A3" w:rsidP="009041A3">
      <w:pPr>
        <w:spacing w:after="120" w:line="276" w:lineRule="auto"/>
        <w:ind w:firstLine="709"/>
        <w:jc w:val="both"/>
        <w:rPr>
          <w:rFonts w:ascii="Verdana" w:hAnsi="Verdana" w:cs="Arial"/>
        </w:rPr>
      </w:pPr>
      <w:r w:rsidRPr="00F615E3">
        <w:rPr>
          <w:rFonts w:ascii="Verdana" w:hAnsi="Verdana" w:cs="Arial"/>
          <w:noProof/>
        </w:rPr>
        <w:t xml:space="preserve">iii) El artículo 36 dispone, entre otras cosas, que las entidades territoriales receptoras de asignaciones directas y de la asignación para la inversión local, son las encargadas de priorizar y aprobar los proyectos de inversión que se financian con los recursos del Sistema General de Regalías, </w:t>
      </w:r>
      <w:r w:rsidRPr="00F615E3">
        <w:rPr>
          <w:rFonts w:ascii="Verdana" w:hAnsi="Verdana" w:cs="Arial"/>
        </w:rPr>
        <w:t>así como de verificar su disponibilidad, conforme con la metodología del Departamento Nacional de Planeación</w:t>
      </w:r>
      <w:r w:rsidRPr="00F615E3">
        <w:rPr>
          <w:rStyle w:val="Refdenotaalpie"/>
          <w:rFonts w:ascii="Verdana" w:hAnsi="Verdana" w:cs="Arial"/>
        </w:rPr>
        <w:footnoteReference w:id="8"/>
      </w:r>
      <w:r w:rsidRPr="00F615E3">
        <w:rPr>
          <w:rFonts w:ascii="Verdana" w:hAnsi="Verdana" w:cs="Arial"/>
        </w:rPr>
        <w:t>.</w:t>
      </w:r>
    </w:p>
    <w:p w14:paraId="18665DDA" w14:textId="77777777" w:rsidR="009041A3" w:rsidRPr="00F615E3" w:rsidRDefault="009041A3" w:rsidP="009041A3">
      <w:pPr>
        <w:spacing w:after="120" w:line="276" w:lineRule="auto"/>
        <w:ind w:firstLine="709"/>
        <w:jc w:val="both"/>
        <w:rPr>
          <w:rFonts w:ascii="Verdana" w:hAnsi="Verdana" w:cs="Arial"/>
        </w:rPr>
      </w:pPr>
      <w:proofErr w:type="spellStart"/>
      <w:r w:rsidRPr="00F615E3">
        <w:rPr>
          <w:rFonts w:ascii="Verdana" w:hAnsi="Verdana" w:cs="Arial"/>
        </w:rPr>
        <w:lastRenderedPageBreak/>
        <w:t>iv</w:t>
      </w:r>
      <w:proofErr w:type="spellEnd"/>
      <w:r w:rsidRPr="00F615E3">
        <w:rPr>
          <w:rFonts w:ascii="Verdana" w:hAnsi="Verdana" w:cs="Arial"/>
        </w:rPr>
        <w:t xml:space="preserve">) </w:t>
      </w:r>
      <w:bookmarkStart w:id="7" w:name="_Hlk181022545"/>
      <w:r w:rsidRPr="00F615E3">
        <w:rPr>
          <w:rFonts w:ascii="Verdana" w:hAnsi="Verdana" w:cs="Arial"/>
        </w:rPr>
        <w:t xml:space="preserve">El artículo 37 de la Ley 2056 de 2020 dispone que los proyectos de inversión que se financien con cargo al Sistema General de Regalías serán ejecutados por quien designe las entidades u órganos de que tratan los artículos 35 y 36 </w:t>
      </w:r>
      <w:r w:rsidRPr="00F615E3">
        <w:rPr>
          <w:rFonts w:ascii="Verdana" w:hAnsi="Verdana" w:cs="Arial"/>
          <w:i/>
          <w:iCs/>
        </w:rPr>
        <w:t>ibidem</w:t>
      </w:r>
      <w:r w:rsidRPr="00F615E3">
        <w:rPr>
          <w:rFonts w:ascii="Verdana" w:hAnsi="Verdana" w:cs="Arial"/>
        </w:rPr>
        <w:t xml:space="preserve">. También agrega que la Entidad Pública ejecutora tiene el deber de adelantar la contratación de la interventoría, de conformidad con lo previsto en la presente ley. Las entidades ejecutoras de recursos del Sistema son responsables de suministrar de forma veraz, oportuna e idónea, la información de la gestión de los proyectos que se requiera e implementar las actuaciones pertinentes para encauzar el desempeño de los proyectos de inversión y decidir, de manera motivada, sobre la continuidad de los mismos, sin perjuicio de las acciones de control a las que haya lugar. </w:t>
      </w:r>
    </w:p>
    <w:p w14:paraId="75684F0B" w14:textId="77777777" w:rsidR="00214AE0" w:rsidRDefault="009041A3" w:rsidP="009041A3">
      <w:pPr>
        <w:spacing w:after="120" w:line="276" w:lineRule="auto"/>
        <w:ind w:firstLine="708"/>
        <w:jc w:val="both"/>
        <w:rPr>
          <w:rFonts w:ascii="Verdana" w:hAnsi="Verdana" w:cs="Arial"/>
          <w:noProof/>
        </w:rPr>
      </w:pPr>
      <w:r w:rsidRPr="00F615E3">
        <w:rPr>
          <w:rFonts w:ascii="Verdana" w:hAnsi="Verdana" w:cs="Arial"/>
        </w:rPr>
        <w:t xml:space="preserve">En esta línea, el parágrafo primero del artículo 37 dispone: “La ejecución de proyectos de que trata este artículo, se adelantará, con estricta sujeción al régimen presupuestal definido en esta ley, </w:t>
      </w:r>
      <w:r w:rsidRPr="00F615E3">
        <w:rPr>
          <w:rFonts w:ascii="Verdana" w:hAnsi="Verdana" w:cs="Arial"/>
          <w:i/>
          <w:iCs/>
        </w:rPr>
        <w:t>al de contratación pública</w:t>
      </w:r>
      <w:r w:rsidRPr="00F615E3">
        <w:rPr>
          <w:rFonts w:ascii="Verdana" w:hAnsi="Verdana" w:cs="Arial"/>
        </w:rPr>
        <w:t xml:space="preserve"> y las demás normas legales vigentes. El ejecutor garantizará la correcta ejecución de los recursos asignados al proyecto de inversión, así como el suministro y registro de la información requerida por el sistema de seguimiento, evaluación y control”</w:t>
      </w:r>
      <w:r w:rsidRPr="00F615E3">
        <w:rPr>
          <w:rStyle w:val="Refdenotaalpie"/>
          <w:rFonts w:ascii="Verdana" w:hAnsi="Verdana" w:cs="Arial"/>
        </w:rPr>
        <w:footnoteReference w:id="9"/>
      </w:r>
      <w:r w:rsidRPr="00F615E3">
        <w:rPr>
          <w:rFonts w:ascii="Verdana" w:hAnsi="Verdana" w:cs="Arial"/>
        </w:rPr>
        <w:t xml:space="preserve"> [Énfasis fuera del texto original].</w:t>
      </w:r>
      <w:r w:rsidRPr="00F615E3">
        <w:rPr>
          <w:rFonts w:ascii="Verdana" w:hAnsi="Verdana" w:cs="Arial"/>
          <w:noProof/>
        </w:rPr>
        <w:t xml:space="preserve"> </w:t>
      </w:r>
      <w:bookmarkEnd w:id="7"/>
    </w:p>
    <w:p w14:paraId="2A2B23ED" w14:textId="0113C114" w:rsidR="009041A3" w:rsidRPr="00F615E3" w:rsidRDefault="009041A3" w:rsidP="009041A3">
      <w:pPr>
        <w:spacing w:after="120" w:line="276" w:lineRule="auto"/>
        <w:ind w:firstLine="708"/>
        <w:jc w:val="both"/>
        <w:rPr>
          <w:rFonts w:ascii="Verdana" w:hAnsi="Verdana" w:cs="Arial"/>
          <w:noProof/>
        </w:rPr>
      </w:pPr>
      <w:r w:rsidRPr="00F615E3">
        <w:rPr>
          <w:rFonts w:ascii="Verdana" w:hAnsi="Verdana" w:cs="Arial"/>
          <w:noProof/>
        </w:rPr>
        <w:lastRenderedPageBreak/>
        <w:t xml:space="preserve">A partir de esta norma, el ejercutor de los proyectos de inversion en el Sistema General de Regalias debe sujetarse a las reglas de contratación pública, es decir, a las prescripciones establecidas en el </w:t>
      </w:r>
      <w:r w:rsidR="00214AE0">
        <w:rPr>
          <w:rFonts w:ascii="Verdana" w:hAnsi="Verdana" w:cs="Arial"/>
          <w:noProof/>
        </w:rPr>
        <w:t>EGCAP</w:t>
      </w:r>
      <w:r w:rsidRPr="00F615E3">
        <w:rPr>
          <w:rFonts w:ascii="Verdana" w:hAnsi="Verdana" w:cs="Arial"/>
          <w:noProof/>
        </w:rPr>
        <w:t xml:space="preserve">, así como las normas que lo modifiquen, sustituyan o reglamenten. En efecto, el ejecutor debe someterse a las reglas generales de la contratación pública cuando desarrolle proyectos en el marco del Sistema General de Regalías. </w:t>
      </w:r>
    </w:p>
    <w:p w14:paraId="540E099F" w14:textId="5A458B00" w:rsidR="009041A3" w:rsidRPr="00F615E3" w:rsidRDefault="009041A3" w:rsidP="009041A3">
      <w:pPr>
        <w:spacing w:after="120" w:line="276" w:lineRule="auto"/>
        <w:ind w:firstLine="709"/>
        <w:jc w:val="both"/>
        <w:rPr>
          <w:rFonts w:ascii="Verdana" w:hAnsi="Verdana" w:cs="Arial"/>
          <w:color w:val="000000"/>
          <w:bdr w:val="none" w:sz="0" w:space="0" w:color="auto" w:frame="1"/>
          <w:lang w:val="es-MX"/>
        </w:rPr>
      </w:pPr>
      <w:r w:rsidRPr="00F615E3">
        <w:rPr>
          <w:rFonts w:ascii="Verdana" w:hAnsi="Verdana" w:cs="Arial"/>
        </w:rPr>
        <w:t xml:space="preserve">Por tanto, en caso de que se realicen proyectos de inversión en el marco del Sistema General de Regalías, los ejecutores designados para desarrollarlos deben sujetarse al </w:t>
      </w:r>
      <w:r w:rsidR="00214AE0">
        <w:rPr>
          <w:rFonts w:ascii="Verdana" w:hAnsi="Verdana" w:cs="Arial"/>
        </w:rPr>
        <w:t>EGCAP</w:t>
      </w:r>
      <w:r w:rsidRPr="00F615E3">
        <w:rPr>
          <w:rFonts w:ascii="Verdana" w:eastAsia="Calibri" w:hAnsi="Verdana" w:cs="Arial"/>
          <w:lang w:val="es-MX"/>
        </w:rPr>
        <w:t>.</w:t>
      </w:r>
      <w:r w:rsidRPr="00F615E3">
        <w:rPr>
          <w:rFonts w:ascii="Verdana" w:hAnsi="Verdana" w:cs="Arial"/>
        </w:rPr>
        <w:t xml:space="preserve"> </w:t>
      </w:r>
      <w:r w:rsidRPr="00F615E3">
        <w:rPr>
          <w:rFonts w:ascii="Verdana" w:hAnsi="Verdana" w:cs="Arial"/>
          <w:color w:val="000000"/>
          <w:bdr w:val="none" w:sz="0" w:space="0" w:color="auto" w:frame="1"/>
        </w:rPr>
        <w:t xml:space="preserve">En </w:t>
      </w:r>
      <w:r w:rsidRPr="00F615E3">
        <w:rPr>
          <w:rFonts w:ascii="Verdana" w:hAnsi="Verdana" w:cs="Arial"/>
          <w:color w:val="000000"/>
          <w:bdr w:val="none" w:sz="0" w:space="0" w:color="auto" w:frame="1"/>
          <w:lang w:val="es-MX"/>
        </w:rPr>
        <w:t xml:space="preserve">el evento en que determinados asuntos estén sometidos por norma especial al Estatuto General de Contratación de la Administración Pública, la ejecución de los contratos deberá realizarse conforme a este régimen. </w:t>
      </w:r>
    </w:p>
    <w:p w14:paraId="248F42EC" w14:textId="2507D395" w:rsidR="00884962" w:rsidRDefault="005322F9" w:rsidP="005322F9">
      <w:pPr>
        <w:spacing w:after="120" w:line="276" w:lineRule="auto"/>
        <w:ind w:firstLine="709"/>
        <w:jc w:val="both"/>
        <w:rPr>
          <w:rFonts w:ascii="Verdana" w:hAnsi="Verdana" w:cs="Arial"/>
          <w:color w:val="000000"/>
          <w:bdr w:val="none" w:sz="0" w:space="0" w:color="auto" w:frame="1"/>
          <w:lang w:val="es-MX"/>
        </w:rPr>
      </w:pPr>
      <w:r>
        <w:rPr>
          <w:rFonts w:ascii="Verdana" w:hAnsi="Verdana" w:cs="Arial"/>
          <w:color w:val="000000"/>
          <w:bdr w:val="none" w:sz="0" w:space="0" w:color="auto" w:frame="1"/>
          <w:lang w:val="es-MX"/>
        </w:rPr>
        <w:t>Ahora bien, l</w:t>
      </w:r>
      <w:r w:rsidR="009041A3" w:rsidRPr="00F615E3">
        <w:rPr>
          <w:rFonts w:ascii="Verdana" w:hAnsi="Verdana"/>
        </w:rPr>
        <w:t xml:space="preserve">a regla general para los casos de una </w:t>
      </w:r>
      <w:r w:rsidR="009D0E8B" w:rsidRPr="00F615E3">
        <w:rPr>
          <w:rFonts w:ascii="Verdana" w:hAnsi="Verdana"/>
        </w:rPr>
        <w:t>empresa prestadora</w:t>
      </w:r>
      <w:r w:rsidR="009041A3" w:rsidRPr="00F615E3">
        <w:rPr>
          <w:rFonts w:ascii="Verdana" w:hAnsi="Verdana"/>
        </w:rPr>
        <w:t xml:space="preserve"> de </w:t>
      </w:r>
      <w:r w:rsidRPr="00F615E3">
        <w:rPr>
          <w:rFonts w:ascii="Verdana" w:hAnsi="Verdana"/>
        </w:rPr>
        <w:t>servicios públicos domiciliarios</w:t>
      </w:r>
      <w:r w:rsidR="009041A3" w:rsidRPr="00F615E3">
        <w:rPr>
          <w:rFonts w:ascii="Verdana" w:hAnsi="Verdana"/>
        </w:rPr>
        <w:t xml:space="preserve"> es lo enunciado en el artículo 32 de la Ley 142 de 1994, </w:t>
      </w:r>
      <w:r w:rsidR="006476F9" w:rsidRPr="00F615E3">
        <w:rPr>
          <w:rFonts w:ascii="Verdana" w:hAnsi="Verdana"/>
        </w:rPr>
        <w:t>que consagra</w:t>
      </w:r>
      <w:r w:rsidR="009041A3" w:rsidRPr="00F615E3">
        <w:rPr>
          <w:rFonts w:ascii="Verdana" w:hAnsi="Verdana"/>
        </w:rPr>
        <w:t xml:space="preserve">  </w:t>
      </w:r>
      <w:r w:rsidR="009D4160">
        <w:rPr>
          <w:rFonts w:ascii="Verdana" w:hAnsi="Verdana"/>
        </w:rPr>
        <w:t xml:space="preserve">el </w:t>
      </w:r>
      <w:r w:rsidR="00AF45B3">
        <w:rPr>
          <w:rFonts w:ascii="Verdana" w:hAnsi="Verdana"/>
        </w:rPr>
        <w:t>régimen de derecho privado para los actos de las empresas de servicios públicos</w:t>
      </w:r>
      <w:r w:rsidR="009041A3" w:rsidRPr="00F615E3">
        <w:rPr>
          <w:rFonts w:ascii="Verdana" w:hAnsi="Verdana"/>
        </w:rPr>
        <w:t xml:space="preserve">. Sin embargo, </w:t>
      </w:r>
      <w:r>
        <w:rPr>
          <w:rFonts w:ascii="Verdana" w:hAnsi="Verdana"/>
        </w:rPr>
        <w:t>conforme las normas expuestas en las líneas anteriores</w:t>
      </w:r>
      <w:r w:rsidR="009041A3" w:rsidRPr="00F615E3">
        <w:rPr>
          <w:rFonts w:ascii="Verdana" w:hAnsi="Verdana"/>
        </w:rPr>
        <w:t xml:space="preserve">, </w:t>
      </w:r>
      <w:r w:rsidRPr="007216D7">
        <w:rPr>
          <w:rFonts w:ascii="Verdana" w:hAnsi="Verdana" w:cs="Arial"/>
          <w:color w:val="000000"/>
          <w:bdr w:val="none" w:sz="0" w:space="0" w:color="auto" w:frame="1"/>
          <w:lang w:val="es-MX"/>
        </w:rPr>
        <w:t xml:space="preserve">si bien </w:t>
      </w:r>
      <w:r>
        <w:rPr>
          <w:rFonts w:ascii="Verdana" w:hAnsi="Verdana" w:cs="Arial"/>
          <w:color w:val="000000"/>
          <w:bdr w:val="none" w:sz="0" w:space="0" w:color="auto" w:frame="1"/>
          <w:lang w:val="es-MX"/>
        </w:rPr>
        <w:t>las empresas de servicios públicos domiciliarios</w:t>
      </w:r>
      <w:r w:rsidRPr="007216D7">
        <w:rPr>
          <w:rFonts w:ascii="Verdana" w:hAnsi="Verdana" w:cs="Arial"/>
          <w:color w:val="000000"/>
          <w:bdr w:val="none" w:sz="0" w:space="0" w:color="auto" w:frame="1"/>
          <w:lang w:val="es-MX"/>
        </w:rPr>
        <w:t xml:space="preserve"> están sometidos a un régimen de contratación de derecho privado, exceptuado del régimen general de contratación pública, en el caso de que estos funjan como entidades ejecutoras de proyectos de inversión financiados con recursos del Sistema General de Regalías, deberán aplicar las normas del </w:t>
      </w:r>
      <w:r w:rsidR="00884962">
        <w:rPr>
          <w:rFonts w:ascii="Verdana" w:hAnsi="Verdana" w:cs="Arial"/>
          <w:color w:val="000000"/>
          <w:bdr w:val="none" w:sz="0" w:space="0" w:color="auto" w:frame="1"/>
          <w:lang w:val="es-MX"/>
        </w:rPr>
        <w:t>EGCAP</w:t>
      </w:r>
      <w:r w:rsidRPr="007216D7">
        <w:rPr>
          <w:rFonts w:ascii="Verdana" w:hAnsi="Verdana" w:cs="Arial"/>
          <w:color w:val="000000"/>
          <w:bdr w:val="none" w:sz="0" w:space="0" w:color="auto" w:frame="1"/>
          <w:lang w:val="es-MX"/>
        </w:rPr>
        <w:t xml:space="preserve"> para la ejecución de los proyectos. </w:t>
      </w:r>
    </w:p>
    <w:p w14:paraId="3D816F01" w14:textId="14C8DAEB" w:rsidR="005322F9" w:rsidRPr="007216D7" w:rsidRDefault="005322F9" w:rsidP="00496806">
      <w:pPr>
        <w:spacing w:after="120" w:line="276" w:lineRule="auto"/>
        <w:ind w:firstLine="709"/>
        <w:jc w:val="both"/>
        <w:rPr>
          <w:rFonts w:ascii="Verdana" w:hAnsi="Verdana" w:cs="Arial"/>
          <w:color w:val="000000"/>
          <w:bdr w:val="none" w:sz="0" w:space="0" w:color="auto" w:frame="1"/>
          <w:lang w:val="es-MX"/>
        </w:rPr>
      </w:pPr>
      <w:r w:rsidRPr="007216D7">
        <w:rPr>
          <w:rFonts w:ascii="Verdana" w:hAnsi="Verdana" w:cs="Arial"/>
          <w:color w:val="000000"/>
          <w:bdr w:val="none" w:sz="0" w:space="0" w:color="auto" w:frame="1"/>
          <w:lang w:val="es-MX"/>
        </w:rPr>
        <w:t xml:space="preserve">Esto comoquiera que, si bien la Ley 2056 de 2020 no tiene un efecto subrogatorio o derogatorio respecto del régimen especial dispuesto en el artículo </w:t>
      </w:r>
      <w:r w:rsidR="002C5B98">
        <w:rPr>
          <w:rFonts w:ascii="Verdana" w:hAnsi="Verdana" w:cs="Arial"/>
          <w:color w:val="000000"/>
          <w:bdr w:val="none" w:sz="0" w:space="0" w:color="auto" w:frame="1"/>
          <w:lang w:val="es-MX"/>
        </w:rPr>
        <w:t>32 de la Ley 142 de 1994</w:t>
      </w:r>
      <w:r w:rsidRPr="007216D7">
        <w:rPr>
          <w:rFonts w:ascii="Verdana" w:hAnsi="Verdana" w:cs="Arial"/>
          <w:color w:val="000000"/>
          <w:bdr w:val="none" w:sz="0" w:space="0" w:color="auto" w:frame="1"/>
          <w:lang w:val="es-MX"/>
        </w:rPr>
        <w:t xml:space="preserve">, esta si constituye una norma especial en lo relativo a la ejecución de recursos del Sistema General de Regalías, por lo que en atención a lo dispuesto en el artículo 37 de dicha norma especial, </w:t>
      </w:r>
      <w:r w:rsidR="002C5B98">
        <w:rPr>
          <w:rFonts w:ascii="Verdana" w:hAnsi="Verdana" w:cs="Arial"/>
          <w:color w:val="000000"/>
          <w:bdr w:val="none" w:sz="0" w:space="0" w:color="auto" w:frame="1"/>
          <w:lang w:val="es-MX"/>
        </w:rPr>
        <w:t>las empr</w:t>
      </w:r>
      <w:r w:rsidR="005F7351">
        <w:rPr>
          <w:rFonts w:ascii="Verdana" w:hAnsi="Verdana" w:cs="Arial"/>
          <w:color w:val="000000"/>
          <w:bdr w:val="none" w:sz="0" w:space="0" w:color="auto" w:frame="1"/>
          <w:lang w:val="es-MX"/>
        </w:rPr>
        <w:t>esas de servicios públicos domiciliarios</w:t>
      </w:r>
      <w:r w:rsidRPr="007216D7">
        <w:rPr>
          <w:rFonts w:ascii="Verdana" w:hAnsi="Verdana" w:cs="Arial"/>
          <w:color w:val="000000"/>
          <w:bdr w:val="none" w:sz="0" w:space="0" w:color="auto" w:frame="1"/>
          <w:lang w:val="es-MX"/>
        </w:rPr>
        <w:t xml:space="preserve"> que actúen como ejecutores de las asignaciones </w:t>
      </w:r>
      <w:r w:rsidRPr="007216D7">
        <w:rPr>
          <w:rFonts w:ascii="Verdana" w:hAnsi="Verdana" w:cs="Arial"/>
          <w:color w:val="000000"/>
          <w:bdr w:val="none" w:sz="0" w:space="0" w:color="auto" w:frame="1"/>
          <w:lang w:val="es-MX"/>
        </w:rPr>
        <w:lastRenderedPageBreak/>
        <w:t xml:space="preserve">a las que se refieren los artículos 35 y 36 de la Ley 2056 de 2020 deberán aplicar las disposiciones de las </w:t>
      </w:r>
      <w:r w:rsidR="005F7351">
        <w:rPr>
          <w:rFonts w:ascii="Verdana" w:hAnsi="Verdana" w:cs="Arial"/>
          <w:color w:val="000000"/>
          <w:bdr w:val="none" w:sz="0" w:space="0" w:color="auto" w:frame="1"/>
          <w:lang w:val="es-MX"/>
        </w:rPr>
        <w:t>L</w:t>
      </w:r>
      <w:r w:rsidRPr="007216D7">
        <w:rPr>
          <w:rFonts w:ascii="Verdana" w:hAnsi="Verdana" w:cs="Arial"/>
          <w:color w:val="000000"/>
          <w:bdr w:val="none" w:sz="0" w:space="0" w:color="auto" w:frame="1"/>
          <w:lang w:val="es-MX"/>
        </w:rPr>
        <w:t xml:space="preserve">eyes 80 de 1993, 1150 de 2007 y 1474 de 2011, así como el Decreto 1082 de 2015, para el desarrollo de la contratación que se requiera realizar para la ejecución de los proyectos de inversión que tienen a su cargo. </w:t>
      </w:r>
    </w:p>
    <w:p w14:paraId="298C5514" w14:textId="77777777" w:rsidR="005322F9" w:rsidRDefault="005322F9" w:rsidP="007A0471">
      <w:pPr>
        <w:spacing w:before="120" w:after="120" w:line="276" w:lineRule="auto"/>
        <w:ind w:firstLine="709"/>
        <w:jc w:val="both"/>
        <w:rPr>
          <w:rFonts w:ascii="Verdana" w:hAnsi="Verdana" w:cs="Arial"/>
          <w:color w:val="000000"/>
          <w:bdr w:val="none" w:sz="0" w:space="0" w:color="auto" w:frame="1"/>
          <w:lang w:val="es-MX"/>
        </w:rPr>
      </w:pPr>
      <w:r w:rsidRPr="007216D7">
        <w:rPr>
          <w:rFonts w:ascii="Verdana" w:hAnsi="Verdana" w:cs="Arial"/>
          <w:color w:val="000000"/>
          <w:bdr w:val="none" w:sz="0" w:space="0" w:color="auto" w:frame="1"/>
          <w:lang w:val="es-MX"/>
        </w:rPr>
        <w:t xml:space="preserve">Con todo, lo anterior no implica que la designación para la ejecución de proyectos financiados con recursos del Sistema General de Regalías mute a perpetuidad o de manera general el régimen contractual de las entidades estatales ejecutoras sometidas a regímenes especiales de contratación, en la medida en que, mientras sigan vigentes las disposiciones legales que contemplan tales regímenes exceptuados, dichas entidades podrán seguir aplicándolos para la contratación no relacionada con la ejecución de los proyectos a los que se refieren los artículos 35 y 36 de la Ley 2056 de 2020.  </w:t>
      </w:r>
    </w:p>
    <w:p w14:paraId="3B334F2D" w14:textId="77777777" w:rsidR="00792AC8" w:rsidRDefault="003767AF" w:rsidP="003767AF">
      <w:pPr>
        <w:spacing w:after="120" w:line="276" w:lineRule="auto"/>
        <w:ind w:firstLine="709"/>
        <w:jc w:val="both"/>
        <w:rPr>
          <w:rFonts w:ascii="Verdana" w:hAnsi="Verdana" w:cs="Arial"/>
          <w:bdr w:val="none" w:sz="0" w:space="0" w:color="auto" w:frame="1"/>
        </w:rPr>
      </w:pPr>
      <w:r w:rsidRPr="00496806">
        <w:rPr>
          <w:rFonts w:ascii="Verdana" w:hAnsi="Verdana" w:cs="Arial"/>
          <w:bdr w:val="none" w:sz="0" w:space="0" w:color="auto" w:frame="1"/>
        </w:rPr>
        <w:t xml:space="preserve">Por otro lado, la Ley 715 del 2001 se refiere al Sistema General de Participaciones, correspondiente a los recursos que la Nación transfiere a las entidades territoriales para la financiación de ciertos servicios a su cargo. De conformidad con el artículo 3, modificado por el artículo 1 de la Ley 1176 del 2007, este sistema estará conformado así: i) una participación con destinación específica para el sector educación, que se denominará participación para educación, </w:t>
      </w:r>
      <w:proofErr w:type="spellStart"/>
      <w:r w:rsidRPr="00496806">
        <w:rPr>
          <w:rFonts w:ascii="Verdana" w:hAnsi="Verdana" w:cs="Arial"/>
          <w:bdr w:val="none" w:sz="0" w:space="0" w:color="auto" w:frame="1"/>
        </w:rPr>
        <w:t>ii</w:t>
      </w:r>
      <w:proofErr w:type="spellEnd"/>
      <w:r w:rsidRPr="00496806">
        <w:rPr>
          <w:rFonts w:ascii="Verdana" w:hAnsi="Verdana" w:cs="Arial"/>
          <w:bdr w:val="none" w:sz="0" w:space="0" w:color="auto" w:frame="1"/>
        </w:rPr>
        <w:t xml:space="preserve">) una participación con destinación específica para el sector salud, que se denominará participación para salud, </w:t>
      </w:r>
      <w:proofErr w:type="spellStart"/>
      <w:r w:rsidRPr="00496806">
        <w:rPr>
          <w:rFonts w:ascii="Verdana" w:hAnsi="Verdana" w:cs="Arial"/>
          <w:bdr w:val="none" w:sz="0" w:space="0" w:color="auto" w:frame="1"/>
        </w:rPr>
        <w:t>iii</w:t>
      </w:r>
      <w:proofErr w:type="spellEnd"/>
      <w:r w:rsidRPr="00496806">
        <w:rPr>
          <w:rFonts w:ascii="Verdana" w:hAnsi="Verdana" w:cs="Arial"/>
          <w:bdr w:val="none" w:sz="0" w:space="0" w:color="auto" w:frame="1"/>
        </w:rPr>
        <w:t xml:space="preserve">) una participación con destinación específica para el sector agua potable y saneamiento básico, que se denominará participación para agua potable y saneamiento básico y </w:t>
      </w:r>
      <w:proofErr w:type="spellStart"/>
      <w:r w:rsidRPr="00496806">
        <w:rPr>
          <w:rFonts w:ascii="Verdana" w:hAnsi="Verdana" w:cs="Arial"/>
          <w:bdr w:val="none" w:sz="0" w:space="0" w:color="auto" w:frame="1"/>
        </w:rPr>
        <w:t>iv</w:t>
      </w:r>
      <w:proofErr w:type="spellEnd"/>
      <w:r w:rsidRPr="00496806">
        <w:rPr>
          <w:rFonts w:ascii="Verdana" w:hAnsi="Verdana" w:cs="Arial"/>
          <w:bdr w:val="none" w:sz="0" w:space="0" w:color="auto" w:frame="1"/>
        </w:rPr>
        <w:t xml:space="preserve">) una participación de propósito general. </w:t>
      </w:r>
    </w:p>
    <w:p w14:paraId="673E9D04" w14:textId="006198E6" w:rsidR="003767AF" w:rsidRPr="00496806" w:rsidRDefault="003767AF" w:rsidP="003767AF">
      <w:pPr>
        <w:spacing w:after="120" w:line="276" w:lineRule="auto"/>
        <w:ind w:firstLine="709"/>
        <w:jc w:val="both"/>
        <w:rPr>
          <w:rFonts w:ascii="Verdana" w:hAnsi="Verdana" w:cs="Arial"/>
          <w:bdr w:val="none" w:sz="0" w:space="0" w:color="auto" w:frame="1"/>
        </w:rPr>
      </w:pPr>
      <w:r w:rsidRPr="00496806">
        <w:rPr>
          <w:rFonts w:ascii="Verdana" w:hAnsi="Verdana" w:cs="Arial"/>
          <w:bdr w:val="none" w:sz="0" w:space="0" w:color="auto" w:frame="1"/>
        </w:rPr>
        <w:t xml:space="preserve">A diferencia de lo dispuesto para el Sistema General de Regalías, en la Ley 715 de 2001 y la Ley 1176 de 2007 no se observa una norma específica que establezca una sujeción a la Ley 80 de 1993 en relación con actos o contratos para la ejecución de proyectos de agua potable y saneamiento básico. </w:t>
      </w:r>
    </w:p>
    <w:p w14:paraId="681A9E4F" w14:textId="4CEF4703" w:rsidR="003767AF" w:rsidRPr="00496806" w:rsidRDefault="003767AF" w:rsidP="003767AF">
      <w:pPr>
        <w:spacing w:after="120" w:line="276" w:lineRule="auto"/>
        <w:ind w:firstLine="709"/>
        <w:jc w:val="both"/>
        <w:rPr>
          <w:rFonts w:ascii="Verdana" w:hAnsi="Verdana" w:cs="Arial"/>
          <w:bdr w:val="none" w:sz="0" w:space="0" w:color="auto" w:frame="1"/>
        </w:rPr>
      </w:pPr>
      <w:r w:rsidRPr="00496806">
        <w:rPr>
          <w:rFonts w:ascii="Verdana" w:hAnsi="Verdana" w:cs="Arial"/>
          <w:bdr w:val="none" w:sz="0" w:space="0" w:color="auto" w:frame="1"/>
        </w:rPr>
        <w:t xml:space="preserve">Por tanto, salvo mandato legal en contrario, </w:t>
      </w:r>
      <w:bookmarkStart w:id="9" w:name="_Hlk71740549"/>
      <w:r w:rsidRPr="00496806">
        <w:rPr>
          <w:rFonts w:ascii="Verdana" w:hAnsi="Verdana" w:cs="Arial"/>
          <w:bdr w:val="none" w:sz="0" w:space="0" w:color="auto" w:frame="1"/>
        </w:rPr>
        <w:t>las normas aplicables a</w:t>
      </w:r>
      <w:r w:rsidR="009F193E">
        <w:rPr>
          <w:rFonts w:ascii="Verdana" w:hAnsi="Verdana" w:cs="Arial"/>
          <w:bdr w:val="none" w:sz="0" w:space="0" w:color="auto" w:frame="1"/>
        </w:rPr>
        <w:t xml:space="preserve"> </w:t>
      </w:r>
      <w:r w:rsidRPr="00496806">
        <w:rPr>
          <w:rFonts w:ascii="Verdana" w:hAnsi="Verdana" w:cs="Arial"/>
          <w:bdr w:val="none" w:sz="0" w:space="0" w:color="auto" w:frame="1"/>
        </w:rPr>
        <w:t>l</w:t>
      </w:r>
      <w:r w:rsidR="009F193E">
        <w:rPr>
          <w:rFonts w:ascii="Verdana" w:hAnsi="Verdana" w:cs="Arial"/>
          <w:bdr w:val="none" w:sz="0" w:space="0" w:color="auto" w:frame="1"/>
        </w:rPr>
        <w:t>os</w:t>
      </w:r>
      <w:r w:rsidRPr="00496806">
        <w:rPr>
          <w:rFonts w:ascii="Verdana" w:hAnsi="Verdana" w:cs="Arial"/>
          <w:bdr w:val="none" w:sz="0" w:space="0" w:color="auto" w:frame="1"/>
        </w:rPr>
        <w:t xml:space="preserve"> contrato</w:t>
      </w:r>
      <w:r w:rsidR="009F193E">
        <w:rPr>
          <w:rFonts w:ascii="Verdana" w:hAnsi="Verdana" w:cs="Arial"/>
          <w:bdr w:val="none" w:sz="0" w:space="0" w:color="auto" w:frame="1"/>
        </w:rPr>
        <w:t>s</w:t>
      </w:r>
      <w:r w:rsidRPr="00496806">
        <w:rPr>
          <w:rFonts w:ascii="Verdana" w:hAnsi="Verdana" w:cs="Arial"/>
          <w:bdr w:val="none" w:sz="0" w:space="0" w:color="auto" w:frame="1"/>
        </w:rPr>
        <w:t xml:space="preserve"> </w:t>
      </w:r>
      <w:r w:rsidR="009F193E">
        <w:rPr>
          <w:rFonts w:ascii="Verdana" w:hAnsi="Verdana" w:cs="Arial"/>
          <w:bdr w:val="none" w:sz="0" w:space="0" w:color="auto" w:frame="1"/>
        </w:rPr>
        <w:t>financiado</w:t>
      </w:r>
      <w:r w:rsidRPr="00496806">
        <w:rPr>
          <w:rFonts w:ascii="Verdana" w:hAnsi="Verdana" w:cs="Arial"/>
          <w:bdr w:val="none" w:sz="0" w:space="0" w:color="auto" w:frame="1"/>
        </w:rPr>
        <w:t xml:space="preserve"> con recursos del Sistema General de Participaciones dependerán del régimen contractual al cual esté sujeto la entidad ejecutora.</w:t>
      </w:r>
      <w:bookmarkEnd w:id="9"/>
      <w:r w:rsidRPr="00496806">
        <w:rPr>
          <w:rFonts w:ascii="Verdana" w:hAnsi="Verdana" w:cs="Arial"/>
          <w:bdr w:val="none" w:sz="0" w:space="0" w:color="auto" w:frame="1"/>
        </w:rPr>
        <w:t xml:space="preserve"> Así las cosas, la entidad deberá analizar e identificar, en la etapa de planeación, las normas presupuestales que apliquen a los proyectos que se ejecutarán</w:t>
      </w:r>
      <w:bookmarkStart w:id="10" w:name="_Hlk73704076"/>
      <w:r w:rsidRPr="00496806">
        <w:rPr>
          <w:rFonts w:ascii="Verdana" w:hAnsi="Verdana" w:cs="Arial"/>
          <w:bdr w:val="none" w:sz="0" w:space="0" w:color="auto" w:frame="1"/>
        </w:rPr>
        <w:t xml:space="preserve">. </w:t>
      </w:r>
      <w:bookmarkStart w:id="11" w:name="_Hlk73704128"/>
      <w:r w:rsidRPr="00496806">
        <w:rPr>
          <w:rFonts w:ascii="Verdana" w:hAnsi="Verdana" w:cs="Arial"/>
          <w:bdr w:val="none" w:sz="0" w:space="0" w:color="auto" w:frame="1"/>
        </w:rPr>
        <w:t>De este modo, en el evento en que la entidad ejecutora esté sujeta al Estatuto General de Contratación Pública, la celebración y ejecución de los contratos deberá realizarse conforme a este régimen</w:t>
      </w:r>
      <w:bookmarkEnd w:id="11"/>
      <w:r w:rsidRPr="00496806">
        <w:rPr>
          <w:rFonts w:ascii="Verdana" w:hAnsi="Verdana" w:cs="Arial"/>
          <w:bdr w:val="none" w:sz="0" w:space="0" w:color="auto" w:frame="1"/>
        </w:rPr>
        <w:t xml:space="preserve">. </w:t>
      </w:r>
    </w:p>
    <w:bookmarkEnd w:id="10"/>
    <w:p w14:paraId="2A963616" w14:textId="6AEC49B2" w:rsidR="00F56D88" w:rsidRDefault="00792AC8" w:rsidP="00EA7D7A">
      <w:pPr>
        <w:spacing w:after="120" w:line="276" w:lineRule="auto"/>
        <w:ind w:firstLine="709"/>
        <w:jc w:val="both"/>
        <w:rPr>
          <w:rFonts w:ascii="Verdana" w:hAnsi="Verdana"/>
        </w:rPr>
      </w:pPr>
      <w:r>
        <w:rPr>
          <w:rFonts w:ascii="Verdana" w:hAnsi="Verdana"/>
        </w:rPr>
        <w:lastRenderedPageBreak/>
        <w:t xml:space="preserve">Ahora bien, </w:t>
      </w:r>
      <w:r w:rsidR="009041A3" w:rsidRPr="00F615E3">
        <w:rPr>
          <w:rFonts w:ascii="Verdana" w:hAnsi="Verdana"/>
        </w:rPr>
        <w:t xml:space="preserve"> </w:t>
      </w:r>
      <w:r w:rsidR="00F56D88">
        <w:rPr>
          <w:rFonts w:ascii="Verdana" w:hAnsi="Verdana"/>
        </w:rPr>
        <w:t>a</w:t>
      </w:r>
      <w:r w:rsidR="009041A3" w:rsidRPr="00F615E3">
        <w:rPr>
          <w:rFonts w:ascii="Verdana" w:hAnsi="Verdana"/>
        </w:rPr>
        <w:t xml:space="preserve">nte la convergencia de dos fuentes de financiación </w:t>
      </w:r>
      <w:r w:rsidR="00616ECD">
        <w:rPr>
          <w:rFonts w:ascii="Verdana" w:hAnsi="Verdana"/>
        </w:rPr>
        <w:t xml:space="preserve">- </w:t>
      </w:r>
      <w:r w:rsidR="009041A3" w:rsidRPr="00F615E3">
        <w:rPr>
          <w:rFonts w:ascii="Verdana" w:hAnsi="Verdana"/>
        </w:rPr>
        <w:t>S</w:t>
      </w:r>
      <w:r w:rsidR="00616ECD">
        <w:rPr>
          <w:rFonts w:ascii="Verdana" w:hAnsi="Verdana"/>
        </w:rPr>
        <w:t xml:space="preserve">istema </w:t>
      </w:r>
      <w:r w:rsidR="009041A3" w:rsidRPr="00F615E3">
        <w:rPr>
          <w:rFonts w:ascii="Verdana" w:hAnsi="Verdana"/>
        </w:rPr>
        <w:t>G</w:t>
      </w:r>
      <w:r w:rsidR="00616ECD">
        <w:rPr>
          <w:rFonts w:ascii="Verdana" w:hAnsi="Verdana"/>
        </w:rPr>
        <w:t xml:space="preserve">eneral de </w:t>
      </w:r>
      <w:r w:rsidR="009041A3" w:rsidRPr="00F615E3">
        <w:rPr>
          <w:rFonts w:ascii="Verdana" w:hAnsi="Verdana"/>
        </w:rPr>
        <w:t>R</w:t>
      </w:r>
      <w:r w:rsidR="00616ECD">
        <w:rPr>
          <w:rFonts w:ascii="Verdana" w:hAnsi="Verdana"/>
        </w:rPr>
        <w:t>egalías</w:t>
      </w:r>
      <w:r w:rsidR="009041A3" w:rsidRPr="00F615E3">
        <w:rPr>
          <w:rFonts w:ascii="Verdana" w:hAnsi="Verdana"/>
        </w:rPr>
        <w:t xml:space="preserve"> y S</w:t>
      </w:r>
      <w:r w:rsidR="00616ECD">
        <w:rPr>
          <w:rFonts w:ascii="Verdana" w:hAnsi="Verdana"/>
        </w:rPr>
        <w:t xml:space="preserve">istema </w:t>
      </w:r>
      <w:r w:rsidR="009041A3" w:rsidRPr="00F615E3">
        <w:rPr>
          <w:rFonts w:ascii="Verdana" w:hAnsi="Verdana"/>
        </w:rPr>
        <w:t>G</w:t>
      </w:r>
      <w:r w:rsidR="00616ECD">
        <w:rPr>
          <w:rFonts w:ascii="Verdana" w:hAnsi="Verdana"/>
        </w:rPr>
        <w:t>en</w:t>
      </w:r>
      <w:r w:rsidR="00BC15C0">
        <w:rPr>
          <w:rFonts w:ascii="Verdana" w:hAnsi="Verdana"/>
        </w:rPr>
        <w:t>er</w:t>
      </w:r>
      <w:r w:rsidR="00616ECD">
        <w:rPr>
          <w:rFonts w:ascii="Verdana" w:hAnsi="Verdana"/>
        </w:rPr>
        <w:t>al de Participación</w:t>
      </w:r>
      <w:r w:rsidR="009041A3" w:rsidRPr="00F615E3">
        <w:rPr>
          <w:rFonts w:ascii="Verdana" w:hAnsi="Verdana"/>
        </w:rPr>
        <w:t xml:space="preserve"> </w:t>
      </w:r>
      <w:r w:rsidR="00BC15C0">
        <w:rPr>
          <w:rFonts w:ascii="Verdana" w:hAnsi="Verdana"/>
        </w:rPr>
        <w:t>–</w:t>
      </w:r>
      <w:r w:rsidR="009041A3" w:rsidRPr="00F615E3">
        <w:rPr>
          <w:rFonts w:ascii="Verdana" w:hAnsi="Verdana"/>
        </w:rPr>
        <w:t xml:space="preserve">la conclusión lógica y jurídicamente consistente, es que </w:t>
      </w:r>
      <w:r w:rsidR="009041A3" w:rsidRPr="00F615E3">
        <w:rPr>
          <w:rStyle w:val="Textoennegrita"/>
          <w:rFonts w:ascii="Verdana" w:hAnsi="Verdana"/>
          <w:b w:val="0"/>
          <w:bCs w:val="0"/>
        </w:rPr>
        <w:t xml:space="preserve">la totalidad del proyecto y los contratos derivados de su ejecución deben sujetarse al </w:t>
      </w:r>
      <w:r w:rsidR="00BC15C0">
        <w:rPr>
          <w:rStyle w:val="Textoennegrita"/>
          <w:rFonts w:ascii="Verdana" w:hAnsi="Verdana"/>
          <w:b w:val="0"/>
          <w:bCs w:val="0"/>
        </w:rPr>
        <w:t>EGCAP</w:t>
      </w:r>
      <w:r w:rsidR="009041A3" w:rsidRPr="00F615E3">
        <w:rPr>
          <w:rStyle w:val="Textoennegrita"/>
          <w:rFonts w:ascii="Verdana" w:hAnsi="Verdana"/>
          <w:b w:val="0"/>
          <w:bCs w:val="0"/>
        </w:rPr>
        <w:t xml:space="preserve">, ya que en el caso que se dé aplicación de un régimen </w:t>
      </w:r>
      <w:r w:rsidR="009041A3" w:rsidRPr="00F615E3">
        <w:rPr>
          <w:rFonts w:ascii="Verdana" w:hAnsi="Verdana"/>
        </w:rPr>
        <w:t xml:space="preserve">dual entre los lineamientos privados y los preceptos </w:t>
      </w:r>
      <w:r w:rsidR="00BC15C0">
        <w:rPr>
          <w:rFonts w:ascii="Verdana" w:hAnsi="Verdana"/>
        </w:rPr>
        <w:t xml:space="preserve">del EGCAP </w:t>
      </w:r>
      <w:r w:rsidR="009041A3" w:rsidRPr="00F615E3">
        <w:rPr>
          <w:rFonts w:ascii="Verdana" w:hAnsi="Verdana"/>
        </w:rPr>
        <w:t>resultaría altamente ineficiente y generador de complejidades administrativas y riesgos jurídicos.</w:t>
      </w:r>
      <w:r w:rsidR="00F56D88">
        <w:rPr>
          <w:rFonts w:ascii="Verdana" w:hAnsi="Verdana"/>
        </w:rPr>
        <w:t xml:space="preserve"> </w:t>
      </w:r>
    </w:p>
    <w:p w14:paraId="1760EDFF" w14:textId="01008632" w:rsidR="009041A3" w:rsidRPr="00F615E3" w:rsidRDefault="00F56D88" w:rsidP="00C114CE">
      <w:pPr>
        <w:spacing w:after="120" w:line="276" w:lineRule="auto"/>
        <w:ind w:firstLine="709"/>
        <w:jc w:val="both"/>
        <w:rPr>
          <w:rFonts w:ascii="Verdana" w:hAnsi="Verdana"/>
        </w:rPr>
      </w:pPr>
      <w:r>
        <w:rPr>
          <w:rFonts w:ascii="Verdana" w:hAnsi="Verdana"/>
        </w:rPr>
        <w:t xml:space="preserve">Así las cosas, </w:t>
      </w:r>
      <w:r w:rsidR="00EA7D7A">
        <w:rPr>
          <w:rFonts w:ascii="Verdana" w:hAnsi="Verdana"/>
        </w:rPr>
        <w:t>l</w:t>
      </w:r>
      <w:r w:rsidR="009041A3" w:rsidRPr="00F615E3">
        <w:rPr>
          <w:rFonts w:ascii="Verdana" w:hAnsi="Verdana"/>
        </w:rPr>
        <w:t xml:space="preserve">a aplicación del EGCAP a todo el proyecto garantiza la </w:t>
      </w:r>
      <w:r w:rsidR="009041A3" w:rsidRPr="00F615E3">
        <w:rPr>
          <w:rStyle w:val="Textoennegrita"/>
          <w:rFonts w:ascii="Verdana" w:hAnsi="Verdana"/>
          <w:b w:val="0"/>
          <w:bCs w:val="0"/>
        </w:rPr>
        <w:t>unidad de materia</w:t>
      </w:r>
      <w:r w:rsidR="009041A3" w:rsidRPr="00F615E3">
        <w:rPr>
          <w:rFonts w:ascii="Verdana" w:hAnsi="Verdana"/>
        </w:rPr>
        <w:t xml:space="preserve">, la </w:t>
      </w:r>
      <w:r w:rsidR="009041A3" w:rsidRPr="00F615E3">
        <w:rPr>
          <w:rStyle w:val="Textoennegrita"/>
          <w:rFonts w:ascii="Verdana" w:hAnsi="Verdana"/>
          <w:b w:val="0"/>
          <w:bCs w:val="0"/>
        </w:rPr>
        <w:t>eficiencia administrativa</w:t>
      </w:r>
      <w:r w:rsidR="009041A3" w:rsidRPr="00F615E3">
        <w:rPr>
          <w:rFonts w:ascii="Verdana" w:hAnsi="Verdana"/>
        </w:rPr>
        <w:t xml:space="preserve">, la </w:t>
      </w:r>
      <w:r w:rsidR="009041A3" w:rsidRPr="00F615E3">
        <w:rPr>
          <w:rStyle w:val="Textoennegrita"/>
          <w:rFonts w:ascii="Verdana" w:hAnsi="Verdana"/>
          <w:b w:val="0"/>
          <w:bCs w:val="0"/>
        </w:rPr>
        <w:t>transparencia</w:t>
      </w:r>
      <w:r w:rsidR="009041A3" w:rsidRPr="00F615E3">
        <w:rPr>
          <w:rFonts w:ascii="Verdana" w:hAnsi="Verdana"/>
        </w:rPr>
        <w:t xml:space="preserve"> en la gestión de todos los recursos públicos involucrados (SGR y SGP) y la aplicación uniforme de los principios rectores de la contratación estatal. </w:t>
      </w:r>
    </w:p>
    <w:p w14:paraId="7ED7616E" w14:textId="77777777" w:rsidR="00380373" w:rsidRDefault="00380373" w:rsidP="00F81CAA">
      <w:pPr>
        <w:spacing w:after="0" w:line="276" w:lineRule="auto"/>
        <w:ind w:firstLine="709"/>
        <w:jc w:val="both"/>
        <w:rPr>
          <w:rFonts w:ascii="Verdana" w:hAnsi="Verdana"/>
        </w:rPr>
      </w:pPr>
    </w:p>
    <w:p w14:paraId="22B5C58C" w14:textId="6CF1479A" w:rsidR="007726C3" w:rsidRPr="009C7865" w:rsidRDefault="00380373" w:rsidP="007726C3">
      <w:pPr>
        <w:spacing w:after="120" w:line="276" w:lineRule="auto"/>
        <w:jc w:val="both"/>
        <w:rPr>
          <w:rFonts w:ascii="Verdana" w:eastAsia="Calibri" w:hAnsi="Verdana" w:cs="Arial"/>
        </w:rPr>
      </w:pPr>
      <w:r>
        <w:rPr>
          <w:rFonts w:ascii="Verdana" w:hAnsi="Verdana" w:cs="Arial"/>
          <w:color w:val="000000"/>
          <w:bdr w:val="none" w:sz="0" w:space="0" w:color="auto" w:frame="1"/>
          <w:lang w:val="es-MX"/>
        </w:rPr>
        <w:t xml:space="preserve">ii) </w:t>
      </w:r>
      <w:r w:rsidR="004E1F61" w:rsidRPr="0084743F">
        <w:rPr>
          <w:rFonts w:ascii="Verdana" w:hAnsi="Verdana" w:cs="Arial"/>
          <w:color w:val="000000"/>
          <w:bdr w:val="none" w:sz="0" w:space="0" w:color="auto" w:frame="1"/>
          <w:lang w:val="es-MX"/>
        </w:rPr>
        <w:t xml:space="preserve">Conforme lo expuesto, respecto a la </w:t>
      </w:r>
      <w:r w:rsidR="004E1F61">
        <w:rPr>
          <w:rFonts w:ascii="Verdana" w:hAnsi="Verdana" w:cs="Arial"/>
          <w:color w:val="000000"/>
          <w:bdr w:val="none" w:sz="0" w:space="0" w:color="auto" w:frame="1"/>
          <w:lang w:val="es-MX"/>
        </w:rPr>
        <w:t>posibilidad de subcontratar</w:t>
      </w:r>
      <w:r w:rsidR="004E1F61" w:rsidRPr="0084743F">
        <w:rPr>
          <w:rFonts w:ascii="Verdana" w:hAnsi="Verdana" w:cs="Arial"/>
          <w:color w:val="000000"/>
          <w:bdr w:val="none" w:sz="0" w:space="0" w:color="auto" w:frame="1"/>
          <w:lang w:val="es-MX"/>
        </w:rPr>
        <w:t xml:space="preserve"> de los </w:t>
      </w:r>
      <w:r w:rsidR="004E1F61" w:rsidRPr="0084743F">
        <w:rPr>
          <w:rFonts w:ascii="Verdana" w:hAnsi="Verdana" w:cs="Arial"/>
        </w:rPr>
        <w:t xml:space="preserve">proyectos de inversión que se ejecuten en el marco del Sistema General de Regalías es menester remitirse al </w:t>
      </w:r>
      <w:r w:rsidR="007726C3">
        <w:rPr>
          <w:rFonts w:ascii="Verdana" w:hAnsi="Verdana" w:cs="Arial"/>
        </w:rPr>
        <w:t xml:space="preserve">EGCAP. </w:t>
      </w:r>
      <w:r w:rsidR="007726C3" w:rsidRPr="009C7865">
        <w:rPr>
          <w:rFonts w:ascii="Verdana" w:eastAsia="Calibri" w:hAnsi="Verdana" w:cs="Arial"/>
        </w:rPr>
        <w:t>La</w:t>
      </w:r>
      <w:r w:rsidR="007726C3">
        <w:rPr>
          <w:rFonts w:ascii="Verdana" w:eastAsia="Calibri" w:hAnsi="Verdana" w:cs="Arial"/>
        </w:rPr>
        <w:t xml:space="preserve"> </w:t>
      </w:r>
      <w:r w:rsidR="007726C3" w:rsidRPr="00677B2E">
        <w:rPr>
          <w:rFonts w:ascii="Verdana" w:eastAsia="Calibri" w:hAnsi="Verdana" w:cs="Arial"/>
          <w:i/>
          <w:iCs/>
        </w:rPr>
        <w:t>institución jurídica de la subcontratación</w:t>
      </w:r>
      <w:r w:rsidR="007726C3" w:rsidRPr="009C7865">
        <w:rPr>
          <w:rFonts w:ascii="Verdana" w:eastAsia="Calibri" w:hAnsi="Verdana" w:cs="Arial"/>
        </w:rPr>
        <w:t xml:space="preserve"> no ha tenido un desarrollo regulatorio sustancial en el derecho colombiano. Aunque en materia de contratación estatal hay algunas referencias a esta institución en las Leyes 80 de 1993</w:t>
      </w:r>
      <w:r w:rsidR="007726C3" w:rsidRPr="009C7865">
        <w:rPr>
          <w:rFonts w:ascii="Verdana" w:eastAsia="Calibri" w:hAnsi="Verdana" w:cs="Arial"/>
          <w:vertAlign w:val="superscript"/>
        </w:rPr>
        <w:footnoteReference w:id="10"/>
      </w:r>
      <w:r w:rsidR="007726C3" w:rsidRPr="009C7865">
        <w:rPr>
          <w:rFonts w:ascii="Verdana" w:eastAsia="Calibri" w:hAnsi="Verdana" w:cs="Arial"/>
          <w:vertAlign w:val="superscript"/>
        </w:rPr>
        <w:t xml:space="preserve"> </w:t>
      </w:r>
      <w:r w:rsidR="007726C3" w:rsidRPr="009C7865">
        <w:rPr>
          <w:rFonts w:ascii="Verdana" w:eastAsia="Calibri" w:hAnsi="Verdana" w:cs="Arial"/>
        </w:rPr>
        <w:t>y 1150 de 2007</w:t>
      </w:r>
      <w:r w:rsidR="007726C3" w:rsidRPr="009C7865">
        <w:rPr>
          <w:rFonts w:ascii="Verdana" w:eastAsia="Calibri" w:hAnsi="Verdana" w:cs="Arial"/>
          <w:vertAlign w:val="superscript"/>
        </w:rPr>
        <w:footnoteReference w:id="11"/>
      </w:r>
      <w:r w:rsidR="007726C3" w:rsidRPr="009C7865">
        <w:rPr>
          <w:rFonts w:ascii="Verdana" w:eastAsia="Calibri" w:hAnsi="Verdana" w:cs="Arial"/>
        </w:rPr>
        <w:t>, así como en el Decreto 1082 de 2015</w:t>
      </w:r>
      <w:r w:rsidR="007726C3" w:rsidRPr="009C7865">
        <w:rPr>
          <w:rFonts w:ascii="Verdana" w:eastAsia="Calibri" w:hAnsi="Verdana" w:cs="Arial"/>
          <w:vertAlign w:val="superscript"/>
        </w:rPr>
        <w:footnoteReference w:id="12"/>
      </w:r>
      <w:r w:rsidR="007726C3" w:rsidRPr="009C7865">
        <w:rPr>
          <w:rFonts w:ascii="Verdana" w:eastAsia="Calibri" w:hAnsi="Verdana" w:cs="Arial"/>
        </w:rPr>
        <w:t xml:space="preserve">, y en </w:t>
      </w:r>
      <w:r w:rsidR="007726C3" w:rsidRPr="009C7865">
        <w:rPr>
          <w:rFonts w:ascii="Verdana" w:eastAsia="Calibri" w:hAnsi="Verdana" w:cs="Arial"/>
          <w:lang w:val="es-ES"/>
        </w:rPr>
        <w:t>el Decreto 092 de 2017</w:t>
      </w:r>
      <w:r w:rsidR="007726C3" w:rsidRPr="009C7865">
        <w:rPr>
          <w:rFonts w:ascii="Verdana" w:eastAsia="Calibri" w:hAnsi="Verdana" w:cs="Arial"/>
          <w:vertAlign w:val="superscript"/>
          <w:lang w:val="es-ES"/>
        </w:rPr>
        <w:footnoteReference w:id="13"/>
      </w:r>
      <w:r w:rsidR="007726C3" w:rsidRPr="009C7865">
        <w:rPr>
          <w:rFonts w:ascii="Verdana" w:eastAsia="Calibri" w:hAnsi="Verdana" w:cs="Arial"/>
          <w:lang w:val="es-ES"/>
        </w:rPr>
        <w:t xml:space="preserve">, </w:t>
      </w:r>
      <w:r w:rsidR="007726C3" w:rsidRPr="009C7865">
        <w:rPr>
          <w:rFonts w:ascii="Verdana" w:eastAsia="Calibri" w:hAnsi="Verdana" w:cs="Arial"/>
        </w:rPr>
        <w:t xml:space="preserve">el ordenamiento jurídico </w:t>
      </w:r>
      <w:r w:rsidR="007726C3" w:rsidRPr="009C7865">
        <w:rPr>
          <w:rFonts w:ascii="Verdana" w:eastAsia="Calibri" w:hAnsi="Verdana" w:cs="Arial"/>
        </w:rPr>
        <w:lastRenderedPageBreak/>
        <w:t xml:space="preserve">carece de una disposición legal que brinde una definición de subcontratación. Sin embargo, la jurisprudencia y la doctrina se han encargado de estudiar y analizar la naturaleza de esta figura y han construido los elementos y características propias de la subcontratación. </w:t>
      </w:r>
    </w:p>
    <w:p w14:paraId="326847C3" w14:textId="77777777" w:rsidR="007726C3" w:rsidRPr="009C7865" w:rsidRDefault="007726C3" w:rsidP="007726C3">
      <w:pPr>
        <w:spacing w:before="120" w:after="0" w:line="276" w:lineRule="auto"/>
        <w:ind w:firstLine="709"/>
        <w:jc w:val="both"/>
        <w:rPr>
          <w:rFonts w:ascii="Verdana" w:eastAsia="Calibri" w:hAnsi="Verdana" w:cs="Arial"/>
        </w:rPr>
      </w:pPr>
      <w:r w:rsidRPr="009C7865">
        <w:rPr>
          <w:rFonts w:ascii="Verdana" w:eastAsia="Calibri" w:hAnsi="Verdana" w:cs="Arial"/>
        </w:rPr>
        <w:t xml:space="preserve">Por </w:t>
      </w:r>
      <w:r>
        <w:rPr>
          <w:rFonts w:ascii="Verdana" w:eastAsia="Calibri" w:hAnsi="Verdana" w:cs="Arial"/>
        </w:rPr>
        <w:t>un lado</w:t>
      </w:r>
      <w:r w:rsidRPr="009C7865">
        <w:rPr>
          <w:rFonts w:ascii="Verdana" w:eastAsia="Calibri" w:hAnsi="Verdana" w:cs="Arial"/>
        </w:rPr>
        <w:t>, la Sección Tercera del Consejo de Estado, en Sentencia del 12 de agosto de 2013</w:t>
      </w:r>
      <w:r w:rsidRPr="009C7865">
        <w:rPr>
          <w:rFonts w:ascii="Verdana" w:eastAsia="Calibri" w:hAnsi="Verdana" w:cs="Arial"/>
          <w:vertAlign w:val="superscript"/>
        </w:rPr>
        <w:footnoteReference w:id="14"/>
      </w:r>
      <w:r w:rsidRPr="009C7865">
        <w:rPr>
          <w:rFonts w:ascii="Verdana" w:eastAsia="Calibri" w:hAnsi="Verdana" w:cs="Arial"/>
        </w:rPr>
        <w:t xml:space="preserve">, estructuró la definición y naturaleza del subcontrato. Al respecto, indicó: </w:t>
      </w:r>
    </w:p>
    <w:p w14:paraId="6595CB5B" w14:textId="77777777" w:rsidR="007726C3" w:rsidRPr="009C7865" w:rsidRDefault="007726C3" w:rsidP="007726C3">
      <w:pPr>
        <w:spacing w:after="0" w:line="276" w:lineRule="auto"/>
        <w:ind w:right="618"/>
        <w:jc w:val="both"/>
        <w:rPr>
          <w:rFonts w:ascii="Verdana" w:eastAsia="Calibri" w:hAnsi="Verdana" w:cs="Arial"/>
        </w:rPr>
      </w:pPr>
    </w:p>
    <w:p w14:paraId="3EA75D81" w14:textId="77777777" w:rsidR="007726C3" w:rsidRPr="00677B2E" w:rsidRDefault="007726C3" w:rsidP="007726C3">
      <w:pPr>
        <w:spacing w:after="0" w:line="240" w:lineRule="auto"/>
        <w:ind w:left="709" w:right="709"/>
        <w:jc w:val="both"/>
        <w:rPr>
          <w:rFonts w:ascii="Verdana" w:eastAsia="Calibri" w:hAnsi="Verdana" w:cs="Arial"/>
          <w:sz w:val="20"/>
          <w:szCs w:val="20"/>
        </w:rPr>
      </w:pPr>
      <w:r w:rsidRPr="00677B2E">
        <w:rPr>
          <w:rFonts w:ascii="Verdana" w:eastAsia="Calibri" w:hAnsi="Verdana" w:cs="Arial"/>
          <w:sz w:val="20"/>
          <w:szCs w:val="20"/>
        </w:rPr>
        <w:t>“Esta institución hace surgir una relación jurídica autónoma entre el contratista del Estado y el sub contratista, es decir, independiente de la relación que preexiste entre el Estado y el contratista. En este sentido, las obligaciones que adquiere el sub contratista con el contratista sólo son exigibles entre ellos, y no vinculan a la entidad estatal –contratante-, en virtud del principio de relatividad del contrato –sólo produce efectos para las partes, no para terceros-, pero sin que ello limite o restrinja a la entidad estatal en la dirección general para ejercer el control y vigilancia de la ejecución del contrato, a que se refiere el artículo 14 de la Ley 80.</w:t>
      </w:r>
    </w:p>
    <w:p w14:paraId="35BAEE30" w14:textId="77777777" w:rsidR="007726C3" w:rsidRPr="00677B2E" w:rsidRDefault="007726C3" w:rsidP="007726C3">
      <w:pPr>
        <w:spacing w:after="0" w:line="240" w:lineRule="auto"/>
        <w:ind w:left="709" w:right="709"/>
        <w:jc w:val="both"/>
        <w:rPr>
          <w:rFonts w:ascii="Verdana" w:eastAsia="Calibri" w:hAnsi="Verdana" w:cs="Arial"/>
          <w:sz w:val="20"/>
          <w:szCs w:val="20"/>
        </w:rPr>
      </w:pPr>
      <w:r w:rsidRPr="00677B2E">
        <w:rPr>
          <w:rFonts w:ascii="Verdana" w:eastAsia="Calibri" w:hAnsi="Verdana" w:cs="Arial"/>
          <w:sz w:val="20"/>
          <w:szCs w:val="20"/>
        </w:rPr>
        <w:t xml:space="preserve"> </w:t>
      </w:r>
    </w:p>
    <w:p w14:paraId="5F50767C" w14:textId="77777777" w:rsidR="007726C3" w:rsidRPr="00677B2E" w:rsidRDefault="007726C3" w:rsidP="007726C3">
      <w:pPr>
        <w:spacing w:after="0" w:line="240" w:lineRule="auto"/>
        <w:ind w:left="709" w:right="709"/>
        <w:jc w:val="both"/>
        <w:rPr>
          <w:rFonts w:ascii="Verdana" w:eastAsia="Calibri" w:hAnsi="Verdana" w:cs="Arial"/>
          <w:sz w:val="20"/>
          <w:szCs w:val="20"/>
        </w:rPr>
      </w:pPr>
      <w:r w:rsidRPr="00677B2E">
        <w:rPr>
          <w:rFonts w:ascii="Verdana" w:eastAsia="Calibri" w:hAnsi="Verdana" w:cs="Arial"/>
          <w:sz w:val="20"/>
          <w:szCs w:val="20"/>
        </w:rPr>
        <w:t>En este sentido, el contratista conserva frente a la entidad pública la responsabilidad por la ejecución del contrato, así que desde el punto de vista subjetivo la sub contratación es material y no jurídica, porque traslada el cumplimiento del contrato a un tercero, pero no sustituye al contratista.</w:t>
      </w:r>
    </w:p>
    <w:p w14:paraId="2CDE6517" w14:textId="77777777" w:rsidR="007726C3" w:rsidRPr="00677B2E" w:rsidRDefault="007726C3" w:rsidP="007726C3">
      <w:pPr>
        <w:spacing w:after="0" w:line="240" w:lineRule="auto"/>
        <w:ind w:left="709" w:right="709"/>
        <w:jc w:val="both"/>
        <w:rPr>
          <w:rFonts w:ascii="Verdana" w:eastAsia="Calibri" w:hAnsi="Verdana" w:cs="Arial"/>
          <w:sz w:val="20"/>
          <w:szCs w:val="20"/>
        </w:rPr>
      </w:pPr>
    </w:p>
    <w:p w14:paraId="6AD8E85D" w14:textId="77777777" w:rsidR="007726C3" w:rsidRPr="00677B2E" w:rsidRDefault="007726C3" w:rsidP="007726C3">
      <w:pPr>
        <w:spacing w:after="0" w:line="240" w:lineRule="auto"/>
        <w:ind w:left="709" w:right="709"/>
        <w:jc w:val="both"/>
        <w:rPr>
          <w:rFonts w:ascii="Verdana" w:eastAsia="Calibri" w:hAnsi="Verdana" w:cs="Arial"/>
          <w:sz w:val="20"/>
          <w:szCs w:val="20"/>
        </w:rPr>
      </w:pPr>
      <w:r w:rsidRPr="00677B2E">
        <w:rPr>
          <w:rFonts w:ascii="Verdana" w:eastAsia="Calibri" w:hAnsi="Verdana" w:cs="Arial"/>
          <w:sz w:val="20"/>
          <w:szCs w:val="20"/>
        </w:rPr>
        <w:t>La subcontratación es la celebración de un contrato accesorio a otro principal, entre un contratista del Estado y un tercero, en virtud del cual el subcontratista o tercero sustituye parcial y materialmente al primero, quien conserva la dirección general del proyecto y es responsable ante la entidad estatal contratante por el cumplimiento íntegro de las obligaciones derivadas del contrato adjudicado. Esta institución hace surgir una relación jurídica autónoma entre el contratista del Estado y el subcontratista, es decir, independiente de la relación que preexiste entre el Estado y el contratista. En este sentido, las obligaciones que adquiere el sub contratista con el contratista sólo son exigibles entre ellos, y no vinculan a la entidad estatal –contratante-, en virtud del principio de relatividad del contrato –sólo produce efectos para las partes, no para terceros-, pero sin que ello limite o restrinja a la entidad estatal en la dirección general para ejercer el control y vigilancia de la ejecución del contrato, a que se refiere el artículo 14 de la Ley 80”.</w:t>
      </w:r>
    </w:p>
    <w:p w14:paraId="1E571CCA" w14:textId="77777777" w:rsidR="007726C3" w:rsidRDefault="007726C3" w:rsidP="007726C3">
      <w:pPr>
        <w:spacing w:after="0" w:line="276" w:lineRule="auto"/>
        <w:ind w:firstLine="709"/>
        <w:jc w:val="both"/>
        <w:rPr>
          <w:rFonts w:ascii="Verdana" w:eastAsia="Calibri" w:hAnsi="Verdana" w:cs="Arial"/>
        </w:rPr>
      </w:pPr>
    </w:p>
    <w:p w14:paraId="0EF84588" w14:textId="77777777" w:rsidR="007726C3" w:rsidRDefault="007726C3" w:rsidP="007726C3">
      <w:pPr>
        <w:spacing w:after="120" w:line="276" w:lineRule="auto"/>
        <w:ind w:firstLine="709"/>
        <w:jc w:val="both"/>
        <w:rPr>
          <w:rFonts w:ascii="Verdana" w:eastAsia="Calibri" w:hAnsi="Verdana" w:cs="Arial"/>
        </w:rPr>
      </w:pPr>
      <w:r>
        <w:rPr>
          <w:rFonts w:ascii="Verdana" w:eastAsia="Calibri" w:hAnsi="Verdana" w:cs="Arial"/>
        </w:rPr>
        <w:lastRenderedPageBreak/>
        <w:t xml:space="preserve">Por otro lado, la doctrina también ha desarrollado el concepto y las características de la figura de la subcontratación. El doctrinante, Richard Steve Ramírez Grisales </w:t>
      </w:r>
      <w:r w:rsidRPr="009C7865">
        <w:rPr>
          <w:rFonts w:ascii="Verdana" w:eastAsia="Calibri" w:hAnsi="Verdana" w:cs="Arial"/>
        </w:rPr>
        <w:t>ha analizado la subcontratación en la contratación estatal, señalando que</w:t>
      </w:r>
      <w:r>
        <w:rPr>
          <w:rFonts w:ascii="Verdana" w:eastAsia="Calibri" w:hAnsi="Verdana" w:cs="Arial"/>
        </w:rPr>
        <w:t>:</w:t>
      </w:r>
      <w:r w:rsidRPr="009C7865">
        <w:rPr>
          <w:rFonts w:ascii="Verdana" w:eastAsia="Calibri" w:hAnsi="Verdana" w:cs="Arial"/>
        </w:rPr>
        <w:t xml:space="preserve"> “La subcontratación supone la celebración de un contrato eventual y accesorio, entre un contratista del Estado y un tercero, sin que aquel tenga el deber, por regla general, de agotar un procedimiento previo de selección, por medio del cual el segundo sustituye parcial y materialmente al primero, quien conserva la dirección general del proyecto y es responsable ante la entidad estatal contratante por el cumplimiento íntegro de las obligaciones derivadas del contrato adjudicado”</w:t>
      </w:r>
      <w:r w:rsidRPr="009C7865">
        <w:rPr>
          <w:rFonts w:ascii="Verdana" w:eastAsia="Calibri" w:hAnsi="Verdana" w:cs="Arial"/>
          <w:vertAlign w:val="superscript"/>
        </w:rPr>
        <w:footnoteReference w:id="15"/>
      </w:r>
      <w:r>
        <w:rPr>
          <w:rFonts w:ascii="Verdana" w:eastAsia="Calibri" w:hAnsi="Verdana" w:cs="Arial"/>
        </w:rPr>
        <w:t xml:space="preserve">. </w:t>
      </w:r>
    </w:p>
    <w:p w14:paraId="2E951430" w14:textId="77777777" w:rsidR="00C233F3" w:rsidRPr="00D70581" w:rsidRDefault="00C233F3" w:rsidP="00C233F3">
      <w:pPr>
        <w:spacing w:after="120" w:line="276" w:lineRule="auto"/>
        <w:ind w:firstLine="709"/>
        <w:jc w:val="both"/>
        <w:rPr>
          <w:rFonts w:ascii="Verdana" w:eastAsia="Calibri" w:hAnsi="Verdana" w:cs="Arial"/>
        </w:rPr>
      </w:pPr>
      <w:r w:rsidRPr="00D70581">
        <w:rPr>
          <w:rFonts w:ascii="Verdana" w:eastAsia="Calibri" w:hAnsi="Verdana" w:cs="Arial"/>
        </w:rPr>
        <w:t xml:space="preserve">De lo expuesto se resaltan, como características esenciales de la subcontratación, las siguientes: i) es un contrato eventual, </w:t>
      </w:r>
      <w:proofErr w:type="spellStart"/>
      <w:r w:rsidRPr="00D70581">
        <w:rPr>
          <w:rFonts w:ascii="Verdana" w:eastAsia="Calibri" w:hAnsi="Verdana" w:cs="Arial"/>
        </w:rPr>
        <w:t>ii</w:t>
      </w:r>
      <w:proofErr w:type="spellEnd"/>
      <w:r w:rsidRPr="00D70581">
        <w:rPr>
          <w:rFonts w:ascii="Verdana" w:eastAsia="Calibri" w:hAnsi="Verdana" w:cs="Arial"/>
        </w:rPr>
        <w:t xml:space="preserve">) es un contrato accesorio, pues asegura el cumplimiento de otro contrato –principal–, </w:t>
      </w:r>
      <w:proofErr w:type="spellStart"/>
      <w:r w:rsidRPr="00D70581">
        <w:rPr>
          <w:rFonts w:ascii="Verdana" w:eastAsia="Calibri" w:hAnsi="Verdana" w:cs="Arial"/>
        </w:rPr>
        <w:t>iii</w:t>
      </w:r>
      <w:proofErr w:type="spellEnd"/>
      <w:r w:rsidRPr="00D70581">
        <w:rPr>
          <w:rFonts w:ascii="Verdana" w:eastAsia="Calibri" w:hAnsi="Verdana" w:cs="Arial"/>
        </w:rPr>
        <w:t xml:space="preserve">) la relación jurídica que surge entre el contratista del Estado y el tercero es independiente y autónoma de la entidad contratante, </w:t>
      </w:r>
      <w:proofErr w:type="spellStart"/>
      <w:r w:rsidRPr="00D70581">
        <w:rPr>
          <w:rFonts w:ascii="Verdana" w:eastAsia="Calibri" w:hAnsi="Verdana" w:cs="Arial"/>
        </w:rPr>
        <w:t>iv</w:t>
      </w:r>
      <w:proofErr w:type="spellEnd"/>
      <w:r w:rsidRPr="00D70581">
        <w:rPr>
          <w:rFonts w:ascii="Verdana" w:eastAsia="Calibri" w:hAnsi="Verdana" w:cs="Arial"/>
        </w:rPr>
        <w:t>) la sustitución es parcial, lo que significa que no podrán subcontratar la ejecución total del contrato principal y</w:t>
      </w:r>
      <w:r>
        <w:rPr>
          <w:rFonts w:ascii="Verdana" w:eastAsia="Calibri" w:hAnsi="Verdana" w:cs="Arial"/>
        </w:rPr>
        <w:t>,</w:t>
      </w:r>
      <w:r w:rsidRPr="00D70581">
        <w:rPr>
          <w:rFonts w:ascii="Verdana" w:eastAsia="Calibri" w:hAnsi="Verdana" w:cs="Arial"/>
        </w:rPr>
        <w:t xml:space="preserve"> v) la sustitución es material y no jurídica; por lo tanto, no relevará al contratista del Estado de las responsabilidades emanadas del contrato principal.</w:t>
      </w:r>
    </w:p>
    <w:p w14:paraId="71B79A27" w14:textId="77777777" w:rsidR="004911B3" w:rsidRDefault="00C233F3" w:rsidP="004911B3">
      <w:pPr>
        <w:spacing w:after="120" w:line="276" w:lineRule="auto"/>
        <w:ind w:firstLine="709"/>
        <w:jc w:val="both"/>
        <w:rPr>
          <w:rFonts w:ascii="Verdana" w:eastAsia="Calibri" w:hAnsi="Verdana" w:cs="Arial"/>
        </w:rPr>
      </w:pPr>
      <w:r w:rsidRPr="00D70581">
        <w:rPr>
          <w:rFonts w:ascii="Verdana" w:eastAsia="Calibri" w:hAnsi="Verdana" w:cs="Arial"/>
          <w:noProof/>
          <w:lang w:val="en-US"/>
        </w:rPr>
        <mc:AlternateContent>
          <mc:Choice Requires="wpi">
            <w:drawing>
              <wp:anchor distT="0" distB="0" distL="114300" distR="114300" simplePos="0" relativeHeight="251658240" behindDoc="0" locked="0" layoutInCell="1" allowOverlap="1" wp14:anchorId="77346698" wp14:editId="3050D619">
                <wp:simplePos x="0" y="0"/>
                <wp:positionH relativeFrom="column">
                  <wp:posOffset>-468129</wp:posOffset>
                </wp:positionH>
                <wp:positionV relativeFrom="paragraph">
                  <wp:posOffset>588521</wp:posOffset>
                </wp:positionV>
                <wp:extent cx="360" cy="360"/>
                <wp:effectExtent l="38100" t="38100" r="38100" b="38100"/>
                <wp:wrapNone/>
                <wp:docPr id="1240376576" name="Entrada de lápiz 19"/>
                <wp:cNvGraphicFramePr/>
                <a:graphic xmlns:a="http://schemas.openxmlformats.org/drawingml/2006/main">
                  <a:graphicData uri="http://schemas.microsoft.com/office/word/2010/wordprocessingInk">
                    <w14:contentPart bwMode="auto" r:id="rId11">
                      <w14:nvContentPartPr>
                        <w14:cNvContentPartPr/>
                      </w14:nvContentPartPr>
                      <w14:xfrm>
                        <a:off x="0" y="0"/>
                        <a:ext cx="360" cy="360"/>
                      </w14:xfrm>
                    </w14:contentPart>
                  </a:graphicData>
                </a:graphic>
              </wp:anchor>
            </w:drawing>
          </mc:Choice>
          <mc:Fallback>
            <w:pict>
              <v:shape w14:anchorId="29C61BF7" id="Entrada de lápiz 19" o:spid="_x0000_s1026" type="#_x0000_t75" style="position:absolute;margin-left:-37.35pt;margin-top:45.85pt;width:1.05pt;height:1.05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">
                <v:imagedata r:id="rId12" o:title=""/>
              </v:shape>
            </w:pict>
          </mc:Fallback>
        </mc:AlternateContent>
      </w:r>
      <w:r w:rsidRPr="00D70581">
        <w:rPr>
          <w:rFonts w:ascii="Verdana" w:eastAsia="Calibri" w:hAnsi="Verdana" w:cs="Arial"/>
        </w:rPr>
        <w:t xml:space="preserve">En este sentido, la subcontratación implica la celebración de un contrato derivado de otro principal cuyo propósito es ejecutar parcialmente este último. Dentro de este marco, podrían presentarse niveles de subcontratación, es decir, los escalones en que se estructura el proceso de subcontratación. Estos niveles no excluyen el carácter de contrato derivado de estos subcontratos, puesto que sus objetos se encuentran en función de la realización material del contrato principal. </w:t>
      </w:r>
    </w:p>
    <w:p w14:paraId="7CD891BA" w14:textId="128F115C" w:rsidR="00AC6A97" w:rsidRPr="003C25E6" w:rsidRDefault="00AC6A97" w:rsidP="00F81CAA">
      <w:pPr>
        <w:spacing w:after="120" w:line="276" w:lineRule="auto"/>
        <w:ind w:firstLine="709"/>
        <w:jc w:val="both"/>
        <w:rPr>
          <w:rFonts w:ascii="Verdana" w:eastAsia="Calibri" w:hAnsi="Verdana" w:cs="Arial"/>
        </w:rPr>
      </w:pPr>
      <w:r>
        <w:rPr>
          <w:rFonts w:ascii="Verdana" w:eastAsia="Calibri" w:hAnsi="Verdana" w:cs="Arial"/>
          <w:lang w:val="es-ES_tradnl"/>
        </w:rPr>
        <w:t xml:space="preserve">Analizado el concepto y las principales características de la figura de la subcontratación, teniendo en cuenta el </w:t>
      </w:r>
      <w:r w:rsidR="004911B3">
        <w:rPr>
          <w:rFonts w:ascii="Verdana" w:eastAsia="Calibri" w:hAnsi="Verdana" w:cs="Arial"/>
          <w:lang w:val="es-ES_tradnl"/>
        </w:rPr>
        <w:t>segundo</w:t>
      </w:r>
      <w:r>
        <w:rPr>
          <w:rFonts w:ascii="Verdana" w:eastAsia="Calibri" w:hAnsi="Verdana" w:cs="Arial"/>
          <w:lang w:val="es-ES_tradnl"/>
        </w:rPr>
        <w:t xml:space="preserve"> problema jurídico, es necesario adentrarse en el estudio de los </w:t>
      </w:r>
      <w:r w:rsidRPr="00677B2E">
        <w:rPr>
          <w:rFonts w:ascii="Verdana" w:eastAsia="Calibri" w:hAnsi="Verdana" w:cs="Arial"/>
          <w:i/>
          <w:iCs/>
          <w:lang w:val="es-ES_tradnl"/>
        </w:rPr>
        <w:t>límites a la subcontratación en el ámbito de los contratos del Estado</w:t>
      </w:r>
      <w:r>
        <w:rPr>
          <w:rFonts w:ascii="Verdana" w:eastAsia="Calibri" w:hAnsi="Verdana" w:cs="Arial"/>
          <w:lang w:val="es-ES_tradnl"/>
        </w:rPr>
        <w:t xml:space="preserve">. </w:t>
      </w:r>
      <w:r w:rsidRPr="00D70581">
        <w:rPr>
          <w:rFonts w:ascii="Verdana" w:eastAsia="Calibri" w:hAnsi="Verdana" w:cs="Arial"/>
          <w:lang w:val="es-ES"/>
        </w:rPr>
        <w:t xml:space="preserve">Debido a la escasa regulación normativa, la subcontratación en materia de contratación pública está supeditada a lo dispuesto en </w:t>
      </w:r>
      <w:r>
        <w:rPr>
          <w:rFonts w:ascii="Verdana" w:eastAsia="Calibri" w:hAnsi="Verdana" w:cs="Arial"/>
          <w:lang w:val="es-ES"/>
        </w:rPr>
        <w:t xml:space="preserve">el acuerdo de voluntades, contenido en </w:t>
      </w:r>
      <w:r w:rsidRPr="00D70581">
        <w:rPr>
          <w:rFonts w:ascii="Verdana" w:eastAsia="Calibri" w:hAnsi="Verdana" w:cs="Arial"/>
          <w:lang w:val="es-ES"/>
        </w:rPr>
        <w:t>el pliego de condiciones</w:t>
      </w:r>
      <w:r>
        <w:rPr>
          <w:rFonts w:ascii="Verdana" w:eastAsia="Calibri" w:hAnsi="Verdana" w:cs="Arial"/>
          <w:lang w:val="es-ES"/>
        </w:rPr>
        <w:t xml:space="preserve"> – </w:t>
      </w:r>
      <w:r>
        <w:rPr>
          <w:rFonts w:ascii="Verdana" w:eastAsia="Calibri" w:hAnsi="Verdana" w:cs="Arial"/>
          <w:lang w:val="es-ES"/>
        </w:rPr>
        <w:lastRenderedPageBreak/>
        <w:t>o documento equivalente –</w:t>
      </w:r>
      <w:r w:rsidRPr="00D70581">
        <w:rPr>
          <w:rFonts w:ascii="Verdana" w:eastAsia="Calibri" w:hAnsi="Verdana" w:cs="Arial"/>
          <w:lang w:val="es-ES"/>
        </w:rPr>
        <w:t xml:space="preserve"> y</w:t>
      </w:r>
      <w:r>
        <w:rPr>
          <w:rFonts w:ascii="Verdana" w:eastAsia="Calibri" w:hAnsi="Verdana" w:cs="Arial"/>
          <w:lang w:val="es-ES"/>
        </w:rPr>
        <w:t xml:space="preserve"> </w:t>
      </w:r>
      <w:r w:rsidRPr="00D70581">
        <w:rPr>
          <w:rFonts w:ascii="Verdana" w:eastAsia="Calibri" w:hAnsi="Verdana" w:cs="Arial"/>
          <w:lang w:val="es-ES"/>
        </w:rPr>
        <w:t>en el contrato, sin perjuicio de las limitaciones establecidas por la ley</w:t>
      </w:r>
      <w:r w:rsidRPr="00D70581">
        <w:rPr>
          <w:rStyle w:val="Refdenotaalpie"/>
          <w:rFonts w:ascii="Verdana" w:eastAsia="Calibri" w:hAnsi="Verdana" w:cs="Arial"/>
          <w:lang w:val="es-ES"/>
        </w:rPr>
        <w:footnoteReference w:id="16"/>
      </w:r>
      <w:r w:rsidRPr="00D70581">
        <w:rPr>
          <w:rFonts w:ascii="Verdana" w:eastAsia="Calibri" w:hAnsi="Verdana" w:cs="Arial"/>
          <w:lang w:val="es-ES"/>
        </w:rPr>
        <w:t xml:space="preserve">. </w:t>
      </w:r>
    </w:p>
    <w:p w14:paraId="1B5B84D5" w14:textId="77777777" w:rsidR="00AC6A97" w:rsidRPr="00D70581" w:rsidRDefault="00AC6A97" w:rsidP="00AC6A97">
      <w:pPr>
        <w:widowControl w:val="0"/>
        <w:autoSpaceDE w:val="0"/>
        <w:autoSpaceDN w:val="0"/>
        <w:spacing w:after="120" w:line="276" w:lineRule="auto"/>
        <w:ind w:firstLine="709"/>
        <w:jc w:val="both"/>
        <w:rPr>
          <w:rFonts w:ascii="Verdana" w:eastAsia="Arial MT" w:hAnsi="Verdana" w:cs="Arial MT"/>
          <w:lang w:val="es-ES"/>
        </w:rPr>
      </w:pPr>
      <w:r>
        <w:rPr>
          <w:rFonts w:ascii="Verdana" w:eastAsia="Calibri" w:hAnsi="Verdana" w:cs="Arial"/>
          <w:lang w:val="es-ES"/>
        </w:rPr>
        <w:t>Por un lado, la posibilidad de subcontratar y las condiciones en las cuales se deberá efectuar esa subcontratación, dependerá</w:t>
      </w:r>
      <w:r w:rsidRPr="00D70581">
        <w:rPr>
          <w:rFonts w:ascii="Verdana" w:eastAsia="Calibri" w:hAnsi="Verdana" w:cs="Arial"/>
          <w:lang w:val="es-ES"/>
        </w:rPr>
        <w:t xml:space="preserve"> de las condiciones definidas en el acuerdo de voluntades</w:t>
      </w:r>
      <w:r>
        <w:rPr>
          <w:rFonts w:ascii="Verdana" w:eastAsia="Calibri" w:hAnsi="Verdana" w:cs="Arial"/>
          <w:lang w:val="es-ES"/>
        </w:rPr>
        <w:t>. D</w:t>
      </w:r>
      <w:r w:rsidRPr="00D70581">
        <w:rPr>
          <w:rFonts w:ascii="Verdana" w:eastAsia="Calibri" w:hAnsi="Verdana" w:cs="Arial"/>
          <w:lang w:val="es-ES"/>
        </w:rPr>
        <w:t xml:space="preserve">e tal forma que, si esta no se permite para determinadas actividades, está sujeta a la autorización previa de la entidad o al cumplimiento de algún otro requisito, el contratista no podrá subcontratar sin </w:t>
      </w:r>
      <w:r>
        <w:rPr>
          <w:rFonts w:ascii="Verdana" w:eastAsia="Calibri" w:hAnsi="Verdana" w:cs="Arial"/>
          <w:lang w:val="es-ES"/>
        </w:rPr>
        <w:t>la</w:t>
      </w:r>
      <w:r w:rsidRPr="00D70581">
        <w:rPr>
          <w:rFonts w:ascii="Verdana" w:eastAsia="Calibri" w:hAnsi="Verdana" w:cs="Arial"/>
          <w:lang w:val="es-ES"/>
        </w:rPr>
        <w:t xml:space="preserve"> autorización o sin el cumplimiento de la condición establecida en el negocio jurídico.</w:t>
      </w:r>
      <w:r w:rsidRPr="00D70581">
        <w:rPr>
          <w:rFonts w:ascii="Verdana" w:eastAsia="Arial MT" w:hAnsi="Verdana" w:cs="Arial MT"/>
          <w:lang w:val="es-ES"/>
        </w:rPr>
        <w:t xml:space="preserve"> </w:t>
      </w:r>
      <w:r>
        <w:rPr>
          <w:rFonts w:ascii="Verdana" w:eastAsia="Arial MT" w:hAnsi="Verdana" w:cs="Arial MT"/>
          <w:lang w:val="es-ES"/>
        </w:rPr>
        <w:t>Por el contrario</w:t>
      </w:r>
      <w:r w:rsidRPr="00D70581">
        <w:rPr>
          <w:rFonts w:ascii="Verdana" w:eastAsia="Arial MT" w:hAnsi="Verdana" w:cs="Arial MT"/>
          <w:lang w:val="es-ES"/>
        </w:rPr>
        <w:t xml:space="preserve">, si en </w:t>
      </w:r>
      <w:r>
        <w:rPr>
          <w:rFonts w:ascii="Verdana" w:eastAsia="Arial MT" w:hAnsi="Verdana" w:cs="Arial MT"/>
          <w:lang w:val="es-ES"/>
        </w:rPr>
        <w:t xml:space="preserve">los documentos del proceso de contratación o en </w:t>
      </w:r>
      <w:r w:rsidRPr="00D70581">
        <w:rPr>
          <w:rFonts w:ascii="Verdana" w:eastAsia="Arial MT" w:hAnsi="Verdana" w:cs="Arial MT"/>
          <w:lang w:val="es-ES"/>
        </w:rPr>
        <w:t>el contrato no se estipula esta institución, se entiende que en principio está permitida y,</w:t>
      </w:r>
      <w:r w:rsidRPr="00D70581">
        <w:rPr>
          <w:rFonts w:ascii="Verdana" w:eastAsia="Arial MT" w:hAnsi="Verdana" w:cs="Arial MT"/>
          <w:spacing w:val="1"/>
          <w:lang w:val="es-ES"/>
        </w:rPr>
        <w:t xml:space="preserve"> </w:t>
      </w:r>
      <w:r w:rsidRPr="00D70581">
        <w:rPr>
          <w:rFonts w:ascii="Verdana" w:eastAsia="Arial MT" w:hAnsi="Verdana" w:cs="Arial MT"/>
          <w:lang w:val="es-ES"/>
        </w:rPr>
        <w:t>por tanto, el contratista podrá subcontratar parcialmente con fundamento en la libertad de</w:t>
      </w:r>
      <w:r w:rsidRPr="00D70581">
        <w:rPr>
          <w:rFonts w:ascii="Verdana" w:eastAsia="Arial MT" w:hAnsi="Verdana" w:cs="Arial MT"/>
          <w:spacing w:val="1"/>
          <w:lang w:val="es-ES"/>
        </w:rPr>
        <w:t xml:space="preserve"> </w:t>
      </w:r>
      <w:r w:rsidRPr="00D70581">
        <w:rPr>
          <w:rFonts w:ascii="Verdana" w:eastAsia="Arial MT" w:hAnsi="Verdana" w:cs="Arial MT"/>
          <w:lang w:val="es-ES"/>
        </w:rPr>
        <w:t>empresa</w:t>
      </w:r>
      <w:r>
        <w:rPr>
          <w:rFonts w:ascii="Verdana" w:eastAsia="Arial MT" w:hAnsi="Verdana" w:cs="Arial MT"/>
          <w:lang w:val="es-ES"/>
        </w:rPr>
        <w:t>, respetando los límites legales</w:t>
      </w:r>
      <w:r w:rsidRPr="00D70581">
        <w:rPr>
          <w:rFonts w:ascii="Verdana" w:eastAsia="Arial MT" w:hAnsi="Verdana" w:cs="Arial MT"/>
          <w:lang w:val="es-ES"/>
        </w:rPr>
        <w:t>.</w:t>
      </w:r>
    </w:p>
    <w:p w14:paraId="3278FC20" w14:textId="75D02A30" w:rsidR="007A0471" w:rsidRPr="003C25E6" w:rsidRDefault="00AC6A97" w:rsidP="003C25E6">
      <w:pPr>
        <w:spacing w:after="0" w:line="276" w:lineRule="auto"/>
        <w:ind w:firstLine="709"/>
        <w:jc w:val="both"/>
        <w:rPr>
          <w:rFonts w:ascii="Verdana" w:eastAsia="Calibri" w:hAnsi="Verdana" w:cs="Arial"/>
          <w:bCs/>
          <w:lang w:val="es-MX"/>
        </w:rPr>
      </w:pPr>
      <w:r w:rsidRPr="00AC653D">
        <w:rPr>
          <w:rFonts w:ascii="Verdana" w:eastAsia="Calibri" w:hAnsi="Verdana" w:cs="Arial"/>
          <w:bCs/>
          <w:lang w:val="es-ES_tradnl"/>
        </w:rPr>
        <w:t>Aunque el subcontrato es un contrato autónomo e independiente del contrato principal, en materia de contratación estatal, es recomendable –en ciertos eventos–</w:t>
      </w:r>
      <w:r w:rsidRPr="00AC653D">
        <w:rPr>
          <w:rFonts w:ascii="Verdana" w:eastAsia="Calibri" w:hAnsi="Verdana" w:cs="Arial"/>
          <w:bCs/>
          <w:lang w:val="es-MX"/>
        </w:rPr>
        <w:t>, que las entidades estatales, exijan en el contrato la autorización previa y expresa para la subcontratación. Esto permite a la entidad estatal controlar las condiciones en las cuales se ejecutará el contrato, asegurar el cumplimiento de este bajo un esquema de transparencia y garantizar que no se infrinjan los principios de la contratación estatal. De esta manera, la autorización de la entidad contratante es importante –aunque no obligatoria de acuerdo con la ley– para que las actividades contratadas puedan ejecutarse de forma parcial por un tercero, sin que el contratista se desprenda de las responsabilidades derivadas del contrato. Por consiguiente, en el evento en que en el contrato principal se haya pactado dicha autorización, los subcontratos que se celebren deberán sujetarse a esta estipulación, so pena de un posible incumplimiento del contrato.</w:t>
      </w:r>
    </w:p>
    <w:p w14:paraId="7C970030" w14:textId="77777777" w:rsidR="009041A3" w:rsidRPr="00F615E3" w:rsidRDefault="009041A3" w:rsidP="009041A3">
      <w:pPr>
        <w:widowControl w:val="0"/>
        <w:autoSpaceDE w:val="0"/>
        <w:autoSpaceDN w:val="0"/>
        <w:spacing w:after="0" w:line="276" w:lineRule="auto"/>
        <w:ind w:firstLine="709"/>
        <w:jc w:val="both"/>
        <w:rPr>
          <w:rFonts w:ascii="Verdana" w:hAnsi="Verdana" w:cs="Arial"/>
          <w:noProof/>
        </w:rPr>
      </w:pPr>
    </w:p>
    <w:p w14:paraId="47EF2640" w14:textId="77777777" w:rsidR="009041A3" w:rsidRPr="00F615E3" w:rsidRDefault="009041A3" w:rsidP="009041A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15E3">
        <w:rPr>
          <w:rFonts w:ascii="Verdana" w:eastAsia="Century Gothic" w:hAnsi="Verdana" w:cs="Century Gothic"/>
          <w:b/>
          <w:bCs/>
        </w:rPr>
        <w:t>Referencias normativas, jurisprudenciales y otras fuentes:</w:t>
      </w:r>
    </w:p>
    <w:p w14:paraId="3C9B45FC" w14:textId="77777777" w:rsidR="009041A3" w:rsidRPr="00F615E3" w:rsidRDefault="009041A3" w:rsidP="009041A3">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041A3" w:rsidRPr="00F615E3" w14:paraId="10A6EFB4" w14:textId="77777777" w:rsidTr="00906C29">
        <w:trPr>
          <w:trHeight w:val="870"/>
        </w:trPr>
        <w:tc>
          <w:tcPr>
            <w:tcW w:w="8647" w:type="dxa"/>
          </w:tcPr>
          <w:p w14:paraId="2BD89B22" w14:textId="77777777" w:rsidR="009041A3" w:rsidRPr="00F615E3" w:rsidRDefault="009041A3" w:rsidP="003C25E6">
            <w:pPr>
              <w:pStyle w:val="Prrafodelista"/>
              <w:numPr>
                <w:ilvl w:val="0"/>
                <w:numId w:val="17"/>
              </w:numPr>
              <w:spacing w:line="276" w:lineRule="auto"/>
              <w:ind w:left="360"/>
              <w:contextualSpacing w:val="0"/>
              <w:jc w:val="both"/>
              <w:rPr>
                <w:rFonts w:ascii="Verdana" w:hAnsi="Verdana" w:cs="Arial"/>
                <w:lang w:val="es-CO"/>
              </w:rPr>
            </w:pPr>
            <w:r w:rsidRPr="00F615E3">
              <w:rPr>
                <w:rFonts w:ascii="Verdana" w:hAnsi="Verdana" w:cs="Arial"/>
                <w:noProof/>
                <w:lang w:val="es-ES_tradnl"/>
              </w:rPr>
              <w:t xml:space="preserve">Constitución Política: 360 y 361. </w:t>
            </w:r>
          </w:p>
          <w:p w14:paraId="77489B04" w14:textId="77777777" w:rsidR="005E3710" w:rsidRPr="003B4A6B" w:rsidRDefault="005E3710" w:rsidP="003C25E6">
            <w:pPr>
              <w:spacing w:line="276" w:lineRule="auto"/>
              <w:rPr>
                <w:rFonts w:ascii="Verdana" w:hAnsi="Verdana"/>
              </w:rPr>
            </w:pPr>
          </w:p>
          <w:p w14:paraId="09A2776D" w14:textId="628A8621" w:rsidR="009041A3" w:rsidRPr="00F615E3" w:rsidRDefault="009041A3" w:rsidP="003C25E6">
            <w:pPr>
              <w:pStyle w:val="Prrafodelista"/>
              <w:numPr>
                <w:ilvl w:val="0"/>
                <w:numId w:val="17"/>
              </w:numPr>
              <w:spacing w:line="276" w:lineRule="auto"/>
              <w:ind w:left="360"/>
              <w:contextualSpacing w:val="0"/>
              <w:jc w:val="both"/>
              <w:rPr>
                <w:rFonts w:ascii="Verdana" w:hAnsi="Verdana" w:cs="Arial"/>
                <w:lang w:val="es-CO"/>
              </w:rPr>
            </w:pPr>
            <w:r w:rsidRPr="00F615E3">
              <w:rPr>
                <w:rFonts w:ascii="Verdana" w:hAnsi="Verdana"/>
              </w:rPr>
              <w:t xml:space="preserve">Ley 80 de 1993 y normas modificatorias y complementarias (EGCAP). </w:t>
            </w:r>
          </w:p>
          <w:p w14:paraId="0EC9A242" w14:textId="77777777" w:rsidR="005E3710" w:rsidRPr="003C25E6" w:rsidRDefault="005E3710" w:rsidP="003C25E6">
            <w:pPr>
              <w:pStyle w:val="Prrafodelista"/>
              <w:spacing w:line="276" w:lineRule="auto"/>
              <w:ind w:left="360"/>
              <w:contextualSpacing w:val="0"/>
              <w:jc w:val="both"/>
              <w:rPr>
                <w:rFonts w:ascii="Verdana" w:hAnsi="Verdana" w:cs="Arial"/>
                <w:lang w:val="es-MX"/>
              </w:rPr>
            </w:pPr>
          </w:p>
          <w:p w14:paraId="70DB4D36" w14:textId="08E33089" w:rsidR="009041A3" w:rsidRPr="003C25E6" w:rsidRDefault="009041A3" w:rsidP="003C25E6">
            <w:pPr>
              <w:pStyle w:val="Prrafodelista"/>
              <w:numPr>
                <w:ilvl w:val="0"/>
                <w:numId w:val="17"/>
              </w:numPr>
              <w:spacing w:line="276" w:lineRule="auto"/>
              <w:ind w:left="360"/>
              <w:contextualSpacing w:val="0"/>
              <w:jc w:val="both"/>
              <w:rPr>
                <w:rFonts w:ascii="Verdana" w:hAnsi="Verdana" w:cs="Arial"/>
                <w:lang w:val="es-MX"/>
              </w:rPr>
            </w:pPr>
            <w:r w:rsidRPr="00F615E3">
              <w:rPr>
                <w:rFonts w:ascii="Verdana" w:hAnsi="Verdana"/>
              </w:rPr>
              <w:t xml:space="preserve">Ley 142 de 1994: Artículo 31 y 32. </w:t>
            </w:r>
          </w:p>
          <w:p w14:paraId="0E7FA376" w14:textId="77777777" w:rsidR="009F193E" w:rsidRPr="003C25E6" w:rsidRDefault="009F193E" w:rsidP="003C25E6">
            <w:pPr>
              <w:pStyle w:val="Prrafodelista"/>
              <w:spacing w:line="276" w:lineRule="auto"/>
              <w:contextualSpacing w:val="0"/>
              <w:rPr>
                <w:rFonts w:ascii="Verdana" w:hAnsi="Verdana" w:cs="Arial"/>
                <w:lang w:val="es-MX"/>
              </w:rPr>
            </w:pPr>
          </w:p>
          <w:p w14:paraId="0807D6D9" w14:textId="77777777" w:rsidR="00D502B3" w:rsidRPr="003C25E6" w:rsidRDefault="009F193E" w:rsidP="003C25E6">
            <w:pPr>
              <w:pStyle w:val="Prrafodelista"/>
              <w:numPr>
                <w:ilvl w:val="0"/>
                <w:numId w:val="17"/>
              </w:numPr>
              <w:spacing w:line="276" w:lineRule="auto"/>
              <w:ind w:left="360"/>
              <w:contextualSpacing w:val="0"/>
              <w:jc w:val="both"/>
              <w:rPr>
                <w:rFonts w:ascii="Verdana" w:hAnsi="Verdana" w:cs="Arial"/>
                <w:lang w:val="es-MX"/>
              </w:rPr>
            </w:pPr>
            <w:r w:rsidRPr="003B4A6B">
              <w:rPr>
                <w:rFonts w:ascii="Verdana" w:hAnsi="Verdana" w:cs="Arial"/>
                <w:bdr w:val="none" w:sz="0" w:space="0" w:color="auto" w:frame="1"/>
              </w:rPr>
              <w:t>Ley 715 de 2001</w:t>
            </w:r>
            <w:r w:rsidR="00D502B3" w:rsidRPr="003B4A6B">
              <w:rPr>
                <w:rFonts w:ascii="Verdana" w:hAnsi="Verdana" w:cs="Arial"/>
                <w:bdr w:val="none" w:sz="0" w:space="0" w:color="auto" w:frame="1"/>
              </w:rPr>
              <w:t xml:space="preserve">: Artículo 3. </w:t>
            </w:r>
          </w:p>
          <w:p w14:paraId="2FC9EBAB" w14:textId="77777777" w:rsidR="00D502B3" w:rsidRPr="003C25E6" w:rsidRDefault="00D502B3" w:rsidP="003C25E6">
            <w:pPr>
              <w:pStyle w:val="Prrafodelista"/>
              <w:spacing w:line="276" w:lineRule="auto"/>
              <w:contextualSpacing w:val="0"/>
              <w:rPr>
                <w:rFonts w:ascii="Verdana" w:hAnsi="Verdana" w:cs="Arial"/>
                <w:bdr w:val="none" w:sz="0" w:space="0" w:color="auto" w:frame="1"/>
              </w:rPr>
            </w:pPr>
          </w:p>
          <w:p w14:paraId="5199A5EF" w14:textId="06A3B83C" w:rsidR="009F193E" w:rsidRPr="003C25E6" w:rsidRDefault="009F193E" w:rsidP="003C25E6">
            <w:pPr>
              <w:pStyle w:val="Prrafodelista"/>
              <w:numPr>
                <w:ilvl w:val="0"/>
                <w:numId w:val="17"/>
              </w:numPr>
              <w:spacing w:line="276" w:lineRule="auto"/>
              <w:ind w:left="360"/>
              <w:contextualSpacing w:val="0"/>
              <w:jc w:val="both"/>
              <w:rPr>
                <w:rFonts w:ascii="Verdana" w:hAnsi="Verdana" w:cs="Arial"/>
                <w:lang w:val="es-MX"/>
              </w:rPr>
            </w:pPr>
            <w:r w:rsidRPr="003B4A6B">
              <w:rPr>
                <w:rFonts w:ascii="Verdana" w:hAnsi="Verdana" w:cs="Arial"/>
                <w:bdr w:val="none" w:sz="0" w:space="0" w:color="auto" w:frame="1"/>
              </w:rPr>
              <w:t>Ley 1176 de 2007</w:t>
            </w:r>
            <w:r w:rsidR="00D502B3" w:rsidRPr="003B4A6B">
              <w:rPr>
                <w:rFonts w:ascii="Verdana" w:hAnsi="Verdana" w:cs="Arial"/>
                <w:bdr w:val="none" w:sz="0" w:space="0" w:color="auto" w:frame="1"/>
              </w:rPr>
              <w:t>: Artículo 1.</w:t>
            </w:r>
          </w:p>
          <w:p w14:paraId="3CB72032" w14:textId="77777777" w:rsidR="003B4A6B" w:rsidRPr="003C25E6" w:rsidRDefault="003B4A6B" w:rsidP="003C25E6">
            <w:pPr>
              <w:pStyle w:val="Prrafodelista"/>
              <w:spacing w:line="276" w:lineRule="auto"/>
              <w:contextualSpacing w:val="0"/>
              <w:rPr>
                <w:rFonts w:ascii="Verdana" w:hAnsi="Verdana" w:cs="Arial"/>
                <w:lang w:val="es-MX"/>
              </w:rPr>
            </w:pPr>
          </w:p>
          <w:p w14:paraId="3F084E78" w14:textId="789DFF0F" w:rsidR="003B4A6B" w:rsidRPr="003C25E6" w:rsidRDefault="003B4A6B" w:rsidP="003C25E6">
            <w:pPr>
              <w:pStyle w:val="Prrafodelista"/>
              <w:numPr>
                <w:ilvl w:val="0"/>
                <w:numId w:val="17"/>
              </w:numPr>
              <w:spacing w:line="276" w:lineRule="auto"/>
              <w:ind w:left="360"/>
              <w:contextualSpacing w:val="0"/>
              <w:jc w:val="both"/>
              <w:rPr>
                <w:rFonts w:ascii="Verdana" w:hAnsi="Verdana" w:cs="Arial"/>
                <w:lang w:val="es-CO"/>
              </w:rPr>
            </w:pPr>
            <w:r w:rsidRPr="003B4A6B">
              <w:rPr>
                <w:rFonts w:ascii="Verdana" w:hAnsi="Verdana" w:cs="Arial"/>
                <w:noProof/>
                <w:lang w:val="es-CO"/>
              </w:rPr>
              <w:t>Ley 1474 de 2011</w:t>
            </w:r>
            <w:r w:rsidRPr="003B4A6B">
              <w:rPr>
                <w:rFonts w:ascii="Verdana" w:hAnsi="Verdana" w:cs="Arial"/>
                <w:noProof/>
              </w:rPr>
              <w:t>: A</w:t>
            </w:r>
            <w:r w:rsidRPr="003B4A6B">
              <w:rPr>
                <w:rFonts w:ascii="Verdana" w:hAnsi="Verdana" w:cs="Arial"/>
                <w:noProof/>
                <w:lang w:val="es-CO"/>
              </w:rPr>
              <w:t>rtículo 83</w:t>
            </w:r>
            <w:r w:rsidRPr="003B4A6B">
              <w:rPr>
                <w:rFonts w:ascii="Verdana" w:hAnsi="Verdana" w:cs="Arial"/>
                <w:noProof/>
              </w:rPr>
              <w:t xml:space="preserve"> y 84. </w:t>
            </w:r>
          </w:p>
          <w:p w14:paraId="290C1288" w14:textId="77777777" w:rsidR="00D502B3" w:rsidRPr="003C25E6" w:rsidRDefault="00D502B3" w:rsidP="003C25E6">
            <w:pPr>
              <w:pStyle w:val="Prrafodelista"/>
              <w:spacing w:line="276" w:lineRule="auto"/>
              <w:contextualSpacing w:val="0"/>
              <w:rPr>
                <w:rFonts w:ascii="Verdana" w:hAnsi="Verdana" w:cs="Arial"/>
                <w:lang w:val="es-MX"/>
              </w:rPr>
            </w:pPr>
          </w:p>
          <w:p w14:paraId="79B4D2E8" w14:textId="3EB93BD7" w:rsidR="00D502B3" w:rsidRPr="003C25E6" w:rsidRDefault="00D502B3" w:rsidP="003C25E6">
            <w:pPr>
              <w:pStyle w:val="Prrafodelista"/>
              <w:numPr>
                <w:ilvl w:val="0"/>
                <w:numId w:val="17"/>
              </w:numPr>
              <w:spacing w:line="276" w:lineRule="auto"/>
              <w:ind w:left="360"/>
              <w:contextualSpacing w:val="0"/>
              <w:jc w:val="both"/>
              <w:rPr>
                <w:rFonts w:ascii="Verdana" w:hAnsi="Verdana" w:cs="Arial"/>
                <w:lang w:val="es-CO"/>
              </w:rPr>
            </w:pPr>
            <w:r w:rsidRPr="003B4A6B">
              <w:rPr>
                <w:rFonts w:ascii="Verdana" w:hAnsi="Verdana" w:cs="Arial"/>
                <w:noProof/>
                <w:lang w:val="es-ES_tradnl"/>
              </w:rPr>
              <w:t>Ley 2056 de 2020: Artículo 37 y 55.</w:t>
            </w:r>
          </w:p>
          <w:p w14:paraId="6719F689" w14:textId="77777777" w:rsidR="005E3710" w:rsidRPr="003C25E6" w:rsidRDefault="005E3710" w:rsidP="003C25E6">
            <w:pPr>
              <w:pStyle w:val="Textonotapie"/>
              <w:spacing w:line="276" w:lineRule="auto"/>
              <w:ind w:left="360"/>
              <w:jc w:val="both"/>
              <w:rPr>
                <w:rFonts w:ascii="Verdana" w:hAnsi="Verdana"/>
                <w:sz w:val="22"/>
                <w:szCs w:val="22"/>
                <w:lang w:val="es-CO"/>
              </w:rPr>
            </w:pPr>
          </w:p>
          <w:p w14:paraId="689DB3FB" w14:textId="67DB6762" w:rsidR="005E3710" w:rsidRPr="003B4A6B" w:rsidRDefault="005E3710" w:rsidP="003C25E6">
            <w:pPr>
              <w:pStyle w:val="Textonotapie"/>
              <w:numPr>
                <w:ilvl w:val="0"/>
                <w:numId w:val="17"/>
              </w:numPr>
              <w:spacing w:line="276" w:lineRule="auto"/>
              <w:ind w:left="360"/>
              <w:jc w:val="both"/>
              <w:rPr>
                <w:rFonts w:ascii="Verdana" w:hAnsi="Verdana"/>
                <w:sz w:val="22"/>
                <w:szCs w:val="22"/>
                <w:lang w:val="es-CO"/>
              </w:rPr>
            </w:pPr>
            <w:r w:rsidRPr="003B4A6B">
              <w:rPr>
                <w:rFonts w:ascii="Verdana" w:hAnsi="Verdana"/>
                <w:sz w:val="22"/>
                <w:szCs w:val="22"/>
                <w:lang w:val="pt-BR"/>
              </w:rPr>
              <w:t xml:space="preserve">Corte Constitucional. Sentencia C-671 de 1999. </w:t>
            </w:r>
            <w:r w:rsidRPr="003B4A6B">
              <w:rPr>
                <w:rFonts w:ascii="Verdana" w:hAnsi="Verdana"/>
                <w:sz w:val="22"/>
                <w:szCs w:val="22"/>
                <w:lang w:val="es-CO"/>
              </w:rPr>
              <w:t>Magistrado Ponente: Alfredo Beltrán Sierra.</w:t>
            </w:r>
          </w:p>
          <w:p w14:paraId="050EA0A5" w14:textId="77777777" w:rsidR="005E3710" w:rsidRPr="003B4A6B" w:rsidRDefault="005E3710" w:rsidP="003C25E6">
            <w:pPr>
              <w:pStyle w:val="Textonotapie"/>
              <w:spacing w:line="276" w:lineRule="auto"/>
              <w:ind w:firstLine="708"/>
              <w:jc w:val="both"/>
              <w:rPr>
                <w:rFonts w:ascii="Verdana" w:hAnsi="Verdana"/>
                <w:sz w:val="22"/>
                <w:szCs w:val="22"/>
              </w:rPr>
            </w:pPr>
          </w:p>
          <w:p w14:paraId="1D35821B" w14:textId="77777777" w:rsidR="005E3710" w:rsidRPr="003B4A6B" w:rsidRDefault="005E3710" w:rsidP="003C25E6">
            <w:pPr>
              <w:pStyle w:val="Prrafodelista"/>
              <w:numPr>
                <w:ilvl w:val="0"/>
                <w:numId w:val="17"/>
              </w:numPr>
              <w:spacing w:line="276" w:lineRule="auto"/>
              <w:ind w:left="360"/>
              <w:contextualSpacing w:val="0"/>
              <w:jc w:val="both"/>
              <w:rPr>
                <w:rFonts w:ascii="Verdana" w:hAnsi="Verdana"/>
              </w:rPr>
            </w:pPr>
            <w:r w:rsidRPr="003B4A6B">
              <w:rPr>
                <w:rFonts w:ascii="Verdana" w:hAnsi="Verdana"/>
                <w:lang w:val="pt-BR"/>
              </w:rPr>
              <w:t xml:space="preserve">Corte Constitucional. Sentencia C-617 de 2012. </w:t>
            </w:r>
            <w:r w:rsidRPr="003B4A6B">
              <w:rPr>
                <w:rFonts w:ascii="Verdana" w:hAnsi="Verdana"/>
              </w:rPr>
              <w:t>Magistrado Ponente: Luis Ernesto Vargas Silva.</w:t>
            </w:r>
          </w:p>
          <w:p w14:paraId="28CD0713" w14:textId="77777777" w:rsidR="005E3710" w:rsidRPr="003B4A6B" w:rsidRDefault="005E3710" w:rsidP="003B4A6B">
            <w:pPr>
              <w:spacing w:line="276" w:lineRule="auto"/>
              <w:jc w:val="both"/>
              <w:rPr>
                <w:rFonts w:ascii="Verdana" w:hAnsi="Verdana"/>
              </w:rPr>
            </w:pPr>
          </w:p>
          <w:p w14:paraId="5C951F65" w14:textId="77777777" w:rsidR="005E3710" w:rsidRPr="003B4A6B" w:rsidRDefault="005E3710" w:rsidP="003C25E6">
            <w:pPr>
              <w:pStyle w:val="Textonotapie"/>
              <w:numPr>
                <w:ilvl w:val="0"/>
                <w:numId w:val="17"/>
              </w:numPr>
              <w:spacing w:line="276" w:lineRule="auto"/>
              <w:ind w:left="360"/>
              <w:jc w:val="both"/>
              <w:rPr>
                <w:rFonts w:ascii="Verdana" w:hAnsi="Verdana"/>
                <w:sz w:val="22"/>
                <w:szCs w:val="22"/>
                <w:lang w:val="es-CO"/>
              </w:rPr>
            </w:pPr>
            <w:r w:rsidRPr="003B4A6B">
              <w:rPr>
                <w:rFonts w:ascii="Verdana" w:hAnsi="Verdana"/>
                <w:sz w:val="22"/>
                <w:szCs w:val="22"/>
              </w:rPr>
              <w:t>Consejo de Estado. Sección Tercera. Sentencia de 27 de febrero de 2013. Magistrado Ponente: Mauricio Fajardo Gómez. Radicado No. 2000-01561-01(25.590).</w:t>
            </w:r>
          </w:p>
          <w:p w14:paraId="5FE24812" w14:textId="77777777" w:rsidR="005E3710" w:rsidRPr="003B4A6B" w:rsidRDefault="005E3710" w:rsidP="003C25E6">
            <w:pPr>
              <w:pStyle w:val="Textonotapie"/>
              <w:spacing w:line="276" w:lineRule="auto"/>
              <w:jc w:val="both"/>
              <w:rPr>
                <w:rFonts w:ascii="Verdana" w:hAnsi="Verdana"/>
                <w:sz w:val="22"/>
                <w:szCs w:val="22"/>
                <w:lang w:val="es-CO"/>
              </w:rPr>
            </w:pPr>
          </w:p>
          <w:p w14:paraId="06F3C757" w14:textId="77777777" w:rsidR="005E3710" w:rsidRPr="003B4A6B" w:rsidRDefault="005E3710" w:rsidP="003C25E6">
            <w:pPr>
              <w:pStyle w:val="Prrafodelista"/>
              <w:numPr>
                <w:ilvl w:val="0"/>
                <w:numId w:val="17"/>
              </w:numPr>
              <w:spacing w:line="276" w:lineRule="auto"/>
              <w:ind w:left="360"/>
              <w:contextualSpacing w:val="0"/>
              <w:jc w:val="both"/>
              <w:rPr>
                <w:rFonts w:ascii="Verdana" w:hAnsi="Verdana"/>
              </w:rPr>
            </w:pPr>
            <w:r w:rsidRPr="003B4A6B">
              <w:rPr>
                <w:rFonts w:ascii="Verdana" w:hAnsi="Verdana"/>
              </w:rPr>
              <w:t>Consejo de Estado. Sala de Consulta y Servicios Civil. Concepto de 16 de febrero de 2016. Radicado</w:t>
            </w:r>
            <w:r w:rsidRPr="003B4A6B">
              <w:rPr>
                <w:rFonts w:ascii="Verdana" w:hAnsi="Verdana"/>
                <w:spacing w:val="-11"/>
              </w:rPr>
              <w:t xml:space="preserve"> </w:t>
            </w:r>
            <w:r w:rsidRPr="003B4A6B">
              <w:rPr>
                <w:rFonts w:ascii="Verdana" w:hAnsi="Verdana"/>
              </w:rPr>
              <w:t xml:space="preserve">2015-00110-00(2259). </w:t>
            </w:r>
          </w:p>
          <w:p w14:paraId="5132FE31" w14:textId="77777777" w:rsidR="005E3710" w:rsidRPr="003B4A6B" w:rsidRDefault="005E3710" w:rsidP="003C25E6">
            <w:pPr>
              <w:pStyle w:val="Textonotapie"/>
              <w:spacing w:line="276" w:lineRule="auto"/>
              <w:jc w:val="both"/>
              <w:rPr>
                <w:rFonts w:ascii="Verdana" w:hAnsi="Verdana"/>
                <w:sz w:val="22"/>
                <w:szCs w:val="22"/>
              </w:rPr>
            </w:pPr>
          </w:p>
          <w:p w14:paraId="38CC4CB1" w14:textId="2C4E7060" w:rsidR="009041A3" w:rsidRPr="00F615E3" w:rsidRDefault="005E3710" w:rsidP="003C25E6">
            <w:pPr>
              <w:pStyle w:val="Prrafodelista"/>
              <w:numPr>
                <w:ilvl w:val="0"/>
                <w:numId w:val="17"/>
              </w:numPr>
              <w:spacing w:line="276" w:lineRule="auto"/>
              <w:ind w:left="360"/>
              <w:contextualSpacing w:val="0"/>
              <w:jc w:val="both"/>
              <w:rPr>
                <w:rFonts w:ascii="Verdana" w:hAnsi="Verdana" w:cs="Arial"/>
                <w:lang w:val="es-MX"/>
              </w:rPr>
            </w:pPr>
            <w:r w:rsidRPr="003B4A6B">
              <w:rPr>
                <w:rFonts w:ascii="Verdana" w:hAnsi="Verdana"/>
              </w:rPr>
              <w:t xml:space="preserve">Departamento Nacional de Planeación. </w:t>
            </w:r>
            <w:r w:rsidRPr="003B4A6B">
              <w:rPr>
                <w:rFonts w:ascii="Verdana" w:hAnsi="Verdana"/>
                <w:lang w:val="es-CO"/>
              </w:rPr>
              <w:t xml:space="preserve">Naturaleza jurídica de los ejecutores de proyectos de inversión en el Sistema General de Regalías (SGR). Revista Jurídica. Edición número 1. Disponible en: </w:t>
            </w:r>
            <w:hyperlink r:id="rId13" w:history="1">
              <w:r w:rsidRPr="003B4A6B">
                <w:rPr>
                  <w:rStyle w:val="Hipervnculo"/>
                  <w:rFonts w:ascii="Verdana" w:hAnsi="Verdana"/>
                  <w:lang w:val="es-CO"/>
                </w:rPr>
                <w:t>https://colaboracion.dnp.gov.co/CDT/Normatividad/Revista%20OAJ/Segunda%20edici%C3%B3n/Concepto%20unificado%2009.pdf</w:t>
              </w:r>
            </w:hyperlink>
          </w:p>
        </w:tc>
      </w:tr>
    </w:tbl>
    <w:p w14:paraId="6F469837" w14:textId="77777777" w:rsidR="009041A3" w:rsidRPr="00F615E3" w:rsidRDefault="009041A3" w:rsidP="009041A3">
      <w:pPr>
        <w:widowControl w:val="0"/>
        <w:autoSpaceDE w:val="0"/>
        <w:autoSpaceDN w:val="0"/>
        <w:spacing w:after="0" w:line="276" w:lineRule="auto"/>
        <w:jc w:val="both"/>
        <w:rPr>
          <w:rFonts w:ascii="Verdana" w:hAnsi="Verdana" w:cs="Arial"/>
        </w:rPr>
      </w:pPr>
    </w:p>
    <w:p w14:paraId="024A6F4B" w14:textId="77777777" w:rsidR="009041A3" w:rsidRPr="00F615E3" w:rsidRDefault="009041A3" w:rsidP="009041A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15E3">
        <w:rPr>
          <w:rFonts w:ascii="Verdana" w:eastAsia="Century Gothic" w:hAnsi="Verdana" w:cs="Century Gothic"/>
          <w:b/>
          <w:bCs/>
        </w:rPr>
        <w:t>Doctrina de la Agencia Nacional de Contratación Pública:</w:t>
      </w:r>
    </w:p>
    <w:p w14:paraId="7C9C46B7" w14:textId="77777777" w:rsidR="009041A3" w:rsidRPr="00F615E3" w:rsidRDefault="009041A3" w:rsidP="009041A3">
      <w:pPr>
        <w:widowControl w:val="0"/>
        <w:autoSpaceDE w:val="0"/>
        <w:autoSpaceDN w:val="0"/>
        <w:spacing w:after="0" w:line="276" w:lineRule="auto"/>
        <w:jc w:val="both"/>
        <w:rPr>
          <w:rFonts w:ascii="Verdana" w:hAnsi="Verdana" w:cs="Arial"/>
        </w:rPr>
      </w:pPr>
    </w:p>
    <w:p w14:paraId="1251DCB6" w14:textId="77777777" w:rsidR="009041A3" w:rsidRPr="00F615E3" w:rsidRDefault="009041A3" w:rsidP="009041A3">
      <w:pPr>
        <w:widowControl w:val="0"/>
        <w:autoSpaceDE w:val="0"/>
        <w:autoSpaceDN w:val="0"/>
        <w:spacing w:after="0" w:line="276" w:lineRule="auto"/>
        <w:jc w:val="both"/>
        <w:rPr>
          <w:rStyle w:val="normaltextrun"/>
          <w:rFonts w:ascii="Verdana" w:hAnsi="Verdana" w:cs="Arial"/>
          <w:shd w:val="clear" w:color="auto" w:fill="FFFFFF"/>
          <w:lang w:val="es-ES"/>
        </w:rPr>
      </w:pPr>
      <w:r w:rsidRPr="00F615E3">
        <w:rPr>
          <w:rFonts w:ascii="Verdana" w:eastAsia="Calibri" w:hAnsi="Verdana" w:cs="Arial"/>
          <w:lang w:val="es-ES_tradnl"/>
        </w:rPr>
        <w:t xml:space="preserve">la Agencia Nacional de Contratación Pública –Colombia Compra Eficiente– ha expedido conceptos relacionados con el Sistema General de Regalías, su régimen de contratación y demás particularidades, por lo que se resaltan los conceptos C- 370 del 28 de julio de 2021, </w:t>
      </w:r>
      <w:r w:rsidRPr="00F615E3">
        <w:rPr>
          <w:rFonts w:ascii="Verdana" w:hAnsi="Verdana" w:cs="Arial"/>
          <w:noProof/>
          <w:lang w:val="es-ES_tradnl"/>
        </w:rPr>
        <w:t>C-604 del 09 de septiembre de 2020, C-095 del 22 de marzo de 2022, C-353 del 2 de junio de 2022,</w:t>
      </w:r>
      <w:r w:rsidRPr="00F615E3">
        <w:rPr>
          <w:rFonts w:ascii="Verdana" w:hAnsi="Verdana"/>
        </w:rPr>
        <w:t xml:space="preserve"> C - 489 de 1 de agosto de </w:t>
      </w:r>
      <w:r w:rsidRPr="00F615E3">
        <w:rPr>
          <w:rFonts w:ascii="Verdana" w:hAnsi="Verdana"/>
        </w:rPr>
        <w:lastRenderedPageBreak/>
        <w:t>2022,</w:t>
      </w:r>
      <w:r w:rsidRPr="00F615E3">
        <w:rPr>
          <w:rFonts w:ascii="Verdana" w:hAnsi="Verdana" w:cs="Arial"/>
          <w:noProof/>
          <w:lang w:val="es-ES_tradnl"/>
        </w:rPr>
        <w:t xml:space="preserve"> C- 610 del 28 de octubre de 2024. </w:t>
      </w:r>
      <w:r w:rsidRPr="00F615E3">
        <w:rPr>
          <w:rStyle w:val="normaltextrun"/>
          <w:rFonts w:ascii="Verdana" w:hAnsi="Verdana" w:cs="Arial"/>
          <w:shd w:val="clear" w:color="auto" w:fill="FFFFFF"/>
          <w:lang w:val="es-ES"/>
        </w:rPr>
        <w:t>Es</w:t>
      </w:r>
      <w:r w:rsidRPr="00F615E3">
        <w:rPr>
          <w:rFonts w:ascii="Verdana" w:hAnsi="Verdana"/>
        </w:rPr>
        <w:t>tos y otros conceptos se encuentran disponibles para consulta en el Sistema de relatoría de la Agencia, al cual se puede acceder a través del siguiente enlace:</w:t>
      </w:r>
      <w:r w:rsidRPr="00F615E3">
        <w:rPr>
          <w:rStyle w:val="normaltextrun"/>
          <w:rFonts w:ascii="Verdana" w:hAnsi="Verdana" w:cs="Arial"/>
          <w:shd w:val="clear" w:color="auto" w:fill="FFFFFF"/>
          <w:lang w:val="es-ES"/>
        </w:rPr>
        <w:t xml:space="preserve"> </w:t>
      </w:r>
      <w:hyperlink r:id="rId14" w:history="1">
        <w:r w:rsidRPr="00F615E3">
          <w:rPr>
            <w:rStyle w:val="Hipervnculo"/>
            <w:rFonts w:ascii="Verdana" w:hAnsi="Verdana" w:cs="Arial"/>
            <w:shd w:val="clear" w:color="auto" w:fill="FFFFFF"/>
            <w:lang w:val="es-ES"/>
          </w:rPr>
          <w:t>https://relatoria.colombiacompra.gov.co/busqueda/conceptos</w:t>
        </w:r>
      </w:hyperlink>
      <w:r w:rsidRPr="00F615E3">
        <w:rPr>
          <w:rStyle w:val="normaltextrun"/>
          <w:rFonts w:ascii="Verdana" w:hAnsi="Verdana" w:cs="Arial"/>
          <w:shd w:val="clear" w:color="auto" w:fill="FFFFFF"/>
          <w:lang w:val="es-ES"/>
        </w:rPr>
        <w:t>.</w:t>
      </w:r>
    </w:p>
    <w:p w14:paraId="698CF0AE" w14:textId="77777777" w:rsidR="009041A3" w:rsidRPr="00F615E3" w:rsidRDefault="009041A3" w:rsidP="009041A3">
      <w:pPr>
        <w:widowControl w:val="0"/>
        <w:autoSpaceDE w:val="0"/>
        <w:autoSpaceDN w:val="0"/>
        <w:spacing w:after="0" w:line="276" w:lineRule="auto"/>
        <w:jc w:val="both"/>
        <w:rPr>
          <w:rFonts w:ascii="Verdana" w:hAnsi="Verdana" w:cs="Arial"/>
        </w:rPr>
      </w:pPr>
    </w:p>
    <w:p w14:paraId="5EFA36C0" w14:textId="77777777" w:rsidR="009041A3" w:rsidRPr="00491961" w:rsidRDefault="009041A3" w:rsidP="009041A3">
      <w:pPr>
        <w:widowControl w:val="0"/>
        <w:autoSpaceDE w:val="0"/>
        <w:autoSpaceDN w:val="0"/>
        <w:spacing w:after="0" w:line="276" w:lineRule="auto"/>
        <w:jc w:val="both"/>
        <w:rPr>
          <w:rFonts w:ascii="Verdana" w:hAnsi="Verdana"/>
          <w:color w:val="467886"/>
          <w:u w:val="single"/>
          <w:bdr w:val="none" w:sz="0" w:space="0" w:color="auto" w:frame="1"/>
        </w:rPr>
      </w:pPr>
      <w:r w:rsidRPr="00491961">
        <w:rPr>
          <w:rFonts w:ascii="Verdana" w:hAnsi="Verdana"/>
          <w:color w:val="000000"/>
          <w:bdr w:val="none" w:sz="0" w:space="0" w:color="auto" w:frame="1"/>
        </w:rPr>
        <w:t>Te informamos que ya se encuentra disponible la</w:t>
      </w:r>
      <w:r w:rsidRPr="00491961">
        <w:rPr>
          <w:rStyle w:val="apple-converted-space"/>
          <w:rFonts w:ascii="Verdana" w:hAnsi="Verdana"/>
          <w:color w:val="000000"/>
          <w:bdr w:val="none" w:sz="0" w:space="0" w:color="auto" w:frame="1"/>
        </w:rPr>
        <w:t> </w:t>
      </w:r>
      <w:r w:rsidRPr="00491961">
        <w:rPr>
          <w:rFonts w:ascii="Verdana" w:hAnsi="Verdana"/>
          <w:b/>
          <w:bCs/>
          <w:color w:val="000000"/>
          <w:bdr w:val="none" w:sz="0" w:space="0" w:color="auto" w:frame="1"/>
        </w:rPr>
        <w:t>Cartilla para incentivar y fortalecer el acceso a las compras y contratación pública de los pueblos y comunidades étnicas en Colombia.</w:t>
      </w:r>
      <w:r w:rsidRPr="00491961">
        <w:rPr>
          <w:rFonts w:ascii="Verdana" w:hAnsi="Verdana"/>
          <w:color w:val="000000"/>
          <w:bdr w:val="none" w:sz="0" w:space="0" w:color="auto" w:frame="1"/>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w:t>
      </w:r>
      <w:r w:rsidRPr="00491961">
        <w:rPr>
          <w:rStyle w:val="apple-converted-space"/>
          <w:rFonts w:ascii="Verdana" w:hAnsi="Verdana"/>
          <w:color w:val="000000"/>
          <w:bdr w:val="none" w:sz="0" w:space="0" w:color="auto" w:frame="1"/>
        </w:rPr>
        <w:t> </w:t>
      </w:r>
      <w:hyperlink r:id="rId15" w:tgtFrame="_blank" w:tooltip="Dirección URL original: https://www.colombiacompra.gov.co/manuales-guias-y-pliegos-tipo/manuales-y-guias/cartilla-para-incentivar-y-fortalecer-el-acceso-las. Haga clic o pulse si confía en este vínculo." w:history="1">
        <w:r w:rsidRPr="00491961">
          <w:rPr>
            <w:rStyle w:val="Hipervnculo"/>
            <w:rFonts w:ascii="Verdana" w:hAnsi="Verdana"/>
            <w:color w:val="467886"/>
            <w:bdr w:val="none" w:sz="0" w:space="0" w:color="auto" w:frame="1"/>
          </w:rPr>
          <w:t>Cartilla para incentivar y fortalecer el acceso a las compras y contratación pública de los pueblos y comunidades étnicas en Colombia | Colombia Compra Eficiente | Agencia Nacional de Contratación Pública</w:t>
        </w:r>
      </w:hyperlink>
    </w:p>
    <w:p w14:paraId="40134109" w14:textId="77777777" w:rsidR="009041A3" w:rsidRPr="00491961" w:rsidRDefault="009041A3" w:rsidP="009041A3">
      <w:pPr>
        <w:widowControl w:val="0"/>
        <w:autoSpaceDE w:val="0"/>
        <w:autoSpaceDN w:val="0"/>
        <w:spacing w:after="0" w:line="276" w:lineRule="auto"/>
        <w:jc w:val="both"/>
        <w:rPr>
          <w:rFonts w:ascii="Verdana" w:hAnsi="Verdana"/>
        </w:rPr>
      </w:pPr>
    </w:p>
    <w:p w14:paraId="3DB2D594" w14:textId="77777777" w:rsidR="009041A3" w:rsidRPr="003C25E6" w:rsidRDefault="009041A3" w:rsidP="003C25E6">
      <w:pPr>
        <w:spacing w:after="0" w:line="276" w:lineRule="auto"/>
        <w:jc w:val="both"/>
        <w:textAlignment w:val="baseline"/>
        <w:rPr>
          <w:rFonts w:ascii="Verdana" w:hAnsi="Verdana"/>
        </w:rPr>
      </w:pPr>
      <w:r w:rsidRPr="00491961">
        <w:rPr>
          <w:rFonts w:ascii="Verdana" w:hAnsi="Verdana"/>
          <w:color w:val="000000"/>
          <w:bdr w:val="none" w:sz="0" w:space="0" w:color="auto" w:frame="1"/>
        </w:rPr>
        <w:t>De otra parte, te informamos que, con el objetivo de garantizar un conocimiento adecuado de las</w:t>
      </w:r>
      <w:r w:rsidRPr="00491961">
        <w:rPr>
          <w:rStyle w:val="apple-converted-space"/>
          <w:rFonts w:ascii="Verdana" w:hAnsi="Verdana"/>
          <w:color w:val="000000"/>
          <w:bdr w:val="none" w:sz="0" w:space="0" w:color="auto" w:frame="1"/>
        </w:rPr>
        <w:t> </w:t>
      </w:r>
      <w:r w:rsidRPr="00491961">
        <w:rPr>
          <w:rFonts w:ascii="Verdana" w:hAnsi="Verdana"/>
          <w:b/>
          <w:bCs/>
          <w:color w:val="000000"/>
          <w:bdr w:val="none" w:sz="0" w:space="0" w:color="auto" w:frame="1"/>
        </w:rPr>
        <w:t>modificaciones y/o actualizaciones realizadas a los Documentos Tipo</w:t>
      </w:r>
      <w:r w:rsidRPr="00491961">
        <w:rPr>
          <w:rFonts w:ascii="Verdana" w:hAnsi="Verdana"/>
          <w:color w:val="000000"/>
          <w:bdr w:val="none" w:sz="0" w:space="0" w:color="auto" w:frame="1"/>
        </w:rPr>
        <w:t>, hemos programado una serie de</w:t>
      </w:r>
      <w:r w:rsidRPr="00491961">
        <w:rPr>
          <w:rStyle w:val="apple-converted-space"/>
          <w:rFonts w:ascii="Verdana" w:hAnsi="Verdana"/>
          <w:color w:val="000000"/>
          <w:bdr w:val="none" w:sz="0" w:space="0" w:color="auto" w:frame="1"/>
        </w:rPr>
        <w:t> </w:t>
      </w:r>
      <w:r w:rsidRPr="00491961">
        <w:rPr>
          <w:rFonts w:ascii="Verdana" w:hAnsi="Verdana"/>
          <w:b/>
          <w:bCs/>
          <w:color w:val="000000"/>
          <w:bdr w:val="none" w:sz="0" w:space="0" w:color="auto" w:frame="1"/>
        </w:rPr>
        <w:t>capacitaciones</w:t>
      </w:r>
      <w:r w:rsidRPr="00491961">
        <w:rPr>
          <w:rStyle w:val="apple-converted-space"/>
          <w:rFonts w:ascii="Verdana" w:hAnsi="Verdana"/>
          <w:b/>
          <w:bCs/>
          <w:color w:val="000000"/>
          <w:bdr w:val="none" w:sz="0" w:space="0" w:color="auto" w:frame="1"/>
        </w:rPr>
        <w:t> </w:t>
      </w:r>
      <w:r w:rsidRPr="00491961">
        <w:rPr>
          <w:rFonts w:ascii="Verdana" w:hAnsi="Verdana"/>
          <w:color w:val="000000"/>
          <w:bdr w:val="none" w:sz="0" w:space="0" w:color="auto" w:frame="1"/>
        </w:rPr>
        <w:t>dirigidas a todos los actores involucrados en los procesos de selección. Podrás conocer la programación y realizar tu inscripción a estas capacitaciones a través del siguiente enlace:</w:t>
      </w:r>
      <w:r w:rsidRPr="00491961">
        <w:rPr>
          <w:rStyle w:val="apple-converted-space"/>
          <w:rFonts w:ascii="Verdana" w:hAnsi="Verdana"/>
          <w:color w:val="000000"/>
          <w:bdr w:val="none" w:sz="0" w:space="0" w:color="auto" w:frame="1"/>
        </w:rPr>
        <w:t> </w:t>
      </w:r>
      <w:hyperlink r:id="rId16" w:tgtFrame="_blank" w:tooltip="Dirección URL original: https://www.colombiacompra.gov.co/ciudadanos/calendario. Haga clic o pulse si confía en este vínculo." w:history="1">
        <w:r w:rsidRPr="00491961">
          <w:rPr>
            <w:rStyle w:val="Hipervnculo"/>
            <w:rFonts w:ascii="Verdana" w:hAnsi="Verdana"/>
            <w:color w:val="467886"/>
            <w:bdr w:val="none" w:sz="0" w:space="0" w:color="auto" w:frame="1"/>
          </w:rPr>
          <w:t>Calendario | Colombia Compra Eficiente | Agencia Nacional de Contratación Pública</w:t>
        </w:r>
      </w:hyperlink>
    </w:p>
    <w:p w14:paraId="10B86A68" w14:textId="77777777" w:rsidR="009041A3" w:rsidRPr="00491961" w:rsidRDefault="009041A3" w:rsidP="003C25E6">
      <w:pPr>
        <w:spacing w:after="0" w:line="276" w:lineRule="auto"/>
        <w:jc w:val="both"/>
        <w:textAlignment w:val="baseline"/>
        <w:rPr>
          <w:rFonts w:ascii="Verdana" w:hAnsi="Verdana"/>
          <w:color w:val="242424"/>
        </w:rPr>
      </w:pPr>
    </w:p>
    <w:p w14:paraId="0DD6D0E1" w14:textId="77777777" w:rsidR="009041A3" w:rsidRPr="00491961" w:rsidRDefault="009041A3" w:rsidP="003C25E6">
      <w:pPr>
        <w:spacing w:after="0" w:line="276" w:lineRule="auto"/>
        <w:jc w:val="both"/>
        <w:textAlignment w:val="baseline"/>
        <w:rPr>
          <w:rStyle w:val="normaltextrun"/>
          <w:rFonts w:ascii="Verdana" w:hAnsi="Verdana"/>
          <w:color w:val="242424"/>
        </w:rPr>
      </w:pPr>
      <w:r w:rsidRPr="00491961">
        <w:rPr>
          <w:rFonts w:ascii="Verdana" w:hAnsi="Verdana"/>
          <w:color w:val="000000"/>
          <w:bdr w:val="none" w:sz="0" w:space="0" w:color="auto" w:frame="1"/>
        </w:rPr>
        <w:t>También, te contamos que ya publicamos</w:t>
      </w:r>
      <w:r w:rsidRPr="00491961">
        <w:rPr>
          <w:rStyle w:val="apple-converted-space"/>
          <w:rFonts w:ascii="Verdana" w:hAnsi="Verdana"/>
          <w:color w:val="000000"/>
          <w:bdr w:val="none" w:sz="0" w:space="0" w:color="auto" w:frame="1"/>
        </w:rPr>
        <w:t> </w:t>
      </w:r>
      <w:r w:rsidRPr="00491961">
        <w:rPr>
          <w:rFonts w:ascii="Verdana" w:hAnsi="Verdana"/>
          <w:b/>
          <w:bCs/>
          <w:color w:val="000000"/>
          <w:bdr w:val="none" w:sz="0" w:space="0" w:color="auto" w:frame="1"/>
        </w:rPr>
        <w:t>la nueva Guía de Contratación Pública Sostenible y Socialmente Responsable</w:t>
      </w:r>
      <w:r w:rsidRPr="00491961">
        <w:rPr>
          <w:rFonts w:ascii="Verdana" w:hAnsi="Verdana"/>
          <w:color w:val="000000"/>
          <w:bdr w:val="none" w:sz="0" w:space="0" w:color="auto" w:frame="1"/>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w:t>
      </w:r>
      <w:r w:rsidRPr="00491961">
        <w:rPr>
          <w:rStyle w:val="apple-converted-space"/>
          <w:rFonts w:ascii="Verdana" w:hAnsi="Verdana"/>
          <w:color w:val="000000"/>
          <w:bdr w:val="none" w:sz="0" w:space="0" w:color="auto" w:frame="1"/>
        </w:rPr>
        <w:t> </w:t>
      </w:r>
      <w:hyperlink r:id="rId17" w:tgtFrame="_blank" w:tooltip="Dirección URL original: https://www.colombiacompra.gov.co/manuales-guias-y-pliegos-tipo/manuales-y-guias/guia-de-contratacion-publica-sostenible-y-socialmente. Haga clic o pulse si confía en este vínculo." w:history="1">
        <w:r w:rsidRPr="00491961">
          <w:rPr>
            <w:rStyle w:val="Hipervnculo"/>
            <w:rFonts w:ascii="Verdana" w:hAnsi="Verdana"/>
            <w:color w:val="467886"/>
            <w:bdr w:val="none" w:sz="0" w:space="0" w:color="auto" w:frame="1"/>
          </w:rPr>
          <w:t>Guía de Contratación Pública Sostenible y Socialmente Responsable | Colombia Compra Eficiente | Agencia Nacional de Contratación Pública</w:t>
        </w:r>
      </w:hyperlink>
    </w:p>
    <w:p w14:paraId="05180AF4" w14:textId="77777777" w:rsidR="009041A3" w:rsidRPr="00491961" w:rsidRDefault="009041A3" w:rsidP="003C25E6">
      <w:pPr>
        <w:spacing w:after="0" w:line="276" w:lineRule="auto"/>
        <w:jc w:val="both"/>
        <w:rPr>
          <w:rStyle w:val="normaltextrun"/>
          <w:rFonts w:ascii="Verdana" w:hAnsi="Verdana" w:cs="Arial"/>
          <w:color w:val="000000" w:themeColor="text1"/>
          <w:shd w:val="clear" w:color="auto" w:fill="FFFFFF"/>
          <w:lang w:val="es-ES"/>
        </w:rPr>
      </w:pPr>
    </w:p>
    <w:p w14:paraId="0668E37F" w14:textId="77777777" w:rsidR="009041A3" w:rsidRPr="00491961" w:rsidRDefault="009041A3" w:rsidP="003C25E6">
      <w:pPr>
        <w:spacing w:after="0" w:line="276" w:lineRule="auto"/>
        <w:jc w:val="both"/>
        <w:rPr>
          <w:rFonts w:ascii="Verdana" w:hAnsi="Verdana"/>
        </w:rPr>
      </w:pPr>
      <w:r w:rsidRPr="00491961">
        <w:rPr>
          <w:rFonts w:ascii="Verdana" w:hAnsi="Verdana"/>
        </w:rPr>
        <w:t xml:space="preserve">Por último, lo invitamos a seguirnos en las redes sociales en las cuales se difunde información institucional: </w:t>
      </w:r>
    </w:p>
    <w:p w14:paraId="00EC431A" w14:textId="77777777" w:rsidR="009041A3" w:rsidRPr="00491961" w:rsidRDefault="009041A3" w:rsidP="003C25E6">
      <w:pPr>
        <w:spacing w:after="0" w:line="276" w:lineRule="auto"/>
        <w:jc w:val="both"/>
        <w:rPr>
          <w:rFonts w:ascii="Verdana" w:hAnsi="Verdana"/>
        </w:rPr>
      </w:pPr>
    </w:p>
    <w:p w14:paraId="02D6E642" w14:textId="77777777" w:rsidR="009041A3" w:rsidRPr="00491961" w:rsidRDefault="009041A3" w:rsidP="003C25E6">
      <w:pPr>
        <w:spacing w:after="0" w:line="276" w:lineRule="auto"/>
        <w:jc w:val="both"/>
        <w:rPr>
          <w:rFonts w:ascii="Verdana" w:hAnsi="Verdana"/>
        </w:rPr>
      </w:pPr>
      <w:r w:rsidRPr="00491961">
        <w:rPr>
          <w:rFonts w:ascii="Verdana" w:hAnsi="Verdana"/>
        </w:rPr>
        <w:t xml:space="preserve">Twitter: </w:t>
      </w:r>
      <w:r w:rsidRPr="00491961">
        <w:rPr>
          <w:rStyle w:val="Hipervnculo"/>
          <w:rFonts w:ascii="Verdana" w:hAnsi="Verdana"/>
          <w:color w:val="4472C4" w:themeColor="accent1"/>
        </w:rPr>
        <w:t>@colombiacompra</w:t>
      </w:r>
      <w:r w:rsidRPr="00491961">
        <w:rPr>
          <w:rFonts w:ascii="Verdana" w:hAnsi="Verdana"/>
          <w:color w:val="4472C4" w:themeColor="accent1"/>
        </w:rPr>
        <w:t xml:space="preserve"> </w:t>
      </w:r>
    </w:p>
    <w:p w14:paraId="094C3318" w14:textId="77777777" w:rsidR="009041A3" w:rsidRPr="00491961" w:rsidRDefault="009041A3" w:rsidP="003C25E6">
      <w:pPr>
        <w:spacing w:after="0" w:line="276" w:lineRule="auto"/>
        <w:jc w:val="both"/>
        <w:rPr>
          <w:rFonts w:ascii="Verdana" w:hAnsi="Verdana"/>
        </w:rPr>
      </w:pPr>
      <w:r w:rsidRPr="00491961">
        <w:rPr>
          <w:rFonts w:ascii="Verdana" w:hAnsi="Verdana"/>
        </w:rPr>
        <w:lastRenderedPageBreak/>
        <w:t xml:space="preserve">Facebook: </w:t>
      </w:r>
      <w:proofErr w:type="spellStart"/>
      <w:r w:rsidRPr="00491961">
        <w:rPr>
          <w:rStyle w:val="Hipervnculo"/>
          <w:rFonts w:ascii="Verdana" w:hAnsi="Verdana"/>
          <w:color w:val="4472C4" w:themeColor="accent1"/>
        </w:rPr>
        <w:t>ColombiaCompraEficiente</w:t>
      </w:r>
      <w:proofErr w:type="spellEnd"/>
    </w:p>
    <w:p w14:paraId="4B50D8C6" w14:textId="77777777" w:rsidR="009041A3" w:rsidRPr="00491961" w:rsidRDefault="009041A3" w:rsidP="003C25E6">
      <w:pPr>
        <w:spacing w:after="0" w:line="276" w:lineRule="auto"/>
        <w:jc w:val="both"/>
        <w:rPr>
          <w:rFonts w:ascii="Verdana" w:hAnsi="Verdana"/>
        </w:rPr>
      </w:pPr>
      <w:r w:rsidRPr="00491961">
        <w:rPr>
          <w:rFonts w:ascii="Verdana" w:hAnsi="Verdana"/>
        </w:rPr>
        <w:t xml:space="preserve">LinkedIn: </w:t>
      </w:r>
      <w:r w:rsidRPr="00491961">
        <w:rPr>
          <w:rStyle w:val="Hipervnculo"/>
          <w:rFonts w:ascii="Verdana" w:hAnsi="Verdana"/>
          <w:color w:val="4472C4" w:themeColor="accent1"/>
        </w:rPr>
        <w:t>Agencia Nacional de Contratación Pública - Colombia Compra Eficiente</w:t>
      </w:r>
      <w:r w:rsidRPr="00491961">
        <w:rPr>
          <w:rFonts w:ascii="Verdana" w:hAnsi="Verdana"/>
          <w:color w:val="4472C4" w:themeColor="accent1"/>
        </w:rPr>
        <w:t xml:space="preserve"> </w:t>
      </w:r>
      <w:r w:rsidRPr="00491961">
        <w:rPr>
          <w:rFonts w:ascii="Verdana" w:hAnsi="Verdana"/>
        </w:rPr>
        <w:t xml:space="preserve">Instagram: </w:t>
      </w:r>
      <w:r w:rsidRPr="00491961">
        <w:rPr>
          <w:rStyle w:val="Hipervnculo"/>
          <w:rFonts w:ascii="Verdana" w:hAnsi="Verdana"/>
          <w:color w:val="4472C4" w:themeColor="accent1"/>
        </w:rPr>
        <w:t>@colombiacompraeficiente_cce</w:t>
      </w:r>
    </w:p>
    <w:p w14:paraId="77990634" w14:textId="77777777" w:rsidR="009041A3" w:rsidRPr="00491961" w:rsidRDefault="009041A3" w:rsidP="009041A3">
      <w:pPr>
        <w:widowControl w:val="0"/>
        <w:autoSpaceDE w:val="0"/>
        <w:autoSpaceDN w:val="0"/>
        <w:spacing w:after="0" w:line="276" w:lineRule="auto"/>
        <w:jc w:val="both"/>
        <w:rPr>
          <w:rFonts w:ascii="Verdana" w:hAnsi="Verdana" w:cs="Arial"/>
        </w:rPr>
      </w:pPr>
    </w:p>
    <w:p w14:paraId="448FFDAA" w14:textId="77777777" w:rsidR="009041A3" w:rsidRPr="00491961" w:rsidRDefault="009041A3" w:rsidP="009041A3">
      <w:pPr>
        <w:widowControl w:val="0"/>
        <w:autoSpaceDE w:val="0"/>
        <w:autoSpaceDN w:val="0"/>
        <w:spacing w:after="0" w:line="276" w:lineRule="auto"/>
        <w:jc w:val="both"/>
        <w:rPr>
          <w:rFonts w:ascii="Verdana" w:hAnsi="Verdana" w:cs="Arial"/>
          <w:lang w:val="es-ES_tradnl"/>
        </w:rPr>
      </w:pPr>
      <w:r w:rsidRPr="00491961">
        <w:rPr>
          <w:rFonts w:ascii="Verdana" w:hAnsi="Verdana" w:cs="Arial"/>
        </w:rPr>
        <w:t xml:space="preserve">Este concepto tiene el alcance previsto en el artículo 28 del Código de Procedimiento Administrativo y de lo Contencioso Administrativo </w:t>
      </w:r>
      <w:r w:rsidRPr="00491961">
        <w:rPr>
          <w:rFonts w:ascii="Verdana" w:hAnsi="Verdana" w:cs="Arial"/>
          <w:lang w:val="es-ES_tradnl"/>
        </w:rPr>
        <w:t>y las expresiones aquí utilizadas con mayúscula inicial deben ser entendidas con el significado que les otorga el artículo 2.2.1.1.1.3.1. del Decreto 1082 de 2015.</w:t>
      </w:r>
    </w:p>
    <w:p w14:paraId="63033780" w14:textId="77777777" w:rsidR="009041A3" w:rsidRPr="00491961" w:rsidRDefault="009041A3" w:rsidP="009041A3">
      <w:pPr>
        <w:widowControl w:val="0"/>
        <w:autoSpaceDE w:val="0"/>
        <w:autoSpaceDN w:val="0"/>
        <w:spacing w:after="0" w:line="276" w:lineRule="auto"/>
        <w:jc w:val="both"/>
        <w:rPr>
          <w:rFonts w:ascii="Verdana" w:hAnsi="Verdana" w:cs="Arial"/>
        </w:rPr>
      </w:pPr>
    </w:p>
    <w:p w14:paraId="0D75140D" w14:textId="77777777" w:rsidR="009041A3" w:rsidRDefault="009041A3" w:rsidP="003C25E6">
      <w:pPr>
        <w:spacing w:after="0" w:line="276" w:lineRule="auto"/>
        <w:rPr>
          <w:rFonts w:ascii="Verdana" w:hAnsi="Verdana" w:cs="Arial"/>
          <w:lang w:eastAsia="es-CO"/>
        </w:rPr>
      </w:pPr>
      <w:r w:rsidRPr="00491961">
        <w:rPr>
          <w:rFonts w:ascii="Verdana" w:eastAsia="Times New Roman" w:hAnsi="Verdana" w:cs="Arial"/>
          <w:lang w:eastAsia="es-CO"/>
        </w:rPr>
        <w:t>Atentamente,</w:t>
      </w:r>
      <w:r w:rsidRPr="00491961">
        <w:rPr>
          <w:rFonts w:ascii="Verdana" w:hAnsi="Verdana" w:cs="Arial"/>
          <w:lang w:eastAsia="es-CO"/>
        </w:rPr>
        <w:t xml:space="preserve"> </w:t>
      </w:r>
    </w:p>
    <w:p w14:paraId="35AFA503" w14:textId="5299F5CC" w:rsidR="009041A3" w:rsidRPr="00563879" w:rsidRDefault="00563879" w:rsidP="00563879">
      <w:pPr>
        <w:spacing w:after="0" w:line="276" w:lineRule="auto"/>
        <w:jc w:val="center"/>
        <w:rPr>
          <w:rFonts w:ascii="Verdana" w:hAnsi="Verdana" w:cs="Arial"/>
          <w:lang w:eastAsia="es-CO"/>
        </w:rPr>
      </w:pPr>
      <w:r>
        <w:rPr>
          <w:rFonts w:cs="Arial"/>
          <w:noProof/>
          <w:color w:val="000000"/>
          <w:lang w:val="es-ES_tradnl"/>
        </w:rPr>
        <w:drawing>
          <wp:inline distT="0" distB="0" distL="0" distR="0" wp14:anchorId="5E954103" wp14:editId="1EEC01E9">
            <wp:extent cx="3768725" cy="1399540"/>
            <wp:effectExtent l="0" t="0" r="3175" b="0"/>
            <wp:docPr id="2005225357" name="Imagen 2005225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041A3" w:rsidRPr="00EA1223" w14:paraId="0A9E730F" w14:textId="77777777" w:rsidTr="00906C29">
        <w:trPr>
          <w:trHeight w:val="315"/>
        </w:trPr>
        <w:tc>
          <w:tcPr>
            <w:tcW w:w="893" w:type="dxa"/>
            <w:vAlign w:val="center"/>
            <w:hideMark/>
          </w:tcPr>
          <w:p w14:paraId="2E5A38AF" w14:textId="77777777" w:rsidR="009041A3" w:rsidRPr="00EA1223" w:rsidRDefault="009041A3" w:rsidP="00906C29">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63D6E2F" w14:textId="77777777" w:rsidR="009041A3" w:rsidRPr="00EA1223" w:rsidRDefault="009041A3" w:rsidP="00906C29">
            <w:pPr>
              <w:contextualSpacing/>
              <w:rPr>
                <w:rStyle w:val="normaltextrun"/>
                <w:rFonts w:ascii="Verdana" w:eastAsia="Arial" w:hAnsi="Verdana" w:cs="Arial"/>
                <w:sz w:val="16"/>
                <w:szCs w:val="16"/>
              </w:rPr>
            </w:pPr>
            <w:r w:rsidRPr="00EA1223">
              <w:rPr>
                <w:rStyle w:val="normaltextrun"/>
                <w:rFonts w:ascii="Verdana" w:eastAsia="Arial" w:hAnsi="Verdana" w:cs="Arial"/>
                <w:sz w:val="16"/>
                <w:szCs w:val="16"/>
              </w:rPr>
              <w:t>Andrea del Pilar Garzón Sánchez.</w:t>
            </w:r>
          </w:p>
          <w:p w14:paraId="0DB8EE66" w14:textId="77777777" w:rsidR="009041A3" w:rsidRPr="00EA1223" w:rsidRDefault="009041A3" w:rsidP="00906C29">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9041A3" w:rsidRPr="00EA1223" w14:paraId="0F2A6B51" w14:textId="77777777" w:rsidTr="00906C29">
        <w:trPr>
          <w:trHeight w:val="330"/>
        </w:trPr>
        <w:tc>
          <w:tcPr>
            <w:tcW w:w="893" w:type="dxa"/>
            <w:vAlign w:val="center"/>
            <w:hideMark/>
          </w:tcPr>
          <w:p w14:paraId="7BB0BC2B" w14:textId="77777777" w:rsidR="009041A3" w:rsidRPr="00EA1223" w:rsidRDefault="009041A3" w:rsidP="00906C29">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62FC6E4" w14:textId="77777777" w:rsidR="009041A3" w:rsidRPr="00EA1223" w:rsidRDefault="009041A3" w:rsidP="00906C29">
            <w:pPr>
              <w:pStyle w:val="paragraph"/>
              <w:spacing w:before="0" w:beforeAutospacing="0" w:after="0" w:afterAutospacing="0"/>
              <w:contextualSpacing/>
              <w:textAlignment w:val="baseline"/>
              <w:rPr>
                <w:rStyle w:val="normaltextrun"/>
                <w:rFonts w:ascii="Verdana" w:hAnsi="Verdana" w:cs="Arial"/>
                <w:sz w:val="16"/>
                <w:szCs w:val="16"/>
                <w:lang w:val="es-ES"/>
              </w:rPr>
            </w:pPr>
            <w:r w:rsidRPr="00EA1223">
              <w:rPr>
                <w:rStyle w:val="normaltextrun"/>
                <w:rFonts w:ascii="Verdana" w:hAnsi="Verdana" w:cs="Arial"/>
                <w:sz w:val="16"/>
                <w:szCs w:val="16"/>
                <w:lang w:val="es-ES"/>
              </w:rPr>
              <w:t>Diana Lucia Saavedra C</w:t>
            </w:r>
            <w:proofErr w:type="spellStart"/>
            <w:r w:rsidRPr="00EA1223">
              <w:rPr>
                <w:rStyle w:val="normaltextrun"/>
                <w:rFonts w:ascii="Verdana" w:hAnsi="Verdana" w:cs="Arial"/>
                <w:sz w:val="16"/>
                <w:szCs w:val="16"/>
              </w:rPr>
              <w:t>astañeda</w:t>
            </w:r>
            <w:proofErr w:type="spellEnd"/>
          </w:p>
          <w:p w14:paraId="31EDE9AD" w14:textId="77777777" w:rsidR="009041A3" w:rsidRPr="00EA1223" w:rsidRDefault="009041A3" w:rsidP="00906C29">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9041A3" w:rsidRPr="00EA1223" w14:paraId="4025D48A" w14:textId="77777777" w:rsidTr="00906C29">
        <w:trPr>
          <w:trHeight w:val="300"/>
        </w:trPr>
        <w:tc>
          <w:tcPr>
            <w:tcW w:w="893" w:type="dxa"/>
            <w:vAlign w:val="center"/>
          </w:tcPr>
          <w:p w14:paraId="6963B141" w14:textId="77777777" w:rsidR="009041A3" w:rsidRPr="00EA1223" w:rsidRDefault="009041A3" w:rsidP="00906C29">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093F89C" w14:textId="77777777" w:rsidR="009041A3" w:rsidRPr="00EA1223" w:rsidRDefault="009041A3" w:rsidP="00906C29">
            <w:pPr>
              <w:contextualSpacing/>
              <w:rPr>
                <w:rFonts w:ascii="Verdana" w:eastAsia="Calibri" w:hAnsi="Verdana" w:cs="Arial"/>
                <w:sz w:val="16"/>
                <w:szCs w:val="16"/>
                <w:lang w:val="pt-BR" w:eastAsia="es-ES"/>
              </w:rPr>
            </w:pPr>
            <w:r w:rsidRPr="00EA1223">
              <w:rPr>
                <w:rFonts w:ascii="Verdana" w:eastAsia="Calibri" w:hAnsi="Verdana" w:cs="Arial"/>
                <w:sz w:val="16"/>
                <w:szCs w:val="16"/>
                <w:lang w:val="pt-BR" w:eastAsia="es-ES"/>
              </w:rPr>
              <w:t xml:space="preserve">Carolina Quintero </w:t>
            </w:r>
            <w:proofErr w:type="spellStart"/>
            <w:r w:rsidRPr="00EA1223">
              <w:rPr>
                <w:rFonts w:ascii="Verdana" w:eastAsia="Calibri" w:hAnsi="Verdana" w:cs="Arial"/>
                <w:sz w:val="16"/>
                <w:szCs w:val="16"/>
                <w:lang w:val="pt-BR" w:eastAsia="es-ES"/>
              </w:rPr>
              <w:t>Gacharná</w:t>
            </w:r>
            <w:proofErr w:type="spellEnd"/>
          </w:p>
          <w:p w14:paraId="37B54506" w14:textId="77777777" w:rsidR="009041A3" w:rsidRPr="00EA1223" w:rsidRDefault="009041A3" w:rsidP="00906C29">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Gestión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p>
        </w:tc>
      </w:tr>
    </w:tbl>
    <w:p w14:paraId="0657986A" w14:textId="77777777" w:rsidR="009041A3" w:rsidRPr="006840C0" w:rsidRDefault="009041A3" w:rsidP="009041A3">
      <w:pPr>
        <w:pStyle w:val="Default"/>
        <w:tabs>
          <w:tab w:val="left" w:pos="2864"/>
        </w:tabs>
        <w:jc w:val="both"/>
        <w:rPr>
          <w:rFonts w:ascii="Verdana" w:hAnsi="Verdana"/>
          <w:sz w:val="22"/>
          <w:szCs w:val="22"/>
        </w:rPr>
      </w:pPr>
    </w:p>
    <w:p w14:paraId="697ECBA9" w14:textId="77777777" w:rsidR="009041A3" w:rsidRPr="00F615E3" w:rsidRDefault="009041A3" w:rsidP="009041A3">
      <w:pPr>
        <w:spacing w:after="0" w:line="240" w:lineRule="auto"/>
        <w:rPr>
          <w:rFonts w:ascii="Verdana" w:eastAsia="Times New Roman" w:hAnsi="Verdana" w:cs="Arial"/>
          <w:sz w:val="24"/>
          <w:szCs w:val="24"/>
          <w:lang w:val="es-ES" w:eastAsia="es-ES"/>
        </w:rPr>
      </w:pPr>
    </w:p>
    <w:p w14:paraId="4057F23A" w14:textId="77777777" w:rsidR="009041A3" w:rsidRPr="00F615E3" w:rsidRDefault="009041A3" w:rsidP="009041A3">
      <w:pPr>
        <w:spacing w:after="0"/>
        <w:jc w:val="both"/>
        <w:rPr>
          <w:rFonts w:ascii="Verdana" w:hAnsi="Verdana"/>
          <w:lang w:val="es-ES"/>
        </w:rPr>
      </w:pPr>
    </w:p>
    <w:p w14:paraId="48A1EFE8" w14:textId="77777777" w:rsidR="002707A2" w:rsidRPr="009041A3" w:rsidRDefault="002707A2" w:rsidP="00E245AB">
      <w:pPr>
        <w:spacing w:after="0"/>
        <w:jc w:val="both"/>
        <w:rPr>
          <w:rStyle w:val="Hipervnculo"/>
          <w:rFonts w:ascii="Verdana" w:hAnsi="Verdana"/>
          <w:lang w:val="es-ES"/>
        </w:rPr>
      </w:pPr>
    </w:p>
    <w:p w14:paraId="58AE2BA8" w14:textId="77777777" w:rsidR="002707A2" w:rsidRPr="0044528D" w:rsidRDefault="002707A2" w:rsidP="00E245AB">
      <w:pPr>
        <w:spacing w:after="0"/>
        <w:jc w:val="both"/>
        <w:rPr>
          <w:rStyle w:val="Hipervnculo"/>
          <w:rFonts w:ascii="Verdana" w:hAnsi="Verdana"/>
        </w:rPr>
      </w:pPr>
    </w:p>
    <w:p w14:paraId="62357DF3" w14:textId="77777777" w:rsidR="002707A2" w:rsidRPr="0044528D" w:rsidRDefault="002707A2" w:rsidP="00E245AB">
      <w:pPr>
        <w:spacing w:after="0"/>
        <w:jc w:val="both"/>
        <w:rPr>
          <w:rStyle w:val="Hipervnculo"/>
          <w:rFonts w:ascii="Verdana" w:hAnsi="Verdana"/>
        </w:rPr>
      </w:pPr>
    </w:p>
    <w:p w14:paraId="114031B5" w14:textId="77777777" w:rsidR="002707A2" w:rsidRPr="0044528D" w:rsidRDefault="002707A2" w:rsidP="00E245AB">
      <w:pPr>
        <w:spacing w:after="0"/>
        <w:jc w:val="both"/>
        <w:rPr>
          <w:rStyle w:val="Hipervnculo"/>
          <w:rFonts w:ascii="Verdana" w:hAnsi="Verdana"/>
        </w:rPr>
      </w:pPr>
    </w:p>
    <w:p w14:paraId="70F795F3" w14:textId="77777777" w:rsidR="002707A2" w:rsidRPr="0044528D" w:rsidRDefault="002707A2" w:rsidP="00E245AB">
      <w:pPr>
        <w:spacing w:after="0"/>
        <w:jc w:val="both"/>
        <w:rPr>
          <w:rStyle w:val="Hipervnculo"/>
          <w:rFonts w:ascii="Verdana" w:hAnsi="Verdana"/>
        </w:rPr>
      </w:pPr>
    </w:p>
    <w:p w14:paraId="6FAF0BCA" w14:textId="77777777" w:rsidR="002707A2" w:rsidRPr="0044528D" w:rsidRDefault="002707A2" w:rsidP="00E245AB">
      <w:pPr>
        <w:spacing w:after="0"/>
        <w:jc w:val="both"/>
        <w:rPr>
          <w:rStyle w:val="Hipervnculo"/>
          <w:rFonts w:ascii="Verdana" w:hAnsi="Verdana"/>
        </w:rPr>
      </w:pPr>
    </w:p>
    <w:p w14:paraId="67DD3F8C" w14:textId="77777777" w:rsidR="002707A2" w:rsidRPr="0044528D" w:rsidRDefault="002707A2" w:rsidP="00E245AB">
      <w:pPr>
        <w:spacing w:after="0"/>
        <w:jc w:val="both"/>
        <w:rPr>
          <w:rStyle w:val="Hipervnculo"/>
          <w:rFonts w:ascii="Verdana" w:hAnsi="Verdana"/>
        </w:rPr>
      </w:pPr>
    </w:p>
    <w:bookmarkEnd w:id="0"/>
    <w:p w14:paraId="3900974D" w14:textId="77777777" w:rsidR="003D5B0D" w:rsidRPr="0044528D" w:rsidRDefault="003D5B0D" w:rsidP="00C76B1C">
      <w:pPr>
        <w:spacing w:after="0" w:line="240" w:lineRule="auto"/>
        <w:textAlignment w:val="baseline"/>
        <w:rPr>
          <w:rFonts w:ascii="Verdana" w:eastAsia="Times New Roman" w:hAnsi="Verdana" w:cs="Segoe UI"/>
          <w:b/>
          <w:bCs/>
          <w:color w:val="46589C"/>
          <w:lang w:val="es-ES" w:eastAsia="es-CO"/>
        </w:rPr>
      </w:pPr>
    </w:p>
    <w:sectPr w:rsidR="003D5B0D" w:rsidRPr="0044528D"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F092E0" w14:textId="77777777" w:rsidR="007B28E3" w:rsidRDefault="007B28E3" w:rsidP="004A1847">
      <w:pPr>
        <w:spacing w:after="0" w:line="240" w:lineRule="auto"/>
      </w:pPr>
      <w:r>
        <w:separator/>
      </w:r>
    </w:p>
  </w:endnote>
  <w:endnote w:type="continuationSeparator" w:id="0">
    <w:p w14:paraId="68F6EDE1" w14:textId="77777777" w:rsidR="007B28E3" w:rsidRDefault="007B28E3" w:rsidP="004A1847">
      <w:pPr>
        <w:spacing w:after="0" w:line="240" w:lineRule="auto"/>
      </w:pPr>
      <w:r>
        <w:continuationSeparator/>
      </w:r>
    </w:p>
  </w:endnote>
  <w:endnote w:type="continuationNotice" w:id="1">
    <w:p w14:paraId="6FF3AFD9" w14:textId="77777777" w:rsidR="007B28E3" w:rsidRDefault="007B28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5E9D14" w14:textId="77777777" w:rsidR="007B28E3" w:rsidRDefault="007B28E3" w:rsidP="004A1847">
      <w:pPr>
        <w:spacing w:after="0" w:line="240" w:lineRule="auto"/>
      </w:pPr>
      <w:r>
        <w:separator/>
      </w:r>
    </w:p>
  </w:footnote>
  <w:footnote w:type="continuationSeparator" w:id="0">
    <w:p w14:paraId="51ED03F4" w14:textId="77777777" w:rsidR="007B28E3" w:rsidRDefault="007B28E3" w:rsidP="004A1847">
      <w:pPr>
        <w:spacing w:after="0" w:line="240" w:lineRule="auto"/>
      </w:pPr>
      <w:r>
        <w:continuationSeparator/>
      </w:r>
    </w:p>
  </w:footnote>
  <w:footnote w:type="continuationNotice" w:id="1">
    <w:p w14:paraId="5BC70CBE" w14:textId="77777777" w:rsidR="007B28E3" w:rsidRDefault="007B28E3">
      <w:pPr>
        <w:spacing w:after="0" w:line="240" w:lineRule="auto"/>
      </w:pPr>
    </w:p>
  </w:footnote>
  <w:footnote w:id="2">
    <w:p w14:paraId="55C0C8FE" w14:textId="77777777" w:rsidR="009041A3" w:rsidRPr="00947E57" w:rsidRDefault="009041A3" w:rsidP="009041A3">
      <w:pPr>
        <w:pStyle w:val="Textonotapie"/>
        <w:ind w:firstLine="708"/>
        <w:contextualSpacing/>
        <w:jc w:val="both"/>
        <w:rPr>
          <w:rFonts w:ascii="Verdana" w:hAnsi="Verdana" w:cs="Arial"/>
          <w:sz w:val="14"/>
          <w:szCs w:val="14"/>
          <w:shd w:val="clear" w:color="auto" w:fill="FFFFFF"/>
        </w:rPr>
      </w:pPr>
      <w:r w:rsidRPr="00947E57">
        <w:rPr>
          <w:rStyle w:val="Refdenotaalpie"/>
          <w:rFonts w:ascii="Verdana" w:hAnsi="Verdana" w:cs="Arial"/>
          <w:sz w:val="14"/>
          <w:szCs w:val="14"/>
        </w:rPr>
        <w:footnoteRef/>
      </w:r>
      <w:r w:rsidRPr="00947E57">
        <w:rPr>
          <w:rFonts w:ascii="Verdana" w:hAnsi="Verdana" w:cs="Arial"/>
          <w:sz w:val="14"/>
          <w:szCs w:val="14"/>
        </w:rPr>
        <w:t xml:space="preserve"> Al respecto, la Corte indicó: “</w:t>
      </w:r>
      <w:r w:rsidRPr="00947E57">
        <w:rPr>
          <w:rFonts w:ascii="Verdana" w:hAnsi="Verdana" w:cs="Arial"/>
          <w:sz w:val="14"/>
          <w:szCs w:val="14"/>
          <w:shd w:val="clear" w:color="auto" w:fill="FFFFFF"/>
        </w:rPr>
        <w:t>Las regalías son comprendidas por el derecho constitucional como una </w:t>
      </w:r>
      <w:r w:rsidRPr="00947E57">
        <w:rPr>
          <w:rFonts w:ascii="Verdana" w:hAnsi="Verdana" w:cs="Arial"/>
          <w:i/>
          <w:iCs/>
          <w:sz w:val="14"/>
          <w:szCs w:val="14"/>
          <w:shd w:val="clear" w:color="auto" w:fill="FFFFFF"/>
        </w:rPr>
        <w:t>contraprestación económica </w:t>
      </w:r>
      <w:r w:rsidRPr="00947E57">
        <w:rPr>
          <w:rFonts w:ascii="Verdana" w:hAnsi="Verdana" w:cs="Arial"/>
          <w:sz w:val="14"/>
          <w:szCs w:val="14"/>
          <w:shd w:val="clear" w:color="auto" w:fill="FFFFFF"/>
        </w:rPr>
        <w:t>que recibe el Estado, en razón de la extracción de recursos naturales no renovables existentes en el subsuelo.  Como lo ha explicado la jurisprudencia reiterada, este concepto refiere a la </w:t>
      </w:r>
      <w:r w:rsidRPr="00947E57">
        <w:rPr>
          <w:rFonts w:ascii="Verdana" w:hAnsi="Verdana" w:cs="Arial"/>
          <w:i/>
          <w:iCs/>
          <w:sz w:val="14"/>
          <w:szCs w:val="14"/>
          <w:shd w:val="clear" w:color="auto" w:fill="FFFFFF"/>
        </w:rPr>
        <w:t>“c</w:t>
      </w:r>
      <w:r w:rsidRPr="00947E57">
        <w:rPr>
          <w:rFonts w:ascii="Verdana" w:hAnsi="Verdana" w:cs="Arial"/>
          <w:i/>
          <w:iCs/>
          <w:spacing w:val="-3"/>
          <w:sz w:val="14"/>
          <w:szCs w:val="14"/>
          <w:shd w:val="clear" w:color="auto" w:fill="FFFFFF"/>
        </w:rPr>
        <w:t>ontraprestación económica que percibe el Estado de las personas a quienes se les concede el derecho a explotar los recursos naturales no renovables en determinado porcentaje sobre el producto bruto explotado.</w:t>
      </w:r>
      <w:r w:rsidRPr="00947E57">
        <w:rPr>
          <w:rFonts w:ascii="Verdana" w:hAnsi="Verdana" w:cs="Arial"/>
          <w:spacing w:val="-3"/>
          <w:sz w:val="14"/>
          <w:szCs w:val="14"/>
          <w:shd w:val="clear" w:color="auto" w:fill="FFFFFF"/>
        </w:rPr>
        <w:t xml:space="preserve"> A su vez, de acuerdo con el mismo precedente, en lo que respecta al derecho a las compensaciones, este </w:t>
      </w:r>
      <w:r w:rsidRPr="00947E57">
        <w:rPr>
          <w:rFonts w:ascii="Verdana" w:hAnsi="Verdana" w:cs="Arial"/>
          <w:sz w:val="14"/>
          <w:szCs w:val="14"/>
          <w:shd w:val="clear" w:color="auto" w:fill="FFFFFF"/>
        </w:rPr>
        <w:t xml:space="preserve">no necesariamente deriva de la participación en las regalías ni emana del carácter de productora que tenga la correspondiente entidad territorial, o el puerto marítimo o fluvial, ya que lo que se compensa es el concurso del ente respectivo en la totalidad o en alguna etapa del proceso que surge a propósito de la exploración, explotación, transporte y transformación de los recursos naturales no renovables Esta definición permite distinguir entre las regalías y otros ingresos nacionales, en especial los impuestos.  En ese sentido, el responsable de su pago es quien decide adelantar la explotación de los recursos, y en consecuencia paga al Estado una contraprestación por esa actividad.  Por ende, las regalías no tienen el carácter imperativo y general propio de los impuestos.  </w:t>
      </w:r>
    </w:p>
    <w:p w14:paraId="5FEB9D33" w14:textId="77777777" w:rsidR="009041A3" w:rsidRPr="00947E57" w:rsidRDefault="009041A3" w:rsidP="009041A3">
      <w:pPr>
        <w:pStyle w:val="Textonotapie"/>
        <w:ind w:firstLine="708"/>
        <w:contextualSpacing/>
        <w:jc w:val="both"/>
        <w:rPr>
          <w:rFonts w:ascii="Verdana" w:hAnsi="Verdana" w:cs="Arial"/>
          <w:sz w:val="14"/>
          <w:szCs w:val="14"/>
          <w:shd w:val="clear" w:color="auto" w:fill="FFFFFF"/>
        </w:rPr>
      </w:pPr>
    </w:p>
    <w:p w14:paraId="6CFAA110" w14:textId="77777777" w:rsidR="009041A3" w:rsidRPr="00947E57" w:rsidRDefault="009041A3" w:rsidP="009041A3">
      <w:pPr>
        <w:pStyle w:val="Textonotapie"/>
        <w:ind w:firstLine="708"/>
        <w:contextualSpacing/>
        <w:jc w:val="both"/>
        <w:rPr>
          <w:rFonts w:ascii="Verdana" w:hAnsi="Verdana" w:cs="Arial"/>
          <w:sz w:val="14"/>
          <w:szCs w:val="14"/>
          <w:lang w:val="es-CO"/>
        </w:rPr>
      </w:pPr>
      <w:r w:rsidRPr="00947E57">
        <w:rPr>
          <w:rFonts w:ascii="Verdana" w:hAnsi="Verdana" w:cs="Arial"/>
          <w:sz w:val="14"/>
          <w:szCs w:val="14"/>
          <w:shd w:val="clear" w:color="auto" w:fill="FFFFFF"/>
        </w:rPr>
        <w:t>Así lo ha explicado la Corte al prever que las regalías carecen de naturaleza tributaria, ya que </w:t>
      </w:r>
      <w:r w:rsidRPr="00947E57">
        <w:rPr>
          <w:rFonts w:ascii="Verdana" w:hAnsi="Verdana" w:cs="Arial"/>
          <w:i/>
          <w:iCs/>
          <w:sz w:val="14"/>
          <w:szCs w:val="14"/>
          <w:shd w:val="clear" w:color="auto" w:fill="FFFFFF"/>
        </w:rPr>
        <w:t>“</w:t>
      </w:r>
      <w:r w:rsidRPr="00947E57">
        <w:rPr>
          <w:rFonts w:ascii="Verdana" w:hAnsi="Verdana" w:cs="Arial"/>
          <w:sz w:val="14"/>
          <w:szCs w:val="14"/>
          <w:shd w:val="clear" w:color="auto" w:fill="FFFFFF"/>
        </w:rPr>
        <w:t>[a]</w:t>
      </w:r>
      <w:r w:rsidRPr="00947E57">
        <w:rPr>
          <w:rFonts w:ascii="Verdana" w:hAnsi="Verdana" w:cs="Arial"/>
          <w:i/>
          <w:iCs/>
          <w:sz w:val="14"/>
          <w:szCs w:val="14"/>
          <w:shd w:val="clear" w:color="auto" w:fill="FFFFFF"/>
        </w:rPr>
        <w:t xml:space="preserve"> pesar de tener en ocasiones similitudes ya que implican pagos del particular al Estado, las regalías y los impuestos son figuras diversas, con un fundamento constitucional y una finalidad diferentes. Así, como bien lo señala uno de los intervinientes, la Carta acoge la concepción de la “regalía-precio”, pues la define como una "contraprestación" que se causa por la explotación de los recursos naturales no renovables de propiedad de la Nación (CP art. 360). Por ende, las regalías están representadas por aquello que el Estado recibe por conceder un derecho a explotar los recursos naturales no renovables de los cuáles es titular (CP art. 332), debido a que estos recursos existen en cantidad limitada”. </w:t>
      </w:r>
      <w:r w:rsidRPr="00947E57">
        <w:rPr>
          <w:rFonts w:ascii="Verdana" w:hAnsi="Verdana" w:cs="Arial"/>
          <w:sz w:val="14"/>
          <w:szCs w:val="14"/>
          <w:lang w:val="es-CO"/>
        </w:rPr>
        <w:t xml:space="preserve">Corte Constitucional. Sentencias C-748 de 2012 y C-010 de 2013. M.P. Luis Ernesto Vargas Silva. </w:t>
      </w:r>
    </w:p>
    <w:p w14:paraId="6601E676" w14:textId="77777777" w:rsidR="009041A3" w:rsidRPr="00947E57" w:rsidRDefault="009041A3" w:rsidP="009041A3">
      <w:pPr>
        <w:pStyle w:val="Textonotapie"/>
        <w:ind w:firstLine="708"/>
        <w:contextualSpacing/>
        <w:jc w:val="both"/>
        <w:rPr>
          <w:rFonts w:ascii="Verdana" w:hAnsi="Verdana" w:cs="Arial"/>
          <w:sz w:val="14"/>
          <w:szCs w:val="14"/>
          <w:shd w:val="clear" w:color="auto" w:fill="FFFFFF"/>
        </w:rPr>
      </w:pPr>
    </w:p>
  </w:footnote>
  <w:footnote w:id="3">
    <w:p w14:paraId="71F31C40" w14:textId="77777777" w:rsidR="009041A3" w:rsidRPr="00947E57" w:rsidRDefault="009041A3" w:rsidP="009041A3">
      <w:pPr>
        <w:pStyle w:val="Textonotapie"/>
        <w:ind w:firstLine="708"/>
        <w:contextualSpacing/>
        <w:jc w:val="both"/>
        <w:rPr>
          <w:rFonts w:ascii="Verdana" w:hAnsi="Verdana" w:cs="Arial"/>
          <w:sz w:val="14"/>
          <w:szCs w:val="14"/>
        </w:rPr>
      </w:pPr>
      <w:r w:rsidRPr="00947E57">
        <w:rPr>
          <w:rStyle w:val="Refdenotaalpie"/>
          <w:rFonts w:ascii="Verdana" w:hAnsi="Verdana" w:cs="Arial"/>
          <w:sz w:val="14"/>
          <w:szCs w:val="14"/>
        </w:rPr>
        <w:footnoteRef/>
      </w:r>
      <w:r w:rsidRPr="00947E57">
        <w:rPr>
          <w:rFonts w:ascii="Verdana" w:hAnsi="Verdana" w:cs="Arial"/>
          <w:sz w:val="14"/>
          <w:szCs w:val="14"/>
        </w:rPr>
        <w:t xml:space="preserve"> CÁMARA DE REPRESENTANTES. Exposición de motivos del Proyecto de Ley No 311 de 2020. Gaceta No 638 de 2020. </w:t>
      </w:r>
    </w:p>
    <w:p w14:paraId="168FA5DC" w14:textId="77777777" w:rsidR="009041A3" w:rsidRPr="00947E57" w:rsidRDefault="009041A3" w:rsidP="009041A3">
      <w:pPr>
        <w:pStyle w:val="Textonotapie"/>
        <w:ind w:firstLine="708"/>
        <w:contextualSpacing/>
        <w:jc w:val="both"/>
        <w:rPr>
          <w:rFonts w:ascii="Verdana" w:hAnsi="Verdana" w:cs="Arial"/>
          <w:sz w:val="14"/>
          <w:szCs w:val="14"/>
          <w:lang w:val="es-CO"/>
        </w:rPr>
      </w:pPr>
    </w:p>
  </w:footnote>
  <w:footnote w:id="4">
    <w:p w14:paraId="1FDA9DE6" w14:textId="77777777" w:rsidR="009041A3" w:rsidRPr="00947E57" w:rsidRDefault="009041A3" w:rsidP="009041A3">
      <w:pPr>
        <w:pStyle w:val="Textonotapie"/>
        <w:ind w:firstLine="708"/>
        <w:contextualSpacing/>
        <w:jc w:val="both"/>
        <w:rPr>
          <w:rFonts w:ascii="Verdana" w:hAnsi="Verdana" w:cs="Arial"/>
          <w:sz w:val="14"/>
          <w:szCs w:val="14"/>
        </w:rPr>
      </w:pPr>
      <w:r w:rsidRPr="00947E57">
        <w:rPr>
          <w:rStyle w:val="Refdenotaalpie"/>
          <w:rFonts w:ascii="Verdana" w:hAnsi="Verdana" w:cs="Arial"/>
          <w:sz w:val="14"/>
          <w:szCs w:val="14"/>
        </w:rPr>
        <w:footnoteRef/>
      </w:r>
      <w:r w:rsidRPr="00947E57">
        <w:rPr>
          <w:rFonts w:ascii="Verdana" w:hAnsi="Verdana" w:cs="Arial"/>
          <w:sz w:val="14"/>
          <w:szCs w:val="14"/>
        </w:rPr>
        <w:t xml:space="preserve"> “Artículo 1°. Objeto. Conforme con lo dispuesto por el artículo 360 y 361 de la Constitución Política, la presente ley tiene por objeto determinar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  </w:t>
      </w:r>
    </w:p>
    <w:p w14:paraId="20E84424" w14:textId="77777777" w:rsidR="009041A3" w:rsidRPr="00947E57" w:rsidRDefault="009041A3" w:rsidP="009041A3">
      <w:pPr>
        <w:pStyle w:val="Textonotapie"/>
        <w:ind w:firstLine="708"/>
        <w:contextualSpacing/>
        <w:jc w:val="both"/>
        <w:rPr>
          <w:rFonts w:ascii="Verdana" w:hAnsi="Verdana" w:cs="Arial"/>
          <w:sz w:val="14"/>
          <w:szCs w:val="14"/>
        </w:rPr>
      </w:pPr>
    </w:p>
  </w:footnote>
  <w:footnote w:id="5">
    <w:p w14:paraId="098AECC7" w14:textId="77777777" w:rsidR="009041A3" w:rsidRPr="00947E57" w:rsidRDefault="009041A3" w:rsidP="009041A3">
      <w:pPr>
        <w:pStyle w:val="Textonotapie"/>
        <w:ind w:firstLine="708"/>
        <w:contextualSpacing/>
        <w:jc w:val="both"/>
        <w:rPr>
          <w:rFonts w:ascii="Verdana" w:hAnsi="Verdana" w:cs="Arial"/>
          <w:sz w:val="14"/>
          <w:szCs w:val="14"/>
        </w:rPr>
      </w:pPr>
      <w:r w:rsidRPr="00947E57">
        <w:rPr>
          <w:rStyle w:val="Refdenotaalpie"/>
          <w:rFonts w:ascii="Verdana" w:hAnsi="Verdana" w:cs="Arial"/>
          <w:sz w:val="14"/>
          <w:szCs w:val="14"/>
        </w:rPr>
        <w:footnoteRef/>
      </w:r>
      <w:r w:rsidRPr="00947E57">
        <w:rPr>
          <w:rFonts w:ascii="Verdana" w:hAnsi="Verdana" w:cs="Arial"/>
          <w:sz w:val="14"/>
          <w:szCs w:val="14"/>
        </w:rPr>
        <w:t xml:space="preserve"> “Artículo 3. Órganos. Son órganos del Sistema General de Regalías, la Comisión Rectora, el Departamento Nacional de Planeación, el Ministerio de Minas y Energía, así como sus entidades adscritas y vinculadas que cumplan funciones en el ciclo de las regalías, el Ministerio de Hacienda y Crédito Público, el Ministerio de Ciencia, Tecnología e Innovación, el Ministerio de Ambiente y Desarrollo Sostenible y los Órganos Colegiados de Administración y Decisión Paz, de Inversión Regional y de Ciencia, Tecnología e Innovación, los cuales ejercerán sus atribuciones y competencias conforme con lo dispuesto por la presente Ley y demás lineamientos que expida la Comisión Rectora para el funcionamiento del Sistema General de Regalías”.</w:t>
      </w:r>
    </w:p>
    <w:p w14:paraId="31AA3DA6" w14:textId="77777777" w:rsidR="009041A3" w:rsidRPr="00947E57" w:rsidRDefault="009041A3" w:rsidP="009041A3">
      <w:pPr>
        <w:pStyle w:val="Textonotapie"/>
        <w:ind w:firstLine="708"/>
        <w:contextualSpacing/>
        <w:jc w:val="both"/>
        <w:rPr>
          <w:rFonts w:ascii="Verdana" w:hAnsi="Verdana" w:cs="Arial"/>
          <w:sz w:val="14"/>
          <w:szCs w:val="14"/>
        </w:rPr>
      </w:pPr>
      <w:r w:rsidRPr="00947E57">
        <w:rPr>
          <w:rFonts w:ascii="Verdana" w:hAnsi="Verdana" w:cs="Arial"/>
          <w:sz w:val="14"/>
          <w:szCs w:val="14"/>
        </w:rPr>
        <w:t xml:space="preserve"> </w:t>
      </w:r>
    </w:p>
  </w:footnote>
  <w:footnote w:id="6">
    <w:p w14:paraId="6B0BDB59" w14:textId="77777777" w:rsidR="009041A3" w:rsidRPr="00947E57" w:rsidRDefault="009041A3" w:rsidP="009041A3">
      <w:pPr>
        <w:pStyle w:val="NormalWeb"/>
        <w:spacing w:before="0" w:beforeAutospacing="0" w:after="0" w:afterAutospacing="0"/>
        <w:ind w:firstLine="708"/>
        <w:contextualSpacing/>
        <w:jc w:val="both"/>
        <w:rPr>
          <w:rFonts w:ascii="Verdana" w:hAnsi="Verdana" w:cs="Arial"/>
          <w:sz w:val="14"/>
          <w:szCs w:val="14"/>
          <w:lang w:eastAsia="en-US"/>
        </w:rPr>
      </w:pPr>
      <w:r w:rsidRPr="00947E57">
        <w:rPr>
          <w:rStyle w:val="Refdenotaalpie"/>
          <w:rFonts w:ascii="Verdana" w:hAnsi="Verdana" w:cs="Arial"/>
          <w:sz w:val="14"/>
          <w:szCs w:val="14"/>
        </w:rPr>
        <w:footnoteRef/>
      </w:r>
      <w:r w:rsidRPr="00947E57">
        <w:rPr>
          <w:rFonts w:ascii="Verdana" w:hAnsi="Verdana" w:cs="Arial"/>
          <w:sz w:val="14"/>
          <w:szCs w:val="14"/>
        </w:rPr>
        <w:t xml:space="preserve"> </w:t>
      </w:r>
      <w:r w:rsidRPr="00947E57">
        <w:rPr>
          <w:rFonts w:ascii="Verdana" w:hAnsi="Verdana" w:cs="Arial"/>
          <w:color w:val="000000" w:themeColor="text1"/>
          <w:sz w:val="14"/>
          <w:szCs w:val="14"/>
          <w:lang w:val="es-ES_tradnl"/>
        </w:rPr>
        <w:t>“</w:t>
      </w:r>
      <w:r w:rsidRPr="00947E57">
        <w:rPr>
          <w:rFonts w:ascii="Verdana" w:hAnsi="Verdana" w:cs="Arial"/>
          <w:bCs/>
          <w:sz w:val="14"/>
          <w:szCs w:val="14"/>
        </w:rPr>
        <w:t>Artículo 28. Destinación.</w:t>
      </w:r>
      <w:r w:rsidRPr="00947E57">
        <w:rPr>
          <w:rFonts w:ascii="Verdana" w:hAnsi="Verdana" w:cs="Arial"/>
          <w:sz w:val="14"/>
          <w:szCs w:val="14"/>
        </w:rPr>
        <w:t xml:space="preserve"> Con los recursos del Sistema General de Regalías se financiarán proyectos de inversión en sus diferentes etapas, siempre y cuando esté definido en los mismos el horizonte de realización.</w:t>
      </w:r>
    </w:p>
    <w:p w14:paraId="40EAE190" w14:textId="77777777" w:rsidR="009041A3" w:rsidRPr="00947E57" w:rsidRDefault="009041A3" w:rsidP="009041A3">
      <w:pPr>
        <w:pStyle w:val="NormalWeb"/>
        <w:spacing w:before="0" w:beforeAutospacing="0" w:after="0" w:afterAutospacing="0"/>
        <w:ind w:firstLine="708"/>
        <w:contextualSpacing/>
        <w:jc w:val="both"/>
        <w:rPr>
          <w:rFonts w:ascii="Verdana" w:hAnsi="Verdana" w:cs="Arial"/>
          <w:sz w:val="14"/>
          <w:szCs w:val="14"/>
        </w:rPr>
      </w:pPr>
      <w:r w:rsidRPr="00947E57">
        <w:rPr>
          <w:rFonts w:ascii="Verdana" w:hAnsi="Verdana" w:cs="Arial"/>
          <w:sz w:val="14"/>
          <w:szCs w:val="14"/>
        </w:rPr>
        <w:t>Igualmente, se podrán financiar estudios y diseños como parte de los proyectos de inversión, que deberán contener la estimación de los costos del proyecto en cada una de sus fases subsiguientes, con el fin de que se pueda garantizar la financiación de estas. Así mismo, se podrán financiar las obras complementarias que permitan la puesta en marcha de un proyecto de inversión.</w:t>
      </w:r>
    </w:p>
    <w:p w14:paraId="0DDC314D" w14:textId="77777777" w:rsidR="009041A3" w:rsidRPr="00947E57" w:rsidRDefault="009041A3" w:rsidP="009041A3">
      <w:pPr>
        <w:pStyle w:val="NormalWeb"/>
        <w:spacing w:before="0" w:beforeAutospacing="0" w:after="0" w:afterAutospacing="0"/>
        <w:ind w:firstLine="708"/>
        <w:contextualSpacing/>
        <w:jc w:val="both"/>
        <w:rPr>
          <w:rFonts w:ascii="Verdana" w:hAnsi="Verdana" w:cs="Arial"/>
          <w:sz w:val="14"/>
          <w:szCs w:val="14"/>
        </w:rPr>
      </w:pPr>
      <w:r w:rsidRPr="00947E57">
        <w:rPr>
          <w:rFonts w:ascii="Verdana" w:hAnsi="Verdana" w:cs="Arial"/>
          <w:sz w:val="14"/>
          <w:szCs w:val="14"/>
        </w:rPr>
        <w:t>Lo anterior de conformidad con la metodología para la formulación de los proyectos de inversión establecida por el Departamento Nacional de Planeación.</w:t>
      </w:r>
    </w:p>
    <w:p w14:paraId="535BFE3C" w14:textId="77777777" w:rsidR="009041A3" w:rsidRPr="00947E57" w:rsidRDefault="009041A3" w:rsidP="009041A3">
      <w:pPr>
        <w:pStyle w:val="NormalWeb"/>
        <w:spacing w:before="0" w:beforeAutospacing="0" w:after="0" w:afterAutospacing="0"/>
        <w:ind w:firstLine="708"/>
        <w:contextualSpacing/>
        <w:jc w:val="both"/>
        <w:rPr>
          <w:rFonts w:ascii="Verdana" w:hAnsi="Verdana" w:cs="Arial"/>
          <w:sz w:val="14"/>
          <w:szCs w:val="14"/>
        </w:rPr>
      </w:pPr>
      <w:r w:rsidRPr="00947E57">
        <w:rPr>
          <w:rFonts w:ascii="Verdana" w:hAnsi="Verdana" w:cs="Arial"/>
          <w:sz w:val="14"/>
          <w:szCs w:val="14"/>
        </w:rPr>
        <w:t>En todo caso, no podrán financiarse gastos permanentes y, una vez terminada la etapa de inversión, la prestación del servicio debe ser sostenible y financiada por recursos diferentes al Sistema General de Regalías.</w:t>
      </w:r>
    </w:p>
    <w:p w14:paraId="0B352488" w14:textId="77777777" w:rsidR="009041A3" w:rsidRPr="00947E57" w:rsidRDefault="009041A3" w:rsidP="009041A3">
      <w:pPr>
        <w:pStyle w:val="NormalWeb"/>
        <w:spacing w:before="0" w:beforeAutospacing="0" w:after="0" w:afterAutospacing="0"/>
        <w:ind w:firstLine="708"/>
        <w:contextualSpacing/>
        <w:jc w:val="both"/>
        <w:rPr>
          <w:rFonts w:ascii="Verdana" w:hAnsi="Verdana"/>
          <w:sz w:val="14"/>
          <w:szCs w:val="14"/>
        </w:rPr>
      </w:pPr>
      <w:r w:rsidRPr="00947E57">
        <w:rPr>
          <w:rStyle w:val="baj"/>
          <w:rFonts w:ascii="Verdana" w:hAnsi="Verdana" w:cs="Arial"/>
          <w:bCs/>
          <w:sz w:val="14"/>
          <w:szCs w:val="14"/>
        </w:rPr>
        <w:t>Parágrafo.</w:t>
      </w:r>
      <w:r w:rsidRPr="00947E57">
        <w:rPr>
          <w:rFonts w:ascii="Verdana" w:hAnsi="Verdana" w:cs="Arial"/>
          <w:sz w:val="14"/>
          <w:szCs w:val="14"/>
        </w:rPr>
        <w:t> Los recursos de que trata este artículo podrán ser usados para financiar parte del Programa de Alimentación Escolar (PAE) y del programa de transporte escolar</w:t>
      </w:r>
      <w:r w:rsidRPr="00947E57">
        <w:rPr>
          <w:rFonts w:ascii="Verdana" w:hAnsi="Verdana" w:cs="Arial"/>
          <w:color w:val="000000" w:themeColor="text1"/>
          <w:sz w:val="14"/>
          <w:szCs w:val="14"/>
          <w:lang w:val="es-ES_tradnl"/>
        </w:rPr>
        <w:t>»</w:t>
      </w:r>
      <w:r w:rsidRPr="00947E57">
        <w:rPr>
          <w:rFonts w:ascii="Verdana" w:hAnsi="Verdana" w:cs="Arial"/>
          <w:sz w:val="14"/>
          <w:szCs w:val="14"/>
        </w:rPr>
        <w:t>.</w:t>
      </w:r>
    </w:p>
  </w:footnote>
  <w:footnote w:id="7">
    <w:p w14:paraId="10C73BFE" w14:textId="77777777" w:rsidR="009041A3" w:rsidRPr="00947E57" w:rsidRDefault="009041A3" w:rsidP="009041A3">
      <w:pPr>
        <w:pStyle w:val="NormalWeb"/>
        <w:spacing w:after="0"/>
        <w:ind w:firstLine="708"/>
        <w:contextualSpacing/>
        <w:jc w:val="both"/>
        <w:rPr>
          <w:rFonts w:ascii="Verdana" w:hAnsi="Verdana" w:cs="Arial"/>
          <w:sz w:val="14"/>
          <w:szCs w:val="14"/>
        </w:rPr>
      </w:pPr>
    </w:p>
    <w:p w14:paraId="465536CC" w14:textId="77777777" w:rsidR="009041A3" w:rsidRPr="00947E57" w:rsidRDefault="009041A3" w:rsidP="009041A3">
      <w:pPr>
        <w:pStyle w:val="NormalWeb"/>
        <w:spacing w:before="0" w:beforeAutospacing="0" w:after="0" w:afterAutospacing="0"/>
        <w:ind w:firstLine="708"/>
        <w:contextualSpacing/>
        <w:jc w:val="both"/>
        <w:rPr>
          <w:rFonts w:ascii="Verdana" w:hAnsi="Verdana" w:cs="Arial"/>
          <w:sz w:val="14"/>
          <w:szCs w:val="14"/>
          <w:lang w:eastAsia="en-US"/>
        </w:rPr>
      </w:pPr>
      <w:r w:rsidRPr="00947E57">
        <w:rPr>
          <w:rStyle w:val="Refdenotaalpie"/>
          <w:rFonts w:ascii="Verdana" w:hAnsi="Verdana" w:cs="Arial"/>
          <w:sz w:val="14"/>
          <w:szCs w:val="14"/>
        </w:rPr>
        <w:footnoteRef/>
      </w:r>
      <w:r w:rsidRPr="00947E57">
        <w:rPr>
          <w:rFonts w:ascii="Verdana" w:hAnsi="Verdana" w:cs="Arial"/>
          <w:sz w:val="14"/>
          <w:szCs w:val="14"/>
        </w:rPr>
        <w:t xml:space="preserve"> </w:t>
      </w:r>
      <w:bookmarkStart w:id="5" w:name="35"/>
      <w:r w:rsidRPr="00947E57">
        <w:rPr>
          <w:rFonts w:ascii="Verdana" w:hAnsi="Verdana" w:cs="Arial"/>
          <w:sz w:val="14"/>
          <w:szCs w:val="14"/>
        </w:rPr>
        <w:t>“</w:t>
      </w:r>
      <w:r w:rsidRPr="00947E57">
        <w:rPr>
          <w:rFonts w:ascii="Verdana" w:hAnsi="Verdana" w:cs="Arial"/>
          <w:bCs/>
          <w:sz w:val="14"/>
          <w:szCs w:val="14"/>
        </w:rPr>
        <w:t>Artículo 35. Priorización y aprobación de los proyectos de inversión de la asignación para la inversión regional.</w:t>
      </w:r>
      <w:bookmarkEnd w:id="5"/>
      <w:r w:rsidRPr="00947E57">
        <w:rPr>
          <w:rFonts w:ascii="Verdana" w:hAnsi="Verdana" w:cs="Arial"/>
          <w:sz w:val="14"/>
          <w:szCs w:val="14"/>
        </w:rPr>
        <w:t> La priorización y aprobación de los proyectos de inversión de la Asignación para la Inversión Regional en cabeza de los departamentos estará a cargo de los respectivos departamentos.</w:t>
      </w:r>
    </w:p>
    <w:p w14:paraId="4E23FA70" w14:textId="77777777" w:rsidR="009041A3" w:rsidRPr="00947E57" w:rsidRDefault="009041A3" w:rsidP="009041A3">
      <w:pPr>
        <w:pStyle w:val="NormalWeb"/>
        <w:spacing w:before="0" w:beforeAutospacing="0" w:after="0" w:afterAutospacing="0"/>
        <w:ind w:firstLine="708"/>
        <w:contextualSpacing/>
        <w:jc w:val="both"/>
        <w:rPr>
          <w:rFonts w:ascii="Verdana" w:hAnsi="Verdana" w:cs="Arial"/>
          <w:sz w:val="14"/>
          <w:szCs w:val="14"/>
        </w:rPr>
      </w:pPr>
      <w:r w:rsidRPr="00947E57">
        <w:rPr>
          <w:rFonts w:ascii="Verdana" w:hAnsi="Verdana" w:cs="Arial"/>
          <w:sz w:val="14"/>
          <w:szCs w:val="14"/>
        </w:rPr>
        <w:t>La aprobación de los proyectos de inversión de la Asignación para la Inversión Regional en cabeza de las regiones se realizará por parte de los Órganos Colegiados de Administración y Decisión Regionales, previa priorización del proyecto, proceso que estará a cargo del Departamento Nacional de Planeación y un miembro de la entidad territorial designado por el OCAD, de conformidad con la reglamentación que se expida para el efecto.</w:t>
      </w:r>
    </w:p>
    <w:p w14:paraId="554B7BB8" w14:textId="77777777" w:rsidR="009041A3" w:rsidRPr="00947E57" w:rsidRDefault="009041A3" w:rsidP="009041A3">
      <w:pPr>
        <w:pStyle w:val="NormalWeb"/>
        <w:spacing w:after="0"/>
        <w:contextualSpacing/>
        <w:jc w:val="both"/>
        <w:rPr>
          <w:rFonts w:ascii="Verdana" w:hAnsi="Verdana" w:cs="Arial"/>
          <w:sz w:val="14"/>
          <w:szCs w:val="14"/>
        </w:rPr>
      </w:pPr>
      <w:r w:rsidRPr="00947E57">
        <w:rPr>
          <w:rFonts w:ascii="Verdana" w:hAnsi="Verdana" w:cs="Arial"/>
          <w:sz w:val="14"/>
          <w:szCs w:val="14"/>
        </w:rPr>
        <w:t>[…]</w:t>
      </w:r>
    </w:p>
    <w:p w14:paraId="4BD6244D" w14:textId="77777777" w:rsidR="009041A3" w:rsidRPr="00947E57" w:rsidRDefault="009041A3" w:rsidP="009041A3">
      <w:pPr>
        <w:pStyle w:val="NormalWeb"/>
        <w:spacing w:before="0" w:beforeAutospacing="0" w:after="0" w:afterAutospacing="0"/>
        <w:ind w:firstLine="708"/>
        <w:contextualSpacing/>
        <w:jc w:val="both"/>
        <w:rPr>
          <w:rFonts w:ascii="Verdana" w:hAnsi="Verdana" w:cs="Arial"/>
          <w:sz w:val="14"/>
          <w:szCs w:val="14"/>
        </w:rPr>
      </w:pPr>
      <w:r w:rsidRPr="00947E57">
        <w:rPr>
          <w:rStyle w:val="baj"/>
          <w:rFonts w:ascii="Verdana" w:hAnsi="Verdana" w:cs="Arial"/>
          <w:bCs/>
          <w:sz w:val="14"/>
          <w:szCs w:val="14"/>
        </w:rPr>
        <w:t>Parágrafo 1o.</w:t>
      </w:r>
      <w:r w:rsidRPr="00947E57">
        <w:rPr>
          <w:rFonts w:ascii="Verdana" w:hAnsi="Verdana" w:cs="Arial"/>
          <w:sz w:val="14"/>
          <w:szCs w:val="14"/>
        </w:rPr>
        <w:t> En las zonas no interconectadas del país, tendrán especial consideración los proyectos de energización, conectividad e infraestructura vial.</w:t>
      </w:r>
    </w:p>
    <w:p w14:paraId="713B6B5F" w14:textId="77777777" w:rsidR="009041A3" w:rsidRPr="00947E57" w:rsidRDefault="009041A3" w:rsidP="009041A3">
      <w:pPr>
        <w:pStyle w:val="NormalWeb"/>
        <w:spacing w:after="0"/>
        <w:ind w:firstLine="708"/>
        <w:contextualSpacing/>
        <w:jc w:val="both"/>
        <w:rPr>
          <w:rFonts w:ascii="Verdana" w:hAnsi="Verdana" w:cs="Arial"/>
          <w:sz w:val="14"/>
          <w:szCs w:val="14"/>
        </w:rPr>
      </w:pPr>
      <w:r w:rsidRPr="00947E57">
        <w:rPr>
          <w:rStyle w:val="baj"/>
          <w:rFonts w:ascii="Verdana" w:hAnsi="Verdana" w:cs="Arial"/>
          <w:bCs/>
          <w:sz w:val="14"/>
          <w:szCs w:val="14"/>
        </w:rPr>
        <w:t>Parágrafo 2o.</w:t>
      </w:r>
      <w:r w:rsidRPr="00947E57">
        <w:rPr>
          <w:rFonts w:ascii="Verdana" w:hAnsi="Verdana" w:cs="Arial"/>
          <w:sz w:val="14"/>
          <w:szCs w:val="14"/>
        </w:rPr>
        <w:t> Los Departamentos y Órganos Colegiados de Administración y Decisión Regionales de que trata el presente artículo, en el marco de sus competencias, designarán al ejecutor el cual deberá ser de naturaleza pública; quien además estará a cargo de la contratación de la interventoría, de conformidad con lo previsto en la presente ley</w:t>
      </w:r>
      <w:r w:rsidRPr="00947E57">
        <w:rPr>
          <w:rFonts w:ascii="Verdana" w:hAnsi="Verdana" w:cs="Arial"/>
          <w:sz w:val="14"/>
          <w:szCs w:val="14"/>
          <w:lang w:val="es-ES"/>
        </w:rPr>
        <w:t>”</w:t>
      </w:r>
      <w:r w:rsidRPr="00947E57">
        <w:rPr>
          <w:rFonts w:ascii="Verdana" w:hAnsi="Verdana" w:cs="Arial"/>
          <w:sz w:val="14"/>
          <w:szCs w:val="14"/>
        </w:rPr>
        <w:t>.</w:t>
      </w:r>
    </w:p>
    <w:p w14:paraId="0F930DB5" w14:textId="77777777" w:rsidR="009041A3" w:rsidRPr="00947E57" w:rsidRDefault="009041A3" w:rsidP="009041A3">
      <w:pPr>
        <w:pStyle w:val="NormalWeb"/>
        <w:spacing w:after="0"/>
        <w:ind w:firstLine="708"/>
        <w:contextualSpacing/>
        <w:jc w:val="both"/>
        <w:rPr>
          <w:rFonts w:ascii="Verdana" w:hAnsi="Verdana" w:cs="Arial"/>
          <w:sz w:val="14"/>
          <w:szCs w:val="14"/>
        </w:rPr>
      </w:pPr>
    </w:p>
  </w:footnote>
  <w:footnote w:id="8">
    <w:p w14:paraId="17818557" w14:textId="77777777" w:rsidR="009041A3" w:rsidRPr="00947E57" w:rsidRDefault="009041A3" w:rsidP="009041A3">
      <w:pPr>
        <w:pStyle w:val="NormalWeb"/>
        <w:spacing w:before="0" w:beforeAutospacing="0" w:after="0" w:afterAutospacing="0"/>
        <w:ind w:firstLine="708"/>
        <w:contextualSpacing/>
        <w:jc w:val="both"/>
        <w:rPr>
          <w:rFonts w:ascii="Verdana" w:hAnsi="Verdana" w:cs="Arial"/>
          <w:sz w:val="14"/>
          <w:szCs w:val="14"/>
          <w:lang w:eastAsia="en-US"/>
        </w:rPr>
      </w:pPr>
      <w:r w:rsidRPr="00947E57">
        <w:rPr>
          <w:rStyle w:val="Refdenotaalpie"/>
          <w:rFonts w:ascii="Verdana" w:hAnsi="Verdana" w:cs="Arial"/>
          <w:sz w:val="14"/>
          <w:szCs w:val="14"/>
        </w:rPr>
        <w:footnoteRef/>
      </w:r>
      <w:bookmarkStart w:id="6" w:name="36"/>
      <w:r w:rsidRPr="00947E57">
        <w:rPr>
          <w:rFonts w:ascii="Verdana" w:hAnsi="Verdana" w:cs="Arial"/>
          <w:sz w:val="14"/>
          <w:szCs w:val="14"/>
        </w:rPr>
        <w:t xml:space="preserve">“Artículo 36. </w:t>
      </w:r>
      <w:r w:rsidRPr="00947E57">
        <w:rPr>
          <w:rFonts w:ascii="Verdana" w:hAnsi="Verdana" w:cs="Arial"/>
          <w:bCs/>
          <w:sz w:val="14"/>
          <w:szCs w:val="14"/>
        </w:rPr>
        <w:t>Priorización y aprobación de proyectos de inversión para las asignaciones directas y asignación para la inversión local.</w:t>
      </w:r>
      <w:bookmarkEnd w:id="6"/>
      <w:r w:rsidRPr="00947E57">
        <w:rPr>
          <w:rFonts w:ascii="Verdana" w:hAnsi="Verdana" w:cs="Arial"/>
          <w:sz w:val="14"/>
          <w:szCs w:val="14"/>
        </w:rPr>
        <w:t xml:space="preserve"> Las entidades territoriales receptoras de Asignaciones Directas y de la Asignación para la Inversión Local, serán las encargadas de priorizar y aprobar los proyectos de inversión que se financiarán con cargo a los recursos que le sean asignados por el Sistema General de Regalías, así como de verificar su disponibilidad, conforme con la metodología del Departamento Nacional de Planeación.</w:t>
      </w:r>
    </w:p>
    <w:p w14:paraId="5EE51100" w14:textId="77777777" w:rsidR="009041A3" w:rsidRPr="00947E57" w:rsidRDefault="009041A3" w:rsidP="009041A3">
      <w:pPr>
        <w:pStyle w:val="NormalWeb"/>
        <w:spacing w:before="0" w:beforeAutospacing="0" w:after="0" w:afterAutospacing="0"/>
        <w:ind w:firstLine="708"/>
        <w:contextualSpacing/>
        <w:jc w:val="both"/>
        <w:rPr>
          <w:rFonts w:ascii="Verdana" w:hAnsi="Verdana" w:cs="Arial"/>
          <w:sz w:val="14"/>
          <w:szCs w:val="14"/>
        </w:rPr>
      </w:pPr>
      <w:r w:rsidRPr="00947E57">
        <w:rPr>
          <w:rStyle w:val="baj"/>
          <w:rFonts w:ascii="Verdana" w:hAnsi="Verdana" w:cs="Arial"/>
          <w:bCs/>
          <w:sz w:val="14"/>
          <w:szCs w:val="14"/>
        </w:rPr>
        <w:t>Parágrafo.</w:t>
      </w:r>
      <w:r w:rsidRPr="00947E57">
        <w:rPr>
          <w:rFonts w:ascii="Verdana" w:hAnsi="Verdana" w:cs="Arial"/>
          <w:sz w:val="14"/>
          <w:szCs w:val="14"/>
        </w:rPr>
        <w:t xml:space="preserve"> Las entidades territoriales receptoras de la Asignación para la Inversión Local deberán priorizar la inversión de los recursos de esta asignación en sectores que contribuyan y produzcan mayores cambios positivos al cierre de brechas territoriales de desarrollo económico, social, ambiental, agropecuario y para la infraestructura vial.</w:t>
      </w:r>
    </w:p>
    <w:p w14:paraId="14CA2843" w14:textId="77777777" w:rsidR="009041A3" w:rsidRPr="00947E57" w:rsidRDefault="009041A3" w:rsidP="009041A3">
      <w:pPr>
        <w:pStyle w:val="NormalWeb"/>
        <w:spacing w:before="0" w:beforeAutospacing="0" w:after="0" w:afterAutospacing="0"/>
        <w:ind w:firstLine="708"/>
        <w:contextualSpacing/>
        <w:jc w:val="both"/>
        <w:rPr>
          <w:rFonts w:ascii="Verdana" w:hAnsi="Verdana" w:cs="Arial"/>
          <w:sz w:val="14"/>
          <w:szCs w:val="14"/>
        </w:rPr>
      </w:pPr>
      <w:r w:rsidRPr="00947E57">
        <w:rPr>
          <w:rFonts w:ascii="Verdana" w:hAnsi="Verdana" w:cs="Arial"/>
          <w:sz w:val="14"/>
          <w:szCs w:val="14"/>
        </w:rPr>
        <w:t>Para tal efecto, el Departamento Nacional de Planeación establecerá la metodología para la priorización de sectores de inversión para el cierre de brechas de desarrollo económico, social, ambiental, agropecuario y para la infraestructura vial, entre otros, la cual podrá incluir una estrategia de implementación dirigida a las entidades territoriales.</w:t>
      </w:r>
    </w:p>
    <w:p w14:paraId="2A773E1A" w14:textId="77777777" w:rsidR="009041A3" w:rsidRPr="00947E57" w:rsidRDefault="009041A3" w:rsidP="009041A3">
      <w:pPr>
        <w:pStyle w:val="NormalWeb"/>
        <w:spacing w:before="0" w:beforeAutospacing="0" w:after="0" w:afterAutospacing="0"/>
        <w:ind w:firstLine="708"/>
        <w:contextualSpacing/>
        <w:jc w:val="both"/>
        <w:rPr>
          <w:rFonts w:ascii="Verdana" w:hAnsi="Verdana" w:cs="Arial"/>
          <w:sz w:val="14"/>
          <w:szCs w:val="14"/>
        </w:rPr>
      </w:pPr>
      <w:r w:rsidRPr="00947E57">
        <w:rPr>
          <w:rFonts w:ascii="Verdana" w:hAnsi="Verdana" w:cs="Arial"/>
          <w:sz w:val="14"/>
          <w:szCs w:val="14"/>
        </w:rPr>
        <w:t>Cuando las entidades territoriales hayan reducido las brechas de desarrollo económico, social, ambiental, agropecuario y para la infraestructura vial en el rango de porcentaje o nivel establecido por la metodología de la que trata el inciso anterior, podrán invertir los recursos en otros sectores.</w:t>
      </w:r>
    </w:p>
    <w:p w14:paraId="3B9621EB" w14:textId="77777777" w:rsidR="009041A3" w:rsidRPr="00947E57" w:rsidRDefault="009041A3" w:rsidP="009041A3">
      <w:pPr>
        <w:pStyle w:val="Textonotapie"/>
        <w:ind w:firstLine="708"/>
        <w:contextualSpacing/>
        <w:rPr>
          <w:rFonts w:ascii="Verdana" w:hAnsi="Verdana"/>
          <w:sz w:val="14"/>
          <w:szCs w:val="14"/>
          <w:lang w:val="es-CO"/>
        </w:rPr>
      </w:pPr>
      <w:r w:rsidRPr="00947E57">
        <w:rPr>
          <w:rFonts w:ascii="Verdana" w:hAnsi="Verdana" w:cs="Arial"/>
          <w:sz w:val="14"/>
          <w:szCs w:val="14"/>
          <w:lang w:val="es-ES"/>
        </w:rPr>
        <w:t xml:space="preserve"> </w:t>
      </w:r>
      <w:r w:rsidRPr="00947E57">
        <w:rPr>
          <w:rStyle w:val="baj"/>
          <w:rFonts w:ascii="Verdana" w:hAnsi="Verdana" w:cs="Arial"/>
          <w:bCs/>
          <w:sz w:val="14"/>
          <w:szCs w:val="14"/>
        </w:rPr>
        <w:t>Parágrafo transitorio.</w:t>
      </w:r>
      <w:r w:rsidRPr="00947E57">
        <w:rPr>
          <w:rFonts w:ascii="Verdana" w:hAnsi="Verdana" w:cs="Arial"/>
          <w:sz w:val="14"/>
          <w:szCs w:val="14"/>
        </w:rPr>
        <w:t> Para el año 2021 no aplicará la metodología de cierre de brechas de que trata el parágrafo anterior dirigida a las entidades territoriales receptoras de la Asignación para la Inversión Local</w:t>
      </w:r>
      <w:r w:rsidRPr="00947E57">
        <w:rPr>
          <w:rFonts w:ascii="Verdana" w:hAnsi="Verdana" w:cs="Arial"/>
          <w:sz w:val="14"/>
          <w:szCs w:val="14"/>
          <w:lang w:val="es-ES"/>
        </w:rPr>
        <w:t>”</w:t>
      </w:r>
      <w:r w:rsidRPr="00947E57">
        <w:rPr>
          <w:rFonts w:ascii="Verdana" w:hAnsi="Verdana" w:cs="Arial"/>
          <w:sz w:val="14"/>
          <w:szCs w:val="14"/>
        </w:rPr>
        <w:t>.</w:t>
      </w:r>
    </w:p>
  </w:footnote>
  <w:footnote w:id="9">
    <w:p w14:paraId="09A0103D" w14:textId="77777777" w:rsidR="009041A3" w:rsidRPr="00947E57" w:rsidRDefault="009041A3" w:rsidP="009041A3">
      <w:pPr>
        <w:spacing w:after="0" w:line="240" w:lineRule="auto"/>
        <w:ind w:firstLine="708"/>
        <w:contextualSpacing/>
        <w:jc w:val="both"/>
        <w:rPr>
          <w:rFonts w:ascii="Verdana" w:hAnsi="Verdana" w:cs="Arial"/>
          <w:sz w:val="14"/>
          <w:szCs w:val="14"/>
        </w:rPr>
      </w:pPr>
    </w:p>
    <w:p w14:paraId="5C9B9BCC" w14:textId="77777777" w:rsidR="009041A3" w:rsidRPr="00947E57" w:rsidRDefault="009041A3" w:rsidP="009041A3">
      <w:pPr>
        <w:spacing w:after="0" w:line="240" w:lineRule="auto"/>
        <w:ind w:firstLine="708"/>
        <w:contextualSpacing/>
        <w:jc w:val="both"/>
        <w:rPr>
          <w:rFonts w:ascii="Verdana" w:hAnsi="Verdana" w:cs="Arial"/>
          <w:sz w:val="14"/>
          <w:szCs w:val="14"/>
        </w:rPr>
      </w:pPr>
      <w:r w:rsidRPr="00947E57">
        <w:rPr>
          <w:rStyle w:val="Refdenotaalpie"/>
          <w:rFonts w:ascii="Verdana" w:hAnsi="Verdana" w:cs="Arial"/>
          <w:sz w:val="14"/>
          <w:szCs w:val="14"/>
        </w:rPr>
        <w:footnoteRef/>
      </w:r>
      <w:r w:rsidRPr="00947E57">
        <w:rPr>
          <w:rFonts w:ascii="Verdana" w:hAnsi="Verdana" w:cs="Arial"/>
          <w:sz w:val="14"/>
          <w:szCs w:val="14"/>
        </w:rPr>
        <w:t xml:space="preserve"> </w:t>
      </w:r>
      <w:bookmarkStart w:id="8" w:name="37"/>
      <w:r w:rsidRPr="00947E57">
        <w:rPr>
          <w:rFonts w:ascii="Verdana" w:hAnsi="Verdana" w:cs="Arial"/>
          <w:sz w:val="14"/>
          <w:szCs w:val="14"/>
        </w:rPr>
        <w:t>“</w:t>
      </w:r>
      <w:r w:rsidRPr="00947E57">
        <w:rPr>
          <w:rFonts w:ascii="Verdana" w:hAnsi="Verdana" w:cs="Arial"/>
          <w:bCs/>
          <w:sz w:val="14"/>
          <w:szCs w:val="14"/>
        </w:rPr>
        <w:t>Artículo 37. ejecución de proyectos de inversión.</w:t>
      </w:r>
      <w:bookmarkEnd w:id="8"/>
      <w:r w:rsidRPr="00947E57">
        <w:rPr>
          <w:rFonts w:ascii="Verdana" w:hAnsi="Verdana" w:cs="Arial"/>
          <w:sz w:val="14"/>
          <w:szCs w:val="14"/>
        </w:rPr>
        <w:t> los proyectos de inversión que se financien con cargo al sistema general de regalías serán ejecutados por quien designe las entidades u órganos de que tratan los artículos </w:t>
      </w:r>
      <w:hyperlink r:id="rId1" w:anchor="35" w:history="1">
        <w:r w:rsidRPr="00947E57">
          <w:rPr>
            <w:rFonts w:ascii="Verdana" w:hAnsi="Verdana" w:cs="Arial"/>
            <w:sz w:val="14"/>
            <w:szCs w:val="14"/>
          </w:rPr>
          <w:t>35</w:t>
        </w:r>
      </w:hyperlink>
      <w:r w:rsidRPr="00947E57">
        <w:rPr>
          <w:rFonts w:ascii="Verdana" w:hAnsi="Verdana" w:cs="Arial"/>
          <w:sz w:val="14"/>
          <w:szCs w:val="14"/>
        </w:rPr>
        <w:t> y </w:t>
      </w:r>
      <w:hyperlink r:id="rId2" w:anchor="36" w:history="1">
        <w:r w:rsidRPr="00947E57">
          <w:rPr>
            <w:rFonts w:ascii="Verdana" w:hAnsi="Verdana" w:cs="Arial"/>
            <w:sz w:val="14"/>
            <w:szCs w:val="14"/>
          </w:rPr>
          <w:t>36</w:t>
        </w:r>
      </w:hyperlink>
      <w:r w:rsidRPr="00947E57">
        <w:rPr>
          <w:rFonts w:ascii="Verdana" w:hAnsi="Verdana" w:cs="Arial"/>
          <w:sz w:val="14"/>
          <w:szCs w:val="14"/>
        </w:rPr>
        <w:t> de la presente ley. así mismo, la entidad ejecutora estará a cargo de la contratación de la interventoría, de conformidad con lo previsto en la presente ley.</w:t>
      </w:r>
    </w:p>
    <w:p w14:paraId="58B4BE52" w14:textId="77777777" w:rsidR="009041A3" w:rsidRPr="00947E57" w:rsidRDefault="009041A3" w:rsidP="009041A3">
      <w:pPr>
        <w:spacing w:after="0" w:line="240" w:lineRule="auto"/>
        <w:ind w:firstLine="708"/>
        <w:contextualSpacing/>
        <w:jc w:val="both"/>
        <w:rPr>
          <w:rFonts w:ascii="Verdana" w:hAnsi="Verdana" w:cs="Arial"/>
          <w:sz w:val="14"/>
          <w:szCs w:val="14"/>
        </w:rPr>
      </w:pPr>
      <w:r w:rsidRPr="00947E57">
        <w:rPr>
          <w:rFonts w:ascii="Verdana" w:hAnsi="Verdana" w:cs="Arial"/>
          <w:sz w:val="14"/>
          <w:szCs w:val="14"/>
        </w:rPr>
        <w:t>Las entidades ejecutoras de recursos del sistema son responsables de suministrar de forma veraz, oportuna e idónea, la información de la gestión de los proyectos que se requiera e implementar las acciones que sean pertinentes para encauzar el desempeño de los proyectos de inversión y decidir, de manera motivada, sobre la continuidad de los mismos, sin perjuicio de las acciones de control a las que haya lugar.</w:t>
      </w:r>
    </w:p>
    <w:p w14:paraId="28F62822" w14:textId="77777777" w:rsidR="009041A3" w:rsidRPr="00947E57" w:rsidRDefault="009041A3" w:rsidP="009041A3">
      <w:pPr>
        <w:spacing w:after="0" w:line="240" w:lineRule="auto"/>
        <w:ind w:firstLine="708"/>
        <w:contextualSpacing/>
        <w:jc w:val="both"/>
        <w:rPr>
          <w:rFonts w:ascii="Verdana" w:hAnsi="Verdana" w:cs="Arial"/>
          <w:sz w:val="14"/>
          <w:szCs w:val="14"/>
        </w:rPr>
      </w:pPr>
      <w:r w:rsidRPr="00947E57">
        <w:rPr>
          <w:rFonts w:ascii="Verdana" w:hAnsi="Verdana" w:cs="Arial"/>
          <w:bCs/>
          <w:sz w:val="14"/>
          <w:szCs w:val="14"/>
        </w:rPr>
        <w:t>Parágrafo 1o.</w:t>
      </w:r>
      <w:r w:rsidRPr="00947E57">
        <w:rPr>
          <w:rFonts w:ascii="Verdana" w:hAnsi="Verdana" w:cs="Arial"/>
          <w:sz w:val="14"/>
          <w:szCs w:val="14"/>
        </w:rPr>
        <w:t xml:space="preserve"> La ejecución de proyectos de que trata este artículo, se adelantará, con estricta sujeción al régimen presupuestal definido en esta ley, al de contratación pública y las demás normas legales vigentes. el ejecutor garantizará la correcta ejecución de los recursos asignados al proyecto de inversión, así como el suministro y registro de la información requerida por el sistema de seguimiento, evaluación y control.</w:t>
      </w:r>
    </w:p>
    <w:p w14:paraId="066E59C0" w14:textId="77777777" w:rsidR="009041A3" w:rsidRPr="00947E57" w:rsidRDefault="009041A3" w:rsidP="009041A3">
      <w:pPr>
        <w:spacing w:after="0" w:line="240" w:lineRule="auto"/>
        <w:ind w:firstLine="708"/>
        <w:contextualSpacing/>
        <w:jc w:val="both"/>
        <w:rPr>
          <w:rFonts w:ascii="Verdana" w:hAnsi="Verdana" w:cs="Arial"/>
          <w:sz w:val="14"/>
          <w:szCs w:val="14"/>
        </w:rPr>
      </w:pPr>
      <w:r w:rsidRPr="00947E57">
        <w:rPr>
          <w:rFonts w:ascii="Verdana" w:hAnsi="Verdana" w:cs="Arial"/>
          <w:bCs/>
          <w:sz w:val="14"/>
          <w:szCs w:val="14"/>
        </w:rPr>
        <w:t>Parágrafo 2o.</w:t>
      </w:r>
      <w:r w:rsidRPr="00947E57">
        <w:rPr>
          <w:rFonts w:ascii="Verdana" w:hAnsi="Verdana" w:cs="Arial"/>
          <w:sz w:val="14"/>
          <w:szCs w:val="14"/>
        </w:rPr>
        <w:t xml:space="preserve"> Las entidades territoriales beneficiarias de asignaciones directas, la asignación para la inversión local y del 60% de la asignación para la inversión regional en cabeza de los departamentos podrán ejecutar directamente estos recursos o la entidad ejecutora que designe.</w:t>
      </w:r>
    </w:p>
    <w:p w14:paraId="5275D378" w14:textId="77777777" w:rsidR="009041A3" w:rsidRPr="00947E57" w:rsidRDefault="009041A3" w:rsidP="009041A3">
      <w:pPr>
        <w:spacing w:after="0" w:line="240" w:lineRule="auto"/>
        <w:ind w:firstLine="708"/>
        <w:contextualSpacing/>
        <w:jc w:val="both"/>
        <w:rPr>
          <w:rFonts w:ascii="Verdana" w:hAnsi="Verdana" w:cs="Arial"/>
          <w:sz w:val="14"/>
          <w:szCs w:val="14"/>
        </w:rPr>
      </w:pPr>
      <w:r w:rsidRPr="00947E57">
        <w:rPr>
          <w:rFonts w:ascii="Verdana" w:hAnsi="Verdana" w:cs="Arial"/>
          <w:bCs/>
          <w:sz w:val="14"/>
          <w:szCs w:val="14"/>
        </w:rPr>
        <w:t>Parágrafo 3o.</w:t>
      </w:r>
      <w:r w:rsidRPr="00947E57">
        <w:rPr>
          <w:rFonts w:ascii="Verdana" w:hAnsi="Verdana" w:cs="Arial"/>
          <w:sz w:val="14"/>
          <w:szCs w:val="14"/>
        </w:rPr>
        <w:t xml:space="preserve"> La entidad designada ejecutora por las entidades u órganos de que tratan los artículos </w:t>
      </w:r>
      <w:hyperlink r:id="rId3" w:anchor="35" w:history="1">
        <w:r w:rsidRPr="00947E57">
          <w:rPr>
            <w:rFonts w:ascii="Verdana" w:hAnsi="Verdana" w:cs="Arial"/>
            <w:sz w:val="14"/>
            <w:szCs w:val="14"/>
          </w:rPr>
          <w:t>35</w:t>
        </w:r>
      </w:hyperlink>
      <w:r w:rsidRPr="00947E57">
        <w:rPr>
          <w:rFonts w:ascii="Verdana" w:hAnsi="Verdana" w:cs="Arial"/>
          <w:sz w:val="14"/>
          <w:szCs w:val="14"/>
        </w:rPr>
        <w:t xml:space="preserve"> y </w:t>
      </w:r>
      <w:hyperlink r:id="rId4" w:anchor="36" w:history="1">
        <w:r w:rsidRPr="00947E57">
          <w:rPr>
            <w:rFonts w:ascii="Verdana" w:hAnsi="Verdana" w:cs="Arial"/>
            <w:sz w:val="14"/>
            <w:szCs w:val="14"/>
          </w:rPr>
          <w:t>36</w:t>
        </w:r>
      </w:hyperlink>
      <w:r w:rsidRPr="00947E57">
        <w:rPr>
          <w:rFonts w:ascii="Verdana" w:hAnsi="Verdana" w:cs="Arial"/>
          <w:sz w:val="14"/>
          <w:szCs w:val="14"/>
        </w:rPr>
        <w:t>, deberá expedir el acto administrativo que ordena la apertura del proceso de selección o acto administrativo unilateral que decreta el gasto con cargo a los recursos asignados, a más tardar dentro de los seis (6) meses contados a partir de la publicación del acuerdo de aprobación del proyecto de inversión que emita la entidad o instancia, según corresponda, y será la responsable de verificar el cumplimiento de los requisitos legales para el inicio de la ejecución del proyecto de inversión.</w:t>
      </w:r>
    </w:p>
    <w:p w14:paraId="0D3E8FB1" w14:textId="77777777" w:rsidR="009041A3" w:rsidRPr="00947E57" w:rsidRDefault="009041A3" w:rsidP="009041A3">
      <w:pPr>
        <w:spacing w:after="0" w:line="240" w:lineRule="auto"/>
        <w:ind w:firstLine="708"/>
        <w:contextualSpacing/>
        <w:jc w:val="both"/>
        <w:rPr>
          <w:rFonts w:ascii="Verdana" w:hAnsi="Verdana" w:cs="Arial"/>
          <w:sz w:val="14"/>
          <w:szCs w:val="14"/>
        </w:rPr>
      </w:pPr>
      <w:r w:rsidRPr="00947E57">
        <w:rPr>
          <w:rFonts w:ascii="Verdana" w:hAnsi="Verdana" w:cs="Arial"/>
          <w:sz w:val="14"/>
          <w:szCs w:val="14"/>
        </w:rPr>
        <w:t>En caso de no cumplirse lo anterior, las entidades u órganos liberarán automáticamente los recursos para la aprobación de nuevos proyectos de inversión y reportarán estos casos al sistema de seguimiento, evaluación y control para que se tengan en cuenta en la medición del desempeño en la gestión de los recursos del sistema general de regalías y a los órganos de control.</w:t>
      </w:r>
    </w:p>
    <w:p w14:paraId="341B3EC3" w14:textId="77777777" w:rsidR="009041A3" w:rsidRPr="00947E57" w:rsidRDefault="009041A3" w:rsidP="009041A3">
      <w:pPr>
        <w:spacing w:after="0" w:line="240" w:lineRule="auto"/>
        <w:ind w:firstLine="708"/>
        <w:contextualSpacing/>
        <w:jc w:val="both"/>
        <w:rPr>
          <w:rFonts w:ascii="Verdana" w:hAnsi="Verdana" w:cs="Arial"/>
          <w:sz w:val="14"/>
          <w:szCs w:val="14"/>
        </w:rPr>
      </w:pPr>
      <w:r w:rsidRPr="00947E57">
        <w:rPr>
          <w:rFonts w:ascii="Verdana" w:hAnsi="Verdana" w:cs="Arial"/>
          <w:sz w:val="14"/>
          <w:szCs w:val="14"/>
        </w:rPr>
        <w:t>Se exceptúan los casos en los que por causas no atribuibles a la entidad designada como ejecutora no se logre expedir el acto administrativo que ordena la apertura del proceso de selección o acto administrativo unilateral que decreta el gasto con cargo a los recursos asignados en los seis (6) meses, caso en el cual las entidades u órganos podrán prorrogar hasta por doce (12) meses más lo estipulado en este parágrafo. la comisión rectora del sistema general de regalías reglamentará estos casos</w:t>
      </w:r>
      <w:r w:rsidRPr="00947E57">
        <w:rPr>
          <w:rFonts w:ascii="Verdana" w:hAnsi="Verdana" w:cs="Arial"/>
          <w:sz w:val="14"/>
          <w:szCs w:val="14"/>
          <w:lang w:val="es-ES"/>
        </w:rPr>
        <w:t>”</w:t>
      </w:r>
      <w:r w:rsidRPr="00947E57">
        <w:rPr>
          <w:rFonts w:ascii="Verdana" w:hAnsi="Verdana" w:cs="Arial"/>
          <w:sz w:val="14"/>
          <w:szCs w:val="14"/>
        </w:rPr>
        <w:t>.</w:t>
      </w:r>
    </w:p>
    <w:p w14:paraId="144380EE" w14:textId="77777777" w:rsidR="009041A3" w:rsidRPr="00947E57" w:rsidRDefault="009041A3" w:rsidP="009041A3">
      <w:pPr>
        <w:spacing w:after="0" w:line="240" w:lineRule="auto"/>
        <w:ind w:firstLine="708"/>
        <w:contextualSpacing/>
        <w:jc w:val="both"/>
        <w:rPr>
          <w:rFonts w:ascii="Verdana" w:hAnsi="Verdana"/>
          <w:sz w:val="14"/>
          <w:szCs w:val="14"/>
        </w:rPr>
      </w:pPr>
    </w:p>
  </w:footnote>
  <w:footnote w:id="10">
    <w:p w14:paraId="65F041EF" w14:textId="77777777" w:rsidR="007726C3" w:rsidRPr="00677B2E" w:rsidRDefault="007726C3" w:rsidP="007726C3">
      <w:pPr>
        <w:pStyle w:val="Textonotapie"/>
        <w:ind w:firstLine="708"/>
        <w:contextualSpacing/>
        <w:jc w:val="both"/>
        <w:rPr>
          <w:rFonts w:ascii="Verdana" w:hAnsi="Verdana" w:cs="Arial"/>
          <w:sz w:val="16"/>
          <w:szCs w:val="16"/>
        </w:rPr>
      </w:pPr>
      <w:r w:rsidRPr="00677B2E">
        <w:rPr>
          <w:rFonts w:ascii="Verdana" w:hAnsi="Verdana"/>
          <w:sz w:val="16"/>
          <w:szCs w:val="16"/>
          <w:vertAlign w:val="superscript"/>
        </w:rPr>
        <w:footnoteRef/>
      </w:r>
      <w:r w:rsidRPr="00677B2E">
        <w:rPr>
          <w:rFonts w:ascii="Verdana" w:hAnsi="Verdana" w:cs="Arial"/>
          <w:sz w:val="16"/>
          <w:szCs w:val="16"/>
          <w:vertAlign w:val="superscript"/>
        </w:rPr>
        <w:t xml:space="preserve"> </w:t>
      </w:r>
      <w:r w:rsidRPr="00677B2E">
        <w:rPr>
          <w:rFonts w:ascii="Verdana" w:hAnsi="Verdana" w:cs="Arial"/>
          <w:sz w:val="16"/>
          <w:szCs w:val="16"/>
        </w:rPr>
        <w:t>El inciso final del numeral 5 “encargos fiduciarios y fiducia pública” del artículo 32 de la Ley 80 de 1993 señala lo siguiente: “So pena de nulidad no podrán celebrarse contratos de fiducia o subcontratos en contravención del artículo 355 de la Constitución Política. Si tal evento se diese, la entidad fideicomitente deberá repetir contra la persona, natural o jurídica, adjudicataria del respectivo contrato”.</w:t>
      </w:r>
    </w:p>
    <w:p w14:paraId="4D1E6C4D" w14:textId="77777777" w:rsidR="007726C3" w:rsidRPr="00677B2E" w:rsidRDefault="007726C3" w:rsidP="007726C3">
      <w:pPr>
        <w:pStyle w:val="Textonotapie"/>
        <w:ind w:firstLine="708"/>
        <w:contextualSpacing/>
        <w:jc w:val="both"/>
        <w:rPr>
          <w:rFonts w:ascii="Verdana" w:hAnsi="Verdana" w:cs="Arial"/>
          <w:sz w:val="16"/>
          <w:szCs w:val="16"/>
        </w:rPr>
      </w:pPr>
    </w:p>
  </w:footnote>
  <w:footnote w:id="11">
    <w:p w14:paraId="232DB731" w14:textId="77777777" w:rsidR="007726C3" w:rsidRPr="00677B2E" w:rsidRDefault="007726C3" w:rsidP="007726C3">
      <w:pPr>
        <w:pStyle w:val="Textonotapie"/>
        <w:ind w:firstLine="708"/>
        <w:contextualSpacing/>
        <w:jc w:val="both"/>
        <w:rPr>
          <w:rFonts w:ascii="Verdana" w:hAnsi="Verdana" w:cs="Arial"/>
          <w:sz w:val="16"/>
          <w:szCs w:val="16"/>
        </w:rPr>
      </w:pPr>
      <w:r w:rsidRPr="00677B2E">
        <w:rPr>
          <w:rFonts w:ascii="Verdana" w:hAnsi="Verdana"/>
          <w:sz w:val="16"/>
          <w:szCs w:val="16"/>
          <w:vertAlign w:val="superscript"/>
        </w:rPr>
        <w:footnoteRef/>
      </w:r>
      <w:r w:rsidRPr="00677B2E">
        <w:rPr>
          <w:rFonts w:ascii="Verdana" w:hAnsi="Verdana" w:cs="Arial"/>
          <w:sz w:val="16"/>
          <w:szCs w:val="16"/>
        </w:rPr>
        <w:t xml:space="preserve">  El literal c del numeral 4 del artículo 2 de la Ley 1150 de 2007 dispone que: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w:t>
      </w:r>
    </w:p>
    <w:p w14:paraId="2BD997E3" w14:textId="77777777" w:rsidR="007726C3" w:rsidRPr="00677B2E" w:rsidRDefault="007726C3" w:rsidP="007726C3">
      <w:pPr>
        <w:pStyle w:val="Textonotapie"/>
        <w:ind w:firstLine="708"/>
        <w:contextualSpacing/>
        <w:jc w:val="both"/>
        <w:rPr>
          <w:rFonts w:ascii="Verdana" w:hAnsi="Verdana" w:cs="Arial"/>
          <w:sz w:val="16"/>
          <w:szCs w:val="16"/>
        </w:rPr>
      </w:pPr>
    </w:p>
  </w:footnote>
  <w:footnote w:id="12">
    <w:p w14:paraId="55A4A512" w14:textId="77777777" w:rsidR="007726C3" w:rsidRPr="00677B2E" w:rsidRDefault="007726C3" w:rsidP="007726C3">
      <w:pPr>
        <w:pStyle w:val="Textonotapie"/>
        <w:ind w:firstLine="708"/>
        <w:contextualSpacing/>
        <w:jc w:val="both"/>
        <w:rPr>
          <w:rFonts w:ascii="Verdana" w:hAnsi="Verdana" w:cs="Arial"/>
          <w:sz w:val="16"/>
          <w:szCs w:val="16"/>
        </w:rPr>
      </w:pPr>
      <w:r w:rsidRPr="00677B2E">
        <w:rPr>
          <w:rFonts w:ascii="Verdana" w:hAnsi="Verdana"/>
          <w:sz w:val="16"/>
          <w:szCs w:val="16"/>
          <w:vertAlign w:val="superscript"/>
        </w:rPr>
        <w:footnoteRef/>
      </w:r>
      <w:r w:rsidRPr="00677B2E">
        <w:rPr>
          <w:rFonts w:ascii="Verdana" w:hAnsi="Verdana" w:cs="Arial"/>
          <w:sz w:val="16"/>
          <w:szCs w:val="16"/>
        </w:rPr>
        <w:t xml:space="preserve"> El artículo 2.2.1.2.3.1.5 del Decreto 1082 de 2015 hace mención a la subcontratación en lo relacionado con las garantías, particularmente en los riesgos a los que se encuentran expuestas las entidades estatales, derivados de la responsabilidad extracontractual que pueda surgir por las actuaciones, hechos u omisiones de sus contratistas y subcontratistas.</w:t>
      </w:r>
    </w:p>
    <w:p w14:paraId="285D99ED" w14:textId="77777777" w:rsidR="007726C3" w:rsidRPr="00677B2E" w:rsidRDefault="007726C3" w:rsidP="007726C3">
      <w:pPr>
        <w:pStyle w:val="Textonotapie"/>
        <w:ind w:firstLine="708"/>
        <w:contextualSpacing/>
        <w:jc w:val="both"/>
        <w:rPr>
          <w:rFonts w:ascii="Verdana" w:hAnsi="Verdana" w:cs="Arial"/>
          <w:sz w:val="16"/>
          <w:szCs w:val="16"/>
        </w:rPr>
      </w:pPr>
      <w:r w:rsidRPr="00677B2E">
        <w:rPr>
          <w:rFonts w:ascii="Verdana" w:hAnsi="Verdana" w:cs="Arial"/>
          <w:sz w:val="16"/>
          <w:szCs w:val="16"/>
        </w:rPr>
        <w:t xml:space="preserve"> </w:t>
      </w:r>
    </w:p>
  </w:footnote>
  <w:footnote w:id="13">
    <w:p w14:paraId="29E6F2A3" w14:textId="77777777" w:rsidR="007726C3" w:rsidRDefault="007726C3" w:rsidP="007726C3">
      <w:pPr>
        <w:pStyle w:val="Textonotapie"/>
        <w:ind w:firstLine="709"/>
        <w:contextualSpacing/>
        <w:jc w:val="both"/>
        <w:rPr>
          <w:rFonts w:ascii="Verdana" w:hAnsi="Verdana" w:cs="Arial"/>
          <w:sz w:val="16"/>
          <w:szCs w:val="16"/>
        </w:rPr>
      </w:pPr>
      <w:r w:rsidRPr="00677B2E">
        <w:rPr>
          <w:rStyle w:val="Refdenotaalpie"/>
          <w:rFonts w:ascii="Verdana" w:hAnsi="Verdana"/>
          <w:sz w:val="16"/>
          <w:szCs w:val="16"/>
        </w:rPr>
        <w:footnoteRef/>
      </w:r>
      <w:r w:rsidRPr="00677B2E">
        <w:rPr>
          <w:rFonts w:ascii="Verdana" w:hAnsi="Verdana"/>
          <w:sz w:val="16"/>
          <w:szCs w:val="16"/>
        </w:rPr>
        <w:t xml:space="preserve"> </w:t>
      </w:r>
      <w:r w:rsidRPr="00677B2E">
        <w:rPr>
          <w:rFonts w:ascii="Verdana" w:hAnsi="Verdana" w:cs="Arial"/>
          <w:sz w:val="16"/>
          <w:szCs w:val="16"/>
        </w:rPr>
        <w:t>El artículo 7 del Decreto 092 de 2017 señala lo siguiente: “La contratación a la que hace referencia el presente decreto está sujeta a los principios de la contratación estatal y a las normas presupuestales aplicables. En consecuencia, las normas relativas a la publicidad son de obligatorio cumplimiento, por lo cual, la actividad contractual y los Documentos del Proceso de que trata el presente decreto deberán ser objeto de publicación en el Sistema Electrónico de Contratación Pública (SECOP). Adicionalmente, la entidad privada sin ánimo de lucro contratista deberá entregar a la Entidad Estatal, y esta publicar en el SECOP, la información relativa a los subcontratos que suscriba para desarrollar el programa o actividad de interés público previsto en el Plan Nacional o seccional de Desarrollo, incluyendo los datos referentes a la existencia y representación legal de la entidad con quien contrató y la información de pagos” (Énfasis por fuera de texto).</w:t>
      </w:r>
    </w:p>
    <w:p w14:paraId="1BF73361" w14:textId="77777777" w:rsidR="007726C3" w:rsidRPr="00677B2E" w:rsidRDefault="007726C3" w:rsidP="007726C3">
      <w:pPr>
        <w:pStyle w:val="Textonotapie"/>
        <w:ind w:firstLine="709"/>
        <w:contextualSpacing/>
        <w:jc w:val="both"/>
        <w:rPr>
          <w:rFonts w:ascii="Verdana" w:hAnsi="Verdana" w:cs="Arial"/>
          <w:sz w:val="16"/>
          <w:szCs w:val="16"/>
        </w:rPr>
      </w:pPr>
    </w:p>
  </w:footnote>
  <w:footnote w:id="14">
    <w:p w14:paraId="757AD3BF" w14:textId="77777777" w:rsidR="007726C3" w:rsidRDefault="007726C3" w:rsidP="007726C3">
      <w:pPr>
        <w:pStyle w:val="Textonotapie"/>
        <w:ind w:firstLine="708"/>
        <w:contextualSpacing/>
        <w:jc w:val="both"/>
        <w:rPr>
          <w:rFonts w:ascii="Verdana" w:hAnsi="Verdana" w:cs="Arial"/>
          <w:sz w:val="16"/>
          <w:szCs w:val="16"/>
        </w:rPr>
      </w:pPr>
      <w:r w:rsidRPr="00AF589E">
        <w:rPr>
          <w:rFonts w:ascii="Verdana" w:hAnsi="Verdana"/>
          <w:sz w:val="16"/>
          <w:szCs w:val="16"/>
          <w:vertAlign w:val="superscript"/>
        </w:rPr>
        <w:footnoteRef/>
      </w:r>
      <w:r w:rsidRPr="00AF589E">
        <w:rPr>
          <w:rFonts w:ascii="Verdana" w:hAnsi="Verdana" w:cs="Arial"/>
          <w:sz w:val="16"/>
          <w:szCs w:val="16"/>
        </w:rPr>
        <w:t xml:space="preserve"> Consejo de Estado. Sección Tercera. Subsección C. Sentencia del 12 de agosto de 2013. Radicación número: 52001-23-31-000-1999-00985-01 (23.088) C.P: Enrique Gil Botero. </w:t>
      </w:r>
    </w:p>
    <w:p w14:paraId="041A397B" w14:textId="77777777" w:rsidR="007726C3" w:rsidRPr="00AF589E" w:rsidRDefault="007726C3" w:rsidP="007726C3">
      <w:pPr>
        <w:pStyle w:val="Textonotapie"/>
        <w:ind w:firstLine="708"/>
        <w:contextualSpacing/>
        <w:jc w:val="both"/>
        <w:rPr>
          <w:rFonts w:ascii="Verdana" w:hAnsi="Verdana" w:cs="Arial"/>
          <w:sz w:val="16"/>
          <w:szCs w:val="16"/>
        </w:rPr>
      </w:pPr>
    </w:p>
  </w:footnote>
  <w:footnote w:id="15">
    <w:p w14:paraId="7D1BD728" w14:textId="77777777" w:rsidR="007726C3" w:rsidRDefault="007726C3" w:rsidP="007726C3">
      <w:pPr>
        <w:pStyle w:val="Textonotapie"/>
        <w:ind w:firstLine="708"/>
        <w:contextualSpacing/>
        <w:jc w:val="both"/>
        <w:rPr>
          <w:rFonts w:ascii="Verdana" w:hAnsi="Verdana" w:cs="Arial"/>
          <w:sz w:val="16"/>
          <w:szCs w:val="16"/>
        </w:rPr>
      </w:pPr>
      <w:r w:rsidRPr="00677B2E">
        <w:rPr>
          <w:rFonts w:ascii="Verdana" w:hAnsi="Verdana"/>
          <w:sz w:val="16"/>
          <w:szCs w:val="16"/>
          <w:vertAlign w:val="superscript"/>
        </w:rPr>
        <w:footnoteRef/>
      </w:r>
      <w:r w:rsidRPr="00677B2E">
        <w:rPr>
          <w:rFonts w:ascii="Verdana" w:hAnsi="Verdana" w:cs="Arial"/>
          <w:sz w:val="16"/>
          <w:szCs w:val="16"/>
          <w:vertAlign w:val="superscript"/>
        </w:rPr>
        <w:t xml:space="preserve"> </w:t>
      </w:r>
      <w:r w:rsidRPr="00677B2E">
        <w:rPr>
          <w:rFonts w:ascii="Verdana" w:hAnsi="Verdana" w:cs="Arial"/>
          <w:sz w:val="16"/>
          <w:szCs w:val="16"/>
        </w:rPr>
        <w:t xml:space="preserve">RAMÍREZ GRISALES, Richard Steve. La Subcontratación. Serie: Las cláusulas del contrato estatal. Librería Jurídica Sánchez R. Ltda. y Centro de Estudios de Derecho Administrativo –CEDA-, Medellín, 2012, p. 26. </w:t>
      </w:r>
    </w:p>
    <w:p w14:paraId="301A1191" w14:textId="77777777" w:rsidR="007726C3" w:rsidRPr="00677B2E" w:rsidRDefault="007726C3" w:rsidP="007726C3">
      <w:pPr>
        <w:pStyle w:val="Textonotapie"/>
        <w:ind w:firstLine="708"/>
        <w:contextualSpacing/>
        <w:jc w:val="both"/>
        <w:rPr>
          <w:rFonts w:ascii="Verdana" w:hAnsi="Verdana" w:cs="Arial"/>
          <w:sz w:val="16"/>
          <w:szCs w:val="16"/>
        </w:rPr>
      </w:pPr>
    </w:p>
  </w:footnote>
  <w:footnote w:id="16">
    <w:p w14:paraId="243949CC" w14:textId="77777777" w:rsidR="00AC6A97" w:rsidRDefault="00AC6A97" w:rsidP="00AC6A97">
      <w:pPr>
        <w:pStyle w:val="Textonotapie"/>
        <w:ind w:firstLine="708"/>
        <w:contextualSpacing/>
        <w:jc w:val="both"/>
        <w:rPr>
          <w:rFonts w:ascii="Verdana" w:hAnsi="Verdana"/>
          <w:sz w:val="16"/>
          <w:szCs w:val="16"/>
          <w:lang w:val="es-CO"/>
        </w:rPr>
      </w:pPr>
      <w:r w:rsidRPr="00677B2E">
        <w:rPr>
          <w:rStyle w:val="Refdenotaalpie"/>
          <w:rFonts w:ascii="Verdana" w:hAnsi="Verdana"/>
          <w:sz w:val="16"/>
          <w:szCs w:val="16"/>
        </w:rPr>
        <w:footnoteRef/>
      </w:r>
      <w:r w:rsidRPr="00677B2E">
        <w:rPr>
          <w:rFonts w:ascii="Verdana" w:hAnsi="Verdana"/>
          <w:sz w:val="16"/>
          <w:szCs w:val="16"/>
        </w:rPr>
        <w:t xml:space="preserve"> Por ejemplo, </w:t>
      </w:r>
      <w:r w:rsidRPr="00677B2E">
        <w:rPr>
          <w:rFonts w:ascii="Verdana" w:hAnsi="Verdana"/>
          <w:sz w:val="16"/>
          <w:szCs w:val="16"/>
          <w:lang w:val="es-CO"/>
        </w:rPr>
        <w:t>el inciso 4 del literal c del numeral 4 del artículo 2 de la Ley 1150 de 2007 dispone que, tratándose de contratos interadministrativos,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w:t>
      </w:r>
    </w:p>
    <w:p w14:paraId="44D0DFDD" w14:textId="77777777" w:rsidR="00AC6A97" w:rsidRPr="00AF589E" w:rsidRDefault="00AC6A97" w:rsidP="00AC6A97">
      <w:pPr>
        <w:pStyle w:val="Textonotapie"/>
        <w:ind w:firstLine="708"/>
        <w:contextualSpacing/>
        <w:jc w:val="both"/>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7EB7656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70419181" o:spid="_x0000_i1025" type="#_x0000_t75" style="width:11.2pt;height:11.2pt;visibility:visible;mso-wrap-style:square">
            <v:imagedata r:id="rId1" o:title=""/>
          </v:shape>
        </w:pict>
      </mc:Choice>
      <mc:Fallback>
        <w:drawing>
          <wp:inline distT="0" distB="0" distL="0" distR="0" wp14:anchorId="7F03F420" wp14:editId="7F03F421">
            <wp:extent cx="142240" cy="142240"/>
            <wp:effectExtent l="0" t="0" r="0" b="0"/>
            <wp:docPr id="70419181" name="Imagen 70419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240" cy="142240"/>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1562CEC2"/>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CD2527"/>
    <w:multiLevelType w:val="hybridMultilevel"/>
    <w:tmpl w:val="29F04B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1E9223D"/>
    <w:multiLevelType w:val="hybridMultilevel"/>
    <w:tmpl w:val="B1164668"/>
    <w:lvl w:ilvl="0" w:tplc="C2F245C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48779781">
    <w:abstractNumId w:val="8"/>
  </w:num>
  <w:num w:numId="2" w16cid:durableId="19822139">
    <w:abstractNumId w:val="3"/>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5"/>
  </w:num>
  <w:num w:numId="7" w16cid:durableId="1946422806">
    <w:abstractNumId w:val="7"/>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1"/>
  </w:num>
  <w:num w:numId="13" w16cid:durableId="1512908409">
    <w:abstractNumId w:val="5"/>
  </w:num>
  <w:num w:numId="14" w16cid:durableId="895897244">
    <w:abstractNumId w:val="16"/>
  </w:num>
  <w:num w:numId="15" w16cid:durableId="390349800">
    <w:abstractNumId w:val="12"/>
  </w:num>
  <w:num w:numId="16" w16cid:durableId="1330140246">
    <w:abstractNumId w:val="0"/>
  </w:num>
  <w:num w:numId="17" w16cid:durableId="784039179">
    <w:abstractNumId w:val="17"/>
  </w:num>
  <w:num w:numId="18" w16cid:durableId="565458085">
    <w:abstractNumId w:val="4"/>
  </w:num>
  <w:num w:numId="19" w16cid:durableId="961421850">
    <w:abstractNumId w:val="2"/>
  </w:num>
  <w:num w:numId="20" w16cid:durableId="121203713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CA5"/>
    <w:rsid w:val="00016F78"/>
    <w:rsid w:val="00046945"/>
    <w:rsid w:val="00061B2A"/>
    <w:rsid w:val="000755A2"/>
    <w:rsid w:val="00082362"/>
    <w:rsid w:val="00095028"/>
    <w:rsid w:val="000A683E"/>
    <w:rsid w:val="000B19B9"/>
    <w:rsid w:val="000D0334"/>
    <w:rsid w:val="000F6486"/>
    <w:rsid w:val="00100991"/>
    <w:rsid w:val="00125105"/>
    <w:rsid w:val="00127233"/>
    <w:rsid w:val="001511A0"/>
    <w:rsid w:val="001830E4"/>
    <w:rsid w:val="001952CD"/>
    <w:rsid w:val="001B7D09"/>
    <w:rsid w:val="001E4177"/>
    <w:rsid w:val="001F7DC6"/>
    <w:rsid w:val="00214AE0"/>
    <w:rsid w:val="002421BB"/>
    <w:rsid w:val="0025796E"/>
    <w:rsid w:val="002707A2"/>
    <w:rsid w:val="0028023C"/>
    <w:rsid w:val="002951A0"/>
    <w:rsid w:val="002962BC"/>
    <w:rsid w:val="002A093D"/>
    <w:rsid w:val="002A0DD0"/>
    <w:rsid w:val="002A49AC"/>
    <w:rsid w:val="002A64FD"/>
    <w:rsid w:val="002C5B98"/>
    <w:rsid w:val="002C7A84"/>
    <w:rsid w:val="002E4FD9"/>
    <w:rsid w:val="002E68ED"/>
    <w:rsid w:val="00322A85"/>
    <w:rsid w:val="00324168"/>
    <w:rsid w:val="00341375"/>
    <w:rsid w:val="003448F4"/>
    <w:rsid w:val="00374F5E"/>
    <w:rsid w:val="003767AF"/>
    <w:rsid w:val="00377E3E"/>
    <w:rsid w:val="00380373"/>
    <w:rsid w:val="003871C3"/>
    <w:rsid w:val="003A779E"/>
    <w:rsid w:val="003B4A6B"/>
    <w:rsid w:val="003C25E6"/>
    <w:rsid w:val="003D0F4D"/>
    <w:rsid w:val="003D5B0D"/>
    <w:rsid w:val="003E0499"/>
    <w:rsid w:val="003F3941"/>
    <w:rsid w:val="00406575"/>
    <w:rsid w:val="00414C74"/>
    <w:rsid w:val="0042722E"/>
    <w:rsid w:val="00435A9A"/>
    <w:rsid w:val="0044528D"/>
    <w:rsid w:val="004911B3"/>
    <w:rsid w:val="00496806"/>
    <w:rsid w:val="004A1847"/>
    <w:rsid w:val="004A305D"/>
    <w:rsid w:val="004E1F61"/>
    <w:rsid w:val="004F21C4"/>
    <w:rsid w:val="004F685F"/>
    <w:rsid w:val="005322F9"/>
    <w:rsid w:val="00552621"/>
    <w:rsid w:val="005566E8"/>
    <w:rsid w:val="00563879"/>
    <w:rsid w:val="00574867"/>
    <w:rsid w:val="00591460"/>
    <w:rsid w:val="005B3816"/>
    <w:rsid w:val="005C3777"/>
    <w:rsid w:val="005C5CDC"/>
    <w:rsid w:val="005D476C"/>
    <w:rsid w:val="005E3710"/>
    <w:rsid w:val="005F7351"/>
    <w:rsid w:val="00616ECD"/>
    <w:rsid w:val="006219F8"/>
    <w:rsid w:val="00630E57"/>
    <w:rsid w:val="00643141"/>
    <w:rsid w:val="00644165"/>
    <w:rsid w:val="006476F9"/>
    <w:rsid w:val="00660FD0"/>
    <w:rsid w:val="00665D70"/>
    <w:rsid w:val="00671810"/>
    <w:rsid w:val="006900D9"/>
    <w:rsid w:val="006B2454"/>
    <w:rsid w:val="00706C16"/>
    <w:rsid w:val="00715257"/>
    <w:rsid w:val="00756841"/>
    <w:rsid w:val="007649AB"/>
    <w:rsid w:val="00771D0C"/>
    <w:rsid w:val="007726C3"/>
    <w:rsid w:val="00781601"/>
    <w:rsid w:val="007833AC"/>
    <w:rsid w:val="00792AC8"/>
    <w:rsid w:val="007A0471"/>
    <w:rsid w:val="007B268C"/>
    <w:rsid w:val="007B28E3"/>
    <w:rsid w:val="007B7171"/>
    <w:rsid w:val="007C0C0F"/>
    <w:rsid w:val="007C3DC2"/>
    <w:rsid w:val="007E2DBC"/>
    <w:rsid w:val="007E5497"/>
    <w:rsid w:val="00806F5F"/>
    <w:rsid w:val="00811CD4"/>
    <w:rsid w:val="00820278"/>
    <w:rsid w:val="00867F95"/>
    <w:rsid w:val="008843B6"/>
    <w:rsid w:val="00884962"/>
    <w:rsid w:val="00891928"/>
    <w:rsid w:val="00893744"/>
    <w:rsid w:val="008A446D"/>
    <w:rsid w:val="008D180B"/>
    <w:rsid w:val="008F0EA7"/>
    <w:rsid w:val="0090310D"/>
    <w:rsid w:val="009041A3"/>
    <w:rsid w:val="00912A18"/>
    <w:rsid w:val="00923EEF"/>
    <w:rsid w:val="009419F9"/>
    <w:rsid w:val="0095685E"/>
    <w:rsid w:val="00961B09"/>
    <w:rsid w:val="00965334"/>
    <w:rsid w:val="00966C60"/>
    <w:rsid w:val="0097093E"/>
    <w:rsid w:val="00982A3F"/>
    <w:rsid w:val="00986AC5"/>
    <w:rsid w:val="009A0DFA"/>
    <w:rsid w:val="009A7361"/>
    <w:rsid w:val="009B2D26"/>
    <w:rsid w:val="009C71FA"/>
    <w:rsid w:val="009C72E7"/>
    <w:rsid w:val="009C7B52"/>
    <w:rsid w:val="009D0E8B"/>
    <w:rsid w:val="009D3058"/>
    <w:rsid w:val="009D4160"/>
    <w:rsid w:val="009F193E"/>
    <w:rsid w:val="009F3A13"/>
    <w:rsid w:val="00A122D3"/>
    <w:rsid w:val="00A17F13"/>
    <w:rsid w:val="00A20739"/>
    <w:rsid w:val="00A3166B"/>
    <w:rsid w:val="00A33C78"/>
    <w:rsid w:val="00A35C92"/>
    <w:rsid w:val="00A50B43"/>
    <w:rsid w:val="00A94A20"/>
    <w:rsid w:val="00AB0ADB"/>
    <w:rsid w:val="00AC6A97"/>
    <w:rsid w:val="00AE43ED"/>
    <w:rsid w:val="00AF45B3"/>
    <w:rsid w:val="00B01B1A"/>
    <w:rsid w:val="00B0738E"/>
    <w:rsid w:val="00B66319"/>
    <w:rsid w:val="00B72CD3"/>
    <w:rsid w:val="00B72FFF"/>
    <w:rsid w:val="00BC15C0"/>
    <w:rsid w:val="00BC3D36"/>
    <w:rsid w:val="00BD7A85"/>
    <w:rsid w:val="00BD7F72"/>
    <w:rsid w:val="00C04FB3"/>
    <w:rsid w:val="00C114CE"/>
    <w:rsid w:val="00C233F3"/>
    <w:rsid w:val="00C305EA"/>
    <w:rsid w:val="00C330EB"/>
    <w:rsid w:val="00C41061"/>
    <w:rsid w:val="00C45729"/>
    <w:rsid w:val="00C754BE"/>
    <w:rsid w:val="00C76B1C"/>
    <w:rsid w:val="00C90B3D"/>
    <w:rsid w:val="00CA0743"/>
    <w:rsid w:val="00CA342A"/>
    <w:rsid w:val="00CB6357"/>
    <w:rsid w:val="00CC0A7B"/>
    <w:rsid w:val="00CC1B26"/>
    <w:rsid w:val="00D00864"/>
    <w:rsid w:val="00D14728"/>
    <w:rsid w:val="00D24396"/>
    <w:rsid w:val="00D40419"/>
    <w:rsid w:val="00D423A2"/>
    <w:rsid w:val="00D502B3"/>
    <w:rsid w:val="00D520D8"/>
    <w:rsid w:val="00D560E2"/>
    <w:rsid w:val="00D618BC"/>
    <w:rsid w:val="00D63AC2"/>
    <w:rsid w:val="00D7383B"/>
    <w:rsid w:val="00D850C8"/>
    <w:rsid w:val="00D901A6"/>
    <w:rsid w:val="00DA231B"/>
    <w:rsid w:val="00DA2DBD"/>
    <w:rsid w:val="00DC39FC"/>
    <w:rsid w:val="00DE7C9D"/>
    <w:rsid w:val="00DF4D32"/>
    <w:rsid w:val="00DF5254"/>
    <w:rsid w:val="00E1310B"/>
    <w:rsid w:val="00E16408"/>
    <w:rsid w:val="00E20894"/>
    <w:rsid w:val="00E245AB"/>
    <w:rsid w:val="00E2764C"/>
    <w:rsid w:val="00E27F2E"/>
    <w:rsid w:val="00E314E3"/>
    <w:rsid w:val="00E50AFE"/>
    <w:rsid w:val="00E75C92"/>
    <w:rsid w:val="00E771DC"/>
    <w:rsid w:val="00E8772A"/>
    <w:rsid w:val="00E90F6B"/>
    <w:rsid w:val="00E92C27"/>
    <w:rsid w:val="00EA0E3D"/>
    <w:rsid w:val="00EA72F9"/>
    <w:rsid w:val="00EA7D7A"/>
    <w:rsid w:val="00EC1897"/>
    <w:rsid w:val="00EC38A7"/>
    <w:rsid w:val="00ED7384"/>
    <w:rsid w:val="00EE1AA8"/>
    <w:rsid w:val="00EF2CB4"/>
    <w:rsid w:val="00F31EDC"/>
    <w:rsid w:val="00F462B3"/>
    <w:rsid w:val="00F5664F"/>
    <w:rsid w:val="00F56D88"/>
    <w:rsid w:val="00F666C4"/>
    <w:rsid w:val="00F71989"/>
    <w:rsid w:val="00F74ACC"/>
    <w:rsid w:val="00F76AFC"/>
    <w:rsid w:val="00F81CAA"/>
    <w:rsid w:val="00FA47C0"/>
    <w:rsid w:val="00FB4048"/>
    <w:rsid w:val="00FB5DD1"/>
    <w:rsid w:val="00FC2B5D"/>
    <w:rsid w:val="00FC7258"/>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9041A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041A3"/>
    <w:rPr>
      <w:rFonts w:ascii="Geomanist Light" w:hAnsi="Geomanist Light"/>
      <w:lang w:val="es-ES"/>
    </w:rPr>
  </w:style>
  <w:style w:type="character" w:styleId="Textoennegrita">
    <w:name w:val="Strong"/>
    <w:basedOn w:val="Fuentedeprrafopredeter"/>
    <w:uiPriority w:val="22"/>
    <w:qFormat/>
    <w:rsid w:val="009041A3"/>
    <w:rPr>
      <w:b/>
      <w:bCs/>
    </w:rPr>
  </w:style>
  <w:style w:type="character" w:customStyle="1" w:styleId="NormalWebCar">
    <w:name w:val="Normal (Web) Car"/>
    <w:link w:val="NormalWeb"/>
    <w:uiPriority w:val="99"/>
    <w:rsid w:val="009041A3"/>
    <w:rPr>
      <w:rFonts w:ascii="Times New Roman" w:eastAsia="Times New Roman" w:hAnsi="Times New Roman" w:cs="Times New Roman"/>
      <w:sz w:val="24"/>
      <w:szCs w:val="24"/>
      <w:lang w:eastAsia="es-CO"/>
    </w:rPr>
  </w:style>
  <w:style w:type="character" w:customStyle="1" w:styleId="baj">
    <w:name w:val="b_aj"/>
    <w:basedOn w:val="Fuentedeprrafopredeter"/>
    <w:rsid w:val="009041A3"/>
  </w:style>
  <w:style w:type="paragraph" w:customStyle="1" w:styleId="p1">
    <w:name w:val="p1"/>
    <w:basedOn w:val="Normal"/>
    <w:rsid w:val="009041A3"/>
    <w:pPr>
      <w:spacing w:after="0" w:line="240" w:lineRule="auto"/>
    </w:pPr>
    <w:rPr>
      <w:rFonts w:ascii="Arial Narrow" w:eastAsia="Times New Roman" w:hAnsi="Arial Narrow" w:cs="Times New Roman"/>
      <w:color w:val="000000"/>
      <w:sz w:val="15"/>
      <w:szCs w:val="15"/>
      <w:lang w:eastAsia="es-MX"/>
    </w:rPr>
  </w:style>
  <w:style w:type="character" w:customStyle="1" w:styleId="apple-converted-space">
    <w:name w:val="apple-converted-space"/>
    <w:basedOn w:val="Fuentedeprrafopredeter"/>
    <w:rsid w:val="009041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olaboracion.dnp.gov.co/CDT/Normatividad/Revista%20OAJ/Segunda%20edici%C3%B3n/Concepto%20unificado%2009.pdf" TargetMode="External"/><Relationship Id="rId18"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4.png"/><Relationship Id="rId17" Type="http://schemas.openxmlformats.org/officeDocument/2006/relationships/hyperlink" Target="https://nam02.safelinks.protection.outlook.com/?url=https%3A%2F%2Fwww.colombiacompra.gov.co%2Fmanuales-guias-y-pliegos-tipo%2Fmanuales-y-guias%2Fguia-de-contratacion-publica-sostenible-y-socialmente&amp;data=05%7C02%7Candrea.garzon%40colombiacompra.gov.co%7Ceb0fd05604104aa4d3bc08dd4c4ad35e%7C7b09041e245149d08cb179d5e3d8c1be%7C0%7C0%7C638750606445153310%7CUnknown%7CTWFpbGZsb3d8eyJFbXB0eU1hcGkiOnRydWUsIlYiOiIwLjAuMDAwMCIsIlAiOiJXaW4zMiIsIkFOIjoiTWFpbCIsIldUIjoyfQ%3D%3D%7C0%7C%7C%7C&amp;sdata=SB22kawG2jT0mZg6TCL7eUFqVHDp0NyaS7O7ZSYALAk%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ciudadanos%2Fcalendario&amp;data=05%7C02%7Candrea.garzon%40colombiacompra.gov.co%7Ceb0fd05604104aa4d3bc08dd4c4ad35e%7C7b09041e245149d08cb179d5e3d8c1be%7C0%7C0%7C638750606445126804%7CUnknown%7CTWFpbGZsb3d8eyJFbXB0eU1hcGkiOnRydWUsIlYiOiIwLjAuMDAwMCIsIlAiOiJXaW4zMiIsIkFOIjoiTWFpbCIsIldUIjoyfQ%3D%3D%7C0%7C%7C%7C&amp;sdata=4LNYifF%2Fl1nK1KyOCHwvNqd3%2FwRboLoLLrxyeNFBcJc%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ustomXml" Target="ink/ink1.xm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cartilla-para-incentivar-y-fortalecer-el-acceso-las&amp;data=05%7C02%7Candrea.garzon%40colombiacompra.gov.co%7Ceb0fd05604104aa4d3bc08dd4c4ad35e%7C7b09041e245149d08cb179d5e3d8c1be%7C0%7C0%7C638750606445091041%7CUnknown%7CTWFpbGZsb3d8eyJFbXB0eU1hcGkiOnRydWUsIlYiOiIwLjAuMDAwMCIsIlAiOiJXaW4zMiIsIkFOIjoiTWFpbCIsIldUIjoyfQ%3D%3D%7C0%7C%7C%7C&amp;sdata=n7u9GS8PQxg4RPIhp3cnx1%2Bb6pcGMm3wS2iX2htMIgU%3D&amp;reserved=0" TargetMode="External"/><Relationship Id="rId10" Type="http://schemas.openxmlformats.org/officeDocument/2006/relationships/image" Target="media/image3.jpe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2056_2020.html" TargetMode="External"/><Relationship Id="rId2" Type="http://schemas.openxmlformats.org/officeDocument/2006/relationships/hyperlink" Target="http://www.secretariasenado.gov.co/senado/basedoc/ley_2056_2020.html" TargetMode="External"/><Relationship Id="rId1" Type="http://schemas.openxmlformats.org/officeDocument/2006/relationships/hyperlink" Target="http://www.secretariasenado.gov.co/senado/basedoc/ley_2056_2020.html" TargetMode="External"/><Relationship Id="rId4" Type="http://schemas.openxmlformats.org/officeDocument/2006/relationships/hyperlink" Target="http://www.secretariasenado.gov.co/senado/basedoc/ley_2056_2020.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8-16T14:43:33.136"/>
    </inkml:context>
    <inkml:brush xml:id="br0">
      <inkml:brushProperty name="width" value="0.03501" units="cm"/>
      <inkml:brushProperty name="height" value="0.03501" units="cm"/>
      <inkml:brushProperty name="color" value="#E71224"/>
    </inkml:brush>
  </inkml:definitions>
  <inkml:trace contextRef="#ctx0" brushRef="#br0">1 1 24575,'0'0'0</inkml:trace>
</inkml:ink>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009B1E7-9913-4196-B7B4-C79280D289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purl.org/dc/elements/1.1/"/>
    <ds:schemaRef ds:uri="http://schemas.microsoft.com/office/2006/documentManagement/types"/>
    <ds:schemaRef ds:uri="http://purl.org/dc/terms/"/>
    <ds:schemaRef ds:uri="http://purl.org/dc/dcmitype/"/>
    <ds:schemaRef ds:uri="9d85dbaf-23eb-4e57-a637-93dcacc8b1a1"/>
    <ds:schemaRef ds:uri="http://schemas.microsoft.com/office/2006/metadata/properties"/>
    <ds:schemaRef ds:uri="http://schemas.microsoft.com/office/infopath/2007/PartnerControls"/>
    <ds:schemaRef ds:uri="http://schemas.openxmlformats.org/package/2006/metadata/core-properties"/>
    <ds:schemaRef ds:uri="a6cb9e4b-f1d1-4245-83ec-6cad768d538a"/>
    <ds:schemaRef ds:uri="http://www.w3.org/XML/1998/namespace"/>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6182</Words>
  <Characters>34005</Characters>
  <Application>Microsoft Office Word</Application>
  <DocSecurity>0</DocSecurity>
  <Lines>283</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40107</CharactersWithSpaces>
  <SharedDoc>false</SharedDoc>
  <HLinks>
    <vt:vector size="54" baseType="variant">
      <vt:variant>
        <vt:i4>3932280</vt:i4>
      </vt:variant>
      <vt:variant>
        <vt:i4>12</vt:i4>
      </vt:variant>
      <vt:variant>
        <vt:i4>0</vt:i4>
      </vt:variant>
      <vt:variant>
        <vt:i4>5</vt:i4>
      </vt:variant>
      <vt:variant>
        <vt:lpwstr>https://nam02.safelinks.protection.outlook.com/?url=https%3A%2F%2Fwww.colombiacompra.gov.co%2Fmanuales-guias-y-pliegos-tipo%2Fmanuales-y-guias%2Fguia-de-contratacion-publica-sostenible-y-socialmente&amp;data=05%7C02%7Candrea.garzon%40colombiacompra.gov.co%7Ceb0fd05604104aa4d3bc08dd4c4ad35e%7C7b09041e245149d08cb179d5e3d8c1be%7C0%7C0%7C638750606445153310%7CUnknown%7CTWFpbGZsb3d8eyJFbXB0eU1hcGkiOnRydWUsIlYiOiIwLjAuMDAwMCIsIlAiOiJXaW4zMiIsIkFOIjoiTWFpbCIsIldUIjoyfQ%3D%3D%7C0%7C%7C%7C&amp;sdata=SB22kawG2jT0mZg6TCL7eUFqVHDp0NyaS7O7ZSYALAk%3D&amp;reserved=0</vt:lpwstr>
      </vt:variant>
      <vt:variant>
        <vt:lpwstr/>
      </vt:variant>
      <vt:variant>
        <vt:i4>8323175</vt:i4>
      </vt:variant>
      <vt:variant>
        <vt:i4>9</vt:i4>
      </vt:variant>
      <vt:variant>
        <vt:i4>0</vt:i4>
      </vt:variant>
      <vt:variant>
        <vt:i4>5</vt:i4>
      </vt:variant>
      <vt:variant>
        <vt:lpwstr>https://nam02.safelinks.protection.outlook.com/?url=https%3A%2F%2Fwww.colombiacompra.gov.co%2Fciudadanos%2Fcalendario&amp;data=05%7C02%7Candrea.garzon%40colombiacompra.gov.co%7Ceb0fd05604104aa4d3bc08dd4c4ad35e%7C7b09041e245149d08cb179d5e3d8c1be%7C0%7C0%7C638750606445126804%7CUnknown%7CTWFpbGZsb3d8eyJFbXB0eU1hcGkiOnRydWUsIlYiOiIwLjAuMDAwMCIsIlAiOiJXaW4zMiIsIkFOIjoiTWFpbCIsIldUIjoyfQ%3D%3D%7C0%7C%7C%7C&amp;sdata=4LNYifF%2Fl1nK1KyOCHwvNqd3%2FwRboLoLLrxyeNFBcJc%3D&amp;reserved=0</vt:lpwstr>
      </vt:variant>
      <vt:variant>
        <vt:lpwstr/>
      </vt:variant>
      <vt:variant>
        <vt:i4>7602273</vt:i4>
      </vt:variant>
      <vt:variant>
        <vt:i4>6</vt:i4>
      </vt:variant>
      <vt:variant>
        <vt:i4>0</vt:i4>
      </vt:variant>
      <vt:variant>
        <vt:i4>5</vt:i4>
      </vt:variant>
      <vt:variant>
        <vt:lpwstr>https://nam02.safelinks.protection.outlook.com/?url=https%3A%2F%2Fwww.colombiacompra.gov.co%2Fmanuales-guias-y-pliegos-tipo%2Fmanuales-y-guias%2Fcartilla-para-incentivar-y-fortalecer-el-acceso-las&amp;data=05%7C02%7Candrea.garzon%40colombiacompra.gov.co%7Ceb0fd05604104aa4d3bc08dd4c4ad35e%7C7b09041e245149d08cb179d5e3d8c1be%7C0%7C0%7C638750606445091041%7CUnknown%7CTWFpbGZsb3d8eyJFbXB0eU1hcGkiOnRydWUsIlYiOiIwLjAuMDAwMCIsIlAiOiJXaW4zMiIsIkFOIjoiTWFpbCIsIldUIjoyfQ%3D%3D%7C0%7C%7C%7C&amp;sdata=n7u9GS8PQxg4RPIhp3cnx1%2Bb6pcGMm3wS2iX2htMIgU%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3211314</vt:i4>
      </vt:variant>
      <vt:variant>
        <vt:i4>0</vt:i4>
      </vt:variant>
      <vt:variant>
        <vt:i4>0</vt:i4>
      </vt:variant>
      <vt:variant>
        <vt:i4>5</vt:i4>
      </vt:variant>
      <vt:variant>
        <vt:lpwstr>https://colaboracion.dnp.gov.co/CDT/Normatividad/Revista OAJ/Segunda edici%C3%B3n/Concepto unificado 09.pdf</vt:lpwstr>
      </vt:variant>
      <vt:variant>
        <vt:lpwstr/>
      </vt:variant>
      <vt:variant>
        <vt:i4>65552</vt:i4>
      </vt:variant>
      <vt:variant>
        <vt:i4>9</vt:i4>
      </vt:variant>
      <vt:variant>
        <vt:i4>0</vt:i4>
      </vt:variant>
      <vt:variant>
        <vt:i4>5</vt:i4>
      </vt:variant>
      <vt:variant>
        <vt:lpwstr>http://www.secretariasenado.gov.co/senado/basedoc/ley_2056_2020.html</vt:lpwstr>
      </vt:variant>
      <vt:variant>
        <vt:lpwstr>36</vt:lpwstr>
      </vt:variant>
      <vt:variant>
        <vt:i4>131088</vt:i4>
      </vt:variant>
      <vt:variant>
        <vt:i4>6</vt:i4>
      </vt:variant>
      <vt:variant>
        <vt:i4>0</vt:i4>
      </vt:variant>
      <vt:variant>
        <vt:i4>5</vt:i4>
      </vt:variant>
      <vt:variant>
        <vt:lpwstr>http://www.secretariasenado.gov.co/senado/basedoc/ley_2056_2020.html</vt:lpwstr>
      </vt:variant>
      <vt:variant>
        <vt:lpwstr>35</vt:lpwstr>
      </vt:variant>
      <vt:variant>
        <vt:i4>65552</vt:i4>
      </vt:variant>
      <vt:variant>
        <vt:i4>3</vt:i4>
      </vt:variant>
      <vt:variant>
        <vt:i4>0</vt:i4>
      </vt:variant>
      <vt:variant>
        <vt:i4>5</vt:i4>
      </vt:variant>
      <vt:variant>
        <vt:lpwstr>http://www.secretariasenado.gov.co/senado/basedoc/ley_2056_2020.html</vt:lpwstr>
      </vt:variant>
      <vt:variant>
        <vt:lpwstr>36</vt:lpwstr>
      </vt:variant>
      <vt:variant>
        <vt:i4>131088</vt:i4>
      </vt:variant>
      <vt:variant>
        <vt:i4>0</vt:i4>
      </vt:variant>
      <vt:variant>
        <vt:i4>0</vt:i4>
      </vt:variant>
      <vt:variant>
        <vt:i4>5</vt:i4>
      </vt:variant>
      <vt:variant>
        <vt:lpwstr>http://www.secretariasenado.gov.co/senado/basedoc/ley_2056_2020.html</vt:lpwstr>
      </vt:variant>
      <vt:variant>
        <vt:lpwstr>35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2023-01-10T21:18:00Z</cp:lastPrinted>
  <dcterms:created xsi:type="dcterms:W3CDTF">2025-04-14T18:43:00Z</dcterms:created>
  <dcterms:modified xsi:type="dcterms:W3CDTF">2025-04-14T18:43:00Z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