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67C17" w14:textId="77777777" w:rsidR="00C036EB" w:rsidRDefault="00C036EB" w:rsidP="00C036EB">
      <w:pPr>
        <w:spacing w:after="0" w:line="240" w:lineRule="auto"/>
        <w:rPr>
          <w:rFonts w:ascii="Verdana" w:eastAsia="Times New Roman" w:hAnsi="Verdana" w:cs="Arial"/>
          <w:color w:val="000000"/>
          <w:lang w:val="es-MX"/>
        </w:rPr>
      </w:pPr>
      <w:bookmarkStart w:id="0" w:name="_Hlk181166130"/>
      <w:bookmarkStart w:id="1" w:name="_Hlk143780582"/>
    </w:p>
    <w:p w14:paraId="0CD350B5" w14:textId="77777777" w:rsidR="00C036EB" w:rsidRPr="00DD357C" w:rsidRDefault="00C036EB" w:rsidP="00C036EB">
      <w:pPr>
        <w:spacing w:after="0" w:line="240" w:lineRule="auto"/>
        <w:rPr>
          <w:rFonts w:ascii="Verdana" w:eastAsia="Times New Roman" w:hAnsi="Verdana" w:cs="Arial"/>
          <w:color w:val="000000"/>
          <w:lang w:val="es-MX"/>
        </w:rPr>
      </w:pPr>
    </w:p>
    <w:p w14:paraId="21CBD4C5" w14:textId="58577E1E" w:rsidR="00C036EB" w:rsidRPr="00DD357C" w:rsidRDefault="00C036EB" w:rsidP="00C036EB">
      <w:pPr>
        <w:widowControl w:val="0"/>
        <w:autoSpaceDE w:val="0"/>
        <w:autoSpaceDN w:val="0"/>
        <w:spacing w:before="120" w:after="0" w:line="276" w:lineRule="auto"/>
        <w:jc w:val="both"/>
        <w:rPr>
          <w:rFonts w:ascii="Verdana" w:eastAsia="Arial" w:hAnsi="Verdana" w:cs="Arial"/>
          <w:b/>
        </w:rPr>
      </w:pPr>
      <w:r w:rsidRPr="00DD357C">
        <w:rPr>
          <w:rFonts w:ascii="Verdana" w:eastAsia="Arial" w:hAnsi="Verdana" w:cs="Arial"/>
          <w:b/>
        </w:rPr>
        <w:t>CONTRATO DE ARRENDAMIENTO – Concepto – Elementos</w:t>
      </w:r>
      <w:r>
        <w:rPr>
          <w:rFonts w:ascii="Verdana" w:eastAsia="Arial" w:hAnsi="Verdana" w:cs="Arial"/>
          <w:b/>
        </w:rPr>
        <w:t xml:space="preserve"> </w:t>
      </w:r>
      <w:r w:rsidRPr="00DD357C">
        <w:rPr>
          <w:rFonts w:ascii="Verdana" w:eastAsia="Arial" w:hAnsi="Verdana" w:cs="Arial"/>
          <w:b/>
        </w:rPr>
        <w:t>–</w:t>
      </w:r>
      <w:r>
        <w:rPr>
          <w:rFonts w:ascii="Verdana" w:eastAsia="Arial" w:hAnsi="Verdana" w:cs="Arial"/>
          <w:b/>
        </w:rPr>
        <w:t xml:space="preserve"> </w:t>
      </w:r>
      <w:r w:rsidRPr="00C036EB">
        <w:rPr>
          <w:rFonts w:ascii="Verdana" w:eastAsia="Arial" w:hAnsi="Verdana" w:cs="Arial"/>
          <w:b/>
        </w:rPr>
        <w:t>Regulación</w:t>
      </w:r>
    </w:p>
    <w:p w14:paraId="23AE5911" w14:textId="77777777" w:rsidR="00C036EB" w:rsidRPr="00DD357C" w:rsidRDefault="00C036EB" w:rsidP="00C036EB">
      <w:pPr>
        <w:widowControl w:val="0"/>
        <w:autoSpaceDE w:val="0"/>
        <w:autoSpaceDN w:val="0"/>
        <w:spacing w:before="120" w:after="0" w:line="276" w:lineRule="auto"/>
        <w:jc w:val="both"/>
        <w:rPr>
          <w:rFonts w:ascii="Verdana" w:hAnsi="Verdana" w:cs="Arial"/>
          <w:sz w:val="20"/>
          <w:szCs w:val="20"/>
          <w:lang w:val="es-ES"/>
        </w:rPr>
      </w:pPr>
      <w:r w:rsidRPr="00DD357C">
        <w:rPr>
          <w:rFonts w:ascii="Verdana" w:eastAsia="Arial" w:hAnsi="Verdana" w:cs="Arial"/>
          <w:bCs/>
          <w:sz w:val="20"/>
          <w:szCs w:val="20"/>
        </w:rPr>
        <w:t>El</w:t>
      </w:r>
      <w:r w:rsidRPr="00DD357C">
        <w:rPr>
          <w:rFonts w:ascii="Verdana" w:hAnsi="Verdana" w:cs="Arial"/>
          <w:sz w:val="20"/>
          <w:szCs w:val="20"/>
          <w:lang w:val="es-ES"/>
        </w:rPr>
        <w:t xml:space="preserve">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729BB04C" w14:textId="77777777" w:rsidR="00C036EB" w:rsidRPr="00DD357C" w:rsidRDefault="00C036EB" w:rsidP="00C036EB">
      <w:pPr>
        <w:jc w:val="both"/>
        <w:rPr>
          <w:rFonts w:ascii="Verdana" w:hAnsi="Verdana" w:cs="Arial"/>
          <w:sz w:val="20"/>
          <w:szCs w:val="20"/>
          <w:lang w:val="es-ES"/>
        </w:rPr>
      </w:pPr>
    </w:p>
    <w:p w14:paraId="59C74C9E" w14:textId="77777777" w:rsidR="00C036EB" w:rsidRDefault="00C036EB" w:rsidP="00C036EB">
      <w:pPr>
        <w:jc w:val="both"/>
        <w:rPr>
          <w:rFonts w:ascii="Verdana" w:hAnsi="Verdana" w:cs="Arial"/>
          <w:sz w:val="20"/>
          <w:szCs w:val="20"/>
          <w:lang w:val="es-ES"/>
        </w:rPr>
      </w:pPr>
      <w:r w:rsidRPr="00DD357C">
        <w:rPr>
          <w:rFonts w:ascii="Verdana" w:hAnsi="Verdana" w:cs="Arial"/>
          <w:sz w:val="20"/>
          <w:szCs w:val="20"/>
          <w:lang w:val="es-ES"/>
        </w:rPr>
        <w:t xml:space="preserve">En cuanto a sus características, la doctrina ha indicado que el arrendamiento es un contrato: i) bilateral, pues ambas partes se obligan recíprocamente; </w:t>
      </w:r>
      <w:proofErr w:type="spellStart"/>
      <w:r w:rsidRPr="00DD357C">
        <w:rPr>
          <w:rFonts w:ascii="Verdana" w:hAnsi="Verdana" w:cs="Arial"/>
          <w:sz w:val="20"/>
          <w:szCs w:val="20"/>
          <w:lang w:val="es-ES"/>
        </w:rPr>
        <w:t>ii</w:t>
      </w:r>
      <w:proofErr w:type="spellEnd"/>
      <w:r w:rsidRPr="00DD357C">
        <w:rPr>
          <w:rFonts w:ascii="Verdana" w:hAnsi="Verdana" w:cs="Arial"/>
          <w:sz w:val="20"/>
          <w:szCs w:val="20"/>
          <w:lang w:val="es-ES"/>
        </w:rPr>
        <w:t xml:space="preserve">) consensual, dado que se perfecciona con el consentimiento ; </w:t>
      </w:r>
      <w:proofErr w:type="spellStart"/>
      <w:r w:rsidRPr="00DD357C">
        <w:rPr>
          <w:rFonts w:ascii="Verdana" w:hAnsi="Verdana" w:cs="Arial"/>
          <w:sz w:val="20"/>
          <w:szCs w:val="20"/>
          <w:lang w:val="es-ES"/>
        </w:rPr>
        <w:t>iii</w:t>
      </w:r>
      <w:proofErr w:type="spellEnd"/>
      <w:r w:rsidRPr="00DD357C">
        <w:rPr>
          <w:rFonts w:ascii="Verdana" w:hAnsi="Verdana" w:cs="Arial"/>
          <w:sz w:val="20"/>
          <w:szCs w:val="20"/>
          <w:lang w:val="es-ES"/>
        </w:rPr>
        <w:t xml:space="preserve">) oneroso, ya que ambas partes obtienen utilidades –el arrendatario, el uso y goce del bien, y el arrendador la renta o canon–; </w:t>
      </w:r>
      <w:proofErr w:type="spellStart"/>
      <w:r w:rsidRPr="00DD357C">
        <w:rPr>
          <w:rFonts w:ascii="Verdana" w:hAnsi="Verdana" w:cs="Arial"/>
          <w:sz w:val="20"/>
          <w:szCs w:val="20"/>
          <w:lang w:val="es-ES"/>
        </w:rPr>
        <w:t>iv</w:t>
      </w:r>
      <w:proofErr w:type="spellEnd"/>
      <w:r w:rsidRPr="00DD357C">
        <w:rPr>
          <w:rFonts w:ascii="Verdana" w:hAnsi="Verdana" w:cs="Arial"/>
          <w:sz w:val="20"/>
          <w:szCs w:val="20"/>
          <w:lang w:val="es-ES"/>
        </w:rPr>
        <w:t>) de ejecución sucesiva, en la medida en que se ejecuta en forma periódica; v) principal, porque existe en forma autónoma; y v) nominado, porque está tipificado y desarrollado en la ley</w:t>
      </w:r>
    </w:p>
    <w:p w14:paraId="4DD330B9" w14:textId="77777777" w:rsidR="00C036EB" w:rsidRDefault="00C036EB" w:rsidP="00C036EB">
      <w:pPr>
        <w:spacing w:after="0" w:line="240" w:lineRule="auto"/>
        <w:rPr>
          <w:rFonts w:ascii="Verdana" w:eastAsia="Times New Roman" w:hAnsi="Verdana" w:cs="Arial"/>
          <w:color w:val="000000"/>
          <w:lang w:val="es-MX"/>
        </w:rPr>
      </w:pPr>
    </w:p>
    <w:p w14:paraId="3A01158E" w14:textId="77777777" w:rsidR="00C036EB" w:rsidRPr="00D42270" w:rsidRDefault="00C036EB" w:rsidP="00C036EB">
      <w:pPr>
        <w:widowControl w:val="0"/>
        <w:autoSpaceDE w:val="0"/>
        <w:autoSpaceDN w:val="0"/>
        <w:spacing w:before="120" w:after="0" w:line="276" w:lineRule="auto"/>
        <w:jc w:val="both"/>
        <w:rPr>
          <w:rFonts w:ascii="Verdana" w:eastAsia="Arial" w:hAnsi="Verdana" w:cs="Arial"/>
          <w:b/>
        </w:rPr>
      </w:pPr>
      <w:r w:rsidRPr="00D42270">
        <w:rPr>
          <w:rFonts w:ascii="Verdana" w:eastAsia="Calibri" w:hAnsi="Verdana" w:cs="Arial"/>
          <w:b/>
          <w:bCs/>
          <w:color w:val="000000" w:themeColor="text1"/>
          <w:lang w:val="es-ES_tradnl"/>
        </w:rPr>
        <w:t xml:space="preserve">SEGURIDAD SOCIAL </w:t>
      </w:r>
      <w:r w:rsidRPr="00D42270">
        <w:rPr>
          <w:rFonts w:ascii="Verdana" w:eastAsia="Calibri" w:hAnsi="Verdana" w:cs="Arial"/>
          <w:b/>
          <w:color w:val="000000" w:themeColor="text1"/>
        </w:rPr>
        <w:t>–</w:t>
      </w:r>
      <w:r w:rsidRPr="00D42270">
        <w:rPr>
          <w:rFonts w:ascii="Verdana" w:eastAsia="Calibri" w:hAnsi="Verdana" w:cs="Arial"/>
          <w:b/>
          <w:bCs/>
          <w:color w:val="000000" w:themeColor="text1"/>
          <w:lang w:val="es-ES_tradnl"/>
        </w:rPr>
        <w:t xml:space="preserve"> Verificación </w:t>
      </w:r>
      <w:r w:rsidRPr="00D42270">
        <w:rPr>
          <w:rFonts w:ascii="Verdana" w:eastAsia="Calibri" w:hAnsi="Verdana" w:cs="Arial"/>
          <w:b/>
          <w:color w:val="000000" w:themeColor="text1"/>
        </w:rPr>
        <w:t>–</w:t>
      </w:r>
      <w:r w:rsidRPr="00D42270">
        <w:rPr>
          <w:rFonts w:ascii="Verdana" w:eastAsia="Calibri" w:hAnsi="Verdana" w:cs="Arial"/>
          <w:b/>
          <w:bCs/>
          <w:color w:val="000000" w:themeColor="text1"/>
          <w:lang w:val="es-ES_tradnl"/>
        </w:rPr>
        <w:t xml:space="preserve"> Pago de aportes parafiscales </w:t>
      </w:r>
      <w:r w:rsidRPr="00D42270">
        <w:rPr>
          <w:rFonts w:ascii="Verdana" w:eastAsia="Calibri" w:hAnsi="Verdana" w:cs="Arial"/>
          <w:b/>
          <w:color w:val="000000" w:themeColor="text1"/>
        </w:rPr>
        <w:t>–</w:t>
      </w:r>
      <w:r w:rsidRPr="00D42270">
        <w:rPr>
          <w:rFonts w:ascii="Verdana" w:eastAsia="Calibri" w:hAnsi="Verdana" w:cs="Arial"/>
          <w:b/>
          <w:bCs/>
          <w:color w:val="000000" w:themeColor="text1"/>
          <w:lang w:val="es-ES_tradnl"/>
        </w:rPr>
        <w:t xml:space="preserve"> </w:t>
      </w:r>
      <w:r w:rsidRPr="00D42270">
        <w:rPr>
          <w:rFonts w:ascii="Verdana" w:eastAsia="Arial" w:hAnsi="Verdana" w:cs="Arial"/>
          <w:b/>
        </w:rPr>
        <w:t>Persona natural – Persona jurídica</w:t>
      </w:r>
    </w:p>
    <w:p w14:paraId="56A4B516" w14:textId="77777777" w:rsidR="00C036EB" w:rsidRPr="00872FC5" w:rsidRDefault="00C036EB" w:rsidP="00C036EB">
      <w:pPr>
        <w:widowControl w:val="0"/>
        <w:autoSpaceDE w:val="0"/>
        <w:autoSpaceDN w:val="0"/>
        <w:spacing w:before="120" w:after="0" w:line="276" w:lineRule="auto"/>
        <w:jc w:val="both"/>
        <w:rPr>
          <w:rFonts w:ascii="Verdana" w:hAnsi="Verdana" w:cs="Arial"/>
          <w:color w:val="000000" w:themeColor="text1"/>
          <w:sz w:val="20"/>
          <w:szCs w:val="20"/>
          <w:lang w:val="es-ES_tradnl"/>
        </w:rPr>
      </w:pPr>
      <w:r w:rsidRPr="00D42270">
        <w:rPr>
          <w:rFonts w:ascii="Verdana" w:eastAsia="Arial" w:hAnsi="Verdana" w:cs="Arial"/>
          <w:bCs/>
        </w:rPr>
        <w:t>[…]</w:t>
      </w:r>
      <w:r w:rsidRPr="00D42270">
        <w:rPr>
          <w:rFonts w:ascii="Verdana" w:hAnsi="Verdana" w:cs="Arial"/>
          <w:bCs/>
          <w:color w:val="000000" w:themeColor="text1"/>
          <w:sz w:val="20"/>
          <w:szCs w:val="20"/>
          <w:lang w:val="es-ES_tradnl"/>
        </w:rPr>
        <w:t xml:space="preserve"> la</w:t>
      </w:r>
      <w:r w:rsidRPr="00872FC5">
        <w:rPr>
          <w:rFonts w:ascii="Verdana" w:hAnsi="Verdana" w:cs="Arial"/>
          <w:color w:val="000000" w:themeColor="text1"/>
          <w:sz w:val="20"/>
          <w:szCs w:val="20"/>
          <w:lang w:val="es-ES_tradnl"/>
        </w:rPr>
        <w:t xml:space="preserve"> verificación de los aportes al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872FC5">
        <w:rPr>
          <w:rFonts w:ascii="Verdana" w:hAnsi="Verdana" w:cs="Arial"/>
          <w:color w:val="000000" w:themeColor="text1"/>
          <w:sz w:val="20"/>
          <w:szCs w:val="20"/>
          <w:lang w:val="es-ES_tradnl"/>
        </w:rPr>
        <w:t>ii</w:t>
      </w:r>
      <w:proofErr w:type="spellEnd"/>
      <w:r w:rsidRPr="00872FC5">
        <w:rPr>
          <w:rFonts w:ascii="Verdana" w:hAnsi="Verdana" w:cs="Arial"/>
          <w:color w:val="000000" w:themeColor="text1"/>
          <w:sz w:val="20"/>
          <w:szCs w:val="20"/>
          <w:lang w:val="es-ES_tradnl"/>
        </w:rPr>
        <w:t>) si se refiere a una persona jurídica, el comprobante de pago de los aportes al Sistema de Seguridad Social Integral de sus empleados se debe aportar con la presentación de la oferta, y este constituye un criterio de admisión de la oferta; sin perjuicio de que durante la ejecución del contrato también se acredite el pago al Sistema de Seguridad Social Integral para pagar las cuentas o facturas.</w:t>
      </w:r>
    </w:p>
    <w:p w14:paraId="07C3F84B" w14:textId="77777777" w:rsidR="00C036EB" w:rsidRPr="00795CD0" w:rsidRDefault="00C036EB" w:rsidP="00C036EB">
      <w:pPr>
        <w:spacing w:after="0" w:line="240" w:lineRule="auto"/>
        <w:rPr>
          <w:rFonts w:ascii="Verdana" w:eastAsia="Times New Roman" w:hAnsi="Verdana" w:cs="Arial"/>
          <w:color w:val="000000"/>
          <w:lang w:val="es-ES_tradnl"/>
        </w:rPr>
      </w:pPr>
    </w:p>
    <w:p w14:paraId="7F384CCC" w14:textId="432596D3" w:rsidR="007D5768" w:rsidRDefault="00C036EB" w:rsidP="007D5768">
      <w:pPr>
        <w:spacing w:after="0"/>
        <w:rPr>
          <w:rFonts w:ascii="Verdana" w:hAnsi="Verdana"/>
        </w:rPr>
      </w:pPr>
      <w:r>
        <w:rPr>
          <w:rFonts w:ascii="Verdana" w:hAnsi="Verdana"/>
        </w:rPr>
        <w:t>B</w:t>
      </w:r>
      <w:r w:rsidR="007D5768" w:rsidRPr="0044528D">
        <w:rPr>
          <w:rFonts w:ascii="Verdana" w:hAnsi="Verdana"/>
        </w:rPr>
        <w:t xml:space="preserve">ogotá D.C., </w:t>
      </w:r>
      <w:r w:rsidR="002669D6">
        <w:rPr>
          <w:rFonts w:ascii="Verdana" w:hAnsi="Verdana"/>
        </w:rPr>
        <w:t>28</w:t>
      </w:r>
      <w:r w:rsidR="00645CB7">
        <w:rPr>
          <w:rFonts w:ascii="Verdana" w:hAnsi="Verdana"/>
        </w:rPr>
        <w:t xml:space="preserve"> de </w:t>
      </w:r>
      <w:r w:rsidR="002669D6">
        <w:rPr>
          <w:rFonts w:ascii="Verdana" w:hAnsi="Verdana"/>
        </w:rPr>
        <w:t>febrero</w:t>
      </w:r>
      <w:r w:rsidR="00645CB7">
        <w:rPr>
          <w:rFonts w:ascii="Verdana" w:hAnsi="Verdana"/>
        </w:rPr>
        <w:t xml:space="preserve"> de </w:t>
      </w:r>
      <w:r w:rsidR="002669D6">
        <w:rPr>
          <w:rFonts w:ascii="Verdana" w:hAnsi="Verdana"/>
        </w:rPr>
        <w:t>2025</w:t>
      </w:r>
      <w:r w:rsidR="00645CB7">
        <w:rPr>
          <w:rFonts w:ascii="Verdana" w:hAnsi="Verdana"/>
        </w:rPr>
        <w:t>.</w:t>
      </w:r>
    </w:p>
    <w:p w14:paraId="1673010F" w14:textId="77777777" w:rsidR="007D5768" w:rsidRDefault="007D5768" w:rsidP="007D5768">
      <w:pPr>
        <w:spacing w:after="0"/>
        <w:rPr>
          <w:rFonts w:ascii="Verdana" w:hAnsi="Verdana"/>
        </w:rPr>
      </w:pPr>
      <w:bookmarkStart w:id="2" w:name="_Hlk180638295"/>
      <w:bookmarkEnd w:id="0"/>
    </w:p>
    <w:p w14:paraId="3691E054" w14:textId="0154AB0C" w:rsidR="002669D6" w:rsidRDefault="002669D6" w:rsidP="002669D6">
      <w:pPr>
        <w:spacing w:after="0"/>
        <w:jc w:val="right"/>
        <w:rPr>
          <w:rFonts w:ascii="Verdana" w:hAnsi="Verdana"/>
        </w:rPr>
      </w:pPr>
      <w:r>
        <w:rPr>
          <w:rFonts w:ascii="Verdana" w:hAnsi="Verdana"/>
          <w:noProof/>
        </w:rPr>
        <w:drawing>
          <wp:inline distT="0" distB="0" distL="0" distR="0" wp14:anchorId="4EB282FA" wp14:editId="528CDF05">
            <wp:extent cx="2981325" cy="952500"/>
            <wp:effectExtent l="0" t="0" r="9525" b="0"/>
            <wp:docPr id="13457718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81325" cy="952500"/>
                    </a:xfrm>
                    <a:prstGeom prst="rect">
                      <a:avLst/>
                    </a:prstGeom>
                    <a:noFill/>
                    <a:ln>
                      <a:noFill/>
                    </a:ln>
                  </pic:spPr>
                </pic:pic>
              </a:graphicData>
            </a:graphic>
          </wp:inline>
        </w:drawing>
      </w:r>
    </w:p>
    <w:p w14:paraId="6528E17F" w14:textId="77777777" w:rsidR="002669D6" w:rsidRDefault="002669D6" w:rsidP="007D5768">
      <w:pPr>
        <w:spacing w:after="0"/>
        <w:rPr>
          <w:rFonts w:ascii="Verdana" w:hAnsi="Verdana"/>
        </w:rPr>
      </w:pPr>
    </w:p>
    <w:p w14:paraId="0329CDAB" w14:textId="77777777" w:rsidR="002669D6" w:rsidRDefault="002669D6" w:rsidP="007D5768">
      <w:pPr>
        <w:spacing w:after="0"/>
        <w:rPr>
          <w:rFonts w:ascii="Verdana" w:hAnsi="Verdana"/>
        </w:rPr>
      </w:pPr>
    </w:p>
    <w:p w14:paraId="54FC63A1" w14:textId="1CF8A66D" w:rsidR="007D5768" w:rsidRPr="005E62E2" w:rsidRDefault="007D5768" w:rsidP="007D5768">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003A2ECF" w:rsidRPr="005E62E2">
        <w:rPr>
          <w:rFonts w:ascii="Verdana" w:eastAsia="Calibri" w:hAnsi="Verdana" w:cs="Arial"/>
          <w:lang w:eastAsia="es-ES"/>
        </w:rPr>
        <w:tab/>
      </w:r>
    </w:p>
    <w:p w14:paraId="5A4D026C" w14:textId="61A8E7E8" w:rsidR="00461E0F" w:rsidRDefault="001C7353" w:rsidP="007D5768">
      <w:pPr>
        <w:spacing w:after="0" w:line="240" w:lineRule="auto"/>
        <w:rPr>
          <w:rFonts w:ascii="Verdana" w:eastAsia="Calibri" w:hAnsi="Verdana" w:cs="Arial"/>
          <w:b/>
          <w:bCs/>
          <w:color w:val="000000"/>
          <w:lang w:eastAsia="es-ES_tradnl"/>
        </w:rPr>
      </w:pPr>
      <w:r>
        <w:rPr>
          <w:rFonts w:ascii="Verdana" w:eastAsia="Calibri" w:hAnsi="Verdana" w:cs="Arial"/>
          <w:b/>
          <w:bCs/>
          <w:color w:val="000000"/>
          <w:lang w:eastAsia="es-ES_tradnl"/>
        </w:rPr>
        <w:t>Jorge Mario David Restrepo</w:t>
      </w:r>
    </w:p>
    <w:p w14:paraId="2CA7E4F4" w14:textId="77676A9C" w:rsidR="00606078" w:rsidRPr="001C7353" w:rsidRDefault="001C7353" w:rsidP="007D5768">
      <w:pPr>
        <w:spacing w:after="0" w:line="240" w:lineRule="auto"/>
        <w:rPr>
          <w:rFonts w:ascii="Verdana" w:hAnsi="Verdana"/>
        </w:rPr>
      </w:pPr>
      <w:r w:rsidRPr="001C7353">
        <w:rPr>
          <w:rFonts w:ascii="Verdana" w:hAnsi="Verdana"/>
        </w:rPr>
        <w:t>jorgemariod@hotmail.com</w:t>
      </w:r>
    </w:p>
    <w:p w14:paraId="4E77D58E" w14:textId="63F930B1" w:rsidR="00C63E0F" w:rsidRPr="005E62E2" w:rsidRDefault="001C7353" w:rsidP="007D5768">
      <w:pPr>
        <w:spacing w:after="0" w:line="240" w:lineRule="auto"/>
        <w:rPr>
          <w:rFonts w:ascii="Verdana" w:hAnsi="Verdana"/>
        </w:rPr>
      </w:pPr>
      <w:r>
        <w:rPr>
          <w:rFonts w:ascii="Verdana" w:hAnsi="Verdana"/>
        </w:rPr>
        <w:t xml:space="preserve">Medellín </w:t>
      </w:r>
      <w:r w:rsidR="00606078">
        <w:rPr>
          <w:rFonts w:ascii="Verdana" w:hAnsi="Verdana"/>
        </w:rPr>
        <w:t>(</w:t>
      </w:r>
      <w:r>
        <w:rPr>
          <w:rFonts w:ascii="Verdana" w:hAnsi="Verdana"/>
        </w:rPr>
        <w:t>Antioquia</w:t>
      </w:r>
      <w:r w:rsidR="00606078">
        <w:rPr>
          <w:rFonts w:ascii="Verdana" w:hAnsi="Verdana"/>
        </w:rPr>
        <w:t>)</w:t>
      </w:r>
    </w:p>
    <w:p w14:paraId="70547B69" w14:textId="77777777" w:rsidR="003A2ECF" w:rsidRDefault="003A2ECF" w:rsidP="007D5768">
      <w:pPr>
        <w:spacing w:after="0" w:line="240" w:lineRule="auto"/>
        <w:rPr>
          <w:rFonts w:ascii="Verdana" w:eastAsia="Calibri" w:hAnsi="Verdana" w:cs="Arial"/>
          <w:b/>
          <w:bCs/>
          <w:color w:val="000000"/>
          <w:lang w:val="es-ES_tradnl" w:eastAsia="es-ES_tradnl"/>
        </w:rPr>
      </w:pPr>
    </w:p>
    <w:p w14:paraId="3B7E2BE8" w14:textId="77777777" w:rsidR="00645CB7" w:rsidRDefault="00645CB7" w:rsidP="007D5768">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7D5768" w:rsidRPr="00593A5F" w14:paraId="14747069" w14:textId="77777777" w:rsidTr="00E1079D">
        <w:trPr>
          <w:trHeight w:val="884"/>
        </w:trPr>
        <w:tc>
          <w:tcPr>
            <w:tcW w:w="2410" w:type="dxa"/>
          </w:tcPr>
          <w:p w14:paraId="36C8BBF6" w14:textId="77777777" w:rsidR="007D5768" w:rsidRPr="00E5644F" w:rsidRDefault="007D5768" w:rsidP="00E1079D">
            <w:pPr>
              <w:jc w:val="both"/>
              <w:rPr>
                <w:rFonts w:ascii="Verdana" w:eastAsia="Calibri" w:hAnsi="Verdana" w:cs="Arial"/>
                <w:b/>
                <w:bCs/>
                <w:color w:val="7030A0"/>
                <w:lang w:val="es-ES_tradnl" w:eastAsia="es-ES_tradnl"/>
              </w:rPr>
            </w:pPr>
          </w:p>
        </w:tc>
        <w:tc>
          <w:tcPr>
            <w:tcW w:w="6804" w:type="dxa"/>
            <w:gridSpan w:val="2"/>
          </w:tcPr>
          <w:p w14:paraId="4DDF8EC1" w14:textId="2CCF0D99" w:rsidR="007D5768" w:rsidRPr="00E5644F" w:rsidRDefault="007D5768" w:rsidP="00E1079D">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1C7353">
              <w:rPr>
                <w:rFonts w:ascii="Verdana" w:eastAsia="Calibri" w:hAnsi="Verdana" w:cs="Arial"/>
                <w:b/>
                <w:bCs/>
                <w:lang w:val="es-ES" w:eastAsia="es-ES"/>
              </w:rPr>
              <w:t>319</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sidR="00FB76D0">
              <w:rPr>
                <w:rFonts w:ascii="Verdana" w:eastAsia="Calibri" w:hAnsi="Verdana" w:cs="Arial"/>
                <w:b/>
                <w:bCs/>
                <w:lang w:val="es-ES" w:eastAsia="es-ES"/>
              </w:rPr>
              <w:t>5</w:t>
            </w:r>
          </w:p>
        </w:tc>
      </w:tr>
      <w:tr w:rsidR="003F2418" w:rsidRPr="00593A5F" w14:paraId="0E5838A4" w14:textId="77777777" w:rsidTr="00E1079D">
        <w:trPr>
          <w:trHeight w:val="884"/>
        </w:trPr>
        <w:tc>
          <w:tcPr>
            <w:tcW w:w="2410" w:type="dxa"/>
          </w:tcPr>
          <w:p w14:paraId="52092E01" w14:textId="77777777" w:rsidR="003F2418" w:rsidRPr="00593A5F" w:rsidRDefault="003F2418" w:rsidP="003F241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7EFC3F55" w14:textId="40D9E5A2" w:rsidR="00C036EB" w:rsidRPr="00B05F99" w:rsidRDefault="00C036EB" w:rsidP="00C036EB">
            <w:pPr>
              <w:spacing w:line="276" w:lineRule="auto"/>
              <w:jc w:val="both"/>
              <w:rPr>
                <w:rFonts w:ascii="Verdana" w:hAnsi="Verdana" w:cs="Arial"/>
                <w:color w:val="000000"/>
                <w:lang w:val="es-ES" w:eastAsia="es-ES"/>
              </w:rPr>
            </w:pPr>
            <w:r w:rsidRPr="00B05F99">
              <w:rPr>
                <w:rFonts w:ascii="Verdana" w:hAnsi="Verdana" w:cs="Arial"/>
                <w:color w:val="000000"/>
                <w:lang w:val="es-ES" w:eastAsia="es-ES"/>
              </w:rPr>
              <w:t xml:space="preserve">CONTRATO DE ARRENDAMIENTO – Concepto – Elementos – Regulación </w:t>
            </w:r>
            <w:r>
              <w:rPr>
                <w:rFonts w:ascii="Verdana" w:hAnsi="Verdana" w:cs="Arial"/>
                <w:color w:val="000000"/>
                <w:lang w:val="es-ES" w:eastAsia="es-ES"/>
              </w:rPr>
              <w:t xml:space="preserve">/ </w:t>
            </w:r>
            <w:r w:rsidRPr="00B05F99">
              <w:rPr>
                <w:rFonts w:ascii="Verdana" w:hAnsi="Verdana" w:cs="Arial"/>
                <w:color w:val="000000"/>
                <w:lang w:val="es-ES" w:eastAsia="es-ES"/>
              </w:rPr>
              <w:t>SEGURIDAD SOCIAL – Verificación – Pago – Persona natural – Persona Jurídica</w:t>
            </w:r>
          </w:p>
          <w:p w14:paraId="62C72EB8" w14:textId="2210F10D" w:rsidR="003F2418" w:rsidRPr="00606078" w:rsidRDefault="003F2418" w:rsidP="00E5035C">
            <w:pPr>
              <w:jc w:val="both"/>
              <w:rPr>
                <w:rFonts w:ascii="Verdana" w:eastAsia="Calibri" w:hAnsi="Verdana" w:cs="Arial"/>
                <w:b/>
                <w:highlight w:val="yellow"/>
                <w:lang w:val="es-ES" w:eastAsia="es-ES"/>
              </w:rPr>
            </w:pPr>
          </w:p>
        </w:tc>
      </w:tr>
      <w:tr w:rsidR="003F2418" w:rsidRPr="00593A5F" w14:paraId="09936C6F" w14:textId="77777777" w:rsidTr="00E1079D">
        <w:tc>
          <w:tcPr>
            <w:tcW w:w="2410" w:type="dxa"/>
          </w:tcPr>
          <w:p w14:paraId="69819F5A" w14:textId="77777777" w:rsidR="003F2418" w:rsidRPr="006730E9" w:rsidRDefault="003F2418" w:rsidP="003F2418">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2CCB2D3E" w14:textId="6ADF5178" w:rsidR="003F2418" w:rsidRPr="006730E9" w:rsidRDefault="003F2418" w:rsidP="003F2418">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1C7353" w:rsidRPr="001C7353">
              <w:rPr>
                <w:rFonts w:ascii="Verdana" w:eastAsia="Calibri" w:hAnsi="Verdana" w:cs="Arial"/>
                <w:lang w:val="es-ES_tradnl" w:eastAsia="es-ES_tradnl"/>
              </w:rPr>
              <w:t>P20250223001768</w:t>
            </w:r>
            <w:r w:rsidR="0047280E">
              <w:rPr>
                <w:rFonts w:ascii="Verdana" w:eastAsia="Calibri" w:hAnsi="Verdana" w:cs="Arial"/>
                <w:lang w:val="es-ES_tradnl" w:eastAsia="es-ES_tradnl"/>
              </w:rPr>
              <w:t>.</w:t>
            </w:r>
          </w:p>
        </w:tc>
      </w:tr>
      <w:tr w:rsidR="003F2418" w:rsidRPr="00DB23D2" w14:paraId="3D69289B" w14:textId="77777777" w:rsidTr="00E1079D">
        <w:trPr>
          <w:gridAfter w:val="1"/>
          <w:wAfter w:w="336" w:type="dxa"/>
          <w:trHeight w:val="233"/>
        </w:trPr>
        <w:tc>
          <w:tcPr>
            <w:tcW w:w="8878" w:type="dxa"/>
            <w:gridSpan w:val="2"/>
          </w:tcPr>
          <w:p w14:paraId="77B387AE" w14:textId="5AE22ED0" w:rsidR="003F2418" w:rsidRPr="00DB23D2" w:rsidRDefault="003F2418" w:rsidP="003F2418">
            <w:pPr>
              <w:spacing w:after="120" w:line="276" w:lineRule="auto"/>
              <w:jc w:val="both"/>
              <w:rPr>
                <w:rFonts w:ascii="Verdana" w:eastAsia="Calibri" w:hAnsi="Verdana" w:cs="Arial"/>
                <w:lang w:val="es-ES_tradnl" w:eastAsia="es-ES"/>
              </w:rPr>
            </w:pPr>
          </w:p>
        </w:tc>
      </w:tr>
    </w:tbl>
    <w:p w14:paraId="064788AC" w14:textId="7257C402"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4014C5">
        <w:rPr>
          <w:rFonts w:ascii="Verdana" w:eastAsia="Calibri" w:hAnsi="Verdana" w:cs="Arial"/>
          <w:lang w:val="es-ES" w:eastAsia="es-ES"/>
        </w:rPr>
        <w:t>o</w:t>
      </w:r>
      <w:r w:rsidR="00EF4E84">
        <w:rPr>
          <w:rFonts w:ascii="Verdana" w:eastAsia="Calibri" w:hAnsi="Verdana" w:cs="Arial"/>
          <w:lang w:val="es-ES" w:eastAsia="es-ES"/>
        </w:rPr>
        <w:t xml:space="preserve"> </w:t>
      </w:r>
      <w:r w:rsidRPr="006730E9">
        <w:rPr>
          <w:rFonts w:ascii="Verdana" w:eastAsia="Calibri" w:hAnsi="Verdana" w:cs="Arial"/>
          <w:lang w:val="es-ES" w:eastAsia="es-ES"/>
        </w:rPr>
        <w:t>señor</w:t>
      </w:r>
      <w:r w:rsidR="00EF4E84">
        <w:rPr>
          <w:rFonts w:ascii="Verdana" w:eastAsia="Calibri" w:hAnsi="Verdana" w:cs="Arial"/>
          <w:lang w:val="es-ES" w:eastAsia="es-ES"/>
        </w:rPr>
        <w:t xml:space="preserve"> </w:t>
      </w:r>
      <w:r w:rsidR="001C7353">
        <w:rPr>
          <w:rFonts w:ascii="Verdana" w:eastAsia="Calibri" w:hAnsi="Verdana" w:cs="Arial"/>
          <w:lang w:val="es-ES" w:eastAsia="es-ES"/>
        </w:rPr>
        <w:t>Restrepo</w:t>
      </w:r>
      <w:r w:rsidR="00ED58AB">
        <w:rPr>
          <w:rFonts w:ascii="Verdana" w:eastAsia="Calibri" w:hAnsi="Verdana" w:cs="Arial"/>
          <w:lang w:val="es-ES" w:eastAsia="es-ES"/>
        </w:rPr>
        <w:t>;</w:t>
      </w:r>
    </w:p>
    <w:p w14:paraId="0152D11B" w14:textId="77777777" w:rsidR="007D5768" w:rsidRDefault="007D5768" w:rsidP="007D576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12CA923" w14:textId="3537EFA9" w:rsidR="007D5768" w:rsidRPr="006730E9" w:rsidRDefault="007D5768" w:rsidP="007D576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ED58AB">
        <w:rPr>
          <w:rFonts w:ascii="Verdana" w:eastAsia="Calibri" w:hAnsi="Verdana" w:cs="Arial"/>
          <w:lang w:val="es-ES" w:eastAsia="es-ES"/>
        </w:rPr>
        <w:t xml:space="preserve">radicada </w:t>
      </w:r>
      <w:r>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583765">
        <w:rPr>
          <w:rFonts w:ascii="Verdana" w:eastAsia="Calibri" w:hAnsi="Verdana" w:cs="Arial"/>
          <w:lang w:val="es-ES" w:eastAsia="es-ES"/>
        </w:rPr>
        <w:t>2</w:t>
      </w:r>
      <w:r w:rsidR="001C7353">
        <w:rPr>
          <w:rFonts w:ascii="Verdana" w:eastAsia="Calibri" w:hAnsi="Verdana" w:cs="Arial"/>
          <w:lang w:val="es-ES" w:eastAsia="es-ES"/>
        </w:rPr>
        <w:t>3</w:t>
      </w:r>
      <w:r w:rsidR="00043043">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955D18">
        <w:rPr>
          <w:rFonts w:ascii="Verdana" w:eastAsia="Calibri" w:hAnsi="Verdana" w:cs="Arial"/>
          <w:lang w:val="es-ES" w:eastAsia="es-ES"/>
        </w:rPr>
        <w:t>febrero</w:t>
      </w:r>
      <w:r w:rsidRPr="00E5644F">
        <w:rPr>
          <w:rFonts w:ascii="Verdana" w:eastAsia="Calibri" w:hAnsi="Verdana" w:cs="Arial"/>
          <w:lang w:val="es-ES" w:eastAsia="es-ES"/>
        </w:rPr>
        <w:t xml:space="preserve"> de</w:t>
      </w:r>
      <w:r w:rsidR="00955D18">
        <w:rPr>
          <w:rFonts w:ascii="Verdana" w:eastAsia="Calibri" w:hAnsi="Verdana" w:cs="Arial"/>
          <w:lang w:val="es-ES" w:eastAsia="es-ES"/>
        </w:rPr>
        <w:t xml:space="preserve"> </w:t>
      </w:r>
      <w:r w:rsidRPr="00E5644F">
        <w:rPr>
          <w:rFonts w:ascii="Verdana" w:eastAsia="Calibri" w:hAnsi="Verdana" w:cs="Arial"/>
          <w:lang w:val="es-ES" w:eastAsia="es-ES"/>
        </w:rPr>
        <w:t>202</w:t>
      </w:r>
      <w:r w:rsidR="00955D18">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96183A1" w14:textId="77777777" w:rsidR="007D5768" w:rsidRPr="00326382" w:rsidRDefault="007D5768" w:rsidP="007D5768">
      <w:pPr>
        <w:spacing w:after="0" w:line="240" w:lineRule="auto"/>
        <w:ind w:left="709" w:right="474"/>
        <w:jc w:val="both"/>
        <w:rPr>
          <w:rFonts w:ascii="Verdana" w:hAnsi="Verdana" w:cs="Arial"/>
          <w:sz w:val="20"/>
          <w:szCs w:val="20"/>
          <w:shd w:val="clear" w:color="auto" w:fill="FFFFFF"/>
        </w:rPr>
      </w:pPr>
      <w:bookmarkStart w:id="4" w:name="_Hlk95313578"/>
    </w:p>
    <w:bookmarkEnd w:id="4"/>
    <w:p w14:paraId="18926040" w14:textId="5AC6F482" w:rsidR="00816AFA" w:rsidRPr="00E97A30" w:rsidRDefault="00E6781E" w:rsidP="00E97A30">
      <w:pPr>
        <w:pStyle w:val="Prrafodelista"/>
        <w:tabs>
          <w:tab w:val="left" w:pos="142"/>
          <w:tab w:val="left" w:pos="284"/>
        </w:tabs>
        <w:ind w:left="709" w:right="709"/>
        <w:jc w:val="both"/>
        <w:rPr>
          <w:rFonts w:ascii="Verdana" w:eastAsia="Century Gothic" w:hAnsi="Verdana" w:cs="Century Gothic"/>
          <w:i/>
          <w:iCs/>
        </w:rPr>
      </w:pPr>
      <w:r w:rsidRPr="009D04B0">
        <w:rPr>
          <w:rFonts w:ascii="Verdana" w:eastAsia="Century Gothic" w:hAnsi="Verdana" w:cs="Century Gothic"/>
          <w:i/>
          <w:iCs/>
          <w:lang w:val="es-CO"/>
        </w:rPr>
        <w:t>“</w:t>
      </w:r>
      <w:r w:rsidR="00816AFA" w:rsidRPr="00E97A30">
        <w:rPr>
          <w:rFonts w:ascii="Verdana" w:eastAsia="Century Gothic" w:hAnsi="Verdana" w:cs="Century Gothic"/>
          <w:i/>
          <w:iCs/>
          <w:lang w:val="es-CO"/>
        </w:rPr>
        <w:t xml:space="preserve">Se solicita concepto respecto de la situación en la cual las Entidades Públicas en la relación contractual actúen como </w:t>
      </w:r>
      <w:r w:rsidR="00816AFA" w:rsidRPr="00E97A30">
        <w:rPr>
          <w:rFonts w:ascii="Verdana" w:eastAsia="Century Gothic" w:hAnsi="Verdana" w:cs="Century Gothic"/>
          <w:b/>
          <w:bCs/>
          <w:i/>
          <w:iCs/>
          <w:lang w:val="es-CO"/>
        </w:rPr>
        <w:t xml:space="preserve">ARRENDADOR </w:t>
      </w:r>
      <w:r w:rsidR="00816AFA" w:rsidRPr="00E97A30">
        <w:rPr>
          <w:rFonts w:ascii="Verdana" w:eastAsia="Century Gothic" w:hAnsi="Verdana" w:cs="Century Gothic"/>
          <w:i/>
          <w:iCs/>
          <w:lang w:val="es-CO"/>
        </w:rPr>
        <w:t>y el contratista, siendo persona natural se presente como arrendatario; en este presupuesto, es el contratista (arrendatario) quien paga canon de arrendamiento a favor de las Entidades Públicas, por lo que surgen las presentes inquietudes:</w:t>
      </w:r>
    </w:p>
    <w:p w14:paraId="6D33FDC0" w14:textId="77777777" w:rsidR="00E97A30" w:rsidRDefault="00E97A30" w:rsidP="00816AFA">
      <w:pPr>
        <w:pStyle w:val="Prrafodelista"/>
        <w:tabs>
          <w:tab w:val="left" w:pos="142"/>
          <w:tab w:val="left" w:pos="284"/>
        </w:tabs>
        <w:ind w:left="709" w:right="709"/>
        <w:jc w:val="both"/>
        <w:rPr>
          <w:rFonts w:ascii="Verdana" w:eastAsia="Century Gothic" w:hAnsi="Verdana" w:cs="Century Gothic"/>
          <w:i/>
          <w:iCs/>
          <w:lang w:val="es-CO"/>
        </w:rPr>
      </w:pPr>
    </w:p>
    <w:p w14:paraId="0E25849A" w14:textId="18D9E747" w:rsidR="00E97A30" w:rsidRDefault="00E97A30" w:rsidP="00816AFA">
      <w:pPr>
        <w:pStyle w:val="Prrafodelista"/>
        <w:tabs>
          <w:tab w:val="left" w:pos="142"/>
          <w:tab w:val="left" w:pos="284"/>
        </w:tabs>
        <w:ind w:left="709" w:right="709"/>
        <w:jc w:val="both"/>
        <w:rPr>
          <w:rFonts w:ascii="Verdana" w:eastAsia="Century Gothic" w:hAnsi="Verdana" w:cs="Century Gothic"/>
          <w:i/>
          <w:iCs/>
          <w:lang w:val="es-CO"/>
        </w:rPr>
      </w:pPr>
      <w:r>
        <w:rPr>
          <w:rFonts w:ascii="Verdana" w:eastAsia="Century Gothic" w:hAnsi="Verdana" w:cs="Century Gothic"/>
          <w:i/>
          <w:iCs/>
          <w:lang w:val="es-CO"/>
        </w:rPr>
        <w:t>(…)</w:t>
      </w:r>
    </w:p>
    <w:p w14:paraId="0448744C" w14:textId="77777777" w:rsidR="00816AFA" w:rsidRPr="00816AFA" w:rsidRDefault="00816AFA" w:rsidP="00816AFA">
      <w:pPr>
        <w:pStyle w:val="Prrafodelista"/>
        <w:tabs>
          <w:tab w:val="left" w:pos="142"/>
          <w:tab w:val="left" w:pos="284"/>
        </w:tabs>
        <w:ind w:left="709" w:right="709"/>
        <w:jc w:val="both"/>
        <w:rPr>
          <w:rFonts w:ascii="Verdana" w:eastAsia="Century Gothic" w:hAnsi="Verdana" w:cs="Century Gothic"/>
          <w:i/>
          <w:iCs/>
        </w:rPr>
      </w:pPr>
    </w:p>
    <w:p w14:paraId="776E6F6A" w14:textId="77777777" w:rsidR="00816AFA" w:rsidRDefault="00816AFA" w:rsidP="00816AFA">
      <w:pPr>
        <w:pStyle w:val="Prrafodelista"/>
        <w:tabs>
          <w:tab w:val="left" w:pos="142"/>
          <w:tab w:val="left" w:pos="284"/>
        </w:tabs>
        <w:ind w:left="709" w:right="709"/>
        <w:jc w:val="both"/>
        <w:rPr>
          <w:rFonts w:ascii="Verdana" w:eastAsia="Century Gothic" w:hAnsi="Verdana" w:cs="Century Gothic"/>
          <w:i/>
          <w:iCs/>
          <w:lang w:val="es-CO"/>
        </w:rPr>
      </w:pPr>
      <w:r w:rsidRPr="00816AFA">
        <w:rPr>
          <w:rFonts w:ascii="Verdana" w:eastAsia="Century Gothic" w:hAnsi="Verdana" w:cs="Century Gothic"/>
          <w:i/>
          <w:iCs/>
        </w:rPr>
        <w:t>3. Continuando en la misma línea, ¿El incumplimiento del pago de la Seguridad Social por parte del contratista (arrendatario), es causal suficiente para la terminación anticipada del contrato de</w:t>
      </w:r>
      <w:r>
        <w:rPr>
          <w:rFonts w:ascii="Verdana" w:eastAsia="Century Gothic" w:hAnsi="Verdana" w:cs="Century Gothic"/>
          <w:i/>
          <w:iCs/>
        </w:rPr>
        <w:t xml:space="preserve"> arrendamiento por incumplimiento </w:t>
      </w:r>
      <w:r w:rsidRPr="00816AFA">
        <w:rPr>
          <w:rFonts w:ascii="Verdana" w:eastAsia="Century Gothic" w:hAnsi="Verdana" w:cs="Century Gothic"/>
          <w:i/>
          <w:iCs/>
          <w:lang w:val="es-CO"/>
        </w:rPr>
        <w:t xml:space="preserve">del Contratista (arrendatario) de la obligación legal de estar al día con el pago de su Seguridad Social? </w:t>
      </w:r>
    </w:p>
    <w:p w14:paraId="097025F2" w14:textId="2A65EFBA" w:rsidR="00816AFA" w:rsidRPr="00816AFA" w:rsidRDefault="00816AFA" w:rsidP="00816AFA">
      <w:pPr>
        <w:pStyle w:val="Prrafodelista"/>
        <w:tabs>
          <w:tab w:val="left" w:pos="142"/>
          <w:tab w:val="left" w:pos="284"/>
        </w:tabs>
        <w:ind w:left="709" w:right="709"/>
        <w:jc w:val="both"/>
        <w:rPr>
          <w:rFonts w:ascii="Verdana" w:eastAsia="Century Gothic" w:hAnsi="Verdana" w:cs="Century Gothic"/>
          <w:i/>
          <w:iCs/>
          <w:lang w:val="es-CO"/>
        </w:rPr>
      </w:pPr>
      <w:r>
        <w:rPr>
          <w:rFonts w:ascii="Verdana" w:eastAsia="Century Gothic" w:hAnsi="Verdana" w:cs="Century Gothic"/>
          <w:i/>
          <w:iCs/>
          <w:lang w:val="es-CO"/>
        </w:rPr>
        <w:t xml:space="preserve">4. </w:t>
      </w:r>
      <w:r w:rsidRPr="00816AFA">
        <w:rPr>
          <w:rFonts w:ascii="Verdana" w:eastAsia="Century Gothic" w:hAnsi="Verdana" w:cs="Century Gothic"/>
          <w:i/>
          <w:iCs/>
        </w:rPr>
        <w:t xml:space="preserve">¿Como pueden las Entidades Públicas exigir el cumplimiento de esa obligación?, ¿Se le debe solicitar al contratista (arrendatario) aportar una garantía de las establecidas en el Decreto 1082 de 2015 que cubra la citada obligación (pago de la Seguridad Social) por los plazos y valores establecidos en el citado Decreto? </w:t>
      </w:r>
    </w:p>
    <w:p w14:paraId="694C9E3F" w14:textId="77777777" w:rsidR="00816AFA" w:rsidRPr="00816AFA" w:rsidRDefault="00816AFA" w:rsidP="00816AFA">
      <w:pPr>
        <w:pStyle w:val="Prrafodelista"/>
        <w:tabs>
          <w:tab w:val="left" w:pos="142"/>
          <w:tab w:val="left" w:pos="284"/>
        </w:tabs>
        <w:ind w:left="1080" w:right="709"/>
        <w:jc w:val="both"/>
        <w:rPr>
          <w:rFonts w:ascii="Verdana" w:eastAsia="Century Gothic" w:hAnsi="Verdana" w:cs="Century Gothic"/>
          <w:i/>
          <w:iCs/>
        </w:rPr>
      </w:pPr>
    </w:p>
    <w:p w14:paraId="6BDF8616" w14:textId="3542B11B" w:rsidR="00816AFA" w:rsidRDefault="00816AFA" w:rsidP="009D04B0">
      <w:pPr>
        <w:pStyle w:val="Prrafodelista"/>
        <w:tabs>
          <w:tab w:val="left" w:pos="142"/>
          <w:tab w:val="left" w:pos="284"/>
        </w:tabs>
        <w:ind w:left="709" w:right="709"/>
        <w:jc w:val="both"/>
        <w:rPr>
          <w:rFonts w:ascii="Verdana" w:eastAsia="Century Gothic" w:hAnsi="Verdana" w:cs="Century Gothic"/>
          <w:i/>
          <w:iCs/>
          <w:lang w:val="es-CO"/>
        </w:rPr>
      </w:pPr>
      <w:r w:rsidRPr="00816AFA">
        <w:rPr>
          <w:rFonts w:ascii="Verdana" w:eastAsia="Century Gothic" w:hAnsi="Verdana" w:cs="Century Gothic"/>
          <w:i/>
          <w:iCs/>
          <w:lang w:val="es-CO"/>
        </w:rPr>
        <w:t xml:space="preserve">Respecto de los </w:t>
      </w:r>
      <w:r w:rsidRPr="00816AFA">
        <w:rPr>
          <w:rFonts w:ascii="Verdana" w:eastAsia="Century Gothic" w:hAnsi="Verdana" w:cs="Century Gothic"/>
          <w:b/>
          <w:bCs/>
          <w:i/>
          <w:iCs/>
          <w:lang w:val="es-CO"/>
        </w:rPr>
        <w:t xml:space="preserve">comodatos </w:t>
      </w:r>
      <w:r w:rsidRPr="00816AFA">
        <w:rPr>
          <w:rFonts w:ascii="Verdana" w:eastAsia="Century Gothic" w:hAnsi="Verdana" w:cs="Century Gothic"/>
          <w:i/>
          <w:iCs/>
          <w:lang w:val="es-CO"/>
        </w:rPr>
        <w:t xml:space="preserve">que suscribe la Entidades Públicas en virtud del Artículo 38 de la Ley 9 de 1989, el cual establece: </w:t>
      </w:r>
      <w:r w:rsidRPr="00816AFA">
        <w:rPr>
          <w:rFonts w:ascii="Verdana" w:eastAsia="Century Gothic" w:hAnsi="Verdana" w:cs="Century Gothic"/>
          <w:b/>
          <w:bCs/>
          <w:i/>
          <w:iCs/>
          <w:lang w:val="es-CO"/>
        </w:rPr>
        <w:t>“</w:t>
      </w:r>
      <w:r w:rsidRPr="00816AFA">
        <w:rPr>
          <w:rFonts w:ascii="Verdana" w:eastAsia="Century Gothic" w:hAnsi="Verdana" w:cs="Century Gothic"/>
          <w:i/>
          <w:iCs/>
          <w:lang w:val="es-CO"/>
        </w:rPr>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 se solicita concepto jurídico respecto de si en estas relaciones contractuales le es aplicable la normatividad que exige el pago de la Seguridad Social por parte de la Persona Jurídica (Comodante o comodatario) y la verificación por parte de las Entidades Públicas de dicho pago, si el incumplimiento del pago, es causal de terminación anticipada del Contrato de comodato, y cuáles son los valores a pagar al Sistema en caso de ser obligatoria dicha actividad.</w:t>
      </w:r>
    </w:p>
    <w:p w14:paraId="61BB4CA1" w14:textId="77777777" w:rsidR="00816AFA" w:rsidRDefault="00816AFA" w:rsidP="009D04B0">
      <w:pPr>
        <w:pStyle w:val="Prrafodelista"/>
        <w:tabs>
          <w:tab w:val="left" w:pos="142"/>
          <w:tab w:val="left" w:pos="284"/>
        </w:tabs>
        <w:ind w:left="709" w:right="709"/>
        <w:jc w:val="both"/>
        <w:rPr>
          <w:rFonts w:ascii="Verdana" w:eastAsia="Century Gothic" w:hAnsi="Verdana" w:cs="Century Gothic"/>
          <w:i/>
          <w:iCs/>
          <w:lang w:val="es-CO"/>
        </w:rPr>
      </w:pPr>
    </w:p>
    <w:p w14:paraId="4A1949FF" w14:textId="5A911CC4" w:rsidR="00955D18" w:rsidRPr="009D04B0" w:rsidRDefault="009D04B0" w:rsidP="009D04B0">
      <w:pPr>
        <w:pStyle w:val="Prrafodelista"/>
        <w:tabs>
          <w:tab w:val="left" w:pos="142"/>
          <w:tab w:val="left" w:pos="284"/>
        </w:tabs>
        <w:ind w:left="709" w:right="709"/>
        <w:jc w:val="both"/>
        <w:rPr>
          <w:rFonts w:ascii="Verdana" w:eastAsia="Century Gothic" w:hAnsi="Verdana" w:cs="Century Gothic"/>
          <w:i/>
          <w:iCs/>
        </w:rPr>
      </w:pPr>
      <w:r w:rsidRPr="009D04B0">
        <w:rPr>
          <w:rFonts w:ascii="Verdana" w:eastAsia="Century Gothic" w:hAnsi="Verdana" w:cs="Century Gothic"/>
          <w:i/>
          <w:iCs/>
          <w:lang w:val="es-CO"/>
        </w:rPr>
        <w:t>(…)</w:t>
      </w:r>
      <w:r w:rsidR="00955D18" w:rsidRPr="009D04B0">
        <w:rPr>
          <w:rFonts w:ascii="Verdana" w:eastAsia="Century Gothic" w:hAnsi="Verdana" w:cs="Century Gothic"/>
          <w:i/>
          <w:iCs/>
          <w:lang w:val="es-CO"/>
        </w:rPr>
        <w:t xml:space="preserve"> </w:t>
      </w:r>
    </w:p>
    <w:p w14:paraId="7EDE0C68" w14:textId="217D55E2" w:rsidR="00E6781E" w:rsidRPr="00AA3B9F" w:rsidRDefault="00E6781E" w:rsidP="00E6781E">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sidR="00BD77C4">
        <w:rPr>
          <w:rFonts w:ascii="Verdana" w:eastAsia="Calibri" w:hAnsi="Verdana" w:cs="Arial"/>
          <w:lang w:val="es-ES" w:eastAsia="es-ES"/>
        </w:rPr>
        <w:t>E</w:t>
      </w:r>
      <w:r w:rsidRPr="00AA3B9F">
        <w:rPr>
          <w:rFonts w:ascii="Verdana" w:eastAsia="Calibri" w:hAnsi="Verdana" w:cs="Arial"/>
          <w:lang w:val="es-ES" w:eastAsia="es-ES"/>
        </w:rPr>
        <w:t xml:space="preserve">ntidades </w:t>
      </w:r>
      <w:r w:rsidR="00BD77C4">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78EE459" w14:textId="77777777" w:rsidR="00E6781E" w:rsidRDefault="00E6781E" w:rsidP="00E6781E">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5945FBE8" w14:textId="77777777" w:rsidR="00C036EB" w:rsidRDefault="00C036EB" w:rsidP="00E6781E">
      <w:pPr>
        <w:spacing w:after="0" w:line="276" w:lineRule="auto"/>
        <w:ind w:firstLine="709"/>
        <w:jc w:val="both"/>
        <w:rPr>
          <w:rFonts w:ascii="Verdana" w:eastAsia="Calibri" w:hAnsi="Verdana" w:cs="Arial"/>
          <w:lang w:val="es-ES" w:eastAsia="es-ES"/>
        </w:rPr>
      </w:pPr>
    </w:p>
    <w:p w14:paraId="162F57A0" w14:textId="48E1FE00" w:rsidR="00C036EB" w:rsidRPr="00AA3B9F" w:rsidRDefault="00C036EB" w:rsidP="00E6781E">
      <w:pPr>
        <w:spacing w:after="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Igualmente es de precisar que las preguntas numero 1 y 2 fueron </w:t>
      </w:r>
      <w:r w:rsidR="00F85A24">
        <w:rPr>
          <w:rFonts w:ascii="Verdana" w:eastAsia="Calibri" w:hAnsi="Verdana" w:cs="Arial"/>
          <w:lang w:val="es-ES" w:eastAsia="es-ES"/>
        </w:rPr>
        <w:t xml:space="preserve">trasladas por competencia </w:t>
      </w:r>
      <w:r>
        <w:rPr>
          <w:rFonts w:ascii="Verdana" w:eastAsia="Calibri" w:hAnsi="Verdana" w:cs="Arial"/>
          <w:lang w:val="es-ES" w:eastAsia="es-ES"/>
        </w:rPr>
        <w:t xml:space="preserve">al </w:t>
      </w:r>
      <w:r w:rsidR="00F85A24">
        <w:rPr>
          <w:rFonts w:ascii="Verdana" w:eastAsia="Calibri" w:hAnsi="Verdana" w:cs="Arial"/>
          <w:lang w:val="es-ES" w:eastAsia="es-ES"/>
        </w:rPr>
        <w:t>Ministerio</w:t>
      </w:r>
      <w:r>
        <w:rPr>
          <w:rFonts w:ascii="Verdana" w:eastAsia="Calibri" w:hAnsi="Verdana" w:cs="Arial"/>
          <w:lang w:val="es-ES" w:eastAsia="es-ES"/>
        </w:rPr>
        <w:t xml:space="preserve"> de Salud</w:t>
      </w:r>
      <w:r w:rsidR="00F85A24">
        <w:rPr>
          <w:rFonts w:ascii="Verdana" w:eastAsia="Calibri" w:hAnsi="Verdana" w:cs="Arial"/>
          <w:lang w:val="es-ES" w:eastAsia="es-ES"/>
        </w:rPr>
        <w:t xml:space="preserve"> y Protección Social mediante radicado </w:t>
      </w:r>
      <w:r w:rsidR="00F85A24" w:rsidRPr="001C7353">
        <w:rPr>
          <w:rFonts w:ascii="Verdana" w:eastAsia="Calibri" w:hAnsi="Verdana" w:cs="Arial"/>
          <w:lang w:val="es-ES_tradnl" w:eastAsia="es-ES_tradnl"/>
        </w:rPr>
        <w:t>P20250223001768</w:t>
      </w:r>
      <w:r>
        <w:rPr>
          <w:rFonts w:ascii="Verdana" w:eastAsia="Calibri" w:hAnsi="Verdana" w:cs="Arial"/>
          <w:lang w:val="es-ES" w:eastAsia="es-ES"/>
        </w:rPr>
        <w:t xml:space="preserve">  </w:t>
      </w:r>
      <w:r w:rsidR="00F85A24">
        <w:rPr>
          <w:rFonts w:ascii="Verdana" w:eastAsia="Calibri" w:hAnsi="Verdana" w:cs="Arial"/>
          <w:lang w:val="es-ES" w:eastAsia="es-ES"/>
        </w:rPr>
        <w:t>del 28 de febrero de 2025.</w:t>
      </w:r>
    </w:p>
    <w:p w14:paraId="060344BA" w14:textId="77777777" w:rsidR="007D5768" w:rsidRDefault="007D5768" w:rsidP="007D5768">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6704925"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 xml:space="preserve">Problema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5CB2E569" w14:textId="77777777" w:rsidR="007D5768" w:rsidRPr="00593A5F" w:rsidRDefault="007D5768" w:rsidP="007D5768">
      <w:pPr>
        <w:tabs>
          <w:tab w:val="left" w:pos="426"/>
        </w:tabs>
        <w:spacing w:after="0" w:line="276" w:lineRule="auto"/>
        <w:jc w:val="both"/>
        <w:rPr>
          <w:rFonts w:ascii="Verdana" w:eastAsia="Century Gothic" w:hAnsi="Verdana" w:cs="Century Gothic"/>
          <w:lang w:val="es-ES"/>
        </w:rPr>
      </w:pPr>
    </w:p>
    <w:p w14:paraId="729A8799" w14:textId="0427FD56" w:rsidR="00361B84" w:rsidRDefault="007D5768" w:rsidP="00361B84">
      <w:pPr>
        <w:jc w:val="both"/>
        <w:rPr>
          <w:rFonts w:ascii="Verdana" w:eastAsia="Times New Roman" w:hAnsi="Verdana" w:cs="Century Gothic"/>
          <w:color w:val="000000"/>
          <w:lang w:val="es-ES"/>
        </w:rPr>
      </w:pPr>
      <w:r w:rsidRPr="00B22D91">
        <w:rPr>
          <w:rFonts w:ascii="Verdana" w:eastAsia="Century Gothic" w:hAnsi="Verdana" w:cs="Century Gothic"/>
        </w:rPr>
        <w:t xml:space="preserve">De acuerdo con el contenido de su solicitud, esta Agencia resolverá </w:t>
      </w:r>
      <w:r w:rsidR="00657B17">
        <w:rPr>
          <w:rFonts w:ascii="Verdana" w:eastAsia="Century Gothic" w:hAnsi="Verdana" w:cs="Century Gothic"/>
        </w:rPr>
        <w:t>los</w:t>
      </w:r>
      <w:r w:rsidR="00ED291B">
        <w:rPr>
          <w:rFonts w:ascii="Verdana" w:eastAsia="Century Gothic" w:hAnsi="Verdana" w:cs="Century Gothic"/>
        </w:rPr>
        <w:t xml:space="preserve"> </w:t>
      </w:r>
      <w:r w:rsidR="00657B17">
        <w:rPr>
          <w:rFonts w:ascii="Verdana" w:eastAsia="Century Gothic" w:hAnsi="Verdana" w:cs="Century Gothic"/>
        </w:rPr>
        <w:t xml:space="preserve">siguientes </w:t>
      </w:r>
      <w:r w:rsidR="00657B17" w:rsidRPr="00B22D91">
        <w:rPr>
          <w:rFonts w:ascii="Verdana" w:eastAsia="Century Gothic" w:hAnsi="Verdana" w:cs="Century Gothic"/>
        </w:rPr>
        <w:t>problemas</w:t>
      </w:r>
      <w:r w:rsidRPr="00B22D91">
        <w:rPr>
          <w:rFonts w:ascii="Verdana" w:eastAsia="Century Gothic" w:hAnsi="Verdana" w:cs="Century Gothic"/>
        </w:rPr>
        <w:t xml:space="preserve"> jurídico</w:t>
      </w:r>
      <w:r w:rsidR="005F7B58">
        <w:rPr>
          <w:rFonts w:ascii="Verdana" w:eastAsia="Century Gothic" w:hAnsi="Verdana" w:cs="Century Gothic"/>
        </w:rPr>
        <w:t>s</w:t>
      </w:r>
      <w:r w:rsidRPr="00B22D91">
        <w:rPr>
          <w:rFonts w:ascii="Verdana" w:eastAsia="Century Gothic" w:hAnsi="Verdana" w:cs="Century Gothic"/>
        </w:rPr>
        <w:t>:</w:t>
      </w:r>
      <w:r w:rsidR="00F51BC1">
        <w:rPr>
          <w:rFonts w:ascii="Verdana" w:eastAsia="Century Gothic" w:hAnsi="Verdana" w:cs="Century Gothic"/>
        </w:rPr>
        <w:t xml:space="preserve"> </w:t>
      </w:r>
      <w:r w:rsidR="00361B84" w:rsidRPr="00B05F99">
        <w:rPr>
          <w:rFonts w:ascii="Verdana" w:eastAsia="Times New Roman" w:hAnsi="Verdana" w:cs="Century Gothic"/>
          <w:color w:val="000000"/>
          <w:lang w:val="es-ES"/>
        </w:rPr>
        <w:t xml:space="preserve">¿Es obligatorio acreditar y pagar aportes de la Seguridad Social en los contratos de arrendamiento que suscriba una Entidad </w:t>
      </w:r>
      <w:r w:rsidR="004F2FC4">
        <w:rPr>
          <w:rFonts w:ascii="Verdana" w:eastAsia="Times New Roman" w:hAnsi="Verdana" w:cs="Century Gothic"/>
          <w:color w:val="000000"/>
          <w:lang w:val="es-ES"/>
        </w:rPr>
        <w:t xml:space="preserve">pública que actúa como arrendador con un particular quien funge como arrendatario </w:t>
      </w:r>
      <w:r w:rsidR="00361B84" w:rsidRPr="00B05F99">
        <w:rPr>
          <w:rFonts w:ascii="Verdana" w:eastAsia="Times New Roman" w:hAnsi="Verdana" w:cs="Century Gothic"/>
          <w:color w:val="000000"/>
          <w:lang w:val="es-ES"/>
        </w:rPr>
        <w:t>?</w:t>
      </w:r>
      <w:r w:rsidR="00361B84">
        <w:rPr>
          <w:rFonts w:ascii="Verdana" w:eastAsia="Times New Roman" w:hAnsi="Verdana" w:cs="Century Gothic"/>
          <w:color w:val="000000"/>
          <w:lang w:val="es-ES"/>
        </w:rPr>
        <w:t xml:space="preserve"> </w:t>
      </w:r>
      <w:r w:rsidR="004F2FC4" w:rsidRPr="00B05F99">
        <w:rPr>
          <w:rFonts w:ascii="Verdana" w:eastAsia="Times New Roman" w:hAnsi="Verdana" w:cs="Century Gothic"/>
          <w:color w:val="000000"/>
          <w:lang w:val="es-ES"/>
        </w:rPr>
        <w:t>¿</w:t>
      </w:r>
      <w:r w:rsidR="004F2FC4">
        <w:rPr>
          <w:rFonts w:ascii="Verdana" w:eastAsia="Times New Roman" w:hAnsi="Verdana" w:cs="Century Gothic"/>
          <w:color w:val="000000"/>
          <w:lang w:val="es-ES"/>
        </w:rPr>
        <w:t>Cuál es la manera de acreditar este pago</w:t>
      </w:r>
      <w:r w:rsidR="004B0DAA">
        <w:rPr>
          <w:rFonts w:ascii="Verdana" w:eastAsia="Times New Roman" w:hAnsi="Verdana" w:cs="Century Gothic"/>
          <w:color w:val="000000"/>
          <w:lang w:val="es-ES"/>
        </w:rPr>
        <w:t xml:space="preserve"> y qué consecuencias tiene su incumplimiento</w:t>
      </w:r>
      <w:r w:rsidR="004F2FC4" w:rsidRPr="00B05F99">
        <w:rPr>
          <w:rFonts w:ascii="Verdana" w:eastAsia="Times New Roman" w:hAnsi="Verdana" w:cs="Century Gothic"/>
          <w:color w:val="000000"/>
          <w:lang w:val="es-ES"/>
        </w:rPr>
        <w:t>?</w:t>
      </w:r>
      <w:r w:rsidR="00B87599">
        <w:rPr>
          <w:rFonts w:ascii="Verdana" w:eastAsia="Times New Roman" w:hAnsi="Verdana" w:cs="Century Gothic"/>
          <w:color w:val="000000"/>
          <w:lang w:val="es-ES"/>
        </w:rPr>
        <w:t xml:space="preserve"> </w:t>
      </w:r>
      <w:r w:rsidR="00361B84" w:rsidRPr="00B05F99">
        <w:rPr>
          <w:rFonts w:ascii="Verdana" w:eastAsia="Times New Roman" w:hAnsi="Verdana" w:cs="Century Gothic"/>
          <w:color w:val="000000"/>
          <w:lang w:val="es-ES"/>
        </w:rPr>
        <w:t>¿</w:t>
      </w:r>
      <w:r w:rsidR="00361B84">
        <w:rPr>
          <w:rFonts w:ascii="Verdana" w:eastAsia="Times New Roman" w:hAnsi="Verdana" w:cs="Century Gothic"/>
          <w:color w:val="000000"/>
          <w:lang w:val="es-ES"/>
        </w:rPr>
        <w:t xml:space="preserve">Como aplica esta situación para el caso de los </w:t>
      </w:r>
      <w:r w:rsidR="00657B17">
        <w:rPr>
          <w:rFonts w:ascii="Verdana" w:eastAsia="Times New Roman" w:hAnsi="Verdana" w:cs="Century Gothic"/>
          <w:color w:val="000000"/>
          <w:lang w:val="es-ES"/>
        </w:rPr>
        <w:t>contratos de comodato</w:t>
      </w:r>
      <w:r w:rsidR="00657B17" w:rsidRPr="00B05F99">
        <w:rPr>
          <w:rFonts w:ascii="Verdana" w:eastAsia="Times New Roman" w:hAnsi="Verdana" w:cs="Century Gothic"/>
          <w:color w:val="000000"/>
          <w:lang w:val="es-ES"/>
        </w:rPr>
        <w:t>?</w:t>
      </w:r>
    </w:p>
    <w:p w14:paraId="0FABB1D4"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8D1DC7E" w14:textId="77777777" w:rsidR="007D5768" w:rsidRPr="00593A5F" w:rsidRDefault="007D5768" w:rsidP="007D576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779"/>
      </w:tblGrid>
      <w:tr w:rsidR="007D5768" w:rsidRPr="00593A5F" w14:paraId="2BAE82EC" w14:textId="77777777" w:rsidTr="00E1079D">
        <w:tc>
          <w:tcPr>
            <w:tcW w:w="8828" w:type="dxa"/>
            <w:shd w:val="clear" w:color="auto" w:fill="auto"/>
          </w:tcPr>
          <w:p w14:paraId="283E0D21" w14:textId="1F3F5FEF" w:rsidR="004F2FC4" w:rsidRPr="004F2FC4" w:rsidRDefault="00306C5A" w:rsidP="004F2FC4">
            <w:pPr>
              <w:spacing w:after="120" w:line="276" w:lineRule="auto"/>
              <w:jc w:val="both"/>
              <w:rPr>
                <w:rFonts w:ascii="Verdana" w:eastAsia="Calibri" w:hAnsi="Verdana" w:cs="Arial"/>
              </w:rPr>
            </w:pPr>
            <w:r>
              <w:rPr>
                <w:rFonts w:ascii="Verdana" w:eastAsia="Arial MT" w:hAnsi="Verdana" w:cs="Arial"/>
                <w:lang w:eastAsia="es-ES" w:bidi="es-ES"/>
              </w:rPr>
              <w:t xml:space="preserve">      </w:t>
            </w:r>
            <w:r w:rsidR="004F2FC4" w:rsidRPr="004F2FC4">
              <w:rPr>
                <w:rFonts w:ascii="Verdana" w:eastAsia="Calibri" w:hAnsi="Verdana" w:cs="Arial"/>
              </w:rPr>
              <w:t xml:space="preserve">El pago de aportes al Sistema de Seguridad Social Integral por parte de los contratistas estatales es un requisito regulado por la Ley 80 de 1993, Ley 1150 de 2007, Ley 789 de 2002 y demás normas complementarias, por lo que las Entidades Contratantes tienen el deber de verificar su cumplimiento antes de la celebración del contrato como es el caso de la afiliación, y durante su ejecución y liquidación el pago de los respectivos aportes conforme al valor de la prestación. </w:t>
            </w:r>
          </w:p>
          <w:p w14:paraId="2A9EA9AC" w14:textId="77777777" w:rsidR="004F2FC4" w:rsidRPr="004F2FC4" w:rsidRDefault="004F2FC4" w:rsidP="004F2FC4">
            <w:pPr>
              <w:spacing w:after="120" w:line="276" w:lineRule="auto"/>
              <w:jc w:val="both"/>
              <w:rPr>
                <w:rFonts w:ascii="Verdana" w:eastAsia="Calibri" w:hAnsi="Verdana" w:cs="Arial"/>
              </w:rPr>
            </w:pPr>
            <w:r w:rsidRPr="004F2FC4">
              <w:rPr>
                <w:rFonts w:ascii="Verdana" w:eastAsia="Calibri" w:hAnsi="Verdana" w:cs="Arial"/>
              </w:rPr>
              <w:t>El artículo 23 de la Ley 1150 de 2007  prescribe “(…) el proponente y el contratista deberán acreditar que se encuentran al día en el pago de aportes parafiscales relativos al Sistema de Seguridad Social Integral, así como los propios del Sena, ICBF y Cajas de Compensación Familiar, cuando corresponda.(…);  si bien los proponentes y los contratistas deben estar al día en el pago al Sistema de Seguridad Social Integral, la verificación de este requisito, por parte de las entidades estatales, se efectuará cuando realicen los pagos del contrato, es decir, durante la ejecución.</w:t>
            </w:r>
          </w:p>
          <w:p w14:paraId="23DFEAA7" w14:textId="77777777" w:rsidR="004F2FC4" w:rsidRPr="004F2FC4" w:rsidRDefault="004F2FC4" w:rsidP="004F2FC4">
            <w:pPr>
              <w:spacing w:after="120" w:line="276" w:lineRule="auto"/>
              <w:jc w:val="both"/>
              <w:rPr>
                <w:rFonts w:ascii="Verdana" w:eastAsia="Calibri" w:hAnsi="Verdana" w:cs="Arial"/>
              </w:rPr>
            </w:pPr>
            <w:r w:rsidRPr="004F2FC4">
              <w:rPr>
                <w:rFonts w:ascii="Verdana" w:eastAsia="Calibri" w:hAnsi="Verdana" w:cs="Arial"/>
              </w:rPr>
              <w:t>No obstante, el artículo 50 de la Ley 789 de 2002 previó una regla especial para las personas jurídicas que aspiran a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6 meses anteriores a la celebración del contrato. Si bien este certificado no es un requisito para perfeccionar el contrato, sí lo es para presentar la oferta.</w:t>
            </w:r>
          </w:p>
          <w:p w14:paraId="6039C0DD" w14:textId="77777777" w:rsidR="004F2FC4" w:rsidRPr="004F2FC4" w:rsidRDefault="004F2FC4" w:rsidP="004F2FC4">
            <w:pPr>
              <w:spacing w:after="120" w:line="276" w:lineRule="auto"/>
              <w:jc w:val="both"/>
              <w:rPr>
                <w:rFonts w:ascii="Verdana" w:eastAsia="Calibri" w:hAnsi="Verdana" w:cs="Arial"/>
              </w:rPr>
            </w:pPr>
            <w:r w:rsidRPr="004F2FC4">
              <w:rPr>
                <w:rFonts w:ascii="Verdana" w:eastAsia="Calibri" w:hAnsi="Verdana" w:cs="Arial"/>
              </w:rPr>
              <w:t xml:space="preserve">Adicionalmente, al liquidar el contrato, la entidad estatal debe dejar constancia del cumplimiento de las obligaciones de aportes por parte del contratista, relacionando los pagos efectuados con los montos que debieron haberse cotizado. </w:t>
            </w:r>
          </w:p>
          <w:p w14:paraId="0BFBF919" w14:textId="672DF4B5" w:rsidR="004B0DAA" w:rsidRPr="004B0DAA" w:rsidRDefault="004B0DAA" w:rsidP="004B0DAA">
            <w:pPr>
              <w:spacing w:after="120" w:line="276" w:lineRule="auto"/>
              <w:jc w:val="both"/>
              <w:rPr>
                <w:rFonts w:ascii="Verdana" w:eastAsia="Calibri" w:hAnsi="Verdana" w:cs="Arial"/>
              </w:rPr>
            </w:pPr>
            <w:r>
              <w:rPr>
                <w:rFonts w:ascii="Verdana" w:eastAsia="Calibri" w:hAnsi="Verdana" w:cs="Arial"/>
              </w:rPr>
              <w:t>Ahora bien, e</w:t>
            </w:r>
            <w:r w:rsidRPr="004B0DAA">
              <w:rPr>
                <w:rFonts w:ascii="Verdana" w:eastAsia="Calibri" w:hAnsi="Verdana" w:cs="Arial"/>
              </w:rPr>
              <w:t>l incumplimiento del pago de la Seguridad Social por parte del arrendatario (persona natural) no es, en sí mismo, una causal automática de terminación anticipada del contrato de arrendamiento, salvo que se haya pactado expresamente en el contrato como una obligación esencial y su incumplimiento constituya un incumplimiento grave.</w:t>
            </w:r>
          </w:p>
          <w:p w14:paraId="0BD13AAB" w14:textId="4AD89F58" w:rsidR="003858BB" w:rsidRDefault="004B0DAA" w:rsidP="004B0DAA">
            <w:pPr>
              <w:spacing w:after="120" w:line="276" w:lineRule="auto"/>
              <w:jc w:val="both"/>
              <w:rPr>
                <w:rFonts w:ascii="Verdana" w:eastAsia="Calibri" w:hAnsi="Verdana" w:cs="Arial"/>
              </w:rPr>
            </w:pPr>
            <w:r>
              <w:rPr>
                <w:rFonts w:ascii="Verdana" w:eastAsia="Calibri" w:hAnsi="Verdana" w:cs="Arial"/>
              </w:rPr>
              <w:t>De esta manera,</w:t>
            </w:r>
            <w:r w:rsidRPr="004B0DAA">
              <w:rPr>
                <w:rFonts w:ascii="Verdana" w:eastAsia="Calibri" w:hAnsi="Verdana" w:cs="Arial"/>
              </w:rPr>
              <w:t xml:space="preserve"> las causales de terminación de un contrato de arrendamiento deben estar expresamente contempladas en el contrato o derivarse de disposiciones legales aplicables</w:t>
            </w:r>
            <w:r w:rsidR="003858BB">
              <w:rPr>
                <w:rFonts w:ascii="Verdana" w:eastAsia="Calibri" w:hAnsi="Verdana" w:cs="Arial"/>
              </w:rPr>
              <w:t xml:space="preserve"> por lo que</w:t>
            </w:r>
            <w:r w:rsidRPr="004B0DAA">
              <w:rPr>
                <w:rFonts w:ascii="Verdana" w:eastAsia="Calibri" w:hAnsi="Verdana" w:cs="Arial"/>
              </w:rPr>
              <w:t xml:space="preserve"> si la entidad pública arrendadora ha establecido en el contrato una cláusula que condicione su continuidad al cumplimiento de las obligaciones de Seguridad Social del arrendatario, </w:t>
            </w:r>
            <w:r w:rsidR="003858BB" w:rsidRPr="00523EE3">
              <w:rPr>
                <w:rFonts w:ascii="Verdana" w:hAnsi="Verdana" w:cs="Arial"/>
                <w:bCs/>
                <w:color w:val="000000" w:themeColor="text1"/>
              </w:rPr>
              <w:t>corresponde</w:t>
            </w:r>
            <w:r w:rsidR="003858BB">
              <w:rPr>
                <w:rFonts w:ascii="Verdana" w:hAnsi="Verdana" w:cs="Arial"/>
                <w:bCs/>
                <w:color w:val="000000" w:themeColor="text1"/>
              </w:rPr>
              <w:t>rá</w:t>
            </w:r>
            <w:r w:rsidR="003858BB" w:rsidRPr="00523EE3">
              <w:rPr>
                <w:rFonts w:ascii="Verdana" w:hAnsi="Verdana" w:cs="Arial"/>
                <w:bCs/>
                <w:color w:val="000000" w:themeColor="text1"/>
              </w:rPr>
              <w:t xml:space="preserve"> a cada entidad pública, en ejercicio de su competencia y previa valoración de los elementos fácticos y jurídicos, determinar</w:t>
            </w:r>
            <w:r w:rsidR="003858BB">
              <w:rPr>
                <w:rFonts w:ascii="Verdana" w:hAnsi="Verdana" w:cs="Arial"/>
                <w:bCs/>
                <w:color w:val="000000" w:themeColor="text1"/>
              </w:rPr>
              <w:t xml:space="preserve"> la terminación o no del contrato de arrendamiento.</w:t>
            </w:r>
          </w:p>
          <w:p w14:paraId="309F4C0B" w14:textId="7813DE53" w:rsidR="003858BB" w:rsidRDefault="003858BB" w:rsidP="004B0DAA">
            <w:pPr>
              <w:spacing w:after="120" w:line="276" w:lineRule="auto"/>
              <w:jc w:val="both"/>
              <w:rPr>
                <w:rFonts w:ascii="Verdana" w:eastAsia="Calibri" w:hAnsi="Verdana" w:cs="Arial"/>
              </w:rPr>
            </w:pPr>
            <w:r>
              <w:rPr>
                <w:rFonts w:ascii="Verdana" w:eastAsia="Calibri" w:hAnsi="Verdana" w:cs="Arial"/>
              </w:rPr>
              <w:t>Ahora bien, en relación con el contrato de comodato, si bien e</w:t>
            </w:r>
            <w:r w:rsidRPr="003858BB">
              <w:rPr>
                <w:rFonts w:ascii="Verdana" w:eastAsia="Calibri" w:hAnsi="Verdana" w:cs="Arial"/>
              </w:rPr>
              <w:t>s</w:t>
            </w:r>
            <w:r>
              <w:rPr>
                <w:rFonts w:ascii="Verdana" w:eastAsia="Calibri" w:hAnsi="Verdana" w:cs="Arial"/>
              </w:rPr>
              <w:t>te se caracteriza por su</w:t>
            </w:r>
            <w:r w:rsidRPr="003858BB">
              <w:rPr>
                <w:rFonts w:ascii="Verdana" w:eastAsia="Calibri" w:hAnsi="Verdana" w:cs="Arial"/>
              </w:rPr>
              <w:t xml:space="preserve"> gratui</w:t>
            </w:r>
            <w:r>
              <w:rPr>
                <w:rFonts w:ascii="Verdana" w:eastAsia="Calibri" w:hAnsi="Verdana" w:cs="Arial"/>
              </w:rPr>
              <w:t xml:space="preserve">dad </w:t>
            </w:r>
            <w:r w:rsidRPr="003858BB">
              <w:rPr>
                <w:rFonts w:ascii="Verdana" w:eastAsia="Calibri" w:hAnsi="Verdana" w:cs="Arial"/>
              </w:rPr>
              <w:t>en el cual una parte (comodante) entrega un bien a otra (comodatario) para su uso, con la obligación de devolverlo</w:t>
            </w:r>
            <w:r w:rsidR="003E2F95">
              <w:rPr>
                <w:rFonts w:ascii="Verdana" w:eastAsia="Calibri" w:hAnsi="Verdana" w:cs="Arial"/>
              </w:rPr>
              <w:t xml:space="preserve">, </w:t>
            </w:r>
            <w:r w:rsidR="003E2F95" w:rsidRPr="003E2F95">
              <w:rPr>
                <w:rFonts w:ascii="Verdana" w:eastAsia="Calibri" w:hAnsi="Verdana" w:cs="Arial"/>
              </w:rPr>
              <w:t>el comodatario puede requerir la contratación de personal para la administración o mantenimiento del inmueble recibido, caso en el cual deberá cumplir con las obligaciones de Seguridad Social conforme a la legislación vigente</w:t>
            </w:r>
          </w:p>
          <w:p w14:paraId="47EEB54F" w14:textId="70060998" w:rsidR="00851635" w:rsidRPr="00831CDD" w:rsidRDefault="004B0DAA" w:rsidP="00B87599">
            <w:pPr>
              <w:spacing w:after="120" w:line="276" w:lineRule="auto"/>
              <w:jc w:val="both"/>
              <w:rPr>
                <w:rFonts w:ascii="Verdana" w:hAnsi="Verdana" w:cs="Arial"/>
                <w:bCs/>
                <w:color w:val="000000" w:themeColor="text1"/>
              </w:rPr>
            </w:pPr>
            <w:r w:rsidRPr="004B0DAA">
              <w:rPr>
                <w:rFonts w:ascii="Verdana" w:eastAsia="Calibri" w:hAnsi="Verdana" w:cs="Arial"/>
              </w:rPr>
              <w:t>Finalmente es de precisar que al margen de la explicación precedente debe advertirse que, el análisis requerido para resolver problemas específicos en torno a la gestión contractual debe ser realizado por quienes tengan interés en ello, de acuerdo con lo explicado en la aclaración preliminar del presente oficio. De esta manera, las afirmaciones aquí realizadas no pueden ser interpretadas como juicios de valor sobre circunstancias concretas.</w:t>
            </w:r>
          </w:p>
        </w:tc>
      </w:tr>
      <w:tr w:rsidR="007D5768" w:rsidRPr="00593A5F" w14:paraId="43648ADC" w14:textId="77777777" w:rsidTr="00E1079D">
        <w:tc>
          <w:tcPr>
            <w:tcW w:w="8828" w:type="dxa"/>
            <w:shd w:val="clear" w:color="auto" w:fill="auto"/>
          </w:tcPr>
          <w:p w14:paraId="60E16ECD" w14:textId="77777777" w:rsidR="007D5768" w:rsidRPr="002973E9" w:rsidRDefault="007D5768" w:rsidP="00E1079D">
            <w:pPr>
              <w:spacing w:line="276" w:lineRule="auto"/>
              <w:jc w:val="both"/>
              <w:rPr>
                <w:rFonts w:ascii="Verdana" w:eastAsia="Calibri" w:hAnsi="Verdana" w:cs="Arial"/>
                <w:lang w:val="es-ES"/>
              </w:rPr>
            </w:pPr>
          </w:p>
        </w:tc>
      </w:tr>
    </w:tbl>
    <w:p w14:paraId="032FF257" w14:textId="77777777" w:rsidR="007D5768" w:rsidRDefault="007D5768" w:rsidP="007D5768">
      <w:pPr>
        <w:tabs>
          <w:tab w:val="left" w:pos="142"/>
          <w:tab w:val="left" w:pos="284"/>
        </w:tabs>
        <w:spacing w:after="0" w:line="276" w:lineRule="auto"/>
        <w:jc w:val="both"/>
        <w:rPr>
          <w:rFonts w:ascii="Verdana" w:eastAsia="Century Gothic" w:hAnsi="Verdana" w:cs="Century Gothic"/>
          <w:b/>
          <w:bCs/>
          <w:lang w:val="es-ES"/>
        </w:rPr>
      </w:pPr>
    </w:p>
    <w:p w14:paraId="6170B3F8" w14:textId="77777777" w:rsidR="007D5768" w:rsidRPr="00593A5F" w:rsidRDefault="007D5768" w:rsidP="007D57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BB50C0F" w14:textId="77777777" w:rsidR="007D5768" w:rsidRPr="00593A5F" w:rsidRDefault="007D5768" w:rsidP="007D5768">
      <w:pPr>
        <w:spacing w:after="0" w:line="276" w:lineRule="auto"/>
        <w:jc w:val="both"/>
        <w:rPr>
          <w:rFonts w:ascii="Verdana" w:eastAsia="Calibri" w:hAnsi="Verdana" w:cs="Arial"/>
          <w:color w:val="7030A0"/>
          <w:lang w:val="es-ES"/>
        </w:rPr>
      </w:pPr>
    </w:p>
    <w:p w14:paraId="0A445066" w14:textId="77777777" w:rsidR="005E1D4D" w:rsidRPr="00B05F99" w:rsidRDefault="005E1D4D" w:rsidP="005E1D4D">
      <w:pPr>
        <w:spacing w:after="0" w:line="276" w:lineRule="auto"/>
        <w:jc w:val="both"/>
        <w:rPr>
          <w:rFonts w:ascii="Verdana" w:eastAsia="Times New Roman" w:hAnsi="Verdana" w:cs="Arial"/>
          <w:color w:val="000000"/>
          <w:lang w:val="es-ES"/>
        </w:rPr>
      </w:pPr>
      <w:r w:rsidRPr="00B05F99">
        <w:rPr>
          <w:rFonts w:ascii="Verdana" w:eastAsia="Times New Roman" w:hAnsi="Verdana" w:cs="Arial"/>
          <w:color w:val="000000"/>
          <w:lang w:val="es-ES"/>
        </w:rPr>
        <w:t xml:space="preserve">Lo anterior se sustenta en las siguientes consideraciones: </w:t>
      </w:r>
    </w:p>
    <w:p w14:paraId="79CD0E7A" w14:textId="77777777" w:rsidR="005E1D4D" w:rsidRPr="00B05F99" w:rsidRDefault="005E1D4D" w:rsidP="005E1D4D">
      <w:pPr>
        <w:spacing w:after="0" w:line="276" w:lineRule="auto"/>
        <w:jc w:val="both"/>
        <w:rPr>
          <w:rFonts w:ascii="Verdana" w:eastAsia="Times New Roman" w:hAnsi="Verdana" w:cs="Arial"/>
          <w:color w:val="000000"/>
          <w:lang w:val="es-ES"/>
        </w:rPr>
      </w:pPr>
    </w:p>
    <w:p w14:paraId="4AB14BB7" w14:textId="77777777" w:rsidR="005E1D4D" w:rsidRPr="00B05F99" w:rsidRDefault="005E1D4D" w:rsidP="00B43F95">
      <w:pPr>
        <w:spacing w:after="0" w:line="276" w:lineRule="auto"/>
        <w:ind w:firstLine="708"/>
        <w:contextualSpacing/>
        <w:jc w:val="both"/>
        <w:rPr>
          <w:rFonts w:ascii="Verdana" w:eastAsia="Times New Roman" w:hAnsi="Verdana" w:cs="Arial"/>
          <w:color w:val="000000"/>
        </w:rPr>
      </w:pPr>
      <w:r w:rsidRPr="00B05F99">
        <w:rPr>
          <w:rFonts w:ascii="Verdana" w:eastAsia="Times New Roman" w:hAnsi="Verdana" w:cs="Arial"/>
          <w:color w:val="000000"/>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0EB28CD1" w14:textId="77777777" w:rsidR="005E1D4D" w:rsidRPr="00B05F99" w:rsidRDefault="005E1D4D" w:rsidP="005E1D4D">
      <w:pPr>
        <w:spacing w:line="276" w:lineRule="auto"/>
        <w:ind w:left="720"/>
        <w:contextualSpacing/>
        <w:jc w:val="both"/>
        <w:rPr>
          <w:rFonts w:ascii="Verdana" w:eastAsia="Times New Roman" w:hAnsi="Verdana" w:cs="Arial"/>
          <w:color w:val="000000"/>
        </w:rPr>
      </w:pPr>
    </w:p>
    <w:p w14:paraId="72D0DF87" w14:textId="77777777" w:rsidR="005E1D4D" w:rsidRPr="00B05F99" w:rsidRDefault="005E1D4D" w:rsidP="005E1D4D">
      <w:pPr>
        <w:spacing w:after="0" w:line="276" w:lineRule="auto"/>
        <w:contextualSpacing/>
        <w:jc w:val="both"/>
        <w:rPr>
          <w:rFonts w:ascii="Verdana" w:eastAsia="Times New Roman" w:hAnsi="Verdana" w:cs="Times New Roman"/>
          <w:color w:val="000000"/>
        </w:rPr>
      </w:pPr>
      <w:r w:rsidRPr="00B05F99">
        <w:rPr>
          <w:rFonts w:ascii="Verdana" w:eastAsia="Times New Roman" w:hAnsi="Verdana" w:cs="Times New Roman"/>
          <w:color w:val="000000"/>
        </w:rPr>
        <w:t xml:space="preserve">En cuanto a sus características, la doctrina ha indicado que el arrendamiento es un contrato: i) bilateral, pues ambas partes se obligan recíprocamente; </w:t>
      </w:r>
      <w:proofErr w:type="spellStart"/>
      <w:r w:rsidRPr="00B05F99">
        <w:rPr>
          <w:rFonts w:ascii="Verdana" w:eastAsia="Times New Roman" w:hAnsi="Verdana" w:cs="Times New Roman"/>
          <w:color w:val="000000"/>
        </w:rPr>
        <w:t>ii</w:t>
      </w:r>
      <w:proofErr w:type="spellEnd"/>
      <w:r w:rsidRPr="00B05F99">
        <w:rPr>
          <w:rFonts w:ascii="Verdana" w:eastAsia="Times New Roman" w:hAnsi="Verdana" w:cs="Times New Roman"/>
          <w:color w:val="000000"/>
        </w:rPr>
        <w:t xml:space="preserve">) consensual, dado que se perfecciona con el consentimiento ; </w:t>
      </w:r>
      <w:proofErr w:type="spellStart"/>
      <w:r w:rsidRPr="00B05F99">
        <w:rPr>
          <w:rFonts w:ascii="Verdana" w:eastAsia="Times New Roman" w:hAnsi="Verdana" w:cs="Times New Roman"/>
          <w:color w:val="000000"/>
        </w:rPr>
        <w:t>iii</w:t>
      </w:r>
      <w:proofErr w:type="spellEnd"/>
      <w:r w:rsidRPr="00B05F99">
        <w:rPr>
          <w:rFonts w:ascii="Verdana" w:eastAsia="Times New Roman" w:hAnsi="Verdana" w:cs="Times New Roman"/>
          <w:color w:val="000000"/>
        </w:rPr>
        <w:t xml:space="preserve">) oneroso, ya que ambas partes obtienen utilidades –el arrendatario, el uso y goce del bien, y el arrendador la renta o canon; </w:t>
      </w:r>
      <w:proofErr w:type="spellStart"/>
      <w:r w:rsidRPr="00B05F99">
        <w:rPr>
          <w:rFonts w:ascii="Verdana" w:eastAsia="Times New Roman" w:hAnsi="Verdana" w:cs="Times New Roman"/>
          <w:color w:val="000000"/>
        </w:rPr>
        <w:t>iv</w:t>
      </w:r>
      <w:proofErr w:type="spellEnd"/>
      <w:r w:rsidRPr="00B05F99">
        <w:rPr>
          <w:rFonts w:ascii="Verdana" w:eastAsia="Times New Roman" w:hAnsi="Verdana" w:cs="Times New Roman"/>
          <w:color w:val="000000"/>
        </w:rPr>
        <w:t>) de ejecución sucesiva, en la medida en que se ejecuta en forma periódica; v) principal, porque existe en forma autónoma; y v) nominado, porque está tipificado y desarrollado en la ley.</w:t>
      </w:r>
      <w:r w:rsidRPr="00B05F99">
        <w:rPr>
          <w:rFonts w:ascii="Verdana" w:eastAsia="Times New Roman" w:hAnsi="Verdana" w:cs="Times New Roman"/>
          <w:color w:val="000000"/>
          <w:vertAlign w:val="superscript"/>
        </w:rPr>
        <w:footnoteReference w:id="1"/>
      </w:r>
    </w:p>
    <w:p w14:paraId="521C2152" w14:textId="77777777" w:rsidR="005E1D4D" w:rsidRPr="00B05F99" w:rsidRDefault="005E1D4D" w:rsidP="005E1D4D">
      <w:pPr>
        <w:spacing w:after="0" w:line="276" w:lineRule="auto"/>
        <w:ind w:left="720"/>
        <w:contextualSpacing/>
        <w:jc w:val="both"/>
        <w:rPr>
          <w:rFonts w:ascii="Verdana" w:eastAsia="Times New Roman" w:hAnsi="Verdana" w:cs="Times New Roman"/>
          <w:color w:val="000000"/>
        </w:rPr>
      </w:pPr>
    </w:p>
    <w:p w14:paraId="1C373A8E" w14:textId="77777777" w:rsidR="005E1D4D" w:rsidRPr="00B05F99" w:rsidRDefault="005E1D4D" w:rsidP="005E1D4D">
      <w:pPr>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rPr>
        <w:t>Frente a su regulación, debemos remitirnos a las normas civiles y comerciales, debido a que</w:t>
      </w:r>
      <w:r>
        <w:rPr>
          <w:rFonts w:ascii="Verdana" w:eastAsia="Times New Roman" w:hAnsi="Verdana" w:cs="Arial"/>
          <w:color w:val="000000"/>
        </w:rPr>
        <w:t>, a</w:t>
      </w:r>
      <w:r w:rsidRPr="00B05F99">
        <w:rPr>
          <w:rFonts w:ascii="Verdana" w:eastAsia="Times New Roman" w:hAnsi="Verdana" w:cs="Arial"/>
          <w:color w:val="000000"/>
        </w:rPr>
        <w:t>unque el contrato de arrendamiento no se encuentra dentro del listado enunciativo del artículo 32 de la Ley 80 de 1993, por lo que se aplicará, los artículos 1973 al 2078 del Código Civil y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0DCE256B" w14:textId="77777777" w:rsidR="005E1D4D" w:rsidRPr="00B05F99" w:rsidRDefault="005E1D4D" w:rsidP="005E1D4D">
      <w:pPr>
        <w:spacing w:line="276" w:lineRule="auto"/>
        <w:ind w:left="720"/>
        <w:contextualSpacing/>
        <w:rPr>
          <w:rFonts w:ascii="Verdana" w:eastAsia="Times New Roman" w:hAnsi="Verdana" w:cs="Times New Roman"/>
          <w:color w:val="000000"/>
        </w:rPr>
      </w:pPr>
    </w:p>
    <w:p w14:paraId="387E2674" w14:textId="77777777" w:rsidR="005E1D4D" w:rsidRPr="00B05F99" w:rsidRDefault="005E1D4D" w:rsidP="005E1D4D">
      <w:pPr>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rPr>
        <w:t>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w:t>
      </w:r>
    </w:p>
    <w:p w14:paraId="5A960CE7" w14:textId="77777777" w:rsidR="005E1D4D" w:rsidRPr="00B05F99" w:rsidRDefault="005E1D4D" w:rsidP="005E1D4D">
      <w:pPr>
        <w:ind w:left="720"/>
        <w:contextualSpacing/>
        <w:rPr>
          <w:rFonts w:ascii="Verdana" w:eastAsia="Times New Roman" w:hAnsi="Verdana" w:cs="Arial"/>
          <w:color w:val="000000"/>
        </w:rPr>
      </w:pPr>
    </w:p>
    <w:p w14:paraId="4979CED0" w14:textId="77777777" w:rsidR="005E1D4D" w:rsidRPr="00B05F99" w:rsidRDefault="005E1D4D" w:rsidP="005E1D4D">
      <w:pPr>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rPr>
        <w:t>En contraste, si la entidad estatal se rige por el Estatuto General de Contratación de la Administración Pública, bien sea que obre en calidad de arrendadora o arrendataria, debe acudir a la modalidad de selección de contratación directa si arrendara un inmueble, pues el  literal i) del numeral 4 del artículo 2ºde la Ley 1150 de 2007 establece que una de las causales de este procedimiento es “i) El arrendamiento o adquisición de inmuebles” . Si lo que arrendará la Entidad es un bien mueble, lo deberá hacer por licitación pública, selección abreviada o mínima cuantía, dependiendo del valor de la contratación. En ambos supuestos la entidad estatal también debe aplicar las normas civiles y comerciales que regulan la sustantividad del contrato de arrendamiento, en virtud de la remisión de  los artículos 13, 32 y 40 de la Ley 80 de 1993.</w:t>
      </w:r>
    </w:p>
    <w:p w14:paraId="60FFD3AF" w14:textId="77777777" w:rsidR="005E1D4D" w:rsidRPr="00B05F99" w:rsidRDefault="005E1D4D" w:rsidP="005E1D4D">
      <w:pPr>
        <w:spacing w:after="0" w:line="276" w:lineRule="auto"/>
        <w:jc w:val="both"/>
        <w:rPr>
          <w:rFonts w:ascii="Verdana" w:eastAsia="Times New Roman" w:hAnsi="Verdana" w:cs="Arial"/>
          <w:color w:val="000000"/>
          <w:lang w:val="es-ES"/>
        </w:rPr>
      </w:pPr>
    </w:p>
    <w:p w14:paraId="5168BD69" w14:textId="77777777" w:rsidR="005E1D4D" w:rsidRPr="00681253" w:rsidRDefault="005E1D4D" w:rsidP="005E1D4D">
      <w:pPr>
        <w:spacing w:after="0" w:line="276" w:lineRule="auto"/>
        <w:contextualSpacing/>
        <w:jc w:val="both"/>
        <w:rPr>
          <w:rFonts w:ascii="Verdana" w:eastAsia="Times New Roman" w:hAnsi="Verdana" w:cs="Arial"/>
        </w:rPr>
      </w:pPr>
      <w:r w:rsidRPr="00B05F99">
        <w:rPr>
          <w:rFonts w:ascii="Verdana" w:eastAsia="Times New Roman" w:hAnsi="Verdana" w:cs="Arial"/>
          <w:color w:val="000000"/>
        </w:rPr>
        <w:t xml:space="preserve">Por otro lado, artículo 41 de la Ley 80 de 1993, estableció que los requisitos para perfeccionar el contrato eran: i) llegar a un acuerdo sobre el objeto y la contraprestación y </w:t>
      </w:r>
      <w:proofErr w:type="spellStart"/>
      <w:r w:rsidRPr="00B05F99">
        <w:rPr>
          <w:rFonts w:ascii="Verdana" w:eastAsia="Times New Roman" w:hAnsi="Verdana" w:cs="Arial"/>
          <w:color w:val="000000"/>
        </w:rPr>
        <w:t>ii</w:t>
      </w:r>
      <w:proofErr w:type="spellEnd"/>
      <w:r w:rsidRPr="00B05F99">
        <w:rPr>
          <w:rFonts w:ascii="Verdana" w:eastAsia="Times New Roman" w:hAnsi="Verdana" w:cs="Arial"/>
          <w:color w:val="000000"/>
        </w:rPr>
        <w:t xml:space="preserve">) que conste por escrito. Por su parte, para iniciar la ejecución se requería: i) la constitución y aprobación de la garantía y </w:t>
      </w:r>
      <w:proofErr w:type="spellStart"/>
      <w:r w:rsidRPr="00B05F99">
        <w:rPr>
          <w:rFonts w:ascii="Verdana" w:eastAsia="Times New Roman" w:hAnsi="Verdana" w:cs="Arial"/>
          <w:color w:val="000000"/>
        </w:rPr>
        <w:t>ii</w:t>
      </w:r>
      <w:proofErr w:type="spellEnd"/>
      <w:r w:rsidRPr="00B05F99">
        <w:rPr>
          <w:rFonts w:ascii="Verdana" w:eastAsia="Times New Roman" w:hAnsi="Verdana" w:cs="Arial"/>
          <w:color w:val="000000"/>
        </w:rPr>
        <w:t xml:space="preserve">) la existencia de disponibilidades presupuestales correspondientes. </w:t>
      </w:r>
      <w:proofErr w:type="gramStart"/>
      <w:r w:rsidRPr="00B05F99">
        <w:rPr>
          <w:rFonts w:ascii="Verdana" w:eastAsia="Times New Roman" w:hAnsi="Verdana" w:cs="Arial"/>
          <w:color w:val="000000"/>
        </w:rPr>
        <w:t>Además</w:t>
      </w:r>
      <w:proofErr w:type="gramEnd"/>
      <w:r w:rsidRPr="00B05F99">
        <w:rPr>
          <w:rFonts w:ascii="Verdana" w:eastAsia="Times New Roman" w:hAnsi="Verdana" w:cs="Arial"/>
          <w:color w:val="000000"/>
        </w:rPr>
        <w:t xml:space="preserve"> indica que “</w:t>
      </w:r>
      <w:r w:rsidRPr="00681253">
        <w:rPr>
          <w:rFonts w:ascii="Verdana" w:eastAsia="Times New Roman" w:hAnsi="Verdana" w:cs="Times New Roman"/>
        </w:rPr>
        <w:t>el proponente y el contratista deberán acreditar que se encuentran al día en el pago de aportes parafiscales relativos al Sistema de Seguridad Social Integral, así como los propios del Sena, ICBF y Cajas de Compensación Familiar, cuando corresponda”</w:t>
      </w:r>
    </w:p>
    <w:p w14:paraId="3A374102" w14:textId="77777777" w:rsidR="005E1D4D" w:rsidRPr="00B05F99" w:rsidRDefault="005E1D4D" w:rsidP="005E1D4D">
      <w:pPr>
        <w:spacing w:after="0" w:line="276" w:lineRule="auto"/>
        <w:jc w:val="both"/>
        <w:rPr>
          <w:rFonts w:ascii="Verdana" w:eastAsia="Times New Roman" w:hAnsi="Verdana" w:cs="Arial"/>
          <w:color w:val="000000"/>
        </w:rPr>
      </w:pPr>
      <w:bookmarkStart w:id="5" w:name="41.I.2"/>
      <w:bookmarkEnd w:id="5"/>
    </w:p>
    <w:p w14:paraId="74C5B7B9" w14:textId="77777777" w:rsidR="005E1D4D" w:rsidRPr="00B05F99" w:rsidRDefault="005E1D4D" w:rsidP="005E1D4D">
      <w:pPr>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rPr>
        <w:t>En ese sentido, el artículo 50 de la Ley 789 de 2002 estableció, como obligación de quien quiere celebrar, renovar o liquidar contratos de cualquier naturaleza con entidades del sector público, cumplir con las obligaciones frente a los sistemas de salud, riesgos profesionales, pensiones y aportes a la Caja de Compensación Familiar, Instituto Colombiano de Bienestar Familiar y Servicio Nacional de Aprendizaje cuando a ello haya lugar. Además,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602637C8" w14:textId="77777777" w:rsidR="005E1D4D" w:rsidRPr="00B05F99" w:rsidRDefault="005E1D4D" w:rsidP="005E1D4D">
      <w:pPr>
        <w:spacing w:line="276" w:lineRule="auto"/>
        <w:ind w:left="720"/>
        <w:contextualSpacing/>
        <w:rPr>
          <w:rFonts w:ascii="Verdana" w:eastAsia="Times New Roman" w:hAnsi="Verdana" w:cs="Arial"/>
          <w:color w:val="000000"/>
          <w:lang w:eastAsia="es-ES"/>
        </w:rPr>
      </w:pPr>
    </w:p>
    <w:p w14:paraId="3536CBFF" w14:textId="77777777" w:rsidR="005E1D4D" w:rsidRPr="00B05F99" w:rsidRDefault="005E1D4D" w:rsidP="005E1D4D">
      <w:pPr>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lang w:eastAsia="es-ES"/>
        </w:rPr>
        <w:t>Además, aclara que las personas jurídicas que quieran celebrar contratos con las entidades estatales deben acreditar el pago al Sistema de Seguridad Social Integral de sus empleados, y que por eso deben presentar una certificación expedida por el revisor fiscal o por el representante legal, durante un lapso equivalente al que exija el respectivo régimen de contratación para que se hubiera constituido la sociedad, el cual, en todo caso, no debe ser inferior a los 6 meses anteriores a la celebración del contrato. En este sentido, la ley establece que para presentar la oferta las personas jurídicas deben acreditar el requisito señalado anteriormente, es decir, el pago al sistema de seguridad social de sus empleados.</w:t>
      </w:r>
    </w:p>
    <w:p w14:paraId="123CD566" w14:textId="77777777" w:rsidR="005E1D4D" w:rsidRPr="00B05F99" w:rsidRDefault="005E1D4D" w:rsidP="005E1D4D">
      <w:pPr>
        <w:ind w:left="720"/>
        <w:contextualSpacing/>
        <w:rPr>
          <w:rFonts w:ascii="Verdana" w:eastAsia="Times New Roman" w:hAnsi="Verdana" w:cs="Arial"/>
          <w:color w:val="000000"/>
        </w:rPr>
      </w:pPr>
    </w:p>
    <w:p w14:paraId="42D362C7" w14:textId="77777777" w:rsidR="005E1D4D" w:rsidRPr="00B05F99" w:rsidRDefault="005E1D4D" w:rsidP="005E1D4D">
      <w:pPr>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rPr>
        <w:t>Esta norma fue analizada por el Consejo de Estado</w:t>
      </w:r>
      <w:r w:rsidRPr="00B05F99">
        <w:rPr>
          <w:rFonts w:ascii="Verdana" w:eastAsia="Times New Roman" w:hAnsi="Verdana" w:cs="Arial"/>
          <w:color w:val="000000"/>
          <w:vertAlign w:val="superscript"/>
        </w:rPr>
        <w:footnoteReference w:id="2"/>
      </w:r>
      <w:r w:rsidRPr="00B05F99">
        <w:rPr>
          <w:rFonts w:ascii="Verdana" w:eastAsia="Times New Roman" w:hAnsi="Verdana" w:cs="Arial"/>
          <w:color w:val="000000"/>
        </w:rPr>
        <w:t xml:space="preserve">, quien consideró que el artículo 50 de la Ley 789 de 2002 tiene por objeto evitar la evasión por parte de los empleadores de las cotizaciones al Sistema de Seguridad Social Integral y de los aportes parafiscales.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 Por lo tanto, la jurisprudencia reiteró la necesidad de que las entidades estatales, durante la ejecución del contrato, verifiquen el cumplimiento de las obligaciones del Sistema de Seguridad Social Integral por parte de los contratistas. </w:t>
      </w:r>
    </w:p>
    <w:p w14:paraId="219235C4" w14:textId="77777777" w:rsidR="005E1D4D" w:rsidRDefault="005E1D4D" w:rsidP="005E1D4D">
      <w:pPr>
        <w:contextualSpacing/>
        <w:jc w:val="both"/>
        <w:rPr>
          <w:rFonts w:ascii="Verdana" w:eastAsia="Times New Roman" w:hAnsi="Verdana" w:cs="Arial"/>
          <w:color w:val="000000"/>
        </w:rPr>
      </w:pPr>
    </w:p>
    <w:p w14:paraId="718F5900" w14:textId="27B338AE" w:rsidR="005E1D4D" w:rsidRPr="00B05F99" w:rsidRDefault="005E1D4D" w:rsidP="005E1D4D">
      <w:pPr>
        <w:contextualSpacing/>
        <w:jc w:val="both"/>
        <w:rPr>
          <w:rFonts w:ascii="Verdana" w:eastAsia="Times New Roman" w:hAnsi="Verdana" w:cs="Arial"/>
          <w:color w:val="000000"/>
        </w:rPr>
      </w:pPr>
      <w:r w:rsidRPr="00B05F99">
        <w:rPr>
          <w:rFonts w:ascii="Verdana" w:eastAsia="Times New Roman" w:hAnsi="Verdana" w:cs="Arial"/>
          <w:color w:val="000000"/>
        </w:rPr>
        <w:t>En igual sentido, el artículo 23 de la Ley 1150 de 2007 modificó el inciso segundo del artículo 41 de la Ley 80 de 1993, incluyendo la obligación, para los proponentes y contratistas, de estar a paz y salvo con los aportes parafiscales al Sistema de Seguridad Social integral, al señalar:</w:t>
      </w:r>
    </w:p>
    <w:p w14:paraId="23563D74" w14:textId="77777777" w:rsidR="005E1D4D" w:rsidRPr="00B05F99" w:rsidRDefault="005E1D4D" w:rsidP="005E1D4D">
      <w:pPr>
        <w:ind w:left="720"/>
        <w:contextualSpacing/>
        <w:jc w:val="both"/>
        <w:rPr>
          <w:rFonts w:ascii="Verdana" w:eastAsia="Times New Roman" w:hAnsi="Verdana" w:cs="Arial"/>
          <w:color w:val="000000"/>
        </w:rPr>
      </w:pPr>
    </w:p>
    <w:p w14:paraId="3E8046B6" w14:textId="77777777" w:rsidR="005E1D4D" w:rsidRPr="00B05F99" w:rsidRDefault="005E1D4D" w:rsidP="005E1D4D">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B05F99">
        <w:rPr>
          <w:rFonts w:ascii="Verdana" w:eastAsia="Times New Roman" w:hAnsi="Verdana" w:cs="Arial"/>
          <w:sz w:val="20"/>
          <w:szCs w:val="20"/>
          <w:lang w:val="es-ES" w:eastAsia="es-CO"/>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5A25771A" w14:textId="77777777" w:rsidR="005E1D4D" w:rsidRPr="00B05F99" w:rsidRDefault="005E1D4D" w:rsidP="005E1D4D">
      <w:pPr>
        <w:spacing w:before="120" w:after="120" w:line="240" w:lineRule="auto"/>
        <w:ind w:left="1134" w:right="709"/>
        <w:jc w:val="both"/>
        <w:rPr>
          <w:rFonts w:ascii="Verdana" w:eastAsia="Times New Roman" w:hAnsi="Verdana" w:cs="Arial"/>
          <w:sz w:val="20"/>
          <w:szCs w:val="20"/>
          <w:lang w:val="es-ES" w:eastAsia="es-CO"/>
        </w:rPr>
      </w:pPr>
      <w:r w:rsidRPr="00B05F99">
        <w:rPr>
          <w:rFonts w:ascii="Verdana" w:eastAsia="Times New Roman" w:hAnsi="Verdana" w:cs="Arial"/>
          <w:bCs/>
          <w:sz w:val="20"/>
          <w:szCs w:val="20"/>
          <w:lang w:val="es-ES" w:eastAsia="es-CO"/>
        </w:rPr>
        <w:t>Parágrafo 1.</w:t>
      </w:r>
      <w:r w:rsidRPr="00B05F99">
        <w:rPr>
          <w:rFonts w:ascii="Verdana" w:eastAsia="Times New Roman" w:hAnsi="Verdana" w:cs="Arial"/>
          <w:sz w:val="20"/>
          <w:szCs w:val="20"/>
          <w:lang w:val="es-ES" w:eastAsia="es-CO"/>
        </w:rPr>
        <w:t> El requisito establecido en la parte final del inciso segundo de este artículo deberá acreditarse para la realización de cada pago derivado del contrato estatal.</w:t>
      </w:r>
    </w:p>
    <w:p w14:paraId="6A57091E" w14:textId="77777777" w:rsidR="005E1D4D" w:rsidRPr="00B05F99" w:rsidRDefault="005E1D4D" w:rsidP="005E1D4D">
      <w:pPr>
        <w:spacing w:before="120" w:after="120" w:line="240" w:lineRule="auto"/>
        <w:ind w:left="1134" w:right="709"/>
        <w:jc w:val="both"/>
        <w:rPr>
          <w:rFonts w:ascii="Verdana" w:eastAsia="Times New Roman" w:hAnsi="Verdana" w:cs="Arial"/>
          <w:sz w:val="20"/>
          <w:szCs w:val="20"/>
          <w:lang w:val="es-ES" w:eastAsia="es-CO"/>
        </w:rPr>
      </w:pPr>
      <w:r w:rsidRPr="00B05F99">
        <w:rPr>
          <w:rFonts w:ascii="Verdana" w:eastAsia="Times New Roman" w:hAnsi="Verdana" w:cs="Arial"/>
          <w:sz w:val="20"/>
          <w:szCs w:val="20"/>
          <w:lang w:val="es-ES" w:eastAsia="es-CO"/>
        </w:rPr>
        <w:t>El servidor público que sin justa causa no verifique el pago de los aportes a que se refiere el presente artículo, incurrirá en causal de mala conducta, que será sancionada con arreglo al régimen disciplinario vigente.</w:t>
      </w:r>
    </w:p>
    <w:p w14:paraId="143DFB63" w14:textId="77777777" w:rsidR="005E1D4D" w:rsidRDefault="005E1D4D" w:rsidP="005E1D4D">
      <w:pPr>
        <w:spacing w:after="0" w:line="276" w:lineRule="auto"/>
        <w:contextualSpacing/>
        <w:jc w:val="both"/>
        <w:rPr>
          <w:rFonts w:ascii="Verdana" w:eastAsia="Times New Roman" w:hAnsi="Verdana" w:cs="Arial"/>
          <w:color w:val="000000"/>
        </w:rPr>
      </w:pPr>
    </w:p>
    <w:p w14:paraId="2805BA96" w14:textId="01256FC8" w:rsidR="005E1D4D" w:rsidRPr="00B05F99" w:rsidRDefault="005E1D4D" w:rsidP="005E1D4D">
      <w:pPr>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rPr>
        <w:t>De la lectura integral del artículo 23 de la Ley 1150 de 2007 se infiere que, si bien los proponentes y los contratistas deben estar al día en el pago al Sistema de Seguridad Social Integral, la verificación de este requisito, por parte de las entidades estatales, se efectuará cuando realicen los pagos del contrato, es decir, durante la ejecución.</w:t>
      </w:r>
    </w:p>
    <w:p w14:paraId="7ED3DB8A" w14:textId="77777777" w:rsidR="005E1D4D" w:rsidRPr="00B05F99" w:rsidRDefault="005E1D4D" w:rsidP="005E1D4D">
      <w:pPr>
        <w:spacing w:after="0" w:line="276" w:lineRule="auto"/>
        <w:ind w:left="720"/>
        <w:contextualSpacing/>
        <w:jc w:val="both"/>
        <w:rPr>
          <w:rFonts w:ascii="Verdana" w:eastAsia="Times New Roman" w:hAnsi="Verdana" w:cs="Arial"/>
          <w:color w:val="000000"/>
        </w:rPr>
      </w:pPr>
    </w:p>
    <w:p w14:paraId="209A2F2D" w14:textId="77777777" w:rsidR="005E1D4D" w:rsidRPr="00B05F99" w:rsidRDefault="005E1D4D" w:rsidP="005E1D4D">
      <w:pPr>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rPr>
        <w:t xml:space="preserve">La verificación del aporte Sistema de Seguridad Social Integral cambia, dependiendo si se trata de una persona natural o de una jurídica: i) si es una natural, la entidad estatal verificará el pago al Sistema de Seguridad Social Integral cuando se realicen los pagos del contrato, es decir, durante su ejecución y </w:t>
      </w:r>
      <w:proofErr w:type="spellStart"/>
      <w:r w:rsidRPr="00B05F99">
        <w:rPr>
          <w:rFonts w:ascii="Verdana" w:eastAsia="Times New Roman" w:hAnsi="Verdana" w:cs="Arial"/>
          <w:color w:val="000000"/>
        </w:rPr>
        <w:t>ii</w:t>
      </w:r>
      <w:proofErr w:type="spellEnd"/>
      <w:r w:rsidRPr="00B05F99">
        <w:rPr>
          <w:rFonts w:ascii="Verdana" w:eastAsia="Times New Roman" w:hAnsi="Verdana" w:cs="Arial"/>
          <w:color w:val="000000"/>
        </w:rPr>
        <w:t>) si se refiere a una persona jurídica, el comprobante de pago de los aportes al Sistema de Seguridad Social Integral de sus empleados se debe aportar con la presentación de la oferta, y este constituye un criterio de admisión de la oferta. Lo anterior, sin perjuicio de que durante la ejecución del contrato también se acredite el pago al Sistema de Seguridad Social Integral para pagar las cuentas o facturas si a ello hubiere lugar.</w:t>
      </w:r>
    </w:p>
    <w:p w14:paraId="56109681" w14:textId="77777777" w:rsidR="005E1D4D" w:rsidRPr="00B05F99" w:rsidRDefault="005E1D4D" w:rsidP="005E1D4D">
      <w:pPr>
        <w:ind w:left="720"/>
        <w:contextualSpacing/>
        <w:rPr>
          <w:rFonts w:ascii="Verdana" w:eastAsia="Times New Roman" w:hAnsi="Verdana" w:cs="Arial"/>
          <w:color w:val="000000"/>
        </w:rPr>
      </w:pPr>
    </w:p>
    <w:p w14:paraId="556AC5CD" w14:textId="77777777" w:rsidR="005E1D4D" w:rsidRPr="00B05F99" w:rsidRDefault="005E1D4D" w:rsidP="005E1D4D">
      <w:pPr>
        <w:widowControl w:val="0"/>
        <w:autoSpaceDE w:val="0"/>
        <w:autoSpaceDN w:val="0"/>
        <w:spacing w:after="0" w:line="276" w:lineRule="auto"/>
        <w:contextualSpacing/>
        <w:jc w:val="both"/>
        <w:rPr>
          <w:rFonts w:ascii="Verdana" w:eastAsia="Times New Roman" w:hAnsi="Verdana" w:cs="Arial"/>
          <w:color w:val="000000"/>
        </w:rPr>
      </w:pPr>
      <w:r w:rsidRPr="00B05F99">
        <w:rPr>
          <w:rFonts w:ascii="Verdana" w:eastAsia="Times New Roman" w:hAnsi="Verdana" w:cs="Arial"/>
          <w:color w:val="000000"/>
        </w:rPr>
        <w:t>Igualmente,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w:t>
      </w:r>
    </w:p>
    <w:p w14:paraId="7C333BBC" w14:textId="77777777" w:rsidR="005E1D4D" w:rsidRPr="00B05F99" w:rsidRDefault="005E1D4D" w:rsidP="005E1D4D">
      <w:pPr>
        <w:ind w:left="720"/>
        <w:contextualSpacing/>
        <w:rPr>
          <w:rFonts w:ascii="Arial" w:eastAsia="Times New Roman" w:hAnsi="Arial" w:cs="Arial"/>
          <w:lang w:val="es-ES"/>
        </w:rPr>
      </w:pPr>
    </w:p>
    <w:p w14:paraId="54879B93" w14:textId="77777777" w:rsidR="005E1D4D" w:rsidRPr="00B05F99" w:rsidRDefault="005E1D4D" w:rsidP="005E1D4D">
      <w:pPr>
        <w:widowControl w:val="0"/>
        <w:autoSpaceDE w:val="0"/>
        <w:autoSpaceDN w:val="0"/>
        <w:spacing w:after="0" w:line="276" w:lineRule="auto"/>
        <w:contextualSpacing/>
        <w:jc w:val="both"/>
        <w:rPr>
          <w:rFonts w:ascii="Verdana" w:eastAsia="Times New Roman" w:hAnsi="Verdana" w:cs="Arial"/>
          <w:color w:val="000000"/>
        </w:rPr>
      </w:pPr>
      <w:r w:rsidRPr="00B05F99">
        <w:rPr>
          <w:rFonts w:ascii="Verdana" w:eastAsia="Times New Roman" w:hAnsi="Verdana" w:cs="Arial"/>
          <w:lang w:val="es-ES"/>
        </w:rPr>
        <w:t>Ahora bien, frente a la persona que arrendataria, es menester tener en cuenta que la Corte Constitucional en sentencia C-578 de 2009 concluyó que de la interpretación de los artículos 157 y 204 de la Ley 100 de 1993 debía considerarse a los rentistas de capital como trabajadores independientes, ya que dicha expresión incluye a todas las personas económicamente activas.</w:t>
      </w:r>
    </w:p>
    <w:p w14:paraId="71682F0A" w14:textId="77777777" w:rsidR="005E1D4D" w:rsidRPr="00B05F99" w:rsidRDefault="005E1D4D" w:rsidP="005E1D4D">
      <w:pPr>
        <w:ind w:left="720"/>
        <w:contextualSpacing/>
        <w:rPr>
          <w:rFonts w:ascii="Verdana" w:eastAsia="Times New Roman" w:hAnsi="Verdana" w:cs="Arial"/>
          <w:lang w:val="es-ES"/>
        </w:rPr>
      </w:pPr>
    </w:p>
    <w:p w14:paraId="44E18E44" w14:textId="77777777" w:rsidR="005E1D4D" w:rsidRPr="00B05F99" w:rsidRDefault="005E1D4D" w:rsidP="005E1D4D">
      <w:pPr>
        <w:widowControl w:val="0"/>
        <w:autoSpaceDE w:val="0"/>
        <w:autoSpaceDN w:val="0"/>
        <w:spacing w:after="0" w:line="276" w:lineRule="auto"/>
        <w:contextualSpacing/>
        <w:jc w:val="both"/>
        <w:rPr>
          <w:rFonts w:ascii="Verdana" w:eastAsia="Times New Roman" w:hAnsi="Verdana" w:cs="Arial"/>
          <w:color w:val="000000"/>
        </w:rPr>
      </w:pPr>
      <w:r w:rsidRPr="00B05F99">
        <w:rPr>
          <w:rFonts w:ascii="Verdana" w:eastAsia="Times New Roman" w:hAnsi="Verdana" w:cs="Arial"/>
          <w:lang w:val="es-ES"/>
        </w:rPr>
        <w:t xml:space="preserve">En ese orden de ideas, son conocidos como rentistas de capital aquellas personas que obtienen ingresos de arrendamientos, dividendos de inversiones, entre otras actividades, adquiriendo de esta manera capacidad de pago para cotizar al Sistema Integral de Seguridad Social. </w:t>
      </w:r>
    </w:p>
    <w:p w14:paraId="1C1B9575" w14:textId="77777777" w:rsidR="005E1D4D" w:rsidRPr="00B05F99" w:rsidRDefault="005E1D4D" w:rsidP="005E1D4D">
      <w:pPr>
        <w:ind w:left="720"/>
        <w:contextualSpacing/>
        <w:rPr>
          <w:rFonts w:ascii="Verdana" w:eastAsia="Times New Roman" w:hAnsi="Verdana" w:cs="Arial"/>
          <w:lang w:val="es-ES"/>
        </w:rPr>
      </w:pPr>
    </w:p>
    <w:p w14:paraId="6941594E" w14:textId="77777777" w:rsidR="005E1D4D" w:rsidRPr="00B05F99" w:rsidRDefault="005E1D4D" w:rsidP="005E1D4D">
      <w:pPr>
        <w:widowControl w:val="0"/>
        <w:autoSpaceDE w:val="0"/>
        <w:autoSpaceDN w:val="0"/>
        <w:spacing w:after="0" w:line="276" w:lineRule="auto"/>
        <w:contextualSpacing/>
        <w:jc w:val="both"/>
        <w:rPr>
          <w:rFonts w:ascii="Verdana" w:eastAsia="Times New Roman" w:hAnsi="Verdana" w:cs="Arial"/>
          <w:color w:val="000000"/>
        </w:rPr>
      </w:pPr>
      <w:r w:rsidRPr="00B05F99">
        <w:rPr>
          <w:rFonts w:ascii="Verdana" w:eastAsia="Times New Roman" w:hAnsi="Verdana" w:cs="Arial"/>
          <w:lang w:val="es-ES"/>
        </w:rPr>
        <w:t>El Decreto Único 780 de 2016 identifica como aportante a las personas naturales o jurídicas con trabajadores dependientes, a las entidades promotoras de salud, administradoras de pensiones o riesgos profesionales obligadas a realizar aportes correspondientes al Sistema, a los rentistas de capital y demás personas que tengan capacidad de contribuir al financiamiento del SGSSS y a los trabajadores independientes que se encuentren afiliados al Sistema de Seguridad Social Integral.</w:t>
      </w:r>
    </w:p>
    <w:p w14:paraId="0B0C0132" w14:textId="77777777" w:rsidR="005E1D4D" w:rsidRPr="00B05F99" w:rsidRDefault="005E1D4D" w:rsidP="005E1D4D">
      <w:pPr>
        <w:ind w:left="720"/>
        <w:contextualSpacing/>
        <w:rPr>
          <w:rFonts w:ascii="Verdana" w:eastAsia="Times New Roman" w:hAnsi="Verdana" w:cs="Arial"/>
          <w:lang w:val="es-ES"/>
        </w:rPr>
      </w:pPr>
    </w:p>
    <w:p w14:paraId="6696984E" w14:textId="77777777" w:rsidR="005E1D4D" w:rsidRPr="00B05F99" w:rsidRDefault="005E1D4D" w:rsidP="005E1D4D">
      <w:pPr>
        <w:widowControl w:val="0"/>
        <w:autoSpaceDE w:val="0"/>
        <w:autoSpaceDN w:val="0"/>
        <w:spacing w:after="0" w:line="276" w:lineRule="auto"/>
        <w:contextualSpacing/>
        <w:jc w:val="both"/>
        <w:rPr>
          <w:rFonts w:ascii="Verdana" w:eastAsia="Times New Roman" w:hAnsi="Verdana" w:cs="Arial"/>
          <w:color w:val="000000"/>
        </w:rPr>
      </w:pPr>
      <w:r w:rsidRPr="00B05F99">
        <w:rPr>
          <w:rFonts w:ascii="Verdana" w:eastAsia="Times New Roman" w:hAnsi="Verdana" w:cs="Arial"/>
          <w:lang w:val="es-ES"/>
        </w:rPr>
        <w:t>Toda persona económicamente activa con capacidad de pago, en virtud del principio de solidaridad que rige el Sistema Integral de Seguridad Social, está en la obligación de aportar a los Sistemas de Salud y Pensiones, y en forma voluntaria pueden afiliarse al Sistema de Riesgos Laborales y caja de compensación familiar. Lo anterior para el caso de los independientes por cuenta propia y con contrato diferente al de prestación de servicios, dentro de los cuales se encuentran los rentistas de capital.</w:t>
      </w:r>
    </w:p>
    <w:p w14:paraId="3A5DCA91" w14:textId="77777777" w:rsidR="005E1D4D" w:rsidRPr="00B05F99" w:rsidRDefault="005E1D4D" w:rsidP="005E1D4D">
      <w:pPr>
        <w:ind w:left="720"/>
        <w:contextualSpacing/>
        <w:rPr>
          <w:rFonts w:ascii="Verdana" w:eastAsia="Times New Roman" w:hAnsi="Verdana" w:cs="Arial"/>
          <w:lang w:val="es-ES"/>
        </w:rPr>
      </w:pPr>
    </w:p>
    <w:p w14:paraId="3B30FB89" w14:textId="77777777" w:rsidR="005E1D4D" w:rsidRPr="00B05F99" w:rsidRDefault="005E1D4D" w:rsidP="005E1D4D">
      <w:pPr>
        <w:widowControl w:val="0"/>
        <w:autoSpaceDE w:val="0"/>
        <w:autoSpaceDN w:val="0"/>
        <w:spacing w:after="0" w:line="276" w:lineRule="auto"/>
        <w:contextualSpacing/>
        <w:jc w:val="both"/>
        <w:rPr>
          <w:rFonts w:ascii="Verdana" w:eastAsia="Times New Roman" w:hAnsi="Verdana" w:cs="Arial"/>
          <w:color w:val="000000"/>
        </w:rPr>
      </w:pPr>
      <w:r w:rsidRPr="00B05F99">
        <w:rPr>
          <w:rFonts w:ascii="Verdana" w:eastAsia="Times New Roman" w:hAnsi="Verdana" w:cs="Arial"/>
          <w:lang w:val="es-ES"/>
        </w:rPr>
        <w:t>Al respecto, la Unidad de Gestión Pensional y Parafiscales indicó que:</w:t>
      </w:r>
    </w:p>
    <w:p w14:paraId="522F4530" w14:textId="77777777" w:rsidR="005E1D4D" w:rsidRPr="00B05F99" w:rsidRDefault="005E1D4D" w:rsidP="005E1D4D">
      <w:pPr>
        <w:tabs>
          <w:tab w:val="left" w:pos="7938"/>
          <w:tab w:val="left" w:pos="8080"/>
        </w:tabs>
        <w:spacing w:before="120" w:after="120" w:line="240" w:lineRule="auto"/>
        <w:ind w:left="1134" w:right="709"/>
        <w:jc w:val="both"/>
        <w:rPr>
          <w:rFonts w:ascii="Verdana" w:eastAsia="Times New Roman" w:hAnsi="Verdana" w:cs="Arial"/>
          <w:sz w:val="20"/>
          <w:szCs w:val="20"/>
          <w:lang w:val="es-ES" w:eastAsia="es-CO"/>
        </w:rPr>
      </w:pPr>
      <w:r w:rsidRPr="00B05F99">
        <w:rPr>
          <w:rFonts w:ascii="Verdana" w:eastAsia="Times New Roman" w:hAnsi="Verdana" w:cs="Arial"/>
          <w:sz w:val="20"/>
          <w:szCs w:val="20"/>
          <w:lang w:val="es-ES" w:eastAsia="es-CO"/>
        </w:rPr>
        <w:t>“Un independiente que percibe ingresos mensuales iguales o superiores a 1 salario mínimo mensual legal vigente provenientes de la explotación de sus bienes muebles o inmuebles, o recibe intereses, dividendos o utilidades producto de unas acciones de su propiedad se considera como rentista de capital dentro del grupo de independientes por cuenta propia o por contratos diferentes al de prestación de servicios, y por tanto está en la obligación de cotizar a los sistemas de salud y pensión, en la forma señalada en el inciso primero del artículo 135 de la Ley 1753 de 2015, es decir, sobre mínimo el 40% del valor de sus ingresos y para calcular el ingreso base de cotización IBC podrán deducir las expensas que se generen en la ejecución de cada actividad conforme a lo dispuesto en el art. 107 del Estatuto Tributario”</w:t>
      </w:r>
      <w:r w:rsidRPr="00B05F99">
        <w:rPr>
          <w:rFonts w:ascii="Aptos" w:eastAsia="Times New Roman" w:hAnsi="Aptos" w:cs="Times New Roman"/>
          <w:lang w:eastAsia="es-CO"/>
        </w:rPr>
        <w:footnoteReference w:id="3"/>
      </w:r>
      <w:r w:rsidRPr="00B05F99">
        <w:rPr>
          <w:rFonts w:ascii="Verdana" w:eastAsia="Times New Roman" w:hAnsi="Verdana" w:cs="Arial"/>
          <w:sz w:val="20"/>
          <w:szCs w:val="20"/>
          <w:lang w:val="es-ES" w:eastAsia="es-CO"/>
        </w:rPr>
        <w:t>.</w:t>
      </w:r>
    </w:p>
    <w:p w14:paraId="0AD53F9E" w14:textId="77777777" w:rsidR="005E1D4D" w:rsidRPr="00B05F99" w:rsidRDefault="005E1D4D" w:rsidP="005E1D4D">
      <w:pPr>
        <w:widowControl w:val="0"/>
        <w:autoSpaceDE w:val="0"/>
        <w:autoSpaceDN w:val="0"/>
        <w:spacing w:after="0" w:line="276" w:lineRule="auto"/>
        <w:contextualSpacing/>
        <w:jc w:val="both"/>
        <w:rPr>
          <w:rFonts w:ascii="Verdana" w:eastAsia="Times New Roman" w:hAnsi="Verdana" w:cs="Arial"/>
          <w:color w:val="000000"/>
        </w:rPr>
      </w:pPr>
      <w:r w:rsidRPr="00B05F99">
        <w:rPr>
          <w:rFonts w:ascii="Verdana" w:eastAsia="Times New Roman" w:hAnsi="Verdana" w:cs="Arial"/>
        </w:rPr>
        <w:t xml:space="preserve">En consecuencia, no cabe duda de que el pago de los aportes al Sistema de Seguridad Social Integral, por parte de los contratistas del Estado, es una obligación contenida en las leyes y disposiciones reglamentarias que regulan esta materia, y es deber de las entidades contratantes verificar el cumplimiento de este mandato, tanto antes de celebrar el contrato como durante su ejecución y liquidación, conforme a la naturaleza jurídica de la persona con quien se va a realizar el contrato </w:t>
      </w:r>
      <w:r w:rsidRPr="00B05F99">
        <w:rPr>
          <w:rFonts w:ascii="Verdana" w:eastAsia="Times New Roman" w:hAnsi="Verdana" w:cs="Arial"/>
          <w:color w:val="000000"/>
        </w:rPr>
        <w:t xml:space="preserve">de arrendamiento. </w:t>
      </w:r>
    </w:p>
    <w:p w14:paraId="0AEEA782" w14:textId="77777777" w:rsidR="005E1D4D" w:rsidRDefault="005E1D4D" w:rsidP="005E1D4D">
      <w:pPr>
        <w:widowControl w:val="0"/>
        <w:autoSpaceDE w:val="0"/>
        <w:autoSpaceDN w:val="0"/>
        <w:spacing w:after="0" w:line="276" w:lineRule="auto"/>
        <w:contextualSpacing/>
        <w:jc w:val="both"/>
        <w:rPr>
          <w:rFonts w:ascii="Verdana" w:eastAsia="Times New Roman" w:hAnsi="Verdana" w:cs="Arial"/>
          <w:color w:val="000000"/>
        </w:rPr>
      </w:pPr>
    </w:p>
    <w:p w14:paraId="51A4C261" w14:textId="1028DE8E" w:rsidR="005E1D4D" w:rsidRPr="004F7B8D" w:rsidRDefault="005E1D4D" w:rsidP="005E1D4D">
      <w:pPr>
        <w:widowControl w:val="0"/>
        <w:autoSpaceDE w:val="0"/>
        <w:autoSpaceDN w:val="0"/>
        <w:spacing w:after="0" w:line="276" w:lineRule="auto"/>
        <w:contextualSpacing/>
        <w:jc w:val="both"/>
        <w:rPr>
          <w:rFonts w:ascii="Verdana" w:eastAsia="Times New Roman" w:hAnsi="Verdana" w:cs="Arial"/>
          <w:color w:val="000000"/>
        </w:rPr>
      </w:pPr>
      <w:r w:rsidRPr="004F7B8D">
        <w:rPr>
          <w:rFonts w:ascii="Verdana" w:eastAsia="Times New Roman" w:hAnsi="Verdana" w:cs="Arial"/>
          <w:color w:val="000000"/>
        </w:rPr>
        <w:t xml:space="preserve">En el caso de los arrendadores, que son personas naturales o jurídicas y que actúan como rentistas de capital (quienes obtienen ingresos por el uso de sus bienes), la normativa los obliga a cotizar como trabajadores independientes. Este grupo debe realizar aportes sobre un ingreso base de cotización del 40% de sus ingresos brutos, sin incluir el valor del IVA, tal como lo establece el Decreto Único 780 de 2016. Este requisito responde al principio de solidaridad, que implica que toda persona con capacidad económica debe contribuir al financiamiento del Sistema de Seguridad Social. </w:t>
      </w:r>
    </w:p>
    <w:p w14:paraId="1EB16509" w14:textId="77777777" w:rsidR="005E1D4D" w:rsidRDefault="005E1D4D" w:rsidP="005E1D4D">
      <w:pPr>
        <w:widowControl w:val="0"/>
        <w:autoSpaceDE w:val="0"/>
        <w:autoSpaceDN w:val="0"/>
        <w:spacing w:after="0" w:line="276" w:lineRule="auto"/>
        <w:contextualSpacing/>
        <w:jc w:val="both"/>
        <w:rPr>
          <w:rFonts w:ascii="Verdana" w:eastAsia="Times New Roman" w:hAnsi="Verdana" w:cs="Arial"/>
          <w:color w:val="000000"/>
        </w:rPr>
      </w:pPr>
    </w:p>
    <w:p w14:paraId="17C53CFB" w14:textId="77777777" w:rsidR="0029490C" w:rsidRDefault="005E1D4D" w:rsidP="0029490C">
      <w:pPr>
        <w:widowControl w:val="0"/>
        <w:autoSpaceDE w:val="0"/>
        <w:autoSpaceDN w:val="0"/>
        <w:spacing w:after="0" w:line="276" w:lineRule="auto"/>
        <w:contextualSpacing/>
        <w:jc w:val="both"/>
        <w:rPr>
          <w:rFonts w:ascii="Verdana" w:eastAsia="Times New Roman" w:hAnsi="Verdana" w:cs="Arial"/>
          <w:color w:val="000000"/>
        </w:rPr>
      </w:pPr>
      <w:r>
        <w:rPr>
          <w:rFonts w:ascii="Verdana" w:eastAsia="Times New Roman" w:hAnsi="Verdana" w:cs="Arial"/>
          <w:color w:val="000000"/>
        </w:rPr>
        <w:t>En este orden de ideas</w:t>
      </w:r>
      <w:r w:rsidRPr="00B05F99">
        <w:rPr>
          <w:rFonts w:ascii="Verdana" w:eastAsia="Times New Roman" w:hAnsi="Verdana" w:cs="Arial"/>
          <w:color w:val="000000"/>
        </w:rPr>
        <w:t>, en Colombia, es obligatorio que los contratistas que participen en contratos de arrendamiento con entidades territoriales cumplan con sus aportes al Sistema Integral de Seguridad Social. Esta obligación recae tanto sobre quienes actúan como arrendadores (quienes ceden el uso de un bien a cambio de una renta) como sobre los arrendatarios (quienes alquilan un bien). La Ley 80 de 1993, la Ley 1150 de 2007 y la Ley 789 de 2002, junto con normas complementarias, establecen que estos contratistas deben estar al día en sus aportes a salud, pensión y cajas de compensación familiar. Antes de celebrar el contrato, así como durante su ejecución y al momento de la liquidación, la entidad estatal contratante tiene el deber de verificar el cumplimiento de estas obligaciones, asegurándose de que tanto proponentes como contratistas estén a paz y salvo en sus aportes parafiscales.</w:t>
      </w:r>
    </w:p>
    <w:p w14:paraId="02AE4BF4" w14:textId="77777777" w:rsidR="0029490C" w:rsidRDefault="0029490C" w:rsidP="0029490C">
      <w:pPr>
        <w:widowControl w:val="0"/>
        <w:autoSpaceDE w:val="0"/>
        <w:autoSpaceDN w:val="0"/>
        <w:spacing w:after="0" w:line="276" w:lineRule="auto"/>
        <w:contextualSpacing/>
        <w:jc w:val="both"/>
        <w:rPr>
          <w:rFonts w:ascii="Verdana" w:eastAsia="Times New Roman" w:hAnsi="Verdana" w:cs="Arial"/>
          <w:color w:val="000000"/>
        </w:rPr>
      </w:pPr>
    </w:p>
    <w:p w14:paraId="64763D93" w14:textId="77777777" w:rsidR="0029490C" w:rsidRDefault="0029490C" w:rsidP="0029490C">
      <w:pPr>
        <w:widowControl w:val="0"/>
        <w:autoSpaceDE w:val="0"/>
        <w:autoSpaceDN w:val="0"/>
        <w:spacing w:after="0" w:line="276" w:lineRule="auto"/>
        <w:contextualSpacing/>
        <w:jc w:val="both"/>
        <w:rPr>
          <w:rFonts w:ascii="Verdana" w:eastAsia="Times New Roman" w:hAnsi="Verdana" w:cs="Arial"/>
          <w:color w:val="000000"/>
        </w:rPr>
      </w:pPr>
      <w:r>
        <w:rPr>
          <w:rFonts w:ascii="Verdana" w:hAnsi="Verdana" w:cs="Arial"/>
          <w:bCs/>
          <w:color w:val="000000" w:themeColor="text1"/>
        </w:rPr>
        <w:t>Por su parte en relación con e</w:t>
      </w:r>
      <w:r w:rsidRPr="0029490C">
        <w:rPr>
          <w:rFonts w:ascii="Verdana" w:hAnsi="Verdana" w:cs="Arial"/>
          <w:bCs/>
          <w:color w:val="000000" w:themeColor="text1"/>
        </w:rPr>
        <w:t xml:space="preserve">l </w:t>
      </w:r>
      <w:r>
        <w:rPr>
          <w:rFonts w:ascii="Verdana" w:hAnsi="Verdana" w:cs="Arial"/>
          <w:bCs/>
          <w:color w:val="000000" w:themeColor="text1"/>
        </w:rPr>
        <w:t xml:space="preserve">contrato de </w:t>
      </w:r>
      <w:r w:rsidRPr="0029490C">
        <w:rPr>
          <w:rFonts w:ascii="Verdana" w:hAnsi="Verdana" w:cs="Arial"/>
          <w:bCs/>
          <w:color w:val="000000" w:themeColor="text1"/>
        </w:rPr>
        <w:t>comodato es un contrato gratuito en el cual una parte (comodante) entrega un bien a otra (comodatario) para su uso, con la obligación de devolverlo. En el contexto del artículo 38 de la Ley 9 de 1989</w:t>
      </w:r>
      <w:r>
        <w:rPr>
          <w:rStyle w:val="Refdenotaalpie"/>
          <w:rFonts w:ascii="Verdana" w:hAnsi="Verdana" w:cs="Arial"/>
          <w:bCs/>
          <w:color w:val="000000" w:themeColor="text1"/>
        </w:rPr>
        <w:footnoteReference w:id="4"/>
      </w:r>
      <w:r w:rsidRPr="0029490C">
        <w:rPr>
          <w:rFonts w:ascii="Verdana" w:hAnsi="Verdana" w:cs="Arial"/>
          <w:bCs/>
          <w:color w:val="000000" w:themeColor="text1"/>
        </w:rPr>
        <w:t>, el comodato es otorgado por entidades públicas a ciertas entidades sin ánimo de lucro u organizaciones asimiladas.</w:t>
      </w:r>
    </w:p>
    <w:p w14:paraId="54798D83" w14:textId="77777777" w:rsidR="0029490C" w:rsidRDefault="0029490C" w:rsidP="0029490C">
      <w:pPr>
        <w:widowControl w:val="0"/>
        <w:autoSpaceDE w:val="0"/>
        <w:autoSpaceDN w:val="0"/>
        <w:spacing w:after="0" w:line="276" w:lineRule="auto"/>
        <w:contextualSpacing/>
        <w:jc w:val="both"/>
        <w:rPr>
          <w:rFonts w:ascii="Verdana" w:eastAsia="Times New Roman" w:hAnsi="Verdana" w:cs="Arial"/>
          <w:color w:val="000000"/>
        </w:rPr>
      </w:pPr>
    </w:p>
    <w:p w14:paraId="566E3C39" w14:textId="77777777" w:rsidR="0029490C" w:rsidRDefault="0029490C" w:rsidP="0029490C">
      <w:pPr>
        <w:widowControl w:val="0"/>
        <w:autoSpaceDE w:val="0"/>
        <w:autoSpaceDN w:val="0"/>
        <w:spacing w:after="0" w:line="276" w:lineRule="auto"/>
        <w:contextualSpacing/>
        <w:jc w:val="both"/>
        <w:rPr>
          <w:rFonts w:ascii="Verdana" w:eastAsia="Times New Roman" w:hAnsi="Verdana" w:cs="Arial"/>
          <w:color w:val="000000"/>
        </w:rPr>
      </w:pPr>
      <w:r w:rsidRPr="0029490C">
        <w:rPr>
          <w:rFonts w:ascii="Verdana" w:hAnsi="Verdana" w:cs="Arial"/>
          <w:bCs/>
          <w:color w:val="000000" w:themeColor="text1"/>
        </w:rPr>
        <w:t>Desde el punto de vista de la Seguridad Social, el pago de aportes al Sistema General de Seguridad Social (SGSS) es una obligación derivada de la existencia de una relación laboral o de la contratación de servicios personales que generen ingresos. Sin embargo, el comodato no genera, por sí mismo, una relación laboral ni un vínculo que implique la obligación de pago de Seguridad Social.</w:t>
      </w:r>
    </w:p>
    <w:p w14:paraId="255E1114" w14:textId="77777777" w:rsidR="0029490C" w:rsidRDefault="0029490C" w:rsidP="0029490C">
      <w:pPr>
        <w:widowControl w:val="0"/>
        <w:autoSpaceDE w:val="0"/>
        <w:autoSpaceDN w:val="0"/>
        <w:spacing w:after="0" w:line="276" w:lineRule="auto"/>
        <w:contextualSpacing/>
        <w:jc w:val="both"/>
        <w:rPr>
          <w:rFonts w:ascii="Verdana" w:eastAsia="Times New Roman" w:hAnsi="Verdana" w:cs="Arial"/>
          <w:color w:val="000000"/>
        </w:rPr>
      </w:pPr>
    </w:p>
    <w:p w14:paraId="3ACD4C65" w14:textId="5E0949B8" w:rsidR="0029490C" w:rsidRPr="0029490C" w:rsidRDefault="0029490C" w:rsidP="0029490C">
      <w:pPr>
        <w:widowControl w:val="0"/>
        <w:autoSpaceDE w:val="0"/>
        <w:autoSpaceDN w:val="0"/>
        <w:spacing w:after="0" w:line="276" w:lineRule="auto"/>
        <w:contextualSpacing/>
        <w:jc w:val="both"/>
        <w:rPr>
          <w:rFonts w:ascii="Verdana" w:eastAsia="Times New Roman" w:hAnsi="Verdana" w:cs="Arial"/>
          <w:color w:val="000000"/>
        </w:rPr>
      </w:pPr>
      <w:r w:rsidRPr="0029490C">
        <w:rPr>
          <w:rFonts w:ascii="Verdana" w:hAnsi="Verdana" w:cs="Arial"/>
          <w:bCs/>
          <w:color w:val="000000" w:themeColor="text1"/>
        </w:rPr>
        <w:t>No obstante, en la ejecución del comodato, el comodatario puede requerir la contratación de personal para la administración o mantenimiento del inmueble recibido, caso en el cual deberá cumplir con las obligaciones de Seguridad Social conforme a la legislación vigente.</w:t>
      </w:r>
    </w:p>
    <w:p w14:paraId="643715D2" w14:textId="09704315" w:rsidR="00600FA2" w:rsidRPr="00770D74" w:rsidRDefault="00600FA2" w:rsidP="005E1D4D">
      <w:pPr>
        <w:spacing w:after="120" w:line="276" w:lineRule="auto"/>
        <w:jc w:val="both"/>
        <w:rPr>
          <w:rFonts w:ascii="Verdana" w:hAnsi="Verdana" w:cs="Arial"/>
          <w:bCs/>
          <w:color w:val="000000" w:themeColor="text1"/>
        </w:rPr>
      </w:pPr>
      <w:r>
        <w:rPr>
          <w:rFonts w:ascii="Verdana" w:hAnsi="Verdana" w:cs="Arial"/>
          <w:bCs/>
          <w:color w:val="000000" w:themeColor="text1"/>
        </w:rPr>
        <w:t>Finalmente es de precisar que a</w:t>
      </w:r>
      <w:r w:rsidRPr="00C94107">
        <w:rPr>
          <w:rFonts w:ascii="Verdana" w:hAnsi="Verdana" w:cs="Arial"/>
          <w:lang w:eastAsia="es-ES"/>
        </w:rPr>
        <w:t xml:space="preserve">l margen de la explicación precedente debe advertirse que, el análisis requerido para resolver problemas específicos en torno a la gestión contractual debe ser realizado por quienes tengan interés en ello, de acuerdo con lo explicado </w:t>
      </w:r>
      <w:r>
        <w:rPr>
          <w:rFonts w:ascii="Verdana" w:hAnsi="Verdana" w:cs="Arial"/>
          <w:lang w:eastAsia="es-ES"/>
        </w:rPr>
        <w:t xml:space="preserve">en </w:t>
      </w:r>
      <w:r w:rsidRPr="00C94107">
        <w:rPr>
          <w:rFonts w:ascii="Verdana" w:hAnsi="Verdana" w:cs="Arial"/>
          <w:lang w:eastAsia="es-ES"/>
        </w:rPr>
        <w:t>la aclaración preliminar del presente oficio. De esta manera, las afirmaciones aquí realizadas no pueden ser interpretadas como juicios de valor sobre circunstancias concretas</w:t>
      </w:r>
      <w:r>
        <w:rPr>
          <w:rFonts w:ascii="Verdana" w:hAnsi="Verdana" w:cs="Arial"/>
          <w:lang w:eastAsia="es-ES"/>
        </w:rPr>
        <w:t>.</w:t>
      </w:r>
    </w:p>
    <w:p w14:paraId="73FBA1FE" w14:textId="77777777" w:rsidR="005E1D4D" w:rsidRDefault="005E1D4D" w:rsidP="00FB67C7">
      <w:pPr>
        <w:spacing w:after="120" w:line="276" w:lineRule="auto"/>
        <w:jc w:val="both"/>
        <w:rPr>
          <w:rFonts w:ascii="Verdana" w:eastAsia="Century Gothic" w:hAnsi="Verdana" w:cs="Century Gothic"/>
          <w:b/>
          <w:bCs/>
        </w:rPr>
      </w:pPr>
    </w:p>
    <w:p w14:paraId="23064A8B" w14:textId="167DD25B" w:rsidR="00DB7D44" w:rsidRPr="00593A5F" w:rsidRDefault="00DB7D44" w:rsidP="00FB67C7">
      <w:pPr>
        <w:spacing w:after="120" w:line="276" w:lineRule="auto"/>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366865F" w14:textId="77777777" w:rsidR="00DB7D44" w:rsidRPr="00593A5F" w:rsidRDefault="00DB7D44" w:rsidP="00DB7D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7D44" w:rsidRPr="00593A5F" w14:paraId="2975C83A" w14:textId="77777777" w:rsidTr="00DC0D97">
        <w:trPr>
          <w:trHeight w:val="870"/>
        </w:trPr>
        <w:tc>
          <w:tcPr>
            <w:tcW w:w="8647" w:type="dxa"/>
          </w:tcPr>
          <w:p w14:paraId="0CBF3337" w14:textId="5B5F482D" w:rsidR="00187097" w:rsidRDefault="00187097" w:rsidP="00187097">
            <w:pPr>
              <w:widowControl w:val="0"/>
              <w:numPr>
                <w:ilvl w:val="0"/>
                <w:numId w:val="42"/>
              </w:numPr>
              <w:autoSpaceDE w:val="0"/>
              <w:autoSpaceDN w:val="0"/>
              <w:spacing w:after="120" w:line="276" w:lineRule="auto"/>
              <w:jc w:val="both"/>
              <w:rPr>
                <w:rFonts w:ascii="Verdana" w:hAnsi="Verdana" w:cs="Arial"/>
                <w:color w:val="000000"/>
              </w:rPr>
            </w:pPr>
            <w:r>
              <w:rPr>
                <w:rFonts w:ascii="Verdana" w:hAnsi="Verdana" w:cs="Arial"/>
                <w:color w:val="000000"/>
              </w:rPr>
              <w:t>Ley 9 de 198: Artículo 38</w:t>
            </w:r>
          </w:p>
          <w:p w14:paraId="4E5D5C8E" w14:textId="1D70D59A" w:rsidR="00187097" w:rsidRPr="00B05F99" w:rsidRDefault="00187097" w:rsidP="00187097">
            <w:pPr>
              <w:widowControl w:val="0"/>
              <w:numPr>
                <w:ilvl w:val="0"/>
                <w:numId w:val="42"/>
              </w:numPr>
              <w:autoSpaceDE w:val="0"/>
              <w:autoSpaceDN w:val="0"/>
              <w:spacing w:after="120" w:line="276" w:lineRule="auto"/>
              <w:jc w:val="both"/>
              <w:rPr>
                <w:rFonts w:ascii="Verdana" w:hAnsi="Verdana" w:cs="Arial"/>
                <w:color w:val="000000"/>
              </w:rPr>
            </w:pPr>
            <w:r w:rsidRPr="00B05F99">
              <w:rPr>
                <w:rFonts w:ascii="Verdana" w:hAnsi="Verdana" w:cs="Arial"/>
                <w:color w:val="000000"/>
              </w:rPr>
              <w:t xml:space="preserve">Ley 80 de 1993: Artículo 41 </w:t>
            </w:r>
          </w:p>
          <w:p w14:paraId="6EB48D1F" w14:textId="77777777" w:rsidR="00187097" w:rsidRPr="00B05F99" w:rsidRDefault="00187097" w:rsidP="00187097">
            <w:pPr>
              <w:widowControl w:val="0"/>
              <w:numPr>
                <w:ilvl w:val="0"/>
                <w:numId w:val="42"/>
              </w:numPr>
              <w:autoSpaceDE w:val="0"/>
              <w:autoSpaceDN w:val="0"/>
              <w:spacing w:after="120" w:line="276" w:lineRule="auto"/>
              <w:jc w:val="both"/>
              <w:rPr>
                <w:rFonts w:ascii="Verdana" w:hAnsi="Verdana" w:cs="Arial"/>
                <w:color w:val="000000"/>
              </w:rPr>
            </w:pPr>
            <w:r w:rsidRPr="00B05F99">
              <w:rPr>
                <w:rFonts w:ascii="Verdana" w:hAnsi="Verdana" w:cs="Arial"/>
                <w:lang w:val="es-ES"/>
              </w:rPr>
              <w:t>Ley 1150 de 2007: Artículo 23</w:t>
            </w:r>
          </w:p>
          <w:p w14:paraId="1F96E0CA" w14:textId="77777777" w:rsidR="00187097" w:rsidRPr="00B05F99" w:rsidRDefault="00187097" w:rsidP="00187097">
            <w:pPr>
              <w:widowControl w:val="0"/>
              <w:numPr>
                <w:ilvl w:val="0"/>
                <w:numId w:val="42"/>
              </w:numPr>
              <w:autoSpaceDE w:val="0"/>
              <w:autoSpaceDN w:val="0"/>
              <w:spacing w:after="120" w:line="276" w:lineRule="auto"/>
              <w:jc w:val="both"/>
              <w:rPr>
                <w:rFonts w:ascii="Verdana" w:hAnsi="Verdana" w:cs="Arial"/>
                <w:color w:val="000000"/>
              </w:rPr>
            </w:pPr>
            <w:r w:rsidRPr="00B05F99">
              <w:rPr>
                <w:rFonts w:ascii="Verdana" w:hAnsi="Verdana" w:cs="Arial"/>
                <w:color w:val="000000"/>
              </w:rPr>
              <w:t>Código Civil: Artículos 1973, Artículo 2000</w:t>
            </w:r>
          </w:p>
          <w:p w14:paraId="7A3A690A" w14:textId="77777777" w:rsidR="00187097" w:rsidRPr="00B05F99" w:rsidRDefault="00187097" w:rsidP="00187097">
            <w:pPr>
              <w:widowControl w:val="0"/>
              <w:numPr>
                <w:ilvl w:val="0"/>
                <w:numId w:val="42"/>
              </w:numPr>
              <w:autoSpaceDE w:val="0"/>
              <w:autoSpaceDN w:val="0"/>
              <w:spacing w:after="120" w:line="276" w:lineRule="auto"/>
              <w:jc w:val="both"/>
              <w:rPr>
                <w:rFonts w:ascii="Verdana" w:hAnsi="Verdana" w:cs="Arial"/>
                <w:color w:val="000000"/>
              </w:rPr>
            </w:pPr>
            <w:r w:rsidRPr="00B05F99">
              <w:rPr>
                <w:rFonts w:ascii="Verdana" w:hAnsi="Verdana" w:cs="Arial"/>
                <w:color w:val="000000"/>
              </w:rPr>
              <w:t xml:space="preserve">Ley 789 de 2002: Artículo 50 </w:t>
            </w:r>
          </w:p>
          <w:p w14:paraId="2DDCA5A9" w14:textId="77777777" w:rsidR="00187097" w:rsidRPr="00B05F99" w:rsidRDefault="00187097" w:rsidP="00187097">
            <w:pPr>
              <w:widowControl w:val="0"/>
              <w:numPr>
                <w:ilvl w:val="0"/>
                <w:numId w:val="42"/>
              </w:numPr>
              <w:autoSpaceDE w:val="0"/>
              <w:autoSpaceDN w:val="0"/>
              <w:spacing w:after="120" w:line="276" w:lineRule="auto"/>
              <w:jc w:val="both"/>
              <w:rPr>
                <w:rFonts w:ascii="Verdana" w:hAnsi="Verdana" w:cs="Arial"/>
                <w:color w:val="000000"/>
              </w:rPr>
            </w:pPr>
            <w:r w:rsidRPr="00B05F99">
              <w:rPr>
                <w:rFonts w:ascii="Verdana" w:hAnsi="Verdana" w:cs="Arial"/>
                <w:color w:val="000000"/>
              </w:rPr>
              <w:t>Ley 1955 de 2019: Artículos 244, Artículo 336</w:t>
            </w:r>
          </w:p>
          <w:p w14:paraId="4BB23E8B" w14:textId="77777777" w:rsidR="00E52602" w:rsidRPr="00B43F95" w:rsidRDefault="00187097" w:rsidP="00187097">
            <w:pPr>
              <w:widowControl w:val="0"/>
              <w:numPr>
                <w:ilvl w:val="0"/>
                <w:numId w:val="42"/>
              </w:numPr>
              <w:autoSpaceDE w:val="0"/>
              <w:autoSpaceDN w:val="0"/>
              <w:spacing w:after="120"/>
              <w:jc w:val="both"/>
              <w:rPr>
                <w:rFonts w:ascii="Verdana" w:hAnsi="Verdana" w:cs="Arial"/>
              </w:rPr>
            </w:pPr>
            <w:r w:rsidRPr="00B05F99">
              <w:rPr>
                <w:rFonts w:ascii="Verdana" w:hAnsi="Verdana"/>
              </w:rPr>
              <w:t xml:space="preserve">CONSEJO DE ESTADO. SALA DE CONSULTA Y SERVICIO CIVIL. Sentencia del 26 de julio de 2007. </w:t>
            </w:r>
            <w:proofErr w:type="spellStart"/>
            <w:r w:rsidRPr="00B05F99">
              <w:rPr>
                <w:rFonts w:ascii="Verdana" w:hAnsi="Verdana"/>
              </w:rPr>
              <w:t>Exp</w:t>
            </w:r>
            <w:proofErr w:type="spellEnd"/>
            <w:r w:rsidRPr="00B05F99">
              <w:rPr>
                <w:rFonts w:ascii="Verdana" w:hAnsi="Verdana"/>
              </w:rPr>
              <w:t>. 1832. C.P. Luis Fernando Álvarez Jaramillo.</w:t>
            </w:r>
          </w:p>
          <w:p w14:paraId="2E3B0684" w14:textId="3EF2573C" w:rsidR="00B43F95" w:rsidRPr="000D446F" w:rsidRDefault="00B43F95" w:rsidP="00187097">
            <w:pPr>
              <w:widowControl w:val="0"/>
              <w:numPr>
                <w:ilvl w:val="0"/>
                <w:numId w:val="42"/>
              </w:numPr>
              <w:autoSpaceDE w:val="0"/>
              <w:autoSpaceDN w:val="0"/>
              <w:spacing w:after="120"/>
              <w:jc w:val="both"/>
              <w:rPr>
                <w:rFonts w:ascii="Verdana" w:hAnsi="Verdana" w:cs="Arial"/>
              </w:rPr>
            </w:pPr>
            <w:r w:rsidRPr="00B43F95">
              <w:rPr>
                <w:rFonts w:ascii="Verdana" w:hAnsi="Verdana" w:cs="Arial"/>
              </w:rPr>
              <w:t xml:space="preserve">BONIVENTO FERNÁNDEZ, José́ Alejandro. Los principales contratos civiles y su paralelo con los comerciales. 16a ed. Bogotá́: Liberia Ediciones del Profesional, 2004. </w:t>
            </w:r>
          </w:p>
        </w:tc>
      </w:tr>
    </w:tbl>
    <w:p w14:paraId="268F1D7B" w14:textId="77777777" w:rsidR="00DB7D44" w:rsidRPr="00593A5F" w:rsidRDefault="00DB7D44" w:rsidP="00DB7D44">
      <w:pPr>
        <w:widowControl w:val="0"/>
        <w:autoSpaceDE w:val="0"/>
        <w:autoSpaceDN w:val="0"/>
        <w:spacing w:after="0" w:line="276" w:lineRule="auto"/>
        <w:jc w:val="both"/>
        <w:rPr>
          <w:rFonts w:ascii="Verdana" w:hAnsi="Verdana" w:cs="Arial"/>
        </w:rPr>
      </w:pPr>
    </w:p>
    <w:p w14:paraId="5B6ACB4D" w14:textId="77777777" w:rsidR="00DB7D44" w:rsidRPr="00593A5F" w:rsidRDefault="00DB7D44" w:rsidP="00DB7D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B063E16" w14:textId="77777777" w:rsidR="00DB7D44" w:rsidRDefault="00DB7D44" w:rsidP="00DB7D44">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35B5D8BF" w14:textId="6C6E66D8" w:rsidR="007E2389" w:rsidRPr="00185EE9" w:rsidRDefault="00187097" w:rsidP="007E2389">
      <w:pPr>
        <w:widowControl w:val="0"/>
        <w:autoSpaceDE w:val="0"/>
        <w:autoSpaceDN w:val="0"/>
        <w:spacing w:after="0" w:line="276" w:lineRule="auto"/>
        <w:jc w:val="both"/>
        <w:rPr>
          <w:rFonts w:ascii="Verdana" w:eastAsia="Calibri" w:hAnsi="Verdana" w:cs="Times New Roman"/>
        </w:rPr>
      </w:pPr>
      <w:r w:rsidRPr="00B05F99">
        <w:rPr>
          <w:rFonts w:ascii="Verdana" w:eastAsia="Times New Roman" w:hAnsi="Verdana" w:cs="Arial"/>
          <w:color w:val="000000"/>
          <w:lang w:val="es-ES"/>
        </w:rPr>
        <w:t xml:space="preserve">La Agencia Nacional de Contratación Pública – Colombia Compra Eficiente ha tenido la oportunidad de pronunciarse en relación con estos aspectos en los Conceptos No. 4201814000000493 en respuesta a la consulta del 18 de enero de 2018, así como en los conceptos C-006 del 04 de febrero de 2020, C-141 del 03 de marzo de 2020, C-161 y C-183 del 17 de marzo de 2020, C-319 del 12 de junio de 202 </w:t>
      </w:r>
      <w:r w:rsidRPr="00B05F99">
        <w:rPr>
          <w:rFonts w:ascii="Verdana" w:eastAsia="Times New Roman" w:hAnsi="Verdana" w:cs="Arial"/>
          <w:color w:val="000000"/>
        </w:rPr>
        <w:t>Concepto C-391 de 2023</w:t>
      </w:r>
      <w:r w:rsidRPr="00B05F99">
        <w:rPr>
          <w:rFonts w:ascii="Verdana" w:eastAsia="Times New Roman" w:hAnsi="Verdana" w:cs="Arial"/>
          <w:b/>
          <w:bCs/>
          <w:color w:val="000000"/>
        </w:rPr>
        <w:t xml:space="preserve"> </w:t>
      </w:r>
      <w:r w:rsidR="00C036EB">
        <w:rPr>
          <w:rFonts w:ascii="Verdana" w:eastAsia="Times New Roman" w:hAnsi="Verdana" w:cs="Arial"/>
          <w:color w:val="000000"/>
        </w:rPr>
        <w:t xml:space="preserve">, </w:t>
      </w:r>
      <w:r w:rsidRPr="00B05F99">
        <w:rPr>
          <w:rFonts w:ascii="Verdana" w:eastAsia="Times New Roman" w:hAnsi="Verdana" w:cs="Arial"/>
          <w:color w:val="000000"/>
          <w:lang w:val="es-ES"/>
        </w:rPr>
        <w:t>C-293 del 20 de agosto de 2024</w:t>
      </w:r>
      <w:r w:rsidR="00C036EB">
        <w:rPr>
          <w:rFonts w:ascii="Verdana" w:eastAsia="Times New Roman" w:hAnsi="Verdana" w:cs="Arial"/>
          <w:color w:val="000000"/>
          <w:lang w:val="es-ES"/>
        </w:rPr>
        <w:t xml:space="preserve"> y C-681 del 29 de octubre de 2024.</w:t>
      </w:r>
      <w:r w:rsidR="000B6628" w:rsidRPr="00185EE9">
        <w:rPr>
          <w:rStyle w:val="normaltextrun"/>
          <w:rFonts w:ascii="Verdana" w:hAnsi="Verdana" w:cs="Arial"/>
          <w:shd w:val="clear" w:color="auto" w:fill="FFFFFF"/>
          <w:lang w:val="es-ES"/>
        </w:rPr>
        <w:t xml:space="preserve"> </w:t>
      </w:r>
      <w:r w:rsidR="000B6628" w:rsidRPr="00185EE9">
        <w:rPr>
          <w:rFonts w:ascii="Verdana" w:eastAsia="Calibri" w:hAnsi="Verdana" w:cs="Times New Roman"/>
        </w:rPr>
        <w:t>Estos y otros conceptos</w:t>
      </w:r>
      <w:r w:rsidR="007E2389">
        <w:rPr>
          <w:rFonts w:ascii="Verdana" w:eastAsia="Calibri" w:hAnsi="Verdana" w:cs="Times New Roman"/>
        </w:rPr>
        <w:t xml:space="preserve"> </w:t>
      </w:r>
      <w:r w:rsidR="007E2389"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8F60A9B" w14:textId="01175CC3" w:rsidR="00117E40" w:rsidRPr="0065720B" w:rsidRDefault="00DE3A63" w:rsidP="007E2389">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007E2389" w:rsidRPr="00185EE9">
        <w:rPr>
          <w:rFonts w:ascii="Verdana" w:eastAsia="Calibri" w:hAnsi="Verdana" w:cs="Times New Roman"/>
        </w:rPr>
        <w:t>.</w:t>
      </w:r>
    </w:p>
    <w:p w14:paraId="7AA80262" w14:textId="77777777" w:rsidR="00DB7D44" w:rsidRDefault="00DB7D44" w:rsidP="00DB7D44">
      <w:pPr>
        <w:widowControl w:val="0"/>
        <w:autoSpaceDE w:val="0"/>
        <w:autoSpaceDN w:val="0"/>
        <w:spacing w:after="0" w:line="276" w:lineRule="auto"/>
        <w:jc w:val="both"/>
        <w:rPr>
          <w:rStyle w:val="normaltextrun"/>
          <w:rFonts w:ascii="Verdana" w:hAnsi="Verdana" w:cs="Arial"/>
          <w:shd w:val="clear" w:color="auto" w:fill="FFFFFF"/>
          <w:lang w:val="es-ES"/>
        </w:rPr>
      </w:pPr>
    </w:p>
    <w:p w14:paraId="5362D59A"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11A94559"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25D616FD"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3" w:tgtFrame="_blank" w:tooltip="Dirección URL original: https://www.colombiacompra.gov.co/content/03-documentos-tipo-para-los-procesos-de-seleccion-de-interventoria-de-obra-publica-de. Haga clic o pulse si confía en este vínculo." w:history="1">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14:paraId="213CAF78" w14:textId="77777777" w:rsidR="00A80691" w:rsidRPr="00505CD6" w:rsidRDefault="00A80691" w:rsidP="00A80691">
      <w:pPr>
        <w:widowControl w:val="0"/>
        <w:numPr>
          <w:ilvl w:val="0"/>
          <w:numId w:val="3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r:id="rId14" w:tgtFrame="_blank" w:tooltip="Dirección URL original: https://www.colombiacompra.gov.co/content/02-documentos-tipo-para-los-procesos-de-seleccion-de-consultoria-de-obra-publica-de. Haga clic o pulse si confía en este vínculo." w:history="1">
        <w:r w:rsidRPr="00505CD6">
          <w:rPr>
            <w:rFonts w:ascii="Verdana" w:hAnsi="Verdana" w:cs="Arial"/>
            <w:color w:val="0563C1" w:themeColor="hyperlink"/>
            <w:u w:val="single"/>
            <w:shd w:val="clear" w:color="auto" w:fill="FFFFFF"/>
          </w:rPr>
          <w:t>02. Documentos tipo para los procesos de selección de consultoría de obra pública de infraestructura de transporte – versión 2. | Colombia Compra Eficiente | Agencia Nacional de Contratación Pública</w:t>
        </w:r>
      </w:hyperlink>
    </w:p>
    <w:p w14:paraId="302453FB"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p>
    <w:p w14:paraId="7CB67F4C" w14:textId="77777777" w:rsidR="00A80691" w:rsidRPr="00505CD6" w:rsidRDefault="00A80691" w:rsidP="00A80691">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p>
    <w:p w14:paraId="003E92E1" w14:textId="77777777" w:rsidR="00A80691" w:rsidRPr="00505CD6" w:rsidRDefault="00A80691" w:rsidP="00A80691">
      <w:pPr>
        <w:widowControl w:val="0"/>
        <w:autoSpaceDE w:val="0"/>
        <w:autoSpaceDN w:val="0"/>
        <w:spacing w:after="0" w:line="276" w:lineRule="auto"/>
        <w:jc w:val="both"/>
        <w:rPr>
          <w:rFonts w:ascii="Verdana" w:eastAsia="Calibri" w:hAnsi="Verdana" w:cs="Arial"/>
          <w:color w:val="000000" w:themeColor="text1"/>
        </w:rPr>
      </w:pPr>
    </w:p>
    <w:p w14:paraId="7B957669" w14:textId="77777777" w:rsidR="00A80691" w:rsidRPr="00505CD6" w:rsidRDefault="00A80691" w:rsidP="00A8069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2FEC8E96" w14:textId="77777777" w:rsidR="00A80691" w:rsidRPr="00505CD6" w:rsidRDefault="00A80691" w:rsidP="00A80691">
      <w:pPr>
        <w:widowControl w:val="0"/>
        <w:autoSpaceDE w:val="0"/>
        <w:autoSpaceDN w:val="0"/>
        <w:spacing w:after="0" w:line="276" w:lineRule="auto"/>
        <w:jc w:val="both"/>
        <w:rPr>
          <w:rFonts w:ascii="Verdana" w:hAnsi="Verdana" w:cs="Arial"/>
        </w:rPr>
      </w:pPr>
    </w:p>
    <w:p w14:paraId="2126DCB2" w14:textId="77777777" w:rsidR="00A80691" w:rsidRPr="00505CD6" w:rsidRDefault="00A80691" w:rsidP="00A80691">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28C199" w14:textId="51429BDF" w:rsidR="00A80691" w:rsidRDefault="00A80691" w:rsidP="00FE66BE">
      <w:pPr>
        <w:spacing w:line="276" w:lineRule="auto"/>
        <w:jc w:val="center"/>
        <w:rPr>
          <w:rFonts w:ascii="Verdana" w:hAnsi="Verdana"/>
          <w:noProof/>
        </w:rPr>
      </w:pPr>
    </w:p>
    <w:p w14:paraId="65157D34" w14:textId="6D211F71" w:rsidR="00A950AD" w:rsidRPr="00A950AD" w:rsidRDefault="00A950AD" w:rsidP="00A950AD">
      <w:pPr>
        <w:spacing w:line="276" w:lineRule="auto"/>
        <w:jc w:val="center"/>
        <w:rPr>
          <w:rFonts w:ascii="Verdana" w:hAnsi="Verdana"/>
          <w:noProof/>
        </w:rPr>
      </w:pPr>
      <w:r w:rsidRPr="00A950AD">
        <w:rPr>
          <w:rFonts w:ascii="Verdana" w:hAnsi="Verdana"/>
          <w:noProof/>
        </w:rPr>
        <w:drawing>
          <wp:inline distT="0" distB="0" distL="0" distR="0" wp14:anchorId="6D4AAE81" wp14:editId="7E5984C1">
            <wp:extent cx="2995376" cy="1285875"/>
            <wp:effectExtent l="0" t="0" r="0" b="0"/>
            <wp:docPr id="130626035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8545" cy="1287235"/>
                    </a:xfrm>
                    <a:prstGeom prst="rect">
                      <a:avLst/>
                    </a:prstGeom>
                    <a:noFill/>
                    <a:ln>
                      <a:noFill/>
                    </a:ln>
                  </pic:spPr>
                </pic:pic>
              </a:graphicData>
            </a:graphic>
          </wp:inline>
        </w:drawing>
      </w:r>
    </w:p>
    <w:p w14:paraId="547FA897" w14:textId="77777777" w:rsidR="00A950AD" w:rsidRDefault="00A950AD" w:rsidP="00FE66BE">
      <w:pPr>
        <w:spacing w:line="276" w:lineRule="auto"/>
        <w:jc w:val="center"/>
        <w:rPr>
          <w:rFonts w:ascii="Verdana" w:hAnsi="Verdana"/>
          <w:noProof/>
        </w:rPr>
      </w:pPr>
    </w:p>
    <w:p w14:paraId="1706D49F" w14:textId="77777777" w:rsidR="00A950AD" w:rsidRDefault="00A950AD" w:rsidP="00FE66BE">
      <w:pPr>
        <w:spacing w:line="276" w:lineRule="auto"/>
        <w:jc w:val="center"/>
        <w:rPr>
          <w:rFonts w:ascii="Verdana" w:hAnsi="Verdana"/>
          <w:noProof/>
        </w:rPr>
      </w:pPr>
    </w:p>
    <w:p w14:paraId="2D11E2AC" w14:textId="77777777" w:rsidR="00A950AD" w:rsidRDefault="00A950AD" w:rsidP="00FE66BE">
      <w:pPr>
        <w:spacing w:line="276" w:lineRule="auto"/>
        <w:jc w:val="center"/>
        <w:rPr>
          <w:rFonts w:ascii="Verdana" w:hAnsi="Verdana"/>
          <w:noProof/>
        </w:rPr>
      </w:pPr>
    </w:p>
    <w:p w14:paraId="6235DC2E" w14:textId="5357D9D5" w:rsidR="00645CB7" w:rsidRDefault="00645CB7" w:rsidP="00645CB7">
      <w:pPr>
        <w:spacing w:line="276" w:lineRule="auto"/>
        <w:jc w:val="center"/>
        <w:rPr>
          <w:rFonts w:ascii="Verdana" w:hAnsi="Verdana"/>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80691" w:rsidRPr="00593A5F" w14:paraId="31D06E98" w14:textId="77777777" w:rsidTr="00E1079D">
        <w:trPr>
          <w:trHeight w:val="315"/>
        </w:trPr>
        <w:tc>
          <w:tcPr>
            <w:tcW w:w="893" w:type="dxa"/>
            <w:vAlign w:val="center"/>
            <w:hideMark/>
          </w:tcPr>
          <w:p w14:paraId="03E2D651"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50E6222" w14:textId="77777777" w:rsidR="00A80691" w:rsidRPr="00E24803" w:rsidRDefault="00A80691" w:rsidP="00A80691">
            <w:pPr>
              <w:spacing w:line="276" w:lineRule="auto"/>
              <w:contextualSpacing/>
              <w:jc w:val="both"/>
              <w:rPr>
                <w:rFonts w:ascii="Verdana" w:hAnsi="Verdana"/>
                <w:sz w:val="16"/>
                <w:szCs w:val="16"/>
              </w:rPr>
            </w:pPr>
            <w:r w:rsidRPr="00E24803">
              <w:rPr>
                <w:rFonts w:ascii="Verdana" w:hAnsi="Verdana"/>
                <w:sz w:val="16"/>
                <w:szCs w:val="16"/>
              </w:rPr>
              <w:t>Nicolas Andrés Guzmán Padilla</w:t>
            </w:r>
          </w:p>
          <w:p w14:paraId="53926242" w14:textId="33D77AA9" w:rsidR="00A80691" w:rsidRPr="000015E6" w:rsidRDefault="00A80691" w:rsidP="00A80691">
            <w:pPr>
              <w:contextualSpacing/>
              <w:rPr>
                <w:rFonts w:ascii="Verdana" w:eastAsia="Arial" w:hAnsi="Verdana" w:cs="Arial"/>
                <w:sz w:val="16"/>
                <w:szCs w:val="16"/>
              </w:rPr>
            </w:pPr>
            <w:r w:rsidRPr="00E24803">
              <w:rPr>
                <w:rFonts w:ascii="Verdana" w:hAnsi="Verdana"/>
                <w:sz w:val="16"/>
                <w:szCs w:val="16"/>
              </w:rPr>
              <w:t>Contratista de la Subdirección de Gestión Contractual</w:t>
            </w:r>
          </w:p>
        </w:tc>
      </w:tr>
      <w:tr w:rsidR="00A80691" w:rsidRPr="00593A5F" w14:paraId="7860D780" w14:textId="77777777" w:rsidTr="00E1079D">
        <w:trPr>
          <w:trHeight w:val="330"/>
        </w:trPr>
        <w:tc>
          <w:tcPr>
            <w:tcW w:w="893" w:type="dxa"/>
            <w:vAlign w:val="center"/>
            <w:hideMark/>
          </w:tcPr>
          <w:p w14:paraId="242F9749"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CC40AB" w14:textId="3070CFEA" w:rsidR="00A80691" w:rsidRDefault="00C036EB" w:rsidP="00A80691">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Diana Lucia Saavedra</w:t>
            </w:r>
          </w:p>
          <w:p w14:paraId="2BBC7853" w14:textId="6C5DBAC2" w:rsidR="00A80691" w:rsidRPr="00EF40D2" w:rsidRDefault="00A80691" w:rsidP="00A80691">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Pr="000015E6">
              <w:rPr>
                <w:rStyle w:val="normaltextrun"/>
                <w:rFonts w:ascii="Verdana" w:eastAsia="Arial" w:hAnsi="Verdana" w:cs="Arial"/>
                <w:sz w:val="16"/>
                <w:szCs w:val="16"/>
              </w:rPr>
              <w:t>Subdirección de Gestión Contractual</w:t>
            </w:r>
          </w:p>
        </w:tc>
      </w:tr>
      <w:tr w:rsidR="00A80691" w:rsidRPr="00593A5F" w14:paraId="2DB10D30" w14:textId="77777777" w:rsidTr="00E1079D">
        <w:trPr>
          <w:trHeight w:val="300"/>
        </w:trPr>
        <w:tc>
          <w:tcPr>
            <w:tcW w:w="893" w:type="dxa"/>
            <w:vAlign w:val="center"/>
          </w:tcPr>
          <w:p w14:paraId="3638310D" w14:textId="77777777" w:rsidR="00A80691" w:rsidRPr="003751C7" w:rsidRDefault="00A80691" w:rsidP="00A8069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BE9AC3" w14:textId="73B7E9CE"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 xml:space="preserve">Carolina Quintero </w:t>
            </w:r>
            <w:r w:rsidR="00606078" w:rsidRPr="000015E6">
              <w:rPr>
                <w:rFonts w:ascii="Verdana" w:eastAsia="Calibri" w:hAnsi="Verdana" w:cs="Arial"/>
                <w:sz w:val="16"/>
                <w:szCs w:val="16"/>
                <w:lang w:val="pt-BR" w:eastAsia="es-ES"/>
              </w:rPr>
              <w:t>Ganchará</w:t>
            </w:r>
          </w:p>
          <w:p w14:paraId="3F43F8EA" w14:textId="2BA9B9FC" w:rsidR="00A80691" w:rsidRPr="000015E6" w:rsidRDefault="00A80691" w:rsidP="00A80691">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bookmarkEnd w:id="1"/>
      <w:bookmarkEnd w:id="2"/>
      <w:bookmarkEnd w:id="3"/>
    </w:tbl>
    <w:p w14:paraId="0465BA6D" w14:textId="5A633879" w:rsidR="00E245AB" w:rsidRPr="0044528D" w:rsidRDefault="00E245AB" w:rsidP="00E245AB">
      <w:pPr>
        <w:spacing w:after="0"/>
        <w:rPr>
          <w:rFonts w:ascii="Verdana" w:hAnsi="Verdana"/>
        </w:rPr>
      </w:pPr>
    </w:p>
    <w:sectPr w:rsidR="00E245AB" w:rsidRPr="0044528D" w:rsidSect="00AC0B6D">
      <w:headerReference w:type="even" r:id="rId17"/>
      <w:headerReference w:type="default" r:id="rId18"/>
      <w:footerReference w:type="even" r:id="rId19"/>
      <w:footerReference w:type="default" r:id="rId20"/>
      <w:pgSz w:w="12240" w:h="15840" w:code="1"/>
      <w:pgMar w:top="1417" w:right="1750"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6DE1AF" w14:textId="77777777" w:rsidR="00C66228" w:rsidRDefault="00C66228" w:rsidP="004A1847">
      <w:pPr>
        <w:spacing w:after="0" w:line="240" w:lineRule="auto"/>
      </w:pPr>
      <w:r>
        <w:separator/>
      </w:r>
    </w:p>
  </w:endnote>
  <w:endnote w:type="continuationSeparator" w:id="0">
    <w:p w14:paraId="58A84B7A" w14:textId="77777777" w:rsidR="00C66228" w:rsidRDefault="00C6622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7AAC8" w14:textId="77777777" w:rsidR="00AF4209" w:rsidRDefault="00AF4209">
    <w:pPr>
      <w:pStyle w:val="Piedepgina"/>
    </w:pPr>
  </w:p>
  <w:p w14:paraId="3526CBDE" w14:textId="77777777" w:rsidR="008245EB" w:rsidRDefault="008245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p w14:paraId="53800D44" w14:textId="77777777" w:rsidR="00250743" w:rsidRDefault="00250743"/>
  <w:p w14:paraId="2C260A65" w14:textId="77777777" w:rsidR="008245EB" w:rsidRDefault="008245EB"/>
  <w:p w14:paraId="14D52991" w14:textId="77777777" w:rsidR="008245EB" w:rsidRDefault="008245EB"/>
  <w:p w14:paraId="57ADEE0D" w14:textId="77777777" w:rsidR="008245EB" w:rsidRDefault="008245EB"/>
  <w:p w14:paraId="71FAF27A" w14:textId="77777777" w:rsidR="008245EB" w:rsidRDefault="008245E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94DDC" w14:textId="77777777" w:rsidR="00C66228" w:rsidRDefault="00C66228" w:rsidP="004A1847">
      <w:pPr>
        <w:spacing w:after="0" w:line="240" w:lineRule="auto"/>
      </w:pPr>
      <w:r>
        <w:separator/>
      </w:r>
    </w:p>
  </w:footnote>
  <w:footnote w:type="continuationSeparator" w:id="0">
    <w:p w14:paraId="263B1BA5" w14:textId="77777777" w:rsidR="00C66228" w:rsidRDefault="00C66228" w:rsidP="004A1847">
      <w:pPr>
        <w:spacing w:after="0" w:line="240" w:lineRule="auto"/>
      </w:pPr>
      <w:r>
        <w:continuationSeparator/>
      </w:r>
    </w:p>
  </w:footnote>
  <w:footnote w:id="1">
    <w:p w14:paraId="28AACD1A" w14:textId="7564A918" w:rsidR="005E1D4D" w:rsidRPr="005E1D4D" w:rsidRDefault="005E1D4D" w:rsidP="005E1D4D">
      <w:pPr>
        <w:pStyle w:val="Textonotapie"/>
        <w:jc w:val="both"/>
        <w:rPr>
          <w:rFonts w:ascii="Verdana" w:hAnsi="Verdana"/>
          <w:sz w:val="16"/>
          <w:szCs w:val="16"/>
          <w:lang w:val="es-CO"/>
        </w:rPr>
      </w:pPr>
      <w:r w:rsidRPr="005E1D4D">
        <w:rPr>
          <w:rFonts w:ascii="Verdana" w:hAnsi="Verdana"/>
          <w:sz w:val="16"/>
          <w:szCs w:val="16"/>
          <w:vertAlign w:val="superscript"/>
        </w:rPr>
        <w:footnoteRef/>
      </w:r>
      <w:r w:rsidRPr="005E1D4D">
        <w:rPr>
          <w:rFonts w:ascii="Verdana" w:hAnsi="Verdana"/>
          <w:sz w:val="16"/>
          <w:szCs w:val="16"/>
        </w:rPr>
        <w:t xml:space="preserve"> </w:t>
      </w:r>
      <w:r w:rsidRPr="005E1D4D">
        <w:rPr>
          <w:rFonts w:ascii="Verdana" w:hAnsi="Verdana"/>
          <w:sz w:val="16"/>
          <w:szCs w:val="16"/>
          <w:lang w:val="es-CO"/>
        </w:rPr>
        <w:t>BONIVENTO FERNÁNDEZ, José́ Alejandro. Los principales contratos civiles y su paralelo con los comerciales. 16a ed. Bogotá́: Liberia Ediciones del Profesional, 2004. p. 401</w:t>
      </w:r>
    </w:p>
    <w:p w14:paraId="3B8B1F43" w14:textId="77777777" w:rsidR="005E1D4D" w:rsidRDefault="005E1D4D" w:rsidP="005E1D4D">
      <w:pPr>
        <w:pStyle w:val="Textonotapie"/>
      </w:pPr>
    </w:p>
  </w:footnote>
  <w:footnote w:id="2">
    <w:p w14:paraId="633B1C63" w14:textId="77777777" w:rsidR="005E1D4D" w:rsidRDefault="005E1D4D" w:rsidP="005E1D4D">
      <w:pPr>
        <w:pStyle w:val="Textonotapie"/>
      </w:pPr>
      <w:r w:rsidRPr="00B01463">
        <w:rPr>
          <w:rFonts w:ascii="Verdana" w:hAnsi="Verdana"/>
          <w:sz w:val="16"/>
          <w:szCs w:val="16"/>
          <w:vertAlign w:val="superscript"/>
        </w:rPr>
        <w:footnoteRef/>
      </w:r>
      <w:r w:rsidRPr="00B01463">
        <w:rPr>
          <w:rFonts w:ascii="Verdana" w:hAnsi="Verdana"/>
          <w:sz w:val="16"/>
          <w:szCs w:val="16"/>
        </w:rPr>
        <w:t xml:space="preserve"> CONSEJO DE ESTADO. SALA DE CONSULTA Y SERVICIO CIVIL. Sentencia del 26 de julio de 2007. Exp. 1832. C.P. Luis Fernando Álvarez Jaramillo.</w:t>
      </w:r>
    </w:p>
  </w:footnote>
  <w:footnote w:id="3">
    <w:p w14:paraId="6DBCF401" w14:textId="77777777" w:rsidR="005E1D4D" w:rsidRPr="005E1D4D" w:rsidRDefault="005E1D4D" w:rsidP="005E1D4D">
      <w:pPr>
        <w:jc w:val="both"/>
        <w:rPr>
          <w:rFonts w:ascii="Verdana" w:hAnsi="Verdana" w:cs="Arial"/>
          <w:color w:val="000000"/>
          <w:sz w:val="16"/>
          <w:szCs w:val="16"/>
        </w:rPr>
      </w:pPr>
      <w:r w:rsidRPr="005E1D4D">
        <w:rPr>
          <w:rFonts w:ascii="Verdana" w:hAnsi="Verdana" w:cs="Arial"/>
          <w:color w:val="000000"/>
          <w:sz w:val="16"/>
          <w:szCs w:val="16"/>
          <w:vertAlign w:val="superscript"/>
        </w:rPr>
        <w:footnoteRef/>
      </w:r>
      <w:r w:rsidRPr="005E1D4D">
        <w:rPr>
          <w:rFonts w:ascii="Verdana" w:hAnsi="Verdana" w:cs="Arial"/>
          <w:color w:val="000000"/>
          <w:sz w:val="16"/>
          <w:szCs w:val="16"/>
        </w:rPr>
        <w:t xml:space="preserve"> Concepto Unidad de Gestión Pensional y Parafiscales, radicado 201811200427881 del 12 de febrero de 2018.</w:t>
      </w:r>
    </w:p>
    <w:p w14:paraId="04E9B5BD" w14:textId="77777777" w:rsidR="005E1D4D" w:rsidRDefault="005E1D4D" w:rsidP="005E1D4D">
      <w:pPr>
        <w:ind w:firstLine="709"/>
        <w:jc w:val="both"/>
      </w:pPr>
    </w:p>
  </w:footnote>
  <w:footnote w:id="4">
    <w:p w14:paraId="019054D4" w14:textId="77777777" w:rsidR="0029490C" w:rsidRPr="0029490C" w:rsidRDefault="0029490C" w:rsidP="0029490C">
      <w:pPr>
        <w:pStyle w:val="Textonotapie"/>
        <w:jc w:val="both"/>
        <w:rPr>
          <w:rFonts w:ascii="Verdana" w:hAnsi="Verdana"/>
          <w:sz w:val="16"/>
          <w:szCs w:val="16"/>
        </w:rPr>
      </w:pPr>
      <w:r w:rsidRPr="0029490C">
        <w:rPr>
          <w:rStyle w:val="Refdenotaalpie"/>
          <w:rFonts w:ascii="Verdana" w:hAnsi="Verdana"/>
          <w:sz w:val="16"/>
          <w:szCs w:val="16"/>
        </w:rPr>
        <w:footnoteRef/>
      </w:r>
      <w:r w:rsidRPr="0029490C">
        <w:rPr>
          <w:rFonts w:ascii="Verdana" w:hAnsi="Verdana"/>
          <w:sz w:val="16"/>
          <w:szCs w:val="16"/>
        </w:rPr>
        <w:t xml:space="preserve"> ARTICULO 38.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 </w:t>
      </w:r>
    </w:p>
    <w:p w14:paraId="53FDD51C" w14:textId="77777777" w:rsidR="0029490C" w:rsidRPr="0029490C" w:rsidRDefault="0029490C" w:rsidP="0029490C">
      <w:pPr>
        <w:pStyle w:val="Textonotapie"/>
        <w:jc w:val="both"/>
        <w:rPr>
          <w:rFonts w:ascii="Verdana" w:hAnsi="Verdana"/>
          <w:sz w:val="16"/>
          <w:szCs w:val="16"/>
        </w:rPr>
      </w:pPr>
    </w:p>
    <w:p w14:paraId="1EC16EF1" w14:textId="4BE56F5F" w:rsidR="0029490C" w:rsidRPr="0029490C" w:rsidRDefault="0029490C" w:rsidP="0029490C">
      <w:pPr>
        <w:pStyle w:val="Textonotapie"/>
        <w:jc w:val="both"/>
        <w:rPr>
          <w:lang w:val="es-ES"/>
        </w:rPr>
      </w:pPr>
      <w:r w:rsidRPr="0029490C">
        <w:rPr>
          <w:rFonts w:ascii="Verdana" w:hAnsi="Verdana"/>
          <w:sz w:val="16"/>
          <w:szCs w:val="16"/>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90070" w14:textId="77777777" w:rsidR="00AF4209" w:rsidRDefault="00AF4209">
    <w:pPr>
      <w:pStyle w:val="Encabezado"/>
    </w:pPr>
  </w:p>
  <w:p w14:paraId="136C5567" w14:textId="77777777" w:rsidR="008245EB" w:rsidRDefault="008245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446705660"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300462686" name="Imagen 300462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17C5DE6B" w14:textId="77777777" w:rsidR="008245EB" w:rsidRDefault="008245E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22757C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536144231" o:spid="_x0000_i1025" type="#_x0000_t75" style="width:11.25pt;height:11.25pt;visibility:visible;mso-wrap-style:square">
            <v:imagedata r:id="rId1" o:title=""/>
          </v:shape>
        </w:pict>
      </mc:Choice>
      <mc:Fallback>
        <w:drawing>
          <wp:inline distT="0" distB="0" distL="0" distR="0" wp14:anchorId="5F26EE68" wp14:editId="7394F98C">
            <wp:extent cx="142875" cy="142875"/>
            <wp:effectExtent l="0" t="0" r="0" b="0"/>
            <wp:docPr id="1536144231" name="Imagen 1536144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9DCE3F6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E58CC7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4758E2"/>
    <w:multiLevelType w:val="hybridMultilevel"/>
    <w:tmpl w:val="FFFFFFFF"/>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69409A6"/>
    <w:multiLevelType w:val="hybridMultilevel"/>
    <w:tmpl w:val="9132AB9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6"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170D7145"/>
    <w:multiLevelType w:val="hybridMultilevel"/>
    <w:tmpl w:val="388A8D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7931FAD"/>
    <w:multiLevelType w:val="hybridMultilevel"/>
    <w:tmpl w:val="CF2441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B400B4F"/>
    <w:multiLevelType w:val="hybridMultilevel"/>
    <w:tmpl w:val="F12825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0550DDB"/>
    <w:multiLevelType w:val="hybridMultilevel"/>
    <w:tmpl w:val="992EFA66"/>
    <w:lvl w:ilvl="0" w:tplc="C284BA10">
      <w:numFmt w:val="bullet"/>
      <w:lvlText w:val=""/>
      <w:lvlJc w:val="left"/>
      <w:pPr>
        <w:ind w:left="823" w:hanging="360"/>
      </w:pPr>
      <w:rPr>
        <w:rFonts w:ascii="Symbol" w:eastAsia="Symbol" w:hAnsi="Symbol" w:cs="Symbol" w:hint="default"/>
        <w:w w:val="99"/>
        <w:sz w:val="22"/>
        <w:szCs w:val="22"/>
        <w:lang w:val="es-ES" w:eastAsia="en-US" w:bidi="ar-SA"/>
      </w:rPr>
    </w:lvl>
    <w:lvl w:ilvl="1" w:tplc="75BC0E92">
      <w:numFmt w:val="bullet"/>
      <w:lvlText w:val="•"/>
      <w:lvlJc w:val="left"/>
      <w:pPr>
        <w:ind w:left="1601" w:hanging="360"/>
      </w:pPr>
      <w:rPr>
        <w:rFonts w:hint="default"/>
        <w:lang w:val="es-ES" w:eastAsia="en-US" w:bidi="ar-SA"/>
      </w:rPr>
    </w:lvl>
    <w:lvl w:ilvl="2" w:tplc="6234D9D2">
      <w:numFmt w:val="bullet"/>
      <w:lvlText w:val="•"/>
      <w:lvlJc w:val="left"/>
      <w:pPr>
        <w:ind w:left="2383" w:hanging="360"/>
      </w:pPr>
      <w:rPr>
        <w:rFonts w:hint="default"/>
        <w:lang w:val="es-ES" w:eastAsia="en-US" w:bidi="ar-SA"/>
      </w:rPr>
    </w:lvl>
    <w:lvl w:ilvl="3" w:tplc="D8DE518A">
      <w:numFmt w:val="bullet"/>
      <w:lvlText w:val="•"/>
      <w:lvlJc w:val="left"/>
      <w:pPr>
        <w:ind w:left="3165" w:hanging="360"/>
      </w:pPr>
      <w:rPr>
        <w:rFonts w:hint="default"/>
        <w:lang w:val="es-ES" w:eastAsia="en-US" w:bidi="ar-SA"/>
      </w:rPr>
    </w:lvl>
    <w:lvl w:ilvl="4" w:tplc="9D484E64">
      <w:numFmt w:val="bullet"/>
      <w:lvlText w:val="•"/>
      <w:lvlJc w:val="left"/>
      <w:pPr>
        <w:ind w:left="3946" w:hanging="360"/>
      </w:pPr>
      <w:rPr>
        <w:rFonts w:hint="default"/>
        <w:lang w:val="es-ES" w:eastAsia="en-US" w:bidi="ar-SA"/>
      </w:rPr>
    </w:lvl>
    <w:lvl w:ilvl="5" w:tplc="E5F481EE">
      <w:numFmt w:val="bullet"/>
      <w:lvlText w:val="•"/>
      <w:lvlJc w:val="left"/>
      <w:pPr>
        <w:ind w:left="4728" w:hanging="360"/>
      </w:pPr>
      <w:rPr>
        <w:rFonts w:hint="default"/>
        <w:lang w:val="es-ES" w:eastAsia="en-US" w:bidi="ar-SA"/>
      </w:rPr>
    </w:lvl>
    <w:lvl w:ilvl="6" w:tplc="263AC6AC">
      <w:numFmt w:val="bullet"/>
      <w:lvlText w:val="•"/>
      <w:lvlJc w:val="left"/>
      <w:pPr>
        <w:ind w:left="5510" w:hanging="360"/>
      </w:pPr>
      <w:rPr>
        <w:rFonts w:hint="default"/>
        <w:lang w:val="es-ES" w:eastAsia="en-US" w:bidi="ar-SA"/>
      </w:rPr>
    </w:lvl>
    <w:lvl w:ilvl="7" w:tplc="6240A5FA">
      <w:numFmt w:val="bullet"/>
      <w:lvlText w:val="•"/>
      <w:lvlJc w:val="left"/>
      <w:pPr>
        <w:ind w:left="6291" w:hanging="360"/>
      </w:pPr>
      <w:rPr>
        <w:rFonts w:hint="default"/>
        <w:lang w:val="es-ES" w:eastAsia="en-US" w:bidi="ar-SA"/>
      </w:rPr>
    </w:lvl>
    <w:lvl w:ilvl="8" w:tplc="0814455C">
      <w:numFmt w:val="bullet"/>
      <w:lvlText w:val="•"/>
      <w:lvlJc w:val="left"/>
      <w:pPr>
        <w:ind w:left="7073" w:hanging="360"/>
      </w:pPr>
      <w:rPr>
        <w:rFonts w:hint="default"/>
        <w:lang w:val="es-ES" w:eastAsia="en-US" w:bidi="ar-SA"/>
      </w:rPr>
    </w:lvl>
  </w:abstractNum>
  <w:abstractNum w:abstractNumId="11"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A192B65"/>
    <w:multiLevelType w:val="hybridMultilevel"/>
    <w:tmpl w:val="194857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C4A618E"/>
    <w:multiLevelType w:val="hybridMultilevel"/>
    <w:tmpl w:val="8D825AF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5" w15:restartNumberingAfterBreak="0">
    <w:nsid w:val="2FCD0DB5"/>
    <w:multiLevelType w:val="multilevel"/>
    <w:tmpl w:val="115E934A"/>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5553C26"/>
    <w:multiLevelType w:val="hybridMultilevel"/>
    <w:tmpl w:val="AD704D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4" w15:restartNumberingAfterBreak="0">
    <w:nsid w:val="40E12C2B"/>
    <w:multiLevelType w:val="hybridMultilevel"/>
    <w:tmpl w:val="E7D6AF9E"/>
    <w:lvl w:ilvl="0" w:tplc="240A0001">
      <w:start w:val="1"/>
      <w:numFmt w:val="bullet"/>
      <w:lvlText w:val=""/>
      <w:lvlJc w:val="left"/>
      <w:pPr>
        <w:ind w:left="840" w:hanging="360"/>
      </w:pPr>
      <w:rPr>
        <w:rFonts w:ascii="Symbol" w:hAnsi="Symbol" w:hint="default"/>
      </w:rPr>
    </w:lvl>
    <w:lvl w:ilvl="1" w:tplc="240A0003" w:tentative="1">
      <w:start w:val="1"/>
      <w:numFmt w:val="bullet"/>
      <w:lvlText w:val="o"/>
      <w:lvlJc w:val="left"/>
      <w:pPr>
        <w:ind w:left="1560" w:hanging="360"/>
      </w:pPr>
      <w:rPr>
        <w:rFonts w:ascii="Courier New" w:hAnsi="Courier New" w:cs="Courier New" w:hint="default"/>
      </w:rPr>
    </w:lvl>
    <w:lvl w:ilvl="2" w:tplc="240A0005" w:tentative="1">
      <w:start w:val="1"/>
      <w:numFmt w:val="bullet"/>
      <w:lvlText w:val=""/>
      <w:lvlJc w:val="left"/>
      <w:pPr>
        <w:ind w:left="2280" w:hanging="360"/>
      </w:pPr>
      <w:rPr>
        <w:rFonts w:ascii="Wingdings" w:hAnsi="Wingdings" w:hint="default"/>
      </w:rPr>
    </w:lvl>
    <w:lvl w:ilvl="3" w:tplc="240A0001" w:tentative="1">
      <w:start w:val="1"/>
      <w:numFmt w:val="bullet"/>
      <w:lvlText w:val=""/>
      <w:lvlJc w:val="left"/>
      <w:pPr>
        <w:ind w:left="3000" w:hanging="360"/>
      </w:pPr>
      <w:rPr>
        <w:rFonts w:ascii="Symbol" w:hAnsi="Symbol" w:hint="default"/>
      </w:rPr>
    </w:lvl>
    <w:lvl w:ilvl="4" w:tplc="240A0003" w:tentative="1">
      <w:start w:val="1"/>
      <w:numFmt w:val="bullet"/>
      <w:lvlText w:val="o"/>
      <w:lvlJc w:val="left"/>
      <w:pPr>
        <w:ind w:left="3720" w:hanging="360"/>
      </w:pPr>
      <w:rPr>
        <w:rFonts w:ascii="Courier New" w:hAnsi="Courier New" w:cs="Courier New" w:hint="default"/>
      </w:rPr>
    </w:lvl>
    <w:lvl w:ilvl="5" w:tplc="240A0005" w:tentative="1">
      <w:start w:val="1"/>
      <w:numFmt w:val="bullet"/>
      <w:lvlText w:val=""/>
      <w:lvlJc w:val="left"/>
      <w:pPr>
        <w:ind w:left="4440" w:hanging="360"/>
      </w:pPr>
      <w:rPr>
        <w:rFonts w:ascii="Wingdings" w:hAnsi="Wingdings" w:hint="default"/>
      </w:rPr>
    </w:lvl>
    <w:lvl w:ilvl="6" w:tplc="240A0001" w:tentative="1">
      <w:start w:val="1"/>
      <w:numFmt w:val="bullet"/>
      <w:lvlText w:val=""/>
      <w:lvlJc w:val="left"/>
      <w:pPr>
        <w:ind w:left="5160" w:hanging="360"/>
      </w:pPr>
      <w:rPr>
        <w:rFonts w:ascii="Symbol" w:hAnsi="Symbol" w:hint="default"/>
      </w:rPr>
    </w:lvl>
    <w:lvl w:ilvl="7" w:tplc="240A0003" w:tentative="1">
      <w:start w:val="1"/>
      <w:numFmt w:val="bullet"/>
      <w:lvlText w:val="o"/>
      <w:lvlJc w:val="left"/>
      <w:pPr>
        <w:ind w:left="5880" w:hanging="360"/>
      </w:pPr>
      <w:rPr>
        <w:rFonts w:ascii="Courier New" w:hAnsi="Courier New" w:cs="Courier New" w:hint="default"/>
      </w:rPr>
    </w:lvl>
    <w:lvl w:ilvl="8" w:tplc="240A0005" w:tentative="1">
      <w:start w:val="1"/>
      <w:numFmt w:val="bullet"/>
      <w:lvlText w:val=""/>
      <w:lvlJc w:val="left"/>
      <w:pPr>
        <w:ind w:left="6600" w:hanging="360"/>
      </w:pPr>
      <w:rPr>
        <w:rFonts w:ascii="Wingdings" w:hAnsi="Wingdings" w:hint="default"/>
      </w:rPr>
    </w:lvl>
  </w:abstractNum>
  <w:abstractNum w:abstractNumId="25" w15:restartNumberingAfterBreak="0">
    <w:nsid w:val="4A07209D"/>
    <w:multiLevelType w:val="hybridMultilevel"/>
    <w:tmpl w:val="12C46106"/>
    <w:lvl w:ilvl="0" w:tplc="240A0001">
      <w:start w:val="1"/>
      <w:numFmt w:val="bullet"/>
      <w:lvlText w:val=""/>
      <w:lvlJc w:val="left"/>
      <w:pPr>
        <w:ind w:left="2280" w:hanging="360"/>
      </w:pPr>
      <w:rPr>
        <w:rFonts w:ascii="Symbol" w:hAnsi="Symbol" w:hint="default"/>
      </w:rPr>
    </w:lvl>
    <w:lvl w:ilvl="1" w:tplc="240A0003" w:tentative="1">
      <w:start w:val="1"/>
      <w:numFmt w:val="bullet"/>
      <w:lvlText w:val="o"/>
      <w:lvlJc w:val="left"/>
      <w:pPr>
        <w:ind w:left="3000" w:hanging="360"/>
      </w:pPr>
      <w:rPr>
        <w:rFonts w:ascii="Courier New" w:hAnsi="Courier New" w:cs="Courier New" w:hint="default"/>
      </w:rPr>
    </w:lvl>
    <w:lvl w:ilvl="2" w:tplc="240A0005" w:tentative="1">
      <w:start w:val="1"/>
      <w:numFmt w:val="bullet"/>
      <w:lvlText w:val=""/>
      <w:lvlJc w:val="left"/>
      <w:pPr>
        <w:ind w:left="3720" w:hanging="360"/>
      </w:pPr>
      <w:rPr>
        <w:rFonts w:ascii="Wingdings" w:hAnsi="Wingdings" w:hint="default"/>
      </w:rPr>
    </w:lvl>
    <w:lvl w:ilvl="3" w:tplc="240A0001" w:tentative="1">
      <w:start w:val="1"/>
      <w:numFmt w:val="bullet"/>
      <w:lvlText w:val=""/>
      <w:lvlJc w:val="left"/>
      <w:pPr>
        <w:ind w:left="4440" w:hanging="360"/>
      </w:pPr>
      <w:rPr>
        <w:rFonts w:ascii="Symbol" w:hAnsi="Symbol" w:hint="default"/>
      </w:rPr>
    </w:lvl>
    <w:lvl w:ilvl="4" w:tplc="240A0003" w:tentative="1">
      <w:start w:val="1"/>
      <w:numFmt w:val="bullet"/>
      <w:lvlText w:val="o"/>
      <w:lvlJc w:val="left"/>
      <w:pPr>
        <w:ind w:left="5160" w:hanging="360"/>
      </w:pPr>
      <w:rPr>
        <w:rFonts w:ascii="Courier New" w:hAnsi="Courier New" w:cs="Courier New" w:hint="default"/>
      </w:rPr>
    </w:lvl>
    <w:lvl w:ilvl="5" w:tplc="240A0005" w:tentative="1">
      <w:start w:val="1"/>
      <w:numFmt w:val="bullet"/>
      <w:lvlText w:val=""/>
      <w:lvlJc w:val="left"/>
      <w:pPr>
        <w:ind w:left="5880" w:hanging="360"/>
      </w:pPr>
      <w:rPr>
        <w:rFonts w:ascii="Wingdings" w:hAnsi="Wingdings" w:hint="default"/>
      </w:rPr>
    </w:lvl>
    <w:lvl w:ilvl="6" w:tplc="240A0001" w:tentative="1">
      <w:start w:val="1"/>
      <w:numFmt w:val="bullet"/>
      <w:lvlText w:val=""/>
      <w:lvlJc w:val="left"/>
      <w:pPr>
        <w:ind w:left="6600" w:hanging="360"/>
      </w:pPr>
      <w:rPr>
        <w:rFonts w:ascii="Symbol" w:hAnsi="Symbol" w:hint="default"/>
      </w:rPr>
    </w:lvl>
    <w:lvl w:ilvl="7" w:tplc="240A0003" w:tentative="1">
      <w:start w:val="1"/>
      <w:numFmt w:val="bullet"/>
      <w:lvlText w:val="o"/>
      <w:lvlJc w:val="left"/>
      <w:pPr>
        <w:ind w:left="7320" w:hanging="360"/>
      </w:pPr>
      <w:rPr>
        <w:rFonts w:ascii="Courier New" w:hAnsi="Courier New" w:cs="Courier New" w:hint="default"/>
      </w:rPr>
    </w:lvl>
    <w:lvl w:ilvl="8" w:tplc="240A0005" w:tentative="1">
      <w:start w:val="1"/>
      <w:numFmt w:val="bullet"/>
      <w:lvlText w:val=""/>
      <w:lvlJc w:val="left"/>
      <w:pPr>
        <w:ind w:left="8040" w:hanging="360"/>
      </w:pPr>
      <w:rPr>
        <w:rFonts w:ascii="Wingdings" w:hAnsi="Wingdings" w:hint="default"/>
      </w:rPr>
    </w:lvl>
  </w:abstractNum>
  <w:abstractNum w:abstractNumId="26"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F1117FC"/>
    <w:multiLevelType w:val="hybridMultilevel"/>
    <w:tmpl w:val="D36A3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4F3A18F4"/>
    <w:multiLevelType w:val="hybridMultilevel"/>
    <w:tmpl w:val="1A7C4F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4F88584E"/>
    <w:multiLevelType w:val="hybridMultilevel"/>
    <w:tmpl w:val="FA8676EC"/>
    <w:lvl w:ilvl="0" w:tplc="CD7827E6">
      <w:start w:val="4"/>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0"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33320B5"/>
    <w:multiLevelType w:val="multilevel"/>
    <w:tmpl w:val="D74E66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543A09DF"/>
    <w:multiLevelType w:val="multilevel"/>
    <w:tmpl w:val="9FB46D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4" w15:restartNumberingAfterBreak="0">
    <w:nsid w:val="65873129"/>
    <w:multiLevelType w:val="hybridMultilevel"/>
    <w:tmpl w:val="23CA46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663276E"/>
    <w:multiLevelType w:val="hybridMultilevel"/>
    <w:tmpl w:val="4C78242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72B73DB"/>
    <w:multiLevelType w:val="hybridMultilevel"/>
    <w:tmpl w:val="2A9E79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7D0A39BE"/>
    <w:multiLevelType w:val="hybridMultilevel"/>
    <w:tmpl w:val="C1CE7E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E67788B"/>
    <w:multiLevelType w:val="hybridMultilevel"/>
    <w:tmpl w:val="1324D0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9"/>
  </w:num>
  <w:num w:numId="2" w16cid:durableId="19822139">
    <w:abstractNumId w:val="6"/>
  </w:num>
  <w:num w:numId="3" w16cid:durableId="876742304">
    <w:abstractNumId w:val="16"/>
  </w:num>
  <w:num w:numId="4" w16cid:durableId="24518640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6"/>
  </w:num>
  <w:num w:numId="6" w16cid:durableId="316692925">
    <w:abstractNumId w:val="39"/>
  </w:num>
  <w:num w:numId="7" w16cid:durableId="1946422806">
    <w:abstractNumId w:val="18"/>
  </w:num>
  <w:num w:numId="8" w16cid:durableId="152644682">
    <w:abstractNumId w:val="37"/>
  </w:num>
  <w:num w:numId="9" w16cid:durableId="1317221377">
    <w:abstractNumId w:val="21"/>
  </w:num>
  <w:num w:numId="10" w16cid:durableId="1471245386">
    <w:abstractNumId w:val="36"/>
  </w:num>
  <w:num w:numId="11" w16cid:durableId="289172385">
    <w:abstractNumId w:val="22"/>
  </w:num>
  <w:num w:numId="12" w16cid:durableId="1470781324">
    <w:abstractNumId w:val="4"/>
  </w:num>
  <w:num w:numId="13" w16cid:durableId="1512908409">
    <w:abstractNumId w:val="12"/>
  </w:num>
  <w:num w:numId="14" w16cid:durableId="895897244">
    <w:abstractNumId w:val="40"/>
  </w:num>
  <w:num w:numId="15" w16cid:durableId="390349800">
    <w:abstractNumId w:val="33"/>
  </w:num>
  <w:num w:numId="16" w16cid:durableId="1380713882">
    <w:abstractNumId w:val="3"/>
  </w:num>
  <w:num w:numId="17" w16cid:durableId="1528370592">
    <w:abstractNumId w:val="38"/>
  </w:num>
  <w:num w:numId="18" w16cid:durableId="1827160323">
    <w:abstractNumId w:val="30"/>
  </w:num>
  <w:num w:numId="19" w16cid:durableId="1341393406">
    <w:abstractNumId w:val="11"/>
  </w:num>
  <w:num w:numId="20" w16cid:durableId="142542170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14770774">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53683062">
    <w:abstractNumId w:val="32"/>
  </w:num>
  <w:num w:numId="23" w16cid:durableId="821585723">
    <w:abstractNumId w:val="45"/>
  </w:num>
  <w:num w:numId="24" w16cid:durableId="278218624">
    <w:abstractNumId w:val="27"/>
  </w:num>
  <w:num w:numId="25" w16cid:durableId="619844469">
    <w:abstractNumId w:val="7"/>
  </w:num>
  <w:num w:numId="26" w16cid:durableId="2032217959">
    <w:abstractNumId w:val="24"/>
  </w:num>
  <w:num w:numId="27" w16cid:durableId="1194152408">
    <w:abstractNumId w:val="9"/>
  </w:num>
  <w:num w:numId="28" w16cid:durableId="765926342">
    <w:abstractNumId w:val="10"/>
  </w:num>
  <w:num w:numId="29" w16cid:durableId="772895453">
    <w:abstractNumId w:val="34"/>
  </w:num>
  <w:num w:numId="30" w16cid:durableId="784039179">
    <w:abstractNumId w:val="41"/>
  </w:num>
  <w:num w:numId="31" w16cid:durableId="998077508">
    <w:abstractNumId w:val="26"/>
  </w:num>
  <w:num w:numId="32" w16cid:durableId="836310654">
    <w:abstractNumId w:val="8"/>
  </w:num>
  <w:num w:numId="33" w16cid:durableId="1178544198">
    <w:abstractNumId w:val="20"/>
  </w:num>
  <w:num w:numId="34" w16cid:durableId="449785796">
    <w:abstractNumId w:val="14"/>
  </w:num>
  <w:num w:numId="35" w16cid:durableId="558784917">
    <w:abstractNumId w:val="25"/>
  </w:num>
  <w:num w:numId="36" w16cid:durableId="679089576">
    <w:abstractNumId w:val="23"/>
  </w:num>
  <w:num w:numId="37" w16cid:durableId="1733503356">
    <w:abstractNumId w:val="35"/>
  </w:num>
  <w:num w:numId="38" w16cid:durableId="1982299905">
    <w:abstractNumId w:val="44"/>
  </w:num>
  <w:num w:numId="39" w16cid:durableId="718089256">
    <w:abstractNumId w:val="13"/>
  </w:num>
  <w:num w:numId="40" w16cid:durableId="1416318430">
    <w:abstractNumId w:val="43"/>
  </w:num>
  <w:num w:numId="41" w16cid:durableId="134764369">
    <w:abstractNumId w:val="42"/>
  </w:num>
  <w:num w:numId="42" w16cid:durableId="782461700">
    <w:abstractNumId w:val="28"/>
  </w:num>
  <w:num w:numId="43" w16cid:durableId="1726566718">
    <w:abstractNumId w:val="5"/>
  </w:num>
  <w:num w:numId="44" w16cid:durableId="2050106684">
    <w:abstractNumId w:val="1"/>
  </w:num>
  <w:num w:numId="45" w16cid:durableId="2019430923">
    <w:abstractNumId w:val="29"/>
  </w:num>
  <w:num w:numId="46" w16cid:durableId="1353610362">
    <w:abstractNumId w:val="0"/>
  </w:num>
  <w:num w:numId="47" w16cid:durableId="1492209491">
    <w:abstractNumId w:val="17"/>
  </w:num>
  <w:num w:numId="48" w16cid:durableId="1344187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5E6"/>
    <w:rsid w:val="00002BA0"/>
    <w:rsid w:val="00004C50"/>
    <w:rsid w:val="00032690"/>
    <w:rsid w:val="00043043"/>
    <w:rsid w:val="0004364F"/>
    <w:rsid w:val="0005032D"/>
    <w:rsid w:val="00052A7F"/>
    <w:rsid w:val="00061B2A"/>
    <w:rsid w:val="00061DA5"/>
    <w:rsid w:val="00064D4C"/>
    <w:rsid w:val="00065774"/>
    <w:rsid w:val="00067974"/>
    <w:rsid w:val="000716C3"/>
    <w:rsid w:val="000816DD"/>
    <w:rsid w:val="00082362"/>
    <w:rsid w:val="00083901"/>
    <w:rsid w:val="00091052"/>
    <w:rsid w:val="00097A44"/>
    <w:rsid w:val="000A683E"/>
    <w:rsid w:val="000B19B9"/>
    <w:rsid w:val="000B6628"/>
    <w:rsid w:val="000C3898"/>
    <w:rsid w:val="000D0334"/>
    <w:rsid w:val="000D7C08"/>
    <w:rsid w:val="000F6486"/>
    <w:rsid w:val="00117E40"/>
    <w:rsid w:val="00125105"/>
    <w:rsid w:val="001254C6"/>
    <w:rsid w:val="00127233"/>
    <w:rsid w:val="001318DA"/>
    <w:rsid w:val="00140FFC"/>
    <w:rsid w:val="0014445C"/>
    <w:rsid w:val="0015095D"/>
    <w:rsid w:val="00151D47"/>
    <w:rsid w:val="001561D6"/>
    <w:rsid w:val="001572FA"/>
    <w:rsid w:val="001643A7"/>
    <w:rsid w:val="00171AE9"/>
    <w:rsid w:val="00174353"/>
    <w:rsid w:val="00187097"/>
    <w:rsid w:val="001A13C1"/>
    <w:rsid w:val="001B7AF4"/>
    <w:rsid w:val="001C4152"/>
    <w:rsid w:val="001C5C4E"/>
    <w:rsid w:val="001C7353"/>
    <w:rsid w:val="001D4052"/>
    <w:rsid w:val="001D756C"/>
    <w:rsid w:val="001E4177"/>
    <w:rsid w:val="001E5B16"/>
    <w:rsid w:val="001F0FB2"/>
    <w:rsid w:val="001F6D8D"/>
    <w:rsid w:val="001F7DC6"/>
    <w:rsid w:val="001F7E1D"/>
    <w:rsid w:val="00201766"/>
    <w:rsid w:val="0020467F"/>
    <w:rsid w:val="002121EB"/>
    <w:rsid w:val="002221DA"/>
    <w:rsid w:val="00232683"/>
    <w:rsid w:val="002421BB"/>
    <w:rsid w:val="00250743"/>
    <w:rsid w:val="002520F5"/>
    <w:rsid w:val="0025398C"/>
    <w:rsid w:val="0025796E"/>
    <w:rsid w:val="002669D6"/>
    <w:rsid w:val="002707A2"/>
    <w:rsid w:val="00272513"/>
    <w:rsid w:val="002933DA"/>
    <w:rsid w:val="0029490C"/>
    <w:rsid w:val="002951A0"/>
    <w:rsid w:val="002962BC"/>
    <w:rsid w:val="002A093D"/>
    <w:rsid w:val="002A0DD0"/>
    <w:rsid w:val="002A4677"/>
    <w:rsid w:val="002A49AC"/>
    <w:rsid w:val="002A64FD"/>
    <w:rsid w:val="002C4A72"/>
    <w:rsid w:val="002C7A84"/>
    <w:rsid w:val="002E22F1"/>
    <w:rsid w:val="002E315F"/>
    <w:rsid w:val="002E4FD9"/>
    <w:rsid w:val="00306C5A"/>
    <w:rsid w:val="003103F2"/>
    <w:rsid w:val="00322A85"/>
    <w:rsid w:val="00324168"/>
    <w:rsid w:val="003448F4"/>
    <w:rsid w:val="00355F0B"/>
    <w:rsid w:val="00361B84"/>
    <w:rsid w:val="00362EC9"/>
    <w:rsid w:val="0036753A"/>
    <w:rsid w:val="00367C99"/>
    <w:rsid w:val="00374F5E"/>
    <w:rsid w:val="00376CD8"/>
    <w:rsid w:val="00377C80"/>
    <w:rsid w:val="00377E3E"/>
    <w:rsid w:val="003838FF"/>
    <w:rsid w:val="003858BB"/>
    <w:rsid w:val="00391EB2"/>
    <w:rsid w:val="0039733E"/>
    <w:rsid w:val="003A26D1"/>
    <w:rsid w:val="003A2ECF"/>
    <w:rsid w:val="003A779E"/>
    <w:rsid w:val="003B3410"/>
    <w:rsid w:val="003C28D0"/>
    <w:rsid w:val="003C3A88"/>
    <w:rsid w:val="003D0F4D"/>
    <w:rsid w:val="003D5B0D"/>
    <w:rsid w:val="003E0499"/>
    <w:rsid w:val="003E2F95"/>
    <w:rsid w:val="003E41C3"/>
    <w:rsid w:val="003E7285"/>
    <w:rsid w:val="003F2418"/>
    <w:rsid w:val="003F3941"/>
    <w:rsid w:val="003F5236"/>
    <w:rsid w:val="004014C5"/>
    <w:rsid w:val="00404877"/>
    <w:rsid w:val="00406575"/>
    <w:rsid w:val="00412AC0"/>
    <w:rsid w:val="00426B4E"/>
    <w:rsid w:val="0042722E"/>
    <w:rsid w:val="0043208F"/>
    <w:rsid w:val="00437B03"/>
    <w:rsid w:val="00440694"/>
    <w:rsid w:val="00442DEF"/>
    <w:rsid w:val="00442F25"/>
    <w:rsid w:val="0044528D"/>
    <w:rsid w:val="004470E1"/>
    <w:rsid w:val="0045343A"/>
    <w:rsid w:val="00456F45"/>
    <w:rsid w:val="00461E0F"/>
    <w:rsid w:val="004634BD"/>
    <w:rsid w:val="0047280E"/>
    <w:rsid w:val="004735E5"/>
    <w:rsid w:val="00481285"/>
    <w:rsid w:val="00491ED8"/>
    <w:rsid w:val="004A1847"/>
    <w:rsid w:val="004A305D"/>
    <w:rsid w:val="004B0DAA"/>
    <w:rsid w:val="004E0A42"/>
    <w:rsid w:val="004F21C4"/>
    <w:rsid w:val="004F2FC4"/>
    <w:rsid w:val="004F685F"/>
    <w:rsid w:val="00502793"/>
    <w:rsid w:val="0051501A"/>
    <w:rsid w:val="00521153"/>
    <w:rsid w:val="00540088"/>
    <w:rsid w:val="0055375E"/>
    <w:rsid w:val="005566E8"/>
    <w:rsid w:val="00566D40"/>
    <w:rsid w:val="005729C2"/>
    <w:rsid w:val="00574867"/>
    <w:rsid w:val="00574CB1"/>
    <w:rsid w:val="0058374D"/>
    <w:rsid w:val="00583765"/>
    <w:rsid w:val="00591460"/>
    <w:rsid w:val="00592628"/>
    <w:rsid w:val="005C1B4D"/>
    <w:rsid w:val="005C3777"/>
    <w:rsid w:val="005C5CDC"/>
    <w:rsid w:val="005C5FD0"/>
    <w:rsid w:val="005C678A"/>
    <w:rsid w:val="005C74BA"/>
    <w:rsid w:val="005D2DA6"/>
    <w:rsid w:val="005D476C"/>
    <w:rsid w:val="005D5319"/>
    <w:rsid w:val="005E1D4D"/>
    <w:rsid w:val="005E62E2"/>
    <w:rsid w:val="005F7B58"/>
    <w:rsid w:val="00600FA2"/>
    <w:rsid w:val="00601B7E"/>
    <w:rsid w:val="00606078"/>
    <w:rsid w:val="00610812"/>
    <w:rsid w:val="006173C6"/>
    <w:rsid w:val="006219F8"/>
    <w:rsid w:val="006221A8"/>
    <w:rsid w:val="00645CB7"/>
    <w:rsid w:val="00650FF7"/>
    <w:rsid w:val="00652CBE"/>
    <w:rsid w:val="0065720B"/>
    <w:rsid w:val="00657B17"/>
    <w:rsid w:val="00665D70"/>
    <w:rsid w:val="006709DE"/>
    <w:rsid w:val="00670EF2"/>
    <w:rsid w:val="00671DAC"/>
    <w:rsid w:val="00677639"/>
    <w:rsid w:val="006900D9"/>
    <w:rsid w:val="00691D55"/>
    <w:rsid w:val="006A319E"/>
    <w:rsid w:val="006A5AE8"/>
    <w:rsid w:val="006A6837"/>
    <w:rsid w:val="006A7FFC"/>
    <w:rsid w:val="006B0766"/>
    <w:rsid w:val="006B0E65"/>
    <w:rsid w:val="006B72C8"/>
    <w:rsid w:val="006B763B"/>
    <w:rsid w:val="006C5F67"/>
    <w:rsid w:val="006D0268"/>
    <w:rsid w:val="006D12F8"/>
    <w:rsid w:val="006D3648"/>
    <w:rsid w:val="006E790E"/>
    <w:rsid w:val="006F3640"/>
    <w:rsid w:val="00706C16"/>
    <w:rsid w:val="00712B92"/>
    <w:rsid w:val="00744E12"/>
    <w:rsid w:val="00756841"/>
    <w:rsid w:val="00757DEA"/>
    <w:rsid w:val="007649AB"/>
    <w:rsid w:val="00770D74"/>
    <w:rsid w:val="00771D0C"/>
    <w:rsid w:val="00771EEC"/>
    <w:rsid w:val="00775EFA"/>
    <w:rsid w:val="00782F0A"/>
    <w:rsid w:val="007833AC"/>
    <w:rsid w:val="00783B11"/>
    <w:rsid w:val="00793192"/>
    <w:rsid w:val="007937A8"/>
    <w:rsid w:val="00794660"/>
    <w:rsid w:val="007964E2"/>
    <w:rsid w:val="007A4461"/>
    <w:rsid w:val="007B268C"/>
    <w:rsid w:val="007B7171"/>
    <w:rsid w:val="007B7897"/>
    <w:rsid w:val="007C0C0F"/>
    <w:rsid w:val="007C3DC2"/>
    <w:rsid w:val="007D0253"/>
    <w:rsid w:val="007D5768"/>
    <w:rsid w:val="007D6F55"/>
    <w:rsid w:val="007E2389"/>
    <w:rsid w:val="007E5497"/>
    <w:rsid w:val="007F56E0"/>
    <w:rsid w:val="0080518E"/>
    <w:rsid w:val="00806F5F"/>
    <w:rsid w:val="00811ADC"/>
    <w:rsid w:val="00816AFA"/>
    <w:rsid w:val="00820278"/>
    <w:rsid w:val="008245EB"/>
    <w:rsid w:val="00842E01"/>
    <w:rsid w:val="00845A8D"/>
    <w:rsid w:val="00847CCC"/>
    <w:rsid w:val="00851635"/>
    <w:rsid w:val="008677DE"/>
    <w:rsid w:val="008734E3"/>
    <w:rsid w:val="008843B6"/>
    <w:rsid w:val="00891928"/>
    <w:rsid w:val="008A446D"/>
    <w:rsid w:val="008C0A2F"/>
    <w:rsid w:val="008D180B"/>
    <w:rsid w:val="008E1C8C"/>
    <w:rsid w:val="008E712D"/>
    <w:rsid w:val="008F0EA7"/>
    <w:rsid w:val="008F4339"/>
    <w:rsid w:val="008F7D92"/>
    <w:rsid w:val="00901B56"/>
    <w:rsid w:val="00903114"/>
    <w:rsid w:val="009143F1"/>
    <w:rsid w:val="00922211"/>
    <w:rsid w:val="00922EAB"/>
    <w:rsid w:val="00923EEF"/>
    <w:rsid w:val="00927F89"/>
    <w:rsid w:val="009419F9"/>
    <w:rsid w:val="00943A3B"/>
    <w:rsid w:val="00955D18"/>
    <w:rsid w:val="0095685E"/>
    <w:rsid w:val="00961B09"/>
    <w:rsid w:val="00965334"/>
    <w:rsid w:val="0097093E"/>
    <w:rsid w:val="009A0DFA"/>
    <w:rsid w:val="009B2421"/>
    <w:rsid w:val="009B28FC"/>
    <w:rsid w:val="009B2D26"/>
    <w:rsid w:val="009B3357"/>
    <w:rsid w:val="009C547E"/>
    <w:rsid w:val="009C71FA"/>
    <w:rsid w:val="009C72E7"/>
    <w:rsid w:val="009D04B0"/>
    <w:rsid w:val="009D05E0"/>
    <w:rsid w:val="009D3058"/>
    <w:rsid w:val="009D4E8D"/>
    <w:rsid w:val="009F3A13"/>
    <w:rsid w:val="00A0346D"/>
    <w:rsid w:val="00A05953"/>
    <w:rsid w:val="00A122D3"/>
    <w:rsid w:val="00A17F13"/>
    <w:rsid w:val="00A20739"/>
    <w:rsid w:val="00A27867"/>
    <w:rsid w:val="00A33C78"/>
    <w:rsid w:val="00A3710E"/>
    <w:rsid w:val="00A42AAE"/>
    <w:rsid w:val="00A519A0"/>
    <w:rsid w:val="00A644E0"/>
    <w:rsid w:val="00A65B78"/>
    <w:rsid w:val="00A80320"/>
    <w:rsid w:val="00A80691"/>
    <w:rsid w:val="00A8229A"/>
    <w:rsid w:val="00A9310E"/>
    <w:rsid w:val="00A94103"/>
    <w:rsid w:val="00A950AD"/>
    <w:rsid w:val="00AA2B1E"/>
    <w:rsid w:val="00AA6478"/>
    <w:rsid w:val="00AA7047"/>
    <w:rsid w:val="00AB0ADB"/>
    <w:rsid w:val="00AB2AC1"/>
    <w:rsid w:val="00AB5A54"/>
    <w:rsid w:val="00AC0B6D"/>
    <w:rsid w:val="00AC1F25"/>
    <w:rsid w:val="00AD1BDE"/>
    <w:rsid w:val="00AE7B20"/>
    <w:rsid w:val="00AE7D3D"/>
    <w:rsid w:val="00AF4209"/>
    <w:rsid w:val="00AF79BC"/>
    <w:rsid w:val="00B01B1A"/>
    <w:rsid w:val="00B05B83"/>
    <w:rsid w:val="00B07859"/>
    <w:rsid w:val="00B33517"/>
    <w:rsid w:val="00B405A3"/>
    <w:rsid w:val="00B41F49"/>
    <w:rsid w:val="00B43F95"/>
    <w:rsid w:val="00B44494"/>
    <w:rsid w:val="00B539CD"/>
    <w:rsid w:val="00B62FCA"/>
    <w:rsid w:val="00B72CD3"/>
    <w:rsid w:val="00B72FFF"/>
    <w:rsid w:val="00B75709"/>
    <w:rsid w:val="00B75E24"/>
    <w:rsid w:val="00B87599"/>
    <w:rsid w:val="00B96BEA"/>
    <w:rsid w:val="00BA0D07"/>
    <w:rsid w:val="00BB6888"/>
    <w:rsid w:val="00BC3D36"/>
    <w:rsid w:val="00BC4CD4"/>
    <w:rsid w:val="00BD77C4"/>
    <w:rsid w:val="00BD7F72"/>
    <w:rsid w:val="00BE6BAA"/>
    <w:rsid w:val="00C036EB"/>
    <w:rsid w:val="00C04307"/>
    <w:rsid w:val="00C04FB3"/>
    <w:rsid w:val="00C21782"/>
    <w:rsid w:val="00C259CE"/>
    <w:rsid w:val="00C330EB"/>
    <w:rsid w:val="00C42100"/>
    <w:rsid w:val="00C45B33"/>
    <w:rsid w:val="00C63E0F"/>
    <w:rsid w:val="00C66228"/>
    <w:rsid w:val="00C754BE"/>
    <w:rsid w:val="00C76B1C"/>
    <w:rsid w:val="00C83C0F"/>
    <w:rsid w:val="00C8442F"/>
    <w:rsid w:val="00C903DE"/>
    <w:rsid w:val="00C90ADE"/>
    <w:rsid w:val="00CA31BC"/>
    <w:rsid w:val="00CB6357"/>
    <w:rsid w:val="00CC02E3"/>
    <w:rsid w:val="00CC1B26"/>
    <w:rsid w:val="00CD5214"/>
    <w:rsid w:val="00CD6935"/>
    <w:rsid w:val="00D16132"/>
    <w:rsid w:val="00D423A2"/>
    <w:rsid w:val="00D520D8"/>
    <w:rsid w:val="00D63AC2"/>
    <w:rsid w:val="00D71ACD"/>
    <w:rsid w:val="00D7383B"/>
    <w:rsid w:val="00D76D09"/>
    <w:rsid w:val="00DA022D"/>
    <w:rsid w:val="00DA231B"/>
    <w:rsid w:val="00DA23A0"/>
    <w:rsid w:val="00DA2CA2"/>
    <w:rsid w:val="00DB29E1"/>
    <w:rsid w:val="00DB7D44"/>
    <w:rsid w:val="00DC2958"/>
    <w:rsid w:val="00DC39FC"/>
    <w:rsid w:val="00DE2464"/>
    <w:rsid w:val="00DE3616"/>
    <w:rsid w:val="00DE3A63"/>
    <w:rsid w:val="00DF0103"/>
    <w:rsid w:val="00DF1B0E"/>
    <w:rsid w:val="00DF5254"/>
    <w:rsid w:val="00DF691D"/>
    <w:rsid w:val="00DF7F54"/>
    <w:rsid w:val="00E005E5"/>
    <w:rsid w:val="00E13277"/>
    <w:rsid w:val="00E16408"/>
    <w:rsid w:val="00E20894"/>
    <w:rsid w:val="00E245AB"/>
    <w:rsid w:val="00E2764C"/>
    <w:rsid w:val="00E27F2E"/>
    <w:rsid w:val="00E362C7"/>
    <w:rsid w:val="00E413EA"/>
    <w:rsid w:val="00E41CC9"/>
    <w:rsid w:val="00E447AD"/>
    <w:rsid w:val="00E5035C"/>
    <w:rsid w:val="00E50AFE"/>
    <w:rsid w:val="00E52602"/>
    <w:rsid w:val="00E56422"/>
    <w:rsid w:val="00E6781E"/>
    <w:rsid w:val="00E7019A"/>
    <w:rsid w:val="00E75C92"/>
    <w:rsid w:val="00E771DC"/>
    <w:rsid w:val="00E845F4"/>
    <w:rsid w:val="00E8671A"/>
    <w:rsid w:val="00E8772A"/>
    <w:rsid w:val="00E90F6B"/>
    <w:rsid w:val="00E92C27"/>
    <w:rsid w:val="00E97A30"/>
    <w:rsid w:val="00EA0E3D"/>
    <w:rsid w:val="00EA7B0A"/>
    <w:rsid w:val="00EB08FB"/>
    <w:rsid w:val="00EB3CD8"/>
    <w:rsid w:val="00EB7D13"/>
    <w:rsid w:val="00EC38A7"/>
    <w:rsid w:val="00EC4550"/>
    <w:rsid w:val="00ED291B"/>
    <w:rsid w:val="00ED58AB"/>
    <w:rsid w:val="00EE1AA8"/>
    <w:rsid w:val="00EF40D2"/>
    <w:rsid w:val="00EF4E84"/>
    <w:rsid w:val="00F141D2"/>
    <w:rsid w:val="00F31EDC"/>
    <w:rsid w:val="00F45BF2"/>
    <w:rsid w:val="00F462B3"/>
    <w:rsid w:val="00F51BC1"/>
    <w:rsid w:val="00F5664F"/>
    <w:rsid w:val="00F6131B"/>
    <w:rsid w:val="00F666C4"/>
    <w:rsid w:val="00F73C01"/>
    <w:rsid w:val="00F76AFC"/>
    <w:rsid w:val="00F81493"/>
    <w:rsid w:val="00F85A24"/>
    <w:rsid w:val="00F930CF"/>
    <w:rsid w:val="00FA0CF8"/>
    <w:rsid w:val="00FA3404"/>
    <w:rsid w:val="00FA47C0"/>
    <w:rsid w:val="00FA738A"/>
    <w:rsid w:val="00FB5C6A"/>
    <w:rsid w:val="00FB5CB7"/>
    <w:rsid w:val="00FB5DD1"/>
    <w:rsid w:val="00FB67C7"/>
    <w:rsid w:val="00FB76D0"/>
    <w:rsid w:val="00FB7EA8"/>
    <w:rsid w:val="00FC2B5D"/>
    <w:rsid w:val="00FC569F"/>
    <w:rsid w:val="00FE66BE"/>
    <w:rsid w:val="00FF1449"/>
    <w:rsid w:val="00FF5F98"/>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B75709"/>
    <w:rPr>
      <w:color w:val="F2F2F2"/>
      <w:u w:val="single"/>
    </w:rPr>
  </w:style>
  <w:style w:type="character" w:styleId="Textoennegrita">
    <w:name w:val="Strong"/>
    <w:basedOn w:val="Fuentedeprrafopredeter"/>
    <w:uiPriority w:val="22"/>
    <w:qFormat/>
    <w:rsid w:val="00AC0B6D"/>
    <w:rPr>
      <w:b/>
      <w:bCs/>
    </w:rPr>
  </w:style>
  <w:style w:type="character" w:styleId="nfasis">
    <w:name w:val="Emphasis"/>
    <w:basedOn w:val="Fuentedeprrafopredeter"/>
    <w:uiPriority w:val="20"/>
    <w:qFormat/>
    <w:rsid w:val="00AC0B6D"/>
    <w:rPr>
      <w:i/>
      <w:iCs/>
    </w:rPr>
  </w:style>
  <w:style w:type="paragraph" w:styleId="Textoindependiente">
    <w:name w:val="Body Text"/>
    <w:basedOn w:val="Normal"/>
    <w:link w:val="TextoindependienteCar"/>
    <w:uiPriority w:val="1"/>
    <w:qFormat/>
    <w:rsid w:val="00AC0B6D"/>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AC0B6D"/>
    <w:rPr>
      <w:rFonts w:ascii="Arial" w:eastAsia="Arial" w:hAnsi="Arial" w:cs="Arial"/>
      <w:lang w:val="es-ES"/>
    </w:rPr>
  </w:style>
  <w:style w:type="character" w:customStyle="1" w:styleId="NormalWebCar">
    <w:name w:val="Normal (Web) Car"/>
    <w:link w:val="NormalWeb"/>
    <w:uiPriority w:val="99"/>
    <w:locked/>
    <w:rsid w:val="00AC0B6D"/>
    <w:rPr>
      <w:rFonts w:ascii="Times New Roman" w:eastAsia="Times New Roman" w:hAnsi="Times New Roman" w:cs="Times New Roman"/>
      <w:sz w:val="24"/>
      <w:szCs w:val="24"/>
      <w:lang w:eastAsia="es-CO"/>
    </w:rPr>
  </w:style>
  <w:style w:type="character" w:customStyle="1" w:styleId="apple-converted-space">
    <w:name w:val="apple-converted-space"/>
    <w:basedOn w:val="Fuentedeprrafopredeter"/>
    <w:rsid w:val="00AC0B6D"/>
  </w:style>
  <w:style w:type="character" w:customStyle="1" w:styleId="SinespaciadoCar">
    <w:name w:val="Sin espaciado Car"/>
    <w:aliases w:val="No Indent Car"/>
    <w:link w:val="Sinespaciado"/>
    <w:uiPriority w:val="3"/>
    <w:locked/>
    <w:rsid w:val="00442DEF"/>
  </w:style>
  <w:style w:type="paragraph" w:styleId="Sinespaciado">
    <w:name w:val="No Spacing"/>
    <w:aliases w:val="No Indent"/>
    <w:link w:val="SinespaciadoCar"/>
    <w:uiPriority w:val="3"/>
    <w:qFormat/>
    <w:rsid w:val="00442DEF"/>
    <w:pPr>
      <w:spacing w:after="0" w:line="240" w:lineRule="auto"/>
    </w:pPr>
  </w:style>
  <w:style w:type="character" w:customStyle="1" w:styleId="superscript">
    <w:name w:val="superscript"/>
    <w:basedOn w:val="Fuentedeprrafopredeter"/>
    <w:rsid w:val="00DB7D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62213">
      <w:bodyDiv w:val="1"/>
      <w:marLeft w:val="0"/>
      <w:marRight w:val="0"/>
      <w:marTop w:val="0"/>
      <w:marBottom w:val="0"/>
      <w:divBdr>
        <w:top w:val="none" w:sz="0" w:space="0" w:color="auto"/>
        <w:left w:val="none" w:sz="0" w:space="0" w:color="auto"/>
        <w:bottom w:val="none" w:sz="0" w:space="0" w:color="auto"/>
        <w:right w:val="none" w:sz="0" w:space="0" w:color="auto"/>
      </w:divBdr>
    </w:div>
    <w:div w:id="121309445">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23030413">
      <w:bodyDiv w:val="1"/>
      <w:marLeft w:val="0"/>
      <w:marRight w:val="0"/>
      <w:marTop w:val="0"/>
      <w:marBottom w:val="0"/>
      <w:divBdr>
        <w:top w:val="none" w:sz="0" w:space="0" w:color="auto"/>
        <w:left w:val="none" w:sz="0" w:space="0" w:color="auto"/>
        <w:bottom w:val="none" w:sz="0" w:space="0" w:color="auto"/>
        <w:right w:val="none" w:sz="0" w:space="0" w:color="auto"/>
      </w:divBdr>
    </w:div>
    <w:div w:id="383331852">
      <w:bodyDiv w:val="1"/>
      <w:marLeft w:val="0"/>
      <w:marRight w:val="0"/>
      <w:marTop w:val="0"/>
      <w:marBottom w:val="0"/>
      <w:divBdr>
        <w:top w:val="none" w:sz="0" w:space="0" w:color="auto"/>
        <w:left w:val="none" w:sz="0" w:space="0" w:color="auto"/>
        <w:bottom w:val="none" w:sz="0" w:space="0" w:color="auto"/>
        <w:right w:val="none" w:sz="0" w:space="0" w:color="auto"/>
      </w:divBdr>
    </w:div>
    <w:div w:id="481117338">
      <w:bodyDiv w:val="1"/>
      <w:marLeft w:val="0"/>
      <w:marRight w:val="0"/>
      <w:marTop w:val="0"/>
      <w:marBottom w:val="0"/>
      <w:divBdr>
        <w:top w:val="none" w:sz="0" w:space="0" w:color="auto"/>
        <w:left w:val="none" w:sz="0" w:space="0" w:color="auto"/>
        <w:bottom w:val="none" w:sz="0" w:space="0" w:color="auto"/>
        <w:right w:val="none" w:sz="0" w:space="0" w:color="auto"/>
      </w:divBdr>
    </w:div>
    <w:div w:id="50155244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2931417">
      <w:bodyDiv w:val="1"/>
      <w:marLeft w:val="0"/>
      <w:marRight w:val="0"/>
      <w:marTop w:val="0"/>
      <w:marBottom w:val="0"/>
      <w:divBdr>
        <w:top w:val="none" w:sz="0" w:space="0" w:color="auto"/>
        <w:left w:val="none" w:sz="0" w:space="0" w:color="auto"/>
        <w:bottom w:val="none" w:sz="0" w:space="0" w:color="auto"/>
        <w:right w:val="none" w:sz="0" w:space="0" w:color="auto"/>
      </w:divBdr>
    </w:div>
    <w:div w:id="646666462">
      <w:bodyDiv w:val="1"/>
      <w:marLeft w:val="0"/>
      <w:marRight w:val="0"/>
      <w:marTop w:val="0"/>
      <w:marBottom w:val="0"/>
      <w:divBdr>
        <w:top w:val="none" w:sz="0" w:space="0" w:color="auto"/>
        <w:left w:val="none" w:sz="0" w:space="0" w:color="auto"/>
        <w:bottom w:val="none" w:sz="0" w:space="0" w:color="auto"/>
        <w:right w:val="none" w:sz="0" w:space="0" w:color="auto"/>
      </w:divBdr>
    </w:div>
    <w:div w:id="697854014">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56560363">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5194579">
      <w:bodyDiv w:val="1"/>
      <w:marLeft w:val="0"/>
      <w:marRight w:val="0"/>
      <w:marTop w:val="0"/>
      <w:marBottom w:val="0"/>
      <w:divBdr>
        <w:top w:val="none" w:sz="0" w:space="0" w:color="auto"/>
        <w:left w:val="none" w:sz="0" w:space="0" w:color="auto"/>
        <w:bottom w:val="none" w:sz="0" w:space="0" w:color="auto"/>
        <w:right w:val="none" w:sz="0" w:space="0" w:color="auto"/>
      </w:divBdr>
    </w:div>
    <w:div w:id="90387656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1797011">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37879149">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75544553">
      <w:bodyDiv w:val="1"/>
      <w:marLeft w:val="0"/>
      <w:marRight w:val="0"/>
      <w:marTop w:val="0"/>
      <w:marBottom w:val="0"/>
      <w:divBdr>
        <w:top w:val="none" w:sz="0" w:space="0" w:color="auto"/>
        <w:left w:val="none" w:sz="0" w:space="0" w:color="auto"/>
        <w:bottom w:val="none" w:sz="0" w:space="0" w:color="auto"/>
        <w:right w:val="none" w:sz="0" w:space="0" w:color="auto"/>
      </w:divBdr>
    </w:div>
    <w:div w:id="1440954064">
      <w:bodyDiv w:val="1"/>
      <w:marLeft w:val="0"/>
      <w:marRight w:val="0"/>
      <w:marTop w:val="0"/>
      <w:marBottom w:val="0"/>
      <w:divBdr>
        <w:top w:val="none" w:sz="0" w:space="0" w:color="auto"/>
        <w:left w:val="none" w:sz="0" w:space="0" w:color="auto"/>
        <w:bottom w:val="none" w:sz="0" w:space="0" w:color="auto"/>
        <w:right w:val="none" w:sz="0" w:space="0" w:color="auto"/>
      </w:divBdr>
    </w:div>
    <w:div w:id="1595942692">
      <w:bodyDiv w:val="1"/>
      <w:marLeft w:val="0"/>
      <w:marRight w:val="0"/>
      <w:marTop w:val="0"/>
      <w:marBottom w:val="0"/>
      <w:divBdr>
        <w:top w:val="none" w:sz="0" w:space="0" w:color="auto"/>
        <w:left w:val="none" w:sz="0" w:space="0" w:color="auto"/>
        <w:bottom w:val="none" w:sz="0" w:space="0" w:color="auto"/>
        <w:right w:val="none" w:sz="0" w:space="0" w:color="auto"/>
      </w:divBdr>
    </w:div>
    <w:div w:id="1627274354">
      <w:bodyDiv w:val="1"/>
      <w:marLeft w:val="0"/>
      <w:marRight w:val="0"/>
      <w:marTop w:val="0"/>
      <w:marBottom w:val="0"/>
      <w:divBdr>
        <w:top w:val="none" w:sz="0" w:space="0" w:color="auto"/>
        <w:left w:val="none" w:sz="0" w:space="0" w:color="auto"/>
        <w:bottom w:val="none" w:sz="0" w:space="0" w:color="auto"/>
        <w:right w:val="none" w:sz="0" w:space="0" w:color="auto"/>
      </w:divBdr>
    </w:div>
    <w:div w:id="1632784556">
      <w:bodyDiv w:val="1"/>
      <w:marLeft w:val="0"/>
      <w:marRight w:val="0"/>
      <w:marTop w:val="0"/>
      <w:marBottom w:val="0"/>
      <w:divBdr>
        <w:top w:val="none" w:sz="0" w:space="0" w:color="auto"/>
        <w:left w:val="none" w:sz="0" w:space="0" w:color="auto"/>
        <w:bottom w:val="none" w:sz="0" w:space="0" w:color="auto"/>
        <w:right w:val="none" w:sz="0" w:space="0" w:color="auto"/>
      </w:divBdr>
    </w:div>
    <w:div w:id="1677153464">
      <w:bodyDiv w:val="1"/>
      <w:marLeft w:val="0"/>
      <w:marRight w:val="0"/>
      <w:marTop w:val="0"/>
      <w:marBottom w:val="0"/>
      <w:divBdr>
        <w:top w:val="none" w:sz="0" w:space="0" w:color="auto"/>
        <w:left w:val="none" w:sz="0" w:space="0" w:color="auto"/>
        <w:bottom w:val="none" w:sz="0" w:space="0" w:color="auto"/>
        <w:right w:val="none" w:sz="0" w:space="0" w:color="auto"/>
      </w:divBdr>
    </w:div>
    <w:div w:id="1713117389">
      <w:bodyDiv w:val="1"/>
      <w:marLeft w:val="0"/>
      <w:marRight w:val="0"/>
      <w:marTop w:val="0"/>
      <w:marBottom w:val="0"/>
      <w:divBdr>
        <w:top w:val="none" w:sz="0" w:space="0" w:color="auto"/>
        <w:left w:val="none" w:sz="0" w:space="0" w:color="auto"/>
        <w:bottom w:val="none" w:sz="0" w:space="0" w:color="auto"/>
        <w:right w:val="none" w:sz="0" w:space="0" w:color="auto"/>
      </w:divBdr>
    </w:div>
    <w:div w:id="1714959694">
      <w:bodyDiv w:val="1"/>
      <w:marLeft w:val="0"/>
      <w:marRight w:val="0"/>
      <w:marTop w:val="0"/>
      <w:marBottom w:val="0"/>
      <w:divBdr>
        <w:top w:val="none" w:sz="0" w:space="0" w:color="auto"/>
        <w:left w:val="none" w:sz="0" w:space="0" w:color="auto"/>
        <w:bottom w:val="none" w:sz="0" w:space="0" w:color="auto"/>
        <w:right w:val="none" w:sz="0" w:space="0" w:color="auto"/>
      </w:divBdr>
    </w:div>
    <w:div w:id="1735004158">
      <w:bodyDiv w:val="1"/>
      <w:marLeft w:val="0"/>
      <w:marRight w:val="0"/>
      <w:marTop w:val="0"/>
      <w:marBottom w:val="0"/>
      <w:divBdr>
        <w:top w:val="none" w:sz="0" w:space="0" w:color="auto"/>
        <w:left w:val="none" w:sz="0" w:space="0" w:color="auto"/>
        <w:bottom w:val="none" w:sz="0" w:space="0" w:color="auto"/>
        <w:right w:val="none" w:sz="0" w:space="0" w:color="auto"/>
      </w:divBdr>
    </w:div>
    <w:div w:id="1842310157">
      <w:bodyDiv w:val="1"/>
      <w:marLeft w:val="0"/>
      <w:marRight w:val="0"/>
      <w:marTop w:val="0"/>
      <w:marBottom w:val="0"/>
      <w:divBdr>
        <w:top w:val="none" w:sz="0" w:space="0" w:color="auto"/>
        <w:left w:val="none" w:sz="0" w:space="0" w:color="auto"/>
        <w:bottom w:val="none" w:sz="0" w:space="0" w:color="auto"/>
        <w:right w:val="none" w:sz="0" w:space="0" w:color="auto"/>
      </w:divBdr>
    </w:div>
    <w:div w:id="1927877942">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44986166">
      <w:bodyDiv w:val="1"/>
      <w:marLeft w:val="0"/>
      <w:marRight w:val="0"/>
      <w:marTop w:val="0"/>
      <w:marBottom w:val="0"/>
      <w:divBdr>
        <w:top w:val="none" w:sz="0" w:space="0" w:color="auto"/>
        <w:left w:val="none" w:sz="0" w:space="0" w:color="auto"/>
        <w:bottom w:val="none" w:sz="0" w:space="0" w:color="auto"/>
        <w:right w:val="none" w:sz="0" w:space="0" w:color="auto"/>
      </w:divBdr>
    </w:div>
    <w:div w:id="2048796178">
      <w:bodyDiv w:val="1"/>
      <w:marLeft w:val="0"/>
      <w:marRight w:val="0"/>
      <w:marTop w:val="0"/>
      <w:marBottom w:val="0"/>
      <w:divBdr>
        <w:top w:val="none" w:sz="0" w:space="0" w:color="auto"/>
        <w:left w:val="none" w:sz="0" w:space="0" w:color="auto"/>
        <w:bottom w:val="none" w:sz="0" w:space="0" w:color="auto"/>
        <w:right w:val="none" w:sz="0" w:space="0" w:color="auto"/>
      </w:divBdr>
      <w:divsChild>
        <w:div w:id="1058746364">
          <w:marLeft w:val="0"/>
          <w:marRight w:val="0"/>
          <w:marTop w:val="0"/>
          <w:marBottom w:val="0"/>
          <w:divBdr>
            <w:top w:val="none" w:sz="0" w:space="0" w:color="auto"/>
            <w:left w:val="none" w:sz="0" w:space="0" w:color="auto"/>
            <w:bottom w:val="none" w:sz="0" w:space="0" w:color="auto"/>
            <w:right w:val="none" w:sz="0" w:space="0" w:color="auto"/>
          </w:divBdr>
        </w:div>
      </w:divsChild>
    </w:div>
    <w:div w:id="2076732851">
      <w:bodyDiv w:val="1"/>
      <w:marLeft w:val="0"/>
      <w:marRight w:val="0"/>
      <w:marTop w:val="0"/>
      <w:marBottom w:val="0"/>
      <w:divBdr>
        <w:top w:val="none" w:sz="0" w:space="0" w:color="auto"/>
        <w:left w:val="none" w:sz="0" w:space="0" w:color="auto"/>
        <w:bottom w:val="none" w:sz="0" w:space="0" w:color="auto"/>
        <w:right w:val="none" w:sz="0" w:space="0" w:color="auto"/>
      </w:divBdr>
    </w:div>
    <w:div w:id="2099789792">
      <w:bodyDiv w:val="1"/>
      <w:marLeft w:val="0"/>
      <w:marRight w:val="0"/>
      <w:marTop w:val="0"/>
      <w:marBottom w:val="0"/>
      <w:divBdr>
        <w:top w:val="none" w:sz="0" w:space="0" w:color="auto"/>
        <w:left w:val="none" w:sz="0" w:space="0" w:color="auto"/>
        <w:bottom w:val="none" w:sz="0" w:space="0" w:color="auto"/>
        <w:right w:val="none" w:sz="0" w:space="0" w:color="auto"/>
      </w:divBdr>
    </w:div>
    <w:div w:id="2112579574">
      <w:bodyDiv w:val="1"/>
      <w:marLeft w:val="0"/>
      <w:marRight w:val="0"/>
      <w:marTop w:val="0"/>
      <w:marBottom w:val="0"/>
      <w:divBdr>
        <w:top w:val="none" w:sz="0" w:space="0" w:color="auto"/>
        <w:left w:val="none" w:sz="0" w:space="0" w:color="auto"/>
        <w:bottom w:val="none" w:sz="0" w:space="0" w:color="auto"/>
        <w:right w:val="none" w:sz="0" w:space="0" w:color="auto"/>
      </w:divBdr>
    </w:div>
    <w:div w:id="2115784104">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9C6A1A9-FD54-4849-8C27-802DE6DAC732}">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4.xml><?xml version="1.0" encoding="utf-8"?>
<ds:datastoreItem xmlns:ds="http://schemas.openxmlformats.org/officeDocument/2006/customXml" ds:itemID="{243DA02C-8A5E-42B9-B2E8-76BB0CECC54A}"/>
</file>

<file path=docProps/app.xml><?xml version="1.0" encoding="utf-8"?>
<Properties xmlns="http://schemas.openxmlformats.org/officeDocument/2006/extended-properties" xmlns:vt="http://schemas.openxmlformats.org/officeDocument/2006/docPropsVTypes">
  <Template>Normal</Template>
  <TotalTime>3345</TotalTime>
  <Pages>18</Pages>
  <Words>4914</Words>
  <Characters>27027</Characters>
  <Application>Microsoft Office Word</Application>
  <DocSecurity>0</DocSecurity>
  <Lines>225</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76</cp:revision>
  <cp:lastPrinted>2023-01-10T21:18:00Z</cp:lastPrinted>
  <dcterms:created xsi:type="dcterms:W3CDTF">2024-12-12T15:03:00Z</dcterms:created>
  <dcterms:modified xsi:type="dcterms:W3CDTF">2025-04-02T17:53:00Z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