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8922E53" w14:textId="1BA832F9" w:rsidR="00F0677C" w:rsidRPr="00F0677C" w:rsidRDefault="00F0677C" w:rsidP="004B79A3">
      <w:pPr>
        <w:spacing w:after="0" w:line="240" w:lineRule="auto"/>
        <w:rPr>
          <w:rFonts w:ascii="Verdana" w:eastAsia="Calibri" w:hAnsi="Verdana" w:cs="Arial"/>
          <w:b/>
          <w:sz w:val="20"/>
          <w:szCs w:val="20"/>
        </w:rPr>
      </w:pPr>
      <w:r w:rsidRPr="00F0677C">
        <w:rPr>
          <w:rFonts w:ascii="Verdana" w:eastAsia="Calibri" w:hAnsi="Verdana" w:cs="Arial"/>
          <w:b/>
          <w:sz w:val="20"/>
          <w:szCs w:val="20"/>
        </w:rPr>
        <w:t>AGENCIA NACIONAL DE CONTRATACIÓN PÚBLICA</w:t>
      </w:r>
      <w:r w:rsidRPr="00F0677C">
        <w:rPr>
          <w:rFonts w:ascii="Verdana" w:eastAsia="Calibri" w:hAnsi="Verdana" w:cs="Arial"/>
          <w:bCs/>
          <w:sz w:val="20"/>
          <w:szCs w:val="20"/>
        </w:rPr>
        <w:t xml:space="preserve"> </w:t>
      </w:r>
      <w:r w:rsidRPr="00F0677C">
        <w:rPr>
          <w:rFonts w:ascii="Verdana" w:eastAsia="Calibri" w:hAnsi="Verdana" w:cs="Arial"/>
          <w:bCs/>
          <w:sz w:val="20"/>
          <w:szCs w:val="20"/>
        </w:rPr>
        <w:t xml:space="preserve">– </w:t>
      </w:r>
      <w:r w:rsidRPr="00F0677C">
        <w:rPr>
          <w:rFonts w:ascii="Verdana" w:eastAsia="Calibri" w:hAnsi="Verdana" w:cs="Arial"/>
          <w:b/>
          <w:sz w:val="20"/>
          <w:szCs w:val="20"/>
        </w:rPr>
        <w:t>Conceptos – Alcance –</w:t>
      </w:r>
      <w:r w:rsidRPr="00F0677C">
        <w:rPr>
          <w:rFonts w:ascii="Verdana" w:eastAsia="Calibri" w:hAnsi="Verdana" w:cs="Arial"/>
          <w:b/>
          <w:sz w:val="20"/>
          <w:szCs w:val="20"/>
        </w:rPr>
        <w:t xml:space="preserve"> </w:t>
      </w:r>
      <w:r w:rsidRPr="00F0677C">
        <w:rPr>
          <w:rFonts w:ascii="Verdana" w:eastAsia="Calibri" w:hAnsi="Verdana" w:cs="Arial"/>
          <w:b/>
          <w:sz w:val="20"/>
          <w:szCs w:val="20"/>
        </w:rPr>
        <w:t>Competencia Consultiva</w:t>
      </w:r>
    </w:p>
    <w:p w14:paraId="1DAFB88E" w14:textId="77777777" w:rsidR="00F0677C" w:rsidRPr="00F0677C" w:rsidRDefault="00F0677C" w:rsidP="004B79A3">
      <w:pPr>
        <w:spacing w:after="0" w:line="240" w:lineRule="auto"/>
        <w:rPr>
          <w:rFonts w:ascii="Verdana" w:eastAsia="Calibri" w:hAnsi="Verdana" w:cs="Arial"/>
          <w:b/>
          <w:sz w:val="20"/>
          <w:szCs w:val="20"/>
        </w:rPr>
      </w:pPr>
    </w:p>
    <w:p w14:paraId="57B48DBA" w14:textId="5CEC0583" w:rsidR="00F0677C" w:rsidRPr="00F0677C" w:rsidRDefault="00F0677C" w:rsidP="00F0677C">
      <w:pPr>
        <w:spacing w:after="0" w:line="240" w:lineRule="auto"/>
        <w:jc w:val="both"/>
        <w:rPr>
          <w:rFonts w:ascii="Verdana" w:eastAsia="Calibri" w:hAnsi="Verdana" w:cs="Arial"/>
          <w:color w:val="000000" w:themeColor="text1"/>
          <w:sz w:val="20"/>
          <w:szCs w:val="20"/>
        </w:rPr>
      </w:pPr>
      <w:r w:rsidRPr="00F0677C">
        <w:rPr>
          <w:rFonts w:ascii="Verdana" w:eastAsia="Calibri" w:hAnsi="Verdana" w:cs="Arial"/>
          <w:sz w:val="20"/>
          <w:szCs w:val="20"/>
          <w:lang w:val="es-ES"/>
        </w:rPr>
        <w:t xml:space="preserve">[…] </w:t>
      </w:r>
      <w:r w:rsidRPr="00F0677C">
        <w:rPr>
          <w:rFonts w:ascii="Verdana" w:eastAsia="Calibri" w:hAnsi="Verdana" w:cs="Arial"/>
          <w:sz w:val="20"/>
          <w:szCs w:val="20"/>
          <w:lang w:val="es-ES"/>
        </w:rPr>
        <w:t>es importante aclarar que, teniendo</w:t>
      </w:r>
      <w:r w:rsidRPr="00F0677C">
        <w:rPr>
          <w:sz w:val="20"/>
          <w:szCs w:val="20"/>
        </w:rPr>
        <w:t xml:space="preserve"> </w:t>
      </w:r>
      <w:r w:rsidRPr="00F0677C">
        <w:rPr>
          <w:rFonts w:ascii="Verdana" w:eastAsia="Calibri" w:hAnsi="Verdana" w:cs="Arial"/>
          <w:sz w:val="20"/>
          <w:szCs w:val="20"/>
          <w:lang w:val="es-ES"/>
        </w:rPr>
        <w:t xml:space="preserve">en cuenta que esta entidad solo tiene competencia para responder solicitudes sobre la aplicación de normas de carácter general en materia de compras y contratación pública, </w:t>
      </w:r>
      <w:r w:rsidRPr="00F0677C">
        <w:rPr>
          <w:rFonts w:ascii="Verdana" w:eastAsia="Calibri" w:hAnsi="Verdana" w:cs="Arial"/>
          <w:i/>
          <w:sz w:val="20"/>
          <w:szCs w:val="20"/>
          <w:lang w:val="es-ES"/>
        </w:rPr>
        <w:t>NO es la idónea para establecer la validez de la situación descrita en su consulta.</w:t>
      </w:r>
      <w:r w:rsidRPr="00F0677C">
        <w:rPr>
          <w:rFonts w:ascii="Verdana" w:eastAsia="Calibri" w:hAnsi="Verdana" w:cs="Arial"/>
          <w:sz w:val="20"/>
          <w:szCs w:val="20"/>
          <w:u w:val="single"/>
          <w:lang w:val="es-ES"/>
        </w:rPr>
        <w:t xml:space="preserve"> </w:t>
      </w:r>
      <w:r w:rsidRPr="00F0677C">
        <w:rPr>
          <w:rFonts w:ascii="Verdana" w:eastAsia="Calibri" w:hAnsi="Verdana" w:cs="Arial"/>
          <w:sz w:val="20"/>
          <w:szCs w:val="20"/>
          <w:lang w:val="es-ES"/>
        </w:rPr>
        <w:t>Lo anterior</w:t>
      </w:r>
      <w:r w:rsidRPr="00F0677C">
        <w:rPr>
          <w:rFonts w:ascii="Verdana" w:eastAsia="Calibri" w:hAnsi="Verdana" w:cs="Arial"/>
          <w:color w:val="000000" w:themeColor="text1"/>
          <w:sz w:val="20"/>
          <w:szCs w:val="20"/>
        </w:rPr>
        <w:t xml:space="preserve"> debido a que la competencia consultiva se fija con límites claros, con el objeto de evitar que se actúe como una instancia de validación de las actuaciones de las entidades sujetas a la Ley 80 de 1993 o de los demás participantes en la contratación pública, lo cual corresponde a la competencia de los entes de control y los jueces de la República.</w:t>
      </w:r>
    </w:p>
    <w:p w14:paraId="2F9DE7FF" w14:textId="77777777" w:rsidR="00F0677C" w:rsidRPr="00F0677C" w:rsidRDefault="00F0677C" w:rsidP="00F0677C">
      <w:pPr>
        <w:spacing w:after="0" w:line="240" w:lineRule="auto"/>
        <w:jc w:val="both"/>
        <w:rPr>
          <w:rFonts w:ascii="Verdana" w:eastAsia="Calibri" w:hAnsi="Verdana" w:cs="Arial"/>
          <w:color w:val="000000" w:themeColor="text1"/>
          <w:sz w:val="20"/>
          <w:szCs w:val="20"/>
        </w:rPr>
      </w:pPr>
    </w:p>
    <w:p w14:paraId="5F9FD3DB" w14:textId="118F52DA" w:rsidR="00F0677C" w:rsidRPr="00F0677C" w:rsidRDefault="00F0677C" w:rsidP="00F0677C">
      <w:pPr>
        <w:spacing w:after="0" w:line="240" w:lineRule="auto"/>
        <w:jc w:val="both"/>
        <w:rPr>
          <w:rFonts w:ascii="Verdana" w:eastAsia="Calibri" w:hAnsi="Verdana" w:cs="Arial"/>
          <w:b/>
          <w:sz w:val="20"/>
          <w:szCs w:val="20"/>
        </w:rPr>
      </w:pPr>
      <w:r w:rsidRPr="00F0677C">
        <w:rPr>
          <w:rFonts w:ascii="Verdana" w:eastAsia="Calibri" w:hAnsi="Verdana" w:cs="Arial"/>
          <w:b/>
          <w:sz w:val="20"/>
          <w:szCs w:val="20"/>
        </w:rPr>
        <w:t>SUBASTA INVERSA – Requisitos habilitantes – Autonomía de la voluntad</w:t>
      </w:r>
    </w:p>
    <w:p w14:paraId="0B4D5455" w14:textId="77777777" w:rsidR="00F0677C" w:rsidRPr="00F0677C" w:rsidRDefault="00F0677C" w:rsidP="00F0677C">
      <w:pPr>
        <w:spacing w:after="0" w:line="240" w:lineRule="auto"/>
        <w:jc w:val="both"/>
        <w:rPr>
          <w:rFonts w:ascii="Verdana" w:eastAsia="Calibri" w:hAnsi="Verdana" w:cs="Arial"/>
          <w:b/>
          <w:sz w:val="20"/>
          <w:szCs w:val="20"/>
        </w:rPr>
      </w:pPr>
    </w:p>
    <w:p w14:paraId="7ACC68B5" w14:textId="77777777" w:rsidR="00F0677C" w:rsidRPr="00F0677C" w:rsidRDefault="00F0677C" w:rsidP="00F0677C">
      <w:pPr>
        <w:spacing w:after="120" w:line="240" w:lineRule="auto"/>
        <w:jc w:val="both"/>
        <w:rPr>
          <w:rFonts w:ascii="Verdana" w:eastAsia="Calibri" w:hAnsi="Verdana" w:cs="Arial"/>
          <w:color w:val="000000" w:themeColor="text1"/>
          <w:sz w:val="20"/>
          <w:szCs w:val="20"/>
        </w:rPr>
      </w:pPr>
      <w:r w:rsidRPr="00F0677C">
        <w:rPr>
          <w:rFonts w:ascii="Verdana" w:eastAsia="Calibri" w:hAnsi="Verdana" w:cs="Arial"/>
          <w:color w:val="000000" w:themeColor="text1"/>
          <w:sz w:val="20"/>
          <w:szCs w:val="20"/>
        </w:rPr>
        <w:t>En relación con el proceso de selección mediante subasta inversa y la solicitud de muestras de los elementos ofertados, a juicio de esta Agencia, dicha solicitud es legal, siempre y cuando se respeten los principios de transparencia y objetividad en la selección de proveedores. Esto implica que la exigencia de muestras debe estar claramente establecida en el pliego de condiciones y debe constituir un requisito habilitante que permita a la entidad verificar la calidad de los productos ofrecidos.</w:t>
      </w:r>
    </w:p>
    <w:p w14:paraId="5FD7F484" w14:textId="339790A2" w:rsidR="00F0677C" w:rsidRPr="00F0677C" w:rsidRDefault="00F0677C" w:rsidP="00F0677C">
      <w:pPr>
        <w:spacing w:after="0" w:line="240" w:lineRule="auto"/>
        <w:jc w:val="both"/>
        <w:rPr>
          <w:rFonts w:ascii="Verdana" w:eastAsia="Geomanist Light" w:hAnsi="Verdana" w:cs="Arial"/>
          <w:b/>
          <w:color w:val="000000" w:themeColor="text1"/>
          <w:sz w:val="20"/>
          <w:szCs w:val="20"/>
          <w:lang w:val="es-MX"/>
        </w:rPr>
      </w:pPr>
      <w:r w:rsidRPr="00F0677C">
        <w:rPr>
          <w:rFonts w:ascii="Verdana" w:eastAsia="Calibri" w:hAnsi="Verdana" w:cs="Arial"/>
          <w:color w:val="000000" w:themeColor="text1"/>
          <w:sz w:val="20"/>
          <w:szCs w:val="20"/>
        </w:rPr>
        <w:t>Lo anterior, es posible en la contratación pública, pues –conforme al artículo 32 de la Ley 80 de 1993– la Administración puede celebrar todos los actos jurídicos previstos en el derecho privado, en disposiciones especiales o derivados del ejercicio de la autonomía de la voluntad; razón por la cual, en la medida en que esta práctica no está expresamente prohibida por el Estatuto General de Contratación, se encuentra permitida. No obstante, esta autonomía para requerirlas no es ilimitada y, sin perjuicio de las restricciones para algunos procesos de selección, se sujeta a principios como la planeación y la selección objetiva</w:t>
      </w:r>
      <w:r w:rsidRPr="00F0677C">
        <w:rPr>
          <w:rFonts w:ascii="Verdana" w:eastAsia="Calibri" w:hAnsi="Verdana" w:cs="Arial"/>
          <w:color w:val="000000" w:themeColor="text1"/>
          <w:sz w:val="20"/>
          <w:szCs w:val="20"/>
        </w:rPr>
        <w:t>.</w:t>
      </w:r>
    </w:p>
    <w:p w14:paraId="2386194B" w14:textId="77777777" w:rsidR="00F0677C" w:rsidRPr="00F0677C" w:rsidRDefault="00F0677C" w:rsidP="004B79A3">
      <w:pPr>
        <w:spacing w:after="0" w:line="240" w:lineRule="auto"/>
        <w:rPr>
          <w:rFonts w:ascii="Verdana" w:eastAsia="Geomanist Light" w:hAnsi="Verdana" w:cs="Arial"/>
          <w:color w:val="000000" w:themeColor="text1"/>
          <w:sz w:val="20"/>
          <w:szCs w:val="20"/>
          <w:lang w:val="es-MX"/>
        </w:rPr>
      </w:pPr>
    </w:p>
    <w:p w14:paraId="0D10F22F" w14:textId="77777777" w:rsidR="00F0677C" w:rsidRPr="00F0677C" w:rsidRDefault="00F0677C" w:rsidP="004B79A3">
      <w:pPr>
        <w:spacing w:after="0" w:line="240" w:lineRule="auto"/>
        <w:rPr>
          <w:rFonts w:ascii="Verdana" w:eastAsia="Geomanist Light" w:hAnsi="Verdana" w:cs="Arial"/>
          <w:color w:val="000000" w:themeColor="text1"/>
          <w:sz w:val="20"/>
          <w:szCs w:val="20"/>
          <w:lang w:val="es-MX"/>
        </w:rPr>
      </w:pPr>
    </w:p>
    <w:p w14:paraId="4F16A946" w14:textId="77777777" w:rsidR="00F0677C" w:rsidRDefault="00F0677C" w:rsidP="004B79A3">
      <w:pPr>
        <w:spacing w:after="0" w:line="240" w:lineRule="auto"/>
        <w:rPr>
          <w:rFonts w:ascii="Verdana" w:eastAsia="Geomanist Light" w:hAnsi="Verdana" w:cs="Arial"/>
          <w:color w:val="000000" w:themeColor="text1"/>
          <w:lang w:val="es-MX"/>
        </w:rPr>
      </w:pPr>
    </w:p>
    <w:p w14:paraId="538FDA4C" w14:textId="77777777" w:rsidR="00F0677C" w:rsidRDefault="00F0677C" w:rsidP="004B79A3">
      <w:pPr>
        <w:spacing w:after="0" w:line="240" w:lineRule="auto"/>
        <w:rPr>
          <w:rFonts w:ascii="Verdana" w:eastAsia="Geomanist Light" w:hAnsi="Verdana" w:cs="Arial"/>
          <w:color w:val="000000" w:themeColor="text1"/>
          <w:lang w:val="es-MX"/>
        </w:rPr>
      </w:pPr>
    </w:p>
    <w:p w14:paraId="055C583C" w14:textId="77777777" w:rsidR="00F0677C" w:rsidRDefault="00F0677C" w:rsidP="004B79A3">
      <w:pPr>
        <w:spacing w:after="0" w:line="240" w:lineRule="auto"/>
        <w:rPr>
          <w:rFonts w:ascii="Verdana" w:eastAsia="Geomanist Light" w:hAnsi="Verdana" w:cs="Arial"/>
          <w:color w:val="000000" w:themeColor="text1"/>
          <w:lang w:val="es-MX"/>
        </w:rPr>
      </w:pPr>
    </w:p>
    <w:p w14:paraId="324DAFE8" w14:textId="77777777" w:rsidR="00F0677C" w:rsidRDefault="00F0677C" w:rsidP="004B79A3">
      <w:pPr>
        <w:spacing w:after="0" w:line="240" w:lineRule="auto"/>
        <w:rPr>
          <w:rFonts w:ascii="Verdana" w:eastAsia="Geomanist Light" w:hAnsi="Verdana" w:cs="Arial"/>
          <w:color w:val="000000" w:themeColor="text1"/>
          <w:lang w:val="es-MX"/>
        </w:rPr>
      </w:pPr>
    </w:p>
    <w:p w14:paraId="777EDE5F" w14:textId="77777777" w:rsidR="00F0677C" w:rsidRDefault="00F0677C" w:rsidP="004B79A3">
      <w:pPr>
        <w:spacing w:after="0" w:line="240" w:lineRule="auto"/>
        <w:rPr>
          <w:rFonts w:ascii="Verdana" w:eastAsia="Geomanist Light" w:hAnsi="Verdana" w:cs="Arial"/>
          <w:color w:val="000000" w:themeColor="text1"/>
          <w:lang w:val="es-MX"/>
        </w:rPr>
      </w:pPr>
    </w:p>
    <w:p w14:paraId="19D6E1ED" w14:textId="77777777" w:rsidR="00F0677C" w:rsidRDefault="00F0677C" w:rsidP="004B79A3">
      <w:pPr>
        <w:spacing w:after="0" w:line="240" w:lineRule="auto"/>
        <w:rPr>
          <w:rFonts w:ascii="Verdana" w:eastAsia="Geomanist Light" w:hAnsi="Verdana" w:cs="Arial"/>
          <w:color w:val="000000" w:themeColor="text1"/>
          <w:lang w:val="es-MX"/>
        </w:rPr>
      </w:pPr>
    </w:p>
    <w:p w14:paraId="74956FAE" w14:textId="77777777" w:rsidR="00F0677C" w:rsidRDefault="00F0677C" w:rsidP="004B79A3">
      <w:pPr>
        <w:spacing w:after="0" w:line="240" w:lineRule="auto"/>
        <w:rPr>
          <w:rFonts w:ascii="Verdana" w:eastAsia="Geomanist Light" w:hAnsi="Verdana" w:cs="Arial"/>
          <w:color w:val="000000" w:themeColor="text1"/>
          <w:lang w:val="es-MX"/>
        </w:rPr>
      </w:pPr>
    </w:p>
    <w:p w14:paraId="6E48D1A4" w14:textId="77777777" w:rsidR="00F0677C" w:rsidRDefault="00F0677C" w:rsidP="004B79A3">
      <w:pPr>
        <w:spacing w:after="0" w:line="240" w:lineRule="auto"/>
        <w:rPr>
          <w:rFonts w:ascii="Verdana" w:eastAsia="Geomanist Light" w:hAnsi="Verdana" w:cs="Arial"/>
          <w:color w:val="000000" w:themeColor="text1"/>
          <w:lang w:val="es-MX"/>
        </w:rPr>
      </w:pPr>
    </w:p>
    <w:p w14:paraId="50BB1168" w14:textId="77777777" w:rsidR="00F0677C" w:rsidRDefault="00F0677C" w:rsidP="004B79A3">
      <w:pPr>
        <w:spacing w:after="0" w:line="240" w:lineRule="auto"/>
        <w:rPr>
          <w:rFonts w:ascii="Verdana" w:eastAsia="Geomanist Light" w:hAnsi="Verdana" w:cs="Arial"/>
          <w:color w:val="000000" w:themeColor="text1"/>
          <w:lang w:val="es-MX"/>
        </w:rPr>
      </w:pPr>
    </w:p>
    <w:p w14:paraId="501EBA35" w14:textId="77777777" w:rsidR="00F0677C" w:rsidRDefault="00F0677C" w:rsidP="004B79A3">
      <w:pPr>
        <w:spacing w:after="0" w:line="240" w:lineRule="auto"/>
        <w:rPr>
          <w:rFonts w:ascii="Verdana" w:eastAsia="Geomanist Light" w:hAnsi="Verdana" w:cs="Arial"/>
          <w:color w:val="000000" w:themeColor="text1"/>
          <w:lang w:val="es-MX"/>
        </w:rPr>
      </w:pPr>
    </w:p>
    <w:p w14:paraId="65F88A77" w14:textId="77777777" w:rsidR="00F0677C" w:rsidRDefault="00F0677C" w:rsidP="004B79A3">
      <w:pPr>
        <w:spacing w:after="0" w:line="240" w:lineRule="auto"/>
        <w:rPr>
          <w:rFonts w:ascii="Verdana" w:eastAsia="Geomanist Light" w:hAnsi="Verdana" w:cs="Arial"/>
          <w:color w:val="000000" w:themeColor="text1"/>
          <w:lang w:val="es-MX"/>
        </w:rPr>
      </w:pPr>
    </w:p>
    <w:p w14:paraId="0A856B10" w14:textId="77777777" w:rsidR="00F0677C" w:rsidRDefault="00F0677C" w:rsidP="004B79A3">
      <w:pPr>
        <w:spacing w:after="0" w:line="240" w:lineRule="auto"/>
        <w:rPr>
          <w:rFonts w:ascii="Verdana" w:eastAsia="Geomanist Light" w:hAnsi="Verdana" w:cs="Arial"/>
          <w:color w:val="000000" w:themeColor="text1"/>
          <w:lang w:val="es-MX"/>
        </w:rPr>
      </w:pPr>
    </w:p>
    <w:p w14:paraId="46C1CCC5" w14:textId="77777777" w:rsidR="00F0677C" w:rsidRDefault="00F0677C" w:rsidP="004B79A3">
      <w:pPr>
        <w:spacing w:after="0" w:line="240" w:lineRule="auto"/>
        <w:rPr>
          <w:rFonts w:ascii="Verdana" w:eastAsia="Geomanist Light" w:hAnsi="Verdana" w:cs="Arial"/>
          <w:color w:val="000000" w:themeColor="text1"/>
          <w:lang w:val="es-MX"/>
        </w:rPr>
      </w:pPr>
    </w:p>
    <w:p w14:paraId="16CDD412" w14:textId="77777777" w:rsidR="00F0677C" w:rsidRDefault="00F0677C" w:rsidP="004B79A3">
      <w:pPr>
        <w:spacing w:after="0" w:line="240" w:lineRule="auto"/>
        <w:rPr>
          <w:rFonts w:ascii="Verdana" w:eastAsia="Geomanist Light" w:hAnsi="Verdana" w:cs="Arial"/>
          <w:color w:val="000000" w:themeColor="text1"/>
          <w:lang w:val="es-MX"/>
        </w:rPr>
      </w:pPr>
    </w:p>
    <w:p w14:paraId="454A2633" w14:textId="77777777" w:rsidR="00F0677C" w:rsidRDefault="00F0677C" w:rsidP="004B79A3">
      <w:pPr>
        <w:spacing w:after="0" w:line="240" w:lineRule="auto"/>
        <w:rPr>
          <w:rFonts w:ascii="Verdana" w:eastAsia="Geomanist Light" w:hAnsi="Verdana" w:cs="Arial"/>
          <w:color w:val="000000" w:themeColor="text1"/>
          <w:lang w:val="es-MX"/>
        </w:rPr>
      </w:pPr>
    </w:p>
    <w:p w14:paraId="3D7FE37C" w14:textId="136265F5" w:rsidR="004B79A3" w:rsidRPr="00CF64C0" w:rsidRDefault="004B79A3" w:rsidP="004B79A3">
      <w:pPr>
        <w:spacing w:after="0" w:line="240" w:lineRule="auto"/>
        <w:rPr>
          <w:rFonts w:ascii="Verdana" w:eastAsia="Geomanist Light" w:hAnsi="Verdana" w:cs="Arial"/>
          <w:color w:val="201F1E"/>
          <w:lang w:val="es-MX"/>
        </w:rPr>
      </w:pPr>
      <w:r w:rsidRPr="00CF64C0">
        <w:rPr>
          <w:rFonts w:ascii="Verdana" w:eastAsia="Geomanist Light" w:hAnsi="Verdana" w:cs="Arial"/>
          <w:color w:val="000000" w:themeColor="text1"/>
          <w:lang w:val="es-MX"/>
        </w:rPr>
        <w:lastRenderedPageBreak/>
        <w:t>Bogotá D.C., </w:t>
      </w:r>
      <w:r w:rsidR="00F0677C">
        <w:rPr>
          <w:rFonts w:ascii="Verdana" w:eastAsia="Geomanist Light" w:hAnsi="Verdana" w:cs="Arial"/>
          <w:color w:val="201F1E"/>
          <w:lang w:val="es-MX"/>
        </w:rPr>
        <w:t>02</w:t>
      </w:r>
      <w:r w:rsidRPr="00CF64C0">
        <w:rPr>
          <w:rFonts w:ascii="Verdana" w:eastAsia="Geomanist Light" w:hAnsi="Verdana" w:cs="Arial"/>
          <w:color w:val="201F1E"/>
          <w:lang w:val="es-MX"/>
        </w:rPr>
        <w:t xml:space="preserve"> de </w:t>
      </w:r>
      <w:r w:rsidR="00F0677C">
        <w:rPr>
          <w:rFonts w:ascii="Verdana" w:eastAsia="Geomanist Light" w:hAnsi="Verdana" w:cs="Arial"/>
          <w:color w:val="201F1E"/>
          <w:lang w:val="es-MX"/>
        </w:rPr>
        <w:t>mayo</w:t>
      </w:r>
      <w:r w:rsidRPr="00CF64C0">
        <w:rPr>
          <w:rFonts w:ascii="Verdana" w:eastAsia="Geomanist Light" w:hAnsi="Verdana" w:cs="Arial"/>
          <w:color w:val="201F1E"/>
          <w:lang w:val="es-MX"/>
        </w:rPr>
        <w:t xml:space="preserve"> de </w:t>
      </w:r>
      <w:r w:rsidR="00F0677C">
        <w:rPr>
          <w:rFonts w:ascii="Verdana" w:eastAsia="Geomanist Light" w:hAnsi="Verdana" w:cs="Arial"/>
          <w:color w:val="201F1E"/>
          <w:lang w:val="es-MX"/>
        </w:rPr>
        <w:t>2025</w:t>
      </w:r>
    </w:p>
    <w:p w14:paraId="6E46E8A8" w14:textId="77777777" w:rsidR="004B79A3" w:rsidRPr="00EB1CF7" w:rsidRDefault="004B79A3" w:rsidP="004B79A3">
      <w:pPr>
        <w:spacing w:after="0" w:line="240" w:lineRule="auto"/>
        <w:rPr>
          <w:rFonts w:ascii="Verdana" w:eastAsia="Geomanist Light" w:hAnsi="Verdana" w:cs="Arial"/>
          <w:color w:val="201F1E"/>
          <w:lang w:val="es-MX"/>
        </w:rPr>
      </w:pPr>
      <w:r>
        <w:rPr>
          <w:rFonts w:ascii="Verdana" w:eastAsia="Geomanist Light" w:hAnsi="Verdana" w:cs="Arial"/>
          <w:color w:val="201F1E"/>
          <w:lang w:val="es-MX"/>
        </w:rPr>
        <w:t xml:space="preserve"> </w:t>
      </w:r>
    </w:p>
    <w:p w14:paraId="099B4F9E" w14:textId="6D03092F" w:rsidR="00F0677C" w:rsidRDefault="00F0677C" w:rsidP="00F0677C">
      <w:pPr>
        <w:spacing w:after="0" w:line="240" w:lineRule="auto"/>
        <w:ind w:left="5664"/>
        <w:jc w:val="both"/>
        <w:rPr>
          <w:rFonts w:ascii="Verdana" w:eastAsia="Calibri" w:hAnsi="Verdana" w:cs="Arial"/>
          <w:lang w:val="es-ES" w:eastAsia="es-ES"/>
        </w:rPr>
      </w:pPr>
      <w:r w:rsidRPr="00F0677C">
        <w:rPr>
          <w:rFonts w:ascii="Verdana" w:eastAsia="Calibri" w:hAnsi="Verdana" w:cs="Arial"/>
          <w:lang w:val="es-ES" w:eastAsia="es-ES"/>
        </w:rPr>
        <w:drawing>
          <wp:inline distT="0" distB="0" distL="0" distR="0" wp14:anchorId="28842ECA" wp14:editId="279EA813">
            <wp:extent cx="2505075" cy="895350"/>
            <wp:effectExtent l="0" t="0" r="9525" b="0"/>
            <wp:docPr id="76299890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2998902" name=""/>
                    <pic:cNvPicPr/>
                  </pic:nvPicPr>
                  <pic:blipFill>
                    <a:blip r:embed="rId11"/>
                    <a:stretch>
                      <a:fillRect/>
                    </a:stretch>
                  </pic:blipFill>
                  <pic:spPr>
                    <a:xfrm>
                      <a:off x="0" y="0"/>
                      <a:ext cx="2505075" cy="895350"/>
                    </a:xfrm>
                    <a:prstGeom prst="rect">
                      <a:avLst/>
                    </a:prstGeom>
                  </pic:spPr>
                </pic:pic>
              </a:graphicData>
            </a:graphic>
          </wp:inline>
        </w:drawing>
      </w:r>
    </w:p>
    <w:p w14:paraId="3158625A" w14:textId="40EE1B54" w:rsidR="004B79A3" w:rsidRPr="00EB1CF7" w:rsidRDefault="004B79A3" w:rsidP="004B79A3">
      <w:pPr>
        <w:spacing w:after="0" w:line="240" w:lineRule="auto"/>
        <w:jc w:val="both"/>
        <w:rPr>
          <w:rFonts w:ascii="Verdana" w:eastAsia="Calibri" w:hAnsi="Verdana" w:cs="Arial"/>
          <w:lang w:val="es-ES" w:eastAsia="es-ES"/>
        </w:rPr>
      </w:pPr>
      <w:r w:rsidRPr="00EB1CF7">
        <w:rPr>
          <w:rFonts w:ascii="Verdana" w:eastAsia="Calibri" w:hAnsi="Verdana" w:cs="Arial"/>
          <w:lang w:val="es-ES" w:eastAsia="es-ES"/>
        </w:rPr>
        <w:t>Señor</w:t>
      </w:r>
    </w:p>
    <w:p w14:paraId="26C1F123" w14:textId="77E68BCC" w:rsidR="004B79A3" w:rsidRPr="004B79A3" w:rsidRDefault="004116DB" w:rsidP="004B79A3">
      <w:pPr>
        <w:spacing w:after="0" w:line="240" w:lineRule="auto"/>
        <w:rPr>
          <w:rFonts w:ascii="Verdana" w:eastAsia="Calibri" w:hAnsi="Verdana" w:cs="Arial"/>
          <w:b/>
          <w:lang w:eastAsia="es-ES_tradnl"/>
        </w:rPr>
      </w:pPr>
      <w:r>
        <w:rPr>
          <w:rFonts w:ascii="Verdana" w:eastAsia="Calibri" w:hAnsi="Verdana" w:cs="Arial"/>
          <w:b/>
          <w:lang w:eastAsia="es-ES_tradnl"/>
        </w:rPr>
        <w:t>José María Mejía Méndez</w:t>
      </w:r>
    </w:p>
    <w:p w14:paraId="794C8867" w14:textId="637C97F3" w:rsidR="004B79A3" w:rsidRPr="004116DB" w:rsidRDefault="004116DB" w:rsidP="004B79A3">
      <w:pPr>
        <w:spacing w:after="0" w:line="240" w:lineRule="auto"/>
        <w:rPr>
          <w:rFonts w:ascii="Verdana" w:eastAsia="Calibri" w:hAnsi="Verdana" w:cs="Arial"/>
          <w:bCs/>
          <w:lang w:eastAsia="es-ES_tradnl"/>
        </w:rPr>
      </w:pPr>
      <w:hyperlink r:id="rId12" w:history="1">
        <w:r w:rsidRPr="00DD3339">
          <w:rPr>
            <w:rStyle w:val="Hipervnculo"/>
            <w:rFonts w:ascii="Verdana" w:eastAsia="Calibri" w:hAnsi="Verdana" w:cs="Arial"/>
            <w:bCs/>
            <w:lang w:eastAsia="es-ES_tradnl"/>
          </w:rPr>
          <w:t>Josemejia1704@gmail.com</w:t>
        </w:r>
      </w:hyperlink>
      <w:r>
        <w:rPr>
          <w:rFonts w:ascii="Verdana" w:eastAsia="Calibri" w:hAnsi="Verdana" w:cs="Arial"/>
          <w:bCs/>
          <w:lang w:eastAsia="es-ES_tradnl"/>
        </w:rPr>
        <w:t xml:space="preserve">; </w:t>
      </w:r>
    </w:p>
    <w:p w14:paraId="632F77F9" w14:textId="202C043F" w:rsidR="004B79A3" w:rsidRPr="004B79A3" w:rsidRDefault="004116DB" w:rsidP="004B79A3">
      <w:pPr>
        <w:spacing w:after="0" w:line="240" w:lineRule="auto"/>
        <w:rPr>
          <w:rFonts w:ascii="Verdana" w:eastAsia="Calibri" w:hAnsi="Verdana" w:cs="Arial"/>
          <w:lang w:val="pt-PT" w:eastAsia="es-ES"/>
        </w:rPr>
      </w:pPr>
      <w:r>
        <w:rPr>
          <w:rFonts w:ascii="Verdana" w:eastAsia="Calibri" w:hAnsi="Verdana" w:cs="Arial"/>
          <w:lang w:val="pt-PT" w:eastAsia="es-ES"/>
        </w:rPr>
        <w:t>Ciudad</w:t>
      </w:r>
    </w:p>
    <w:p w14:paraId="2F1A685F" w14:textId="77777777" w:rsidR="004B79A3" w:rsidRPr="00273638" w:rsidRDefault="004B79A3" w:rsidP="004B79A3">
      <w:pPr>
        <w:spacing w:after="0" w:line="240" w:lineRule="auto"/>
        <w:rPr>
          <w:rFonts w:ascii="Verdana" w:eastAsia="Calibri" w:hAnsi="Verdana" w:cs="Arial"/>
          <w:b/>
          <w:bCs/>
          <w:color w:val="000000"/>
          <w:lang w:val="pt-PT" w:eastAsia="es-ES_tradnl"/>
        </w:rPr>
      </w:pPr>
    </w:p>
    <w:p w14:paraId="7F237934" w14:textId="77777777" w:rsidR="00C34707" w:rsidRPr="00C34707" w:rsidRDefault="00C34707" w:rsidP="00C34707">
      <w:pPr>
        <w:spacing w:after="0" w:line="240" w:lineRule="auto"/>
        <w:rPr>
          <w:rFonts w:ascii="Verdana" w:eastAsia="Calibri" w:hAnsi="Verdana" w:cs="Arial"/>
          <w:b/>
          <w:bCs/>
          <w:color w:val="000000"/>
          <w:lang w:val="pt-PT"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4B79A3" w:rsidRPr="00EB1CF7" w14:paraId="75B16E65" w14:textId="77777777" w:rsidTr="00D77650">
        <w:trPr>
          <w:trHeight w:val="314"/>
        </w:trPr>
        <w:tc>
          <w:tcPr>
            <w:tcW w:w="2689" w:type="dxa"/>
          </w:tcPr>
          <w:p w14:paraId="2322C0FB" w14:textId="77777777" w:rsidR="004B79A3" w:rsidRPr="00273638" w:rsidRDefault="004B79A3" w:rsidP="00540096">
            <w:pPr>
              <w:jc w:val="both"/>
              <w:rPr>
                <w:rFonts w:ascii="Verdana" w:eastAsia="Calibri" w:hAnsi="Verdana" w:cs="Arial"/>
                <w:b/>
                <w:bCs/>
                <w:color w:val="7030A0"/>
                <w:lang w:val="pt-PT" w:eastAsia="es-ES_tradnl"/>
              </w:rPr>
            </w:pPr>
          </w:p>
        </w:tc>
        <w:tc>
          <w:tcPr>
            <w:tcW w:w="6100" w:type="dxa"/>
          </w:tcPr>
          <w:p w14:paraId="3179DFCA" w14:textId="3B12D8D0" w:rsidR="004B79A3" w:rsidRDefault="004B79A3" w:rsidP="00C34707">
            <w:pPr>
              <w:jc w:val="both"/>
              <w:rPr>
                <w:rFonts w:ascii="Verdana" w:eastAsia="Calibri" w:hAnsi="Verdana" w:cs="Arial"/>
                <w:b/>
                <w:bCs/>
                <w:lang w:val="es-ES" w:eastAsia="es-ES"/>
              </w:rPr>
            </w:pPr>
            <w:r w:rsidRPr="00BF57FE">
              <w:rPr>
                <w:rFonts w:ascii="Verdana" w:eastAsia="Calibri" w:hAnsi="Verdana" w:cs="Arial"/>
                <w:b/>
                <w:bCs/>
                <w:lang w:val="es-ES" w:eastAsia="es-ES"/>
              </w:rPr>
              <w:t xml:space="preserve">Concepto C – </w:t>
            </w:r>
            <w:r w:rsidR="001E1D4A">
              <w:rPr>
                <w:rFonts w:ascii="Verdana" w:eastAsia="Calibri" w:hAnsi="Verdana" w:cs="Arial"/>
                <w:b/>
                <w:bCs/>
                <w:lang w:val="es-ES" w:eastAsia="es-ES"/>
              </w:rPr>
              <w:t>367</w:t>
            </w:r>
            <w:r w:rsidRPr="00BF57FE">
              <w:rPr>
                <w:rFonts w:ascii="Verdana" w:eastAsia="Calibri" w:hAnsi="Verdana" w:cs="Arial"/>
                <w:b/>
                <w:bCs/>
                <w:lang w:val="es-ES" w:eastAsia="es-ES"/>
              </w:rPr>
              <w:t xml:space="preserve"> de 202</w:t>
            </w:r>
            <w:r>
              <w:rPr>
                <w:rFonts w:ascii="Verdana" w:eastAsia="Calibri" w:hAnsi="Verdana" w:cs="Arial"/>
                <w:b/>
                <w:bCs/>
                <w:lang w:val="es-ES" w:eastAsia="es-ES"/>
              </w:rPr>
              <w:t>5</w:t>
            </w:r>
          </w:p>
          <w:p w14:paraId="07522711" w14:textId="77777777" w:rsidR="004B79A3" w:rsidRPr="00BF57FE" w:rsidRDefault="004B79A3" w:rsidP="00540096">
            <w:pPr>
              <w:jc w:val="both"/>
              <w:rPr>
                <w:rFonts w:ascii="Verdana" w:eastAsia="Calibri" w:hAnsi="Verdana" w:cs="Arial"/>
                <w:b/>
                <w:bCs/>
                <w:lang w:val="es-ES" w:eastAsia="es-ES"/>
              </w:rPr>
            </w:pPr>
          </w:p>
        </w:tc>
      </w:tr>
      <w:tr w:rsidR="004B79A3" w:rsidRPr="00EB1CF7" w14:paraId="33DFA27D" w14:textId="77777777" w:rsidTr="00540096">
        <w:trPr>
          <w:trHeight w:val="884"/>
        </w:trPr>
        <w:tc>
          <w:tcPr>
            <w:tcW w:w="2689" w:type="dxa"/>
          </w:tcPr>
          <w:p w14:paraId="32E513E0" w14:textId="77777777" w:rsidR="004B79A3" w:rsidRPr="00EB1CF7" w:rsidRDefault="004B79A3" w:rsidP="00540096">
            <w:pPr>
              <w:jc w:val="both"/>
              <w:rPr>
                <w:rFonts w:ascii="Verdana" w:eastAsia="Calibri" w:hAnsi="Verdana" w:cs="Arial"/>
                <w:color w:val="000000"/>
                <w:lang w:val="es-ES_tradnl" w:eastAsia="es-ES_tradnl"/>
              </w:rPr>
            </w:pPr>
            <w:r w:rsidRPr="00EB1CF7">
              <w:rPr>
                <w:rFonts w:ascii="Verdana" w:eastAsia="Calibri" w:hAnsi="Verdana" w:cs="Arial"/>
                <w:b/>
                <w:color w:val="000000"/>
                <w:lang w:val="es-ES_tradnl" w:eastAsia="es-ES_tradnl"/>
              </w:rPr>
              <w:t>Temas:</w:t>
            </w:r>
            <w:r w:rsidRPr="00EB1CF7">
              <w:rPr>
                <w:rFonts w:ascii="Verdana" w:eastAsia="Calibri" w:hAnsi="Verdana" w:cs="Arial"/>
                <w:color w:val="000000"/>
                <w:lang w:val="es-ES_tradnl" w:eastAsia="es-ES_tradnl"/>
              </w:rPr>
              <w:t xml:space="preserve">                   </w:t>
            </w:r>
          </w:p>
        </w:tc>
        <w:tc>
          <w:tcPr>
            <w:tcW w:w="6100" w:type="dxa"/>
            <w:shd w:val="clear" w:color="auto" w:fill="auto"/>
          </w:tcPr>
          <w:p w14:paraId="19384388" w14:textId="1E563281" w:rsidR="004B79A3" w:rsidRDefault="00F0677C" w:rsidP="00D77650">
            <w:pPr>
              <w:jc w:val="both"/>
              <w:rPr>
                <w:rFonts w:ascii="Verdana" w:eastAsia="Calibri" w:hAnsi="Verdana" w:cs="Arial"/>
                <w:lang w:val="es-ES" w:eastAsia="es-ES"/>
              </w:rPr>
            </w:pPr>
            <w:r w:rsidRPr="00F0677C">
              <w:rPr>
                <w:rFonts w:ascii="Verdana" w:eastAsia="Calibri" w:hAnsi="Verdana" w:cs="Arial"/>
                <w:bCs/>
                <w:sz w:val="24"/>
                <w:szCs w:val="24"/>
              </w:rPr>
              <w:t xml:space="preserve">AGENCIA NACIONAL DE CONTRATACIÓN PÚBLICA </w:t>
            </w:r>
            <w:r w:rsidR="004B79A3" w:rsidRPr="00DD5AF8">
              <w:rPr>
                <w:rFonts w:ascii="Verdana" w:eastAsia="Calibri" w:hAnsi="Verdana" w:cs="Arial"/>
                <w:bCs/>
              </w:rPr>
              <w:t>– Conceptos – Alcance – Competencia Consultiva –</w:t>
            </w:r>
            <w:r w:rsidR="00DD5AF8" w:rsidRPr="00DD5AF8">
              <w:rPr>
                <w:rFonts w:ascii="Verdana" w:eastAsia="Calibri" w:hAnsi="Verdana" w:cs="Arial"/>
                <w:bCs/>
              </w:rPr>
              <w:t xml:space="preserve"> SUBASTA INVERSA – Requisitos habilitantes – Autonomía de la voluntad</w:t>
            </w:r>
          </w:p>
          <w:p w14:paraId="1E837301" w14:textId="77777777" w:rsidR="004B79A3" w:rsidRPr="00EB1CF7" w:rsidRDefault="004B79A3" w:rsidP="00D77650">
            <w:pPr>
              <w:jc w:val="both"/>
              <w:rPr>
                <w:rFonts w:ascii="Verdana" w:eastAsia="Calibri" w:hAnsi="Verdana" w:cs="Arial"/>
                <w:lang w:val="es-ES" w:eastAsia="es-ES"/>
              </w:rPr>
            </w:pPr>
          </w:p>
        </w:tc>
      </w:tr>
      <w:tr w:rsidR="004B79A3" w:rsidRPr="00EB1CF7" w14:paraId="7CF73C42" w14:textId="77777777" w:rsidTr="00540096">
        <w:tc>
          <w:tcPr>
            <w:tcW w:w="2689" w:type="dxa"/>
          </w:tcPr>
          <w:p w14:paraId="256966EF" w14:textId="77777777" w:rsidR="004B79A3" w:rsidRPr="00EB1CF7" w:rsidRDefault="004B79A3" w:rsidP="00540096">
            <w:pPr>
              <w:jc w:val="both"/>
              <w:rPr>
                <w:rFonts w:ascii="Verdana" w:eastAsia="Calibri" w:hAnsi="Verdana" w:cs="Arial"/>
                <w:b/>
                <w:lang w:val="es-ES_tradnl" w:eastAsia="es-ES_tradnl"/>
              </w:rPr>
            </w:pPr>
            <w:r w:rsidRPr="00EB1CF7">
              <w:rPr>
                <w:rFonts w:ascii="Verdana" w:eastAsia="Calibri" w:hAnsi="Verdana" w:cs="Arial"/>
                <w:b/>
                <w:lang w:val="es-ES_tradnl" w:eastAsia="es-ES_tradnl"/>
              </w:rPr>
              <w:t>Radicación:</w:t>
            </w:r>
            <w:r w:rsidRPr="00EB1CF7">
              <w:rPr>
                <w:rFonts w:ascii="Verdana" w:eastAsia="Calibri" w:hAnsi="Verdana" w:cs="Arial"/>
                <w:lang w:val="es-ES_tradnl" w:eastAsia="es-ES_tradnl"/>
              </w:rPr>
              <w:t xml:space="preserve">               </w:t>
            </w:r>
          </w:p>
        </w:tc>
        <w:tc>
          <w:tcPr>
            <w:tcW w:w="6100" w:type="dxa"/>
          </w:tcPr>
          <w:p w14:paraId="579EAA47" w14:textId="69FF3792" w:rsidR="004B79A3" w:rsidRPr="00EB1CF7" w:rsidRDefault="004B79A3" w:rsidP="00540096">
            <w:pPr>
              <w:jc w:val="both"/>
              <w:rPr>
                <w:rFonts w:ascii="Verdana" w:eastAsia="Calibri" w:hAnsi="Verdana" w:cs="Arial"/>
                <w:lang w:eastAsia="es-ES_tradnl"/>
              </w:rPr>
            </w:pPr>
            <w:r w:rsidRPr="00EB1CF7">
              <w:rPr>
                <w:rFonts w:ascii="Verdana" w:eastAsia="Calibri" w:hAnsi="Verdana" w:cs="Arial"/>
                <w:lang w:val="es-ES_tradnl" w:eastAsia="es-ES_tradnl"/>
              </w:rPr>
              <w:t>Respuesta a la consulta con radicado No.</w:t>
            </w:r>
            <w:r w:rsidRPr="00D77650">
              <w:rPr>
                <w:rFonts w:ascii="Verdana" w:hAnsi="Verdana"/>
              </w:rPr>
              <w:t xml:space="preserve"> </w:t>
            </w:r>
            <w:r w:rsidR="001E1D4A" w:rsidRPr="001E1D4A">
              <w:rPr>
                <w:rFonts w:ascii="Verdana" w:hAnsi="Verdana"/>
              </w:rPr>
              <w:t>P20250326002921</w:t>
            </w:r>
            <w:r w:rsidRPr="00EB1CF7">
              <w:rPr>
                <w:rFonts w:ascii="Verdana" w:eastAsia="Calibri" w:hAnsi="Verdana" w:cs="Arial"/>
                <w:lang w:val="es-ES_tradnl" w:eastAsia="es-ES_tradnl"/>
              </w:rPr>
              <w:t xml:space="preserve">                                   </w:t>
            </w:r>
          </w:p>
        </w:tc>
      </w:tr>
    </w:tbl>
    <w:p w14:paraId="3F6D8011" w14:textId="77777777" w:rsidR="004B79A3" w:rsidRPr="00D77650" w:rsidRDefault="004B79A3" w:rsidP="00761FFB">
      <w:pPr>
        <w:spacing w:after="0" w:line="276" w:lineRule="auto"/>
        <w:jc w:val="both"/>
        <w:rPr>
          <w:rFonts w:ascii="Verdana" w:eastAsia="Calibri" w:hAnsi="Verdana" w:cs="Arial"/>
          <w:lang w:val="es-ES_tradnl" w:eastAsia="es-ES_tradnl"/>
        </w:rPr>
      </w:pPr>
    </w:p>
    <w:p w14:paraId="0176B533" w14:textId="77777777" w:rsidR="00D6327C" w:rsidRPr="00D77650" w:rsidRDefault="00D6327C" w:rsidP="00D77650">
      <w:pPr>
        <w:spacing w:after="0" w:line="276" w:lineRule="auto"/>
        <w:jc w:val="both"/>
        <w:rPr>
          <w:rFonts w:ascii="Verdana" w:eastAsia="Calibri" w:hAnsi="Verdana" w:cs="Arial"/>
          <w:lang w:val="es-ES_tradnl" w:eastAsia="es-ES_tradnl"/>
        </w:rPr>
      </w:pPr>
    </w:p>
    <w:p w14:paraId="66D6D082" w14:textId="2D76FF0F" w:rsidR="004B79A3" w:rsidRPr="00EB1CF7" w:rsidRDefault="004B79A3" w:rsidP="004B79A3">
      <w:pPr>
        <w:spacing w:after="0" w:line="276" w:lineRule="auto"/>
        <w:jc w:val="both"/>
        <w:rPr>
          <w:rFonts w:ascii="Verdana" w:eastAsia="Calibri" w:hAnsi="Verdana" w:cs="Arial"/>
          <w:lang w:val="es-ES" w:eastAsia="es-ES"/>
        </w:rPr>
      </w:pPr>
      <w:r w:rsidRPr="00EB1CF7">
        <w:rPr>
          <w:rFonts w:ascii="Verdana" w:eastAsia="Calibri" w:hAnsi="Verdana" w:cs="Arial"/>
          <w:lang w:val="es-ES" w:eastAsia="es-ES"/>
        </w:rPr>
        <w:t>Estimad</w:t>
      </w:r>
      <w:r w:rsidR="001D0E13">
        <w:rPr>
          <w:rFonts w:ascii="Verdana" w:eastAsia="Calibri" w:hAnsi="Verdana" w:cs="Arial"/>
          <w:lang w:val="es-ES" w:eastAsia="es-ES"/>
        </w:rPr>
        <w:t>o</w:t>
      </w:r>
      <w:r w:rsidRPr="00EB1CF7">
        <w:rPr>
          <w:rFonts w:ascii="Verdana" w:eastAsia="Calibri" w:hAnsi="Verdana" w:cs="Arial"/>
          <w:lang w:val="es-ES" w:eastAsia="es-ES"/>
        </w:rPr>
        <w:t xml:space="preserve"> señor</w:t>
      </w:r>
      <w:r>
        <w:rPr>
          <w:rFonts w:ascii="Verdana" w:eastAsia="Calibri" w:hAnsi="Verdana" w:cs="Arial"/>
          <w:lang w:val="es-ES" w:eastAsia="es-ES"/>
        </w:rPr>
        <w:t xml:space="preserve"> </w:t>
      </w:r>
      <w:r w:rsidR="001E1D4A">
        <w:rPr>
          <w:rFonts w:ascii="Verdana" w:eastAsia="Calibri" w:hAnsi="Verdana" w:cs="Arial"/>
          <w:lang w:val="es-ES" w:eastAsia="es-ES"/>
        </w:rPr>
        <w:t>Mejía</w:t>
      </w:r>
      <w:r w:rsidRPr="00EB1CF7">
        <w:rPr>
          <w:rFonts w:ascii="Verdana" w:eastAsia="Calibri" w:hAnsi="Verdana" w:cs="Arial"/>
          <w:lang w:val="es-ES" w:eastAsia="es-ES"/>
        </w:rPr>
        <w:t xml:space="preserve">: </w:t>
      </w:r>
    </w:p>
    <w:p w14:paraId="5A09FE3D" w14:textId="77777777" w:rsidR="004B79A3" w:rsidRPr="00EB1CF7" w:rsidRDefault="004B79A3" w:rsidP="004B79A3">
      <w:pPr>
        <w:tabs>
          <w:tab w:val="left" w:pos="3768"/>
        </w:tabs>
        <w:spacing w:after="0" w:line="276" w:lineRule="auto"/>
        <w:jc w:val="both"/>
        <w:rPr>
          <w:rFonts w:ascii="Verdana" w:eastAsia="Calibri" w:hAnsi="Verdana" w:cs="Arial"/>
          <w:color w:val="000000" w:themeColor="text1"/>
          <w:lang w:val="es-ES" w:eastAsia="es-ES"/>
        </w:rPr>
      </w:pPr>
      <w:r w:rsidRPr="00EB1CF7">
        <w:rPr>
          <w:rFonts w:ascii="Verdana" w:eastAsia="Calibri" w:hAnsi="Verdana" w:cs="Arial"/>
          <w:color w:val="000000" w:themeColor="text1"/>
          <w:lang w:val="es-ES" w:eastAsia="es-ES"/>
        </w:rPr>
        <w:tab/>
      </w:r>
    </w:p>
    <w:p w14:paraId="4C6B6365" w14:textId="300100DD" w:rsidR="004B79A3" w:rsidRDefault="004B79A3" w:rsidP="004B79A3">
      <w:pPr>
        <w:spacing w:after="0" w:line="276" w:lineRule="auto"/>
        <w:jc w:val="both"/>
        <w:rPr>
          <w:rFonts w:ascii="Verdana" w:eastAsia="Calibri" w:hAnsi="Verdana" w:cs="Arial"/>
          <w:lang w:val="es-ES" w:eastAsia="es-ES"/>
        </w:rPr>
      </w:pPr>
      <w:r w:rsidRPr="00EB1CF7">
        <w:rPr>
          <w:rFonts w:ascii="Verdana" w:eastAsia="Calibri" w:hAnsi="Verdana" w:cs="Arial"/>
          <w:color w:val="000000" w:themeColor="text1"/>
          <w:lang w:val="es-ES" w:eastAsia="es-ES"/>
        </w:rPr>
        <w:t>En ejercicio de la competencia otorgada por los artículos 3, numeral 5º, y 11, numeral 8º, del Decreto Ley 4170 de 2011,</w:t>
      </w:r>
      <w:r w:rsidRPr="00EB1CF7">
        <w:rPr>
          <w:rFonts w:ascii="Verdana" w:eastAsia="Arial MT" w:hAnsi="Verdana" w:cs="Arial MT"/>
          <w:lang w:val="es-ES" w:eastAsia="es-ES"/>
        </w:rPr>
        <w:t xml:space="preserve"> </w:t>
      </w:r>
      <w:r w:rsidRPr="00EB1CF7">
        <w:rPr>
          <w:rFonts w:ascii="Verdana" w:hAnsi="Verdana" w:cs="Arial"/>
        </w:rPr>
        <w:t xml:space="preserve">así como lo establecido en el artículo 4 de la Resolución 1707 de 2018 expedida por esta Entidad, </w:t>
      </w:r>
      <w:r w:rsidRPr="00EB1CF7">
        <w:rPr>
          <w:rFonts w:ascii="Verdana" w:eastAsia="Calibri" w:hAnsi="Verdana" w:cs="Arial"/>
          <w:color w:val="000000" w:themeColor="text1"/>
          <w:lang w:val="es-ES" w:eastAsia="es-ES"/>
        </w:rPr>
        <w:t xml:space="preserve">la Agencia Nacional de Contratación Pública – Colombia Compra Eficiente responde su </w:t>
      </w:r>
      <w:r>
        <w:rPr>
          <w:rFonts w:ascii="Verdana" w:eastAsia="Calibri" w:hAnsi="Verdana" w:cs="Arial"/>
          <w:color w:val="000000" w:themeColor="text1"/>
          <w:lang w:val="es-ES" w:eastAsia="es-ES"/>
        </w:rPr>
        <w:t>consulta d</w:t>
      </w:r>
      <w:r w:rsidRPr="00EF0338">
        <w:rPr>
          <w:rFonts w:ascii="Verdana" w:eastAsia="Calibri" w:hAnsi="Verdana" w:cs="Arial"/>
          <w:color w:val="000000" w:themeColor="text1"/>
          <w:lang w:val="es-ES" w:eastAsia="es-ES"/>
        </w:rPr>
        <w:t>el</w:t>
      </w:r>
      <w:r w:rsidRPr="00EB1CF7">
        <w:rPr>
          <w:rFonts w:ascii="Verdana" w:eastAsia="Calibri" w:hAnsi="Verdana" w:cs="Arial"/>
          <w:color w:val="000000" w:themeColor="text1"/>
          <w:lang w:val="es-ES" w:eastAsia="es-ES"/>
        </w:rPr>
        <w:t xml:space="preserve"> </w:t>
      </w:r>
      <w:r w:rsidR="001E1D4A">
        <w:rPr>
          <w:rFonts w:ascii="Verdana" w:eastAsia="Calibri" w:hAnsi="Verdana" w:cs="Arial"/>
          <w:lang w:val="es-ES" w:eastAsia="es-ES"/>
        </w:rPr>
        <w:t>26</w:t>
      </w:r>
      <w:r>
        <w:rPr>
          <w:rFonts w:ascii="Verdana" w:eastAsia="Calibri" w:hAnsi="Verdana" w:cs="Arial"/>
          <w:lang w:val="es-ES" w:eastAsia="es-ES"/>
        </w:rPr>
        <w:t xml:space="preserve"> </w:t>
      </w:r>
      <w:r w:rsidRPr="00EB1CF7">
        <w:rPr>
          <w:rFonts w:ascii="Verdana" w:eastAsia="Calibri" w:hAnsi="Verdana" w:cs="Arial"/>
          <w:lang w:val="es-ES" w:eastAsia="es-ES"/>
        </w:rPr>
        <w:t xml:space="preserve">de </w:t>
      </w:r>
      <w:r w:rsidR="001E1D4A">
        <w:rPr>
          <w:rFonts w:ascii="Verdana" w:eastAsia="Calibri" w:hAnsi="Verdana" w:cs="Arial"/>
          <w:lang w:val="es-ES" w:eastAsia="es-ES"/>
        </w:rPr>
        <w:t>marzo</w:t>
      </w:r>
      <w:r w:rsidRPr="00EB1CF7">
        <w:rPr>
          <w:rFonts w:ascii="Verdana" w:eastAsia="Calibri" w:hAnsi="Verdana" w:cs="Arial"/>
          <w:lang w:val="es-ES" w:eastAsia="es-ES"/>
        </w:rPr>
        <w:t xml:space="preserve"> de 202</w:t>
      </w:r>
      <w:r>
        <w:rPr>
          <w:rFonts w:ascii="Verdana" w:eastAsia="Calibri" w:hAnsi="Verdana" w:cs="Arial"/>
          <w:lang w:val="es-ES" w:eastAsia="es-ES"/>
        </w:rPr>
        <w:t>5</w:t>
      </w:r>
      <w:r w:rsidRPr="00EB1CF7">
        <w:rPr>
          <w:rFonts w:ascii="Verdana" w:eastAsia="Calibri" w:hAnsi="Verdana" w:cs="Arial"/>
          <w:lang w:val="es-ES" w:eastAsia="es-ES"/>
        </w:rPr>
        <w:t xml:space="preserve">, en la cual pregunta sobre lo siguiente: </w:t>
      </w:r>
    </w:p>
    <w:p w14:paraId="4ED0EF7C" w14:textId="77777777" w:rsidR="004B79A3" w:rsidRDefault="004B79A3" w:rsidP="004B79A3">
      <w:pPr>
        <w:spacing w:after="0" w:line="276" w:lineRule="auto"/>
        <w:jc w:val="both"/>
        <w:rPr>
          <w:rFonts w:ascii="Verdana" w:eastAsia="Calibri" w:hAnsi="Verdana" w:cs="Arial"/>
          <w:lang w:val="es-ES" w:eastAsia="es-ES"/>
        </w:rPr>
      </w:pPr>
    </w:p>
    <w:p w14:paraId="324418F5" w14:textId="3FB42ED0" w:rsidR="001E1D4A" w:rsidRPr="001E1D4A" w:rsidRDefault="001E1D4A" w:rsidP="001E1D4A">
      <w:pPr>
        <w:spacing w:after="0" w:line="240" w:lineRule="auto"/>
        <w:ind w:left="720" w:right="709"/>
        <w:jc w:val="both"/>
        <w:rPr>
          <w:rFonts w:ascii="Verdana" w:eastAsia="Century Gothic" w:hAnsi="Verdana" w:cs="Century Gothic"/>
          <w:sz w:val="20"/>
          <w:szCs w:val="20"/>
        </w:rPr>
      </w:pPr>
      <w:r w:rsidRPr="001E1D4A">
        <w:rPr>
          <w:rFonts w:ascii="Verdana" w:eastAsia="Century Gothic" w:hAnsi="Verdana" w:cs="Century Gothic"/>
          <w:sz w:val="20"/>
          <w:szCs w:val="20"/>
        </w:rPr>
        <w:t>[…] 1. ¿Es jurídicamente viable que una entidad estatal requiera muestras de los bienes ofertados dentro de una Selección Abreviada de Subasta Inversa, considerando que este mecanismo de selección se basa en el precio como principal criterio de adjudicación?</w:t>
      </w:r>
    </w:p>
    <w:p w14:paraId="797E35E2" w14:textId="08D009CB" w:rsidR="001E1D4A" w:rsidRPr="001E1D4A" w:rsidRDefault="001E1D4A" w:rsidP="001E1D4A">
      <w:pPr>
        <w:spacing w:after="0" w:line="240" w:lineRule="auto"/>
        <w:ind w:left="720" w:right="709"/>
        <w:jc w:val="both"/>
        <w:rPr>
          <w:rFonts w:ascii="Verdana" w:eastAsia="Century Gothic" w:hAnsi="Verdana" w:cs="Century Gothic"/>
          <w:sz w:val="20"/>
          <w:szCs w:val="20"/>
        </w:rPr>
      </w:pPr>
      <w:r w:rsidRPr="001E1D4A">
        <w:rPr>
          <w:rFonts w:ascii="Verdana" w:eastAsia="Century Gothic" w:hAnsi="Verdana" w:cs="Century Gothic"/>
          <w:sz w:val="20"/>
          <w:szCs w:val="20"/>
        </w:rPr>
        <w:t>2.En caso de ser procedente, ¿</w:t>
      </w:r>
      <w:proofErr w:type="gramStart"/>
      <w:r w:rsidRPr="001E1D4A">
        <w:rPr>
          <w:rFonts w:ascii="Verdana" w:eastAsia="Century Gothic" w:hAnsi="Verdana" w:cs="Century Gothic"/>
          <w:sz w:val="20"/>
          <w:szCs w:val="20"/>
        </w:rPr>
        <w:t>bajo qué condiciones</w:t>
      </w:r>
      <w:proofErr w:type="gramEnd"/>
      <w:r w:rsidRPr="001E1D4A">
        <w:rPr>
          <w:rFonts w:ascii="Verdana" w:eastAsia="Century Gothic" w:hAnsi="Verdana" w:cs="Century Gothic"/>
          <w:sz w:val="20"/>
          <w:szCs w:val="20"/>
        </w:rPr>
        <w:t xml:space="preserve"> y en qué etapa del proceso se podría solicitar dicha muestra sin desnaturalizar la subasta inversa?</w:t>
      </w:r>
    </w:p>
    <w:p w14:paraId="134CD490" w14:textId="55EA9CE8" w:rsidR="004B79A3" w:rsidRPr="001E1D4A" w:rsidRDefault="001E1D4A" w:rsidP="001E1D4A">
      <w:pPr>
        <w:spacing w:after="0" w:line="240" w:lineRule="auto"/>
        <w:ind w:left="720" w:right="709"/>
        <w:jc w:val="both"/>
        <w:rPr>
          <w:rFonts w:ascii="Verdana" w:eastAsia="Century Gothic" w:hAnsi="Verdana" w:cs="Century Gothic"/>
          <w:sz w:val="20"/>
          <w:szCs w:val="20"/>
        </w:rPr>
      </w:pPr>
      <w:r w:rsidRPr="001E1D4A">
        <w:rPr>
          <w:rFonts w:ascii="Verdana" w:eastAsia="Century Gothic" w:hAnsi="Verdana" w:cs="Century Gothic"/>
          <w:sz w:val="20"/>
          <w:szCs w:val="20"/>
        </w:rPr>
        <w:t>3. ¿Existen pronunciamientos, normativas o lineamientos específicos por parte de Colombia Compra Eficiente u otra autoridad que regulen este aspecto?</w:t>
      </w:r>
      <w:r w:rsidR="004B79A3" w:rsidRPr="001E1D4A">
        <w:rPr>
          <w:rFonts w:ascii="Verdana" w:eastAsia="Century Gothic" w:hAnsi="Verdana" w:cs="Century Gothic"/>
          <w:sz w:val="20"/>
          <w:szCs w:val="20"/>
        </w:rPr>
        <w:t xml:space="preserve"> […]”</w:t>
      </w:r>
    </w:p>
    <w:p w14:paraId="5F6AC478" w14:textId="77777777" w:rsidR="004B79A3" w:rsidRPr="00D77650" w:rsidRDefault="004B79A3" w:rsidP="004B79A3">
      <w:pPr>
        <w:spacing w:after="0" w:line="276" w:lineRule="auto"/>
        <w:jc w:val="both"/>
        <w:rPr>
          <w:rFonts w:ascii="Verdana" w:eastAsia="Century Gothic" w:hAnsi="Verdana" w:cs="Century Gothic"/>
        </w:rPr>
      </w:pPr>
    </w:p>
    <w:p w14:paraId="05835250" w14:textId="77777777" w:rsidR="004B79A3" w:rsidRPr="00EB1CF7" w:rsidRDefault="004B79A3" w:rsidP="004B79A3">
      <w:pPr>
        <w:spacing w:after="120" w:line="276" w:lineRule="auto"/>
        <w:ind w:firstLine="709"/>
        <w:jc w:val="both"/>
        <w:rPr>
          <w:rFonts w:ascii="Verdana" w:eastAsia="Calibri" w:hAnsi="Verdana" w:cs="Arial"/>
          <w:color w:val="000000"/>
          <w:lang w:val="es-ES" w:eastAsia="es-ES"/>
        </w:rPr>
      </w:pPr>
      <w:r w:rsidRPr="00EB1CF7">
        <w:rPr>
          <w:rFonts w:ascii="Verdana" w:eastAsia="Calibri" w:hAnsi="Verdana" w:cs="Arial"/>
          <w:color w:val="000000"/>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EB1CF7">
        <w:rPr>
          <w:rFonts w:ascii="Verdana" w:eastAsia="Calibri" w:hAnsi="Verdana" w:cs="Arial"/>
          <w:color w:val="000000"/>
          <w:szCs w:val="24"/>
          <w:lang w:val="es-ES_tradnl" w:eastAsia="es-ES_tradnl"/>
        </w:rPr>
        <w:tab/>
      </w:r>
    </w:p>
    <w:p w14:paraId="19F96ACE" w14:textId="77777777" w:rsidR="004B79A3" w:rsidRPr="00EB1CF7" w:rsidRDefault="004B79A3" w:rsidP="004B79A3">
      <w:pPr>
        <w:spacing w:after="0" w:line="276" w:lineRule="auto"/>
        <w:ind w:firstLine="709"/>
        <w:jc w:val="both"/>
        <w:rPr>
          <w:rFonts w:ascii="Verdana" w:eastAsia="Calibri" w:hAnsi="Verdana" w:cs="Arial"/>
          <w:color w:val="000000"/>
          <w:lang w:val="es-ES" w:eastAsia="es-ES"/>
        </w:rPr>
      </w:pPr>
      <w:r w:rsidRPr="00EB1CF7">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las circunstancias particulares y concretas mencionadas en las preguntas de la petición, pero haciendo unas consideraciones sobre las normas generales relacionadas con el</w:t>
      </w:r>
      <w:r w:rsidRPr="00EB1CF7">
        <w:rPr>
          <w:rFonts w:ascii="Verdana" w:eastAsia="Calibri" w:hAnsi="Verdana" w:cs="Arial"/>
          <w:color w:val="7030A0"/>
          <w:lang w:val="es-ES" w:eastAsia="es-ES"/>
        </w:rPr>
        <w:t xml:space="preserve"> </w:t>
      </w:r>
      <w:r w:rsidRPr="00EB1CF7">
        <w:rPr>
          <w:rFonts w:ascii="Verdana" w:eastAsia="Calibri" w:hAnsi="Verdana" w:cs="Arial"/>
          <w:color w:val="000000"/>
          <w:lang w:val="es-ES" w:eastAsia="es-ES"/>
        </w:rPr>
        <w:t>problema</w:t>
      </w:r>
      <w:r w:rsidRPr="00EB1CF7">
        <w:rPr>
          <w:rFonts w:ascii="Verdana" w:eastAsia="Calibri" w:hAnsi="Verdana" w:cs="Arial"/>
          <w:color w:val="7030A0"/>
          <w:lang w:val="es-ES" w:eastAsia="es-ES"/>
        </w:rPr>
        <w:t xml:space="preserve"> </w:t>
      </w:r>
      <w:r w:rsidRPr="00EB1CF7">
        <w:rPr>
          <w:rFonts w:ascii="Verdana" w:eastAsia="Calibri" w:hAnsi="Verdana" w:cs="Arial"/>
          <w:color w:val="000000"/>
          <w:lang w:val="es-ES" w:eastAsia="es-ES"/>
        </w:rPr>
        <w:t>jurídico</w:t>
      </w:r>
      <w:r w:rsidRPr="00EB1CF7">
        <w:rPr>
          <w:rFonts w:ascii="Verdana" w:eastAsia="Calibri" w:hAnsi="Verdana" w:cs="Arial"/>
          <w:color w:val="7030A0"/>
          <w:lang w:val="es-ES" w:eastAsia="es-ES"/>
        </w:rPr>
        <w:t xml:space="preserve"> </w:t>
      </w:r>
      <w:r w:rsidRPr="00EB1CF7">
        <w:rPr>
          <w:rFonts w:ascii="Verdana" w:eastAsia="Calibri" w:hAnsi="Verdana" w:cs="Arial"/>
          <w:color w:val="000000"/>
          <w:lang w:val="es-ES" w:eastAsia="es-ES"/>
        </w:rPr>
        <w:t xml:space="preserve">de su consulta. </w:t>
      </w:r>
    </w:p>
    <w:p w14:paraId="10832CF7" w14:textId="77777777" w:rsidR="004B79A3" w:rsidRPr="00EB1CF7" w:rsidRDefault="004B79A3" w:rsidP="004B79A3">
      <w:pPr>
        <w:spacing w:after="0" w:line="276" w:lineRule="auto"/>
        <w:ind w:firstLine="709"/>
        <w:jc w:val="both"/>
        <w:rPr>
          <w:rFonts w:ascii="Verdana" w:eastAsia="Calibri" w:hAnsi="Verdana" w:cs="Arial"/>
          <w:color w:val="000000"/>
          <w:lang w:val="es-ES" w:eastAsia="es-ES"/>
        </w:rPr>
      </w:pPr>
    </w:p>
    <w:p w14:paraId="1360C830" w14:textId="77777777" w:rsidR="004B79A3" w:rsidRPr="00EB1CF7" w:rsidRDefault="004B79A3" w:rsidP="004B79A3">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EB1CF7">
        <w:rPr>
          <w:rFonts w:ascii="Verdana" w:eastAsia="Century Gothic" w:hAnsi="Verdana" w:cs="Century Gothic"/>
          <w:b/>
          <w:bCs/>
        </w:rPr>
        <w:t>Problemas planteados:</w:t>
      </w:r>
    </w:p>
    <w:p w14:paraId="02ECA5B8" w14:textId="77777777" w:rsidR="004B79A3" w:rsidRPr="00EB1CF7" w:rsidRDefault="004B79A3" w:rsidP="004B79A3">
      <w:pPr>
        <w:tabs>
          <w:tab w:val="left" w:pos="426"/>
        </w:tabs>
        <w:spacing w:after="0" w:line="276" w:lineRule="auto"/>
        <w:jc w:val="both"/>
        <w:rPr>
          <w:rFonts w:ascii="Verdana" w:eastAsia="Century Gothic" w:hAnsi="Verdana" w:cs="Century Gothic"/>
          <w:lang w:val="es-ES"/>
        </w:rPr>
      </w:pPr>
    </w:p>
    <w:p w14:paraId="0F38DC6A" w14:textId="197425C2" w:rsidR="004B79A3" w:rsidRDefault="004B79A3" w:rsidP="004B79A3">
      <w:pPr>
        <w:spacing w:after="0" w:line="276" w:lineRule="auto"/>
        <w:jc w:val="both"/>
        <w:rPr>
          <w:rFonts w:ascii="Verdana" w:eastAsia="Century Gothic" w:hAnsi="Verdana" w:cs="Century Gothic"/>
        </w:rPr>
      </w:pPr>
      <w:r w:rsidRPr="1138AB40">
        <w:rPr>
          <w:rFonts w:ascii="Verdana" w:eastAsia="Century Gothic" w:hAnsi="Verdana" w:cs="Century Gothic"/>
        </w:rPr>
        <w:t>De acuerdo con el</w:t>
      </w:r>
      <w:r>
        <w:rPr>
          <w:rFonts w:ascii="Verdana" w:eastAsia="Century Gothic" w:hAnsi="Verdana" w:cs="Century Gothic"/>
        </w:rPr>
        <w:t xml:space="preserve"> análisis realizado al</w:t>
      </w:r>
      <w:r w:rsidRPr="1138AB40">
        <w:rPr>
          <w:rFonts w:ascii="Verdana" w:eastAsia="Century Gothic" w:hAnsi="Verdana" w:cs="Century Gothic"/>
        </w:rPr>
        <w:t xml:space="preserve"> contenido de su solicitud, esta Agencia resolverá el siguiente problema jurídico: </w:t>
      </w:r>
      <w:r w:rsidR="001E1D4A" w:rsidRPr="001E1D4A">
        <w:rPr>
          <w:rFonts w:ascii="Verdana" w:eastAsia="Century Gothic" w:hAnsi="Verdana" w:cs="Century Gothic"/>
        </w:rPr>
        <w:t>¿Las entidades pueden legalmente requerir muestras de los productos ofertados durante un proceso de subasta inversa?</w:t>
      </w:r>
    </w:p>
    <w:p w14:paraId="35727DD8" w14:textId="77777777" w:rsidR="001E1D4A" w:rsidRDefault="001E1D4A" w:rsidP="004B79A3">
      <w:pPr>
        <w:spacing w:after="0" w:line="276" w:lineRule="auto"/>
        <w:jc w:val="both"/>
        <w:rPr>
          <w:rFonts w:ascii="Verdana" w:eastAsia="Century Gothic" w:hAnsi="Verdana" w:cs="Century Gothic"/>
        </w:rPr>
      </w:pPr>
    </w:p>
    <w:p w14:paraId="136C964B" w14:textId="77777777" w:rsidR="004B79A3" w:rsidRPr="00EB1CF7" w:rsidRDefault="004B79A3" w:rsidP="004B79A3">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EB1CF7">
        <w:rPr>
          <w:rFonts w:ascii="Verdana" w:eastAsia="Century Gothic" w:hAnsi="Verdana" w:cs="Century Gothic"/>
          <w:b/>
          <w:bCs/>
        </w:rPr>
        <w:t>Respuesta</w:t>
      </w:r>
    </w:p>
    <w:p w14:paraId="47CE6F2C" w14:textId="77777777" w:rsidR="004B79A3" w:rsidRPr="00EB1CF7" w:rsidRDefault="004B79A3" w:rsidP="004B79A3">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4B79A3" w:rsidRPr="00013076" w14:paraId="05FACE6F" w14:textId="77777777" w:rsidTr="00540096">
        <w:trPr>
          <w:jc w:val="center"/>
        </w:trPr>
        <w:tc>
          <w:tcPr>
            <w:tcW w:w="8828" w:type="dxa"/>
            <w:shd w:val="clear" w:color="auto" w:fill="auto"/>
          </w:tcPr>
          <w:p w14:paraId="7C8BDEA9" w14:textId="77777777" w:rsidR="0010566C" w:rsidRDefault="00A135CA" w:rsidP="0010566C">
            <w:pPr>
              <w:spacing w:after="120" w:line="276" w:lineRule="auto"/>
              <w:ind w:firstLine="709"/>
              <w:jc w:val="both"/>
              <w:rPr>
                <w:rFonts w:ascii="Verdana" w:eastAsia="Calibri" w:hAnsi="Verdana" w:cs="Arial"/>
                <w:color w:val="000000" w:themeColor="text1"/>
              </w:rPr>
            </w:pPr>
            <w:bookmarkStart w:id="0" w:name="_Hlk171694685"/>
            <w:r w:rsidRPr="00A3328A">
              <w:rPr>
                <w:rFonts w:ascii="Verdana" w:eastAsia="Calibri" w:hAnsi="Verdana" w:cs="Arial"/>
                <w:color w:val="000000" w:themeColor="text1"/>
              </w:rPr>
              <w:t>R</w:t>
            </w:r>
            <w:r w:rsidRPr="008E23AA">
              <w:rPr>
                <w:rFonts w:ascii="Verdana" w:eastAsia="Calibri" w:hAnsi="Verdana" w:cs="Arial"/>
                <w:color w:val="000000" w:themeColor="text1"/>
              </w:rPr>
              <w:t xml:space="preserve">especto al problema jurídico planteado, </w:t>
            </w:r>
            <w:r w:rsidRPr="00A3328A">
              <w:rPr>
                <w:rFonts w:ascii="Verdana" w:eastAsia="Calibri" w:hAnsi="Verdana" w:cs="Arial"/>
                <w:color w:val="000000" w:themeColor="text1"/>
              </w:rPr>
              <w:t>como</w:t>
            </w:r>
            <w:r w:rsidR="004B79A3" w:rsidRPr="00CF54DC">
              <w:rPr>
                <w:rFonts w:ascii="Verdana" w:eastAsia="Calibri" w:hAnsi="Verdana" w:cs="Arial"/>
                <w:color w:val="000000" w:themeColor="text1"/>
              </w:rPr>
              <w:t xml:space="preserve"> primera medida, </w:t>
            </w:r>
            <w:r w:rsidR="001E1D4A" w:rsidRPr="00A22280">
              <w:rPr>
                <w:rFonts w:ascii="Verdana" w:eastAsia="Calibri" w:hAnsi="Verdana" w:cs="Arial"/>
                <w:lang w:val="es-ES"/>
              </w:rPr>
              <w:t>es importante aclarar que, teniendo</w:t>
            </w:r>
            <w:r w:rsidR="001E1D4A" w:rsidRPr="00A22280">
              <w:t xml:space="preserve"> </w:t>
            </w:r>
            <w:r w:rsidR="001E1D4A" w:rsidRPr="00A22280">
              <w:rPr>
                <w:rFonts w:ascii="Verdana" w:eastAsia="Calibri" w:hAnsi="Verdana" w:cs="Arial"/>
                <w:lang w:val="es-ES"/>
              </w:rPr>
              <w:t xml:space="preserve">en cuenta que esta entidad solo tiene competencia para responder solicitudes sobre la aplicación de normas de carácter general en materia de compras y contratación pública, </w:t>
            </w:r>
            <w:r w:rsidR="001E1D4A" w:rsidRPr="00F75E78">
              <w:rPr>
                <w:rFonts w:ascii="Verdana" w:eastAsia="Calibri" w:hAnsi="Verdana" w:cs="Arial"/>
                <w:i/>
                <w:lang w:val="es-ES"/>
              </w:rPr>
              <w:t>NO es la idónea para establecer la validez de la situación descrita en su consulta.</w:t>
            </w:r>
            <w:r w:rsidR="001E1D4A">
              <w:rPr>
                <w:rFonts w:ascii="Verdana" w:eastAsia="Calibri" w:hAnsi="Verdana" w:cs="Arial"/>
                <w:u w:val="single"/>
                <w:lang w:val="es-ES"/>
              </w:rPr>
              <w:t xml:space="preserve"> </w:t>
            </w:r>
            <w:r w:rsidR="001E1D4A" w:rsidRPr="002663F0">
              <w:rPr>
                <w:rFonts w:ascii="Verdana" w:eastAsia="Calibri" w:hAnsi="Verdana" w:cs="Arial"/>
                <w:lang w:val="es-ES"/>
              </w:rPr>
              <w:t>Lo anterior</w:t>
            </w:r>
            <w:r w:rsidR="001E1D4A" w:rsidRPr="002663F0">
              <w:rPr>
                <w:rFonts w:ascii="Verdana" w:eastAsia="Calibri" w:hAnsi="Verdana" w:cs="Arial"/>
                <w:color w:val="000000" w:themeColor="text1"/>
              </w:rPr>
              <w:t xml:space="preserve"> </w:t>
            </w:r>
            <w:r w:rsidR="001E1D4A">
              <w:rPr>
                <w:rFonts w:ascii="Verdana" w:eastAsia="Calibri" w:hAnsi="Verdana" w:cs="Arial"/>
                <w:color w:val="000000" w:themeColor="text1"/>
              </w:rPr>
              <w:t>debido a que la competencia consultiva se fija con límites claros, con el objeto de</w:t>
            </w:r>
            <w:r w:rsidR="001E1D4A" w:rsidRPr="00CF54DC">
              <w:rPr>
                <w:rFonts w:ascii="Verdana" w:eastAsia="Calibri" w:hAnsi="Verdana" w:cs="Arial"/>
                <w:color w:val="000000" w:themeColor="text1"/>
              </w:rPr>
              <w:t xml:space="preserve"> evitar que se actúe como una instancia de validación de las actuaciones de las entidades sujetas a la Ley 80 de 1993 o de los demás </w:t>
            </w:r>
            <w:r w:rsidR="001E1D4A" w:rsidRPr="00CF54DC">
              <w:rPr>
                <w:rFonts w:ascii="Verdana" w:eastAsia="Calibri" w:hAnsi="Verdana" w:cs="Arial"/>
                <w:color w:val="000000" w:themeColor="text1"/>
              </w:rPr>
              <w:lastRenderedPageBreak/>
              <w:t>participantes en la contratación pública, lo cual corresponde a la competencia de los entes de control y los jueces de la República.</w:t>
            </w:r>
          </w:p>
          <w:p w14:paraId="49474E5E" w14:textId="77777777" w:rsidR="0010566C" w:rsidRDefault="0010566C" w:rsidP="0010566C">
            <w:pPr>
              <w:spacing w:after="120" w:line="276" w:lineRule="auto"/>
              <w:ind w:firstLine="709"/>
              <w:jc w:val="both"/>
              <w:rPr>
                <w:rFonts w:ascii="Verdana" w:eastAsia="Calibri" w:hAnsi="Verdana" w:cs="Arial"/>
                <w:bCs/>
                <w:lang w:val="es-MX"/>
              </w:rPr>
            </w:pPr>
            <w:r>
              <w:rPr>
                <w:rFonts w:ascii="Verdana" w:eastAsia="Calibri" w:hAnsi="Verdana" w:cs="Arial"/>
                <w:color w:val="000000" w:themeColor="text1"/>
              </w:rPr>
              <w:t xml:space="preserve">Ahora bien, </w:t>
            </w:r>
            <w:r w:rsidR="00224050">
              <w:rPr>
                <w:rFonts w:ascii="Verdana" w:eastAsia="Calibri" w:hAnsi="Verdana" w:cs="Arial"/>
                <w:color w:val="000000" w:themeColor="text1"/>
              </w:rPr>
              <w:t xml:space="preserve">uno de los principios que cobija todos y cada uno de los procesos de selección, sin distención alguna, es el de selección objetiva, el cual, </w:t>
            </w:r>
            <w:r w:rsidR="00224050" w:rsidRPr="00BD4869">
              <w:rPr>
                <w:rFonts w:ascii="Verdana" w:eastAsia="Calibri" w:hAnsi="Verdana" w:cs="Arial"/>
                <w:bCs/>
                <w:lang w:val="es-MX"/>
              </w:rPr>
              <w:t>puede decirse</w:t>
            </w:r>
            <w:r w:rsidR="00224050">
              <w:rPr>
                <w:rFonts w:ascii="Verdana" w:eastAsia="Calibri" w:hAnsi="Verdana" w:cs="Arial"/>
                <w:bCs/>
                <w:lang w:val="es-MX"/>
              </w:rPr>
              <w:t xml:space="preserve"> que, </w:t>
            </w:r>
            <w:r w:rsidR="00224050" w:rsidRPr="00BD4869">
              <w:rPr>
                <w:rFonts w:ascii="Verdana" w:eastAsia="Calibri" w:hAnsi="Verdana" w:cs="Arial"/>
                <w:bCs/>
                <w:lang w:val="es-MX"/>
              </w:rPr>
              <w:t>supone que las entidades escojan en los procesos de selección el “[…] ofrecimiento más favorable a la entidad y a los fines que ella busca […]”. Tal favorabilidad debe determinarse a partir de criterios que pueden variar, de acuerdo con el objeto contractual o la modalidad de selección aplicable, los cuales, en todo caso, para que la selección sea objetiva, deben estar señalados en el pliego de condiciones o documento equivalente.</w:t>
            </w:r>
          </w:p>
          <w:p w14:paraId="2BCBDE03" w14:textId="77777777" w:rsidR="00CD730C" w:rsidRDefault="00CD730C" w:rsidP="0010566C">
            <w:pPr>
              <w:spacing w:after="120" w:line="276" w:lineRule="auto"/>
              <w:ind w:firstLine="709"/>
              <w:jc w:val="both"/>
              <w:rPr>
                <w:rFonts w:ascii="Verdana" w:eastAsia="Calibri" w:hAnsi="Verdana" w:cs="Arial"/>
                <w:color w:val="000000" w:themeColor="text1"/>
              </w:rPr>
            </w:pPr>
            <w:r w:rsidRPr="00CD730C">
              <w:rPr>
                <w:rFonts w:ascii="Verdana" w:eastAsia="Calibri" w:hAnsi="Verdana" w:cs="Arial"/>
                <w:color w:val="000000" w:themeColor="text1"/>
              </w:rPr>
              <w:t>En relación con el proceso de selección mediante subasta inversa y la solicitud de muestras de los elementos ofertados, a juicio de esta Agencia, dicha solicitud es legal, siempre y cuando se respeten los principios de transparencia y objetividad en la selección de proveedores. Esto implica que la exigencia de muestras debe estar claramente establecida en el pliego de condiciones y debe constituir un requisito habilitante que permita a la entidad verificar la calidad de los productos ofrecidos.</w:t>
            </w:r>
          </w:p>
          <w:p w14:paraId="6D558C78" w14:textId="2536363F" w:rsidR="00CD730C" w:rsidRPr="00013076" w:rsidRDefault="00CD730C" w:rsidP="0010566C">
            <w:pPr>
              <w:spacing w:after="120" w:line="276" w:lineRule="auto"/>
              <w:ind w:firstLine="709"/>
              <w:jc w:val="both"/>
              <w:rPr>
                <w:rFonts w:ascii="Verdana" w:eastAsia="Calibri" w:hAnsi="Verdana" w:cs="Arial"/>
                <w:color w:val="000000" w:themeColor="text1"/>
              </w:rPr>
            </w:pPr>
            <w:r>
              <w:rPr>
                <w:rFonts w:ascii="Verdana" w:eastAsia="Calibri" w:hAnsi="Verdana" w:cs="Arial"/>
                <w:color w:val="000000" w:themeColor="text1"/>
              </w:rPr>
              <w:t>Lo anterior, es posible e</w:t>
            </w:r>
            <w:r w:rsidRPr="00CD730C">
              <w:rPr>
                <w:rFonts w:ascii="Verdana" w:eastAsia="Calibri" w:hAnsi="Verdana" w:cs="Arial"/>
                <w:color w:val="000000" w:themeColor="text1"/>
              </w:rPr>
              <w:t>n la contratación pública, pues –conforme al artículo 32 de la Ley 80 de 1993– la Administración puede celebrar todos los actos jurídicos previstos en el derecho privado, en disposiciones especiales o derivados del ejercicio de la autonomía de la voluntad; razón por la cual, en la medida en que esta práctica no está expresamente prohibida por el Estatuto General de Contratación, se encuentra permitida. No obstante, esta autonomía para requerirlas no es ilimitada y, sin perjuicio de las restricciones para algunos procesos de selección, se sujeta a principios como la planeación y la selección objetiva</w:t>
            </w:r>
          </w:p>
        </w:tc>
      </w:tr>
    </w:tbl>
    <w:p w14:paraId="01CE2F1A" w14:textId="77777777" w:rsidR="004B79A3" w:rsidRPr="00013076" w:rsidRDefault="004B79A3" w:rsidP="004B79A3">
      <w:pPr>
        <w:tabs>
          <w:tab w:val="left" w:pos="142"/>
          <w:tab w:val="left" w:pos="284"/>
        </w:tabs>
        <w:spacing w:after="0" w:line="276" w:lineRule="auto"/>
        <w:jc w:val="both"/>
        <w:rPr>
          <w:rFonts w:ascii="Verdana" w:eastAsia="Century Gothic" w:hAnsi="Verdana" w:cs="Century Gothic"/>
          <w:b/>
          <w:bCs/>
        </w:rPr>
      </w:pPr>
    </w:p>
    <w:bookmarkEnd w:id="0"/>
    <w:p w14:paraId="5DF1A374" w14:textId="77777777" w:rsidR="004B79A3" w:rsidRPr="00EB1CF7" w:rsidRDefault="004B79A3" w:rsidP="004B79A3">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6DF67655">
        <w:rPr>
          <w:rFonts w:ascii="Verdana" w:eastAsia="Century Gothic" w:hAnsi="Verdana" w:cs="Century Gothic"/>
          <w:b/>
          <w:bCs/>
        </w:rPr>
        <w:t>Razones de las respuestas:</w:t>
      </w:r>
    </w:p>
    <w:p w14:paraId="1A187D06" w14:textId="77777777" w:rsidR="004B79A3" w:rsidRPr="00EB1CF7" w:rsidRDefault="004B79A3" w:rsidP="004B79A3">
      <w:pPr>
        <w:spacing w:after="0" w:line="276" w:lineRule="auto"/>
        <w:jc w:val="both"/>
        <w:rPr>
          <w:rFonts w:ascii="Verdana" w:eastAsia="Calibri" w:hAnsi="Verdana" w:cs="Arial"/>
          <w:color w:val="7030A0"/>
          <w:lang w:val="es-ES"/>
        </w:rPr>
      </w:pPr>
    </w:p>
    <w:p w14:paraId="38811E88" w14:textId="77777777" w:rsidR="004B79A3" w:rsidRDefault="004B79A3" w:rsidP="004B79A3">
      <w:pPr>
        <w:spacing w:after="0" w:line="276" w:lineRule="auto"/>
        <w:jc w:val="both"/>
        <w:rPr>
          <w:rFonts w:ascii="Verdana" w:eastAsia="Calibri" w:hAnsi="Verdana" w:cs="Arial"/>
          <w:lang w:val="es-ES"/>
        </w:rPr>
      </w:pPr>
      <w:r w:rsidRPr="00EB1CF7">
        <w:rPr>
          <w:rFonts w:ascii="Verdana" w:eastAsia="Calibri" w:hAnsi="Verdana" w:cs="Arial"/>
          <w:lang w:val="es-ES"/>
        </w:rPr>
        <w:t>Lo anterior se sustenta en las siguientes consideraciones:</w:t>
      </w:r>
    </w:p>
    <w:p w14:paraId="4C7D0898" w14:textId="77777777" w:rsidR="004B79A3" w:rsidRDefault="004B79A3" w:rsidP="004B79A3">
      <w:pPr>
        <w:spacing w:after="0" w:line="276" w:lineRule="auto"/>
        <w:jc w:val="both"/>
        <w:rPr>
          <w:rFonts w:ascii="Verdana" w:eastAsia="Calibri" w:hAnsi="Verdana" w:cs="Arial"/>
          <w:lang w:val="es-ES"/>
        </w:rPr>
      </w:pPr>
    </w:p>
    <w:p w14:paraId="4EB1015C" w14:textId="77777777" w:rsidR="00034648" w:rsidRDefault="004B79A3" w:rsidP="00EC762B">
      <w:pPr>
        <w:spacing w:after="120" w:line="276" w:lineRule="auto"/>
        <w:jc w:val="both"/>
        <w:rPr>
          <w:rFonts w:ascii="Verdana" w:eastAsiaTheme="minorEastAsia" w:hAnsi="Verdana" w:cs="Arial"/>
          <w:lang w:eastAsia="es-CO"/>
        </w:rPr>
      </w:pPr>
      <w:r w:rsidRPr="00CF54DC">
        <w:rPr>
          <w:rFonts w:ascii="Verdana" w:eastAsiaTheme="minorEastAsia" w:hAnsi="Verdana" w:cs="Arial"/>
          <w:lang w:val="es-ES" w:eastAsia="es-CO"/>
        </w:rPr>
        <w:t>Respecto del objeto de su consulta debe advertirse que,</w:t>
      </w:r>
      <w:r w:rsidRPr="00CF54DC">
        <w:rPr>
          <w:rFonts w:ascii="Verdana" w:eastAsiaTheme="minorEastAsia" w:hAnsi="Verdana" w:cs="Arial"/>
          <w:lang w:eastAsia="es-CO"/>
        </w:rPr>
        <w:t xml:space="preserve"> la Agencia Nacional de Contratación Pública – Colombia Compra Eficiente fue creada por el Decreto Ley 4170 de 2011, como una Unidad Administrativa Especial, descentralizada de la Rama Ejecutiva del orden nacional, adscrita al Departamento Nacional de Planeación. El legislador determinó que su objetivo sería servir como ente rector </w:t>
      </w:r>
      <w:r w:rsidRPr="00CF54DC">
        <w:rPr>
          <w:rFonts w:ascii="Verdana" w:eastAsiaTheme="minorEastAsia" w:hAnsi="Verdana" w:cs="Arial"/>
          <w:lang w:eastAsia="es-CO"/>
        </w:rPr>
        <w:lastRenderedPageBreak/>
        <w:t>de la política de compras y contratación del Estado, al ser consciente de la necesidad de contar en la estructura del Estado con un órgano técnico especializado que asumiera la tarea de formular políticas públicas, normas y unificar los procesos de contratación estatal</w:t>
      </w:r>
      <w:r w:rsidR="001B0BEB">
        <w:rPr>
          <w:rFonts w:ascii="Verdana" w:eastAsiaTheme="minorEastAsia" w:hAnsi="Verdana" w:cs="Arial"/>
          <w:lang w:eastAsia="es-CO"/>
        </w:rPr>
        <w:t xml:space="preserve">. </w:t>
      </w:r>
    </w:p>
    <w:p w14:paraId="2C2A2E44" w14:textId="71CC9622" w:rsidR="00034648" w:rsidRDefault="001B0BEB" w:rsidP="004B79A3">
      <w:pPr>
        <w:spacing w:after="120" w:line="276" w:lineRule="auto"/>
        <w:ind w:firstLine="708"/>
        <w:jc w:val="both"/>
        <w:rPr>
          <w:rFonts w:ascii="Verdana" w:eastAsiaTheme="minorEastAsia" w:hAnsi="Verdana" w:cs="Arial"/>
          <w:lang w:eastAsia="es-CO"/>
        </w:rPr>
      </w:pPr>
      <w:r>
        <w:rPr>
          <w:rFonts w:ascii="Verdana" w:eastAsiaTheme="minorEastAsia" w:hAnsi="Verdana" w:cs="Arial"/>
          <w:lang w:eastAsia="es-CO"/>
        </w:rPr>
        <w:t xml:space="preserve">En ese contexto, el legislador extraordinario </w:t>
      </w:r>
      <w:r w:rsidR="004B79A3" w:rsidRPr="00CF54DC">
        <w:rPr>
          <w:rFonts w:ascii="Verdana" w:eastAsiaTheme="minorEastAsia" w:hAnsi="Verdana" w:cs="Arial"/>
          <w:lang w:eastAsia="es-CO"/>
        </w:rPr>
        <w:t>facult</w:t>
      </w:r>
      <w:r>
        <w:rPr>
          <w:rFonts w:ascii="Verdana" w:eastAsiaTheme="minorEastAsia" w:hAnsi="Verdana" w:cs="Arial"/>
          <w:lang w:eastAsia="es-CO"/>
        </w:rPr>
        <w:t>ó</w:t>
      </w:r>
      <w:r w:rsidR="004B79A3" w:rsidRPr="00CF54DC">
        <w:rPr>
          <w:rFonts w:ascii="Verdana" w:eastAsiaTheme="minorEastAsia" w:hAnsi="Verdana" w:cs="Arial"/>
          <w:lang w:eastAsia="es-CO"/>
        </w:rPr>
        <w:t xml:space="preserve"> a la Agencia para “Absolver consultas sobre la aplicación de normas de carácter general” y “difundir las normas, reglas, procedimientos, medios tecnológicos y mejores prácticas para las compras y la contratación pública”, de conformidad con el numeral 5 y 10 del artículo 3 </w:t>
      </w:r>
      <w:r w:rsidR="00034648" w:rsidRPr="00CF54DC">
        <w:rPr>
          <w:rFonts w:ascii="Verdana" w:eastAsiaTheme="minorEastAsia" w:hAnsi="Verdana" w:cs="Arial"/>
          <w:lang w:eastAsia="es-CO"/>
        </w:rPr>
        <w:t xml:space="preserve">del Decreto </w:t>
      </w:r>
      <w:r w:rsidR="00034648">
        <w:rPr>
          <w:rFonts w:ascii="Verdana" w:eastAsiaTheme="minorEastAsia" w:hAnsi="Verdana" w:cs="Arial"/>
          <w:lang w:eastAsia="es-CO"/>
        </w:rPr>
        <w:t xml:space="preserve">Ley </w:t>
      </w:r>
      <w:r w:rsidR="00034648" w:rsidRPr="00CF54DC">
        <w:rPr>
          <w:rFonts w:ascii="Verdana" w:eastAsiaTheme="minorEastAsia" w:hAnsi="Verdana" w:cs="Arial"/>
          <w:lang w:eastAsia="es-CO"/>
        </w:rPr>
        <w:t>4170 de</w:t>
      </w:r>
      <w:r w:rsidR="00034648" w:rsidRPr="00CF54DC">
        <w:rPr>
          <w:rFonts w:ascii="Verdana" w:eastAsiaTheme="minorEastAsia" w:hAnsi="Verdana" w:cs="Arial"/>
          <w:spacing w:val="1"/>
          <w:lang w:eastAsia="es-CO"/>
        </w:rPr>
        <w:t xml:space="preserve"> </w:t>
      </w:r>
      <w:r w:rsidR="00034648" w:rsidRPr="00CF54DC">
        <w:rPr>
          <w:rFonts w:ascii="Verdana" w:eastAsiaTheme="minorEastAsia" w:hAnsi="Verdana" w:cs="Arial"/>
          <w:lang w:eastAsia="es-CO"/>
        </w:rPr>
        <w:t>2011</w:t>
      </w:r>
      <w:r w:rsidR="004B79A3" w:rsidRPr="00CF54DC">
        <w:rPr>
          <w:rFonts w:ascii="Verdana" w:eastAsiaTheme="minorEastAsia" w:hAnsi="Verdana" w:cs="Arial"/>
          <w:lang w:eastAsia="es-CO"/>
        </w:rPr>
        <w:t xml:space="preserve">. </w:t>
      </w:r>
      <w:r w:rsidR="00AE36C5" w:rsidRPr="0063536A">
        <w:rPr>
          <w:rFonts w:ascii="Verdana" w:eastAsia="Calibri" w:hAnsi="Verdana" w:cs="Arial"/>
          <w:lang w:val="es-ES" w:eastAsia="es-CO"/>
        </w:rPr>
        <w:t>Así las cosas</w:t>
      </w:r>
      <w:r w:rsidR="004B79A3" w:rsidRPr="00CF54DC">
        <w:rPr>
          <w:rFonts w:ascii="Verdana" w:eastAsia="Calibri" w:hAnsi="Verdana" w:cs="Arial"/>
          <w:lang w:val="es-ES" w:eastAsia="es-CO"/>
        </w:rPr>
        <w:t xml:space="preserve">, </w:t>
      </w:r>
      <w:r w:rsidR="004B79A3" w:rsidRPr="00CF54DC">
        <w:rPr>
          <w:rFonts w:ascii="Verdana" w:eastAsiaTheme="minorEastAsia" w:hAnsi="Verdana" w:cs="Arial"/>
          <w:lang w:eastAsia="es-CO"/>
        </w:rPr>
        <w:t xml:space="preserve">de acuerdo con lo establecido en los artículos 3.5 y 11.8 </w:t>
      </w:r>
      <w:r w:rsidR="00034648" w:rsidRPr="00CF54DC">
        <w:rPr>
          <w:rFonts w:ascii="Verdana" w:eastAsiaTheme="minorEastAsia" w:hAnsi="Verdana" w:cs="Arial"/>
          <w:i/>
          <w:iCs/>
          <w:lang w:eastAsia="es-CO"/>
        </w:rPr>
        <w:t>ibidem</w:t>
      </w:r>
      <w:r w:rsidR="004B79A3" w:rsidRPr="00CF54DC">
        <w:rPr>
          <w:rFonts w:ascii="Verdana" w:eastAsiaTheme="minorEastAsia" w:hAnsi="Verdana" w:cs="Arial"/>
          <w:lang w:eastAsia="es-CO"/>
        </w:rPr>
        <w:t>, la Agencia Nacional de Contratación Pública – Colombia Compra Eficiente</w:t>
      </w:r>
      <w:r w:rsidR="004B79A3" w:rsidRPr="00CF54DC">
        <w:rPr>
          <w:rFonts w:ascii="Verdana" w:eastAsiaTheme="minorEastAsia" w:hAnsi="Verdana" w:cs="Arial"/>
          <w:lang w:val="es-ES" w:eastAsia="es-CO"/>
        </w:rPr>
        <w:t xml:space="preserve"> </w:t>
      </w:r>
      <w:r w:rsidR="004B79A3" w:rsidRPr="00CF54DC">
        <w:rPr>
          <w:rFonts w:ascii="Verdana" w:eastAsiaTheme="minorEastAsia" w:hAnsi="Verdana" w:cs="Arial"/>
          <w:lang w:eastAsia="es-CO"/>
        </w:rPr>
        <w:t>resuelve</w:t>
      </w:r>
      <w:r w:rsidR="004B79A3" w:rsidRPr="00CF54DC">
        <w:rPr>
          <w:rFonts w:ascii="Verdana" w:eastAsiaTheme="minorEastAsia" w:hAnsi="Verdana" w:cs="Arial"/>
          <w:spacing w:val="-16"/>
          <w:lang w:eastAsia="es-CO"/>
        </w:rPr>
        <w:t xml:space="preserve"> </w:t>
      </w:r>
      <w:r w:rsidR="004B79A3" w:rsidRPr="00CF54DC">
        <w:rPr>
          <w:rFonts w:ascii="Verdana" w:eastAsiaTheme="minorEastAsia" w:hAnsi="Verdana" w:cs="Arial"/>
          <w:lang w:eastAsia="es-CO"/>
        </w:rPr>
        <w:t>las</w:t>
      </w:r>
      <w:r w:rsidR="004B79A3" w:rsidRPr="00CF54DC">
        <w:rPr>
          <w:rFonts w:ascii="Verdana" w:eastAsiaTheme="minorEastAsia" w:hAnsi="Verdana" w:cs="Arial"/>
          <w:spacing w:val="-15"/>
          <w:lang w:eastAsia="es-CO"/>
        </w:rPr>
        <w:t xml:space="preserve"> </w:t>
      </w:r>
      <w:r w:rsidR="004B79A3" w:rsidRPr="00CF54DC">
        <w:rPr>
          <w:rFonts w:ascii="Verdana" w:eastAsiaTheme="minorEastAsia" w:hAnsi="Verdana" w:cs="Arial"/>
          <w:lang w:eastAsia="es-CO"/>
        </w:rPr>
        <w:t>consultas</w:t>
      </w:r>
      <w:r w:rsidR="004B79A3" w:rsidRPr="00CF54DC">
        <w:rPr>
          <w:rFonts w:ascii="Verdana" w:eastAsiaTheme="minorEastAsia" w:hAnsi="Verdana" w:cs="Arial"/>
          <w:spacing w:val="-15"/>
          <w:lang w:eastAsia="es-CO"/>
        </w:rPr>
        <w:t xml:space="preserve"> </w:t>
      </w:r>
      <w:r w:rsidR="004B79A3" w:rsidRPr="00CF54DC">
        <w:rPr>
          <w:rFonts w:ascii="Verdana" w:eastAsiaTheme="minorEastAsia" w:hAnsi="Verdana" w:cs="Arial"/>
          <w:lang w:eastAsia="es-CO"/>
        </w:rPr>
        <w:t>sobre</w:t>
      </w:r>
      <w:r w:rsidR="004B79A3" w:rsidRPr="00CF54DC">
        <w:rPr>
          <w:rFonts w:ascii="Verdana" w:eastAsiaTheme="minorEastAsia" w:hAnsi="Verdana" w:cs="Arial"/>
          <w:spacing w:val="-15"/>
          <w:lang w:eastAsia="es-CO"/>
        </w:rPr>
        <w:t xml:space="preserve"> </w:t>
      </w:r>
      <w:r w:rsidR="004B79A3" w:rsidRPr="00CF54DC">
        <w:rPr>
          <w:rFonts w:ascii="Verdana" w:eastAsiaTheme="minorEastAsia" w:hAnsi="Verdana" w:cs="Arial"/>
          <w:lang w:eastAsia="es-CO"/>
        </w:rPr>
        <w:t>los</w:t>
      </w:r>
      <w:r w:rsidR="004B79A3" w:rsidRPr="00CF54DC">
        <w:rPr>
          <w:rFonts w:ascii="Verdana" w:eastAsiaTheme="minorEastAsia" w:hAnsi="Verdana" w:cs="Arial"/>
          <w:spacing w:val="-15"/>
          <w:lang w:eastAsia="es-CO"/>
        </w:rPr>
        <w:t xml:space="preserve"> </w:t>
      </w:r>
      <w:r w:rsidR="004B79A3" w:rsidRPr="00CF54DC">
        <w:rPr>
          <w:rFonts w:ascii="Verdana" w:eastAsiaTheme="minorEastAsia" w:hAnsi="Verdana" w:cs="Arial"/>
          <w:lang w:eastAsia="es-CO"/>
        </w:rPr>
        <w:t>asuntos</w:t>
      </w:r>
      <w:r w:rsidR="004B79A3" w:rsidRPr="00CF54DC">
        <w:rPr>
          <w:rFonts w:ascii="Verdana" w:eastAsiaTheme="minorEastAsia" w:hAnsi="Verdana" w:cs="Arial"/>
          <w:spacing w:val="-15"/>
          <w:lang w:eastAsia="es-CO"/>
        </w:rPr>
        <w:t xml:space="preserve"> </w:t>
      </w:r>
      <w:r w:rsidR="004B79A3" w:rsidRPr="00CF54DC">
        <w:rPr>
          <w:rFonts w:ascii="Verdana" w:eastAsiaTheme="minorEastAsia" w:hAnsi="Verdana" w:cs="Arial"/>
          <w:lang w:eastAsia="es-CO"/>
        </w:rPr>
        <w:t>de</w:t>
      </w:r>
      <w:r w:rsidR="004B79A3" w:rsidRPr="00CF54DC">
        <w:rPr>
          <w:rFonts w:ascii="Verdana" w:eastAsiaTheme="minorEastAsia" w:hAnsi="Verdana" w:cs="Arial"/>
          <w:spacing w:val="-15"/>
          <w:lang w:eastAsia="es-CO"/>
        </w:rPr>
        <w:t xml:space="preserve"> </w:t>
      </w:r>
      <w:r w:rsidR="004B79A3" w:rsidRPr="00CF54DC">
        <w:rPr>
          <w:rFonts w:ascii="Verdana" w:eastAsiaTheme="minorEastAsia" w:hAnsi="Verdana" w:cs="Arial"/>
          <w:lang w:eastAsia="es-CO"/>
        </w:rPr>
        <w:t>su</w:t>
      </w:r>
      <w:r w:rsidR="004B79A3" w:rsidRPr="00CF54DC">
        <w:rPr>
          <w:rFonts w:ascii="Verdana" w:eastAsiaTheme="minorEastAsia" w:hAnsi="Verdana" w:cs="Arial"/>
          <w:spacing w:val="-15"/>
          <w:lang w:eastAsia="es-CO"/>
        </w:rPr>
        <w:t xml:space="preserve"> </w:t>
      </w:r>
      <w:r w:rsidR="004B79A3" w:rsidRPr="00CF54DC">
        <w:rPr>
          <w:rFonts w:ascii="Verdana" w:eastAsiaTheme="minorEastAsia" w:hAnsi="Verdana" w:cs="Arial"/>
          <w:lang w:eastAsia="es-CO"/>
        </w:rPr>
        <w:t>competencia,</w:t>
      </w:r>
      <w:r w:rsidR="004B79A3" w:rsidRPr="00CF54DC">
        <w:rPr>
          <w:rFonts w:ascii="Verdana" w:eastAsiaTheme="minorEastAsia" w:hAnsi="Verdana" w:cs="Arial"/>
          <w:spacing w:val="-59"/>
          <w:lang w:eastAsia="es-CO"/>
        </w:rPr>
        <w:t xml:space="preserve"> </w:t>
      </w:r>
      <w:r w:rsidR="004B79A3" w:rsidRPr="00CF54DC">
        <w:rPr>
          <w:rFonts w:ascii="Verdana" w:eastAsiaTheme="minorEastAsia" w:hAnsi="Verdana" w:cs="Arial"/>
          <w:lang w:eastAsia="es-CO"/>
        </w:rPr>
        <w:t>esto es, sobre las temáticas de la contratación estatal y compras públicas relacionadas en los</w:t>
      </w:r>
      <w:r w:rsidR="004B79A3" w:rsidRPr="00CF54DC">
        <w:rPr>
          <w:rFonts w:ascii="Verdana" w:eastAsiaTheme="minorEastAsia" w:hAnsi="Verdana" w:cs="Arial"/>
          <w:spacing w:val="1"/>
          <w:lang w:eastAsia="es-CO"/>
        </w:rPr>
        <w:t xml:space="preserve"> </w:t>
      </w:r>
      <w:r w:rsidR="004B79A3" w:rsidRPr="00CF54DC">
        <w:rPr>
          <w:rFonts w:ascii="Verdana" w:eastAsiaTheme="minorEastAsia" w:hAnsi="Verdana" w:cs="Arial"/>
          <w:lang w:eastAsia="es-CO"/>
        </w:rPr>
        <w:t>artículos citados</w:t>
      </w:r>
      <w:r w:rsidR="00E76EEC" w:rsidRPr="00CF54DC">
        <w:rPr>
          <w:rFonts w:ascii="Verdana" w:eastAsiaTheme="minorEastAsia" w:hAnsi="Verdana" w:cs="Arial"/>
          <w:vertAlign w:val="superscript"/>
          <w:lang w:eastAsia="es-CO"/>
        </w:rPr>
        <w:footnoteReference w:id="2"/>
      </w:r>
      <w:r w:rsidR="004B79A3" w:rsidRPr="00CF54DC">
        <w:rPr>
          <w:rFonts w:ascii="Verdana" w:eastAsiaTheme="minorEastAsia" w:hAnsi="Verdana" w:cs="Arial"/>
          <w:lang w:eastAsia="es-CO"/>
        </w:rPr>
        <w:t xml:space="preserve">. </w:t>
      </w:r>
    </w:p>
    <w:p w14:paraId="16221450" w14:textId="3A0D52B1" w:rsidR="004B79A3" w:rsidRPr="00CF54DC" w:rsidRDefault="004B79A3" w:rsidP="004B79A3">
      <w:pPr>
        <w:spacing w:after="120" w:line="276" w:lineRule="auto"/>
        <w:ind w:firstLine="708"/>
        <w:jc w:val="both"/>
        <w:rPr>
          <w:rFonts w:ascii="Verdana" w:eastAsiaTheme="minorEastAsia" w:hAnsi="Verdana" w:cs="Arial"/>
          <w:lang w:eastAsia="es-CO"/>
        </w:rPr>
      </w:pPr>
      <w:r w:rsidRPr="00CF54DC">
        <w:rPr>
          <w:rFonts w:ascii="Verdana" w:eastAsiaTheme="minorEastAsia" w:hAnsi="Verdana" w:cs="Arial"/>
          <w:lang w:eastAsia="es-CO"/>
        </w:rPr>
        <w:t>En ese sentido, resolver consultas sobre casos particulares desborda las</w:t>
      </w:r>
      <w:r w:rsidRPr="00CF54DC">
        <w:rPr>
          <w:rFonts w:ascii="Verdana" w:eastAsiaTheme="minorEastAsia" w:hAnsi="Verdana" w:cs="Arial"/>
          <w:spacing w:val="-59"/>
          <w:lang w:eastAsia="es-CO"/>
        </w:rPr>
        <w:t xml:space="preserve"> </w:t>
      </w:r>
      <w:r w:rsidRPr="00CF54DC">
        <w:rPr>
          <w:rFonts w:ascii="Verdana" w:eastAsiaTheme="minorEastAsia" w:hAnsi="Verdana" w:cs="Arial"/>
          <w:lang w:eastAsia="es-CO"/>
        </w:rPr>
        <w:t>atribuciones</w:t>
      </w:r>
      <w:r w:rsidRPr="00CF54DC">
        <w:rPr>
          <w:rFonts w:ascii="Verdana" w:eastAsiaTheme="minorEastAsia" w:hAnsi="Verdana" w:cs="Arial"/>
          <w:spacing w:val="-11"/>
          <w:lang w:eastAsia="es-CO"/>
        </w:rPr>
        <w:t xml:space="preserve"> </w:t>
      </w:r>
      <w:r w:rsidRPr="00CF54DC">
        <w:rPr>
          <w:rFonts w:ascii="Verdana" w:eastAsiaTheme="minorEastAsia" w:hAnsi="Verdana" w:cs="Arial"/>
          <w:lang w:eastAsia="es-CO"/>
        </w:rPr>
        <w:t>asignadas</w:t>
      </w:r>
      <w:r w:rsidRPr="00CF54DC">
        <w:rPr>
          <w:rFonts w:ascii="Verdana" w:eastAsiaTheme="minorEastAsia" w:hAnsi="Verdana" w:cs="Arial"/>
          <w:spacing w:val="-10"/>
          <w:lang w:eastAsia="es-CO"/>
        </w:rPr>
        <w:t xml:space="preserve"> </w:t>
      </w:r>
      <w:r w:rsidRPr="00CF54DC">
        <w:rPr>
          <w:rFonts w:ascii="Verdana" w:eastAsiaTheme="minorEastAsia" w:hAnsi="Verdana" w:cs="Arial"/>
          <w:lang w:eastAsia="es-CO"/>
        </w:rPr>
        <w:t>por</w:t>
      </w:r>
      <w:r w:rsidRPr="00CF54DC">
        <w:rPr>
          <w:rFonts w:ascii="Verdana" w:eastAsiaTheme="minorEastAsia" w:hAnsi="Verdana" w:cs="Arial"/>
          <w:spacing w:val="-10"/>
          <w:lang w:eastAsia="es-CO"/>
        </w:rPr>
        <w:t xml:space="preserve"> </w:t>
      </w:r>
      <w:r w:rsidRPr="00CF54DC">
        <w:rPr>
          <w:rFonts w:ascii="Verdana" w:eastAsiaTheme="minorEastAsia" w:hAnsi="Verdana" w:cs="Arial"/>
          <w:lang w:eastAsia="es-CO"/>
        </w:rPr>
        <w:t>el</w:t>
      </w:r>
      <w:r w:rsidRPr="00CF54DC">
        <w:rPr>
          <w:rFonts w:ascii="Verdana" w:eastAsiaTheme="minorEastAsia" w:hAnsi="Verdana" w:cs="Arial"/>
          <w:spacing w:val="-10"/>
          <w:lang w:eastAsia="es-CO"/>
        </w:rPr>
        <w:t xml:space="preserve"> </w:t>
      </w:r>
      <w:r w:rsidRPr="00CF54DC">
        <w:rPr>
          <w:rFonts w:ascii="Verdana" w:eastAsiaTheme="minorEastAsia" w:hAnsi="Verdana" w:cs="Arial"/>
          <w:lang w:eastAsia="es-CO"/>
        </w:rPr>
        <w:t>legislador,</w:t>
      </w:r>
      <w:r w:rsidRPr="00CF54DC">
        <w:rPr>
          <w:rFonts w:ascii="Verdana" w:eastAsiaTheme="minorEastAsia" w:hAnsi="Verdana" w:cs="Arial"/>
          <w:spacing w:val="-10"/>
          <w:lang w:eastAsia="es-CO"/>
        </w:rPr>
        <w:t xml:space="preserve"> </w:t>
      </w:r>
      <w:r w:rsidRPr="00CF54DC">
        <w:rPr>
          <w:rFonts w:ascii="Verdana" w:eastAsiaTheme="minorEastAsia" w:hAnsi="Verdana" w:cs="Arial"/>
          <w:lang w:eastAsia="es-CO"/>
        </w:rPr>
        <w:t>que</w:t>
      </w:r>
      <w:r w:rsidRPr="00CF54DC">
        <w:rPr>
          <w:rFonts w:ascii="Verdana" w:eastAsiaTheme="minorEastAsia" w:hAnsi="Verdana" w:cs="Arial"/>
          <w:spacing w:val="-10"/>
          <w:lang w:eastAsia="es-CO"/>
        </w:rPr>
        <w:t xml:space="preserve"> </w:t>
      </w:r>
      <w:r w:rsidRPr="00CF54DC">
        <w:rPr>
          <w:rFonts w:ascii="Verdana" w:eastAsiaTheme="minorEastAsia" w:hAnsi="Verdana" w:cs="Arial"/>
          <w:lang w:eastAsia="es-CO"/>
        </w:rPr>
        <w:t>no</w:t>
      </w:r>
      <w:r w:rsidRPr="00CF54DC">
        <w:rPr>
          <w:rFonts w:ascii="Verdana" w:eastAsiaTheme="minorEastAsia" w:hAnsi="Verdana" w:cs="Arial"/>
          <w:spacing w:val="-10"/>
          <w:lang w:eastAsia="es-CO"/>
        </w:rPr>
        <w:t xml:space="preserve"> </w:t>
      </w:r>
      <w:r w:rsidRPr="00CF54DC">
        <w:rPr>
          <w:rFonts w:ascii="Verdana" w:eastAsiaTheme="minorEastAsia" w:hAnsi="Verdana" w:cs="Arial"/>
          <w:lang w:eastAsia="es-CO"/>
        </w:rPr>
        <w:t>concibió</w:t>
      </w:r>
      <w:r w:rsidRPr="00CF54DC">
        <w:rPr>
          <w:rFonts w:ascii="Verdana" w:eastAsiaTheme="minorEastAsia" w:hAnsi="Verdana" w:cs="Arial"/>
          <w:spacing w:val="-10"/>
          <w:lang w:eastAsia="es-CO"/>
        </w:rPr>
        <w:t xml:space="preserve"> </w:t>
      </w:r>
      <w:r w:rsidRPr="00CF54DC">
        <w:rPr>
          <w:rFonts w:ascii="Verdana" w:eastAsiaTheme="minorEastAsia" w:hAnsi="Verdana" w:cs="Arial"/>
          <w:lang w:eastAsia="es-CO"/>
        </w:rPr>
        <w:t>a</w:t>
      </w:r>
      <w:r w:rsidRPr="00CF54DC">
        <w:rPr>
          <w:rFonts w:ascii="Verdana" w:eastAsiaTheme="minorEastAsia" w:hAnsi="Verdana" w:cs="Arial"/>
          <w:spacing w:val="-10"/>
          <w:lang w:eastAsia="es-CO"/>
        </w:rPr>
        <w:t xml:space="preserve"> </w:t>
      </w:r>
      <w:r w:rsidRPr="00CF54DC">
        <w:rPr>
          <w:rFonts w:ascii="Verdana" w:eastAsiaTheme="minorEastAsia" w:hAnsi="Verdana" w:cs="Arial"/>
          <w:lang w:eastAsia="es-CO"/>
        </w:rPr>
        <w:t>Colombia</w:t>
      </w:r>
      <w:r w:rsidRPr="00CF54DC">
        <w:rPr>
          <w:rFonts w:ascii="Verdana" w:eastAsiaTheme="minorEastAsia" w:hAnsi="Verdana" w:cs="Arial"/>
          <w:spacing w:val="-10"/>
          <w:lang w:eastAsia="es-CO"/>
        </w:rPr>
        <w:t xml:space="preserve"> </w:t>
      </w:r>
      <w:r w:rsidRPr="00CF54DC">
        <w:rPr>
          <w:rFonts w:ascii="Verdana" w:eastAsiaTheme="minorEastAsia" w:hAnsi="Verdana" w:cs="Arial"/>
          <w:lang w:eastAsia="es-CO"/>
        </w:rPr>
        <w:t>Compra</w:t>
      </w:r>
      <w:r w:rsidRPr="00CF54DC">
        <w:rPr>
          <w:rFonts w:ascii="Verdana" w:eastAsiaTheme="minorEastAsia" w:hAnsi="Verdana" w:cs="Arial"/>
          <w:spacing w:val="-11"/>
          <w:lang w:eastAsia="es-CO"/>
        </w:rPr>
        <w:t xml:space="preserve"> </w:t>
      </w:r>
      <w:r w:rsidRPr="00CF54DC">
        <w:rPr>
          <w:rFonts w:ascii="Verdana" w:eastAsiaTheme="minorEastAsia" w:hAnsi="Verdana" w:cs="Arial"/>
          <w:lang w:eastAsia="es-CO"/>
        </w:rPr>
        <w:t>Eficiente</w:t>
      </w:r>
      <w:r w:rsidRPr="00CF54DC">
        <w:rPr>
          <w:rFonts w:ascii="Verdana" w:eastAsiaTheme="minorEastAsia" w:hAnsi="Verdana" w:cs="Arial"/>
          <w:spacing w:val="-8"/>
          <w:lang w:eastAsia="es-CO"/>
        </w:rPr>
        <w:t xml:space="preserve"> </w:t>
      </w:r>
      <w:r w:rsidRPr="00CF54DC">
        <w:rPr>
          <w:rFonts w:ascii="Verdana" w:eastAsiaTheme="minorEastAsia" w:hAnsi="Verdana" w:cs="Arial"/>
          <w:lang w:eastAsia="es-CO"/>
        </w:rPr>
        <w:t>como</w:t>
      </w:r>
      <w:r w:rsidRPr="00CF54DC">
        <w:rPr>
          <w:rFonts w:ascii="Verdana" w:eastAsiaTheme="minorEastAsia" w:hAnsi="Verdana" w:cs="Arial"/>
          <w:spacing w:val="-10"/>
          <w:lang w:eastAsia="es-CO"/>
        </w:rPr>
        <w:t xml:space="preserve"> </w:t>
      </w:r>
      <w:r w:rsidRPr="00CF54DC">
        <w:rPr>
          <w:rFonts w:ascii="Verdana" w:eastAsiaTheme="minorEastAsia" w:hAnsi="Verdana" w:cs="Arial"/>
          <w:lang w:eastAsia="es-CO"/>
        </w:rPr>
        <w:t>una autoridad para</w:t>
      </w:r>
      <w:r w:rsidRPr="00CF54DC">
        <w:rPr>
          <w:rFonts w:ascii="Verdana" w:eastAsiaTheme="minorEastAsia" w:hAnsi="Verdana" w:cs="Arial"/>
          <w:spacing w:val="1"/>
          <w:lang w:eastAsia="es-CO"/>
        </w:rPr>
        <w:t xml:space="preserve"> </w:t>
      </w:r>
      <w:r w:rsidRPr="00CF54DC">
        <w:rPr>
          <w:rFonts w:ascii="Verdana" w:eastAsiaTheme="minorEastAsia" w:hAnsi="Verdana" w:cs="Arial"/>
          <w:lang w:eastAsia="es-CO"/>
        </w:rPr>
        <w:t>solucionar</w:t>
      </w:r>
      <w:r w:rsidRPr="00CF54DC">
        <w:rPr>
          <w:rFonts w:ascii="Verdana" w:eastAsiaTheme="minorEastAsia" w:hAnsi="Verdana" w:cs="Arial"/>
          <w:spacing w:val="1"/>
          <w:lang w:eastAsia="es-CO"/>
        </w:rPr>
        <w:t xml:space="preserve"> </w:t>
      </w:r>
      <w:r w:rsidRPr="00CF54DC">
        <w:rPr>
          <w:rFonts w:ascii="Verdana" w:eastAsiaTheme="minorEastAsia" w:hAnsi="Verdana" w:cs="Arial"/>
          <w:lang w:eastAsia="es-CO"/>
        </w:rPr>
        <w:t>problemas</w:t>
      </w:r>
      <w:r w:rsidRPr="00CF54DC">
        <w:rPr>
          <w:rFonts w:ascii="Verdana" w:eastAsiaTheme="minorEastAsia" w:hAnsi="Verdana" w:cs="Arial"/>
          <w:spacing w:val="1"/>
          <w:lang w:eastAsia="es-CO"/>
        </w:rPr>
        <w:t xml:space="preserve"> </w:t>
      </w:r>
      <w:r w:rsidRPr="00CF54DC">
        <w:rPr>
          <w:rFonts w:ascii="Verdana" w:eastAsiaTheme="minorEastAsia" w:hAnsi="Verdana" w:cs="Arial"/>
          <w:lang w:eastAsia="es-CO"/>
        </w:rPr>
        <w:t>jurídicos</w:t>
      </w:r>
      <w:r w:rsidRPr="00CF54DC">
        <w:rPr>
          <w:rFonts w:ascii="Verdana" w:eastAsiaTheme="minorEastAsia" w:hAnsi="Verdana" w:cs="Arial"/>
          <w:spacing w:val="1"/>
          <w:lang w:eastAsia="es-CO"/>
        </w:rPr>
        <w:t xml:space="preserve"> </w:t>
      </w:r>
      <w:r w:rsidRPr="00CF54DC">
        <w:rPr>
          <w:rFonts w:ascii="Verdana" w:eastAsiaTheme="minorEastAsia" w:hAnsi="Verdana" w:cs="Arial"/>
          <w:lang w:eastAsia="es-CO"/>
        </w:rPr>
        <w:t>particulares,</w:t>
      </w:r>
      <w:r w:rsidRPr="00CF54DC">
        <w:rPr>
          <w:rFonts w:ascii="Verdana" w:eastAsiaTheme="minorEastAsia" w:hAnsi="Verdana" w:cs="Arial"/>
          <w:spacing w:val="1"/>
          <w:lang w:eastAsia="es-CO"/>
        </w:rPr>
        <w:t xml:space="preserve"> </w:t>
      </w:r>
      <w:r w:rsidRPr="00CF54DC">
        <w:rPr>
          <w:rFonts w:ascii="Verdana" w:eastAsiaTheme="minorEastAsia" w:hAnsi="Verdana" w:cs="Arial"/>
          <w:lang w:eastAsia="es-CO"/>
        </w:rPr>
        <w:t>especialmente,</w:t>
      </w:r>
      <w:r w:rsidRPr="00CF54DC">
        <w:rPr>
          <w:rFonts w:ascii="Verdana" w:eastAsiaTheme="minorEastAsia" w:hAnsi="Verdana" w:cs="Arial"/>
          <w:spacing w:val="1"/>
          <w:lang w:eastAsia="es-CO"/>
        </w:rPr>
        <w:t xml:space="preserve"> </w:t>
      </w:r>
      <w:r w:rsidRPr="00CF54DC">
        <w:rPr>
          <w:rFonts w:ascii="Verdana" w:eastAsiaTheme="minorEastAsia" w:hAnsi="Verdana" w:cs="Arial"/>
          <w:lang w:eastAsia="es-CO"/>
        </w:rPr>
        <w:t>cuando</w:t>
      </w:r>
      <w:r w:rsidRPr="00CF54DC">
        <w:rPr>
          <w:rFonts w:ascii="Verdana" w:eastAsiaTheme="minorEastAsia" w:hAnsi="Verdana" w:cs="Arial"/>
          <w:spacing w:val="1"/>
          <w:lang w:eastAsia="es-CO"/>
        </w:rPr>
        <w:t xml:space="preserve"> </w:t>
      </w:r>
      <w:r w:rsidRPr="00CF54DC">
        <w:rPr>
          <w:rFonts w:ascii="Verdana" w:eastAsiaTheme="minorEastAsia" w:hAnsi="Verdana" w:cs="Arial"/>
          <w:lang w:eastAsia="es-CO"/>
        </w:rPr>
        <w:t>el</w:t>
      </w:r>
      <w:r w:rsidRPr="00CF54DC">
        <w:rPr>
          <w:rFonts w:ascii="Verdana" w:eastAsiaTheme="minorEastAsia" w:hAnsi="Verdana" w:cs="Arial"/>
          <w:spacing w:val="1"/>
          <w:lang w:eastAsia="es-CO"/>
        </w:rPr>
        <w:t xml:space="preserve"> </w:t>
      </w:r>
      <w:r w:rsidRPr="00CF54DC">
        <w:rPr>
          <w:rFonts w:ascii="Verdana" w:eastAsiaTheme="minorEastAsia" w:hAnsi="Verdana" w:cs="Arial"/>
          <w:lang w:eastAsia="es-CO"/>
        </w:rPr>
        <w:t>conocimiento de estos últimos corresponde resolverlos a los partícipes del sistema de compra</w:t>
      </w:r>
      <w:r w:rsidRPr="00CF54DC">
        <w:rPr>
          <w:rFonts w:ascii="Verdana" w:eastAsiaTheme="minorEastAsia" w:hAnsi="Verdana" w:cs="Arial"/>
          <w:spacing w:val="1"/>
          <w:lang w:eastAsia="es-CO"/>
        </w:rPr>
        <w:t xml:space="preserve"> </w:t>
      </w:r>
      <w:r w:rsidRPr="00CF54DC">
        <w:rPr>
          <w:rFonts w:ascii="Verdana" w:eastAsiaTheme="minorEastAsia" w:hAnsi="Verdana" w:cs="Arial"/>
          <w:lang w:eastAsia="es-CO"/>
        </w:rPr>
        <w:t>pública</w:t>
      </w:r>
      <w:r w:rsidRPr="00CF54DC">
        <w:rPr>
          <w:rFonts w:ascii="Verdana" w:eastAsiaTheme="minorEastAsia" w:hAnsi="Verdana" w:cs="Arial"/>
          <w:spacing w:val="-3"/>
          <w:lang w:eastAsia="es-CO"/>
        </w:rPr>
        <w:t xml:space="preserve"> </w:t>
      </w:r>
      <w:r w:rsidRPr="00CF54DC">
        <w:rPr>
          <w:rFonts w:ascii="Verdana" w:eastAsiaTheme="minorEastAsia" w:hAnsi="Verdana" w:cs="Arial"/>
          <w:lang w:eastAsia="es-CO"/>
        </w:rPr>
        <w:t>y,</w:t>
      </w:r>
      <w:r w:rsidRPr="00CF54DC">
        <w:rPr>
          <w:rFonts w:ascii="Verdana" w:eastAsiaTheme="minorEastAsia" w:hAnsi="Verdana" w:cs="Arial"/>
          <w:spacing w:val="-3"/>
          <w:lang w:eastAsia="es-CO"/>
        </w:rPr>
        <w:t xml:space="preserve"> </w:t>
      </w:r>
      <w:r w:rsidRPr="00CF54DC">
        <w:rPr>
          <w:rFonts w:ascii="Verdana" w:eastAsiaTheme="minorEastAsia" w:hAnsi="Verdana" w:cs="Arial"/>
          <w:lang w:eastAsia="es-CO"/>
        </w:rPr>
        <w:t>eventualmente,</w:t>
      </w:r>
      <w:r w:rsidRPr="00CF54DC">
        <w:rPr>
          <w:rFonts w:ascii="Verdana" w:eastAsiaTheme="minorEastAsia" w:hAnsi="Verdana" w:cs="Arial"/>
          <w:spacing w:val="-2"/>
          <w:lang w:eastAsia="es-CO"/>
        </w:rPr>
        <w:t xml:space="preserve"> </w:t>
      </w:r>
      <w:r w:rsidRPr="00CF54DC">
        <w:rPr>
          <w:rFonts w:ascii="Verdana" w:eastAsiaTheme="minorEastAsia" w:hAnsi="Verdana" w:cs="Arial"/>
          <w:lang w:eastAsia="es-CO"/>
        </w:rPr>
        <w:t>a</w:t>
      </w:r>
      <w:r w:rsidRPr="00CF54DC">
        <w:rPr>
          <w:rFonts w:ascii="Verdana" w:eastAsiaTheme="minorEastAsia" w:hAnsi="Verdana" w:cs="Arial"/>
          <w:spacing w:val="-3"/>
          <w:lang w:eastAsia="es-CO"/>
        </w:rPr>
        <w:t xml:space="preserve"> </w:t>
      </w:r>
      <w:r w:rsidRPr="00CF54DC">
        <w:rPr>
          <w:rFonts w:ascii="Verdana" w:eastAsiaTheme="minorEastAsia" w:hAnsi="Verdana" w:cs="Arial"/>
          <w:lang w:eastAsia="es-CO"/>
        </w:rPr>
        <w:t>las</w:t>
      </w:r>
      <w:r w:rsidRPr="00CF54DC">
        <w:rPr>
          <w:rFonts w:ascii="Verdana" w:eastAsiaTheme="minorEastAsia" w:hAnsi="Verdana" w:cs="Arial"/>
          <w:spacing w:val="-2"/>
          <w:lang w:eastAsia="es-CO"/>
        </w:rPr>
        <w:t xml:space="preserve"> </w:t>
      </w:r>
      <w:r w:rsidRPr="00CF54DC">
        <w:rPr>
          <w:rFonts w:ascii="Verdana" w:eastAsiaTheme="minorEastAsia" w:hAnsi="Verdana" w:cs="Arial"/>
          <w:lang w:eastAsia="es-CO"/>
        </w:rPr>
        <w:t>autoridades</w:t>
      </w:r>
      <w:r w:rsidRPr="00CF54DC">
        <w:rPr>
          <w:rFonts w:ascii="Verdana" w:eastAsiaTheme="minorEastAsia" w:hAnsi="Verdana" w:cs="Arial"/>
          <w:spacing w:val="-3"/>
          <w:lang w:eastAsia="es-CO"/>
        </w:rPr>
        <w:t xml:space="preserve"> </w:t>
      </w:r>
      <w:r w:rsidRPr="00CF54DC">
        <w:rPr>
          <w:rFonts w:ascii="Verdana" w:eastAsiaTheme="minorEastAsia" w:hAnsi="Verdana" w:cs="Arial"/>
          <w:lang w:eastAsia="es-CO"/>
        </w:rPr>
        <w:t>judiciales</w:t>
      </w:r>
      <w:r w:rsidRPr="00CF54DC">
        <w:rPr>
          <w:rFonts w:ascii="Verdana" w:eastAsiaTheme="minorEastAsia" w:hAnsi="Verdana" w:cs="Arial"/>
          <w:spacing w:val="-2"/>
          <w:lang w:eastAsia="es-CO"/>
        </w:rPr>
        <w:t xml:space="preserve"> </w:t>
      </w:r>
      <w:r w:rsidRPr="00CF54DC">
        <w:rPr>
          <w:rFonts w:ascii="Verdana" w:eastAsiaTheme="minorEastAsia" w:hAnsi="Verdana" w:cs="Arial"/>
          <w:lang w:eastAsia="es-CO"/>
        </w:rPr>
        <w:t>y</w:t>
      </w:r>
      <w:r w:rsidRPr="00CF54DC">
        <w:rPr>
          <w:rFonts w:ascii="Verdana" w:eastAsiaTheme="minorEastAsia" w:hAnsi="Verdana" w:cs="Arial"/>
          <w:spacing w:val="-3"/>
          <w:lang w:eastAsia="es-CO"/>
        </w:rPr>
        <w:t xml:space="preserve"> </w:t>
      </w:r>
      <w:r w:rsidRPr="00CF54DC">
        <w:rPr>
          <w:rFonts w:ascii="Verdana" w:eastAsiaTheme="minorEastAsia" w:hAnsi="Verdana" w:cs="Arial"/>
          <w:lang w:eastAsia="es-CO"/>
        </w:rPr>
        <w:t>a</w:t>
      </w:r>
      <w:r w:rsidRPr="00CF54DC">
        <w:rPr>
          <w:rFonts w:ascii="Verdana" w:eastAsiaTheme="minorEastAsia" w:hAnsi="Verdana" w:cs="Arial"/>
          <w:spacing w:val="-2"/>
          <w:lang w:eastAsia="es-CO"/>
        </w:rPr>
        <w:t xml:space="preserve"> </w:t>
      </w:r>
      <w:r w:rsidRPr="00CF54DC">
        <w:rPr>
          <w:rFonts w:ascii="Verdana" w:eastAsiaTheme="minorEastAsia" w:hAnsi="Verdana" w:cs="Arial"/>
          <w:lang w:eastAsia="es-CO"/>
        </w:rPr>
        <w:t>los</w:t>
      </w:r>
      <w:r w:rsidRPr="00CF54DC">
        <w:rPr>
          <w:rFonts w:ascii="Verdana" w:eastAsiaTheme="minorEastAsia" w:hAnsi="Verdana" w:cs="Arial"/>
          <w:spacing w:val="-3"/>
          <w:lang w:eastAsia="es-CO"/>
        </w:rPr>
        <w:t xml:space="preserve"> </w:t>
      </w:r>
      <w:r w:rsidRPr="00CF54DC">
        <w:rPr>
          <w:rFonts w:ascii="Verdana" w:eastAsiaTheme="minorEastAsia" w:hAnsi="Verdana" w:cs="Arial"/>
          <w:lang w:eastAsia="es-CO"/>
        </w:rPr>
        <w:t>organismos</w:t>
      </w:r>
      <w:r w:rsidRPr="00CF54DC">
        <w:rPr>
          <w:rFonts w:ascii="Verdana" w:eastAsiaTheme="minorEastAsia" w:hAnsi="Verdana" w:cs="Arial"/>
          <w:spacing w:val="-3"/>
          <w:lang w:eastAsia="es-CO"/>
        </w:rPr>
        <w:t xml:space="preserve"> </w:t>
      </w:r>
      <w:r w:rsidRPr="00CF54DC">
        <w:rPr>
          <w:rFonts w:ascii="Verdana" w:eastAsiaTheme="minorEastAsia" w:hAnsi="Verdana" w:cs="Arial"/>
          <w:lang w:eastAsia="es-CO"/>
        </w:rPr>
        <w:t>de</w:t>
      </w:r>
      <w:r w:rsidRPr="00CF54DC">
        <w:rPr>
          <w:rFonts w:ascii="Verdana" w:eastAsiaTheme="minorEastAsia" w:hAnsi="Verdana" w:cs="Arial"/>
          <w:spacing w:val="-2"/>
          <w:lang w:eastAsia="es-CO"/>
        </w:rPr>
        <w:t xml:space="preserve"> </w:t>
      </w:r>
      <w:r w:rsidRPr="00CF54DC">
        <w:rPr>
          <w:rFonts w:ascii="Verdana" w:eastAsiaTheme="minorEastAsia" w:hAnsi="Verdana" w:cs="Arial"/>
          <w:lang w:eastAsia="es-CO"/>
        </w:rPr>
        <w:t>control.</w:t>
      </w:r>
    </w:p>
    <w:p w14:paraId="3472071F" w14:textId="108CCF27" w:rsidR="004B79A3" w:rsidRPr="00CF54DC" w:rsidRDefault="004B79A3" w:rsidP="004B79A3">
      <w:pPr>
        <w:spacing w:after="120" w:line="276" w:lineRule="auto"/>
        <w:ind w:firstLine="590"/>
        <w:jc w:val="both"/>
        <w:rPr>
          <w:rFonts w:ascii="Verdana" w:eastAsiaTheme="minorEastAsia" w:hAnsi="Verdana" w:cs="Arial"/>
          <w:lang w:eastAsia="es-CO"/>
        </w:rPr>
      </w:pPr>
      <w:r w:rsidRPr="00CF54DC">
        <w:rPr>
          <w:rFonts w:ascii="Verdana" w:eastAsiaTheme="minorEastAsia" w:hAnsi="Verdana" w:cs="Arial"/>
          <w:lang w:eastAsia="es-CO"/>
        </w:rPr>
        <w:t>Por</w:t>
      </w:r>
      <w:r w:rsidRPr="00CF54DC">
        <w:rPr>
          <w:rFonts w:ascii="Verdana" w:eastAsiaTheme="minorEastAsia" w:hAnsi="Verdana" w:cs="Arial"/>
          <w:spacing w:val="-10"/>
          <w:lang w:eastAsia="es-CO"/>
        </w:rPr>
        <w:t xml:space="preserve"> </w:t>
      </w:r>
      <w:r w:rsidRPr="00CF54DC">
        <w:rPr>
          <w:rFonts w:ascii="Verdana" w:eastAsiaTheme="minorEastAsia" w:hAnsi="Verdana" w:cs="Arial"/>
          <w:lang w:eastAsia="es-CO"/>
        </w:rPr>
        <w:t>tanto,</w:t>
      </w:r>
      <w:r w:rsidRPr="00CF54DC">
        <w:rPr>
          <w:rFonts w:ascii="Verdana" w:eastAsiaTheme="minorEastAsia" w:hAnsi="Verdana" w:cs="Arial"/>
          <w:spacing w:val="-8"/>
          <w:lang w:eastAsia="es-CO"/>
        </w:rPr>
        <w:t xml:space="preserve"> </w:t>
      </w:r>
      <w:r w:rsidRPr="00CF54DC">
        <w:rPr>
          <w:rFonts w:ascii="Verdana" w:eastAsiaTheme="minorEastAsia" w:hAnsi="Verdana" w:cs="Arial"/>
          <w:lang w:eastAsia="es-CO"/>
        </w:rPr>
        <w:t>la</w:t>
      </w:r>
      <w:r w:rsidRPr="00CF54DC">
        <w:rPr>
          <w:rFonts w:ascii="Verdana" w:eastAsiaTheme="minorEastAsia" w:hAnsi="Verdana" w:cs="Arial"/>
          <w:spacing w:val="-10"/>
          <w:lang w:eastAsia="es-CO"/>
        </w:rPr>
        <w:t xml:space="preserve"> </w:t>
      </w:r>
      <w:r w:rsidRPr="00CF54DC">
        <w:rPr>
          <w:rFonts w:ascii="Verdana" w:eastAsiaTheme="minorEastAsia" w:hAnsi="Verdana" w:cs="Arial"/>
          <w:lang w:eastAsia="es-CO"/>
        </w:rPr>
        <w:t>competencia</w:t>
      </w:r>
      <w:r w:rsidRPr="00CF54DC">
        <w:rPr>
          <w:rFonts w:ascii="Verdana" w:eastAsiaTheme="minorEastAsia" w:hAnsi="Verdana" w:cs="Arial"/>
          <w:spacing w:val="-9"/>
          <w:lang w:eastAsia="es-CO"/>
        </w:rPr>
        <w:t xml:space="preserve"> </w:t>
      </w:r>
      <w:r w:rsidRPr="00CF54DC">
        <w:rPr>
          <w:rFonts w:ascii="Verdana" w:eastAsiaTheme="minorEastAsia" w:hAnsi="Verdana" w:cs="Arial"/>
          <w:lang w:eastAsia="es-CO"/>
        </w:rPr>
        <w:t>de</w:t>
      </w:r>
      <w:r w:rsidRPr="00CF54DC">
        <w:rPr>
          <w:rFonts w:ascii="Verdana" w:eastAsiaTheme="minorEastAsia" w:hAnsi="Verdana" w:cs="Arial"/>
          <w:spacing w:val="-9"/>
          <w:lang w:eastAsia="es-CO"/>
        </w:rPr>
        <w:t xml:space="preserve"> </w:t>
      </w:r>
      <w:r w:rsidRPr="00CF54DC">
        <w:rPr>
          <w:rFonts w:ascii="Verdana" w:eastAsiaTheme="minorEastAsia" w:hAnsi="Verdana" w:cs="Arial"/>
          <w:lang w:eastAsia="es-CO"/>
        </w:rPr>
        <w:t>esta</w:t>
      </w:r>
      <w:r w:rsidRPr="00CF54DC">
        <w:rPr>
          <w:rFonts w:ascii="Verdana" w:eastAsiaTheme="minorEastAsia" w:hAnsi="Verdana" w:cs="Arial"/>
          <w:spacing w:val="-10"/>
          <w:lang w:eastAsia="es-CO"/>
        </w:rPr>
        <w:t xml:space="preserve"> </w:t>
      </w:r>
      <w:r w:rsidRPr="00CF54DC">
        <w:rPr>
          <w:rFonts w:ascii="Verdana" w:eastAsiaTheme="minorEastAsia" w:hAnsi="Verdana" w:cs="Arial"/>
          <w:lang w:eastAsia="es-CO"/>
        </w:rPr>
        <w:t>Agencia</w:t>
      </w:r>
      <w:r w:rsidRPr="00CF54DC">
        <w:rPr>
          <w:rFonts w:ascii="Verdana" w:eastAsiaTheme="minorEastAsia" w:hAnsi="Verdana" w:cs="Arial"/>
          <w:spacing w:val="-8"/>
          <w:lang w:eastAsia="es-CO"/>
        </w:rPr>
        <w:t xml:space="preserve"> </w:t>
      </w:r>
      <w:r w:rsidRPr="00CF54DC">
        <w:rPr>
          <w:rFonts w:ascii="Verdana" w:eastAsiaTheme="minorEastAsia" w:hAnsi="Verdana" w:cs="Arial"/>
          <w:lang w:eastAsia="es-CO"/>
        </w:rPr>
        <w:t>se</w:t>
      </w:r>
      <w:r w:rsidRPr="00CF54DC">
        <w:rPr>
          <w:rFonts w:ascii="Verdana" w:eastAsiaTheme="minorEastAsia" w:hAnsi="Verdana" w:cs="Arial"/>
          <w:spacing w:val="-10"/>
          <w:lang w:eastAsia="es-CO"/>
        </w:rPr>
        <w:t xml:space="preserve"> </w:t>
      </w:r>
      <w:r w:rsidRPr="00CF54DC">
        <w:rPr>
          <w:rFonts w:ascii="Verdana" w:eastAsiaTheme="minorEastAsia" w:hAnsi="Verdana" w:cs="Arial"/>
          <w:lang w:eastAsia="es-CO"/>
        </w:rPr>
        <w:t>fija</w:t>
      </w:r>
      <w:r w:rsidRPr="00CF54DC">
        <w:rPr>
          <w:rFonts w:ascii="Verdana" w:eastAsiaTheme="minorEastAsia" w:hAnsi="Verdana" w:cs="Arial"/>
          <w:spacing w:val="-9"/>
          <w:lang w:eastAsia="es-CO"/>
        </w:rPr>
        <w:t xml:space="preserve"> </w:t>
      </w:r>
      <w:r w:rsidRPr="00CF54DC">
        <w:rPr>
          <w:rFonts w:ascii="Verdana" w:eastAsiaTheme="minorEastAsia" w:hAnsi="Verdana" w:cs="Arial"/>
          <w:lang w:eastAsia="es-CO"/>
        </w:rPr>
        <w:t>con</w:t>
      </w:r>
      <w:r w:rsidRPr="00CF54DC">
        <w:rPr>
          <w:rFonts w:ascii="Verdana" w:eastAsiaTheme="minorEastAsia" w:hAnsi="Verdana" w:cs="Arial"/>
          <w:spacing w:val="-9"/>
          <w:lang w:eastAsia="es-CO"/>
        </w:rPr>
        <w:t xml:space="preserve"> </w:t>
      </w:r>
      <w:r w:rsidRPr="00CF54DC">
        <w:rPr>
          <w:rFonts w:ascii="Verdana" w:eastAsiaTheme="minorEastAsia" w:hAnsi="Verdana" w:cs="Arial"/>
          <w:lang w:eastAsia="es-CO"/>
        </w:rPr>
        <w:t>límites</w:t>
      </w:r>
      <w:r w:rsidRPr="00CF54DC">
        <w:rPr>
          <w:rFonts w:ascii="Verdana" w:eastAsiaTheme="minorEastAsia" w:hAnsi="Verdana" w:cs="Arial"/>
          <w:spacing w:val="-10"/>
          <w:lang w:eastAsia="es-CO"/>
        </w:rPr>
        <w:t xml:space="preserve"> </w:t>
      </w:r>
      <w:r w:rsidRPr="00CF54DC">
        <w:rPr>
          <w:rFonts w:ascii="Verdana" w:eastAsiaTheme="minorEastAsia" w:hAnsi="Verdana" w:cs="Arial"/>
          <w:lang w:eastAsia="es-CO"/>
        </w:rPr>
        <w:t>claros,</w:t>
      </w:r>
      <w:r w:rsidRPr="00CF54DC">
        <w:rPr>
          <w:rFonts w:ascii="Verdana" w:eastAsiaTheme="minorEastAsia" w:hAnsi="Verdana" w:cs="Arial"/>
          <w:spacing w:val="-9"/>
          <w:lang w:eastAsia="es-CO"/>
        </w:rPr>
        <w:t xml:space="preserve"> </w:t>
      </w:r>
      <w:r w:rsidRPr="00CF54DC">
        <w:rPr>
          <w:rFonts w:ascii="Verdana" w:eastAsiaTheme="minorEastAsia" w:hAnsi="Verdana" w:cs="Arial"/>
          <w:lang w:eastAsia="es-CO"/>
        </w:rPr>
        <w:t>con</w:t>
      </w:r>
      <w:r w:rsidRPr="00CF54DC">
        <w:rPr>
          <w:rFonts w:ascii="Verdana" w:eastAsiaTheme="minorEastAsia" w:hAnsi="Verdana" w:cs="Arial"/>
          <w:spacing w:val="-9"/>
          <w:lang w:eastAsia="es-CO"/>
        </w:rPr>
        <w:t xml:space="preserve"> </w:t>
      </w:r>
      <w:r w:rsidRPr="00CF54DC">
        <w:rPr>
          <w:rFonts w:ascii="Verdana" w:eastAsiaTheme="minorEastAsia" w:hAnsi="Verdana" w:cs="Arial"/>
          <w:lang w:eastAsia="es-CO"/>
        </w:rPr>
        <w:t>el</w:t>
      </w:r>
      <w:r w:rsidRPr="00CF54DC">
        <w:rPr>
          <w:rFonts w:ascii="Verdana" w:eastAsiaTheme="minorEastAsia" w:hAnsi="Verdana" w:cs="Arial"/>
          <w:spacing w:val="-10"/>
          <w:lang w:eastAsia="es-CO"/>
        </w:rPr>
        <w:t xml:space="preserve"> </w:t>
      </w:r>
      <w:r w:rsidRPr="00CF54DC">
        <w:rPr>
          <w:rFonts w:ascii="Verdana" w:eastAsiaTheme="minorEastAsia" w:hAnsi="Verdana" w:cs="Arial"/>
          <w:lang w:eastAsia="es-CO"/>
        </w:rPr>
        <w:t>objeto</w:t>
      </w:r>
      <w:r w:rsidRPr="00CF54DC">
        <w:rPr>
          <w:rFonts w:ascii="Verdana" w:eastAsiaTheme="minorEastAsia" w:hAnsi="Verdana" w:cs="Arial"/>
          <w:spacing w:val="-9"/>
          <w:lang w:eastAsia="es-CO"/>
        </w:rPr>
        <w:t xml:space="preserve"> </w:t>
      </w:r>
      <w:r w:rsidRPr="00CF54DC">
        <w:rPr>
          <w:rFonts w:ascii="Verdana" w:eastAsiaTheme="minorEastAsia" w:hAnsi="Verdana" w:cs="Arial"/>
          <w:lang w:eastAsia="es-CO"/>
        </w:rPr>
        <w:t>de</w:t>
      </w:r>
      <w:r w:rsidRPr="00CF54DC">
        <w:rPr>
          <w:rFonts w:ascii="Verdana" w:eastAsiaTheme="minorEastAsia" w:hAnsi="Verdana" w:cs="Arial"/>
          <w:spacing w:val="-10"/>
          <w:lang w:eastAsia="es-CO"/>
        </w:rPr>
        <w:t xml:space="preserve"> </w:t>
      </w:r>
      <w:r w:rsidRPr="00CF54DC">
        <w:rPr>
          <w:rFonts w:ascii="Verdana" w:eastAsiaTheme="minorEastAsia" w:hAnsi="Verdana" w:cs="Arial"/>
          <w:lang w:eastAsia="es-CO"/>
        </w:rPr>
        <w:t>evitar</w:t>
      </w:r>
      <w:r w:rsidRPr="00CF54DC">
        <w:rPr>
          <w:rFonts w:ascii="Verdana" w:eastAsiaTheme="minorEastAsia" w:hAnsi="Verdana" w:cs="Arial"/>
          <w:spacing w:val="-58"/>
          <w:lang w:eastAsia="es-CO"/>
        </w:rPr>
        <w:t xml:space="preserve"> </w:t>
      </w:r>
      <w:r w:rsidRPr="00CF54DC">
        <w:rPr>
          <w:rFonts w:ascii="Verdana" w:eastAsiaTheme="minorEastAsia" w:hAnsi="Verdana" w:cs="Arial"/>
          <w:lang w:eastAsia="es-CO"/>
        </w:rPr>
        <w:t>que actúe como una instancia de validación de las actuaciones de las entidades sujetas a la Ley 80</w:t>
      </w:r>
      <w:r w:rsidRPr="00CF54DC">
        <w:rPr>
          <w:rFonts w:ascii="Verdana" w:eastAsiaTheme="minorEastAsia" w:hAnsi="Verdana" w:cs="Arial"/>
          <w:spacing w:val="-7"/>
          <w:lang w:eastAsia="es-CO"/>
        </w:rPr>
        <w:t xml:space="preserve"> </w:t>
      </w:r>
      <w:r w:rsidRPr="00CF54DC">
        <w:rPr>
          <w:rFonts w:ascii="Verdana" w:eastAsiaTheme="minorEastAsia" w:hAnsi="Verdana" w:cs="Arial"/>
          <w:lang w:eastAsia="es-CO"/>
        </w:rPr>
        <w:t>de</w:t>
      </w:r>
      <w:r w:rsidRPr="00CF54DC">
        <w:rPr>
          <w:rFonts w:ascii="Verdana" w:eastAsiaTheme="minorEastAsia" w:hAnsi="Verdana" w:cs="Arial"/>
          <w:spacing w:val="-6"/>
          <w:lang w:eastAsia="es-CO"/>
        </w:rPr>
        <w:t xml:space="preserve"> </w:t>
      </w:r>
      <w:r w:rsidRPr="00CF54DC">
        <w:rPr>
          <w:rFonts w:ascii="Verdana" w:eastAsiaTheme="minorEastAsia" w:hAnsi="Verdana" w:cs="Arial"/>
          <w:lang w:eastAsia="es-CO"/>
        </w:rPr>
        <w:t>1993</w:t>
      </w:r>
      <w:r w:rsidRPr="00CF54DC">
        <w:rPr>
          <w:rFonts w:ascii="Verdana" w:eastAsiaTheme="minorEastAsia" w:hAnsi="Verdana" w:cs="Arial"/>
          <w:spacing w:val="-6"/>
          <w:lang w:eastAsia="es-CO"/>
        </w:rPr>
        <w:t xml:space="preserve"> </w:t>
      </w:r>
      <w:r w:rsidRPr="00CF54DC">
        <w:rPr>
          <w:rFonts w:ascii="Verdana" w:eastAsiaTheme="minorEastAsia" w:hAnsi="Verdana" w:cs="Arial"/>
          <w:lang w:eastAsia="es-CO"/>
        </w:rPr>
        <w:t>o</w:t>
      </w:r>
      <w:r w:rsidRPr="00CF54DC">
        <w:rPr>
          <w:rFonts w:ascii="Verdana" w:eastAsiaTheme="minorEastAsia" w:hAnsi="Verdana" w:cs="Arial"/>
          <w:spacing w:val="-6"/>
          <w:lang w:eastAsia="es-CO"/>
        </w:rPr>
        <w:t xml:space="preserve"> </w:t>
      </w:r>
      <w:r w:rsidRPr="00CF54DC">
        <w:rPr>
          <w:rFonts w:ascii="Verdana" w:eastAsiaTheme="minorEastAsia" w:hAnsi="Verdana" w:cs="Arial"/>
          <w:lang w:eastAsia="es-CO"/>
        </w:rPr>
        <w:t>de</w:t>
      </w:r>
      <w:r w:rsidRPr="00CF54DC">
        <w:rPr>
          <w:rFonts w:ascii="Verdana" w:eastAsiaTheme="minorEastAsia" w:hAnsi="Verdana" w:cs="Arial"/>
          <w:spacing w:val="-6"/>
          <w:lang w:eastAsia="es-CO"/>
        </w:rPr>
        <w:t xml:space="preserve"> </w:t>
      </w:r>
      <w:r w:rsidRPr="00CF54DC">
        <w:rPr>
          <w:rFonts w:ascii="Verdana" w:eastAsiaTheme="minorEastAsia" w:hAnsi="Verdana" w:cs="Arial"/>
          <w:lang w:eastAsia="es-CO"/>
        </w:rPr>
        <w:t>los</w:t>
      </w:r>
      <w:r w:rsidRPr="00CF54DC">
        <w:rPr>
          <w:rFonts w:ascii="Verdana" w:eastAsiaTheme="minorEastAsia" w:hAnsi="Verdana" w:cs="Arial"/>
          <w:spacing w:val="-6"/>
          <w:lang w:eastAsia="es-CO"/>
        </w:rPr>
        <w:t xml:space="preserve"> </w:t>
      </w:r>
      <w:r w:rsidRPr="00CF54DC">
        <w:rPr>
          <w:rFonts w:ascii="Verdana" w:eastAsiaTheme="minorEastAsia" w:hAnsi="Verdana" w:cs="Arial"/>
          <w:lang w:eastAsia="es-CO"/>
        </w:rPr>
        <w:t>demás</w:t>
      </w:r>
      <w:r w:rsidRPr="00CF54DC">
        <w:rPr>
          <w:rFonts w:ascii="Verdana" w:eastAsiaTheme="minorEastAsia" w:hAnsi="Verdana" w:cs="Arial"/>
          <w:spacing w:val="-6"/>
          <w:lang w:eastAsia="es-CO"/>
        </w:rPr>
        <w:t xml:space="preserve"> </w:t>
      </w:r>
      <w:r w:rsidRPr="00CF54DC">
        <w:rPr>
          <w:rFonts w:ascii="Verdana" w:eastAsiaTheme="minorEastAsia" w:hAnsi="Verdana" w:cs="Arial"/>
          <w:lang w:eastAsia="es-CO"/>
        </w:rPr>
        <w:t>participantes</w:t>
      </w:r>
      <w:r w:rsidRPr="00CF54DC">
        <w:rPr>
          <w:rFonts w:ascii="Verdana" w:eastAsiaTheme="minorEastAsia" w:hAnsi="Verdana" w:cs="Arial"/>
          <w:spacing w:val="-6"/>
          <w:lang w:eastAsia="es-CO"/>
        </w:rPr>
        <w:t xml:space="preserve"> </w:t>
      </w:r>
      <w:r w:rsidRPr="00CF54DC">
        <w:rPr>
          <w:rFonts w:ascii="Verdana" w:eastAsiaTheme="minorEastAsia" w:hAnsi="Verdana" w:cs="Arial"/>
          <w:lang w:eastAsia="es-CO"/>
        </w:rPr>
        <w:t>de</w:t>
      </w:r>
      <w:r w:rsidRPr="00CF54DC">
        <w:rPr>
          <w:rFonts w:ascii="Verdana" w:eastAsiaTheme="minorEastAsia" w:hAnsi="Verdana" w:cs="Arial"/>
          <w:spacing w:val="-6"/>
          <w:lang w:eastAsia="es-CO"/>
        </w:rPr>
        <w:t xml:space="preserve"> </w:t>
      </w:r>
      <w:r w:rsidRPr="00CF54DC">
        <w:rPr>
          <w:rFonts w:ascii="Verdana" w:eastAsiaTheme="minorEastAsia" w:hAnsi="Verdana" w:cs="Arial"/>
          <w:lang w:eastAsia="es-CO"/>
        </w:rPr>
        <w:t>la</w:t>
      </w:r>
      <w:r w:rsidRPr="00CF54DC">
        <w:rPr>
          <w:rFonts w:ascii="Verdana" w:eastAsiaTheme="minorEastAsia" w:hAnsi="Verdana" w:cs="Arial"/>
          <w:spacing w:val="-6"/>
          <w:lang w:eastAsia="es-CO"/>
        </w:rPr>
        <w:t xml:space="preserve"> </w:t>
      </w:r>
      <w:r w:rsidRPr="00CF54DC">
        <w:rPr>
          <w:rFonts w:ascii="Verdana" w:eastAsiaTheme="minorEastAsia" w:hAnsi="Verdana" w:cs="Arial"/>
          <w:lang w:eastAsia="es-CO"/>
        </w:rPr>
        <w:t>contratación</w:t>
      </w:r>
      <w:r w:rsidRPr="00CF54DC">
        <w:rPr>
          <w:rFonts w:ascii="Verdana" w:eastAsiaTheme="minorEastAsia" w:hAnsi="Verdana" w:cs="Arial"/>
          <w:spacing w:val="-6"/>
          <w:lang w:eastAsia="es-CO"/>
        </w:rPr>
        <w:t xml:space="preserve"> </w:t>
      </w:r>
      <w:r w:rsidRPr="00CF54DC">
        <w:rPr>
          <w:rFonts w:ascii="Verdana" w:eastAsiaTheme="minorEastAsia" w:hAnsi="Verdana" w:cs="Arial"/>
          <w:lang w:eastAsia="es-CO"/>
        </w:rPr>
        <w:t>pública.</w:t>
      </w:r>
      <w:r w:rsidRPr="00CF54DC">
        <w:rPr>
          <w:rFonts w:ascii="Verdana" w:eastAsiaTheme="minorEastAsia" w:hAnsi="Verdana" w:cs="Arial"/>
          <w:spacing w:val="-7"/>
          <w:lang w:eastAsia="es-CO"/>
        </w:rPr>
        <w:t xml:space="preserve"> </w:t>
      </w:r>
      <w:r w:rsidRPr="00CF54DC">
        <w:rPr>
          <w:rFonts w:ascii="Verdana" w:eastAsiaTheme="minorEastAsia" w:hAnsi="Verdana" w:cs="Arial"/>
          <w:lang w:eastAsia="es-CO"/>
        </w:rPr>
        <w:t>Lo</w:t>
      </w:r>
      <w:r w:rsidRPr="00CF54DC">
        <w:rPr>
          <w:rFonts w:ascii="Verdana" w:eastAsiaTheme="minorEastAsia" w:hAnsi="Verdana" w:cs="Arial"/>
          <w:spacing w:val="-6"/>
          <w:lang w:eastAsia="es-CO"/>
        </w:rPr>
        <w:t xml:space="preserve"> </w:t>
      </w:r>
      <w:r w:rsidRPr="00CF54DC">
        <w:rPr>
          <w:rFonts w:ascii="Verdana" w:eastAsiaTheme="minorEastAsia" w:hAnsi="Verdana" w:cs="Arial"/>
          <w:lang w:eastAsia="es-CO"/>
        </w:rPr>
        <w:t>anterior,</w:t>
      </w:r>
      <w:r w:rsidRPr="00CF54DC">
        <w:rPr>
          <w:rFonts w:ascii="Verdana" w:eastAsiaTheme="minorEastAsia" w:hAnsi="Verdana" w:cs="Arial"/>
          <w:spacing w:val="-6"/>
          <w:lang w:eastAsia="es-CO"/>
        </w:rPr>
        <w:t xml:space="preserve"> </w:t>
      </w:r>
      <w:r w:rsidRPr="00CF54DC">
        <w:rPr>
          <w:rFonts w:ascii="Verdana" w:eastAsiaTheme="minorEastAsia" w:hAnsi="Verdana" w:cs="Arial"/>
          <w:lang w:eastAsia="es-CO"/>
        </w:rPr>
        <w:t>en</w:t>
      </w:r>
      <w:r w:rsidRPr="00CF54DC">
        <w:rPr>
          <w:rFonts w:ascii="Verdana" w:eastAsiaTheme="minorEastAsia" w:hAnsi="Verdana" w:cs="Arial"/>
          <w:spacing w:val="-6"/>
          <w:lang w:eastAsia="es-CO"/>
        </w:rPr>
        <w:t xml:space="preserve"> </w:t>
      </w:r>
      <w:r w:rsidRPr="00CF54DC">
        <w:rPr>
          <w:rFonts w:ascii="Verdana" w:eastAsiaTheme="minorEastAsia" w:hAnsi="Verdana" w:cs="Arial"/>
          <w:lang w:eastAsia="es-CO"/>
        </w:rPr>
        <w:t>la</w:t>
      </w:r>
      <w:r w:rsidRPr="00CF54DC">
        <w:rPr>
          <w:rFonts w:ascii="Verdana" w:eastAsiaTheme="minorEastAsia" w:hAnsi="Verdana" w:cs="Arial"/>
          <w:spacing w:val="-6"/>
          <w:lang w:eastAsia="es-CO"/>
        </w:rPr>
        <w:t xml:space="preserve"> </w:t>
      </w:r>
      <w:r w:rsidRPr="00CF54DC">
        <w:rPr>
          <w:rFonts w:ascii="Verdana" w:eastAsiaTheme="minorEastAsia" w:hAnsi="Verdana" w:cs="Arial"/>
          <w:lang w:eastAsia="es-CO"/>
        </w:rPr>
        <w:t>medida</w:t>
      </w:r>
      <w:r w:rsidRPr="00CF54DC">
        <w:rPr>
          <w:rFonts w:ascii="Verdana" w:eastAsiaTheme="minorEastAsia" w:hAnsi="Verdana" w:cs="Arial"/>
          <w:spacing w:val="-6"/>
          <w:lang w:eastAsia="es-CO"/>
        </w:rPr>
        <w:t xml:space="preserve"> </w:t>
      </w:r>
      <w:r w:rsidRPr="00CF54DC">
        <w:rPr>
          <w:rFonts w:ascii="Verdana" w:eastAsiaTheme="minorEastAsia" w:hAnsi="Verdana" w:cs="Arial"/>
          <w:lang w:eastAsia="es-CO"/>
        </w:rPr>
        <w:t>en</w:t>
      </w:r>
      <w:r w:rsidRPr="00CF54DC">
        <w:rPr>
          <w:rFonts w:ascii="Verdana" w:eastAsiaTheme="minorEastAsia" w:hAnsi="Verdana" w:cs="Arial"/>
          <w:spacing w:val="-59"/>
          <w:lang w:eastAsia="es-CO"/>
        </w:rPr>
        <w:t xml:space="preserve"> </w:t>
      </w:r>
      <w:r w:rsidRPr="00CF54DC">
        <w:rPr>
          <w:rFonts w:ascii="Verdana" w:eastAsiaTheme="minorEastAsia" w:hAnsi="Verdana" w:cs="Arial"/>
          <w:lang w:eastAsia="es-CO"/>
        </w:rPr>
        <w:t>que,</w:t>
      </w:r>
      <w:r w:rsidRPr="00CF54DC">
        <w:rPr>
          <w:rFonts w:ascii="Verdana" w:eastAsiaTheme="minorEastAsia" w:hAnsi="Verdana" w:cs="Arial"/>
          <w:spacing w:val="30"/>
          <w:lang w:eastAsia="es-CO"/>
        </w:rPr>
        <w:t xml:space="preserve"> </w:t>
      </w:r>
      <w:r w:rsidRPr="00CF54DC">
        <w:rPr>
          <w:rFonts w:ascii="Verdana" w:eastAsiaTheme="minorEastAsia" w:hAnsi="Verdana" w:cs="Arial"/>
          <w:lang w:eastAsia="es-CO"/>
        </w:rPr>
        <w:t>para</w:t>
      </w:r>
      <w:r w:rsidRPr="00CF54DC">
        <w:rPr>
          <w:rFonts w:ascii="Verdana" w:eastAsiaTheme="minorEastAsia" w:hAnsi="Verdana" w:cs="Arial"/>
          <w:spacing w:val="31"/>
          <w:lang w:eastAsia="es-CO"/>
        </w:rPr>
        <w:t xml:space="preserve"> </w:t>
      </w:r>
      <w:r w:rsidRPr="00CF54DC">
        <w:rPr>
          <w:rFonts w:ascii="Verdana" w:eastAsiaTheme="minorEastAsia" w:hAnsi="Verdana" w:cs="Arial"/>
          <w:lang w:eastAsia="es-CO"/>
        </w:rPr>
        <w:t>resolver</w:t>
      </w:r>
      <w:r w:rsidRPr="00CF54DC">
        <w:rPr>
          <w:rFonts w:ascii="Verdana" w:eastAsiaTheme="minorEastAsia" w:hAnsi="Verdana" w:cs="Arial"/>
          <w:spacing w:val="31"/>
          <w:lang w:eastAsia="es-CO"/>
        </w:rPr>
        <w:t xml:space="preserve"> </w:t>
      </w:r>
      <w:r w:rsidRPr="00CF54DC">
        <w:rPr>
          <w:rFonts w:ascii="Verdana" w:eastAsiaTheme="minorEastAsia" w:hAnsi="Verdana" w:cs="Arial"/>
          <w:lang w:eastAsia="es-CO"/>
        </w:rPr>
        <w:t>una</w:t>
      </w:r>
      <w:r w:rsidRPr="00CF54DC">
        <w:rPr>
          <w:rFonts w:ascii="Verdana" w:eastAsiaTheme="minorEastAsia" w:hAnsi="Verdana" w:cs="Arial"/>
          <w:spacing w:val="31"/>
          <w:lang w:eastAsia="es-CO"/>
        </w:rPr>
        <w:t xml:space="preserve"> </w:t>
      </w:r>
      <w:r w:rsidRPr="00CF54DC">
        <w:rPr>
          <w:rFonts w:ascii="Verdana" w:eastAsiaTheme="minorEastAsia" w:hAnsi="Verdana" w:cs="Arial"/>
          <w:lang w:eastAsia="es-CO"/>
        </w:rPr>
        <w:t>consulta</w:t>
      </w:r>
      <w:r w:rsidRPr="00CF54DC">
        <w:rPr>
          <w:rFonts w:ascii="Verdana" w:eastAsiaTheme="minorEastAsia" w:hAnsi="Verdana" w:cs="Arial"/>
          <w:spacing w:val="31"/>
          <w:lang w:eastAsia="es-CO"/>
        </w:rPr>
        <w:t xml:space="preserve"> </w:t>
      </w:r>
      <w:r w:rsidRPr="00CF54DC">
        <w:rPr>
          <w:rFonts w:ascii="Verdana" w:eastAsiaTheme="minorEastAsia" w:hAnsi="Verdana" w:cs="Arial"/>
          <w:lang w:eastAsia="es-CO"/>
        </w:rPr>
        <w:t>de</w:t>
      </w:r>
      <w:r w:rsidRPr="00CF54DC">
        <w:rPr>
          <w:rFonts w:ascii="Verdana" w:eastAsiaTheme="minorEastAsia" w:hAnsi="Verdana" w:cs="Arial"/>
          <w:spacing w:val="31"/>
          <w:lang w:eastAsia="es-CO"/>
        </w:rPr>
        <w:t xml:space="preserve"> </w:t>
      </w:r>
      <w:r w:rsidRPr="00CF54DC">
        <w:rPr>
          <w:rFonts w:ascii="Verdana" w:eastAsiaTheme="minorEastAsia" w:hAnsi="Verdana" w:cs="Arial"/>
          <w:lang w:eastAsia="es-CO"/>
        </w:rPr>
        <w:t>carácter</w:t>
      </w:r>
      <w:r w:rsidRPr="00CF54DC">
        <w:rPr>
          <w:rFonts w:ascii="Verdana" w:eastAsiaTheme="minorEastAsia" w:hAnsi="Verdana" w:cs="Arial"/>
          <w:spacing w:val="31"/>
          <w:lang w:eastAsia="es-CO"/>
        </w:rPr>
        <w:t xml:space="preserve"> </w:t>
      </w:r>
      <w:r w:rsidRPr="00CF54DC">
        <w:rPr>
          <w:rFonts w:ascii="Verdana" w:eastAsiaTheme="minorEastAsia" w:hAnsi="Verdana" w:cs="Arial"/>
          <w:lang w:eastAsia="es-CO"/>
        </w:rPr>
        <w:t>particular,</w:t>
      </w:r>
      <w:r w:rsidRPr="00CF54DC">
        <w:rPr>
          <w:rFonts w:ascii="Verdana" w:eastAsiaTheme="minorEastAsia" w:hAnsi="Verdana" w:cs="Arial"/>
          <w:spacing w:val="32"/>
          <w:lang w:eastAsia="es-CO"/>
        </w:rPr>
        <w:t xml:space="preserve"> </w:t>
      </w:r>
      <w:r w:rsidRPr="00CF54DC">
        <w:rPr>
          <w:rFonts w:ascii="Verdana" w:eastAsiaTheme="minorEastAsia" w:hAnsi="Verdana" w:cs="Arial"/>
          <w:lang w:eastAsia="es-CO"/>
        </w:rPr>
        <w:t>además</w:t>
      </w:r>
      <w:r w:rsidRPr="00CF54DC">
        <w:rPr>
          <w:rFonts w:ascii="Verdana" w:eastAsiaTheme="minorEastAsia" w:hAnsi="Verdana" w:cs="Arial"/>
          <w:spacing w:val="31"/>
          <w:lang w:eastAsia="es-CO"/>
        </w:rPr>
        <w:t xml:space="preserve"> </w:t>
      </w:r>
      <w:r w:rsidRPr="00CF54DC">
        <w:rPr>
          <w:rFonts w:ascii="Verdana" w:eastAsiaTheme="minorEastAsia" w:hAnsi="Verdana" w:cs="Arial"/>
          <w:lang w:eastAsia="es-CO"/>
        </w:rPr>
        <w:t>de</w:t>
      </w:r>
      <w:r w:rsidRPr="00CF54DC">
        <w:rPr>
          <w:rFonts w:ascii="Verdana" w:eastAsiaTheme="minorEastAsia" w:hAnsi="Verdana" w:cs="Arial"/>
          <w:spacing w:val="31"/>
          <w:lang w:eastAsia="es-CO"/>
        </w:rPr>
        <w:t xml:space="preserve"> </w:t>
      </w:r>
      <w:r w:rsidRPr="00CF54DC">
        <w:rPr>
          <w:rFonts w:ascii="Verdana" w:eastAsiaTheme="minorEastAsia" w:hAnsi="Verdana" w:cs="Arial"/>
          <w:lang w:eastAsia="es-CO"/>
        </w:rPr>
        <w:t>conocer</w:t>
      </w:r>
      <w:r w:rsidRPr="00CF54DC">
        <w:rPr>
          <w:rFonts w:ascii="Verdana" w:eastAsiaTheme="minorEastAsia" w:hAnsi="Verdana" w:cs="Arial"/>
          <w:spacing w:val="31"/>
          <w:lang w:eastAsia="es-CO"/>
        </w:rPr>
        <w:t xml:space="preserve"> </w:t>
      </w:r>
      <w:r w:rsidRPr="00CF54DC">
        <w:rPr>
          <w:rFonts w:ascii="Verdana" w:eastAsiaTheme="minorEastAsia" w:hAnsi="Verdana" w:cs="Arial"/>
          <w:lang w:eastAsia="es-CO"/>
        </w:rPr>
        <w:t>un</w:t>
      </w:r>
      <w:r w:rsidRPr="00CF54DC">
        <w:rPr>
          <w:rFonts w:ascii="Verdana" w:eastAsiaTheme="minorEastAsia" w:hAnsi="Verdana" w:cs="Arial"/>
          <w:spacing w:val="31"/>
          <w:lang w:eastAsia="es-CO"/>
        </w:rPr>
        <w:t xml:space="preserve"> </w:t>
      </w:r>
      <w:r w:rsidRPr="00CF54DC">
        <w:rPr>
          <w:rFonts w:ascii="Verdana" w:eastAsiaTheme="minorEastAsia" w:hAnsi="Verdana" w:cs="Arial"/>
          <w:lang w:eastAsia="es-CO"/>
        </w:rPr>
        <w:t>sinnúmero</w:t>
      </w:r>
      <w:r w:rsidRPr="00CF54DC">
        <w:rPr>
          <w:rFonts w:ascii="Verdana" w:eastAsiaTheme="minorEastAsia" w:hAnsi="Verdana" w:cs="Arial"/>
          <w:spacing w:val="31"/>
          <w:lang w:eastAsia="es-CO"/>
        </w:rPr>
        <w:t xml:space="preserve"> </w:t>
      </w:r>
      <w:r w:rsidRPr="00CF54DC">
        <w:rPr>
          <w:rFonts w:ascii="Verdana" w:eastAsiaTheme="minorEastAsia" w:hAnsi="Verdana" w:cs="Arial"/>
          <w:lang w:eastAsia="es-CO"/>
        </w:rPr>
        <w:t>de detalles de la actuación administrativa, es necesario acceder al expediente y a los documentos</w:t>
      </w:r>
      <w:r w:rsidRPr="00CF54DC">
        <w:rPr>
          <w:rFonts w:ascii="Verdana" w:eastAsiaTheme="minorEastAsia" w:hAnsi="Verdana" w:cs="Arial"/>
          <w:spacing w:val="1"/>
          <w:lang w:eastAsia="es-CO"/>
        </w:rPr>
        <w:t xml:space="preserve"> </w:t>
      </w:r>
      <w:r w:rsidRPr="00CF54DC">
        <w:rPr>
          <w:rFonts w:ascii="Verdana" w:eastAsiaTheme="minorEastAsia" w:hAnsi="Verdana" w:cs="Arial"/>
          <w:lang w:eastAsia="es-CO"/>
        </w:rPr>
        <w:t>del procedimiento contractual donde surge la inquietud</w:t>
      </w:r>
      <w:r w:rsidR="00300AFC">
        <w:rPr>
          <w:rFonts w:ascii="Verdana" w:eastAsiaTheme="minorEastAsia" w:hAnsi="Verdana" w:cs="Arial"/>
          <w:lang w:eastAsia="es-CO"/>
        </w:rPr>
        <w:t xml:space="preserve">. Por esta </w:t>
      </w:r>
      <w:r w:rsidRPr="00CF54DC">
        <w:rPr>
          <w:rFonts w:ascii="Verdana" w:eastAsiaTheme="minorEastAsia" w:hAnsi="Verdana" w:cs="Arial"/>
          <w:lang w:eastAsia="es-CO"/>
        </w:rPr>
        <w:t>razón, al no ser un órgano</w:t>
      </w:r>
      <w:r w:rsidRPr="00CF54DC">
        <w:rPr>
          <w:rFonts w:ascii="Verdana" w:eastAsiaTheme="minorEastAsia" w:hAnsi="Verdana" w:cs="Arial"/>
          <w:spacing w:val="1"/>
          <w:lang w:eastAsia="es-CO"/>
        </w:rPr>
        <w:t xml:space="preserve"> </w:t>
      </w:r>
      <w:r w:rsidRPr="00CF54DC">
        <w:rPr>
          <w:rFonts w:ascii="Verdana" w:eastAsiaTheme="minorEastAsia" w:hAnsi="Verdana" w:cs="Arial"/>
          <w:lang w:eastAsia="es-CO"/>
        </w:rPr>
        <w:t xml:space="preserve">judicial, ni una entidad de vigilancia, inspección o </w:t>
      </w:r>
      <w:r w:rsidRPr="00CF54DC">
        <w:rPr>
          <w:rFonts w:ascii="Verdana" w:eastAsiaTheme="minorEastAsia" w:hAnsi="Verdana" w:cs="Arial"/>
          <w:lang w:eastAsia="es-CO"/>
        </w:rPr>
        <w:lastRenderedPageBreak/>
        <w:t xml:space="preserve">control en materia contractual, </w:t>
      </w:r>
      <w:r w:rsidR="00300AFC">
        <w:rPr>
          <w:rFonts w:ascii="Verdana" w:eastAsiaTheme="minorEastAsia" w:hAnsi="Verdana" w:cs="Arial"/>
          <w:lang w:eastAsia="es-CO"/>
        </w:rPr>
        <w:t xml:space="preserve">la Agencia </w:t>
      </w:r>
      <w:r w:rsidRPr="00CF54DC">
        <w:rPr>
          <w:rFonts w:ascii="Verdana" w:eastAsiaTheme="minorEastAsia" w:hAnsi="Verdana" w:cs="Arial"/>
          <w:lang w:eastAsia="es-CO"/>
        </w:rPr>
        <w:t>carece de la</w:t>
      </w:r>
      <w:r w:rsidRPr="00CF54DC">
        <w:rPr>
          <w:rFonts w:ascii="Verdana" w:eastAsiaTheme="minorEastAsia" w:hAnsi="Verdana" w:cs="Arial"/>
          <w:spacing w:val="1"/>
          <w:lang w:eastAsia="es-CO"/>
        </w:rPr>
        <w:t xml:space="preserve"> </w:t>
      </w:r>
      <w:r w:rsidRPr="00CF54DC">
        <w:rPr>
          <w:rFonts w:ascii="Verdana" w:eastAsiaTheme="minorEastAsia" w:hAnsi="Verdana" w:cs="Arial"/>
          <w:lang w:eastAsia="es-CO"/>
        </w:rPr>
        <w:t>facultad</w:t>
      </w:r>
      <w:r w:rsidRPr="00CF54DC">
        <w:rPr>
          <w:rFonts w:ascii="Verdana" w:eastAsiaTheme="minorEastAsia" w:hAnsi="Verdana" w:cs="Arial"/>
          <w:spacing w:val="-2"/>
          <w:lang w:eastAsia="es-CO"/>
        </w:rPr>
        <w:t xml:space="preserve"> </w:t>
      </w:r>
      <w:r w:rsidRPr="00CF54DC">
        <w:rPr>
          <w:rFonts w:ascii="Verdana" w:eastAsiaTheme="minorEastAsia" w:hAnsi="Verdana" w:cs="Arial"/>
          <w:lang w:eastAsia="es-CO"/>
        </w:rPr>
        <w:t>para</w:t>
      </w:r>
      <w:r w:rsidRPr="00CF54DC">
        <w:rPr>
          <w:rFonts w:ascii="Verdana" w:eastAsiaTheme="minorEastAsia" w:hAnsi="Verdana" w:cs="Arial"/>
          <w:spacing w:val="-1"/>
          <w:lang w:eastAsia="es-CO"/>
        </w:rPr>
        <w:t xml:space="preserve"> </w:t>
      </w:r>
      <w:r w:rsidRPr="00CF54DC">
        <w:rPr>
          <w:rFonts w:ascii="Verdana" w:eastAsiaTheme="minorEastAsia" w:hAnsi="Verdana" w:cs="Arial"/>
          <w:lang w:eastAsia="es-CO"/>
        </w:rPr>
        <w:t>desempeñar</w:t>
      </w:r>
      <w:r w:rsidRPr="00CF54DC">
        <w:rPr>
          <w:rFonts w:ascii="Verdana" w:eastAsiaTheme="minorEastAsia" w:hAnsi="Verdana" w:cs="Arial"/>
          <w:spacing w:val="-2"/>
          <w:lang w:eastAsia="es-CO"/>
        </w:rPr>
        <w:t xml:space="preserve"> </w:t>
      </w:r>
      <w:r w:rsidRPr="00CF54DC">
        <w:rPr>
          <w:rFonts w:ascii="Verdana" w:eastAsiaTheme="minorEastAsia" w:hAnsi="Verdana" w:cs="Arial"/>
          <w:lang w:eastAsia="es-CO"/>
        </w:rPr>
        <w:t>estas</w:t>
      </w:r>
      <w:r w:rsidRPr="00CF54DC">
        <w:rPr>
          <w:rFonts w:ascii="Verdana" w:eastAsiaTheme="minorEastAsia" w:hAnsi="Verdana" w:cs="Arial"/>
          <w:spacing w:val="-1"/>
          <w:lang w:eastAsia="es-CO"/>
        </w:rPr>
        <w:t xml:space="preserve"> </w:t>
      </w:r>
      <w:r w:rsidRPr="00CF54DC">
        <w:rPr>
          <w:rFonts w:ascii="Verdana" w:eastAsiaTheme="minorEastAsia" w:hAnsi="Verdana" w:cs="Arial"/>
          <w:lang w:eastAsia="es-CO"/>
        </w:rPr>
        <w:t>funciones.</w:t>
      </w:r>
    </w:p>
    <w:p w14:paraId="58151E09" w14:textId="3233EDAA" w:rsidR="00DD5AF8" w:rsidRPr="00BD4869" w:rsidRDefault="004B79A3" w:rsidP="00DD5AF8">
      <w:pPr>
        <w:spacing w:after="0" w:line="276" w:lineRule="auto"/>
        <w:ind w:right="49" w:firstLine="590"/>
        <w:jc w:val="both"/>
        <w:rPr>
          <w:rFonts w:ascii="Verdana" w:eastAsia="Calibri" w:hAnsi="Verdana" w:cs="Arial"/>
          <w:bCs/>
          <w:lang w:val="es-ES_tradnl"/>
        </w:rPr>
      </w:pPr>
      <w:r w:rsidRPr="00D472CA">
        <w:rPr>
          <w:rFonts w:ascii="Verdana" w:eastAsiaTheme="minorEastAsia" w:hAnsi="Verdana" w:cs="Arial"/>
          <w:lang w:eastAsia="es-CO"/>
        </w:rPr>
        <w:t xml:space="preserve">Ahora bien, </w:t>
      </w:r>
      <w:r w:rsidR="00B5284B">
        <w:rPr>
          <w:rFonts w:ascii="Verdana" w:eastAsiaTheme="minorEastAsia" w:hAnsi="Verdana" w:cs="Arial"/>
          <w:lang w:eastAsia="es-CO"/>
        </w:rPr>
        <w:t xml:space="preserve">en relación con el problema jurídico planteado, </w:t>
      </w:r>
      <w:r w:rsidR="00DD5AF8">
        <w:rPr>
          <w:rFonts w:ascii="Verdana" w:eastAsiaTheme="minorEastAsia" w:hAnsi="Verdana" w:cs="Arial"/>
          <w:lang w:eastAsia="es-CO"/>
        </w:rPr>
        <w:t>es menester mencionar que u</w:t>
      </w:r>
      <w:r w:rsidR="00DD5AF8" w:rsidRPr="00BD4869">
        <w:rPr>
          <w:rFonts w:ascii="Verdana" w:eastAsia="Calibri" w:hAnsi="Verdana" w:cs="Arial"/>
          <w:bCs/>
          <w:lang w:val="es-ES_tradnl"/>
        </w:rPr>
        <w:t xml:space="preserve">no de los principios transversales de los procedimientos de selección es el de </w:t>
      </w:r>
      <w:r w:rsidR="00DD5AF8" w:rsidRPr="00BD4869">
        <w:rPr>
          <w:rFonts w:ascii="Verdana" w:eastAsia="Calibri" w:hAnsi="Verdana" w:cs="Arial"/>
          <w:bCs/>
          <w:i/>
          <w:iCs/>
          <w:lang w:val="es-ES_tradnl"/>
        </w:rPr>
        <w:t>selección objetiva</w:t>
      </w:r>
      <w:r w:rsidR="00DD5AF8" w:rsidRPr="00BD4869">
        <w:rPr>
          <w:rFonts w:ascii="Verdana" w:eastAsia="Calibri" w:hAnsi="Verdana" w:cs="Arial"/>
          <w:bCs/>
          <w:lang w:val="es-ES_tradnl"/>
        </w:rPr>
        <w:t xml:space="preserve">. Se trata del postulado que exige que la escogencia de la oferta ganadora se debe fundamentar en factores objetivos, de carácter técnico, jurídico y financiero, y no en criterios subjetivos, como el afecto, la amistad, el ánimo de ayuda, el interés personal, etc. </w:t>
      </w:r>
    </w:p>
    <w:p w14:paraId="3D2E3223" w14:textId="77777777" w:rsidR="00DD5AF8" w:rsidRPr="00BD4869" w:rsidRDefault="00DD5AF8" w:rsidP="00DD5AF8">
      <w:pPr>
        <w:spacing w:before="120" w:after="0" w:line="276" w:lineRule="auto"/>
        <w:ind w:right="51" w:firstLine="709"/>
        <w:jc w:val="both"/>
        <w:rPr>
          <w:rFonts w:ascii="Verdana" w:eastAsia="Calibri" w:hAnsi="Verdana" w:cs="Arial"/>
          <w:bCs/>
          <w:lang w:val="es-MX"/>
        </w:rPr>
      </w:pPr>
      <w:r w:rsidRPr="00BD4869">
        <w:rPr>
          <w:rFonts w:ascii="Verdana" w:eastAsia="Calibri" w:hAnsi="Verdana" w:cs="Arial"/>
          <w:bCs/>
          <w:lang w:val="es-MX"/>
        </w:rPr>
        <w:t>Si bien dentro de la historia de la contratación pública en Colombia, se vislumbran antecedentes normativos que consagraban dicho principio</w:t>
      </w:r>
      <w:r w:rsidRPr="00BD4869">
        <w:rPr>
          <w:rFonts w:ascii="Verdana" w:eastAsia="Calibri" w:hAnsi="Verdana" w:cs="Arial"/>
          <w:bCs/>
          <w:vertAlign w:val="superscript"/>
          <w:lang w:val="es-MX"/>
        </w:rPr>
        <w:footnoteReference w:id="3"/>
      </w:r>
      <w:r w:rsidRPr="00BD4869">
        <w:rPr>
          <w:rFonts w:ascii="Verdana" w:eastAsia="Calibri" w:hAnsi="Verdana" w:cs="Arial"/>
          <w:bCs/>
          <w:lang w:val="es-MX"/>
        </w:rPr>
        <w:t xml:space="preserve">, en la actualidad la disposición legal que lo prevé de manera más clara y contundente es el artículo 5 de la Ley 1150 de 2007, modificado por el artículo 88 de la Ley 1474 de 2011 y por el artículo 5 de la Ley 1882 de 2018, enunciado normativo en el que se lee: </w:t>
      </w:r>
    </w:p>
    <w:p w14:paraId="30462DA6" w14:textId="77777777" w:rsidR="00DD5AF8" w:rsidRPr="00BD4869" w:rsidRDefault="00DD5AF8" w:rsidP="00DD5AF8">
      <w:pPr>
        <w:spacing w:after="0" w:line="276" w:lineRule="auto"/>
        <w:ind w:right="51" w:firstLine="709"/>
        <w:jc w:val="both"/>
        <w:rPr>
          <w:rFonts w:ascii="Verdana" w:eastAsia="Calibri" w:hAnsi="Verdana" w:cs="Arial"/>
          <w:bCs/>
          <w:lang w:val="es-MX"/>
        </w:rPr>
      </w:pPr>
    </w:p>
    <w:p w14:paraId="0F521758" w14:textId="77777777" w:rsidR="00DD5AF8" w:rsidRPr="00BD4869" w:rsidRDefault="00DD5AF8" w:rsidP="00DD5AF8">
      <w:pPr>
        <w:spacing w:after="0" w:line="240" w:lineRule="auto"/>
        <w:ind w:left="709" w:right="709"/>
        <w:jc w:val="both"/>
        <w:rPr>
          <w:rFonts w:ascii="Verdana" w:eastAsia="Calibri" w:hAnsi="Verdana" w:cs="Arial"/>
          <w:color w:val="000000" w:themeColor="text1"/>
          <w:kern w:val="2"/>
          <w:sz w:val="20"/>
          <w:szCs w:val="20"/>
          <w:lang w:val="es-ES"/>
          <w14:ligatures w14:val="standardContextual"/>
        </w:rPr>
      </w:pPr>
      <w:r w:rsidRPr="7E5A8D80">
        <w:rPr>
          <w:rFonts w:ascii="Verdana" w:eastAsia="Calibri" w:hAnsi="Verdana" w:cs="Arial"/>
          <w:color w:val="000000" w:themeColor="text1"/>
          <w:kern w:val="2"/>
          <w:sz w:val="20"/>
          <w:szCs w:val="20"/>
          <w:lang w:val="es-ES"/>
          <w14:ligatures w14:val="standardContextual"/>
        </w:rPr>
        <w:t>“Artículo 5o. De la selección objetiva. Es objetiva la selección en la cual la escogencia se haga al ofrecimiento más favorable a la entidad y a los fines que ella busca, sin tener en consideración factores de afecto o de interés y, en general, cualquier clase de motivación subjetiva. En consecuencia, los factores de escogencia y calificación que establezcan las entidades en los pliegos de condiciones o sus equivalentes tendrán en cuenta los siguientes criterios:</w:t>
      </w:r>
    </w:p>
    <w:p w14:paraId="5B563CDF" w14:textId="77777777" w:rsidR="00DD5AF8" w:rsidRPr="00BD4869" w:rsidRDefault="00DD5AF8" w:rsidP="00DD5AF8">
      <w:pPr>
        <w:spacing w:after="0" w:line="240" w:lineRule="auto"/>
        <w:ind w:left="709" w:right="709"/>
        <w:jc w:val="both"/>
        <w:rPr>
          <w:rFonts w:ascii="Verdana" w:eastAsia="Calibri" w:hAnsi="Verdana" w:cs="Arial"/>
          <w:color w:val="000000" w:themeColor="text1"/>
          <w:kern w:val="2"/>
          <w:sz w:val="20"/>
          <w:szCs w:val="20"/>
          <w:lang w:val="es-ES_tradnl"/>
          <w14:ligatures w14:val="standardContextual"/>
        </w:rPr>
      </w:pPr>
    </w:p>
    <w:p w14:paraId="166A0FCE" w14:textId="77777777" w:rsidR="00DD5AF8" w:rsidRPr="00BD4869" w:rsidRDefault="00DD5AF8" w:rsidP="00DD5AF8">
      <w:pPr>
        <w:spacing w:after="0" w:line="240" w:lineRule="auto"/>
        <w:ind w:left="709" w:right="709"/>
        <w:jc w:val="both"/>
        <w:rPr>
          <w:rFonts w:ascii="Verdana" w:eastAsia="Calibri" w:hAnsi="Verdana" w:cs="Arial"/>
          <w:color w:val="000000" w:themeColor="text1"/>
          <w:kern w:val="2"/>
          <w:sz w:val="20"/>
          <w:szCs w:val="20"/>
          <w:lang w:val="es-ES"/>
          <w14:ligatures w14:val="standardContextual"/>
        </w:rPr>
      </w:pPr>
      <w:r w:rsidRPr="7E5A8D80">
        <w:rPr>
          <w:rFonts w:ascii="Verdana" w:eastAsia="Calibri" w:hAnsi="Verdana" w:cs="Arial"/>
          <w:color w:val="000000" w:themeColor="text1"/>
          <w:kern w:val="2"/>
          <w:sz w:val="20"/>
          <w:szCs w:val="20"/>
          <w:lang w:val="es-ES"/>
          <w14:ligatures w14:val="standardContextual"/>
        </w:rPr>
        <w:t xml:space="preserve">1. La capacidad jurídica y las condiciones de experiencia, capacidad financiera y de organización de los proponentes serán objeto de verificación de cumplimiento como requisitos habilitantes para la participación en el proceso de selección y no otorgarán puntaje, con excepción de lo previsto en el numeral 4 del presente artículo. La exigencia de tales condiciones debe ser adecuada y proporcional a la naturaleza del contrato a suscribir y a su valor. La verificación documental de las </w:t>
      </w:r>
      <w:r w:rsidRPr="7E5A8D80">
        <w:rPr>
          <w:rFonts w:ascii="Verdana" w:eastAsia="Calibri" w:hAnsi="Verdana" w:cs="Arial"/>
          <w:color w:val="000000" w:themeColor="text1"/>
          <w:kern w:val="2"/>
          <w:sz w:val="20"/>
          <w:szCs w:val="20"/>
          <w:lang w:val="es-ES"/>
          <w14:ligatures w14:val="standardContextual"/>
        </w:rPr>
        <w:lastRenderedPageBreak/>
        <w:t>condiciones antes señaladas será efectuada por las Cámaras de Comercio de conformidad con lo establecido en el artículo 6o de la presente ley, de acuerdo con lo cual se expedirá la respectiva certificación.</w:t>
      </w:r>
    </w:p>
    <w:p w14:paraId="7DED0EAD" w14:textId="77777777" w:rsidR="00DD5AF8" w:rsidRPr="00BD4869" w:rsidRDefault="00DD5AF8" w:rsidP="00DD5AF8">
      <w:pPr>
        <w:spacing w:after="0" w:line="240" w:lineRule="auto"/>
        <w:ind w:left="709" w:right="709"/>
        <w:jc w:val="both"/>
        <w:rPr>
          <w:rFonts w:ascii="Verdana" w:eastAsia="Calibri" w:hAnsi="Verdana" w:cs="Arial"/>
          <w:color w:val="000000" w:themeColor="text1"/>
          <w:kern w:val="2"/>
          <w:sz w:val="20"/>
          <w:szCs w:val="20"/>
          <w:lang w:val="es-ES_tradnl"/>
          <w14:ligatures w14:val="standardContextual"/>
        </w:rPr>
      </w:pPr>
    </w:p>
    <w:p w14:paraId="0A58EF92" w14:textId="77777777" w:rsidR="00DD5AF8" w:rsidRPr="00BD4869" w:rsidRDefault="00DD5AF8" w:rsidP="00DD5AF8">
      <w:pPr>
        <w:spacing w:after="0" w:line="240" w:lineRule="auto"/>
        <w:ind w:left="709" w:right="709"/>
        <w:jc w:val="both"/>
        <w:rPr>
          <w:rFonts w:ascii="Verdana" w:eastAsia="Calibri" w:hAnsi="Verdana" w:cs="Arial"/>
          <w:color w:val="000000" w:themeColor="text1"/>
          <w:kern w:val="2"/>
          <w:sz w:val="20"/>
          <w:szCs w:val="20"/>
          <w:lang w:val="es-ES_tradnl"/>
          <w14:ligatures w14:val="standardContextual"/>
        </w:rPr>
      </w:pPr>
      <w:r w:rsidRPr="00BD4869">
        <w:rPr>
          <w:rFonts w:ascii="Verdana" w:eastAsia="Calibri" w:hAnsi="Verdana" w:cs="Arial"/>
          <w:color w:val="000000" w:themeColor="text1"/>
          <w:kern w:val="2"/>
          <w:sz w:val="20"/>
          <w:szCs w:val="20"/>
          <w:lang w:val="es-ES_tradnl"/>
          <w14:ligatures w14:val="standardContextual"/>
        </w:rPr>
        <w:t>2. &lt;Numeral modificado por el artículo 88 de la Ley 1474 de 2011. El nuevo texto es el siguiente:&gt; La oferta más favorable será aquella que, teniendo en cuenta los factores técnicos y económicos de escogencia y la ponderación precisa y detallada de los mismos contenida en los pliegos de condiciones o sus equivalentes, resulte ser la más ventajosa para la entidad, sin que la favorabilidad la constituyan factores diferentes a los contenidos en dichos documentos. En los contratos de obra pública, el menor plazo ofrecido no será objeto de evaluación. La entidad efectuará las comparaciones del caso mediante el cotejo de los ofrecimientos recibidos y la consulta de precios o condiciones del mercado y los estudios y deducciones de la entidad o de los organismos consultores o asesores designados para ello.</w:t>
      </w:r>
    </w:p>
    <w:p w14:paraId="10EB7D19" w14:textId="77777777" w:rsidR="00DD5AF8" w:rsidRPr="00BD4869" w:rsidRDefault="00DD5AF8" w:rsidP="00DD5AF8">
      <w:pPr>
        <w:spacing w:after="0" w:line="240" w:lineRule="auto"/>
        <w:ind w:left="709" w:right="709"/>
        <w:jc w:val="both"/>
        <w:rPr>
          <w:rFonts w:ascii="Verdana" w:eastAsia="Calibri" w:hAnsi="Verdana" w:cs="Arial"/>
          <w:color w:val="000000" w:themeColor="text1"/>
          <w:kern w:val="2"/>
          <w:sz w:val="20"/>
          <w:szCs w:val="20"/>
          <w:lang w:val="es-ES_tradnl"/>
          <w14:ligatures w14:val="standardContextual"/>
        </w:rPr>
      </w:pPr>
    </w:p>
    <w:p w14:paraId="352ADF61" w14:textId="77777777" w:rsidR="00DD5AF8" w:rsidRPr="00BD4869" w:rsidRDefault="00DD5AF8" w:rsidP="00DD5AF8">
      <w:pPr>
        <w:spacing w:after="0" w:line="240" w:lineRule="auto"/>
        <w:ind w:left="709" w:right="709"/>
        <w:jc w:val="both"/>
        <w:rPr>
          <w:rFonts w:ascii="Verdana" w:eastAsia="Calibri" w:hAnsi="Verdana" w:cs="Arial"/>
          <w:color w:val="000000" w:themeColor="text1"/>
          <w:kern w:val="2"/>
          <w:sz w:val="20"/>
          <w:szCs w:val="20"/>
          <w:lang w:val="es-ES_tradnl"/>
          <w14:ligatures w14:val="standardContextual"/>
        </w:rPr>
      </w:pPr>
      <w:r w:rsidRPr="00BD4869">
        <w:rPr>
          <w:rFonts w:ascii="Verdana" w:eastAsia="Calibri" w:hAnsi="Verdana" w:cs="Arial"/>
          <w:color w:val="000000" w:themeColor="text1"/>
          <w:kern w:val="2"/>
          <w:sz w:val="20"/>
          <w:szCs w:val="20"/>
          <w:lang w:val="es-ES_tradnl"/>
          <w14:ligatures w14:val="standardContextual"/>
        </w:rPr>
        <w:t>En los procesos de selección en los que se tenga en cuenta los factores técnicos y económicos, la oferta más ventajosa será la que resulte de aplicar alguna de las siguientes alternativas:</w:t>
      </w:r>
    </w:p>
    <w:p w14:paraId="48C86806" w14:textId="77777777" w:rsidR="00DD5AF8" w:rsidRPr="00BD4869" w:rsidRDefault="00DD5AF8" w:rsidP="00DD5AF8">
      <w:pPr>
        <w:spacing w:after="0" w:line="240" w:lineRule="auto"/>
        <w:ind w:left="709" w:right="709"/>
        <w:jc w:val="both"/>
        <w:rPr>
          <w:rFonts w:ascii="Verdana" w:eastAsia="Calibri" w:hAnsi="Verdana" w:cs="Arial"/>
          <w:color w:val="000000" w:themeColor="text1"/>
          <w:kern w:val="2"/>
          <w:sz w:val="20"/>
          <w:szCs w:val="20"/>
          <w:lang w:val="es-ES_tradnl"/>
          <w14:ligatures w14:val="standardContextual"/>
        </w:rPr>
      </w:pPr>
    </w:p>
    <w:p w14:paraId="4B4B9B93" w14:textId="77777777" w:rsidR="00DD5AF8" w:rsidRPr="00BD4869" w:rsidRDefault="00DD5AF8" w:rsidP="00DD5AF8">
      <w:pPr>
        <w:spacing w:after="0" w:line="240" w:lineRule="auto"/>
        <w:ind w:left="709" w:right="709"/>
        <w:jc w:val="both"/>
        <w:rPr>
          <w:rFonts w:ascii="Verdana" w:eastAsia="Calibri" w:hAnsi="Verdana" w:cs="Arial"/>
          <w:color w:val="000000" w:themeColor="text1"/>
          <w:kern w:val="2"/>
          <w:sz w:val="20"/>
          <w:szCs w:val="20"/>
          <w:lang w:val="es-ES_tradnl"/>
          <w14:ligatures w14:val="standardContextual"/>
        </w:rPr>
      </w:pPr>
      <w:r w:rsidRPr="00BD4869">
        <w:rPr>
          <w:rFonts w:ascii="Verdana" w:eastAsia="Calibri" w:hAnsi="Verdana" w:cs="Arial"/>
          <w:color w:val="000000" w:themeColor="text1"/>
          <w:kern w:val="2"/>
          <w:sz w:val="20"/>
          <w:szCs w:val="20"/>
          <w:lang w:val="es-ES_tradnl"/>
          <w14:ligatures w14:val="standardContextual"/>
        </w:rPr>
        <w:t>a) La ponderación de los elementos de calidad y precio soportados en puntajes o fórmulas señaladas en el pliego de condiciones; o</w:t>
      </w:r>
    </w:p>
    <w:p w14:paraId="2E9C37BC" w14:textId="77777777" w:rsidR="00DD5AF8" w:rsidRPr="00BD4869" w:rsidRDefault="00DD5AF8" w:rsidP="00DD5AF8">
      <w:pPr>
        <w:spacing w:after="0" w:line="240" w:lineRule="auto"/>
        <w:ind w:left="709" w:right="709"/>
        <w:jc w:val="both"/>
        <w:rPr>
          <w:rFonts w:ascii="Verdana" w:eastAsia="Calibri" w:hAnsi="Verdana" w:cs="Arial"/>
          <w:color w:val="000000" w:themeColor="text1"/>
          <w:kern w:val="2"/>
          <w:sz w:val="20"/>
          <w:szCs w:val="20"/>
          <w:lang w:val="es-ES_tradnl"/>
          <w14:ligatures w14:val="standardContextual"/>
        </w:rPr>
      </w:pPr>
    </w:p>
    <w:p w14:paraId="3A12FF43" w14:textId="77777777" w:rsidR="00DD5AF8" w:rsidRPr="00BD4869" w:rsidRDefault="00DD5AF8" w:rsidP="00DD5AF8">
      <w:pPr>
        <w:spacing w:after="0" w:line="240" w:lineRule="auto"/>
        <w:ind w:left="709" w:right="709"/>
        <w:jc w:val="both"/>
        <w:rPr>
          <w:rFonts w:ascii="Verdana" w:eastAsia="Calibri" w:hAnsi="Verdana" w:cs="Arial"/>
          <w:i/>
          <w:iCs/>
          <w:color w:val="000000" w:themeColor="text1"/>
          <w:kern w:val="2"/>
          <w:sz w:val="20"/>
          <w:szCs w:val="20"/>
          <w:lang w:val="es-ES_tradnl"/>
          <w14:ligatures w14:val="standardContextual"/>
        </w:rPr>
      </w:pPr>
      <w:r w:rsidRPr="00BD4869">
        <w:rPr>
          <w:rFonts w:ascii="Verdana" w:eastAsia="Calibri" w:hAnsi="Verdana" w:cs="Arial"/>
          <w:i/>
          <w:iCs/>
          <w:color w:val="000000" w:themeColor="text1"/>
          <w:kern w:val="2"/>
          <w:sz w:val="20"/>
          <w:szCs w:val="20"/>
          <w:lang w:val="es-ES_tradnl"/>
          <w14:ligatures w14:val="standardContextual"/>
        </w:rPr>
        <w:t>b) La ponderación de los elementos de calidad y precio que representen la mejor relación de costo-beneficio para la entidad.</w:t>
      </w:r>
    </w:p>
    <w:p w14:paraId="05D790A0" w14:textId="77777777" w:rsidR="00DD5AF8" w:rsidRPr="00BD4869" w:rsidRDefault="00DD5AF8" w:rsidP="00DD5AF8">
      <w:pPr>
        <w:spacing w:after="0" w:line="240" w:lineRule="auto"/>
        <w:ind w:left="709" w:right="709"/>
        <w:jc w:val="both"/>
        <w:rPr>
          <w:rFonts w:ascii="Verdana" w:eastAsia="Calibri" w:hAnsi="Verdana" w:cs="Arial"/>
          <w:color w:val="000000" w:themeColor="text1"/>
          <w:kern w:val="2"/>
          <w:sz w:val="20"/>
          <w:szCs w:val="20"/>
          <w:lang w:val="es-ES_tradnl"/>
          <w14:ligatures w14:val="standardContextual"/>
        </w:rPr>
      </w:pPr>
    </w:p>
    <w:p w14:paraId="39D3F117" w14:textId="77777777" w:rsidR="00DD5AF8" w:rsidRDefault="00DD5AF8" w:rsidP="00DD5AF8">
      <w:pPr>
        <w:spacing w:after="0" w:line="240" w:lineRule="auto"/>
        <w:ind w:left="709" w:right="709"/>
        <w:jc w:val="both"/>
        <w:rPr>
          <w:rFonts w:ascii="Verdana" w:eastAsia="Calibri" w:hAnsi="Verdana" w:cs="Arial"/>
          <w:i/>
          <w:color w:val="000000" w:themeColor="text1"/>
          <w:kern w:val="2"/>
          <w:sz w:val="20"/>
          <w:szCs w:val="20"/>
          <w:lang w:val="es-ES_tradnl"/>
          <w14:ligatures w14:val="standardContextual"/>
        </w:rPr>
      </w:pPr>
      <w:r w:rsidRPr="007B1CA2">
        <w:rPr>
          <w:rFonts w:ascii="Verdana" w:eastAsia="Calibri" w:hAnsi="Verdana" w:cs="Arial"/>
          <w:i/>
          <w:iCs/>
          <w:color w:val="000000" w:themeColor="text1"/>
          <w:kern w:val="2"/>
          <w:sz w:val="20"/>
          <w:szCs w:val="20"/>
          <w:lang w:val="es-ES_tradnl"/>
          <w14:ligatures w14:val="standardContextual"/>
        </w:rPr>
        <w:t>3. Sin perjuicio de lo previsto en el numeral 1 del presente artículo, en los pliegos de condiciones para las contrataciones cuyo objeto sea la adquisición o suministro de bienes y servicios de características técnicas uniformes y común utilización, las entidades estatales incluirán como único factor de evaluación el menor precio ofrecido.</w:t>
      </w:r>
    </w:p>
    <w:p w14:paraId="12D4C438" w14:textId="77777777" w:rsidR="00DD5AF8" w:rsidRPr="008A74DA" w:rsidRDefault="00DD5AF8" w:rsidP="00DD5AF8">
      <w:pPr>
        <w:spacing w:after="0" w:line="240" w:lineRule="auto"/>
        <w:ind w:left="709" w:right="709"/>
        <w:jc w:val="both"/>
        <w:rPr>
          <w:rFonts w:ascii="Verdana" w:eastAsia="Calibri" w:hAnsi="Verdana" w:cs="Arial"/>
          <w:i/>
          <w:color w:val="000000" w:themeColor="text1"/>
          <w:kern w:val="2"/>
          <w:sz w:val="20"/>
          <w:szCs w:val="20"/>
          <w:lang w:val="es-ES_tradnl"/>
          <w14:ligatures w14:val="standardContextual"/>
        </w:rPr>
      </w:pPr>
    </w:p>
    <w:p w14:paraId="0778490D" w14:textId="77777777" w:rsidR="00DD5AF8" w:rsidRPr="00BD4869" w:rsidRDefault="00DD5AF8" w:rsidP="00DD5AF8">
      <w:pPr>
        <w:spacing w:after="0" w:line="240" w:lineRule="auto"/>
        <w:ind w:left="709" w:right="709"/>
        <w:jc w:val="both"/>
        <w:rPr>
          <w:rFonts w:ascii="Verdana" w:eastAsia="Calibri" w:hAnsi="Verdana" w:cs="Arial"/>
          <w:color w:val="000000" w:themeColor="text1"/>
          <w:kern w:val="2"/>
          <w:sz w:val="20"/>
          <w:szCs w:val="20"/>
          <w:lang w:val="es-ES_tradnl"/>
          <w14:ligatures w14:val="standardContextual"/>
        </w:rPr>
      </w:pPr>
      <w:r>
        <w:rPr>
          <w:rFonts w:ascii="Verdana" w:eastAsia="Calibri" w:hAnsi="Verdana" w:cs="Arial"/>
          <w:color w:val="000000" w:themeColor="text1"/>
          <w:kern w:val="2"/>
          <w:sz w:val="20"/>
          <w:szCs w:val="20"/>
          <w:lang w:val="es-ES_tradnl"/>
          <w14:ligatures w14:val="standardContextual"/>
        </w:rPr>
        <w:t>[…]</w:t>
      </w:r>
      <w:r w:rsidRPr="00BD4869">
        <w:rPr>
          <w:rFonts w:ascii="Verdana" w:eastAsia="Calibri" w:hAnsi="Verdana" w:cs="Arial"/>
          <w:color w:val="000000" w:themeColor="text1"/>
          <w:kern w:val="2"/>
          <w:sz w:val="20"/>
          <w:szCs w:val="20"/>
          <w:lang w:val="es-ES_tradnl"/>
          <w14:ligatures w14:val="standardContextual"/>
        </w:rPr>
        <w:t>”.</w:t>
      </w:r>
    </w:p>
    <w:p w14:paraId="2C972DBF" w14:textId="77777777" w:rsidR="00DD5AF8" w:rsidRPr="00BD4869" w:rsidRDefault="00DD5AF8" w:rsidP="00DD5AF8">
      <w:pPr>
        <w:spacing w:after="0" w:line="276" w:lineRule="auto"/>
        <w:ind w:left="709" w:right="709"/>
        <w:jc w:val="both"/>
        <w:rPr>
          <w:rFonts w:ascii="Verdana" w:eastAsia="Calibri" w:hAnsi="Verdana" w:cs="Arial"/>
          <w:color w:val="000000" w:themeColor="text1"/>
          <w:kern w:val="2"/>
          <w:lang w:val="es-ES_tradnl"/>
          <w14:ligatures w14:val="standardContextual"/>
        </w:rPr>
      </w:pPr>
    </w:p>
    <w:p w14:paraId="3EC2D0CD" w14:textId="77777777" w:rsidR="00DD5AF8" w:rsidRPr="00BD4869" w:rsidRDefault="00DD5AF8" w:rsidP="00DD5AF8">
      <w:pPr>
        <w:spacing w:after="120" w:line="276" w:lineRule="auto"/>
        <w:ind w:right="51" w:firstLine="709"/>
        <w:jc w:val="both"/>
        <w:rPr>
          <w:rFonts w:ascii="Verdana" w:eastAsia="Calibri" w:hAnsi="Verdana" w:cs="Arial"/>
          <w:bCs/>
          <w:lang w:val="es-MX"/>
        </w:rPr>
      </w:pPr>
      <w:r w:rsidRPr="00BD4869">
        <w:rPr>
          <w:rFonts w:ascii="Verdana" w:eastAsia="Calibri" w:hAnsi="Verdana" w:cs="Arial"/>
          <w:bCs/>
          <w:lang w:val="es-MX"/>
        </w:rPr>
        <w:t xml:space="preserve">De acuerdo con esta norma y conforme con lo expresado en el concepto C–166 del 23 de abril de 2021, puede decirse que el deber de selección objetiva supone que las entidades escojan en los procesos de selección el “[…] ofrecimiento más favorable a la entidad y a los fines que ella busca […]”. Tal favorabilidad debe determinarse a partir de criterios que pueden variar, de acuerdo con el objeto contractual o la modalidad de selección aplicable, los cuales, en todo caso, para que la selección sea objetiva, deben estar señalados en el pliego de condiciones o documento equivalente. </w:t>
      </w:r>
    </w:p>
    <w:p w14:paraId="52D12F33" w14:textId="77777777" w:rsidR="00DD5AF8" w:rsidRPr="00BD4869" w:rsidRDefault="00DD5AF8" w:rsidP="00DD5AF8">
      <w:pPr>
        <w:spacing w:after="120" w:line="276" w:lineRule="auto"/>
        <w:ind w:right="51" w:firstLine="709"/>
        <w:jc w:val="both"/>
        <w:rPr>
          <w:rFonts w:ascii="Verdana" w:eastAsia="Calibri" w:hAnsi="Verdana" w:cs="Arial"/>
          <w:bCs/>
          <w:lang w:val="es-MX"/>
        </w:rPr>
      </w:pPr>
      <w:bookmarkStart w:id="1" w:name="_1fob9te" w:colFirst="0" w:colLast="0"/>
      <w:bookmarkEnd w:id="1"/>
      <w:r w:rsidRPr="00BD4869">
        <w:rPr>
          <w:rFonts w:ascii="Verdana" w:eastAsia="Calibri" w:hAnsi="Verdana" w:cs="Arial"/>
          <w:bCs/>
          <w:lang w:val="es-MX"/>
        </w:rPr>
        <w:lastRenderedPageBreak/>
        <w:t>Al respecto</w:t>
      </w:r>
      <w:r w:rsidRPr="00E9045B">
        <w:rPr>
          <w:rFonts w:ascii="Verdana" w:eastAsia="Calibri" w:hAnsi="Verdana" w:cs="Arial"/>
          <w:bCs/>
          <w:lang w:val="es-MX"/>
        </w:rPr>
        <w:t>, el numeral 1 del artículo 5 de la Ley 1150 de 2007 se refiere a algunos requisitos exigibles en la generalidad de los procesos de selección adelantados conforme al EGCAP, tales como la capacidad jurídica, las condiciones de experiencia, la capacidad financiera y de organización, denominados requisitos habilitantes, los cuales –en principio, salvo expresa disposición legal– no otorgan puntaje. Lo</w:t>
      </w:r>
      <w:r w:rsidRPr="00BD4869">
        <w:rPr>
          <w:rFonts w:ascii="Verdana" w:eastAsia="Calibri" w:hAnsi="Verdana" w:cs="Arial"/>
          <w:bCs/>
          <w:lang w:val="es-MX"/>
        </w:rPr>
        <w:t xml:space="preserve"> anterior comoquiera que estos no se refieren a la oferta misma sino a la idoneidad del oferente para asumir adecuadamente la ejecución del contrato</w:t>
      </w:r>
      <w:r w:rsidRPr="00BD4869">
        <w:rPr>
          <w:rFonts w:ascii="Verdana" w:eastAsia="Calibri" w:hAnsi="Verdana" w:cs="Arial"/>
          <w:bCs/>
          <w:vertAlign w:val="superscript"/>
          <w:lang w:val="es-MX"/>
        </w:rPr>
        <w:footnoteReference w:id="4"/>
      </w:r>
      <w:r w:rsidRPr="00BD4869">
        <w:rPr>
          <w:rFonts w:ascii="Verdana" w:eastAsia="Calibri" w:hAnsi="Verdana" w:cs="Arial"/>
          <w:bCs/>
          <w:lang w:val="es-MX"/>
        </w:rPr>
        <w:t xml:space="preserve">. Los oferentes que cumplan estos requisitos habilitantes son considerados idóneos para ejecutar el objeto contractual, de manera que sus ofertas pueden ser consideradas en la evaluación dirigida a determinar cuál es la más favorable para la entidad y a los fines de la contratación. En este sentido, los requisitos </w:t>
      </w:r>
      <w:r w:rsidRPr="00BD4869">
        <w:rPr>
          <w:rFonts w:ascii="Verdana" w:eastAsia="Calibri" w:hAnsi="Verdana" w:cs="Arial"/>
          <w:bCs/>
          <w:i/>
          <w:lang w:val="es-MX"/>
        </w:rPr>
        <w:t xml:space="preserve">habilitantes </w:t>
      </w:r>
      <w:r w:rsidRPr="00BD4869">
        <w:rPr>
          <w:rFonts w:ascii="Verdana" w:eastAsia="Calibri" w:hAnsi="Verdana" w:cs="Arial"/>
          <w:bCs/>
          <w:lang w:val="es-MX"/>
        </w:rPr>
        <w:t>son aquellos que deben cumplir en igualdad de condiciones los proponentes, haciendo que estos se habiliten en el procedimiento de selección y sean susceptibles de ser seleccionados como futuros contratistas.</w:t>
      </w:r>
    </w:p>
    <w:p w14:paraId="3E0C927E" w14:textId="77777777" w:rsidR="00DD5AF8" w:rsidRPr="00BD4869" w:rsidRDefault="00DD5AF8" w:rsidP="00DD5AF8">
      <w:pPr>
        <w:spacing w:after="120" w:line="276" w:lineRule="auto"/>
        <w:ind w:right="51" w:firstLine="709"/>
        <w:jc w:val="both"/>
        <w:rPr>
          <w:rFonts w:ascii="Verdana" w:eastAsia="Calibri" w:hAnsi="Verdana" w:cs="Arial"/>
          <w:bCs/>
          <w:lang w:val="es-MX"/>
        </w:rPr>
      </w:pPr>
      <w:r w:rsidRPr="00BD4869">
        <w:rPr>
          <w:rFonts w:ascii="Verdana" w:eastAsia="Calibri" w:hAnsi="Verdana" w:cs="Arial"/>
          <w:bCs/>
          <w:lang w:val="es-MX"/>
        </w:rPr>
        <w:t xml:space="preserve">En contraposición a los requisitos habilitantes, el artículo 5 de la Ley 1150 de 2007 regula los factores dirigidos a determinar cuál es la propuesta, comparativamente, más favorable. En ese sentido, el inciso primero dispone los factores de escogencia y calificación que deben indicarse en los pliegos de condiciones o documentos equivalentes. El numeral segundo de esta norma establece que la oferta más favorable es aquella que resulte ser la más ventajosa para la entidad, una vez se realice la ponderación precisa y detallada de los factores técnicos y económicos de escogencia, de acuerdo con los parámetros establecidos en los pliegos de condiciones o equivalentes, que permiten la comparación de ofertas. Este numeral segundo se divide en dos literales, cada uno de los cuales hace referencia a los mecanismos por los que pueden optar las entidades para ponderar los elementos de calidad y precio de las ofertas. El literal a) alude a la ponderación de los referidos elementos mediante </w:t>
      </w:r>
      <w:r w:rsidRPr="00BD4869">
        <w:rPr>
          <w:rFonts w:ascii="Verdana" w:eastAsia="Calibri" w:hAnsi="Verdana" w:cs="Arial"/>
          <w:bCs/>
          <w:i/>
          <w:iCs/>
          <w:lang w:val="es-MX"/>
        </w:rPr>
        <w:t>puntajes o fórmulas</w:t>
      </w:r>
      <w:r w:rsidRPr="00BD4869">
        <w:rPr>
          <w:rFonts w:ascii="Verdana" w:eastAsia="Calibri" w:hAnsi="Verdana" w:cs="Arial"/>
          <w:bCs/>
          <w:lang w:val="es-MX"/>
        </w:rPr>
        <w:t xml:space="preserve">, </w:t>
      </w:r>
      <w:r w:rsidRPr="0058754A">
        <w:rPr>
          <w:rFonts w:ascii="Verdana" w:eastAsia="Calibri" w:hAnsi="Verdana" w:cs="Arial"/>
          <w:bCs/>
          <w:lang w:val="es-MX"/>
        </w:rPr>
        <w:t xml:space="preserve">mientras que el literal b) se refiere la elección de la oferta que represente la mejor relación </w:t>
      </w:r>
      <w:r w:rsidRPr="0058754A">
        <w:rPr>
          <w:rFonts w:ascii="Verdana" w:eastAsia="Calibri" w:hAnsi="Verdana" w:cs="Arial"/>
          <w:bCs/>
          <w:i/>
          <w:iCs/>
          <w:lang w:val="es-MX"/>
        </w:rPr>
        <w:t>costo-beneficio</w:t>
      </w:r>
      <w:r w:rsidRPr="0058754A">
        <w:rPr>
          <w:rFonts w:ascii="Verdana" w:eastAsia="Calibri" w:hAnsi="Verdana" w:cs="Arial"/>
          <w:bCs/>
          <w:lang w:val="es-MX"/>
        </w:rPr>
        <w:t xml:space="preserve"> para la entidad.</w:t>
      </w:r>
      <w:r w:rsidRPr="00BD4869">
        <w:rPr>
          <w:rFonts w:ascii="Verdana" w:eastAsia="Calibri" w:hAnsi="Verdana" w:cs="Arial"/>
          <w:bCs/>
          <w:lang w:val="es-MX"/>
        </w:rPr>
        <w:t xml:space="preserve"> </w:t>
      </w:r>
    </w:p>
    <w:p w14:paraId="035CB2E2" w14:textId="77777777" w:rsidR="00DD5AF8" w:rsidRPr="00BD4869" w:rsidRDefault="00DD5AF8" w:rsidP="00DD5AF8">
      <w:pPr>
        <w:spacing w:after="120" w:line="276" w:lineRule="auto"/>
        <w:ind w:right="51" w:firstLine="709"/>
        <w:jc w:val="both"/>
        <w:rPr>
          <w:rFonts w:ascii="Verdana" w:eastAsia="Calibri" w:hAnsi="Verdana" w:cs="Arial"/>
          <w:bCs/>
          <w:lang w:val="es-MX"/>
        </w:rPr>
      </w:pPr>
      <w:r w:rsidRPr="00BD4869">
        <w:rPr>
          <w:rFonts w:ascii="Verdana" w:eastAsia="Calibri" w:hAnsi="Verdana" w:cs="Arial"/>
          <w:bCs/>
          <w:lang w:val="es-MX"/>
        </w:rPr>
        <w:t xml:space="preserve">Por su parte, el numeral tercero establece que en los procesos de selección de bienes y servicios de características técnicas uniformes y de común utilización el único factor de evaluación consiste en el menor precio. Por último, el numeral 4, referente a los procedimientos para la selección de consultores, </w:t>
      </w:r>
      <w:r w:rsidRPr="00BD4869">
        <w:rPr>
          <w:rFonts w:ascii="Verdana" w:eastAsia="Calibri" w:hAnsi="Verdana" w:cs="Arial"/>
          <w:bCs/>
          <w:lang w:val="es-MX"/>
        </w:rPr>
        <w:lastRenderedPageBreak/>
        <w:t>señala que deben usarse factores de calificación, para valorar los aspectos técnicos de la oferta, permitiendo que entre ellos se pondere la experiencia.</w:t>
      </w:r>
    </w:p>
    <w:p w14:paraId="16474A0B" w14:textId="77777777" w:rsidR="00DD5AF8" w:rsidRPr="00BD4869" w:rsidRDefault="00DD5AF8" w:rsidP="00DD5AF8">
      <w:pPr>
        <w:spacing w:after="120" w:line="276" w:lineRule="auto"/>
        <w:ind w:right="51" w:firstLine="709"/>
        <w:jc w:val="both"/>
        <w:rPr>
          <w:rFonts w:ascii="Verdana" w:eastAsia="Calibri" w:hAnsi="Verdana" w:cs="Arial"/>
          <w:bCs/>
          <w:lang w:val="es-MX"/>
        </w:rPr>
      </w:pPr>
      <w:r w:rsidRPr="00BD4869">
        <w:rPr>
          <w:rFonts w:ascii="Verdana" w:eastAsia="Calibri" w:hAnsi="Verdana" w:cs="Arial"/>
          <w:bCs/>
          <w:lang w:val="es-MX"/>
        </w:rPr>
        <w:t>De acuerdo con lo expresado, se concluye que el artículo 5 de la Ley 1150 de 2007 define los parámetros conforme a los cuales deben exigirse y evaluarse los factores que no otorgan puntaje o requisitos habilitantes, como también aquellos que deben tenerse en cuenta para la exigencia y evaluación de los factores de escogencia o calificación, técnicos y económicos, los cuales inciden en la comparación de las ofertas. Por ello, la doctrina define los requisitos o factores ponderables como “[…] aquellas condiciones de la oferta y no de quien la presenta, que sí entrarán a ser evaluadas por la Administración y que, en consecuencia, darán lugar a la escogencia objetiva de la mejor propuesta para la entidad”</w:t>
      </w:r>
      <w:r w:rsidRPr="00BD4869">
        <w:rPr>
          <w:rFonts w:ascii="Verdana" w:eastAsia="Calibri" w:hAnsi="Verdana" w:cs="Arial"/>
          <w:bCs/>
          <w:vertAlign w:val="superscript"/>
          <w:lang w:val="es-MX"/>
        </w:rPr>
        <w:footnoteReference w:id="5"/>
      </w:r>
      <w:r w:rsidRPr="00BD4869">
        <w:rPr>
          <w:rFonts w:ascii="Verdana" w:eastAsia="Calibri" w:hAnsi="Verdana" w:cs="Arial"/>
          <w:bCs/>
          <w:lang w:val="es-MX"/>
        </w:rPr>
        <w:t>. Todas estas categorías designan los “[…] factores a los cuales cabe otorgarles puntajes o que pueden ser ponderados, precisamente, pues estos son los factores que en últimas permiten una comparación de ofertas y una diferenciación entre ellas”</w:t>
      </w:r>
      <w:r w:rsidRPr="00BD4869">
        <w:rPr>
          <w:rFonts w:ascii="Verdana" w:eastAsia="Calibri" w:hAnsi="Verdana" w:cs="Arial"/>
          <w:bCs/>
          <w:vertAlign w:val="superscript"/>
          <w:lang w:val="es-MX"/>
        </w:rPr>
        <w:footnoteReference w:id="6"/>
      </w:r>
      <w:r w:rsidRPr="00BD4869">
        <w:rPr>
          <w:rFonts w:ascii="Verdana" w:eastAsia="Calibri" w:hAnsi="Verdana" w:cs="Arial"/>
          <w:bCs/>
          <w:lang w:val="es-MX"/>
        </w:rPr>
        <w:t xml:space="preserve">. </w:t>
      </w:r>
    </w:p>
    <w:p w14:paraId="47F0357A" w14:textId="77777777" w:rsidR="00DD5AF8" w:rsidRPr="00BD4869" w:rsidRDefault="00DD5AF8" w:rsidP="00DD5AF8">
      <w:pPr>
        <w:spacing w:before="120" w:after="0" w:line="276" w:lineRule="auto"/>
        <w:ind w:right="51" w:firstLine="709"/>
        <w:jc w:val="both"/>
        <w:rPr>
          <w:rFonts w:ascii="Verdana" w:eastAsia="Calibri" w:hAnsi="Verdana" w:cs="Arial"/>
          <w:bCs/>
          <w:lang w:val="es-MX"/>
        </w:rPr>
      </w:pPr>
      <w:r w:rsidRPr="00BD4869">
        <w:rPr>
          <w:rFonts w:ascii="Verdana" w:eastAsia="Calibri" w:hAnsi="Verdana" w:cs="Arial"/>
          <w:bCs/>
          <w:lang w:val="es-MX"/>
        </w:rPr>
        <w:t>Sobre la escogencia de la oferta más favorable a los intereses de la entidad y la evaluación de los factores exigidos en un caso concreto para el efecto, la doctrina explica que:</w:t>
      </w:r>
    </w:p>
    <w:p w14:paraId="65406CF9" w14:textId="77777777" w:rsidR="00DD5AF8" w:rsidRPr="00BD4869" w:rsidRDefault="00DD5AF8" w:rsidP="00DD5AF8">
      <w:pPr>
        <w:spacing w:after="0" w:line="276" w:lineRule="auto"/>
        <w:ind w:right="51"/>
        <w:jc w:val="both"/>
        <w:rPr>
          <w:rFonts w:ascii="Verdana" w:eastAsia="Calibri" w:hAnsi="Verdana" w:cs="Arial"/>
          <w:bCs/>
          <w:lang w:val="es-MX"/>
        </w:rPr>
      </w:pPr>
    </w:p>
    <w:p w14:paraId="73A17C9F" w14:textId="77777777" w:rsidR="00DD5AF8" w:rsidRPr="00BD4869" w:rsidRDefault="00DD5AF8" w:rsidP="00DD5AF8">
      <w:pPr>
        <w:spacing w:after="0" w:line="240" w:lineRule="auto"/>
        <w:ind w:left="709" w:right="709"/>
        <w:jc w:val="both"/>
        <w:rPr>
          <w:rFonts w:ascii="Verdana" w:eastAsia="Calibri" w:hAnsi="Verdana" w:cs="Arial"/>
          <w:bCs/>
          <w:sz w:val="20"/>
          <w:szCs w:val="20"/>
          <w:lang w:val="es-MX"/>
        </w:rPr>
      </w:pPr>
      <w:r w:rsidRPr="00BD4869">
        <w:rPr>
          <w:rFonts w:ascii="Verdana" w:eastAsia="Calibri" w:hAnsi="Verdana" w:cs="Arial"/>
          <w:bCs/>
          <w:sz w:val="20"/>
          <w:szCs w:val="20"/>
          <w:lang w:val="es-MX"/>
        </w:rPr>
        <w:t xml:space="preserve">“De acuerdo con ese entendimiento, el numeral 2 del artículo 5.° de la Ley  1150 de 2007, modificado por el artículo 88 de la Ley 1474 de 2011, comienza por señalar que "la oferta más favorable será aquella que, teniendo en cuenta los factores técnicos y económicos de escogencia y la ponderación precisa y detallada de los mismos, contenida en los pliegos de condiciones o sus equivalentes, resulte ser la más ventajosa para la entidad, sin que la favorabilidad la constituyan factores diferentes a los contenidos en dichos documentos". Es decir que los factores de ponderación o de evaluación son los que en realidad determinan la propuesta que mejor satisface las necesidades de la Administración y no simplemente cuál de los proponentes es el más idóneo en la ejecución del contrato, pues, se insiste, todo oferente que supere los requisitos mínimos habilitantes se entiende que es suficientemente idóneo para la ejecución del objeto contractual. </w:t>
      </w:r>
    </w:p>
    <w:p w14:paraId="1536DCBF" w14:textId="77777777" w:rsidR="00DD5AF8" w:rsidRPr="00BD4869" w:rsidRDefault="00DD5AF8" w:rsidP="00DD5AF8">
      <w:pPr>
        <w:spacing w:after="0" w:line="240" w:lineRule="auto"/>
        <w:ind w:left="709" w:right="709"/>
        <w:jc w:val="both"/>
        <w:rPr>
          <w:rFonts w:ascii="Verdana" w:eastAsia="Calibri" w:hAnsi="Verdana" w:cs="Arial"/>
          <w:bCs/>
          <w:sz w:val="20"/>
          <w:szCs w:val="20"/>
          <w:lang w:val="es-MX"/>
        </w:rPr>
      </w:pPr>
    </w:p>
    <w:p w14:paraId="74BF3DF6" w14:textId="77777777" w:rsidR="00DD5AF8" w:rsidRPr="00BD4869" w:rsidRDefault="00DD5AF8" w:rsidP="00DD5AF8">
      <w:pPr>
        <w:spacing w:after="0" w:line="240" w:lineRule="auto"/>
        <w:ind w:left="709" w:right="709"/>
        <w:jc w:val="both"/>
        <w:rPr>
          <w:rFonts w:ascii="Verdana" w:eastAsia="Calibri" w:hAnsi="Verdana" w:cs="Arial"/>
          <w:bCs/>
          <w:sz w:val="20"/>
          <w:szCs w:val="20"/>
          <w:lang w:val="es-MX"/>
        </w:rPr>
      </w:pPr>
      <w:r w:rsidRPr="00BD4869">
        <w:rPr>
          <w:rFonts w:ascii="Verdana" w:eastAsia="Calibri" w:hAnsi="Verdana" w:cs="Arial"/>
          <w:bCs/>
          <w:sz w:val="20"/>
          <w:szCs w:val="20"/>
          <w:lang w:val="es-MX"/>
        </w:rPr>
        <w:lastRenderedPageBreak/>
        <w:t xml:space="preserve">De nuevo, aquí es preciso señalar que es el pliego de condiciones el que debe determinar cuáles son esos factores que en cada caso concreto permiten hacer una comparación entre las ofertas presentadas y, con base en ello, determinar cuál es la más favorable para la Administración Pública. </w:t>
      </w:r>
    </w:p>
    <w:p w14:paraId="67B8F782" w14:textId="77777777" w:rsidR="00DD5AF8" w:rsidRPr="00BD4869" w:rsidRDefault="00DD5AF8" w:rsidP="00DD5AF8">
      <w:pPr>
        <w:spacing w:after="0" w:line="240" w:lineRule="auto"/>
        <w:ind w:left="709" w:right="709"/>
        <w:jc w:val="both"/>
        <w:rPr>
          <w:rFonts w:ascii="Verdana" w:eastAsia="Calibri" w:hAnsi="Verdana" w:cs="Arial"/>
          <w:bCs/>
          <w:sz w:val="20"/>
          <w:szCs w:val="20"/>
          <w:lang w:val="es-MX"/>
        </w:rPr>
      </w:pPr>
    </w:p>
    <w:p w14:paraId="3DFC1ADB" w14:textId="77777777" w:rsidR="00DD5AF8" w:rsidRPr="00BD4869" w:rsidRDefault="00DD5AF8" w:rsidP="00DD5AF8">
      <w:pPr>
        <w:spacing w:after="0" w:line="240" w:lineRule="auto"/>
        <w:ind w:left="709" w:right="709"/>
        <w:jc w:val="both"/>
        <w:rPr>
          <w:rFonts w:ascii="Verdana" w:eastAsia="Calibri" w:hAnsi="Verdana" w:cs="Arial"/>
          <w:bCs/>
          <w:sz w:val="20"/>
          <w:szCs w:val="20"/>
          <w:lang w:val="es-MX"/>
        </w:rPr>
      </w:pPr>
      <w:r w:rsidRPr="00BD4869">
        <w:rPr>
          <w:rFonts w:ascii="Verdana" w:eastAsia="Calibri" w:hAnsi="Verdana" w:cs="Arial"/>
          <w:bCs/>
          <w:sz w:val="20"/>
          <w:szCs w:val="20"/>
          <w:lang w:val="es-MX"/>
        </w:rPr>
        <w:t>[…]Una siguiente conclusión que se deriva de la norma parcialmente transcrita consiste en que los pliegos de condiciones deben determinar dos situaciones por separado: 1. cuáles serán los factores o requisitos que serán evaluados por la Administración y 2. cuáles son los criterios para asignar puntaje a cada uno de los factores de evaluación y, con base en ello, poder hacer la comparación entre las ofertas y concluir cuál de ellas es la más ventajosa para la entidad estatal”</w:t>
      </w:r>
      <w:r w:rsidRPr="00BD4869">
        <w:rPr>
          <w:rFonts w:ascii="Verdana" w:eastAsia="Calibri" w:hAnsi="Verdana" w:cs="Arial"/>
          <w:bCs/>
          <w:sz w:val="20"/>
          <w:szCs w:val="20"/>
          <w:vertAlign w:val="superscript"/>
          <w:lang w:val="es-MX"/>
        </w:rPr>
        <w:footnoteReference w:id="7"/>
      </w:r>
      <w:r w:rsidRPr="00BD4869">
        <w:rPr>
          <w:rFonts w:ascii="Verdana" w:eastAsia="Calibri" w:hAnsi="Verdana" w:cs="Arial"/>
          <w:bCs/>
          <w:sz w:val="20"/>
          <w:szCs w:val="20"/>
          <w:lang w:val="es-MX"/>
        </w:rPr>
        <w:t>.</w:t>
      </w:r>
    </w:p>
    <w:p w14:paraId="0B9F1B3A" w14:textId="77777777" w:rsidR="00DD5AF8" w:rsidRPr="00BD4869" w:rsidRDefault="00DD5AF8" w:rsidP="00DD5AF8">
      <w:pPr>
        <w:spacing w:after="0" w:line="276" w:lineRule="auto"/>
        <w:ind w:left="709" w:right="709"/>
        <w:jc w:val="both"/>
        <w:rPr>
          <w:rFonts w:ascii="Verdana" w:eastAsia="Calibri" w:hAnsi="Verdana" w:cs="Arial"/>
          <w:bCs/>
          <w:lang w:val="es-MX"/>
        </w:rPr>
      </w:pPr>
    </w:p>
    <w:p w14:paraId="5D96F121" w14:textId="3AFDA851" w:rsidR="00DD5AF8" w:rsidRPr="00BD4869" w:rsidRDefault="00DD5AF8" w:rsidP="00DD5AF8">
      <w:pPr>
        <w:spacing w:after="120" w:line="276" w:lineRule="auto"/>
        <w:ind w:firstLine="709"/>
        <w:jc w:val="both"/>
        <w:rPr>
          <w:rFonts w:ascii="Verdana" w:eastAsia="Calibri" w:hAnsi="Verdana" w:cs="Arial"/>
          <w:bCs/>
          <w:lang w:val="es-MX"/>
        </w:rPr>
      </w:pPr>
      <w:r w:rsidRPr="00BD4869">
        <w:rPr>
          <w:rFonts w:ascii="Verdana" w:eastAsia="Calibri" w:hAnsi="Verdana" w:cs="Arial"/>
          <w:bCs/>
          <w:lang w:val="es-MX"/>
        </w:rPr>
        <w:t xml:space="preserve">De acuerdo con lo anterior, es posible asimilar las diferentes categorías a las que hace referencia el artículo 5 de la Ley 1150 de 2007, cuando alude a los factores que, a diferencia de los requisitos habilitantes, determinan la oferta más favorable para la entidad, y que, por lo tanto, hacen que una oferta sea mejor que otra, pese a tener que cumplir todas ellas los requisitos habilitantes. Es frente a aquellos factores, que determinan comparativamente que una oferta sea mejor que otra, que la entidad concibe el otorgamiento de puntajes, como mecanismos para ponderar y comparar los ofrecimientos, con el fin de determinar objetivamente la </w:t>
      </w:r>
      <w:proofErr w:type="gramStart"/>
      <w:r w:rsidRPr="00BD4869">
        <w:rPr>
          <w:rFonts w:ascii="Verdana" w:eastAsia="Calibri" w:hAnsi="Verdana" w:cs="Arial"/>
          <w:bCs/>
          <w:lang w:val="es-MX"/>
        </w:rPr>
        <w:t xml:space="preserve">oferta </w:t>
      </w:r>
      <w:r>
        <w:rPr>
          <w:rFonts w:ascii="Verdana" w:eastAsia="Calibri" w:hAnsi="Verdana" w:cs="Arial"/>
          <w:bCs/>
          <w:lang w:val="es-MX"/>
        </w:rPr>
        <w:t xml:space="preserve"> </w:t>
      </w:r>
      <w:r w:rsidRPr="00BD4869">
        <w:rPr>
          <w:rFonts w:ascii="Verdana" w:eastAsia="Calibri" w:hAnsi="Verdana" w:cs="Arial"/>
          <w:bCs/>
          <w:lang w:val="es-MX"/>
        </w:rPr>
        <w:t>más</w:t>
      </w:r>
      <w:proofErr w:type="gramEnd"/>
      <w:r w:rsidRPr="00BD4869">
        <w:rPr>
          <w:rFonts w:ascii="Verdana" w:eastAsia="Calibri" w:hAnsi="Verdana" w:cs="Arial"/>
          <w:bCs/>
          <w:lang w:val="es-MX"/>
        </w:rPr>
        <w:t xml:space="preserve"> favorable, aplicando para ello las reglas establecidas en el pliego o documento equivalente para la ponderación de las ofertas. </w:t>
      </w:r>
    </w:p>
    <w:p w14:paraId="02AD68B7" w14:textId="77777777" w:rsidR="00DD5AF8" w:rsidRPr="003F0B4C" w:rsidRDefault="00DD5AF8" w:rsidP="00DD5AF8">
      <w:pPr>
        <w:spacing w:line="276" w:lineRule="auto"/>
        <w:ind w:firstLine="708"/>
        <w:jc w:val="both"/>
        <w:rPr>
          <w:rFonts w:ascii="Verdana" w:eastAsia="Calibri" w:hAnsi="Verdana" w:cs="Arial"/>
          <w:color w:val="000000" w:themeColor="text1"/>
          <w:lang w:val="es-ES_tradnl"/>
        </w:rPr>
      </w:pPr>
      <w:r w:rsidRPr="003F0B4C">
        <w:rPr>
          <w:rFonts w:ascii="Verdana" w:eastAsia="Calibri" w:hAnsi="Verdana" w:cs="Arial"/>
          <w:color w:val="000000" w:themeColor="text1"/>
          <w:lang w:val="es-ES_tradnl"/>
        </w:rPr>
        <w:t>Seguidamente, en relación con los requisitos habilitantes es importante mencionar que, en el “Manual para determinar y verificar los requisitos habilitantes en los Procesos de Contratación” expedido por esta Agencia, en el cual se determinaron los parámetros para establecer, acreditar y subsanar los requisitos habilitantes estudiados en los párrafos precedentes, se indica que su propósito consiste en “establecer unas condiciones mínimas para los proponentes de tal manera que la Entidad Estatal sólo evalúe las ofertas de aquellos que están en condiciones de cumplir con el objeto del Proceso de Contratación”. En otras palabras, al tratarse de condiciones mínimas, significa que las entidades podrían establecer otras, según su autonomía de la voluntad, y teniendo en cuenta el objeto del contrato, los riesgos detectados en los estudios previos, el presupuesto oficial, entre otros factores.</w:t>
      </w:r>
    </w:p>
    <w:p w14:paraId="5196F345" w14:textId="77777777" w:rsidR="00DD5AF8" w:rsidRDefault="00DD5AF8" w:rsidP="00DD5AF8">
      <w:pPr>
        <w:widowControl w:val="0"/>
        <w:autoSpaceDE w:val="0"/>
        <w:autoSpaceDN w:val="0"/>
        <w:spacing w:line="276" w:lineRule="auto"/>
        <w:ind w:firstLine="709"/>
        <w:jc w:val="both"/>
        <w:rPr>
          <w:rFonts w:ascii="Verdana" w:eastAsia="Calibri" w:hAnsi="Verdana" w:cs="Arial"/>
          <w:color w:val="000000" w:themeColor="text1"/>
        </w:rPr>
      </w:pPr>
      <w:r w:rsidRPr="003F0B4C">
        <w:rPr>
          <w:rFonts w:ascii="Verdana" w:eastAsia="Calibri" w:hAnsi="Verdana" w:cs="Arial"/>
          <w:color w:val="000000" w:themeColor="text1"/>
        </w:rPr>
        <w:t xml:space="preserve">En consecuencia, corresponde a las entidades estatales, durante la etapa </w:t>
      </w:r>
      <w:r w:rsidRPr="003F0B4C">
        <w:rPr>
          <w:rFonts w:ascii="Verdana" w:eastAsia="Calibri" w:hAnsi="Verdana" w:cs="Arial"/>
          <w:color w:val="000000" w:themeColor="text1"/>
        </w:rPr>
        <w:lastRenderedPageBreak/>
        <w:t xml:space="preserve">de planeación del contrato estatal, estudiar y determinar los requisitos habilitantes que establecerán en los pliegos de condiciones, los cuales deben fijarse de forma adecuada y proporcional. Esto último, según se deriva de la lectura del artículo 2.2.1.1.1.6.2 del Decreto 1082 de 2015, debe hacerse de acuerdo </w:t>
      </w:r>
      <w:bookmarkStart w:id="2" w:name="_Hlk182863897"/>
      <w:r w:rsidRPr="003F0B4C">
        <w:rPr>
          <w:rFonts w:ascii="Verdana" w:eastAsia="Calibri" w:hAnsi="Verdana" w:cs="Arial"/>
          <w:color w:val="000000" w:themeColor="text1"/>
        </w:rPr>
        <w:t>con la naturaleza, el valor del contrato, la forma de pago, los riesgos asociados al contrato, el plazo y la complejidad de ejecución del objeto</w:t>
      </w:r>
      <w:r w:rsidRPr="003F0B4C">
        <w:rPr>
          <w:rStyle w:val="Refdenotaalpie"/>
          <w:rFonts w:ascii="Verdana" w:eastAsia="Calibri" w:hAnsi="Verdana" w:cs="Arial"/>
          <w:color w:val="000000" w:themeColor="text1"/>
        </w:rPr>
        <w:footnoteReference w:id="8"/>
      </w:r>
      <w:r w:rsidRPr="003F0B4C">
        <w:rPr>
          <w:rFonts w:ascii="Verdana" w:eastAsia="Calibri" w:hAnsi="Verdana" w:cs="Arial"/>
          <w:color w:val="000000" w:themeColor="text1"/>
        </w:rPr>
        <w:t>.</w:t>
      </w:r>
      <w:bookmarkEnd w:id="2"/>
    </w:p>
    <w:p w14:paraId="26FF8027" w14:textId="77777777" w:rsidR="00DD5AF8" w:rsidRDefault="00DD5AF8" w:rsidP="00DD5AF8">
      <w:pPr>
        <w:widowControl w:val="0"/>
        <w:autoSpaceDE w:val="0"/>
        <w:autoSpaceDN w:val="0"/>
        <w:spacing w:line="276" w:lineRule="auto"/>
        <w:ind w:firstLine="709"/>
        <w:jc w:val="both"/>
        <w:rPr>
          <w:rFonts w:ascii="Verdana" w:eastAsia="Calibri" w:hAnsi="Verdana" w:cs="Arial"/>
          <w:color w:val="000000" w:themeColor="text1"/>
        </w:rPr>
      </w:pPr>
      <w:r w:rsidRPr="009616D4">
        <w:rPr>
          <w:rFonts w:ascii="Verdana" w:eastAsia="Calibri" w:hAnsi="Verdana" w:cs="Arial"/>
          <w:color w:val="000000" w:themeColor="text1"/>
        </w:rPr>
        <w:t>Considerando la discrecionalidad para establecer requisitos habilitantes, es necesario tener en cuenta que el artículo 44 de la Ley 1437 de 2011 –aplicable en los procedimientos contractuales en virtud del artículo 77 de la Ley 80 de 1993– dispone que “En la medida en que el contenido de una decisión de carácter general o particular sea d</w:t>
      </w:r>
      <w:r w:rsidRPr="003F0B4C">
        <w:rPr>
          <w:rFonts w:ascii="Verdana" w:eastAsia="Calibri" w:hAnsi="Verdana" w:cs="Arial"/>
          <w:color w:val="000000" w:themeColor="text1"/>
        </w:rPr>
        <w:t>iscrecional, debe ser adecuada a los fines de la norma que la autoriza, y proporcional a los hechos que le sirven de causa”. Dado lo anterior, para efectos de configurar requisitos habilitantes la Entidad Estatal tiene la carga de justificar en los estudios previos y análisis del sector del proceso de selección su procedencia, de conformidad con el artículo 2.2.1.1.1.6.2 del Decreto 1082 de 2015.</w:t>
      </w:r>
    </w:p>
    <w:p w14:paraId="32E419BB" w14:textId="77777777" w:rsidR="00DD5AF8" w:rsidRDefault="00DD5AF8" w:rsidP="00DD5AF8">
      <w:pPr>
        <w:spacing w:line="276" w:lineRule="auto"/>
        <w:ind w:firstLine="708"/>
        <w:jc w:val="both"/>
        <w:rPr>
          <w:rFonts w:ascii="Verdana" w:eastAsia="Calibri" w:hAnsi="Verdana" w:cs="Arial"/>
          <w:bCs/>
          <w:lang w:val="es-MX"/>
        </w:rPr>
      </w:pPr>
      <w:r>
        <w:rPr>
          <w:rFonts w:ascii="Verdana" w:eastAsia="Calibri" w:hAnsi="Verdana" w:cs="Arial"/>
          <w:lang w:val="es-MX"/>
        </w:rPr>
        <w:t xml:space="preserve">Ahora bien, </w:t>
      </w:r>
      <w:r>
        <w:rPr>
          <w:rFonts w:ascii="Verdana" w:eastAsia="Calibri" w:hAnsi="Verdana" w:cs="Arial"/>
          <w:bCs/>
          <w:lang w:val="es-MX"/>
        </w:rPr>
        <w:t>la</w:t>
      </w:r>
      <w:r>
        <w:rPr>
          <w:rFonts w:ascii="Verdana" w:eastAsia="Calibri" w:hAnsi="Verdana" w:cs="Arial"/>
          <w:lang w:val="es-MX"/>
        </w:rPr>
        <w:t xml:space="preserve"> subasta inversa, como una de las causales de la selección abreviada, </w:t>
      </w:r>
      <w:r>
        <w:rPr>
          <w:rFonts w:ascii="Verdana" w:eastAsia="Calibri" w:hAnsi="Verdana" w:cs="Arial"/>
          <w:bCs/>
          <w:lang w:val="es-MX"/>
        </w:rPr>
        <w:t>se ha definido por parte de la doctrina de la siguiente manera:</w:t>
      </w:r>
    </w:p>
    <w:p w14:paraId="0C4B45DF" w14:textId="61F577CF" w:rsidR="00DD5AF8" w:rsidRDefault="00DD5AF8" w:rsidP="00DD5AF8">
      <w:pPr>
        <w:spacing w:after="0" w:line="240" w:lineRule="auto"/>
        <w:ind w:left="709" w:right="709"/>
        <w:jc w:val="both"/>
        <w:rPr>
          <w:rFonts w:ascii="Verdana" w:eastAsia="Calibri" w:hAnsi="Verdana" w:cs="Arial"/>
          <w:bCs/>
          <w:sz w:val="20"/>
          <w:szCs w:val="20"/>
          <w:lang w:val="es-MX"/>
        </w:rPr>
      </w:pPr>
      <w:r w:rsidRPr="005214F1">
        <w:rPr>
          <w:rFonts w:ascii="Verdana" w:eastAsia="Calibri" w:hAnsi="Verdana" w:cs="Arial"/>
          <w:bCs/>
          <w:sz w:val="20"/>
          <w:szCs w:val="20"/>
          <w:lang w:val="es-MX"/>
        </w:rPr>
        <w:t xml:space="preserve">“La subasta inversa consiste en seleccionar, en las negociaciones como adjudicatario del contrato, no a quién [sic] OFRECE MÁS por un bien, sino por el contrario, a quién [sic] ofrece ejecutar una obra o </w:t>
      </w:r>
      <w:r w:rsidRPr="0020673F">
        <w:rPr>
          <w:rFonts w:ascii="Verdana" w:eastAsia="Calibri" w:hAnsi="Verdana" w:cs="Arial"/>
          <w:bCs/>
          <w:sz w:val="20"/>
          <w:szCs w:val="20"/>
          <w:u w:val="single"/>
          <w:lang w:val="es-MX"/>
        </w:rPr>
        <w:t>servicio por un menor valor</w:t>
      </w:r>
      <w:r w:rsidRPr="005214F1">
        <w:rPr>
          <w:rFonts w:ascii="Verdana" w:eastAsia="Calibri" w:hAnsi="Verdana" w:cs="Arial"/>
          <w:bCs/>
          <w:sz w:val="20"/>
          <w:szCs w:val="20"/>
          <w:lang w:val="es-MX"/>
        </w:rPr>
        <w:t>. Será mejor oferta por este sistema la que reuniendo las mejores condiciones técnicas de ejecución, en una puja de precios a la inversa, resulte ser la que se ejecute por un valor menor al ofrecido por otros”</w:t>
      </w:r>
      <w:r w:rsidRPr="00B238E4">
        <w:rPr>
          <w:rStyle w:val="Refdenotaalpie"/>
          <w:rFonts w:ascii="Verdana" w:eastAsia="Calibri" w:hAnsi="Verdana" w:cs="Arial"/>
          <w:bCs/>
          <w:sz w:val="20"/>
          <w:szCs w:val="20"/>
          <w:lang w:val="es-MX"/>
        </w:rPr>
        <w:t xml:space="preserve"> </w:t>
      </w:r>
      <w:r>
        <w:rPr>
          <w:rStyle w:val="Refdenotaalpie"/>
          <w:rFonts w:ascii="Verdana" w:eastAsia="Calibri" w:hAnsi="Verdana" w:cs="Arial"/>
          <w:bCs/>
          <w:sz w:val="20"/>
          <w:szCs w:val="20"/>
          <w:lang w:val="es-MX"/>
        </w:rPr>
        <w:footnoteReference w:id="9"/>
      </w:r>
      <w:r>
        <w:rPr>
          <w:rFonts w:ascii="Verdana" w:eastAsia="Calibri" w:hAnsi="Verdana" w:cs="Arial"/>
          <w:bCs/>
          <w:sz w:val="20"/>
          <w:szCs w:val="20"/>
          <w:lang w:val="es-MX"/>
        </w:rPr>
        <w:t>. (Énfasis dentro del texto) (Subrayado fuera de texto)</w:t>
      </w:r>
    </w:p>
    <w:p w14:paraId="6A824E39" w14:textId="77777777" w:rsidR="00DD5AF8" w:rsidRPr="00DD5AF8" w:rsidRDefault="00DD5AF8" w:rsidP="00DD5AF8">
      <w:pPr>
        <w:spacing w:after="0" w:line="240" w:lineRule="auto"/>
        <w:ind w:left="709" w:right="709"/>
        <w:jc w:val="both"/>
        <w:rPr>
          <w:rFonts w:ascii="Verdana" w:eastAsia="Calibri" w:hAnsi="Verdana" w:cs="Arial"/>
          <w:bCs/>
          <w:sz w:val="20"/>
          <w:szCs w:val="20"/>
          <w:lang w:val="es-MX"/>
        </w:rPr>
      </w:pPr>
    </w:p>
    <w:p w14:paraId="3EC44405" w14:textId="3C64E0DB" w:rsidR="00DD5AF8" w:rsidRPr="006F6354" w:rsidRDefault="00DD5AF8" w:rsidP="00DD5AF8">
      <w:pPr>
        <w:spacing w:line="276" w:lineRule="auto"/>
        <w:ind w:firstLine="708"/>
        <w:jc w:val="both"/>
        <w:rPr>
          <w:rFonts w:ascii="Verdana" w:eastAsia="Calibri" w:hAnsi="Verdana" w:cs="Arial"/>
          <w:bCs/>
          <w:sz w:val="24"/>
          <w:szCs w:val="24"/>
          <w:lang w:val="es-MX"/>
        </w:rPr>
      </w:pPr>
      <w:r>
        <w:rPr>
          <w:rFonts w:ascii="Verdana" w:eastAsia="Calibri" w:hAnsi="Verdana" w:cs="Arial"/>
          <w:bCs/>
          <w:lang w:val="es-MX"/>
        </w:rPr>
        <w:t xml:space="preserve">En consonancia con lo anterior, en virtud de la motivación del legislador por proveer de mayor agilidad y eficiencia la contratación de algunos bienes o servicios, se crea la modalidad de selección abreviada, en la cual “[…] </w:t>
      </w:r>
      <w:r w:rsidRPr="006F6354">
        <w:rPr>
          <w:rFonts w:ascii="Verdana" w:eastAsia="Calibri" w:hAnsi="Verdana" w:cs="Arial"/>
          <w:bCs/>
          <w:lang w:val="es-MX"/>
        </w:rPr>
        <w:t xml:space="preserve">en principio, no deberían presentarse las complejidades de un proceso de licitación pública, en cuanto a sus prerrequisitos, fórmulas de convocatoria, etapas, métodos de evaluación, plazos, etc., pues la naturaleza de los bienes y servicios </w:t>
      </w:r>
      <w:r w:rsidRPr="006F6354">
        <w:rPr>
          <w:rFonts w:ascii="Verdana" w:eastAsia="Calibri" w:hAnsi="Verdana" w:cs="Arial"/>
          <w:bCs/>
          <w:lang w:val="es-MX"/>
        </w:rPr>
        <w:lastRenderedPageBreak/>
        <w:t>que con ella se proveen no tienen la complejidad, costo, o importancia de aquellos otros propios de la licitación pública o, en cualquier caso, el Legislador</w:t>
      </w:r>
      <w:r>
        <w:rPr>
          <w:rFonts w:ascii="Verdana" w:eastAsia="Calibri" w:hAnsi="Verdana" w:cs="Arial"/>
          <w:bCs/>
          <w:lang w:val="es-MX"/>
        </w:rPr>
        <w:t xml:space="preserve"> </w:t>
      </w:r>
      <w:r w:rsidRPr="006F6354">
        <w:rPr>
          <w:rFonts w:ascii="Verdana" w:eastAsia="Calibri" w:hAnsi="Verdana" w:cs="Arial"/>
          <w:bCs/>
          <w:lang w:val="es-MX"/>
        </w:rPr>
        <w:t>consideró que son requeridos para suplir necesidades del servicio público de manera más ágil y eficiente</w:t>
      </w:r>
      <w:r>
        <w:rPr>
          <w:rFonts w:ascii="Verdana" w:eastAsia="Calibri" w:hAnsi="Verdana" w:cs="Arial"/>
          <w:bCs/>
          <w:lang w:val="es-MX"/>
        </w:rPr>
        <w:t>”</w:t>
      </w:r>
      <w:r>
        <w:rPr>
          <w:rStyle w:val="Refdenotaalpie"/>
          <w:rFonts w:ascii="Verdana" w:eastAsia="Calibri" w:hAnsi="Verdana" w:cs="Arial"/>
          <w:bCs/>
          <w:lang w:val="es-MX"/>
        </w:rPr>
        <w:footnoteReference w:id="10"/>
      </w:r>
      <w:r>
        <w:rPr>
          <w:rFonts w:ascii="Verdana" w:eastAsia="Calibri" w:hAnsi="Verdana" w:cs="Arial"/>
          <w:bCs/>
          <w:lang w:val="es-MX"/>
        </w:rPr>
        <w:t>.</w:t>
      </w:r>
    </w:p>
    <w:p w14:paraId="0A723CA6" w14:textId="77777777" w:rsidR="00DD5AF8" w:rsidRDefault="00DD5AF8" w:rsidP="00DD5AF8">
      <w:pPr>
        <w:spacing w:line="276" w:lineRule="auto"/>
        <w:ind w:firstLine="708"/>
        <w:jc w:val="both"/>
        <w:rPr>
          <w:rFonts w:ascii="Verdana" w:eastAsia="Calibri" w:hAnsi="Verdana" w:cs="Arial"/>
          <w:bCs/>
          <w:lang w:val="es-MX"/>
        </w:rPr>
      </w:pPr>
      <w:r>
        <w:rPr>
          <w:rFonts w:ascii="Verdana" w:eastAsia="Calibri" w:hAnsi="Verdana" w:cs="Arial"/>
          <w:bCs/>
          <w:lang w:val="es-MX"/>
        </w:rPr>
        <w:t>De otra parte, de acuerdo con la naturaleza de los bienes y servicios de características técnicas uniformes y común utilización –</w:t>
      </w:r>
      <w:r>
        <w:rPr>
          <w:rFonts w:ascii="Verdana" w:hAnsi="Verdana"/>
        </w:rPr>
        <w:t>definidos en el literal a) del numeral 2° del artículo 2 como aquellos que:</w:t>
      </w:r>
      <w:r w:rsidRPr="00F84EBD">
        <w:rPr>
          <w:rFonts w:ascii="Verdana" w:hAnsi="Verdana"/>
        </w:rPr>
        <w:t xml:space="preserve"> </w:t>
      </w:r>
      <w:r w:rsidRPr="00F84EBD">
        <w:rPr>
          <w:rFonts w:ascii="Verdana" w:hAnsi="Verdana"/>
          <w:i/>
          <w:iCs/>
        </w:rPr>
        <w:t xml:space="preserve">poseen las mismas especificaciones técnicas, con </w:t>
      </w:r>
      <w:r w:rsidRPr="003F0B4C">
        <w:rPr>
          <w:rFonts w:ascii="Verdana" w:hAnsi="Verdana"/>
          <w:i/>
          <w:iCs/>
        </w:rPr>
        <w:t>independencia de su diseño o de sus características descriptivas, y comparten patrones de desempeño y calidad objetivamente definidos</w:t>
      </w:r>
      <w:r w:rsidRPr="003F0B4C">
        <w:rPr>
          <w:rFonts w:ascii="Verdana" w:eastAsia="Calibri" w:hAnsi="Verdana" w:cs="Arial"/>
          <w:bCs/>
          <w:lang w:val="es-MX"/>
        </w:rPr>
        <w:t xml:space="preserve">–, el numeral 3 del artículo 5 de la Ley 1150 de 2007, determina que para los procesos de selección cuyo objeto sea la adquisición o suministro de estos, las entidades estatales deberán incluir “como único factor de evaluación el </w:t>
      </w:r>
      <w:r w:rsidRPr="003F0B4C">
        <w:rPr>
          <w:rFonts w:ascii="Verdana" w:eastAsia="Calibri" w:hAnsi="Verdana" w:cs="Arial"/>
          <w:bCs/>
          <w:i/>
          <w:iCs/>
          <w:lang w:val="es-MX"/>
        </w:rPr>
        <w:t>menor precio ofrecido</w:t>
      </w:r>
      <w:r w:rsidRPr="003F0B4C">
        <w:rPr>
          <w:rFonts w:ascii="Verdana" w:eastAsia="Calibri" w:hAnsi="Verdana" w:cs="Arial"/>
          <w:bCs/>
          <w:lang w:val="es-MX"/>
        </w:rPr>
        <w:t>” (Énfasis fuera de texto).</w:t>
      </w:r>
    </w:p>
    <w:p w14:paraId="5B8D750F" w14:textId="77777777" w:rsidR="00DD5AF8" w:rsidRPr="00D0273F" w:rsidRDefault="00DD5AF8" w:rsidP="00DD5AF8">
      <w:pPr>
        <w:spacing w:line="276" w:lineRule="auto"/>
        <w:ind w:firstLine="708"/>
        <w:jc w:val="both"/>
        <w:rPr>
          <w:rFonts w:ascii="Verdana" w:eastAsia="Calibri" w:hAnsi="Verdana" w:cs="Arial"/>
          <w:bCs/>
          <w:u w:val="single"/>
          <w:lang w:val="es-MX"/>
        </w:rPr>
      </w:pPr>
      <w:r>
        <w:rPr>
          <w:rFonts w:ascii="Verdana" w:eastAsia="Calibri" w:hAnsi="Verdana" w:cs="Arial"/>
          <w:bCs/>
          <w:lang w:val="es-MX"/>
        </w:rPr>
        <w:t xml:space="preserve">En atención a esto, se concluye que, en la subasta inversa, sabiendo que la selección abreviada tiene como fin </w:t>
      </w:r>
      <w:r w:rsidRPr="00480C09">
        <w:rPr>
          <w:rFonts w:ascii="Verdana" w:eastAsia="Calibri" w:hAnsi="Verdana" w:cs="Arial"/>
          <w:bCs/>
          <w:lang w:val="es-MX"/>
        </w:rPr>
        <w:t>suplir necesidades del servicio público de manera más ágil y eficiente</w:t>
      </w:r>
      <w:r>
        <w:rPr>
          <w:rFonts w:ascii="Verdana" w:eastAsia="Calibri" w:hAnsi="Verdana" w:cs="Arial"/>
          <w:bCs/>
          <w:lang w:val="es-MX"/>
        </w:rPr>
        <w:t xml:space="preserve"> a diferencia de las complejidades procedimentales propias de la licitación pública, entre otros, el único factor ponderable es </w:t>
      </w:r>
      <w:r w:rsidRPr="00D0273F">
        <w:rPr>
          <w:rFonts w:ascii="Verdana" w:eastAsia="Calibri" w:hAnsi="Verdana" w:cs="Arial"/>
          <w:bCs/>
          <w:u w:val="single"/>
          <w:lang w:val="es-MX"/>
        </w:rPr>
        <w:t>el precio</w:t>
      </w:r>
      <w:r>
        <w:rPr>
          <w:rFonts w:ascii="Verdana" w:eastAsia="Calibri" w:hAnsi="Verdana" w:cs="Arial"/>
          <w:bCs/>
          <w:lang w:val="es-MX"/>
        </w:rPr>
        <w:t>.</w:t>
      </w:r>
    </w:p>
    <w:p w14:paraId="6CBBCDE6" w14:textId="302EFF0C" w:rsidR="004B79A3" w:rsidRPr="00DD5AF8" w:rsidRDefault="00DD5AF8" w:rsidP="00DD5AF8">
      <w:pPr>
        <w:spacing w:line="276" w:lineRule="auto"/>
        <w:ind w:firstLine="708"/>
        <w:jc w:val="both"/>
        <w:rPr>
          <w:rFonts w:ascii="Verdana" w:hAnsi="Verdana"/>
        </w:rPr>
      </w:pPr>
      <w:r>
        <w:rPr>
          <w:rFonts w:ascii="Verdana" w:hAnsi="Verdana"/>
        </w:rPr>
        <w:t>Sin perjuicio de lo anterior</w:t>
      </w:r>
      <w:r w:rsidRPr="00BD4869">
        <w:rPr>
          <w:rFonts w:ascii="Verdana" w:hAnsi="Verdana"/>
        </w:rPr>
        <w:t xml:space="preserve">, en </w:t>
      </w:r>
      <w:r>
        <w:rPr>
          <w:rFonts w:ascii="Verdana" w:hAnsi="Verdana"/>
        </w:rPr>
        <w:t xml:space="preserve">relación con las reglas del </w:t>
      </w:r>
      <w:r w:rsidRPr="00BD4869">
        <w:rPr>
          <w:rFonts w:ascii="Verdana" w:hAnsi="Verdana"/>
        </w:rPr>
        <w:t xml:space="preserve">procedimiento de subasta inversa, vale la pena destacar el contenido del artículo 2.2.1.2.1.2.2. del Decreto 1082 de 2015. En particular, dicha disposición establece: i) parte del contenido del pliego de condiciones; </w:t>
      </w:r>
      <w:proofErr w:type="spellStart"/>
      <w:r w:rsidRPr="00BD4869">
        <w:rPr>
          <w:rFonts w:ascii="Verdana" w:hAnsi="Verdana"/>
        </w:rPr>
        <w:t>ii</w:t>
      </w:r>
      <w:proofErr w:type="spellEnd"/>
      <w:r w:rsidRPr="00BD4869">
        <w:rPr>
          <w:rFonts w:ascii="Verdana" w:hAnsi="Verdana"/>
        </w:rPr>
        <w:t xml:space="preserve">) el contenido de la oferta que se divide en dos parles: por un lado, lo relacionado con la acreditación de la capacidad para participar en el proceso y el cumplimiento de la ficha técnica y, por otro lado, el precio inicial propuesto; </w:t>
      </w:r>
      <w:proofErr w:type="spellStart"/>
      <w:r w:rsidRPr="00BD4869">
        <w:rPr>
          <w:rFonts w:ascii="Verdana" w:hAnsi="Verdana"/>
        </w:rPr>
        <w:t>ii</w:t>
      </w:r>
      <w:r>
        <w:rPr>
          <w:rFonts w:ascii="Verdana" w:hAnsi="Verdana"/>
        </w:rPr>
        <w:t>i</w:t>
      </w:r>
      <w:proofErr w:type="spellEnd"/>
      <w:r w:rsidRPr="00BD4869">
        <w:rPr>
          <w:rFonts w:ascii="Verdana" w:hAnsi="Verdana"/>
        </w:rPr>
        <w:t xml:space="preserve">) las reglas de publicación del informe de habilitación que sirve de mecanismo para informar quienes de los oferentes se encuentra habilitado para participar en la subasta; </w:t>
      </w:r>
      <w:proofErr w:type="spellStart"/>
      <w:r w:rsidRPr="00BD4869">
        <w:rPr>
          <w:rFonts w:ascii="Verdana" w:hAnsi="Verdana"/>
        </w:rPr>
        <w:t>i</w:t>
      </w:r>
      <w:r>
        <w:rPr>
          <w:rFonts w:ascii="Verdana" w:hAnsi="Verdana"/>
        </w:rPr>
        <w:t>v</w:t>
      </w:r>
      <w:proofErr w:type="spellEnd"/>
      <w:r w:rsidRPr="00BD4869">
        <w:rPr>
          <w:rFonts w:ascii="Verdana" w:hAnsi="Verdana"/>
        </w:rPr>
        <w:t>) la regla que exige a la entidad adelantar la subasta cuando existan por lo menos dos oferentes habilitados; v) la posibilidad que tiene la entidad de adjudicar al único oferente en la medida en que acredite ser hábil y su oferta sea igual o inferior al presupuesto del contrato; v</w:t>
      </w:r>
      <w:r>
        <w:rPr>
          <w:rFonts w:ascii="Verdana" w:hAnsi="Verdana"/>
        </w:rPr>
        <w:t>i</w:t>
      </w:r>
      <w:r w:rsidRPr="00BD4869">
        <w:rPr>
          <w:rFonts w:ascii="Verdana" w:hAnsi="Verdana"/>
        </w:rPr>
        <w:t xml:space="preserve">) la regla de inicio de subasta con el precio más bajo propuesto y la validez de los lances; entre otras.  </w:t>
      </w:r>
    </w:p>
    <w:p w14:paraId="7BD6ED28" w14:textId="77777777" w:rsidR="004B79A3" w:rsidRPr="00CF54DC" w:rsidRDefault="004B79A3" w:rsidP="004B79A3">
      <w:pPr>
        <w:spacing w:after="0" w:line="276" w:lineRule="auto"/>
        <w:jc w:val="both"/>
        <w:rPr>
          <w:rFonts w:ascii="Verdana" w:eastAsia="Calibri" w:hAnsi="Verdana" w:cs="Arial"/>
        </w:rPr>
      </w:pPr>
    </w:p>
    <w:p w14:paraId="7F551A6D" w14:textId="77777777" w:rsidR="004B79A3" w:rsidRPr="00EB1CF7" w:rsidRDefault="004B79A3" w:rsidP="004B79A3">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EB1CF7">
        <w:rPr>
          <w:rFonts w:ascii="Verdana" w:eastAsia="Century Gothic" w:hAnsi="Verdana" w:cs="Century Gothic"/>
          <w:b/>
          <w:bCs/>
        </w:rPr>
        <w:lastRenderedPageBreak/>
        <w:t>Referencias normativas</w:t>
      </w:r>
      <w:r>
        <w:rPr>
          <w:rFonts w:ascii="Verdana" w:eastAsia="Century Gothic" w:hAnsi="Verdana" w:cs="Century Gothic"/>
          <w:b/>
          <w:bCs/>
        </w:rPr>
        <w:t xml:space="preserve"> y jurisprudenciales</w:t>
      </w:r>
      <w:r w:rsidRPr="00EB1CF7">
        <w:rPr>
          <w:rFonts w:ascii="Verdana" w:eastAsia="Century Gothic" w:hAnsi="Verdana" w:cs="Century Gothic"/>
          <w:b/>
          <w:bCs/>
        </w:rPr>
        <w:t>:</w:t>
      </w:r>
    </w:p>
    <w:p w14:paraId="7EE3D462" w14:textId="77777777" w:rsidR="004B79A3" w:rsidRPr="004A0B15" w:rsidRDefault="004B79A3" w:rsidP="004B79A3">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4B79A3" w:rsidRPr="004A0B15" w14:paraId="045589A6" w14:textId="77777777" w:rsidTr="00540096">
        <w:trPr>
          <w:trHeight w:val="870"/>
          <w:jc w:val="center"/>
        </w:trPr>
        <w:tc>
          <w:tcPr>
            <w:tcW w:w="8647" w:type="dxa"/>
          </w:tcPr>
          <w:p w14:paraId="50DCFB6C" w14:textId="77777777" w:rsidR="00DD5AF8" w:rsidRPr="004512AA" w:rsidRDefault="00DD5AF8" w:rsidP="00DD5AF8">
            <w:pPr>
              <w:pStyle w:val="Prrafodelista"/>
              <w:widowControl w:val="0"/>
              <w:numPr>
                <w:ilvl w:val="0"/>
                <w:numId w:val="17"/>
              </w:numPr>
              <w:autoSpaceDE w:val="0"/>
              <w:autoSpaceDN w:val="0"/>
              <w:spacing w:after="120" w:line="276" w:lineRule="auto"/>
              <w:jc w:val="both"/>
              <w:rPr>
                <w:rFonts w:ascii="Verdana" w:hAnsi="Verdana" w:cs="Arial"/>
              </w:rPr>
            </w:pPr>
            <w:r w:rsidRPr="00F01D3F">
              <w:rPr>
                <w:rFonts w:ascii="Verdana" w:hAnsi="Verdana" w:cs="Arial"/>
                <w:bCs/>
                <w:lang w:val="es-MX"/>
              </w:rPr>
              <w:t>Ley 80 de 1993</w:t>
            </w:r>
            <w:r>
              <w:rPr>
                <w:rFonts w:ascii="Verdana" w:hAnsi="Verdana" w:cs="Arial"/>
                <w:bCs/>
                <w:lang w:val="es-MX"/>
              </w:rPr>
              <w:t xml:space="preserve">: artículo </w:t>
            </w:r>
            <w:r w:rsidRPr="00037C97">
              <w:rPr>
                <w:rFonts w:ascii="Verdana" w:hAnsi="Verdana" w:cs="Arial"/>
                <w:bCs/>
                <w:lang w:val="es-MX"/>
              </w:rPr>
              <w:t>7</w:t>
            </w:r>
            <w:r>
              <w:rPr>
                <w:rFonts w:ascii="Verdana" w:hAnsi="Verdana" w:cs="Arial"/>
                <w:bCs/>
                <w:lang w:val="es-MX"/>
              </w:rPr>
              <w:t>7.</w:t>
            </w:r>
          </w:p>
          <w:p w14:paraId="48A63296" w14:textId="77777777" w:rsidR="00DD5AF8" w:rsidRPr="00F01D3F" w:rsidRDefault="00DD5AF8" w:rsidP="00DD5AF8">
            <w:pPr>
              <w:pStyle w:val="Prrafodelista"/>
              <w:widowControl w:val="0"/>
              <w:numPr>
                <w:ilvl w:val="0"/>
                <w:numId w:val="17"/>
              </w:numPr>
              <w:autoSpaceDE w:val="0"/>
              <w:autoSpaceDN w:val="0"/>
              <w:spacing w:after="120" w:line="276" w:lineRule="auto"/>
              <w:jc w:val="both"/>
              <w:rPr>
                <w:rFonts w:ascii="Verdana" w:hAnsi="Verdana" w:cs="Arial"/>
                <w:lang w:val="es-CO"/>
              </w:rPr>
            </w:pPr>
            <w:r w:rsidRPr="00F01D3F">
              <w:rPr>
                <w:rFonts w:ascii="Verdana" w:hAnsi="Verdana" w:cs="Arial"/>
                <w:bCs/>
                <w:lang w:val="es-MX"/>
              </w:rPr>
              <w:t>Ley 1150 de 2007</w:t>
            </w:r>
            <w:r>
              <w:rPr>
                <w:rFonts w:ascii="Verdana" w:hAnsi="Verdana" w:cs="Arial"/>
                <w:bCs/>
                <w:lang w:val="es-MX"/>
              </w:rPr>
              <w:t xml:space="preserve">: </w:t>
            </w:r>
            <w:r w:rsidRPr="00F01D3F">
              <w:rPr>
                <w:rFonts w:ascii="Verdana" w:hAnsi="Verdana" w:cs="Arial"/>
                <w:bCs/>
                <w:lang w:val="es-MX"/>
              </w:rPr>
              <w:t>artículo</w:t>
            </w:r>
            <w:r>
              <w:rPr>
                <w:rFonts w:ascii="Verdana" w:hAnsi="Verdana" w:cs="Arial"/>
                <w:bCs/>
                <w:lang w:val="es-MX"/>
              </w:rPr>
              <w:t>s</w:t>
            </w:r>
            <w:r w:rsidRPr="00F01D3F">
              <w:rPr>
                <w:rFonts w:ascii="Verdana" w:hAnsi="Verdana" w:cs="Arial"/>
                <w:bCs/>
                <w:lang w:val="es-MX"/>
              </w:rPr>
              <w:t xml:space="preserve"> </w:t>
            </w:r>
            <w:r>
              <w:rPr>
                <w:rFonts w:ascii="Verdana" w:hAnsi="Verdana"/>
              </w:rPr>
              <w:t xml:space="preserve">2 numeral 2° literal a), y </w:t>
            </w:r>
            <w:r w:rsidRPr="00F01D3F">
              <w:rPr>
                <w:rFonts w:ascii="Verdana" w:hAnsi="Verdana" w:cs="Arial"/>
                <w:bCs/>
                <w:lang w:val="es-MX"/>
              </w:rPr>
              <w:t>5</w:t>
            </w:r>
            <w:r>
              <w:rPr>
                <w:rFonts w:ascii="Verdana" w:hAnsi="Verdana" w:cs="Arial"/>
                <w:bCs/>
                <w:lang w:val="es-MX"/>
              </w:rPr>
              <w:t>.</w:t>
            </w:r>
          </w:p>
          <w:p w14:paraId="2AEF7411" w14:textId="77777777" w:rsidR="00DD5AF8" w:rsidRPr="00F01D3F" w:rsidRDefault="00DD5AF8" w:rsidP="00DD5AF8">
            <w:pPr>
              <w:pStyle w:val="Prrafodelista"/>
              <w:widowControl w:val="0"/>
              <w:numPr>
                <w:ilvl w:val="0"/>
                <w:numId w:val="17"/>
              </w:numPr>
              <w:autoSpaceDE w:val="0"/>
              <w:autoSpaceDN w:val="0"/>
              <w:spacing w:after="120" w:line="276" w:lineRule="auto"/>
              <w:jc w:val="both"/>
              <w:rPr>
                <w:rFonts w:ascii="Verdana" w:hAnsi="Verdana" w:cs="Arial"/>
                <w:lang w:val="es-CO"/>
              </w:rPr>
            </w:pPr>
            <w:r w:rsidRPr="00842A7A">
              <w:rPr>
                <w:rFonts w:ascii="Verdana" w:hAnsi="Verdana" w:cs="Arial"/>
                <w:lang w:val="es-CO"/>
              </w:rPr>
              <w:t>artículo 44 de la Ley 1437 de 2011</w:t>
            </w:r>
          </w:p>
          <w:p w14:paraId="3F448645" w14:textId="77777777" w:rsidR="00DD5AF8" w:rsidRPr="00F01D3F" w:rsidRDefault="00DD5AF8" w:rsidP="00DD5AF8">
            <w:pPr>
              <w:pStyle w:val="Prrafodelista"/>
              <w:widowControl w:val="0"/>
              <w:numPr>
                <w:ilvl w:val="0"/>
                <w:numId w:val="17"/>
              </w:numPr>
              <w:autoSpaceDE w:val="0"/>
              <w:autoSpaceDN w:val="0"/>
              <w:spacing w:after="120" w:line="276" w:lineRule="auto"/>
              <w:jc w:val="both"/>
              <w:rPr>
                <w:rFonts w:ascii="Verdana" w:hAnsi="Verdana" w:cs="Arial"/>
                <w:lang w:val="es-CO"/>
              </w:rPr>
            </w:pPr>
            <w:r w:rsidRPr="00F01D3F">
              <w:rPr>
                <w:rFonts w:ascii="Verdana" w:hAnsi="Verdana" w:cs="Arial"/>
                <w:bCs/>
                <w:lang w:val="es-MX"/>
              </w:rPr>
              <w:t>Ley 1474 de 2011</w:t>
            </w:r>
            <w:r>
              <w:rPr>
                <w:rFonts w:ascii="Verdana" w:hAnsi="Verdana" w:cs="Arial"/>
                <w:bCs/>
                <w:lang w:val="es-MX"/>
              </w:rPr>
              <w:t>:</w:t>
            </w:r>
            <w:r w:rsidRPr="00F01D3F">
              <w:rPr>
                <w:rFonts w:ascii="Verdana" w:hAnsi="Verdana" w:cs="Arial"/>
                <w:bCs/>
                <w:lang w:val="es-MX"/>
              </w:rPr>
              <w:t xml:space="preserve"> artículo 88</w:t>
            </w:r>
            <w:r>
              <w:rPr>
                <w:rFonts w:ascii="Verdana" w:hAnsi="Verdana" w:cs="Arial"/>
                <w:bCs/>
                <w:lang w:val="es-MX"/>
              </w:rPr>
              <w:t>.</w:t>
            </w:r>
            <w:r w:rsidRPr="00F01D3F">
              <w:rPr>
                <w:rFonts w:ascii="Verdana" w:hAnsi="Verdana" w:cs="Arial"/>
                <w:bCs/>
                <w:lang w:val="es-MX"/>
              </w:rPr>
              <w:t xml:space="preserve"> </w:t>
            </w:r>
          </w:p>
          <w:p w14:paraId="42DFD397" w14:textId="77777777" w:rsidR="00DD5AF8" w:rsidRPr="00F01D3F" w:rsidRDefault="00DD5AF8" w:rsidP="00DD5AF8">
            <w:pPr>
              <w:pStyle w:val="Prrafodelista"/>
              <w:widowControl w:val="0"/>
              <w:numPr>
                <w:ilvl w:val="0"/>
                <w:numId w:val="17"/>
              </w:numPr>
              <w:autoSpaceDE w:val="0"/>
              <w:autoSpaceDN w:val="0"/>
              <w:spacing w:after="120" w:line="276" w:lineRule="auto"/>
              <w:jc w:val="both"/>
              <w:rPr>
                <w:rFonts w:ascii="Verdana" w:hAnsi="Verdana" w:cs="Arial"/>
                <w:lang w:val="es-CO"/>
              </w:rPr>
            </w:pPr>
            <w:r w:rsidRPr="00F01D3F">
              <w:rPr>
                <w:rFonts w:ascii="Verdana" w:hAnsi="Verdana" w:cs="Arial"/>
                <w:bCs/>
                <w:lang w:val="es-MX"/>
              </w:rPr>
              <w:t>Decreto 1082 de 2015</w:t>
            </w:r>
            <w:r>
              <w:rPr>
                <w:rFonts w:ascii="Verdana" w:hAnsi="Verdana" w:cs="Arial"/>
                <w:bCs/>
                <w:lang w:val="es-MX"/>
              </w:rPr>
              <w:t xml:space="preserve">: </w:t>
            </w:r>
            <w:r w:rsidRPr="00537DBD">
              <w:rPr>
                <w:rFonts w:ascii="Verdana" w:hAnsi="Verdana" w:cs="Arial"/>
                <w:lang w:val="es-CO"/>
              </w:rPr>
              <w:t>2.2.1.1.</w:t>
            </w:r>
            <w:r w:rsidRPr="00AB20FC">
              <w:rPr>
                <w:rFonts w:ascii="Verdana" w:hAnsi="Verdana" w:cs="Arial"/>
                <w:bCs/>
                <w:lang w:val="es-CO"/>
              </w:rPr>
              <w:t>1.</w:t>
            </w:r>
            <w:r w:rsidRPr="00537DBD">
              <w:rPr>
                <w:rFonts w:ascii="Verdana" w:hAnsi="Verdana" w:cs="Arial"/>
                <w:bCs/>
                <w:lang w:val="es-CO"/>
              </w:rPr>
              <w:t>6</w:t>
            </w:r>
            <w:r w:rsidRPr="00AB20FC">
              <w:rPr>
                <w:rFonts w:ascii="Verdana" w:hAnsi="Verdana" w:cs="Arial"/>
                <w:bCs/>
                <w:lang w:val="es-CO"/>
              </w:rPr>
              <w:t>.2</w:t>
            </w:r>
            <w:r>
              <w:rPr>
                <w:rFonts w:ascii="Verdana" w:hAnsi="Verdana" w:cs="Arial"/>
                <w:lang w:val="es-MX"/>
              </w:rPr>
              <w:t>,</w:t>
            </w:r>
            <w:r w:rsidRPr="00AB20FC">
              <w:rPr>
                <w:rFonts w:ascii="Verdana" w:hAnsi="Verdana" w:cs="Arial"/>
                <w:bCs/>
                <w:lang w:val="es-MX"/>
              </w:rPr>
              <w:t xml:space="preserve"> </w:t>
            </w:r>
            <w:r>
              <w:rPr>
                <w:rFonts w:ascii="Verdana" w:hAnsi="Verdana" w:cs="Arial"/>
                <w:bCs/>
                <w:lang w:val="es-MX"/>
              </w:rPr>
              <w:t xml:space="preserve">y </w:t>
            </w:r>
            <w:r w:rsidRPr="00AB20FC">
              <w:rPr>
                <w:rFonts w:ascii="Verdana" w:hAnsi="Verdana" w:cs="Arial"/>
                <w:lang w:val="es-CO"/>
              </w:rPr>
              <w:t>2.2.1.2.1.</w:t>
            </w:r>
            <w:r w:rsidRPr="00AB20FC">
              <w:rPr>
                <w:rFonts w:ascii="Verdana" w:hAnsi="Verdana" w:cs="Arial"/>
                <w:bCs/>
                <w:lang w:val="es-CO"/>
              </w:rPr>
              <w:t>2.2</w:t>
            </w:r>
            <w:r>
              <w:rPr>
                <w:rFonts w:ascii="Verdana" w:hAnsi="Verdana" w:cs="Arial"/>
                <w:bCs/>
                <w:lang w:val="es-MX"/>
              </w:rPr>
              <w:t>.</w:t>
            </w:r>
          </w:p>
          <w:p w14:paraId="1FC52F7C" w14:textId="77777777" w:rsidR="00DD5AF8" w:rsidRPr="00842A7A" w:rsidRDefault="00DD5AF8" w:rsidP="00DD5AF8">
            <w:pPr>
              <w:pStyle w:val="Prrafodelista"/>
              <w:widowControl w:val="0"/>
              <w:numPr>
                <w:ilvl w:val="0"/>
                <w:numId w:val="17"/>
              </w:numPr>
              <w:autoSpaceDE w:val="0"/>
              <w:autoSpaceDN w:val="0"/>
              <w:spacing w:after="120" w:line="276" w:lineRule="auto"/>
              <w:jc w:val="both"/>
              <w:rPr>
                <w:rFonts w:ascii="Verdana" w:hAnsi="Verdana" w:cs="Arial"/>
              </w:rPr>
            </w:pPr>
            <w:r w:rsidRPr="00F01D3F">
              <w:rPr>
                <w:rFonts w:ascii="Verdana" w:hAnsi="Verdana" w:cs="Arial"/>
                <w:bCs/>
                <w:lang w:val="es-MX"/>
              </w:rPr>
              <w:t>Ley 1882 de 2018</w:t>
            </w:r>
            <w:r>
              <w:rPr>
                <w:rFonts w:ascii="Verdana" w:hAnsi="Verdana" w:cs="Arial"/>
                <w:bCs/>
                <w:lang w:val="es-MX"/>
              </w:rPr>
              <w:t xml:space="preserve">: </w:t>
            </w:r>
            <w:r w:rsidRPr="00F01D3F">
              <w:rPr>
                <w:rFonts w:ascii="Verdana" w:hAnsi="Verdana" w:cs="Arial"/>
                <w:bCs/>
                <w:lang w:val="es-MX"/>
              </w:rPr>
              <w:t>artículo 5</w:t>
            </w:r>
            <w:r>
              <w:rPr>
                <w:rFonts w:ascii="Verdana" w:hAnsi="Verdana" w:cs="Arial"/>
                <w:bCs/>
                <w:lang w:val="es-MX"/>
              </w:rPr>
              <w:t>.</w:t>
            </w:r>
          </w:p>
          <w:p w14:paraId="40EDF825" w14:textId="6ABB638A" w:rsidR="004B79A3" w:rsidRPr="00880B39" w:rsidRDefault="00DD5AF8" w:rsidP="00DD5AF8">
            <w:pPr>
              <w:pStyle w:val="Prrafodelista"/>
              <w:widowControl w:val="0"/>
              <w:numPr>
                <w:ilvl w:val="0"/>
                <w:numId w:val="17"/>
              </w:numPr>
              <w:autoSpaceDE w:val="0"/>
              <w:autoSpaceDN w:val="0"/>
              <w:spacing w:line="276" w:lineRule="auto"/>
              <w:jc w:val="both"/>
              <w:rPr>
                <w:rFonts w:ascii="Verdana" w:hAnsi="Verdana" w:cs="Arial"/>
              </w:rPr>
            </w:pPr>
            <w:r w:rsidRPr="00842A7A">
              <w:rPr>
                <w:rFonts w:ascii="Verdana" w:hAnsi="Verdana" w:cs="Arial"/>
                <w:lang w:val="es-ES_tradnl"/>
              </w:rPr>
              <w:t>Manual para determinar y verificar los requisitos habilitantes en los Procesos de Contratación</w:t>
            </w:r>
            <w:r>
              <w:rPr>
                <w:rFonts w:ascii="Verdana" w:hAnsi="Verdana" w:cs="Arial"/>
                <w:lang w:val="es-ES_tradnl"/>
              </w:rPr>
              <w:t xml:space="preserve">. Disponible aquí: </w:t>
            </w:r>
            <w:hyperlink r:id="rId13" w:history="1">
              <w:r w:rsidRPr="00C46F3C">
                <w:rPr>
                  <w:rStyle w:val="Hipervnculo"/>
                  <w:rFonts w:ascii="Verdana" w:hAnsi="Verdana" w:cs="Arial"/>
                  <w:color w:val="4472C4" w:themeColor="accent1"/>
                  <w:lang w:val="es-ES_tradnl"/>
                </w:rPr>
                <w:t>https://www.colombiacompra.gov.co/sites/cce_public/files/cce_documents/cce-eicp-ma-04._manual_requisitos_habilitantes_v3_29-09-2023.pdf</w:t>
              </w:r>
            </w:hyperlink>
          </w:p>
        </w:tc>
      </w:tr>
    </w:tbl>
    <w:p w14:paraId="608E4F7D" w14:textId="77777777" w:rsidR="004B79A3" w:rsidRPr="00EB1CF7" w:rsidRDefault="004B79A3" w:rsidP="004B79A3">
      <w:pPr>
        <w:widowControl w:val="0"/>
        <w:autoSpaceDE w:val="0"/>
        <w:autoSpaceDN w:val="0"/>
        <w:spacing w:after="0" w:line="276" w:lineRule="auto"/>
        <w:jc w:val="both"/>
        <w:rPr>
          <w:rFonts w:ascii="Verdana" w:hAnsi="Verdana" w:cs="Arial"/>
        </w:rPr>
      </w:pPr>
    </w:p>
    <w:p w14:paraId="4E8C525D" w14:textId="77777777" w:rsidR="004B79A3" w:rsidRPr="00EB1CF7" w:rsidRDefault="004B79A3" w:rsidP="004B79A3">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EB1CF7">
        <w:rPr>
          <w:rFonts w:ascii="Verdana" w:eastAsia="Century Gothic" w:hAnsi="Verdana" w:cs="Century Gothic"/>
          <w:b/>
          <w:bCs/>
        </w:rPr>
        <w:t>Doctrina de la Agencia Nacional de Contratación Pública:</w:t>
      </w:r>
    </w:p>
    <w:p w14:paraId="78409F76" w14:textId="77777777" w:rsidR="004B79A3" w:rsidRPr="00EB1CF7" w:rsidRDefault="004B79A3" w:rsidP="004B79A3">
      <w:pPr>
        <w:widowControl w:val="0"/>
        <w:autoSpaceDE w:val="0"/>
        <w:autoSpaceDN w:val="0"/>
        <w:spacing w:after="0" w:line="276" w:lineRule="auto"/>
        <w:jc w:val="both"/>
        <w:rPr>
          <w:rFonts w:ascii="Verdana" w:hAnsi="Verdana" w:cs="Arial"/>
        </w:rPr>
      </w:pPr>
    </w:p>
    <w:p w14:paraId="60185944" w14:textId="39E7DBEB" w:rsidR="00DD5AF8" w:rsidRPr="00C46F3C" w:rsidRDefault="00DD5AF8" w:rsidP="00DD5AF8">
      <w:pPr>
        <w:widowControl w:val="0"/>
        <w:autoSpaceDE w:val="0"/>
        <w:autoSpaceDN w:val="0"/>
        <w:spacing w:after="0" w:line="276" w:lineRule="auto"/>
        <w:jc w:val="both"/>
        <w:rPr>
          <w:rStyle w:val="normaltextrun"/>
          <w:rFonts w:ascii="Verdana" w:hAnsi="Verdana" w:cs="Arial"/>
          <w:color w:val="4472C4" w:themeColor="accent1"/>
          <w:shd w:val="clear" w:color="auto" w:fill="FFFFFF"/>
          <w:lang w:val="es-ES"/>
        </w:rPr>
      </w:pPr>
      <w:r w:rsidRPr="00237000">
        <w:rPr>
          <w:rStyle w:val="normaltextrun"/>
          <w:rFonts w:ascii="Verdana" w:hAnsi="Verdana" w:cs="Arial"/>
          <w:shd w:val="clear" w:color="auto" w:fill="FFFFFF"/>
          <w:lang w:val="es-ES"/>
        </w:rPr>
        <w:t>Sobre el</w:t>
      </w:r>
      <w:r w:rsidRPr="00140D1A">
        <w:rPr>
          <w:rStyle w:val="normaltextrun"/>
          <w:rFonts w:ascii="Verdana" w:hAnsi="Verdana" w:cs="Arial"/>
          <w:shd w:val="clear" w:color="auto" w:fill="FFFFFF"/>
          <w:lang w:val="es-ES"/>
        </w:rPr>
        <w:t xml:space="preserve"> principio de selección objetiva </w:t>
      </w:r>
      <w:r w:rsidRPr="00237000">
        <w:rPr>
          <w:rStyle w:val="normaltextrun"/>
          <w:rFonts w:ascii="Verdana" w:hAnsi="Verdana" w:cs="Arial"/>
          <w:shd w:val="clear" w:color="auto" w:fill="FFFFFF"/>
          <w:lang w:val="es-ES"/>
        </w:rPr>
        <w:t>se pronunció esta Subdirección en los conceptos</w:t>
      </w:r>
      <w:r w:rsidRPr="00237000">
        <w:rPr>
          <w:rStyle w:val="normaltextrun"/>
          <w:rFonts w:ascii="Verdana" w:hAnsi="Verdana" w:cs="Calibri"/>
          <w:shd w:val="clear" w:color="auto" w:fill="FFFFFF"/>
        </w:rPr>
        <w:t xml:space="preserve"> </w:t>
      </w:r>
      <w:r w:rsidRPr="00237000">
        <w:rPr>
          <w:rStyle w:val="normaltextrun"/>
          <w:rFonts w:ascii="Verdana" w:hAnsi="Verdana" w:cs="Arial"/>
          <w:shd w:val="clear" w:color="auto" w:fill="FFFFFF"/>
          <w:lang w:val="es-ES"/>
        </w:rPr>
        <w:t xml:space="preserve">con radicado No: 4201913000006471 del 28 de octubre de 2019, 4201912000006711 del 12 de noviembre de 2019 y 4201912000006496 del 15 de noviembre de 2019, las cuales se unificaron en el Concepto CU–060 del 24 de febrero de 2020, que se reitera, entre otros, en los conceptos: C-121 del 3 de marzo de 2020, C-160 del 3 de abril de 2020,  C-013 del 17 de abril de 2020,  C-465 del 27 de julio de 2020,  C-557 del 21 de agosto de 2020, C-573 del 27 de agosto de 2020, C-595 del 21 de septiembre de 2020, C-634 de 21 de noviembre de 2020, C–779 del 18 de enero de 2021, C–802 del 1 de febrero de 2021, C–010 del 16 de febrero de 2021, C–217 del 14 de mayo de 2021, C–250 del 2 de junio de 2021, C-728 de 26 de enero de 2022, C-285 del 20 de mayo de 2022, y C-170 del 20 de junio de 2023. </w:t>
      </w:r>
      <w:r>
        <w:rPr>
          <w:rStyle w:val="normaltextrun"/>
          <w:rFonts w:ascii="Verdana" w:hAnsi="Verdana" w:cs="Arial"/>
          <w:shd w:val="clear" w:color="auto" w:fill="FFFFFF"/>
          <w:lang w:val="es-ES"/>
        </w:rPr>
        <w:t xml:space="preserve">Por </w:t>
      </w:r>
      <w:proofErr w:type="spellStart"/>
      <w:r>
        <w:rPr>
          <w:rStyle w:val="normaltextrun"/>
          <w:rFonts w:ascii="Verdana" w:hAnsi="Verdana" w:cs="Arial"/>
          <w:shd w:val="clear" w:color="auto" w:fill="FFFFFF"/>
          <w:lang w:val="es-ES"/>
        </w:rPr>
        <w:t>ultimo</w:t>
      </w:r>
      <w:proofErr w:type="spellEnd"/>
      <w:r>
        <w:rPr>
          <w:rStyle w:val="normaltextrun"/>
          <w:rFonts w:ascii="Verdana" w:hAnsi="Verdana" w:cs="Arial"/>
          <w:shd w:val="clear" w:color="auto" w:fill="FFFFFF"/>
          <w:lang w:val="es-ES"/>
        </w:rPr>
        <w:t xml:space="preserve">, sobre el requerimiento de muestras se puede revisar el concepto C-104 de 2020. </w:t>
      </w:r>
      <w:r w:rsidRPr="00237000">
        <w:rPr>
          <w:rStyle w:val="normaltextrun"/>
          <w:rFonts w:ascii="Verdana" w:hAnsi="Verdana" w:cs="Arial"/>
          <w:shd w:val="clear" w:color="auto" w:fill="FFFFFF"/>
          <w:lang w:val="es-ES"/>
        </w:rPr>
        <w:t>Es</w:t>
      </w:r>
      <w:r w:rsidRPr="00237000">
        <w:rPr>
          <w:rFonts w:ascii="Verdana" w:hAnsi="Verdana"/>
        </w:rPr>
        <w:t xml:space="preserve">tos </w:t>
      </w:r>
      <w:r w:rsidRPr="00BD4869">
        <w:rPr>
          <w:rFonts w:ascii="Verdana" w:hAnsi="Verdana"/>
        </w:rPr>
        <w:t>y otros conceptos se encuentran disponibles para consulta en el Sistema de relatoría de la Agencia, al cual se puede acceder a través del siguiente enlace:</w:t>
      </w:r>
      <w:r w:rsidRPr="00BD4869">
        <w:rPr>
          <w:rStyle w:val="normaltextrun"/>
          <w:rFonts w:ascii="Verdana" w:hAnsi="Verdana" w:cs="Arial"/>
          <w:shd w:val="clear" w:color="auto" w:fill="FFFFFF"/>
          <w:lang w:val="es-ES"/>
        </w:rPr>
        <w:t xml:space="preserve"> </w:t>
      </w:r>
      <w:hyperlink r:id="rId14" w:history="1">
        <w:r w:rsidRPr="00C46F3C">
          <w:rPr>
            <w:rStyle w:val="Hipervnculo"/>
            <w:rFonts w:ascii="Verdana" w:hAnsi="Verdana" w:cs="Arial"/>
            <w:color w:val="4472C4" w:themeColor="accent1"/>
            <w:shd w:val="clear" w:color="auto" w:fill="FFFFFF"/>
            <w:lang w:val="es-ES"/>
          </w:rPr>
          <w:t>https://relatoria.colombiacompra.gov.co/busqueda/conceptos</w:t>
        </w:r>
      </w:hyperlink>
      <w:r w:rsidRPr="00C46F3C">
        <w:rPr>
          <w:rStyle w:val="normaltextrun"/>
          <w:rFonts w:ascii="Verdana" w:hAnsi="Verdana" w:cs="Arial"/>
          <w:color w:val="4472C4" w:themeColor="accent1"/>
          <w:shd w:val="clear" w:color="auto" w:fill="FFFFFF"/>
          <w:lang w:val="es-ES"/>
        </w:rPr>
        <w:t xml:space="preserve">. </w:t>
      </w:r>
    </w:p>
    <w:p w14:paraId="415AF039" w14:textId="77777777" w:rsidR="004B79A3" w:rsidRPr="00DD5AF8" w:rsidRDefault="004B79A3" w:rsidP="004B79A3">
      <w:pPr>
        <w:widowControl w:val="0"/>
        <w:autoSpaceDE w:val="0"/>
        <w:autoSpaceDN w:val="0"/>
        <w:spacing w:after="0" w:line="276" w:lineRule="auto"/>
        <w:jc w:val="both"/>
        <w:rPr>
          <w:rFonts w:ascii="Verdana" w:hAnsi="Verdana" w:cs="Arial"/>
          <w:color w:val="000000" w:themeColor="text1"/>
          <w:shd w:val="clear" w:color="auto" w:fill="FFFFFF"/>
          <w:lang w:val="es-ES"/>
        </w:rPr>
      </w:pPr>
    </w:p>
    <w:p w14:paraId="58BE9DC3" w14:textId="77777777" w:rsidR="004B79A3" w:rsidRDefault="004B79A3" w:rsidP="004B79A3">
      <w:pPr>
        <w:widowControl w:val="0"/>
        <w:autoSpaceDE w:val="0"/>
        <w:autoSpaceDN w:val="0"/>
        <w:spacing w:after="0" w:line="276" w:lineRule="auto"/>
        <w:jc w:val="both"/>
        <w:rPr>
          <w:rFonts w:ascii="Verdana" w:hAnsi="Verdana" w:cs="Arial"/>
          <w:color w:val="FF0000"/>
          <w:shd w:val="clear" w:color="auto" w:fill="FFFFFF"/>
          <w:lang w:val="es-ES"/>
        </w:rPr>
      </w:pPr>
      <w:r w:rsidRPr="00277975">
        <w:rPr>
          <w:rFonts w:ascii="Verdana" w:hAnsi="Verdana" w:cs="Arial"/>
          <w:shd w:val="clear" w:color="auto" w:fill="FFFFFF"/>
        </w:rPr>
        <w:t>Te informamos que ya se encuentra disponible la </w:t>
      </w:r>
      <w:r w:rsidRPr="00277975">
        <w:rPr>
          <w:rFonts w:ascii="Verdana" w:hAnsi="Verdana" w:cs="Arial"/>
          <w:b/>
          <w:bCs/>
          <w:shd w:val="clear" w:color="auto" w:fill="FFFFFF"/>
        </w:rPr>
        <w:t>Cartilla para incentivar y fortalecer el acceso a las compras y contratación pública de los pueblos y comunidades étnicas en Colombia.</w:t>
      </w:r>
      <w:r w:rsidRPr="00277975">
        <w:rPr>
          <w:rFonts w:ascii="Verdana" w:hAnsi="Verdana" w:cs="Arial"/>
          <w:shd w:val="clear" w:color="auto" w:fill="FFFFFF"/>
        </w:rPr>
        <w:t xml:space="preserve"> Esta cartilla es una apuesta de la Agencia Nacional de Contratación Pública – Colombia Compra Eficiente, para </w:t>
      </w:r>
      <w:r w:rsidRPr="00277975">
        <w:rPr>
          <w:rFonts w:ascii="Verdana" w:hAnsi="Verdana" w:cs="Arial"/>
          <w:shd w:val="clear" w:color="auto" w:fill="FFFFFF"/>
        </w:rPr>
        <w:lastRenderedPageBreak/>
        <w:t>incentivar la participación de los pueblos y comunidades étnicas en las compras y contratación pública, mediante el desarrollo de los principios de igualdad, equidad e inclusión social. Puede consultar la versión actualizada en el siguiente enlace: </w:t>
      </w:r>
      <w:hyperlink r:id="rId15" w:tgtFrame="_blank" w:tooltip="Dirección URL original: https://www.colombiacompra.gov.co/manuales-guias-y-pliegos-tipo/manuales-y-guias/cartilla-para-incentivar-y-fortalecer-el-acceso-las. Haga clic o pulse si confía en este vínculo." w:history="1">
        <w:r w:rsidRPr="00277975">
          <w:rPr>
            <w:rStyle w:val="Hipervnculo"/>
            <w:rFonts w:ascii="Verdana" w:hAnsi="Verdana" w:cs="Arial"/>
            <w:shd w:val="clear" w:color="auto" w:fill="FFFFFF"/>
          </w:rPr>
          <w:t>Cartilla para incentivar y fortalecer el acceso a las compras y contratación pública de los pueblos y comunidades étnicas en Colombia | Colombia Compra Eficiente | Agencia Nacional de Contratación Pública</w:t>
        </w:r>
      </w:hyperlink>
    </w:p>
    <w:p w14:paraId="23B720A0" w14:textId="77777777" w:rsidR="004B79A3" w:rsidRPr="00277975" w:rsidRDefault="004B79A3" w:rsidP="004B79A3">
      <w:pPr>
        <w:widowControl w:val="0"/>
        <w:autoSpaceDE w:val="0"/>
        <w:autoSpaceDN w:val="0"/>
        <w:spacing w:after="0" w:line="276" w:lineRule="auto"/>
        <w:jc w:val="both"/>
        <w:rPr>
          <w:rFonts w:ascii="Verdana" w:hAnsi="Verdana" w:cs="Arial"/>
          <w:color w:val="FF0000"/>
          <w:shd w:val="clear" w:color="auto" w:fill="FFFFFF"/>
        </w:rPr>
      </w:pPr>
    </w:p>
    <w:p w14:paraId="436B6B59" w14:textId="77777777" w:rsidR="004B79A3" w:rsidRDefault="004B79A3" w:rsidP="004B79A3">
      <w:pPr>
        <w:widowControl w:val="0"/>
        <w:autoSpaceDE w:val="0"/>
        <w:autoSpaceDN w:val="0"/>
        <w:spacing w:after="0" w:line="276" w:lineRule="auto"/>
        <w:jc w:val="both"/>
        <w:rPr>
          <w:rFonts w:ascii="Verdana" w:hAnsi="Verdana" w:cs="Arial"/>
          <w:color w:val="FF0000"/>
          <w:shd w:val="clear" w:color="auto" w:fill="FFFFFF"/>
          <w:lang w:val="es-ES"/>
        </w:rPr>
      </w:pPr>
      <w:r w:rsidRPr="00277975">
        <w:rPr>
          <w:rFonts w:ascii="Verdana" w:hAnsi="Verdana" w:cs="Arial"/>
          <w:shd w:val="clear" w:color="auto" w:fill="FFFFFF"/>
        </w:rPr>
        <w:t>De otra parte, te informamos que, con el objetivo de garantizar un conocimiento adecuado de las </w:t>
      </w:r>
      <w:r w:rsidRPr="00277975">
        <w:rPr>
          <w:rFonts w:ascii="Verdana" w:hAnsi="Verdana" w:cs="Arial"/>
          <w:b/>
          <w:bCs/>
          <w:shd w:val="clear" w:color="auto" w:fill="FFFFFF"/>
        </w:rPr>
        <w:t>modificaciones y/o actualizaciones realizadas a los Documentos Tipo</w:t>
      </w:r>
      <w:r w:rsidRPr="00277975">
        <w:rPr>
          <w:rFonts w:ascii="Verdana" w:hAnsi="Verdana" w:cs="Arial"/>
          <w:shd w:val="clear" w:color="auto" w:fill="FFFFFF"/>
        </w:rPr>
        <w:t>, hemos programado una serie de </w:t>
      </w:r>
      <w:r w:rsidRPr="00277975">
        <w:rPr>
          <w:rFonts w:ascii="Verdana" w:hAnsi="Verdana" w:cs="Arial"/>
          <w:b/>
          <w:bCs/>
          <w:shd w:val="clear" w:color="auto" w:fill="FFFFFF"/>
        </w:rPr>
        <w:t>capacitaciones </w:t>
      </w:r>
      <w:r w:rsidRPr="00277975">
        <w:rPr>
          <w:rFonts w:ascii="Verdana" w:hAnsi="Verdana" w:cs="Arial"/>
          <w:shd w:val="clear" w:color="auto" w:fill="FFFFFF"/>
        </w:rPr>
        <w:t>dirigidas a todos los actores involucrados en los procesos de selección. Podrás conocer la programación y realizar tu inscripción a estas capacitaciones a través del siguiente enlace:</w:t>
      </w:r>
      <w:r w:rsidRPr="00277975">
        <w:rPr>
          <w:rFonts w:ascii="Verdana" w:hAnsi="Verdana" w:cs="Arial"/>
          <w:color w:val="FF0000"/>
          <w:shd w:val="clear" w:color="auto" w:fill="FFFFFF"/>
        </w:rPr>
        <w:t> </w:t>
      </w:r>
      <w:hyperlink r:id="rId16" w:tgtFrame="_blank" w:tooltip="Dirección URL original: https://www.colombiacompra.gov.co/ciudadanos/calendario. Haga clic o pulse si confía en este vínculo." w:history="1">
        <w:r w:rsidRPr="00277975">
          <w:rPr>
            <w:rStyle w:val="Hipervnculo"/>
            <w:rFonts w:ascii="Verdana" w:hAnsi="Verdana" w:cs="Arial"/>
            <w:shd w:val="clear" w:color="auto" w:fill="FFFFFF"/>
          </w:rPr>
          <w:t>Calendario | Colombia Compra Eficiente | Agencia Nacional de Contratación Pública</w:t>
        </w:r>
      </w:hyperlink>
    </w:p>
    <w:p w14:paraId="0B020B47" w14:textId="77777777" w:rsidR="004B79A3" w:rsidRPr="00277975" w:rsidRDefault="004B79A3" w:rsidP="004B79A3">
      <w:pPr>
        <w:widowControl w:val="0"/>
        <w:autoSpaceDE w:val="0"/>
        <w:autoSpaceDN w:val="0"/>
        <w:spacing w:after="0" w:line="276" w:lineRule="auto"/>
        <w:jc w:val="both"/>
        <w:rPr>
          <w:rFonts w:ascii="Verdana" w:hAnsi="Verdana" w:cs="Arial"/>
          <w:color w:val="FF0000"/>
          <w:shd w:val="clear" w:color="auto" w:fill="FFFFFF"/>
        </w:rPr>
      </w:pPr>
    </w:p>
    <w:p w14:paraId="68776361" w14:textId="77777777" w:rsidR="004B79A3" w:rsidRPr="00277975" w:rsidRDefault="004B79A3" w:rsidP="004B79A3">
      <w:pPr>
        <w:widowControl w:val="0"/>
        <w:autoSpaceDE w:val="0"/>
        <w:autoSpaceDN w:val="0"/>
        <w:spacing w:after="0" w:line="276" w:lineRule="auto"/>
        <w:jc w:val="both"/>
        <w:rPr>
          <w:rFonts w:ascii="Verdana" w:hAnsi="Verdana" w:cs="Arial"/>
          <w:color w:val="FF0000"/>
          <w:shd w:val="clear" w:color="auto" w:fill="FFFFFF"/>
        </w:rPr>
      </w:pPr>
      <w:r w:rsidRPr="00277975">
        <w:rPr>
          <w:rFonts w:ascii="Verdana" w:hAnsi="Verdana" w:cs="Arial"/>
          <w:shd w:val="clear" w:color="auto" w:fill="FFFFFF"/>
        </w:rPr>
        <w:t>También, te contamos que ya publicamos </w:t>
      </w:r>
      <w:r w:rsidRPr="00277975">
        <w:rPr>
          <w:rFonts w:ascii="Verdana" w:hAnsi="Verdana" w:cs="Arial"/>
          <w:b/>
          <w:bCs/>
          <w:shd w:val="clear" w:color="auto" w:fill="FFFFFF"/>
        </w:rPr>
        <w:t>la nueva Guía de Contratación Pública Sostenible y Socialmente Responsable</w:t>
      </w:r>
      <w:r w:rsidRPr="00277975">
        <w:rPr>
          <w:rFonts w:ascii="Verdana" w:hAnsi="Verdana" w:cs="Arial"/>
          <w:shd w:val="clear" w:color="auto" w:fill="FFFFFF"/>
        </w:rPr>
        <w:t>. Esta guía es un instrumento clave para integrar buenas prácticas en la contratación estatal, promoviendo los Objetivos de Desarrollo Sostenible (ODS) a través de criterios y obligaciones ambientales y sociales en todas las etapas del proceso. Puede consultar la guía en el siguiente enlace:</w:t>
      </w:r>
      <w:r w:rsidRPr="00277975">
        <w:rPr>
          <w:rFonts w:ascii="Verdana" w:hAnsi="Verdana" w:cs="Arial"/>
          <w:color w:val="FF0000"/>
          <w:shd w:val="clear" w:color="auto" w:fill="FFFFFF"/>
        </w:rPr>
        <w:t> </w:t>
      </w:r>
      <w:hyperlink r:id="rId17" w:tgtFrame="_blank" w:tooltip="Dirección URL original: https://www.colombiacompra.gov.co/manuales-guias-y-pliegos-tipo/manuales-y-guias/guia-de-contratacion-publica-sostenible-y-socialmente. Haga clic o pulse si confía en este vínculo." w:history="1">
        <w:r w:rsidRPr="00277975">
          <w:rPr>
            <w:rStyle w:val="Hipervnculo"/>
            <w:rFonts w:ascii="Verdana" w:hAnsi="Verdana" w:cs="Arial"/>
            <w:shd w:val="clear" w:color="auto" w:fill="FFFFFF"/>
          </w:rPr>
          <w:t>Guía de Contratación Pública Sostenible y Socialmente Responsable | Colombia Compra Eficiente | Agencia Nacional de Contratación Pública</w:t>
        </w:r>
      </w:hyperlink>
    </w:p>
    <w:p w14:paraId="472C701B" w14:textId="77777777" w:rsidR="004B79A3" w:rsidRDefault="004B79A3" w:rsidP="004B79A3">
      <w:pPr>
        <w:widowControl w:val="0"/>
        <w:autoSpaceDE w:val="0"/>
        <w:autoSpaceDN w:val="0"/>
        <w:spacing w:after="0" w:line="276" w:lineRule="auto"/>
        <w:jc w:val="both"/>
        <w:rPr>
          <w:rFonts w:ascii="Verdana" w:hAnsi="Verdana" w:cs="Arial"/>
          <w:color w:val="FF0000"/>
          <w:shd w:val="clear" w:color="auto" w:fill="FFFFFF"/>
          <w:lang w:val="es-ES"/>
        </w:rPr>
      </w:pPr>
      <w:r w:rsidRPr="007853B2">
        <w:rPr>
          <w:rFonts w:ascii="Verdana" w:hAnsi="Verdana" w:cs="Arial"/>
          <w:color w:val="FF0000"/>
          <w:shd w:val="clear" w:color="auto" w:fill="FFFFFF"/>
          <w:lang w:val="es-ES"/>
        </w:rPr>
        <w:t xml:space="preserve"> </w:t>
      </w:r>
    </w:p>
    <w:p w14:paraId="0ED59CEB" w14:textId="77777777" w:rsidR="004B79A3" w:rsidRPr="00EB1CF7" w:rsidRDefault="004B79A3" w:rsidP="004B79A3">
      <w:pPr>
        <w:widowControl w:val="0"/>
        <w:autoSpaceDE w:val="0"/>
        <w:autoSpaceDN w:val="0"/>
        <w:spacing w:after="0" w:line="276" w:lineRule="auto"/>
        <w:jc w:val="both"/>
        <w:rPr>
          <w:rFonts w:ascii="Verdana" w:hAnsi="Verdana" w:cs="Arial"/>
          <w:lang w:val="es-ES_tradnl"/>
        </w:rPr>
      </w:pPr>
      <w:r w:rsidRPr="00EB1CF7">
        <w:rPr>
          <w:rFonts w:ascii="Verdana" w:hAnsi="Verdana" w:cs="Arial"/>
        </w:rPr>
        <w:t xml:space="preserve">Este concepto tiene el alcance previsto en el artículo 28 del Código de Procedimiento Administrativo y de lo Contencioso Administrativo </w:t>
      </w:r>
      <w:r w:rsidRPr="00EB1CF7">
        <w:rPr>
          <w:rFonts w:ascii="Verdana" w:hAnsi="Verdana" w:cs="Arial"/>
          <w:lang w:val="es-ES_tradnl"/>
        </w:rPr>
        <w:t>y las expresiones aquí utilizadas con mayúscula inicial deben ser entendidas con el significado que les otorga el artículo 2.2.1.1.1.3.1. del Decreto 1082 de 2015.</w:t>
      </w:r>
    </w:p>
    <w:p w14:paraId="33F1A66F" w14:textId="77777777" w:rsidR="004B79A3" w:rsidRPr="00EB1CF7" w:rsidRDefault="004B79A3" w:rsidP="004B79A3">
      <w:pPr>
        <w:widowControl w:val="0"/>
        <w:autoSpaceDE w:val="0"/>
        <w:autoSpaceDN w:val="0"/>
        <w:spacing w:after="0" w:line="276" w:lineRule="auto"/>
        <w:jc w:val="both"/>
        <w:rPr>
          <w:rFonts w:ascii="Verdana" w:hAnsi="Verdana" w:cs="Arial"/>
        </w:rPr>
      </w:pPr>
    </w:p>
    <w:p w14:paraId="588AB99A" w14:textId="77777777" w:rsidR="004B79A3" w:rsidRPr="00EB1CF7" w:rsidRDefault="004B79A3" w:rsidP="004B79A3">
      <w:pPr>
        <w:spacing w:after="0" w:line="240" w:lineRule="auto"/>
        <w:rPr>
          <w:rFonts w:ascii="Verdana" w:hAnsi="Verdana" w:cs="Arial"/>
          <w:lang w:eastAsia="es-CO"/>
        </w:rPr>
      </w:pPr>
      <w:r w:rsidRPr="00EB1CF7">
        <w:rPr>
          <w:rFonts w:ascii="Verdana" w:eastAsia="Times New Roman" w:hAnsi="Verdana" w:cs="Arial"/>
          <w:lang w:eastAsia="es-CO"/>
        </w:rPr>
        <w:t>Atentamente,</w:t>
      </w:r>
      <w:r w:rsidRPr="00EB1CF7">
        <w:rPr>
          <w:rFonts w:ascii="Verdana" w:hAnsi="Verdana" w:cs="Arial"/>
          <w:lang w:eastAsia="es-CO"/>
        </w:rPr>
        <w:t xml:space="preserve"> </w:t>
      </w:r>
    </w:p>
    <w:p w14:paraId="5CFF3B82" w14:textId="320E6589" w:rsidR="004B79A3" w:rsidRPr="00EB1CF7" w:rsidRDefault="007531D0" w:rsidP="004B79A3">
      <w:pPr>
        <w:spacing w:line="276" w:lineRule="auto"/>
        <w:jc w:val="center"/>
        <w:rPr>
          <w:rFonts w:ascii="Verdana" w:hAnsi="Verdana" w:cs="Arial"/>
          <w:color w:val="000000"/>
          <w:lang w:val="es-ES_tradnl" w:eastAsia="es-CO"/>
        </w:rPr>
      </w:pPr>
      <w:r w:rsidRPr="002C3AD6">
        <w:rPr>
          <w:rFonts w:ascii="Century Gothic" w:hAnsi="Century Gothic"/>
          <w:noProof/>
        </w:rPr>
        <w:drawing>
          <wp:inline distT="0" distB="0" distL="0" distR="0" wp14:anchorId="6D59F589" wp14:editId="0F1F1132">
            <wp:extent cx="2943225" cy="1092561"/>
            <wp:effectExtent l="0" t="0" r="0" b="0"/>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8"/>
                    <a:stretch>
                      <a:fillRect/>
                    </a:stretch>
                  </pic:blipFill>
                  <pic:spPr>
                    <a:xfrm>
                      <a:off x="0" y="0"/>
                      <a:ext cx="2953689" cy="1096445"/>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4B79A3" w:rsidRPr="00EB1CF7" w14:paraId="54943390" w14:textId="77777777" w:rsidTr="00540096">
        <w:trPr>
          <w:trHeight w:val="315"/>
        </w:trPr>
        <w:tc>
          <w:tcPr>
            <w:tcW w:w="893" w:type="dxa"/>
            <w:vAlign w:val="center"/>
            <w:hideMark/>
          </w:tcPr>
          <w:p w14:paraId="469AE004" w14:textId="77777777" w:rsidR="004B79A3" w:rsidRPr="00EB1CF7" w:rsidRDefault="004B79A3" w:rsidP="00540096">
            <w:pPr>
              <w:contextualSpacing/>
              <w:rPr>
                <w:rFonts w:ascii="Verdana" w:hAnsi="Verdana" w:cs="Arial"/>
                <w:sz w:val="16"/>
                <w:szCs w:val="16"/>
                <w:lang w:val="es-ES" w:eastAsia="es-ES"/>
              </w:rPr>
            </w:pPr>
            <w:r w:rsidRPr="00EB1CF7">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3E90C19C" w14:textId="77777777" w:rsidR="004B79A3" w:rsidRPr="00EB1CF7" w:rsidRDefault="004B79A3" w:rsidP="00540096">
            <w:pPr>
              <w:contextualSpacing/>
              <w:rPr>
                <w:rStyle w:val="normaltextrun"/>
                <w:rFonts w:ascii="Verdana" w:hAnsi="Verdana"/>
                <w:sz w:val="16"/>
                <w:szCs w:val="16"/>
              </w:rPr>
            </w:pPr>
            <w:r>
              <w:rPr>
                <w:rStyle w:val="normaltextrun"/>
                <w:rFonts w:ascii="Verdana" w:hAnsi="Verdana"/>
                <w:sz w:val="16"/>
                <w:szCs w:val="16"/>
              </w:rPr>
              <w:t>Richard Andrés Montenegro Siefken</w:t>
            </w:r>
          </w:p>
          <w:p w14:paraId="52605470" w14:textId="77777777" w:rsidR="004B79A3" w:rsidRPr="00EB1CF7" w:rsidRDefault="004B79A3" w:rsidP="00540096">
            <w:pPr>
              <w:contextualSpacing/>
              <w:rPr>
                <w:rFonts w:ascii="Verdana" w:eastAsia="Arial" w:hAnsi="Verdana" w:cs="Arial"/>
                <w:sz w:val="16"/>
                <w:szCs w:val="16"/>
              </w:rPr>
            </w:pPr>
            <w:r w:rsidRPr="00EB1CF7">
              <w:rPr>
                <w:rStyle w:val="normaltextrun"/>
                <w:rFonts w:ascii="Verdana" w:hAnsi="Verdana"/>
                <w:sz w:val="16"/>
                <w:szCs w:val="16"/>
              </w:rPr>
              <w:t>Contratista de la Subdirección de Gestión Contractual</w:t>
            </w:r>
          </w:p>
        </w:tc>
      </w:tr>
      <w:tr w:rsidR="004B79A3" w:rsidRPr="00EB1CF7" w14:paraId="067A7646" w14:textId="77777777" w:rsidTr="00540096">
        <w:trPr>
          <w:trHeight w:val="330"/>
        </w:trPr>
        <w:tc>
          <w:tcPr>
            <w:tcW w:w="893" w:type="dxa"/>
            <w:vAlign w:val="center"/>
            <w:hideMark/>
          </w:tcPr>
          <w:p w14:paraId="548B0436" w14:textId="77777777" w:rsidR="004B79A3" w:rsidRPr="0063536A" w:rsidRDefault="004B79A3" w:rsidP="00540096">
            <w:pPr>
              <w:contextualSpacing/>
              <w:rPr>
                <w:rStyle w:val="normaltextrun"/>
                <w:rFonts w:ascii="Verdana" w:hAnsi="Verdana"/>
                <w:sz w:val="16"/>
                <w:szCs w:val="16"/>
              </w:rPr>
            </w:pPr>
            <w:r w:rsidRPr="0063536A">
              <w:rPr>
                <w:rStyle w:val="normaltextrun"/>
                <w:rFonts w:ascii="Verdana" w:hAnsi="Verdana"/>
                <w:sz w:val="16"/>
                <w:szCs w:val="16"/>
              </w:rPr>
              <w:lastRenderedPageBreak/>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742D70D8" w14:textId="40F576E5" w:rsidR="004B79A3" w:rsidRPr="0023577C" w:rsidRDefault="00DD5AF8" w:rsidP="0063536A">
            <w:pPr>
              <w:pStyle w:val="paragraph"/>
              <w:spacing w:before="0" w:beforeAutospacing="0" w:after="0" w:afterAutospacing="0"/>
              <w:contextualSpacing/>
              <w:textAlignment w:val="baseline"/>
              <w:rPr>
                <w:rStyle w:val="normaltextrun"/>
                <w:rFonts w:ascii="Verdana" w:eastAsiaTheme="minorHAnsi" w:hAnsi="Verdana" w:cstheme="minorBidi"/>
                <w:sz w:val="16"/>
                <w:szCs w:val="16"/>
                <w:lang w:eastAsia="en-US"/>
              </w:rPr>
            </w:pPr>
            <w:r>
              <w:rPr>
                <w:rStyle w:val="normaltextrun"/>
                <w:rFonts w:ascii="Verdana" w:eastAsiaTheme="minorHAnsi" w:hAnsi="Verdana" w:cstheme="minorBidi"/>
                <w:sz w:val="16"/>
                <w:szCs w:val="16"/>
                <w:lang w:eastAsia="en-US"/>
              </w:rPr>
              <w:t>Juan David Cárdenas Cabeza</w:t>
            </w:r>
          </w:p>
          <w:p w14:paraId="0E4EF786" w14:textId="77777777" w:rsidR="004B79A3" w:rsidRPr="0063536A" w:rsidRDefault="004B79A3" w:rsidP="00540096">
            <w:pPr>
              <w:pStyle w:val="paragraph"/>
              <w:spacing w:before="0" w:beforeAutospacing="0" w:after="0" w:afterAutospacing="0"/>
              <w:contextualSpacing/>
              <w:textAlignment w:val="baseline"/>
              <w:rPr>
                <w:rStyle w:val="normaltextrun"/>
                <w:rFonts w:ascii="Verdana" w:eastAsiaTheme="minorHAnsi" w:hAnsi="Verdana" w:cstheme="minorBidi"/>
                <w:sz w:val="16"/>
                <w:szCs w:val="16"/>
                <w:lang w:eastAsia="en-US"/>
              </w:rPr>
            </w:pPr>
            <w:r w:rsidRPr="0023577C">
              <w:rPr>
                <w:rStyle w:val="normaltextrun"/>
                <w:rFonts w:ascii="Verdana" w:eastAsiaTheme="minorHAnsi" w:hAnsi="Verdana" w:cstheme="minorBidi"/>
                <w:sz w:val="16"/>
                <w:szCs w:val="16"/>
                <w:lang w:eastAsia="en-US"/>
              </w:rPr>
              <w:t>Contratista de la Subdirección de Gestión Contractual</w:t>
            </w:r>
            <w:r w:rsidRPr="0063536A">
              <w:rPr>
                <w:rStyle w:val="normaltextrun"/>
                <w:rFonts w:ascii="Verdana" w:eastAsiaTheme="minorHAnsi" w:hAnsi="Verdana" w:cstheme="minorBidi"/>
                <w:sz w:val="16"/>
                <w:szCs w:val="16"/>
                <w:lang w:eastAsia="en-US"/>
              </w:rPr>
              <w:t> </w:t>
            </w:r>
          </w:p>
        </w:tc>
      </w:tr>
      <w:tr w:rsidR="004B79A3" w:rsidRPr="00EB1CF7" w14:paraId="7A0DC6E2" w14:textId="77777777" w:rsidTr="00540096">
        <w:trPr>
          <w:trHeight w:val="300"/>
        </w:trPr>
        <w:tc>
          <w:tcPr>
            <w:tcW w:w="893" w:type="dxa"/>
            <w:vAlign w:val="center"/>
          </w:tcPr>
          <w:p w14:paraId="2317FD73" w14:textId="77777777" w:rsidR="004B79A3" w:rsidRPr="00EB1CF7" w:rsidRDefault="004B79A3" w:rsidP="00540096">
            <w:pPr>
              <w:contextualSpacing/>
              <w:rPr>
                <w:rFonts w:ascii="Verdana" w:hAnsi="Verdana" w:cs="Arial"/>
                <w:sz w:val="16"/>
                <w:szCs w:val="16"/>
                <w:lang w:val="es-ES" w:eastAsia="es-ES"/>
              </w:rPr>
            </w:pPr>
            <w:r w:rsidRPr="00EB1CF7">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6A62EA15" w14:textId="77777777" w:rsidR="004B79A3" w:rsidRPr="00EB1CF7" w:rsidRDefault="004B79A3" w:rsidP="00540096">
            <w:pPr>
              <w:contextualSpacing/>
              <w:rPr>
                <w:rFonts w:ascii="Verdana" w:eastAsia="Calibri" w:hAnsi="Verdana" w:cs="Arial"/>
                <w:sz w:val="16"/>
                <w:szCs w:val="16"/>
                <w:lang w:val="pt-BR" w:eastAsia="es-ES"/>
              </w:rPr>
            </w:pPr>
            <w:r w:rsidRPr="00EB1CF7">
              <w:rPr>
                <w:rFonts w:ascii="Verdana" w:eastAsia="Calibri" w:hAnsi="Verdana" w:cs="Arial"/>
                <w:sz w:val="16"/>
                <w:szCs w:val="16"/>
                <w:lang w:val="pt-BR" w:eastAsia="es-ES"/>
              </w:rPr>
              <w:t xml:space="preserve">Carolina Quintero </w:t>
            </w:r>
            <w:proofErr w:type="spellStart"/>
            <w:r w:rsidRPr="00EB1CF7">
              <w:rPr>
                <w:rFonts w:ascii="Verdana" w:eastAsia="Calibri" w:hAnsi="Verdana" w:cs="Arial"/>
                <w:sz w:val="16"/>
                <w:szCs w:val="16"/>
                <w:lang w:val="pt-BR" w:eastAsia="es-ES"/>
              </w:rPr>
              <w:t>Gacharná</w:t>
            </w:r>
            <w:proofErr w:type="spellEnd"/>
          </w:p>
          <w:p w14:paraId="6FBB2881" w14:textId="77777777" w:rsidR="004B79A3" w:rsidRPr="00EB1CF7" w:rsidRDefault="004B79A3" w:rsidP="00540096">
            <w:pPr>
              <w:contextualSpacing/>
              <w:rPr>
                <w:rFonts w:ascii="Verdana" w:eastAsia="Calibri" w:hAnsi="Verdana" w:cs="Arial"/>
                <w:sz w:val="16"/>
                <w:szCs w:val="16"/>
                <w:lang w:val="pt-BR" w:eastAsia="es-ES"/>
              </w:rPr>
            </w:pPr>
            <w:r w:rsidRPr="00EB1CF7">
              <w:rPr>
                <w:rFonts w:ascii="Verdana" w:eastAsia="Calibri" w:hAnsi="Verdana" w:cs="Arial"/>
                <w:sz w:val="16"/>
                <w:szCs w:val="16"/>
                <w:lang w:eastAsia="es-ES"/>
              </w:rPr>
              <w:t>Subdirectora</w:t>
            </w:r>
            <w:r w:rsidRPr="00EB1CF7">
              <w:rPr>
                <w:rFonts w:ascii="Verdana" w:eastAsia="Calibri" w:hAnsi="Verdana" w:cs="Arial"/>
                <w:sz w:val="16"/>
                <w:szCs w:val="16"/>
                <w:lang w:val="pt-BR" w:eastAsia="es-ES"/>
              </w:rPr>
              <w:t xml:space="preserve"> de Gestión </w:t>
            </w:r>
            <w:proofErr w:type="spellStart"/>
            <w:r w:rsidRPr="00EB1CF7">
              <w:rPr>
                <w:rFonts w:ascii="Verdana" w:eastAsia="Calibri" w:hAnsi="Verdana" w:cs="Arial"/>
                <w:sz w:val="16"/>
                <w:szCs w:val="16"/>
                <w:lang w:val="pt-BR" w:eastAsia="es-ES"/>
              </w:rPr>
              <w:t>Contractual</w:t>
            </w:r>
            <w:proofErr w:type="spellEnd"/>
            <w:r w:rsidRPr="00EB1CF7">
              <w:rPr>
                <w:rFonts w:ascii="Verdana" w:eastAsia="Calibri" w:hAnsi="Verdana" w:cs="Arial"/>
                <w:sz w:val="16"/>
                <w:szCs w:val="16"/>
                <w:lang w:val="pt-BR" w:eastAsia="es-ES"/>
              </w:rPr>
              <w:t xml:space="preserve"> ANCP – CCE</w:t>
            </w:r>
          </w:p>
        </w:tc>
      </w:tr>
    </w:tbl>
    <w:p w14:paraId="7D93CD33" w14:textId="77777777" w:rsidR="004B79A3" w:rsidRPr="0063536A" w:rsidRDefault="004B79A3" w:rsidP="004B79A3">
      <w:pPr>
        <w:spacing w:after="0" w:line="240" w:lineRule="auto"/>
        <w:rPr>
          <w:rFonts w:ascii="Verdana" w:eastAsia="Times New Roman" w:hAnsi="Verdana" w:cs="Arial"/>
          <w:sz w:val="16"/>
          <w:szCs w:val="16"/>
          <w:lang w:eastAsia="es-ES"/>
        </w:rPr>
      </w:pPr>
    </w:p>
    <w:p w14:paraId="3900974D" w14:textId="77777777" w:rsidR="003D5B0D" w:rsidRPr="00361176" w:rsidRDefault="003D5B0D" w:rsidP="00361176"/>
    <w:sectPr w:rsidR="003D5B0D" w:rsidRPr="00361176" w:rsidSect="007C0C0F">
      <w:headerReference w:type="default" r:id="rId19"/>
      <w:footerReference w:type="default" r:id="rId20"/>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9C0F7F3" w14:textId="77777777" w:rsidR="00941F79" w:rsidRDefault="00941F79" w:rsidP="004A1847">
      <w:pPr>
        <w:spacing w:after="0" w:line="240" w:lineRule="auto"/>
      </w:pPr>
      <w:r>
        <w:separator/>
      </w:r>
    </w:p>
  </w:endnote>
  <w:endnote w:type="continuationSeparator" w:id="0">
    <w:p w14:paraId="62764462" w14:textId="77777777" w:rsidR="00941F79" w:rsidRDefault="00941F79" w:rsidP="004A1847">
      <w:pPr>
        <w:spacing w:after="0" w:line="240" w:lineRule="auto"/>
      </w:pPr>
      <w:r>
        <w:continuationSeparator/>
      </w:r>
    </w:p>
  </w:endnote>
  <w:endnote w:type="continuationNotice" w:id="1">
    <w:p w14:paraId="653EECD3" w14:textId="77777777" w:rsidR="00941F79" w:rsidRDefault="00941F7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DE03038" w14:textId="77777777" w:rsidR="00941F79" w:rsidRDefault="00941F79" w:rsidP="004A1847">
      <w:pPr>
        <w:spacing w:after="0" w:line="240" w:lineRule="auto"/>
      </w:pPr>
      <w:r>
        <w:separator/>
      </w:r>
    </w:p>
  </w:footnote>
  <w:footnote w:type="continuationSeparator" w:id="0">
    <w:p w14:paraId="4AB58078" w14:textId="77777777" w:rsidR="00941F79" w:rsidRDefault="00941F79" w:rsidP="004A1847">
      <w:pPr>
        <w:spacing w:after="0" w:line="240" w:lineRule="auto"/>
      </w:pPr>
      <w:r>
        <w:continuationSeparator/>
      </w:r>
    </w:p>
  </w:footnote>
  <w:footnote w:type="continuationNotice" w:id="1">
    <w:p w14:paraId="341AF087" w14:textId="77777777" w:rsidR="00941F79" w:rsidRDefault="00941F79">
      <w:pPr>
        <w:spacing w:after="0" w:line="240" w:lineRule="auto"/>
      </w:pPr>
    </w:p>
  </w:footnote>
  <w:footnote w:id="2">
    <w:p w14:paraId="52E6BD4D" w14:textId="77777777" w:rsidR="00E76EEC" w:rsidRPr="0063536A" w:rsidRDefault="00E76EEC" w:rsidP="00E76EEC">
      <w:pPr>
        <w:spacing w:after="0" w:line="240" w:lineRule="auto"/>
        <w:ind w:firstLine="709"/>
        <w:contextualSpacing/>
        <w:jc w:val="both"/>
        <w:rPr>
          <w:rFonts w:ascii="Verdana" w:hAnsi="Verdana" w:cs="Arial"/>
          <w:sz w:val="16"/>
          <w:szCs w:val="16"/>
        </w:rPr>
      </w:pPr>
      <w:r w:rsidRPr="0063536A">
        <w:rPr>
          <w:rStyle w:val="Refdenotaalpie"/>
          <w:rFonts w:ascii="Verdana" w:hAnsi="Verdana" w:cs="Arial"/>
          <w:sz w:val="16"/>
          <w:szCs w:val="16"/>
        </w:rPr>
        <w:footnoteRef/>
      </w:r>
      <w:r w:rsidRPr="0063536A">
        <w:rPr>
          <w:rFonts w:ascii="Verdana" w:hAnsi="Verdana" w:cs="Arial"/>
          <w:sz w:val="16"/>
          <w:szCs w:val="16"/>
        </w:rPr>
        <w:t xml:space="preserve"> La Agencia Nacional de Contratación Pública </w:t>
      </w:r>
      <w:r w:rsidRPr="0063536A">
        <w:rPr>
          <w:rFonts w:ascii="Verdana" w:hAnsi="Verdana" w:cs="Arial"/>
          <w:w w:val="95"/>
          <w:sz w:val="16"/>
          <w:szCs w:val="16"/>
        </w:rPr>
        <w:t xml:space="preserve">‒ </w:t>
      </w:r>
      <w:r w:rsidRPr="0063536A">
        <w:rPr>
          <w:rFonts w:ascii="Verdana" w:hAnsi="Verdana" w:cs="Arial"/>
          <w:sz w:val="16"/>
          <w:szCs w:val="16"/>
        </w:rPr>
        <w:t>Colombia Compra Eficiente fue creada por el Decreto Ley</w:t>
      </w:r>
      <w:r w:rsidRPr="0063536A">
        <w:rPr>
          <w:rFonts w:ascii="Verdana" w:hAnsi="Verdana" w:cs="Arial"/>
          <w:spacing w:val="1"/>
          <w:sz w:val="16"/>
          <w:szCs w:val="16"/>
        </w:rPr>
        <w:t xml:space="preserve"> </w:t>
      </w:r>
      <w:r w:rsidRPr="0063536A">
        <w:rPr>
          <w:rFonts w:ascii="Verdana" w:hAnsi="Verdana" w:cs="Arial"/>
          <w:sz w:val="16"/>
          <w:szCs w:val="16"/>
        </w:rPr>
        <w:t>4170 de 2011. Su objetivo es servir como ente rector de la política de compras y contratación del Estado. Para tales</w:t>
      </w:r>
      <w:r w:rsidRPr="0063536A">
        <w:rPr>
          <w:rFonts w:ascii="Verdana" w:hAnsi="Verdana" w:cs="Arial"/>
          <w:spacing w:val="1"/>
          <w:sz w:val="16"/>
          <w:szCs w:val="16"/>
        </w:rPr>
        <w:t xml:space="preserve"> </w:t>
      </w:r>
      <w:r w:rsidRPr="0063536A">
        <w:rPr>
          <w:rFonts w:ascii="Verdana" w:hAnsi="Verdana" w:cs="Arial"/>
          <w:sz w:val="16"/>
          <w:szCs w:val="16"/>
        </w:rPr>
        <w:t>fines, como órgano técnico especializado, le corresponde formular políticas públicas y normas y unificar los procesos</w:t>
      </w:r>
      <w:r w:rsidRPr="0063536A">
        <w:rPr>
          <w:rFonts w:ascii="Verdana" w:hAnsi="Verdana" w:cs="Arial"/>
          <w:spacing w:val="1"/>
          <w:sz w:val="16"/>
          <w:szCs w:val="16"/>
        </w:rPr>
        <w:t xml:space="preserve"> </w:t>
      </w:r>
      <w:r w:rsidRPr="0063536A">
        <w:rPr>
          <w:rFonts w:ascii="Verdana" w:hAnsi="Verdana" w:cs="Arial"/>
          <w:sz w:val="16"/>
          <w:szCs w:val="16"/>
        </w:rPr>
        <w:t>de contratación estatal, con el fin de lograr una mayor eficiencia, transparencia y optimización de los recursos del</w:t>
      </w:r>
      <w:r w:rsidRPr="0063536A">
        <w:rPr>
          <w:rFonts w:ascii="Verdana" w:hAnsi="Verdana" w:cs="Arial"/>
          <w:spacing w:val="1"/>
          <w:sz w:val="16"/>
          <w:szCs w:val="16"/>
        </w:rPr>
        <w:t xml:space="preserve"> </w:t>
      </w:r>
      <w:r w:rsidRPr="0063536A">
        <w:rPr>
          <w:rFonts w:ascii="Verdana" w:hAnsi="Verdana" w:cs="Arial"/>
          <w:sz w:val="16"/>
          <w:szCs w:val="16"/>
        </w:rPr>
        <w:t>Estado. El artículo 3 ibidem señala, de manera precisa, las funciones de Colombia Compra Eficiente. Concretamente,</w:t>
      </w:r>
      <w:r w:rsidRPr="0063536A">
        <w:rPr>
          <w:rFonts w:ascii="Verdana" w:hAnsi="Verdana" w:cs="Arial"/>
          <w:spacing w:val="1"/>
          <w:sz w:val="16"/>
          <w:szCs w:val="16"/>
        </w:rPr>
        <w:t xml:space="preserve"> </w:t>
      </w:r>
      <w:r w:rsidRPr="0063536A">
        <w:rPr>
          <w:rFonts w:ascii="Verdana" w:hAnsi="Verdana" w:cs="Arial"/>
          <w:sz w:val="16"/>
          <w:szCs w:val="16"/>
        </w:rPr>
        <w:t>el</w:t>
      </w:r>
      <w:r w:rsidRPr="0063536A">
        <w:rPr>
          <w:rFonts w:ascii="Verdana" w:hAnsi="Verdana" w:cs="Arial"/>
          <w:spacing w:val="-10"/>
          <w:sz w:val="16"/>
          <w:szCs w:val="16"/>
        </w:rPr>
        <w:t xml:space="preserve"> </w:t>
      </w:r>
      <w:r w:rsidRPr="0063536A">
        <w:rPr>
          <w:rFonts w:ascii="Verdana" w:hAnsi="Verdana" w:cs="Arial"/>
          <w:sz w:val="16"/>
          <w:szCs w:val="16"/>
        </w:rPr>
        <w:t>numeral</w:t>
      </w:r>
      <w:r w:rsidRPr="0063536A">
        <w:rPr>
          <w:rFonts w:ascii="Verdana" w:hAnsi="Verdana" w:cs="Arial"/>
          <w:spacing w:val="-9"/>
          <w:sz w:val="16"/>
          <w:szCs w:val="16"/>
        </w:rPr>
        <w:t xml:space="preserve"> </w:t>
      </w:r>
      <w:r w:rsidRPr="0063536A">
        <w:rPr>
          <w:rFonts w:ascii="Verdana" w:hAnsi="Verdana" w:cs="Arial"/>
          <w:sz w:val="16"/>
          <w:szCs w:val="16"/>
        </w:rPr>
        <w:t>5º</w:t>
      </w:r>
      <w:r w:rsidRPr="0063536A">
        <w:rPr>
          <w:rFonts w:ascii="Verdana" w:hAnsi="Verdana" w:cs="Arial"/>
          <w:spacing w:val="-9"/>
          <w:sz w:val="16"/>
          <w:szCs w:val="16"/>
        </w:rPr>
        <w:t xml:space="preserve"> </w:t>
      </w:r>
      <w:r w:rsidRPr="0063536A">
        <w:rPr>
          <w:rFonts w:ascii="Verdana" w:hAnsi="Verdana" w:cs="Arial"/>
          <w:sz w:val="16"/>
          <w:szCs w:val="16"/>
        </w:rPr>
        <w:t>de</w:t>
      </w:r>
      <w:r w:rsidRPr="0063536A">
        <w:rPr>
          <w:rFonts w:ascii="Verdana" w:hAnsi="Verdana" w:cs="Arial"/>
          <w:spacing w:val="-9"/>
          <w:sz w:val="16"/>
          <w:szCs w:val="16"/>
        </w:rPr>
        <w:t xml:space="preserve"> </w:t>
      </w:r>
      <w:r w:rsidRPr="0063536A">
        <w:rPr>
          <w:rFonts w:ascii="Verdana" w:hAnsi="Verdana" w:cs="Arial"/>
          <w:sz w:val="16"/>
          <w:szCs w:val="16"/>
        </w:rPr>
        <w:t>este</w:t>
      </w:r>
      <w:r w:rsidRPr="0063536A">
        <w:rPr>
          <w:rFonts w:ascii="Verdana" w:hAnsi="Verdana" w:cs="Arial"/>
          <w:spacing w:val="-9"/>
          <w:sz w:val="16"/>
          <w:szCs w:val="16"/>
        </w:rPr>
        <w:t xml:space="preserve"> </w:t>
      </w:r>
      <w:r w:rsidRPr="0063536A">
        <w:rPr>
          <w:rFonts w:ascii="Verdana" w:hAnsi="Verdana" w:cs="Arial"/>
          <w:sz w:val="16"/>
          <w:szCs w:val="16"/>
        </w:rPr>
        <w:t>artículo</w:t>
      </w:r>
      <w:r w:rsidRPr="0063536A">
        <w:rPr>
          <w:rFonts w:ascii="Verdana" w:hAnsi="Verdana" w:cs="Arial"/>
          <w:spacing w:val="-9"/>
          <w:sz w:val="16"/>
          <w:szCs w:val="16"/>
        </w:rPr>
        <w:t xml:space="preserve"> </w:t>
      </w:r>
      <w:r w:rsidRPr="0063536A">
        <w:rPr>
          <w:rFonts w:ascii="Verdana" w:hAnsi="Verdana" w:cs="Arial"/>
          <w:sz w:val="16"/>
          <w:szCs w:val="16"/>
        </w:rPr>
        <w:t>establece</w:t>
      </w:r>
      <w:r w:rsidRPr="0063536A">
        <w:rPr>
          <w:rFonts w:ascii="Verdana" w:hAnsi="Verdana" w:cs="Arial"/>
          <w:spacing w:val="-9"/>
          <w:sz w:val="16"/>
          <w:szCs w:val="16"/>
        </w:rPr>
        <w:t xml:space="preserve"> </w:t>
      </w:r>
      <w:r w:rsidRPr="0063536A">
        <w:rPr>
          <w:rFonts w:ascii="Verdana" w:hAnsi="Verdana" w:cs="Arial"/>
          <w:sz w:val="16"/>
          <w:szCs w:val="16"/>
        </w:rPr>
        <w:t>que</w:t>
      </w:r>
      <w:r w:rsidRPr="0063536A">
        <w:rPr>
          <w:rFonts w:ascii="Verdana" w:hAnsi="Verdana" w:cs="Arial"/>
          <w:spacing w:val="-9"/>
          <w:sz w:val="16"/>
          <w:szCs w:val="16"/>
        </w:rPr>
        <w:t xml:space="preserve"> </w:t>
      </w:r>
      <w:r w:rsidRPr="0063536A">
        <w:rPr>
          <w:rFonts w:ascii="Verdana" w:hAnsi="Verdana" w:cs="Arial"/>
          <w:sz w:val="16"/>
          <w:szCs w:val="16"/>
        </w:rPr>
        <w:t>le</w:t>
      </w:r>
      <w:r w:rsidRPr="0063536A">
        <w:rPr>
          <w:rFonts w:ascii="Verdana" w:hAnsi="Verdana" w:cs="Arial"/>
          <w:spacing w:val="-9"/>
          <w:sz w:val="16"/>
          <w:szCs w:val="16"/>
        </w:rPr>
        <w:t xml:space="preserve"> </w:t>
      </w:r>
      <w:r w:rsidRPr="0063536A">
        <w:rPr>
          <w:rFonts w:ascii="Verdana" w:hAnsi="Verdana" w:cs="Arial"/>
          <w:sz w:val="16"/>
          <w:szCs w:val="16"/>
        </w:rPr>
        <w:t>corresponde</w:t>
      </w:r>
      <w:r w:rsidRPr="0063536A">
        <w:rPr>
          <w:rFonts w:ascii="Verdana" w:hAnsi="Verdana" w:cs="Arial"/>
          <w:spacing w:val="-9"/>
          <w:sz w:val="16"/>
          <w:szCs w:val="16"/>
        </w:rPr>
        <w:t xml:space="preserve"> </w:t>
      </w:r>
      <w:r w:rsidRPr="0063536A">
        <w:rPr>
          <w:rFonts w:ascii="Verdana" w:hAnsi="Verdana" w:cs="Arial"/>
          <w:sz w:val="16"/>
          <w:szCs w:val="16"/>
        </w:rPr>
        <w:t>a</w:t>
      </w:r>
      <w:r w:rsidRPr="0063536A">
        <w:rPr>
          <w:rFonts w:ascii="Verdana" w:hAnsi="Verdana" w:cs="Arial"/>
          <w:spacing w:val="-9"/>
          <w:sz w:val="16"/>
          <w:szCs w:val="16"/>
        </w:rPr>
        <w:t xml:space="preserve"> </w:t>
      </w:r>
      <w:r w:rsidRPr="0063536A">
        <w:rPr>
          <w:rFonts w:ascii="Verdana" w:hAnsi="Verdana" w:cs="Arial"/>
          <w:sz w:val="16"/>
          <w:szCs w:val="16"/>
        </w:rPr>
        <w:t>esta</w:t>
      </w:r>
      <w:r w:rsidRPr="0063536A">
        <w:rPr>
          <w:rFonts w:ascii="Verdana" w:hAnsi="Verdana" w:cs="Arial"/>
          <w:spacing w:val="-9"/>
          <w:sz w:val="16"/>
          <w:szCs w:val="16"/>
        </w:rPr>
        <w:t xml:space="preserve"> </w:t>
      </w:r>
      <w:r w:rsidRPr="0063536A">
        <w:rPr>
          <w:rFonts w:ascii="Verdana" w:hAnsi="Verdana" w:cs="Arial"/>
          <w:sz w:val="16"/>
          <w:szCs w:val="16"/>
        </w:rPr>
        <w:t>entidad:</w:t>
      </w:r>
      <w:r w:rsidRPr="0063536A">
        <w:rPr>
          <w:rFonts w:ascii="Verdana" w:hAnsi="Verdana" w:cs="Arial"/>
          <w:spacing w:val="-9"/>
          <w:sz w:val="16"/>
          <w:szCs w:val="16"/>
        </w:rPr>
        <w:t xml:space="preserve"> “</w:t>
      </w:r>
      <w:r w:rsidRPr="0063536A">
        <w:rPr>
          <w:rFonts w:ascii="Verdana" w:hAnsi="Verdana" w:cs="Arial"/>
          <w:sz w:val="16"/>
          <w:szCs w:val="16"/>
        </w:rPr>
        <w:t>[a]</w:t>
      </w:r>
      <w:proofErr w:type="spellStart"/>
      <w:r w:rsidRPr="0063536A">
        <w:rPr>
          <w:rFonts w:ascii="Verdana" w:hAnsi="Verdana" w:cs="Arial"/>
          <w:sz w:val="16"/>
          <w:szCs w:val="16"/>
        </w:rPr>
        <w:t>bsolver</w:t>
      </w:r>
      <w:proofErr w:type="spellEnd"/>
      <w:r w:rsidRPr="0063536A">
        <w:rPr>
          <w:rFonts w:ascii="Verdana" w:hAnsi="Verdana" w:cs="Arial"/>
          <w:spacing w:val="-9"/>
          <w:sz w:val="16"/>
          <w:szCs w:val="16"/>
        </w:rPr>
        <w:t xml:space="preserve"> </w:t>
      </w:r>
      <w:r w:rsidRPr="0063536A">
        <w:rPr>
          <w:rFonts w:ascii="Verdana" w:hAnsi="Verdana" w:cs="Arial"/>
          <w:sz w:val="16"/>
          <w:szCs w:val="16"/>
        </w:rPr>
        <w:t>consultas</w:t>
      </w:r>
      <w:r w:rsidRPr="0063536A">
        <w:rPr>
          <w:rFonts w:ascii="Verdana" w:hAnsi="Verdana" w:cs="Arial"/>
          <w:spacing w:val="-9"/>
          <w:sz w:val="16"/>
          <w:szCs w:val="16"/>
        </w:rPr>
        <w:t xml:space="preserve"> </w:t>
      </w:r>
      <w:r w:rsidRPr="0063536A">
        <w:rPr>
          <w:rFonts w:ascii="Verdana" w:hAnsi="Verdana" w:cs="Arial"/>
          <w:sz w:val="16"/>
          <w:szCs w:val="16"/>
        </w:rPr>
        <w:t>sobre</w:t>
      </w:r>
      <w:r w:rsidRPr="0063536A">
        <w:rPr>
          <w:rFonts w:ascii="Verdana" w:hAnsi="Verdana" w:cs="Arial"/>
          <w:spacing w:val="-9"/>
          <w:sz w:val="16"/>
          <w:szCs w:val="16"/>
        </w:rPr>
        <w:t xml:space="preserve"> </w:t>
      </w:r>
      <w:r w:rsidRPr="0063536A">
        <w:rPr>
          <w:rFonts w:ascii="Verdana" w:hAnsi="Verdana" w:cs="Arial"/>
          <w:sz w:val="16"/>
          <w:szCs w:val="16"/>
        </w:rPr>
        <w:t>la</w:t>
      </w:r>
      <w:r w:rsidRPr="0063536A">
        <w:rPr>
          <w:rFonts w:ascii="Verdana" w:hAnsi="Verdana" w:cs="Arial"/>
          <w:spacing w:val="-9"/>
          <w:sz w:val="16"/>
          <w:szCs w:val="16"/>
        </w:rPr>
        <w:t xml:space="preserve"> </w:t>
      </w:r>
      <w:r w:rsidRPr="0063536A">
        <w:rPr>
          <w:rFonts w:ascii="Verdana" w:hAnsi="Verdana" w:cs="Arial"/>
          <w:sz w:val="16"/>
          <w:szCs w:val="16"/>
        </w:rPr>
        <w:t>aplicación</w:t>
      </w:r>
      <w:r w:rsidRPr="0063536A">
        <w:rPr>
          <w:rFonts w:ascii="Verdana" w:hAnsi="Verdana" w:cs="Arial"/>
          <w:spacing w:val="-9"/>
          <w:sz w:val="16"/>
          <w:szCs w:val="16"/>
        </w:rPr>
        <w:t xml:space="preserve"> </w:t>
      </w:r>
      <w:r w:rsidRPr="0063536A">
        <w:rPr>
          <w:rFonts w:ascii="Verdana" w:hAnsi="Verdana" w:cs="Arial"/>
          <w:sz w:val="16"/>
          <w:szCs w:val="16"/>
        </w:rPr>
        <w:t>de</w:t>
      </w:r>
      <w:r w:rsidRPr="0063536A">
        <w:rPr>
          <w:rFonts w:ascii="Verdana" w:hAnsi="Verdana" w:cs="Arial"/>
          <w:spacing w:val="1"/>
          <w:sz w:val="16"/>
          <w:szCs w:val="16"/>
        </w:rPr>
        <w:t xml:space="preserve"> </w:t>
      </w:r>
      <w:r w:rsidRPr="0063536A">
        <w:rPr>
          <w:rFonts w:ascii="Verdana" w:hAnsi="Verdana" w:cs="Arial"/>
          <w:spacing w:val="-1"/>
          <w:sz w:val="16"/>
          <w:szCs w:val="16"/>
        </w:rPr>
        <w:t>normas</w:t>
      </w:r>
      <w:r w:rsidRPr="0063536A">
        <w:rPr>
          <w:rFonts w:ascii="Verdana" w:hAnsi="Verdana" w:cs="Arial"/>
          <w:spacing w:val="-12"/>
          <w:sz w:val="16"/>
          <w:szCs w:val="16"/>
        </w:rPr>
        <w:t xml:space="preserve"> </w:t>
      </w:r>
      <w:r w:rsidRPr="0063536A">
        <w:rPr>
          <w:rFonts w:ascii="Verdana" w:hAnsi="Verdana" w:cs="Arial"/>
          <w:spacing w:val="-1"/>
          <w:sz w:val="16"/>
          <w:szCs w:val="16"/>
        </w:rPr>
        <w:t>de</w:t>
      </w:r>
      <w:r w:rsidRPr="0063536A">
        <w:rPr>
          <w:rFonts w:ascii="Verdana" w:hAnsi="Verdana" w:cs="Arial"/>
          <w:spacing w:val="-13"/>
          <w:sz w:val="16"/>
          <w:szCs w:val="16"/>
        </w:rPr>
        <w:t xml:space="preserve"> </w:t>
      </w:r>
      <w:r w:rsidRPr="0063536A">
        <w:rPr>
          <w:rFonts w:ascii="Verdana" w:hAnsi="Verdana" w:cs="Arial"/>
          <w:spacing w:val="-1"/>
          <w:sz w:val="16"/>
          <w:szCs w:val="16"/>
        </w:rPr>
        <w:t>carácter</w:t>
      </w:r>
      <w:r w:rsidRPr="0063536A">
        <w:rPr>
          <w:rFonts w:ascii="Verdana" w:hAnsi="Verdana" w:cs="Arial"/>
          <w:spacing w:val="-13"/>
          <w:sz w:val="16"/>
          <w:szCs w:val="16"/>
        </w:rPr>
        <w:t xml:space="preserve"> </w:t>
      </w:r>
      <w:r w:rsidRPr="0063536A">
        <w:rPr>
          <w:rFonts w:ascii="Verdana" w:hAnsi="Verdana" w:cs="Arial"/>
          <w:spacing w:val="-1"/>
          <w:sz w:val="16"/>
          <w:szCs w:val="16"/>
        </w:rPr>
        <w:t>general</w:t>
      </w:r>
      <w:r w:rsidRPr="0063536A">
        <w:rPr>
          <w:rFonts w:ascii="Verdana" w:hAnsi="Verdana" w:cs="Arial"/>
          <w:spacing w:val="-12"/>
          <w:sz w:val="16"/>
          <w:szCs w:val="16"/>
        </w:rPr>
        <w:t xml:space="preserve"> </w:t>
      </w:r>
      <w:r w:rsidRPr="0063536A">
        <w:rPr>
          <w:rFonts w:ascii="Verdana" w:hAnsi="Verdana" w:cs="Arial"/>
          <w:spacing w:val="-1"/>
          <w:sz w:val="16"/>
          <w:szCs w:val="16"/>
        </w:rPr>
        <w:t>y</w:t>
      </w:r>
      <w:r w:rsidRPr="0063536A">
        <w:rPr>
          <w:rFonts w:ascii="Verdana" w:hAnsi="Verdana" w:cs="Arial"/>
          <w:spacing w:val="-13"/>
          <w:sz w:val="16"/>
          <w:szCs w:val="16"/>
        </w:rPr>
        <w:t xml:space="preserve"> </w:t>
      </w:r>
      <w:r w:rsidRPr="0063536A">
        <w:rPr>
          <w:rFonts w:ascii="Verdana" w:hAnsi="Verdana" w:cs="Arial"/>
          <w:spacing w:val="-1"/>
          <w:sz w:val="16"/>
          <w:szCs w:val="16"/>
        </w:rPr>
        <w:t>expedir</w:t>
      </w:r>
      <w:r w:rsidRPr="0063536A">
        <w:rPr>
          <w:rFonts w:ascii="Verdana" w:hAnsi="Verdana" w:cs="Arial"/>
          <w:spacing w:val="-12"/>
          <w:sz w:val="16"/>
          <w:szCs w:val="16"/>
        </w:rPr>
        <w:t xml:space="preserve"> </w:t>
      </w:r>
      <w:r w:rsidRPr="0063536A">
        <w:rPr>
          <w:rFonts w:ascii="Verdana" w:hAnsi="Verdana" w:cs="Arial"/>
          <w:spacing w:val="-1"/>
          <w:sz w:val="16"/>
          <w:szCs w:val="16"/>
        </w:rPr>
        <w:t>circulares</w:t>
      </w:r>
      <w:r w:rsidRPr="0063536A">
        <w:rPr>
          <w:rFonts w:ascii="Verdana" w:hAnsi="Verdana" w:cs="Arial"/>
          <w:spacing w:val="-13"/>
          <w:sz w:val="16"/>
          <w:szCs w:val="16"/>
        </w:rPr>
        <w:t xml:space="preserve"> </w:t>
      </w:r>
      <w:r w:rsidRPr="0063536A">
        <w:rPr>
          <w:rFonts w:ascii="Verdana" w:hAnsi="Verdana" w:cs="Arial"/>
          <w:spacing w:val="-1"/>
          <w:sz w:val="16"/>
          <w:szCs w:val="16"/>
        </w:rPr>
        <w:t>externas</w:t>
      </w:r>
      <w:r w:rsidRPr="0063536A">
        <w:rPr>
          <w:rFonts w:ascii="Verdana" w:hAnsi="Verdana" w:cs="Arial"/>
          <w:spacing w:val="-12"/>
          <w:sz w:val="16"/>
          <w:szCs w:val="16"/>
        </w:rPr>
        <w:t xml:space="preserve"> </w:t>
      </w:r>
      <w:r w:rsidRPr="0063536A">
        <w:rPr>
          <w:rFonts w:ascii="Verdana" w:hAnsi="Verdana" w:cs="Arial"/>
          <w:sz w:val="16"/>
          <w:szCs w:val="16"/>
        </w:rPr>
        <w:t>en</w:t>
      </w:r>
      <w:r w:rsidRPr="0063536A">
        <w:rPr>
          <w:rFonts w:ascii="Verdana" w:hAnsi="Verdana" w:cs="Arial"/>
          <w:spacing w:val="-13"/>
          <w:sz w:val="16"/>
          <w:szCs w:val="16"/>
        </w:rPr>
        <w:t xml:space="preserve"> </w:t>
      </w:r>
      <w:r w:rsidRPr="0063536A">
        <w:rPr>
          <w:rFonts w:ascii="Verdana" w:hAnsi="Verdana" w:cs="Arial"/>
          <w:sz w:val="16"/>
          <w:szCs w:val="16"/>
        </w:rPr>
        <w:t>materia</w:t>
      </w:r>
      <w:r w:rsidRPr="0063536A">
        <w:rPr>
          <w:rFonts w:ascii="Verdana" w:hAnsi="Verdana" w:cs="Arial"/>
          <w:spacing w:val="-13"/>
          <w:sz w:val="16"/>
          <w:szCs w:val="16"/>
        </w:rPr>
        <w:t xml:space="preserve"> </w:t>
      </w:r>
      <w:r w:rsidRPr="0063536A">
        <w:rPr>
          <w:rFonts w:ascii="Verdana" w:hAnsi="Verdana" w:cs="Arial"/>
          <w:sz w:val="16"/>
          <w:szCs w:val="16"/>
        </w:rPr>
        <w:t>de</w:t>
      </w:r>
      <w:r w:rsidRPr="0063536A">
        <w:rPr>
          <w:rFonts w:ascii="Verdana" w:hAnsi="Verdana" w:cs="Arial"/>
          <w:spacing w:val="-13"/>
          <w:sz w:val="16"/>
          <w:szCs w:val="16"/>
        </w:rPr>
        <w:t xml:space="preserve"> </w:t>
      </w:r>
      <w:r w:rsidRPr="0063536A">
        <w:rPr>
          <w:rFonts w:ascii="Verdana" w:hAnsi="Verdana" w:cs="Arial"/>
          <w:sz w:val="16"/>
          <w:szCs w:val="16"/>
        </w:rPr>
        <w:t>compras</w:t>
      </w:r>
      <w:r w:rsidRPr="0063536A">
        <w:rPr>
          <w:rFonts w:ascii="Verdana" w:hAnsi="Verdana" w:cs="Arial"/>
          <w:spacing w:val="-13"/>
          <w:sz w:val="16"/>
          <w:szCs w:val="16"/>
        </w:rPr>
        <w:t xml:space="preserve"> </w:t>
      </w:r>
      <w:r w:rsidRPr="0063536A">
        <w:rPr>
          <w:rFonts w:ascii="Verdana" w:hAnsi="Verdana" w:cs="Arial"/>
          <w:sz w:val="16"/>
          <w:szCs w:val="16"/>
        </w:rPr>
        <w:t>y</w:t>
      </w:r>
      <w:r w:rsidRPr="0063536A">
        <w:rPr>
          <w:rFonts w:ascii="Verdana" w:hAnsi="Verdana" w:cs="Arial"/>
          <w:spacing w:val="-13"/>
          <w:sz w:val="16"/>
          <w:szCs w:val="16"/>
        </w:rPr>
        <w:t xml:space="preserve"> </w:t>
      </w:r>
      <w:r w:rsidRPr="0063536A">
        <w:rPr>
          <w:rFonts w:ascii="Verdana" w:hAnsi="Verdana" w:cs="Arial"/>
          <w:sz w:val="16"/>
          <w:szCs w:val="16"/>
        </w:rPr>
        <w:t>contratación</w:t>
      </w:r>
      <w:r w:rsidRPr="0063536A">
        <w:rPr>
          <w:rFonts w:ascii="Verdana" w:hAnsi="Verdana" w:cs="Arial"/>
          <w:spacing w:val="-13"/>
          <w:sz w:val="16"/>
          <w:szCs w:val="16"/>
        </w:rPr>
        <w:t xml:space="preserve"> </w:t>
      </w:r>
      <w:r w:rsidRPr="0063536A">
        <w:rPr>
          <w:rFonts w:ascii="Verdana" w:hAnsi="Verdana" w:cs="Arial"/>
          <w:sz w:val="16"/>
          <w:szCs w:val="16"/>
        </w:rPr>
        <w:t>pública».</w:t>
      </w:r>
      <w:r w:rsidRPr="0063536A">
        <w:rPr>
          <w:rFonts w:ascii="Verdana" w:hAnsi="Verdana" w:cs="Arial"/>
          <w:spacing w:val="-12"/>
          <w:sz w:val="16"/>
          <w:szCs w:val="16"/>
        </w:rPr>
        <w:t xml:space="preserve"> </w:t>
      </w:r>
      <w:r w:rsidRPr="0063536A">
        <w:rPr>
          <w:rFonts w:ascii="Verdana" w:hAnsi="Verdana" w:cs="Arial"/>
          <w:sz w:val="16"/>
          <w:szCs w:val="16"/>
        </w:rPr>
        <w:t>Seguidamente,</w:t>
      </w:r>
      <w:r w:rsidRPr="0063536A">
        <w:rPr>
          <w:rFonts w:ascii="Verdana" w:hAnsi="Verdana" w:cs="Arial"/>
          <w:spacing w:val="1"/>
          <w:sz w:val="16"/>
          <w:szCs w:val="16"/>
        </w:rPr>
        <w:t xml:space="preserve"> </w:t>
      </w:r>
      <w:r w:rsidRPr="0063536A">
        <w:rPr>
          <w:rFonts w:ascii="Verdana" w:hAnsi="Verdana" w:cs="Arial"/>
          <w:sz w:val="16"/>
          <w:szCs w:val="16"/>
        </w:rPr>
        <w:t>el numeral 8º del artículo 11 ibidem señala que es función de la Subdirección de Gestión Contractual: “[a]</w:t>
      </w:r>
      <w:proofErr w:type="spellStart"/>
      <w:r w:rsidRPr="0063536A">
        <w:rPr>
          <w:rFonts w:ascii="Verdana" w:hAnsi="Verdana" w:cs="Arial"/>
          <w:sz w:val="16"/>
          <w:szCs w:val="16"/>
        </w:rPr>
        <w:t>bsolver</w:t>
      </w:r>
      <w:proofErr w:type="spellEnd"/>
      <w:r w:rsidRPr="0063536A">
        <w:rPr>
          <w:rFonts w:ascii="Verdana" w:hAnsi="Verdana" w:cs="Arial"/>
          <w:spacing w:val="1"/>
          <w:sz w:val="16"/>
          <w:szCs w:val="16"/>
        </w:rPr>
        <w:t xml:space="preserve"> </w:t>
      </w:r>
      <w:r w:rsidRPr="0063536A">
        <w:rPr>
          <w:rFonts w:ascii="Verdana" w:hAnsi="Verdana" w:cs="Arial"/>
          <w:sz w:val="16"/>
          <w:szCs w:val="16"/>
        </w:rPr>
        <w:t>consultas</w:t>
      </w:r>
      <w:r w:rsidRPr="0063536A">
        <w:rPr>
          <w:rFonts w:ascii="Verdana" w:hAnsi="Verdana" w:cs="Arial"/>
          <w:spacing w:val="-2"/>
          <w:sz w:val="16"/>
          <w:szCs w:val="16"/>
        </w:rPr>
        <w:t xml:space="preserve"> </w:t>
      </w:r>
      <w:r w:rsidRPr="0063536A">
        <w:rPr>
          <w:rFonts w:ascii="Verdana" w:hAnsi="Verdana" w:cs="Arial"/>
          <w:sz w:val="16"/>
          <w:szCs w:val="16"/>
        </w:rPr>
        <w:t>sobre</w:t>
      </w:r>
      <w:r w:rsidRPr="0063536A">
        <w:rPr>
          <w:rFonts w:ascii="Verdana" w:hAnsi="Verdana" w:cs="Arial"/>
          <w:spacing w:val="-1"/>
          <w:sz w:val="16"/>
          <w:szCs w:val="16"/>
        </w:rPr>
        <w:t xml:space="preserve"> </w:t>
      </w:r>
      <w:r w:rsidRPr="0063536A">
        <w:rPr>
          <w:rFonts w:ascii="Verdana" w:hAnsi="Verdana" w:cs="Arial"/>
          <w:sz w:val="16"/>
          <w:szCs w:val="16"/>
        </w:rPr>
        <w:t>la</w:t>
      </w:r>
      <w:r w:rsidRPr="0063536A">
        <w:rPr>
          <w:rFonts w:ascii="Verdana" w:hAnsi="Verdana" w:cs="Arial"/>
          <w:spacing w:val="-1"/>
          <w:sz w:val="16"/>
          <w:szCs w:val="16"/>
        </w:rPr>
        <w:t xml:space="preserve"> </w:t>
      </w:r>
      <w:r w:rsidRPr="0063536A">
        <w:rPr>
          <w:rFonts w:ascii="Verdana" w:hAnsi="Verdana" w:cs="Arial"/>
          <w:sz w:val="16"/>
          <w:szCs w:val="16"/>
        </w:rPr>
        <w:t>aplicación</w:t>
      </w:r>
      <w:r w:rsidRPr="0063536A">
        <w:rPr>
          <w:rFonts w:ascii="Verdana" w:hAnsi="Verdana" w:cs="Arial"/>
          <w:spacing w:val="-2"/>
          <w:sz w:val="16"/>
          <w:szCs w:val="16"/>
        </w:rPr>
        <w:t xml:space="preserve"> </w:t>
      </w:r>
      <w:r w:rsidRPr="0063536A">
        <w:rPr>
          <w:rFonts w:ascii="Verdana" w:hAnsi="Verdana" w:cs="Arial"/>
          <w:sz w:val="16"/>
          <w:szCs w:val="16"/>
        </w:rPr>
        <w:t>de</w:t>
      </w:r>
      <w:r w:rsidRPr="0063536A">
        <w:rPr>
          <w:rFonts w:ascii="Verdana" w:hAnsi="Verdana" w:cs="Arial"/>
          <w:spacing w:val="-1"/>
          <w:sz w:val="16"/>
          <w:szCs w:val="16"/>
        </w:rPr>
        <w:t xml:space="preserve"> </w:t>
      </w:r>
      <w:r w:rsidRPr="0063536A">
        <w:rPr>
          <w:rFonts w:ascii="Verdana" w:hAnsi="Verdana" w:cs="Arial"/>
          <w:sz w:val="16"/>
          <w:szCs w:val="16"/>
        </w:rPr>
        <w:t>normas</w:t>
      </w:r>
      <w:r w:rsidRPr="0063536A">
        <w:rPr>
          <w:rFonts w:ascii="Verdana" w:hAnsi="Verdana" w:cs="Arial"/>
          <w:spacing w:val="-1"/>
          <w:sz w:val="16"/>
          <w:szCs w:val="16"/>
        </w:rPr>
        <w:t xml:space="preserve"> </w:t>
      </w:r>
      <w:r w:rsidRPr="0063536A">
        <w:rPr>
          <w:rFonts w:ascii="Verdana" w:hAnsi="Verdana" w:cs="Arial"/>
          <w:sz w:val="16"/>
          <w:szCs w:val="16"/>
        </w:rPr>
        <w:t>de</w:t>
      </w:r>
      <w:r w:rsidRPr="0063536A">
        <w:rPr>
          <w:rFonts w:ascii="Verdana" w:hAnsi="Verdana" w:cs="Arial"/>
          <w:spacing w:val="-1"/>
          <w:sz w:val="16"/>
          <w:szCs w:val="16"/>
        </w:rPr>
        <w:t xml:space="preserve"> </w:t>
      </w:r>
      <w:r w:rsidRPr="0063536A">
        <w:rPr>
          <w:rFonts w:ascii="Verdana" w:hAnsi="Verdana" w:cs="Arial"/>
          <w:sz w:val="16"/>
          <w:szCs w:val="16"/>
        </w:rPr>
        <w:t>carácter</w:t>
      </w:r>
      <w:r w:rsidRPr="0063536A">
        <w:rPr>
          <w:rFonts w:ascii="Verdana" w:hAnsi="Verdana" w:cs="Arial"/>
          <w:spacing w:val="-2"/>
          <w:sz w:val="16"/>
          <w:szCs w:val="16"/>
        </w:rPr>
        <w:t xml:space="preserve"> </w:t>
      </w:r>
      <w:r w:rsidRPr="0063536A">
        <w:rPr>
          <w:rFonts w:ascii="Verdana" w:hAnsi="Verdana" w:cs="Arial"/>
          <w:sz w:val="16"/>
          <w:szCs w:val="16"/>
        </w:rPr>
        <w:t>general”.</w:t>
      </w:r>
    </w:p>
    <w:p w14:paraId="78F91068" w14:textId="77777777" w:rsidR="00E76EEC" w:rsidRPr="0063536A" w:rsidRDefault="00E76EEC" w:rsidP="00E76EEC">
      <w:pPr>
        <w:pStyle w:val="Textonotapie"/>
        <w:contextualSpacing/>
        <w:jc w:val="both"/>
        <w:rPr>
          <w:rFonts w:ascii="Verdana" w:hAnsi="Verdana" w:cs="Arial"/>
          <w:sz w:val="16"/>
          <w:szCs w:val="16"/>
        </w:rPr>
      </w:pPr>
    </w:p>
  </w:footnote>
  <w:footnote w:id="3">
    <w:p w14:paraId="0D455418" w14:textId="77777777" w:rsidR="00DD5AF8" w:rsidRPr="00BD4869" w:rsidRDefault="00DD5AF8" w:rsidP="00DD5AF8">
      <w:pPr>
        <w:pBdr>
          <w:top w:val="nil"/>
          <w:left w:val="nil"/>
          <w:bottom w:val="nil"/>
          <w:right w:val="nil"/>
          <w:between w:val="nil"/>
        </w:pBdr>
        <w:spacing w:after="0" w:line="240" w:lineRule="auto"/>
        <w:ind w:firstLine="709"/>
        <w:contextualSpacing/>
        <w:jc w:val="both"/>
        <w:rPr>
          <w:rFonts w:ascii="Verdana" w:eastAsia="Arial" w:hAnsi="Verdana" w:cs="Arial"/>
          <w:color w:val="000000"/>
          <w:sz w:val="14"/>
          <w:szCs w:val="14"/>
        </w:rPr>
      </w:pPr>
      <w:r w:rsidRPr="00BD4869">
        <w:rPr>
          <w:rFonts w:ascii="Verdana" w:hAnsi="Verdana" w:cs="Arial"/>
          <w:sz w:val="14"/>
          <w:szCs w:val="14"/>
          <w:vertAlign w:val="superscript"/>
        </w:rPr>
        <w:footnoteRef/>
      </w:r>
      <w:r w:rsidRPr="00BD4869">
        <w:rPr>
          <w:rFonts w:ascii="Verdana" w:eastAsia="Arial" w:hAnsi="Verdana" w:cs="Arial"/>
          <w:color w:val="000000"/>
          <w:sz w:val="14"/>
          <w:szCs w:val="14"/>
        </w:rPr>
        <w:t xml:space="preserve"> Al respecto, conviene recordar el artículo 29 de la Ley 80 de 1993, derogado por el artículo 32 de la Ley 1150 de 2007, que establecía: “La selección de contratistas será objetiva.</w:t>
      </w:r>
    </w:p>
    <w:p w14:paraId="37B7E5C6" w14:textId="77777777" w:rsidR="00DD5AF8" w:rsidRPr="00BD4869" w:rsidRDefault="00DD5AF8" w:rsidP="00DD5AF8">
      <w:pPr>
        <w:pBdr>
          <w:top w:val="nil"/>
          <w:left w:val="nil"/>
          <w:bottom w:val="nil"/>
          <w:right w:val="nil"/>
          <w:between w:val="nil"/>
        </w:pBdr>
        <w:spacing w:after="0" w:line="240" w:lineRule="auto"/>
        <w:ind w:firstLine="709"/>
        <w:contextualSpacing/>
        <w:jc w:val="both"/>
        <w:rPr>
          <w:rFonts w:ascii="Verdana" w:eastAsia="Arial" w:hAnsi="Verdana" w:cs="Arial"/>
          <w:color w:val="000000"/>
          <w:sz w:val="14"/>
          <w:szCs w:val="14"/>
        </w:rPr>
      </w:pPr>
      <w:r w:rsidRPr="00BD4869">
        <w:rPr>
          <w:rFonts w:ascii="Verdana" w:eastAsia="Arial" w:hAnsi="Verdana" w:cs="Arial"/>
          <w:color w:val="000000"/>
          <w:sz w:val="14"/>
          <w:szCs w:val="14"/>
        </w:rPr>
        <w:t>Es objetiva la selección en la cual la escogencia se hace al ofrecimiento más favorable a la entidad y a los fines que ella busca, sin tener en consideración factores de afecto o de interés y, en general, cualquier clase de motivación subjetiva.</w:t>
      </w:r>
    </w:p>
    <w:p w14:paraId="24F6BA98" w14:textId="77777777" w:rsidR="00DD5AF8" w:rsidRPr="00BD4869" w:rsidRDefault="00DD5AF8" w:rsidP="00DD5AF8">
      <w:pPr>
        <w:pBdr>
          <w:top w:val="nil"/>
          <w:left w:val="nil"/>
          <w:bottom w:val="nil"/>
          <w:right w:val="nil"/>
          <w:between w:val="nil"/>
        </w:pBdr>
        <w:spacing w:after="0" w:line="240" w:lineRule="auto"/>
        <w:ind w:firstLine="709"/>
        <w:contextualSpacing/>
        <w:jc w:val="both"/>
        <w:rPr>
          <w:rFonts w:ascii="Verdana" w:eastAsia="Arial" w:hAnsi="Verdana" w:cs="Arial"/>
          <w:color w:val="000000"/>
          <w:sz w:val="14"/>
          <w:szCs w:val="14"/>
        </w:rPr>
      </w:pPr>
      <w:r w:rsidRPr="00BD4869">
        <w:rPr>
          <w:rFonts w:ascii="Verdana" w:eastAsia="Arial" w:hAnsi="Verdana" w:cs="Arial"/>
          <w:color w:val="000000"/>
          <w:sz w:val="14"/>
          <w:szCs w:val="14"/>
        </w:rPr>
        <w:t xml:space="preserve">Ofrecimiento más favorable es aquel que, teniendo en cuenta los factores de escogencia, tales como cumplimiento, experiencia, organización, equipos, plazo, precio y la ponderación precisa, detallada y concreta de los mismos, contenida en los pliegos de condiciones o términos de referencia o en el análisis previo a la suscripción del contrato, si se trata de contratación directa, resulta ser el más ventajoso para la entidad, sin que la favorabilidad la constituyan factores diferentes a los contenidos en dichos documentos, sólo alguno de ellos, el más bajo precio o el plazo ofrecido. El menor plazo que se ofrezca inferior al solicitado en los </w:t>
      </w:r>
      <w:proofErr w:type="gramStart"/>
      <w:r w:rsidRPr="00BD4869">
        <w:rPr>
          <w:rFonts w:ascii="Verdana" w:eastAsia="Arial" w:hAnsi="Verdana" w:cs="Arial"/>
          <w:color w:val="000000"/>
          <w:sz w:val="14"/>
          <w:szCs w:val="14"/>
        </w:rPr>
        <w:t>pliegos,</w:t>
      </w:r>
      <w:proofErr w:type="gramEnd"/>
      <w:r w:rsidRPr="00BD4869">
        <w:rPr>
          <w:rFonts w:ascii="Verdana" w:eastAsia="Arial" w:hAnsi="Verdana" w:cs="Arial"/>
          <w:color w:val="000000"/>
          <w:sz w:val="14"/>
          <w:szCs w:val="14"/>
        </w:rPr>
        <w:t xml:space="preserve"> no será objeto de evaluación”.</w:t>
      </w:r>
    </w:p>
    <w:p w14:paraId="28610EA5" w14:textId="77777777" w:rsidR="00DD5AF8" w:rsidRPr="00BD4869" w:rsidRDefault="00DD5AF8" w:rsidP="00DD5AF8">
      <w:pPr>
        <w:pBdr>
          <w:top w:val="nil"/>
          <w:left w:val="nil"/>
          <w:bottom w:val="nil"/>
          <w:right w:val="nil"/>
          <w:between w:val="nil"/>
        </w:pBdr>
        <w:spacing w:after="0" w:line="240" w:lineRule="auto"/>
        <w:ind w:firstLine="709"/>
        <w:contextualSpacing/>
        <w:jc w:val="both"/>
        <w:rPr>
          <w:rFonts w:ascii="Verdana" w:eastAsia="Arial" w:hAnsi="Verdana" w:cs="Arial"/>
          <w:color w:val="000000"/>
          <w:sz w:val="14"/>
          <w:szCs w:val="14"/>
        </w:rPr>
      </w:pPr>
      <w:r w:rsidRPr="00BD4869">
        <w:rPr>
          <w:rFonts w:ascii="Verdana" w:eastAsia="Arial" w:hAnsi="Verdana" w:cs="Arial"/>
          <w:color w:val="000000"/>
          <w:sz w:val="14"/>
          <w:szCs w:val="14"/>
        </w:rPr>
        <w:t>El administrador efectuará las comparaciones del caso mediante el cotejo de los diferentes ofrecimientos recibidos, la consulta de precios o condiciones del mercado y los estudios y deducciones de la entidad o de los organismos consultores o asesores designados para ello.</w:t>
      </w:r>
    </w:p>
    <w:p w14:paraId="2E7B96FA" w14:textId="77777777" w:rsidR="00DD5AF8" w:rsidRPr="00BD4869" w:rsidRDefault="00DD5AF8" w:rsidP="00DD5AF8">
      <w:pPr>
        <w:pBdr>
          <w:top w:val="nil"/>
          <w:left w:val="nil"/>
          <w:bottom w:val="nil"/>
          <w:right w:val="nil"/>
          <w:between w:val="nil"/>
        </w:pBdr>
        <w:spacing w:after="0" w:line="240" w:lineRule="auto"/>
        <w:ind w:firstLine="709"/>
        <w:contextualSpacing/>
        <w:jc w:val="both"/>
        <w:rPr>
          <w:rFonts w:ascii="Verdana" w:eastAsia="Arial" w:hAnsi="Verdana" w:cs="Arial"/>
          <w:color w:val="000000"/>
          <w:sz w:val="14"/>
          <w:szCs w:val="14"/>
        </w:rPr>
      </w:pPr>
      <w:r w:rsidRPr="00BD4869">
        <w:rPr>
          <w:rFonts w:ascii="Verdana" w:eastAsia="Arial" w:hAnsi="Verdana" w:cs="Arial"/>
          <w:color w:val="000000"/>
          <w:sz w:val="14"/>
          <w:szCs w:val="14"/>
        </w:rPr>
        <w:t>En caso de comparación de propuestas nacionales y extranjeras, se incluirán los costos necesarios para la entrega del producto terminado en el lugar de su utilización”.</w:t>
      </w:r>
    </w:p>
  </w:footnote>
  <w:footnote w:id="4">
    <w:p w14:paraId="565BAFCA" w14:textId="77777777" w:rsidR="00DD5AF8" w:rsidRPr="00BD4869" w:rsidRDefault="00DD5AF8" w:rsidP="00DD5AF8">
      <w:pPr>
        <w:pBdr>
          <w:top w:val="nil"/>
          <w:left w:val="nil"/>
          <w:bottom w:val="nil"/>
          <w:right w:val="nil"/>
          <w:between w:val="nil"/>
        </w:pBdr>
        <w:spacing w:after="0" w:line="240" w:lineRule="auto"/>
        <w:ind w:firstLine="709"/>
        <w:contextualSpacing/>
        <w:jc w:val="both"/>
        <w:rPr>
          <w:rFonts w:ascii="Verdana" w:eastAsia="Arial" w:hAnsi="Verdana" w:cs="Arial"/>
          <w:color w:val="000000"/>
          <w:sz w:val="14"/>
          <w:szCs w:val="14"/>
        </w:rPr>
      </w:pPr>
      <w:r w:rsidRPr="00BD4869">
        <w:rPr>
          <w:rFonts w:ascii="Verdana" w:hAnsi="Verdana" w:cs="Arial"/>
          <w:sz w:val="14"/>
          <w:szCs w:val="14"/>
          <w:vertAlign w:val="superscript"/>
        </w:rPr>
        <w:footnoteRef/>
      </w:r>
      <w:r w:rsidRPr="00BD4869">
        <w:rPr>
          <w:rFonts w:ascii="Verdana" w:eastAsia="Arial" w:hAnsi="Verdana" w:cs="Arial"/>
          <w:color w:val="000000"/>
          <w:sz w:val="14"/>
          <w:szCs w:val="14"/>
        </w:rPr>
        <w:t xml:space="preserve"> DÁVILA VINUEZA, Luis Guillermo. Régimen jurídico de la contratación estatal. Tercera edición, Bogotá: Legis, 2016. p. 355.</w:t>
      </w:r>
    </w:p>
    <w:p w14:paraId="1673B05A" w14:textId="77777777" w:rsidR="00DD5AF8" w:rsidRPr="00BD4869" w:rsidRDefault="00DD5AF8" w:rsidP="00DD5AF8">
      <w:pPr>
        <w:pBdr>
          <w:top w:val="nil"/>
          <w:left w:val="nil"/>
          <w:bottom w:val="nil"/>
          <w:right w:val="nil"/>
          <w:between w:val="nil"/>
        </w:pBdr>
        <w:spacing w:after="0" w:line="240" w:lineRule="auto"/>
        <w:ind w:firstLine="709"/>
        <w:contextualSpacing/>
        <w:jc w:val="both"/>
        <w:rPr>
          <w:rFonts w:ascii="Verdana" w:eastAsia="Arial" w:hAnsi="Verdana" w:cs="Arial"/>
          <w:color w:val="000000"/>
          <w:sz w:val="14"/>
          <w:szCs w:val="14"/>
        </w:rPr>
      </w:pPr>
    </w:p>
  </w:footnote>
  <w:footnote w:id="5">
    <w:p w14:paraId="6F41299C" w14:textId="77777777" w:rsidR="00DD5AF8" w:rsidRPr="00BD4869" w:rsidRDefault="00DD5AF8" w:rsidP="00DD5AF8">
      <w:pPr>
        <w:pBdr>
          <w:top w:val="nil"/>
          <w:left w:val="nil"/>
          <w:bottom w:val="nil"/>
          <w:right w:val="nil"/>
          <w:between w:val="nil"/>
        </w:pBdr>
        <w:spacing w:after="0" w:line="240" w:lineRule="auto"/>
        <w:ind w:firstLine="709"/>
        <w:contextualSpacing/>
        <w:jc w:val="both"/>
        <w:rPr>
          <w:rFonts w:ascii="Verdana" w:eastAsia="Arial" w:hAnsi="Verdana" w:cs="Arial"/>
          <w:color w:val="000000"/>
          <w:sz w:val="14"/>
          <w:szCs w:val="14"/>
        </w:rPr>
      </w:pPr>
      <w:r w:rsidRPr="00BD4869">
        <w:rPr>
          <w:rFonts w:ascii="Verdana" w:hAnsi="Verdana" w:cs="Arial"/>
          <w:sz w:val="14"/>
          <w:szCs w:val="14"/>
          <w:vertAlign w:val="superscript"/>
        </w:rPr>
        <w:footnoteRef/>
      </w:r>
      <w:r w:rsidRPr="00BD4869">
        <w:rPr>
          <w:rFonts w:ascii="Verdana" w:eastAsia="Arial" w:hAnsi="Verdana" w:cs="Arial"/>
          <w:color w:val="000000"/>
          <w:sz w:val="14"/>
          <w:szCs w:val="14"/>
        </w:rPr>
        <w:t xml:space="preserve"> RODRÍGUEZ TAMAYO, Mauricio F. Evaluación y rechazo de ofertas en la Ley 80 de 1993. Primera edición. Medellín: Librería Jurídica Sánchez, 2016. pp. 110-111.</w:t>
      </w:r>
    </w:p>
    <w:p w14:paraId="31E6395D" w14:textId="77777777" w:rsidR="00DD5AF8" w:rsidRPr="00BD4869" w:rsidRDefault="00DD5AF8" w:rsidP="00DD5AF8">
      <w:pPr>
        <w:pBdr>
          <w:top w:val="nil"/>
          <w:left w:val="nil"/>
          <w:bottom w:val="nil"/>
          <w:right w:val="nil"/>
          <w:between w:val="nil"/>
        </w:pBdr>
        <w:spacing w:after="0" w:line="240" w:lineRule="auto"/>
        <w:ind w:firstLine="709"/>
        <w:contextualSpacing/>
        <w:jc w:val="both"/>
        <w:rPr>
          <w:rFonts w:ascii="Verdana" w:eastAsia="Arial" w:hAnsi="Verdana" w:cs="Arial"/>
          <w:color w:val="000000"/>
          <w:sz w:val="14"/>
          <w:szCs w:val="14"/>
        </w:rPr>
      </w:pPr>
    </w:p>
  </w:footnote>
  <w:footnote w:id="6">
    <w:p w14:paraId="683369A4" w14:textId="77777777" w:rsidR="00DD5AF8" w:rsidRPr="00BD4869" w:rsidRDefault="00DD5AF8" w:rsidP="00DD5AF8">
      <w:pPr>
        <w:pBdr>
          <w:top w:val="nil"/>
          <w:left w:val="nil"/>
          <w:bottom w:val="nil"/>
          <w:right w:val="nil"/>
          <w:between w:val="nil"/>
        </w:pBdr>
        <w:spacing w:after="0" w:line="240" w:lineRule="auto"/>
        <w:ind w:firstLine="709"/>
        <w:contextualSpacing/>
        <w:jc w:val="both"/>
        <w:rPr>
          <w:rFonts w:ascii="Verdana" w:eastAsia="Arial" w:hAnsi="Verdana" w:cs="Arial"/>
          <w:color w:val="000000"/>
          <w:sz w:val="14"/>
          <w:szCs w:val="14"/>
        </w:rPr>
      </w:pPr>
      <w:r w:rsidRPr="00BD4869">
        <w:rPr>
          <w:rFonts w:ascii="Verdana" w:hAnsi="Verdana" w:cs="Arial"/>
          <w:sz w:val="14"/>
          <w:szCs w:val="14"/>
          <w:vertAlign w:val="superscript"/>
        </w:rPr>
        <w:footnoteRef/>
      </w:r>
      <w:r w:rsidRPr="00BD4869">
        <w:rPr>
          <w:rFonts w:ascii="Verdana" w:eastAsia="Arial" w:hAnsi="Verdana" w:cs="Arial"/>
          <w:color w:val="000000"/>
          <w:sz w:val="14"/>
          <w:szCs w:val="14"/>
        </w:rPr>
        <w:t xml:space="preserve"> EXPÓSITO VELEZ, Juan C., El deber de selección objetiva, en: Del contrato estatal a los sistemas de compras públicas, por COVILLA MARTINEZ Juan C. y LOZANO VILLEGAS Germán (Eds.). Universidad Externado de Colombia, Bogotá, 2019. págs. 118-184.</w:t>
      </w:r>
    </w:p>
    <w:p w14:paraId="1768B603" w14:textId="77777777" w:rsidR="00DD5AF8" w:rsidRPr="00BD4869" w:rsidRDefault="00DD5AF8" w:rsidP="00DD5AF8">
      <w:pPr>
        <w:pBdr>
          <w:top w:val="nil"/>
          <w:left w:val="nil"/>
          <w:bottom w:val="nil"/>
          <w:right w:val="nil"/>
          <w:between w:val="nil"/>
        </w:pBdr>
        <w:spacing w:after="0" w:line="240" w:lineRule="auto"/>
        <w:ind w:firstLine="709"/>
        <w:contextualSpacing/>
        <w:jc w:val="both"/>
        <w:rPr>
          <w:rFonts w:ascii="Verdana" w:eastAsia="Arial" w:hAnsi="Verdana" w:cs="Arial"/>
          <w:color w:val="000000"/>
          <w:sz w:val="14"/>
          <w:szCs w:val="14"/>
        </w:rPr>
      </w:pPr>
    </w:p>
  </w:footnote>
  <w:footnote w:id="7">
    <w:p w14:paraId="271B471D" w14:textId="77777777" w:rsidR="00DD5AF8" w:rsidRPr="00BD4869" w:rsidRDefault="00DD5AF8" w:rsidP="00DD5AF8">
      <w:pPr>
        <w:pBdr>
          <w:top w:val="nil"/>
          <w:left w:val="nil"/>
          <w:bottom w:val="nil"/>
          <w:right w:val="nil"/>
          <w:between w:val="nil"/>
        </w:pBdr>
        <w:spacing w:after="0" w:line="240" w:lineRule="auto"/>
        <w:ind w:firstLine="709"/>
        <w:contextualSpacing/>
        <w:jc w:val="both"/>
        <w:rPr>
          <w:rFonts w:ascii="Verdana" w:eastAsia="Arial" w:hAnsi="Verdana" w:cs="Arial"/>
          <w:color w:val="000000"/>
          <w:sz w:val="14"/>
          <w:szCs w:val="14"/>
        </w:rPr>
      </w:pPr>
      <w:r w:rsidRPr="00BD4869">
        <w:rPr>
          <w:rFonts w:ascii="Verdana" w:hAnsi="Verdana" w:cs="Arial"/>
          <w:sz w:val="14"/>
          <w:szCs w:val="14"/>
          <w:vertAlign w:val="superscript"/>
        </w:rPr>
        <w:footnoteRef/>
      </w:r>
      <w:r w:rsidRPr="00BD4869">
        <w:rPr>
          <w:rFonts w:ascii="Verdana" w:eastAsia="Arial" w:hAnsi="Verdana" w:cs="Arial"/>
          <w:i/>
          <w:color w:val="000000"/>
          <w:sz w:val="14"/>
          <w:szCs w:val="14"/>
        </w:rPr>
        <w:t xml:space="preserve"> </w:t>
      </w:r>
      <w:proofErr w:type="spellStart"/>
      <w:r w:rsidRPr="00BD4869">
        <w:rPr>
          <w:rFonts w:ascii="Verdana" w:eastAsia="Arial" w:hAnsi="Verdana" w:cs="Arial"/>
          <w:i/>
          <w:color w:val="000000"/>
          <w:sz w:val="14"/>
          <w:szCs w:val="14"/>
        </w:rPr>
        <w:t>Ibídem</w:t>
      </w:r>
      <w:proofErr w:type="spellEnd"/>
      <w:r w:rsidRPr="00BD4869">
        <w:rPr>
          <w:rFonts w:ascii="Verdana" w:eastAsia="Arial" w:hAnsi="Verdana" w:cs="Arial"/>
          <w:i/>
          <w:color w:val="000000"/>
          <w:sz w:val="14"/>
          <w:szCs w:val="14"/>
        </w:rPr>
        <w:t>.</w:t>
      </w:r>
    </w:p>
  </w:footnote>
  <w:footnote w:id="8">
    <w:p w14:paraId="5C83FBF3" w14:textId="77777777" w:rsidR="00DD5AF8" w:rsidRPr="002311A2" w:rsidRDefault="00DD5AF8" w:rsidP="00DD5AF8">
      <w:pPr>
        <w:pStyle w:val="Textonotapie"/>
        <w:ind w:firstLine="567"/>
        <w:jc w:val="both"/>
        <w:rPr>
          <w:rFonts w:ascii="Verdana" w:hAnsi="Verdana"/>
          <w:sz w:val="14"/>
          <w:szCs w:val="14"/>
          <w:lang w:val="es-CO"/>
        </w:rPr>
      </w:pPr>
      <w:r w:rsidRPr="002311A2">
        <w:rPr>
          <w:rStyle w:val="Refdenotaalpie"/>
          <w:rFonts w:ascii="Verdana" w:hAnsi="Verdana"/>
          <w:sz w:val="14"/>
          <w:szCs w:val="14"/>
        </w:rPr>
        <w:footnoteRef/>
      </w:r>
      <w:r w:rsidRPr="002311A2">
        <w:rPr>
          <w:rFonts w:ascii="Verdana" w:hAnsi="Verdana"/>
          <w:sz w:val="14"/>
          <w:szCs w:val="14"/>
        </w:rPr>
        <w:t xml:space="preserve"> “Artículo 2.2.1.1.1.6.2. Determinación de los Requisitos Habilitantes. La Entidad Estatal debe establecer los requisitos habilitantes en los pliegos de condiciones o en la invitación, teniendo en cuenta: (a) el Riesgo del Proceso de Contratación; (b) el valor del contrato objeto del Proceso de Contratación; (c) el análisis del sector económico respectivo; y (d) el conocimiento de fondo de los posibles oferentes desde la perspectiva comercial. La Entidad Estatal no debe limitarse a la aplicación mecánica de fórmulas financieras para verificar los requisitos habilitantes”.</w:t>
      </w:r>
    </w:p>
  </w:footnote>
  <w:footnote w:id="9">
    <w:p w14:paraId="4E658001" w14:textId="77777777" w:rsidR="00DD5AF8" w:rsidRPr="002311A2" w:rsidRDefault="00DD5AF8" w:rsidP="00DD5AF8">
      <w:pPr>
        <w:pStyle w:val="Textonotapie"/>
        <w:ind w:firstLine="567"/>
        <w:jc w:val="both"/>
        <w:rPr>
          <w:rFonts w:ascii="Verdana" w:hAnsi="Verdana"/>
          <w:sz w:val="14"/>
          <w:szCs w:val="14"/>
          <w:lang w:val="es-CO"/>
        </w:rPr>
      </w:pPr>
      <w:r w:rsidRPr="002311A2">
        <w:rPr>
          <w:rStyle w:val="Refdenotaalpie"/>
          <w:rFonts w:ascii="Verdana" w:hAnsi="Verdana"/>
          <w:sz w:val="14"/>
          <w:szCs w:val="14"/>
        </w:rPr>
        <w:footnoteRef/>
      </w:r>
      <w:r w:rsidRPr="002311A2">
        <w:rPr>
          <w:rFonts w:ascii="Verdana" w:hAnsi="Verdana"/>
          <w:sz w:val="14"/>
          <w:szCs w:val="14"/>
        </w:rPr>
        <w:t xml:space="preserve"> Juan Ángel Palacio Hincapié. </w:t>
      </w:r>
      <w:r w:rsidRPr="002311A2">
        <w:rPr>
          <w:rFonts w:ascii="Verdana" w:hAnsi="Verdana"/>
          <w:i/>
          <w:iCs/>
          <w:sz w:val="14"/>
          <w:szCs w:val="14"/>
        </w:rPr>
        <w:t xml:space="preserve">La transparencia en la contratación estatal. </w:t>
      </w:r>
      <w:r w:rsidRPr="002311A2">
        <w:rPr>
          <w:rFonts w:ascii="Verdana" w:hAnsi="Verdana"/>
          <w:sz w:val="14"/>
          <w:szCs w:val="14"/>
        </w:rPr>
        <w:t>Bogotá, Ediciones Doctrina y Ley, 2008, p. 40.</w:t>
      </w:r>
    </w:p>
  </w:footnote>
  <w:footnote w:id="10">
    <w:p w14:paraId="26EC8154" w14:textId="77777777" w:rsidR="00DD5AF8" w:rsidRPr="002311A2" w:rsidRDefault="00DD5AF8" w:rsidP="00DD5AF8">
      <w:pPr>
        <w:pStyle w:val="Textonotapie"/>
        <w:ind w:firstLine="567"/>
        <w:jc w:val="both"/>
        <w:rPr>
          <w:rFonts w:ascii="Verdana" w:hAnsi="Verdana"/>
          <w:sz w:val="14"/>
          <w:szCs w:val="14"/>
          <w:lang w:val="es-CO"/>
        </w:rPr>
      </w:pPr>
      <w:r w:rsidRPr="002311A2">
        <w:rPr>
          <w:rStyle w:val="Refdenotaalpie"/>
          <w:rFonts w:ascii="Verdana" w:hAnsi="Verdana"/>
          <w:sz w:val="14"/>
          <w:szCs w:val="14"/>
        </w:rPr>
        <w:footnoteRef/>
      </w:r>
      <w:r w:rsidRPr="002311A2">
        <w:rPr>
          <w:rFonts w:ascii="Verdana" w:hAnsi="Verdana"/>
          <w:sz w:val="14"/>
          <w:szCs w:val="14"/>
        </w:rPr>
        <w:t xml:space="preserve"> Consejo de Estado. Sección Tercera. Subsección A. Sentencia del 23 de julio de 2015. </w:t>
      </w:r>
      <w:proofErr w:type="spellStart"/>
      <w:r w:rsidRPr="002311A2">
        <w:rPr>
          <w:rFonts w:ascii="Verdana" w:hAnsi="Verdana"/>
          <w:sz w:val="14"/>
          <w:szCs w:val="14"/>
        </w:rPr>
        <w:t>Exp</w:t>
      </w:r>
      <w:proofErr w:type="spellEnd"/>
      <w:r w:rsidRPr="002311A2">
        <w:rPr>
          <w:rFonts w:ascii="Verdana" w:hAnsi="Verdana"/>
          <w:sz w:val="14"/>
          <w:szCs w:val="14"/>
        </w:rPr>
        <w:t>. 36.805. Consejero Ponente: Hernán Andrade Rincón.</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mc:AlternateContent>
      <mc:Choice Requires="v">
        <w:pict>
          <v:shapetype w14:anchorId="6D788CFB"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n 6148894" o:spid="_x0000_i1025" type="#_x0000_t75" style="width:11.25pt;height:11.25pt;visibility:visible;mso-wrap-style:square">
            <v:imagedata r:id="rId1" o:title=""/>
          </v:shape>
        </w:pict>
      </mc:Choice>
      <mc:Fallback>
        <w:drawing>
          <wp:inline distT="0" distB="0" distL="0" distR="0" wp14:anchorId="7CA466F2" wp14:editId="4A0E5CE8">
            <wp:extent cx="142875" cy="142875"/>
            <wp:effectExtent l="0" t="0" r="0" b="0"/>
            <wp:docPr id="6148894" name="Imagen 61488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3"/>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42875" cy="142875"/>
                    </a:xfrm>
                    <a:prstGeom prst="rect">
                      <a:avLst/>
                    </a:prstGeom>
                    <a:noFill/>
                    <a:ln>
                      <a:noFill/>
                    </a:ln>
                  </pic:spPr>
                </pic:pic>
              </a:graphicData>
            </a:graphic>
          </wp:inline>
        </w:drawing>
      </mc:Fallback>
    </mc:AlternateContent>
  </w:numPicBullet>
  <w:abstractNum w:abstractNumId="0" w15:restartNumberingAfterBreak="0">
    <w:nsid w:val="01C06310"/>
    <w:multiLevelType w:val="multilevel"/>
    <w:tmpl w:val="47FE4C7E"/>
    <w:lvl w:ilvl="0">
      <w:start w:val="1"/>
      <w:numFmt w:val="upperRoman"/>
      <w:lvlText w:val="%1."/>
      <w:lvlJc w:val="right"/>
      <w:pPr>
        <w:ind w:left="1068" w:hanging="360"/>
      </w:pPr>
      <w:rPr>
        <w:b/>
        <w:color w:val="000000" w:themeColor="text1"/>
      </w:rPr>
    </w:lvl>
    <w:lvl w:ilvl="1">
      <w:start w:val="2"/>
      <w:numFmt w:val="decimal"/>
      <w:isLgl/>
      <w:lvlText w:val="%1.%2"/>
      <w:lvlJc w:val="left"/>
      <w:pPr>
        <w:ind w:left="708" w:hanging="360"/>
      </w:pPr>
    </w:lvl>
    <w:lvl w:ilvl="2">
      <w:start w:val="1"/>
      <w:numFmt w:val="decimal"/>
      <w:isLgl/>
      <w:lvlText w:val="%1.%2.%3"/>
      <w:lvlJc w:val="left"/>
      <w:pPr>
        <w:ind w:left="1428" w:hanging="720"/>
      </w:pPr>
    </w:lvl>
    <w:lvl w:ilvl="3">
      <w:start w:val="1"/>
      <w:numFmt w:val="decimal"/>
      <w:isLgl/>
      <w:lvlText w:val="%1.%2.%3.%4"/>
      <w:lvlJc w:val="left"/>
      <w:pPr>
        <w:ind w:left="1428" w:hanging="720"/>
      </w:pPr>
    </w:lvl>
    <w:lvl w:ilvl="4">
      <w:start w:val="1"/>
      <w:numFmt w:val="decimal"/>
      <w:isLgl/>
      <w:lvlText w:val="%1.%2.%3.%4.%5"/>
      <w:lvlJc w:val="left"/>
      <w:pPr>
        <w:ind w:left="1788" w:hanging="1080"/>
      </w:pPr>
    </w:lvl>
    <w:lvl w:ilvl="5">
      <w:start w:val="1"/>
      <w:numFmt w:val="decimal"/>
      <w:isLgl/>
      <w:lvlText w:val="%1.%2.%3.%4.%5.%6"/>
      <w:lvlJc w:val="left"/>
      <w:pPr>
        <w:ind w:left="1788" w:hanging="1080"/>
      </w:pPr>
    </w:lvl>
    <w:lvl w:ilvl="6">
      <w:start w:val="1"/>
      <w:numFmt w:val="decimal"/>
      <w:isLgl/>
      <w:lvlText w:val="%1.%2.%3.%4.%5.%6.%7"/>
      <w:lvlJc w:val="left"/>
      <w:pPr>
        <w:ind w:left="2148" w:hanging="1440"/>
      </w:pPr>
    </w:lvl>
    <w:lvl w:ilvl="7">
      <w:start w:val="1"/>
      <w:numFmt w:val="decimal"/>
      <w:isLgl/>
      <w:lvlText w:val="%1.%2.%3.%4.%5.%6.%7.%8"/>
      <w:lvlJc w:val="left"/>
      <w:pPr>
        <w:ind w:left="2148" w:hanging="1440"/>
      </w:pPr>
    </w:lvl>
    <w:lvl w:ilvl="8">
      <w:start w:val="1"/>
      <w:numFmt w:val="decimal"/>
      <w:isLgl/>
      <w:lvlText w:val="%1.%2.%3.%4.%5.%6.%7.%8.%9"/>
      <w:lvlJc w:val="left"/>
      <w:pPr>
        <w:ind w:left="2508"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4DD05E54"/>
    <w:multiLevelType w:val="multilevel"/>
    <w:tmpl w:val="30EE98D0"/>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1"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2"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77681820"/>
    <w:multiLevelType w:val="hybridMultilevel"/>
    <w:tmpl w:val="978A042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4"/>
  </w:num>
  <w:num w:numId="7" w16cid:durableId="1946422806">
    <w:abstractNumId w:val="5"/>
  </w:num>
  <w:num w:numId="8" w16cid:durableId="152644682">
    <w:abstractNumId w:val="13"/>
  </w:num>
  <w:num w:numId="9" w16cid:durableId="1317221377">
    <w:abstractNumId w:val="7"/>
  </w:num>
  <w:num w:numId="10" w16cid:durableId="1471245386">
    <w:abstractNumId w:val="12"/>
  </w:num>
  <w:num w:numId="11" w16cid:durableId="289172385">
    <w:abstractNumId w:val="8"/>
  </w:num>
  <w:num w:numId="12" w16cid:durableId="1470781324">
    <w:abstractNumId w:val="1"/>
  </w:num>
  <w:num w:numId="13" w16cid:durableId="1512908409">
    <w:abstractNumId w:val="3"/>
  </w:num>
  <w:num w:numId="14" w16cid:durableId="895897244">
    <w:abstractNumId w:val="15"/>
  </w:num>
  <w:num w:numId="15" w16cid:durableId="390349800">
    <w:abstractNumId w:val="11"/>
  </w:num>
  <w:num w:numId="16" w16cid:durableId="1330140246">
    <w:abstractNumId w:val="0"/>
  </w:num>
  <w:num w:numId="17" w16cid:durableId="262541512">
    <w:abstractNumId w:val="16"/>
  </w:num>
  <w:num w:numId="18" w16cid:durableId="1593245712">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67908957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DB6"/>
    <w:rsid w:val="00016F78"/>
    <w:rsid w:val="00034648"/>
    <w:rsid w:val="00046945"/>
    <w:rsid w:val="00061B2A"/>
    <w:rsid w:val="00082362"/>
    <w:rsid w:val="00095693"/>
    <w:rsid w:val="000A683E"/>
    <w:rsid w:val="000B19B9"/>
    <w:rsid w:val="000D0334"/>
    <w:rsid w:val="000E69B0"/>
    <w:rsid w:val="000F6486"/>
    <w:rsid w:val="0010566C"/>
    <w:rsid w:val="00125105"/>
    <w:rsid w:val="00127233"/>
    <w:rsid w:val="001374F0"/>
    <w:rsid w:val="001511A0"/>
    <w:rsid w:val="001B0BEB"/>
    <w:rsid w:val="001D0E13"/>
    <w:rsid w:val="001D7B69"/>
    <w:rsid w:val="001E1D4A"/>
    <w:rsid w:val="001E4177"/>
    <w:rsid w:val="001F7DC6"/>
    <w:rsid w:val="00224050"/>
    <w:rsid w:val="002421BB"/>
    <w:rsid w:val="0025796E"/>
    <w:rsid w:val="002707A2"/>
    <w:rsid w:val="002951A0"/>
    <w:rsid w:val="002962BC"/>
    <w:rsid w:val="002A093D"/>
    <w:rsid w:val="002A0DD0"/>
    <w:rsid w:val="002A49AC"/>
    <w:rsid w:val="002A64FD"/>
    <w:rsid w:val="002C7A84"/>
    <w:rsid w:val="002E4FD9"/>
    <w:rsid w:val="00300AFC"/>
    <w:rsid w:val="00322A85"/>
    <w:rsid w:val="00324168"/>
    <w:rsid w:val="003448F4"/>
    <w:rsid w:val="00355FD8"/>
    <w:rsid w:val="00361176"/>
    <w:rsid w:val="00374F5E"/>
    <w:rsid w:val="00377E3E"/>
    <w:rsid w:val="00394AB6"/>
    <w:rsid w:val="003A1C9B"/>
    <w:rsid w:val="003A779E"/>
    <w:rsid w:val="003B1BC2"/>
    <w:rsid w:val="003B4334"/>
    <w:rsid w:val="003C1878"/>
    <w:rsid w:val="003D0F4D"/>
    <w:rsid w:val="003D5B0D"/>
    <w:rsid w:val="003E0499"/>
    <w:rsid w:val="003F3941"/>
    <w:rsid w:val="003F5EBA"/>
    <w:rsid w:val="00406575"/>
    <w:rsid w:val="004116DB"/>
    <w:rsid w:val="00414C74"/>
    <w:rsid w:val="0042722E"/>
    <w:rsid w:val="0044528D"/>
    <w:rsid w:val="004A1847"/>
    <w:rsid w:val="004A305D"/>
    <w:rsid w:val="004A5798"/>
    <w:rsid w:val="004B79A3"/>
    <w:rsid w:val="004C2601"/>
    <w:rsid w:val="004D7C8A"/>
    <w:rsid w:val="004F21C4"/>
    <w:rsid w:val="004F685F"/>
    <w:rsid w:val="00507A2B"/>
    <w:rsid w:val="00532085"/>
    <w:rsid w:val="00542F66"/>
    <w:rsid w:val="005566E8"/>
    <w:rsid w:val="00574867"/>
    <w:rsid w:val="00591460"/>
    <w:rsid w:val="005B3816"/>
    <w:rsid w:val="005C170C"/>
    <w:rsid w:val="005C3777"/>
    <w:rsid w:val="005C5CDC"/>
    <w:rsid w:val="005D476C"/>
    <w:rsid w:val="006219F8"/>
    <w:rsid w:val="0062418F"/>
    <w:rsid w:val="0063536A"/>
    <w:rsid w:val="00653278"/>
    <w:rsid w:val="00665D70"/>
    <w:rsid w:val="006900D9"/>
    <w:rsid w:val="00706C16"/>
    <w:rsid w:val="00716792"/>
    <w:rsid w:val="0073773D"/>
    <w:rsid w:val="007531D0"/>
    <w:rsid w:val="00756841"/>
    <w:rsid w:val="00761FFB"/>
    <w:rsid w:val="007649AB"/>
    <w:rsid w:val="00771D0C"/>
    <w:rsid w:val="007833AC"/>
    <w:rsid w:val="007B268C"/>
    <w:rsid w:val="007B7171"/>
    <w:rsid w:val="007C0962"/>
    <w:rsid w:val="007C0C0F"/>
    <w:rsid w:val="007C3DC2"/>
    <w:rsid w:val="007C48F6"/>
    <w:rsid w:val="007E5497"/>
    <w:rsid w:val="00806F5F"/>
    <w:rsid w:val="00820278"/>
    <w:rsid w:val="00831EBB"/>
    <w:rsid w:val="00833428"/>
    <w:rsid w:val="00867F95"/>
    <w:rsid w:val="00880B39"/>
    <w:rsid w:val="008843B6"/>
    <w:rsid w:val="00891928"/>
    <w:rsid w:val="008A446D"/>
    <w:rsid w:val="008A5D29"/>
    <w:rsid w:val="008D180B"/>
    <w:rsid w:val="008E23AA"/>
    <w:rsid w:val="008E402A"/>
    <w:rsid w:val="008F0EA7"/>
    <w:rsid w:val="00923EEF"/>
    <w:rsid w:val="009309ED"/>
    <w:rsid w:val="009419F9"/>
    <w:rsid w:val="00941F79"/>
    <w:rsid w:val="0095685E"/>
    <w:rsid w:val="00961B09"/>
    <w:rsid w:val="00965334"/>
    <w:rsid w:val="0097093E"/>
    <w:rsid w:val="00986AC5"/>
    <w:rsid w:val="009A0DFA"/>
    <w:rsid w:val="009B2D26"/>
    <w:rsid w:val="009C71FA"/>
    <w:rsid w:val="009C72E7"/>
    <w:rsid w:val="009D3058"/>
    <w:rsid w:val="009E59BC"/>
    <w:rsid w:val="009F3A13"/>
    <w:rsid w:val="00A122D3"/>
    <w:rsid w:val="00A135CA"/>
    <w:rsid w:val="00A17F13"/>
    <w:rsid w:val="00A20739"/>
    <w:rsid w:val="00A3328A"/>
    <w:rsid w:val="00A33C78"/>
    <w:rsid w:val="00A5604E"/>
    <w:rsid w:val="00A775D6"/>
    <w:rsid w:val="00AB0ADB"/>
    <w:rsid w:val="00AC590D"/>
    <w:rsid w:val="00AE36C5"/>
    <w:rsid w:val="00AE4264"/>
    <w:rsid w:val="00B01B1A"/>
    <w:rsid w:val="00B211A4"/>
    <w:rsid w:val="00B5284B"/>
    <w:rsid w:val="00B66319"/>
    <w:rsid w:val="00B72CD3"/>
    <w:rsid w:val="00B72FFF"/>
    <w:rsid w:val="00BC3D36"/>
    <w:rsid w:val="00BD7F72"/>
    <w:rsid w:val="00BE3D42"/>
    <w:rsid w:val="00C04FB3"/>
    <w:rsid w:val="00C330EB"/>
    <w:rsid w:val="00C34707"/>
    <w:rsid w:val="00C41061"/>
    <w:rsid w:val="00C5561C"/>
    <w:rsid w:val="00C73599"/>
    <w:rsid w:val="00C754BE"/>
    <w:rsid w:val="00C76B1C"/>
    <w:rsid w:val="00CB6357"/>
    <w:rsid w:val="00CC1B26"/>
    <w:rsid w:val="00CD730C"/>
    <w:rsid w:val="00D07BDF"/>
    <w:rsid w:val="00D308A3"/>
    <w:rsid w:val="00D423A2"/>
    <w:rsid w:val="00D472CA"/>
    <w:rsid w:val="00D520D8"/>
    <w:rsid w:val="00D6327C"/>
    <w:rsid w:val="00D63AC2"/>
    <w:rsid w:val="00D7383B"/>
    <w:rsid w:val="00D77650"/>
    <w:rsid w:val="00DA231B"/>
    <w:rsid w:val="00DC39FC"/>
    <w:rsid w:val="00DD5AF8"/>
    <w:rsid w:val="00DF5254"/>
    <w:rsid w:val="00E03150"/>
    <w:rsid w:val="00E05504"/>
    <w:rsid w:val="00E16408"/>
    <w:rsid w:val="00E20894"/>
    <w:rsid w:val="00E245AB"/>
    <w:rsid w:val="00E2764C"/>
    <w:rsid w:val="00E27F2E"/>
    <w:rsid w:val="00E50AFE"/>
    <w:rsid w:val="00E75C92"/>
    <w:rsid w:val="00E76EEC"/>
    <w:rsid w:val="00E771DC"/>
    <w:rsid w:val="00E8772A"/>
    <w:rsid w:val="00E90F6B"/>
    <w:rsid w:val="00E92C27"/>
    <w:rsid w:val="00EA0E3D"/>
    <w:rsid w:val="00EC38A7"/>
    <w:rsid w:val="00EC762B"/>
    <w:rsid w:val="00ED5B6D"/>
    <w:rsid w:val="00ED7384"/>
    <w:rsid w:val="00EE1AA8"/>
    <w:rsid w:val="00F0677C"/>
    <w:rsid w:val="00F31EDC"/>
    <w:rsid w:val="00F462B3"/>
    <w:rsid w:val="00F5664F"/>
    <w:rsid w:val="00F666C4"/>
    <w:rsid w:val="00F76AFC"/>
    <w:rsid w:val="00FA47C0"/>
    <w:rsid w:val="00FB5DD1"/>
    <w:rsid w:val="00FC2B5D"/>
    <w:rsid w:val="00FF1449"/>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symbol,Footnote,Ref. de nota al pie2,Re"/>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4B79A3"/>
    <w:rPr>
      <w:rFonts w:ascii="Geomanist Light" w:hAnsi="Geomanist Light"/>
      <w:lang w:val="es-ES"/>
    </w:rPr>
  </w:style>
  <w:style w:type="paragraph" w:customStyle="1" w:styleId="Appelnotedebasde">
    <w:name w:val="Appel note de bas de..."/>
    <w:basedOn w:val="Normal"/>
    <w:link w:val="Refdenotaalpie"/>
    <w:uiPriority w:val="99"/>
    <w:rsid w:val="004B79A3"/>
    <w:pPr>
      <w:spacing w:line="240" w:lineRule="exact"/>
      <w:jc w:val="both"/>
    </w:pPr>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357207">
      <w:bodyDiv w:val="1"/>
      <w:marLeft w:val="0"/>
      <w:marRight w:val="0"/>
      <w:marTop w:val="0"/>
      <w:marBottom w:val="0"/>
      <w:divBdr>
        <w:top w:val="none" w:sz="0" w:space="0" w:color="auto"/>
        <w:left w:val="none" w:sz="0" w:space="0" w:color="auto"/>
        <w:bottom w:val="none" w:sz="0" w:space="0" w:color="auto"/>
        <w:right w:val="none" w:sz="0" w:space="0" w:color="auto"/>
      </w:divBdr>
    </w:div>
    <w:div w:id="367293389">
      <w:bodyDiv w:val="1"/>
      <w:marLeft w:val="0"/>
      <w:marRight w:val="0"/>
      <w:marTop w:val="0"/>
      <w:marBottom w:val="0"/>
      <w:divBdr>
        <w:top w:val="none" w:sz="0" w:space="0" w:color="auto"/>
        <w:left w:val="none" w:sz="0" w:space="0" w:color="auto"/>
        <w:bottom w:val="none" w:sz="0" w:space="0" w:color="auto"/>
        <w:right w:val="none" w:sz="0" w:space="0" w:color="auto"/>
      </w:divBdr>
    </w:div>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colombiacompra.gov.co/sites/cce_public/files/cce_documents/cce-eicp-ma-04._manual_requisitos_habilitantes_v3_29-09-2023.pdf" TargetMode="External"/><Relationship Id="rId18" Type="http://schemas.openxmlformats.org/officeDocument/2006/relationships/image" Target="media/image4.png"/><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hyperlink" Target="mailto:Josemejia1704@gmail.com" TargetMode="External"/><Relationship Id="rId17" Type="http://schemas.openxmlformats.org/officeDocument/2006/relationships/hyperlink" Target="https://nam02.safelinks.protection.outlook.com/?url=https%3A%2F%2Fwww.colombiacompra.gov.co%2Fmanuales-guias-y-pliegos-tipo%2Fmanuales-y-guias%2Fguia-de-contratacion-publica-sostenible-y-socialmente&amp;data=05%7C02%7Crichard.montenegro%40colombiacompra.gov.co%7Ceb0fd05604104aa4d3bc08dd4c4ad35e%7C7b09041e245149d08cb179d5e3d8c1be%7C0%7C0%7C638750606448542560%7CUnknown%7CTWFpbGZsb3d8eyJFbXB0eU1hcGkiOnRydWUsIlYiOiIwLjAuMDAwMCIsIlAiOiJXaW4zMiIsIkFOIjoiTWFpbCIsIldUIjoyfQ%3D%3D%7C0%7C%7C%7C&amp;sdata=PupjwwYMGQiHFUc19Hr6f9C9toNM85JR5cSVS9gAT2w%3D&amp;reserved=0" TargetMode="External"/><Relationship Id="rId2" Type="http://schemas.openxmlformats.org/officeDocument/2006/relationships/customXml" Target="../customXml/item2.xml"/><Relationship Id="rId16" Type="http://schemas.openxmlformats.org/officeDocument/2006/relationships/hyperlink" Target="https://nam02.safelinks.protection.outlook.com/?url=https%3A%2F%2Fwww.colombiacompra.gov.co%2Fciudadanos%2Fcalendario&amp;data=05%7C02%7Crichard.montenegro%40colombiacompra.gov.co%7Ceb0fd05604104aa4d3bc08dd4c4ad35e%7C7b09041e245149d08cb179d5e3d8c1be%7C0%7C0%7C638750606448526086%7CUnknown%7CTWFpbGZsb3d8eyJFbXB0eU1hcGkiOnRydWUsIlYiOiIwLjAuMDAwMCIsIlAiOiJXaW4zMiIsIkFOIjoiTWFpbCIsIldUIjoyfQ%3D%3D%7C0%7C%7C%7C&amp;sdata=6yCFshe0TnsKlUdjdffn9qQEosMwoebHUQfu7V3xn%2Fs%3D&amp;reserved=0"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3.png"/><Relationship Id="rId5" Type="http://schemas.openxmlformats.org/officeDocument/2006/relationships/numbering" Target="numbering.xml"/><Relationship Id="rId15" Type="http://schemas.openxmlformats.org/officeDocument/2006/relationships/hyperlink" Target="https://nam02.safelinks.protection.outlook.com/?url=https%3A%2F%2Fwww.colombiacompra.gov.co%2Fmanuales-guias-y-pliegos-tipo%2Fmanuales-y-guias%2Fcartilla-para-incentivar-y-fortalecer-el-acceso-las&amp;data=05%7C02%7Crichard.montenegro%40colombiacompra.gov.co%7Ceb0fd05604104aa4d3bc08dd4c4ad35e%7C7b09041e245149d08cb179d5e3d8c1be%7C0%7C0%7C638750606448503420%7CUnknown%7CTWFpbGZsb3d8eyJFbXB0eU1hcGkiOnRydWUsIlYiOiIwLjAuMDAwMCIsIlAiOiJXaW4zMiIsIkFOIjoiTWFpbCIsIldUIjoyfQ%3D%3D%7C0%7C%7C%7C&amp;sdata=34g3U1uoHQc2YRtc44RFZc7XortMF%2BCuQXOZLtJZ4FQ%3D&amp;reserved=0" TargetMode="External"/><Relationship Id="rId10" Type="http://schemas.openxmlformats.org/officeDocument/2006/relationships/endnotes" Target="endnotes.xml"/><Relationship Id="rId19"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relatoria.colombiacompra.gov.co/busqueda/conceptos" TargetMode="External"/><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6.png"/><Relationship Id="rId1" Type="http://schemas.openxmlformats.org/officeDocument/2006/relationships/image" Target="media/image5.png"/></Relationships>
</file>

<file path=word/_rels/numbering.xml.rels><?xml version="1.0" encoding="UTF-8" standalone="yes"?>
<Relationships xmlns="http://schemas.openxmlformats.org/package/2006/relationships"><Relationship Id="rId2" Type="http://schemas.openxmlformats.org/officeDocument/2006/relationships/image" Target="media/image2.gif"/><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34255D6-0D88-43BB-904B-25071F4586BB}"/>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b531b13d-89bf-4629-be1e-22fdf3dd34d4"/>
    <ds:schemaRef ds:uri="8ae15d26-076e-464e-81a7-6f76a0fb3917"/>
  </ds:schemaRefs>
</ds:datastoreItem>
</file>

<file path=customXml/itemProps4.xml><?xml version="1.0" encoding="utf-8"?>
<ds:datastoreItem xmlns:ds="http://schemas.openxmlformats.org/officeDocument/2006/customXml" ds:itemID="{B3B8639A-C288-4AB8-8C60-EC81866CFBE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15</Pages>
  <Words>5049</Words>
  <Characters>27775</Characters>
  <Application>Microsoft Office Word</Application>
  <DocSecurity>0</DocSecurity>
  <Lines>231</Lines>
  <Paragraphs>65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32759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Richard Andrés Montenegro Siefken</cp:lastModifiedBy>
  <cp:revision>2</cp:revision>
  <cp:lastPrinted>2023-01-10T21:18:00Z</cp:lastPrinted>
  <dcterms:created xsi:type="dcterms:W3CDTF">2025-05-06T15:15:00Z</dcterms:created>
  <dcterms:modified xsi:type="dcterms:W3CDTF">2025-05-06T15:15:00Z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