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8C588" w14:textId="77777777" w:rsidR="005013A6" w:rsidRPr="005013A6" w:rsidRDefault="005013A6" w:rsidP="005013A6">
      <w:pPr>
        <w:rPr>
          <w:rFonts w:ascii="Verdana" w:eastAsia="Calibri" w:hAnsi="Verdana" w:cs="Arial"/>
          <w:b/>
          <w:bCs/>
          <w:color w:val="000000"/>
          <w:sz w:val="20"/>
          <w:szCs w:val="20"/>
          <w:lang w:val="es-ES_tradnl"/>
        </w:rPr>
      </w:pPr>
      <w:bookmarkStart w:id="0" w:name="_Hlk181166130"/>
      <w:bookmarkStart w:id="1" w:name="_Hlk143780582"/>
      <w:r w:rsidRPr="005013A6">
        <w:rPr>
          <w:rFonts w:ascii="Verdana" w:eastAsia="Calibri" w:hAnsi="Verdana" w:cs="Arial"/>
          <w:b/>
          <w:bCs/>
          <w:color w:val="000000"/>
          <w:sz w:val="20"/>
          <w:szCs w:val="20"/>
          <w:lang w:val="es-ES_tradnl"/>
        </w:rPr>
        <w:t>FIDUCIA MERCANTIL- Concepto-Características-Patrimonio Autónomo</w:t>
      </w:r>
    </w:p>
    <w:p w14:paraId="4ADEBC36" w14:textId="2016A484" w:rsidR="005013A6" w:rsidRPr="005013A6" w:rsidRDefault="005013A6" w:rsidP="001E4A3E">
      <w:pPr>
        <w:spacing w:after="0" w:line="240" w:lineRule="auto"/>
        <w:contextualSpacing/>
        <w:jc w:val="both"/>
        <w:rPr>
          <w:rFonts w:ascii="Verdana" w:eastAsia="Calibri" w:hAnsi="Verdana" w:cs="Arial"/>
          <w:sz w:val="20"/>
          <w:szCs w:val="20"/>
          <w:lang w:val="es-ES_tradnl"/>
        </w:rPr>
      </w:pPr>
      <w:r w:rsidRPr="005013A6">
        <w:rPr>
          <w:rFonts w:ascii="Verdana" w:eastAsia="Calibri" w:hAnsi="Verdana" w:cs="Arial"/>
          <w:sz w:val="20"/>
          <w:szCs w:val="20"/>
          <w:lang w:val="es-ES_tradnl"/>
        </w:rPr>
        <w:t xml:space="preserve">La fiducia mercantil es un negocio jurídico en virtud del cual una persona, llamada fiduciante o fideicomitente, transfiere uno o más bienes especificados a otra, </w:t>
      </w:r>
      <w:r w:rsidR="00503449">
        <w:rPr>
          <w:rFonts w:ascii="Verdana" w:eastAsia="Calibri" w:hAnsi="Verdana" w:cs="Arial"/>
          <w:sz w:val="20"/>
          <w:szCs w:val="20"/>
          <w:lang w:val="es-ES_tradnl"/>
        </w:rPr>
        <w:t>denominada</w:t>
      </w:r>
      <w:r w:rsidRPr="005013A6">
        <w:rPr>
          <w:rFonts w:ascii="Verdana" w:eastAsia="Calibri" w:hAnsi="Verdana" w:cs="Arial"/>
          <w:sz w:val="20"/>
          <w:szCs w:val="20"/>
          <w:lang w:val="es-ES_tradnl"/>
        </w:rPr>
        <w:t xml:space="preserve"> fiduciario, quien se obliga a administrarlos o enajenarlos para cumplir una finalidad determinada por el constituyente, en provecho de éste o de un tercero llamado beneficiario o</w:t>
      </w:r>
      <w:r w:rsidRPr="005013A6">
        <w:rPr>
          <w:rFonts w:ascii="Verdana" w:eastAsia="Calibri" w:hAnsi="Verdana" w:cs="Arial"/>
          <w:spacing w:val="-5"/>
          <w:sz w:val="20"/>
          <w:szCs w:val="20"/>
          <w:lang w:val="es-ES_tradnl"/>
        </w:rPr>
        <w:t xml:space="preserve"> </w:t>
      </w:r>
      <w:r w:rsidRPr="005013A6">
        <w:rPr>
          <w:rFonts w:ascii="Verdana" w:eastAsia="Calibri" w:hAnsi="Verdana" w:cs="Arial"/>
          <w:sz w:val="20"/>
          <w:szCs w:val="20"/>
          <w:lang w:val="es-ES_tradnl"/>
        </w:rPr>
        <w:t>fideicomisario.</w:t>
      </w:r>
    </w:p>
    <w:p w14:paraId="5DE73A3C" w14:textId="77777777" w:rsidR="005013A6" w:rsidRPr="005013A6" w:rsidRDefault="005013A6" w:rsidP="001E4A3E">
      <w:pPr>
        <w:spacing w:after="0" w:line="240" w:lineRule="auto"/>
        <w:ind w:right="709"/>
        <w:contextualSpacing/>
        <w:jc w:val="both"/>
        <w:rPr>
          <w:rFonts w:ascii="Verdana" w:eastAsia="Calibri" w:hAnsi="Verdana" w:cs="Arial"/>
          <w:sz w:val="20"/>
          <w:szCs w:val="20"/>
          <w:lang w:val="es-ES_tradnl"/>
        </w:rPr>
      </w:pPr>
    </w:p>
    <w:p w14:paraId="0AB1E8BE" w14:textId="77777777" w:rsidR="005013A6" w:rsidRPr="005013A6" w:rsidRDefault="005013A6" w:rsidP="001E4A3E">
      <w:pPr>
        <w:spacing w:after="0" w:line="240" w:lineRule="auto"/>
        <w:ind w:right="709"/>
        <w:contextualSpacing/>
        <w:jc w:val="both"/>
        <w:rPr>
          <w:rFonts w:ascii="Verdana" w:eastAsia="Calibri" w:hAnsi="Verdana" w:cs="Arial"/>
          <w:sz w:val="20"/>
          <w:szCs w:val="20"/>
          <w:lang w:val="es-ES_tradnl"/>
        </w:rPr>
      </w:pPr>
      <w:r w:rsidRPr="005013A6">
        <w:rPr>
          <w:rFonts w:ascii="Verdana" w:eastAsia="Calibri" w:hAnsi="Verdana" w:cs="Arial"/>
          <w:sz w:val="20"/>
          <w:szCs w:val="20"/>
          <w:lang w:val="es-ES_tradnl"/>
        </w:rPr>
        <w:t>Una persona puede ser al mismo tiempo fiduciante y beneficiario.</w:t>
      </w:r>
    </w:p>
    <w:p w14:paraId="663A6570" w14:textId="77777777" w:rsidR="005013A6" w:rsidRPr="005013A6" w:rsidRDefault="005013A6" w:rsidP="001E4A3E">
      <w:pPr>
        <w:spacing w:after="0" w:line="240" w:lineRule="auto"/>
        <w:ind w:left="709"/>
        <w:contextualSpacing/>
        <w:jc w:val="both"/>
        <w:rPr>
          <w:rFonts w:ascii="Verdana" w:eastAsia="Calibri" w:hAnsi="Verdana" w:cs="Arial"/>
          <w:sz w:val="20"/>
          <w:szCs w:val="20"/>
          <w:lang w:val="es-ES_tradnl"/>
        </w:rPr>
      </w:pPr>
    </w:p>
    <w:p w14:paraId="69525E2A" w14:textId="77777777" w:rsidR="005013A6" w:rsidRPr="005013A6" w:rsidRDefault="005013A6" w:rsidP="001E4A3E">
      <w:pPr>
        <w:spacing w:after="0" w:line="240" w:lineRule="auto"/>
        <w:contextualSpacing/>
        <w:jc w:val="both"/>
        <w:rPr>
          <w:rFonts w:ascii="Verdana" w:eastAsia="Calibri" w:hAnsi="Verdana" w:cs="Arial"/>
          <w:sz w:val="20"/>
          <w:szCs w:val="20"/>
          <w:lang w:val="es-ES_tradnl"/>
        </w:rPr>
      </w:pPr>
      <w:r w:rsidRPr="005013A6">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17F3615A" w14:textId="77777777" w:rsidR="005013A6" w:rsidRPr="005013A6" w:rsidRDefault="005013A6" w:rsidP="001E4A3E">
      <w:pPr>
        <w:spacing w:before="2" w:after="0" w:line="240" w:lineRule="auto"/>
        <w:ind w:left="709" w:right="709"/>
        <w:contextualSpacing/>
        <w:jc w:val="both"/>
        <w:rPr>
          <w:rFonts w:ascii="Verdana" w:eastAsia="MS Mincho" w:hAnsi="Verdana" w:cs="Arial"/>
          <w:sz w:val="20"/>
          <w:szCs w:val="20"/>
          <w:lang w:val="es-ES_tradnl" w:eastAsia="es-CO"/>
        </w:rPr>
      </w:pPr>
    </w:p>
    <w:p w14:paraId="6EEA8957" w14:textId="690C7923" w:rsidR="005013A6" w:rsidRDefault="005013A6" w:rsidP="001E4A3E">
      <w:pPr>
        <w:spacing w:after="120" w:line="240" w:lineRule="auto"/>
        <w:contextualSpacing/>
        <w:jc w:val="both"/>
        <w:rPr>
          <w:rFonts w:ascii="Verdana" w:eastAsia="MS Mincho" w:hAnsi="Verdana" w:cs="Arial"/>
          <w:sz w:val="20"/>
          <w:szCs w:val="20"/>
          <w:lang w:val="es-ES_tradnl" w:eastAsia="es-CO"/>
        </w:rPr>
      </w:pPr>
      <w:r w:rsidRPr="005013A6">
        <w:rPr>
          <w:rFonts w:ascii="Verdana" w:eastAsia="MS Mincho" w:hAnsi="Verdana" w:cs="Arial"/>
          <w:sz w:val="20"/>
          <w:szCs w:val="20"/>
          <w:lang w:val="es-ES_tradnl" w:eastAsia="es-CO"/>
        </w:rPr>
        <w:t>Dadas estas características particulares, el contrato de fiducia mercantil es diferente del contrato de fiducia pública, regulado en el numeral 5º del artículo 32 de la Ley 80 de 1993, pues este</w:t>
      </w:r>
      <w:r w:rsidRPr="005013A6">
        <w:rPr>
          <w:rFonts w:ascii="Verdana" w:eastAsia="MS Mincho" w:hAnsi="Verdana" w:cs="Arial"/>
          <w:spacing w:val="52"/>
          <w:sz w:val="20"/>
          <w:szCs w:val="20"/>
          <w:lang w:val="es-ES_tradnl" w:eastAsia="es-CO"/>
        </w:rPr>
        <w:t xml:space="preserve"> </w:t>
      </w:r>
      <w:r w:rsidRPr="005013A6">
        <w:rPr>
          <w:rFonts w:ascii="Verdana" w:eastAsia="MS Mincho" w:hAnsi="Verdana" w:cs="Arial"/>
          <w:sz w:val="20"/>
          <w:szCs w:val="20"/>
          <w:lang w:val="es-ES_tradnl" w:eastAsia="es-CO"/>
        </w:rPr>
        <w:t>último “nunca implicará transferencia de dominio sobre bienes o recursos estatales, ni constituirá patrimonio autónomo del propio de la respectiva entidad oficial”. Así lo consideró la Corte Constitucional, en la sentencia C-086 de 1995 –expedida con ponencia del Magistrado Vladimiro Naranjo Mesa–, al señalar que la Ley 80 de 1993 creó un contrato nuevo y autónomo al del Código de</w:t>
      </w:r>
      <w:r w:rsidRPr="005013A6">
        <w:rPr>
          <w:rFonts w:ascii="Verdana" w:eastAsia="MS Mincho" w:hAnsi="Verdana" w:cs="Arial"/>
          <w:spacing w:val="-27"/>
          <w:sz w:val="20"/>
          <w:szCs w:val="20"/>
          <w:lang w:val="es-ES_tradnl" w:eastAsia="es-CO"/>
        </w:rPr>
        <w:t xml:space="preserve"> </w:t>
      </w:r>
      <w:r w:rsidRPr="005013A6">
        <w:rPr>
          <w:rFonts w:ascii="Verdana" w:eastAsia="MS Mincho" w:hAnsi="Verdana" w:cs="Arial"/>
          <w:sz w:val="20"/>
          <w:szCs w:val="20"/>
          <w:lang w:val="es-ES_tradnl" w:eastAsia="es-CO"/>
        </w:rPr>
        <w:t>Comercio.</w:t>
      </w:r>
    </w:p>
    <w:p w14:paraId="2FDBCE41" w14:textId="77777777" w:rsidR="001E4A3E" w:rsidRPr="005013A6" w:rsidRDefault="001E4A3E" w:rsidP="001E4A3E">
      <w:pPr>
        <w:spacing w:after="120" w:line="240" w:lineRule="auto"/>
        <w:contextualSpacing/>
        <w:jc w:val="both"/>
        <w:rPr>
          <w:rFonts w:ascii="Verdana" w:eastAsia="MS Mincho" w:hAnsi="Verdana" w:cs="Arial"/>
          <w:sz w:val="20"/>
          <w:szCs w:val="20"/>
          <w:lang w:val="es-ES_tradnl" w:eastAsia="es-CO"/>
        </w:rPr>
      </w:pPr>
    </w:p>
    <w:p w14:paraId="36A3D208" w14:textId="1E9013A0" w:rsidR="005013A6" w:rsidRDefault="005013A6" w:rsidP="001E4A3E">
      <w:pPr>
        <w:spacing w:after="120" w:line="240" w:lineRule="auto"/>
        <w:contextualSpacing/>
        <w:jc w:val="both"/>
        <w:rPr>
          <w:rFonts w:ascii="Verdana" w:eastAsia="MS Mincho" w:hAnsi="Verdana" w:cs="Arial"/>
          <w:sz w:val="20"/>
          <w:szCs w:val="20"/>
          <w:lang w:val="es-ES_tradnl" w:eastAsia="es-CO"/>
        </w:rPr>
      </w:pPr>
      <w:r w:rsidRPr="005013A6">
        <w:rPr>
          <w:rFonts w:ascii="Verdana" w:eastAsia="MS Mincho" w:hAnsi="Verdana" w:cs="Arial"/>
          <w:sz w:val="20"/>
          <w:szCs w:val="20"/>
          <w:lang w:val="es-ES_tradnl" w:eastAsia="es-CO"/>
        </w:rPr>
        <w:t>De la jurisprudencia constitucional se entiende que las entidades estatales pueden suscribir contratos de fiducia mercantil. Sin embargo, la Sala de Consulta y Servicio Civil del Consejo de Estado, en concepto del 4 de marzo de 1998, con radicado número 1.074 –Consejero Ponente: Cesar Hoyos Salazar–, consideró que la Ley 80 de 1993 tiene como objetivo restringir los negocios fiduciarios que pueden celebrar los entes públicos, y por ello, a pesar de que el contrato de fiducia pública es diferente al de fiducia mercantil, la constitución de patrimonios autónomos por parte de entidades estatales solamente debe darse en virtud de una autorización legal, como es el caso de los procesos de titularización de activos e inversiones, tal como lo autoriza expresamente el parágrafo 2 del artículo 41 de la Ley 80 de 1993.</w:t>
      </w:r>
    </w:p>
    <w:p w14:paraId="59454E5D" w14:textId="77777777" w:rsidR="001E4A3E" w:rsidRPr="005013A6" w:rsidRDefault="001E4A3E" w:rsidP="001E4A3E">
      <w:pPr>
        <w:spacing w:after="120" w:line="240" w:lineRule="auto"/>
        <w:contextualSpacing/>
        <w:jc w:val="both"/>
        <w:rPr>
          <w:rFonts w:ascii="Verdana" w:eastAsia="MS Mincho" w:hAnsi="Verdana" w:cs="Arial"/>
          <w:sz w:val="20"/>
          <w:szCs w:val="20"/>
          <w:lang w:val="es-ES_tradnl" w:eastAsia="es-CO"/>
        </w:rPr>
      </w:pPr>
    </w:p>
    <w:p w14:paraId="096B4972" w14:textId="77777777" w:rsidR="005013A6" w:rsidRPr="005013A6" w:rsidRDefault="005013A6" w:rsidP="001E4A3E">
      <w:pPr>
        <w:spacing w:after="120" w:line="240" w:lineRule="auto"/>
        <w:contextualSpacing/>
        <w:jc w:val="both"/>
        <w:rPr>
          <w:rFonts w:ascii="Verdana" w:eastAsia="MS Mincho" w:hAnsi="Verdana" w:cs="Arial"/>
          <w:b/>
          <w:bCs/>
          <w:sz w:val="20"/>
          <w:szCs w:val="20"/>
          <w:lang w:val="es-ES_tradnl" w:eastAsia="es-CO"/>
        </w:rPr>
      </w:pPr>
      <w:r w:rsidRPr="005013A6">
        <w:rPr>
          <w:rFonts w:ascii="Verdana" w:eastAsia="MS Mincho" w:hAnsi="Verdana" w:cs="Arial"/>
          <w:sz w:val="20"/>
          <w:szCs w:val="20"/>
          <w:lang w:val="es-ES_tradnl" w:eastAsia="es-CO"/>
        </w:rPr>
        <w:t>La Agencia Nacional de Contratación Pública – Colombia Compra Eficiente comparte esta posición, y por tanto considera que la constitución de patrimonios autónomos, por parte de entidades estatales solo puede darse en virtud de una disposición legal expresa. En efecto, en respuesta a la consulta con radicado No. 4201912000004359 y con radicado de salida No. 2201913000005645 del 8 de agosto de 2019, esta Agencia manifestó</w:t>
      </w:r>
      <w:r w:rsidRPr="005013A6">
        <w:rPr>
          <w:rFonts w:ascii="Verdana" w:eastAsia="MS Mincho" w:hAnsi="Verdana" w:cs="Arial"/>
          <w:spacing w:val="-7"/>
          <w:sz w:val="20"/>
          <w:szCs w:val="20"/>
          <w:lang w:val="es-ES_tradnl" w:eastAsia="es-CO"/>
        </w:rPr>
        <w:t xml:space="preserve"> </w:t>
      </w:r>
      <w:r w:rsidRPr="005013A6">
        <w:rPr>
          <w:rFonts w:ascii="Verdana" w:eastAsia="MS Mincho" w:hAnsi="Verdana" w:cs="Arial"/>
          <w:sz w:val="20"/>
          <w:szCs w:val="20"/>
          <w:lang w:val="es-ES_tradnl" w:eastAsia="es-CO"/>
        </w:rPr>
        <w:t xml:space="preserve">que: “Es posible que una entidad estatal celebre un contrato de fiducia mercantil y con él se constituya un patrimonio autónomo, siempre que una norma especial lo autorice. Esta fiducia mercantil es diferente a la fiducia pública definida en el artículo 32 de la Ley 80 de 1993 y se rige por las disposiciones </w:t>
      </w:r>
      <w:r w:rsidRPr="00724B22">
        <w:rPr>
          <w:rFonts w:ascii="Verdana" w:eastAsia="MS Mincho" w:hAnsi="Verdana" w:cs="Arial"/>
          <w:sz w:val="20"/>
          <w:szCs w:val="20"/>
          <w:lang w:val="es-ES_tradnl" w:eastAsia="es-CO"/>
        </w:rPr>
        <w:t>comerciales y civiles pertinentes, salvo en los aspectos particularmente regulados en la Ley 80 de 1993”.</w:t>
      </w:r>
    </w:p>
    <w:p w14:paraId="41B41173" w14:textId="77777777" w:rsidR="005013A6" w:rsidRPr="005013A6" w:rsidRDefault="005013A6" w:rsidP="005013A6">
      <w:pPr>
        <w:spacing w:after="0" w:line="276" w:lineRule="auto"/>
        <w:ind w:firstLine="709"/>
        <w:jc w:val="both"/>
        <w:rPr>
          <w:rFonts w:ascii="Verdana" w:eastAsia="MS Mincho" w:hAnsi="Verdana" w:cs="Arial"/>
          <w:sz w:val="20"/>
          <w:szCs w:val="20"/>
          <w:lang w:val="es-ES_tradnl" w:eastAsia="es-CO"/>
        </w:rPr>
      </w:pPr>
    </w:p>
    <w:p w14:paraId="71E72BEE" w14:textId="47FAF6B8" w:rsidR="001E4A3E" w:rsidRPr="000871EF" w:rsidRDefault="001E4A3E" w:rsidP="001E4A3E">
      <w:pPr>
        <w:spacing w:after="0" w:line="240" w:lineRule="auto"/>
        <w:jc w:val="both"/>
        <w:rPr>
          <w:rFonts w:ascii="Verdana" w:eastAsia="Arial" w:hAnsi="Verdana" w:cs="Arial"/>
          <w:b/>
          <w:bCs/>
          <w:sz w:val="20"/>
          <w:szCs w:val="20"/>
          <w:lang w:val="es-ES"/>
        </w:rPr>
      </w:pPr>
      <w:r w:rsidRPr="000871EF">
        <w:rPr>
          <w:rFonts w:ascii="Verdana" w:eastAsia="Arial" w:hAnsi="Verdana" w:cs="Arial"/>
          <w:b/>
          <w:bCs/>
          <w:sz w:val="20"/>
          <w:szCs w:val="20"/>
          <w:lang w:val="es-ES"/>
        </w:rPr>
        <w:t>PRINCIPIO DE PUBLICIDAD – Obligatoriedad de las autoridades administrativas</w:t>
      </w:r>
      <w:r>
        <w:rPr>
          <w:rFonts w:ascii="Verdana" w:eastAsia="Arial" w:hAnsi="Verdana" w:cs="Arial"/>
          <w:b/>
          <w:bCs/>
          <w:sz w:val="20"/>
          <w:szCs w:val="20"/>
          <w:lang w:val="es-ES"/>
        </w:rPr>
        <w:t>.</w:t>
      </w:r>
      <w:r w:rsidRPr="000871EF">
        <w:rPr>
          <w:rFonts w:ascii="Verdana" w:eastAsia="Arial" w:hAnsi="Verdana" w:cs="Arial"/>
          <w:b/>
          <w:bCs/>
          <w:sz w:val="20"/>
          <w:szCs w:val="20"/>
          <w:lang w:val="es-ES"/>
        </w:rPr>
        <w:t xml:space="preserve"> </w:t>
      </w:r>
    </w:p>
    <w:p w14:paraId="4C8D4E75" w14:textId="77777777" w:rsidR="001E4A3E" w:rsidRDefault="001E4A3E" w:rsidP="001E4A3E">
      <w:pPr>
        <w:spacing w:after="0" w:line="240" w:lineRule="auto"/>
        <w:jc w:val="both"/>
        <w:rPr>
          <w:rFonts w:ascii="Verdana" w:eastAsia="Arial" w:hAnsi="Verdana" w:cs="Arial"/>
          <w:sz w:val="20"/>
          <w:szCs w:val="20"/>
          <w:lang w:val="es-ES"/>
        </w:rPr>
      </w:pPr>
    </w:p>
    <w:p w14:paraId="6407C83A" w14:textId="77777777" w:rsidR="001E4A3E" w:rsidRPr="000871EF" w:rsidRDefault="001E4A3E" w:rsidP="001E4A3E">
      <w:pPr>
        <w:spacing w:after="0" w:line="240" w:lineRule="auto"/>
        <w:jc w:val="both"/>
        <w:rPr>
          <w:rFonts w:ascii="Verdana" w:eastAsia="Arial" w:hAnsi="Verdana" w:cs="Arial"/>
          <w:sz w:val="20"/>
          <w:szCs w:val="20"/>
          <w:lang w:val="es-ES"/>
        </w:rPr>
      </w:pPr>
      <w:r w:rsidRPr="000871EF">
        <w:rPr>
          <w:rFonts w:ascii="Verdana" w:eastAsia="Arial" w:hAnsi="Verdana" w:cs="Arial"/>
          <w:sz w:val="20"/>
          <w:szCs w:val="20"/>
          <w:lang w:val="es-ES"/>
        </w:rPr>
        <w:t>El principio de publicidad 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p>
    <w:p w14:paraId="19993E3A" w14:textId="77777777" w:rsidR="001E4A3E" w:rsidRPr="000871EF" w:rsidRDefault="001E4A3E" w:rsidP="001E4A3E">
      <w:pPr>
        <w:spacing w:after="0" w:line="240" w:lineRule="auto"/>
        <w:jc w:val="both"/>
        <w:rPr>
          <w:rFonts w:ascii="Verdana" w:eastAsia="Arial" w:hAnsi="Verdana" w:cs="Arial"/>
          <w:sz w:val="20"/>
          <w:szCs w:val="20"/>
          <w:lang w:val="es-ES"/>
        </w:rPr>
      </w:pPr>
    </w:p>
    <w:p w14:paraId="26F4F2CA" w14:textId="77777777" w:rsidR="001E4A3E" w:rsidRPr="000871EF" w:rsidRDefault="001E4A3E" w:rsidP="001E4A3E">
      <w:pPr>
        <w:spacing w:after="0" w:line="240" w:lineRule="auto"/>
        <w:jc w:val="both"/>
        <w:rPr>
          <w:rFonts w:ascii="Verdana" w:eastAsia="Arial" w:hAnsi="Verdana" w:cs="Arial"/>
          <w:b/>
          <w:bCs/>
          <w:sz w:val="20"/>
          <w:szCs w:val="20"/>
          <w:lang w:val="es-ES"/>
        </w:rPr>
      </w:pPr>
      <w:r w:rsidRPr="000871EF">
        <w:rPr>
          <w:rFonts w:ascii="Verdana" w:eastAsia="Arial" w:hAnsi="Verdana" w:cs="Arial"/>
          <w:b/>
          <w:bCs/>
          <w:sz w:val="20"/>
          <w:szCs w:val="20"/>
          <w:lang w:val="es-ES"/>
        </w:rPr>
        <w:t>PRINCIPIO DE PUBLIC</w:t>
      </w:r>
      <w:r>
        <w:rPr>
          <w:rFonts w:ascii="Verdana" w:eastAsia="Arial" w:hAnsi="Verdana" w:cs="Arial"/>
          <w:b/>
          <w:bCs/>
          <w:sz w:val="20"/>
          <w:szCs w:val="20"/>
          <w:lang w:val="es-ES"/>
        </w:rPr>
        <w:t>I</w:t>
      </w:r>
      <w:r w:rsidRPr="000871EF">
        <w:rPr>
          <w:rFonts w:ascii="Verdana" w:eastAsia="Arial" w:hAnsi="Verdana" w:cs="Arial"/>
          <w:b/>
          <w:bCs/>
          <w:sz w:val="20"/>
          <w:szCs w:val="20"/>
          <w:lang w:val="es-ES"/>
        </w:rPr>
        <w:t xml:space="preserve">DAD – Publicación de actuaciones contractuales – Ley 1712 de 2014 </w:t>
      </w:r>
    </w:p>
    <w:p w14:paraId="1E13004F" w14:textId="77777777" w:rsidR="001E4A3E" w:rsidRPr="000871EF" w:rsidRDefault="001E4A3E" w:rsidP="001E4A3E">
      <w:pPr>
        <w:spacing w:after="0" w:line="240" w:lineRule="auto"/>
        <w:jc w:val="both"/>
        <w:rPr>
          <w:rFonts w:ascii="Verdana" w:eastAsia="Arial" w:hAnsi="Verdana" w:cs="Arial"/>
          <w:b/>
          <w:bCs/>
          <w:sz w:val="20"/>
          <w:szCs w:val="20"/>
          <w:lang w:val="es-ES"/>
        </w:rPr>
      </w:pPr>
    </w:p>
    <w:p w14:paraId="59FF90C4" w14:textId="77777777" w:rsidR="001E4A3E" w:rsidRPr="000871EF" w:rsidRDefault="001E4A3E" w:rsidP="001E4A3E">
      <w:pPr>
        <w:spacing w:after="0" w:line="240" w:lineRule="auto"/>
        <w:jc w:val="both"/>
        <w:rPr>
          <w:rFonts w:ascii="Verdana" w:eastAsia="Arial" w:hAnsi="Verdana" w:cs="Arial"/>
          <w:sz w:val="20"/>
          <w:szCs w:val="20"/>
          <w:lang w:val="es-ES"/>
        </w:rPr>
      </w:pPr>
      <w:r w:rsidRPr="000871EF">
        <w:rPr>
          <w:rFonts w:ascii="Verdana" w:eastAsia="Arial" w:hAnsi="Verdana" w:cs="Arial"/>
          <w:sz w:val="20"/>
          <w:szCs w:val="20"/>
          <w:lang w:val="es-ES"/>
        </w:rPr>
        <w:t>La Ley 1712 de 2014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p>
    <w:p w14:paraId="3C61A6A4" w14:textId="77777777" w:rsidR="001E4A3E" w:rsidRPr="000871EF" w:rsidRDefault="001E4A3E" w:rsidP="001E4A3E">
      <w:pPr>
        <w:spacing w:after="0" w:line="240" w:lineRule="auto"/>
        <w:jc w:val="both"/>
        <w:rPr>
          <w:rFonts w:ascii="Verdana" w:eastAsia="Arial" w:hAnsi="Verdana" w:cs="Arial"/>
          <w:sz w:val="20"/>
          <w:szCs w:val="20"/>
          <w:lang w:val="es-ES"/>
        </w:rPr>
      </w:pPr>
    </w:p>
    <w:p w14:paraId="0942A996" w14:textId="77777777" w:rsidR="001E4A3E" w:rsidRDefault="001E4A3E" w:rsidP="001E4A3E">
      <w:pPr>
        <w:spacing w:after="0" w:line="240" w:lineRule="auto"/>
        <w:jc w:val="both"/>
        <w:rPr>
          <w:rFonts w:ascii="Verdana" w:hAnsi="Verdana" w:cs="Arial"/>
          <w:b/>
          <w:bCs/>
          <w:sz w:val="20"/>
          <w:szCs w:val="20"/>
          <w:lang w:val="es-ES"/>
        </w:rPr>
      </w:pPr>
      <w:r w:rsidRPr="000871EF">
        <w:rPr>
          <w:rFonts w:ascii="Verdana" w:hAnsi="Verdana" w:cs="Arial"/>
          <w:b/>
          <w:bCs/>
          <w:sz w:val="20"/>
          <w:szCs w:val="20"/>
          <w:lang w:val="es-ES"/>
        </w:rPr>
        <w:t>DOCUMENTOS DEL PROCESO – Noción – Deber de publicación – Proceso de contratación</w:t>
      </w:r>
      <w:r>
        <w:rPr>
          <w:rFonts w:ascii="Verdana" w:hAnsi="Verdana" w:cs="Arial"/>
          <w:b/>
          <w:bCs/>
          <w:sz w:val="20"/>
          <w:szCs w:val="20"/>
          <w:lang w:val="es-ES"/>
        </w:rPr>
        <w:t xml:space="preserve"> – SECOP - </w:t>
      </w:r>
      <w:r w:rsidRPr="000871EF">
        <w:rPr>
          <w:rFonts w:ascii="Verdana" w:hAnsi="Verdana" w:cs="Arial"/>
          <w:b/>
          <w:bCs/>
          <w:sz w:val="20"/>
          <w:szCs w:val="20"/>
          <w:lang w:val="es-ES"/>
        </w:rPr>
        <w:t>Deber de publicación – Información contractual</w:t>
      </w:r>
    </w:p>
    <w:p w14:paraId="5D70A852" w14:textId="77777777" w:rsidR="001E4A3E" w:rsidRDefault="001E4A3E" w:rsidP="001E4A3E">
      <w:pPr>
        <w:spacing w:after="0" w:line="240" w:lineRule="auto"/>
        <w:jc w:val="both"/>
        <w:rPr>
          <w:rFonts w:ascii="Verdana" w:hAnsi="Verdana" w:cs="Arial"/>
          <w:sz w:val="20"/>
          <w:szCs w:val="20"/>
          <w:lang w:val="es-ES"/>
        </w:rPr>
      </w:pPr>
    </w:p>
    <w:p w14:paraId="45F640E8" w14:textId="77777777" w:rsidR="001E4A3E" w:rsidRDefault="001E4A3E" w:rsidP="001E4A3E">
      <w:pPr>
        <w:spacing w:after="0" w:line="240" w:lineRule="auto"/>
        <w:jc w:val="both"/>
        <w:rPr>
          <w:rFonts w:ascii="Verdana" w:hAnsi="Verdana" w:cs="Arial"/>
          <w:sz w:val="20"/>
          <w:szCs w:val="20"/>
          <w:lang w:val="es-ES"/>
        </w:rPr>
      </w:pPr>
      <w:r>
        <w:rPr>
          <w:rFonts w:ascii="Verdana" w:hAnsi="Verdana" w:cs="Arial"/>
          <w:sz w:val="20"/>
          <w:szCs w:val="20"/>
          <w:lang w:val="es-ES"/>
        </w:rPr>
        <w:t>L</w:t>
      </w:r>
      <w:r w:rsidRPr="000871EF">
        <w:rPr>
          <w:rFonts w:ascii="Verdana" w:hAnsi="Verdana" w:cs="Arial"/>
          <w:sz w:val="20"/>
          <w:szCs w:val="20"/>
          <w:lang w:val="es-ES"/>
        </w:rPr>
        <w:t>as entidades estatales, conforme al artículo 2.2.1.1.1.7.1. del Decreto 1082 de 2015, tienen la obligación de publicar en el SECOP “los Documentos del Proceso y los actos administrativos del Proceso de Contratación, dentro de los tres (3) días siguientes a su expedición”.</w:t>
      </w:r>
    </w:p>
    <w:p w14:paraId="1324EC6F" w14:textId="77777777" w:rsidR="001E4A3E" w:rsidRDefault="001E4A3E" w:rsidP="001E4A3E">
      <w:pPr>
        <w:spacing w:after="0" w:line="240" w:lineRule="auto"/>
        <w:jc w:val="both"/>
        <w:rPr>
          <w:rFonts w:ascii="Verdana" w:hAnsi="Verdana" w:cs="Arial"/>
          <w:sz w:val="20"/>
          <w:szCs w:val="20"/>
          <w:lang w:val="es-ES"/>
        </w:rPr>
      </w:pPr>
    </w:p>
    <w:p w14:paraId="0A8F243C" w14:textId="77777777" w:rsidR="001E4A3E" w:rsidRDefault="001E4A3E" w:rsidP="001E4A3E">
      <w:pPr>
        <w:spacing w:after="0" w:line="240" w:lineRule="auto"/>
        <w:jc w:val="both"/>
        <w:rPr>
          <w:rFonts w:ascii="Verdana" w:hAnsi="Verdana" w:cs="Arial"/>
          <w:sz w:val="20"/>
          <w:szCs w:val="20"/>
          <w:lang w:val="es-ES"/>
        </w:rPr>
      </w:pPr>
      <w:r w:rsidRPr="000871EF">
        <w:rPr>
          <w:rFonts w:ascii="Verdana" w:hAnsi="Verdana" w:cs="Arial"/>
          <w:sz w:val="20"/>
          <w:szCs w:val="20"/>
          <w:lang w:val="es-ES"/>
        </w:rPr>
        <w:t>No obstante, para identificar los documentos que deben publicarse, es necesario realizar una interpretación sistemática de las disposiciones del Decreto 1082 del 2015, ya que el anterior no es un listado taxativo, sino enunciativo, porque además de los documentos enlistados, el artículo 2.2.1.1.1.3.1 ibidem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1114E11B" w14:textId="77777777" w:rsidR="00724B22" w:rsidRPr="00724B22" w:rsidRDefault="00724B22" w:rsidP="005013A6">
      <w:pPr>
        <w:spacing w:after="0" w:line="240" w:lineRule="auto"/>
        <w:jc w:val="both"/>
        <w:rPr>
          <w:rFonts w:ascii="Verdana" w:hAnsi="Verdana" w:cs="Arial"/>
          <w:color w:val="000000" w:themeColor="text1"/>
          <w:sz w:val="20"/>
          <w:szCs w:val="20"/>
          <w:lang w:val="es-ES"/>
        </w:rPr>
      </w:pPr>
    </w:p>
    <w:p w14:paraId="17266000" w14:textId="77777777" w:rsidR="008378C3" w:rsidRDefault="008378C3" w:rsidP="008378C3">
      <w:pPr>
        <w:spacing w:after="0"/>
        <w:rPr>
          <w:rFonts w:ascii="Verdana" w:eastAsia="Geomanist Light" w:hAnsi="Verdana" w:cs="Arial"/>
          <w:color w:val="201F1E"/>
          <w:lang w:val="es-MX"/>
        </w:rPr>
      </w:pPr>
    </w:p>
    <w:p w14:paraId="0D545D25" w14:textId="77777777" w:rsidR="00503449" w:rsidRDefault="00503449" w:rsidP="008378C3">
      <w:pPr>
        <w:spacing w:after="0"/>
        <w:rPr>
          <w:rFonts w:ascii="Verdana" w:eastAsia="Geomanist Light" w:hAnsi="Verdana" w:cs="Arial"/>
          <w:color w:val="201F1E"/>
          <w:lang w:val="es-MX"/>
        </w:rPr>
      </w:pPr>
    </w:p>
    <w:p w14:paraId="7F384CCC" w14:textId="41954EDD" w:rsidR="007D5768" w:rsidRDefault="009000C8" w:rsidP="007D5768">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5405B7E6" wp14:editId="2E706AF9">
            <wp:simplePos x="0" y="0"/>
            <wp:positionH relativeFrom="column">
              <wp:posOffset>2648291</wp:posOffset>
            </wp:positionH>
            <wp:positionV relativeFrom="paragraph">
              <wp:posOffset>-22469</wp:posOffset>
            </wp:positionV>
            <wp:extent cx="3307898" cy="951913"/>
            <wp:effectExtent l="0" t="0" r="6985" b="635"/>
            <wp:wrapNone/>
            <wp:docPr id="17141377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07898" cy="951913"/>
                    </a:xfrm>
                    <a:prstGeom prst="rect">
                      <a:avLst/>
                    </a:prstGeom>
                    <a:noFill/>
                    <a:ln>
                      <a:noFill/>
                    </a:ln>
                  </pic:spPr>
                </pic:pic>
              </a:graphicData>
            </a:graphic>
            <wp14:sizeRelH relativeFrom="page">
              <wp14:pctWidth>0</wp14:pctWidth>
            </wp14:sizeRelH>
            <wp14:sizeRelV relativeFrom="page">
              <wp14:pctHeight>0</wp14:pctHeight>
            </wp14:sizeRelV>
          </wp:anchor>
        </w:drawing>
      </w:r>
      <w:r w:rsidR="001E4A3E">
        <w:rPr>
          <w:rFonts w:ascii="Verdana" w:hAnsi="Verdana"/>
        </w:rPr>
        <w:t>B</w:t>
      </w:r>
      <w:r w:rsidR="007D5768" w:rsidRPr="0044528D">
        <w:rPr>
          <w:rFonts w:ascii="Verdana" w:hAnsi="Verdana"/>
        </w:rPr>
        <w:t xml:space="preserve">ogotá D.C., </w:t>
      </w:r>
      <w:r w:rsidR="005C7C8E">
        <w:rPr>
          <w:rFonts w:ascii="Verdana" w:hAnsi="Verdana"/>
        </w:rPr>
        <w:t>07</w:t>
      </w:r>
      <w:r>
        <w:rPr>
          <w:rFonts w:ascii="Verdana" w:hAnsi="Verdana"/>
        </w:rPr>
        <w:t xml:space="preserve"> M</w:t>
      </w:r>
      <w:r w:rsidR="005C7C8E">
        <w:rPr>
          <w:rFonts w:ascii="Verdana" w:hAnsi="Verdana"/>
        </w:rPr>
        <w:t>ayo 2025</w:t>
      </w:r>
    </w:p>
    <w:p w14:paraId="1673010F" w14:textId="1E451835" w:rsidR="007D5768" w:rsidRDefault="007D5768" w:rsidP="007D5768">
      <w:pPr>
        <w:spacing w:after="0"/>
        <w:rPr>
          <w:rFonts w:ascii="Verdana" w:hAnsi="Verdana"/>
        </w:rPr>
      </w:pPr>
      <w:bookmarkStart w:id="2" w:name="_Hlk180638295"/>
      <w:bookmarkEnd w:id="0"/>
    </w:p>
    <w:p w14:paraId="2B7159AF" w14:textId="72910C64" w:rsidR="00C03274" w:rsidRDefault="00C03274" w:rsidP="005C7C8E">
      <w:pPr>
        <w:spacing w:after="0"/>
        <w:jc w:val="right"/>
        <w:rPr>
          <w:rFonts w:ascii="Verdana" w:hAnsi="Verdana"/>
        </w:rPr>
      </w:pPr>
    </w:p>
    <w:p w14:paraId="3F62CE92" w14:textId="77777777" w:rsidR="005C7C8E" w:rsidRDefault="005C7C8E" w:rsidP="007D5768">
      <w:pPr>
        <w:spacing w:after="0"/>
        <w:rPr>
          <w:rFonts w:ascii="Verdana" w:hAnsi="Verdana"/>
        </w:rPr>
      </w:pPr>
    </w:p>
    <w:p w14:paraId="54FC63A1" w14:textId="73A9F21F" w:rsidR="007D5768" w:rsidRPr="005E62E2" w:rsidRDefault="007D5768" w:rsidP="007D5768">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00022742">
        <w:rPr>
          <w:rFonts w:ascii="Verdana" w:eastAsia="Calibri" w:hAnsi="Verdana" w:cs="Arial"/>
          <w:lang w:eastAsia="es-ES"/>
        </w:rPr>
        <w:t>a</w:t>
      </w:r>
      <w:r w:rsidR="003A2ECF" w:rsidRPr="005E62E2">
        <w:rPr>
          <w:rFonts w:ascii="Verdana" w:eastAsia="Calibri" w:hAnsi="Verdana" w:cs="Arial"/>
          <w:lang w:eastAsia="es-ES"/>
        </w:rPr>
        <w:tab/>
      </w:r>
    </w:p>
    <w:p w14:paraId="66A1CD5C" w14:textId="7468C24A" w:rsidR="00022742" w:rsidRPr="005013A6" w:rsidRDefault="009D7B43" w:rsidP="00D261F9">
      <w:pPr>
        <w:spacing w:after="0" w:line="240" w:lineRule="auto"/>
        <w:rPr>
          <w:rFonts w:ascii="Verdana" w:eastAsia="Calibri" w:hAnsi="Verdana" w:cs="Arial"/>
          <w:b/>
          <w:bCs/>
          <w:color w:val="000000"/>
          <w:lang w:eastAsia="es-ES_tradnl"/>
        </w:rPr>
      </w:pPr>
      <w:r w:rsidRPr="005013A6">
        <w:rPr>
          <w:rFonts w:ascii="Verdana" w:eastAsia="Calibri" w:hAnsi="Verdana" w:cs="Arial"/>
          <w:b/>
          <w:bCs/>
          <w:color w:val="000000"/>
          <w:lang w:eastAsia="es-ES_tradnl"/>
        </w:rPr>
        <w:t>C</w:t>
      </w:r>
      <w:r w:rsidR="009000C8">
        <w:rPr>
          <w:rFonts w:ascii="Verdana" w:eastAsia="Calibri" w:hAnsi="Verdana" w:cs="Arial"/>
          <w:b/>
          <w:bCs/>
          <w:color w:val="000000"/>
          <w:lang w:eastAsia="es-ES_tradnl"/>
        </w:rPr>
        <w:t>arolina</w:t>
      </w:r>
      <w:r w:rsidRPr="005013A6">
        <w:rPr>
          <w:rFonts w:ascii="Verdana" w:eastAsia="Calibri" w:hAnsi="Verdana" w:cs="Arial"/>
          <w:b/>
          <w:bCs/>
          <w:color w:val="000000"/>
          <w:lang w:eastAsia="es-ES_tradnl"/>
        </w:rPr>
        <w:t xml:space="preserve"> C</w:t>
      </w:r>
      <w:r w:rsidR="009000C8">
        <w:rPr>
          <w:rFonts w:ascii="Verdana" w:eastAsia="Calibri" w:hAnsi="Verdana" w:cs="Arial"/>
          <w:b/>
          <w:bCs/>
          <w:color w:val="000000"/>
          <w:lang w:eastAsia="es-ES_tradnl"/>
        </w:rPr>
        <w:t>ruz</w:t>
      </w:r>
      <w:r w:rsidRPr="005013A6">
        <w:rPr>
          <w:rFonts w:ascii="Verdana" w:eastAsia="Calibri" w:hAnsi="Verdana" w:cs="Arial"/>
          <w:b/>
          <w:bCs/>
          <w:color w:val="000000"/>
          <w:lang w:eastAsia="es-ES_tradnl"/>
        </w:rPr>
        <w:t xml:space="preserve"> G</w:t>
      </w:r>
      <w:r w:rsidR="009000C8">
        <w:rPr>
          <w:rFonts w:ascii="Verdana" w:eastAsia="Calibri" w:hAnsi="Verdana" w:cs="Arial"/>
          <w:b/>
          <w:bCs/>
          <w:color w:val="000000"/>
          <w:lang w:eastAsia="es-ES_tradnl"/>
        </w:rPr>
        <w:t>omez</w:t>
      </w:r>
    </w:p>
    <w:p w14:paraId="0DD2F549" w14:textId="5D285706" w:rsidR="009D7B43" w:rsidRPr="005013A6" w:rsidRDefault="00212EB2" w:rsidP="007D5768">
      <w:pPr>
        <w:spacing w:after="0" w:line="240" w:lineRule="auto"/>
        <w:rPr>
          <w:rFonts w:ascii="Verdana" w:hAnsi="Verdana"/>
        </w:rPr>
      </w:pPr>
      <w:hyperlink r:id="rId12" w:history="1">
        <w:r w:rsidR="009D7B43" w:rsidRPr="005013A6">
          <w:rPr>
            <w:rStyle w:val="Hipervnculo"/>
            <w:rFonts w:ascii="Verdana" w:hAnsi="Verdana"/>
          </w:rPr>
          <w:t>carolina_cruz85@hotmail.com</w:t>
        </w:r>
      </w:hyperlink>
    </w:p>
    <w:p w14:paraId="3B7E2BE8" w14:textId="76F278E6" w:rsidR="00645CB7" w:rsidRDefault="00022742" w:rsidP="007D5768">
      <w:pPr>
        <w:spacing w:after="0" w:line="240" w:lineRule="auto"/>
        <w:rPr>
          <w:rFonts w:ascii="Verdana" w:eastAsia="Calibri" w:hAnsi="Verdana" w:cs="Arial"/>
          <w:b/>
          <w:bCs/>
          <w:color w:val="000000"/>
          <w:lang w:val="es-ES_tradnl" w:eastAsia="es-ES_tradnl"/>
        </w:rPr>
      </w:pPr>
      <w:r w:rsidRPr="005013A6">
        <w:rPr>
          <w:rFonts w:ascii="Verdana" w:hAnsi="Verdana"/>
        </w:rPr>
        <w:t>B</w:t>
      </w:r>
      <w:r w:rsidR="009D7B43" w:rsidRPr="005013A6">
        <w:rPr>
          <w:rFonts w:ascii="Verdana" w:hAnsi="Verdana"/>
        </w:rPr>
        <w:t>ucaramanga (Santander)</w:t>
      </w:r>
    </w:p>
    <w:p w14:paraId="27398075" w14:textId="77777777" w:rsidR="00022742" w:rsidRDefault="00022742"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0E1079D">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66C1B716"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DA0B2B">
              <w:rPr>
                <w:rFonts w:ascii="Verdana" w:eastAsia="Calibri" w:hAnsi="Verdana" w:cs="Arial"/>
                <w:b/>
                <w:bCs/>
                <w:lang w:val="es-ES" w:eastAsia="es-ES"/>
              </w:rPr>
              <w:t>3</w:t>
            </w:r>
            <w:r w:rsidR="00A52DE7">
              <w:rPr>
                <w:rFonts w:ascii="Verdana" w:eastAsia="Calibri" w:hAnsi="Verdana" w:cs="Arial"/>
                <w:b/>
                <w:bCs/>
                <w:lang w:val="es-ES" w:eastAsia="es-ES"/>
              </w:rPr>
              <w:t>77</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sidR="00FB76D0">
              <w:rPr>
                <w:rFonts w:ascii="Verdana" w:eastAsia="Calibri" w:hAnsi="Verdana" w:cs="Arial"/>
                <w:b/>
                <w:bCs/>
                <w:lang w:val="es-ES" w:eastAsia="es-ES"/>
              </w:rPr>
              <w:t>5</w:t>
            </w:r>
          </w:p>
        </w:tc>
      </w:tr>
      <w:tr w:rsidR="003F2418" w:rsidRPr="00A52DE7" w14:paraId="0E5838A4" w14:textId="77777777" w:rsidTr="00E1079D">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468F8A78" w14:textId="69CDD271" w:rsidR="008378C3" w:rsidRPr="00724B22" w:rsidRDefault="00724B22" w:rsidP="008378C3">
            <w:pPr>
              <w:jc w:val="both"/>
              <w:rPr>
                <w:rFonts w:ascii="Verdana" w:eastAsia="Calibri" w:hAnsi="Verdana" w:cs="Arial"/>
                <w:color w:val="000000"/>
                <w:lang w:val="es-ES_tradnl"/>
              </w:rPr>
            </w:pPr>
            <w:r w:rsidRPr="00724B22">
              <w:rPr>
                <w:rFonts w:ascii="Verdana" w:eastAsia="Calibri" w:hAnsi="Verdana" w:cs="Arial"/>
                <w:color w:val="000000"/>
                <w:lang w:val="es-ES_tradnl"/>
              </w:rPr>
              <w:t>FIDUCIA MERCANTIL- Concepto-</w:t>
            </w:r>
            <w:r w:rsidR="00503449">
              <w:rPr>
                <w:rFonts w:ascii="Verdana" w:eastAsia="Calibri" w:hAnsi="Verdana" w:cs="Arial"/>
                <w:color w:val="000000"/>
                <w:lang w:val="es-ES_tradnl"/>
              </w:rPr>
              <w:t xml:space="preserve"> </w:t>
            </w:r>
            <w:r w:rsidRPr="00724B22">
              <w:rPr>
                <w:rFonts w:ascii="Verdana" w:eastAsia="Calibri" w:hAnsi="Verdana" w:cs="Arial"/>
                <w:color w:val="000000"/>
                <w:lang w:val="es-ES_tradnl"/>
              </w:rPr>
              <w:t xml:space="preserve">Características-Patrimonio Autónomo - SECOP – </w:t>
            </w:r>
            <w:r w:rsidR="001E4A3E" w:rsidRPr="001E4A3E">
              <w:rPr>
                <w:rFonts w:ascii="Verdana" w:eastAsia="Calibri" w:hAnsi="Verdana" w:cs="Arial"/>
                <w:color w:val="000000"/>
                <w:lang w:val="es-ES_tradnl"/>
              </w:rPr>
              <w:t>PRINCIPIO DE PUBLICIDAD – Obligatoriedad de las autoridades administrativas</w:t>
            </w:r>
            <w:r w:rsidR="001E4A3E">
              <w:rPr>
                <w:rFonts w:ascii="Verdana" w:eastAsia="Calibri" w:hAnsi="Verdana" w:cs="Arial"/>
                <w:color w:val="000000"/>
                <w:lang w:val="es-ES_tradnl"/>
              </w:rPr>
              <w:t>-</w:t>
            </w:r>
            <w:r w:rsidR="001E4A3E">
              <w:t xml:space="preserve"> </w:t>
            </w:r>
            <w:r w:rsidR="001E4A3E" w:rsidRPr="001E4A3E">
              <w:rPr>
                <w:rFonts w:ascii="Verdana" w:eastAsia="Calibri" w:hAnsi="Verdana" w:cs="Arial"/>
                <w:color w:val="000000"/>
                <w:lang w:val="es-ES_tradnl"/>
              </w:rPr>
              <w:t xml:space="preserve">PRINCIPIO DE PUBLICIDAD – Publicación de actuaciones contractuales – </w:t>
            </w:r>
            <w:r w:rsidR="009000C8">
              <w:rPr>
                <w:rFonts w:ascii="Verdana" w:eastAsia="Calibri" w:hAnsi="Verdana" w:cs="Arial"/>
                <w:color w:val="000000"/>
                <w:lang w:val="es-ES_tradnl"/>
              </w:rPr>
              <w:t>Fiducia mercantil</w:t>
            </w:r>
            <w:r w:rsidR="001E4A3E">
              <w:rPr>
                <w:rFonts w:ascii="Verdana" w:eastAsia="Calibri" w:hAnsi="Verdana" w:cs="Arial"/>
                <w:color w:val="000000"/>
                <w:lang w:val="es-ES_tradnl"/>
              </w:rPr>
              <w:t>.</w:t>
            </w:r>
          </w:p>
          <w:p w14:paraId="6D1E6393" w14:textId="0D809102" w:rsidR="0008049C" w:rsidRPr="00A52DE7" w:rsidRDefault="0008049C" w:rsidP="0008049C">
            <w:pPr>
              <w:jc w:val="both"/>
              <w:rPr>
                <w:rFonts w:ascii="Verdana" w:hAnsi="Verdana" w:cs="Arial"/>
                <w:bCs/>
                <w:highlight w:val="yellow"/>
              </w:rPr>
            </w:pPr>
          </w:p>
          <w:p w14:paraId="62C72EB8" w14:textId="0103DA13" w:rsidR="00D261F9" w:rsidRPr="00A52DE7" w:rsidRDefault="00D261F9" w:rsidP="00E5035C">
            <w:pPr>
              <w:jc w:val="both"/>
              <w:rPr>
                <w:rFonts w:ascii="Verdana" w:eastAsia="Calibri" w:hAnsi="Verdana" w:cs="Arial"/>
                <w:b/>
                <w:highlight w:val="yellow"/>
                <w:lang w:val="es-ES" w:eastAsia="es-ES"/>
              </w:rPr>
            </w:pPr>
          </w:p>
        </w:tc>
      </w:tr>
      <w:tr w:rsidR="003F2418" w:rsidRPr="00593A5F" w14:paraId="09936C6F" w14:textId="77777777" w:rsidTr="00E1079D">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20809C23"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F84B83" w:rsidRPr="00F84B83">
              <w:rPr>
                <w:rFonts w:ascii="Verdana" w:eastAsia="Calibri" w:hAnsi="Verdana" w:cs="Arial"/>
                <w:lang w:val="es-ES_tradnl" w:eastAsia="es-ES_tradnl"/>
              </w:rPr>
              <w:t>P20250327002971</w:t>
            </w:r>
            <w:r w:rsidR="0047280E">
              <w:rPr>
                <w:rFonts w:ascii="Verdana" w:eastAsia="Calibri" w:hAnsi="Verdana" w:cs="Arial"/>
                <w:lang w:val="es-ES_tradnl" w:eastAsia="es-ES_tradnl"/>
              </w:rPr>
              <w:t>.</w:t>
            </w:r>
          </w:p>
        </w:tc>
      </w:tr>
      <w:tr w:rsidR="003F2418" w:rsidRPr="00DB23D2" w14:paraId="3D69289B" w14:textId="77777777" w:rsidTr="00E1079D">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4B12844C"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022742">
        <w:rPr>
          <w:rFonts w:ascii="Verdana" w:eastAsia="Calibri" w:hAnsi="Verdana" w:cs="Arial"/>
          <w:lang w:val="es-ES" w:eastAsia="es-ES"/>
        </w:rPr>
        <w:t>a</w:t>
      </w:r>
      <w:r w:rsidR="00EF4E84">
        <w:rPr>
          <w:rFonts w:ascii="Verdana" w:eastAsia="Calibri" w:hAnsi="Verdana" w:cs="Arial"/>
          <w:lang w:val="es-ES" w:eastAsia="es-ES"/>
        </w:rPr>
        <w:t xml:space="preserve"> </w:t>
      </w:r>
      <w:r w:rsidRPr="006730E9">
        <w:rPr>
          <w:rFonts w:ascii="Verdana" w:eastAsia="Calibri" w:hAnsi="Verdana" w:cs="Arial"/>
          <w:lang w:val="es-ES" w:eastAsia="es-ES"/>
        </w:rPr>
        <w:t>señor</w:t>
      </w:r>
      <w:r w:rsidR="00022742">
        <w:rPr>
          <w:rFonts w:ascii="Verdana" w:eastAsia="Calibri" w:hAnsi="Verdana" w:cs="Arial"/>
          <w:lang w:val="es-ES" w:eastAsia="es-ES"/>
        </w:rPr>
        <w:t>a</w:t>
      </w:r>
      <w:r w:rsidR="00EF4E84">
        <w:rPr>
          <w:rFonts w:ascii="Verdana" w:eastAsia="Calibri" w:hAnsi="Verdana" w:cs="Arial"/>
          <w:lang w:val="es-ES" w:eastAsia="es-ES"/>
        </w:rPr>
        <w:t xml:space="preserve"> </w:t>
      </w:r>
      <w:r w:rsidR="00B115DB">
        <w:rPr>
          <w:rFonts w:ascii="Verdana" w:eastAsia="Calibri" w:hAnsi="Verdana" w:cs="Arial"/>
          <w:lang w:val="es-ES" w:eastAsia="es-ES"/>
        </w:rPr>
        <w:t>Cruz</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6DC96C7F"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ED58AB">
        <w:rPr>
          <w:rFonts w:ascii="Verdana" w:eastAsia="Calibri" w:hAnsi="Verdana" w:cs="Arial"/>
          <w:lang w:val="es-ES" w:eastAsia="es-ES"/>
        </w:rPr>
        <w:t xml:space="preserve">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9B36E7">
        <w:rPr>
          <w:rFonts w:ascii="Verdana" w:eastAsia="Calibri" w:hAnsi="Verdana" w:cs="Arial"/>
          <w:lang w:val="es-ES" w:eastAsia="es-ES"/>
        </w:rPr>
        <w:t>20</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DA0B2B">
        <w:rPr>
          <w:rFonts w:ascii="Verdana" w:eastAsia="Calibri" w:hAnsi="Verdana" w:cs="Arial"/>
          <w:lang w:val="es-ES" w:eastAsia="es-ES"/>
        </w:rPr>
        <w:t>marzo</w:t>
      </w:r>
      <w:r w:rsidRPr="00E5644F">
        <w:rPr>
          <w:rFonts w:ascii="Verdana" w:eastAsia="Calibri" w:hAnsi="Verdana" w:cs="Arial"/>
          <w:lang w:val="es-ES" w:eastAsia="es-ES"/>
        </w:rPr>
        <w:t xml:space="preserve"> de</w:t>
      </w:r>
      <w:r w:rsidR="00955D18">
        <w:rPr>
          <w:rFonts w:ascii="Verdana" w:eastAsia="Calibri" w:hAnsi="Verdana" w:cs="Arial"/>
          <w:lang w:val="es-ES" w:eastAsia="es-ES"/>
        </w:rPr>
        <w:t xml:space="preserve"> </w:t>
      </w:r>
      <w:r w:rsidRPr="00E5644F">
        <w:rPr>
          <w:rFonts w:ascii="Verdana" w:eastAsia="Calibri" w:hAnsi="Verdana" w:cs="Arial"/>
          <w:lang w:val="es-ES" w:eastAsia="es-ES"/>
        </w:rPr>
        <w:t>202</w:t>
      </w:r>
      <w:r w:rsidR="00955D18">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755A614E" w14:textId="055AA198" w:rsidR="009D7B43" w:rsidRPr="00B115DB" w:rsidRDefault="00022742" w:rsidP="009D7B43">
      <w:pPr>
        <w:pStyle w:val="Prrafodelista"/>
        <w:tabs>
          <w:tab w:val="left" w:pos="142"/>
          <w:tab w:val="left" w:pos="567"/>
        </w:tabs>
        <w:ind w:left="567" w:right="709"/>
        <w:jc w:val="both"/>
        <w:rPr>
          <w:rFonts w:ascii="Verdana" w:eastAsia="Century Gothic" w:hAnsi="Verdana" w:cs="Century Gothic"/>
          <w:i/>
          <w:iCs/>
        </w:rPr>
      </w:pPr>
      <w:r>
        <w:rPr>
          <w:rFonts w:ascii="Verdana" w:eastAsia="Century Gothic" w:hAnsi="Verdana" w:cs="Century Gothic"/>
          <w:i/>
          <w:iCs/>
          <w:lang w:val="es-CO"/>
        </w:rPr>
        <w:t xml:space="preserve">   </w:t>
      </w:r>
      <w:r w:rsidR="00E6781E" w:rsidRPr="009D04B0">
        <w:rPr>
          <w:rFonts w:ascii="Verdana" w:eastAsia="Century Gothic" w:hAnsi="Verdana" w:cs="Century Gothic"/>
          <w:i/>
          <w:iCs/>
          <w:lang w:val="es-CO"/>
        </w:rPr>
        <w:t>“</w:t>
      </w:r>
      <w:r w:rsidR="00FB76D0" w:rsidRPr="009D04B0">
        <w:rPr>
          <w:rFonts w:ascii="Verdana" w:eastAsia="Century Gothic" w:hAnsi="Verdana" w:cs="Century Gothic"/>
          <w:i/>
          <w:iCs/>
          <w:lang w:val="es-CO"/>
        </w:rPr>
        <w:t>(…)</w:t>
      </w:r>
      <w:r w:rsidR="009D7B43">
        <w:rPr>
          <w:rFonts w:ascii="Verdana" w:eastAsia="Century Gothic" w:hAnsi="Verdana" w:cs="Century Gothic"/>
          <w:i/>
          <w:iCs/>
          <w:lang w:val="es-CO"/>
        </w:rPr>
        <w:t xml:space="preserve"> </w:t>
      </w:r>
      <w:r w:rsidR="009D7B43" w:rsidRPr="009D7B43">
        <w:rPr>
          <w:rFonts w:ascii="Verdana" w:eastAsia="Century Gothic" w:hAnsi="Verdana" w:cs="Century Gothic"/>
          <w:i/>
          <w:iCs/>
        </w:rPr>
        <w:t>Puede una entidad estatal celebrar contratos en calidad de contratante a través de</w:t>
      </w:r>
      <w:r w:rsidR="009D7B43">
        <w:rPr>
          <w:rFonts w:ascii="Verdana" w:eastAsia="Century Gothic" w:hAnsi="Verdana" w:cs="Century Gothic"/>
          <w:i/>
          <w:iCs/>
        </w:rPr>
        <w:t xml:space="preserve"> </w:t>
      </w:r>
      <w:r w:rsidR="009D7B43" w:rsidRPr="009D7B43">
        <w:rPr>
          <w:rFonts w:ascii="Verdana" w:eastAsia="Century Gothic" w:hAnsi="Verdana" w:cs="Century Gothic"/>
          <w:i/>
          <w:iCs/>
        </w:rPr>
        <w:t>la plataforma SECOP II y pagar a través de un patrimonio autónomo las</w:t>
      </w:r>
      <w:r w:rsidR="009D7B43">
        <w:rPr>
          <w:rFonts w:ascii="Verdana" w:eastAsia="Century Gothic" w:hAnsi="Verdana" w:cs="Century Gothic"/>
          <w:i/>
          <w:iCs/>
        </w:rPr>
        <w:t xml:space="preserve"> </w:t>
      </w:r>
      <w:r w:rsidR="009D7B43" w:rsidRPr="009D7B43">
        <w:rPr>
          <w:rFonts w:ascii="Verdana" w:eastAsia="Century Gothic" w:hAnsi="Verdana" w:cs="Century Gothic"/>
          <w:i/>
          <w:iCs/>
        </w:rPr>
        <w:t>obligaciones adquiridas? El PA se constituyó para la administración y pagos de los</w:t>
      </w:r>
      <w:r w:rsidR="009D7B43">
        <w:rPr>
          <w:rFonts w:ascii="Verdana" w:eastAsia="Century Gothic" w:hAnsi="Verdana" w:cs="Century Gothic"/>
          <w:i/>
          <w:iCs/>
        </w:rPr>
        <w:t xml:space="preserve"> </w:t>
      </w:r>
      <w:r w:rsidR="009D7B43" w:rsidRPr="009D7B43">
        <w:rPr>
          <w:rFonts w:ascii="Verdana" w:eastAsia="Century Gothic" w:hAnsi="Verdana" w:cs="Century Gothic"/>
          <w:i/>
          <w:iCs/>
        </w:rPr>
        <w:t>contratos que la entidad estatal ordenará en aras de desarrollar los proyectos de</w:t>
      </w:r>
      <w:r w:rsidR="009D7B43">
        <w:rPr>
          <w:rFonts w:ascii="Verdana" w:eastAsia="Century Gothic" w:hAnsi="Verdana" w:cs="Century Gothic"/>
          <w:i/>
          <w:iCs/>
        </w:rPr>
        <w:t xml:space="preserve"> </w:t>
      </w:r>
      <w:r w:rsidR="009D7B43" w:rsidRPr="009D7B43">
        <w:rPr>
          <w:rFonts w:ascii="Verdana" w:eastAsia="Century Gothic" w:hAnsi="Verdana" w:cs="Century Gothic"/>
          <w:i/>
          <w:iCs/>
        </w:rPr>
        <w:t xml:space="preserve">vivienda, lo anterior, en razón, a que, la entidad buscaba mantener </w:t>
      </w:r>
      <w:r w:rsidR="009D7B43" w:rsidRPr="009D7B43">
        <w:rPr>
          <w:rFonts w:ascii="Verdana" w:eastAsia="Century Gothic" w:hAnsi="Verdana" w:cs="Century Gothic"/>
          <w:i/>
          <w:iCs/>
        </w:rPr>
        <w:lastRenderedPageBreak/>
        <w:t>la selección de</w:t>
      </w:r>
      <w:r w:rsidR="009D7B43">
        <w:rPr>
          <w:rFonts w:ascii="Verdana" w:eastAsia="Century Gothic" w:hAnsi="Verdana" w:cs="Century Gothic"/>
          <w:i/>
          <w:iCs/>
        </w:rPr>
        <w:t xml:space="preserve"> </w:t>
      </w:r>
      <w:r w:rsidR="009D7B43" w:rsidRPr="009D7B43">
        <w:rPr>
          <w:rFonts w:ascii="Verdana" w:eastAsia="Century Gothic" w:hAnsi="Verdana" w:cs="Century Gothic"/>
          <w:i/>
          <w:iCs/>
        </w:rPr>
        <w:t>los contratistas a través de las modalidades de selección de la Ley 80, sin embargo,</w:t>
      </w:r>
      <w:r w:rsidR="009D7B43">
        <w:rPr>
          <w:rFonts w:ascii="Verdana" w:eastAsia="Century Gothic" w:hAnsi="Verdana" w:cs="Century Gothic"/>
          <w:i/>
          <w:iCs/>
        </w:rPr>
        <w:t xml:space="preserve"> </w:t>
      </w:r>
      <w:r w:rsidR="009D7B43" w:rsidRPr="009D7B43">
        <w:rPr>
          <w:rFonts w:ascii="Verdana" w:eastAsia="Century Gothic" w:hAnsi="Verdana" w:cs="Century Gothic"/>
          <w:i/>
          <w:iCs/>
        </w:rPr>
        <w:t>el pago de la obligaciones será a través del patrimonio autónomo. El contrato de</w:t>
      </w:r>
      <w:r w:rsidR="009D7B43">
        <w:rPr>
          <w:rFonts w:ascii="Verdana" w:eastAsia="Century Gothic" w:hAnsi="Verdana" w:cs="Century Gothic"/>
          <w:i/>
          <w:iCs/>
        </w:rPr>
        <w:t xml:space="preserve"> </w:t>
      </w:r>
      <w:r w:rsidR="009D7B43" w:rsidRPr="009D7B43">
        <w:rPr>
          <w:rFonts w:ascii="Verdana" w:eastAsia="Century Gothic" w:hAnsi="Verdana" w:cs="Century Gothic"/>
          <w:i/>
          <w:iCs/>
        </w:rPr>
        <w:t>fiducia mercantil para la constitución del patrimonio autónomo para proyectos de</w:t>
      </w:r>
      <w:r w:rsidR="009D7B43">
        <w:rPr>
          <w:rFonts w:ascii="Verdana" w:eastAsia="Century Gothic" w:hAnsi="Verdana" w:cs="Century Gothic"/>
          <w:i/>
          <w:iCs/>
        </w:rPr>
        <w:t xml:space="preserve"> </w:t>
      </w:r>
      <w:r w:rsidR="009D7B43" w:rsidRPr="009D7B43">
        <w:rPr>
          <w:rFonts w:ascii="Verdana" w:eastAsia="Century Gothic" w:hAnsi="Verdana" w:cs="Century Gothic"/>
          <w:i/>
          <w:iCs/>
        </w:rPr>
        <w:t>vivienda se encuentra exceptuado de la rigurosidad de la Ley 80, y se rige por el</w:t>
      </w:r>
      <w:r w:rsidR="009D7B43">
        <w:rPr>
          <w:rFonts w:ascii="Verdana" w:eastAsia="Century Gothic" w:hAnsi="Verdana" w:cs="Century Gothic"/>
          <w:i/>
          <w:iCs/>
        </w:rPr>
        <w:t xml:space="preserve"> </w:t>
      </w:r>
      <w:r w:rsidR="009D7B43" w:rsidRPr="009D7B43">
        <w:rPr>
          <w:rFonts w:ascii="Verdana" w:eastAsia="Century Gothic" w:hAnsi="Verdana" w:cs="Century Gothic"/>
          <w:i/>
          <w:iCs/>
          <w:lang w:val="es-CO"/>
        </w:rPr>
        <w:t>derecho privado, es obligatoria su publicación en el SECOP II?.</w:t>
      </w:r>
    </w:p>
    <w:p w14:paraId="4A1949FF" w14:textId="297242B4" w:rsidR="00955D18" w:rsidRPr="00022742" w:rsidRDefault="009D04B0" w:rsidP="00B115DB">
      <w:pPr>
        <w:tabs>
          <w:tab w:val="left" w:pos="142"/>
          <w:tab w:val="left" w:pos="567"/>
        </w:tabs>
        <w:ind w:left="567" w:right="709"/>
        <w:jc w:val="both"/>
        <w:rPr>
          <w:rFonts w:ascii="Verdana" w:eastAsia="Century Gothic" w:hAnsi="Verdana" w:cs="Century Gothic"/>
          <w:i/>
          <w:iCs/>
        </w:rPr>
      </w:pPr>
      <w:r w:rsidRPr="00022742">
        <w:rPr>
          <w:rFonts w:ascii="Verdana" w:eastAsia="Century Gothic" w:hAnsi="Verdana" w:cs="Century Gothic"/>
          <w:i/>
          <w:iCs/>
        </w:rPr>
        <w:t>(…)</w:t>
      </w:r>
      <w:r w:rsidR="008A772E" w:rsidRPr="00022742">
        <w:rPr>
          <w:rFonts w:ascii="Verdana" w:eastAsia="Century Gothic" w:hAnsi="Verdana" w:cs="Century Gothic"/>
          <w:i/>
          <w:iCs/>
        </w:rPr>
        <w:t>”</w:t>
      </w:r>
      <w:r w:rsidR="00955D18" w:rsidRPr="00022742">
        <w:rPr>
          <w:rFonts w:ascii="Verdana" w:eastAsia="Century Gothic" w:hAnsi="Verdana" w:cs="Century Gothic"/>
          <w:i/>
          <w:iCs/>
        </w:rPr>
        <w:t xml:space="preserve"> </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2857582B"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00E21BD1" w:rsidRPr="00E21BD1">
        <w:t xml:space="preserve"> </w:t>
      </w:r>
    </w:p>
    <w:p w14:paraId="1CE7668C" w14:textId="77777777" w:rsidR="000F4D98" w:rsidRDefault="000F4D9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632E0F47" w:rsidR="007D5768"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sidR="00E136A2">
        <w:rPr>
          <w:rFonts w:ascii="Verdana" w:eastAsia="Century Gothic" w:hAnsi="Verdana" w:cs="Century Gothic"/>
          <w:b/>
          <w:bCs/>
        </w:rPr>
        <w:t xml:space="preserve">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1CBB0F77" w14:textId="77777777" w:rsidR="00E21BD1" w:rsidRDefault="00E21BD1" w:rsidP="00E21BD1">
      <w:pPr>
        <w:pStyle w:val="Prrafodelista"/>
        <w:tabs>
          <w:tab w:val="left" w:pos="142"/>
          <w:tab w:val="left" w:pos="284"/>
        </w:tabs>
        <w:spacing w:after="0" w:line="276" w:lineRule="auto"/>
        <w:ind w:left="0"/>
        <w:jc w:val="both"/>
        <w:rPr>
          <w:rFonts w:ascii="Verdana" w:eastAsia="Century Gothic" w:hAnsi="Verdana" w:cs="Century Gothic"/>
          <w:b/>
          <w:bCs/>
        </w:rPr>
      </w:pPr>
    </w:p>
    <w:p w14:paraId="1C76F658" w14:textId="0697524F" w:rsidR="009D7B43" w:rsidRDefault="00E21BD1" w:rsidP="00E21BD1">
      <w:pPr>
        <w:pStyle w:val="Prrafodelista"/>
        <w:tabs>
          <w:tab w:val="left" w:pos="142"/>
          <w:tab w:val="left" w:pos="284"/>
        </w:tabs>
        <w:spacing w:after="0" w:line="276" w:lineRule="auto"/>
        <w:ind w:left="0"/>
        <w:jc w:val="both"/>
        <w:rPr>
          <w:rFonts w:ascii="Verdana" w:eastAsia="Calibri" w:hAnsi="Verdana" w:cs="Arial"/>
          <w:lang w:val="es-CO" w:eastAsia="es-ES"/>
        </w:rPr>
      </w:pPr>
      <w:r>
        <w:rPr>
          <w:rFonts w:ascii="Verdana" w:eastAsia="Calibri" w:hAnsi="Verdana" w:cs="Arial"/>
          <w:lang w:eastAsia="es-ES"/>
        </w:rPr>
        <w:tab/>
      </w:r>
      <w:r>
        <w:rPr>
          <w:rFonts w:ascii="Verdana" w:eastAsia="Calibri" w:hAnsi="Verdana" w:cs="Arial"/>
          <w:lang w:eastAsia="es-ES"/>
        </w:rPr>
        <w:tab/>
      </w:r>
      <w:r w:rsidR="004E2AB9">
        <w:rPr>
          <w:rFonts w:ascii="Verdana" w:eastAsia="Calibri" w:hAnsi="Verdana" w:cs="Arial"/>
          <w:lang w:eastAsia="es-ES"/>
        </w:rPr>
        <w:t xml:space="preserve">    </w:t>
      </w:r>
      <w:r w:rsidRPr="00E21BD1">
        <w:rPr>
          <w:rFonts w:ascii="Verdana" w:eastAsia="Calibri" w:hAnsi="Verdana" w:cs="Arial"/>
          <w:lang w:eastAsia="es-ES"/>
        </w:rPr>
        <w:t xml:space="preserve">De acuerdo con el contenido de su solicitud, esta Agencia resolverá el siguiente problema jurídico: </w:t>
      </w:r>
      <w:bookmarkStart w:id="5" w:name="_Hlk196737317"/>
      <w:r w:rsidR="004E2AB9" w:rsidRPr="004E2AB9">
        <w:rPr>
          <w:rFonts w:ascii="Verdana" w:eastAsia="Calibri" w:hAnsi="Verdana" w:cs="Arial"/>
          <w:lang w:val="es-CO" w:eastAsia="es-ES"/>
        </w:rPr>
        <w:t xml:space="preserve">¿Puede una entidad estatal celebrar contratos conforme a la Ley 80 de 1993 a través del SECOP II, financiados con recursos </w:t>
      </w:r>
      <w:r w:rsidR="004E2AB9" w:rsidRPr="004E2AB9">
        <w:rPr>
          <w:rFonts w:ascii="Verdana" w:eastAsia="Calibri" w:hAnsi="Verdana" w:cs="Arial"/>
          <w:lang w:val="es-CO" w:eastAsia="es-ES"/>
        </w:rPr>
        <w:lastRenderedPageBreak/>
        <w:t xml:space="preserve">de patrimonios autónomos constituidos mediante </w:t>
      </w:r>
      <w:r w:rsidR="004E2AB9">
        <w:rPr>
          <w:rFonts w:ascii="Verdana" w:eastAsia="Calibri" w:hAnsi="Verdana" w:cs="Arial"/>
          <w:lang w:val="es-CO" w:eastAsia="es-ES"/>
        </w:rPr>
        <w:t>un contrato</w:t>
      </w:r>
      <w:r w:rsidR="004E2AB9" w:rsidRPr="004E2AB9">
        <w:rPr>
          <w:rFonts w:ascii="Verdana" w:eastAsia="Calibri" w:hAnsi="Verdana" w:cs="Arial"/>
          <w:lang w:val="es-CO" w:eastAsia="es-ES"/>
        </w:rPr>
        <w:t xml:space="preserve"> de fiducia mercantil?</w:t>
      </w:r>
    </w:p>
    <w:p w14:paraId="2F3A121A" w14:textId="77777777" w:rsidR="00B115DB" w:rsidRDefault="00B115DB" w:rsidP="00E21BD1">
      <w:pPr>
        <w:pStyle w:val="Prrafodelista"/>
        <w:tabs>
          <w:tab w:val="left" w:pos="142"/>
          <w:tab w:val="left" w:pos="284"/>
        </w:tabs>
        <w:spacing w:after="0" w:line="276" w:lineRule="auto"/>
        <w:ind w:left="0"/>
        <w:jc w:val="both"/>
        <w:rPr>
          <w:rFonts w:ascii="Verdana" w:eastAsia="Calibri" w:hAnsi="Verdana" w:cs="Arial"/>
          <w:lang w:val="es-CO" w:eastAsia="es-ES"/>
        </w:rPr>
      </w:pPr>
    </w:p>
    <w:bookmarkEnd w:id="5"/>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5581C2FE" w14:textId="0A9C2D3E" w:rsidR="00237F82" w:rsidRPr="009000C8" w:rsidRDefault="009000C8" w:rsidP="007C4B5D">
            <w:pPr>
              <w:widowControl w:val="0"/>
              <w:autoSpaceDE w:val="0"/>
              <w:autoSpaceDN w:val="0"/>
              <w:spacing w:line="276" w:lineRule="auto"/>
              <w:jc w:val="both"/>
              <w:rPr>
                <w:rFonts w:ascii="Verdana" w:eastAsia="Calibri" w:hAnsi="Verdana" w:cs="Arial"/>
                <w:bCs/>
                <w:lang w:val="es-ES_tradnl"/>
              </w:rPr>
            </w:pPr>
            <w:r w:rsidRPr="009000C8">
              <w:rPr>
                <w:rFonts w:ascii="Verdana" w:hAnsi="Verdana"/>
              </w:rPr>
              <w:t>De manera preliminar es pertinente indicar, que un patrimonio autónomo es un conjunto de bienes, recursos y derechos administrados por una sociedad fiduciaria a través de un contrato de fiducia mercantil. La Ley 80 de 1993 permite realizar negocios fiduciarios, siempre que tengan por objeto la administración o el manejo de los recursos vinculados a los contratos estatales, por lo que si es posible el pago de obligaciones a través de un patrimonio autónomo. No obstante, en cada caso deberá analizarse que tenga relación con el contrato y las condiciones estipuladas en su creación.</w:t>
            </w:r>
          </w:p>
          <w:p w14:paraId="240B0121" w14:textId="3A00C3A9" w:rsidR="00CC277F" w:rsidRPr="009000C8" w:rsidRDefault="00FD1A7E" w:rsidP="009000C8">
            <w:pPr>
              <w:spacing w:line="276" w:lineRule="auto"/>
              <w:ind w:firstLine="360"/>
              <w:contextualSpacing/>
              <w:jc w:val="both"/>
              <w:rPr>
                <w:rFonts w:ascii="Verdana" w:eastAsia="Calibri" w:hAnsi="Verdana" w:cs="Times New Roman"/>
                <w:lang w:val="es-ES"/>
              </w:rPr>
            </w:pPr>
            <w:r w:rsidRPr="009000C8">
              <w:rPr>
                <w:rFonts w:ascii="Verdana" w:eastAsia="Calibri" w:hAnsi="Verdana" w:cs="Arial"/>
                <w:bCs/>
                <w:color w:val="000000" w:themeColor="text1"/>
              </w:rPr>
              <w:t xml:space="preserve">       </w:t>
            </w:r>
            <w:r w:rsidR="009000C8" w:rsidRPr="009000C8">
              <w:rPr>
                <w:rFonts w:ascii="Verdana" w:hAnsi="Verdana"/>
              </w:rPr>
              <w:t>Ahora bien, cuando una entidad estatal constituye un patrimonio autónomo los recursos siguen siendo recursos públicos y los contratos fiduciarios derivados del mismo deben publicarse en el SECOP II por la entidad estatal que los suscriba de acuerdo con el régimen jurídico aplicable.</w:t>
            </w:r>
          </w:p>
          <w:p w14:paraId="6C600084" w14:textId="77777777" w:rsidR="009000C8" w:rsidRPr="009000C8" w:rsidRDefault="009000C8" w:rsidP="009000C8">
            <w:pPr>
              <w:spacing w:line="276" w:lineRule="auto"/>
              <w:ind w:firstLine="882"/>
              <w:contextualSpacing/>
              <w:jc w:val="both"/>
              <w:rPr>
                <w:rFonts w:ascii="Verdana" w:hAnsi="Verdana"/>
              </w:rPr>
            </w:pPr>
            <w:r w:rsidRPr="009000C8">
              <w:rPr>
                <w:rFonts w:ascii="Verdana" w:hAnsi="Verdana"/>
              </w:rPr>
              <w:t xml:space="preserve">Sin perjuicio de lo anterior, debe advertirse que el análisis para resolver problemas específicos en torno a procedimientos contractuales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47EEB54F" w14:textId="7A997665" w:rsidR="009000C8" w:rsidRPr="00831CDD" w:rsidRDefault="009000C8" w:rsidP="009000C8">
            <w:pPr>
              <w:spacing w:line="276" w:lineRule="auto"/>
              <w:ind w:firstLine="882"/>
              <w:contextualSpacing/>
              <w:jc w:val="both"/>
              <w:rPr>
                <w:rFonts w:ascii="Verdana" w:hAnsi="Verdana" w:cs="Arial"/>
                <w:bCs/>
                <w:color w:val="000000" w:themeColor="text1"/>
              </w:rPr>
            </w:pPr>
            <w:r w:rsidRPr="009000C8">
              <w:rPr>
                <w:rFonts w:ascii="Verdana"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3FCEBE93" w14:textId="77777777" w:rsidR="007630C8" w:rsidRPr="007630C8" w:rsidRDefault="007630C8" w:rsidP="009000C8">
      <w:pPr>
        <w:spacing w:after="0" w:line="276" w:lineRule="auto"/>
        <w:jc w:val="both"/>
        <w:rPr>
          <w:rFonts w:ascii="Verdana" w:eastAsia="MS Mincho" w:hAnsi="Verdana" w:cs="Arial"/>
          <w:lang w:val="es-ES" w:eastAsia="es-CO"/>
        </w:rPr>
      </w:pPr>
      <w:r w:rsidRPr="007630C8">
        <w:rPr>
          <w:rFonts w:ascii="Verdana" w:eastAsia="MS Mincho" w:hAnsi="Verdana" w:cs="Arial"/>
          <w:lang w:val="es-ES" w:eastAsia="es-CO"/>
        </w:rPr>
        <w:t xml:space="preserve">El </w:t>
      </w:r>
      <w:bookmarkStart w:id="6" w:name="_Hlk196748938"/>
      <w:r w:rsidRPr="007630C8">
        <w:rPr>
          <w:rFonts w:ascii="Verdana" w:eastAsia="MS Mincho" w:hAnsi="Verdana" w:cs="Arial"/>
          <w:lang w:val="es-ES" w:eastAsia="es-CO"/>
        </w:rPr>
        <w:t>Código de Comercio define el contrato de fiducia mercantil en su artículo 1.226</w:t>
      </w:r>
      <w:bookmarkEnd w:id="6"/>
      <w:r w:rsidRPr="007630C8">
        <w:rPr>
          <w:rFonts w:ascii="Verdana" w:eastAsia="MS Mincho" w:hAnsi="Verdana" w:cs="Arial"/>
          <w:lang w:val="es-ES" w:eastAsia="es-CO"/>
        </w:rPr>
        <w:t>, estableciendo como elementos característicos del negocio jurídico: i) la existencia de al menos dos sujetos: fiduciante y fiduciario y ii) la transferencia de los bienes fideicomitidos, con el siguiente tenor:</w:t>
      </w:r>
    </w:p>
    <w:p w14:paraId="7971E5F7" w14:textId="77777777" w:rsidR="007630C8" w:rsidRPr="007630C8" w:rsidRDefault="007630C8" w:rsidP="007630C8">
      <w:pPr>
        <w:spacing w:after="0" w:line="240" w:lineRule="auto"/>
        <w:ind w:left="1008" w:right="956"/>
        <w:jc w:val="both"/>
        <w:rPr>
          <w:rFonts w:ascii="Verdana" w:eastAsia="Calibri" w:hAnsi="Verdana" w:cs="Arial"/>
          <w:lang w:val="es-ES_tradnl"/>
        </w:rPr>
      </w:pPr>
    </w:p>
    <w:p w14:paraId="21902965" w14:textId="77777777" w:rsidR="007630C8" w:rsidRPr="007630C8" w:rsidRDefault="007630C8" w:rsidP="007630C8">
      <w:pPr>
        <w:spacing w:after="0" w:line="240" w:lineRule="auto"/>
        <w:ind w:left="709" w:right="709"/>
        <w:jc w:val="both"/>
        <w:rPr>
          <w:rFonts w:ascii="Verdana" w:eastAsia="Calibri" w:hAnsi="Verdana" w:cs="Arial"/>
          <w:sz w:val="20"/>
          <w:szCs w:val="20"/>
          <w:lang w:val="es-ES_tradnl"/>
        </w:rPr>
      </w:pPr>
      <w:r w:rsidRPr="007630C8">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7630C8">
        <w:rPr>
          <w:rFonts w:ascii="Verdana" w:eastAsia="Calibri" w:hAnsi="Verdana" w:cs="Arial"/>
          <w:spacing w:val="-5"/>
          <w:sz w:val="20"/>
          <w:szCs w:val="20"/>
          <w:lang w:val="es-ES_tradnl"/>
        </w:rPr>
        <w:t xml:space="preserve"> </w:t>
      </w:r>
      <w:r w:rsidRPr="007630C8">
        <w:rPr>
          <w:rFonts w:ascii="Verdana" w:eastAsia="Calibri" w:hAnsi="Verdana" w:cs="Arial"/>
          <w:sz w:val="20"/>
          <w:szCs w:val="20"/>
          <w:lang w:val="es-ES_tradnl"/>
        </w:rPr>
        <w:t>fideicomisario.</w:t>
      </w:r>
    </w:p>
    <w:p w14:paraId="3290DA7D" w14:textId="77777777" w:rsidR="007630C8" w:rsidRPr="007630C8" w:rsidRDefault="007630C8" w:rsidP="007630C8">
      <w:pPr>
        <w:spacing w:after="0" w:line="240" w:lineRule="auto"/>
        <w:ind w:left="709" w:right="709"/>
        <w:jc w:val="both"/>
        <w:rPr>
          <w:rFonts w:ascii="Verdana" w:eastAsia="Calibri" w:hAnsi="Verdana" w:cs="Arial"/>
          <w:sz w:val="20"/>
          <w:szCs w:val="20"/>
          <w:lang w:val="es-ES_tradnl"/>
        </w:rPr>
      </w:pPr>
    </w:p>
    <w:p w14:paraId="7A1ABC3B" w14:textId="77777777" w:rsidR="007630C8" w:rsidRPr="007630C8" w:rsidRDefault="007630C8" w:rsidP="007630C8">
      <w:pPr>
        <w:spacing w:after="0" w:line="240" w:lineRule="auto"/>
        <w:ind w:left="709" w:right="709"/>
        <w:jc w:val="both"/>
        <w:rPr>
          <w:rFonts w:ascii="Verdana" w:eastAsia="Calibri" w:hAnsi="Verdana" w:cs="Arial"/>
          <w:sz w:val="20"/>
          <w:szCs w:val="20"/>
          <w:lang w:val="es-ES_tradnl"/>
        </w:rPr>
      </w:pPr>
      <w:r w:rsidRPr="007630C8">
        <w:rPr>
          <w:rFonts w:ascii="Verdana" w:eastAsia="Calibri" w:hAnsi="Verdana" w:cs="Arial"/>
          <w:sz w:val="20"/>
          <w:szCs w:val="20"/>
          <w:lang w:val="es-ES_tradnl"/>
        </w:rPr>
        <w:t>Una persona puede ser al mismo tiempo fiduciante y beneficiario.</w:t>
      </w:r>
    </w:p>
    <w:p w14:paraId="6EB426EE" w14:textId="77777777" w:rsidR="007630C8" w:rsidRPr="007630C8" w:rsidRDefault="007630C8" w:rsidP="007630C8">
      <w:pPr>
        <w:spacing w:after="0" w:line="240" w:lineRule="auto"/>
        <w:ind w:left="709" w:right="709"/>
        <w:jc w:val="both"/>
        <w:rPr>
          <w:rFonts w:ascii="Verdana" w:eastAsia="Calibri" w:hAnsi="Verdana" w:cs="Arial"/>
          <w:sz w:val="20"/>
          <w:szCs w:val="20"/>
          <w:lang w:val="es-ES_tradnl"/>
        </w:rPr>
      </w:pPr>
    </w:p>
    <w:p w14:paraId="10467046" w14:textId="77777777" w:rsidR="007630C8" w:rsidRPr="007630C8" w:rsidRDefault="007630C8" w:rsidP="007630C8">
      <w:pPr>
        <w:spacing w:after="0" w:line="240" w:lineRule="auto"/>
        <w:ind w:left="709" w:right="709"/>
        <w:jc w:val="both"/>
        <w:rPr>
          <w:rFonts w:ascii="Verdana" w:eastAsia="Calibri" w:hAnsi="Verdana" w:cs="Arial"/>
          <w:sz w:val="20"/>
          <w:szCs w:val="20"/>
          <w:lang w:val="es-ES_tradnl"/>
        </w:rPr>
      </w:pPr>
      <w:r w:rsidRPr="007630C8">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794DF1FC" w14:textId="77777777" w:rsidR="007630C8" w:rsidRPr="007630C8" w:rsidRDefault="007630C8" w:rsidP="007630C8">
      <w:pPr>
        <w:spacing w:before="2" w:after="0" w:line="240" w:lineRule="auto"/>
        <w:ind w:left="709" w:right="709"/>
        <w:jc w:val="both"/>
        <w:rPr>
          <w:rFonts w:ascii="Verdana" w:eastAsia="MS Mincho" w:hAnsi="Verdana" w:cs="Arial"/>
          <w:lang w:val="es-ES_tradnl" w:eastAsia="es-CO"/>
        </w:rPr>
      </w:pPr>
    </w:p>
    <w:p w14:paraId="3E495878" w14:textId="77777777" w:rsidR="007630C8" w:rsidRPr="007630C8" w:rsidRDefault="007630C8" w:rsidP="007630C8">
      <w:pPr>
        <w:spacing w:after="120" w:line="276" w:lineRule="auto"/>
        <w:ind w:firstLine="709"/>
        <w:jc w:val="both"/>
        <w:rPr>
          <w:rFonts w:ascii="Verdana" w:eastAsia="MS Mincho" w:hAnsi="Verdana" w:cs="Arial"/>
          <w:lang w:val="es-ES_tradnl" w:eastAsia="es-CO"/>
        </w:rPr>
      </w:pPr>
      <w:r w:rsidRPr="007630C8">
        <w:rPr>
          <w:rFonts w:ascii="Verdana" w:eastAsia="MS Mincho" w:hAnsi="Verdana" w:cs="Arial"/>
          <w:lang w:val="es-ES_tradnl" w:eastAsia="es-CO"/>
        </w:rPr>
        <w:t xml:space="preserve">Dadas estas características particulares, el contrato de fiducia mercantil es diferente del contrato de fiducia pública, regulado en el </w:t>
      </w:r>
      <w:bookmarkStart w:id="7" w:name="_Hlk196748949"/>
      <w:r w:rsidRPr="007630C8">
        <w:rPr>
          <w:rFonts w:ascii="Verdana" w:eastAsia="MS Mincho" w:hAnsi="Verdana" w:cs="Arial"/>
          <w:lang w:val="es-ES_tradnl" w:eastAsia="es-CO"/>
        </w:rPr>
        <w:t>numeral 5º del artículo 32 de la Ley 80 de 1993</w:t>
      </w:r>
      <w:bookmarkEnd w:id="7"/>
      <w:r w:rsidRPr="007630C8">
        <w:rPr>
          <w:rFonts w:ascii="Verdana" w:eastAsia="MS Mincho" w:hAnsi="Verdana" w:cs="Arial"/>
          <w:lang w:val="es-ES_tradnl" w:eastAsia="es-CO"/>
        </w:rPr>
        <w:t>, pues este</w:t>
      </w:r>
      <w:r w:rsidRPr="007630C8">
        <w:rPr>
          <w:rFonts w:ascii="Verdana" w:eastAsia="MS Mincho" w:hAnsi="Verdana" w:cs="Arial"/>
          <w:spacing w:val="52"/>
          <w:lang w:val="es-ES_tradnl" w:eastAsia="es-CO"/>
        </w:rPr>
        <w:t xml:space="preserve"> </w:t>
      </w:r>
      <w:r w:rsidRPr="007630C8">
        <w:rPr>
          <w:rFonts w:ascii="Verdana" w:eastAsia="MS Mincho" w:hAnsi="Verdana" w:cs="Arial"/>
          <w:lang w:val="es-ES_tradnl" w:eastAsia="es-CO"/>
        </w:rPr>
        <w:t>último “nunca implicará transferencia de dominio sobre bienes o recursos estatales, ni constituirá patrimonio autónomo del propio de la respectiva entidad oficial”. Así lo consideró la Corte Constitucional, en la sentencia C-086 de 1995 –expedida con ponencia del Magistrado Vladimiro Naranjo Mesa–, al señalar que la Ley 80 de 1993 creó un contrato nuevo y autónomo al del Código de</w:t>
      </w:r>
      <w:r w:rsidRPr="007630C8">
        <w:rPr>
          <w:rFonts w:ascii="Verdana" w:eastAsia="MS Mincho" w:hAnsi="Verdana" w:cs="Arial"/>
          <w:spacing w:val="-27"/>
          <w:lang w:val="es-ES_tradnl" w:eastAsia="es-CO"/>
        </w:rPr>
        <w:t xml:space="preserve"> </w:t>
      </w:r>
      <w:r w:rsidRPr="007630C8">
        <w:rPr>
          <w:rFonts w:ascii="Verdana" w:eastAsia="MS Mincho" w:hAnsi="Verdana" w:cs="Arial"/>
          <w:lang w:val="es-ES_tradnl" w:eastAsia="es-CO"/>
        </w:rPr>
        <w:t>Comercio</w:t>
      </w:r>
      <w:r w:rsidRPr="007630C8">
        <w:rPr>
          <w:rFonts w:ascii="Verdana" w:eastAsia="MS Mincho" w:hAnsi="Verdana" w:cs="Arial"/>
          <w:vertAlign w:val="superscript"/>
          <w:lang w:val="es-ES_tradnl" w:eastAsia="es-CO"/>
        </w:rPr>
        <w:footnoteReference w:id="1"/>
      </w:r>
      <w:r w:rsidRPr="007630C8">
        <w:rPr>
          <w:rFonts w:ascii="Verdana" w:eastAsia="MS Mincho" w:hAnsi="Verdana" w:cs="Arial"/>
          <w:lang w:val="es-ES_tradnl" w:eastAsia="es-CO"/>
        </w:rPr>
        <w:t>.</w:t>
      </w:r>
    </w:p>
    <w:p w14:paraId="5C7DC0B7" w14:textId="3035EF50" w:rsidR="007630C8" w:rsidRPr="007630C8" w:rsidRDefault="008F4B04" w:rsidP="007630C8">
      <w:pPr>
        <w:spacing w:after="120" w:line="276" w:lineRule="auto"/>
        <w:ind w:firstLine="708"/>
        <w:jc w:val="both"/>
        <w:rPr>
          <w:rFonts w:ascii="Verdana" w:eastAsia="MS Mincho" w:hAnsi="Verdana" w:cs="Arial"/>
          <w:lang w:val="es-ES_tradnl" w:eastAsia="es-CO"/>
        </w:rPr>
      </w:pPr>
      <w:r>
        <w:rPr>
          <w:rFonts w:ascii="Verdana" w:eastAsia="MS Mincho" w:hAnsi="Verdana" w:cs="Arial"/>
          <w:lang w:val="es-ES_tradnl" w:eastAsia="es-CO"/>
        </w:rPr>
        <w:lastRenderedPageBreak/>
        <w:t>De esta manera l</w:t>
      </w:r>
      <w:r w:rsidR="007630C8" w:rsidRPr="007630C8">
        <w:rPr>
          <w:rFonts w:ascii="Verdana" w:eastAsia="MS Mincho" w:hAnsi="Verdana" w:cs="Arial"/>
          <w:lang w:val="es-ES_tradnl" w:eastAsia="es-CO"/>
        </w:rPr>
        <w:t>a Ley 80 de 1993 permite realizar negocios fiduciarios, siempre que tengan por objeto la administración o el manejo de los recursos vinculados a los contratos estatales. Además, la Sala Consulta y Servicio Civil del Consejo de Estado, en concepto del 4 de marzo de 1998, antes citado, también señaló otras características del negocio fiduciario que pueden celebrar autónomamente las entidades estatales, que no son otras que las del estatuto general de contratación y en forma supletiva el Código de Comercio</w:t>
      </w:r>
      <w:r w:rsidR="007630C8" w:rsidRPr="007630C8">
        <w:rPr>
          <w:rFonts w:ascii="Verdana" w:eastAsia="MS Mincho" w:hAnsi="Verdana" w:cs="Arial"/>
          <w:vertAlign w:val="superscript"/>
          <w:lang w:val="es-ES_tradnl" w:eastAsia="es-CO"/>
        </w:rPr>
        <w:footnoteReference w:id="2"/>
      </w:r>
      <w:r w:rsidR="007630C8" w:rsidRPr="007630C8">
        <w:rPr>
          <w:rFonts w:ascii="Verdana" w:eastAsia="MS Mincho" w:hAnsi="Verdana" w:cs="Arial"/>
          <w:lang w:val="es-ES_tradnl" w:eastAsia="es-CO"/>
        </w:rPr>
        <w:t xml:space="preserve">. </w:t>
      </w:r>
    </w:p>
    <w:p w14:paraId="5F57208B" w14:textId="07FE9B6E" w:rsidR="007630C8" w:rsidRPr="007630C8" w:rsidRDefault="007630C8" w:rsidP="007630C8">
      <w:pPr>
        <w:spacing w:after="120" w:line="276" w:lineRule="auto"/>
        <w:ind w:firstLine="708"/>
        <w:jc w:val="both"/>
        <w:rPr>
          <w:rFonts w:ascii="Verdana" w:eastAsia="MS Mincho" w:hAnsi="Verdana" w:cs="Arial"/>
          <w:lang w:val="es-ES_tradnl" w:eastAsia="es-CO"/>
        </w:rPr>
      </w:pPr>
      <w:r w:rsidRPr="007630C8">
        <w:rPr>
          <w:rFonts w:ascii="Verdana" w:eastAsia="MS Mincho" w:hAnsi="Verdana" w:cs="Arial"/>
          <w:lang w:val="es-ES_tradnl" w:eastAsia="es-CO"/>
        </w:rPr>
        <w:t>A</w:t>
      </w:r>
      <w:r w:rsidR="00351D82">
        <w:rPr>
          <w:rFonts w:ascii="Verdana" w:eastAsia="MS Mincho" w:hAnsi="Verdana" w:cs="Arial"/>
          <w:lang w:val="es-ES_tradnl" w:eastAsia="es-CO"/>
        </w:rPr>
        <w:t>sí mismo</w:t>
      </w:r>
      <w:r w:rsidRPr="007630C8">
        <w:rPr>
          <w:rFonts w:ascii="Verdana" w:eastAsia="MS Mincho" w:hAnsi="Verdana" w:cs="Arial"/>
          <w:lang w:val="es-ES_tradnl" w:eastAsia="es-CO"/>
        </w:rPr>
        <w:t>, debe señalarse que la contratación derivada de negocios fiduciarios se rige por el Estatuto General de la Contratación de la Administración Pública, como lo establece el artículo 32: “Los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razón por la cual la contratación derivada del contrato fiduciario se regirá por la Ley 80 de</w:t>
      </w:r>
      <w:r w:rsidRPr="007630C8">
        <w:rPr>
          <w:rFonts w:ascii="Verdana" w:eastAsia="MS Mincho" w:hAnsi="Verdana" w:cs="Arial"/>
          <w:spacing w:val="-13"/>
          <w:lang w:val="es-ES_tradnl" w:eastAsia="es-CO"/>
        </w:rPr>
        <w:t xml:space="preserve"> </w:t>
      </w:r>
      <w:r w:rsidRPr="007630C8">
        <w:rPr>
          <w:rFonts w:ascii="Verdana" w:eastAsia="MS Mincho" w:hAnsi="Verdana" w:cs="Arial"/>
          <w:lang w:val="es-ES_tradnl" w:eastAsia="es-CO"/>
        </w:rPr>
        <w:t>1993, salvo que alguna ley especial permita que el patrimonio autónomo actúe de forma diferente.</w:t>
      </w:r>
    </w:p>
    <w:p w14:paraId="62D1EF09" w14:textId="66D5DC94" w:rsidR="00526E69" w:rsidRPr="00526E69" w:rsidRDefault="00526E69" w:rsidP="001175E7">
      <w:pPr>
        <w:spacing w:line="276" w:lineRule="auto"/>
        <w:ind w:firstLine="708"/>
        <w:contextualSpacing/>
        <w:jc w:val="both"/>
        <w:rPr>
          <w:rFonts w:ascii="Verdana" w:eastAsia="Calibri" w:hAnsi="Verdana" w:cs="Times New Roman"/>
          <w:lang w:val="es-ES"/>
        </w:rPr>
      </w:pPr>
      <w:r w:rsidRPr="00526E69">
        <w:rPr>
          <w:rFonts w:ascii="Verdana" w:eastAsia="Calibri" w:hAnsi="Verdana" w:cs="Times New Roman"/>
          <w:lang w:val="es-ES"/>
        </w:rPr>
        <w:t>De igual manera</w:t>
      </w:r>
      <w:r w:rsidR="00B44EF8">
        <w:rPr>
          <w:rFonts w:ascii="Verdana" w:eastAsia="Calibri" w:hAnsi="Verdana" w:cs="Times New Roman"/>
          <w:lang w:val="es-ES"/>
        </w:rPr>
        <w:t>,</w:t>
      </w:r>
      <w:r w:rsidRPr="00526E69">
        <w:rPr>
          <w:rFonts w:ascii="Verdana" w:eastAsia="Calibri" w:hAnsi="Verdana" w:cs="Times New Roman"/>
          <w:lang w:val="es-ES"/>
        </w:rPr>
        <w:t xml:space="preserve"> en desarrollo del principio de publicidad</w:t>
      </w:r>
      <w:r w:rsidR="00B44EF8">
        <w:rPr>
          <w:rFonts w:ascii="Verdana" w:eastAsia="Calibri" w:hAnsi="Verdana" w:cs="Times New Roman"/>
          <w:lang w:val="es-ES"/>
        </w:rPr>
        <w:t>,</w:t>
      </w:r>
      <w:r w:rsidRPr="00526E69">
        <w:rPr>
          <w:rFonts w:ascii="Verdana" w:eastAsia="Calibri" w:hAnsi="Verdana" w:cs="Times New Roman"/>
          <w:lang w:val="es-ES"/>
        </w:rPr>
        <w:t xml:space="preserve"> </w:t>
      </w:r>
      <w:r w:rsidR="00B44EF8">
        <w:rPr>
          <w:rFonts w:ascii="Verdana" w:eastAsia="Calibri" w:hAnsi="Verdana" w:cs="Times New Roman"/>
          <w:lang w:val="es-ES"/>
        </w:rPr>
        <w:t xml:space="preserve">deberán publicarse en el Sistema Electrónico de Contratación Pública -SECOP II- </w:t>
      </w:r>
      <w:r w:rsidR="00B44EF8" w:rsidRPr="00BF7F57">
        <w:rPr>
          <w:rFonts w:ascii="Verdana" w:eastAsia="Calibri" w:hAnsi="Verdana" w:cs="Arial"/>
          <w:bCs/>
          <w:lang w:val="es-ES_tradnl"/>
        </w:rPr>
        <w:t xml:space="preserve">los contratos fiduciarios </w:t>
      </w:r>
      <w:r w:rsidR="00B44EF8">
        <w:rPr>
          <w:rFonts w:ascii="Verdana" w:eastAsia="Calibri" w:hAnsi="Verdana" w:cs="Times New Roman"/>
          <w:lang w:val="es-ES"/>
        </w:rPr>
        <w:t>que</w:t>
      </w:r>
      <w:r w:rsidRPr="00526E69">
        <w:rPr>
          <w:rFonts w:ascii="Verdana" w:eastAsia="Calibri" w:hAnsi="Verdana" w:cs="Times New Roman"/>
          <w:lang w:val="es-ES"/>
        </w:rPr>
        <w:t xml:space="preserve"> la entidad estatal suscriba de acuerdo con el régimen </w:t>
      </w:r>
      <w:r w:rsidRPr="00526E69">
        <w:rPr>
          <w:rFonts w:ascii="Verdana" w:eastAsia="Calibri" w:hAnsi="Verdana" w:cs="Times New Roman"/>
          <w:lang w:val="es-ES"/>
        </w:rPr>
        <w:lastRenderedPageBreak/>
        <w:t>jurídico aplicable. La misma obligación recae sobre la contratación derivada, que debe publicarse en el SECOP por la entidad estatal con la intervención de la fiducia para efectos de la firma del contrato</w:t>
      </w:r>
    </w:p>
    <w:p w14:paraId="708ECC48" w14:textId="77777777" w:rsidR="00526E69" w:rsidRDefault="00526E69" w:rsidP="001175E7">
      <w:pPr>
        <w:spacing w:line="276" w:lineRule="auto"/>
        <w:ind w:firstLine="708"/>
        <w:contextualSpacing/>
        <w:jc w:val="both"/>
        <w:rPr>
          <w:rFonts w:ascii="Verdana" w:eastAsia="Calibri" w:hAnsi="Verdana" w:cs="Times New Roman"/>
          <w:highlight w:val="yellow"/>
          <w:lang w:val="es-ES"/>
        </w:rPr>
      </w:pPr>
    </w:p>
    <w:p w14:paraId="20093897" w14:textId="35DEBC6D" w:rsidR="00601CDD" w:rsidRPr="00AE7E03" w:rsidRDefault="00601CDD" w:rsidP="001175E7">
      <w:pPr>
        <w:spacing w:line="276" w:lineRule="auto"/>
        <w:ind w:firstLine="708"/>
        <w:contextualSpacing/>
        <w:jc w:val="both"/>
        <w:rPr>
          <w:rFonts w:ascii="Verdana" w:eastAsia="Calibri" w:hAnsi="Verdana" w:cs="Times New Roman"/>
          <w:lang w:val="es-ES"/>
        </w:rPr>
      </w:pPr>
      <w:r w:rsidRPr="00AE7E03">
        <w:rPr>
          <w:rFonts w:ascii="Verdana" w:eastAsia="Calibri" w:hAnsi="Verdana" w:cs="Times New Roman"/>
          <w:lang w:val="es-ES"/>
        </w:rPr>
        <w:t xml:space="preserve">Finalmente debe advertirse, que el análisis para resolver problemas específicos en torno </w:t>
      </w:r>
      <w:r w:rsidR="007630C8" w:rsidRPr="00AE7E03">
        <w:rPr>
          <w:rFonts w:ascii="Verdana" w:eastAsia="Calibri" w:hAnsi="Verdana" w:cs="Times New Roman"/>
          <w:lang w:val="es-ES"/>
        </w:rPr>
        <w:t>en torno a procedimientos contractuales debe ser realizado por quienes tengan interés en ello</w:t>
      </w:r>
      <w:r w:rsidRPr="00AE7E03">
        <w:rPr>
          <w:rFonts w:ascii="Verdana" w:eastAsia="Calibri" w:hAnsi="Verdana" w:cs="Times New Roman"/>
          <w:lang w:val="es-ES"/>
        </w:rPr>
        <w:t>. De esta forma, las afirmaciones aquí realizadas no pueden ser interpretadas como juicios de valor sobre circunstancias concretas relacionadas con los hechos que motivan la consulta. Así cada entidad definirá la forma de adelantar su gestión contractual, sin que sea atribución de la Agencia Nacional de Contratación Pública – Colombia Compra Eficiente, validar sus actuaciones.</w:t>
      </w:r>
    </w:p>
    <w:p w14:paraId="1CCCABCF" w14:textId="77777777" w:rsidR="00601CDD" w:rsidRPr="00AE7E03" w:rsidRDefault="00601CDD" w:rsidP="00601CDD">
      <w:pPr>
        <w:ind w:left="720"/>
        <w:contextualSpacing/>
        <w:rPr>
          <w:rFonts w:ascii="Verdana" w:eastAsia="Calibri" w:hAnsi="Verdana" w:cs="Times New Roman"/>
          <w:lang w:val="es-ES"/>
        </w:rPr>
      </w:pPr>
    </w:p>
    <w:p w14:paraId="50FEB559" w14:textId="4F0A0E1F" w:rsidR="00601CDD" w:rsidRPr="00601CDD" w:rsidRDefault="00601CDD" w:rsidP="00601CDD">
      <w:pPr>
        <w:spacing w:before="120" w:after="120" w:line="276" w:lineRule="auto"/>
        <w:ind w:firstLine="708"/>
        <w:jc w:val="both"/>
        <w:rPr>
          <w:rFonts w:ascii="Verdana" w:eastAsia="Calibri" w:hAnsi="Verdana" w:cs="Arial"/>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A753282" w14:textId="77777777" w:rsidR="009A7CC9" w:rsidRDefault="009A7CC9" w:rsidP="007D5768">
      <w:pPr>
        <w:spacing w:after="0" w:line="276" w:lineRule="auto"/>
        <w:jc w:val="both"/>
        <w:rPr>
          <w:rFonts w:ascii="Verdana" w:eastAsia="Calibri" w:hAnsi="Verdana" w:cs="Arial"/>
          <w:lang w:val="es-ES"/>
        </w:rPr>
      </w:pPr>
    </w:p>
    <w:p w14:paraId="23064A8B" w14:textId="50929774" w:rsidR="00DB7D44" w:rsidRPr="00593A5F" w:rsidRDefault="00DB7D44" w:rsidP="00FB67C7">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12ADC9C8" w14:textId="77777777" w:rsidR="00B74650" w:rsidRPr="001175E7" w:rsidRDefault="00B74650" w:rsidP="00B74650">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Código de Comercio, articulo 1226.</w:t>
            </w:r>
          </w:p>
          <w:p w14:paraId="3022CBBC" w14:textId="77777777" w:rsidR="00B74650" w:rsidRDefault="00B74650" w:rsidP="00B74650">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 xml:space="preserve">Ley </w:t>
            </w:r>
            <w:r>
              <w:rPr>
                <w:rFonts w:ascii="Verdana" w:eastAsia="Calibri" w:hAnsi="Verdana" w:cs="Arial"/>
                <w:bCs/>
                <w:color w:val="000000"/>
                <w:szCs w:val="24"/>
                <w:lang w:val="es-ES_tradnl" w:eastAsia="es-ES_tradnl" w:bidi="es-ES"/>
              </w:rPr>
              <w:t>80 de 1993</w:t>
            </w:r>
            <w:r w:rsidRPr="001175E7">
              <w:rPr>
                <w:rFonts w:ascii="Verdana" w:eastAsia="Calibri" w:hAnsi="Verdana" w:cs="Arial"/>
                <w:bCs/>
                <w:color w:val="000000"/>
                <w:szCs w:val="24"/>
                <w:lang w:val="es-ES_tradnl" w:eastAsia="es-ES_tradnl" w:bidi="es-ES"/>
              </w:rPr>
              <w:t>, articulo 3</w:t>
            </w:r>
            <w:r>
              <w:rPr>
                <w:rFonts w:ascii="Verdana" w:eastAsia="Calibri" w:hAnsi="Verdana" w:cs="Arial"/>
                <w:bCs/>
                <w:color w:val="000000"/>
                <w:szCs w:val="24"/>
                <w:lang w:val="es-ES_tradnl" w:eastAsia="es-ES_tradnl" w:bidi="es-ES"/>
              </w:rPr>
              <w:t>2</w:t>
            </w:r>
            <w:r w:rsidRPr="001175E7">
              <w:rPr>
                <w:rFonts w:ascii="Verdana" w:eastAsia="Calibri" w:hAnsi="Verdana" w:cs="Arial"/>
                <w:bCs/>
                <w:color w:val="000000"/>
                <w:szCs w:val="24"/>
                <w:lang w:val="es-ES_tradnl" w:eastAsia="es-ES_tradnl" w:bidi="es-ES"/>
              </w:rPr>
              <w:t>.</w:t>
            </w:r>
          </w:p>
          <w:p w14:paraId="2E3B0684" w14:textId="71C761EC" w:rsidR="001175E7" w:rsidRPr="000D446F" w:rsidRDefault="00B74650" w:rsidP="00B74650">
            <w:pPr>
              <w:pStyle w:val="Prrafodelista"/>
              <w:numPr>
                <w:ilvl w:val="0"/>
                <w:numId w:val="42"/>
              </w:numPr>
              <w:spacing w:line="276" w:lineRule="auto"/>
              <w:jc w:val="both"/>
              <w:rPr>
                <w:rFonts w:ascii="Verdana" w:hAnsi="Verdana" w:cs="Arial"/>
              </w:rPr>
            </w:pPr>
            <w:r w:rsidRPr="007630C8">
              <w:rPr>
                <w:rFonts w:ascii="Verdana" w:eastAsia="MS Mincho" w:hAnsi="Verdana" w:cs="Arial"/>
                <w:lang w:val="es-ES_tradnl" w:eastAsia="es-CO"/>
              </w:rPr>
              <w:t>Corte Constitucional, en la sentencia C-086 de 1995 –expedida con ponencia del Magistrado Vladimiro Naranjo Mesa</w:t>
            </w:r>
            <w:r>
              <w:rPr>
                <w:rFonts w:ascii="Verdana" w:eastAsia="MS Mincho" w:hAnsi="Verdana" w:cs="Arial"/>
                <w:lang w:val="es-ES_tradnl" w:eastAsia="es-CO"/>
              </w:rPr>
              <w:t>.</w:t>
            </w: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5B5D8BF" w14:textId="1E3DE62E" w:rsidR="007E2389" w:rsidRPr="00AE7E03" w:rsidRDefault="001175E7" w:rsidP="007E2389">
      <w:pPr>
        <w:widowControl w:val="0"/>
        <w:autoSpaceDE w:val="0"/>
        <w:autoSpaceDN w:val="0"/>
        <w:spacing w:after="0" w:line="276" w:lineRule="auto"/>
        <w:jc w:val="both"/>
        <w:rPr>
          <w:rFonts w:ascii="Verdana" w:eastAsia="Arial" w:hAnsi="Verdana" w:cs="Arial"/>
          <w:lang w:val="es-MX" w:eastAsia="es-ES_tradnl"/>
        </w:rPr>
      </w:pPr>
      <w:r w:rsidRPr="00F4580E">
        <w:rPr>
          <w:rFonts w:ascii="Verdana" w:eastAsia="Calibri" w:hAnsi="Verdana" w:cs="Arial"/>
          <w:color w:val="000000" w:themeColor="text1"/>
          <w:lang w:eastAsia="es-ES_tradnl"/>
        </w:rPr>
        <w:t xml:space="preserve">La Agencia Nacional de Contratación Pública – Colombia Compra Eficiente </w:t>
      </w:r>
      <w:r w:rsidRPr="00F4580E">
        <w:rPr>
          <w:rFonts w:ascii="Verdana" w:eastAsia="Arial" w:hAnsi="Verdana" w:cs="Arial"/>
          <w:lang w:val="es-MX" w:eastAsia="es-ES_tradnl"/>
        </w:rPr>
        <w:t xml:space="preserve">se pronunció, en términos generales, sobre </w:t>
      </w:r>
      <w:r w:rsidR="00AE7E03" w:rsidRPr="00AE7E03">
        <w:rPr>
          <w:rFonts w:ascii="Verdana" w:eastAsia="Arial" w:hAnsi="Verdana" w:cs="Arial"/>
          <w:lang w:val="es-MX" w:eastAsia="es-ES_tradnl"/>
        </w:rPr>
        <w:t xml:space="preserve">las características de la fiducia </w:t>
      </w:r>
      <w:r w:rsidR="00AE7E03" w:rsidRPr="00AE7E03">
        <w:rPr>
          <w:rFonts w:ascii="Verdana" w:eastAsia="Arial" w:hAnsi="Verdana" w:cs="Arial"/>
          <w:lang w:val="es-MX" w:eastAsia="es-ES_tradnl"/>
        </w:rPr>
        <w:lastRenderedPageBreak/>
        <w:t>mercantil en los siguientes conceptos: C-023 del 13 de febrero de 2020, C-049 del 21 de febrero de 2020, C-086 del 16 de marzo de 2020, C-209 del 16 de marzo de 2020, C-101 del 16 de marzo de 2020, C-157 del 17 de marzo de 2020, C-158 del 3 de abril de 2020, C-227 del 7 de abril de 2020, C-693 del 25 de noviembre de 2020, C-731 del 14 de diciembre de 2020, C-154 del 18 de mayo de 2021, C-637 del 28 de octubre de 2021, C- 900 del 28 de noviembre de 2022, C-842 del 7 de diciembre de 2022, C-825 del 28 de diciembre de 2022, C- 703 del 30 de noviembre de 2022, C-033 de 27 de febrero de 2023, C-003 de 13 de marzo de 2023, C- 042 del 29 de marzo de 2023, C-037 del 5 de abril de 2023,C-109 de 10 de mayo de 2023, C- 157 del 10 de agosto de 2023 y C- 421 del 15 de noviembre de 2023</w:t>
      </w:r>
      <w:r w:rsidR="00F732FD">
        <w:rPr>
          <w:rFonts w:ascii="Verdana" w:eastAsia="Calibri" w:hAnsi="Verdana" w:cs="Arial"/>
          <w:lang w:val="es-ES" w:eastAsia="es-ES_tradnl"/>
        </w:rPr>
        <w:t>;</w:t>
      </w:r>
      <w:r w:rsidR="007E2389" w:rsidRPr="00185EE9">
        <w:rPr>
          <w:rFonts w:ascii="Verdana" w:eastAsia="Calibri" w:hAnsi="Verdana" w:cs="Times New Roman"/>
        </w:rPr>
        <w:t xml:space="preserve"> </w:t>
      </w:r>
      <w:r w:rsidR="008F4B04" w:rsidRPr="00AD5C2D">
        <w:rPr>
          <w:rFonts w:ascii="Verdana" w:hAnsi="Verdana" w:cs="Arial"/>
          <w:lang w:val="es-ES"/>
        </w:rPr>
        <w:t xml:space="preserve">Sobre </w:t>
      </w:r>
      <w:r w:rsidR="008F4B04" w:rsidRPr="00AD5C2D">
        <w:rPr>
          <w:rFonts w:ascii="Verdana" w:hAnsi="Verdana" w:cs="Arial"/>
          <w:lang w:val="es-ES_tradnl"/>
        </w:rPr>
        <w:t>la publicación de documentación contractual de las entidades sometidas al EGCP</w:t>
      </w:r>
      <w:r w:rsidR="008F4B04" w:rsidRPr="00AD5C2D">
        <w:rPr>
          <w:rFonts w:ascii="Verdana" w:hAnsi="Verdana" w:cs="Arial"/>
          <w:lang w:val="es-ES"/>
        </w:rPr>
        <w:t xml:space="preserve">, se pronunció esta Subdirección en los Conceptos, </w:t>
      </w:r>
      <w:r w:rsidR="008F4B04" w:rsidRPr="00AD5C2D">
        <w:rPr>
          <w:rFonts w:ascii="Verdana" w:hAnsi="Verdana" w:cs="Arial"/>
          <w:lang w:val="es-ES_tradnl"/>
        </w:rPr>
        <w:t>radicado No. 4201912000007253 del 4 de diciembre de 2019, reiterado en el concepto con radicado No. 4201912000007289 de la misma fecha, C-336 del 2 de junio de 2020</w:t>
      </w:r>
      <w:r w:rsidR="008F4B04" w:rsidRPr="00AD5C2D">
        <w:rPr>
          <w:rFonts w:ascii="Verdana" w:eastAsia="Aptos" w:hAnsi="Verdana" w:cs="Segoe UI"/>
          <w:kern w:val="2"/>
          <w14:ligatures w14:val="standardContextual"/>
        </w:rPr>
        <w:t>, C-284 del 17 de julio de 2023, C- 478 de 23 de septiembre de 2024, C-893 de 5 de diciembre de 2024, C- 906 de 27 de diciembre de 2024,</w:t>
      </w:r>
      <w:r w:rsidR="008F4B04">
        <w:rPr>
          <w:rFonts w:ascii="Verdana" w:eastAsia="Aptos" w:hAnsi="Verdana" w:cs="Segoe UI"/>
          <w:kern w:val="2"/>
          <w14:ligatures w14:val="standardContextual"/>
        </w:rPr>
        <w:t xml:space="preserve"> C- 144 del 14 de marzo de 2025</w:t>
      </w:r>
      <w:r w:rsidR="007E2389">
        <w:rPr>
          <w:rFonts w:ascii="Verdana" w:eastAsia="Calibri" w:hAnsi="Verdana" w:cs="Times New Roman"/>
        </w:rPr>
        <w:t xml:space="preserve">estos </w:t>
      </w:r>
      <w:r w:rsidR="007E2389"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8F60A9B" w14:textId="01175CC3" w:rsidR="00117E40" w:rsidRPr="0065720B" w:rsidRDefault="00212EB2" w:rsidP="007E2389">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DE3A63" w:rsidRPr="00191357">
          <w:rPr>
            <w:rStyle w:val="Hipervnculo"/>
            <w:rFonts w:ascii="Verdana" w:eastAsia="Calibri" w:hAnsi="Verdana" w:cs="Times New Roman"/>
            <w:lang w:val="es-ES"/>
          </w:rPr>
          <w:t>https://relatoria.colombiacompra.gov.co/busqueda/conceptos</w:t>
        </w:r>
      </w:hyperlink>
      <w:r w:rsidR="007E2389" w:rsidRPr="00185EE9">
        <w:rPr>
          <w:rFonts w:ascii="Verdana" w:eastAsia="Calibri" w:hAnsi="Verdana" w:cs="Times New Roman"/>
        </w:rPr>
        <w:t>.</w:t>
      </w:r>
    </w:p>
    <w:p w14:paraId="7AA80262" w14:textId="77777777" w:rsidR="00DB7D44" w:rsidRDefault="00DB7D44"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5362D59A" w14:textId="77777777" w:rsidR="00A80691"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1A94559"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25D616FD"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4"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13CAF78"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lastRenderedPageBreak/>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5"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302453FB"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7CB67F4C"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14:paraId="003E92E1" w14:textId="77777777" w:rsidR="00A80691" w:rsidRPr="00505CD6" w:rsidRDefault="00A80691" w:rsidP="00A80691">
      <w:pPr>
        <w:widowControl w:val="0"/>
        <w:autoSpaceDE w:val="0"/>
        <w:autoSpaceDN w:val="0"/>
        <w:spacing w:after="0" w:line="276" w:lineRule="auto"/>
        <w:jc w:val="both"/>
        <w:rPr>
          <w:rFonts w:ascii="Verdana" w:eastAsia="Calibri" w:hAnsi="Verdana" w:cs="Arial"/>
          <w:color w:val="000000" w:themeColor="text1"/>
        </w:rPr>
      </w:pPr>
    </w:p>
    <w:p w14:paraId="7B957669" w14:textId="77777777" w:rsidR="00A80691" w:rsidRPr="00505CD6" w:rsidRDefault="00A80691" w:rsidP="00A8069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EC8E96" w14:textId="77777777" w:rsidR="00A80691" w:rsidRPr="00505CD6" w:rsidRDefault="00A80691" w:rsidP="00A80691">
      <w:pPr>
        <w:widowControl w:val="0"/>
        <w:autoSpaceDE w:val="0"/>
        <w:autoSpaceDN w:val="0"/>
        <w:spacing w:after="0" w:line="276" w:lineRule="auto"/>
        <w:jc w:val="both"/>
        <w:rPr>
          <w:rFonts w:ascii="Verdana" w:hAnsi="Verdana" w:cs="Arial"/>
        </w:rPr>
      </w:pPr>
    </w:p>
    <w:p w14:paraId="2126DCB2" w14:textId="77777777" w:rsidR="00A80691" w:rsidRPr="00505CD6" w:rsidRDefault="00A80691" w:rsidP="00A80691">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28C199" w14:textId="51429BDF" w:rsidR="00A80691" w:rsidRDefault="00A80691" w:rsidP="00FE66BE">
      <w:pPr>
        <w:spacing w:line="276" w:lineRule="auto"/>
        <w:jc w:val="center"/>
        <w:rPr>
          <w:rFonts w:ascii="Verdana" w:hAnsi="Verdana"/>
          <w:noProof/>
        </w:rPr>
      </w:pPr>
    </w:p>
    <w:p w14:paraId="6235DC2E" w14:textId="544577C2" w:rsidR="00645CB7" w:rsidRDefault="00645CB7" w:rsidP="00645CB7">
      <w:pPr>
        <w:spacing w:line="276" w:lineRule="auto"/>
        <w:jc w:val="center"/>
        <w:rPr>
          <w:noProof/>
        </w:rPr>
      </w:pPr>
    </w:p>
    <w:p w14:paraId="6EB2C0BE" w14:textId="77777777" w:rsidR="002F6917" w:rsidRDefault="002F6917" w:rsidP="00645CB7">
      <w:pPr>
        <w:spacing w:line="276" w:lineRule="auto"/>
        <w:jc w:val="center"/>
        <w:rPr>
          <w:noProof/>
          <w:color w:val="000000"/>
        </w:rPr>
      </w:pPr>
    </w:p>
    <w:p w14:paraId="2705EE63" w14:textId="77777777" w:rsidR="002F6917" w:rsidRDefault="002F6917" w:rsidP="00645CB7">
      <w:pPr>
        <w:spacing w:line="276" w:lineRule="auto"/>
        <w:jc w:val="center"/>
        <w:rPr>
          <w:noProof/>
          <w:color w:val="000000"/>
        </w:rPr>
      </w:pPr>
    </w:p>
    <w:p w14:paraId="21B85961" w14:textId="77777777" w:rsidR="002F6917" w:rsidRDefault="002F6917" w:rsidP="00645CB7">
      <w:pPr>
        <w:spacing w:line="276" w:lineRule="auto"/>
        <w:jc w:val="center"/>
        <w:rPr>
          <w:noProof/>
          <w:color w:val="000000"/>
        </w:rPr>
      </w:pPr>
    </w:p>
    <w:p w14:paraId="20BE93BB" w14:textId="39198BD6" w:rsidR="002F6917" w:rsidRPr="002F6917" w:rsidRDefault="002F6917" w:rsidP="002F6917">
      <w:pPr>
        <w:spacing w:line="276" w:lineRule="auto"/>
        <w:jc w:val="center"/>
        <w:rPr>
          <w:noProof/>
          <w:color w:val="000000"/>
        </w:rPr>
      </w:pPr>
      <w:r w:rsidRPr="002F6917">
        <w:rPr>
          <w:noProof/>
          <w:color w:val="000000"/>
        </w:rPr>
        <w:lastRenderedPageBreak/>
        <w:drawing>
          <wp:inline distT="0" distB="0" distL="0" distR="0" wp14:anchorId="258CAC66" wp14:editId="25217AE4">
            <wp:extent cx="3495040" cy="1500374"/>
            <wp:effectExtent l="0" t="0" r="0" b="5080"/>
            <wp:docPr id="91082504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01169" cy="150300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0691" w:rsidRPr="00593A5F" w14:paraId="31D06E98" w14:textId="77777777" w:rsidTr="00E1079D">
        <w:trPr>
          <w:trHeight w:val="315"/>
        </w:trPr>
        <w:tc>
          <w:tcPr>
            <w:tcW w:w="893" w:type="dxa"/>
            <w:vAlign w:val="center"/>
            <w:hideMark/>
          </w:tcPr>
          <w:p w14:paraId="03E2D651"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E6222" w14:textId="77777777" w:rsidR="00A80691" w:rsidRPr="00E24803" w:rsidRDefault="00A80691" w:rsidP="00A80691">
            <w:pPr>
              <w:spacing w:line="276" w:lineRule="auto"/>
              <w:contextualSpacing/>
              <w:jc w:val="both"/>
              <w:rPr>
                <w:rFonts w:ascii="Verdana" w:hAnsi="Verdana"/>
                <w:sz w:val="16"/>
                <w:szCs w:val="16"/>
              </w:rPr>
            </w:pPr>
            <w:r w:rsidRPr="00E24803">
              <w:rPr>
                <w:rFonts w:ascii="Verdana" w:hAnsi="Verdana"/>
                <w:sz w:val="16"/>
                <w:szCs w:val="16"/>
              </w:rPr>
              <w:t>Nicolas Andrés Guzmán Padilla</w:t>
            </w:r>
          </w:p>
          <w:p w14:paraId="53926242" w14:textId="33D77AA9" w:rsidR="00A80691" w:rsidRPr="000015E6" w:rsidRDefault="00A80691" w:rsidP="00A80691">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A80691" w:rsidRPr="00593A5F" w14:paraId="7860D780" w14:textId="77777777" w:rsidTr="00E1079D">
        <w:trPr>
          <w:trHeight w:val="330"/>
        </w:trPr>
        <w:tc>
          <w:tcPr>
            <w:tcW w:w="893" w:type="dxa"/>
            <w:vAlign w:val="center"/>
            <w:hideMark/>
          </w:tcPr>
          <w:p w14:paraId="242F9749"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957146" w14:textId="182FA1EA" w:rsidR="00E21BD1" w:rsidRPr="00E24803" w:rsidRDefault="00920710" w:rsidP="00E21BD1">
            <w:pPr>
              <w:spacing w:line="276" w:lineRule="auto"/>
              <w:contextualSpacing/>
              <w:jc w:val="both"/>
              <w:rPr>
                <w:rFonts w:ascii="Verdana" w:hAnsi="Verdana"/>
                <w:sz w:val="16"/>
                <w:szCs w:val="16"/>
              </w:rPr>
            </w:pPr>
            <w:r>
              <w:rPr>
                <w:rFonts w:ascii="Verdana" w:hAnsi="Verdana"/>
                <w:sz w:val="16"/>
                <w:szCs w:val="16"/>
              </w:rPr>
              <w:t>Diana Lucia Saavedra</w:t>
            </w:r>
          </w:p>
          <w:p w14:paraId="2BBC7853" w14:textId="6C5DBAC2" w:rsidR="00A80691" w:rsidRPr="00EF40D2" w:rsidRDefault="00A80691" w:rsidP="00A80691">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A80691" w:rsidRPr="00593A5F" w14:paraId="2DB10D30" w14:textId="77777777" w:rsidTr="00E1079D">
        <w:trPr>
          <w:trHeight w:val="300"/>
        </w:trPr>
        <w:tc>
          <w:tcPr>
            <w:tcW w:w="893" w:type="dxa"/>
            <w:vAlign w:val="center"/>
          </w:tcPr>
          <w:p w14:paraId="3638310D"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3B7E9CE"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 xml:space="preserve">Carolina Quintero </w:t>
            </w:r>
            <w:r w:rsidR="00606078" w:rsidRPr="000015E6">
              <w:rPr>
                <w:rFonts w:ascii="Verdana" w:eastAsia="Calibri" w:hAnsi="Verdana" w:cs="Arial"/>
                <w:sz w:val="16"/>
                <w:szCs w:val="16"/>
                <w:lang w:val="pt-BR" w:eastAsia="es-ES"/>
              </w:rPr>
              <w:t>Ganchará</w:t>
            </w:r>
          </w:p>
          <w:p w14:paraId="3F43F8EA" w14:textId="2BA9B9FC"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1"/>
      <w:bookmarkEnd w:id="2"/>
      <w:bookmarkEnd w:id="3"/>
    </w:tbl>
    <w:p w14:paraId="0465BA6D" w14:textId="5A633879" w:rsidR="00E245AB" w:rsidRPr="0044528D" w:rsidRDefault="00E245AB" w:rsidP="00E245AB">
      <w:pPr>
        <w:spacing w:after="0"/>
        <w:rPr>
          <w:rFonts w:ascii="Verdana" w:hAnsi="Verdana"/>
        </w:rPr>
      </w:pPr>
    </w:p>
    <w:sectPr w:rsidR="00E245AB" w:rsidRPr="0044528D" w:rsidSect="00C03274">
      <w:headerReference w:type="even" r:id="rId18"/>
      <w:headerReference w:type="default" r:id="rId19"/>
      <w:footerReference w:type="even" r:id="rId20"/>
      <w:footerReference w:type="default" r:id="rId21"/>
      <w:pgSz w:w="12240" w:h="15840" w:code="1"/>
      <w:pgMar w:top="1417" w:right="1750" w:bottom="1417"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B6134" w14:textId="77777777" w:rsidR="00212EB2" w:rsidRDefault="00212EB2" w:rsidP="004A1847">
      <w:pPr>
        <w:spacing w:after="0" w:line="240" w:lineRule="auto"/>
      </w:pPr>
      <w:r>
        <w:separator/>
      </w:r>
    </w:p>
  </w:endnote>
  <w:endnote w:type="continuationSeparator" w:id="0">
    <w:p w14:paraId="198BAC67" w14:textId="77777777" w:rsidR="00212EB2" w:rsidRDefault="00212EB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54FE4" w14:textId="77777777" w:rsidR="00212EB2" w:rsidRDefault="00212EB2" w:rsidP="004A1847">
      <w:pPr>
        <w:spacing w:after="0" w:line="240" w:lineRule="auto"/>
      </w:pPr>
      <w:r>
        <w:separator/>
      </w:r>
    </w:p>
  </w:footnote>
  <w:footnote w:type="continuationSeparator" w:id="0">
    <w:p w14:paraId="06F8C550" w14:textId="77777777" w:rsidR="00212EB2" w:rsidRDefault="00212EB2" w:rsidP="004A1847">
      <w:pPr>
        <w:spacing w:after="0" w:line="240" w:lineRule="auto"/>
      </w:pPr>
      <w:r>
        <w:continuationSeparator/>
      </w:r>
    </w:p>
  </w:footnote>
  <w:footnote w:id="1">
    <w:p w14:paraId="176DFC51" w14:textId="77777777" w:rsidR="007630C8" w:rsidRPr="007630C8" w:rsidRDefault="007630C8" w:rsidP="007630C8">
      <w:pPr>
        <w:pStyle w:val="Textoindependiente"/>
        <w:ind w:firstLine="709"/>
        <w:jc w:val="both"/>
        <w:rPr>
          <w:rFonts w:ascii="Verdana" w:hAnsi="Verdana"/>
          <w:sz w:val="16"/>
          <w:szCs w:val="16"/>
        </w:rPr>
      </w:pPr>
      <w:r w:rsidRPr="007630C8">
        <w:rPr>
          <w:rStyle w:val="Refdenotaalpie"/>
          <w:rFonts w:ascii="Verdana" w:hAnsi="Verdana"/>
          <w:sz w:val="16"/>
          <w:szCs w:val="16"/>
        </w:rPr>
        <w:footnoteRef/>
      </w:r>
      <w:r w:rsidRPr="007630C8">
        <w:rPr>
          <w:rFonts w:ascii="Verdana" w:hAnsi="Verdana"/>
          <w:sz w:val="16"/>
          <w:szCs w:val="16"/>
        </w:rPr>
        <w:t xml:space="preserve"> Así lo expresó el alto tribunal: “Para la Corte, las anteriores condiciones del referido contrato, y teniendo de presente la enunciación de los contratos estatales a que se refiere el artículo</w:t>
      </w:r>
      <w:r w:rsidRPr="007630C8">
        <w:rPr>
          <w:rFonts w:ascii="Verdana" w:hAnsi="Verdana"/>
          <w:spacing w:val="14"/>
          <w:sz w:val="16"/>
          <w:szCs w:val="16"/>
        </w:rPr>
        <w:t xml:space="preserve"> </w:t>
      </w:r>
      <w:r w:rsidRPr="007630C8">
        <w:rPr>
          <w:rFonts w:ascii="Verdana" w:hAnsi="Verdana"/>
          <w:sz w:val="16"/>
          <w:szCs w:val="16"/>
        </w:rPr>
        <w:t>32</w:t>
      </w:r>
      <w:r w:rsidRPr="007630C8">
        <w:rPr>
          <w:rFonts w:ascii="Verdana" w:hAnsi="Verdana"/>
          <w:spacing w:val="15"/>
          <w:sz w:val="16"/>
          <w:szCs w:val="16"/>
        </w:rPr>
        <w:t xml:space="preserve"> </w:t>
      </w:r>
      <w:r w:rsidRPr="007630C8">
        <w:rPr>
          <w:rFonts w:ascii="Verdana" w:hAnsi="Verdana"/>
          <w:sz w:val="16"/>
          <w:szCs w:val="16"/>
        </w:rPr>
        <w:t>de</w:t>
      </w:r>
      <w:r w:rsidRPr="007630C8">
        <w:rPr>
          <w:rFonts w:ascii="Verdana" w:hAnsi="Verdana"/>
          <w:spacing w:val="12"/>
          <w:sz w:val="16"/>
          <w:szCs w:val="16"/>
        </w:rPr>
        <w:t xml:space="preserve"> </w:t>
      </w:r>
      <w:r w:rsidRPr="007630C8">
        <w:rPr>
          <w:rFonts w:ascii="Verdana" w:hAnsi="Verdana"/>
          <w:sz w:val="16"/>
          <w:szCs w:val="16"/>
        </w:rPr>
        <w:t>la</w:t>
      </w:r>
      <w:r w:rsidRPr="007630C8">
        <w:rPr>
          <w:rFonts w:ascii="Verdana" w:hAnsi="Verdana"/>
          <w:spacing w:val="15"/>
          <w:sz w:val="16"/>
          <w:szCs w:val="16"/>
        </w:rPr>
        <w:t xml:space="preserve"> </w:t>
      </w:r>
      <w:r w:rsidRPr="007630C8">
        <w:rPr>
          <w:rFonts w:ascii="Verdana" w:hAnsi="Verdana"/>
          <w:sz w:val="16"/>
          <w:szCs w:val="16"/>
        </w:rPr>
        <w:t>citada</w:t>
      </w:r>
      <w:r w:rsidRPr="007630C8">
        <w:rPr>
          <w:rFonts w:ascii="Verdana" w:hAnsi="Verdana"/>
          <w:spacing w:val="16"/>
          <w:sz w:val="16"/>
          <w:szCs w:val="16"/>
        </w:rPr>
        <w:t xml:space="preserve"> </w:t>
      </w:r>
      <w:r w:rsidRPr="007630C8">
        <w:rPr>
          <w:rFonts w:ascii="Verdana" w:hAnsi="Verdana"/>
          <w:sz w:val="16"/>
          <w:szCs w:val="16"/>
        </w:rPr>
        <w:t>ley</w:t>
      </w:r>
      <w:r w:rsidRPr="007630C8">
        <w:rPr>
          <w:rFonts w:ascii="Verdana" w:hAnsi="Verdana"/>
          <w:spacing w:val="15"/>
          <w:sz w:val="16"/>
          <w:szCs w:val="16"/>
        </w:rPr>
        <w:t xml:space="preserve"> </w:t>
      </w:r>
      <w:r w:rsidRPr="007630C8">
        <w:rPr>
          <w:rFonts w:ascii="Verdana" w:hAnsi="Verdana"/>
          <w:sz w:val="16"/>
          <w:szCs w:val="16"/>
        </w:rPr>
        <w:t>-donde</w:t>
      </w:r>
      <w:r w:rsidRPr="007630C8">
        <w:rPr>
          <w:rFonts w:ascii="Verdana" w:hAnsi="Verdana"/>
          <w:spacing w:val="15"/>
          <w:sz w:val="16"/>
          <w:szCs w:val="16"/>
        </w:rPr>
        <w:t xml:space="preserve"> </w:t>
      </w:r>
      <w:r w:rsidRPr="007630C8">
        <w:rPr>
          <w:rFonts w:ascii="Verdana" w:hAnsi="Verdana"/>
          <w:sz w:val="16"/>
          <w:szCs w:val="16"/>
        </w:rPr>
        <w:t>se</w:t>
      </w:r>
      <w:r w:rsidRPr="007630C8">
        <w:rPr>
          <w:rFonts w:ascii="Verdana" w:hAnsi="Verdana"/>
          <w:spacing w:val="14"/>
          <w:sz w:val="16"/>
          <w:szCs w:val="16"/>
        </w:rPr>
        <w:t xml:space="preserve"> </w:t>
      </w:r>
      <w:r w:rsidRPr="007630C8">
        <w:rPr>
          <w:rFonts w:ascii="Verdana" w:hAnsi="Verdana"/>
          <w:sz w:val="16"/>
          <w:szCs w:val="16"/>
        </w:rPr>
        <w:t>incluyen</w:t>
      </w:r>
      <w:r w:rsidRPr="007630C8">
        <w:rPr>
          <w:rFonts w:ascii="Verdana" w:hAnsi="Verdana"/>
          <w:spacing w:val="13"/>
          <w:sz w:val="16"/>
          <w:szCs w:val="16"/>
        </w:rPr>
        <w:t xml:space="preserve"> </w:t>
      </w:r>
      <w:r w:rsidRPr="007630C8">
        <w:rPr>
          <w:rFonts w:ascii="Verdana" w:hAnsi="Verdana"/>
          <w:sz w:val="16"/>
          <w:szCs w:val="16"/>
        </w:rPr>
        <w:t>los</w:t>
      </w:r>
      <w:r w:rsidRPr="007630C8">
        <w:rPr>
          <w:rFonts w:ascii="Verdana" w:hAnsi="Verdana"/>
          <w:spacing w:val="13"/>
          <w:sz w:val="16"/>
          <w:szCs w:val="16"/>
        </w:rPr>
        <w:t xml:space="preserve"> </w:t>
      </w:r>
      <w:r w:rsidRPr="007630C8">
        <w:rPr>
          <w:rFonts w:ascii="Verdana" w:hAnsi="Verdana"/>
          <w:sz w:val="16"/>
          <w:szCs w:val="16"/>
        </w:rPr>
        <w:t>previstos</w:t>
      </w:r>
      <w:r w:rsidRPr="007630C8">
        <w:rPr>
          <w:rFonts w:ascii="Verdana" w:hAnsi="Verdana"/>
          <w:spacing w:val="14"/>
          <w:sz w:val="16"/>
          <w:szCs w:val="16"/>
        </w:rPr>
        <w:t xml:space="preserve"> </w:t>
      </w:r>
      <w:r w:rsidRPr="007630C8">
        <w:rPr>
          <w:rFonts w:ascii="Verdana" w:hAnsi="Verdana"/>
          <w:sz w:val="16"/>
          <w:szCs w:val="16"/>
        </w:rPr>
        <w:t>en</w:t>
      </w:r>
      <w:r w:rsidRPr="007630C8">
        <w:rPr>
          <w:rFonts w:ascii="Verdana" w:hAnsi="Verdana"/>
          <w:spacing w:val="15"/>
          <w:sz w:val="16"/>
          <w:szCs w:val="16"/>
        </w:rPr>
        <w:t xml:space="preserve"> </w:t>
      </w:r>
      <w:r w:rsidRPr="007630C8">
        <w:rPr>
          <w:rFonts w:ascii="Verdana" w:hAnsi="Verdana"/>
          <w:sz w:val="16"/>
          <w:szCs w:val="16"/>
        </w:rPr>
        <w:t>el</w:t>
      </w:r>
      <w:r w:rsidRPr="007630C8">
        <w:rPr>
          <w:rFonts w:ascii="Verdana" w:hAnsi="Verdana"/>
          <w:spacing w:val="16"/>
          <w:sz w:val="16"/>
          <w:szCs w:val="16"/>
        </w:rPr>
        <w:t xml:space="preserve"> </w:t>
      </w:r>
      <w:r w:rsidRPr="007630C8">
        <w:rPr>
          <w:rFonts w:ascii="Verdana" w:hAnsi="Verdana"/>
          <w:sz w:val="16"/>
          <w:szCs w:val="16"/>
        </w:rPr>
        <w:t>derecho privado y los derivados del ejercicio de la autonomía de la voluntad-, obligan a concluir que el Estatuto General de Contratación Administrativa creó un nuevo tipo de contrato, sin definirlo, denominado "fiducia pública", el cual no se relaciona con el contrato de fiducia mercantil contenido en el Código de Comercio y en las disposiciones propias del sistema financiero. Se trata, pues, de un contrato autónomo e independiente, más parecido a un encargo fiduciario que a una fiducia (por el no traspaso de la propiedad, ni la constitución de un patrimonio autónomo), al que le serán aplicables las normas del Código de Comercio sobre fiducia mercantil, "en cuanto sean compatibles con lo dispuesto en esta ley". Así, por ejemplo, al establecer la Ley 80 que el contrato de fiducia pública no comporta la transferencia de dominio ni la constitución de un patrimonio autónomo, entonces no le serán aplicables las normas correspondientes contenidas en el Código de Comercio, sin que ello signifique que se altera la naturaleza del contrato de fiducia mercantil. En otras palabras, esta Corporación encuentra que, en la actualidad, las entidades estatales podrán celebrar el contrato de fiducia pública en los términos del numeral 5o. del artículo 32, o el contrato de fiducia mercantil de acuerdo con lo dispuesto en el Código de Comercio y en las normas generales de contratación administrativa previstas en la citada Ley 80 de</w:t>
      </w:r>
      <w:r w:rsidRPr="007630C8">
        <w:rPr>
          <w:rFonts w:ascii="Verdana" w:hAnsi="Verdana"/>
          <w:spacing w:val="-19"/>
          <w:sz w:val="16"/>
          <w:szCs w:val="16"/>
        </w:rPr>
        <w:t xml:space="preserve"> </w:t>
      </w:r>
      <w:r w:rsidRPr="007630C8">
        <w:rPr>
          <w:rFonts w:ascii="Verdana" w:hAnsi="Verdana"/>
          <w:sz w:val="16"/>
          <w:szCs w:val="16"/>
        </w:rPr>
        <w:t>1993”.</w:t>
      </w:r>
    </w:p>
  </w:footnote>
  <w:footnote w:id="2">
    <w:p w14:paraId="0FF9081C" w14:textId="77777777" w:rsidR="00AE7E03" w:rsidRDefault="007630C8" w:rsidP="00AE7E03">
      <w:pPr>
        <w:spacing w:after="0" w:line="240" w:lineRule="auto"/>
        <w:ind w:firstLine="709"/>
        <w:jc w:val="both"/>
        <w:rPr>
          <w:rFonts w:ascii="Verdana" w:hAnsi="Verdana" w:cs="Arial"/>
          <w:sz w:val="16"/>
          <w:szCs w:val="16"/>
        </w:rPr>
      </w:pPr>
      <w:r w:rsidRPr="007630C8">
        <w:rPr>
          <w:rStyle w:val="Refdenotaalpie"/>
          <w:rFonts w:ascii="Verdana" w:hAnsi="Verdana" w:cs="Arial"/>
          <w:sz w:val="16"/>
          <w:szCs w:val="16"/>
        </w:rPr>
        <w:footnoteRef/>
      </w:r>
      <w:r w:rsidRPr="007630C8">
        <w:rPr>
          <w:rFonts w:ascii="Verdana" w:hAnsi="Verdana" w:cs="Arial"/>
          <w:sz w:val="16"/>
          <w:szCs w:val="16"/>
        </w:rPr>
        <w:t xml:space="preserve"> En dicho Concepto, el Consejo de Estado señaló: “Ahora bien, en cuanto al cuestionamiento sobre la interpretación de la parte final del inciso 8º del numeral 5º del artículo 32, transcrito en el párrafo anterior, habría que entender que a la fiducia pública se le deben aplicar las normas contenidas en los artículos 1226 a 1244 del Código de Comercio, con las siguientes cuatro</w:t>
      </w:r>
      <w:r w:rsidRPr="007630C8">
        <w:rPr>
          <w:rFonts w:ascii="Verdana" w:hAnsi="Verdana" w:cs="Arial"/>
          <w:spacing w:val="-4"/>
          <w:sz w:val="16"/>
          <w:szCs w:val="16"/>
        </w:rPr>
        <w:t xml:space="preserve"> </w:t>
      </w:r>
      <w:r w:rsidRPr="007630C8">
        <w:rPr>
          <w:rFonts w:ascii="Verdana" w:hAnsi="Verdana" w:cs="Arial"/>
          <w:sz w:val="16"/>
          <w:szCs w:val="16"/>
        </w:rPr>
        <w:t>salvedades:</w:t>
      </w:r>
    </w:p>
    <w:p w14:paraId="28C8D0BA" w14:textId="09229D4B" w:rsidR="007630C8" w:rsidRPr="007630C8" w:rsidRDefault="007630C8" w:rsidP="00AE7E03">
      <w:pPr>
        <w:spacing w:after="0" w:line="240" w:lineRule="auto"/>
        <w:ind w:firstLine="709"/>
        <w:jc w:val="both"/>
        <w:rPr>
          <w:rFonts w:ascii="Verdana" w:hAnsi="Verdana" w:cs="Arial"/>
          <w:sz w:val="16"/>
          <w:szCs w:val="16"/>
        </w:rPr>
      </w:pPr>
      <w:r w:rsidRPr="007630C8">
        <w:rPr>
          <w:rFonts w:ascii="Verdana" w:hAnsi="Verdana" w:cs="Arial"/>
          <w:sz w:val="16"/>
          <w:szCs w:val="16"/>
        </w:rPr>
        <w:t>1) La fiducia pública no implica transferencia de la propiedad de los bienes o recursos</w:t>
      </w:r>
      <w:r w:rsidRPr="007630C8">
        <w:rPr>
          <w:rFonts w:ascii="Verdana" w:hAnsi="Verdana" w:cs="Arial"/>
          <w:spacing w:val="-2"/>
          <w:sz w:val="16"/>
          <w:szCs w:val="16"/>
        </w:rPr>
        <w:t xml:space="preserve"> </w:t>
      </w:r>
      <w:r w:rsidRPr="007630C8">
        <w:rPr>
          <w:rFonts w:ascii="Verdana" w:hAnsi="Verdana" w:cs="Arial"/>
          <w:sz w:val="16"/>
          <w:szCs w:val="16"/>
        </w:rPr>
        <w:t>fideicomitidos.</w:t>
      </w:r>
    </w:p>
    <w:p w14:paraId="3AFC436A" w14:textId="77777777" w:rsidR="007630C8" w:rsidRPr="007630C8" w:rsidRDefault="007630C8" w:rsidP="00AE7E03">
      <w:pPr>
        <w:widowControl w:val="0"/>
        <w:tabs>
          <w:tab w:val="left" w:pos="1303"/>
        </w:tabs>
        <w:autoSpaceDE w:val="0"/>
        <w:autoSpaceDN w:val="0"/>
        <w:spacing w:after="0" w:line="240" w:lineRule="auto"/>
        <w:ind w:firstLine="709"/>
        <w:jc w:val="both"/>
        <w:rPr>
          <w:rFonts w:ascii="Verdana" w:hAnsi="Verdana" w:cs="Arial"/>
          <w:sz w:val="16"/>
          <w:szCs w:val="16"/>
        </w:rPr>
      </w:pPr>
      <w:r w:rsidRPr="007630C8">
        <w:rPr>
          <w:rFonts w:ascii="Verdana" w:hAnsi="Verdana" w:cs="Arial"/>
          <w:sz w:val="16"/>
          <w:szCs w:val="16"/>
        </w:rPr>
        <w:t>2) Tampoco constituye un patrimonio autónomo afecto a la finalidad de la fiducia, en manos de la sociedad</w:t>
      </w:r>
      <w:r w:rsidRPr="007630C8">
        <w:rPr>
          <w:rFonts w:ascii="Verdana" w:hAnsi="Verdana" w:cs="Arial"/>
          <w:spacing w:val="-12"/>
          <w:sz w:val="16"/>
          <w:szCs w:val="16"/>
        </w:rPr>
        <w:t xml:space="preserve"> </w:t>
      </w:r>
      <w:r w:rsidRPr="007630C8">
        <w:rPr>
          <w:rFonts w:ascii="Verdana" w:hAnsi="Verdana" w:cs="Arial"/>
          <w:sz w:val="16"/>
          <w:szCs w:val="16"/>
        </w:rPr>
        <w:t>fiduciaria.</w:t>
      </w:r>
    </w:p>
    <w:p w14:paraId="7AB31D29" w14:textId="77777777" w:rsidR="007630C8" w:rsidRPr="007630C8" w:rsidRDefault="007630C8" w:rsidP="00AE7E03">
      <w:pPr>
        <w:widowControl w:val="0"/>
        <w:tabs>
          <w:tab w:val="left" w:pos="1316"/>
        </w:tabs>
        <w:autoSpaceDE w:val="0"/>
        <w:autoSpaceDN w:val="0"/>
        <w:spacing w:after="0" w:line="240" w:lineRule="auto"/>
        <w:ind w:firstLine="709"/>
        <w:jc w:val="both"/>
        <w:rPr>
          <w:rFonts w:ascii="Verdana" w:hAnsi="Verdana" w:cs="Arial"/>
          <w:sz w:val="16"/>
          <w:szCs w:val="16"/>
        </w:rPr>
      </w:pPr>
      <w:r w:rsidRPr="007630C8">
        <w:rPr>
          <w:rFonts w:ascii="Verdana" w:hAnsi="Verdana" w:cs="Arial"/>
          <w:sz w:val="16"/>
          <w:szCs w:val="16"/>
        </w:rPr>
        <w:t>3) La adjudicación de los subcontratos debe ser realizada por la entidad estatal</w:t>
      </w:r>
      <w:r w:rsidRPr="007630C8">
        <w:rPr>
          <w:rFonts w:ascii="Verdana" w:hAnsi="Verdana" w:cs="Arial"/>
          <w:spacing w:val="-2"/>
          <w:sz w:val="16"/>
          <w:szCs w:val="16"/>
        </w:rPr>
        <w:t xml:space="preserve"> </w:t>
      </w:r>
      <w:r w:rsidRPr="007630C8">
        <w:rPr>
          <w:rFonts w:ascii="Verdana" w:hAnsi="Verdana" w:cs="Arial"/>
          <w:sz w:val="16"/>
          <w:szCs w:val="16"/>
        </w:rPr>
        <w:t>fideicomitente.</w:t>
      </w:r>
    </w:p>
    <w:p w14:paraId="44729E10" w14:textId="77777777" w:rsidR="007630C8" w:rsidRPr="007630C8" w:rsidRDefault="007630C8" w:rsidP="00AE7E03">
      <w:pPr>
        <w:widowControl w:val="0"/>
        <w:tabs>
          <w:tab w:val="left" w:pos="1256"/>
        </w:tabs>
        <w:autoSpaceDE w:val="0"/>
        <w:autoSpaceDN w:val="0"/>
        <w:spacing w:after="0" w:line="240" w:lineRule="auto"/>
        <w:ind w:firstLine="709"/>
        <w:jc w:val="both"/>
        <w:rPr>
          <w:rFonts w:ascii="Verdana" w:hAnsi="Verdana" w:cs="Arial"/>
          <w:sz w:val="16"/>
          <w:szCs w:val="16"/>
        </w:rPr>
      </w:pPr>
      <w:r w:rsidRPr="007630C8">
        <w:rPr>
          <w:rFonts w:ascii="Verdana" w:hAnsi="Verdana" w:cs="Arial"/>
          <w:sz w:val="16"/>
          <w:szCs w:val="16"/>
        </w:rPr>
        <w:t>4) No se puede pactar que la comisión de la sociedad fiduciaria sea tomada de los rendimientos del fideicomiso, salvo que éstos se encuentren presupuestados”.</w:t>
      </w:r>
    </w:p>
    <w:p w14:paraId="7C26A280" w14:textId="77777777" w:rsidR="007630C8" w:rsidRPr="007630C8" w:rsidRDefault="007630C8" w:rsidP="007630C8">
      <w:pPr>
        <w:widowControl w:val="0"/>
        <w:tabs>
          <w:tab w:val="left" w:pos="1256"/>
        </w:tabs>
        <w:autoSpaceDE w:val="0"/>
        <w:autoSpaceDN w:val="0"/>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56672276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263155480" name="Imagen 263155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807785"/>
    <w:multiLevelType w:val="hybridMultilevel"/>
    <w:tmpl w:val="F956DF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9"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192B65"/>
    <w:multiLevelType w:val="hybridMultilevel"/>
    <w:tmpl w:val="194857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2CBC59B1"/>
    <w:multiLevelType w:val="hybridMultilevel"/>
    <w:tmpl w:val="9B9AECF8"/>
    <w:lvl w:ilvl="0" w:tplc="7AF69CD2">
      <w:start w:val="1"/>
      <w:numFmt w:val="lowerRoman"/>
      <w:lvlText w:val="%1)"/>
      <w:lvlJc w:val="left"/>
      <w:pPr>
        <w:ind w:left="1440" w:hanging="720"/>
      </w:pPr>
      <w:rPr>
        <w:rFonts w:ascii="Verdana" w:hAnsi="Verdana" w:hint="default"/>
        <w:sz w:val="22"/>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23" w15:restartNumberingAfterBreak="0">
    <w:nsid w:val="497D0DA0"/>
    <w:multiLevelType w:val="hybridMultilevel"/>
    <w:tmpl w:val="3FCE3E80"/>
    <w:lvl w:ilvl="0" w:tplc="3A8C993E">
      <w:start w:val="1"/>
      <w:numFmt w:val="decimal"/>
      <w:lvlText w:val="%1."/>
      <w:lvlJc w:val="left"/>
      <w:pPr>
        <w:ind w:left="1069" w:hanging="360"/>
      </w:pPr>
      <w:rPr>
        <w:rFonts w:hint="default"/>
        <w:b w:val="0"/>
        <w:bCs/>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4"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5"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3DD0257"/>
    <w:multiLevelType w:val="hybridMultilevel"/>
    <w:tmpl w:val="5274A2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DC50FF7"/>
    <w:multiLevelType w:val="hybridMultilevel"/>
    <w:tmpl w:val="559E1A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4"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72B73DB"/>
    <w:multiLevelType w:val="hybridMultilevel"/>
    <w:tmpl w:val="2A9E79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D0A39BE"/>
    <w:multiLevelType w:val="hybridMultilevel"/>
    <w:tmpl w:val="C1CE7E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7"/>
  </w:num>
  <w:num w:numId="2">
    <w:abstractNumId w:val="3"/>
  </w:num>
  <w:num w:numId="3">
    <w:abstractNumId w:val="15"/>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9"/>
  </w:num>
  <w:num w:numId="7">
    <w:abstractNumId w:val="16"/>
  </w:num>
  <w:num w:numId="8">
    <w:abstractNumId w:val="37"/>
  </w:num>
  <w:num w:numId="9">
    <w:abstractNumId w:val="19"/>
  </w:num>
  <w:num w:numId="10">
    <w:abstractNumId w:val="36"/>
  </w:num>
  <w:num w:numId="11">
    <w:abstractNumId w:val="20"/>
  </w:num>
  <w:num w:numId="12">
    <w:abstractNumId w:val="1"/>
  </w:num>
  <w:num w:numId="13">
    <w:abstractNumId w:val="10"/>
  </w:num>
  <w:num w:numId="14">
    <w:abstractNumId w:val="40"/>
  </w:num>
  <w:num w:numId="15">
    <w:abstractNumId w:val="33"/>
  </w:num>
  <w:num w:numId="16">
    <w:abstractNumId w:val="0"/>
  </w:num>
  <w:num w:numId="17">
    <w:abstractNumId w:val="38"/>
  </w:num>
  <w:num w:numId="18">
    <w:abstractNumId w:val="28"/>
  </w:num>
  <w:num w:numId="19">
    <w:abstractNumId w:val="9"/>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45"/>
  </w:num>
  <w:num w:numId="24">
    <w:abstractNumId w:val="26"/>
  </w:num>
  <w:num w:numId="25">
    <w:abstractNumId w:val="4"/>
  </w:num>
  <w:num w:numId="26">
    <w:abstractNumId w:val="22"/>
  </w:num>
  <w:num w:numId="27">
    <w:abstractNumId w:val="6"/>
  </w:num>
  <w:num w:numId="28">
    <w:abstractNumId w:val="8"/>
  </w:num>
  <w:num w:numId="29">
    <w:abstractNumId w:val="34"/>
  </w:num>
  <w:num w:numId="30">
    <w:abstractNumId w:val="41"/>
  </w:num>
  <w:num w:numId="31">
    <w:abstractNumId w:val="25"/>
  </w:num>
  <w:num w:numId="32">
    <w:abstractNumId w:val="5"/>
  </w:num>
  <w:num w:numId="33">
    <w:abstractNumId w:val="18"/>
  </w:num>
  <w:num w:numId="34">
    <w:abstractNumId w:val="12"/>
  </w:num>
  <w:num w:numId="35">
    <w:abstractNumId w:val="24"/>
  </w:num>
  <w:num w:numId="36">
    <w:abstractNumId w:val="21"/>
  </w:num>
  <w:num w:numId="37">
    <w:abstractNumId w:val="35"/>
  </w:num>
  <w:num w:numId="38">
    <w:abstractNumId w:val="44"/>
  </w:num>
  <w:num w:numId="39">
    <w:abstractNumId w:val="11"/>
  </w:num>
  <w:num w:numId="40">
    <w:abstractNumId w:val="43"/>
  </w:num>
  <w:num w:numId="41">
    <w:abstractNumId w:val="42"/>
  </w:num>
  <w:num w:numId="42">
    <w:abstractNumId w:val="27"/>
  </w:num>
  <w:num w:numId="43">
    <w:abstractNumId w:val="2"/>
  </w:num>
  <w:num w:numId="44">
    <w:abstractNumId w:val="23"/>
  </w:num>
  <w:num w:numId="45">
    <w:abstractNumId w:val="32"/>
  </w:num>
  <w:num w:numId="46">
    <w:abstractNumId w:val="7"/>
  </w:num>
  <w:num w:numId="47">
    <w:abstractNumId w:val="30"/>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22742"/>
    <w:rsid w:val="00032690"/>
    <w:rsid w:val="00043043"/>
    <w:rsid w:val="0004364F"/>
    <w:rsid w:val="0005032D"/>
    <w:rsid w:val="00052A7F"/>
    <w:rsid w:val="00061A32"/>
    <w:rsid w:val="00061B2A"/>
    <w:rsid w:val="00061DA5"/>
    <w:rsid w:val="00064D4C"/>
    <w:rsid w:val="00065774"/>
    <w:rsid w:val="00067974"/>
    <w:rsid w:val="000716C3"/>
    <w:rsid w:val="0008049C"/>
    <w:rsid w:val="000816DD"/>
    <w:rsid w:val="00082362"/>
    <w:rsid w:val="00083901"/>
    <w:rsid w:val="00091052"/>
    <w:rsid w:val="00097A44"/>
    <w:rsid w:val="000A683E"/>
    <w:rsid w:val="000B19B9"/>
    <w:rsid w:val="000B6628"/>
    <w:rsid w:val="000C3898"/>
    <w:rsid w:val="000D0334"/>
    <w:rsid w:val="000D5325"/>
    <w:rsid w:val="000D7C08"/>
    <w:rsid w:val="000E02CA"/>
    <w:rsid w:val="000F4D98"/>
    <w:rsid w:val="000F5B9C"/>
    <w:rsid w:val="000F6486"/>
    <w:rsid w:val="001175E7"/>
    <w:rsid w:val="00117E40"/>
    <w:rsid w:val="0012388D"/>
    <w:rsid w:val="00125105"/>
    <w:rsid w:val="001254C6"/>
    <w:rsid w:val="00127233"/>
    <w:rsid w:val="001318DA"/>
    <w:rsid w:val="0014445C"/>
    <w:rsid w:val="00145669"/>
    <w:rsid w:val="0015095D"/>
    <w:rsid w:val="00151D47"/>
    <w:rsid w:val="001561D6"/>
    <w:rsid w:val="001572FA"/>
    <w:rsid w:val="001643A7"/>
    <w:rsid w:val="001711B6"/>
    <w:rsid w:val="00171AE9"/>
    <w:rsid w:val="00174353"/>
    <w:rsid w:val="00185D70"/>
    <w:rsid w:val="001A13C1"/>
    <w:rsid w:val="001A7C91"/>
    <w:rsid w:val="001B7AF4"/>
    <w:rsid w:val="001C4152"/>
    <w:rsid w:val="001C4F7E"/>
    <w:rsid w:val="001C5C4E"/>
    <w:rsid w:val="001C7BAE"/>
    <w:rsid w:val="001D4052"/>
    <w:rsid w:val="001D756C"/>
    <w:rsid w:val="001E1A15"/>
    <w:rsid w:val="001E4177"/>
    <w:rsid w:val="001E4A3E"/>
    <w:rsid w:val="001E5B16"/>
    <w:rsid w:val="001F0FB2"/>
    <w:rsid w:val="001F6D8D"/>
    <w:rsid w:val="001F7DC6"/>
    <w:rsid w:val="001F7E1D"/>
    <w:rsid w:val="00201766"/>
    <w:rsid w:val="0020467F"/>
    <w:rsid w:val="002121EB"/>
    <w:rsid w:val="00212EB2"/>
    <w:rsid w:val="002221DA"/>
    <w:rsid w:val="00232683"/>
    <w:rsid w:val="00237F82"/>
    <w:rsid w:val="002421BB"/>
    <w:rsid w:val="00250743"/>
    <w:rsid w:val="002520F5"/>
    <w:rsid w:val="0025398C"/>
    <w:rsid w:val="0025796E"/>
    <w:rsid w:val="002707A2"/>
    <w:rsid w:val="00272513"/>
    <w:rsid w:val="00276797"/>
    <w:rsid w:val="002933DA"/>
    <w:rsid w:val="002951A0"/>
    <w:rsid w:val="002962BC"/>
    <w:rsid w:val="002A093D"/>
    <w:rsid w:val="002A0DD0"/>
    <w:rsid w:val="002A1B06"/>
    <w:rsid w:val="002A4677"/>
    <w:rsid w:val="002A49AC"/>
    <w:rsid w:val="002A64FD"/>
    <w:rsid w:val="002B0930"/>
    <w:rsid w:val="002C4A72"/>
    <w:rsid w:val="002C4D91"/>
    <w:rsid w:val="002C7A84"/>
    <w:rsid w:val="002E22F1"/>
    <w:rsid w:val="002E315F"/>
    <w:rsid w:val="002E4FD9"/>
    <w:rsid w:val="002F6917"/>
    <w:rsid w:val="00306C5A"/>
    <w:rsid w:val="003071CA"/>
    <w:rsid w:val="003103F2"/>
    <w:rsid w:val="003149A7"/>
    <w:rsid w:val="00322A85"/>
    <w:rsid w:val="00324168"/>
    <w:rsid w:val="00335DDC"/>
    <w:rsid w:val="00340C01"/>
    <w:rsid w:val="003448F4"/>
    <w:rsid w:val="00351D82"/>
    <w:rsid w:val="00355F0B"/>
    <w:rsid w:val="00362EC9"/>
    <w:rsid w:val="0036753A"/>
    <w:rsid w:val="00367C99"/>
    <w:rsid w:val="00374F5E"/>
    <w:rsid w:val="00376A90"/>
    <w:rsid w:val="00376CD8"/>
    <w:rsid w:val="00377C80"/>
    <w:rsid w:val="00377E3E"/>
    <w:rsid w:val="003838FF"/>
    <w:rsid w:val="0038437E"/>
    <w:rsid w:val="00385998"/>
    <w:rsid w:val="00391C8E"/>
    <w:rsid w:val="00391EB2"/>
    <w:rsid w:val="0039733E"/>
    <w:rsid w:val="003A26D1"/>
    <w:rsid w:val="003A2ECF"/>
    <w:rsid w:val="003A779E"/>
    <w:rsid w:val="003B3410"/>
    <w:rsid w:val="003C28D0"/>
    <w:rsid w:val="003C3A88"/>
    <w:rsid w:val="003C3E5C"/>
    <w:rsid w:val="003D0F4D"/>
    <w:rsid w:val="003D5B0D"/>
    <w:rsid w:val="003D6E74"/>
    <w:rsid w:val="003E0499"/>
    <w:rsid w:val="003E41C3"/>
    <w:rsid w:val="003E6F3F"/>
    <w:rsid w:val="003E7285"/>
    <w:rsid w:val="003F1CB3"/>
    <w:rsid w:val="003F2418"/>
    <w:rsid w:val="003F3941"/>
    <w:rsid w:val="003F5236"/>
    <w:rsid w:val="004014C5"/>
    <w:rsid w:val="00404877"/>
    <w:rsid w:val="00406575"/>
    <w:rsid w:val="00412AC0"/>
    <w:rsid w:val="00426B4E"/>
    <w:rsid w:val="0042722E"/>
    <w:rsid w:val="0043208F"/>
    <w:rsid w:val="00437B03"/>
    <w:rsid w:val="00440694"/>
    <w:rsid w:val="00442DEF"/>
    <w:rsid w:val="00442F25"/>
    <w:rsid w:val="0044528D"/>
    <w:rsid w:val="004470E1"/>
    <w:rsid w:val="0045343A"/>
    <w:rsid w:val="00456F45"/>
    <w:rsid w:val="00461E0F"/>
    <w:rsid w:val="004634BD"/>
    <w:rsid w:val="00471626"/>
    <w:rsid w:val="0047280E"/>
    <w:rsid w:val="004735E5"/>
    <w:rsid w:val="00481285"/>
    <w:rsid w:val="0048714C"/>
    <w:rsid w:val="00491ED8"/>
    <w:rsid w:val="00497DBE"/>
    <w:rsid w:val="004A1847"/>
    <w:rsid w:val="004A305D"/>
    <w:rsid w:val="004A7B64"/>
    <w:rsid w:val="004E0A42"/>
    <w:rsid w:val="004E2AB9"/>
    <w:rsid w:val="004F21C4"/>
    <w:rsid w:val="004F56BF"/>
    <w:rsid w:val="004F685F"/>
    <w:rsid w:val="005013A6"/>
    <w:rsid w:val="00503449"/>
    <w:rsid w:val="0051501A"/>
    <w:rsid w:val="00521153"/>
    <w:rsid w:val="00526E69"/>
    <w:rsid w:val="00540088"/>
    <w:rsid w:val="0055375E"/>
    <w:rsid w:val="005566E8"/>
    <w:rsid w:val="00566D40"/>
    <w:rsid w:val="00574867"/>
    <w:rsid w:val="00574CB1"/>
    <w:rsid w:val="0058374D"/>
    <w:rsid w:val="00583765"/>
    <w:rsid w:val="00591460"/>
    <w:rsid w:val="00592628"/>
    <w:rsid w:val="005B55C4"/>
    <w:rsid w:val="005C1B4D"/>
    <w:rsid w:val="005C1E4D"/>
    <w:rsid w:val="005C3777"/>
    <w:rsid w:val="005C5CDC"/>
    <w:rsid w:val="005C5FD0"/>
    <w:rsid w:val="005C74BA"/>
    <w:rsid w:val="005C7C8E"/>
    <w:rsid w:val="005D2DA6"/>
    <w:rsid w:val="005D476C"/>
    <w:rsid w:val="005D5319"/>
    <w:rsid w:val="005E62E2"/>
    <w:rsid w:val="005F7B58"/>
    <w:rsid w:val="00600FA2"/>
    <w:rsid w:val="00601B7E"/>
    <w:rsid w:val="00601CDD"/>
    <w:rsid w:val="00606078"/>
    <w:rsid w:val="00610812"/>
    <w:rsid w:val="006133A3"/>
    <w:rsid w:val="006173C6"/>
    <w:rsid w:val="006219F8"/>
    <w:rsid w:val="006221A8"/>
    <w:rsid w:val="00642AA4"/>
    <w:rsid w:val="00645CB7"/>
    <w:rsid w:val="00650FF7"/>
    <w:rsid w:val="00652CBE"/>
    <w:rsid w:val="0065720B"/>
    <w:rsid w:val="00665D70"/>
    <w:rsid w:val="00670EF2"/>
    <w:rsid w:val="00671DAC"/>
    <w:rsid w:val="00677639"/>
    <w:rsid w:val="006900D9"/>
    <w:rsid w:val="00691D55"/>
    <w:rsid w:val="00694DE4"/>
    <w:rsid w:val="006A319E"/>
    <w:rsid w:val="006A5AE8"/>
    <w:rsid w:val="006A6837"/>
    <w:rsid w:val="006A7FFC"/>
    <w:rsid w:val="006B0766"/>
    <w:rsid w:val="006B0E65"/>
    <w:rsid w:val="006B72C8"/>
    <w:rsid w:val="006B763B"/>
    <w:rsid w:val="006C5F67"/>
    <w:rsid w:val="006D0268"/>
    <w:rsid w:val="006D12F8"/>
    <w:rsid w:val="006D3648"/>
    <w:rsid w:val="006E790E"/>
    <w:rsid w:val="006F3640"/>
    <w:rsid w:val="00706C16"/>
    <w:rsid w:val="007118A7"/>
    <w:rsid w:val="00712B92"/>
    <w:rsid w:val="00724B22"/>
    <w:rsid w:val="007271E0"/>
    <w:rsid w:val="00744E12"/>
    <w:rsid w:val="00756841"/>
    <w:rsid w:val="00757DEA"/>
    <w:rsid w:val="007630C8"/>
    <w:rsid w:val="007649AB"/>
    <w:rsid w:val="00770CA1"/>
    <w:rsid w:val="00770D74"/>
    <w:rsid w:val="00771D0C"/>
    <w:rsid w:val="00771EEC"/>
    <w:rsid w:val="00775EFA"/>
    <w:rsid w:val="007833AC"/>
    <w:rsid w:val="00783B11"/>
    <w:rsid w:val="007866A8"/>
    <w:rsid w:val="00791488"/>
    <w:rsid w:val="00793192"/>
    <w:rsid w:val="007937A8"/>
    <w:rsid w:val="00794660"/>
    <w:rsid w:val="007964E2"/>
    <w:rsid w:val="007A4461"/>
    <w:rsid w:val="007A663E"/>
    <w:rsid w:val="007B268C"/>
    <w:rsid w:val="007B61BA"/>
    <w:rsid w:val="007B7171"/>
    <w:rsid w:val="007B7897"/>
    <w:rsid w:val="007C0C0F"/>
    <w:rsid w:val="007C3DC2"/>
    <w:rsid w:val="007C4B5D"/>
    <w:rsid w:val="007D0253"/>
    <w:rsid w:val="007D5768"/>
    <w:rsid w:val="007E2389"/>
    <w:rsid w:val="007E4150"/>
    <w:rsid w:val="007E5497"/>
    <w:rsid w:val="007F5013"/>
    <w:rsid w:val="007F56E0"/>
    <w:rsid w:val="0080518E"/>
    <w:rsid w:val="00806F5F"/>
    <w:rsid w:val="00811ADC"/>
    <w:rsid w:val="00820278"/>
    <w:rsid w:val="008211F4"/>
    <w:rsid w:val="008245EB"/>
    <w:rsid w:val="008378C3"/>
    <w:rsid w:val="00842E01"/>
    <w:rsid w:val="00845A8D"/>
    <w:rsid w:val="00847CCC"/>
    <w:rsid w:val="00851635"/>
    <w:rsid w:val="0085720E"/>
    <w:rsid w:val="008677DE"/>
    <w:rsid w:val="008734E3"/>
    <w:rsid w:val="0088110E"/>
    <w:rsid w:val="008843B6"/>
    <w:rsid w:val="00887676"/>
    <w:rsid w:val="00891928"/>
    <w:rsid w:val="008A446D"/>
    <w:rsid w:val="008A772E"/>
    <w:rsid w:val="008C0A2F"/>
    <w:rsid w:val="008C40EF"/>
    <w:rsid w:val="008D180B"/>
    <w:rsid w:val="008D1C73"/>
    <w:rsid w:val="008E712D"/>
    <w:rsid w:val="008F0EA7"/>
    <w:rsid w:val="008F4339"/>
    <w:rsid w:val="008F4B04"/>
    <w:rsid w:val="008F7D92"/>
    <w:rsid w:val="009000C8"/>
    <w:rsid w:val="00901B56"/>
    <w:rsid w:val="00903114"/>
    <w:rsid w:val="009041A0"/>
    <w:rsid w:val="009143F1"/>
    <w:rsid w:val="00920710"/>
    <w:rsid w:val="00920D0D"/>
    <w:rsid w:val="00922211"/>
    <w:rsid w:val="00922EAB"/>
    <w:rsid w:val="00923EEF"/>
    <w:rsid w:val="00927F89"/>
    <w:rsid w:val="00936797"/>
    <w:rsid w:val="009419F9"/>
    <w:rsid w:val="00943A3B"/>
    <w:rsid w:val="00955D18"/>
    <w:rsid w:val="0095685E"/>
    <w:rsid w:val="00957F2D"/>
    <w:rsid w:val="009608D9"/>
    <w:rsid w:val="00961B09"/>
    <w:rsid w:val="00965334"/>
    <w:rsid w:val="0097093E"/>
    <w:rsid w:val="00977B0C"/>
    <w:rsid w:val="00981DDD"/>
    <w:rsid w:val="009A0DFA"/>
    <w:rsid w:val="009A7CC9"/>
    <w:rsid w:val="009B2421"/>
    <w:rsid w:val="009B28FC"/>
    <w:rsid w:val="009B2D26"/>
    <w:rsid w:val="009B3357"/>
    <w:rsid w:val="009B36E7"/>
    <w:rsid w:val="009C547E"/>
    <w:rsid w:val="009C62EC"/>
    <w:rsid w:val="009C71FA"/>
    <w:rsid w:val="009C72E7"/>
    <w:rsid w:val="009D04B0"/>
    <w:rsid w:val="009D05E0"/>
    <w:rsid w:val="009D3058"/>
    <w:rsid w:val="009D4E8D"/>
    <w:rsid w:val="009D7B43"/>
    <w:rsid w:val="009F3A13"/>
    <w:rsid w:val="009F6593"/>
    <w:rsid w:val="00A122D3"/>
    <w:rsid w:val="00A17F13"/>
    <w:rsid w:val="00A20739"/>
    <w:rsid w:val="00A214DF"/>
    <w:rsid w:val="00A27867"/>
    <w:rsid w:val="00A33C78"/>
    <w:rsid w:val="00A3710E"/>
    <w:rsid w:val="00A42AAE"/>
    <w:rsid w:val="00A519A0"/>
    <w:rsid w:val="00A52DE7"/>
    <w:rsid w:val="00A61860"/>
    <w:rsid w:val="00A644E0"/>
    <w:rsid w:val="00A65B78"/>
    <w:rsid w:val="00A80320"/>
    <w:rsid w:val="00A80691"/>
    <w:rsid w:val="00A8229A"/>
    <w:rsid w:val="00A9310E"/>
    <w:rsid w:val="00A94103"/>
    <w:rsid w:val="00AA2B1E"/>
    <w:rsid w:val="00AA6478"/>
    <w:rsid w:val="00AA7047"/>
    <w:rsid w:val="00AB0ADB"/>
    <w:rsid w:val="00AB2AC1"/>
    <w:rsid w:val="00AB5A54"/>
    <w:rsid w:val="00AC0B6D"/>
    <w:rsid w:val="00AC1F25"/>
    <w:rsid w:val="00AD1BDE"/>
    <w:rsid w:val="00AE7B20"/>
    <w:rsid w:val="00AE7D3D"/>
    <w:rsid w:val="00AE7E03"/>
    <w:rsid w:val="00AF4209"/>
    <w:rsid w:val="00AF79BC"/>
    <w:rsid w:val="00B01B1A"/>
    <w:rsid w:val="00B05B83"/>
    <w:rsid w:val="00B07859"/>
    <w:rsid w:val="00B115DB"/>
    <w:rsid w:val="00B33517"/>
    <w:rsid w:val="00B37A90"/>
    <w:rsid w:val="00B405A3"/>
    <w:rsid w:val="00B41F49"/>
    <w:rsid w:val="00B44494"/>
    <w:rsid w:val="00B44EF8"/>
    <w:rsid w:val="00B539CD"/>
    <w:rsid w:val="00B5477C"/>
    <w:rsid w:val="00B62DDE"/>
    <w:rsid w:val="00B62FCA"/>
    <w:rsid w:val="00B72CD3"/>
    <w:rsid w:val="00B72FFF"/>
    <w:rsid w:val="00B74650"/>
    <w:rsid w:val="00B75709"/>
    <w:rsid w:val="00B75E24"/>
    <w:rsid w:val="00B84717"/>
    <w:rsid w:val="00B96BEA"/>
    <w:rsid w:val="00B978B5"/>
    <w:rsid w:val="00BA0D07"/>
    <w:rsid w:val="00BB6888"/>
    <w:rsid w:val="00BC3D36"/>
    <w:rsid w:val="00BC4CD4"/>
    <w:rsid w:val="00BD77C4"/>
    <w:rsid w:val="00BD7F72"/>
    <w:rsid w:val="00BE6BAA"/>
    <w:rsid w:val="00BF099A"/>
    <w:rsid w:val="00BF3D94"/>
    <w:rsid w:val="00BF7F57"/>
    <w:rsid w:val="00C03274"/>
    <w:rsid w:val="00C04307"/>
    <w:rsid w:val="00C04FB3"/>
    <w:rsid w:val="00C11F4C"/>
    <w:rsid w:val="00C127E0"/>
    <w:rsid w:val="00C21782"/>
    <w:rsid w:val="00C259CE"/>
    <w:rsid w:val="00C26925"/>
    <w:rsid w:val="00C330EB"/>
    <w:rsid w:val="00C42100"/>
    <w:rsid w:val="00C45B33"/>
    <w:rsid w:val="00C63E0F"/>
    <w:rsid w:val="00C73838"/>
    <w:rsid w:val="00C741DC"/>
    <w:rsid w:val="00C754BE"/>
    <w:rsid w:val="00C76B1C"/>
    <w:rsid w:val="00C83C0F"/>
    <w:rsid w:val="00C8442F"/>
    <w:rsid w:val="00C903DE"/>
    <w:rsid w:val="00C90ADE"/>
    <w:rsid w:val="00CA2A7C"/>
    <w:rsid w:val="00CA31BC"/>
    <w:rsid w:val="00CB6357"/>
    <w:rsid w:val="00CC02E3"/>
    <w:rsid w:val="00CC1B26"/>
    <w:rsid w:val="00CC277F"/>
    <w:rsid w:val="00CC28C9"/>
    <w:rsid w:val="00CD1B6E"/>
    <w:rsid w:val="00CD4A54"/>
    <w:rsid w:val="00CD5214"/>
    <w:rsid w:val="00D16132"/>
    <w:rsid w:val="00D261F9"/>
    <w:rsid w:val="00D423A2"/>
    <w:rsid w:val="00D520D8"/>
    <w:rsid w:val="00D5776D"/>
    <w:rsid w:val="00D63AC2"/>
    <w:rsid w:val="00D71ACD"/>
    <w:rsid w:val="00D7383B"/>
    <w:rsid w:val="00D76D09"/>
    <w:rsid w:val="00DA022D"/>
    <w:rsid w:val="00DA0B2B"/>
    <w:rsid w:val="00DA0E60"/>
    <w:rsid w:val="00DA231B"/>
    <w:rsid w:val="00DA23A0"/>
    <w:rsid w:val="00DA2CA2"/>
    <w:rsid w:val="00DB29E1"/>
    <w:rsid w:val="00DB7D44"/>
    <w:rsid w:val="00DC1E19"/>
    <w:rsid w:val="00DC2958"/>
    <w:rsid w:val="00DC39FC"/>
    <w:rsid w:val="00DC6DE3"/>
    <w:rsid w:val="00DE2464"/>
    <w:rsid w:val="00DE3616"/>
    <w:rsid w:val="00DE3A63"/>
    <w:rsid w:val="00DF0103"/>
    <w:rsid w:val="00DF1B0E"/>
    <w:rsid w:val="00DF5254"/>
    <w:rsid w:val="00DF691D"/>
    <w:rsid w:val="00DF7F54"/>
    <w:rsid w:val="00E005E5"/>
    <w:rsid w:val="00E13277"/>
    <w:rsid w:val="00E136A2"/>
    <w:rsid w:val="00E16408"/>
    <w:rsid w:val="00E20894"/>
    <w:rsid w:val="00E21BD1"/>
    <w:rsid w:val="00E245AB"/>
    <w:rsid w:val="00E2764C"/>
    <w:rsid w:val="00E27F2E"/>
    <w:rsid w:val="00E362C7"/>
    <w:rsid w:val="00E36FC5"/>
    <w:rsid w:val="00E413EA"/>
    <w:rsid w:val="00E41CC9"/>
    <w:rsid w:val="00E447AD"/>
    <w:rsid w:val="00E4598B"/>
    <w:rsid w:val="00E5035C"/>
    <w:rsid w:val="00E50AFE"/>
    <w:rsid w:val="00E52602"/>
    <w:rsid w:val="00E5566A"/>
    <w:rsid w:val="00E56422"/>
    <w:rsid w:val="00E6781E"/>
    <w:rsid w:val="00E70010"/>
    <w:rsid w:val="00E7019A"/>
    <w:rsid w:val="00E75C92"/>
    <w:rsid w:val="00E76DDA"/>
    <w:rsid w:val="00E771DC"/>
    <w:rsid w:val="00E845F4"/>
    <w:rsid w:val="00E8671A"/>
    <w:rsid w:val="00E8772A"/>
    <w:rsid w:val="00E90F6B"/>
    <w:rsid w:val="00E92C27"/>
    <w:rsid w:val="00EA0E3D"/>
    <w:rsid w:val="00EA7B0A"/>
    <w:rsid w:val="00EB08FB"/>
    <w:rsid w:val="00EB3CD8"/>
    <w:rsid w:val="00EB7D13"/>
    <w:rsid w:val="00EC38A7"/>
    <w:rsid w:val="00EC4550"/>
    <w:rsid w:val="00ED291B"/>
    <w:rsid w:val="00ED58AB"/>
    <w:rsid w:val="00EE1AA8"/>
    <w:rsid w:val="00EF40D2"/>
    <w:rsid w:val="00EF4E84"/>
    <w:rsid w:val="00EF64BA"/>
    <w:rsid w:val="00F141D2"/>
    <w:rsid w:val="00F31EDC"/>
    <w:rsid w:val="00F45BF2"/>
    <w:rsid w:val="00F462B3"/>
    <w:rsid w:val="00F51BC1"/>
    <w:rsid w:val="00F5664F"/>
    <w:rsid w:val="00F6131B"/>
    <w:rsid w:val="00F621E3"/>
    <w:rsid w:val="00F666C4"/>
    <w:rsid w:val="00F67238"/>
    <w:rsid w:val="00F732FD"/>
    <w:rsid w:val="00F73C01"/>
    <w:rsid w:val="00F76AFC"/>
    <w:rsid w:val="00F81493"/>
    <w:rsid w:val="00F84B83"/>
    <w:rsid w:val="00F85A79"/>
    <w:rsid w:val="00F912A0"/>
    <w:rsid w:val="00F930CF"/>
    <w:rsid w:val="00FA0CF8"/>
    <w:rsid w:val="00FA47C0"/>
    <w:rsid w:val="00FA738A"/>
    <w:rsid w:val="00FA7560"/>
    <w:rsid w:val="00FB5C6A"/>
    <w:rsid w:val="00FB5CB7"/>
    <w:rsid w:val="00FB5DD1"/>
    <w:rsid w:val="00FB67C7"/>
    <w:rsid w:val="00FB76D0"/>
    <w:rsid w:val="00FB7EA8"/>
    <w:rsid w:val="00FC2B5D"/>
    <w:rsid w:val="00FC569F"/>
    <w:rsid w:val="00FD1A7E"/>
    <w:rsid w:val="00FE5E06"/>
    <w:rsid w:val="00FE66BE"/>
    <w:rsid w:val="00FF1449"/>
    <w:rsid w:val="00FF5F98"/>
    <w:rsid w:val="00FF6AC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 w:type="paragraph" w:customStyle="1" w:styleId="Car1">
    <w:name w:val="Car1"/>
    <w:basedOn w:val="Normal"/>
    <w:next w:val="Textonotapie"/>
    <w:uiPriority w:val="99"/>
    <w:unhideWhenUsed/>
    <w:qFormat/>
    <w:rsid w:val="00237F82"/>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73675406">
      <w:bodyDiv w:val="1"/>
      <w:marLeft w:val="0"/>
      <w:marRight w:val="0"/>
      <w:marTop w:val="0"/>
      <w:marBottom w:val="0"/>
      <w:divBdr>
        <w:top w:val="none" w:sz="0" w:space="0" w:color="auto"/>
        <w:left w:val="none" w:sz="0" w:space="0" w:color="auto"/>
        <w:bottom w:val="none" w:sz="0" w:space="0" w:color="auto"/>
        <w:right w:val="none" w:sz="0" w:space="0" w:color="auto"/>
      </w:divBdr>
    </w:div>
    <w:div w:id="121309445">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383331852">
      <w:bodyDiv w:val="1"/>
      <w:marLeft w:val="0"/>
      <w:marRight w:val="0"/>
      <w:marTop w:val="0"/>
      <w:marBottom w:val="0"/>
      <w:divBdr>
        <w:top w:val="none" w:sz="0" w:space="0" w:color="auto"/>
        <w:left w:val="none" w:sz="0" w:space="0" w:color="auto"/>
        <w:bottom w:val="none" w:sz="0" w:space="0" w:color="auto"/>
        <w:right w:val="none" w:sz="0" w:space="0" w:color="auto"/>
      </w:divBdr>
    </w:div>
    <w:div w:id="480511154">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624627910">
      <w:bodyDiv w:val="1"/>
      <w:marLeft w:val="0"/>
      <w:marRight w:val="0"/>
      <w:marTop w:val="0"/>
      <w:marBottom w:val="0"/>
      <w:divBdr>
        <w:top w:val="none" w:sz="0" w:space="0" w:color="auto"/>
        <w:left w:val="none" w:sz="0" w:space="0" w:color="auto"/>
        <w:bottom w:val="none" w:sz="0" w:space="0" w:color="auto"/>
        <w:right w:val="none" w:sz="0" w:space="0" w:color="auto"/>
      </w:divBdr>
    </w:div>
    <w:div w:id="697854014">
      <w:bodyDiv w:val="1"/>
      <w:marLeft w:val="0"/>
      <w:marRight w:val="0"/>
      <w:marTop w:val="0"/>
      <w:marBottom w:val="0"/>
      <w:divBdr>
        <w:top w:val="none" w:sz="0" w:space="0" w:color="auto"/>
        <w:left w:val="none" w:sz="0" w:space="0" w:color="auto"/>
        <w:bottom w:val="none" w:sz="0" w:space="0" w:color="auto"/>
        <w:right w:val="none" w:sz="0" w:space="0" w:color="auto"/>
      </w:divBdr>
    </w:div>
    <w:div w:id="741485531">
      <w:bodyDiv w:val="1"/>
      <w:marLeft w:val="0"/>
      <w:marRight w:val="0"/>
      <w:marTop w:val="0"/>
      <w:marBottom w:val="0"/>
      <w:divBdr>
        <w:top w:val="none" w:sz="0" w:space="0" w:color="auto"/>
        <w:left w:val="none" w:sz="0" w:space="0" w:color="auto"/>
        <w:bottom w:val="none" w:sz="0" w:space="0" w:color="auto"/>
        <w:right w:val="none" w:sz="0" w:space="0" w:color="auto"/>
      </w:divBdr>
    </w:div>
    <w:div w:id="75015346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979769456">
      <w:bodyDiv w:val="1"/>
      <w:marLeft w:val="0"/>
      <w:marRight w:val="0"/>
      <w:marTop w:val="0"/>
      <w:marBottom w:val="0"/>
      <w:divBdr>
        <w:top w:val="none" w:sz="0" w:space="0" w:color="auto"/>
        <w:left w:val="none" w:sz="0" w:space="0" w:color="auto"/>
        <w:bottom w:val="none" w:sz="0" w:space="0" w:color="auto"/>
        <w:right w:val="none" w:sz="0" w:space="0" w:color="auto"/>
      </w:divBdr>
    </w:div>
    <w:div w:id="107226648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19157707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03680977">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595942692">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671054556">
      <w:bodyDiv w:val="1"/>
      <w:marLeft w:val="0"/>
      <w:marRight w:val="0"/>
      <w:marTop w:val="0"/>
      <w:marBottom w:val="0"/>
      <w:divBdr>
        <w:top w:val="none" w:sz="0" w:space="0" w:color="auto"/>
        <w:left w:val="none" w:sz="0" w:space="0" w:color="auto"/>
        <w:bottom w:val="none" w:sz="0" w:space="0" w:color="auto"/>
        <w:right w:val="none" w:sz="0" w:space="0" w:color="auto"/>
      </w:divBdr>
    </w:div>
    <w:div w:id="1677153464">
      <w:bodyDiv w:val="1"/>
      <w:marLeft w:val="0"/>
      <w:marRight w:val="0"/>
      <w:marTop w:val="0"/>
      <w:marBottom w:val="0"/>
      <w:divBdr>
        <w:top w:val="none" w:sz="0" w:space="0" w:color="auto"/>
        <w:left w:val="none" w:sz="0" w:space="0" w:color="auto"/>
        <w:bottom w:val="none" w:sz="0" w:space="0" w:color="auto"/>
        <w:right w:val="none" w:sz="0" w:space="0" w:color="auto"/>
      </w:divBdr>
    </w:div>
    <w:div w:id="1714959694">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1980110614">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36076052">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0767328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carolina_cruz85@hotmail.com"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7F43F95-9864-4804-BFDE-1CB1563C7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5368</TotalTime>
  <Pages>11</Pages>
  <Words>3330</Words>
  <Characters>18316</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117</cp:revision>
  <cp:lastPrinted>2023-01-10T21:18:00Z</cp:lastPrinted>
  <dcterms:created xsi:type="dcterms:W3CDTF">2024-12-12T15:03:00Z</dcterms:created>
  <dcterms:modified xsi:type="dcterms:W3CDTF">2025-10-09T13:49:00Z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