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6D1986" w14:textId="44B26AB8" w:rsidR="001158FA" w:rsidRPr="001158FA" w:rsidRDefault="001158FA" w:rsidP="001158FA">
      <w:pPr>
        <w:spacing w:after="0" w:line="240" w:lineRule="auto"/>
        <w:ind w:right="-376"/>
        <w:rPr>
          <w:rFonts w:ascii="Verdana" w:hAnsi="Verdana" w:cs="Arial"/>
          <w:b/>
          <w:bCs/>
          <w:color w:val="000000" w:themeColor="text1"/>
          <w:sz w:val="21"/>
          <w:szCs w:val="21"/>
          <w:lang w:val="es-ES_tradnl"/>
        </w:rPr>
      </w:pPr>
      <w:r w:rsidRPr="001158FA">
        <w:rPr>
          <w:rFonts w:ascii="Verdana" w:hAnsi="Verdana" w:cs="Arial"/>
          <w:b/>
          <w:bCs/>
          <w:color w:val="000000" w:themeColor="text1"/>
          <w:sz w:val="21"/>
          <w:szCs w:val="21"/>
          <w:lang w:val="es-ES_tradnl"/>
        </w:rPr>
        <w:t>CONTRATACIÓN DIRECTA – Ejecución de trabajos artísticos - TRABAJOS ARTÍSTICOS – Personas Jurídicas</w:t>
      </w:r>
    </w:p>
    <w:p w14:paraId="12F77A69" w14:textId="77777777" w:rsidR="001158FA" w:rsidRPr="001158FA" w:rsidRDefault="001158FA" w:rsidP="001158FA">
      <w:pPr>
        <w:spacing w:after="0" w:line="240" w:lineRule="auto"/>
        <w:ind w:right="-376"/>
        <w:rPr>
          <w:rFonts w:ascii="Verdana" w:hAnsi="Verdana" w:cs="Arial"/>
          <w:b/>
          <w:bCs/>
          <w:color w:val="000000" w:themeColor="text1"/>
          <w:sz w:val="21"/>
          <w:szCs w:val="21"/>
          <w:lang w:val="es-ES_tradnl"/>
        </w:rPr>
      </w:pPr>
    </w:p>
    <w:p w14:paraId="16A6A689" w14:textId="77777777" w:rsidR="001158FA" w:rsidRPr="001158FA" w:rsidRDefault="001158FA" w:rsidP="001158FA">
      <w:pPr>
        <w:spacing w:after="120" w:line="276" w:lineRule="auto"/>
        <w:jc w:val="both"/>
        <w:rPr>
          <w:rFonts w:ascii="Verdana" w:eastAsia="Calibri" w:hAnsi="Verdana" w:cs="Arial"/>
          <w:sz w:val="21"/>
          <w:szCs w:val="21"/>
        </w:rPr>
      </w:pPr>
      <w:r w:rsidRPr="001158FA">
        <w:rPr>
          <w:rFonts w:ascii="Verdana" w:eastAsia="Calibri" w:hAnsi="Verdana" w:cs="Arial"/>
          <w:sz w:val="21"/>
          <w:szCs w:val="21"/>
        </w:rPr>
        <w:t>es necesario señalar que, para la celebración de contratos de prestación de servicios artísticos, deben cumplirse, en términos generales, las condiciones establecidas en el Estatuto General de Contratación de la Administración Pública (EGCAP), la Ley 1150 de 2007, el Decreto 1082 de 2015 y la jurisprudencia del Consejo de Estado en la materia.</w:t>
      </w:r>
    </w:p>
    <w:p w14:paraId="14BAB4BD" w14:textId="77777777" w:rsidR="001158FA" w:rsidRPr="001158FA" w:rsidRDefault="001158FA" w:rsidP="001158FA">
      <w:pPr>
        <w:spacing w:after="120" w:line="276" w:lineRule="auto"/>
        <w:jc w:val="both"/>
        <w:rPr>
          <w:rFonts w:ascii="Verdana" w:eastAsia="Calibri" w:hAnsi="Verdana" w:cs="Arial"/>
          <w:sz w:val="21"/>
          <w:szCs w:val="21"/>
        </w:rPr>
      </w:pPr>
      <w:r w:rsidRPr="001158FA">
        <w:rPr>
          <w:rFonts w:ascii="Verdana" w:eastAsia="Calibri" w:hAnsi="Verdana" w:cs="Arial"/>
          <w:sz w:val="21"/>
          <w:szCs w:val="21"/>
        </w:rPr>
        <w:t>En este sentido, el artículo 2.2.1.2.1.4.9 del Decreto 1082 de 2015 establece que las entidades públicas pueden recurrir a la contratación directa cuando se trate de la prestación de servicios profesionales o de apoyo a la gestión para la ejecución de trabajos artísticos, ya sea con personas naturales o jurídicas que demuestren la capacidad para cumplir con el objeto contractual. Para ello, la entidad debe verificar previamente la idoneidad y experiencia del contratista.</w:t>
      </w:r>
    </w:p>
    <w:p w14:paraId="78084184" w14:textId="77777777" w:rsidR="001158FA" w:rsidRPr="001158FA" w:rsidRDefault="001158FA" w:rsidP="001158FA">
      <w:pPr>
        <w:spacing w:after="120" w:line="276" w:lineRule="auto"/>
        <w:jc w:val="both"/>
        <w:rPr>
          <w:rFonts w:ascii="Verdana" w:eastAsia="Calibri" w:hAnsi="Verdana" w:cs="Arial"/>
          <w:sz w:val="21"/>
          <w:szCs w:val="21"/>
        </w:rPr>
      </w:pPr>
      <w:r w:rsidRPr="001158FA">
        <w:rPr>
          <w:rFonts w:ascii="Verdana" w:eastAsia="Calibri" w:hAnsi="Verdana" w:cs="Arial"/>
          <w:sz w:val="21"/>
          <w:szCs w:val="21"/>
        </w:rPr>
        <w:t>Así mismo, según el numeral 4 del artículo 2 de la Ley 1150 de 2007, una de las causales para acudir a la modalidad de contratación directa es la celebración de contratos artísticos que solo pueden ser encomendados a determinadas personas naturales. Para que esta causal proceda, deben concurrir las siguientes condiciones: (i) que el objeto del contrato sea la ejecución de trabajos artísticos y (</w:t>
      </w:r>
      <w:proofErr w:type="spellStart"/>
      <w:r w:rsidRPr="001158FA">
        <w:rPr>
          <w:rFonts w:ascii="Verdana" w:eastAsia="Calibri" w:hAnsi="Verdana" w:cs="Arial"/>
          <w:sz w:val="21"/>
          <w:szCs w:val="21"/>
        </w:rPr>
        <w:t>ii</w:t>
      </w:r>
      <w:proofErr w:type="spellEnd"/>
      <w:r w:rsidRPr="001158FA">
        <w:rPr>
          <w:rFonts w:ascii="Verdana" w:eastAsia="Calibri" w:hAnsi="Verdana" w:cs="Arial"/>
          <w:sz w:val="21"/>
          <w:szCs w:val="21"/>
        </w:rPr>
        <w:t>) que estos solo puedan ser realizados por ciertas personas naturales. En consecuencia, esta modalidad no aplica cuando el propósito del contrato no es la ejecución de una obra artística, sino la adquisición o compra de un bien clasificado como obra de arte.</w:t>
      </w:r>
    </w:p>
    <w:p w14:paraId="2696FE90" w14:textId="77777777" w:rsidR="001158FA" w:rsidRPr="001158FA" w:rsidRDefault="001158FA" w:rsidP="001158FA">
      <w:pPr>
        <w:spacing w:after="120" w:line="276" w:lineRule="auto"/>
        <w:jc w:val="both"/>
        <w:rPr>
          <w:rFonts w:ascii="Verdana" w:eastAsia="Calibri" w:hAnsi="Verdana" w:cs="Arial"/>
          <w:sz w:val="21"/>
          <w:szCs w:val="21"/>
        </w:rPr>
      </w:pPr>
      <w:r w:rsidRPr="001158FA">
        <w:rPr>
          <w:rFonts w:ascii="Verdana" w:eastAsia="Calibri" w:hAnsi="Verdana" w:cs="Arial"/>
          <w:sz w:val="21"/>
          <w:szCs w:val="21"/>
        </w:rPr>
        <w:t>Por otra parte, para la celebración de contratos con entidades sin ánimo de lucro mediante convenio de asociación, se debe observar lo dispuesto en el Decreto 092 de 2017. Su artículo 5° establece que, por regla general, el proceso de selección de una ESAL debe estar sujeto a competencia, salvo cuando esta manifieste su compromiso de aportar recursos en dinero por un valor igual o superior al treinta por ciento (30%) del valor total del convenio. En estos casos, la contratación directa procede únicamente si no existen otras entidades del mismo tipo que ofrezcan aportes iguales o superiores a dicho porcentaje. De lo contrario, deberá adelantarse un proceso competitivo.</w:t>
      </w:r>
    </w:p>
    <w:p w14:paraId="57643739" w14:textId="77777777" w:rsidR="001158FA" w:rsidRPr="001158FA" w:rsidRDefault="001158FA" w:rsidP="001158FA">
      <w:pPr>
        <w:spacing w:after="120" w:line="276" w:lineRule="auto"/>
        <w:jc w:val="both"/>
        <w:rPr>
          <w:rFonts w:ascii="Verdana" w:eastAsia="Calibri" w:hAnsi="Verdana" w:cs="Arial"/>
          <w:sz w:val="21"/>
          <w:szCs w:val="21"/>
        </w:rPr>
      </w:pPr>
      <w:r w:rsidRPr="001158FA">
        <w:rPr>
          <w:rFonts w:ascii="Verdana" w:eastAsia="Calibri" w:hAnsi="Verdana" w:cs="Arial"/>
          <w:sz w:val="21"/>
          <w:szCs w:val="21"/>
        </w:rPr>
        <w:t>Cabe advertir que el artículo mencionado no prohíbe la celebración de convenios en los que la ESAL aporte menos del 30% o contribuya con recursos en especie. En tales escenarios, lo que establece la norma es que la entidad estatal debe recurrir al proceso competitivo para seleccionar con cuál entidad celebrará el convenio correspondiente.</w:t>
      </w:r>
    </w:p>
    <w:p w14:paraId="441FF77A" w14:textId="77777777" w:rsidR="001158FA" w:rsidRPr="001158FA" w:rsidRDefault="001158FA" w:rsidP="001158FA">
      <w:pPr>
        <w:spacing w:after="120" w:line="276" w:lineRule="auto"/>
        <w:jc w:val="both"/>
        <w:rPr>
          <w:rFonts w:ascii="Verdana" w:eastAsia="Calibri" w:hAnsi="Verdana" w:cs="Arial"/>
          <w:color w:val="000000"/>
          <w:sz w:val="21"/>
          <w:szCs w:val="21"/>
          <w:lang w:eastAsia="es-ES_tradnl"/>
        </w:rPr>
      </w:pPr>
      <w:r w:rsidRPr="001158FA">
        <w:rPr>
          <w:rFonts w:ascii="Verdana" w:eastAsia="Calibri" w:hAnsi="Verdana" w:cs="Arial"/>
          <w:color w:val="000000"/>
          <w:sz w:val="21"/>
          <w:szCs w:val="21"/>
          <w:lang w:eastAsia="es-ES_tradnl"/>
        </w:rPr>
        <w:lastRenderedPageBreak/>
        <w:t>Vale agregar que, las Entidades Estatales cuentan con autonomía para estructurar el proceso competitivo conforme a lo establecido en el artículo 5 del Decreto 092 de 2017. No obstante, el mecanismo que adopten para la celebración de convenios de asociación debe asegurar condiciones de libre participación, pluralidad de oferentes y evaluación objetiva de las propuestas. Este procedimiento puede seguir lineamientos similares a los de modalidades competitivas como la licitación pública.</w:t>
      </w:r>
    </w:p>
    <w:p w14:paraId="7FC7BFF1" w14:textId="2D1B8F71" w:rsidR="001158FA" w:rsidRPr="001158FA" w:rsidRDefault="001158FA" w:rsidP="001158FA">
      <w:pPr>
        <w:spacing w:after="120" w:line="276" w:lineRule="auto"/>
        <w:jc w:val="both"/>
        <w:rPr>
          <w:rFonts w:ascii="Verdana" w:eastAsia="Calibri" w:hAnsi="Verdana" w:cs="Arial"/>
          <w:b/>
          <w:color w:val="000000"/>
          <w:sz w:val="21"/>
          <w:szCs w:val="21"/>
          <w:lang w:val="es-MX" w:eastAsia="es-ES_tradnl"/>
        </w:rPr>
      </w:pPr>
      <w:r w:rsidRPr="001158FA">
        <w:rPr>
          <w:rFonts w:ascii="Verdana" w:eastAsia="Century Gothic" w:hAnsi="Verdana" w:cs="Century Gothic"/>
          <w:b/>
          <w:sz w:val="21"/>
          <w:szCs w:val="21"/>
        </w:rPr>
        <w:t>EXPEDICIÓN DE ADENDAS – Límite temporal de la expedición de adendas – Límite material de la expedición de adendas / EXPEDICIÓN DE ADENDAS – Observancia del principio de transparencia, igualdad y economía</w:t>
      </w:r>
    </w:p>
    <w:p w14:paraId="4BE80405"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 xml:space="preserve">De conformidad con lo dispuesto en el artículo 30, numeral 5, de la Ley 80 de 1993 –modificado por el artículo 89 de la Ley 1474 de 2011 y el artículo 2.2.1.1.2.2.1. del Decreto 1082 de 2015, conviene diferenciar dos (2) tipos de ajustes que pueden dar lugar a la expedición de adendas: i) los referidos a las condiciones técnicas, jurídicas y económicas del pliego definitivo y, en general, a cualquier contenido distinto del cronograma del procedimiento de selección y </w:t>
      </w:r>
      <w:proofErr w:type="spellStart"/>
      <w:r w:rsidRPr="001158FA">
        <w:rPr>
          <w:rFonts w:ascii="Verdana" w:eastAsia="Arial" w:hAnsi="Verdana" w:cs="Arial"/>
          <w:sz w:val="21"/>
          <w:szCs w:val="21"/>
          <w:lang w:eastAsia="es-ES" w:bidi="es-ES"/>
        </w:rPr>
        <w:t>ii</w:t>
      </w:r>
      <w:proofErr w:type="spellEnd"/>
      <w:r w:rsidRPr="001158FA">
        <w:rPr>
          <w:rFonts w:ascii="Verdana" w:eastAsia="Arial" w:hAnsi="Verdana" w:cs="Arial"/>
          <w:sz w:val="21"/>
          <w:szCs w:val="21"/>
          <w:lang w:eastAsia="es-ES" w:bidi="es-ES"/>
        </w:rPr>
        <w:t xml:space="preserve">) los del cronograma. </w:t>
      </w:r>
    </w:p>
    <w:p w14:paraId="55E5A0F1"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 xml:space="preserve">El primer tipo de adendas puede ser realizada hasta antes del vencimiento del plazo para la recepción de ofertas, mientras que las segundas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2.2.1.1.2.2.1. del Decreto 1082 de 2015. </w:t>
      </w:r>
    </w:p>
    <w:p w14:paraId="1972E392"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 xml:space="preserve">Respecto de las adendas proferidas antes del cierre del proceso, es claro que existen ciertos límites temporales para la expedición y publicación de las adendas. En primer lugar, es necesario que las mismas se publiquen entre las 7:00 am y las 7:00 pm de un día hábil, aclarando que debe coincidir dentro de ese horario la hora que se disponga como cierre. Así mismo, debe realizarse a más tardar el día hábil anterior al vencimiento del plazo para presentar ofertas “a la hora fijada para tal presentación”. </w:t>
      </w:r>
    </w:p>
    <w:p w14:paraId="4530F912"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Para los casos de licitación pública el artículo 30 numeral 5 de la Ley 80 de 1993, las adendas no podrán expedirse dentro de los tres (3) días hábiles anteriores en que se tiene previsto el cierre del proceso de selección, sino que deberán expedirse antes de dicho momento.</w:t>
      </w:r>
    </w:p>
    <w:p w14:paraId="7F8A06A6"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 xml:space="preserve">Adicionalmente, hay normas específicas del EGCAP que establecen la facultad de prorrogar plazos de algunas etapas del proceso, pero en todo caso esto debe efectuarse antes de su vencimiento. A título de ejemplo, el numeral 5 de artículo </w:t>
      </w:r>
      <w:r w:rsidRPr="001158FA">
        <w:rPr>
          <w:rFonts w:ascii="Verdana" w:eastAsia="Arial" w:hAnsi="Verdana" w:cs="Arial"/>
          <w:sz w:val="21"/>
          <w:szCs w:val="21"/>
          <w:lang w:eastAsia="es-ES" w:bidi="es-ES"/>
        </w:rPr>
        <w:lastRenderedPageBreak/>
        <w:t xml:space="preserve">30 de la Ley 80 de 1993 señala que la entidad, de oficio o a solicitud de un número plural de posibles oferentes, podrá prorrogar el plazo para el cierre del proceso antes de su vencimiento, por un término no superior a la mitad del inicialmente fijado. </w:t>
      </w:r>
    </w:p>
    <w:p w14:paraId="1C486A63"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 xml:space="preserve">Si bien el artículo 2.2.1.1.2.2.1 de Decreto 1082 de 2015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Ello debido a que al culminar el plazo señalado en el cronograma se inicia la etapa subsiguiente y la entidad estatal no podría volver sobre la fase agotada. </w:t>
      </w:r>
    </w:p>
    <w:p w14:paraId="4AC888C6"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sz w:val="21"/>
          <w:szCs w:val="21"/>
          <w:lang w:eastAsia="es-ES" w:bidi="es-ES"/>
        </w:rPr>
      </w:pPr>
      <w:r w:rsidRPr="001158FA">
        <w:rPr>
          <w:rFonts w:ascii="Verdana" w:eastAsia="Arial" w:hAnsi="Verdana" w:cs="Arial"/>
          <w:sz w:val="21"/>
          <w:szCs w:val="21"/>
          <w:lang w:eastAsia="es-ES" w:bidi="es-ES"/>
        </w:rPr>
        <w:t>En todo caso, la expedición de las adendas en cualquiera de los eventos antes señalados debe tener en consideración el principio de transparencia e igualdad contenidos en el artículo 24 de la Ley 80 de 1993, igualdad y de economía dispuesto en el artículo 25 de la Ley 80 de 1993.</w:t>
      </w:r>
    </w:p>
    <w:p w14:paraId="33FD41AA" w14:textId="77777777" w:rsidR="001158FA" w:rsidRPr="001158FA" w:rsidRDefault="001158FA" w:rsidP="001158FA">
      <w:pPr>
        <w:ind w:right="421"/>
        <w:jc w:val="both"/>
        <w:rPr>
          <w:rFonts w:ascii="Verdana" w:eastAsia="Times New Roman" w:hAnsi="Verdana" w:cs="Arial"/>
          <w:b/>
          <w:sz w:val="21"/>
          <w:szCs w:val="21"/>
          <w:lang w:eastAsia="es-ES_tradnl"/>
        </w:rPr>
      </w:pPr>
      <w:r w:rsidRPr="001158FA">
        <w:rPr>
          <w:rFonts w:ascii="Verdana" w:eastAsia="Century Gothic" w:hAnsi="Verdana" w:cs="Century Gothic"/>
          <w:b/>
          <w:sz w:val="21"/>
          <w:szCs w:val="21"/>
        </w:rPr>
        <w:t xml:space="preserve">SECOP II - </w:t>
      </w:r>
      <w:r w:rsidRPr="001158FA">
        <w:rPr>
          <w:rFonts w:ascii="Verdana" w:eastAsia="Times New Roman" w:hAnsi="Verdana" w:cs="Arial"/>
          <w:b/>
          <w:sz w:val="21"/>
          <w:szCs w:val="21"/>
          <w:lang w:eastAsia="es-ES_tradnl"/>
        </w:rPr>
        <w:t>CONVOCATORIAS LIMITADAS A MIPYMES EN EL ÁMBITO TERRITORIAL – Limitación territorial – Facultad discrecional</w:t>
      </w:r>
    </w:p>
    <w:p w14:paraId="44EC767D" w14:textId="77777777" w:rsidR="001158FA" w:rsidRPr="001158FA" w:rsidRDefault="001158FA" w:rsidP="001158FA">
      <w:pPr>
        <w:spacing w:after="120" w:line="276" w:lineRule="auto"/>
        <w:ind w:right="49"/>
        <w:jc w:val="both"/>
        <w:rPr>
          <w:rFonts w:ascii="Verdana" w:hAnsi="Verdana" w:cs="Arial"/>
          <w:color w:val="000000" w:themeColor="text1"/>
          <w:sz w:val="21"/>
          <w:szCs w:val="21"/>
        </w:rPr>
      </w:pPr>
      <w:r w:rsidRPr="001158FA">
        <w:rPr>
          <w:rFonts w:ascii="Verdana" w:hAnsi="Verdana" w:cs="Arial"/>
          <w:color w:val="000000" w:themeColor="text1"/>
          <w:sz w:val="21"/>
          <w:szCs w:val="21"/>
        </w:rPr>
        <w:t>Cumplidos los dos requisitos del artículo 2.2.1.2.4.2.2 del Decreto 1082 de 2015, la entidad estatal, independientemente de su régimen de contratación, los patrimonios autónomos constituidos por entidades estatales y los particulares que ejecuten recursos públicos, pueden decidir si limitan la convocatoria a las MiPymes colombianas domiciliadas en el municipio o departamento en el que se ejecutará el contrato.</w:t>
      </w:r>
    </w:p>
    <w:p w14:paraId="6317B187" w14:textId="77777777" w:rsidR="001158FA" w:rsidRPr="001158FA" w:rsidRDefault="001158FA" w:rsidP="001158FA">
      <w:pPr>
        <w:spacing w:after="120" w:line="276" w:lineRule="auto"/>
        <w:jc w:val="both"/>
        <w:rPr>
          <w:rFonts w:ascii="Verdana" w:eastAsia="Times New Roman" w:hAnsi="Verdana" w:cs="Arial"/>
          <w:sz w:val="21"/>
          <w:szCs w:val="21"/>
          <w:lang w:val="es-MX" w:eastAsia="es-CO"/>
        </w:rPr>
      </w:pPr>
      <w:r w:rsidRPr="001158FA">
        <w:rPr>
          <w:rFonts w:ascii="Verdana" w:eastAsia="Times New Roman" w:hAnsi="Verdana" w:cs="Arial"/>
          <w:sz w:val="21"/>
          <w:szCs w:val="21"/>
          <w:lang w:val="es-MX" w:eastAsia="es-CO"/>
        </w:rPr>
        <w:t>El domicilio de la MiPymes que quiera participar en una convocatoria limitada territorialmente se acredita con los documentos definidos en el artículo 2.2.1.2.4.2.4. del Decreto 1082 de 2015, es decir con una certificación acompañada, ya sea, de una copia del registro mercantil –persona natural–, del certificado de existencia y representación legal –persona jurídica– o del Registro Único de Proponentes – RUP, en donde conste el domicilio principal de la MiPymes interesada en la limitación territorial de la convocatoria pública para celebrar el contrato, que corresponda con el lugar de ejecución del mismo, ya sea departamento o municipio.</w:t>
      </w:r>
    </w:p>
    <w:p w14:paraId="5D7DF9FE" w14:textId="5F76E4A5" w:rsidR="001158FA" w:rsidRPr="001158FA" w:rsidRDefault="001158FA" w:rsidP="001158FA">
      <w:pPr>
        <w:ind w:right="421"/>
        <w:jc w:val="both"/>
        <w:rPr>
          <w:rFonts w:ascii="Verdana" w:hAnsi="Verdana" w:cs="Arial"/>
          <w:b/>
          <w:sz w:val="21"/>
          <w:szCs w:val="21"/>
          <w:lang w:val="es-ES_tradnl" w:eastAsia="es-ES"/>
        </w:rPr>
      </w:pPr>
      <w:r w:rsidRPr="001158FA">
        <w:rPr>
          <w:rFonts w:ascii="Verdana" w:eastAsia="Times New Roman" w:hAnsi="Verdana" w:cs="Arial"/>
          <w:sz w:val="21"/>
          <w:szCs w:val="21"/>
          <w:lang w:eastAsia="es-CO"/>
        </w:rPr>
        <w:t>Sin perjuicio de lo anterior, la Agencia Nacional de Contratación Pública – Colombia Compra Eficiente considera que lo recomendable es que las entidades establezcan en el pliego de condiciones y/o el documento equivalente</w:t>
      </w:r>
      <w:r w:rsidRPr="001158FA">
        <w:rPr>
          <w:rFonts w:ascii="Verdana" w:eastAsia="Times New Roman" w:hAnsi="Verdana" w:cs="Arial"/>
          <w:i/>
          <w:iCs/>
          <w:sz w:val="21"/>
          <w:szCs w:val="21"/>
          <w:lang w:eastAsia="es-CO"/>
        </w:rPr>
        <w:t xml:space="preserve"> </w:t>
      </w:r>
      <w:r w:rsidRPr="001158FA">
        <w:rPr>
          <w:rFonts w:ascii="Verdana" w:eastAsia="Times New Roman" w:hAnsi="Verdana" w:cs="Arial"/>
          <w:sz w:val="21"/>
          <w:szCs w:val="21"/>
          <w:lang w:eastAsia="es-CO"/>
        </w:rPr>
        <w:t xml:space="preserve">las condiciones en las que, eventualmente, harían la “limitación territorial” y se tenga en cuenta que el ejercicio de la potestad discrecional de limitar </w:t>
      </w:r>
      <w:r w:rsidRPr="001158FA">
        <w:rPr>
          <w:rFonts w:ascii="Verdana" w:eastAsia="Times New Roman" w:hAnsi="Verdana" w:cs="Arial"/>
          <w:sz w:val="21"/>
          <w:szCs w:val="21"/>
          <w:lang w:eastAsia="es-CO"/>
        </w:rPr>
        <w:lastRenderedPageBreak/>
        <w:t>territorialmente la convocatoria debe estar acompañado de la debida motivación de la función administrativa.</w:t>
      </w:r>
    </w:p>
    <w:p w14:paraId="140C3941" w14:textId="77777777" w:rsidR="001158FA" w:rsidRPr="001158FA" w:rsidRDefault="001158FA" w:rsidP="001158FA">
      <w:pPr>
        <w:widowControl w:val="0"/>
        <w:autoSpaceDE w:val="0"/>
        <w:autoSpaceDN w:val="0"/>
        <w:spacing w:after="120" w:line="276" w:lineRule="auto"/>
        <w:ind w:right="103"/>
        <w:jc w:val="both"/>
        <w:rPr>
          <w:rFonts w:ascii="Verdana" w:eastAsia="Arial" w:hAnsi="Verdana" w:cs="Arial"/>
          <w:lang w:val="es-ES_tradnl" w:eastAsia="es-ES" w:bidi="es-ES"/>
        </w:rPr>
      </w:pPr>
    </w:p>
    <w:p w14:paraId="4EB52704" w14:textId="77777777" w:rsidR="001158FA" w:rsidRPr="001158FA" w:rsidRDefault="001158FA" w:rsidP="001158FA">
      <w:pPr>
        <w:spacing w:after="0" w:line="240" w:lineRule="auto"/>
        <w:ind w:right="-376"/>
        <w:rPr>
          <w:rFonts w:ascii="Verdana" w:eastAsia="Geomanist Light" w:hAnsi="Verdana" w:cs="Arial"/>
          <w:b/>
          <w:bCs/>
          <w:color w:val="000000" w:themeColor="text1"/>
          <w:lang w:val="es-ES"/>
        </w:rPr>
      </w:pPr>
    </w:p>
    <w:p w14:paraId="7B74355C" w14:textId="77777777" w:rsidR="001158FA" w:rsidRDefault="001158FA" w:rsidP="008C34A2">
      <w:pPr>
        <w:spacing w:after="0" w:line="240" w:lineRule="auto"/>
        <w:rPr>
          <w:rFonts w:ascii="Verdana" w:eastAsia="Geomanist Light" w:hAnsi="Verdana" w:cs="Arial"/>
          <w:color w:val="000000" w:themeColor="text1"/>
          <w:lang w:val="es-MX"/>
        </w:rPr>
      </w:pPr>
    </w:p>
    <w:p w14:paraId="327069BC" w14:textId="77777777" w:rsidR="001158FA" w:rsidRDefault="001158FA" w:rsidP="008C34A2">
      <w:pPr>
        <w:spacing w:after="0" w:line="240" w:lineRule="auto"/>
        <w:rPr>
          <w:rFonts w:ascii="Verdana" w:eastAsia="Geomanist Light" w:hAnsi="Verdana" w:cs="Arial"/>
          <w:color w:val="000000" w:themeColor="text1"/>
          <w:lang w:val="es-MX"/>
        </w:rPr>
      </w:pPr>
    </w:p>
    <w:p w14:paraId="7D1AE11A" w14:textId="77777777" w:rsidR="001158FA" w:rsidRDefault="001158FA" w:rsidP="008C34A2">
      <w:pPr>
        <w:spacing w:after="0" w:line="240" w:lineRule="auto"/>
        <w:rPr>
          <w:rFonts w:ascii="Verdana" w:eastAsia="Geomanist Light" w:hAnsi="Verdana" w:cs="Arial"/>
          <w:color w:val="000000" w:themeColor="text1"/>
          <w:lang w:val="es-MX"/>
        </w:rPr>
      </w:pPr>
    </w:p>
    <w:p w14:paraId="61CC7F81" w14:textId="77777777" w:rsidR="001158FA" w:rsidRDefault="001158FA" w:rsidP="008C34A2">
      <w:pPr>
        <w:spacing w:after="0" w:line="240" w:lineRule="auto"/>
        <w:rPr>
          <w:rFonts w:ascii="Verdana" w:eastAsia="Geomanist Light" w:hAnsi="Verdana" w:cs="Arial"/>
          <w:color w:val="000000" w:themeColor="text1"/>
          <w:lang w:val="es-MX"/>
        </w:rPr>
      </w:pPr>
    </w:p>
    <w:p w14:paraId="7D27DA86" w14:textId="77777777" w:rsidR="001158FA" w:rsidRDefault="001158FA" w:rsidP="008C34A2">
      <w:pPr>
        <w:spacing w:after="0" w:line="240" w:lineRule="auto"/>
        <w:rPr>
          <w:rFonts w:ascii="Verdana" w:eastAsia="Geomanist Light" w:hAnsi="Verdana" w:cs="Arial"/>
          <w:color w:val="000000" w:themeColor="text1"/>
          <w:lang w:val="es-MX"/>
        </w:rPr>
      </w:pPr>
    </w:p>
    <w:p w14:paraId="3342167A" w14:textId="77777777" w:rsidR="001158FA" w:rsidRDefault="001158FA" w:rsidP="008C34A2">
      <w:pPr>
        <w:spacing w:after="0" w:line="240" w:lineRule="auto"/>
        <w:rPr>
          <w:rFonts w:ascii="Verdana" w:eastAsia="Geomanist Light" w:hAnsi="Verdana" w:cs="Arial"/>
          <w:color w:val="000000" w:themeColor="text1"/>
          <w:lang w:val="es-MX"/>
        </w:rPr>
      </w:pPr>
    </w:p>
    <w:p w14:paraId="04BB3729" w14:textId="77777777" w:rsidR="001158FA" w:rsidRDefault="001158FA" w:rsidP="008C34A2">
      <w:pPr>
        <w:spacing w:after="0" w:line="240" w:lineRule="auto"/>
        <w:rPr>
          <w:rFonts w:ascii="Verdana" w:eastAsia="Geomanist Light" w:hAnsi="Verdana" w:cs="Arial"/>
          <w:color w:val="000000" w:themeColor="text1"/>
          <w:lang w:val="es-MX"/>
        </w:rPr>
      </w:pPr>
    </w:p>
    <w:p w14:paraId="34F2F14E" w14:textId="77777777" w:rsidR="001158FA" w:rsidRDefault="001158FA" w:rsidP="008C34A2">
      <w:pPr>
        <w:spacing w:after="0" w:line="240" w:lineRule="auto"/>
        <w:rPr>
          <w:rFonts w:ascii="Verdana" w:eastAsia="Geomanist Light" w:hAnsi="Verdana" w:cs="Arial"/>
          <w:color w:val="000000" w:themeColor="text1"/>
          <w:lang w:val="es-MX"/>
        </w:rPr>
      </w:pPr>
    </w:p>
    <w:p w14:paraId="53CCFA8A" w14:textId="77777777" w:rsidR="001158FA" w:rsidRDefault="001158FA" w:rsidP="008C34A2">
      <w:pPr>
        <w:spacing w:after="0" w:line="240" w:lineRule="auto"/>
        <w:rPr>
          <w:rFonts w:ascii="Verdana" w:eastAsia="Geomanist Light" w:hAnsi="Verdana" w:cs="Arial"/>
          <w:color w:val="000000" w:themeColor="text1"/>
          <w:lang w:val="es-MX"/>
        </w:rPr>
      </w:pPr>
    </w:p>
    <w:p w14:paraId="163A3F26" w14:textId="77777777" w:rsidR="001158FA" w:rsidRDefault="001158FA" w:rsidP="008C34A2">
      <w:pPr>
        <w:spacing w:after="0" w:line="240" w:lineRule="auto"/>
        <w:rPr>
          <w:rFonts w:ascii="Verdana" w:eastAsia="Geomanist Light" w:hAnsi="Verdana" w:cs="Arial"/>
          <w:color w:val="000000" w:themeColor="text1"/>
          <w:lang w:val="es-MX"/>
        </w:rPr>
      </w:pPr>
    </w:p>
    <w:p w14:paraId="24BD18E5" w14:textId="77777777" w:rsidR="001158FA" w:rsidRDefault="001158FA" w:rsidP="008C34A2">
      <w:pPr>
        <w:spacing w:after="0" w:line="240" w:lineRule="auto"/>
        <w:rPr>
          <w:rFonts w:ascii="Verdana" w:eastAsia="Geomanist Light" w:hAnsi="Verdana" w:cs="Arial"/>
          <w:color w:val="000000" w:themeColor="text1"/>
          <w:lang w:val="es-MX"/>
        </w:rPr>
      </w:pPr>
    </w:p>
    <w:p w14:paraId="52DFE853" w14:textId="77777777" w:rsidR="001158FA" w:rsidRDefault="001158FA" w:rsidP="008C34A2">
      <w:pPr>
        <w:spacing w:after="0" w:line="240" w:lineRule="auto"/>
        <w:rPr>
          <w:rFonts w:ascii="Verdana" w:eastAsia="Geomanist Light" w:hAnsi="Verdana" w:cs="Arial"/>
          <w:color w:val="000000" w:themeColor="text1"/>
          <w:lang w:val="es-MX"/>
        </w:rPr>
      </w:pPr>
    </w:p>
    <w:p w14:paraId="2D33849A" w14:textId="77777777" w:rsidR="001158FA" w:rsidRDefault="001158FA" w:rsidP="008C34A2">
      <w:pPr>
        <w:spacing w:after="0" w:line="240" w:lineRule="auto"/>
        <w:rPr>
          <w:rFonts w:ascii="Verdana" w:eastAsia="Geomanist Light" w:hAnsi="Verdana" w:cs="Arial"/>
          <w:color w:val="000000" w:themeColor="text1"/>
          <w:lang w:val="es-MX"/>
        </w:rPr>
      </w:pPr>
    </w:p>
    <w:p w14:paraId="4AD75586" w14:textId="77777777" w:rsidR="001158FA" w:rsidRDefault="001158FA" w:rsidP="008C34A2">
      <w:pPr>
        <w:spacing w:after="0" w:line="240" w:lineRule="auto"/>
        <w:rPr>
          <w:rFonts w:ascii="Verdana" w:eastAsia="Geomanist Light" w:hAnsi="Verdana" w:cs="Arial"/>
          <w:color w:val="000000" w:themeColor="text1"/>
          <w:lang w:val="es-MX"/>
        </w:rPr>
      </w:pPr>
    </w:p>
    <w:p w14:paraId="01AB2E14" w14:textId="77777777" w:rsidR="001158FA" w:rsidRDefault="001158FA" w:rsidP="008C34A2">
      <w:pPr>
        <w:spacing w:after="0" w:line="240" w:lineRule="auto"/>
        <w:rPr>
          <w:rFonts w:ascii="Verdana" w:eastAsia="Geomanist Light" w:hAnsi="Verdana" w:cs="Arial"/>
          <w:color w:val="000000" w:themeColor="text1"/>
          <w:lang w:val="es-MX"/>
        </w:rPr>
      </w:pPr>
    </w:p>
    <w:p w14:paraId="461C18E8" w14:textId="77777777" w:rsidR="001158FA" w:rsidRDefault="001158FA" w:rsidP="008C34A2">
      <w:pPr>
        <w:spacing w:after="0" w:line="240" w:lineRule="auto"/>
        <w:rPr>
          <w:rFonts w:ascii="Verdana" w:eastAsia="Geomanist Light" w:hAnsi="Verdana" w:cs="Arial"/>
          <w:color w:val="000000" w:themeColor="text1"/>
          <w:lang w:val="es-MX"/>
        </w:rPr>
      </w:pPr>
    </w:p>
    <w:p w14:paraId="3D2025E0" w14:textId="77777777" w:rsidR="001158FA" w:rsidRDefault="001158FA" w:rsidP="008C34A2">
      <w:pPr>
        <w:spacing w:after="0" w:line="240" w:lineRule="auto"/>
        <w:rPr>
          <w:rFonts w:ascii="Verdana" w:eastAsia="Geomanist Light" w:hAnsi="Verdana" w:cs="Arial"/>
          <w:color w:val="000000" w:themeColor="text1"/>
          <w:lang w:val="es-MX"/>
        </w:rPr>
      </w:pPr>
    </w:p>
    <w:p w14:paraId="33BB17A5" w14:textId="77777777" w:rsidR="001158FA" w:rsidRDefault="001158FA" w:rsidP="008C34A2">
      <w:pPr>
        <w:spacing w:after="0" w:line="240" w:lineRule="auto"/>
        <w:rPr>
          <w:rFonts w:ascii="Verdana" w:eastAsia="Geomanist Light" w:hAnsi="Verdana" w:cs="Arial"/>
          <w:color w:val="000000" w:themeColor="text1"/>
          <w:lang w:val="es-MX"/>
        </w:rPr>
      </w:pPr>
    </w:p>
    <w:p w14:paraId="708C36F5" w14:textId="77777777" w:rsidR="001158FA" w:rsidRDefault="001158FA" w:rsidP="008C34A2">
      <w:pPr>
        <w:spacing w:after="0" w:line="240" w:lineRule="auto"/>
        <w:rPr>
          <w:rFonts w:ascii="Verdana" w:eastAsia="Geomanist Light" w:hAnsi="Verdana" w:cs="Arial"/>
          <w:color w:val="000000" w:themeColor="text1"/>
          <w:lang w:val="es-MX"/>
        </w:rPr>
      </w:pPr>
    </w:p>
    <w:p w14:paraId="0809522D" w14:textId="77777777" w:rsidR="001158FA" w:rsidRDefault="001158FA" w:rsidP="008C34A2">
      <w:pPr>
        <w:spacing w:after="0" w:line="240" w:lineRule="auto"/>
        <w:rPr>
          <w:rFonts w:ascii="Verdana" w:eastAsia="Geomanist Light" w:hAnsi="Verdana" w:cs="Arial"/>
          <w:color w:val="000000" w:themeColor="text1"/>
          <w:lang w:val="es-MX"/>
        </w:rPr>
      </w:pPr>
    </w:p>
    <w:p w14:paraId="3336FB51" w14:textId="77777777" w:rsidR="001158FA" w:rsidRDefault="001158FA" w:rsidP="008C34A2">
      <w:pPr>
        <w:spacing w:after="0" w:line="240" w:lineRule="auto"/>
        <w:rPr>
          <w:rFonts w:ascii="Verdana" w:eastAsia="Geomanist Light" w:hAnsi="Verdana" w:cs="Arial"/>
          <w:color w:val="000000" w:themeColor="text1"/>
          <w:lang w:val="es-MX"/>
        </w:rPr>
      </w:pPr>
    </w:p>
    <w:p w14:paraId="393BF502" w14:textId="77777777" w:rsidR="001158FA" w:rsidRDefault="001158FA" w:rsidP="008C34A2">
      <w:pPr>
        <w:spacing w:after="0" w:line="240" w:lineRule="auto"/>
        <w:rPr>
          <w:rFonts w:ascii="Verdana" w:eastAsia="Geomanist Light" w:hAnsi="Verdana" w:cs="Arial"/>
          <w:color w:val="000000" w:themeColor="text1"/>
          <w:lang w:val="es-MX"/>
        </w:rPr>
      </w:pPr>
    </w:p>
    <w:p w14:paraId="60486571" w14:textId="77777777" w:rsidR="001158FA" w:rsidRDefault="001158FA" w:rsidP="008C34A2">
      <w:pPr>
        <w:spacing w:after="0" w:line="240" w:lineRule="auto"/>
        <w:rPr>
          <w:rFonts w:ascii="Verdana" w:eastAsia="Geomanist Light" w:hAnsi="Verdana" w:cs="Arial"/>
          <w:color w:val="000000" w:themeColor="text1"/>
          <w:lang w:val="es-MX"/>
        </w:rPr>
      </w:pPr>
    </w:p>
    <w:p w14:paraId="4B1B2355" w14:textId="77777777" w:rsidR="001158FA" w:rsidRDefault="001158FA" w:rsidP="008C34A2">
      <w:pPr>
        <w:spacing w:after="0" w:line="240" w:lineRule="auto"/>
        <w:rPr>
          <w:rFonts w:ascii="Verdana" w:eastAsia="Geomanist Light" w:hAnsi="Verdana" w:cs="Arial"/>
          <w:color w:val="000000" w:themeColor="text1"/>
          <w:lang w:val="es-MX"/>
        </w:rPr>
      </w:pPr>
    </w:p>
    <w:p w14:paraId="5BC99571" w14:textId="77777777" w:rsidR="001158FA" w:rsidRDefault="001158FA" w:rsidP="008C34A2">
      <w:pPr>
        <w:spacing w:after="0" w:line="240" w:lineRule="auto"/>
        <w:rPr>
          <w:rFonts w:ascii="Verdana" w:eastAsia="Geomanist Light" w:hAnsi="Verdana" w:cs="Arial"/>
          <w:color w:val="000000" w:themeColor="text1"/>
          <w:lang w:val="es-MX"/>
        </w:rPr>
      </w:pPr>
    </w:p>
    <w:p w14:paraId="62BA908B" w14:textId="77777777" w:rsidR="001158FA" w:rsidRDefault="001158FA" w:rsidP="008C34A2">
      <w:pPr>
        <w:spacing w:after="0" w:line="240" w:lineRule="auto"/>
        <w:rPr>
          <w:rFonts w:ascii="Verdana" w:eastAsia="Geomanist Light" w:hAnsi="Verdana" w:cs="Arial"/>
          <w:color w:val="000000" w:themeColor="text1"/>
          <w:lang w:val="es-MX"/>
        </w:rPr>
      </w:pPr>
    </w:p>
    <w:p w14:paraId="270BF9E2" w14:textId="77777777" w:rsidR="001158FA" w:rsidRDefault="001158FA" w:rsidP="008C34A2">
      <w:pPr>
        <w:spacing w:after="0" w:line="240" w:lineRule="auto"/>
        <w:rPr>
          <w:rFonts w:ascii="Verdana" w:eastAsia="Geomanist Light" w:hAnsi="Verdana" w:cs="Arial"/>
          <w:color w:val="000000" w:themeColor="text1"/>
          <w:lang w:val="es-MX"/>
        </w:rPr>
      </w:pPr>
    </w:p>
    <w:p w14:paraId="2B8CE4E7" w14:textId="77777777" w:rsidR="001158FA" w:rsidRDefault="001158FA" w:rsidP="008C34A2">
      <w:pPr>
        <w:spacing w:after="0" w:line="240" w:lineRule="auto"/>
        <w:rPr>
          <w:rFonts w:ascii="Verdana" w:eastAsia="Geomanist Light" w:hAnsi="Verdana" w:cs="Arial"/>
          <w:color w:val="000000" w:themeColor="text1"/>
          <w:lang w:val="es-MX"/>
        </w:rPr>
      </w:pPr>
    </w:p>
    <w:p w14:paraId="586FA9DF" w14:textId="77777777" w:rsidR="001158FA" w:rsidRDefault="001158FA" w:rsidP="008C34A2">
      <w:pPr>
        <w:spacing w:after="0" w:line="240" w:lineRule="auto"/>
        <w:rPr>
          <w:rFonts w:ascii="Verdana" w:eastAsia="Geomanist Light" w:hAnsi="Verdana" w:cs="Arial"/>
          <w:color w:val="000000" w:themeColor="text1"/>
          <w:lang w:val="es-MX"/>
        </w:rPr>
      </w:pPr>
    </w:p>
    <w:p w14:paraId="52D1FBD8" w14:textId="77777777" w:rsidR="001158FA" w:rsidRDefault="001158FA" w:rsidP="008C34A2">
      <w:pPr>
        <w:spacing w:after="0" w:line="240" w:lineRule="auto"/>
        <w:rPr>
          <w:rFonts w:ascii="Verdana" w:eastAsia="Geomanist Light" w:hAnsi="Verdana" w:cs="Arial"/>
          <w:color w:val="000000" w:themeColor="text1"/>
          <w:lang w:val="es-MX"/>
        </w:rPr>
      </w:pPr>
    </w:p>
    <w:p w14:paraId="0558F87A" w14:textId="77777777" w:rsidR="001158FA" w:rsidRDefault="001158FA" w:rsidP="008C34A2">
      <w:pPr>
        <w:spacing w:after="0" w:line="240" w:lineRule="auto"/>
        <w:rPr>
          <w:rFonts w:ascii="Verdana" w:eastAsia="Geomanist Light" w:hAnsi="Verdana" w:cs="Arial"/>
          <w:color w:val="000000" w:themeColor="text1"/>
          <w:lang w:val="es-MX"/>
        </w:rPr>
      </w:pPr>
    </w:p>
    <w:p w14:paraId="76962251" w14:textId="77777777" w:rsidR="001158FA" w:rsidRDefault="001158FA" w:rsidP="008C34A2">
      <w:pPr>
        <w:spacing w:after="0" w:line="240" w:lineRule="auto"/>
        <w:rPr>
          <w:rFonts w:ascii="Verdana" w:eastAsia="Geomanist Light" w:hAnsi="Verdana" w:cs="Arial"/>
          <w:color w:val="000000" w:themeColor="text1"/>
          <w:lang w:val="es-MX"/>
        </w:rPr>
      </w:pPr>
    </w:p>
    <w:p w14:paraId="7CCCF9C1" w14:textId="77777777" w:rsidR="001158FA" w:rsidRDefault="001158FA" w:rsidP="008C34A2">
      <w:pPr>
        <w:spacing w:after="0" w:line="240" w:lineRule="auto"/>
        <w:rPr>
          <w:rFonts w:ascii="Verdana" w:eastAsia="Geomanist Light" w:hAnsi="Verdana" w:cs="Arial"/>
          <w:color w:val="000000" w:themeColor="text1"/>
          <w:lang w:val="es-MX"/>
        </w:rPr>
      </w:pPr>
    </w:p>
    <w:p w14:paraId="4762D1BA" w14:textId="77777777" w:rsidR="001158FA" w:rsidRDefault="001158FA" w:rsidP="008C34A2">
      <w:pPr>
        <w:spacing w:after="0" w:line="240" w:lineRule="auto"/>
        <w:rPr>
          <w:rFonts w:ascii="Verdana" w:eastAsia="Geomanist Light" w:hAnsi="Verdana" w:cs="Arial"/>
          <w:color w:val="000000" w:themeColor="text1"/>
          <w:lang w:val="es-MX"/>
        </w:rPr>
      </w:pPr>
    </w:p>
    <w:p w14:paraId="76716298" w14:textId="77777777" w:rsidR="001158FA" w:rsidRDefault="001158FA" w:rsidP="008C34A2">
      <w:pPr>
        <w:spacing w:after="0" w:line="240" w:lineRule="auto"/>
        <w:rPr>
          <w:rFonts w:ascii="Verdana" w:eastAsia="Geomanist Light" w:hAnsi="Verdana" w:cs="Arial"/>
          <w:color w:val="000000" w:themeColor="text1"/>
          <w:lang w:val="es-MX"/>
        </w:rPr>
      </w:pPr>
    </w:p>
    <w:p w14:paraId="19429B31" w14:textId="77777777" w:rsidR="001158FA" w:rsidRDefault="001158FA" w:rsidP="008C34A2">
      <w:pPr>
        <w:spacing w:after="0" w:line="240" w:lineRule="auto"/>
        <w:rPr>
          <w:rFonts w:ascii="Verdana" w:eastAsia="Geomanist Light" w:hAnsi="Verdana" w:cs="Arial"/>
          <w:color w:val="000000" w:themeColor="text1"/>
          <w:lang w:val="es-MX"/>
        </w:rPr>
      </w:pPr>
    </w:p>
    <w:p w14:paraId="15F4F6D7" w14:textId="77777777" w:rsidR="001158FA" w:rsidRDefault="001158FA" w:rsidP="008C34A2">
      <w:pPr>
        <w:spacing w:after="0" w:line="240" w:lineRule="auto"/>
        <w:rPr>
          <w:rFonts w:ascii="Verdana" w:eastAsia="Geomanist Light" w:hAnsi="Verdana" w:cs="Arial"/>
          <w:color w:val="000000" w:themeColor="text1"/>
          <w:lang w:val="es-MX"/>
        </w:rPr>
      </w:pPr>
    </w:p>
    <w:p w14:paraId="468491EB" w14:textId="0467ECBC" w:rsidR="008C34A2" w:rsidRPr="00CF64C0" w:rsidRDefault="008C34A2" w:rsidP="008C34A2">
      <w:pPr>
        <w:spacing w:after="0" w:line="240" w:lineRule="auto"/>
        <w:rPr>
          <w:rFonts w:ascii="Verdana" w:eastAsia="Geomanist Light" w:hAnsi="Verdana" w:cs="Arial"/>
          <w:color w:val="201F1E"/>
          <w:lang w:val="es-MX"/>
        </w:rPr>
      </w:pPr>
      <w:r w:rsidRPr="00CF64C0">
        <w:rPr>
          <w:rFonts w:ascii="Verdana" w:eastAsia="Geomanist Light" w:hAnsi="Verdana" w:cs="Arial"/>
          <w:color w:val="000000" w:themeColor="text1"/>
          <w:lang w:val="es-MX"/>
        </w:rPr>
        <w:lastRenderedPageBreak/>
        <w:t>Bogotá D.C., </w:t>
      </w:r>
      <w:r w:rsidR="001158FA">
        <w:rPr>
          <w:rFonts w:ascii="Verdana" w:eastAsia="Geomanist Light" w:hAnsi="Verdana" w:cs="Arial"/>
          <w:color w:val="201F1E"/>
          <w:lang w:val="es-MX"/>
        </w:rPr>
        <w:t>06</w:t>
      </w:r>
      <w:r w:rsidRPr="00CF64C0">
        <w:rPr>
          <w:rFonts w:ascii="Verdana" w:eastAsia="Geomanist Light" w:hAnsi="Verdana" w:cs="Arial"/>
          <w:color w:val="201F1E"/>
          <w:lang w:val="es-MX"/>
        </w:rPr>
        <w:t xml:space="preserve"> de</w:t>
      </w:r>
      <w:r w:rsidR="001158FA">
        <w:rPr>
          <w:rFonts w:ascii="Verdana" w:eastAsia="Geomanist Light" w:hAnsi="Verdana" w:cs="Arial"/>
          <w:color w:val="201F1E"/>
          <w:lang w:val="es-MX"/>
        </w:rPr>
        <w:t xml:space="preserve"> mayo</w:t>
      </w:r>
      <w:r w:rsidRPr="00CF64C0">
        <w:rPr>
          <w:rFonts w:ascii="Verdana" w:eastAsia="Geomanist Light" w:hAnsi="Verdana" w:cs="Arial"/>
          <w:color w:val="201F1E"/>
          <w:lang w:val="es-MX"/>
        </w:rPr>
        <w:t xml:space="preserve"> de </w:t>
      </w:r>
      <w:r w:rsidR="001158FA">
        <w:rPr>
          <w:rFonts w:ascii="Verdana" w:eastAsia="Geomanist Light" w:hAnsi="Verdana" w:cs="Arial"/>
          <w:color w:val="201F1E"/>
          <w:lang w:val="es-MX"/>
        </w:rPr>
        <w:t>2025</w:t>
      </w:r>
    </w:p>
    <w:p w14:paraId="66DECA92" w14:textId="77777777" w:rsidR="008C34A2" w:rsidRPr="001E5CA7" w:rsidRDefault="008C34A2" w:rsidP="008C34A2">
      <w:pPr>
        <w:spacing w:after="0" w:line="240" w:lineRule="auto"/>
        <w:jc w:val="both"/>
        <w:rPr>
          <w:rFonts w:ascii="Verdana" w:eastAsia="Calibri" w:hAnsi="Verdana" w:cs="Arial"/>
          <w:lang w:val="es-MX"/>
        </w:rPr>
      </w:pPr>
    </w:p>
    <w:p w14:paraId="0C0E39F4" w14:textId="0AE70F9F" w:rsidR="008C34A2" w:rsidRDefault="001158FA" w:rsidP="001158FA">
      <w:pPr>
        <w:spacing w:after="0" w:line="240" w:lineRule="auto"/>
        <w:ind w:left="5664"/>
        <w:rPr>
          <w:rFonts w:ascii="Verdana" w:eastAsia="Calibri" w:hAnsi="Verdana" w:cs="Arial"/>
          <w:lang w:val="es-MX" w:eastAsia="es-ES"/>
        </w:rPr>
      </w:pPr>
      <w:r w:rsidRPr="001158FA">
        <w:rPr>
          <w:rFonts w:ascii="Verdana" w:eastAsia="Calibri" w:hAnsi="Verdana" w:cs="Arial"/>
          <w:noProof/>
          <w:lang w:val="es-MX" w:eastAsia="es-ES"/>
        </w:rPr>
        <w:drawing>
          <wp:inline distT="0" distB="0" distL="0" distR="0" wp14:anchorId="5D4EF4FE" wp14:editId="391990E3">
            <wp:extent cx="2581635" cy="866896"/>
            <wp:effectExtent l="0" t="0" r="9525" b="9525"/>
            <wp:docPr id="204974670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746702" name=""/>
                    <pic:cNvPicPr/>
                  </pic:nvPicPr>
                  <pic:blipFill>
                    <a:blip r:embed="rId10"/>
                    <a:stretch>
                      <a:fillRect/>
                    </a:stretch>
                  </pic:blipFill>
                  <pic:spPr>
                    <a:xfrm>
                      <a:off x="0" y="0"/>
                      <a:ext cx="2581635" cy="866896"/>
                    </a:xfrm>
                    <a:prstGeom prst="rect">
                      <a:avLst/>
                    </a:prstGeom>
                  </pic:spPr>
                </pic:pic>
              </a:graphicData>
            </a:graphic>
          </wp:inline>
        </w:drawing>
      </w:r>
    </w:p>
    <w:p w14:paraId="18D2033C" w14:textId="77777777" w:rsidR="008C34A2" w:rsidRPr="009322DA" w:rsidRDefault="008C34A2" w:rsidP="008C34A2">
      <w:pPr>
        <w:spacing w:after="0" w:line="240" w:lineRule="auto"/>
        <w:rPr>
          <w:rFonts w:ascii="Verdana" w:eastAsia="Calibri" w:hAnsi="Verdana" w:cs="Arial"/>
          <w:lang w:val="es-MX" w:eastAsia="es-ES"/>
        </w:rPr>
      </w:pPr>
      <w:r w:rsidRPr="009322DA">
        <w:rPr>
          <w:rFonts w:ascii="Verdana" w:eastAsia="Calibri" w:hAnsi="Verdana" w:cs="Arial"/>
          <w:lang w:val="es-MX" w:eastAsia="es-ES"/>
        </w:rPr>
        <w:t>Señor</w:t>
      </w:r>
    </w:p>
    <w:p w14:paraId="4BD2D41C" w14:textId="77777777" w:rsidR="008C34A2" w:rsidRPr="009322DA" w:rsidRDefault="008C34A2" w:rsidP="008C34A2">
      <w:pPr>
        <w:spacing w:after="0" w:line="240" w:lineRule="auto"/>
        <w:rPr>
          <w:rFonts w:ascii="Verdana" w:eastAsia="Calibri" w:hAnsi="Verdana" w:cs="Arial"/>
          <w:b/>
          <w:bCs/>
          <w:lang w:val="es-MX" w:eastAsia="es-ES"/>
        </w:rPr>
      </w:pPr>
      <w:r>
        <w:rPr>
          <w:rFonts w:ascii="Verdana" w:eastAsia="Calibri" w:hAnsi="Verdana" w:cs="Arial"/>
          <w:b/>
          <w:bCs/>
          <w:lang w:val="es-MX" w:eastAsia="es-ES"/>
        </w:rPr>
        <w:t>German Andrés Quintero Garavito</w:t>
      </w:r>
    </w:p>
    <w:p w14:paraId="722022AA" w14:textId="77777777" w:rsidR="008C34A2" w:rsidRPr="00532FB9" w:rsidRDefault="008C34A2" w:rsidP="008C34A2">
      <w:pPr>
        <w:spacing w:after="0" w:line="240" w:lineRule="auto"/>
        <w:rPr>
          <w:rFonts w:ascii="Verdana" w:hAnsi="Verdana"/>
        </w:rPr>
      </w:pPr>
      <w:hyperlink r:id="rId11" w:history="1">
        <w:r w:rsidRPr="00532FB9">
          <w:rPr>
            <w:rStyle w:val="Hipervnculo"/>
            <w:rFonts w:ascii="Verdana" w:hAnsi="Verdana"/>
          </w:rPr>
          <w:t>german.quintero357@casur.gov.co</w:t>
        </w:r>
      </w:hyperlink>
    </w:p>
    <w:p w14:paraId="55DED48F" w14:textId="77777777" w:rsidR="008C34A2" w:rsidRPr="002C5896" w:rsidRDefault="008C34A2" w:rsidP="008C34A2">
      <w:pPr>
        <w:spacing w:after="0" w:line="240" w:lineRule="auto"/>
        <w:rPr>
          <w:rFonts w:ascii="Verdana" w:eastAsia="Calibri" w:hAnsi="Verdana" w:cs="Arial"/>
          <w:b/>
          <w:bCs/>
          <w:lang w:val="es-ES" w:eastAsia="es-ES"/>
        </w:rPr>
      </w:pPr>
      <w:r>
        <w:rPr>
          <w:rFonts w:ascii="Verdana" w:eastAsia="Calibri" w:hAnsi="Verdana" w:cs="Arial"/>
          <w:lang w:val="es-MX" w:eastAsia="es-ES"/>
        </w:rPr>
        <w:t>Ciudad</w:t>
      </w:r>
    </w:p>
    <w:p w14:paraId="608D5514" w14:textId="77777777" w:rsidR="008C34A2" w:rsidRPr="009322DA" w:rsidRDefault="008C34A2" w:rsidP="008C34A2">
      <w:pPr>
        <w:spacing w:after="0" w:line="240" w:lineRule="auto"/>
        <w:rPr>
          <w:rFonts w:ascii="Verdana" w:eastAsia="Calibri" w:hAnsi="Verdana" w:cs="Arial"/>
          <w:b/>
          <w:bCs/>
          <w:lang w:val="es-ES_tradnl" w:eastAsia="es-ES_tradnl"/>
        </w:rPr>
      </w:pPr>
    </w:p>
    <w:tbl>
      <w:tblPr>
        <w:tblStyle w:val="Tablaconcuadrcula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016"/>
        <w:gridCol w:w="1812"/>
        <w:gridCol w:w="5103"/>
      </w:tblGrid>
      <w:tr w:rsidR="008C34A2" w:rsidRPr="009322DA" w14:paraId="62A7DF69" w14:textId="77777777" w:rsidTr="00B11B3C">
        <w:trPr>
          <w:trHeight w:val="884"/>
        </w:trPr>
        <w:tc>
          <w:tcPr>
            <w:tcW w:w="2016" w:type="dxa"/>
          </w:tcPr>
          <w:p w14:paraId="2905C605" w14:textId="77777777" w:rsidR="008C34A2" w:rsidRPr="009322DA" w:rsidRDefault="008C34A2" w:rsidP="00B11B3C">
            <w:pPr>
              <w:jc w:val="both"/>
              <w:rPr>
                <w:rFonts w:ascii="Verdana" w:hAnsi="Verdana" w:cs="Arial"/>
                <w:b/>
                <w:bCs/>
                <w:lang w:val="es-ES_tradnl" w:eastAsia="es-ES_tradnl"/>
              </w:rPr>
            </w:pPr>
          </w:p>
        </w:tc>
        <w:tc>
          <w:tcPr>
            <w:tcW w:w="1812" w:type="dxa"/>
          </w:tcPr>
          <w:p w14:paraId="5D8A7AEB" w14:textId="77777777" w:rsidR="008C34A2" w:rsidRPr="009322DA" w:rsidRDefault="008C34A2" w:rsidP="00B11B3C">
            <w:pPr>
              <w:jc w:val="both"/>
              <w:rPr>
                <w:rFonts w:ascii="Verdana" w:hAnsi="Verdana" w:cs="Arial"/>
                <w:b/>
                <w:bCs/>
                <w:lang w:val="es-ES" w:eastAsia="es-ES"/>
              </w:rPr>
            </w:pPr>
          </w:p>
        </w:tc>
        <w:tc>
          <w:tcPr>
            <w:tcW w:w="5103" w:type="dxa"/>
            <w:hideMark/>
          </w:tcPr>
          <w:p w14:paraId="249A5FB1" w14:textId="77777777" w:rsidR="008C34A2" w:rsidRDefault="008C34A2" w:rsidP="00B11B3C">
            <w:pPr>
              <w:jc w:val="both"/>
              <w:rPr>
                <w:rFonts w:ascii="Verdana" w:hAnsi="Verdana" w:cs="Arial"/>
                <w:b/>
                <w:bCs/>
                <w:lang w:val="es-ES" w:eastAsia="es-ES"/>
              </w:rPr>
            </w:pPr>
            <w:r w:rsidRPr="009322DA">
              <w:rPr>
                <w:rFonts w:ascii="Verdana" w:hAnsi="Verdana" w:cs="Arial"/>
                <w:b/>
                <w:bCs/>
                <w:lang w:val="es-ES" w:eastAsia="es-ES"/>
              </w:rPr>
              <w:t xml:space="preserve">Concepto </w:t>
            </w:r>
            <w:r w:rsidRPr="0059416F">
              <w:rPr>
                <w:rFonts w:ascii="Verdana" w:hAnsi="Verdana" w:cs="Arial"/>
                <w:b/>
                <w:bCs/>
                <w:lang w:val="es-ES" w:eastAsia="es-ES"/>
              </w:rPr>
              <w:t>C-385</w:t>
            </w:r>
            <w:r>
              <w:rPr>
                <w:rFonts w:ascii="Verdana" w:hAnsi="Verdana" w:cs="Arial"/>
                <w:b/>
                <w:bCs/>
                <w:lang w:val="es-ES" w:eastAsia="es-ES"/>
              </w:rPr>
              <w:t xml:space="preserve"> </w:t>
            </w:r>
            <w:r w:rsidRPr="009322DA">
              <w:rPr>
                <w:rFonts w:ascii="Verdana" w:hAnsi="Verdana" w:cs="Arial"/>
                <w:b/>
                <w:bCs/>
                <w:lang w:val="es-ES" w:eastAsia="es-ES"/>
              </w:rPr>
              <w:t>de 202</w:t>
            </w:r>
            <w:r>
              <w:rPr>
                <w:rFonts w:ascii="Verdana" w:hAnsi="Verdana" w:cs="Arial"/>
                <w:b/>
                <w:bCs/>
                <w:lang w:val="es-ES" w:eastAsia="es-ES"/>
              </w:rPr>
              <w:t>5</w:t>
            </w:r>
          </w:p>
          <w:p w14:paraId="5155C65E" w14:textId="77777777" w:rsidR="008C34A2" w:rsidRPr="009322DA" w:rsidRDefault="008C34A2" w:rsidP="00B11B3C">
            <w:pPr>
              <w:jc w:val="both"/>
              <w:rPr>
                <w:rFonts w:ascii="Verdana" w:hAnsi="Verdana" w:cs="Arial"/>
                <w:b/>
                <w:bCs/>
                <w:lang w:val="es-ES" w:eastAsia="es-ES"/>
              </w:rPr>
            </w:pPr>
          </w:p>
        </w:tc>
      </w:tr>
      <w:tr w:rsidR="008C34A2" w:rsidRPr="009322DA" w14:paraId="785A1B64" w14:textId="77777777" w:rsidTr="00B11B3C">
        <w:trPr>
          <w:trHeight w:val="884"/>
        </w:trPr>
        <w:tc>
          <w:tcPr>
            <w:tcW w:w="2016" w:type="dxa"/>
            <w:hideMark/>
          </w:tcPr>
          <w:p w14:paraId="5D32A220" w14:textId="77777777" w:rsidR="008C34A2" w:rsidRPr="009322DA" w:rsidRDefault="008C34A2" w:rsidP="00B11B3C">
            <w:pPr>
              <w:jc w:val="both"/>
              <w:rPr>
                <w:rFonts w:ascii="Verdana" w:hAnsi="Verdana" w:cs="Arial"/>
                <w:lang w:val="es-ES_tradnl" w:eastAsia="es-ES_tradnl"/>
              </w:rPr>
            </w:pPr>
            <w:r w:rsidRPr="009322DA">
              <w:rPr>
                <w:rFonts w:ascii="Verdana" w:hAnsi="Verdana" w:cs="Arial"/>
                <w:b/>
                <w:lang w:val="es-ES_tradnl" w:eastAsia="es-ES_tradnl"/>
              </w:rPr>
              <w:t>Temas:</w:t>
            </w:r>
            <w:r w:rsidRPr="009322DA">
              <w:rPr>
                <w:rFonts w:ascii="Verdana" w:hAnsi="Verdana" w:cs="Arial"/>
                <w:lang w:val="es-ES_tradnl" w:eastAsia="es-ES_tradnl"/>
              </w:rPr>
              <w:t xml:space="preserve">                   </w:t>
            </w:r>
          </w:p>
        </w:tc>
        <w:tc>
          <w:tcPr>
            <w:tcW w:w="1812" w:type="dxa"/>
          </w:tcPr>
          <w:p w14:paraId="7A827D70" w14:textId="77777777" w:rsidR="008C34A2" w:rsidRPr="00CC2C47" w:rsidRDefault="008C34A2" w:rsidP="00B11B3C">
            <w:pPr>
              <w:jc w:val="both"/>
              <w:rPr>
                <w:rFonts w:ascii="Verdana" w:hAnsi="Verdana" w:cs="Arial"/>
                <w:color w:val="000000" w:themeColor="text1"/>
                <w:lang w:val="es-ES_tradnl"/>
              </w:rPr>
            </w:pPr>
          </w:p>
        </w:tc>
        <w:tc>
          <w:tcPr>
            <w:tcW w:w="5103" w:type="dxa"/>
          </w:tcPr>
          <w:p w14:paraId="7B132D64" w14:textId="77777777" w:rsidR="008C34A2" w:rsidRDefault="008C34A2" w:rsidP="00B11B3C">
            <w:pPr>
              <w:ind w:right="421"/>
              <w:jc w:val="both"/>
              <w:rPr>
                <w:rFonts w:ascii="Verdana" w:hAnsi="Verdana" w:cs="Arial"/>
                <w:lang w:val="es-ES_tradnl" w:eastAsia="es-ES"/>
              </w:rPr>
            </w:pPr>
            <w:r w:rsidRPr="00001BB3">
              <w:rPr>
                <w:rFonts w:ascii="Verdana" w:hAnsi="Verdana" w:cs="Arial"/>
                <w:color w:val="000000" w:themeColor="text1"/>
                <w:lang w:val="es-ES_tradnl"/>
              </w:rPr>
              <w:t>CONTRATACIÓN DIRECTA – Ejecución de trabajos artísticos / TRABAJOS ARTÍSTICOS – Personas Jurídicas</w:t>
            </w:r>
            <w:r w:rsidRPr="00EB3000">
              <w:rPr>
                <w:rFonts w:ascii="Verdana" w:hAnsi="Verdana" w:cs="Arial"/>
                <w:lang w:val="es-ES_tradnl" w:eastAsia="es-ES"/>
              </w:rPr>
              <w:t xml:space="preserve"> </w:t>
            </w:r>
            <w:r>
              <w:rPr>
                <w:rFonts w:ascii="Verdana" w:hAnsi="Verdana" w:cs="Arial"/>
                <w:lang w:val="es-ES_tradnl" w:eastAsia="es-ES"/>
              </w:rPr>
              <w:t xml:space="preserve">- </w:t>
            </w:r>
            <w:r w:rsidRPr="00BD0DAC">
              <w:rPr>
                <w:rFonts w:ascii="Verdana" w:eastAsia="Century Gothic" w:hAnsi="Verdana" w:cs="Century Gothic"/>
                <w:bCs/>
              </w:rPr>
              <w:t>EXPEDICIÓN DE ADENDAS – Límite temporal de la expedición de adendas – Límite material de la expedición de adendas</w:t>
            </w:r>
            <w:r>
              <w:rPr>
                <w:rFonts w:ascii="Verdana" w:eastAsia="Century Gothic" w:hAnsi="Verdana" w:cs="Century Gothic"/>
                <w:bCs/>
              </w:rPr>
              <w:t xml:space="preserve"> / </w:t>
            </w:r>
            <w:r w:rsidRPr="00A96C66">
              <w:rPr>
                <w:rFonts w:ascii="Verdana" w:eastAsia="Century Gothic" w:hAnsi="Verdana" w:cs="Century Gothic"/>
                <w:bCs/>
              </w:rPr>
              <w:t xml:space="preserve">EXPEDICIÓN DE ADENDAS – </w:t>
            </w:r>
            <w:r>
              <w:rPr>
                <w:rFonts w:ascii="Verdana" w:eastAsia="Century Gothic" w:hAnsi="Verdana" w:cs="Century Gothic"/>
                <w:bCs/>
              </w:rPr>
              <w:t>O</w:t>
            </w:r>
            <w:r w:rsidRPr="00A96C66">
              <w:rPr>
                <w:rFonts w:ascii="Verdana" w:eastAsia="Century Gothic" w:hAnsi="Verdana" w:cs="Century Gothic"/>
                <w:bCs/>
              </w:rPr>
              <w:t>bservancia del principio de transparencia, igualdad y economía</w:t>
            </w:r>
            <w:r>
              <w:rPr>
                <w:rFonts w:ascii="Verdana" w:eastAsia="Century Gothic" w:hAnsi="Verdana" w:cs="Century Gothic"/>
                <w:bCs/>
              </w:rPr>
              <w:t xml:space="preserve"> </w:t>
            </w:r>
            <w:r w:rsidRPr="00BD0DAC">
              <w:rPr>
                <w:rFonts w:ascii="Verdana" w:eastAsia="Century Gothic" w:hAnsi="Verdana" w:cs="Century Gothic"/>
                <w:bCs/>
              </w:rPr>
              <w:t>–</w:t>
            </w:r>
            <w:r>
              <w:rPr>
                <w:rFonts w:ascii="Verdana" w:eastAsia="Century Gothic" w:hAnsi="Verdana" w:cs="Century Gothic"/>
                <w:bCs/>
              </w:rPr>
              <w:t xml:space="preserve"> SECOP II - </w:t>
            </w:r>
            <w:r w:rsidRPr="00624CCD">
              <w:rPr>
                <w:rFonts w:ascii="Verdana" w:eastAsia="Times New Roman" w:hAnsi="Verdana" w:cs="Arial"/>
                <w:lang w:eastAsia="es-ES_tradnl"/>
              </w:rPr>
              <w:t>CONVOCATORIAS LIMITADAS A MIPYMES EN EL ÁMBITO TERRITORIAL – Limitación territorial – Facultad discrecional</w:t>
            </w:r>
          </w:p>
          <w:p w14:paraId="29C15156" w14:textId="77777777" w:rsidR="008C34A2" w:rsidRPr="00EB3000" w:rsidRDefault="008C34A2" w:rsidP="00B11B3C">
            <w:pPr>
              <w:jc w:val="both"/>
              <w:rPr>
                <w:rFonts w:ascii="Verdana" w:hAnsi="Verdana" w:cs="Arial"/>
                <w:lang w:val="es-ES_tradnl" w:eastAsia="es-ES"/>
              </w:rPr>
            </w:pPr>
          </w:p>
        </w:tc>
      </w:tr>
      <w:tr w:rsidR="008C34A2" w:rsidRPr="009322DA" w14:paraId="37670C4D" w14:textId="77777777" w:rsidTr="00B11B3C">
        <w:tc>
          <w:tcPr>
            <w:tcW w:w="2016" w:type="dxa"/>
            <w:hideMark/>
          </w:tcPr>
          <w:p w14:paraId="33D9D2A6" w14:textId="77777777" w:rsidR="008C34A2" w:rsidRPr="009322DA" w:rsidRDefault="008C34A2" w:rsidP="00B11B3C">
            <w:pPr>
              <w:jc w:val="both"/>
              <w:rPr>
                <w:rFonts w:ascii="Verdana" w:hAnsi="Verdana" w:cs="Arial"/>
                <w:b/>
                <w:lang w:val="es-ES_tradnl" w:eastAsia="es-ES_tradnl"/>
              </w:rPr>
            </w:pPr>
            <w:r w:rsidRPr="009322DA">
              <w:rPr>
                <w:rFonts w:ascii="Verdana" w:hAnsi="Verdana" w:cs="Arial"/>
                <w:b/>
                <w:lang w:val="es-ES_tradnl" w:eastAsia="es-ES_tradnl"/>
              </w:rPr>
              <w:t>Radicación:</w:t>
            </w:r>
            <w:r w:rsidRPr="009322DA">
              <w:rPr>
                <w:rFonts w:ascii="Verdana" w:hAnsi="Verdana" w:cs="Arial"/>
                <w:lang w:val="es-ES_tradnl" w:eastAsia="es-ES_tradnl"/>
              </w:rPr>
              <w:t xml:space="preserve">               </w:t>
            </w:r>
          </w:p>
        </w:tc>
        <w:tc>
          <w:tcPr>
            <w:tcW w:w="1812" w:type="dxa"/>
          </w:tcPr>
          <w:p w14:paraId="467305F1" w14:textId="77777777" w:rsidR="008C34A2" w:rsidRPr="009322DA" w:rsidRDefault="008C34A2" w:rsidP="00B11B3C">
            <w:pPr>
              <w:jc w:val="both"/>
              <w:rPr>
                <w:rFonts w:ascii="Verdana" w:hAnsi="Verdana" w:cs="Arial"/>
                <w:lang w:val="es-ES_tradnl" w:eastAsia="es-ES_tradnl"/>
              </w:rPr>
            </w:pPr>
          </w:p>
        </w:tc>
        <w:tc>
          <w:tcPr>
            <w:tcW w:w="5103" w:type="dxa"/>
          </w:tcPr>
          <w:p w14:paraId="45B7CE02" w14:textId="77777777" w:rsidR="008C34A2" w:rsidRPr="009322DA" w:rsidRDefault="008C34A2" w:rsidP="00B11B3C">
            <w:pPr>
              <w:jc w:val="both"/>
              <w:rPr>
                <w:rFonts w:ascii="Verdana" w:hAnsi="Verdana" w:cs="Arial"/>
                <w:lang w:val="es-ES_tradnl" w:eastAsia="es-ES_tradnl"/>
              </w:rPr>
            </w:pPr>
            <w:r w:rsidRPr="009322DA">
              <w:rPr>
                <w:rFonts w:ascii="Verdana" w:hAnsi="Verdana" w:cs="Arial"/>
                <w:lang w:val="es-ES_tradnl" w:eastAsia="es-ES_tradnl"/>
              </w:rPr>
              <w:t xml:space="preserve">Respuesta a consulta con radicado No. </w:t>
            </w:r>
            <w:r w:rsidRPr="0059416F">
              <w:rPr>
                <w:rFonts w:ascii="Verdana" w:hAnsi="Verdana"/>
                <w:lang w:eastAsia="es-ES_tradnl"/>
              </w:rPr>
              <w:t>P20250329003027</w:t>
            </w:r>
          </w:p>
        </w:tc>
      </w:tr>
    </w:tbl>
    <w:p w14:paraId="074FBD31" w14:textId="77777777" w:rsidR="008C34A2" w:rsidRPr="009322DA" w:rsidRDefault="008C34A2" w:rsidP="008C34A2">
      <w:pPr>
        <w:spacing w:after="0" w:line="240" w:lineRule="auto"/>
        <w:jc w:val="both"/>
        <w:rPr>
          <w:rFonts w:ascii="Verdana" w:eastAsia="Calibri" w:hAnsi="Verdana" w:cs="Arial"/>
          <w:lang w:val="es-ES_tradnl" w:eastAsia="es-ES_tradnl"/>
        </w:rPr>
      </w:pPr>
    </w:p>
    <w:p w14:paraId="1919C4C3" w14:textId="77777777" w:rsidR="008C34A2" w:rsidRPr="009322DA" w:rsidRDefault="008C34A2" w:rsidP="008C34A2">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Estimad</w:t>
      </w:r>
      <w:r>
        <w:rPr>
          <w:rFonts w:ascii="Verdana" w:eastAsia="Calibri" w:hAnsi="Verdana" w:cs="Arial"/>
          <w:lang w:val="es-ES" w:eastAsia="es-ES"/>
        </w:rPr>
        <w:t>o señor Quintero</w:t>
      </w:r>
      <w:r w:rsidRPr="009322DA">
        <w:rPr>
          <w:rFonts w:ascii="Verdana" w:eastAsia="Calibri" w:hAnsi="Verdana" w:cs="Arial"/>
          <w:lang w:val="es-ES" w:eastAsia="es-ES"/>
        </w:rPr>
        <w:t xml:space="preserve">: </w:t>
      </w:r>
    </w:p>
    <w:p w14:paraId="0C9E3D04" w14:textId="77777777" w:rsidR="008C34A2" w:rsidRPr="009322DA" w:rsidRDefault="008C34A2" w:rsidP="008C34A2">
      <w:pPr>
        <w:tabs>
          <w:tab w:val="left" w:pos="3768"/>
        </w:tabs>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ab/>
      </w:r>
    </w:p>
    <w:p w14:paraId="2D978391" w14:textId="77777777" w:rsidR="008C34A2" w:rsidRPr="009322DA" w:rsidRDefault="008C34A2" w:rsidP="008C34A2">
      <w:pPr>
        <w:spacing w:after="0" w:line="276" w:lineRule="auto"/>
        <w:jc w:val="both"/>
        <w:rPr>
          <w:rFonts w:ascii="Verdana" w:eastAsia="Calibri" w:hAnsi="Verdana" w:cs="Arial"/>
          <w:lang w:val="es-ES" w:eastAsia="es-ES"/>
        </w:rPr>
      </w:pPr>
      <w:r w:rsidRPr="009322DA">
        <w:rPr>
          <w:rFonts w:ascii="Verdana" w:eastAsia="Calibri" w:hAnsi="Verdana" w:cs="Arial"/>
          <w:lang w:val="es-ES" w:eastAsia="es-ES"/>
        </w:rPr>
        <w:t>En ejercicio de la competencia otorgada por los artículos 3, numeral 5º, y 11, numeral 8º, del Decreto Ley 4170 de 2011,</w:t>
      </w:r>
      <w:r w:rsidRPr="009322DA">
        <w:rPr>
          <w:rFonts w:ascii="Verdana" w:eastAsia="Arial MT" w:hAnsi="Verdana" w:cs="Arial MT"/>
          <w:lang w:val="es-ES" w:eastAsia="es-ES"/>
        </w:rPr>
        <w:t xml:space="preserve"> </w:t>
      </w:r>
      <w:r w:rsidRPr="009322DA">
        <w:rPr>
          <w:rFonts w:ascii="Verdana" w:eastAsia="Calibri" w:hAnsi="Verdana" w:cs="Arial"/>
        </w:rPr>
        <w:t xml:space="preserve">así como lo establecido en el artículo 4 de la Resolución 1707 de 2018 expedida por esta Entidad, </w:t>
      </w:r>
      <w:r w:rsidRPr="009322DA">
        <w:rPr>
          <w:rFonts w:ascii="Verdana" w:eastAsia="Calibri" w:hAnsi="Verdana" w:cs="Arial"/>
          <w:lang w:val="es-ES" w:eastAsia="es-ES"/>
        </w:rPr>
        <w:t xml:space="preserve">la Agencia Nacional de Contratación Pública – Colombia Compra Eficiente– responde su solicitud de consulta de fecha </w:t>
      </w:r>
      <w:r>
        <w:rPr>
          <w:rFonts w:ascii="Verdana" w:eastAsia="Calibri" w:hAnsi="Verdana" w:cs="Arial"/>
          <w:lang w:val="es-ES" w:eastAsia="es-ES"/>
        </w:rPr>
        <w:t>29</w:t>
      </w:r>
      <w:r w:rsidRPr="009322DA">
        <w:rPr>
          <w:rFonts w:ascii="Verdana" w:eastAsia="Calibri" w:hAnsi="Verdana" w:cs="Arial"/>
          <w:lang w:val="es-ES" w:eastAsia="es-ES"/>
        </w:rPr>
        <w:t xml:space="preserve"> de </w:t>
      </w:r>
      <w:r>
        <w:rPr>
          <w:rFonts w:ascii="Verdana" w:eastAsia="Calibri" w:hAnsi="Verdana" w:cs="Arial"/>
          <w:lang w:val="es-ES" w:eastAsia="es-ES"/>
        </w:rPr>
        <w:t>marzo</w:t>
      </w:r>
      <w:r w:rsidRPr="009322DA">
        <w:rPr>
          <w:rFonts w:ascii="Verdana" w:eastAsia="Calibri" w:hAnsi="Verdana" w:cs="Arial"/>
          <w:lang w:val="es-ES" w:eastAsia="es-ES"/>
        </w:rPr>
        <w:t xml:space="preserve"> de 202</w:t>
      </w:r>
      <w:r>
        <w:rPr>
          <w:rFonts w:ascii="Verdana" w:eastAsia="Calibri" w:hAnsi="Verdana" w:cs="Arial"/>
          <w:lang w:val="es-ES" w:eastAsia="es-ES"/>
        </w:rPr>
        <w:t>5</w:t>
      </w:r>
      <w:r w:rsidRPr="009322DA">
        <w:rPr>
          <w:rFonts w:ascii="Verdana" w:eastAsia="Calibri" w:hAnsi="Verdana" w:cs="Arial"/>
          <w:lang w:val="es-ES" w:eastAsia="es-ES"/>
        </w:rPr>
        <w:t xml:space="preserve">, en la cual manifiesta lo siguiente: </w:t>
      </w:r>
    </w:p>
    <w:p w14:paraId="289F2599" w14:textId="77777777" w:rsidR="008C34A2" w:rsidRPr="009322DA" w:rsidRDefault="008C34A2" w:rsidP="008C34A2">
      <w:pPr>
        <w:spacing w:after="0" w:line="240" w:lineRule="auto"/>
        <w:ind w:left="709" w:right="709"/>
        <w:jc w:val="both"/>
        <w:rPr>
          <w:rFonts w:ascii="Verdana" w:eastAsia="Century Gothic" w:hAnsi="Verdana" w:cs="Century Gothic"/>
          <w:sz w:val="20"/>
          <w:szCs w:val="20"/>
          <w:lang w:val="es-ES"/>
        </w:rPr>
      </w:pPr>
      <w:bookmarkStart w:id="0" w:name="_Hlk95313578"/>
    </w:p>
    <w:p w14:paraId="7C7222D7"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9322DA">
        <w:rPr>
          <w:rFonts w:ascii="Verdana" w:eastAsia="Century Gothic" w:hAnsi="Verdana" w:cs="Century Gothic"/>
          <w:sz w:val="20"/>
          <w:szCs w:val="20"/>
          <w:lang w:val="es-ES"/>
        </w:rPr>
        <w:t>“</w:t>
      </w:r>
      <w:bookmarkEnd w:id="0"/>
      <w:r>
        <w:rPr>
          <w:rFonts w:ascii="Verdana" w:eastAsia="Century Gothic" w:hAnsi="Verdana" w:cs="Century Gothic"/>
          <w:sz w:val="20"/>
          <w:szCs w:val="20"/>
          <w:lang w:val="es-ES"/>
        </w:rPr>
        <w:t xml:space="preserve">[…] </w:t>
      </w:r>
    </w:p>
    <w:p w14:paraId="41AF7E27"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lastRenderedPageBreak/>
        <w:t xml:space="preserve">1. ¿es posible que una entidad pública regida por la Ley 80/93 celebre un contrato artístico (cantantes) de manera directa con una entidad sin ánimo de lucro? </w:t>
      </w:r>
    </w:p>
    <w:p w14:paraId="04877550"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2. ¿Puede la entidad fundamentar la contratación directa de artistas (cantantes) con una ESAL a través de inciso 3 del artículo 4 del Decreto 092 de 2017 o el artículo 2.2.1.2.1.4.9 del Decreto 1082 de 2015? </w:t>
      </w:r>
    </w:p>
    <w:p w14:paraId="5BAC3B0E"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Como quiera que los artistas o cantantes en su mayoría de veces actúan a través de apoderado o manager, en caso de ser posible la contratación directa con una ESAL a través de un contrato artístico. </w:t>
      </w:r>
    </w:p>
    <w:p w14:paraId="79625C61"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3. ¿Debe la ESAL contar con la autorización, mandato o poder por parte de artista (s) cantante (s) para comprometer su presentación, antes de la celebración del contrato o posterior a este? </w:t>
      </w:r>
    </w:p>
    <w:p w14:paraId="4D7EDC57"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Al ser la ESAL una persona jurídica, lo cual la convierte en un colaborador de la entidad, debiendo acudir a la contratación del o los artistas. </w:t>
      </w:r>
    </w:p>
    <w:p w14:paraId="16D7CD0D"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4. ¿En este caso la entidad estaría frente a un contrato conmutativo y una subcontratación o intermediación? </w:t>
      </w:r>
    </w:p>
    <w:p w14:paraId="6FE21E39"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Por otra parte, los distintos procesos de selección de contratista establecen la obligatoriedad de establecer un cronograma en la invitación o el pliego de condiciones, donde establezcan los términos de cada etapa del proceso, las cuales serán perentorios y preclusivos de conformidad con el numeral 1 del artículo 25 de la Ley 80 de 1993. </w:t>
      </w:r>
    </w:p>
    <w:p w14:paraId="50AE5AE1"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5. ¿Una vez culminado el plazo para presentar ofertas, puede revivir este término la entidad a través de una adenda? </w:t>
      </w:r>
    </w:p>
    <w:p w14:paraId="4BE1526A"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Por su parte el parágrafo 1 del artículo 12 de la Ley 1150 de 2007 desarrollado por el Artículo 2.2.1.2.4.2.3. del Decreto 1082 de 2015, establece la posibilidad de que las entidades realicen convocatorias limitadas a </w:t>
      </w:r>
      <w:proofErr w:type="spellStart"/>
      <w:r w:rsidRPr="0059416F">
        <w:rPr>
          <w:rFonts w:ascii="Verdana" w:eastAsia="Century Gothic" w:hAnsi="Verdana" w:cs="Century Gothic"/>
          <w:sz w:val="20"/>
          <w:szCs w:val="20"/>
        </w:rPr>
        <w:t>mipymes</w:t>
      </w:r>
      <w:proofErr w:type="spellEnd"/>
      <w:r w:rsidRPr="0059416F">
        <w:rPr>
          <w:rFonts w:ascii="Verdana" w:eastAsia="Century Gothic" w:hAnsi="Verdana" w:cs="Century Gothic"/>
          <w:sz w:val="20"/>
          <w:szCs w:val="20"/>
        </w:rPr>
        <w:t xml:space="preserve"> con domicilio en los departamentos o municipios en donde se va a ejecutar el contrato. Sin embargo, la norma no establece un procedimiento taxativo o expreso por lo que las entidades públicas vienen aplicando el procedimiento preceptuado en el numeral 2 del Artículo 2.2.1.2.4.2.2. </w:t>
      </w:r>
      <w:proofErr w:type="spellStart"/>
      <w:r w:rsidRPr="0059416F">
        <w:rPr>
          <w:rFonts w:ascii="Verdana" w:eastAsia="Century Gothic" w:hAnsi="Verdana" w:cs="Century Gothic"/>
          <w:sz w:val="20"/>
          <w:szCs w:val="20"/>
        </w:rPr>
        <w:t>ibídem</w:t>
      </w:r>
      <w:proofErr w:type="spellEnd"/>
      <w:r w:rsidRPr="0059416F">
        <w:rPr>
          <w:rFonts w:ascii="Verdana" w:eastAsia="Century Gothic" w:hAnsi="Verdana" w:cs="Century Gothic"/>
          <w:sz w:val="20"/>
          <w:szCs w:val="20"/>
        </w:rPr>
        <w:t xml:space="preserve">. </w:t>
      </w:r>
    </w:p>
    <w:p w14:paraId="1E237CD5"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6. ¿Cuál es procedimiento establecido para limitar los procesos de selección a </w:t>
      </w:r>
      <w:proofErr w:type="spellStart"/>
      <w:r w:rsidRPr="0059416F">
        <w:rPr>
          <w:rFonts w:ascii="Verdana" w:eastAsia="Century Gothic" w:hAnsi="Verdana" w:cs="Century Gothic"/>
          <w:sz w:val="20"/>
          <w:szCs w:val="20"/>
        </w:rPr>
        <w:t>mipymes</w:t>
      </w:r>
      <w:proofErr w:type="spellEnd"/>
      <w:r w:rsidRPr="0059416F">
        <w:rPr>
          <w:rFonts w:ascii="Verdana" w:eastAsia="Century Gothic" w:hAnsi="Verdana" w:cs="Century Gothic"/>
          <w:sz w:val="20"/>
          <w:szCs w:val="20"/>
        </w:rPr>
        <w:t xml:space="preserve"> con domicilio en los municipios donde se ejecutará el contrato? </w:t>
      </w:r>
    </w:p>
    <w:p w14:paraId="5278C66D" w14:textId="77777777" w:rsidR="008C34A2" w:rsidRPr="0059416F" w:rsidRDefault="008C34A2" w:rsidP="008C34A2">
      <w:pPr>
        <w:spacing w:line="240" w:lineRule="auto"/>
        <w:ind w:left="709" w:right="709"/>
        <w:jc w:val="both"/>
        <w:rPr>
          <w:rFonts w:ascii="Verdana" w:eastAsia="Century Gothic" w:hAnsi="Verdana" w:cs="Century Gothic"/>
          <w:sz w:val="20"/>
          <w:szCs w:val="20"/>
        </w:rPr>
      </w:pPr>
      <w:r w:rsidRPr="0059416F">
        <w:rPr>
          <w:rFonts w:ascii="Verdana" w:eastAsia="Century Gothic" w:hAnsi="Verdana" w:cs="Century Gothic"/>
          <w:sz w:val="20"/>
          <w:szCs w:val="20"/>
        </w:rPr>
        <w:t xml:space="preserve">7. ¿Es viable que la entidad limite una convocatoria con fundamento en dos solicitudes de </w:t>
      </w:r>
      <w:proofErr w:type="spellStart"/>
      <w:r w:rsidRPr="0059416F">
        <w:rPr>
          <w:rFonts w:ascii="Verdana" w:eastAsia="Century Gothic" w:hAnsi="Verdana" w:cs="Century Gothic"/>
          <w:sz w:val="20"/>
          <w:szCs w:val="20"/>
        </w:rPr>
        <w:t>mipymes</w:t>
      </w:r>
      <w:proofErr w:type="spellEnd"/>
      <w:r w:rsidRPr="0059416F">
        <w:rPr>
          <w:rFonts w:ascii="Verdana" w:eastAsia="Century Gothic" w:hAnsi="Verdana" w:cs="Century Gothic"/>
          <w:sz w:val="20"/>
          <w:szCs w:val="20"/>
        </w:rPr>
        <w:t xml:space="preserve"> con domicilio en el municipio? </w:t>
      </w:r>
    </w:p>
    <w:p w14:paraId="7E6135A3" w14:textId="77777777" w:rsidR="008C34A2" w:rsidRPr="001C64A0" w:rsidRDefault="008C34A2" w:rsidP="008C34A2">
      <w:pPr>
        <w:spacing w:line="240" w:lineRule="auto"/>
        <w:ind w:left="709" w:right="709"/>
        <w:jc w:val="both"/>
        <w:rPr>
          <w:rFonts w:ascii="Verdana" w:eastAsia="Century Gothic" w:hAnsi="Verdana" w:cs="Century Gothic"/>
          <w:sz w:val="20"/>
          <w:szCs w:val="20"/>
        </w:rPr>
      </w:pPr>
      <w:r>
        <w:rPr>
          <w:rFonts w:ascii="Verdana" w:eastAsia="Century Gothic" w:hAnsi="Verdana" w:cs="Century Gothic"/>
          <w:sz w:val="20"/>
          <w:szCs w:val="20"/>
        </w:rPr>
        <w:t>[…]”</w:t>
      </w:r>
    </w:p>
    <w:p w14:paraId="72539996" w14:textId="77777777" w:rsidR="008C34A2" w:rsidRPr="009322DA" w:rsidRDefault="008C34A2" w:rsidP="008C34A2">
      <w:pPr>
        <w:spacing w:after="120" w:line="276" w:lineRule="auto"/>
        <w:ind w:firstLine="709"/>
        <w:jc w:val="both"/>
        <w:rPr>
          <w:rFonts w:ascii="Verdana" w:eastAsia="Calibri" w:hAnsi="Verdana" w:cs="Arial"/>
          <w:szCs w:val="24"/>
          <w:lang w:val="es-ES_tradnl" w:eastAsia="es-ES_tradnl"/>
        </w:rPr>
      </w:pPr>
      <w:r w:rsidRPr="009322DA">
        <w:rPr>
          <w:rFonts w:ascii="Verdana" w:eastAsia="Calibri" w:hAnsi="Verdana" w:cs="Arial"/>
          <w:lang w:val="es-ES" w:eastAsia="es-ES"/>
        </w:rPr>
        <w:t xml:space="preserve">De manera preliminar, resulta necesario resaltar que esta entidad solo tiene competencia para responder consultas sobre la aplicación de normas de </w:t>
      </w:r>
      <w:r w:rsidRPr="009322DA">
        <w:rPr>
          <w:rFonts w:ascii="Verdana" w:eastAsia="Calibri" w:hAnsi="Verdana" w:cs="Arial"/>
          <w:lang w:val="es-ES" w:eastAsia="es-ES"/>
        </w:rPr>
        <w:lastRenderedPageBreak/>
        <w:t xml:space="preserve">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322DA">
        <w:rPr>
          <w:rFonts w:ascii="Verdana" w:eastAsia="Calibri" w:hAnsi="Verdana" w:cs="Arial"/>
          <w:szCs w:val="24"/>
          <w:lang w:val="es-ES_tradnl" w:eastAsia="es-ES_tradnl"/>
        </w:rPr>
        <w:tab/>
      </w:r>
    </w:p>
    <w:p w14:paraId="0C37F493" w14:textId="77777777" w:rsidR="008C34A2" w:rsidRPr="009322DA" w:rsidRDefault="008C34A2" w:rsidP="008C34A2">
      <w:pPr>
        <w:spacing w:after="0" w:line="276" w:lineRule="auto"/>
        <w:ind w:firstLine="708"/>
        <w:jc w:val="both"/>
        <w:rPr>
          <w:rFonts w:ascii="Verdana" w:eastAsia="Calibri" w:hAnsi="Verdana" w:cs="Arial"/>
          <w:lang w:val="es-ES" w:eastAsia="es-ES"/>
        </w:rPr>
      </w:pPr>
      <w:r w:rsidRPr="009322DA">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59AE603A" w14:textId="77777777" w:rsidR="008C34A2" w:rsidRPr="009322DA" w:rsidRDefault="008C34A2" w:rsidP="008C34A2">
      <w:pPr>
        <w:spacing w:after="0" w:line="276" w:lineRule="auto"/>
        <w:ind w:firstLine="709"/>
        <w:jc w:val="both"/>
        <w:rPr>
          <w:rFonts w:ascii="Verdana" w:eastAsia="Calibri" w:hAnsi="Verdana" w:cs="Arial"/>
          <w:lang w:val="es-ES" w:eastAsia="es-ES"/>
        </w:rPr>
      </w:pPr>
    </w:p>
    <w:p w14:paraId="11AE6D16" w14:textId="77777777" w:rsidR="008C34A2" w:rsidRPr="009322DA" w:rsidRDefault="008C34A2" w:rsidP="008C34A2">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Problema planteado:</w:t>
      </w:r>
    </w:p>
    <w:p w14:paraId="6B9B9A90" w14:textId="77777777" w:rsidR="008C34A2" w:rsidRPr="009322DA" w:rsidRDefault="008C34A2" w:rsidP="008C34A2">
      <w:pPr>
        <w:tabs>
          <w:tab w:val="left" w:pos="426"/>
        </w:tabs>
        <w:spacing w:after="0" w:line="276" w:lineRule="auto"/>
        <w:jc w:val="both"/>
        <w:rPr>
          <w:rFonts w:ascii="Verdana" w:eastAsia="Century Gothic" w:hAnsi="Verdana" w:cs="Century Gothic"/>
          <w:lang w:val="es-ES"/>
        </w:rPr>
      </w:pPr>
    </w:p>
    <w:p w14:paraId="4B8581A5" w14:textId="77777777" w:rsidR="008C34A2" w:rsidRDefault="008C34A2" w:rsidP="008C34A2">
      <w:pPr>
        <w:spacing w:after="0" w:line="276" w:lineRule="auto"/>
        <w:jc w:val="both"/>
        <w:rPr>
          <w:rFonts w:ascii="Verdana" w:eastAsia="Century Gothic" w:hAnsi="Verdana" w:cs="Century Gothic"/>
        </w:rPr>
      </w:pPr>
      <w:r w:rsidRPr="009322DA">
        <w:rPr>
          <w:rFonts w:ascii="Verdana" w:eastAsia="Century Gothic" w:hAnsi="Verdana" w:cs="Century Gothic"/>
        </w:rPr>
        <w:t xml:space="preserve">De acuerdo con el contenido de su solicitud, esta Agencia resolverá </w:t>
      </w:r>
      <w:r>
        <w:rPr>
          <w:rFonts w:ascii="Verdana" w:eastAsia="Century Gothic" w:hAnsi="Verdana" w:cs="Century Gothic"/>
        </w:rPr>
        <w:t>los</w:t>
      </w:r>
      <w:r w:rsidRPr="009322DA">
        <w:rPr>
          <w:rFonts w:ascii="Verdana" w:eastAsia="Century Gothic" w:hAnsi="Verdana" w:cs="Century Gothic"/>
        </w:rPr>
        <w:t xml:space="preserve"> siguiente</w:t>
      </w:r>
      <w:r>
        <w:rPr>
          <w:rFonts w:ascii="Verdana" w:eastAsia="Century Gothic" w:hAnsi="Verdana" w:cs="Century Gothic"/>
        </w:rPr>
        <w:t>s</w:t>
      </w:r>
      <w:r w:rsidRPr="009322DA">
        <w:rPr>
          <w:rFonts w:ascii="Verdana" w:eastAsia="Century Gothic" w:hAnsi="Verdana" w:cs="Century Gothic"/>
        </w:rPr>
        <w:t xml:space="preserve"> problema</w:t>
      </w:r>
      <w:r>
        <w:rPr>
          <w:rFonts w:ascii="Verdana" w:eastAsia="Century Gothic" w:hAnsi="Verdana" w:cs="Century Gothic"/>
        </w:rPr>
        <w:t>s</w:t>
      </w:r>
      <w:r w:rsidRPr="009322DA">
        <w:rPr>
          <w:rFonts w:ascii="Verdana" w:eastAsia="Century Gothic" w:hAnsi="Verdana" w:cs="Century Gothic"/>
        </w:rPr>
        <w:t xml:space="preserve"> jurídico</w:t>
      </w:r>
      <w:r>
        <w:rPr>
          <w:rFonts w:ascii="Verdana" w:eastAsia="Century Gothic" w:hAnsi="Verdana" w:cs="Century Gothic"/>
        </w:rPr>
        <w:t>s</w:t>
      </w:r>
      <w:r w:rsidRPr="009322DA">
        <w:rPr>
          <w:rFonts w:ascii="Verdana" w:eastAsia="Century Gothic" w:hAnsi="Verdana" w:cs="Century Gothic"/>
        </w:rPr>
        <w:t>:</w:t>
      </w:r>
      <w:r>
        <w:rPr>
          <w:rFonts w:ascii="Verdana" w:eastAsia="Century Gothic" w:hAnsi="Verdana" w:cs="Century Gothic"/>
        </w:rPr>
        <w:t xml:space="preserve"> </w:t>
      </w:r>
    </w:p>
    <w:p w14:paraId="5BCB702E" w14:textId="77777777" w:rsidR="008C34A2" w:rsidRDefault="008C34A2" w:rsidP="008C34A2">
      <w:pPr>
        <w:spacing w:after="0" w:line="276" w:lineRule="auto"/>
        <w:jc w:val="both"/>
        <w:rPr>
          <w:rFonts w:ascii="Verdana" w:eastAsia="Century Gothic" w:hAnsi="Verdana" w:cs="Century Gothic"/>
        </w:rPr>
      </w:pPr>
    </w:p>
    <w:p w14:paraId="269B7B5D" w14:textId="1C33BAD4" w:rsidR="008C34A2" w:rsidRDefault="008C34A2" w:rsidP="008C34A2">
      <w:pPr>
        <w:pStyle w:val="Prrafodelista"/>
        <w:numPr>
          <w:ilvl w:val="1"/>
          <w:numId w:val="20"/>
        </w:numPr>
        <w:spacing w:after="0" w:line="276" w:lineRule="auto"/>
        <w:jc w:val="both"/>
        <w:rPr>
          <w:rFonts w:ascii="Verdana" w:eastAsia="Century Gothic" w:hAnsi="Verdana" w:cs="Century Gothic"/>
        </w:rPr>
      </w:pPr>
      <w:r w:rsidRPr="00454140">
        <w:rPr>
          <w:rFonts w:ascii="Verdana" w:eastAsia="Century Gothic" w:hAnsi="Verdana" w:cs="Century Gothic"/>
        </w:rPr>
        <w:t>¿</w:t>
      </w:r>
      <w:r w:rsidR="6D60836D" w:rsidRPr="310E63B3">
        <w:rPr>
          <w:rFonts w:ascii="Verdana" w:eastAsia="Century Gothic" w:hAnsi="Verdana" w:cs="Century Gothic"/>
        </w:rPr>
        <w:t>Cuál</w:t>
      </w:r>
      <w:r w:rsidR="6B8A5DE3" w:rsidRPr="310E63B3">
        <w:rPr>
          <w:rFonts w:ascii="Verdana" w:eastAsia="Century Gothic" w:hAnsi="Verdana" w:cs="Century Gothic"/>
        </w:rPr>
        <w:t xml:space="preserve"> es la </w:t>
      </w:r>
      <w:r w:rsidR="7C5E8010" w:rsidRPr="310E63B3">
        <w:rPr>
          <w:rFonts w:ascii="Verdana" w:eastAsia="Century Gothic" w:hAnsi="Verdana" w:cs="Century Gothic"/>
        </w:rPr>
        <w:t>modalidad</w:t>
      </w:r>
      <w:r w:rsidR="6B8A5DE3" w:rsidRPr="310E63B3">
        <w:rPr>
          <w:rFonts w:ascii="Verdana" w:eastAsia="Century Gothic" w:hAnsi="Verdana" w:cs="Century Gothic"/>
        </w:rPr>
        <w:t xml:space="preserve"> de selección para suscribir un contrato de prestación de </w:t>
      </w:r>
      <w:r w:rsidR="6731F872" w:rsidRPr="310E63B3">
        <w:rPr>
          <w:rFonts w:ascii="Verdana" w:eastAsia="Century Gothic" w:hAnsi="Verdana" w:cs="Century Gothic"/>
        </w:rPr>
        <w:t>servicios</w:t>
      </w:r>
      <w:r w:rsidR="6B8A5DE3" w:rsidRPr="310E63B3">
        <w:rPr>
          <w:rFonts w:ascii="Verdana" w:eastAsia="Century Gothic" w:hAnsi="Verdana" w:cs="Century Gothic"/>
        </w:rPr>
        <w:t xml:space="preserve"> artísticos y </w:t>
      </w:r>
      <w:r w:rsidR="081C1E42" w:rsidRPr="310E63B3">
        <w:rPr>
          <w:rFonts w:ascii="Verdana" w:eastAsia="Century Gothic" w:hAnsi="Verdana" w:cs="Century Gothic"/>
        </w:rPr>
        <w:t>cuál</w:t>
      </w:r>
      <w:r w:rsidR="6B8A5DE3" w:rsidRPr="310E63B3">
        <w:rPr>
          <w:rFonts w:ascii="Verdana" w:eastAsia="Century Gothic" w:hAnsi="Verdana" w:cs="Century Gothic"/>
        </w:rPr>
        <w:t xml:space="preserve"> es la </w:t>
      </w:r>
      <w:r w:rsidR="57DE8262" w:rsidRPr="310E63B3">
        <w:rPr>
          <w:rFonts w:ascii="Verdana" w:eastAsia="Century Gothic" w:hAnsi="Verdana" w:cs="Century Gothic"/>
        </w:rPr>
        <w:t>modalidad</w:t>
      </w:r>
      <w:r w:rsidR="6B8A5DE3" w:rsidRPr="310E63B3">
        <w:rPr>
          <w:rFonts w:ascii="Verdana" w:eastAsia="Century Gothic" w:hAnsi="Verdana" w:cs="Century Gothic"/>
        </w:rPr>
        <w:t xml:space="preserve"> para </w:t>
      </w:r>
      <w:r w:rsidR="4A98C140" w:rsidRPr="310E63B3">
        <w:rPr>
          <w:rFonts w:ascii="Verdana" w:eastAsia="Century Gothic" w:hAnsi="Verdana" w:cs="Century Gothic"/>
        </w:rPr>
        <w:t>suscribir</w:t>
      </w:r>
      <w:r w:rsidR="6B8A5DE3" w:rsidRPr="310E63B3">
        <w:rPr>
          <w:rFonts w:ascii="Verdana" w:eastAsia="Century Gothic" w:hAnsi="Verdana" w:cs="Century Gothic"/>
        </w:rPr>
        <w:t xml:space="preserve"> contratos </w:t>
      </w:r>
      <w:r w:rsidR="5DFE9FBD" w:rsidRPr="310E63B3">
        <w:rPr>
          <w:rFonts w:ascii="Verdana" w:eastAsia="Century Gothic" w:hAnsi="Verdana" w:cs="Century Gothic"/>
        </w:rPr>
        <w:t>con</w:t>
      </w:r>
      <w:r>
        <w:rPr>
          <w:rFonts w:ascii="Verdana" w:eastAsia="Century Gothic" w:hAnsi="Verdana" w:cs="Century Gothic"/>
        </w:rPr>
        <w:t xml:space="preserve"> una</w:t>
      </w:r>
      <w:r w:rsidRPr="00454140">
        <w:rPr>
          <w:rFonts w:ascii="Verdana" w:eastAsia="Century Gothic" w:hAnsi="Verdana" w:cs="Century Gothic"/>
        </w:rPr>
        <w:t xml:space="preserve"> </w:t>
      </w:r>
      <w:r>
        <w:rPr>
          <w:rFonts w:ascii="Verdana" w:eastAsia="Century Gothic" w:hAnsi="Verdana" w:cs="Century Gothic"/>
        </w:rPr>
        <w:t>Entidad Sin Ánimo de Lucro - ESAL</w:t>
      </w:r>
      <w:r w:rsidRPr="00454140">
        <w:rPr>
          <w:rFonts w:ascii="Verdana" w:eastAsia="Century Gothic" w:hAnsi="Verdana" w:cs="Century Gothic"/>
        </w:rPr>
        <w:t xml:space="preserve">? </w:t>
      </w:r>
    </w:p>
    <w:p w14:paraId="35D872C8" w14:textId="77777777" w:rsidR="008C34A2" w:rsidRDefault="008C34A2" w:rsidP="008C34A2">
      <w:pPr>
        <w:pStyle w:val="Prrafodelista"/>
        <w:numPr>
          <w:ilvl w:val="1"/>
          <w:numId w:val="20"/>
        </w:numPr>
        <w:spacing w:after="0" w:line="276" w:lineRule="auto"/>
        <w:jc w:val="both"/>
        <w:rPr>
          <w:rFonts w:ascii="Verdana" w:eastAsia="Century Gothic" w:hAnsi="Verdana" w:cs="Century Gothic"/>
        </w:rPr>
      </w:pPr>
      <w:r w:rsidRPr="001315DD">
        <w:rPr>
          <w:rFonts w:ascii="Verdana" w:eastAsia="Century Gothic" w:hAnsi="Verdana" w:cs="Century Gothic"/>
        </w:rPr>
        <w:t xml:space="preserve">¿Es posible modificar mediante adenda el plazo de la etapa de presentación de ofertas que venció en desarrollo del proceso de contratación? </w:t>
      </w:r>
    </w:p>
    <w:p w14:paraId="4BB82DE2" w14:textId="77777777" w:rsidR="008C34A2" w:rsidRPr="001315DD" w:rsidRDefault="008C34A2" w:rsidP="008C34A2">
      <w:pPr>
        <w:pStyle w:val="Prrafodelista"/>
        <w:numPr>
          <w:ilvl w:val="1"/>
          <w:numId w:val="20"/>
        </w:numPr>
        <w:spacing w:after="0" w:line="276" w:lineRule="auto"/>
        <w:jc w:val="both"/>
        <w:rPr>
          <w:rFonts w:ascii="Verdana" w:eastAsia="Century Gothic" w:hAnsi="Verdana" w:cs="Century Gothic"/>
        </w:rPr>
      </w:pPr>
      <w:r w:rsidRPr="00C37A7D">
        <w:rPr>
          <w:rFonts w:ascii="Verdana" w:eastAsia="Century Gothic" w:hAnsi="Verdana" w:cs="Century Gothic"/>
          <w:lang w:val="es-CO"/>
        </w:rPr>
        <w:t xml:space="preserve">¿Qué procedimiento debe seguir </w:t>
      </w:r>
      <w:r>
        <w:rPr>
          <w:rFonts w:ascii="Verdana" w:eastAsia="Century Gothic" w:hAnsi="Verdana" w:cs="Century Gothic"/>
          <w:lang w:val="es-CO"/>
        </w:rPr>
        <w:t xml:space="preserve">la Entidad </w:t>
      </w:r>
      <w:r w:rsidRPr="00C37A7D">
        <w:rPr>
          <w:rFonts w:ascii="Verdana" w:eastAsia="Century Gothic" w:hAnsi="Verdana" w:cs="Century Gothic"/>
          <w:lang w:val="es-CO"/>
        </w:rPr>
        <w:t xml:space="preserve">para </w:t>
      </w:r>
      <w:r>
        <w:rPr>
          <w:rFonts w:ascii="Verdana" w:eastAsia="Century Gothic" w:hAnsi="Verdana" w:cs="Century Gothic"/>
          <w:lang w:val="es-CO"/>
        </w:rPr>
        <w:t>limitar</w:t>
      </w:r>
      <w:r w:rsidRPr="00C37A7D">
        <w:rPr>
          <w:rFonts w:ascii="Verdana" w:eastAsia="Century Gothic" w:hAnsi="Verdana" w:cs="Century Gothic"/>
          <w:lang w:val="es-CO"/>
        </w:rPr>
        <w:t xml:space="preserve"> los procesos de selección a las </w:t>
      </w:r>
      <w:proofErr w:type="spellStart"/>
      <w:r w:rsidRPr="00C37A7D">
        <w:rPr>
          <w:rFonts w:ascii="Verdana" w:eastAsia="Century Gothic" w:hAnsi="Verdana" w:cs="Century Gothic"/>
          <w:lang w:val="es-CO"/>
        </w:rPr>
        <w:t>mipymes</w:t>
      </w:r>
      <w:proofErr w:type="spellEnd"/>
      <w:r w:rsidRPr="00C37A7D">
        <w:rPr>
          <w:rFonts w:ascii="Verdana" w:eastAsia="Century Gothic" w:hAnsi="Verdana" w:cs="Century Gothic"/>
          <w:lang w:val="es-CO"/>
        </w:rPr>
        <w:t xml:space="preserve"> que tengan domicilio en los municipios donde se llevará a cabo la ejecución del contrato?</w:t>
      </w:r>
    </w:p>
    <w:p w14:paraId="73C51F06" w14:textId="77777777" w:rsidR="008C34A2" w:rsidRPr="009322DA" w:rsidRDefault="008C34A2" w:rsidP="008C34A2">
      <w:pPr>
        <w:spacing w:after="0" w:line="276" w:lineRule="auto"/>
        <w:jc w:val="both"/>
        <w:rPr>
          <w:rFonts w:ascii="Verdana" w:eastAsia="Calibri" w:hAnsi="Verdana" w:cs="Arial"/>
          <w:lang w:val="es-ES"/>
        </w:rPr>
      </w:pPr>
    </w:p>
    <w:p w14:paraId="6C4426E8" w14:textId="77777777" w:rsidR="008C34A2" w:rsidRDefault="008C34A2" w:rsidP="008C34A2">
      <w:pPr>
        <w:numPr>
          <w:ilvl w:val="0"/>
          <w:numId w:val="16"/>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Respuesta:</w:t>
      </w:r>
    </w:p>
    <w:p w14:paraId="0D958AB2" w14:textId="77777777" w:rsidR="008C34A2" w:rsidRDefault="008C34A2" w:rsidP="008C34A2">
      <w:pPr>
        <w:tabs>
          <w:tab w:val="left" w:pos="142"/>
          <w:tab w:val="left" w:pos="284"/>
        </w:tabs>
        <w:spacing w:after="0" w:line="276" w:lineRule="auto"/>
        <w:contextualSpacing/>
        <w:jc w:val="both"/>
        <w:rPr>
          <w:rFonts w:ascii="Verdana" w:eastAsia="Century Gothic" w:hAnsi="Verdana" w:cs="Century Gothic"/>
          <w:b/>
          <w:bCs/>
          <w:lang w:val="es-ES"/>
        </w:rPr>
      </w:pPr>
    </w:p>
    <w:p w14:paraId="3CF67E3E" w14:textId="77777777" w:rsidR="008C34A2" w:rsidRPr="001315DD" w:rsidRDefault="008C34A2" w:rsidP="008C34A2">
      <w:pPr>
        <w:jc w:val="both"/>
        <w:rPr>
          <w:rFonts w:ascii="Verdana" w:eastAsia="Arial" w:hAnsi="Verdana" w:cs="Arial"/>
          <w:lang w:eastAsia="es-ES" w:bidi="es-ES"/>
        </w:rPr>
      </w:pPr>
      <w:r w:rsidRPr="001B1FE3">
        <w:rPr>
          <w:rFonts w:ascii="Verdana" w:eastAsia="Arial" w:hAnsi="Verdana" w:cs="Arial"/>
          <w:lang w:eastAsia="es-ES" w:bidi="es-ES"/>
        </w:rPr>
        <w:t>En respuesta a</w:t>
      </w:r>
      <w:r>
        <w:rPr>
          <w:rFonts w:ascii="Verdana" w:eastAsia="Arial" w:hAnsi="Verdana" w:cs="Arial"/>
          <w:lang w:eastAsia="es-ES" w:bidi="es-ES"/>
        </w:rPr>
        <w:t xml:space="preserve"> </w:t>
      </w:r>
      <w:r w:rsidRPr="001B1FE3">
        <w:rPr>
          <w:rFonts w:ascii="Verdana" w:eastAsia="Arial" w:hAnsi="Verdana" w:cs="Arial"/>
          <w:lang w:eastAsia="es-ES" w:bidi="es-ES"/>
        </w:rPr>
        <w:t>l</w:t>
      </w:r>
      <w:r>
        <w:rPr>
          <w:rFonts w:ascii="Verdana" w:eastAsia="Arial" w:hAnsi="Verdana" w:cs="Arial"/>
          <w:lang w:eastAsia="es-ES" w:bidi="es-ES"/>
        </w:rPr>
        <w:t>os</w:t>
      </w:r>
      <w:r w:rsidRPr="001B1FE3">
        <w:rPr>
          <w:rFonts w:ascii="Verdana" w:eastAsia="Arial" w:hAnsi="Verdana" w:cs="Arial"/>
          <w:lang w:eastAsia="es-ES" w:bidi="es-ES"/>
        </w:rPr>
        <w:t xml:space="preserve"> problema</w:t>
      </w:r>
      <w:r>
        <w:rPr>
          <w:rFonts w:ascii="Verdana" w:eastAsia="Arial" w:hAnsi="Verdana" w:cs="Arial"/>
          <w:lang w:eastAsia="es-ES" w:bidi="es-ES"/>
        </w:rPr>
        <w:t>s</w:t>
      </w:r>
      <w:r w:rsidRPr="001B1FE3">
        <w:rPr>
          <w:rFonts w:ascii="Verdana" w:eastAsia="Arial" w:hAnsi="Verdana" w:cs="Arial"/>
          <w:lang w:eastAsia="es-ES" w:bidi="es-ES"/>
        </w:rPr>
        <w:t xml:space="preserve"> planteado</w:t>
      </w:r>
      <w:r>
        <w:rPr>
          <w:rFonts w:ascii="Verdana" w:eastAsia="Arial" w:hAnsi="Verdana" w:cs="Arial"/>
          <w:lang w:eastAsia="es-ES" w:bidi="es-ES"/>
        </w:rPr>
        <w:t>s</w:t>
      </w:r>
      <w:r w:rsidRPr="001B1FE3">
        <w:rPr>
          <w:rFonts w:ascii="Verdana" w:eastAsia="Arial" w:hAnsi="Verdana" w:cs="Arial"/>
          <w:lang w:eastAsia="es-ES" w:bidi="es-ES"/>
        </w:rPr>
        <w:t xml:space="preserve"> esta Subdirección manifiesta:</w:t>
      </w: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C34A2" w:rsidRPr="009322DA" w14:paraId="2F155025" w14:textId="77777777" w:rsidTr="00B11B3C">
        <w:tc>
          <w:tcPr>
            <w:tcW w:w="8828" w:type="dxa"/>
            <w:tcBorders>
              <w:top w:val="dotted" w:sz="4" w:space="0" w:color="auto"/>
              <w:left w:val="dotted" w:sz="4" w:space="0" w:color="auto"/>
              <w:bottom w:val="dotted" w:sz="4" w:space="0" w:color="auto"/>
              <w:right w:val="dotted" w:sz="4" w:space="0" w:color="auto"/>
            </w:tcBorders>
          </w:tcPr>
          <w:p w14:paraId="40394089" w14:textId="77777777" w:rsidR="006D5DD4" w:rsidRDefault="006D5DD4" w:rsidP="006D5DD4">
            <w:pPr>
              <w:pStyle w:val="Prrafodelista"/>
              <w:numPr>
                <w:ilvl w:val="0"/>
                <w:numId w:val="21"/>
              </w:numPr>
              <w:spacing w:after="120" w:line="276" w:lineRule="auto"/>
              <w:jc w:val="both"/>
              <w:rPr>
                <w:rFonts w:ascii="Verdana" w:eastAsia="Calibri" w:hAnsi="Verdana" w:cs="Arial"/>
                <w:lang w:val="es-CO"/>
              </w:rPr>
            </w:pPr>
            <w:r w:rsidRPr="006D5DD4">
              <w:rPr>
                <w:rFonts w:ascii="Verdana" w:eastAsia="Calibri" w:hAnsi="Verdana" w:cs="Arial"/>
                <w:lang w:val="es-CO"/>
              </w:rPr>
              <w:t xml:space="preserve">Frente al primer problema planteado, es necesario señalar que, para la celebración de contratos de prestación de servicios artísticos, deben </w:t>
            </w:r>
            <w:r w:rsidRPr="006D5DD4">
              <w:rPr>
                <w:rFonts w:ascii="Verdana" w:eastAsia="Calibri" w:hAnsi="Verdana" w:cs="Arial"/>
                <w:lang w:val="es-CO"/>
              </w:rPr>
              <w:lastRenderedPageBreak/>
              <w:t>cumplirse, en términos generales, las condiciones establecidas en el Estatuto General de Contratación de la Administración Pública (EGCAP), la Ley 1150 de 2007, el Decreto 1082 de 2015 y la jurisprudencia del Consejo de Estado en la materia.</w:t>
            </w:r>
          </w:p>
          <w:p w14:paraId="62084EF1" w14:textId="77777777" w:rsidR="00DF4396" w:rsidRPr="006D5DD4" w:rsidRDefault="00DF4396" w:rsidP="00DF4396">
            <w:pPr>
              <w:pStyle w:val="Prrafodelista"/>
              <w:spacing w:after="120" w:line="276" w:lineRule="auto"/>
              <w:jc w:val="both"/>
              <w:rPr>
                <w:rFonts w:ascii="Verdana" w:eastAsia="Calibri" w:hAnsi="Verdana" w:cs="Arial"/>
                <w:lang w:val="es-CO"/>
              </w:rPr>
            </w:pPr>
          </w:p>
          <w:p w14:paraId="6F6DAD72" w14:textId="77777777" w:rsidR="006D5DD4" w:rsidRDefault="006D5DD4" w:rsidP="006D5DD4">
            <w:pPr>
              <w:pStyle w:val="Prrafodelista"/>
              <w:spacing w:after="120" w:line="276" w:lineRule="auto"/>
              <w:jc w:val="both"/>
              <w:rPr>
                <w:rFonts w:ascii="Verdana" w:eastAsia="Calibri" w:hAnsi="Verdana" w:cs="Arial"/>
                <w:lang w:val="es-CO"/>
              </w:rPr>
            </w:pPr>
            <w:r w:rsidRPr="006D5DD4">
              <w:rPr>
                <w:rFonts w:ascii="Verdana" w:eastAsia="Calibri" w:hAnsi="Verdana" w:cs="Arial"/>
                <w:lang w:val="es-CO"/>
              </w:rPr>
              <w:t>En este sentido, el artículo 2.2.1.2.1.4.9 del Decreto 1082 de 2015 establece que las entidades públicas pueden recurrir a la contratación directa cuando se trate de la prestación de servicios profesionales o de apoyo a la gestión para la ejecución de trabajos artísticos, ya sea con personas naturales o jurídicas que demuestren la capacidad para cumplir con el objeto contractual. Para ello, la entidad debe verificar previamente la idoneidad y experiencia del contratista.</w:t>
            </w:r>
          </w:p>
          <w:p w14:paraId="114551FB" w14:textId="77777777" w:rsidR="00DF4396" w:rsidRPr="006D5DD4" w:rsidRDefault="00DF4396" w:rsidP="006D5DD4">
            <w:pPr>
              <w:pStyle w:val="Prrafodelista"/>
              <w:spacing w:after="120" w:line="276" w:lineRule="auto"/>
              <w:jc w:val="both"/>
              <w:rPr>
                <w:rFonts w:ascii="Verdana" w:eastAsia="Calibri" w:hAnsi="Verdana" w:cs="Arial"/>
                <w:lang w:val="es-CO"/>
              </w:rPr>
            </w:pPr>
          </w:p>
          <w:p w14:paraId="5DA3DAE9" w14:textId="77777777" w:rsidR="006D5DD4" w:rsidRDefault="006D5DD4" w:rsidP="006D5DD4">
            <w:pPr>
              <w:pStyle w:val="Prrafodelista"/>
              <w:spacing w:after="120" w:line="276" w:lineRule="auto"/>
              <w:jc w:val="both"/>
              <w:rPr>
                <w:rFonts w:ascii="Verdana" w:eastAsia="Calibri" w:hAnsi="Verdana" w:cs="Arial"/>
                <w:lang w:val="es-CO"/>
              </w:rPr>
            </w:pPr>
            <w:r w:rsidRPr="006D5DD4">
              <w:rPr>
                <w:rFonts w:ascii="Verdana" w:eastAsia="Calibri" w:hAnsi="Verdana" w:cs="Arial"/>
                <w:lang w:val="es-CO"/>
              </w:rPr>
              <w:t>Así mismo, según el numeral 4 del artículo 2 de la Ley 1150 de 2007, una de las causales para acudir a la modalidad de contratación directa es la celebración de contratos artísticos que solo pueden ser encomendados a determinadas personas naturales. Para que esta causal proceda, deben concurrir las siguientes condiciones: (i) que el objeto del contrato sea la ejecución de trabajos artísticos y (</w:t>
            </w:r>
            <w:proofErr w:type="spellStart"/>
            <w:r w:rsidRPr="006D5DD4">
              <w:rPr>
                <w:rFonts w:ascii="Verdana" w:eastAsia="Calibri" w:hAnsi="Verdana" w:cs="Arial"/>
                <w:lang w:val="es-CO"/>
              </w:rPr>
              <w:t>ii</w:t>
            </w:r>
            <w:proofErr w:type="spellEnd"/>
            <w:r w:rsidRPr="006D5DD4">
              <w:rPr>
                <w:rFonts w:ascii="Verdana" w:eastAsia="Calibri" w:hAnsi="Verdana" w:cs="Arial"/>
                <w:lang w:val="es-CO"/>
              </w:rPr>
              <w:t>) que estos solo puedan ser realizados por ciertas personas naturales. En consecuencia, esta modalidad no aplica cuando el propósito del contrato no es la ejecución de una obra artística, sino la adquisición o compra de un bien clasificado como obra de arte.</w:t>
            </w:r>
          </w:p>
          <w:p w14:paraId="3BCF9BFC" w14:textId="77777777" w:rsidR="00DF4396" w:rsidRPr="006D5DD4" w:rsidRDefault="00DF4396" w:rsidP="006D5DD4">
            <w:pPr>
              <w:pStyle w:val="Prrafodelista"/>
              <w:spacing w:after="120" w:line="276" w:lineRule="auto"/>
              <w:jc w:val="both"/>
              <w:rPr>
                <w:rFonts w:ascii="Verdana" w:eastAsia="Calibri" w:hAnsi="Verdana" w:cs="Arial"/>
                <w:lang w:val="es-CO"/>
              </w:rPr>
            </w:pPr>
          </w:p>
          <w:p w14:paraId="7211F715" w14:textId="77777777" w:rsidR="006D5DD4" w:rsidRDefault="006D5DD4" w:rsidP="006D5DD4">
            <w:pPr>
              <w:pStyle w:val="Prrafodelista"/>
              <w:spacing w:after="120" w:line="276" w:lineRule="auto"/>
              <w:jc w:val="both"/>
              <w:rPr>
                <w:rFonts w:ascii="Verdana" w:eastAsia="Calibri" w:hAnsi="Verdana" w:cs="Arial"/>
                <w:lang w:val="es-CO"/>
              </w:rPr>
            </w:pPr>
            <w:r w:rsidRPr="006D5DD4">
              <w:rPr>
                <w:rFonts w:ascii="Verdana" w:eastAsia="Calibri" w:hAnsi="Verdana" w:cs="Arial"/>
                <w:lang w:val="es-CO"/>
              </w:rPr>
              <w:t>Por otra parte, para la celebración de contratos con entidades sin ánimo de lucro mediante convenio de asociación, se debe observar lo dispuesto en el Decreto 092 de 2017. Su artículo 5° establece que, por regla general, el proceso de selección de una ESAL debe estar sujeto a competencia, salvo cuando esta manifieste su compromiso de aportar recursos en dinero por un valor igual o superior al treinta por ciento (30%) del valor total del convenio. En estos casos, la contratación directa procede únicamente si no existen otras entidades del mismo tipo que ofrezcan aportes iguales o superiores a dicho porcentaje. De lo contrario, deberá adelantarse un proceso competitivo.</w:t>
            </w:r>
          </w:p>
          <w:p w14:paraId="5C8B7742" w14:textId="77777777" w:rsidR="00DF4396" w:rsidRPr="006D5DD4" w:rsidRDefault="00DF4396" w:rsidP="006D5DD4">
            <w:pPr>
              <w:pStyle w:val="Prrafodelista"/>
              <w:spacing w:after="120" w:line="276" w:lineRule="auto"/>
              <w:jc w:val="both"/>
              <w:rPr>
                <w:rFonts w:ascii="Verdana" w:eastAsia="Calibri" w:hAnsi="Verdana" w:cs="Arial"/>
                <w:lang w:val="es-CO"/>
              </w:rPr>
            </w:pPr>
          </w:p>
          <w:p w14:paraId="3640C3AF" w14:textId="77777777" w:rsidR="006D5DD4" w:rsidRPr="006D5DD4" w:rsidRDefault="006D5DD4" w:rsidP="00DF4396">
            <w:pPr>
              <w:pStyle w:val="Prrafodelista"/>
              <w:spacing w:after="120" w:line="276" w:lineRule="auto"/>
              <w:jc w:val="both"/>
              <w:rPr>
                <w:rFonts w:ascii="Verdana" w:eastAsia="Calibri" w:hAnsi="Verdana" w:cs="Arial"/>
                <w:lang w:val="es-CO"/>
              </w:rPr>
            </w:pPr>
            <w:r w:rsidRPr="006D5DD4">
              <w:rPr>
                <w:rFonts w:ascii="Verdana" w:eastAsia="Calibri" w:hAnsi="Verdana" w:cs="Arial"/>
                <w:lang w:val="es-CO"/>
              </w:rPr>
              <w:t xml:space="preserve">Cabe advertir que el artículo mencionado no prohíbe la celebración de convenios en los que la ESAL aporte menos del 30% o contribuya con </w:t>
            </w:r>
            <w:r w:rsidRPr="006D5DD4">
              <w:rPr>
                <w:rFonts w:ascii="Verdana" w:eastAsia="Calibri" w:hAnsi="Verdana" w:cs="Arial"/>
                <w:lang w:val="es-CO"/>
              </w:rPr>
              <w:lastRenderedPageBreak/>
              <w:t>recursos en especie. En tales escenarios, lo que establece la norma es que la entidad estatal debe recurrir al proceso competitivo para seleccionar con cuál entidad celebrará el convenio correspondiente.</w:t>
            </w:r>
          </w:p>
          <w:p w14:paraId="28F02A52" w14:textId="77777777" w:rsidR="0009540C" w:rsidRPr="006D5DD4" w:rsidRDefault="0009540C" w:rsidP="002564AB">
            <w:pPr>
              <w:pStyle w:val="Prrafodelista"/>
              <w:spacing w:after="120" w:line="276" w:lineRule="auto"/>
              <w:jc w:val="both"/>
              <w:rPr>
                <w:rFonts w:ascii="Verdana" w:eastAsia="Calibri" w:hAnsi="Verdana" w:cs="Arial"/>
                <w:color w:val="000000"/>
                <w:lang w:val="es-CO" w:eastAsia="es-ES_tradnl"/>
              </w:rPr>
            </w:pPr>
          </w:p>
          <w:p w14:paraId="783F60D4" w14:textId="1EC15536" w:rsidR="0009540C" w:rsidRDefault="00035B71" w:rsidP="002564AB">
            <w:pPr>
              <w:pStyle w:val="Prrafodelista"/>
              <w:spacing w:after="120" w:line="276" w:lineRule="auto"/>
              <w:jc w:val="both"/>
              <w:rPr>
                <w:rFonts w:ascii="Verdana" w:eastAsia="Calibri" w:hAnsi="Verdana" w:cs="Arial"/>
                <w:color w:val="000000"/>
                <w:lang w:val="es-MX" w:eastAsia="es-ES_tradnl"/>
              </w:rPr>
            </w:pPr>
            <w:r>
              <w:rPr>
                <w:rFonts w:ascii="Verdana" w:eastAsia="Calibri" w:hAnsi="Verdana" w:cs="Arial"/>
                <w:color w:val="000000"/>
                <w:lang w:val="es-CO" w:eastAsia="es-ES_tradnl"/>
              </w:rPr>
              <w:t xml:space="preserve">Por último, </w:t>
            </w:r>
            <w:r w:rsidR="0009540C">
              <w:rPr>
                <w:rFonts w:ascii="Verdana" w:eastAsia="Calibri" w:hAnsi="Verdana" w:cs="Arial"/>
                <w:color w:val="000000"/>
                <w:lang w:val="es-CO" w:eastAsia="es-ES_tradnl"/>
              </w:rPr>
              <w:t>Vale agregar que,</w:t>
            </w:r>
            <w:r w:rsidR="0009540C" w:rsidRPr="0009540C">
              <w:rPr>
                <w:rFonts w:ascii="Verdana" w:eastAsia="Calibri" w:hAnsi="Verdana" w:cs="Arial"/>
                <w:color w:val="000000"/>
                <w:lang w:val="es-CO" w:eastAsia="es-ES_tradnl"/>
              </w:rPr>
              <w:t xml:space="preserve"> las Entidades Estatales cuentan con autonomía para estructurar el proceso competitivo conforme a lo establecido en el artículo 5 del Decreto 092 de 2017. No obstante, el mecanismo que adopten para la celebración de convenios de asociación debe asegurar condiciones de libre participación, pluralidad de oferentes y evaluación objetiva de las propuestas. Este procedimiento puede seguir lineamientos similares a los de modalidades competitivas como la licitación pública.</w:t>
            </w:r>
          </w:p>
          <w:p w14:paraId="49281411" w14:textId="77777777" w:rsidR="00D57FBF" w:rsidRPr="002564AB" w:rsidRDefault="00D57FBF" w:rsidP="002564AB">
            <w:pPr>
              <w:pStyle w:val="Prrafodelista"/>
              <w:spacing w:after="120" w:line="276" w:lineRule="auto"/>
              <w:jc w:val="both"/>
              <w:rPr>
                <w:rFonts w:ascii="Verdana" w:eastAsia="Calibri" w:hAnsi="Verdana" w:cs="Arial"/>
                <w:color w:val="000000"/>
                <w:lang w:eastAsia="es-ES_tradnl"/>
              </w:rPr>
            </w:pPr>
          </w:p>
          <w:p w14:paraId="0328961A" w14:textId="77777777" w:rsidR="008C34A2" w:rsidRDefault="008C34A2" w:rsidP="008C34A2">
            <w:pPr>
              <w:pStyle w:val="Prrafodelista"/>
              <w:widowControl w:val="0"/>
              <w:numPr>
                <w:ilvl w:val="0"/>
                <w:numId w:val="21"/>
              </w:numPr>
              <w:autoSpaceDE w:val="0"/>
              <w:autoSpaceDN w:val="0"/>
              <w:spacing w:after="120" w:line="276" w:lineRule="auto"/>
              <w:ind w:right="103"/>
              <w:jc w:val="both"/>
              <w:rPr>
                <w:rFonts w:ascii="Verdana" w:eastAsia="Arial" w:hAnsi="Verdana" w:cs="Arial"/>
                <w:lang w:eastAsia="es-ES" w:bidi="es-ES"/>
              </w:rPr>
            </w:pPr>
            <w:r w:rsidRPr="001315DD">
              <w:rPr>
                <w:rFonts w:ascii="Verdana" w:eastAsia="Arial" w:hAnsi="Verdana" w:cs="Arial"/>
                <w:lang w:eastAsia="es-ES" w:bidi="es-ES"/>
              </w:rPr>
              <w:t xml:space="preserve">De conformidad con lo dispuesto en el artículo 30, numeral 5, de la Ley 80 de 1993 –modificado por el artículo 89 de la Ley 1474 de 2011 y el artículo 2.2.1.1.2.2.1. del Decreto 1082 de 2015, conviene diferenciar dos (2) tipos de ajustes que pueden dar lugar a la expedición de adendas: i) los referidos a las condiciones técnicas, jurídicas y económicas del pliego definitivo y, en general, a cualquier contenido distinto del cronograma del procedimiento de selección y </w:t>
            </w:r>
            <w:proofErr w:type="spellStart"/>
            <w:r w:rsidRPr="001315DD">
              <w:rPr>
                <w:rFonts w:ascii="Verdana" w:eastAsia="Arial" w:hAnsi="Verdana" w:cs="Arial"/>
                <w:lang w:eastAsia="es-ES" w:bidi="es-ES"/>
              </w:rPr>
              <w:t>ii</w:t>
            </w:r>
            <w:proofErr w:type="spellEnd"/>
            <w:r w:rsidRPr="001315DD">
              <w:rPr>
                <w:rFonts w:ascii="Verdana" w:eastAsia="Arial" w:hAnsi="Verdana" w:cs="Arial"/>
                <w:lang w:eastAsia="es-ES" w:bidi="es-ES"/>
              </w:rPr>
              <w:t xml:space="preserve">) los del cronograma. </w:t>
            </w:r>
          </w:p>
          <w:p w14:paraId="4713235C"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444057F1"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sidRPr="001315DD">
              <w:rPr>
                <w:rFonts w:ascii="Verdana" w:eastAsia="Arial" w:hAnsi="Verdana" w:cs="Arial"/>
                <w:lang w:eastAsia="es-ES" w:bidi="es-ES"/>
              </w:rPr>
              <w:t xml:space="preserve">El primer tipo de adendas puede ser realizada hasta antes del vencimiento del plazo para la recepción de ofertas, mientras que las segundas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2.2.1.1.2.2.1. del Decreto 1082 de 2015. </w:t>
            </w:r>
          </w:p>
          <w:p w14:paraId="737A8905"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3EE7882B"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sidRPr="001B1FE3">
              <w:rPr>
                <w:rFonts w:ascii="Verdana" w:eastAsia="Arial" w:hAnsi="Verdana" w:cs="Arial"/>
                <w:lang w:eastAsia="es-ES" w:bidi="es-ES"/>
              </w:rPr>
              <w:t xml:space="preserve">Respecto de las adendas proferidas antes del cierre del proceso, es claro que existen ciertos límites temporales para la expedición y publicación de las adendas. En primer lugar, es necesario que las mismas se publiquen entre las 7:00 am y las 7:00 pm de un día hábil, </w:t>
            </w:r>
            <w:r w:rsidRPr="001B1FE3">
              <w:rPr>
                <w:rFonts w:ascii="Verdana" w:eastAsia="Arial" w:hAnsi="Verdana" w:cs="Arial"/>
                <w:lang w:eastAsia="es-ES" w:bidi="es-ES"/>
              </w:rPr>
              <w:lastRenderedPageBreak/>
              <w:t xml:space="preserve">aclarando que debe coincidir dentro de ese horario la hora que se disponga como cierre. Así mismo, debe realizarse a más tardar el día hábil anterior al vencimiento del plazo para presentar ofertas “a la hora fijada para tal presentación”. </w:t>
            </w:r>
          </w:p>
          <w:p w14:paraId="535F9D21"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161BEE15"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sidRPr="001B1FE3">
              <w:rPr>
                <w:rFonts w:ascii="Verdana" w:eastAsia="Arial" w:hAnsi="Verdana" w:cs="Arial"/>
                <w:lang w:eastAsia="es-ES" w:bidi="es-ES"/>
              </w:rPr>
              <w:t>Para los casos de licitación pública el artículo 30 numeral 5 de la Ley 80 de 1993, las adendas no podrán expedirse dentro de los tres (3) días hábiles anteriores en que se tiene previsto el cierre del proceso de selección, sino que deberán expedirse antes de dicho momento.</w:t>
            </w:r>
          </w:p>
          <w:p w14:paraId="48894F1B"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56AC907B"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sidRPr="001B1FE3">
              <w:rPr>
                <w:rFonts w:ascii="Verdana" w:eastAsia="Arial" w:hAnsi="Verdana" w:cs="Arial"/>
                <w:lang w:eastAsia="es-ES" w:bidi="es-ES"/>
              </w:rPr>
              <w:t xml:space="preserve">Adicionalmente, hay normas específicas del EGCAP que establecen la facultad de prorrogar plazos de algunas etapas del proceso, pero en todo caso esto debe efectuarse antes de su vencimiento. A título de ejemplo, el numeral 5 de artículo 30 de la Ley 80 de 1993 señala que la entidad, de oficio o a solicitud de un número plural de posibles oferentes, podrá prorrogar el plazo para el cierre del proceso antes de su vencimiento, por un término no superior a la mitad del inicialmente fijado. </w:t>
            </w:r>
          </w:p>
          <w:p w14:paraId="352F9813"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7DE9DF20"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sidRPr="001B1FE3">
              <w:rPr>
                <w:rFonts w:ascii="Verdana" w:eastAsia="Arial" w:hAnsi="Verdana" w:cs="Arial"/>
                <w:lang w:eastAsia="es-ES" w:bidi="es-ES"/>
              </w:rPr>
              <w:t xml:space="preserve">Si bien el artículo 2.2.1.1.2.2.1 de Decreto 1082 de 2015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Ello debido a que al culminar el plazo señalado en el cronograma se inicia la etapa subsiguiente y la entidad estatal no podría volver sobre la fase agotada. </w:t>
            </w:r>
          </w:p>
          <w:p w14:paraId="1021C0BE"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79EC0513" w14:textId="77777777" w:rsidR="008C34A2"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r>
              <w:rPr>
                <w:rFonts w:ascii="Verdana" w:eastAsia="Arial" w:hAnsi="Verdana" w:cs="Arial"/>
                <w:lang w:eastAsia="es-ES" w:bidi="es-ES"/>
              </w:rPr>
              <w:t>En todo caso, l</w:t>
            </w:r>
            <w:r w:rsidRPr="004C262A">
              <w:rPr>
                <w:rFonts w:ascii="Verdana" w:eastAsia="Arial" w:hAnsi="Verdana" w:cs="Arial"/>
                <w:lang w:eastAsia="es-ES" w:bidi="es-ES"/>
              </w:rPr>
              <w:t xml:space="preserve">a expedición </w:t>
            </w:r>
            <w:r>
              <w:rPr>
                <w:rFonts w:ascii="Verdana" w:eastAsia="Arial" w:hAnsi="Verdana" w:cs="Arial"/>
                <w:lang w:eastAsia="es-ES" w:bidi="es-ES"/>
              </w:rPr>
              <w:t>d</w:t>
            </w:r>
            <w:r w:rsidRPr="004C262A">
              <w:rPr>
                <w:rFonts w:ascii="Verdana" w:eastAsia="Arial" w:hAnsi="Verdana" w:cs="Arial"/>
                <w:lang w:eastAsia="es-ES" w:bidi="es-ES"/>
              </w:rPr>
              <w:t xml:space="preserve">e las adendas en cualquiera de los eventos antes señalados debe tener en consideración </w:t>
            </w:r>
            <w:r>
              <w:rPr>
                <w:rFonts w:ascii="Verdana" w:eastAsia="Arial" w:hAnsi="Verdana" w:cs="Arial"/>
                <w:lang w:eastAsia="es-ES" w:bidi="es-ES"/>
              </w:rPr>
              <w:t>el principio</w:t>
            </w:r>
            <w:r w:rsidRPr="004C262A">
              <w:rPr>
                <w:rFonts w:ascii="Verdana" w:eastAsia="Arial" w:hAnsi="Verdana" w:cs="Arial"/>
                <w:lang w:eastAsia="es-ES" w:bidi="es-ES"/>
              </w:rPr>
              <w:t xml:space="preserve"> de transparencia </w:t>
            </w:r>
            <w:r>
              <w:rPr>
                <w:rFonts w:ascii="Verdana" w:eastAsia="Arial" w:hAnsi="Verdana" w:cs="Arial"/>
                <w:lang w:eastAsia="es-ES" w:bidi="es-ES"/>
              </w:rPr>
              <w:t xml:space="preserve">e igualdad </w:t>
            </w:r>
            <w:r w:rsidRPr="004C262A">
              <w:rPr>
                <w:rFonts w:ascii="Verdana" w:eastAsia="Arial" w:hAnsi="Verdana" w:cs="Arial"/>
                <w:lang w:eastAsia="es-ES" w:bidi="es-ES"/>
              </w:rPr>
              <w:t>contenido</w:t>
            </w:r>
            <w:r>
              <w:rPr>
                <w:rFonts w:ascii="Verdana" w:eastAsia="Arial" w:hAnsi="Verdana" w:cs="Arial"/>
                <w:lang w:eastAsia="es-ES" w:bidi="es-ES"/>
              </w:rPr>
              <w:t>s</w:t>
            </w:r>
            <w:r w:rsidRPr="004C262A">
              <w:rPr>
                <w:rFonts w:ascii="Verdana" w:eastAsia="Arial" w:hAnsi="Verdana" w:cs="Arial"/>
                <w:lang w:eastAsia="es-ES" w:bidi="es-ES"/>
              </w:rPr>
              <w:t xml:space="preserve"> en el artículo 24 de la Ley 80 de 1993</w:t>
            </w:r>
            <w:r>
              <w:rPr>
                <w:rFonts w:ascii="Verdana" w:eastAsia="Arial" w:hAnsi="Verdana" w:cs="Arial"/>
                <w:lang w:eastAsia="es-ES" w:bidi="es-ES"/>
              </w:rPr>
              <w:t>,</w:t>
            </w:r>
            <w:r w:rsidRPr="004C262A">
              <w:rPr>
                <w:rFonts w:ascii="Verdana" w:eastAsia="Arial" w:hAnsi="Verdana" w:cs="Arial"/>
                <w:lang w:eastAsia="es-ES" w:bidi="es-ES"/>
              </w:rPr>
              <w:t xml:space="preserve"> igualdad </w:t>
            </w:r>
            <w:r>
              <w:rPr>
                <w:rFonts w:ascii="Verdana" w:eastAsia="Arial" w:hAnsi="Verdana" w:cs="Arial"/>
                <w:lang w:eastAsia="es-ES" w:bidi="es-ES"/>
              </w:rPr>
              <w:t xml:space="preserve">y de </w:t>
            </w:r>
            <w:r w:rsidRPr="004C262A">
              <w:rPr>
                <w:rFonts w:ascii="Verdana" w:eastAsia="Arial" w:hAnsi="Verdana" w:cs="Arial"/>
                <w:lang w:eastAsia="es-ES" w:bidi="es-ES"/>
              </w:rPr>
              <w:t xml:space="preserve">economía </w:t>
            </w:r>
            <w:r w:rsidRPr="001B1FE3">
              <w:rPr>
                <w:rFonts w:ascii="Verdana" w:eastAsia="Arial" w:hAnsi="Verdana" w:cs="Arial"/>
                <w:lang w:eastAsia="es-ES" w:bidi="es-ES"/>
              </w:rPr>
              <w:t>dispuesto en el artículo 25 de la Ley 80 de 1993.</w:t>
            </w:r>
          </w:p>
          <w:p w14:paraId="6E8B91C0" w14:textId="77777777" w:rsidR="008C34A2" w:rsidRPr="001B1FE3" w:rsidRDefault="008C34A2" w:rsidP="00B11B3C">
            <w:pPr>
              <w:pStyle w:val="Prrafodelista"/>
              <w:widowControl w:val="0"/>
              <w:autoSpaceDE w:val="0"/>
              <w:autoSpaceDN w:val="0"/>
              <w:spacing w:after="120" w:line="276" w:lineRule="auto"/>
              <w:ind w:right="103"/>
              <w:jc w:val="both"/>
              <w:rPr>
                <w:rFonts w:ascii="Verdana" w:eastAsia="Arial" w:hAnsi="Verdana" w:cs="Arial"/>
                <w:lang w:eastAsia="es-ES" w:bidi="es-ES"/>
              </w:rPr>
            </w:pPr>
          </w:p>
          <w:p w14:paraId="7B6369A8" w14:textId="4348BB31" w:rsidR="008C34A2" w:rsidRDefault="008C34A2" w:rsidP="008C34A2">
            <w:pPr>
              <w:pStyle w:val="Prrafodelista"/>
              <w:numPr>
                <w:ilvl w:val="0"/>
                <w:numId w:val="21"/>
              </w:numPr>
              <w:spacing w:after="120" w:line="276" w:lineRule="auto"/>
              <w:ind w:right="49"/>
              <w:jc w:val="both"/>
              <w:rPr>
                <w:rFonts w:ascii="Verdana" w:hAnsi="Verdana" w:cs="Arial"/>
                <w:color w:val="000000" w:themeColor="text1"/>
              </w:rPr>
            </w:pPr>
            <w:r w:rsidRPr="00C37A7D">
              <w:rPr>
                <w:rFonts w:ascii="Verdana" w:hAnsi="Verdana" w:cs="Arial"/>
                <w:color w:val="000000" w:themeColor="text1"/>
              </w:rPr>
              <w:t xml:space="preserve">Cumplidos los dos requisitos del artículo 2.2.1.2.4.2.2 del Decreto 1082 de 2015, la entidad estatal, independientemente de su régimen de contratación, los patrimonios autónomos constituidos por entidades </w:t>
            </w:r>
            <w:r w:rsidRPr="00C37A7D">
              <w:rPr>
                <w:rFonts w:ascii="Verdana" w:hAnsi="Verdana" w:cs="Arial"/>
                <w:color w:val="000000" w:themeColor="text1"/>
              </w:rPr>
              <w:lastRenderedPageBreak/>
              <w:t>estatales y los particulares que ejecuten recursos públicos, pueden decidir si limitan la convocatoria a las MiPymes colombianas domiciliadas en el municipio o departamento en el que se ejecutará el contrato.</w:t>
            </w:r>
          </w:p>
          <w:p w14:paraId="2FD95C6D" w14:textId="77777777" w:rsidR="008C34A2" w:rsidRPr="00C37A7D" w:rsidRDefault="008C34A2" w:rsidP="00B11B3C">
            <w:pPr>
              <w:pStyle w:val="Prrafodelista"/>
              <w:spacing w:after="120" w:line="276" w:lineRule="auto"/>
              <w:ind w:right="49"/>
              <w:jc w:val="both"/>
              <w:rPr>
                <w:rFonts w:ascii="Verdana" w:hAnsi="Verdana" w:cs="Arial"/>
                <w:color w:val="000000" w:themeColor="text1"/>
              </w:rPr>
            </w:pPr>
          </w:p>
          <w:p w14:paraId="40BB87F5" w14:textId="77777777" w:rsidR="008C34A2" w:rsidRDefault="008C34A2" w:rsidP="00B11B3C">
            <w:pPr>
              <w:pStyle w:val="Prrafodelista"/>
              <w:spacing w:after="120" w:line="276" w:lineRule="auto"/>
              <w:jc w:val="both"/>
              <w:rPr>
                <w:rFonts w:ascii="Verdana" w:eastAsia="Times New Roman" w:hAnsi="Verdana" w:cs="Arial"/>
                <w:lang w:val="es-MX" w:eastAsia="es-CO"/>
              </w:rPr>
            </w:pPr>
            <w:r>
              <w:rPr>
                <w:rFonts w:ascii="Verdana" w:eastAsia="Times New Roman" w:hAnsi="Verdana" w:cs="Arial"/>
                <w:lang w:val="es-MX" w:eastAsia="es-CO"/>
              </w:rPr>
              <w:t>E</w:t>
            </w:r>
            <w:r w:rsidRPr="004508B5">
              <w:rPr>
                <w:rFonts w:ascii="Verdana" w:eastAsia="Times New Roman" w:hAnsi="Verdana" w:cs="Arial"/>
                <w:lang w:val="es-MX" w:eastAsia="es-CO"/>
              </w:rPr>
              <w:t xml:space="preserve">l domicilio de la </w:t>
            </w:r>
            <w:r w:rsidRPr="00D804ED">
              <w:rPr>
                <w:rFonts w:ascii="Verdana" w:eastAsia="Times New Roman" w:hAnsi="Verdana" w:cs="Arial"/>
                <w:lang w:val="es-MX" w:eastAsia="es-CO"/>
              </w:rPr>
              <w:t>M</w:t>
            </w:r>
            <w:r w:rsidRPr="004508B5">
              <w:rPr>
                <w:rFonts w:ascii="Verdana" w:eastAsia="Times New Roman" w:hAnsi="Verdana" w:cs="Arial"/>
                <w:lang w:val="es-MX" w:eastAsia="es-CO"/>
              </w:rPr>
              <w:t>i</w:t>
            </w:r>
            <w:r w:rsidRPr="00D804ED">
              <w:rPr>
                <w:rFonts w:ascii="Verdana" w:eastAsia="Times New Roman" w:hAnsi="Verdana" w:cs="Arial"/>
                <w:lang w:val="es-MX" w:eastAsia="es-CO"/>
              </w:rPr>
              <w:t>P</w:t>
            </w:r>
            <w:r w:rsidRPr="004508B5">
              <w:rPr>
                <w:rFonts w:ascii="Verdana" w:eastAsia="Times New Roman" w:hAnsi="Verdana" w:cs="Arial"/>
                <w:lang w:val="es-MX" w:eastAsia="es-CO"/>
              </w:rPr>
              <w:t>ymes que quiera participar en una convocatoria limitada territorialmente se acredita con los documentos definidos en el artículo 2.2.1.2.4.2.4. del Decreto 1082 de 2015</w:t>
            </w:r>
            <w:r>
              <w:rPr>
                <w:rFonts w:ascii="Verdana" w:eastAsia="Times New Roman" w:hAnsi="Verdana" w:cs="Arial"/>
                <w:lang w:val="es-MX" w:eastAsia="es-CO"/>
              </w:rPr>
              <w:t xml:space="preserve">, es decir </w:t>
            </w:r>
            <w:r w:rsidRPr="004508B5">
              <w:rPr>
                <w:rFonts w:ascii="Verdana" w:eastAsia="Times New Roman" w:hAnsi="Verdana" w:cs="Arial"/>
                <w:lang w:val="es-MX" w:eastAsia="es-CO"/>
              </w:rPr>
              <w:t xml:space="preserve">con una certificación acompañada, ya sea, de una copia del registro mercantil –persona natural–, del certificado de existencia y representación legal –persona jurídica– o del Registro Único de Proponentes – RUP, en donde conste el domicilio principal de la </w:t>
            </w:r>
            <w:r w:rsidRPr="00D804ED">
              <w:rPr>
                <w:rFonts w:ascii="Verdana" w:eastAsia="Times New Roman" w:hAnsi="Verdana" w:cs="Arial"/>
                <w:lang w:val="es-MX" w:eastAsia="es-CO"/>
              </w:rPr>
              <w:t>MiPymes</w:t>
            </w:r>
            <w:r w:rsidRPr="004508B5">
              <w:rPr>
                <w:rFonts w:ascii="Verdana" w:eastAsia="Times New Roman" w:hAnsi="Verdana" w:cs="Arial"/>
                <w:lang w:val="es-MX" w:eastAsia="es-CO"/>
              </w:rPr>
              <w:t xml:space="preserve"> interesada en la limitación territorial de la convocatoria pública para celebrar el contrato, que corresponda con el lugar de ejecución del mismo, ya sea departamento o municipio.</w:t>
            </w:r>
          </w:p>
          <w:p w14:paraId="755B8AFB" w14:textId="77777777" w:rsidR="008C34A2" w:rsidRDefault="008C34A2" w:rsidP="00B11B3C">
            <w:pPr>
              <w:pStyle w:val="Prrafodelista"/>
              <w:spacing w:after="120" w:line="276" w:lineRule="auto"/>
              <w:jc w:val="both"/>
              <w:rPr>
                <w:rFonts w:ascii="Verdana" w:eastAsia="Times New Roman" w:hAnsi="Verdana" w:cs="Arial"/>
                <w:lang w:eastAsia="es-CO"/>
              </w:rPr>
            </w:pPr>
          </w:p>
          <w:p w14:paraId="53EFBC3D" w14:textId="77777777" w:rsidR="008C34A2" w:rsidRPr="00C37A7D" w:rsidRDefault="008C34A2" w:rsidP="00B11B3C">
            <w:pPr>
              <w:pStyle w:val="Prrafodelista"/>
              <w:spacing w:after="120" w:line="276" w:lineRule="auto"/>
              <w:jc w:val="both"/>
              <w:rPr>
                <w:rFonts w:ascii="Verdana" w:eastAsia="Times New Roman" w:hAnsi="Verdana" w:cs="Arial"/>
                <w:lang w:val="es-MX" w:eastAsia="es-CO"/>
              </w:rPr>
            </w:pPr>
            <w:r w:rsidRPr="004508B5">
              <w:rPr>
                <w:rFonts w:ascii="Verdana" w:eastAsia="Times New Roman" w:hAnsi="Verdana" w:cs="Arial"/>
                <w:lang w:eastAsia="es-CO"/>
              </w:rPr>
              <w:t xml:space="preserve">Sin perjuicio de lo anterior, la Agencia Nacional de Contratación Pública – Colombia Compra Eficiente considera que lo recomendable es que las entidades </w:t>
            </w:r>
            <w:r w:rsidRPr="00C37A7D">
              <w:rPr>
                <w:rFonts w:ascii="Verdana" w:eastAsia="Times New Roman" w:hAnsi="Verdana" w:cs="Arial"/>
                <w:lang w:eastAsia="es-CO"/>
              </w:rPr>
              <w:t>establezcan en el pliego de condiciones y/o el documento equivalente</w:t>
            </w:r>
            <w:r w:rsidRPr="004508B5">
              <w:rPr>
                <w:rFonts w:ascii="Verdana" w:eastAsia="Times New Roman" w:hAnsi="Verdana" w:cs="Arial"/>
                <w:i/>
                <w:iCs/>
                <w:lang w:eastAsia="es-CO"/>
              </w:rPr>
              <w:t xml:space="preserve"> </w:t>
            </w:r>
            <w:r w:rsidRPr="004508B5">
              <w:rPr>
                <w:rFonts w:ascii="Verdana" w:eastAsia="Times New Roman" w:hAnsi="Verdana" w:cs="Arial"/>
                <w:lang w:eastAsia="es-CO"/>
              </w:rPr>
              <w:t>las condiciones en las que, eventualmente, harían la “limitación territorial”</w:t>
            </w:r>
            <w:r>
              <w:rPr>
                <w:rFonts w:ascii="Verdana" w:eastAsia="Times New Roman" w:hAnsi="Verdana" w:cs="Arial"/>
                <w:lang w:eastAsia="es-CO"/>
              </w:rPr>
              <w:t xml:space="preserve"> y se tenga en cuenta que el ejercicio de la potestad discrecional de limitar territorialmente la convocatoria debe estar acompañado de la debida motivación de la función administrativa.</w:t>
            </w:r>
          </w:p>
        </w:tc>
      </w:tr>
    </w:tbl>
    <w:p w14:paraId="5FB06911" w14:textId="77777777" w:rsidR="008C34A2" w:rsidRPr="009322DA" w:rsidRDefault="008C34A2" w:rsidP="008C34A2">
      <w:pPr>
        <w:tabs>
          <w:tab w:val="left" w:pos="142"/>
          <w:tab w:val="left" w:pos="284"/>
        </w:tabs>
        <w:spacing w:after="0" w:line="276" w:lineRule="auto"/>
        <w:jc w:val="both"/>
        <w:rPr>
          <w:rFonts w:ascii="Verdana" w:eastAsia="Century Gothic" w:hAnsi="Verdana" w:cs="Century Gothic"/>
          <w:b/>
          <w:bCs/>
          <w:lang w:val="es-ES"/>
        </w:rPr>
      </w:pPr>
    </w:p>
    <w:p w14:paraId="0DBB91E9" w14:textId="77777777" w:rsidR="008C34A2" w:rsidRPr="009322DA" w:rsidRDefault="008C34A2" w:rsidP="008C34A2">
      <w:pPr>
        <w:tabs>
          <w:tab w:val="left" w:pos="142"/>
          <w:tab w:val="left" w:pos="284"/>
        </w:tabs>
        <w:spacing w:after="0" w:line="276" w:lineRule="auto"/>
        <w:jc w:val="both"/>
        <w:rPr>
          <w:rFonts w:ascii="Verdana" w:eastAsia="Century Gothic" w:hAnsi="Verdana" w:cs="Century Gothic"/>
          <w:b/>
          <w:bCs/>
          <w:lang w:val="es-ES"/>
        </w:rPr>
      </w:pPr>
    </w:p>
    <w:p w14:paraId="6FD95E39" w14:textId="77777777" w:rsidR="008C34A2" w:rsidRPr="009322DA" w:rsidRDefault="008C34A2" w:rsidP="008C34A2">
      <w:pPr>
        <w:numPr>
          <w:ilvl w:val="0"/>
          <w:numId w:val="22"/>
        </w:numPr>
        <w:tabs>
          <w:tab w:val="left" w:pos="142"/>
          <w:tab w:val="left" w:pos="284"/>
        </w:tabs>
        <w:spacing w:after="0" w:line="276" w:lineRule="auto"/>
        <w:ind w:left="0" w:firstLine="0"/>
        <w:contextualSpacing/>
        <w:jc w:val="both"/>
        <w:rPr>
          <w:rFonts w:ascii="Verdana" w:eastAsia="Century Gothic" w:hAnsi="Verdana" w:cs="Century Gothic"/>
          <w:b/>
          <w:bCs/>
          <w:lang w:val="es-ES"/>
        </w:rPr>
      </w:pPr>
      <w:r w:rsidRPr="009322DA">
        <w:rPr>
          <w:rFonts w:ascii="Verdana" w:eastAsia="Century Gothic" w:hAnsi="Verdana" w:cs="Century Gothic"/>
          <w:b/>
          <w:bCs/>
          <w:lang w:val="es-ES"/>
        </w:rPr>
        <w:t>Razones de la respuesta:</w:t>
      </w:r>
    </w:p>
    <w:p w14:paraId="0100B4F6" w14:textId="77777777" w:rsidR="008C34A2" w:rsidRPr="009322DA" w:rsidRDefault="008C34A2" w:rsidP="008C34A2">
      <w:pPr>
        <w:spacing w:after="0" w:line="276" w:lineRule="auto"/>
        <w:jc w:val="both"/>
        <w:rPr>
          <w:rFonts w:ascii="Verdana" w:eastAsia="Calibri" w:hAnsi="Verdana" w:cs="Arial"/>
          <w:lang w:val="es-ES"/>
        </w:rPr>
      </w:pPr>
    </w:p>
    <w:p w14:paraId="132AE569" w14:textId="77777777" w:rsidR="008C34A2" w:rsidRDefault="008C34A2" w:rsidP="008C34A2">
      <w:pPr>
        <w:spacing w:after="0" w:line="276" w:lineRule="auto"/>
        <w:jc w:val="both"/>
        <w:rPr>
          <w:rFonts w:ascii="Verdana" w:eastAsia="Calibri" w:hAnsi="Verdana" w:cs="Arial"/>
          <w:lang w:val="es-ES"/>
        </w:rPr>
      </w:pPr>
      <w:r w:rsidRPr="009322DA">
        <w:rPr>
          <w:rFonts w:ascii="Verdana" w:eastAsia="Calibri" w:hAnsi="Verdana" w:cs="Arial"/>
          <w:lang w:val="es-ES"/>
        </w:rPr>
        <w:t xml:space="preserve">Lo anterior se sustenta en las siguientes consideraciones: </w:t>
      </w:r>
    </w:p>
    <w:p w14:paraId="6FAFAEC8" w14:textId="77777777" w:rsidR="008C34A2" w:rsidRDefault="008C34A2" w:rsidP="008C34A2">
      <w:pPr>
        <w:spacing w:after="0" w:line="276" w:lineRule="auto"/>
        <w:jc w:val="both"/>
        <w:rPr>
          <w:rFonts w:ascii="Verdana" w:eastAsia="Calibri" w:hAnsi="Verdana" w:cs="Arial"/>
          <w:lang w:val="es-ES"/>
        </w:rPr>
      </w:pPr>
    </w:p>
    <w:p w14:paraId="41D1187E" w14:textId="77777777" w:rsidR="008C34A2" w:rsidRPr="00721A42" w:rsidRDefault="008C34A2" w:rsidP="008C34A2">
      <w:pPr>
        <w:spacing w:after="120" w:line="276" w:lineRule="auto"/>
        <w:jc w:val="both"/>
        <w:rPr>
          <w:rFonts w:ascii="Verdana" w:hAnsi="Verdana" w:cs="Arial"/>
          <w:color w:val="000000" w:themeColor="text1"/>
        </w:rPr>
      </w:pPr>
      <w:r w:rsidRPr="00721A42">
        <w:rPr>
          <w:rFonts w:ascii="Verdana" w:hAnsi="Verdana" w:cs="Arial"/>
          <w:color w:val="000000" w:themeColor="text1"/>
        </w:rPr>
        <w:t xml:space="preserve">El contrato de prestación de servicios es un contrato estatal nominado y típico que se encuentra definido en el numeral 3 del artículo 32 de la Ley 80 de 1993, como aquel que: </w:t>
      </w:r>
    </w:p>
    <w:p w14:paraId="0DA57650" w14:textId="77777777" w:rsidR="008C34A2" w:rsidRPr="00CC2C47" w:rsidRDefault="008C34A2" w:rsidP="008C34A2">
      <w:pPr>
        <w:pStyle w:val="Prrafodelista"/>
        <w:spacing w:after="120" w:line="276" w:lineRule="auto"/>
        <w:ind w:left="709" w:right="709"/>
        <w:jc w:val="both"/>
        <w:rPr>
          <w:rFonts w:ascii="Verdana" w:hAnsi="Verdana" w:cs="Arial"/>
          <w:color w:val="000000" w:themeColor="text1"/>
          <w:sz w:val="20"/>
          <w:szCs w:val="20"/>
        </w:rPr>
      </w:pPr>
      <w:r w:rsidRPr="00CC2C47">
        <w:rPr>
          <w:rFonts w:ascii="Verdana" w:hAnsi="Verdana" w:cs="Arial"/>
          <w:color w:val="000000" w:themeColor="text1"/>
          <w:sz w:val="20"/>
          <w:szCs w:val="20"/>
        </w:rPr>
        <w:t xml:space="preserve">“celebren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w:t>
      </w:r>
      <w:r w:rsidRPr="00CC2C47">
        <w:rPr>
          <w:rFonts w:ascii="Verdana" w:hAnsi="Verdana" w:cs="Arial"/>
          <w:color w:val="000000" w:themeColor="text1"/>
          <w:sz w:val="20"/>
          <w:szCs w:val="20"/>
        </w:rPr>
        <w:lastRenderedPageBreak/>
        <w:t>prestaciones sociales y se celebrarán por el término estrictamente indispensable”.</w:t>
      </w:r>
    </w:p>
    <w:p w14:paraId="1FB89B0E" w14:textId="77777777" w:rsidR="008C34A2" w:rsidRPr="00721A42" w:rsidRDefault="008C34A2" w:rsidP="008C34A2">
      <w:pPr>
        <w:spacing w:after="120" w:line="276" w:lineRule="auto"/>
        <w:jc w:val="both"/>
        <w:rPr>
          <w:rFonts w:ascii="Verdana" w:eastAsia="Calibri" w:hAnsi="Verdana" w:cs="Arial"/>
          <w:color w:val="000000" w:themeColor="text1"/>
        </w:rPr>
      </w:pPr>
      <w:r w:rsidRPr="00721A42">
        <w:rPr>
          <w:rFonts w:ascii="Verdana" w:eastAsia="Calibri" w:hAnsi="Verdana" w:cs="Arial"/>
          <w:color w:val="000000" w:themeColor="text1"/>
        </w:rPr>
        <w:t>Ahora bien, el legislador dispuso que para la celebración de este contrato se debe efectuar a través de la modalidad de contratación directa. Así lo dispone el literal h) del numeral 4 del artículo 2de la Ley 1150 de 2007:</w:t>
      </w:r>
    </w:p>
    <w:p w14:paraId="08212036"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rPr>
      </w:pPr>
    </w:p>
    <w:p w14:paraId="79DD6CF7"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r w:rsidRPr="00CC2C47">
        <w:rPr>
          <w:rFonts w:ascii="Verdana" w:eastAsia="Calibri" w:hAnsi="Verdana" w:cs="Arial"/>
          <w:color w:val="000000" w:themeColor="text1"/>
          <w:sz w:val="20"/>
          <w:szCs w:val="20"/>
        </w:rPr>
        <w:t>“La escogencia del contratista se efectuará con arreglo a las modalidades de selección de licitación pública, selección abreviada, concurso de méritos y contratación directa, con base en las siguientes reglas:</w:t>
      </w:r>
    </w:p>
    <w:p w14:paraId="3EAA2628"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r w:rsidRPr="00CC2C47">
        <w:rPr>
          <w:rFonts w:ascii="Verdana" w:eastAsia="Calibri" w:hAnsi="Verdana" w:cs="Arial"/>
          <w:color w:val="000000" w:themeColor="text1"/>
          <w:sz w:val="20"/>
          <w:szCs w:val="20"/>
        </w:rPr>
        <w:t>(…)</w:t>
      </w:r>
    </w:p>
    <w:p w14:paraId="2086B210"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p>
    <w:p w14:paraId="6A69C802"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r w:rsidRPr="00CC2C47">
        <w:rPr>
          <w:rFonts w:ascii="Verdana" w:eastAsia="Calibri" w:hAnsi="Verdana" w:cs="Arial"/>
          <w:color w:val="000000" w:themeColor="text1"/>
          <w:sz w:val="20"/>
          <w:szCs w:val="20"/>
        </w:rPr>
        <w:t>4. Contratación directa. La modalidad de selección de contratación directa solamente procederá en los siguientes casos:</w:t>
      </w:r>
    </w:p>
    <w:p w14:paraId="772AD767"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r w:rsidRPr="00CC2C47">
        <w:rPr>
          <w:rFonts w:ascii="Verdana" w:eastAsia="Calibri" w:hAnsi="Verdana" w:cs="Arial"/>
          <w:color w:val="000000" w:themeColor="text1"/>
          <w:sz w:val="20"/>
          <w:szCs w:val="20"/>
        </w:rPr>
        <w:t>(…)</w:t>
      </w:r>
    </w:p>
    <w:p w14:paraId="41969316"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p>
    <w:p w14:paraId="489598D2"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sz w:val="20"/>
          <w:szCs w:val="20"/>
        </w:rPr>
      </w:pPr>
      <w:r w:rsidRPr="00CC2C47">
        <w:rPr>
          <w:rFonts w:ascii="Verdana" w:eastAsia="Calibri" w:hAnsi="Verdana" w:cs="Arial"/>
          <w:color w:val="000000" w:themeColor="text1"/>
          <w:sz w:val="20"/>
          <w:szCs w:val="20"/>
        </w:rPr>
        <w:t>h) Para la prestación de servicios profesionales y de apoyo a la gestión, o para la ejecución de trabajos artísticos que sólo puedan encomendarse a determinadas personas naturales”.</w:t>
      </w:r>
    </w:p>
    <w:p w14:paraId="2E14845C" w14:textId="77777777" w:rsidR="008C34A2" w:rsidRPr="00CC2C47" w:rsidRDefault="008C34A2" w:rsidP="008C34A2">
      <w:pPr>
        <w:pStyle w:val="Prrafodelista"/>
        <w:spacing w:after="120" w:line="276" w:lineRule="auto"/>
        <w:ind w:left="851"/>
        <w:jc w:val="both"/>
        <w:rPr>
          <w:rFonts w:ascii="Verdana" w:eastAsia="Calibri" w:hAnsi="Verdana" w:cs="Arial"/>
          <w:color w:val="000000" w:themeColor="text1"/>
        </w:rPr>
      </w:pPr>
    </w:p>
    <w:p w14:paraId="64268F9E" w14:textId="77777777" w:rsidR="008C34A2" w:rsidRPr="001F49EB" w:rsidRDefault="008C34A2" w:rsidP="008C34A2">
      <w:pPr>
        <w:spacing w:after="120" w:line="276" w:lineRule="auto"/>
        <w:jc w:val="both"/>
        <w:rPr>
          <w:rFonts w:ascii="Verdana" w:eastAsia="Calibri" w:hAnsi="Verdana" w:cs="Arial"/>
          <w:color w:val="000000" w:themeColor="text1"/>
        </w:rPr>
      </w:pPr>
      <w:r w:rsidRPr="00721A42">
        <w:rPr>
          <w:rFonts w:ascii="Verdana" w:eastAsia="Calibri" w:hAnsi="Verdana" w:cs="Arial"/>
          <w:color w:val="000000" w:themeColor="text1"/>
        </w:rPr>
        <w:t xml:space="preserve">Como se puede apreciar, el legislador amplió la tipología consagrada en el citado numeral 3 del artículo 32 de la Ley 80 de 1993, señalando la presencia de los contratos de apoyo a la gestión y la ejecución de trabajos artísticos. </w:t>
      </w:r>
    </w:p>
    <w:p w14:paraId="7B842E62" w14:textId="62D1A427" w:rsidR="008C34A2" w:rsidRDefault="008C34A2" w:rsidP="00623EB5">
      <w:pPr>
        <w:spacing w:after="120" w:line="276" w:lineRule="auto"/>
        <w:jc w:val="both"/>
        <w:rPr>
          <w:rFonts w:ascii="Verdana" w:eastAsia="Calibri" w:hAnsi="Verdana" w:cs="Arial"/>
          <w:color w:val="000000" w:themeColor="text1"/>
        </w:rPr>
      </w:pPr>
      <w:r w:rsidRPr="00721A42">
        <w:rPr>
          <w:rFonts w:ascii="Verdana" w:eastAsia="Calibri" w:hAnsi="Verdana" w:cs="Arial"/>
          <w:color w:val="000000" w:themeColor="text1"/>
        </w:rPr>
        <w:t xml:space="preserve">En el mismo sentido, el numeral 2.2.1.2.1.4.9 </w:t>
      </w:r>
      <w:r w:rsidRPr="00CC2C47">
        <w:rPr>
          <w:rStyle w:val="Refdenotaalpie"/>
          <w:rFonts w:ascii="Verdana" w:eastAsia="Calibri" w:hAnsi="Verdana" w:cs="Arial"/>
          <w:color w:val="000000" w:themeColor="text1"/>
        </w:rPr>
        <w:footnoteReference w:id="2"/>
      </w:r>
      <w:r w:rsidRPr="00721A42">
        <w:rPr>
          <w:rFonts w:ascii="Verdana" w:eastAsia="Calibri" w:hAnsi="Verdana" w:cs="Arial"/>
          <w:color w:val="000000" w:themeColor="text1"/>
        </w:rPr>
        <w:t xml:space="preserve">del Decreto 1082 de 2015 establece que las Entidades Estatales pueden contratar directamente la ejecución de trabajos artísticos </w:t>
      </w:r>
      <w:r w:rsidR="00623EB5">
        <w:rPr>
          <w:rFonts w:ascii="Verdana" w:eastAsia="Calibri" w:hAnsi="Verdana" w:cs="Arial"/>
          <w:color w:val="000000" w:themeColor="text1"/>
        </w:rPr>
        <w:t xml:space="preserve">con personas naturales y jurídicas. </w:t>
      </w:r>
    </w:p>
    <w:p w14:paraId="640FB294" w14:textId="64A04F57" w:rsidR="00623EB5" w:rsidRDefault="00623EB5" w:rsidP="00623EB5">
      <w:pPr>
        <w:spacing w:after="120" w:line="276" w:lineRule="auto"/>
        <w:jc w:val="both"/>
        <w:rPr>
          <w:rFonts w:ascii="Verdana" w:eastAsia="Calibri" w:hAnsi="Verdana" w:cs="Arial"/>
          <w:color w:val="000000" w:themeColor="text1"/>
        </w:rPr>
      </w:pPr>
      <w:r>
        <w:rPr>
          <w:rFonts w:ascii="Verdana" w:eastAsia="Calibri" w:hAnsi="Verdana" w:cs="Arial"/>
          <w:color w:val="000000" w:themeColor="text1"/>
        </w:rPr>
        <w:lastRenderedPageBreak/>
        <w:t xml:space="preserve">Ahora bien, para realizar este tipo de </w:t>
      </w:r>
      <w:proofErr w:type="spellStart"/>
      <w:r>
        <w:rPr>
          <w:rFonts w:ascii="Verdana" w:eastAsia="Calibri" w:hAnsi="Verdana" w:cs="Arial"/>
          <w:color w:val="000000" w:themeColor="text1"/>
        </w:rPr>
        <w:t>contratacion</w:t>
      </w:r>
      <w:proofErr w:type="spellEnd"/>
      <w:r>
        <w:rPr>
          <w:rFonts w:ascii="Verdana" w:eastAsia="Calibri" w:hAnsi="Verdana" w:cs="Arial"/>
          <w:color w:val="000000" w:themeColor="text1"/>
        </w:rPr>
        <w:t xml:space="preserve"> a través de </w:t>
      </w:r>
      <w:r w:rsidR="004477EE">
        <w:rPr>
          <w:rFonts w:ascii="Verdana" w:eastAsia="Calibri" w:hAnsi="Verdana" w:cs="Arial"/>
          <w:color w:val="000000" w:themeColor="text1"/>
        </w:rPr>
        <w:t>una ESAL, a juicio de esta Agencia se deberá realizar un convenio de asociación</w:t>
      </w:r>
      <w:r w:rsidR="002C1C34">
        <w:rPr>
          <w:rFonts w:ascii="Verdana" w:eastAsia="Calibri" w:hAnsi="Verdana" w:cs="Arial"/>
          <w:color w:val="000000" w:themeColor="text1"/>
        </w:rPr>
        <w:t xml:space="preserve">. </w:t>
      </w:r>
    </w:p>
    <w:p w14:paraId="73B099F9" w14:textId="77777777" w:rsidR="002C1C34" w:rsidRPr="00877011" w:rsidRDefault="002C1C34" w:rsidP="002C1C34">
      <w:pPr>
        <w:spacing w:after="120" w:line="276" w:lineRule="auto"/>
        <w:ind w:firstLine="709"/>
        <w:jc w:val="both"/>
        <w:rPr>
          <w:rFonts w:ascii="Verdana" w:eastAsia="Calibri" w:hAnsi="Verdana" w:cs="Arial"/>
          <w:lang w:val="es-ES"/>
        </w:rPr>
      </w:pPr>
      <w:r w:rsidRPr="00877011">
        <w:rPr>
          <w:rFonts w:ascii="Verdana" w:hAnsi="Verdana" w:cs="Arial"/>
          <w:color w:val="000000" w:themeColor="text1"/>
          <w:lang w:val="es-MX"/>
        </w:rPr>
        <w:t>El Gobierno Nacional, en desarrollo del artículo 355 de la Constitución Política, expidió el Decreto 092 de 2017, el cual</w:t>
      </w:r>
      <w:r w:rsidRPr="00877011">
        <w:rPr>
          <w:rFonts w:ascii="Verdana" w:eastAsia="Calibri" w:hAnsi="Verdana" w:cs="Arial"/>
          <w:color w:val="000000" w:themeColor="text1"/>
          <w:lang w:val="es-MX"/>
        </w:rPr>
        <w:t xml:space="preserve"> dispone </w:t>
      </w:r>
      <w:r w:rsidRPr="00877011">
        <w:rPr>
          <w:rFonts w:ascii="Verdana" w:eastAsia="Calibri" w:hAnsi="Verdana" w:cs="Arial"/>
          <w:lang w:val="es-MX"/>
        </w:rPr>
        <w:t xml:space="preserve">reglas para las contrataciones que realizan las Entidades Estatales con las ESAL. </w:t>
      </w:r>
      <w:r w:rsidRPr="00877011">
        <w:rPr>
          <w:rFonts w:ascii="Verdana" w:eastAsia="Calibri" w:hAnsi="Verdana" w:cs="Arial"/>
          <w:color w:val="000000" w:themeColor="text1"/>
          <w:lang w:val="es-ES"/>
        </w:rPr>
        <w:t xml:space="preserve">El Decreto regula dos (2) eventos: i) </w:t>
      </w:r>
      <w:r w:rsidRPr="00877011">
        <w:rPr>
          <w:rFonts w:ascii="Verdana" w:eastAsia="Calibri" w:hAnsi="Verdana" w:cs="Arial"/>
          <w:lang w:val="es-ES" w:eastAsia="es-ES_tradnl"/>
        </w:rPr>
        <w:t xml:space="preserve">los </w:t>
      </w:r>
      <w:r w:rsidRPr="00877011">
        <w:rPr>
          <w:rFonts w:ascii="Verdana" w:eastAsia="Calibri" w:hAnsi="Verdana" w:cs="Arial"/>
          <w:i/>
          <w:iCs/>
          <w:lang w:val="es-ES" w:eastAsia="es-ES_tradnl"/>
        </w:rPr>
        <w:t>contratos de colaboración</w:t>
      </w:r>
      <w:r w:rsidRPr="00877011">
        <w:rPr>
          <w:rFonts w:ascii="Verdana" w:eastAsia="Calibri" w:hAnsi="Verdana" w:cs="Arial"/>
          <w:lang w:val="es-ES" w:eastAsia="es-ES_tradnl"/>
        </w:rPr>
        <w:t xml:space="preserve"> o de interés público, con el fin impulsar programas y actividades de interés público de acuerdo con el Plan Nacional o los planes seccionales de desarrollo, en los términos del artículo 355 de la Constitución Política</w:t>
      </w:r>
      <w:r w:rsidRPr="00877011">
        <w:rPr>
          <w:rFonts w:ascii="Verdana" w:eastAsia="Calibri" w:hAnsi="Verdana" w:cs="Arial"/>
          <w:color w:val="000000" w:themeColor="text1"/>
          <w:lang w:val="es-ES"/>
        </w:rPr>
        <w:t xml:space="preserve"> y; </w:t>
      </w:r>
      <w:proofErr w:type="spellStart"/>
      <w:r w:rsidRPr="00877011">
        <w:rPr>
          <w:rFonts w:ascii="Verdana" w:eastAsia="Calibri" w:hAnsi="Verdana" w:cs="Arial"/>
          <w:color w:val="000000" w:themeColor="text1"/>
          <w:lang w:val="es-ES"/>
        </w:rPr>
        <w:t>ii</w:t>
      </w:r>
      <w:proofErr w:type="spellEnd"/>
      <w:r w:rsidRPr="00877011">
        <w:rPr>
          <w:rFonts w:ascii="Verdana" w:eastAsia="Calibri" w:hAnsi="Verdana" w:cs="Arial"/>
          <w:color w:val="000000" w:themeColor="text1"/>
          <w:lang w:val="es-ES"/>
        </w:rPr>
        <w:t xml:space="preserve">) los </w:t>
      </w:r>
      <w:r w:rsidRPr="00877011">
        <w:rPr>
          <w:rFonts w:ascii="Verdana" w:eastAsia="Calibri" w:hAnsi="Verdana" w:cs="Arial"/>
          <w:i/>
          <w:iCs/>
          <w:color w:val="000000" w:themeColor="text1"/>
          <w:lang w:val="es-ES"/>
        </w:rPr>
        <w:t>convenios de asociación</w:t>
      </w:r>
      <w:r w:rsidRPr="00877011">
        <w:rPr>
          <w:rFonts w:ascii="Verdana" w:eastAsia="Calibri" w:hAnsi="Verdana" w:cs="Arial"/>
          <w:color w:val="000000" w:themeColor="text1"/>
          <w:lang w:val="es-ES"/>
        </w:rPr>
        <w:t xml:space="preserve">, para el desarrollo conjunto de actividades relacionadas con las funciones de las Entidades Estatales, en desarrollo del artículo 96 de la Ley 489 de 1998. </w:t>
      </w:r>
      <w:r w:rsidRPr="00877011">
        <w:rPr>
          <w:rFonts w:ascii="Verdana" w:eastAsia="Calibri" w:hAnsi="Verdana" w:cs="Arial"/>
          <w:color w:val="000000"/>
          <w:lang w:val="es-MX" w:eastAsia="es-ES_tradnl"/>
        </w:rPr>
        <w:t xml:space="preserve">Los primeros están regulados en el artículo 2 del Decreto 092 de 2017, mientras que los segundos en los artículos 5, 6, 7 y 8 </w:t>
      </w:r>
      <w:r w:rsidRPr="00877011">
        <w:rPr>
          <w:rFonts w:ascii="Verdana" w:eastAsia="Calibri" w:hAnsi="Verdana" w:cs="Arial"/>
          <w:i/>
          <w:iCs/>
          <w:color w:val="000000"/>
          <w:lang w:val="es-MX" w:eastAsia="es-ES_tradnl"/>
        </w:rPr>
        <w:t>ibidem</w:t>
      </w:r>
      <w:r w:rsidRPr="00877011">
        <w:rPr>
          <w:rFonts w:ascii="Verdana" w:eastAsia="Calibri" w:hAnsi="Verdana" w:cs="Arial"/>
          <w:color w:val="000000"/>
          <w:lang w:val="es-MX" w:eastAsia="es-ES_tradnl"/>
        </w:rPr>
        <w:t xml:space="preserve">. </w:t>
      </w:r>
      <w:r w:rsidRPr="00877011">
        <w:rPr>
          <w:rFonts w:ascii="Verdana" w:eastAsia="Calibri" w:hAnsi="Verdana" w:cs="Arial"/>
          <w:color w:val="000000" w:themeColor="text1"/>
          <w:lang w:val="es-MX" w:eastAsia="es-ES_tradnl"/>
        </w:rPr>
        <w:t xml:space="preserve">Así las cosas, es posible diferenciar los </w:t>
      </w:r>
      <w:r w:rsidRPr="00877011">
        <w:rPr>
          <w:rFonts w:ascii="Verdana" w:eastAsia="Calibri" w:hAnsi="Verdana" w:cs="Arial"/>
          <w:i/>
          <w:iCs/>
          <w:color w:val="000000" w:themeColor="text1"/>
          <w:lang w:val="es-MX" w:eastAsia="es-ES_tradnl"/>
        </w:rPr>
        <w:t>contratos de colaboración</w:t>
      </w:r>
      <w:r w:rsidRPr="00877011">
        <w:rPr>
          <w:rFonts w:ascii="Verdana" w:eastAsia="Calibri" w:hAnsi="Verdana" w:cs="Arial"/>
          <w:color w:val="000000" w:themeColor="text1"/>
          <w:lang w:val="es-MX" w:eastAsia="es-ES_tradnl"/>
        </w:rPr>
        <w:t xml:space="preserve">, establecidos en el artículo 2 del Decreto 092 de 2017, de los </w:t>
      </w:r>
      <w:r w:rsidRPr="00877011">
        <w:rPr>
          <w:rFonts w:ascii="Verdana" w:eastAsia="Calibri" w:hAnsi="Verdana" w:cs="Arial"/>
          <w:i/>
          <w:iCs/>
          <w:color w:val="000000" w:themeColor="text1"/>
          <w:lang w:val="es-MX" w:eastAsia="es-ES_tradnl"/>
        </w:rPr>
        <w:t>convenios de asociación</w:t>
      </w:r>
      <w:r w:rsidRPr="00877011">
        <w:rPr>
          <w:rFonts w:ascii="Verdana" w:eastAsia="Calibri" w:hAnsi="Verdana" w:cs="Arial"/>
          <w:color w:val="000000" w:themeColor="text1"/>
          <w:lang w:val="es-MX" w:eastAsia="es-ES_tradnl"/>
        </w:rPr>
        <w:t>, regulados en el artículo 5.</w:t>
      </w:r>
    </w:p>
    <w:p w14:paraId="590FE1B0" w14:textId="77777777" w:rsidR="002C1C34" w:rsidRPr="00877011" w:rsidRDefault="002C1C34" w:rsidP="002C1C34">
      <w:pPr>
        <w:spacing w:after="120" w:line="276" w:lineRule="auto"/>
        <w:ind w:firstLine="709"/>
        <w:jc w:val="both"/>
        <w:rPr>
          <w:rFonts w:ascii="Verdana" w:eastAsia="Calibri" w:hAnsi="Verdana" w:cs="Arial"/>
          <w:lang w:val="es-ES"/>
        </w:rPr>
      </w:pPr>
      <w:r w:rsidRPr="00877011">
        <w:rPr>
          <w:rFonts w:ascii="Verdana" w:eastAsia="Calibri" w:hAnsi="Verdana" w:cs="Arial"/>
          <w:color w:val="000000" w:themeColor="text1"/>
          <w:lang w:val="es-ES"/>
        </w:rPr>
        <w:t xml:space="preserve">De un lado, los </w:t>
      </w:r>
      <w:r w:rsidRPr="00877011">
        <w:rPr>
          <w:rFonts w:ascii="Verdana" w:eastAsia="Calibri" w:hAnsi="Verdana" w:cs="Arial"/>
          <w:i/>
          <w:iCs/>
          <w:color w:val="000000" w:themeColor="text1"/>
          <w:lang w:val="es-ES"/>
        </w:rPr>
        <w:t>contratos del artículo 355 de la Constitución Política o contratos de colaboración</w:t>
      </w:r>
      <w:r w:rsidRPr="00877011">
        <w:rPr>
          <w:rFonts w:ascii="Verdana" w:eastAsia="Calibri" w:hAnsi="Verdana" w:cs="Arial"/>
          <w:color w:val="000000" w:themeColor="text1"/>
          <w:lang w:val="es-ES"/>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Para celebrar estos contratos, según lo establece el artículo 4 del Decreto 092 de 2017, por regla general, la entidad debe adelantar un proceso competitivo para seleccionar la ESAL contratista. </w:t>
      </w:r>
    </w:p>
    <w:p w14:paraId="5151FD12" w14:textId="77777777" w:rsidR="002C1C34" w:rsidRPr="00877011" w:rsidRDefault="002C1C34" w:rsidP="002C1C34">
      <w:pPr>
        <w:spacing w:after="120" w:line="276" w:lineRule="auto"/>
        <w:ind w:firstLine="709"/>
        <w:jc w:val="both"/>
        <w:rPr>
          <w:rFonts w:ascii="Verdana" w:eastAsia="Calibri" w:hAnsi="Verdana" w:cs="Arial"/>
          <w:lang w:val="es-ES"/>
        </w:rPr>
      </w:pPr>
      <w:r w:rsidRPr="00877011">
        <w:rPr>
          <w:rFonts w:ascii="Verdana" w:eastAsia="Calibri" w:hAnsi="Verdana" w:cs="Arial"/>
          <w:color w:val="000000" w:themeColor="text1"/>
          <w:lang w:val="es-ES"/>
        </w:rPr>
        <w:t xml:space="preserve">De otro lado, los </w:t>
      </w:r>
      <w:r w:rsidRPr="00877011">
        <w:rPr>
          <w:rFonts w:ascii="Verdana" w:eastAsia="Calibri" w:hAnsi="Verdana" w:cs="Arial"/>
          <w:i/>
          <w:iCs/>
          <w:color w:val="000000" w:themeColor="text1"/>
          <w:lang w:val="es-ES"/>
        </w:rPr>
        <w:t xml:space="preserve">convenios de asociación </w:t>
      </w:r>
      <w:r w:rsidRPr="00877011">
        <w:rPr>
          <w:rFonts w:ascii="Verdana" w:eastAsia="Calibri" w:hAnsi="Verdana" w:cs="Arial"/>
          <w:color w:val="000000" w:themeColor="text1"/>
          <w:lang w:val="es-ES"/>
        </w:rPr>
        <w:t>– a los cuales hace referencia en su consulta – “[…] [t]</w:t>
      </w:r>
      <w:proofErr w:type="spellStart"/>
      <w:r w:rsidRPr="00877011">
        <w:rPr>
          <w:rFonts w:ascii="Verdana" w:eastAsia="Calibri" w:hAnsi="Verdana" w:cs="Arial"/>
          <w:color w:val="000000" w:themeColor="text1"/>
          <w:lang w:val="es-ES"/>
        </w:rPr>
        <w:t>ienen</w:t>
      </w:r>
      <w:proofErr w:type="spellEnd"/>
      <w:r w:rsidRPr="00877011">
        <w:rPr>
          <w:rFonts w:ascii="Verdana" w:eastAsia="Calibri" w:hAnsi="Verdana" w:cs="Arial"/>
          <w:color w:val="000000" w:themeColor="text1"/>
          <w:lang w:val="es-ES"/>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w:t>
      </w:r>
      <w:r w:rsidRPr="00877011">
        <w:rPr>
          <w:rFonts w:ascii="Verdana" w:eastAsia="Calibri" w:hAnsi="Verdana" w:cs="Arial"/>
          <w:color w:val="000000" w:themeColor="text1"/>
          <w:lang w:val="es-ES"/>
        </w:rPr>
        <w:lastRenderedPageBreak/>
        <w:t>Ley”</w:t>
      </w:r>
      <w:r w:rsidRPr="00877011">
        <w:rPr>
          <w:rFonts w:ascii="Verdana" w:hAnsi="Verdana"/>
          <w:vertAlign w:val="superscript"/>
          <w:lang w:val="es-ES"/>
        </w:rPr>
        <w:footnoteReference w:id="3"/>
      </w:r>
      <w:r w:rsidRPr="00877011">
        <w:rPr>
          <w:rFonts w:ascii="Verdana" w:eastAsia="Calibri" w:hAnsi="Verdana" w:cs="Arial"/>
          <w:color w:val="000000" w:themeColor="text1"/>
          <w:lang w:val="es-ES"/>
        </w:rPr>
        <w:t xml:space="preserve">. En estos convenios – al igual que en los contratos de colaboración antes explicados – no existe contraprestación o pago, sino aportes, los cuales están dirigidos, exclusivamente, a lograr la ejecución del convenio no a remunerar la actividad o actuaciones del asociado. </w:t>
      </w:r>
    </w:p>
    <w:p w14:paraId="5166771A" w14:textId="77777777" w:rsidR="002C1C34" w:rsidRPr="00877011" w:rsidRDefault="002C1C34" w:rsidP="002C1C34">
      <w:pPr>
        <w:spacing w:after="120" w:line="276" w:lineRule="auto"/>
        <w:ind w:firstLine="709"/>
        <w:jc w:val="both"/>
        <w:rPr>
          <w:rFonts w:ascii="Verdana" w:eastAsia="Calibri" w:hAnsi="Verdana" w:cs="Arial"/>
          <w:lang w:val="es-ES"/>
        </w:rPr>
      </w:pPr>
      <w:r w:rsidRPr="00877011">
        <w:rPr>
          <w:rFonts w:ascii="Verdana" w:eastAsia="Calibri" w:hAnsi="Verdana" w:cs="Arial"/>
          <w:color w:val="000000"/>
          <w:lang w:val="es-MX" w:eastAsia="es-ES_tradnl"/>
        </w:rPr>
        <w:t xml:space="preserve">De conformidad con el inciso segundo del artículo 96 de la Ley 489 de 1998, en </w:t>
      </w:r>
      <w:r w:rsidRPr="00877011">
        <w:rPr>
          <w:rFonts w:ascii="Verdana" w:eastAsia="Calibri" w:hAnsi="Verdana" w:cs="Arial"/>
          <w:color w:val="000000"/>
          <w:lang w:val="es-ES" w:eastAsia="es-ES_tradnl"/>
        </w:rPr>
        <w:t>los</w:t>
      </w:r>
      <w:r w:rsidRPr="00877011">
        <w:rPr>
          <w:rFonts w:ascii="Verdana" w:eastAsia="Calibri" w:hAnsi="Verdana" w:cs="Arial"/>
          <w:color w:val="000000"/>
          <w:lang w:val="es-MX" w:eastAsia="es-ES_tradnl"/>
        </w:rPr>
        <w:t xml:space="preserve"> convenios</w:t>
      </w:r>
      <w:r w:rsidRPr="00877011">
        <w:rPr>
          <w:rFonts w:ascii="Verdana" w:eastAsia="Calibri" w:hAnsi="Verdana" w:cs="Arial"/>
          <w:color w:val="000000"/>
          <w:lang w:val="es-ES" w:eastAsia="es-ES_tradnl"/>
        </w:rPr>
        <w:t xml:space="preserve"> de asociación</w:t>
      </w:r>
      <w:r w:rsidRPr="00877011">
        <w:rPr>
          <w:rFonts w:ascii="Verdana" w:eastAsia="Calibri" w:hAnsi="Verdana" w:cs="Arial"/>
          <w:color w:val="000000"/>
          <w:lang w:val="es-MX" w:eastAsia="es-ES_tradnl"/>
        </w:rPr>
        <w:t xml:space="preserve"> debe determinarse “con precisión su objeto, término, obligaciones de las partes, aportes, coordinación y todos aquellos aspectos que se consideren pertinentes”, elementos dentro de los que resalta la exigencia de aportes, que debe interpretarse en el sentido de que las ESAL deben realizar aportes a los convenios que suscriban, los cuales pueden ser en dinero, en porcentajes inferiores o superiores al treinta por ciento (30%)</w:t>
      </w:r>
      <w:r w:rsidRPr="00877011">
        <w:rPr>
          <w:rFonts w:ascii="Verdana" w:eastAsia="Calibri" w:hAnsi="Verdana" w:cs="Arial"/>
          <w:color w:val="000000"/>
          <w:lang w:val="es-ES" w:eastAsia="es-ES_tradnl"/>
        </w:rPr>
        <w:t xml:space="preserve"> del valor total</w:t>
      </w:r>
      <w:r w:rsidRPr="00877011">
        <w:rPr>
          <w:rFonts w:ascii="Verdana" w:eastAsia="Calibri" w:hAnsi="Verdana" w:cs="Arial"/>
          <w:color w:val="000000"/>
          <w:lang w:val="es-MX" w:eastAsia="es-ES_tradnl"/>
        </w:rPr>
        <w:t xml:space="preserve">, o en especie, los cuales deben servir al desarrollo de los objetivos comunes de la asociación. </w:t>
      </w:r>
    </w:p>
    <w:p w14:paraId="62F3F8EF" w14:textId="77777777" w:rsidR="002C1C34" w:rsidRPr="00877011" w:rsidRDefault="002C1C34" w:rsidP="002C1C34">
      <w:pPr>
        <w:spacing w:after="120" w:line="276" w:lineRule="auto"/>
        <w:ind w:firstLine="709"/>
        <w:jc w:val="both"/>
        <w:rPr>
          <w:rFonts w:ascii="Verdana" w:eastAsia="Calibri" w:hAnsi="Verdana" w:cs="Arial"/>
          <w:lang w:val="es-ES"/>
        </w:rPr>
      </w:pPr>
      <w:r w:rsidRPr="00877011">
        <w:rPr>
          <w:rFonts w:ascii="Verdana" w:eastAsia="Calibri" w:hAnsi="Verdana" w:cs="Arial"/>
          <w:lang w:val="es-ES"/>
        </w:rPr>
        <w:t xml:space="preserve">Respecto a </w:t>
      </w:r>
      <w:r w:rsidRPr="00877011">
        <w:rPr>
          <w:rFonts w:ascii="Verdana" w:eastAsia="Calibri" w:hAnsi="Verdana" w:cs="Arial"/>
          <w:lang w:val="es-ES_tradnl" w:eastAsia="es-ES_tradnl"/>
        </w:rPr>
        <w:t xml:space="preserve">la forma en la cual se debe seleccionar a la ESAL, es menester indicar que, </w:t>
      </w:r>
      <w:bookmarkStart w:id="1" w:name="_Hlk173067283"/>
      <w:r w:rsidRPr="00877011">
        <w:rPr>
          <w:rFonts w:ascii="Verdana" w:eastAsia="Calibri" w:hAnsi="Verdana" w:cs="Arial"/>
          <w:lang w:val="es-ES_tradnl" w:eastAsia="es-ES_tradnl"/>
        </w:rPr>
        <w:t xml:space="preserve">el </w:t>
      </w:r>
      <w:bookmarkStart w:id="2" w:name="_Hlk173065372"/>
      <w:r w:rsidRPr="00877011">
        <w:rPr>
          <w:rFonts w:ascii="Verdana" w:eastAsia="Calibri" w:hAnsi="Verdana" w:cs="Arial"/>
          <w:lang w:val="es-ES_tradnl" w:eastAsia="es-ES_tradnl"/>
        </w:rPr>
        <w:t>artículo 5</w:t>
      </w:r>
      <w:bookmarkEnd w:id="2"/>
      <w:r w:rsidRPr="00877011">
        <w:rPr>
          <w:rFonts w:ascii="Verdana" w:eastAsia="Calibri" w:hAnsi="Verdana" w:cs="Arial"/>
          <w:lang w:val="es-ES_tradnl" w:eastAsia="es-ES_tradnl"/>
        </w:rPr>
        <w:t xml:space="preserve"> del Decreto 092 de 2017</w:t>
      </w:r>
      <w:r w:rsidRPr="00877011">
        <w:rPr>
          <w:rFonts w:ascii="Verdana" w:hAnsi="Verdana"/>
          <w:vertAlign w:val="superscript"/>
          <w:lang w:val="es-ES" w:eastAsia="es-ES_tradnl"/>
        </w:rPr>
        <w:footnoteReference w:id="4"/>
      </w:r>
      <w:r w:rsidRPr="00877011">
        <w:rPr>
          <w:rFonts w:ascii="Verdana" w:eastAsia="Calibri" w:hAnsi="Verdana" w:cs="Arial"/>
          <w:lang w:val="es-ES_tradnl" w:eastAsia="es-ES_tradnl"/>
        </w:rPr>
        <w:t xml:space="preserve"> establece que, </w:t>
      </w:r>
      <w:bookmarkStart w:id="3" w:name="_Hlk77927493"/>
      <w:r w:rsidRPr="00877011">
        <w:rPr>
          <w:rFonts w:ascii="Verdana" w:eastAsia="Calibri" w:hAnsi="Verdana" w:cs="Arial"/>
          <w:lang w:val="es-ES" w:eastAsia="es-ES_tradnl"/>
        </w:rPr>
        <w:t>el proceso para la escogencia de la ESAL, por regla general, debe estar sujeto a competencia, salvo en aquellos casos en los que una ESAL manifieste su compromiso de aportar recursos en dinero por un valor igual o superior al treinta por ciento (30%) del valor total del convenio, siempre y cuando no existan otras ESAL que ofrezcan aportes en monto igual o superior a dicho porcentaje</w:t>
      </w:r>
      <w:bookmarkEnd w:id="3"/>
      <w:r w:rsidRPr="00877011">
        <w:rPr>
          <w:rFonts w:ascii="Verdana" w:eastAsia="Calibri" w:hAnsi="Verdana" w:cs="Arial"/>
          <w:lang w:val="es-ES" w:eastAsia="es-ES_tradnl"/>
        </w:rPr>
        <w:t xml:space="preserve">, pues en este evento también se tendría que realizar un proceso competitivo. </w:t>
      </w:r>
      <w:bookmarkEnd w:id="1"/>
    </w:p>
    <w:p w14:paraId="44A1D685" w14:textId="77777777" w:rsidR="002C1C34" w:rsidRDefault="002C1C34" w:rsidP="002C1C34">
      <w:pPr>
        <w:spacing w:after="120" w:line="276" w:lineRule="auto"/>
        <w:ind w:firstLine="709"/>
        <w:jc w:val="both"/>
        <w:rPr>
          <w:rFonts w:ascii="Verdana" w:eastAsia="Century Gothic" w:hAnsi="Verdana" w:cs="Century Gothic"/>
          <w:color w:val="000000" w:themeColor="text1"/>
        </w:rPr>
      </w:pPr>
      <w:r w:rsidRPr="00877011">
        <w:rPr>
          <w:rFonts w:ascii="Verdana" w:eastAsia="Calibri" w:hAnsi="Verdana" w:cs="Arial"/>
          <w:lang w:val="es-ES_tradnl" w:eastAsia="es-ES_tradnl"/>
        </w:rPr>
        <w:t>Es decir, según la normativa aplicable, tal como lo indicó esta Agencia en la “Guía para la contratación con entidades privadas sin ánimo de lucro y de reconocida idoneidad”, el artículo 5 del Decreto 092 de 2017 “[…] busca reconocer el esfuerzo de la ESAL para conseguir recursos propios o de cooperación para el desarrollo conjunto de actividades de las Entidades Estatales en el marco del artículo 96 de la Ley 489 de 1998 y eximirla de competencia cuando aporta 30% o más de los recursos requeridos”.</w:t>
      </w:r>
      <w:r w:rsidRPr="00877011">
        <w:rPr>
          <w:rFonts w:ascii="Verdana" w:eastAsia="Calibri" w:hAnsi="Verdana" w:cs="Arial"/>
          <w:lang w:val="es-ES"/>
        </w:rPr>
        <w:t xml:space="preserve"> </w:t>
      </w:r>
      <w:r w:rsidRPr="00877011">
        <w:rPr>
          <w:rFonts w:ascii="Verdana" w:eastAsia="Century Gothic" w:hAnsi="Verdana" w:cs="Century Gothic"/>
          <w:color w:val="000000" w:themeColor="text1"/>
        </w:rPr>
        <w:t xml:space="preserve">Si esta es la única excepción, por tanto, también debe efectuarse la selección objetiva mediante trámite competitivo cuando se pretenda celebrar un convenio que no </w:t>
      </w:r>
      <w:r w:rsidRPr="00877011">
        <w:rPr>
          <w:rFonts w:ascii="Verdana" w:eastAsia="Century Gothic" w:hAnsi="Verdana" w:cs="Century Gothic"/>
          <w:color w:val="000000" w:themeColor="text1"/>
        </w:rPr>
        <w:lastRenderedPageBreak/>
        <w:t xml:space="preserve">comprometa recursos en dinero, en la medida en que puede haber varias ESAL interesadas. </w:t>
      </w:r>
    </w:p>
    <w:p w14:paraId="0FAF8329" w14:textId="77777777" w:rsidR="002C1C34" w:rsidRDefault="002C1C34" w:rsidP="002C1C34">
      <w:pPr>
        <w:spacing w:after="120" w:line="276" w:lineRule="auto"/>
        <w:ind w:firstLine="709"/>
        <w:jc w:val="both"/>
        <w:rPr>
          <w:rFonts w:ascii="Verdana" w:eastAsia="Century Gothic" w:hAnsi="Verdana" w:cs="Century Gothic"/>
          <w:color w:val="000000" w:themeColor="text1"/>
        </w:rPr>
      </w:pPr>
      <w:r w:rsidRPr="00877011">
        <w:rPr>
          <w:rFonts w:ascii="Verdana" w:eastAsia="Century Gothic" w:hAnsi="Verdana" w:cs="Century Gothic"/>
          <w:color w:val="000000" w:themeColor="text1"/>
        </w:rPr>
        <w:t>En efecto, como indicó la Agencia en la Guía: “El artículo 5 del Decreto 092 de 2017 no prohíbe la celebración de convenios en que la ESAL aporte menos del 30% o cuando aporte recursos en especie, sólo indica que en esos casos la Entidad Estatal debe acudir al proceso competitivo para seleccionar a la entidad sin ánimo de lucro con la cual celebrará el respectivo convenio”</w:t>
      </w:r>
      <w:r w:rsidRPr="00877011">
        <w:rPr>
          <w:rFonts w:ascii="Verdana" w:eastAsia="Century Gothic" w:hAnsi="Verdana" w:cs="Century Gothic"/>
          <w:color w:val="000000" w:themeColor="text1"/>
          <w:vertAlign w:val="superscript"/>
        </w:rPr>
        <w:footnoteReference w:id="5"/>
      </w:r>
      <w:r w:rsidRPr="00877011">
        <w:rPr>
          <w:rFonts w:ascii="Verdana" w:eastAsia="Century Gothic" w:hAnsi="Verdana" w:cs="Century Gothic"/>
          <w:color w:val="000000" w:themeColor="text1"/>
        </w:rPr>
        <w:t xml:space="preserve">. En consecuencia, así ni la Entidad Estatal ni la ESAL vayan a comprometer recursos en dinero, se debe adelantar el proceso competitivo para garantizar la selección objetiva y dejar constancia de ello en los documentos del proceso. </w:t>
      </w:r>
    </w:p>
    <w:p w14:paraId="5B478360" w14:textId="77777777" w:rsidR="002C1C34" w:rsidRPr="00877011" w:rsidRDefault="002C1C34" w:rsidP="002C1C34">
      <w:pPr>
        <w:spacing w:after="0" w:line="276" w:lineRule="auto"/>
        <w:ind w:firstLine="709"/>
        <w:jc w:val="both"/>
        <w:rPr>
          <w:rFonts w:ascii="Verdana" w:eastAsia="Calibri" w:hAnsi="Verdana" w:cs="Arial"/>
          <w:lang w:val="es-ES_tradnl" w:eastAsia="es-ES_tradnl"/>
        </w:rPr>
      </w:pPr>
      <w:r w:rsidRPr="00877011">
        <w:rPr>
          <w:rFonts w:ascii="Verdana" w:eastAsia="Calibri" w:hAnsi="Verdana" w:cs="Arial"/>
          <w:lang w:val="es-ES_tradnl" w:eastAsia="es-ES_tradnl"/>
        </w:rPr>
        <w:t>En similar sentido, el doctrinante Mauricio Rodríguez Tamayo manifiesta que:</w:t>
      </w:r>
    </w:p>
    <w:p w14:paraId="6187DEA7" w14:textId="77777777" w:rsidR="002C1C34" w:rsidRPr="00877011" w:rsidRDefault="002C1C34" w:rsidP="002C1C34">
      <w:pPr>
        <w:spacing w:after="0" w:line="276" w:lineRule="auto"/>
        <w:ind w:firstLine="709"/>
        <w:jc w:val="both"/>
        <w:rPr>
          <w:rFonts w:ascii="Verdana" w:eastAsia="Calibri" w:hAnsi="Verdana" w:cs="Arial"/>
          <w:lang w:val="es-ES"/>
        </w:rPr>
      </w:pPr>
    </w:p>
    <w:p w14:paraId="34759246" w14:textId="77777777" w:rsidR="002C1C34" w:rsidRPr="00877011" w:rsidRDefault="002C1C34" w:rsidP="002C1C34">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r w:rsidRPr="00877011">
        <w:rPr>
          <w:rFonts w:ascii="Verdana" w:eastAsia="Times New Roman" w:hAnsi="Verdana" w:cs="Arial"/>
          <w:sz w:val="20"/>
          <w:szCs w:val="20"/>
          <w:lang w:val="es-ES_tradnl" w:eastAsia="es-ES_tradnl"/>
        </w:rPr>
        <w:t>“El Decreto 092 de 2017 permite la escogencia directa de una ESAL, para la suscripción de un convenio de asociación solo cuando el privado s</w:t>
      </w:r>
      <w:r w:rsidRPr="00877011">
        <w:rPr>
          <w:rFonts w:ascii="Verdana" w:eastAsia="Times New Roman" w:hAnsi="Verdana" w:cs="Arial"/>
          <w:sz w:val="20"/>
          <w:szCs w:val="20"/>
          <w:lang w:val="es-ES" w:eastAsia="es-ES_tradnl"/>
        </w:rPr>
        <w:t>in ánimo de lucro aporta no menos de 30% en dinero del valor total del convenio. Por supuesto, es necesario acreditar la idoneidad necesaria de la ESAL, para que participe junto con el Estado en la atención y prestación de servicios públicos de naturaleza estatal.</w:t>
      </w:r>
    </w:p>
    <w:p w14:paraId="1D794699" w14:textId="77777777" w:rsidR="002C1C34" w:rsidRPr="00877011" w:rsidRDefault="002C1C34" w:rsidP="002C1C34">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p>
    <w:p w14:paraId="509613C7" w14:textId="77777777" w:rsidR="002C1C34" w:rsidRPr="00877011" w:rsidRDefault="002C1C34" w:rsidP="002C1C34">
      <w:pPr>
        <w:autoSpaceDE w:val="0"/>
        <w:autoSpaceDN w:val="0"/>
        <w:adjustRightInd w:val="0"/>
        <w:spacing w:after="0" w:line="240" w:lineRule="auto"/>
        <w:ind w:left="709" w:right="709"/>
        <w:contextualSpacing/>
        <w:jc w:val="both"/>
        <w:rPr>
          <w:rFonts w:ascii="Verdana" w:eastAsia="Times New Roman" w:hAnsi="Verdana" w:cs="Arial"/>
          <w:sz w:val="20"/>
          <w:szCs w:val="20"/>
          <w:lang w:val="es-ES" w:eastAsia="es-ES_tradnl"/>
        </w:rPr>
      </w:pPr>
      <w:r w:rsidRPr="00877011">
        <w:rPr>
          <w:rFonts w:ascii="Verdana" w:eastAsia="Times New Roman" w:hAnsi="Verdana" w:cs="Arial"/>
          <w:sz w:val="20"/>
          <w:szCs w:val="20"/>
          <w:lang w:val="es-ES" w:eastAsia="es-ES_tradnl"/>
        </w:rPr>
        <w:t xml:space="preserve">Se podrá contratar directamente por esta causal siempre que esté acreditada cualquiera de las siguientes circunstancias: […] </w:t>
      </w:r>
      <w:proofErr w:type="spellStart"/>
      <w:r w:rsidRPr="00877011">
        <w:rPr>
          <w:rFonts w:ascii="Verdana" w:eastAsia="Times New Roman" w:hAnsi="Verdana" w:cs="Arial"/>
          <w:sz w:val="20"/>
          <w:szCs w:val="20"/>
          <w:lang w:val="es-ES" w:eastAsia="es-ES_tradnl"/>
        </w:rPr>
        <w:t>ii</w:t>
      </w:r>
      <w:proofErr w:type="spellEnd"/>
      <w:r w:rsidRPr="00877011">
        <w:rPr>
          <w:rFonts w:ascii="Verdana" w:eastAsia="Times New Roman" w:hAnsi="Verdana" w:cs="Arial"/>
          <w:sz w:val="20"/>
          <w:szCs w:val="20"/>
          <w:lang w:val="es-ES" w:eastAsia="es-ES_tradnl"/>
        </w:rPr>
        <w:t>) se celebran convenios de asociación a los que hace referencia el artículo 96 de la Ley 489 de 1998 y la ESAL compromete recursos en dinero en una proporción no inferior a 30% del valor total del convenio”</w:t>
      </w:r>
      <w:r w:rsidRPr="00877011">
        <w:rPr>
          <w:rFonts w:ascii="Verdana" w:hAnsi="Verdana"/>
          <w:sz w:val="20"/>
          <w:szCs w:val="20"/>
          <w:vertAlign w:val="superscript"/>
          <w:lang w:val="es-ES" w:eastAsia="es-ES_tradnl"/>
        </w:rPr>
        <w:footnoteReference w:id="6"/>
      </w:r>
      <w:r w:rsidRPr="00877011">
        <w:rPr>
          <w:rFonts w:ascii="Verdana" w:eastAsia="Times New Roman" w:hAnsi="Verdana" w:cs="Arial"/>
          <w:sz w:val="20"/>
          <w:szCs w:val="20"/>
          <w:lang w:val="es-ES" w:eastAsia="es-ES_tradnl"/>
        </w:rPr>
        <w:t>.</w:t>
      </w:r>
    </w:p>
    <w:p w14:paraId="28819BFA" w14:textId="77777777" w:rsidR="002C1C34" w:rsidRPr="00877011" w:rsidRDefault="002C1C34" w:rsidP="002C1C34">
      <w:pPr>
        <w:spacing w:after="0" w:line="276" w:lineRule="auto"/>
        <w:ind w:left="360"/>
        <w:jc w:val="both"/>
        <w:textAlignment w:val="baseline"/>
        <w:rPr>
          <w:rFonts w:ascii="Verdana" w:eastAsia="Calibri" w:hAnsi="Verdana" w:cs="Arial"/>
          <w:lang w:val="es-ES_tradnl" w:eastAsia="es-ES_tradnl"/>
        </w:rPr>
      </w:pPr>
    </w:p>
    <w:p w14:paraId="0F4981C4" w14:textId="77777777" w:rsidR="002C1C34" w:rsidRPr="00877011" w:rsidRDefault="002C1C34" w:rsidP="002C1C34">
      <w:pPr>
        <w:spacing w:after="120" w:line="276" w:lineRule="auto"/>
        <w:ind w:firstLine="709"/>
        <w:jc w:val="both"/>
        <w:textAlignment w:val="baseline"/>
        <w:rPr>
          <w:rFonts w:ascii="Verdana" w:eastAsia="Calibri" w:hAnsi="Verdana" w:cs="Arial"/>
          <w:lang w:val="es-ES_tradnl" w:eastAsia="es-ES_tradnl"/>
        </w:rPr>
      </w:pPr>
      <w:r w:rsidRPr="00877011">
        <w:rPr>
          <w:rFonts w:ascii="Verdana" w:eastAsia="Calibri" w:hAnsi="Verdana" w:cs="Arial"/>
          <w:lang w:val="es-ES_tradnl" w:eastAsia="es-ES_tradnl"/>
        </w:rPr>
        <w:t xml:space="preserve">Ahora bien, es importante resaltar que, </w:t>
      </w:r>
      <w:bookmarkStart w:id="4" w:name="_Hlk173070078"/>
      <w:r w:rsidRPr="00877011">
        <w:rPr>
          <w:rFonts w:ascii="Verdana" w:eastAsia="Calibri" w:hAnsi="Verdana" w:cs="Arial"/>
          <w:lang w:val="es-ES_tradnl" w:eastAsia="es-ES_tradnl"/>
        </w:rPr>
        <w:t xml:space="preserve">según el mismo artículo 5, </w:t>
      </w:r>
      <w:r w:rsidRPr="00877011">
        <w:rPr>
          <w:rFonts w:ascii="Verdana" w:eastAsia="Calibri" w:hAnsi="Verdana" w:cs="Arial"/>
          <w:i/>
          <w:iCs/>
          <w:lang w:val="es-ES_tradnl" w:eastAsia="es-ES_tradnl"/>
        </w:rPr>
        <w:t>si hay más de una ESAL</w:t>
      </w:r>
      <w:r w:rsidRPr="00877011">
        <w:rPr>
          <w:rFonts w:ascii="Verdana" w:eastAsia="Calibri" w:hAnsi="Verdana" w:cs="Arial"/>
          <w:lang w:val="es-ES_tradnl" w:eastAsia="es-ES_tradnl"/>
        </w:rPr>
        <w:t xml:space="preserve"> que ofrezca su compromiso de recursos en dinero para el desarrollo conjunto de actividades relacionadas con los cometidos y funciones asignadas por ley a una Entidad Estatal, en una proporción no inferior al treinta por ciento (30%) del valor total del convenio, esta última debe seleccionar de forma objetiva a tal entidad y justificar los criterios para tal selección. En este evento, la Entidad Estatal debe diseñar herramientas que permitan una comparación objetiva de las ESAL para seleccionar objetivamente a aquella que </w:t>
      </w:r>
      <w:r w:rsidRPr="00877011">
        <w:rPr>
          <w:rFonts w:ascii="Verdana" w:eastAsia="Calibri" w:hAnsi="Verdana" w:cs="Arial"/>
          <w:lang w:val="es-ES_tradnl" w:eastAsia="es-ES_tradnl"/>
        </w:rPr>
        <w:lastRenderedPageBreak/>
        <w:t xml:space="preserve">tenga las mejores condiciones para alcanzar el resultado esperado con el proyecto de cooperación. </w:t>
      </w:r>
      <w:bookmarkEnd w:id="4"/>
    </w:p>
    <w:p w14:paraId="1203FBAC" w14:textId="77777777" w:rsidR="002C1C34" w:rsidRPr="00877011" w:rsidRDefault="002C1C34" w:rsidP="002C1C34">
      <w:pPr>
        <w:spacing w:after="120" w:line="276" w:lineRule="auto"/>
        <w:ind w:firstLine="709"/>
        <w:jc w:val="both"/>
        <w:rPr>
          <w:rFonts w:ascii="Verdana" w:eastAsia="Calibri" w:hAnsi="Verdana" w:cs="Arial"/>
          <w:color w:val="000000" w:themeColor="text1"/>
          <w:lang w:val="es-ES"/>
        </w:rPr>
      </w:pPr>
      <w:r w:rsidRPr="00877011">
        <w:rPr>
          <w:rFonts w:ascii="Verdana" w:eastAsia="Calibri" w:hAnsi="Verdana" w:cs="Arial"/>
          <w:color w:val="000000" w:themeColor="text1"/>
          <w:lang w:val="es-ES"/>
        </w:rPr>
        <w:t>Conforme a lo anterior, atendiendo a que los convenios de asociación “[…] no estarán sujetos a competencia cuando la entidad sin ánimo de lucro comprometa recursos en dinero para la ejecución de esas actividades en una proporción no inferior al 30% del valor total del convenio”, las Entidades Estatales deben asegurarse de que su contratista, es decir, una o varias ESAL, aporten al menos el treinta por ciento (30%), en dinero, del valor del convenio para celebrarlo directamente, pues de lo contrario deberá adelantarse un proceso competitivo. Además, en atención al inciso 2 del artículo 5 del Decreto 092 de 2017, deben “[…] asegurarse que no haya otras ESAL que ofrezcan su compromiso de recursos en dinero en una proporción no inferior al 30% del valor total del convenio. Cuando la entidad encuentre que más de una ESAL le ofrece al menos el 30% de recursos en dinero para el convenio de asociación, debe seleccionar objetivamente con cual asociarse”.</w:t>
      </w:r>
    </w:p>
    <w:p w14:paraId="3DDAA331" w14:textId="77777777" w:rsidR="002C1C34" w:rsidRPr="00877011" w:rsidRDefault="002C1C34" w:rsidP="002C1C34">
      <w:pPr>
        <w:spacing w:after="120" w:line="276" w:lineRule="auto"/>
        <w:ind w:firstLine="709"/>
        <w:jc w:val="both"/>
        <w:textAlignment w:val="baseline"/>
        <w:rPr>
          <w:rFonts w:ascii="Verdana" w:eastAsia="Calibri" w:hAnsi="Verdana" w:cs="Arial"/>
          <w:lang w:val="es-ES_tradnl" w:eastAsia="es-ES_tradnl"/>
        </w:rPr>
      </w:pPr>
      <w:r w:rsidRPr="00877011">
        <w:rPr>
          <w:rFonts w:ascii="Verdana" w:eastAsia="Calibri" w:hAnsi="Verdana" w:cs="Arial"/>
          <w:color w:val="000000"/>
          <w:lang w:val="es-MX" w:eastAsia="es-ES_tradnl"/>
        </w:rPr>
        <w:t xml:space="preserve">La noción </w:t>
      </w:r>
      <w:r w:rsidRPr="00877011">
        <w:rPr>
          <w:rFonts w:ascii="Verdana" w:eastAsia="Calibri" w:hAnsi="Verdana" w:cs="Arial"/>
          <w:i/>
          <w:iCs/>
          <w:color w:val="000000"/>
          <w:lang w:val="es-MX" w:eastAsia="es-ES_tradnl"/>
        </w:rPr>
        <w:t>“seleccionar de forma objetiva”</w:t>
      </w:r>
      <w:r w:rsidRPr="00877011">
        <w:rPr>
          <w:rFonts w:ascii="Verdana" w:eastAsia="Calibri" w:hAnsi="Verdana" w:cs="Arial"/>
          <w:color w:val="000000"/>
          <w:lang w:val="es-MX" w:eastAsia="es-ES_tradnl"/>
        </w:rPr>
        <w:t xml:space="preserve">, contenida en la disposición </w:t>
      </w:r>
      <w:r w:rsidRPr="00877011">
        <w:rPr>
          <w:rFonts w:ascii="Verdana" w:eastAsia="Calibri" w:hAnsi="Verdana" w:cs="Arial"/>
          <w:i/>
          <w:iCs/>
          <w:color w:val="000000"/>
          <w:lang w:val="es-MX" w:eastAsia="es-ES_tradnl"/>
        </w:rPr>
        <w:t xml:space="preserve">sub examine </w:t>
      </w:r>
      <w:r w:rsidRPr="00877011">
        <w:rPr>
          <w:rFonts w:ascii="Verdana" w:eastAsia="Calibri" w:hAnsi="Verdana" w:cs="Arial"/>
          <w:color w:val="000000"/>
          <w:lang w:val="es-MX" w:eastAsia="es-ES_tradnl"/>
        </w:rPr>
        <w:t xml:space="preserve">no puede ser entendida como una remisión total a las Leyes 80 de 1993 y 1150 de 2007 respecto a los criterios habilitantes de las modalidades de selección o de adjudicación. A lo que se refiere la norma es a que la Entidad Estatal debe diseñar herramientas propias a </w:t>
      </w:r>
      <w:r w:rsidRPr="00877011">
        <w:rPr>
          <w:rFonts w:ascii="Verdana" w:eastAsia="Calibri" w:hAnsi="Verdana" w:cs="Arial"/>
          <w:lang w:val="es-ES_tradnl" w:eastAsia="es-ES_tradnl"/>
        </w:rPr>
        <w:t>la contratación con Entidades Privadas Sin Ánimo de Lucro y de Reconocida Idoneidad</w:t>
      </w:r>
      <w:r w:rsidRPr="00877011">
        <w:rPr>
          <w:rFonts w:ascii="Verdana" w:eastAsia="Calibri" w:hAnsi="Verdana" w:cs="Arial"/>
          <w:color w:val="000000"/>
          <w:lang w:val="es-MX" w:eastAsia="es-ES_tradnl"/>
        </w:rPr>
        <w:t xml:space="preserve"> que permitan una comparación objetiva de las ESAL y con ello puedan seleccionar objetivamente a aquella que tenga las mejores condiciones para alcanzar el resultado esperado, por lo que los criterios que permitan una selección objetiva deben definirse en términos de la obtención de los objetivos del convenio de asociación. Sin perjuicio de lo anterior, la entidad puede decidir acudir a los procesos de selección de contratistas que establece el EGCAP o, incluso, al trámite que regula el inciso 2 del artículo 2 del Decreto 092 de 2017.</w:t>
      </w:r>
    </w:p>
    <w:p w14:paraId="1A84CCC6" w14:textId="3B9C49BA" w:rsidR="002C1C34" w:rsidRPr="00F0744B" w:rsidRDefault="002C1C34" w:rsidP="00F0744B">
      <w:pPr>
        <w:spacing w:after="120" w:line="276" w:lineRule="auto"/>
        <w:ind w:firstLine="709"/>
        <w:jc w:val="both"/>
        <w:textAlignment w:val="baseline"/>
        <w:rPr>
          <w:rFonts w:ascii="Verdana" w:eastAsia="Calibri" w:hAnsi="Verdana" w:cs="Arial"/>
          <w:lang w:val="es-ES_tradnl" w:eastAsia="es-ES_tradnl"/>
        </w:rPr>
      </w:pPr>
      <w:r w:rsidRPr="00877011">
        <w:rPr>
          <w:rFonts w:ascii="Verdana" w:eastAsia="Arial" w:hAnsi="Verdana" w:cs="Arial"/>
          <w:color w:val="000000"/>
          <w:lang w:val="es-ES" w:eastAsia="es-ES_tradnl"/>
        </w:rPr>
        <w:t>En suma, las Entidades Estatales son autónomas en la configuración del proceso competitivo en desarrollo del artículo 5 del Decreto 092 de 2017. En todo caso, el proceso competitivo que definan las Entidades Estatales para sus convenios de asociación debe garantizar la libre concurrencia, la pluralidad de interesados y la comparación objetiva de las ofertas. Este procedimiento puede ser análogo a otros donde existe competencia, como la licitación pública</w:t>
      </w:r>
      <w:r w:rsidRPr="00877011">
        <w:rPr>
          <w:rFonts w:ascii="Verdana" w:eastAsia="Calibri" w:hAnsi="Verdana" w:cs="Arial"/>
          <w:color w:val="000000"/>
          <w:lang w:val="es-MX" w:eastAsia="es-ES_tradnl"/>
        </w:rPr>
        <w:t>.</w:t>
      </w:r>
    </w:p>
    <w:p w14:paraId="18F45745" w14:textId="77777777" w:rsidR="008C34A2" w:rsidRPr="00CC2C47" w:rsidRDefault="008C34A2" w:rsidP="008C34A2">
      <w:pPr>
        <w:pStyle w:val="Textoindependiente"/>
        <w:spacing w:after="0" w:line="276" w:lineRule="auto"/>
        <w:ind w:right="104"/>
        <w:jc w:val="both"/>
        <w:rPr>
          <w:rFonts w:ascii="Verdana" w:eastAsia="Calibri" w:hAnsi="Verdana" w:cs="Arial"/>
          <w:color w:val="000000" w:themeColor="text1"/>
        </w:rPr>
      </w:pPr>
    </w:p>
    <w:p w14:paraId="203B2919" w14:textId="77777777" w:rsidR="008C34A2" w:rsidRPr="001315DD" w:rsidRDefault="008C34A2" w:rsidP="008C34A2">
      <w:pPr>
        <w:widowControl w:val="0"/>
        <w:autoSpaceDE w:val="0"/>
        <w:autoSpaceDN w:val="0"/>
        <w:spacing w:after="120" w:line="276" w:lineRule="auto"/>
        <w:ind w:right="108"/>
        <w:jc w:val="both"/>
        <w:rPr>
          <w:rFonts w:ascii="Verdana" w:eastAsia="Arial" w:hAnsi="Verdana" w:cs="Arial"/>
          <w:color w:val="000000" w:themeColor="text1"/>
          <w:lang w:eastAsia="es-ES" w:bidi="es-ES"/>
        </w:rPr>
      </w:pPr>
      <w:r>
        <w:rPr>
          <w:rFonts w:ascii="Verdana" w:eastAsia="Calibri" w:hAnsi="Verdana" w:cs="Arial"/>
          <w:color w:val="000000" w:themeColor="text1"/>
        </w:rPr>
        <w:t>Respecto a la expedición de Adendas, tenemos que e</w:t>
      </w:r>
      <w:r w:rsidRPr="001315DD">
        <w:rPr>
          <w:rFonts w:ascii="Verdana" w:eastAsia="Calibri" w:hAnsi="Verdana" w:cs="Arial"/>
          <w:color w:val="000000" w:themeColor="text1"/>
        </w:rPr>
        <w:t xml:space="preserve">l pliego de condiciones se </w:t>
      </w:r>
      <w:r w:rsidRPr="001315DD">
        <w:rPr>
          <w:rFonts w:ascii="Verdana" w:eastAsia="Calibri" w:hAnsi="Verdana" w:cs="Arial"/>
          <w:color w:val="000000" w:themeColor="text1"/>
        </w:rPr>
        <w:lastRenderedPageBreak/>
        <w:t xml:space="preserve">concibe como </w:t>
      </w:r>
      <w:r w:rsidRPr="001315DD">
        <w:rPr>
          <w:rFonts w:ascii="Verdana" w:eastAsia="Arial" w:hAnsi="Verdana" w:cs="Arial"/>
          <w:color w:val="000000" w:themeColor="text1"/>
          <w:lang w:eastAsia="es-ES" w:bidi="es-ES"/>
        </w:rPr>
        <w:t>la hoja de ruta o plan</w:t>
      </w:r>
      <w:r w:rsidRPr="008964D3">
        <w:rPr>
          <w:vertAlign w:val="superscript"/>
          <w:lang w:eastAsia="es-ES" w:bidi="es-ES"/>
        </w:rPr>
        <w:footnoteReference w:id="7"/>
      </w:r>
      <w:r w:rsidRPr="001315DD">
        <w:rPr>
          <w:rFonts w:ascii="Verdana" w:eastAsia="Arial" w:hAnsi="Verdana" w:cs="Arial"/>
          <w:color w:val="000000" w:themeColor="text1"/>
          <w:lang w:eastAsia="es-ES" w:bidi="es-ES"/>
        </w:rPr>
        <w:t xml:space="preserve"> sobre el cual se diseña, estructura y concreta el procedimiento de selección de contratistas, y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8964D3">
        <w:rPr>
          <w:vertAlign w:val="superscript"/>
          <w:lang w:eastAsia="es-ES" w:bidi="es-ES"/>
        </w:rPr>
        <w:footnoteReference w:id="8"/>
      </w:r>
      <w:r w:rsidRPr="001315DD">
        <w:rPr>
          <w:rFonts w:ascii="Verdana" w:eastAsia="Arial" w:hAnsi="Verdana" w:cs="Arial"/>
          <w:color w:val="000000" w:themeColor="text1"/>
          <w:lang w:eastAsia="es-ES" w:bidi="es-ES"/>
        </w:rPr>
        <w:t>.</w:t>
      </w:r>
      <w:r w:rsidRPr="001315DD">
        <w:rPr>
          <w:rFonts w:ascii="Verdana" w:eastAsia="Arial" w:hAnsi="Verdana" w:cs="Arial"/>
          <w:color w:val="000000" w:themeColor="text1"/>
          <w:lang w:eastAsia="es-ES" w:bidi="es-ES"/>
        </w:rPr>
        <w:tab/>
      </w:r>
    </w:p>
    <w:p w14:paraId="18A474A2"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color w:val="000000" w:themeColor="text1"/>
          <w:lang w:eastAsia="es-ES" w:bidi="es-ES"/>
        </w:rPr>
      </w:pPr>
      <w:r w:rsidRPr="00EF4DC2">
        <w:rPr>
          <w:rFonts w:ascii="Verdana" w:eastAsia="Arial" w:hAnsi="Verdana" w:cs="Arial"/>
          <w:color w:val="000000" w:themeColor="text1"/>
          <w:lang w:eastAsia="es-ES" w:bidi="es-ES"/>
        </w:rPr>
        <w:t>De conformidad con lo anterior, la Administración en su calidad de entidad contratante tiene la facultad de configurar las reglas y exigencias de los pliegos de condiciones de manera libre, dentro de los parámetros y límites establecidos por el ordenamiento jurídico</w:t>
      </w:r>
      <w:r w:rsidRPr="0028253F">
        <w:rPr>
          <w:rStyle w:val="Refdenotaalpie"/>
          <w:rFonts w:ascii="Verdana" w:eastAsia="Arial" w:hAnsi="Verdana" w:cs="Arial"/>
          <w:color w:val="000000" w:themeColor="text1"/>
          <w:lang w:eastAsia="es-ES" w:bidi="es-ES"/>
        </w:rPr>
        <w:footnoteReference w:id="9"/>
      </w:r>
      <w:r w:rsidRPr="00EF4DC2">
        <w:rPr>
          <w:rFonts w:ascii="Verdana" w:eastAsia="Arial" w:hAnsi="Verdana" w:cs="Arial"/>
          <w:color w:val="000000" w:themeColor="text1"/>
          <w:lang w:eastAsia="es-ES" w:bidi="es-ES"/>
        </w:rPr>
        <w:t>, con fundamento en los estudios realizados en la fase de planeación. Además, tiene la carga de elaborarlos de manera idónea, objetiva, clara, precisa y completa, tal como se deduce de la disposición recién citada.</w:t>
      </w:r>
    </w:p>
    <w:p w14:paraId="781B2871"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color w:val="000000" w:themeColor="text1"/>
          <w:lang w:eastAsia="es-ES" w:bidi="es-ES"/>
        </w:rPr>
      </w:pPr>
      <w:r w:rsidRPr="00EF4DC2">
        <w:rPr>
          <w:rFonts w:ascii="Verdana" w:eastAsia="Arial" w:hAnsi="Verdana" w:cs="Arial"/>
          <w:color w:val="000000" w:themeColor="text1"/>
          <w:lang w:eastAsia="es-ES" w:bidi="es-ES"/>
        </w:rPr>
        <w:t>Sin perjuicio de lo anterior, puede ocurrir que surja la necesidad de efectuar correcciones, aclaraciones o modificaciones, bien sea porque las mismas tienen origen en necesidades identificadas por la entidad contratante o como consecuencia de observaciones realizadas por los interesados en el</w:t>
      </w:r>
      <w:r w:rsidRPr="00EF4DC2">
        <w:rPr>
          <w:rFonts w:ascii="Verdana" w:eastAsia="Arial" w:hAnsi="Verdana" w:cs="Arial"/>
          <w:color w:val="000000" w:themeColor="text1"/>
          <w:spacing w:val="-6"/>
          <w:lang w:eastAsia="es-ES" w:bidi="es-ES"/>
        </w:rPr>
        <w:t xml:space="preserve"> </w:t>
      </w:r>
      <w:r w:rsidRPr="00EF4DC2">
        <w:rPr>
          <w:rFonts w:ascii="Verdana" w:eastAsia="Arial" w:hAnsi="Verdana" w:cs="Arial"/>
          <w:color w:val="000000" w:themeColor="text1"/>
          <w:lang w:eastAsia="es-ES" w:bidi="es-ES"/>
        </w:rPr>
        <w:t>proceso, de manera que, pese a la planeación previa y el cumplimiento de las disposiciones aplicables, es posible que sea necesario modificar el pliego de condiciones.</w:t>
      </w:r>
    </w:p>
    <w:p w14:paraId="44EB5CBA"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lang w:eastAsia="es-ES" w:bidi="es-ES"/>
        </w:rPr>
      </w:pPr>
      <w:r w:rsidRPr="00EF4DC2">
        <w:rPr>
          <w:rFonts w:ascii="Verdana" w:eastAsia="Arial" w:hAnsi="Verdana" w:cs="Arial"/>
          <w:lang w:eastAsia="es-ES" w:bidi="es-ES"/>
        </w:rPr>
        <w:t xml:space="preserve">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EF4DC2">
        <w:rPr>
          <w:rFonts w:ascii="Verdana" w:eastAsia="Arial" w:hAnsi="Verdana" w:cs="Arial"/>
          <w:i/>
          <w:iCs/>
          <w:lang w:eastAsia="es-ES" w:bidi="es-ES"/>
        </w:rPr>
        <w:t>adendas</w:t>
      </w:r>
      <w:r w:rsidRPr="00EF4DC2">
        <w:rPr>
          <w:rFonts w:ascii="Verdana" w:eastAsia="Arial" w:hAnsi="Verdana" w:cs="Arial"/>
          <w:i/>
          <w:lang w:eastAsia="es-ES" w:bidi="es-ES"/>
        </w:rPr>
        <w:t xml:space="preserve">. </w:t>
      </w:r>
    </w:p>
    <w:p w14:paraId="14513825" w14:textId="77777777" w:rsidR="008C34A2" w:rsidRPr="00EF4DC2" w:rsidRDefault="008C34A2" w:rsidP="008C34A2">
      <w:pPr>
        <w:widowControl w:val="0"/>
        <w:autoSpaceDE w:val="0"/>
        <w:autoSpaceDN w:val="0"/>
        <w:spacing w:after="120" w:line="276" w:lineRule="auto"/>
        <w:ind w:right="107"/>
        <w:jc w:val="both"/>
        <w:rPr>
          <w:rFonts w:ascii="Verdana" w:eastAsia="Arial" w:hAnsi="Verdana" w:cs="Arial"/>
          <w:color w:val="000000" w:themeColor="text1"/>
          <w:lang w:eastAsia="es-ES" w:bidi="es-ES"/>
        </w:rPr>
      </w:pPr>
      <w:r w:rsidRPr="00EF4DC2">
        <w:rPr>
          <w:rFonts w:ascii="Verdana" w:eastAsia="Arial" w:hAnsi="Verdana" w:cs="Arial"/>
          <w:iCs/>
          <w:color w:val="000000" w:themeColor="text1"/>
          <w:lang w:eastAsia="es-ES" w:bidi="es-ES"/>
        </w:rPr>
        <w:t>C</w:t>
      </w:r>
      <w:r w:rsidRPr="00EF4DC2">
        <w:rPr>
          <w:rFonts w:ascii="Verdana" w:eastAsia="Arial" w:hAnsi="Verdana" w:cs="Arial"/>
          <w:color w:val="000000" w:themeColor="text1"/>
          <w:lang w:eastAsia="es-ES" w:bidi="es-ES"/>
        </w:rPr>
        <w:t>omo lo ha reconocido la jurisprudencia del Consejo de Estado, dichas modificaciones pueden realizarse por medio de cualquier otro documento que contenga</w:t>
      </w:r>
      <w:r w:rsidRPr="00EF4DC2">
        <w:rPr>
          <w:rFonts w:ascii="Verdana" w:eastAsia="Arial" w:hAnsi="Verdana" w:cs="Arial"/>
          <w:color w:val="000000" w:themeColor="text1"/>
          <w:spacing w:val="26"/>
          <w:lang w:eastAsia="es-ES" w:bidi="es-ES"/>
        </w:rPr>
        <w:t xml:space="preserve"> </w:t>
      </w:r>
      <w:r w:rsidRPr="00EF4DC2">
        <w:rPr>
          <w:rFonts w:ascii="Verdana" w:eastAsia="Arial" w:hAnsi="Verdana" w:cs="Arial"/>
          <w:color w:val="000000" w:themeColor="text1"/>
          <w:lang w:eastAsia="es-ES" w:bidi="es-ES"/>
        </w:rPr>
        <w:t>la</w:t>
      </w:r>
      <w:r w:rsidRPr="00EF4DC2">
        <w:rPr>
          <w:rFonts w:ascii="Verdana" w:eastAsia="Arial" w:hAnsi="Verdana" w:cs="Arial"/>
          <w:color w:val="000000" w:themeColor="text1"/>
          <w:spacing w:val="27"/>
          <w:lang w:eastAsia="es-ES" w:bidi="es-ES"/>
        </w:rPr>
        <w:t xml:space="preserve"> </w:t>
      </w:r>
      <w:r w:rsidRPr="00EF4DC2">
        <w:rPr>
          <w:rFonts w:ascii="Verdana" w:eastAsia="Arial" w:hAnsi="Verdana" w:cs="Arial"/>
          <w:color w:val="000000" w:themeColor="text1"/>
          <w:lang w:eastAsia="es-ES" w:bidi="es-ES"/>
        </w:rPr>
        <w:t>manifestación</w:t>
      </w:r>
      <w:r w:rsidRPr="00EF4DC2">
        <w:rPr>
          <w:rFonts w:ascii="Verdana" w:eastAsia="Arial" w:hAnsi="Verdana" w:cs="Arial"/>
          <w:color w:val="000000" w:themeColor="text1"/>
          <w:spacing w:val="26"/>
          <w:lang w:eastAsia="es-ES" w:bidi="es-ES"/>
        </w:rPr>
        <w:t xml:space="preserve"> </w:t>
      </w:r>
      <w:r w:rsidRPr="00EF4DC2">
        <w:rPr>
          <w:rFonts w:ascii="Verdana" w:eastAsia="Arial" w:hAnsi="Verdana" w:cs="Arial"/>
          <w:color w:val="000000" w:themeColor="text1"/>
          <w:lang w:eastAsia="es-ES" w:bidi="es-ES"/>
        </w:rPr>
        <w:t>de</w:t>
      </w:r>
      <w:r w:rsidRPr="00EF4DC2">
        <w:rPr>
          <w:rFonts w:ascii="Verdana" w:eastAsia="Arial" w:hAnsi="Verdana" w:cs="Arial"/>
          <w:color w:val="000000" w:themeColor="text1"/>
          <w:spacing w:val="27"/>
          <w:lang w:eastAsia="es-ES" w:bidi="es-ES"/>
        </w:rPr>
        <w:t xml:space="preserve"> </w:t>
      </w:r>
      <w:r w:rsidRPr="00EF4DC2">
        <w:rPr>
          <w:rFonts w:ascii="Verdana" w:eastAsia="Arial" w:hAnsi="Verdana" w:cs="Arial"/>
          <w:color w:val="000000" w:themeColor="text1"/>
          <w:lang w:eastAsia="es-ES" w:bidi="es-ES"/>
        </w:rPr>
        <w:t>voluntad</w:t>
      </w:r>
      <w:r w:rsidRPr="00EF4DC2">
        <w:rPr>
          <w:rFonts w:ascii="Verdana" w:eastAsia="Arial" w:hAnsi="Verdana" w:cs="Arial"/>
          <w:color w:val="000000" w:themeColor="text1"/>
          <w:spacing w:val="27"/>
          <w:lang w:eastAsia="es-ES" w:bidi="es-ES"/>
        </w:rPr>
        <w:t xml:space="preserve"> </w:t>
      </w:r>
      <w:r w:rsidRPr="00EF4DC2">
        <w:rPr>
          <w:rFonts w:ascii="Verdana" w:eastAsia="Arial" w:hAnsi="Verdana" w:cs="Arial"/>
          <w:color w:val="000000" w:themeColor="text1"/>
          <w:lang w:eastAsia="es-ES" w:bidi="es-ES"/>
        </w:rPr>
        <w:t>de</w:t>
      </w:r>
      <w:r w:rsidRPr="00EF4DC2">
        <w:rPr>
          <w:rFonts w:ascii="Verdana" w:eastAsia="Arial" w:hAnsi="Verdana" w:cs="Arial"/>
          <w:color w:val="000000" w:themeColor="text1"/>
          <w:spacing w:val="26"/>
          <w:lang w:eastAsia="es-ES" w:bidi="es-ES"/>
        </w:rPr>
        <w:t xml:space="preserve"> </w:t>
      </w:r>
      <w:r w:rsidRPr="00EF4DC2">
        <w:rPr>
          <w:rFonts w:ascii="Verdana" w:eastAsia="Arial" w:hAnsi="Verdana" w:cs="Arial"/>
          <w:color w:val="000000" w:themeColor="text1"/>
          <w:lang w:eastAsia="es-ES" w:bidi="es-ES"/>
        </w:rPr>
        <w:t>la</w:t>
      </w:r>
      <w:r w:rsidRPr="00EF4DC2">
        <w:rPr>
          <w:rFonts w:ascii="Verdana" w:eastAsia="Arial" w:hAnsi="Verdana" w:cs="Arial"/>
          <w:color w:val="000000" w:themeColor="text1"/>
          <w:spacing w:val="27"/>
          <w:lang w:eastAsia="es-ES" w:bidi="es-ES"/>
        </w:rPr>
        <w:t xml:space="preserve"> </w:t>
      </w:r>
      <w:r w:rsidRPr="00EF4DC2">
        <w:rPr>
          <w:rFonts w:ascii="Verdana" w:eastAsia="Arial" w:hAnsi="Verdana" w:cs="Arial"/>
          <w:color w:val="000000" w:themeColor="text1"/>
          <w:lang w:eastAsia="es-ES" w:bidi="es-ES"/>
        </w:rPr>
        <w:t>entidad</w:t>
      </w:r>
      <w:r w:rsidRPr="00EF4DC2">
        <w:rPr>
          <w:rFonts w:ascii="Verdana" w:eastAsia="Arial" w:hAnsi="Verdana" w:cs="Arial"/>
          <w:color w:val="000000" w:themeColor="text1"/>
          <w:spacing w:val="27"/>
          <w:lang w:eastAsia="es-ES" w:bidi="es-ES"/>
        </w:rPr>
        <w:t xml:space="preserve"> </w:t>
      </w:r>
      <w:r w:rsidRPr="00EF4DC2">
        <w:rPr>
          <w:rFonts w:ascii="Verdana" w:eastAsia="Arial" w:hAnsi="Verdana" w:cs="Arial"/>
          <w:color w:val="000000" w:themeColor="text1"/>
          <w:lang w:eastAsia="es-ES" w:bidi="es-ES"/>
        </w:rPr>
        <w:t>de</w:t>
      </w:r>
      <w:r w:rsidRPr="00EF4DC2">
        <w:rPr>
          <w:rFonts w:ascii="Verdana" w:eastAsia="Arial" w:hAnsi="Verdana" w:cs="Arial"/>
          <w:color w:val="000000" w:themeColor="text1"/>
          <w:spacing w:val="26"/>
          <w:lang w:eastAsia="es-ES" w:bidi="es-ES"/>
        </w:rPr>
        <w:t xml:space="preserve"> </w:t>
      </w:r>
      <w:r w:rsidRPr="00EF4DC2">
        <w:rPr>
          <w:rFonts w:ascii="Verdana" w:eastAsia="Arial" w:hAnsi="Verdana" w:cs="Arial"/>
          <w:color w:val="000000" w:themeColor="text1"/>
          <w:lang w:eastAsia="es-ES" w:bidi="es-ES"/>
        </w:rPr>
        <w:t>aclarar,</w:t>
      </w:r>
      <w:r w:rsidRPr="00EF4DC2">
        <w:rPr>
          <w:rFonts w:ascii="Verdana" w:eastAsia="Arial" w:hAnsi="Verdana" w:cs="Arial"/>
          <w:color w:val="000000" w:themeColor="text1"/>
          <w:spacing w:val="25"/>
          <w:lang w:eastAsia="es-ES" w:bidi="es-ES"/>
        </w:rPr>
        <w:t xml:space="preserve"> </w:t>
      </w:r>
      <w:r w:rsidRPr="00EF4DC2">
        <w:rPr>
          <w:rFonts w:ascii="Verdana" w:eastAsia="Arial" w:hAnsi="Verdana" w:cs="Arial"/>
          <w:color w:val="000000" w:themeColor="text1"/>
          <w:lang w:eastAsia="es-ES" w:bidi="es-ES"/>
        </w:rPr>
        <w:t>añadir,</w:t>
      </w:r>
      <w:r w:rsidRPr="00EF4DC2">
        <w:rPr>
          <w:rFonts w:ascii="Verdana" w:eastAsia="Arial" w:hAnsi="Verdana" w:cs="Arial"/>
          <w:color w:val="000000" w:themeColor="text1"/>
          <w:spacing w:val="25"/>
          <w:lang w:eastAsia="es-ES" w:bidi="es-ES"/>
        </w:rPr>
        <w:t xml:space="preserve"> </w:t>
      </w:r>
      <w:r w:rsidRPr="00EF4DC2">
        <w:rPr>
          <w:rFonts w:ascii="Verdana" w:eastAsia="Arial" w:hAnsi="Verdana" w:cs="Arial"/>
          <w:color w:val="000000" w:themeColor="text1"/>
          <w:lang w:eastAsia="es-ES" w:bidi="es-ES"/>
        </w:rPr>
        <w:t xml:space="preserve">adicionar, reemplazar o cambiar un aspecto o condición, incluida en los documentos del procedimiento de contratación, independientemente que a dicho documento se le titule como </w:t>
      </w:r>
      <w:r w:rsidRPr="00EF4DC2">
        <w:rPr>
          <w:rFonts w:ascii="Verdana" w:eastAsia="Arial" w:hAnsi="Verdana" w:cs="Arial"/>
          <w:i/>
          <w:iCs/>
          <w:color w:val="000000" w:themeColor="text1"/>
          <w:lang w:eastAsia="es-ES" w:bidi="es-ES"/>
        </w:rPr>
        <w:t xml:space="preserve">adenda, </w:t>
      </w:r>
      <w:r w:rsidRPr="00EF4DC2">
        <w:rPr>
          <w:rFonts w:ascii="Verdana" w:eastAsia="Arial" w:hAnsi="Verdana" w:cs="Arial"/>
          <w:color w:val="000000" w:themeColor="text1"/>
          <w:lang w:eastAsia="es-ES" w:bidi="es-ES"/>
        </w:rPr>
        <w:t xml:space="preserve">siempre que mediante dicho </w:t>
      </w:r>
      <w:r w:rsidRPr="00EF4DC2">
        <w:rPr>
          <w:rFonts w:ascii="Verdana" w:eastAsia="Arial" w:hAnsi="Verdana" w:cs="Arial"/>
          <w:color w:val="000000" w:themeColor="text1"/>
          <w:lang w:eastAsia="es-ES" w:bidi="es-ES"/>
        </w:rPr>
        <w:lastRenderedPageBreak/>
        <w:t>documento se modifiquen los pliegos de condiciones,</w:t>
      </w:r>
      <w:r w:rsidRPr="00B76FF1">
        <w:rPr>
          <w:vertAlign w:val="superscript"/>
          <w:lang w:eastAsia="es-ES" w:bidi="es-ES"/>
        </w:rPr>
        <w:footnoteReference w:id="10"/>
      </w:r>
      <w:r w:rsidRPr="00EF4DC2">
        <w:rPr>
          <w:rFonts w:ascii="Verdana" w:eastAsia="Arial" w:hAnsi="Verdana" w:cs="Arial"/>
          <w:color w:val="000000" w:themeColor="text1"/>
          <w:lang w:eastAsia="es-ES" w:bidi="es-ES"/>
        </w:rPr>
        <w:t xml:space="preserve"> lo cual ha de hacerse en el momento que legalmente se ha adecuado para ello.</w:t>
      </w:r>
    </w:p>
    <w:p w14:paraId="0AE39E7D" w14:textId="77777777" w:rsidR="008C34A2" w:rsidRPr="009C09BC" w:rsidRDefault="008C34A2" w:rsidP="008C34A2">
      <w:pPr>
        <w:widowControl w:val="0"/>
        <w:autoSpaceDE w:val="0"/>
        <w:autoSpaceDN w:val="0"/>
        <w:spacing w:after="120" w:line="276" w:lineRule="auto"/>
        <w:ind w:right="107"/>
        <w:jc w:val="both"/>
        <w:rPr>
          <w:rFonts w:ascii="Verdana" w:eastAsia="Arial" w:hAnsi="Verdana" w:cs="Arial"/>
          <w:color w:val="000000" w:themeColor="text1"/>
          <w:lang w:eastAsia="es-ES" w:bidi="es-ES"/>
        </w:rPr>
      </w:pPr>
      <w:r w:rsidRPr="00EF4DC2">
        <w:rPr>
          <w:rFonts w:ascii="Verdana" w:eastAsia="Arial" w:hAnsi="Verdana" w:cs="Arial"/>
          <w:color w:val="000000" w:themeColor="text1"/>
          <w:lang w:eastAsia="es-ES" w:bidi="es-ES"/>
        </w:rPr>
        <w:t>Dichas modificaciones solo resultan procedentes y pertinentes, en punto a materializar los demás principios de la administración, como la búsqueda incesantes del interés general, más aun teniendo en cuenta que el pliego de condiciones se contrae en su naturaleza a un acto administrativo que, como tal, debe ser acatado por los destinatarios y por la misma entidad pública, lo cual hace manifiesto su carácter obligatorio y vinculante para todas las partes intervinientes en las etapas precontractual y contractual, como de tiempo atrás lo ha reconocido la jurisprudencia</w:t>
      </w:r>
      <w:r w:rsidRPr="009C09BC">
        <w:rPr>
          <w:rStyle w:val="Refdenotaalpie"/>
          <w:rFonts w:ascii="Verdana" w:eastAsia="Arial" w:hAnsi="Verdana" w:cs="Arial"/>
          <w:color w:val="000000" w:themeColor="text1"/>
          <w:lang w:eastAsia="es-ES" w:bidi="es-ES"/>
        </w:rPr>
        <w:footnoteReference w:id="11"/>
      </w:r>
      <w:r w:rsidRPr="00EF4DC2">
        <w:rPr>
          <w:rFonts w:ascii="Verdana" w:eastAsia="Arial" w:hAnsi="Verdana" w:cs="Arial"/>
          <w:color w:val="000000" w:themeColor="text1"/>
          <w:lang w:eastAsia="es-ES" w:bidi="es-ES"/>
        </w:rPr>
        <w:t>.</w:t>
      </w:r>
    </w:p>
    <w:p w14:paraId="5943D9FB"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lang w:eastAsia="es-ES" w:bidi="es-ES"/>
        </w:rPr>
      </w:pPr>
      <w:r w:rsidRPr="00EF4DC2">
        <w:rPr>
          <w:rFonts w:ascii="Verdana" w:eastAsia="Arial" w:hAnsi="Verdana" w:cs="Arial"/>
          <w:lang w:eastAsia="es-ES" w:bidi="es-ES"/>
        </w:rPr>
        <w:t xml:space="preserve">Ahora bien, de conformidad con lo dispuesto en el artículo 30, numeral 5, de la Ley 80 de 1993 –modificado por el artículo 89 de la Ley 1474 de 2011 y el artículo 2.2.1.1.2.2.1. del Decreto 1082 de 2015, conviene diferenciar dos (2) tipos de ajustes que pueden dar lugar a la expedición de adendas: i) los referidos a las condiciones técnicas, jurídicas y económicas del pliego definitivo y, en general, a cualquier contenido distinto del cronograma del procedimiento de selección y </w:t>
      </w:r>
      <w:proofErr w:type="spellStart"/>
      <w:r w:rsidRPr="00EF4DC2">
        <w:rPr>
          <w:rFonts w:ascii="Verdana" w:eastAsia="Arial" w:hAnsi="Verdana" w:cs="Arial"/>
          <w:lang w:eastAsia="es-ES" w:bidi="es-ES"/>
        </w:rPr>
        <w:t>ii</w:t>
      </w:r>
      <w:proofErr w:type="spellEnd"/>
      <w:r w:rsidRPr="00EF4DC2">
        <w:rPr>
          <w:rFonts w:ascii="Verdana" w:eastAsia="Arial" w:hAnsi="Verdana" w:cs="Arial"/>
          <w:lang w:eastAsia="es-ES" w:bidi="es-ES"/>
        </w:rPr>
        <w:t xml:space="preserve">) los del cronograma. </w:t>
      </w:r>
    </w:p>
    <w:p w14:paraId="1B0E5158"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lang w:eastAsia="es-ES" w:bidi="es-ES"/>
        </w:rPr>
      </w:pPr>
      <w:r w:rsidRPr="00EF4DC2">
        <w:rPr>
          <w:rFonts w:ascii="Verdana" w:eastAsia="Calibri" w:hAnsi="Verdana" w:cs="Arial"/>
          <w:color w:val="000000" w:themeColor="text1"/>
        </w:rPr>
        <w:t>El primer tipo de adendas puede ser realizada hasta antes del vencimiento del plazo para la recepción de ofertas, mientras que las segundas, pueden realizarse luego del cierre del proceso, antes de la adjudicación del contrato, en las que solo se permite modificar los plazos de las etapas siguientes</w:t>
      </w:r>
      <w:r w:rsidRPr="00FD5430">
        <w:rPr>
          <w:rStyle w:val="Refdenotaalpie"/>
          <w:rFonts w:ascii="Verdana" w:eastAsia="Calibri" w:hAnsi="Verdana" w:cs="Arial"/>
          <w:color w:val="000000" w:themeColor="text1"/>
        </w:rPr>
        <w:footnoteReference w:id="12"/>
      </w:r>
      <w:r w:rsidRPr="00EF4DC2">
        <w:rPr>
          <w:rFonts w:ascii="Verdana" w:eastAsia="Calibri" w:hAnsi="Verdana" w:cs="Arial"/>
          <w:color w:val="000000" w:themeColor="text1"/>
        </w:rPr>
        <w:t xml:space="preserve">. Por tanto, aunque las condiciones técnicas, jurídicas y económicas no son modificables después de la presentación de las propuestas, nada obsta para </w:t>
      </w:r>
      <w:r w:rsidRPr="00EF4DC2">
        <w:rPr>
          <w:rFonts w:ascii="Verdana" w:eastAsia="Calibri" w:hAnsi="Verdana" w:cs="Arial"/>
          <w:color w:val="000000" w:themeColor="text1"/>
        </w:rPr>
        <w:lastRenderedPageBreak/>
        <w:t xml:space="preserve">que, vencido el plazo para su presentación, se amplíen o modifiquen los plazos de las siguientes etapas, de acuerdo con segundo inciso del artículo 2.2.1.1.2.2.1. del Decreto 1082 de 2015. </w:t>
      </w:r>
    </w:p>
    <w:p w14:paraId="0F536AAC" w14:textId="77777777" w:rsidR="008C34A2" w:rsidRPr="00EF4DC2" w:rsidRDefault="008C34A2" w:rsidP="008C34A2">
      <w:pPr>
        <w:spacing w:after="120" w:line="276" w:lineRule="auto"/>
        <w:jc w:val="both"/>
        <w:textAlignment w:val="baseline"/>
        <w:rPr>
          <w:rFonts w:ascii="Verdana" w:hAnsi="Verdana" w:cs="Arial"/>
          <w:color w:val="000000" w:themeColor="text1"/>
          <w:lang w:eastAsia="es-CO"/>
        </w:rPr>
      </w:pPr>
      <w:bookmarkStart w:id="5" w:name="_Hlk113273292"/>
      <w:r w:rsidRPr="00EF4DC2">
        <w:rPr>
          <w:rFonts w:ascii="Verdana" w:hAnsi="Verdana" w:cs="Arial"/>
          <w:color w:val="000000" w:themeColor="text1"/>
          <w:lang w:eastAsia="es-CO"/>
        </w:rPr>
        <w:t xml:space="preserve">Respecto de las adendas proferidas antes del cierre del proceso, es claro que existen ciertos límites temporales para la expedición y publicación de las adendas. En primer lugar, es necesario que las mismas se publiquen entre las 7:00 am y las 7:00 pm de un día hábil, aclarando que debe coincidir dentro de ese horario la hora que se disponga como cierre. </w:t>
      </w:r>
    </w:p>
    <w:p w14:paraId="0E3009D3" w14:textId="77777777" w:rsidR="008C34A2" w:rsidRPr="00EF4DC2" w:rsidRDefault="008C34A2" w:rsidP="008C34A2">
      <w:pPr>
        <w:spacing w:after="120" w:line="276" w:lineRule="auto"/>
        <w:jc w:val="both"/>
        <w:textAlignment w:val="baseline"/>
        <w:rPr>
          <w:rFonts w:ascii="Verdana" w:hAnsi="Verdana" w:cs="Arial"/>
          <w:color w:val="000000" w:themeColor="text1"/>
          <w:lang w:eastAsia="es-CO"/>
        </w:rPr>
      </w:pPr>
      <w:r w:rsidRPr="00EF4DC2">
        <w:rPr>
          <w:rFonts w:ascii="Verdana" w:hAnsi="Verdana" w:cs="Arial"/>
          <w:color w:val="000000" w:themeColor="text1"/>
          <w:lang w:eastAsia="es-CO"/>
        </w:rPr>
        <w:t xml:space="preserve">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w:t>
      </w:r>
    </w:p>
    <w:p w14:paraId="63F5A61D" w14:textId="77777777" w:rsidR="008C34A2" w:rsidRPr="00EF4DC2" w:rsidRDefault="008C34A2" w:rsidP="008C34A2">
      <w:pPr>
        <w:spacing w:after="120" w:line="276" w:lineRule="auto"/>
        <w:jc w:val="both"/>
        <w:textAlignment w:val="baseline"/>
        <w:rPr>
          <w:rFonts w:ascii="Verdana" w:hAnsi="Verdana" w:cs="Arial"/>
          <w:color w:val="000000" w:themeColor="text1"/>
          <w:lang w:eastAsia="es-CO"/>
        </w:rPr>
      </w:pPr>
      <w:r w:rsidRPr="00EF4DC2">
        <w:rPr>
          <w:rFonts w:ascii="Verdana" w:hAnsi="Verdana" w:cs="Arial"/>
          <w:color w:val="000000" w:themeColor="text1"/>
          <w:lang w:eastAsia="es-CO"/>
        </w:rPr>
        <w:t xml:space="preserve">En tercer lugar, existe una regla de excepción que deriva directamente del artículo 30 numeral 5 de la Ley 80 de 1993, y se reitera en la norma citada del Decreto 1082 de 2015, para la licitación pública, donde las adendas </w:t>
      </w:r>
      <w:r w:rsidRPr="00EF4DC2">
        <w:rPr>
          <w:rFonts w:ascii="Verdana" w:eastAsia="Arial" w:hAnsi="Verdana" w:cs="Arial"/>
          <w:color w:val="000000" w:themeColor="text1"/>
          <w:lang w:eastAsia="es-ES" w:bidi="es-ES"/>
        </w:rPr>
        <w:t>no podrán expedirse dentro de los tres (3) días hábiles anteriores en que se tiene previsto el cierre del proceso de selección, sino que deberán expedirse antes de dicho momento.</w:t>
      </w:r>
      <w:r w:rsidRPr="00EF4DC2">
        <w:rPr>
          <w:rFonts w:ascii="Verdana" w:hAnsi="Verdana" w:cs="Arial"/>
          <w:color w:val="000000" w:themeColor="text1"/>
          <w:lang w:eastAsia="es-CO"/>
        </w:rPr>
        <w:t xml:space="preserve"> </w:t>
      </w:r>
    </w:p>
    <w:bookmarkEnd w:id="5"/>
    <w:p w14:paraId="61F284CB" w14:textId="77777777" w:rsidR="008C34A2" w:rsidRPr="00EF4DC2" w:rsidRDefault="008C34A2" w:rsidP="008C34A2">
      <w:pPr>
        <w:spacing w:after="120" w:line="276" w:lineRule="auto"/>
        <w:jc w:val="both"/>
        <w:textAlignment w:val="baseline"/>
        <w:rPr>
          <w:rFonts w:ascii="Verdana" w:hAnsi="Verdana" w:cs="Arial"/>
          <w:color w:val="000000" w:themeColor="text1"/>
          <w:lang w:eastAsia="es-CO"/>
        </w:rPr>
      </w:pPr>
      <w:r w:rsidRPr="00EF4DC2">
        <w:rPr>
          <w:rFonts w:ascii="Verdana" w:hAnsi="Verdana" w:cs="Arial"/>
          <w:color w:val="000000" w:themeColor="text1"/>
          <w:lang w:eastAsia="es-CO"/>
        </w:rPr>
        <w:t xml:space="preserve">En ese orden de ideas, las normas prevén dos límites temporales para la publicación de las adendas: i) 3 días hábiles antes del vencimiento del plazo para presentar ofertas para la licitación pública y </w:t>
      </w:r>
      <w:proofErr w:type="spellStart"/>
      <w:r w:rsidRPr="00EF4DC2">
        <w:rPr>
          <w:rFonts w:ascii="Verdana" w:hAnsi="Verdana" w:cs="Arial"/>
          <w:color w:val="000000" w:themeColor="text1"/>
          <w:lang w:eastAsia="es-CO"/>
        </w:rPr>
        <w:t>ii</w:t>
      </w:r>
      <w:proofErr w:type="spellEnd"/>
      <w:r w:rsidRPr="00EF4DC2">
        <w:rPr>
          <w:rFonts w:ascii="Verdana" w:hAnsi="Verdana" w:cs="Arial"/>
          <w:color w:val="000000" w:themeColor="text1"/>
          <w:lang w:eastAsia="es-CO"/>
        </w:rPr>
        <w:t xml:space="preserve">) un día hábil antes del vencimiento del plazo para presentar ofertas para las demás modalidades de selección.  </w:t>
      </w:r>
    </w:p>
    <w:p w14:paraId="2FDD4CEB" w14:textId="77777777" w:rsidR="008C34A2" w:rsidRPr="00EF4DC2" w:rsidRDefault="008C34A2" w:rsidP="008C34A2">
      <w:pPr>
        <w:spacing w:before="120" w:after="0" w:line="276" w:lineRule="auto"/>
        <w:jc w:val="both"/>
        <w:rPr>
          <w:rFonts w:ascii="Verdana" w:eastAsia="Times New Roman" w:hAnsi="Verdana" w:cs="Arial"/>
          <w:color w:val="000000" w:themeColor="text1"/>
        </w:rPr>
      </w:pPr>
      <w:r w:rsidRPr="00EF4DC2">
        <w:rPr>
          <w:rFonts w:ascii="Verdana" w:eastAsia="Times New Roman" w:hAnsi="Verdana" w:cs="Arial"/>
          <w:color w:val="000000" w:themeColor="text1"/>
        </w:rPr>
        <w:t xml:space="preserve">Adicionalmente, hay normas específicas del EGCAP que establecen la facultad de prorrogar plazos de algunas etapas del proceso, pero en todo caso esto debe efectuarse antes de su vencimiento. A título de ejemplo, el numeral 5 de artículo 30 de la Ley 80 de 1993 señala que la entidad, de oficio o a solicitud de un número plural de posibles oferentes, podrá prorrogar el plazo para el cierre del proceso antes de su vencimiento, por un término no superior a la mitad del inicialmente fijado. De igual manera, el jefe de la entidad puede prorrogar el plazo para efectuar la adjudicación, y para la firma del contrato, respetando los limites perentorios de ley, esto es, antes del vencimiento de dichos plazos y por un término no mayor a la mitad del inicialmente fijado, cuando sea requerido. </w:t>
      </w:r>
    </w:p>
    <w:p w14:paraId="57DC9FCC" w14:textId="77777777" w:rsidR="008C34A2" w:rsidRPr="004B0C16" w:rsidRDefault="008C34A2" w:rsidP="008C34A2">
      <w:pPr>
        <w:spacing w:after="0" w:line="240" w:lineRule="auto"/>
        <w:jc w:val="both"/>
        <w:rPr>
          <w:rFonts w:ascii="Verdana" w:eastAsia="Times New Roman" w:hAnsi="Verdana" w:cs="Arial"/>
          <w:color w:val="000000" w:themeColor="text1"/>
        </w:rPr>
      </w:pPr>
    </w:p>
    <w:p w14:paraId="45EB3970" w14:textId="77777777" w:rsidR="008C34A2" w:rsidRPr="00EF4DC2" w:rsidRDefault="008C34A2" w:rsidP="008C34A2">
      <w:pPr>
        <w:spacing w:before="120" w:after="0" w:line="276" w:lineRule="auto"/>
        <w:jc w:val="both"/>
        <w:rPr>
          <w:rFonts w:ascii="Verdana" w:eastAsia="Calibri" w:hAnsi="Verdana" w:cs="Arial"/>
          <w:color w:val="000000" w:themeColor="text1"/>
        </w:rPr>
      </w:pPr>
      <w:r w:rsidRPr="00EF4DC2">
        <w:rPr>
          <w:rFonts w:ascii="Verdana" w:eastAsia="Calibri" w:hAnsi="Verdana" w:cs="Arial"/>
          <w:color w:val="000000" w:themeColor="text1"/>
        </w:rPr>
        <w:lastRenderedPageBreak/>
        <w:t xml:space="preserve">Si bien el artículo 2.2.1.1.2.2.1 de Decreto 1082 de 2015 no determina unas reglas concretas en relación con el plazo para la expedición de adendas al cronograma después del cierre del proceso y antes de la adjudicación del contrato, lo cierto es que estas únicamente podrán modificar los plazos de las etapas establecidas antes de su vencimiento y no después de este. Ello debido a que al culminar el plazo señalado en el cronograma se inicia la etapa subsiguiente y la entidad estatal no podría volver sobre la fase agotada. </w:t>
      </w:r>
    </w:p>
    <w:p w14:paraId="6C075FD7" w14:textId="77777777" w:rsidR="008C34A2" w:rsidRDefault="008C34A2" w:rsidP="008C34A2">
      <w:pPr>
        <w:widowControl w:val="0"/>
        <w:autoSpaceDE w:val="0"/>
        <w:autoSpaceDN w:val="0"/>
        <w:spacing w:after="120" w:line="276" w:lineRule="auto"/>
        <w:ind w:right="103"/>
        <w:jc w:val="both"/>
        <w:rPr>
          <w:rFonts w:ascii="Verdana" w:hAnsi="Verdana" w:cs="Arial"/>
          <w:color w:val="000000" w:themeColor="text1"/>
          <w:lang w:eastAsia="es-CO"/>
        </w:rPr>
      </w:pPr>
    </w:p>
    <w:p w14:paraId="71F4B95B" w14:textId="77777777" w:rsidR="008C34A2" w:rsidRPr="00EF4DC2" w:rsidRDefault="008C34A2" w:rsidP="008C34A2">
      <w:pPr>
        <w:widowControl w:val="0"/>
        <w:autoSpaceDE w:val="0"/>
        <w:autoSpaceDN w:val="0"/>
        <w:spacing w:after="120" w:line="276" w:lineRule="auto"/>
        <w:ind w:right="103"/>
        <w:jc w:val="both"/>
        <w:rPr>
          <w:rFonts w:ascii="Verdana" w:eastAsia="Arial" w:hAnsi="Verdana" w:cs="Arial"/>
          <w:lang w:eastAsia="es-ES" w:bidi="es-ES"/>
        </w:rPr>
      </w:pPr>
      <w:r w:rsidRPr="00EF4DC2">
        <w:rPr>
          <w:rFonts w:ascii="Verdana" w:eastAsia="Calibri" w:hAnsi="Verdana" w:cs="Arial"/>
          <w:lang w:val="es-MX" w:eastAsia="es-CO"/>
        </w:rPr>
        <w:t xml:space="preserve">En conclusión, las Entidad Estatales deben respetar el término del artículo 2.2.1.1.2.2.1 del Decreto 1082 de 2015 y, por ende, solo puede expedir y publicar adendas a más tardar el día hábil anterior, hasta </w:t>
      </w:r>
      <w:r w:rsidRPr="00EF4DC2">
        <w:rPr>
          <w:rFonts w:ascii="Verdana" w:eastAsia="Calibri" w:hAnsi="Verdana" w:cs="Arial"/>
          <w:lang w:eastAsia="es-CO"/>
        </w:rPr>
        <w:t xml:space="preserve">la hora fijada para la presentación de las ofertas del día hábil siguiente –esto es, del cierre del proceso–. Además de lo anterior, de acuerdo con dicha disposición las adendas deben publicarse en días hábiles, entre las 7:00 am y las 7:00 pm. </w:t>
      </w:r>
    </w:p>
    <w:p w14:paraId="5477DACF" w14:textId="77777777" w:rsidR="008C34A2" w:rsidRPr="00EF4DC2" w:rsidRDefault="008C34A2" w:rsidP="008C34A2">
      <w:pPr>
        <w:jc w:val="both"/>
        <w:rPr>
          <w:rFonts w:ascii="Verdana" w:eastAsia="Arial" w:hAnsi="Verdana" w:cs="Arial"/>
          <w:lang w:eastAsia="es-ES" w:bidi="es-ES"/>
        </w:rPr>
      </w:pPr>
      <w:r w:rsidRPr="00EF4DC2">
        <w:rPr>
          <w:rFonts w:ascii="Verdana" w:eastAsia="Arial" w:hAnsi="Verdana" w:cs="Arial"/>
          <w:lang w:eastAsia="es-ES" w:bidi="es-ES"/>
        </w:rPr>
        <w:t>La expedición se las adendas en cualquiera de los eventos antes señalados deben tener en consideración el principio de transparencia contenido en el artículo 24 de la Ley 80 de 1993, que busca dotar de una serie de garantías la actividad contractual estatal para que ésta se lleve a cabo con plena publicidad, con respeto de la igualdad de oportunidades de quienes pretenden contratar con el Estado, de manera imparcial, y con el fin de satisfacer el interés general, todo con el objeto de que la Administración elija la oferta más favorable a sus intereses</w:t>
      </w:r>
      <w:r>
        <w:rPr>
          <w:rStyle w:val="Refdenotaalpie"/>
          <w:rFonts w:ascii="Verdana" w:eastAsia="Arial" w:hAnsi="Verdana" w:cs="Arial"/>
          <w:lang w:eastAsia="es-ES" w:bidi="es-ES"/>
        </w:rPr>
        <w:footnoteReference w:id="13"/>
      </w:r>
      <w:r w:rsidRPr="00EF4DC2">
        <w:rPr>
          <w:rFonts w:ascii="Verdana" w:eastAsia="Arial" w:hAnsi="Verdana" w:cs="Arial"/>
          <w:lang w:eastAsia="es-ES" w:bidi="es-ES"/>
        </w:rPr>
        <w:t xml:space="preserve">. Del mismo modo, el principio de igualdad denota el deber de la Administración y al derecho de quienes pretender contratar con el Estado a que: i) la adjudicación de los contratos de realice a la mejor propuesta; </w:t>
      </w:r>
      <w:proofErr w:type="spellStart"/>
      <w:r w:rsidRPr="00EF4DC2">
        <w:rPr>
          <w:rFonts w:ascii="Verdana" w:eastAsia="Arial" w:hAnsi="Verdana" w:cs="Arial"/>
          <w:lang w:eastAsia="es-ES" w:bidi="es-ES"/>
        </w:rPr>
        <w:t>ii</w:t>
      </w:r>
      <w:proofErr w:type="spellEnd"/>
      <w:r w:rsidRPr="00EF4DC2">
        <w:rPr>
          <w:rFonts w:ascii="Verdana" w:eastAsia="Arial" w:hAnsi="Verdana" w:cs="Arial"/>
          <w:lang w:eastAsia="es-ES" w:bidi="es-ES"/>
        </w:rPr>
        <w:t xml:space="preserve">) el Estado garantice la mayor concurrencia de ofertas; </w:t>
      </w:r>
      <w:proofErr w:type="spellStart"/>
      <w:r w:rsidRPr="00EF4DC2">
        <w:rPr>
          <w:rFonts w:ascii="Verdana" w:eastAsia="Arial" w:hAnsi="Verdana" w:cs="Arial"/>
          <w:lang w:eastAsia="es-ES" w:bidi="es-ES"/>
        </w:rPr>
        <w:t>iii</w:t>
      </w:r>
      <w:proofErr w:type="spellEnd"/>
      <w:r w:rsidRPr="00EF4DC2">
        <w:rPr>
          <w:rFonts w:ascii="Verdana" w:eastAsia="Arial" w:hAnsi="Verdana" w:cs="Arial"/>
          <w:lang w:eastAsia="es-ES" w:bidi="es-ES"/>
        </w:rPr>
        <w:t xml:space="preserve">) ninguno de los oferentes sufra una discriminación no justificada; </w:t>
      </w:r>
      <w:proofErr w:type="spellStart"/>
      <w:r w:rsidRPr="00EF4DC2">
        <w:rPr>
          <w:rFonts w:ascii="Verdana" w:eastAsia="Arial" w:hAnsi="Verdana" w:cs="Arial"/>
          <w:lang w:eastAsia="es-ES" w:bidi="es-ES"/>
        </w:rPr>
        <w:t>iv</w:t>
      </w:r>
      <w:proofErr w:type="spellEnd"/>
      <w:r w:rsidRPr="00EF4DC2">
        <w:rPr>
          <w:rFonts w:ascii="Verdana" w:eastAsia="Arial" w:hAnsi="Verdana" w:cs="Arial"/>
          <w:lang w:eastAsia="es-ES" w:bidi="es-ES"/>
        </w:rPr>
        <w:t>) todos los participantes tengan el mismo plazo para presentar sus ofertas; v) las mismas se sometan por igual a los términos señalados por la Administración; vi) y el Estado justifique con criterios objetivos cuál fue la mejor propuesta; entre otros</w:t>
      </w:r>
      <w:r>
        <w:rPr>
          <w:rStyle w:val="Refdenotaalpie"/>
          <w:rFonts w:ascii="Verdana" w:eastAsia="Arial" w:hAnsi="Verdana" w:cs="Arial"/>
          <w:lang w:eastAsia="es-ES" w:bidi="es-ES"/>
        </w:rPr>
        <w:footnoteReference w:id="14"/>
      </w:r>
      <w:r w:rsidRPr="00EF4DC2">
        <w:rPr>
          <w:rFonts w:ascii="Verdana" w:eastAsia="Arial" w:hAnsi="Verdana" w:cs="Arial"/>
          <w:lang w:eastAsia="es-ES" w:bidi="es-ES"/>
        </w:rPr>
        <w:t xml:space="preserve">. </w:t>
      </w:r>
    </w:p>
    <w:p w14:paraId="15120FB1" w14:textId="77777777" w:rsidR="008C34A2" w:rsidRPr="00EF4DC2" w:rsidRDefault="008C34A2" w:rsidP="008C34A2">
      <w:pPr>
        <w:jc w:val="both"/>
        <w:rPr>
          <w:rFonts w:ascii="Verdana" w:eastAsia="Calibri" w:hAnsi="Verdana" w:cs="Arial"/>
          <w:color w:val="000000" w:themeColor="text1"/>
        </w:rPr>
      </w:pPr>
      <w:r w:rsidRPr="00EF4DC2">
        <w:rPr>
          <w:rFonts w:ascii="Verdana" w:eastAsia="Arial" w:hAnsi="Verdana" w:cs="Arial"/>
          <w:lang w:eastAsia="es-ES" w:bidi="es-ES"/>
        </w:rPr>
        <w:t xml:space="preserve">Por su parte, el principio de economía </w:t>
      </w:r>
      <w:r w:rsidRPr="00EF4DC2">
        <w:rPr>
          <w:rFonts w:ascii="Verdana" w:eastAsia="Calibri" w:hAnsi="Verdana" w:cs="Arial"/>
          <w:color w:val="000000" w:themeColor="text1"/>
        </w:rPr>
        <w:t xml:space="preserve">dispuesto en el artículo 25 de la Ley 80 de 1993, cuyo numeral primero indica que se cumplirán y establecerán los procedimientos y etapas estrictamente necesarios para asegurar la selección objetiva de la propuesta más favorable, por lo que se señalarán términos preclusivos y perentorios para las diferentes etapas de la selección. En virtud de </w:t>
      </w:r>
      <w:r w:rsidRPr="00EF4DC2">
        <w:rPr>
          <w:rFonts w:ascii="Verdana" w:eastAsia="Calibri" w:hAnsi="Verdana" w:cs="Arial"/>
          <w:color w:val="000000" w:themeColor="text1"/>
        </w:rPr>
        <w:lastRenderedPageBreak/>
        <w:t>este principio, las partes del proceso de contratación, así como los funcionarios públicos, se encuentran obligados a respetar y acatar tales etapas y términos, sin que puedan desconocerlos o pasarlos por alto.</w:t>
      </w:r>
    </w:p>
    <w:p w14:paraId="70F0C0A1" w14:textId="77777777" w:rsidR="008C34A2" w:rsidRPr="00EF4DC2" w:rsidRDefault="008C34A2" w:rsidP="008C34A2">
      <w:pPr>
        <w:jc w:val="both"/>
        <w:rPr>
          <w:rFonts w:ascii="Verdana" w:eastAsia="Arial" w:hAnsi="Verdana" w:cs="Arial"/>
          <w:lang w:eastAsia="es-ES" w:bidi="es-ES"/>
        </w:rPr>
      </w:pPr>
      <w:r w:rsidRPr="00EF4DC2">
        <w:rPr>
          <w:rFonts w:ascii="Verdana" w:eastAsia="Arial" w:hAnsi="Verdana" w:cs="Arial"/>
          <w:lang w:eastAsia="es-ES" w:bidi="es-ES"/>
        </w:rPr>
        <w:t xml:space="preserve">De esta manera, el proceso de contratación estatal debe adelantarse dentro de unas etapas determinadas y respetando los términos procesales establecidos por la ley o el reglamento o los que fije la entidad contratante, sin perjuicio de la facultad de modificarlos o prorrogarlos mediante adenda antes del vencimiento del plazo señalado. No obstante, es pertinente indicar que esta facultad de modificación del cronograma no puede ser empleada de forma desproporcionada e injustificada por la entidad, de tal manera que se extiendan las etapas del proceso de contratación arbitrariamente en contravía de los principios de economía, de transparencia y de planeación.  </w:t>
      </w:r>
    </w:p>
    <w:p w14:paraId="5F1ADDB1" w14:textId="77777777" w:rsidR="008C34A2" w:rsidRDefault="008C34A2" w:rsidP="008C34A2">
      <w:pPr>
        <w:jc w:val="both"/>
        <w:rPr>
          <w:rFonts w:ascii="Verdana" w:eastAsia="Arial" w:hAnsi="Verdana" w:cs="Arial"/>
          <w:lang w:eastAsia="es-ES" w:bidi="es-ES"/>
        </w:rPr>
      </w:pPr>
      <w:r w:rsidRPr="00EF4DC2">
        <w:rPr>
          <w:rFonts w:ascii="Verdana" w:eastAsia="Arial" w:hAnsi="Verdana" w:cs="Arial"/>
          <w:lang w:eastAsia="es-ES" w:bidi="es-ES"/>
        </w:rPr>
        <w:t>En efecto, las adendas como expresión de la voluntad de la entidad estatal deberán contener la justificación clara que permita variar o complementar alguna previsión del pliego de condiciones, pues se trata de un documento institucional que emana de la entidad pública directora del procedimiento precontractual y que es dado a conocer a todos los interesados. Por lo tanto, su fuerza obligatoria se irradia a todas las partes del proceso precontractual quienes deberán acatarlo con el mismo vigor que se observa respecto de las previsiones del pliego de condiciones</w:t>
      </w:r>
      <w:r>
        <w:rPr>
          <w:rStyle w:val="Refdenotaalpie"/>
          <w:rFonts w:ascii="Verdana" w:eastAsia="Arial" w:hAnsi="Verdana" w:cs="Arial"/>
          <w:lang w:eastAsia="es-ES" w:bidi="es-ES"/>
        </w:rPr>
        <w:footnoteReference w:id="15"/>
      </w:r>
      <w:r w:rsidRPr="00EF4DC2">
        <w:rPr>
          <w:rFonts w:ascii="Verdana" w:eastAsia="Arial" w:hAnsi="Verdana" w:cs="Arial"/>
          <w:lang w:eastAsia="es-ES" w:bidi="es-ES"/>
        </w:rPr>
        <w:t>. En efecto, el pliego de condiciones podrá ser modificado a través de las adendas, en las oportunidades y con los límites previstos en el estatuto contractual, con el conocimiento e intervención de los participantes, por cuanto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w:t>
      </w:r>
      <w:r>
        <w:rPr>
          <w:rStyle w:val="Refdenotaalpie"/>
          <w:rFonts w:ascii="Verdana" w:eastAsia="Arial" w:hAnsi="Verdana" w:cs="Arial"/>
          <w:lang w:eastAsia="es-ES" w:bidi="es-ES"/>
        </w:rPr>
        <w:footnoteReference w:id="16"/>
      </w:r>
      <w:r w:rsidRPr="00EF4DC2">
        <w:rPr>
          <w:rFonts w:ascii="Verdana" w:eastAsia="Arial" w:hAnsi="Verdana" w:cs="Arial"/>
          <w:lang w:eastAsia="es-ES" w:bidi="es-ES"/>
        </w:rPr>
        <w:t>.</w:t>
      </w:r>
    </w:p>
    <w:p w14:paraId="24B7BD39" w14:textId="77777777" w:rsidR="008C34A2" w:rsidRPr="00D804ED" w:rsidRDefault="008C34A2" w:rsidP="008C34A2">
      <w:pPr>
        <w:spacing w:after="0" w:line="276" w:lineRule="auto"/>
        <w:jc w:val="both"/>
        <w:rPr>
          <w:rFonts w:ascii="Verdana" w:eastAsia="Calibri" w:hAnsi="Verdana" w:cs="Arial"/>
        </w:rPr>
      </w:pPr>
      <w:r>
        <w:rPr>
          <w:rFonts w:ascii="Verdana" w:eastAsia="Calibri" w:hAnsi="Verdana" w:cs="Arial"/>
          <w:lang w:val="es-ES"/>
        </w:rPr>
        <w:t>En torno al interrogante referente a l</w:t>
      </w:r>
      <w:r w:rsidRPr="00D804ED">
        <w:rPr>
          <w:rFonts w:ascii="Verdana" w:eastAsia="Calibri" w:hAnsi="Verdana" w:cs="Arial"/>
          <w:lang w:val="es-ES"/>
        </w:rPr>
        <w:t xml:space="preserve">a limitación territorial de las convocatorias a MiPymes encuentra su fundamento legal en el </w:t>
      </w:r>
      <w:r w:rsidRPr="00D804ED">
        <w:rPr>
          <w:rFonts w:ascii="Verdana" w:hAnsi="Verdana" w:cs="Arial"/>
        </w:rPr>
        <w:t xml:space="preserve">artículo </w:t>
      </w:r>
      <w:r w:rsidRPr="00D804ED">
        <w:rPr>
          <w:rFonts w:ascii="Verdana" w:eastAsia="Calibri" w:hAnsi="Verdana" w:cs="Arial"/>
        </w:rPr>
        <w:t>2.2.1.2.4.2.3 del Decreto 1082 de 2015, modificado por el artículo 5 del Decreto 1860 de 2021, como sigue:</w:t>
      </w:r>
    </w:p>
    <w:p w14:paraId="37E2F917" w14:textId="77777777" w:rsidR="008C34A2" w:rsidRPr="00D804ED" w:rsidRDefault="008C34A2" w:rsidP="008C34A2">
      <w:pPr>
        <w:spacing w:after="0" w:line="276" w:lineRule="auto"/>
        <w:jc w:val="both"/>
        <w:rPr>
          <w:rFonts w:ascii="Verdana" w:eastAsia="Calibri" w:hAnsi="Verdana" w:cs="Arial"/>
        </w:rPr>
      </w:pPr>
    </w:p>
    <w:p w14:paraId="197AC8D7" w14:textId="77777777" w:rsidR="008C34A2" w:rsidRPr="00D804ED" w:rsidRDefault="008C34A2" w:rsidP="008C34A2">
      <w:pPr>
        <w:spacing w:after="0" w:line="240" w:lineRule="auto"/>
        <w:ind w:left="708" w:right="616" w:firstLine="62"/>
        <w:jc w:val="both"/>
        <w:rPr>
          <w:rFonts w:ascii="Verdana" w:eastAsia="Calibri" w:hAnsi="Verdana" w:cs="Arial"/>
          <w:sz w:val="20"/>
          <w:szCs w:val="20"/>
        </w:rPr>
      </w:pPr>
      <w:r w:rsidRPr="00D804ED">
        <w:rPr>
          <w:rStyle w:val="Textoennegrita"/>
          <w:rFonts w:ascii="Verdana" w:hAnsi="Verdana" w:cs="Arial"/>
          <w:color w:val="000000"/>
          <w:sz w:val="20"/>
          <w:szCs w:val="20"/>
        </w:rPr>
        <w:t>Limitaciones territoriales. </w:t>
      </w:r>
      <w:r w:rsidRPr="00D804ED">
        <w:rPr>
          <w:rFonts w:ascii="Verdana" w:hAnsi="Verdana" w:cs="Arial"/>
          <w:color w:val="000000"/>
          <w:sz w:val="20"/>
          <w:szCs w:val="20"/>
        </w:rPr>
        <w:t xml:space="preserve">De conformidad con el parágrafo 1 del artículo 12 de la Ley 1150 de 2007, las Entidades Estatales, independientemente de su régimen de contratación, los patrimonios </w:t>
      </w:r>
      <w:r w:rsidRPr="00D804ED">
        <w:rPr>
          <w:rFonts w:ascii="Verdana" w:hAnsi="Verdana" w:cs="Arial"/>
          <w:color w:val="000000"/>
          <w:sz w:val="20"/>
          <w:szCs w:val="20"/>
        </w:rPr>
        <w:lastRenderedPageBreak/>
        <w:t xml:space="preserve">autónomos constituidos por Entidades Estatales y los particulares que ejecuten recursos públicos, pueden realizar convocatorias limitadas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que tengan domicilio en los departamentos o municipios en donde se va a ejecutar el contrato. Cada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deberá acreditar su domicilio con los documentos a los que se refiere el siguiente artículo.</w:t>
      </w:r>
    </w:p>
    <w:p w14:paraId="16779FA6" w14:textId="77777777" w:rsidR="008C34A2" w:rsidRPr="00D804ED" w:rsidRDefault="008C34A2" w:rsidP="008C34A2">
      <w:pPr>
        <w:spacing w:after="0" w:line="276" w:lineRule="auto"/>
        <w:jc w:val="both"/>
        <w:rPr>
          <w:rFonts w:ascii="Verdana" w:eastAsia="Calibri" w:hAnsi="Verdana" w:cs="Arial"/>
          <w:lang w:val="es-ES"/>
        </w:rPr>
      </w:pPr>
    </w:p>
    <w:p w14:paraId="063457FC" w14:textId="77777777" w:rsidR="008C34A2" w:rsidRPr="00D804ED" w:rsidRDefault="008C34A2" w:rsidP="008C34A2">
      <w:pPr>
        <w:spacing w:after="120" w:line="276" w:lineRule="auto"/>
        <w:ind w:firstLine="708"/>
        <w:jc w:val="both"/>
        <w:rPr>
          <w:rFonts w:ascii="Verdana" w:eastAsia="Calibri" w:hAnsi="Verdana" w:cs="Arial"/>
          <w:color w:val="000000" w:themeColor="text1"/>
        </w:rPr>
      </w:pPr>
      <w:r w:rsidRPr="00D804ED">
        <w:rPr>
          <w:rFonts w:ascii="Verdana" w:eastAsia="Calibri" w:hAnsi="Verdana" w:cs="Arial"/>
          <w:lang w:val="es-ES"/>
        </w:rPr>
        <w:t xml:space="preserve">Como se evidencia de la redacción del anterior artículo, la decisión de limitar las convocatorias a MiPymes que tengan su domicilio en el municipio o departamento donde se va a ejecutar el contrato es facultativa de la entidad, en tanto la </w:t>
      </w:r>
      <w:r w:rsidRPr="00D804ED">
        <w:rPr>
          <w:rFonts w:ascii="Verdana" w:hAnsi="Verdana" w:cs="Arial"/>
          <w:color w:val="000000" w:themeColor="text1"/>
        </w:rPr>
        <w:t xml:space="preserve">norma se refiere a la facultad de la administración con el verbo infinitivo “poder”, no “deber”. </w:t>
      </w:r>
      <w:r w:rsidRPr="00D804ED">
        <w:rPr>
          <w:rFonts w:ascii="Verdana" w:eastAsia="Times New Roman" w:hAnsi="Verdana" w:cs="Arial"/>
          <w:lang w:eastAsia="es-CO"/>
        </w:rPr>
        <w:t>L</w:t>
      </w:r>
      <w:r w:rsidRPr="004508B5">
        <w:rPr>
          <w:rFonts w:ascii="Verdana" w:eastAsia="Times New Roman" w:hAnsi="Verdana" w:cs="Arial"/>
          <w:lang w:eastAsia="es-CO"/>
        </w:rPr>
        <w:t>a Agencia Nacional de Contratación Pública – Colombia Compra Eficiente</w:t>
      </w:r>
      <w:r w:rsidRPr="00D804ED">
        <w:rPr>
          <w:rFonts w:ascii="Verdana" w:eastAsia="Calibri" w:hAnsi="Verdana" w:cs="Arial"/>
          <w:color w:val="000000" w:themeColor="text1"/>
        </w:rPr>
        <w:t xml:space="preserve"> ha sostenido que la decisión de limitar territorialmente un</w:t>
      </w:r>
      <w:r w:rsidRPr="00D804ED">
        <w:rPr>
          <w:rFonts w:ascii="Verdana" w:hAnsi="Verdana" w:cs="Arial"/>
          <w:color w:val="000000" w:themeColor="text1"/>
        </w:rPr>
        <w:t xml:space="preserve">a convocatoria a MiPymes </w:t>
      </w:r>
      <w:r w:rsidRPr="00D804ED">
        <w:rPr>
          <w:rFonts w:ascii="Verdana" w:eastAsia="Calibri" w:hAnsi="Verdana" w:cs="Arial"/>
          <w:color w:val="000000" w:themeColor="text1"/>
        </w:rPr>
        <w:t>es discrecional, y ha precisado que, de todos modos, esta debe justificarse con fundamento en los correspondientes “estudios del sector”</w:t>
      </w:r>
      <w:r>
        <w:rPr>
          <w:rFonts w:ascii="Verdana" w:eastAsia="Calibri" w:hAnsi="Verdana" w:cs="Arial"/>
          <w:color w:val="000000" w:themeColor="text1"/>
        </w:rPr>
        <w:t>, como se puede encontrar detalladamente en la “</w:t>
      </w:r>
      <w:r w:rsidRPr="006E53C7">
        <w:rPr>
          <w:rFonts w:ascii="Verdana" w:eastAsia="Calibri" w:hAnsi="Verdana" w:cs="Arial"/>
          <w:color w:val="000000" w:themeColor="text1"/>
        </w:rPr>
        <w:t>GUÍA PARA PROMOVER LA PARTICIPACIÓN DE LAS MIPYMES EN LOS</w:t>
      </w:r>
      <w:r>
        <w:rPr>
          <w:rFonts w:ascii="Verdana" w:eastAsia="Calibri" w:hAnsi="Verdana" w:cs="Arial"/>
          <w:color w:val="000000" w:themeColor="text1"/>
        </w:rPr>
        <w:t xml:space="preserve"> </w:t>
      </w:r>
      <w:r w:rsidRPr="006E53C7">
        <w:rPr>
          <w:rFonts w:ascii="Verdana" w:eastAsia="Calibri" w:hAnsi="Verdana" w:cs="Arial"/>
          <w:color w:val="000000" w:themeColor="text1"/>
        </w:rPr>
        <w:t>PROCESOS DE COMPRA Y CONTRATACIÓN PÚBLICA</w:t>
      </w:r>
      <w:r>
        <w:rPr>
          <w:rFonts w:ascii="Verdana" w:eastAsia="Calibri" w:hAnsi="Verdana" w:cs="Arial"/>
          <w:color w:val="000000" w:themeColor="text1"/>
        </w:rPr>
        <w:t>”</w:t>
      </w:r>
      <w:r>
        <w:rPr>
          <w:rStyle w:val="Refdenotaalpie"/>
          <w:rFonts w:ascii="Verdana" w:eastAsia="Calibri" w:hAnsi="Verdana" w:cs="Arial"/>
          <w:color w:val="000000" w:themeColor="text1"/>
        </w:rPr>
        <w:footnoteReference w:id="17"/>
      </w:r>
      <w:r>
        <w:rPr>
          <w:rFonts w:ascii="Verdana" w:eastAsia="Calibri" w:hAnsi="Verdana" w:cs="Arial"/>
          <w:color w:val="000000" w:themeColor="text1"/>
        </w:rPr>
        <w:t>.</w:t>
      </w:r>
    </w:p>
    <w:p w14:paraId="21200643" w14:textId="77777777" w:rsidR="008C34A2" w:rsidRPr="00D804ED" w:rsidRDefault="008C34A2" w:rsidP="008C34A2">
      <w:pPr>
        <w:spacing w:after="120" w:line="276" w:lineRule="auto"/>
        <w:ind w:firstLine="708"/>
        <w:jc w:val="both"/>
        <w:rPr>
          <w:rFonts w:ascii="Verdana" w:eastAsia="Arial" w:hAnsi="Verdana" w:cs="Arial"/>
          <w:color w:val="000000" w:themeColor="text1"/>
        </w:rPr>
      </w:pPr>
      <w:r w:rsidRPr="00D804ED">
        <w:rPr>
          <w:rFonts w:ascii="Verdana" w:eastAsia="Calibri" w:hAnsi="Verdana" w:cs="Arial"/>
          <w:color w:val="000000" w:themeColor="text1"/>
        </w:rPr>
        <w:t xml:space="preserve">Además, la entidad debe verificar </w:t>
      </w:r>
      <w:r w:rsidRPr="00D804ED">
        <w:rPr>
          <w:rFonts w:ascii="Verdana" w:eastAsia="Arial" w:hAnsi="Verdana" w:cs="Arial"/>
          <w:color w:val="000000" w:themeColor="text1"/>
        </w:rPr>
        <w:t>los requisitos establecidos en los numerales 1 y 2 del artículo 2.2.1.2.4.2.2 del Decreto 1082 de 2015, modificado por el Decreto 1860 de 2021, como sigue:</w:t>
      </w:r>
    </w:p>
    <w:p w14:paraId="649CF627" w14:textId="77777777" w:rsidR="008C34A2" w:rsidRPr="00D804ED" w:rsidRDefault="008C34A2" w:rsidP="008C34A2">
      <w:pPr>
        <w:spacing w:after="120" w:line="240" w:lineRule="auto"/>
        <w:ind w:left="709" w:right="616"/>
        <w:jc w:val="both"/>
        <w:rPr>
          <w:rFonts w:ascii="Verdana" w:hAnsi="Verdana" w:cs="Arial"/>
          <w:color w:val="000000"/>
          <w:sz w:val="20"/>
          <w:szCs w:val="20"/>
        </w:rPr>
      </w:pPr>
      <w:r w:rsidRPr="00D804ED">
        <w:rPr>
          <w:rStyle w:val="Textoennegrita"/>
          <w:rFonts w:ascii="Verdana" w:hAnsi="Verdana" w:cs="Arial"/>
          <w:color w:val="000000"/>
          <w:sz w:val="20"/>
          <w:szCs w:val="20"/>
        </w:rPr>
        <w:t xml:space="preserve">Convocatorias Limitadas a </w:t>
      </w:r>
      <w:proofErr w:type="spellStart"/>
      <w:r w:rsidRPr="00D804ED">
        <w:rPr>
          <w:rStyle w:val="Textoennegrita"/>
          <w:rFonts w:ascii="Verdana" w:hAnsi="Verdana" w:cs="Arial"/>
          <w:color w:val="000000"/>
          <w:sz w:val="20"/>
          <w:szCs w:val="20"/>
        </w:rPr>
        <w:t>Mipyme</w:t>
      </w:r>
      <w:proofErr w:type="spellEnd"/>
      <w:r w:rsidRPr="00D804ED">
        <w:rPr>
          <w:rStyle w:val="Textoennegrita"/>
          <w:rFonts w:ascii="Verdana" w:hAnsi="Verdana" w:cs="Arial"/>
          <w:color w:val="000000"/>
          <w:sz w:val="20"/>
          <w:szCs w:val="20"/>
        </w:rPr>
        <w:t>.</w:t>
      </w:r>
      <w:r w:rsidRPr="00D804ED">
        <w:rPr>
          <w:rFonts w:ascii="Verdana" w:hAnsi="Verdana" w:cs="Arial"/>
          <w:color w:val="000000"/>
          <w:sz w:val="20"/>
          <w:szCs w:val="20"/>
        </w:rPr>
        <w:t xml:space="preserve"> Las Entidades Estatales independientemente de su régimen de contratación, los patrimonios autónomos constituidos por Entidades Estatales y los particulares que ejecuten recursos públicos, deben limitar la convocatoria de los Procesos de Contratación con pluralidad de oferentes a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con mínimo un (1) año de existencia, cuando concurran los siguientes requisitos:</w:t>
      </w:r>
      <w:r w:rsidRPr="00D804ED">
        <w:rPr>
          <w:rFonts w:ascii="Verdana" w:hAnsi="Verdana" w:cs="Arial"/>
          <w:color w:val="000000"/>
          <w:sz w:val="20"/>
          <w:szCs w:val="20"/>
        </w:rPr>
        <w:br/>
      </w:r>
      <w:r w:rsidRPr="00D804ED">
        <w:rPr>
          <w:rFonts w:ascii="Verdana" w:hAnsi="Verdana" w:cs="Arial"/>
          <w:color w:val="000000"/>
          <w:sz w:val="20"/>
          <w:szCs w:val="20"/>
        </w:rPr>
        <w:br/>
        <w:t>1. El valor del Proceso de Contratación sea menor a ciento veinticinco mil dólares de los Estados Unidos de América (US$125.000), liquidados con la tasa de cambio que para el efecto determina cada dos años el Ministerio de Comercio, Industria y Turismo.</w:t>
      </w:r>
      <w:r w:rsidRPr="00D804ED">
        <w:rPr>
          <w:rFonts w:ascii="Verdana" w:hAnsi="Verdana" w:cs="Arial"/>
          <w:color w:val="000000"/>
          <w:sz w:val="20"/>
          <w:szCs w:val="20"/>
        </w:rPr>
        <w:br/>
      </w:r>
      <w:r w:rsidRPr="00D804ED">
        <w:rPr>
          <w:rFonts w:ascii="Verdana" w:hAnsi="Verdana" w:cs="Arial"/>
          <w:color w:val="000000"/>
          <w:sz w:val="20"/>
          <w:szCs w:val="20"/>
        </w:rPr>
        <w:br/>
        <w:t xml:space="preserve">2. Se hayan recibido solicitudes de por lo menos dos (2)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para limitar la convocatoria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Las Entidades Estatales independientemente de su régimen de contratación, los patrimonios autónomos constituidos por Entidades Estatales y los particulares que ejecuten recursos públicos, deben recibir estas solicitudes </w:t>
      </w:r>
      <w:r w:rsidRPr="00D804ED">
        <w:rPr>
          <w:rFonts w:ascii="Verdana" w:hAnsi="Verdana" w:cs="Arial"/>
          <w:color w:val="000000"/>
          <w:sz w:val="20"/>
          <w:szCs w:val="20"/>
        </w:rPr>
        <w:lastRenderedPageBreak/>
        <w:t>por lo menos un (1) día hábil antes de la expedición del acto administrativo de apertura, o el que haga sus veces de acuerdo con la normativa aplicable a cada Proceso de Contratación.</w:t>
      </w:r>
    </w:p>
    <w:p w14:paraId="749C30BF" w14:textId="77777777" w:rsidR="008C34A2" w:rsidRPr="00D804ED" w:rsidRDefault="008C34A2" w:rsidP="008C34A2">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t xml:space="preserve">Tratándose de personas jurídicas, las solicitudes solo las podrán realizar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cuyo objeto social les permita ejecutar el contrato relacionado con el proceso contractual.</w:t>
      </w:r>
    </w:p>
    <w:p w14:paraId="270715E3" w14:textId="77777777" w:rsidR="008C34A2" w:rsidRPr="00D804ED" w:rsidRDefault="008C34A2" w:rsidP="008C34A2">
      <w:pPr>
        <w:spacing w:after="120" w:line="240" w:lineRule="auto"/>
        <w:ind w:left="709" w:right="616"/>
        <w:jc w:val="both"/>
        <w:rPr>
          <w:rFonts w:ascii="Verdana" w:hAnsi="Verdana" w:cs="Arial"/>
          <w:color w:val="000000"/>
          <w:sz w:val="20"/>
          <w:szCs w:val="20"/>
        </w:rPr>
      </w:pP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w:t>
      </w:r>
      <w:r w:rsidRPr="00D804ED">
        <w:rPr>
          <w:rFonts w:ascii="Verdana" w:hAnsi="Verdana" w:cs="Arial"/>
          <w:color w:val="000000"/>
          <w:sz w:val="20"/>
          <w:szCs w:val="20"/>
        </w:rPr>
        <w:t xml:space="preserve"> Las cooperativas y demás entidades de economía solidaria, siempre que tengan la calidad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podrán solicitar y participar en las convocatorias limitadas en las mismas condiciones dispuestas en el presente artículo.</w:t>
      </w:r>
    </w:p>
    <w:p w14:paraId="55DF5ABD" w14:textId="77777777" w:rsidR="008C34A2" w:rsidRPr="00D804ED" w:rsidRDefault="008C34A2" w:rsidP="008C34A2">
      <w:pPr>
        <w:spacing w:after="120" w:line="276" w:lineRule="auto"/>
        <w:ind w:firstLine="709"/>
        <w:jc w:val="both"/>
        <w:rPr>
          <w:rFonts w:ascii="Verdana" w:eastAsia="Arial" w:hAnsi="Verdana" w:cs="Arial"/>
          <w:color w:val="000000"/>
        </w:rPr>
      </w:pPr>
      <w:r w:rsidRPr="00D804ED">
        <w:rPr>
          <w:rFonts w:ascii="Verdana" w:eastAsia="Arial" w:hAnsi="Verdana" w:cs="Arial"/>
          <w:color w:val="000000" w:themeColor="text1"/>
        </w:rPr>
        <w:t xml:space="preserve">En ese sentido, si la entidad no recibió las solicitudes </w:t>
      </w:r>
      <w:r>
        <w:rPr>
          <w:rFonts w:ascii="Verdana" w:eastAsia="Arial" w:hAnsi="Verdana" w:cs="Arial"/>
          <w:color w:val="000000" w:themeColor="text1"/>
        </w:rPr>
        <w:t xml:space="preserve">por </w:t>
      </w:r>
      <w:proofErr w:type="spellStart"/>
      <w:r>
        <w:rPr>
          <w:rFonts w:ascii="Verdana" w:eastAsia="Arial" w:hAnsi="Verdana" w:cs="Arial"/>
          <w:color w:val="000000" w:themeColor="text1"/>
        </w:rPr>
        <w:t>Mipymes</w:t>
      </w:r>
      <w:proofErr w:type="spellEnd"/>
      <w:r>
        <w:rPr>
          <w:rFonts w:ascii="Verdana" w:eastAsia="Arial" w:hAnsi="Verdana" w:cs="Arial"/>
          <w:color w:val="000000" w:themeColor="text1"/>
        </w:rPr>
        <w:t xml:space="preserve"> colombianas con mínimo un año de existencia </w:t>
      </w:r>
      <w:r w:rsidRPr="00D804ED">
        <w:rPr>
          <w:rFonts w:ascii="Verdana" w:eastAsia="Arial" w:hAnsi="Verdana" w:cs="Arial"/>
          <w:color w:val="000000" w:themeColor="text1"/>
        </w:rPr>
        <w:t xml:space="preserve">para limitar la convocatoria a MiPymes, no puede </w:t>
      </w:r>
      <w:r w:rsidRPr="00D804ED">
        <w:rPr>
          <w:rFonts w:ascii="Verdana" w:eastAsia="Arial" w:hAnsi="Verdana" w:cs="Arial"/>
          <w:i/>
          <w:iCs/>
          <w:color w:val="000000" w:themeColor="text1"/>
        </w:rPr>
        <w:t xml:space="preserve">motu proprio </w:t>
      </w:r>
      <w:r w:rsidRPr="00D804ED">
        <w:rPr>
          <w:rFonts w:ascii="Verdana" w:eastAsia="Arial" w:hAnsi="Verdana" w:cs="Arial"/>
          <w:color w:val="000000" w:themeColor="text1"/>
        </w:rPr>
        <w:t>proceder con la “limitación territorial” de que trata el artículo 2.2.1.2.4.2.3 del Decreto 1082 de 2015. Esto debido a que el ejercicio de esta facultad solo puede darse ante la “limitación a MiPymes colombianas”, lo cual supone verificar los supuestos legales establecidos en los mencionados numerales.</w:t>
      </w:r>
    </w:p>
    <w:p w14:paraId="74A8E41E" w14:textId="77777777" w:rsidR="008C34A2" w:rsidRPr="00D804ED" w:rsidRDefault="008C34A2" w:rsidP="008C34A2">
      <w:pPr>
        <w:spacing w:after="120" w:line="276" w:lineRule="auto"/>
        <w:ind w:right="49" w:firstLine="708"/>
        <w:jc w:val="both"/>
        <w:rPr>
          <w:rFonts w:ascii="Verdana" w:hAnsi="Verdana" w:cs="Arial"/>
          <w:color w:val="000000" w:themeColor="text1"/>
        </w:rPr>
      </w:pPr>
      <w:r w:rsidRPr="00D804ED">
        <w:rPr>
          <w:rFonts w:ascii="Verdana" w:hAnsi="Verdana" w:cs="Arial"/>
          <w:color w:val="000000" w:themeColor="text1"/>
        </w:rPr>
        <w:t xml:space="preserve">Cumplidos los dos requisitos del artículo 2.2.1.2.4.2.2 </w:t>
      </w:r>
      <w:proofErr w:type="spellStart"/>
      <w:r w:rsidRPr="00D804ED">
        <w:rPr>
          <w:rFonts w:ascii="Verdana" w:hAnsi="Verdana" w:cs="Arial"/>
          <w:i/>
          <w:iCs/>
          <w:color w:val="000000" w:themeColor="text1"/>
        </w:rPr>
        <w:t>ibídem</w:t>
      </w:r>
      <w:proofErr w:type="spellEnd"/>
      <w:r w:rsidRPr="00D804ED">
        <w:rPr>
          <w:rFonts w:ascii="Verdana" w:hAnsi="Verdana" w:cs="Arial"/>
          <w:color w:val="000000" w:themeColor="text1"/>
        </w:rPr>
        <w:t>, la entidad estatal, independientemente de su régimen de contratación, los patrimonios autónomos constituidos por entidades estatales y los particulares que ejecuten recursos públicos, pueden ─sin estar obligadas─ decidir si limitan la convocatoria a las MiPymes colombianas domiciliadas en el municipio o departamento en el que se ejecutará el contrato.</w:t>
      </w:r>
    </w:p>
    <w:p w14:paraId="0E443C7A" w14:textId="77777777" w:rsidR="008C34A2" w:rsidRPr="00D804ED" w:rsidRDefault="008C34A2" w:rsidP="008C34A2">
      <w:pPr>
        <w:spacing w:after="0" w:line="276" w:lineRule="auto"/>
        <w:ind w:firstLine="705"/>
        <w:jc w:val="both"/>
        <w:textAlignment w:val="baseline"/>
        <w:rPr>
          <w:rFonts w:ascii="Verdana" w:eastAsia="Times New Roman" w:hAnsi="Verdana" w:cs="Arial"/>
          <w:lang w:val="es-MX" w:eastAsia="es-CO"/>
        </w:rPr>
      </w:pPr>
      <w:r w:rsidRPr="00D804ED">
        <w:rPr>
          <w:rFonts w:ascii="Verdana" w:eastAsia="Times New Roman" w:hAnsi="Verdana" w:cs="Arial"/>
          <w:lang w:val="es-MX" w:eastAsia="es-CO"/>
        </w:rPr>
        <w:t>Ahora bien,</w:t>
      </w:r>
      <w:r w:rsidRPr="004508B5">
        <w:rPr>
          <w:rFonts w:ascii="Verdana" w:eastAsia="Times New Roman" w:hAnsi="Verdana" w:cs="Arial"/>
          <w:lang w:val="es-MX" w:eastAsia="es-CO"/>
        </w:rPr>
        <w:t xml:space="preserve"> el domicilio de la </w:t>
      </w:r>
      <w:r w:rsidRPr="00D804ED">
        <w:rPr>
          <w:rFonts w:ascii="Verdana" w:eastAsia="Times New Roman" w:hAnsi="Verdana" w:cs="Arial"/>
          <w:lang w:val="es-MX" w:eastAsia="es-CO"/>
        </w:rPr>
        <w:t>M</w:t>
      </w:r>
      <w:r w:rsidRPr="004508B5">
        <w:rPr>
          <w:rFonts w:ascii="Verdana" w:eastAsia="Times New Roman" w:hAnsi="Verdana" w:cs="Arial"/>
          <w:lang w:val="es-MX" w:eastAsia="es-CO"/>
        </w:rPr>
        <w:t>i</w:t>
      </w:r>
      <w:r w:rsidRPr="00D804ED">
        <w:rPr>
          <w:rFonts w:ascii="Verdana" w:eastAsia="Times New Roman" w:hAnsi="Verdana" w:cs="Arial"/>
          <w:lang w:val="es-MX" w:eastAsia="es-CO"/>
        </w:rPr>
        <w:t>P</w:t>
      </w:r>
      <w:r w:rsidRPr="004508B5">
        <w:rPr>
          <w:rFonts w:ascii="Verdana" w:eastAsia="Times New Roman" w:hAnsi="Verdana" w:cs="Arial"/>
          <w:lang w:val="es-MX" w:eastAsia="es-CO"/>
        </w:rPr>
        <w:t>ymes que quiera participar en una convocatoria limitada territorialmente se acredita con los documentos definidos en el artículo 2.2.1.2.4.2.4. del Decreto 1082 de 2015, modificado por el Decreto 1860 de 2021</w:t>
      </w:r>
      <w:r w:rsidRPr="00D804ED">
        <w:rPr>
          <w:rFonts w:ascii="Verdana" w:eastAsia="Times New Roman" w:hAnsi="Verdana" w:cs="Arial"/>
          <w:lang w:val="es-MX" w:eastAsia="es-CO"/>
        </w:rPr>
        <w:t>, como sigue:</w:t>
      </w:r>
    </w:p>
    <w:p w14:paraId="6AD0C53F" w14:textId="77777777" w:rsidR="008C34A2" w:rsidRPr="00D804ED" w:rsidRDefault="008C34A2" w:rsidP="008C34A2">
      <w:pPr>
        <w:spacing w:after="0" w:line="276" w:lineRule="auto"/>
        <w:ind w:firstLine="705"/>
        <w:jc w:val="both"/>
        <w:textAlignment w:val="baseline"/>
        <w:rPr>
          <w:rFonts w:ascii="Verdana" w:eastAsia="Times New Roman" w:hAnsi="Verdana" w:cs="Arial"/>
          <w:lang w:val="es-MX" w:eastAsia="es-CO"/>
        </w:rPr>
      </w:pPr>
    </w:p>
    <w:p w14:paraId="662BF32D" w14:textId="77777777" w:rsidR="008C34A2" w:rsidRPr="00D804ED" w:rsidRDefault="008C34A2" w:rsidP="008C34A2">
      <w:pPr>
        <w:spacing w:after="0" w:line="240" w:lineRule="auto"/>
        <w:ind w:left="709" w:right="616" w:hanging="4"/>
        <w:jc w:val="both"/>
        <w:textAlignment w:val="baseline"/>
        <w:rPr>
          <w:rFonts w:ascii="Verdana" w:eastAsia="Times New Roman" w:hAnsi="Verdana" w:cs="Arial"/>
          <w:sz w:val="20"/>
          <w:szCs w:val="20"/>
          <w:lang w:val="es-MX" w:eastAsia="es-CO"/>
        </w:rPr>
      </w:pPr>
      <w:r w:rsidRPr="00D804ED">
        <w:rPr>
          <w:rStyle w:val="Textoennegrita"/>
          <w:rFonts w:ascii="Verdana" w:hAnsi="Verdana" w:cs="Arial"/>
          <w:color w:val="000000"/>
          <w:sz w:val="20"/>
          <w:szCs w:val="20"/>
        </w:rPr>
        <w:t>Acreditación de requisitos para participar en convocatorias limitadas.</w:t>
      </w:r>
      <w:r w:rsidRPr="00D804ED">
        <w:rPr>
          <w:rFonts w:ascii="Verdana" w:hAnsi="Verdana" w:cs="Arial"/>
          <w:color w:val="000000"/>
          <w:sz w:val="20"/>
          <w:szCs w:val="20"/>
        </w:rPr>
        <w:t xml:space="preserve"> La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colombianas deben acreditar que tiene el tamaño empresarial establecido por la ley de la siguiente manera:</w:t>
      </w:r>
      <w:r w:rsidRPr="00D804ED">
        <w:rPr>
          <w:rFonts w:ascii="Verdana" w:hAnsi="Verdana" w:cs="Arial"/>
          <w:color w:val="000000"/>
          <w:sz w:val="20"/>
          <w:szCs w:val="20"/>
        </w:rPr>
        <w:br/>
      </w:r>
      <w:r w:rsidRPr="00D804ED">
        <w:rPr>
          <w:rFonts w:ascii="Verdana" w:hAnsi="Verdana" w:cs="Arial"/>
          <w:color w:val="000000"/>
          <w:sz w:val="20"/>
          <w:szCs w:val="20"/>
        </w:rPr>
        <w:br/>
        <w:t>1. Las personas naturales mediante certificación expedida por ellos y un contador público, adjuntando copia del registro mercantil.</w:t>
      </w:r>
      <w:r w:rsidRPr="00D804ED">
        <w:rPr>
          <w:rFonts w:ascii="Verdana" w:hAnsi="Verdana" w:cs="Arial"/>
          <w:color w:val="000000"/>
          <w:sz w:val="20"/>
          <w:szCs w:val="20"/>
        </w:rPr>
        <w:br/>
      </w:r>
      <w:r w:rsidRPr="00D804ED">
        <w:rPr>
          <w:rFonts w:ascii="Verdana" w:hAnsi="Verdana" w:cs="Arial"/>
          <w:color w:val="000000"/>
          <w:sz w:val="20"/>
          <w:szCs w:val="20"/>
        </w:rPr>
        <w:br/>
        <w:t xml:space="preserve">2. Las personas jurídicas mediante certificación expedida por el representante legal y el contador o revisor fiscal, si están obligados a tenerlo, adjuntando copia del certificado de existencia y representación </w:t>
      </w:r>
      <w:r w:rsidRPr="00D804ED">
        <w:rPr>
          <w:rFonts w:ascii="Verdana" w:hAnsi="Verdana" w:cs="Arial"/>
          <w:color w:val="000000"/>
          <w:sz w:val="20"/>
          <w:szCs w:val="20"/>
        </w:rPr>
        <w:lastRenderedPageBreak/>
        <w:t>legal expedido por la Cámara de Comercio o por la autoridad competente para expedir dicha certificación.</w:t>
      </w:r>
      <w:r w:rsidRPr="00D804ED">
        <w:rPr>
          <w:rFonts w:ascii="Verdana" w:hAnsi="Verdana" w:cs="Arial"/>
          <w:color w:val="000000"/>
          <w:sz w:val="20"/>
          <w:szCs w:val="20"/>
        </w:rPr>
        <w:br/>
      </w:r>
      <w:r w:rsidRPr="00D804ED">
        <w:rPr>
          <w:rFonts w:ascii="Verdana" w:hAnsi="Verdana" w:cs="Arial"/>
          <w:color w:val="000000"/>
          <w:sz w:val="20"/>
          <w:szCs w:val="20"/>
        </w:rPr>
        <w:br/>
        <w:t>Para la acreditación deberán observarse los rangos de clasificación empresarial establecidos de conformidad con la Ley 590 de 2000 y el Decreto 1074 de 2015, o las normas que lo modifiquen, sustituyan o complementen.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1</w:t>
      </w:r>
      <w:r w:rsidRPr="00D804ED">
        <w:rPr>
          <w:rFonts w:ascii="Verdana" w:hAnsi="Verdana" w:cs="Arial"/>
          <w:color w:val="000000"/>
          <w:sz w:val="20"/>
          <w:szCs w:val="20"/>
        </w:rPr>
        <w:t xml:space="preserve">. En todo caso, las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también podrán acreditar esta condición con la copia del certificado del Registro Único de Proponentes, el cual deberá encontrarse vigente y en firme al momento de su presentación.</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2.</w:t>
      </w:r>
      <w:r w:rsidRPr="00D804ED">
        <w:rPr>
          <w:rFonts w:ascii="Verdana" w:hAnsi="Verdana" w:cs="Arial"/>
          <w:color w:val="000000"/>
          <w:sz w:val="20"/>
          <w:szCs w:val="20"/>
        </w:rPr>
        <w:t xml:space="preserve"> Para efectos de la limitación a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los proponentes aportarán la copia del registro mercantil, del certificado de existencia y representación legal o del Registro Único de Proponentes, según corresponda conforme a las reglas precedentes, con una fecha de máximo sesenta (60) días calendario anteriores a la prevista en el cronograma del Proceso de Contratación para el inicio del plazo para solicitar la convocatoria limitada.</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3. </w:t>
      </w:r>
      <w:r w:rsidRPr="00D804ED">
        <w:rPr>
          <w:rFonts w:ascii="Verdana" w:hAnsi="Verdana" w:cs="Arial"/>
          <w:color w:val="000000"/>
          <w:sz w:val="20"/>
          <w:szCs w:val="20"/>
        </w:rPr>
        <w:t xml:space="preserve">En las convocatorias limitadas, las Entidades Estatales independientemente de su régimen de contratación, los patrimonios autónomos constituidos por Entidades Estatales y los </w:t>
      </w:r>
      <w:proofErr w:type="spellStart"/>
      <w:r w:rsidRPr="00D804ED">
        <w:rPr>
          <w:rFonts w:ascii="Verdana" w:hAnsi="Verdana" w:cs="Arial"/>
          <w:color w:val="000000"/>
          <w:sz w:val="20"/>
          <w:szCs w:val="20"/>
        </w:rPr>
        <w:t>parliculares</w:t>
      </w:r>
      <w:proofErr w:type="spellEnd"/>
      <w:r w:rsidRPr="00D804ED">
        <w:rPr>
          <w:rFonts w:ascii="Verdana" w:hAnsi="Verdana" w:cs="Arial"/>
          <w:color w:val="000000"/>
          <w:sz w:val="20"/>
          <w:szCs w:val="20"/>
        </w:rPr>
        <w:t xml:space="preserve"> que ejecuten recursos públicos, solo deberán aceptar las ofertas de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 xml:space="preserve"> o de proponentes plurales integrados únicamente por </w:t>
      </w:r>
      <w:proofErr w:type="spellStart"/>
      <w:r w:rsidRPr="00D804ED">
        <w:rPr>
          <w:rFonts w:ascii="Verdana" w:hAnsi="Verdana" w:cs="Arial"/>
          <w:color w:val="000000"/>
          <w:sz w:val="20"/>
          <w:szCs w:val="20"/>
        </w:rPr>
        <w:t>Mipyme</w:t>
      </w:r>
      <w:proofErr w:type="spellEnd"/>
      <w:r w:rsidRPr="00D804ED">
        <w:rPr>
          <w:rFonts w:ascii="Verdana" w:hAnsi="Verdana" w:cs="Arial"/>
          <w:color w:val="000000"/>
          <w:sz w:val="20"/>
          <w:szCs w:val="20"/>
        </w:rPr>
        <w:t>.</w:t>
      </w:r>
      <w:r w:rsidRPr="00D804ED">
        <w:rPr>
          <w:rFonts w:ascii="Verdana" w:hAnsi="Verdana" w:cs="Arial"/>
          <w:color w:val="000000"/>
          <w:sz w:val="20"/>
          <w:szCs w:val="20"/>
        </w:rPr>
        <w:br/>
      </w:r>
      <w:r w:rsidRPr="00D804ED">
        <w:rPr>
          <w:rFonts w:ascii="Verdana" w:hAnsi="Verdana" w:cs="Arial"/>
          <w:color w:val="000000"/>
          <w:sz w:val="20"/>
          <w:szCs w:val="20"/>
        </w:rPr>
        <w:br/>
      </w:r>
      <w:r w:rsidRPr="00D804ED">
        <w:rPr>
          <w:rStyle w:val="Textoennegrita"/>
          <w:rFonts w:ascii="Verdana" w:hAnsi="Verdana" w:cs="Arial"/>
          <w:color w:val="000000"/>
          <w:sz w:val="20"/>
          <w:szCs w:val="20"/>
        </w:rPr>
        <w:t>Parágrafo 4.</w:t>
      </w:r>
      <w:r w:rsidRPr="00D804ED">
        <w:rPr>
          <w:rFonts w:ascii="Verdana" w:hAnsi="Verdana" w:cs="Arial"/>
          <w:color w:val="000000"/>
          <w:sz w:val="20"/>
          <w:szCs w:val="20"/>
        </w:rPr>
        <w:t> Los incentivos previstos en los artículos 2.2.1.2.4.2.2 y 2.2.1.2.4.2.3 de este Decreto no excluyen la aplicación de los criterios diferenciales para los emprendimientos y empresas de mujeres en el sistema de compras públicas</w:t>
      </w:r>
    </w:p>
    <w:p w14:paraId="3F1CF7C3" w14:textId="77777777" w:rsidR="008C34A2" w:rsidRPr="00D804ED" w:rsidRDefault="008C34A2" w:rsidP="008C34A2">
      <w:pPr>
        <w:spacing w:after="0" w:line="276" w:lineRule="auto"/>
        <w:jc w:val="both"/>
        <w:textAlignment w:val="baseline"/>
        <w:rPr>
          <w:rFonts w:ascii="Verdana" w:eastAsia="Times New Roman" w:hAnsi="Verdana" w:cs="Arial"/>
          <w:lang w:val="es-MX" w:eastAsia="es-CO"/>
        </w:rPr>
      </w:pPr>
    </w:p>
    <w:p w14:paraId="5559DBB1" w14:textId="77777777" w:rsidR="008C34A2" w:rsidRDefault="008C34A2" w:rsidP="008C34A2">
      <w:pPr>
        <w:spacing w:after="0" w:line="276" w:lineRule="auto"/>
        <w:ind w:firstLine="705"/>
        <w:jc w:val="both"/>
        <w:textAlignment w:val="baseline"/>
        <w:rPr>
          <w:rFonts w:ascii="Verdana" w:eastAsia="Times New Roman" w:hAnsi="Verdana" w:cs="Arial"/>
          <w:lang w:val="es-MX" w:eastAsia="es-CO"/>
        </w:rPr>
      </w:pPr>
      <w:r w:rsidRPr="004508B5">
        <w:rPr>
          <w:rFonts w:ascii="Verdana" w:eastAsia="Times New Roman" w:hAnsi="Verdana" w:cs="Arial"/>
          <w:lang w:val="es-MX" w:eastAsia="es-CO"/>
        </w:rPr>
        <w:t xml:space="preserve"> En consecuencia, el requisito podrá acreditarse con una certificación acompañada, ya sea, de una copia del registro mercantil –persona natural–, del certificado de existencia y representación legal –persona jurídica– o del Registro Único de Proponentes – RUP, en donde conste el domicilio principal de la </w:t>
      </w:r>
      <w:r w:rsidRPr="00D804ED">
        <w:rPr>
          <w:rFonts w:ascii="Verdana" w:eastAsia="Times New Roman" w:hAnsi="Verdana" w:cs="Arial"/>
          <w:lang w:val="es-MX" w:eastAsia="es-CO"/>
        </w:rPr>
        <w:t>MiPymes</w:t>
      </w:r>
      <w:r w:rsidRPr="004508B5">
        <w:rPr>
          <w:rFonts w:ascii="Verdana" w:eastAsia="Times New Roman" w:hAnsi="Verdana" w:cs="Arial"/>
          <w:lang w:val="es-MX" w:eastAsia="es-CO"/>
        </w:rPr>
        <w:t xml:space="preserve"> interesada en la limitación territorial de la convocatoria pública para celebrar el contrato, que corresponda con el lugar de ejecución del mismo, ya sea departamento o municipio. </w:t>
      </w:r>
      <w:r w:rsidRPr="00D804ED">
        <w:rPr>
          <w:rFonts w:ascii="Verdana" w:eastAsia="Times New Roman" w:hAnsi="Verdana" w:cs="Arial"/>
          <w:lang w:val="es-MX" w:eastAsia="es-CO"/>
        </w:rPr>
        <w:t xml:space="preserve">Como puede observarse la norma no establece un requisito temporal de establecimiento del domicilio de la MiPymes, sino que el domicilio principal corresponda al departamento o municipio definido como lugar de ejecución del contrato. En esa medida, es posible que </w:t>
      </w:r>
      <w:proofErr w:type="spellStart"/>
      <w:r w:rsidRPr="00D804ED">
        <w:rPr>
          <w:rFonts w:ascii="Verdana" w:eastAsia="Times New Roman" w:hAnsi="Verdana" w:cs="Arial"/>
          <w:lang w:val="es-MX" w:eastAsia="es-CO"/>
        </w:rPr>
        <w:t>Mipymes</w:t>
      </w:r>
      <w:proofErr w:type="spellEnd"/>
      <w:r w:rsidRPr="00D804ED">
        <w:rPr>
          <w:rFonts w:ascii="Verdana" w:eastAsia="Times New Roman" w:hAnsi="Verdana" w:cs="Arial"/>
          <w:lang w:val="es-MX" w:eastAsia="es-CO"/>
        </w:rPr>
        <w:t xml:space="preserve"> que cumplan con todos los requisitos de los artículos </w:t>
      </w:r>
      <w:r w:rsidRPr="00D804ED">
        <w:rPr>
          <w:rFonts w:ascii="Verdana" w:eastAsia="Calibri" w:hAnsi="Verdana" w:cs="Arial"/>
          <w:color w:val="000000" w:themeColor="text1"/>
        </w:rPr>
        <w:t xml:space="preserve">2.2.1.2.4.2.2 y 2.2.1.2.4.2.3 del Decreto 1082 de 2015, participen de la convocatoria limitada territorialmente </w:t>
      </w:r>
      <w:r w:rsidRPr="00D804ED">
        <w:rPr>
          <w:rFonts w:ascii="Verdana" w:eastAsia="Calibri" w:hAnsi="Verdana" w:cs="Arial"/>
          <w:color w:val="000000" w:themeColor="text1"/>
        </w:rPr>
        <w:lastRenderedPageBreak/>
        <w:t xml:space="preserve">aun cuando el registro de cambio de domicilio sea inferior a un año para el momento de presentación de los documentos de acreditación. </w:t>
      </w:r>
      <w:r w:rsidRPr="00D804ED">
        <w:rPr>
          <w:rFonts w:ascii="Verdana" w:eastAsia="Times New Roman" w:hAnsi="Verdana" w:cs="Arial"/>
          <w:lang w:val="es-MX" w:eastAsia="es-CO"/>
        </w:rPr>
        <w:t xml:space="preserve"> </w:t>
      </w:r>
    </w:p>
    <w:p w14:paraId="734DE5B2" w14:textId="77777777" w:rsidR="008C34A2" w:rsidRPr="00D804ED" w:rsidRDefault="008C34A2" w:rsidP="008C34A2">
      <w:pPr>
        <w:spacing w:after="0" w:line="276" w:lineRule="auto"/>
        <w:ind w:firstLine="705"/>
        <w:jc w:val="both"/>
        <w:textAlignment w:val="baseline"/>
        <w:rPr>
          <w:rFonts w:ascii="Verdana" w:eastAsia="Times New Roman" w:hAnsi="Verdana" w:cs="Segoe UI"/>
          <w:lang w:eastAsia="es-CO"/>
        </w:rPr>
      </w:pPr>
    </w:p>
    <w:p w14:paraId="0E71DA0C" w14:textId="77777777" w:rsidR="008C34A2" w:rsidRDefault="008C34A2" w:rsidP="008C34A2">
      <w:pPr>
        <w:spacing w:after="0" w:line="276" w:lineRule="auto"/>
        <w:ind w:firstLine="705"/>
        <w:jc w:val="both"/>
        <w:textAlignment w:val="baseline"/>
        <w:rPr>
          <w:rFonts w:ascii="Verdana" w:eastAsia="Times New Roman" w:hAnsi="Verdana" w:cs="Arial"/>
          <w:lang w:eastAsia="es-CO"/>
        </w:rPr>
      </w:pPr>
      <w:r w:rsidRPr="004508B5">
        <w:rPr>
          <w:rFonts w:ascii="Verdana" w:eastAsia="Times New Roman" w:hAnsi="Verdana" w:cs="Arial"/>
          <w:lang w:eastAsia="es-CO"/>
        </w:rPr>
        <w:t xml:space="preserve">Sin perjuicio de lo anterior, la Agencia Nacional de Contratación Pública – Colombia Compra Eficiente considera que lo recomendable es que las entidades establezcan </w:t>
      </w:r>
      <w:r w:rsidRPr="004508B5">
        <w:rPr>
          <w:rFonts w:ascii="Verdana" w:eastAsia="Times New Roman" w:hAnsi="Verdana" w:cs="Arial"/>
          <w:i/>
          <w:iCs/>
          <w:lang w:eastAsia="es-CO"/>
        </w:rPr>
        <w:t xml:space="preserve">ex ante </w:t>
      </w:r>
      <w:r w:rsidRPr="004508B5">
        <w:rPr>
          <w:rFonts w:ascii="Verdana" w:eastAsia="Times New Roman" w:hAnsi="Verdana" w:cs="Arial"/>
          <w:lang w:eastAsia="es-CO"/>
        </w:rPr>
        <w:t xml:space="preserve">las condiciones en las que, eventualmente, harían la “limitación territorial”. Para tales fines, en el proyecto de pliego de condiciones podrían establecer claramente los términos de dicha limitación, los supuestos que darían lugar a su aplicación y, sobre todo, la forma como procedería la entidad si decide optar por limitar territorialmente la convocatoria en que se cumplan los presupuestos para ser limitada a </w:t>
      </w:r>
      <w:proofErr w:type="spellStart"/>
      <w:r w:rsidRPr="004508B5">
        <w:rPr>
          <w:rFonts w:ascii="Verdana" w:eastAsia="Times New Roman" w:hAnsi="Verdana" w:cs="Arial"/>
          <w:lang w:eastAsia="es-CO"/>
        </w:rPr>
        <w:t>Mipymes</w:t>
      </w:r>
      <w:proofErr w:type="spellEnd"/>
      <w:r w:rsidRPr="004508B5">
        <w:rPr>
          <w:rFonts w:ascii="Verdana" w:eastAsia="Times New Roman" w:hAnsi="Verdana" w:cs="Arial"/>
          <w:lang w:eastAsia="es-CO"/>
        </w:rPr>
        <w:t xml:space="preserve">, </w:t>
      </w:r>
      <w:r w:rsidRPr="00D804ED">
        <w:rPr>
          <w:rFonts w:ascii="Verdana" w:eastAsia="Times New Roman" w:hAnsi="Verdana" w:cs="Arial"/>
          <w:lang w:eastAsia="es-CO"/>
        </w:rPr>
        <w:t>como,</w:t>
      </w:r>
      <w:r w:rsidRPr="004508B5">
        <w:rPr>
          <w:rFonts w:ascii="Verdana" w:eastAsia="Times New Roman" w:hAnsi="Verdana" w:cs="Arial"/>
          <w:lang w:eastAsia="es-CO"/>
        </w:rPr>
        <w:t xml:space="preserve"> por ejemplo, en relación con cuál o cuáles municipios o departamentos harían la limitación territorial de que trata el artículo 2.2.1.2.4.2.3. del Decreto 1082 de 2015. </w:t>
      </w:r>
    </w:p>
    <w:p w14:paraId="40C6C5EB" w14:textId="77777777" w:rsidR="008C34A2" w:rsidRPr="004508B5" w:rsidRDefault="008C34A2" w:rsidP="008C34A2">
      <w:pPr>
        <w:spacing w:after="0" w:line="276" w:lineRule="auto"/>
        <w:ind w:firstLine="705"/>
        <w:jc w:val="both"/>
        <w:textAlignment w:val="baseline"/>
        <w:rPr>
          <w:rFonts w:ascii="Verdana" w:eastAsia="Times New Roman" w:hAnsi="Verdana" w:cs="Segoe UI"/>
          <w:lang w:eastAsia="es-CO"/>
        </w:rPr>
      </w:pPr>
    </w:p>
    <w:p w14:paraId="24A38DC2" w14:textId="77777777" w:rsidR="008C34A2" w:rsidRDefault="008C34A2" w:rsidP="008C34A2">
      <w:pPr>
        <w:spacing w:after="0" w:line="276" w:lineRule="auto"/>
        <w:ind w:firstLine="705"/>
        <w:jc w:val="both"/>
        <w:textAlignment w:val="baseline"/>
        <w:rPr>
          <w:rFonts w:ascii="Verdana" w:eastAsia="Times New Roman" w:hAnsi="Verdana" w:cs="Arial"/>
          <w:lang w:val="es-MX" w:eastAsia="es-CO"/>
        </w:rPr>
      </w:pPr>
      <w:r w:rsidRPr="004508B5">
        <w:rPr>
          <w:rFonts w:ascii="Verdana" w:eastAsia="Times New Roman" w:hAnsi="Verdana" w:cs="Arial"/>
          <w:lang w:val="es-MX" w:eastAsia="es-CO"/>
        </w:rPr>
        <w:t xml:space="preserve">Con todo, debe advertirse que el hecho de la limitación territorial opere de manera discrecional implica que la misma no debe ser de forma caprichosa o arbitraría o de manera que desconozca los fines de la norma. </w:t>
      </w:r>
      <w:r w:rsidRPr="00D804ED">
        <w:rPr>
          <w:rFonts w:ascii="Verdana" w:eastAsia="Times New Roman" w:hAnsi="Verdana" w:cs="Arial"/>
          <w:lang w:val="es-MX" w:eastAsia="es-CO"/>
        </w:rPr>
        <w:t>Así el ordenamiento legal impone una carga de motivación en el ejercicio de facultades discrecionales, pues –teniendo en cuenta la remisión del artículo 77 de la Ley 80 de 1993 a las normas que rigen los procedimientos y actuaciones en la función administrativa– el artículo 44 de la Ley 1437 de 2011 dispone que “En la medida en que el contenido de una decisión de carácter general o particular sea discrecional, debe ser adecuada a los fines de la norma que la autoriza, y proporcional a los hechos que le sirven de causa”.</w:t>
      </w:r>
    </w:p>
    <w:p w14:paraId="31820699" w14:textId="77777777" w:rsidR="008C34A2" w:rsidRPr="004508B5" w:rsidRDefault="008C34A2" w:rsidP="008C34A2">
      <w:pPr>
        <w:spacing w:after="0" w:line="276" w:lineRule="auto"/>
        <w:ind w:firstLine="705"/>
        <w:jc w:val="both"/>
        <w:textAlignment w:val="baseline"/>
        <w:rPr>
          <w:rFonts w:ascii="Verdana" w:eastAsia="Times New Roman" w:hAnsi="Verdana" w:cs="Arial"/>
          <w:lang w:val="es-MX" w:eastAsia="es-CO"/>
        </w:rPr>
      </w:pPr>
    </w:p>
    <w:p w14:paraId="6443DB1F" w14:textId="77777777" w:rsidR="008C34A2" w:rsidRDefault="008C34A2" w:rsidP="008C34A2">
      <w:pPr>
        <w:spacing w:after="0" w:line="276" w:lineRule="auto"/>
        <w:ind w:firstLine="705"/>
        <w:jc w:val="both"/>
        <w:textAlignment w:val="baseline"/>
        <w:rPr>
          <w:rStyle w:val="normaltextrun"/>
          <w:rFonts w:ascii="Verdana" w:hAnsi="Verdana" w:cs="Arial"/>
          <w:color w:val="000000"/>
          <w:shd w:val="clear" w:color="auto" w:fill="FFFFFF"/>
        </w:rPr>
      </w:pPr>
      <w:r w:rsidRPr="004508B5">
        <w:rPr>
          <w:rFonts w:ascii="Verdana" w:eastAsia="Times New Roman" w:hAnsi="Verdana" w:cs="Arial"/>
          <w:lang w:eastAsia="es-CO"/>
        </w:rPr>
        <w:t xml:space="preserve">Conforme a esto, el debido ejercicio de la referida potestad discrecional exige que converjan unos mínimos presupuestos de adecuación, para que resulte adecuada la decisión de limitar una convocatoria a la participación exclusiva de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w:t>
      </w:r>
      <w:r w:rsidRPr="00D804ED">
        <w:rPr>
          <w:rFonts w:ascii="Verdana" w:eastAsia="Times New Roman" w:hAnsi="Verdana" w:cs="Arial"/>
          <w:lang w:eastAsia="es-CO"/>
        </w:rPr>
        <w:t>P</w:t>
      </w:r>
      <w:r w:rsidRPr="004508B5">
        <w:rPr>
          <w:rFonts w:ascii="Verdana" w:eastAsia="Times New Roman" w:hAnsi="Verdana" w:cs="Arial"/>
          <w:lang w:eastAsia="es-CO"/>
        </w:rPr>
        <w:t>or lo que</w:t>
      </w:r>
      <w:r w:rsidRPr="00D804ED">
        <w:rPr>
          <w:rFonts w:ascii="Verdana" w:eastAsia="Times New Roman" w:hAnsi="Verdana" w:cs="Arial"/>
          <w:lang w:eastAsia="es-CO"/>
        </w:rPr>
        <w:t xml:space="preserve">, </w:t>
      </w:r>
      <w:r w:rsidRPr="004508B5">
        <w:rPr>
          <w:rFonts w:ascii="Verdana" w:eastAsia="Times New Roman" w:hAnsi="Verdana" w:cs="Arial"/>
          <w:lang w:eastAsia="es-CO"/>
        </w:rPr>
        <w:t xml:space="preserve">la decisión de limitar territorialmente una convocatoria </w:t>
      </w:r>
      <w:r w:rsidRPr="00D804ED">
        <w:rPr>
          <w:rFonts w:ascii="Verdana" w:eastAsia="Times New Roman" w:hAnsi="Verdana" w:cs="Arial"/>
          <w:lang w:eastAsia="es-CO"/>
        </w:rPr>
        <w:t>resulta</w:t>
      </w:r>
      <w:r w:rsidRPr="004508B5">
        <w:rPr>
          <w:rFonts w:ascii="Verdana" w:eastAsia="Times New Roman" w:hAnsi="Verdana" w:cs="Arial"/>
          <w:lang w:eastAsia="es-CO"/>
        </w:rPr>
        <w:t xml:space="preserve"> razonable si la información recolectada en el marco del análisis del sector indica que en el lugar de ejecución del contrato existe un número significativo de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allí domiciliadas, cuyo objeto social les permitiría desarrollar el contrato o que estén interesadas en participar en el respectivo proceso de contratación. Adicionalmente, se torna relevante determinar que tantas de esas </w:t>
      </w:r>
      <w:r w:rsidRPr="00D804ED">
        <w:rPr>
          <w:rFonts w:ascii="Verdana" w:eastAsia="Times New Roman" w:hAnsi="Verdana" w:cs="Arial"/>
          <w:lang w:eastAsia="es-CO"/>
        </w:rPr>
        <w:t>MiPymes</w:t>
      </w:r>
      <w:r w:rsidRPr="004508B5">
        <w:rPr>
          <w:rFonts w:ascii="Verdana" w:eastAsia="Times New Roman" w:hAnsi="Verdana" w:cs="Arial"/>
          <w:lang w:eastAsia="es-CO"/>
        </w:rPr>
        <w:t xml:space="preserve"> tendrían la posibilidad de participar en el respectivo proceso de contratación en consideración en atención a las aptitudes e idoneidad requerida.  De acuerdo con lo anterior, difícilmente podría </w:t>
      </w:r>
      <w:r w:rsidRPr="004508B5">
        <w:rPr>
          <w:rFonts w:ascii="Verdana" w:eastAsia="Times New Roman" w:hAnsi="Verdana" w:cs="Arial"/>
          <w:lang w:eastAsia="es-CO"/>
        </w:rPr>
        <w:lastRenderedPageBreak/>
        <w:t>entenderse adecuada la decisión de limitar una convocatoria por el referido factor</w:t>
      </w:r>
      <w:r w:rsidRPr="00D804ED">
        <w:rPr>
          <w:rFonts w:ascii="Verdana" w:eastAsia="Times New Roman" w:hAnsi="Verdana" w:cs="Arial"/>
          <w:lang w:eastAsia="es-CO"/>
        </w:rPr>
        <w:t xml:space="preserve"> </w:t>
      </w:r>
      <w:r w:rsidRPr="00D804ED">
        <w:rPr>
          <w:rStyle w:val="normaltextrun"/>
          <w:rFonts w:ascii="Verdana" w:hAnsi="Verdana" w:cs="Arial"/>
          <w:color w:val="000000"/>
          <w:shd w:val="clear" w:color="auto" w:fill="FFFFFF"/>
        </w:rPr>
        <w:t>territorial, si dentro del estudio del sector no se identifican una pluralidad de MiPymes que estén en posición de participar en el respectivo proceso.</w:t>
      </w:r>
    </w:p>
    <w:p w14:paraId="1A3A0F4D" w14:textId="77777777" w:rsidR="008C34A2" w:rsidRPr="004508B5" w:rsidRDefault="008C34A2" w:rsidP="008C34A2">
      <w:pPr>
        <w:spacing w:after="0" w:line="276" w:lineRule="auto"/>
        <w:ind w:firstLine="705"/>
        <w:jc w:val="both"/>
        <w:textAlignment w:val="baseline"/>
        <w:rPr>
          <w:rFonts w:ascii="Verdana" w:eastAsia="Times New Roman" w:hAnsi="Verdana" w:cs="Segoe UI"/>
          <w:lang w:eastAsia="es-CO"/>
        </w:rPr>
      </w:pPr>
      <w:r w:rsidRPr="00D804ED">
        <w:rPr>
          <w:rStyle w:val="eop"/>
          <w:rFonts w:ascii="Verdana" w:hAnsi="Verdana" w:cs="Arial"/>
          <w:color w:val="000000"/>
          <w:shd w:val="clear" w:color="auto" w:fill="FFFFFF"/>
        </w:rPr>
        <w:t> </w:t>
      </w:r>
    </w:p>
    <w:p w14:paraId="4069CB0C" w14:textId="77777777" w:rsidR="008C34A2" w:rsidRPr="00D804ED" w:rsidRDefault="008C34A2" w:rsidP="008C34A2">
      <w:pPr>
        <w:spacing w:before="120" w:after="0" w:line="276" w:lineRule="auto"/>
        <w:ind w:firstLine="709"/>
        <w:jc w:val="both"/>
        <w:rPr>
          <w:rFonts w:ascii="Verdana" w:eastAsia="Arial MT" w:hAnsi="Verdana" w:cs="Arial"/>
          <w:lang w:eastAsia="es-ES" w:bidi="es-ES"/>
        </w:rPr>
      </w:pPr>
      <w:r w:rsidRPr="00D804ED">
        <w:rPr>
          <w:rFonts w:ascii="Verdana" w:hAnsi="Verdana" w:cs="Arial"/>
          <w:color w:val="000000" w:themeColor="text1"/>
        </w:rPr>
        <w:t>En todo caso, situaciones en las que se presentan un ejercicio de la potestad de limitar a MiPymes desconociendo los anteriores presupuestos mínimos, bien podrían ser cuestionadas por los proponentes, veedores y ciudadanía en general ya sea a través de observaciones, en el ejercicio del derecho fundamental de petición ante la respectiva entidad estatal o la presentación de denuncias antes las autoridades competentes en el caso de que se evidencien prácticas restrictivas a la competencia, o con relevancia penal o disciplinaria. Así mismo, en atención al interés general que revisten los procesos de contratación, cualquier ciudadano podría también solicitar el control judicial del respectivo pliego de condiciones –o invitación en los procesos de mínima cuantía–, cuando encuentre que estos contravienen el marco legal que les aplica.</w:t>
      </w:r>
    </w:p>
    <w:p w14:paraId="359F6F8A" w14:textId="77777777" w:rsidR="008C34A2" w:rsidRDefault="008C34A2" w:rsidP="008C34A2">
      <w:pPr>
        <w:spacing w:after="0" w:line="276" w:lineRule="auto"/>
        <w:jc w:val="both"/>
        <w:rPr>
          <w:rFonts w:ascii="Verdana" w:eastAsia="Calibri" w:hAnsi="Verdana" w:cs="Arial"/>
          <w:lang w:val="es-ES"/>
        </w:rPr>
      </w:pPr>
    </w:p>
    <w:p w14:paraId="4086D55A" w14:textId="77777777" w:rsidR="008C34A2" w:rsidRPr="009322DA" w:rsidRDefault="008C34A2" w:rsidP="008C34A2">
      <w:pPr>
        <w:jc w:val="both"/>
        <w:rPr>
          <w:rFonts w:ascii="Verdana" w:eastAsia="Calibri" w:hAnsi="Verdana" w:cs="Arial"/>
          <w:b/>
          <w:bCs/>
        </w:rPr>
      </w:pPr>
      <w:r w:rsidRPr="009322DA">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8C34A2" w:rsidRPr="009322DA" w14:paraId="0AE0A290" w14:textId="77777777" w:rsidTr="008C34A2">
        <w:trPr>
          <w:trHeight w:val="70"/>
        </w:trPr>
        <w:tc>
          <w:tcPr>
            <w:tcW w:w="8647" w:type="dxa"/>
            <w:tcBorders>
              <w:top w:val="dotted" w:sz="4" w:space="0" w:color="auto"/>
              <w:left w:val="dotted" w:sz="4" w:space="0" w:color="auto"/>
              <w:bottom w:val="dotted" w:sz="4" w:space="0" w:color="auto"/>
              <w:right w:val="dotted" w:sz="4" w:space="0" w:color="auto"/>
            </w:tcBorders>
          </w:tcPr>
          <w:p w14:paraId="0FB3BDD5" w14:textId="77777777" w:rsidR="008C34A2" w:rsidRPr="00CC2C47" w:rsidRDefault="008C34A2" w:rsidP="008C34A2">
            <w:pPr>
              <w:pStyle w:val="Prrafodelista"/>
              <w:numPr>
                <w:ilvl w:val="0"/>
                <w:numId w:val="17"/>
              </w:numPr>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Ley 80 de 1993, artículo 13, artículo 32. Disponible en:</w:t>
            </w:r>
          </w:p>
          <w:p w14:paraId="7D864993" w14:textId="77777777" w:rsidR="008C34A2" w:rsidRPr="00CC2C47" w:rsidRDefault="008C34A2" w:rsidP="008C34A2">
            <w:pPr>
              <w:pStyle w:val="Prrafodelista"/>
              <w:ind w:right="709"/>
              <w:jc w:val="both"/>
              <w:rPr>
                <w:rFonts w:ascii="Verdana" w:hAnsi="Verdana" w:cs="Arial"/>
                <w:color w:val="000000" w:themeColor="text1"/>
                <w:lang w:val="es-ES_tradnl"/>
              </w:rPr>
            </w:pPr>
            <w:hyperlink r:id="rId12" w:history="1">
              <w:r w:rsidRPr="00CC2C47">
                <w:rPr>
                  <w:rStyle w:val="Hipervnculo"/>
                  <w:rFonts w:ascii="Verdana" w:hAnsi="Verdana" w:cs="Arial"/>
                  <w:lang w:val="es-ES_tradnl"/>
                </w:rPr>
                <w:t>https://relatoria.colombiacompra.gov.co/normativa/ley-1712-de-2014/</w:t>
              </w:r>
            </w:hyperlink>
          </w:p>
          <w:p w14:paraId="23C18B42" w14:textId="77777777" w:rsidR="008C34A2" w:rsidRPr="00CC2C47" w:rsidRDefault="008C34A2" w:rsidP="008C34A2">
            <w:pPr>
              <w:pStyle w:val="Prrafodelista"/>
              <w:ind w:right="709"/>
              <w:jc w:val="both"/>
              <w:rPr>
                <w:rFonts w:ascii="Verdana" w:hAnsi="Verdana" w:cs="Arial"/>
                <w:color w:val="000000" w:themeColor="text1"/>
                <w:lang w:val="es-ES_tradnl"/>
              </w:rPr>
            </w:pPr>
          </w:p>
          <w:p w14:paraId="53082A62" w14:textId="77777777" w:rsidR="008C34A2" w:rsidRPr="00CC2C47" w:rsidRDefault="008C34A2" w:rsidP="008C34A2">
            <w:pPr>
              <w:pStyle w:val="Prrafodelista"/>
              <w:numPr>
                <w:ilvl w:val="0"/>
                <w:numId w:val="17"/>
              </w:numPr>
              <w:ind w:right="709"/>
              <w:jc w:val="both"/>
              <w:rPr>
                <w:rStyle w:val="Hipervnculo"/>
                <w:rFonts w:ascii="Verdana" w:hAnsi="Verdana" w:cs="Arial"/>
                <w:color w:val="000000" w:themeColor="text1"/>
                <w:lang w:val="es-ES_tradnl"/>
              </w:rPr>
            </w:pPr>
            <w:r w:rsidRPr="00CC2C47">
              <w:rPr>
                <w:rFonts w:ascii="Verdana" w:hAnsi="Verdana" w:cs="Arial"/>
                <w:color w:val="000000" w:themeColor="text1"/>
                <w:lang w:val="es-ES_tradnl"/>
              </w:rPr>
              <w:t xml:space="preserve">Ley 1150 de 2007, artículo 2. Disponible en: </w:t>
            </w:r>
            <w:hyperlink r:id="rId13" w:history="1">
              <w:r w:rsidRPr="00CC2C47">
                <w:rPr>
                  <w:rStyle w:val="Hipervnculo"/>
                  <w:rFonts w:ascii="Verdana" w:hAnsi="Verdana" w:cs="Arial"/>
                  <w:lang w:val="es-ES_tradnl"/>
                </w:rPr>
                <w:t>https://relatoria.colombiacompra.gov.co/normativa/ley-1150-de-2007/</w:t>
              </w:r>
            </w:hyperlink>
          </w:p>
          <w:p w14:paraId="7B4ECF69" w14:textId="77777777" w:rsidR="008C34A2" w:rsidRPr="00CC2C47" w:rsidRDefault="008C34A2" w:rsidP="008C34A2">
            <w:pPr>
              <w:pStyle w:val="Prrafodelista"/>
              <w:ind w:right="709"/>
              <w:jc w:val="both"/>
              <w:rPr>
                <w:rFonts w:ascii="Verdana" w:hAnsi="Verdana" w:cs="Arial"/>
                <w:color w:val="000000" w:themeColor="text1"/>
                <w:lang w:val="es-ES_tradnl"/>
              </w:rPr>
            </w:pPr>
          </w:p>
          <w:p w14:paraId="1977D8DF" w14:textId="77777777" w:rsidR="008C34A2" w:rsidRPr="00CC2C47" w:rsidRDefault="008C34A2" w:rsidP="008C34A2">
            <w:pPr>
              <w:pStyle w:val="Prrafodelista"/>
              <w:numPr>
                <w:ilvl w:val="0"/>
                <w:numId w:val="17"/>
              </w:numPr>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 xml:space="preserve">Artículo </w:t>
            </w:r>
            <w:r w:rsidRPr="00CC2C47">
              <w:rPr>
                <w:rFonts w:ascii="Verdana" w:eastAsia="Calibri" w:hAnsi="Verdana" w:cs="Arial"/>
                <w:color w:val="000000" w:themeColor="text1"/>
              </w:rPr>
              <w:t xml:space="preserve">2.2.1.2.1.4.1 y </w:t>
            </w:r>
            <w:r w:rsidRPr="00CC2C47">
              <w:rPr>
                <w:rFonts w:ascii="Verdana" w:hAnsi="Verdana" w:cs="Arial"/>
                <w:color w:val="000000" w:themeColor="text1"/>
                <w:lang w:val="es-ES_tradnl"/>
              </w:rPr>
              <w:t>2.2.1.2.1.4.9</w:t>
            </w:r>
            <w:r w:rsidRPr="00CC2C47">
              <w:rPr>
                <w:rFonts w:ascii="Verdana" w:eastAsia="Times New Roman" w:hAnsi="Verdana" w:cs="Arial"/>
                <w:lang w:val="es-MX" w:eastAsia="es-ES_tradnl"/>
              </w:rPr>
              <w:t xml:space="preserve"> Decreto 1082 de 2015. </w:t>
            </w:r>
            <w:r w:rsidRPr="00CC2C47">
              <w:rPr>
                <w:rFonts w:ascii="Verdana" w:hAnsi="Verdana" w:cs="Arial"/>
                <w:color w:val="000000" w:themeColor="text1"/>
                <w:lang w:val="es-ES_tradnl"/>
              </w:rPr>
              <w:t>Disponible en</w:t>
            </w:r>
            <w:r w:rsidRPr="00CC2C47">
              <w:rPr>
                <w:rFonts w:ascii="Verdana" w:hAnsi="Verdana"/>
              </w:rPr>
              <w:t xml:space="preserve"> </w:t>
            </w:r>
          </w:p>
          <w:p w14:paraId="25C7A1E1" w14:textId="77777777" w:rsidR="008C34A2" w:rsidRPr="00CC2C47" w:rsidRDefault="008C34A2" w:rsidP="008C34A2">
            <w:pPr>
              <w:pStyle w:val="Prrafodelista"/>
              <w:ind w:right="709"/>
              <w:jc w:val="both"/>
              <w:rPr>
                <w:rFonts w:ascii="Verdana" w:hAnsi="Verdana" w:cs="Arial"/>
                <w:color w:val="000000" w:themeColor="text1"/>
                <w:lang w:val="es-ES_tradnl"/>
              </w:rPr>
            </w:pPr>
            <w:hyperlink r:id="rId14" w:history="1">
              <w:r w:rsidRPr="00CC2C47">
                <w:rPr>
                  <w:rStyle w:val="Hipervnculo"/>
                  <w:rFonts w:ascii="Verdana" w:eastAsia="Times New Roman" w:hAnsi="Verdana" w:cs="Arial"/>
                  <w:lang w:val="es-MX" w:eastAsia="es-ES_tradnl"/>
                </w:rPr>
                <w:t>https://relatoria.colombiacompra.gov.co/normativa/decreto-1082-de-2015/</w:t>
              </w:r>
            </w:hyperlink>
          </w:p>
          <w:p w14:paraId="7699F76C" w14:textId="77777777" w:rsidR="008C34A2" w:rsidRPr="00CC2C47" w:rsidRDefault="008C34A2" w:rsidP="008C34A2">
            <w:pPr>
              <w:pStyle w:val="Prrafodelista"/>
              <w:ind w:right="709"/>
              <w:jc w:val="both"/>
              <w:rPr>
                <w:rFonts w:ascii="Verdana" w:hAnsi="Verdana" w:cs="Arial"/>
                <w:color w:val="000000" w:themeColor="text1"/>
                <w:lang w:val="es-ES_tradnl"/>
              </w:rPr>
            </w:pPr>
          </w:p>
          <w:p w14:paraId="0BB5DD67" w14:textId="77777777" w:rsidR="008C34A2" w:rsidRPr="00CC2C47" w:rsidRDefault="008C34A2" w:rsidP="008C34A2">
            <w:pPr>
              <w:pStyle w:val="Prrafodelista"/>
              <w:numPr>
                <w:ilvl w:val="0"/>
                <w:numId w:val="17"/>
              </w:numPr>
              <w:ind w:right="709"/>
              <w:jc w:val="both"/>
              <w:rPr>
                <w:rFonts w:ascii="Verdana" w:hAnsi="Verdana"/>
              </w:rPr>
            </w:pPr>
            <w:r w:rsidRPr="00CC2C47">
              <w:rPr>
                <w:rFonts w:ascii="Verdana" w:hAnsi="Verdana" w:cs="Arial"/>
                <w:color w:val="000000" w:themeColor="text1"/>
                <w:lang w:val="es-ES_tradnl"/>
              </w:rPr>
              <w:t xml:space="preserve">Consejo de Estado, Sección Segunda, Sentencia de unificación por importancia jurídica del nueve (09) de septiembre de 2021. Radicado CE-SUJ2-025-21. Disponible en: </w:t>
            </w:r>
            <w:r w:rsidRPr="00CC2C47">
              <w:rPr>
                <w:rFonts w:ascii="Verdana" w:hAnsi="Verdana"/>
              </w:rPr>
              <w:t xml:space="preserve"> </w:t>
            </w:r>
          </w:p>
          <w:p w14:paraId="5AFB72F0" w14:textId="77777777" w:rsidR="008C34A2" w:rsidRPr="00CC2C47" w:rsidRDefault="008C34A2" w:rsidP="008C34A2">
            <w:pPr>
              <w:pStyle w:val="Prrafodelista"/>
              <w:ind w:right="709"/>
              <w:jc w:val="both"/>
              <w:rPr>
                <w:rFonts w:ascii="Verdana" w:hAnsi="Verdana"/>
              </w:rPr>
            </w:pPr>
            <w:hyperlink r:id="rId15" w:history="1">
              <w:r w:rsidRPr="00CC2C47">
                <w:rPr>
                  <w:rStyle w:val="Hipervnculo"/>
                  <w:rFonts w:ascii="Verdana" w:hAnsi="Verdana"/>
                </w:rPr>
                <w:t>https://relatoria.colombiacompra.gov.co/providencias/05001-23-33-000-2013-01143-01_1317-16_ce-suj2-025-21/</w:t>
              </w:r>
            </w:hyperlink>
          </w:p>
          <w:p w14:paraId="7B7535B4" w14:textId="77777777" w:rsidR="008C34A2" w:rsidRPr="00CC2C47" w:rsidRDefault="008C34A2" w:rsidP="008C34A2">
            <w:pPr>
              <w:pStyle w:val="Prrafodelista"/>
              <w:ind w:right="709"/>
              <w:jc w:val="both"/>
              <w:rPr>
                <w:rFonts w:ascii="Verdana" w:hAnsi="Verdana"/>
              </w:rPr>
            </w:pPr>
          </w:p>
          <w:p w14:paraId="5A9A3665" w14:textId="77777777" w:rsidR="008C34A2" w:rsidRPr="00001BB3" w:rsidRDefault="008C34A2" w:rsidP="008C34A2">
            <w:pPr>
              <w:pStyle w:val="Prrafodelista"/>
              <w:numPr>
                <w:ilvl w:val="0"/>
                <w:numId w:val="17"/>
              </w:numPr>
              <w:ind w:right="709"/>
              <w:jc w:val="both"/>
              <w:rPr>
                <w:rFonts w:ascii="Verdana" w:hAnsi="Verdana" w:cs="Arial"/>
                <w:color w:val="000000" w:themeColor="text1"/>
                <w:lang w:val="es-ES_tradnl"/>
              </w:rPr>
            </w:pPr>
            <w:r w:rsidRPr="00CC2C47">
              <w:rPr>
                <w:rFonts w:ascii="Verdana" w:hAnsi="Verdana" w:cs="Arial"/>
                <w:color w:val="000000" w:themeColor="text1"/>
                <w:lang w:val="es-ES_tradnl"/>
              </w:rPr>
              <w:t xml:space="preserve">CONSEJO DE ESTADO. Sección Tercera. Subsección C. Sentencia del 2 de diciembre de 2013. Consejero Ponente: Jaime Orlando Santofimio Gamboa. </w:t>
            </w:r>
            <w:proofErr w:type="spellStart"/>
            <w:r w:rsidRPr="00CC2C47">
              <w:rPr>
                <w:rFonts w:ascii="Verdana" w:hAnsi="Verdana" w:cs="Arial"/>
                <w:color w:val="000000" w:themeColor="text1"/>
                <w:lang w:val="es-ES_tradnl"/>
              </w:rPr>
              <w:t>Exp</w:t>
            </w:r>
            <w:proofErr w:type="spellEnd"/>
            <w:r w:rsidRPr="00CC2C47">
              <w:rPr>
                <w:rFonts w:ascii="Verdana" w:hAnsi="Verdana" w:cs="Arial"/>
                <w:color w:val="000000" w:themeColor="text1"/>
                <w:lang w:val="es-ES_tradnl"/>
              </w:rPr>
              <w:t>. 41719. Disponible en:</w:t>
            </w:r>
            <w:r w:rsidRPr="00CC2C47">
              <w:rPr>
                <w:rFonts w:ascii="Verdana" w:hAnsi="Verdana"/>
              </w:rPr>
              <w:t xml:space="preserve"> </w:t>
            </w:r>
            <w:hyperlink r:id="rId16" w:history="1">
              <w:r w:rsidRPr="00CC2C47">
                <w:rPr>
                  <w:rStyle w:val="Hipervnculo"/>
                  <w:rFonts w:ascii="Verdana" w:hAnsi="Verdana" w:cs="Arial"/>
                  <w:lang w:val="es-ES_tradnl"/>
                </w:rPr>
                <w:t>https://relatoria.colombiacompra.gov.co/providencias/11001-03-26-000-2011-00039-00_41719/</w:t>
              </w:r>
            </w:hyperlink>
          </w:p>
          <w:p w14:paraId="6925B235" w14:textId="77777777" w:rsidR="008C34A2" w:rsidRPr="00001BB3" w:rsidRDefault="008C34A2" w:rsidP="008C34A2">
            <w:pPr>
              <w:pStyle w:val="Prrafodelista"/>
              <w:ind w:right="709"/>
              <w:jc w:val="both"/>
              <w:rPr>
                <w:rFonts w:ascii="Verdana" w:hAnsi="Verdana" w:cs="Arial"/>
                <w:color w:val="000000" w:themeColor="text1"/>
                <w:lang w:val="es-ES_tradnl"/>
              </w:rPr>
            </w:pPr>
          </w:p>
          <w:p w14:paraId="66327C36" w14:textId="77777777" w:rsidR="008C34A2" w:rsidRPr="00D824DF" w:rsidRDefault="008C34A2" w:rsidP="008C34A2">
            <w:pPr>
              <w:pStyle w:val="Prrafodelista"/>
              <w:widowControl w:val="0"/>
              <w:numPr>
                <w:ilvl w:val="0"/>
                <w:numId w:val="17"/>
              </w:numPr>
              <w:autoSpaceDE w:val="0"/>
              <w:autoSpaceDN w:val="0"/>
              <w:spacing w:after="120"/>
              <w:jc w:val="both"/>
              <w:rPr>
                <w:rFonts w:ascii="Verdana" w:hAnsi="Verdana" w:cs="Arial"/>
              </w:rPr>
            </w:pPr>
            <w:r w:rsidRPr="00D824DF">
              <w:rPr>
                <w:rFonts w:ascii="Verdana" w:hAnsi="Verdana" w:cs="Arial"/>
              </w:rPr>
              <w:t>Ley 80 de 1993</w:t>
            </w:r>
            <w:r w:rsidRPr="00D824DF">
              <w:rPr>
                <w:rFonts w:ascii="Verdana" w:eastAsia="Arial" w:hAnsi="Verdana" w:cs="Arial"/>
                <w:lang w:eastAsia="es-ES" w:bidi="es-ES"/>
              </w:rPr>
              <w:t>. Artículo 24, numeral 5. Artículo 30, numeral 30.</w:t>
            </w:r>
          </w:p>
          <w:p w14:paraId="39D3FF1B" w14:textId="77777777" w:rsidR="008C34A2" w:rsidRPr="00D824DF" w:rsidRDefault="008C34A2" w:rsidP="008C34A2">
            <w:pPr>
              <w:pStyle w:val="Prrafodelista"/>
              <w:widowControl w:val="0"/>
              <w:autoSpaceDE w:val="0"/>
              <w:autoSpaceDN w:val="0"/>
              <w:spacing w:after="120"/>
              <w:jc w:val="both"/>
              <w:rPr>
                <w:rFonts w:ascii="Verdana" w:hAnsi="Verdana" w:cs="Arial"/>
                <w:sz w:val="12"/>
                <w:szCs w:val="12"/>
              </w:rPr>
            </w:pPr>
          </w:p>
          <w:p w14:paraId="14EE8055" w14:textId="77777777" w:rsidR="008C34A2" w:rsidRPr="00D824DF" w:rsidRDefault="008C34A2" w:rsidP="008C34A2">
            <w:pPr>
              <w:pStyle w:val="Prrafodelista"/>
              <w:widowControl w:val="0"/>
              <w:numPr>
                <w:ilvl w:val="0"/>
                <w:numId w:val="17"/>
              </w:numPr>
              <w:autoSpaceDE w:val="0"/>
              <w:autoSpaceDN w:val="0"/>
              <w:spacing w:after="120"/>
              <w:contextualSpacing w:val="0"/>
              <w:jc w:val="both"/>
              <w:rPr>
                <w:rFonts w:ascii="Verdana" w:hAnsi="Verdana" w:cs="Arial"/>
              </w:rPr>
            </w:pPr>
            <w:r w:rsidRPr="00D824DF">
              <w:rPr>
                <w:rFonts w:ascii="Verdana" w:hAnsi="Verdana" w:cs="Arial"/>
              </w:rPr>
              <w:t xml:space="preserve">Decreto 1082 de 2015. Artículos 2.2.1.1.2.2.1, 2.2.1.1.2.1.3, </w:t>
            </w:r>
            <w:r w:rsidRPr="00D824DF">
              <w:rPr>
                <w:rFonts w:ascii="Verdana" w:eastAsia="Calibri" w:hAnsi="Verdana" w:cs="Arial"/>
                <w:lang w:eastAsia="es-CO"/>
              </w:rPr>
              <w:t xml:space="preserve">2.2.1.2.1.5.2. numeral 4. </w:t>
            </w:r>
          </w:p>
          <w:p w14:paraId="1CBE0856" w14:textId="77777777" w:rsidR="008C34A2" w:rsidRDefault="008C34A2" w:rsidP="008C34A2">
            <w:pPr>
              <w:pStyle w:val="Prrafodelista"/>
              <w:widowControl w:val="0"/>
              <w:numPr>
                <w:ilvl w:val="0"/>
                <w:numId w:val="17"/>
              </w:numPr>
              <w:autoSpaceDE w:val="0"/>
              <w:autoSpaceDN w:val="0"/>
              <w:spacing w:after="120"/>
              <w:contextualSpacing w:val="0"/>
              <w:jc w:val="both"/>
              <w:rPr>
                <w:rFonts w:ascii="Verdana" w:hAnsi="Verdana" w:cs="Arial"/>
              </w:rPr>
            </w:pPr>
            <w:r w:rsidRPr="00D824DF">
              <w:rPr>
                <w:rFonts w:ascii="Verdana" w:hAnsi="Verdana" w:cs="Arial"/>
              </w:rPr>
              <w:t>Ley 1474 del 2011. Artículo 89</w:t>
            </w:r>
            <w:r>
              <w:rPr>
                <w:rFonts w:ascii="Verdana" w:hAnsi="Verdana" w:cs="Arial"/>
              </w:rPr>
              <w:t>.</w:t>
            </w:r>
          </w:p>
          <w:p w14:paraId="41527B59" w14:textId="77777777" w:rsidR="008C34A2" w:rsidRPr="00992A57" w:rsidRDefault="008C34A2" w:rsidP="008C34A2">
            <w:pPr>
              <w:pStyle w:val="Prrafodelista"/>
              <w:widowControl w:val="0"/>
              <w:numPr>
                <w:ilvl w:val="0"/>
                <w:numId w:val="17"/>
              </w:numPr>
              <w:autoSpaceDE w:val="0"/>
              <w:autoSpaceDN w:val="0"/>
              <w:spacing w:after="120" w:line="276" w:lineRule="auto"/>
              <w:jc w:val="both"/>
              <w:rPr>
                <w:rFonts w:ascii="Verdana" w:hAnsi="Verdana" w:cs="Arial"/>
              </w:rPr>
            </w:pPr>
            <w:r w:rsidRPr="00992A57">
              <w:rPr>
                <w:rFonts w:ascii="Verdana" w:hAnsi="Verdana" w:cs="Arial"/>
              </w:rPr>
              <w:t xml:space="preserve">Decreto 1082 de 2015 modificado por el Decreto 1860 de 2021: artículos 2.2.1.2.4.2.2., 2.2.1.2.4.2.3 y 2.2.1.2.4.2.4. </w:t>
            </w:r>
          </w:p>
          <w:p w14:paraId="1452D057" w14:textId="77777777" w:rsidR="008C34A2" w:rsidRPr="00992A57" w:rsidRDefault="008C34A2" w:rsidP="008C34A2">
            <w:pPr>
              <w:pStyle w:val="Prrafodelista"/>
              <w:widowControl w:val="0"/>
              <w:numPr>
                <w:ilvl w:val="0"/>
                <w:numId w:val="17"/>
              </w:numPr>
              <w:autoSpaceDE w:val="0"/>
              <w:autoSpaceDN w:val="0"/>
              <w:spacing w:after="120" w:line="276" w:lineRule="auto"/>
              <w:jc w:val="both"/>
              <w:rPr>
                <w:rFonts w:ascii="Verdana" w:hAnsi="Verdana" w:cs="Arial"/>
              </w:rPr>
            </w:pPr>
            <w:r w:rsidRPr="00992A57">
              <w:rPr>
                <w:rFonts w:ascii="Verdana" w:hAnsi="Verdana" w:cs="Arial"/>
              </w:rPr>
              <w:t>Ley 1150 de 2011, artículo 12.</w:t>
            </w:r>
          </w:p>
          <w:p w14:paraId="480F4643" w14:textId="77777777" w:rsidR="008C34A2" w:rsidRPr="00992A57" w:rsidRDefault="008C34A2" w:rsidP="008C34A2">
            <w:pPr>
              <w:pStyle w:val="Prrafodelista"/>
              <w:widowControl w:val="0"/>
              <w:numPr>
                <w:ilvl w:val="0"/>
                <w:numId w:val="17"/>
              </w:numPr>
              <w:autoSpaceDE w:val="0"/>
              <w:autoSpaceDN w:val="0"/>
              <w:spacing w:after="120" w:line="276" w:lineRule="auto"/>
              <w:jc w:val="both"/>
              <w:rPr>
                <w:rFonts w:ascii="Verdana" w:hAnsi="Verdana" w:cs="Arial"/>
              </w:rPr>
            </w:pPr>
            <w:r w:rsidRPr="00992A57">
              <w:rPr>
                <w:rFonts w:ascii="Verdana" w:hAnsi="Verdana" w:cs="Arial"/>
              </w:rPr>
              <w:t>Ley 80 de 1993, artículo 77</w:t>
            </w:r>
          </w:p>
          <w:p w14:paraId="0D075C13" w14:textId="77777777" w:rsidR="008C34A2" w:rsidRPr="00992A57" w:rsidRDefault="008C34A2" w:rsidP="008C34A2">
            <w:pPr>
              <w:pStyle w:val="Prrafodelista"/>
              <w:widowControl w:val="0"/>
              <w:numPr>
                <w:ilvl w:val="0"/>
                <w:numId w:val="17"/>
              </w:numPr>
              <w:autoSpaceDE w:val="0"/>
              <w:autoSpaceDN w:val="0"/>
              <w:spacing w:after="120" w:line="276" w:lineRule="auto"/>
              <w:jc w:val="both"/>
              <w:rPr>
                <w:rFonts w:ascii="Verdana" w:hAnsi="Verdana" w:cs="Arial"/>
              </w:rPr>
            </w:pPr>
            <w:r w:rsidRPr="00992A57">
              <w:rPr>
                <w:rFonts w:ascii="Verdana" w:hAnsi="Verdana" w:cs="Arial"/>
              </w:rPr>
              <w:t>Ley 1437 de 2011, artículo 44</w:t>
            </w:r>
          </w:p>
          <w:p w14:paraId="6E63EF4F" w14:textId="68BEA05A" w:rsidR="008C34A2" w:rsidRPr="00001BB3" w:rsidRDefault="008C34A2" w:rsidP="008C34A2">
            <w:pPr>
              <w:pStyle w:val="Prrafodelista"/>
              <w:widowControl w:val="0"/>
              <w:numPr>
                <w:ilvl w:val="0"/>
                <w:numId w:val="17"/>
              </w:numPr>
              <w:autoSpaceDE w:val="0"/>
              <w:autoSpaceDN w:val="0"/>
              <w:spacing w:after="120" w:line="276" w:lineRule="auto"/>
              <w:jc w:val="both"/>
              <w:rPr>
                <w:rFonts w:ascii="Verdana" w:hAnsi="Verdana" w:cs="Arial"/>
                <w:color w:val="7030A0"/>
              </w:rPr>
            </w:pPr>
            <w:r w:rsidRPr="00992A57">
              <w:rPr>
                <w:rFonts w:ascii="Verdana" w:hAnsi="Verdana" w:cs="Arial"/>
              </w:rPr>
              <w:t xml:space="preserve">GUÍA PARA PROMOVER LA PARTICIPACIÓN DE LAS MIPYMES EN LOS PROCESOS DE COMPRA Y CONTRATACIÓN PÚBLICA </w:t>
            </w:r>
            <w:hyperlink r:id="rId17" w:history="1">
              <w:r w:rsidRPr="00654D28">
                <w:rPr>
                  <w:rStyle w:val="Hipervnculo"/>
                  <w:rFonts w:ascii="Verdana" w:hAnsi="Verdana" w:cs="Arial"/>
                </w:rPr>
                <w:t>https://www.colombiacompra.gov.co/sites/cce_public/files/cce_documents/guia_para_promover_la_participacion_de_las_mipymes_en_los_procesos_de_compra_publica_cce-gad-gi-26_1.pdf</w:t>
              </w:r>
            </w:hyperlink>
          </w:p>
        </w:tc>
      </w:tr>
    </w:tbl>
    <w:p w14:paraId="66C92156" w14:textId="77777777" w:rsidR="008C34A2" w:rsidRPr="009322DA" w:rsidRDefault="008C34A2" w:rsidP="008C34A2">
      <w:pPr>
        <w:tabs>
          <w:tab w:val="left" w:pos="142"/>
          <w:tab w:val="left" w:pos="284"/>
        </w:tabs>
        <w:spacing w:after="0" w:line="276" w:lineRule="auto"/>
        <w:jc w:val="both"/>
        <w:rPr>
          <w:rFonts w:ascii="Verdana" w:eastAsia="Calibri" w:hAnsi="Verdana" w:cs="Arial"/>
        </w:rPr>
      </w:pPr>
    </w:p>
    <w:p w14:paraId="4D10D4D5" w14:textId="77777777" w:rsidR="008C34A2" w:rsidRDefault="008C34A2" w:rsidP="008C34A2">
      <w:pPr>
        <w:tabs>
          <w:tab w:val="left" w:pos="142"/>
          <w:tab w:val="left" w:pos="284"/>
        </w:tabs>
        <w:spacing w:after="0" w:line="276" w:lineRule="auto"/>
        <w:jc w:val="both"/>
        <w:rPr>
          <w:rFonts w:ascii="Verdana" w:eastAsia="Century Gothic" w:hAnsi="Verdana" w:cs="Century Gothic"/>
          <w:b/>
          <w:bCs/>
          <w:lang w:val="es-ES"/>
        </w:rPr>
      </w:pPr>
      <w:r w:rsidRPr="00196A7A">
        <w:rPr>
          <w:rFonts w:ascii="Verdana" w:eastAsia="Calibri" w:hAnsi="Verdana" w:cs="Arial"/>
          <w:b/>
          <w:bCs/>
        </w:rPr>
        <w:t>5.</w:t>
      </w:r>
      <w:r>
        <w:rPr>
          <w:rFonts w:ascii="Verdana" w:eastAsia="Calibri" w:hAnsi="Verdana" w:cs="Arial"/>
          <w:b/>
          <w:bCs/>
        </w:rPr>
        <w:t xml:space="preserve"> </w:t>
      </w:r>
      <w:r w:rsidRPr="00196A7A">
        <w:rPr>
          <w:rFonts w:ascii="Verdana" w:eastAsia="Century Gothic" w:hAnsi="Verdana" w:cs="Century Gothic"/>
          <w:b/>
          <w:bCs/>
          <w:lang w:val="es-ES"/>
        </w:rPr>
        <w:t>Doctrina</w:t>
      </w:r>
      <w:r w:rsidRPr="009322DA">
        <w:rPr>
          <w:rFonts w:ascii="Verdana" w:eastAsia="Century Gothic" w:hAnsi="Verdana" w:cs="Century Gothic"/>
          <w:b/>
          <w:bCs/>
          <w:lang w:val="es-ES"/>
        </w:rPr>
        <w:t xml:space="preserve"> de la Agencia Nacional de Contratación Pública:</w:t>
      </w:r>
    </w:p>
    <w:p w14:paraId="19C1BB22" w14:textId="77777777" w:rsidR="008C34A2" w:rsidRPr="009322DA" w:rsidRDefault="008C34A2" w:rsidP="008C34A2">
      <w:pPr>
        <w:tabs>
          <w:tab w:val="left" w:pos="142"/>
          <w:tab w:val="left" w:pos="284"/>
        </w:tabs>
        <w:spacing w:after="0" w:line="276" w:lineRule="auto"/>
        <w:jc w:val="both"/>
        <w:rPr>
          <w:rFonts w:ascii="Verdana" w:eastAsia="Century Gothic" w:hAnsi="Verdana" w:cs="Century Gothic"/>
          <w:b/>
          <w:bCs/>
          <w:lang w:val="es-ES"/>
        </w:rPr>
      </w:pPr>
    </w:p>
    <w:p w14:paraId="3834D354" w14:textId="77777777" w:rsidR="008C34A2" w:rsidRPr="005B6FCD" w:rsidRDefault="008C34A2" w:rsidP="008C34A2">
      <w:pPr>
        <w:spacing w:after="0" w:line="276" w:lineRule="auto"/>
        <w:jc w:val="both"/>
        <w:rPr>
          <w:rFonts w:ascii="Verdana" w:hAnsi="Verdana" w:cs="Arial"/>
          <w:shd w:val="clear" w:color="auto" w:fill="FFFFFF"/>
        </w:rPr>
      </w:pPr>
      <w:r w:rsidRPr="005B6FCD">
        <w:rPr>
          <w:rFonts w:ascii="Verdana" w:hAnsi="Verdana" w:cs="Arial"/>
          <w:shd w:val="clear" w:color="auto" w:fill="FFFFFF"/>
        </w:rPr>
        <w:t>La Agencia Nacional de Contratación Pública – Colombia Compra Eficiente ha analizado los contratos de prestación de servicios artísticos, así como sus principales elementos, en los conceptos con radicado: C-491 del 14 de septiembre de 2021, C-517 del 30 de septiembre de 2021, C-181 del 07 de abril de 2022, C-966 del 01 de febrero de 2023</w:t>
      </w:r>
      <w:r>
        <w:rPr>
          <w:rFonts w:ascii="Verdana" w:hAnsi="Verdana" w:cs="Arial"/>
          <w:shd w:val="clear" w:color="auto" w:fill="FFFFFF"/>
        </w:rPr>
        <w:t>,</w:t>
      </w:r>
      <w:r w:rsidRPr="005B6FCD">
        <w:rPr>
          <w:rFonts w:ascii="Verdana" w:hAnsi="Verdana" w:cs="Arial"/>
          <w:shd w:val="clear" w:color="auto" w:fill="FFFFFF"/>
        </w:rPr>
        <w:t xml:space="preserve"> C-107 del 28 de mayo de 2024</w:t>
      </w:r>
      <w:r>
        <w:rPr>
          <w:rFonts w:ascii="Verdana" w:hAnsi="Verdana" w:cs="Arial"/>
          <w:shd w:val="clear" w:color="auto" w:fill="FFFFFF"/>
        </w:rPr>
        <w:t xml:space="preserve"> y C-101 de agosto de 2024</w:t>
      </w:r>
      <w:r w:rsidRPr="005B6FCD">
        <w:rPr>
          <w:rFonts w:ascii="Verdana" w:hAnsi="Verdana" w:cs="Arial"/>
          <w:shd w:val="clear" w:color="auto" w:fill="FFFFFF"/>
        </w:rPr>
        <w:t xml:space="preserve">. </w:t>
      </w:r>
      <w:r w:rsidRPr="00F71A6A">
        <w:rPr>
          <w:rStyle w:val="normaltextrun"/>
          <w:rFonts w:ascii="Verdana" w:hAnsi="Verdana" w:cs="Arial"/>
          <w:shd w:val="clear" w:color="auto" w:fill="FFFFFF"/>
          <w:lang w:val="es-ES"/>
        </w:rPr>
        <w:t xml:space="preserve">Sobre </w:t>
      </w:r>
      <w:r>
        <w:rPr>
          <w:rStyle w:val="normaltextrun"/>
          <w:rFonts w:ascii="Verdana" w:hAnsi="Verdana" w:cs="Arial"/>
          <w:shd w:val="clear" w:color="auto" w:fill="FFFFFF"/>
          <w:lang w:val="es-ES"/>
        </w:rPr>
        <w:t xml:space="preserve">la modificación de los pliegos de condiciones a través de las adendas dentro de los procesos de selección </w:t>
      </w:r>
      <w:r w:rsidRPr="00F71A6A">
        <w:rPr>
          <w:rStyle w:val="normaltextrun"/>
          <w:rFonts w:ascii="Verdana" w:hAnsi="Verdana" w:cs="Arial"/>
          <w:shd w:val="clear" w:color="auto" w:fill="FFFFFF"/>
          <w:lang w:val="es-ES"/>
        </w:rPr>
        <w:t xml:space="preserve">esta </w:t>
      </w:r>
      <w:r w:rsidRPr="00AC4E53">
        <w:rPr>
          <w:rStyle w:val="normaltextrun"/>
          <w:rFonts w:ascii="Verdana" w:hAnsi="Verdana" w:cs="Arial"/>
          <w:shd w:val="clear" w:color="auto" w:fill="FFFFFF"/>
          <w:lang w:val="es-ES"/>
        </w:rPr>
        <w:t>Subdirección </w:t>
      </w:r>
      <w:r>
        <w:rPr>
          <w:rStyle w:val="normaltextrun"/>
          <w:rFonts w:ascii="Verdana" w:hAnsi="Verdana" w:cs="Arial"/>
          <w:shd w:val="clear" w:color="auto" w:fill="FFFFFF"/>
          <w:lang w:val="es-ES"/>
        </w:rPr>
        <w:t xml:space="preserve">se pronunció </w:t>
      </w:r>
      <w:r w:rsidRPr="00AC4E53">
        <w:rPr>
          <w:rStyle w:val="normaltextrun"/>
          <w:rFonts w:ascii="Verdana" w:hAnsi="Verdana" w:cs="Arial"/>
          <w:shd w:val="clear" w:color="auto" w:fill="FFFFFF"/>
          <w:lang w:val="es-ES"/>
        </w:rPr>
        <w:t>en los conceptos</w:t>
      </w:r>
      <w:r w:rsidRPr="00AC4E53">
        <w:rPr>
          <w:rFonts w:ascii="Verdana" w:eastAsia="Aptos" w:hAnsi="Verdana" w:cs="Arial"/>
          <w:shd w:val="clear" w:color="auto" w:fill="FFFFFF"/>
          <w:lang w:val="es-ES"/>
        </w:rPr>
        <w:t xml:space="preserve"> C</w:t>
      </w:r>
      <w:r>
        <w:rPr>
          <w:rFonts w:ascii="Verdana" w:eastAsia="Aptos" w:hAnsi="Verdana" w:cs="Arial"/>
          <w:shd w:val="clear" w:color="auto" w:fill="FFFFFF"/>
          <w:lang w:val="es-ES"/>
        </w:rPr>
        <w:t>-674 del 18 de noviembre de 2020, C-564 del 8 de septiembre de 2022, C-519 del 13 de septiembre de 2022, C-647 del 5 de octubre de 2022, C-705 de 25 de octubre de 2022, C-817 del 5 de diciembre de 2022, C-882 del 21 de diciembre de 2022, C-218 del 13 de julio de 2023</w:t>
      </w:r>
      <w:r w:rsidRPr="00AC4E53">
        <w:rPr>
          <w:rStyle w:val="normaltextrun"/>
          <w:rFonts w:ascii="Verdana" w:hAnsi="Verdana" w:cs="Calibri"/>
          <w:shd w:val="clear" w:color="auto" w:fill="FFFFFF"/>
        </w:rPr>
        <w:t>,</w:t>
      </w:r>
      <w:r>
        <w:rPr>
          <w:rStyle w:val="normaltextrun"/>
          <w:rFonts w:ascii="Verdana" w:hAnsi="Verdana" w:cs="Calibri"/>
          <w:shd w:val="clear" w:color="auto" w:fill="FFFFFF"/>
        </w:rPr>
        <w:t xml:space="preserve"> C- 383 del 20 de septiembre de 2023, </w:t>
      </w:r>
      <w:r>
        <w:rPr>
          <w:rFonts w:ascii="Verdana" w:eastAsia="Aptos" w:hAnsi="Verdana" w:cs="Arial"/>
          <w:shd w:val="clear" w:color="auto" w:fill="FFFFFF"/>
          <w:lang w:val="es-ES"/>
        </w:rPr>
        <w:t xml:space="preserve">C-299 del 21 de agosto de 2024, C-432 del 16 de septiembre de 2024, </w:t>
      </w:r>
      <w:r>
        <w:rPr>
          <w:rStyle w:val="normaltextrun"/>
          <w:rFonts w:ascii="Verdana" w:hAnsi="Verdana" w:cs="Calibri"/>
          <w:shd w:val="clear" w:color="auto" w:fill="FFFFFF"/>
        </w:rPr>
        <w:t>C-393 del 9 de septiembre de 2024, C-782 del 18 de noviembre de 2024, C-1020 del 27 de diciembre de 2024,</w:t>
      </w:r>
      <w:r w:rsidRPr="00AC4E53">
        <w:rPr>
          <w:rFonts w:ascii="Verdana" w:eastAsia="Aptos" w:hAnsi="Verdana" w:cs="Arial"/>
          <w:shd w:val="clear" w:color="auto" w:fill="FFFFFF"/>
          <w:lang w:val="es-ES"/>
        </w:rPr>
        <w:t xml:space="preserve"> entre otros</w:t>
      </w:r>
      <w:r>
        <w:rPr>
          <w:rFonts w:ascii="Verdana" w:eastAsia="Aptos" w:hAnsi="Verdana" w:cs="Arial"/>
          <w:shd w:val="clear" w:color="auto" w:fill="FFFFFF"/>
          <w:lang w:val="es-ES"/>
        </w:rPr>
        <w:t xml:space="preserve">, </w:t>
      </w:r>
      <w:r>
        <w:rPr>
          <w:rStyle w:val="normaltextrun"/>
          <w:rFonts w:ascii="Verdana" w:hAnsi="Verdana" w:cs="Arial"/>
          <w:shd w:val="clear" w:color="auto" w:fill="FFFFFF"/>
          <w:lang w:val="es-ES"/>
        </w:rPr>
        <w:t xml:space="preserve">Sobre </w:t>
      </w:r>
      <w:r w:rsidRPr="00AD7D4E">
        <w:rPr>
          <w:rStyle w:val="normaltextrun"/>
          <w:rFonts w:ascii="Verdana" w:hAnsi="Verdana" w:cs="Arial"/>
          <w:shd w:val="clear" w:color="auto" w:fill="FFFFFF"/>
          <w:lang w:val="es-ES"/>
        </w:rPr>
        <w:t xml:space="preserve">las limitaciones territoriales de convocatorias a MiPymes, esta Subdirección se ha pronunciado en los conceptos Nro. C-705 de 7 de diciembre de 2020, C-523 del </w:t>
      </w:r>
      <w:r w:rsidRPr="00AD7D4E">
        <w:rPr>
          <w:rStyle w:val="normaltextrun"/>
          <w:rFonts w:ascii="Verdana" w:hAnsi="Verdana" w:cs="Arial"/>
          <w:shd w:val="clear" w:color="auto" w:fill="FFFFFF"/>
          <w:lang w:val="es-ES"/>
        </w:rPr>
        <w:lastRenderedPageBreak/>
        <w:t>11 de agosto de 2020, C-438 de 27 de septiembre de 2021, C- 041 del 2 de marzo de 2022 y C-460 del 18 de julio de 2022, C-523 del 16 de agosto de 2022, C- 539 del 29 de agosto de 2022, C-585 del 19 de septiembre de 2022, C-587 del 21 de septiembre de 2022, C-597 del 9 de septiembre de 2022, C-627 del 12 de septiembre de 2022, C-643 del 10 de octubre de 2022, C-662 del 13 de octubre de 2022, C-699 del 25 de octubre de 2022, C-744 del 08 de noviembre de 2022 y C-758 del 10 de noviembre de 2022, C-089 del 28 de abril de 2023, C -094 del 19 de junio de 2024</w:t>
      </w:r>
      <w:r>
        <w:rPr>
          <w:rStyle w:val="normaltextrun"/>
          <w:rFonts w:ascii="Verdana" w:hAnsi="Verdana" w:cs="Arial"/>
          <w:shd w:val="clear" w:color="auto" w:fill="FFFFFF"/>
          <w:lang w:val="es-ES"/>
        </w:rPr>
        <w:t>, C-235 del 12 de agosto de 2024</w:t>
      </w:r>
      <w:r w:rsidRPr="00AD7D4E">
        <w:rPr>
          <w:rStyle w:val="normaltextrun"/>
          <w:rFonts w:ascii="Verdana" w:hAnsi="Verdana" w:cs="Arial"/>
          <w:shd w:val="clear" w:color="auto" w:fill="FFFFFF"/>
          <w:lang w:val="es-ES"/>
        </w:rPr>
        <w:t xml:space="preserve"> C-253 del 15 de agosto del 2024</w:t>
      </w:r>
      <w:r>
        <w:rPr>
          <w:rStyle w:val="normaltextrun"/>
          <w:rFonts w:ascii="Verdana" w:hAnsi="Verdana" w:cs="Arial"/>
          <w:shd w:val="clear" w:color="auto" w:fill="FFFFFF"/>
          <w:lang w:val="es-ES"/>
        </w:rPr>
        <w:t>, C-684 del 18 de noviembre de 2024 y C-100 del 25 de febrero de 2025</w:t>
      </w:r>
      <w:r>
        <w:rPr>
          <w:rFonts w:ascii="Verdana" w:hAnsi="Verdana" w:cs="Arial"/>
          <w:shd w:val="clear" w:color="auto" w:fill="FFFFFF"/>
          <w:lang w:val="es-ES"/>
        </w:rPr>
        <w:t xml:space="preserve">. </w:t>
      </w:r>
      <w:r w:rsidRPr="005B6FCD">
        <w:rPr>
          <w:rFonts w:ascii="Verdana" w:hAnsi="Verdana" w:cs="Arial"/>
          <w:shd w:val="clear" w:color="auto" w:fill="FFFFFF"/>
        </w:rPr>
        <w:t>Estos y otros conceptos se encuentran disponibles para consulta en el Sistema de relatoría de la Agencia, al cual se puede acceder a través del siguiente enlace:</w:t>
      </w:r>
      <w:hyperlink r:id="rId18" w:history="1">
        <w:r w:rsidRPr="005B6FCD">
          <w:rPr>
            <w:rStyle w:val="Hipervnculo"/>
            <w:rFonts w:ascii="Verdana" w:hAnsi="Verdana" w:cs="Arial"/>
            <w:shd w:val="clear" w:color="auto" w:fill="FFFFFF"/>
            <w:lang w:val="es-ES"/>
          </w:rPr>
          <w:t>https://relatoria.colombiacompra.gov.co/busqueda/conceptos</w:t>
        </w:r>
      </w:hyperlink>
      <w:r w:rsidRPr="005B6FCD">
        <w:rPr>
          <w:rFonts w:ascii="Verdana" w:hAnsi="Verdana" w:cs="Arial"/>
          <w:shd w:val="clear" w:color="auto" w:fill="FFFFFF"/>
        </w:rPr>
        <w:t xml:space="preserve">. </w:t>
      </w:r>
    </w:p>
    <w:p w14:paraId="5D9C1E65" w14:textId="77777777" w:rsidR="008C34A2" w:rsidRDefault="008C34A2" w:rsidP="008C34A2">
      <w:pPr>
        <w:spacing w:after="0" w:line="276" w:lineRule="auto"/>
        <w:jc w:val="both"/>
        <w:rPr>
          <w:rFonts w:ascii="Verdana" w:eastAsia="Calibri" w:hAnsi="Verdana" w:cs="Arial"/>
          <w:color w:val="000000" w:themeColor="text1"/>
          <w:shd w:val="clear" w:color="auto" w:fill="FFFFFF"/>
        </w:rPr>
      </w:pPr>
    </w:p>
    <w:p w14:paraId="49470393" w14:textId="77777777" w:rsidR="008C34A2" w:rsidRDefault="008C34A2" w:rsidP="008C34A2">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Te informamos que ya se encuentra disponible la </w:t>
      </w:r>
      <w:r w:rsidRPr="00277975">
        <w:rPr>
          <w:rFonts w:ascii="Verdana" w:hAnsi="Verdana" w:cs="Arial"/>
          <w:b/>
          <w:bCs/>
          <w:shd w:val="clear" w:color="auto" w:fill="FFFFFF"/>
        </w:rPr>
        <w:t>Cartilla para incentivar y fortalecer el acceso a las compras y contratación pública de los pueblos y comunidades étnicas en Colombia.</w:t>
      </w:r>
      <w:r w:rsidRPr="00277975">
        <w:rPr>
          <w:rFonts w:ascii="Verdana" w:hAnsi="Verdana" w:cs="Arial"/>
          <w:shd w:val="clear" w:color="auto" w:fill="FFFFFF"/>
        </w:rPr>
        <w:t>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 enlace: </w:t>
      </w:r>
      <w:hyperlink r:id="rId19" w:tgtFrame="_blank" w:tooltip="Dirección URL original: https://www.colombiacompra.gov.co/manuales-guias-y-pliegos-tipo/manuales-y-guias/cartilla-para-incentivar-y-fortalecer-el-acceso-las. Haga clic o pulse si confía en este vínculo." w:history="1">
        <w:r w:rsidRPr="00277975">
          <w:rPr>
            <w:rStyle w:val="Hipervnculo"/>
            <w:rFonts w:ascii="Verdana" w:hAnsi="Verdana" w:cs="Arial"/>
            <w:shd w:val="clear" w:color="auto" w:fill="FFFFFF"/>
          </w:rPr>
          <w:t>Cartilla para incentivar y fortalecer el acceso a las compras y contratación pública de los pueblos y comunidades étnicas en Colombia | Colombia Compra Eficiente | Agencia Nacional de Contratación Pública</w:t>
        </w:r>
      </w:hyperlink>
    </w:p>
    <w:p w14:paraId="4460F40C" w14:textId="77777777" w:rsidR="008C34A2" w:rsidRPr="00277975" w:rsidRDefault="008C34A2" w:rsidP="008C34A2">
      <w:pPr>
        <w:widowControl w:val="0"/>
        <w:autoSpaceDE w:val="0"/>
        <w:autoSpaceDN w:val="0"/>
        <w:spacing w:after="0" w:line="276" w:lineRule="auto"/>
        <w:jc w:val="both"/>
        <w:rPr>
          <w:rFonts w:ascii="Verdana" w:hAnsi="Verdana" w:cs="Arial"/>
          <w:color w:val="FF0000"/>
          <w:shd w:val="clear" w:color="auto" w:fill="FFFFFF"/>
        </w:rPr>
      </w:pPr>
    </w:p>
    <w:p w14:paraId="567F3B70" w14:textId="77777777" w:rsidR="008C34A2" w:rsidRDefault="008C34A2" w:rsidP="008C34A2">
      <w:pPr>
        <w:widowControl w:val="0"/>
        <w:autoSpaceDE w:val="0"/>
        <w:autoSpaceDN w:val="0"/>
        <w:spacing w:after="0" w:line="276" w:lineRule="auto"/>
        <w:jc w:val="both"/>
        <w:rPr>
          <w:rFonts w:ascii="Verdana" w:hAnsi="Verdana" w:cs="Arial"/>
          <w:color w:val="FF0000"/>
          <w:shd w:val="clear" w:color="auto" w:fill="FFFFFF"/>
          <w:lang w:val="es-ES"/>
        </w:rPr>
      </w:pPr>
      <w:r w:rsidRPr="00277975">
        <w:rPr>
          <w:rFonts w:ascii="Verdana" w:hAnsi="Verdana" w:cs="Arial"/>
          <w:shd w:val="clear" w:color="auto" w:fill="FFFFFF"/>
        </w:rPr>
        <w:t>De otra parte, te informamos que, con el objetivo de garantizar un conocimiento adecuado de las </w:t>
      </w:r>
      <w:r w:rsidRPr="00277975">
        <w:rPr>
          <w:rFonts w:ascii="Verdana" w:hAnsi="Verdana" w:cs="Arial"/>
          <w:b/>
          <w:bCs/>
          <w:shd w:val="clear" w:color="auto" w:fill="FFFFFF"/>
        </w:rPr>
        <w:t>modificaciones y/o actualizaciones realizadas a los Documentos Tipo</w:t>
      </w:r>
      <w:r w:rsidRPr="00277975">
        <w:rPr>
          <w:rFonts w:ascii="Verdana" w:hAnsi="Verdana" w:cs="Arial"/>
          <w:shd w:val="clear" w:color="auto" w:fill="FFFFFF"/>
        </w:rPr>
        <w:t>, hemos programado una serie de </w:t>
      </w:r>
      <w:r w:rsidRPr="00277975">
        <w:rPr>
          <w:rFonts w:ascii="Verdana" w:hAnsi="Verdana" w:cs="Arial"/>
          <w:b/>
          <w:bCs/>
          <w:shd w:val="clear" w:color="auto" w:fill="FFFFFF"/>
        </w:rPr>
        <w:t>capacitaciones </w:t>
      </w:r>
      <w:r w:rsidRPr="00277975">
        <w:rPr>
          <w:rFonts w:ascii="Verdana" w:hAnsi="Verdana" w:cs="Arial"/>
          <w:shd w:val="clear" w:color="auto" w:fill="FFFFFF"/>
        </w:rPr>
        <w:t>dirigidas a todos los actores involucrados en los procesos de selección. Podrás conocer la programación y realizar tu inscripción a estas capacitaciones a través del siguiente enlace:</w:t>
      </w:r>
      <w:r w:rsidRPr="00277975">
        <w:rPr>
          <w:rFonts w:ascii="Verdana" w:hAnsi="Verdana" w:cs="Arial"/>
          <w:color w:val="FF0000"/>
          <w:shd w:val="clear" w:color="auto" w:fill="FFFFFF"/>
        </w:rPr>
        <w:t> </w:t>
      </w:r>
      <w:hyperlink r:id="rId20" w:tgtFrame="_blank" w:tooltip="Dirección URL original: https://www.colombiacompra.gov.co/ciudadanos/calendario. Haga clic o pulse si confía en este vínculo." w:history="1">
        <w:r w:rsidRPr="00277975">
          <w:rPr>
            <w:rStyle w:val="Hipervnculo"/>
            <w:rFonts w:ascii="Verdana" w:hAnsi="Verdana" w:cs="Arial"/>
            <w:shd w:val="clear" w:color="auto" w:fill="FFFFFF"/>
          </w:rPr>
          <w:t>Calendario | Colombia Compra Eficiente | Agencia Nacional de Contratación Pública</w:t>
        </w:r>
      </w:hyperlink>
    </w:p>
    <w:p w14:paraId="6A1811AD" w14:textId="77777777" w:rsidR="008C34A2" w:rsidRPr="00277975" w:rsidRDefault="008C34A2" w:rsidP="008C34A2">
      <w:pPr>
        <w:widowControl w:val="0"/>
        <w:autoSpaceDE w:val="0"/>
        <w:autoSpaceDN w:val="0"/>
        <w:spacing w:after="0" w:line="276" w:lineRule="auto"/>
        <w:jc w:val="both"/>
        <w:rPr>
          <w:rFonts w:ascii="Verdana" w:hAnsi="Verdana" w:cs="Arial"/>
          <w:color w:val="FF0000"/>
          <w:shd w:val="clear" w:color="auto" w:fill="FFFFFF"/>
        </w:rPr>
      </w:pPr>
    </w:p>
    <w:p w14:paraId="386AF975" w14:textId="77777777" w:rsidR="008C34A2" w:rsidRDefault="008C34A2" w:rsidP="008C34A2">
      <w:pPr>
        <w:spacing w:after="0" w:line="240" w:lineRule="auto"/>
        <w:jc w:val="both"/>
      </w:pPr>
      <w:r w:rsidRPr="00277975">
        <w:rPr>
          <w:rFonts w:ascii="Verdana" w:hAnsi="Verdana" w:cs="Arial"/>
          <w:shd w:val="clear" w:color="auto" w:fill="FFFFFF"/>
        </w:rPr>
        <w:t>También, te contamos que ya publicamos </w:t>
      </w:r>
      <w:r w:rsidRPr="00277975">
        <w:rPr>
          <w:rFonts w:ascii="Verdana" w:hAnsi="Verdana" w:cs="Arial"/>
          <w:b/>
          <w:bCs/>
          <w:shd w:val="clear" w:color="auto" w:fill="FFFFFF"/>
        </w:rPr>
        <w:t>la nueva Guía de Contratación Pública Sostenible y Socialmente Responsable</w:t>
      </w:r>
      <w:r w:rsidRPr="00277975">
        <w:rPr>
          <w:rFonts w:ascii="Verdana" w:hAnsi="Verdana" w:cs="Arial"/>
          <w:shd w:val="clear" w:color="auto" w:fill="FFFFFF"/>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w:t>
      </w:r>
      <w:r w:rsidRPr="00277975">
        <w:rPr>
          <w:rFonts w:ascii="Verdana" w:hAnsi="Verdana" w:cs="Arial"/>
          <w:shd w:val="clear" w:color="auto" w:fill="FFFFFF"/>
        </w:rPr>
        <w:lastRenderedPageBreak/>
        <w:t>en el siguiente enlace:</w:t>
      </w:r>
      <w:r w:rsidRPr="00277975">
        <w:rPr>
          <w:rFonts w:ascii="Verdana" w:hAnsi="Verdana" w:cs="Arial"/>
          <w:color w:val="FF0000"/>
          <w:shd w:val="clear" w:color="auto" w:fill="FFFFFF"/>
        </w:rPr>
        <w:t> </w:t>
      </w:r>
      <w:hyperlink r:id="rId21" w:tgtFrame="_blank" w:tooltip="Dirección URL original: https://www.colombiacompra.gov.co/manuales-guias-y-pliegos-tipo/manuales-y-guias/guia-de-contratacion-publica-sostenible-y-socialmente. Haga clic o pulse si confía en este vínculo." w:history="1">
        <w:r w:rsidRPr="00277975">
          <w:rPr>
            <w:rStyle w:val="Hipervnculo"/>
            <w:rFonts w:ascii="Verdana" w:hAnsi="Verdana" w:cs="Arial"/>
            <w:shd w:val="clear" w:color="auto" w:fill="FFFFFF"/>
          </w:rPr>
          <w:t>Guía de Contratación Pública Sostenible y Socialmente Responsable | Colombia Compra Eficiente | Agencia Nacional de Contratación Pública</w:t>
        </w:r>
      </w:hyperlink>
    </w:p>
    <w:p w14:paraId="7AF0CEA6" w14:textId="77777777" w:rsidR="008C34A2" w:rsidRDefault="008C34A2" w:rsidP="008C34A2">
      <w:pPr>
        <w:spacing w:after="0" w:line="240" w:lineRule="auto"/>
        <w:jc w:val="both"/>
      </w:pPr>
    </w:p>
    <w:p w14:paraId="0334ABA5" w14:textId="77777777" w:rsidR="008C34A2" w:rsidRPr="009322DA" w:rsidRDefault="008C34A2" w:rsidP="008C34A2">
      <w:pPr>
        <w:spacing w:after="0" w:line="240" w:lineRule="auto"/>
        <w:jc w:val="both"/>
        <w:rPr>
          <w:rFonts w:ascii="Calibri" w:eastAsia="Calibri" w:hAnsi="Calibri" w:cs="Times New Roman"/>
        </w:rPr>
      </w:pPr>
      <w:r w:rsidRPr="0044528D">
        <w:rPr>
          <w:rFonts w:ascii="Verdana" w:hAnsi="Verdana"/>
        </w:rPr>
        <w:t xml:space="preserve">Por último, lo invitamos a seguirnos en las redes sociales en las cuales se difunde información institucional: </w:t>
      </w:r>
    </w:p>
    <w:p w14:paraId="16A99DCE" w14:textId="77777777" w:rsidR="008C34A2" w:rsidRPr="0044528D" w:rsidRDefault="008C34A2" w:rsidP="008C34A2">
      <w:pPr>
        <w:spacing w:after="0" w:line="240" w:lineRule="auto"/>
        <w:jc w:val="both"/>
        <w:rPr>
          <w:rFonts w:ascii="Verdana" w:hAnsi="Verdana"/>
        </w:rPr>
      </w:pPr>
    </w:p>
    <w:p w14:paraId="0417988C" w14:textId="77777777" w:rsidR="008C34A2" w:rsidRPr="0044528D" w:rsidRDefault="008C34A2" w:rsidP="008C34A2">
      <w:pPr>
        <w:spacing w:after="0" w:line="240" w:lineRule="auto"/>
        <w:jc w:val="both"/>
        <w:rPr>
          <w:rFonts w:ascii="Verdana" w:hAnsi="Verdana"/>
        </w:rPr>
      </w:pPr>
      <w:r w:rsidRPr="0044528D">
        <w:rPr>
          <w:rFonts w:ascii="Verdana" w:hAnsi="Verdana"/>
        </w:rPr>
        <w:t xml:space="preserve">Twitter: </w:t>
      </w:r>
      <w:r w:rsidRPr="009322DA">
        <w:rPr>
          <w:rFonts w:ascii="Verdana" w:eastAsia="Calibri" w:hAnsi="Verdana" w:cs="Times New Roman"/>
          <w:color w:val="4472C4" w:themeColor="accent1"/>
          <w:u w:val="single"/>
        </w:rPr>
        <w:t>@colombiacompra</w:t>
      </w:r>
      <w:r w:rsidRPr="009322DA">
        <w:rPr>
          <w:rFonts w:ascii="Verdana" w:eastAsia="Calibri" w:hAnsi="Verdana" w:cs="Times New Roman"/>
          <w:color w:val="4472C4" w:themeColor="accent1"/>
        </w:rPr>
        <w:t xml:space="preserve"> </w:t>
      </w:r>
    </w:p>
    <w:p w14:paraId="1843D986" w14:textId="77777777" w:rsidR="008C34A2" w:rsidRPr="0044528D" w:rsidRDefault="008C34A2" w:rsidP="008C34A2">
      <w:pPr>
        <w:spacing w:after="0" w:line="240" w:lineRule="auto"/>
        <w:jc w:val="both"/>
        <w:rPr>
          <w:rFonts w:ascii="Verdana" w:hAnsi="Verdana"/>
        </w:rPr>
      </w:pPr>
      <w:r w:rsidRPr="0044528D">
        <w:rPr>
          <w:rFonts w:ascii="Verdana" w:hAnsi="Verdana"/>
        </w:rPr>
        <w:t xml:space="preserve">Facebook: </w:t>
      </w:r>
      <w:proofErr w:type="spellStart"/>
      <w:r w:rsidRPr="009322DA">
        <w:rPr>
          <w:rFonts w:ascii="Verdana" w:eastAsia="Calibri" w:hAnsi="Verdana" w:cs="Times New Roman"/>
          <w:color w:val="4472C4" w:themeColor="accent1"/>
          <w:u w:val="single"/>
        </w:rPr>
        <w:t>ColombiaCompraEficiente</w:t>
      </w:r>
      <w:proofErr w:type="spellEnd"/>
    </w:p>
    <w:p w14:paraId="7DFCB906" w14:textId="77777777" w:rsidR="008C34A2" w:rsidRPr="0044528D" w:rsidRDefault="008C34A2" w:rsidP="008C34A2">
      <w:pPr>
        <w:spacing w:after="0" w:line="240" w:lineRule="auto"/>
        <w:jc w:val="both"/>
        <w:rPr>
          <w:rFonts w:ascii="Verdana" w:hAnsi="Verdana"/>
        </w:rPr>
      </w:pPr>
      <w:r w:rsidRPr="0044528D">
        <w:rPr>
          <w:rFonts w:ascii="Verdana" w:hAnsi="Verdana"/>
        </w:rPr>
        <w:t xml:space="preserve">LinkedIn: </w:t>
      </w:r>
      <w:r w:rsidRPr="009322DA">
        <w:rPr>
          <w:rFonts w:ascii="Verdana" w:eastAsia="Calibri" w:hAnsi="Verdana" w:cs="Times New Roman"/>
          <w:color w:val="4472C4" w:themeColor="accent1"/>
          <w:u w:val="single"/>
        </w:rPr>
        <w:t>Agencia Nacional de Contratación Pública - Colombia Compra Eficiente</w:t>
      </w:r>
      <w:r w:rsidRPr="009322DA">
        <w:rPr>
          <w:rFonts w:ascii="Verdana" w:eastAsia="Calibri" w:hAnsi="Verdana" w:cs="Times New Roman"/>
          <w:color w:val="4472C4" w:themeColor="accent1"/>
        </w:rPr>
        <w:t xml:space="preserve"> </w:t>
      </w:r>
      <w:r w:rsidRPr="0044528D">
        <w:rPr>
          <w:rFonts w:ascii="Verdana" w:hAnsi="Verdana"/>
        </w:rPr>
        <w:t xml:space="preserve">Instagram: </w:t>
      </w:r>
      <w:r w:rsidRPr="009322DA">
        <w:rPr>
          <w:rFonts w:ascii="Verdana" w:eastAsia="Calibri" w:hAnsi="Verdana" w:cs="Times New Roman"/>
          <w:color w:val="4472C4" w:themeColor="accent1"/>
          <w:u w:val="single"/>
        </w:rPr>
        <w:t>@colombiacompraeficiente_cce</w:t>
      </w:r>
    </w:p>
    <w:p w14:paraId="63532918" w14:textId="77777777" w:rsidR="008C34A2" w:rsidRPr="0044528D" w:rsidRDefault="008C34A2" w:rsidP="008C34A2">
      <w:pPr>
        <w:widowControl w:val="0"/>
        <w:autoSpaceDE w:val="0"/>
        <w:autoSpaceDN w:val="0"/>
        <w:spacing w:after="0" w:line="276" w:lineRule="auto"/>
        <w:jc w:val="both"/>
        <w:rPr>
          <w:rFonts w:ascii="Verdana" w:hAnsi="Verdana"/>
        </w:rPr>
      </w:pPr>
    </w:p>
    <w:p w14:paraId="085C58C3" w14:textId="77777777" w:rsidR="008C34A2" w:rsidRDefault="008C34A2" w:rsidP="008C34A2">
      <w:pPr>
        <w:widowControl w:val="0"/>
        <w:autoSpaceDE w:val="0"/>
        <w:autoSpaceDN w:val="0"/>
        <w:spacing w:after="0" w:line="276" w:lineRule="auto"/>
        <w:jc w:val="both"/>
        <w:rPr>
          <w:rFonts w:ascii="Verdana" w:eastAsia="Calibri" w:hAnsi="Verdana" w:cs="Arial"/>
        </w:rPr>
      </w:pPr>
    </w:p>
    <w:p w14:paraId="59C5D88D" w14:textId="77777777" w:rsidR="008C34A2" w:rsidRPr="009322DA" w:rsidRDefault="008C34A2" w:rsidP="008C34A2">
      <w:pPr>
        <w:widowControl w:val="0"/>
        <w:autoSpaceDE w:val="0"/>
        <w:autoSpaceDN w:val="0"/>
        <w:spacing w:after="0" w:line="276" w:lineRule="auto"/>
        <w:jc w:val="both"/>
        <w:rPr>
          <w:rFonts w:ascii="Verdana" w:eastAsia="Calibri" w:hAnsi="Verdana" w:cs="Arial"/>
          <w:lang w:val="es-ES_tradnl"/>
        </w:rPr>
      </w:pPr>
      <w:r w:rsidRPr="009322DA">
        <w:rPr>
          <w:rFonts w:ascii="Verdana" w:eastAsia="Calibri" w:hAnsi="Verdana" w:cs="Arial"/>
        </w:rPr>
        <w:t>Este concepto tiene el alcance previsto en el artículo 28 del Código de Procedimiento Administrativo y de lo Contencioso Administrativo.</w:t>
      </w:r>
    </w:p>
    <w:p w14:paraId="16117D68" w14:textId="77777777" w:rsidR="008C34A2" w:rsidRPr="009322DA" w:rsidRDefault="008C34A2" w:rsidP="008C34A2">
      <w:pPr>
        <w:widowControl w:val="0"/>
        <w:autoSpaceDE w:val="0"/>
        <w:autoSpaceDN w:val="0"/>
        <w:spacing w:after="0" w:line="276" w:lineRule="auto"/>
        <w:jc w:val="both"/>
        <w:rPr>
          <w:rFonts w:ascii="Verdana" w:eastAsia="Calibri" w:hAnsi="Verdana" w:cs="Arial"/>
        </w:rPr>
      </w:pPr>
    </w:p>
    <w:p w14:paraId="3804ACA3" w14:textId="77777777" w:rsidR="008C34A2" w:rsidRPr="009322DA" w:rsidRDefault="008C34A2" w:rsidP="008C34A2">
      <w:pPr>
        <w:spacing w:after="0" w:line="240" w:lineRule="auto"/>
        <w:rPr>
          <w:rFonts w:ascii="Verdana" w:eastAsia="Calibri" w:hAnsi="Verdana" w:cs="Arial"/>
          <w:lang w:eastAsia="es-CO"/>
        </w:rPr>
      </w:pPr>
      <w:r w:rsidRPr="009322DA">
        <w:rPr>
          <w:rFonts w:ascii="Verdana" w:eastAsia="Times New Roman" w:hAnsi="Verdana" w:cs="Arial"/>
          <w:lang w:eastAsia="es-CO"/>
        </w:rPr>
        <w:t>Atentamente,</w:t>
      </w:r>
      <w:r w:rsidRPr="009322DA">
        <w:rPr>
          <w:rFonts w:ascii="Verdana" w:eastAsia="Calibri" w:hAnsi="Verdana" w:cs="Arial"/>
          <w:lang w:eastAsia="es-CO"/>
        </w:rPr>
        <w:t xml:space="preserve"> </w:t>
      </w:r>
    </w:p>
    <w:p w14:paraId="265FC95A" w14:textId="1B1A5937" w:rsidR="008C34A2" w:rsidRPr="009322DA" w:rsidRDefault="001158FA" w:rsidP="008C34A2">
      <w:pPr>
        <w:spacing w:line="276" w:lineRule="auto"/>
        <w:jc w:val="center"/>
        <w:rPr>
          <w:rFonts w:ascii="Verdana" w:eastAsia="Calibri" w:hAnsi="Verdana" w:cs="Arial"/>
          <w:color w:val="000000"/>
          <w:lang w:val="es-ES_tradnl" w:eastAsia="es-CO"/>
        </w:rPr>
      </w:pPr>
      <w:r w:rsidRPr="002C3AD6">
        <w:rPr>
          <w:rFonts w:ascii="Century Gothic" w:hAnsi="Century Gothic"/>
          <w:noProof/>
        </w:rPr>
        <w:drawing>
          <wp:inline distT="0" distB="0" distL="0" distR="0" wp14:anchorId="5CDD5E48" wp14:editId="3376DF0D">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22"/>
                    <a:stretch>
                      <a:fillRect/>
                    </a:stretch>
                  </pic:blipFill>
                  <pic:spPr>
                    <a:xfrm>
                      <a:off x="0" y="0"/>
                      <a:ext cx="3772426" cy="1400370"/>
                    </a:xfrm>
                    <a:prstGeom prst="rect">
                      <a:avLst/>
                    </a:prstGeom>
                  </pic:spPr>
                </pic:pic>
              </a:graphicData>
            </a:graphic>
          </wp:inline>
        </w:drawing>
      </w:r>
    </w:p>
    <w:tbl>
      <w:tblPr>
        <w:tblW w:w="700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93"/>
        <w:gridCol w:w="6015"/>
      </w:tblGrid>
      <w:tr w:rsidR="008C34A2" w:rsidRPr="00CE4481" w14:paraId="6183DA1F" w14:textId="77777777" w:rsidTr="00B11B3C">
        <w:trPr>
          <w:trHeight w:val="430"/>
        </w:trPr>
        <w:tc>
          <w:tcPr>
            <w:tcW w:w="993" w:type="dxa"/>
            <w:tcBorders>
              <w:top w:val="nil"/>
              <w:left w:val="nil"/>
              <w:bottom w:val="nil"/>
              <w:right w:val="nil"/>
            </w:tcBorders>
            <w:vAlign w:val="center"/>
            <w:hideMark/>
          </w:tcPr>
          <w:p w14:paraId="43BC36E5" w14:textId="77777777" w:rsidR="008C34A2" w:rsidRPr="00CE4481" w:rsidRDefault="008C34A2" w:rsidP="00B11B3C">
            <w:pPr>
              <w:spacing w:after="0"/>
              <w:jc w:val="both"/>
              <w:rPr>
                <w:rFonts w:ascii="Verdana" w:hAnsi="Verdana" w:cs="Arial"/>
                <w:sz w:val="16"/>
                <w:szCs w:val="16"/>
                <w:lang w:val="es-ES"/>
              </w:rPr>
            </w:pPr>
            <w:r w:rsidRPr="00CE4481">
              <w:rPr>
                <w:rFonts w:ascii="Verdana" w:hAnsi="Verdana" w:cs="Arial"/>
                <w:sz w:val="16"/>
                <w:szCs w:val="16"/>
                <w:lang w:val="es-ES"/>
              </w:rPr>
              <w:t>Elaboró: </w:t>
            </w:r>
          </w:p>
        </w:tc>
        <w:tc>
          <w:tcPr>
            <w:tcW w:w="6015" w:type="dxa"/>
            <w:tcBorders>
              <w:top w:val="nil"/>
              <w:left w:val="nil"/>
              <w:bottom w:val="dotted" w:sz="6" w:space="0" w:color="7F7F7F" w:themeColor="text1" w:themeTint="80"/>
              <w:right w:val="nil"/>
            </w:tcBorders>
            <w:vAlign w:val="center"/>
            <w:hideMark/>
          </w:tcPr>
          <w:p w14:paraId="2692C7AF" w14:textId="77777777" w:rsidR="008C34A2" w:rsidRPr="00CE4481" w:rsidRDefault="008C34A2" w:rsidP="00B11B3C">
            <w:pPr>
              <w:spacing w:after="0"/>
              <w:jc w:val="both"/>
              <w:rPr>
                <w:rFonts w:ascii="Verdana" w:hAnsi="Verdana" w:cs="Arial"/>
                <w:sz w:val="16"/>
                <w:szCs w:val="16"/>
                <w:lang w:val="es-ES"/>
              </w:rPr>
            </w:pPr>
            <w:r>
              <w:rPr>
                <w:rFonts w:ascii="Verdana" w:hAnsi="Verdana" w:cs="Arial"/>
                <w:sz w:val="16"/>
                <w:szCs w:val="16"/>
                <w:lang w:val="es-ES"/>
              </w:rPr>
              <w:t>Richard Andrés Montenegro Siefken</w:t>
            </w:r>
          </w:p>
          <w:p w14:paraId="68034BE7" w14:textId="77777777" w:rsidR="008C34A2" w:rsidRPr="00CE4481" w:rsidRDefault="008C34A2" w:rsidP="00B11B3C">
            <w:pPr>
              <w:spacing w:after="0"/>
              <w:jc w:val="both"/>
              <w:rPr>
                <w:rFonts w:ascii="Verdana" w:hAnsi="Verdana" w:cs="Arial"/>
                <w:sz w:val="16"/>
                <w:szCs w:val="16"/>
                <w:lang w:val="es-ES"/>
              </w:rPr>
            </w:pPr>
            <w:r>
              <w:rPr>
                <w:rFonts w:ascii="Verdana" w:hAnsi="Verdana" w:cs="Arial"/>
                <w:sz w:val="16"/>
                <w:szCs w:val="16"/>
                <w:lang w:val="es-ES"/>
              </w:rPr>
              <w:t>Contratista</w:t>
            </w:r>
            <w:r w:rsidRPr="00CE4481">
              <w:rPr>
                <w:rFonts w:ascii="Verdana" w:hAnsi="Verdana" w:cs="Arial"/>
                <w:sz w:val="16"/>
                <w:szCs w:val="16"/>
                <w:lang w:val="es-ES"/>
              </w:rPr>
              <w:t xml:space="preserve"> de la Subdirección de Gestión Contractual</w:t>
            </w:r>
          </w:p>
        </w:tc>
      </w:tr>
      <w:tr w:rsidR="008C34A2" w:rsidRPr="00CE4481" w14:paraId="5D31A73F" w14:textId="77777777" w:rsidTr="00B11B3C">
        <w:trPr>
          <w:trHeight w:val="430"/>
        </w:trPr>
        <w:tc>
          <w:tcPr>
            <w:tcW w:w="993" w:type="dxa"/>
            <w:tcBorders>
              <w:top w:val="nil"/>
              <w:left w:val="nil"/>
              <w:right w:val="nil"/>
            </w:tcBorders>
            <w:vAlign w:val="center"/>
          </w:tcPr>
          <w:p w14:paraId="1A53C51C" w14:textId="77777777" w:rsidR="008C34A2" w:rsidRPr="00B03483" w:rsidRDefault="008C34A2" w:rsidP="00B11B3C">
            <w:pPr>
              <w:spacing w:after="0"/>
              <w:rPr>
                <w:rStyle w:val="normaltextrun"/>
                <w:rFonts w:ascii="Verdana" w:eastAsia="Arial" w:hAnsi="Verdana"/>
                <w:color w:val="000000" w:themeColor="text1"/>
                <w:sz w:val="16"/>
                <w:szCs w:val="16"/>
                <w:lang w:val="es-ES"/>
              </w:rPr>
            </w:pPr>
            <w:r w:rsidRPr="00B03483">
              <w:rPr>
                <w:rStyle w:val="normaltextrun"/>
                <w:rFonts w:ascii="Verdana" w:eastAsia="Arial" w:hAnsi="Verdana"/>
                <w:color w:val="000000" w:themeColor="text1"/>
                <w:sz w:val="16"/>
                <w:szCs w:val="16"/>
                <w:lang w:val="es-ES"/>
              </w:rPr>
              <w:t>Revisó</w:t>
            </w:r>
          </w:p>
        </w:tc>
        <w:tc>
          <w:tcPr>
            <w:tcW w:w="6015" w:type="dxa"/>
            <w:tcBorders>
              <w:top w:val="dotted" w:sz="6" w:space="0" w:color="7F7F7F" w:themeColor="text1" w:themeTint="80"/>
              <w:left w:val="nil"/>
              <w:bottom w:val="dotted" w:sz="6" w:space="0" w:color="7F7F7F" w:themeColor="text1" w:themeTint="80"/>
              <w:right w:val="nil"/>
            </w:tcBorders>
            <w:vAlign w:val="center"/>
          </w:tcPr>
          <w:p w14:paraId="1ABD8197" w14:textId="77777777" w:rsidR="008C34A2" w:rsidRPr="00001BB3" w:rsidRDefault="008C34A2" w:rsidP="00B11B3C">
            <w:pPr>
              <w:spacing w:after="0"/>
              <w:rPr>
                <w:rStyle w:val="normaltextrun"/>
                <w:rFonts w:ascii="Verdana" w:eastAsia="Arial" w:hAnsi="Verdana" w:cs="Arial"/>
                <w:color w:val="000000" w:themeColor="text1"/>
                <w:sz w:val="16"/>
                <w:szCs w:val="16"/>
                <w:lang w:val="es-ES"/>
              </w:rPr>
            </w:pPr>
            <w:r w:rsidRPr="00001BB3">
              <w:rPr>
                <w:rStyle w:val="normaltextrun"/>
                <w:rFonts w:ascii="Verdana" w:eastAsia="Arial" w:hAnsi="Verdana"/>
                <w:color w:val="000000" w:themeColor="text1"/>
                <w:sz w:val="16"/>
                <w:szCs w:val="16"/>
              </w:rPr>
              <w:t xml:space="preserve">Juan Carlos González Vázquez </w:t>
            </w:r>
          </w:p>
          <w:p w14:paraId="73213D18" w14:textId="2124E384" w:rsidR="008C34A2" w:rsidRPr="00B03483" w:rsidRDefault="008C34A2" w:rsidP="00B11B3C">
            <w:pPr>
              <w:spacing w:after="0"/>
              <w:rPr>
                <w:rStyle w:val="normaltextrun"/>
                <w:rFonts w:ascii="Verdana" w:eastAsia="Arial" w:hAnsi="Verdana"/>
                <w:color w:val="000000" w:themeColor="text1"/>
                <w:sz w:val="16"/>
                <w:szCs w:val="16"/>
                <w:lang w:val="es-ES"/>
              </w:rPr>
            </w:pPr>
            <w:r>
              <w:rPr>
                <w:rStyle w:val="normaltextrun"/>
                <w:rFonts w:ascii="Verdana" w:eastAsia="Arial" w:hAnsi="Verdana" w:cs="Arial"/>
                <w:color w:val="000000" w:themeColor="text1"/>
                <w:sz w:val="16"/>
                <w:szCs w:val="16"/>
                <w:lang w:val="es-ES"/>
              </w:rPr>
              <w:t>Contratista</w:t>
            </w:r>
            <w:r w:rsidRPr="00B03483">
              <w:rPr>
                <w:rStyle w:val="normaltextrun"/>
                <w:rFonts w:ascii="Verdana" w:eastAsia="Arial" w:hAnsi="Verdana" w:cs="Arial"/>
                <w:color w:val="000000" w:themeColor="text1"/>
                <w:sz w:val="16"/>
                <w:szCs w:val="16"/>
                <w:lang w:val="es-ES"/>
              </w:rPr>
              <w:t xml:space="preserve"> de la Subdirección de Gestión Contractual</w:t>
            </w:r>
          </w:p>
        </w:tc>
      </w:tr>
      <w:tr w:rsidR="008C34A2" w:rsidRPr="00CE4481" w14:paraId="5A1A6535" w14:textId="77777777" w:rsidTr="00B11B3C">
        <w:trPr>
          <w:trHeight w:val="65"/>
        </w:trPr>
        <w:tc>
          <w:tcPr>
            <w:tcW w:w="993" w:type="dxa"/>
            <w:tcBorders>
              <w:top w:val="nil"/>
              <w:left w:val="nil"/>
              <w:bottom w:val="nil"/>
              <w:right w:val="nil"/>
            </w:tcBorders>
            <w:vAlign w:val="center"/>
            <w:hideMark/>
          </w:tcPr>
          <w:p w14:paraId="54E9FA85" w14:textId="77777777" w:rsidR="008C34A2" w:rsidRPr="00CE4481" w:rsidRDefault="008C34A2" w:rsidP="00B11B3C">
            <w:pPr>
              <w:spacing w:after="0"/>
              <w:jc w:val="both"/>
              <w:rPr>
                <w:rFonts w:ascii="Verdana" w:hAnsi="Verdana" w:cs="Arial"/>
                <w:sz w:val="16"/>
                <w:szCs w:val="16"/>
                <w:lang w:val="es-ES"/>
              </w:rPr>
            </w:pPr>
            <w:r w:rsidRPr="00CE4481">
              <w:rPr>
                <w:rFonts w:ascii="Verdana" w:hAnsi="Verdana" w:cs="Arial"/>
                <w:sz w:val="16"/>
                <w:szCs w:val="16"/>
                <w:lang w:val="es-ES"/>
              </w:rPr>
              <w:t>Aprobó: </w:t>
            </w:r>
          </w:p>
        </w:tc>
        <w:tc>
          <w:tcPr>
            <w:tcW w:w="6015" w:type="dxa"/>
            <w:tcBorders>
              <w:top w:val="dotted" w:sz="6" w:space="0" w:color="7F7F7F" w:themeColor="text1" w:themeTint="80"/>
              <w:left w:val="nil"/>
              <w:bottom w:val="dotted" w:sz="6" w:space="0" w:color="7F7F7F" w:themeColor="text1" w:themeTint="80"/>
              <w:right w:val="nil"/>
            </w:tcBorders>
            <w:vAlign w:val="center"/>
            <w:hideMark/>
          </w:tcPr>
          <w:p w14:paraId="2F3CA9F7" w14:textId="77777777" w:rsidR="008C34A2" w:rsidRPr="00CE4481" w:rsidRDefault="008C34A2" w:rsidP="00B11B3C">
            <w:pPr>
              <w:spacing w:after="0"/>
              <w:rPr>
                <w:rFonts w:ascii="Verdana" w:eastAsia="Calibri" w:hAnsi="Verdana" w:cs="Arial"/>
                <w:sz w:val="16"/>
                <w:szCs w:val="16"/>
                <w:lang w:val="es-ES" w:eastAsia="es-ES"/>
              </w:rPr>
            </w:pPr>
            <w:r w:rsidRPr="00CE4481">
              <w:rPr>
                <w:rFonts w:ascii="Verdana" w:eastAsia="Calibri" w:hAnsi="Verdana" w:cs="Arial"/>
                <w:sz w:val="16"/>
                <w:szCs w:val="16"/>
                <w:lang w:val="es-ES" w:eastAsia="es-ES"/>
              </w:rPr>
              <w:t xml:space="preserve">Carolina Quintero </w:t>
            </w:r>
            <w:proofErr w:type="spellStart"/>
            <w:r w:rsidRPr="00CE4481">
              <w:rPr>
                <w:rFonts w:ascii="Verdana" w:eastAsia="Calibri" w:hAnsi="Verdana" w:cs="Arial"/>
                <w:sz w:val="16"/>
                <w:szCs w:val="16"/>
                <w:lang w:val="es-ES" w:eastAsia="es-ES"/>
              </w:rPr>
              <w:t>Gacharná</w:t>
            </w:r>
            <w:proofErr w:type="spellEnd"/>
          </w:p>
          <w:p w14:paraId="455146EA" w14:textId="77777777" w:rsidR="008C34A2" w:rsidRPr="00CE4481" w:rsidRDefault="008C34A2" w:rsidP="00B11B3C">
            <w:pPr>
              <w:spacing w:after="0"/>
              <w:jc w:val="both"/>
              <w:rPr>
                <w:rFonts w:ascii="Verdana" w:hAnsi="Verdana" w:cs="Arial"/>
                <w:sz w:val="16"/>
                <w:szCs w:val="16"/>
                <w:lang w:val="es-ES"/>
              </w:rPr>
            </w:pPr>
            <w:r w:rsidRPr="00CE4481">
              <w:rPr>
                <w:rFonts w:ascii="Verdana" w:hAnsi="Verdana" w:cs="Arial"/>
                <w:sz w:val="16"/>
                <w:szCs w:val="16"/>
                <w:lang w:val="es-ES"/>
              </w:rPr>
              <w:t>Subdirectora de Gestión Contractual ANCP – CCE</w:t>
            </w:r>
          </w:p>
        </w:tc>
      </w:tr>
    </w:tbl>
    <w:p w14:paraId="41A9992A" w14:textId="77777777" w:rsidR="008C34A2" w:rsidRPr="0032594D" w:rsidRDefault="008C34A2" w:rsidP="008C34A2"/>
    <w:p w14:paraId="3900974D" w14:textId="77777777" w:rsidR="003D5B0D" w:rsidRPr="000F118F" w:rsidRDefault="003D5B0D" w:rsidP="000F118F"/>
    <w:sectPr w:rsidR="003D5B0D" w:rsidRPr="000F118F" w:rsidSect="007C0C0F">
      <w:headerReference w:type="default" r:id="rId23"/>
      <w:footerReference w:type="default" r:id="rId2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EAC3A33" w14:textId="77777777" w:rsidR="00952321" w:rsidRDefault="00952321" w:rsidP="004A1847">
      <w:pPr>
        <w:spacing w:after="0" w:line="240" w:lineRule="auto"/>
      </w:pPr>
      <w:r>
        <w:separator/>
      </w:r>
    </w:p>
  </w:endnote>
  <w:endnote w:type="continuationSeparator" w:id="0">
    <w:p w14:paraId="0F0CCF29" w14:textId="77777777" w:rsidR="00952321" w:rsidRDefault="00952321" w:rsidP="004A1847">
      <w:pPr>
        <w:spacing w:after="0" w:line="240" w:lineRule="auto"/>
      </w:pPr>
      <w:r>
        <w:continuationSeparator/>
      </w:r>
    </w:p>
  </w:endnote>
  <w:endnote w:type="continuationNotice" w:id="1">
    <w:p w14:paraId="72B17B05" w14:textId="77777777" w:rsidR="00952321" w:rsidRDefault="0095232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165F5A" w14:textId="77777777" w:rsidR="00952321" w:rsidRDefault="00952321" w:rsidP="004A1847">
      <w:pPr>
        <w:spacing w:after="0" w:line="240" w:lineRule="auto"/>
      </w:pPr>
      <w:r>
        <w:separator/>
      </w:r>
    </w:p>
  </w:footnote>
  <w:footnote w:type="continuationSeparator" w:id="0">
    <w:p w14:paraId="23691494" w14:textId="77777777" w:rsidR="00952321" w:rsidRDefault="00952321" w:rsidP="004A1847">
      <w:pPr>
        <w:spacing w:after="0" w:line="240" w:lineRule="auto"/>
      </w:pPr>
      <w:r>
        <w:continuationSeparator/>
      </w:r>
    </w:p>
  </w:footnote>
  <w:footnote w:type="continuationNotice" w:id="1">
    <w:p w14:paraId="74522BD4" w14:textId="77777777" w:rsidR="00952321" w:rsidRDefault="00952321">
      <w:pPr>
        <w:spacing w:after="0" w:line="240" w:lineRule="auto"/>
      </w:pPr>
    </w:p>
  </w:footnote>
  <w:footnote w:id="2">
    <w:p w14:paraId="6EE0F6BD" w14:textId="77777777" w:rsidR="008C34A2" w:rsidRPr="003A0163" w:rsidRDefault="008C34A2" w:rsidP="008C34A2">
      <w:pPr>
        <w:pStyle w:val="Textoindependiente"/>
        <w:spacing w:line="276" w:lineRule="auto"/>
        <w:ind w:left="709" w:right="758"/>
        <w:jc w:val="both"/>
        <w:rPr>
          <w:rFonts w:ascii="Verdana" w:hAnsi="Verdana" w:cs="Arial"/>
          <w:color w:val="000000" w:themeColor="text1"/>
          <w:sz w:val="16"/>
          <w:szCs w:val="16"/>
        </w:rPr>
      </w:pPr>
      <w:r w:rsidRPr="003A0163">
        <w:rPr>
          <w:rStyle w:val="Refdenotaalpie"/>
          <w:rFonts w:ascii="Verdana" w:hAnsi="Verdana"/>
          <w:sz w:val="16"/>
          <w:szCs w:val="16"/>
        </w:rPr>
        <w:footnoteRef/>
      </w:r>
      <w:r w:rsidRPr="003A0163">
        <w:rPr>
          <w:rFonts w:ascii="Verdana" w:hAnsi="Verdana"/>
          <w:sz w:val="16"/>
          <w:szCs w:val="16"/>
        </w:rPr>
        <w:t xml:space="preserve"> </w:t>
      </w:r>
      <w:r w:rsidRPr="003A0163">
        <w:rPr>
          <w:rFonts w:ascii="Verdana" w:hAnsi="Verdana" w:cs="Arial"/>
          <w:color w:val="000000" w:themeColor="text1"/>
          <w:sz w:val="16"/>
          <w:szCs w:val="16"/>
        </w:rPr>
        <w:t>“Las Entidades Estatales pueden contratar bajo la modalidad de contratación directa la prestación de servicios profesionales y de apoyo a la gestión con la persona natural o jurídica que esté en capacidad de ejecutar el objeto del contrato, siempre y cuando la Entidad Estatal verifique la idoneidad o experiencia requerida y relacionada con el área de que se trate. En este caso, no es necesario que la Entidad Estatal haya obtenido previamente varias ofertas, de lo cual el ordenador del gasto debe dejar constancia escrita. </w:t>
      </w:r>
    </w:p>
    <w:p w14:paraId="4766B176" w14:textId="77777777" w:rsidR="008C34A2" w:rsidRPr="003A0163" w:rsidRDefault="008C34A2" w:rsidP="008C34A2">
      <w:pPr>
        <w:pStyle w:val="Textoindependiente"/>
        <w:spacing w:line="276" w:lineRule="auto"/>
        <w:ind w:left="709" w:right="758"/>
        <w:jc w:val="both"/>
        <w:rPr>
          <w:rFonts w:ascii="Verdana" w:hAnsi="Verdana" w:cs="Arial"/>
          <w:color w:val="000000" w:themeColor="text1"/>
          <w:sz w:val="16"/>
          <w:szCs w:val="16"/>
        </w:rPr>
      </w:pPr>
      <w:r w:rsidRPr="003A0163">
        <w:rPr>
          <w:rFonts w:ascii="Verdana" w:hAnsi="Verdana" w:cs="Arial"/>
          <w:color w:val="000000" w:themeColor="text1"/>
          <w:sz w:val="16"/>
          <w:szCs w:val="16"/>
        </w:rPr>
        <w:t> Los servicios profesionales y de apoyo a la gestión corresponden a aquellos de naturaleza intelectual diferentes a los de consultoría que se derivan del cumplimiento de las funciones de la Entidad Estatal, así como los relacionados con actividades operativas, logísticas, o asistenciales. </w:t>
      </w:r>
    </w:p>
    <w:p w14:paraId="49B2DEFF" w14:textId="77777777" w:rsidR="008C34A2" w:rsidRPr="003A0163" w:rsidRDefault="008C34A2" w:rsidP="008C34A2">
      <w:pPr>
        <w:pStyle w:val="Textoindependiente"/>
        <w:spacing w:line="276" w:lineRule="auto"/>
        <w:ind w:left="709" w:right="758"/>
        <w:jc w:val="both"/>
        <w:rPr>
          <w:rFonts w:ascii="Verdana" w:hAnsi="Verdana" w:cs="Arial"/>
          <w:color w:val="000000" w:themeColor="text1"/>
          <w:sz w:val="16"/>
          <w:szCs w:val="16"/>
        </w:rPr>
      </w:pPr>
      <w:r w:rsidRPr="003A0163">
        <w:rPr>
          <w:rFonts w:ascii="Verdana" w:hAnsi="Verdana" w:cs="Arial"/>
          <w:color w:val="000000" w:themeColor="text1"/>
          <w:sz w:val="16"/>
          <w:szCs w:val="16"/>
        </w:rPr>
        <w:t>La Entidad Estatal, para la contratación de trabajos artísticos que solamente puedan encomendarse a determinadas personas naturales, debe justificar esta situación en los estudios y documentos previos.”</w:t>
      </w:r>
    </w:p>
    <w:p w14:paraId="6E21C263" w14:textId="77777777" w:rsidR="008C34A2" w:rsidRDefault="008C34A2" w:rsidP="008C34A2">
      <w:pPr>
        <w:pStyle w:val="Textoindependiente"/>
        <w:spacing w:after="0" w:line="276" w:lineRule="auto"/>
        <w:ind w:left="720" w:right="104"/>
        <w:jc w:val="both"/>
        <w:rPr>
          <w:rFonts w:ascii="Verdana" w:eastAsia="Calibri" w:hAnsi="Verdana" w:cs="Arial"/>
          <w:color w:val="000000" w:themeColor="text1"/>
        </w:rPr>
      </w:pPr>
    </w:p>
    <w:p w14:paraId="202B436E" w14:textId="77777777" w:rsidR="008C34A2" w:rsidRPr="00D67AE9" w:rsidRDefault="008C34A2" w:rsidP="008C34A2">
      <w:pPr>
        <w:pStyle w:val="Textonotapie"/>
        <w:rPr>
          <w:lang w:val="es-ES"/>
        </w:rPr>
      </w:pPr>
    </w:p>
  </w:footnote>
  <w:footnote w:id="3">
    <w:p w14:paraId="079CFA72" w14:textId="77777777" w:rsidR="002C1C34" w:rsidRPr="009A2D37" w:rsidRDefault="002C1C34" w:rsidP="002C1C34">
      <w:pPr>
        <w:pStyle w:val="Textonotapie"/>
        <w:ind w:firstLine="709"/>
        <w:jc w:val="both"/>
        <w:rPr>
          <w:rFonts w:ascii="Verdana" w:hAnsi="Verdana" w:cs="Arial"/>
          <w:color w:val="000000" w:themeColor="text1"/>
          <w:sz w:val="16"/>
          <w:szCs w:val="16"/>
        </w:rPr>
      </w:pPr>
      <w:r w:rsidRPr="009A2D37">
        <w:rPr>
          <w:rStyle w:val="Refdenotaalpie"/>
          <w:rFonts w:ascii="Verdana" w:hAnsi="Verdana" w:cs="Arial"/>
          <w:color w:val="000000" w:themeColor="text1"/>
          <w:sz w:val="16"/>
          <w:szCs w:val="16"/>
        </w:rPr>
        <w:footnoteRef/>
      </w:r>
      <w:r w:rsidRPr="009A2D37">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9A2D37">
        <w:rPr>
          <w:rFonts w:ascii="Verdana" w:hAnsi="Verdana" w:cs="Arial"/>
          <w:color w:val="000000" w:themeColor="text1"/>
          <w:sz w:val="16"/>
          <w:szCs w:val="16"/>
        </w:rPr>
        <w:t>Concepto del 3 de septiembre de 2019, con radicado No. 2201913000006512.</w:t>
      </w:r>
    </w:p>
    <w:p w14:paraId="2C4098CB" w14:textId="77777777" w:rsidR="002C1C34" w:rsidRPr="009A2D37" w:rsidRDefault="002C1C34" w:rsidP="002C1C34">
      <w:pPr>
        <w:pStyle w:val="Textonotapie"/>
        <w:ind w:firstLine="709"/>
        <w:jc w:val="both"/>
        <w:rPr>
          <w:rFonts w:ascii="Verdana" w:hAnsi="Verdana" w:cs="Arial"/>
          <w:color w:val="000000" w:themeColor="text1"/>
          <w:sz w:val="16"/>
          <w:szCs w:val="16"/>
        </w:rPr>
      </w:pPr>
    </w:p>
  </w:footnote>
  <w:footnote w:id="4">
    <w:p w14:paraId="4532721F" w14:textId="77777777" w:rsidR="002C1C34" w:rsidRPr="009A2D37" w:rsidRDefault="002C1C34" w:rsidP="002C1C34">
      <w:pPr>
        <w:pStyle w:val="Textonotapie"/>
        <w:ind w:firstLine="708"/>
        <w:jc w:val="both"/>
        <w:rPr>
          <w:rFonts w:ascii="Verdana" w:hAnsi="Verdana" w:cs="Arial"/>
          <w:color w:val="000000"/>
          <w:sz w:val="16"/>
          <w:szCs w:val="16"/>
        </w:rPr>
      </w:pPr>
      <w:r w:rsidRPr="009A2D37">
        <w:rPr>
          <w:rStyle w:val="Refdenotaalpie"/>
          <w:rFonts w:ascii="Verdana" w:hAnsi="Verdana" w:cs="Arial"/>
          <w:color w:val="000000"/>
          <w:sz w:val="16"/>
          <w:szCs w:val="16"/>
        </w:rPr>
        <w:footnoteRef/>
      </w:r>
      <w:r w:rsidRPr="009A2D37">
        <w:rPr>
          <w:rFonts w:ascii="Verdana" w:hAnsi="Verdana" w:cs="Arial"/>
          <w:color w:val="000000"/>
          <w:sz w:val="16"/>
          <w:szCs w:val="16"/>
        </w:rPr>
        <w:t xml:space="preserve"> Decreto 1082</w:t>
      </w:r>
      <w:r>
        <w:rPr>
          <w:rFonts w:ascii="Verdana" w:hAnsi="Verdana" w:cs="Arial"/>
          <w:color w:val="000000"/>
          <w:sz w:val="16"/>
          <w:szCs w:val="16"/>
        </w:rPr>
        <w:t>. A</w:t>
      </w:r>
      <w:r w:rsidRPr="009A2D37">
        <w:rPr>
          <w:rFonts w:ascii="Verdana" w:hAnsi="Verdana" w:cs="Arial"/>
          <w:color w:val="000000"/>
          <w:sz w:val="16"/>
          <w:szCs w:val="16"/>
        </w:rPr>
        <w:t>rtículo 5: “[…] no estarán sujetos a competencia cuando la entidad sin ánimo de lucro comprometa recursos en dinero para la ejecución de esas actividades en una proporción no inferior al 30% del valor total del convenio. Los recursos que compromete la entidad sin ánimo de lucro pueden ser propios o de cooperación internacional”.</w:t>
      </w:r>
    </w:p>
    <w:p w14:paraId="3B50E8F4" w14:textId="77777777" w:rsidR="002C1C34" w:rsidRPr="009A2D37" w:rsidRDefault="002C1C34" w:rsidP="002C1C34">
      <w:pPr>
        <w:pStyle w:val="Textonotapie"/>
        <w:ind w:firstLine="708"/>
        <w:jc w:val="both"/>
        <w:rPr>
          <w:rFonts w:ascii="Verdana" w:hAnsi="Verdana" w:cs="Arial"/>
          <w:color w:val="000000"/>
          <w:sz w:val="16"/>
          <w:szCs w:val="16"/>
        </w:rPr>
      </w:pPr>
    </w:p>
  </w:footnote>
  <w:footnote w:id="5">
    <w:p w14:paraId="2A059C61" w14:textId="77777777" w:rsidR="002C1C34" w:rsidRPr="00FC0E25" w:rsidRDefault="002C1C34" w:rsidP="002C1C34">
      <w:pPr>
        <w:pStyle w:val="Textonotapie"/>
        <w:ind w:firstLine="709"/>
        <w:jc w:val="both"/>
        <w:rPr>
          <w:rFonts w:ascii="Verdana" w:hAnsi="Verdana"/>
          <w:sz w:val="16"/>
          <w:szCs w:val="16"/>
          <w:lang w:val="es-ES_tradnl"/>
        </w:rPr>
      </w:pPr>
      <w:r w:rsidRPr="00FC0E25">
        <w:rPr>
          <w:rStyle w:val="Refdenotaalpie"/>
          <w:rFonts w:ascii="Verdana" w:hAnsi="Verdana"/>
          <w:sz w:val="16"/>
          <w:szCs w:val="16"/>
        </w:rPr>
        <w:footnoteRef/>
      </w:r>
      <w:r w:rsidRPr="00FC0E25">
        <w:rPr>
          <w:rFonts w:ascii="Verdana" w:hAnsi="Verdana"/>
          <w:sz w:val="16"/>
          <w:szCs w:val="16"/>
        </w:rPr>
        <w:t xml:space="preserve"> </w:t>
      </w:r>
      <w:r w:rsidRPr="00FC0E25">
        <w:rPr>
          <w:rFonts w:ascii="Verdana" w:hAnsi="Verdana"/>
          <w:sz w:val="16"/>
          <w:szCs w:val="16"/>
          <w:lang w:val="es-ES_tradnl"/>
        </w:rPr>
        <w:t>AGENCIA NACIONAL DE CONTRATACIÓN PÚBLICA – COLOMBIA COMPRA EFICIENTE. Guía para la contratación con entidades privadas sin ánimo de lucro y de reconocida idoneidad. Disponible en: https://www.colombiacompra.gov.co/sites/cce_public/files/cce_documents/cce_guia_esal.pdf</w:t>
      </w:r>
    </w:p>
  </w:footnote>
  <w:footnote w:id="6">
    <w:p w14:paraId="344CF082" w14:textId="77777777" w:rsidR="002C1C34" w:rsidRPr="009A2D37" w:rsidRDefault="002C1C34" w:rsidP="002C1C34">
      <w:pPr>
        <w:pStyle w:val="Textonotapie"/>
        <w:ind w:firstLine="708"/>
        <w:jc w:val="both"/>
        <w:rPr>
          <w:rFonts w:ascii="Verdana" w:hAnsi="Verdana" w:cs="Arial"/>
          <w:sz w:val="16"/>
          <w:szCs w:val="16"/>
        </w:rPr>
      </w:pPr>
      <w:r w:rsidRPr="009A2D37">
        <w:rPr>
          <w:rStyle w:val="Refdenotaalpie"/>
          <w:rFonts w:ascii="Verdana" w:hAnsi="Verdana" w:cs="Arial"/>
          <w:sz w:val="16"/>
          <w:szCs w:val="16"/>
        </w:rPr>
        <w:footnoteRef/>
      </w:r>
      <w:r w:rsidRPr="009A2D37">
        <w:rPr>
          <w:rFonts w:ascii="Verdana" w:hAnsi="Verdana" w:cs="Arial"/>
          <w:sz w:val="16"/>
          <w:szCs w:val="16"/>
        </w:rPr>
        <w:t xml:space="preserve"> RODRÍGUEZ TAMAYO, Mauricio. Contratación pública con Entidades sin ánimo de lucro. Bogotá: Legis Editores, 2017. </w:t>
      </w:r>
      <w:r>
        <w:rPr>
          <w:rFonts w:ascii="Verdana" w:hAnsi="Verdana" w:cs="Arial"/>
          <w:sz w:val="16"/>
          <w:szCs w:val="16"/>
        </w:rPr>
        <w:t>Página</w:t>
      </w:r>
      <w:r w:rsidRPr="009A2D37">
        <w:rPr>
          <w:rFonts w:ascii="Verdana" w:hAnsi="Verdana" w:cs="Arial"/>
          <w:sz w:val="16"/>
          <w:szCs w:val="16"/>
        </w:rPr>
        <w:t xml:space="preserve"> 28. </w:t>
      </w:r>
    </w:p>
    <w:p w14:paraId="06B378B5" w14:textId="77777777" w:rsidR="002C1C34" w:rsidRPr="009A2D37" w:rsidRDefault="002C1C34" w:rsidP="002C1C34">
      <w:pPr>
        <w:pStyle w:val="Textonotapie"/>
        <w:ind w:firstLine="708"/>
        <w:jc w:val="both"/>
        <w:rPr>
          <w:rFonts w:ascii="Verdana" w:hAnsi="Verdana" w:cs="Arial"/>
          <w:sz w:val="16"/>
          <w:szCs w:val="16"/>
        </w:rPr>
      </w:pPr>
    </w:p>
  </w:footnote>
  <w:footnote w:id="7">
    <w:p w14:paraId="54BD7434" w14:textId="77777777" w:rsidR="008C34A2" w:rsidRPr="00F5441C" w:rsidRDefault="008C34A2" w:rsidP="008C34A2">
      <w:pPr>
        <w:pStyle w:val="Textonotapie"/>
        <w:ind w:firstLine="567"/>
        <w:jc w:val="both"/>
        <w:rPr>
          <w:rFonts w:ascii="Verdana" w:hAnsi="Verdana" w:cs="Arial"/>
          <w:color w:val="000000" w:themeColor="text1"/>
          <w:sz w:val="12"/>
          <w:szCs w:val="12"/>
          <w:lang w:val="es-CO"/>
        </w:rPr>
      </w:pPr>
      <w:r w:rsidRPr="00F5441C">
        <w:rPr>
          <w:rStyle w:val="Refdenotaalpie"/>
          <w:rFonts w:ascii="Verdana" w:hAnsi="Verdana" w:cs="Arial"/>
          <w:color w:val="000000" w:themeColor="text1"/>
          <w:sz w:val="12"/>
          <w:szCs w:val="12"/>
          <w:lang w:val="es-CO"/>
        </w:rPr>
        <w:footnoteRef/>
      </w:r>
      <w:r w:rsidRPr="00F5441C">
        <w:rPr>
          <w:rFonts w:ascii="Verdana" w:hAnsi="Verdana" w:cs="Arial"/>
          <w:color w:val="000000" w:themeColor="text1"/>
          <w:sz w:val="12"/>
          <w:szCs w:val="12"/>
          <w:lang w:val="es-CO"/>
        </w:rPr>
        <w:t xml:space="preserve"> OSPINA MENA, Jesús Marino. Régimen de la Contratación Estatal. Un salto a la contratación líquida. Bogotá: Ed. 1ª. Diké, 2020. p. 383.</w:t>
      </w:r>
    </w:p>
    <w:p w14:paraId="031FE043" w14:textId="77777777" w:rsidR="008C34A2" w:rsidRPr="00D02794" w:rsidRDefault="008C34A2" w:rsidP="008C34A2">
      <w:pPr>
        <w:pStyle w:val="Textonotapie"/>
        <w:ind w:firstLine="567"/>
        <w:jc w:val="both"/>
        <w:rPr>
          <w:rFonts w:ascii="Century Gothic" w:hAnsi="Century Gothic" w:cs="Arial"/>
          <w:color w:val="000000" w:themeColor="text1"/>
          <w:sz w:val="14"/>
          <w:szCs w:val="14"/>
        </w:rPr>
      </w:pPr>
    </w:p>
  </w:footnote>
  <w:footnote w:id="8">
    <w:p w14:paraId="78EB16FE" w14:textId="77777777" w:rsidR="008C34A2" w:rsidRDefault="008C34A2" w:rsidP="008C34A2">
      <w:pPr>
        <w:pStyle w:val="Textonotapie"/>
        <w:ind w:firstLine="567"/>
        <w:jc w:val="both"/>
        <w:rPr>
          <w:rFonts w:ascii="Verdana" w:hAnsi="Verdana" w:cs="Arial"/>
          <w:color w:val="000000" w:themeColor="text1"/>
          <w:sz w:val="12"/>
          <w:szCs w:val="12"/>
        </w:rPr>
      </w:pPr>
      <w:r w:rsidRPr="0028253F">
        <w:rPr>
          <w:rStyle w:val="Refdenotaalpie"/>
          <w:rFonts w:ascii="Verdana" w:hAnsi="Verdana" w:cs="Arial"/>
          <w:color w:val="000000" w:themeColor="text1"/>
          <w:sz w:val="12"/>
          <w:szCs w:val="12"/>
        </w:rPr>
        <w:footnoteRef/>
      </w:r>
      <w:r w:rsidRPr="0028253F">
        <w:rPr>
          <w:rFonts w:ascii="Verdana" w:hAnsi="Verdana" w:cs="Arial"/>
          <w:color w:val="000000" w:themeColor="text1"/>
          <w:sz w:val="12"/>
          <w:szCs w:val="12"/>
        </w:rPr>
        <w:t xml:space="preserve"> CONSEJO DE ESTADO. Sección Tercera. Sentencia de 30 de noviembre de 2006. Exp. 18.059. M.P. Alier Hernández Enríquez.</w:t>
      </w:r>
    </w:p>
    <w:p w14:paraId="6DDE185E" w14:textId="77777777" w:rsidR="008C34A2" w:rsidRPr="0028253F" w:rsidRDefault="008C34A2" w:rsidP="008C34A2">
      <w:pPr>
        <w:pStyle w:val="Textonotapie"/>
        <w:ind w:firstLine="567"/>
        <w:jc w:val="both"/>
        <w:rPr>
          <w:rFonts w:ascii="Verdana" w:hAnsi="Verdana" w:cs="Arial"/>
          <w:color w:val="000000" w:themeColor="text1"/>
          <w:sz w:val="12"/>
          <w:szCs w:val="12"/>
        </w:rPr>
      </w:pPr>
    </w:p>
  </w:footnote>
  <w:footnote w:id="9">
    <w:p w14:paraId="7C59B5EC" w14:textId="77777777" w:rsidR="008C34A2" w:rsidRPr="00E626AB" w:rsidRDefault="008C34A2" w:rsidP="008C34A2">
      <w:pPr>
        <w:pStyle w:val="Textonotapie"/>
        <w:ind w:firstLine="567"/>
        <w:jc w:val="both"/>
        <w:rPr>
          <w:rFonts w:ascii="Verdana" w:hAnsi="Verdana" w:cs="Arial"/>
          <w:color w:val="000000" w:themeColor="text1"/>
          <w:sz w:val="12"/>
          <w:szCs w:val="12"/>
        </w:rPr>
      </w:pPr>
      <w:r w:rsidRPr="00E626AB">
        <w:rPr>
          <w:rStyle w:val="Refdenotaalpie"/>
          <w:rFonts w:ascii="Verdana" w:hAnsi="Verdana" w:cs="Arial"/>
          <w:color w:val="000000" w:themeColor="text1"/>
          <w:sz w:val="12"/>
          <w:szCs w:val="12"/>
        </w:rPr>
        <w:footnoteRef/>
      </w:r>
      <w:r w:rsidRPr="00E626AB">
        <w:rPr>
          <w:rFonts w:ascii="Verdana" w:hAnsi="Verdana" w:cs="Arial"/>
          <w:color w:val="000000" w:themeColor="text1"/>
          <w:sz w:val="12"/>
          <w:szCs w:val="12"/>
        </w:rPr>
        <w:t xml:space="preserve"> Lo anterior, sin perjuicio de los casos en que resulten aplicables los documentos tipo –o pliegos tipo– de que trata el parágrafo 7 del artículo 2 de la Ley 1150 de 2007, modificado por el artículo 1 de la Ley 2022 de 2020.</w:t>
      </w:r>
    </w:p>
    <w:p w14:paraId="18A50E9B" w14:textId="77777777" w:rsidR="008C34A2" w:rsidRPr="00E626AB" w:rsidRDefault="008C34A2" w:rsidP="008C34A2">
      <w:pPr>
        <w:pStyle w:val="Textonotapie"/>
        <w:ind w:firstLine="567"/>
        <w:jc w:val="both"/>
        <w:rPr>
          <w:rFonts w:ascii="Verdana" w:hAnsi="Verdana" w:cs="Arial"/>
          <w:color w:val="000000" w:themeColor="text1"/>
          <w:sz w:val="12"/>
          <w:szCs w:val="12"/>
        </w:rPr>
      </w:pPr>
    </w:p>
  </w:footnote>
  <w:footnote w:id="10">
    <w:p w14:paraId="0F2E0B21" w14:textId="77777777" w:rsidR="008C34A2" w:rsidRPr="00E626AB" w:rsidRDefault="008C34A2" w:rsidP="008C34A2">
      <w:pPr>
        <w:spacing w:after="0" w:line="240" w:lineRule="auto"/>
        <w:ind w:firstLine="567"/>
        <w:jc w:val="both"/>
        <w:rPr>
          <w:rFonts w:ascii="Verdana" w:hAnsi="Verdana" w:cs="Arial"/>
          <w:color w:val="000000" w:themeColor="text1"/>
          <w:sz w:val="12"/>
          <w:szCs w:val="12"/>
        </w:rPr>
      </w:pPr>
      <w:r w:rsidRPr="00E626AB">
        <w:rPr>
          <w:rStyle w:val="Refdenotaalpie"/>
          <w:rFonts w:ascii="Verdana" w:hAnsi="Verdana" w:cs="Arial"/>
          <w:color w:val="000000" w:themeColor="text1"/>
          <w:sz w:val="12"/>
          <w:szCs w:val="12"/>
        </w:rPr>
        <w:footnoteRef/>
      </w:r>
      <w:r w:rsidRPr="00E626AB">
        <w:rPr>
          <w:rFonts w:ascii="Verdana" w:hAnsi="Verdana" w:cs="Arial"/>
          <w:color w:val="000000" w:themeColor="text1"/>
          <w:sz w:val="12"/>
          <w:szCs w:val="12"/>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746DBB04" w14:textId="77777777" w:rsidR="008C34A2" w:rsidRPr="00E626AB" w:rsidRDefault="008C34A2" w:rsidP="008C34A2">
      <w:pPr>
        <w:spacing w:after="0" w:line="240" w:lineRule="auto"/>
        <w:ind w:firstLine="567"/>
        <w:jc w:val="both"/>
        <w:rPr>
          <w:rFonts w:ascii="Verdana" w:hAnsi="Verdana" w:cs="Arial"/>
          <w:color w:val="000000" w:themeColor="text1"/>
          <w:sz w:val="12"/>
          <w:szCs w:val="12"/>
        </w:rPr>
      </w:pPr>
      <w:r w:rsidRPr="00E626AB">
        <w:rPr>
          <w:rFonts w:ascii="Verdana" w:hAnsi="Verdana" w:cs="Arial"/>
          <w:color w:val="000000" w:themeColor="text1"/>
          <w:sz w:val="12"/>
          <w:szCs w:val="12"/>
          <w:u w:color="4E4D4D"/>
        </w:rPr>
        <w:t xml:space="preserve"> </w:t>
      </w:r>
      <w:r w:rsidRPr="00E626AB">
        <w:rPr>
          <w:rFonts w:ascii="Verdana" w:hAnsi="Verdana" w:cs="Arial"/>
          <w:color w:val="000000" w:themeColor="text1"/>
          <w:sz w:val="12"/>
          <w:szCs w:val="12"/>
        </w:rPr>
        <w:t>“5.2. De la fuerza vinculante de las respuestas a las solicitudes de aclaraciones en relación con los términos de referencia. […]</w:t>
      </w:r>
    </w:p>
    <w:p w14:paraId="30AC73FA" w14:textId="77777777" w:rsidR="008C34A2" w:rsidRPr="00E626AB" w:rsidRDefault="008C34A2" w:rsidP="008C34A2">
      <w:pPr>
        <w:spacing w:after="0" w:line="240" w:lineRule="auto"/>
        <w:ind w:firstLine="567"/>
        <w:jc w:val="both"/>
        <w:rPr>
          <w:rFonts w:ascii="Verdana" w:hAnsi="Verdana" w:cs="Arial"/>
          <w:color w:val="000000" w:themeColor="text1"/>
          <w:sz w:val="12"/>
          <w:szCs w:val="12"/>
        </w:rPr>
      </w:pPr>
      <w:r w:rsidRPr="00E626AB">
        <w:rPr>
          <w:rFonts w:ascii="Verdana" w:hAnsi="Verdana" w:cs="Arial"/>
          <w:color w:val="000000" w:themeColor="text1"/>
          <w:sz w:val="12"/>
          <w:szCs w:val="12"/>
        </w:rPr>
        <w:t>Siguiendo el lineamiento expuesto, en criterio de la Sala, independientemente de que el contenido de la modificación se encuentre comprendido en un documento que no tenga el rótulo de “adendo”,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E626AB">
        <w:rPr>
          <w:rFonts w:ascii="Verdana" w:hAnsi="Verdana" w:cs="Arial"/>
          <w:color w:val="000000" w:themeColor="text1"/>
          <w:spacing w:val="-11"/>
          <w:sz w:val="12"/>
          <w:szCs w:val="12"/>
        </w:rPr>
        <w:t xml:space="preserve"> </w:t>
      </w:r>
      <w:r w:rsidRPr="00E626AB">
        <w:rPr>
          <w:rFonts w:ascii="Verdana" w:hAnsi="Verdana" w:cs="Arial"/>
          <w:color w:val="000000" w:themeColor="text1"/>
          <w:sz w:val="12"/>
          <w:szCs w:val="12"/>
        </w:rPr>
        <w:t>oferentes.</w:t>
      </w:r>
    </w:p>
    <w:p w14:paraId="62EA0A78" w14:textId="77777777" w:rsidR="008C34A2" w:rsidRPr="00E626AB" w:rsidRDefault="008C34A2" w:rsidP="008C34A2">
      <w:pPr>
        <w:spacing w:after="0" w:line="240" w:lineRule="auto"/>
        <w:ind w:firstLine="567"/>
        <w:jc w:val="both"/>
        <w:rPr>
          <w:rFonts w:ascii="Verdana" w:hAnsi="Verdana" w:cs="Arial"/>
          <w:color w:val="000000" w:themeColor="text1"/>
          <w:sz w:val="12"/>
          <w:szCs w:val="12"/>
        </w:rPr>
      </w:pPr>
      <w:r w:rsidRPr="00E626AB">
        <w:rPr>
          <w:rFonts w:ascii="Verdana" w:hAnsi="Verdana" w:cs="Arial"/>
          <w:color w:val="000000" w:themeColor="text1"/>
          <w:sz w:val="12"/>
          <w:szCs w:val="12"/>
        </w:rPr>
        <w:t>En ese orden de ideas, sea que se llame adendo,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E626AB">
        <w:rPr>
          <w:rFonts w:ascii="Verdana" w:hAnsi="Verdana" w:cs="Arial"/>
          <w:color w:val="000000" w:themeColor="text1"/>
          <w:spacing w:val="-20"/>
          <w:sz w:val="12"/>
          <w:szCs w:val="12"/>
        </w:rPr>
        <w:t xml:space="preserve"> </w:t>
      </w:r>
      <w:r w:rsidRPr="00E626AB">
        <w:rPr>
          <w:rFonts w:ascii="Verdana" w:hAnsi="Verdana" w:cs="Arial"/>
          <w:color w:val="000000" w:themeColor="text1"/>
          <w:sz w:val="12"/>
          <w:szCs w:val="12"/>
        </w:rPr>
        <w:t>condiciones”.</w:t>
      </w:r>
    </w:p>
    <w:p w14:paraId="47A096D4" w14:textId="77777777" w:rsidR="008C34A2" w:rsidRPr="00E626AB" w:rsidRDefault="008C34A2" w:rsidP="008C34A2">
      <w:pPr>
        <w:pStyle w:val="Textonotapie"/>
        <w:ind w:firstLine="567"/>
        <w:jc w:val="both"/>
        <w:rPr>
          <w:rFonts w:ascii="Verdana" w:hAnsi="Verdana" w:cs="Arial"/>
          <w:color w:val="000000" w:themeColor="text1"/>
          <w:sz w:val="12"/>
          <w:szCs w:val="12"/>
          <w:lang w:val="es-CO"/>
        </w:rPr>
      </w:pPr>
    </w:p>
  </w:footnote>
  <w:footnote w:id="11">
    <w:p w14:paraId="76C718CE" w14:textId="77777777" w:rsidR="008C34A2" w:rsidRDefault="008C34A2" w:rsidP="008C34A2">
      <w:pPr>
        <w:pStyle w:val="Textonotapie"/>
        <w:ind w:firstLine="567"/>
        <w:rPr>
          <w:rFonts w:ascii="Verdana" w:hAnsi="Verdana" w:cs="Arial"/>
          <w:sz w:val="12"/>
          <w:szCs w:val="12"/>
          <w:lang w:val="es-CO"/>
        </w:rPr>
      </w:pPr>
      <w:r w:rsidRPr="00E626AB">
        <w:rPr>
          <w:rStyle w:val="Refdenotaalpie"/>
          <w:rFonts w:ascii="Verdana" w:hAnsi="Verdana" w:cs="Arial"/>
          <w:sz w:val="12"/>
          <w:szCs w:val="12"/>
        </w:rPr>
        <w:footnoteRef/>
      </w:r>
      <w:r w:rsidRPr="00E626AB">
        <w:rPr>
          <w:rFonts w:ascii="Verdana" w:hAnsi="Verdana" w:cs="Arial"/>
          <w:sz w:val="12"/>
          <w:szCs w:val="12"/>
        </w:rPr>
        <w:t xml:space="preserve"> </w:t>
      </w:r>
      <w:r w:rsidRPr="00E626AB">
        <w:rPr>
          <w:rFonts w:ascii="Verdana" w:hAnsi="Verdana" w:cs="Arial"/>
          <w:sz w:val="12"/>
          <w:szCs w:val="12"/>
          <w:lang w:val="es-CO"/>
        </w:rPr>
        <w:t xml:space="preserve">Consejo de Estado, Sección Tercera, </w:t>
      </w:r>
      <w:r w:rsidRPr="00E626AB">
        <w:rPr>
          <w:rFonts w:ascii="Verdana" w:hAnsi="Verdana" w:cs="Arial"/>
          <w:sz w:val="12"/>
          <w:szCs w:val="12"/>
        </w:rPr>
        <w:t>Subsección C Consejero ponente: ENRIQUE GIL BOTERO Bogotá D.C., veinticuatro (24) de julio de dos mil trece (2013) Radicación número: 05001-23-31-000-1998-00833-01(25642)</w:t>
      </w:r>
      <w:r w:rsidRPr="00E626AB">
        <w:rPr>
          <w:rFonts w:ascii="Verdana" w:hAnsi="Verdana" w:cs="Arial"/>
          <w:sz w:val="12"/>
          <w:szCs w:val="12"/>
          <w:lang w:val="es-CO"/>
        </w:rPr>
        <w:t>.</w:t>
      </w:r>
    </w:p>
    <w:p w14:paraId="4F0F9637" w14:textId="77777777" w:rsidR="008C34A2" w:rsidRPr="00E626AB" w:rsidRDefault="008C34A2" w:rsidP="008C34A2">
      <w:pPr>
        <w:pStyle w:val="Textonotapie"/>
        <w:ind w:firstLine="567"/>
        <w:rPr>
          <w:rFonts w:ascii="Verdana" w:hAnsi="Verdana" w:cs="Arial"/>
          <w:sz w:val="12"/>
          <w:szCs w:val="12"/>
          <w:lang w:val="es-CO"/>
        </w:rPr>
      </w:pPr>
    </w:p>
  </w:footnote>
  <w:footnote w:id="12">
    <w:p w14:paraId="24028DBB" w14:textId="77777777" w:rsidR="008C34A2" w:rsidRPr="00E626AB" w:rsidRDefault="008C34A2" w:rsidP="008C34A2">
      <w:pPr>
        <w:pStyle w:val="Textonotapie"/>
        <w:ind w:firstLine="567"/>
        <w:jc w:val="both"/>
        <w:rPr>
          <w:rFonts w:ascii="Verdana" w:hAnsi="Verdana" w:cs="Arial"/>
          <w:color w:val="000000" w:themeColor="text1"/>
          <w:sz w:val="12"/>
          <w:szCs w:val="12"/>
          <w:lang w:val="es-ES"/>
        </w:rPr>
      </w:pPr>
      <w:r w:rsidRPr="00E626AB">
        <w:rPr>
          <w:rStyle w:val="Refdenotaalpie"/>
          <w:rFonts w:ascii="Verdana" w:hAnsi="Verdana" w:cs="Arial"/>
          <w:color w:val="000000" w:themeColor="text1"/>
          <w:sz w:val="12"/>
          <w:szCs w:val="12"/>
        </w:rPr>
        <w:footnoteRef/>
      </w:r>
      <w:r w:rsidRPr="00E626AB">
        <w:rPr>
          <w:rFonts w:ascii="Verdana" w:hAnsi="Verdana" w:cs="Arial"/>
          <w:color w:val="000000" w:themeColor="text1"/>
          <w:sz w:val="12"/>
          <w:szCs w:val="12"/>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13">
    <w:p w14:paraId="1103F8EE" w14:textId="77777777" w:rsidR="008C34A2" w:rsidRPr="002020CB" w:rsidRDefault="008C34A2" w:rsidP="008C34A2">
      <w:pPr>
        <w:pStyle w:val="Textonotapie"/>
        <w:ind w:firstLine="567"/>
        <w:jc w:val="both"/>
        <w:rPr>
          <w:rFonts w:ascii="Verdana" w:hAnsi="Verdana" w:cs="Arial"/>
          <w:sz w:val="12"/>
          <w:szCs w:val="12"/>
          <w:lang w:val="es-CO"/>
        </w:rPr>
      </w:pPr>
      <w:r w:rsidRPr="00C37164">
        <w:rPr>
          <w:rStyle w:val="Refdenotaalpie"/>
          <w:rFonts w:ascii="Verdana" w:hAnsi="Verdana"/>
          <w:sz w:val="12"/>
          <w:szCs w:val="12"/>
        </w:rPr>
        <w:footnoteRef/>
      </w:r>
      <w:r w:rsidRPr="00C37164">
        <w:rPr>
          <w:rFonts w:ascii="Verdana" w:hAnsi="Verdana"/>
          <w:sz w:val="12"/>
          <w:szCs w:val="12"/>
        </w:rPr>
        <w:t xml:space="preserve"> Consejo de Estado. Sección Tercera. Subsección C.</w:t>
      </w:r>
      <w:r>
        <w:rPr>
          <w:rFonts w:ascii="Verdana" w:hAnsi="Verdana"/>
          <w:sz w:val="12"/>
          <w:szCs w:val="12"/>
        </w:rPr>
        <w:t xml:space="preserve"> </w:t>
      </w:r>
      <w:r w:rsidRPr="00C37164">
        <w:rPr>
          <w:rFonts w:ascii="Verdana" w:hAnsi="Verdana" w:cs="Arial"/>
          <w:sz w:val="12"/>
          <w:szCs w:val="12"/>
        </w:rPr>
        <w:t xml:space="preserve">Consejero ponente: </w:t>
      </w:r>
      <w:r>
        <w:rPr>
          <w:rFonts w:ascii="Verdana" w:hAnsi="Verdana" w:cs="Arial"/>
          <w:sz w:val="12"/>
          <w:szCs w:val="12"/>
        </w:rPr>
        <w:t xml:space="preserve">JAIME ORLANDO SANTOFIMIO GAMBOA. </w:t>
      </w:r>
      <w:r w:rsidRPr="00C37164">
        <w:rPr>
          <w:rFonts w:ascii="Verdana" w:hAnsi="Verdana" w:cs="Arial"/>
          <w:sz w:val="12"/>
          <w:szCs w:val="12"/>
        </w:rPr>
        <w:t xml:space="preserve">Bogotá D.C., </w:t>
      </w:r>
      <w:r w:rsidRPr="002020CB">
        <w:rPr>
          <w:rFonts w:ascii="Verdana" w:hAnsi="Verdana" w:cs="Arial"/>
          <w:sz w:val="12"/>
          <w:szCs w:val="12"/>
        </w:rPr>
        <w:t xml:space="preserve">veintinueve (29) de agosto de dos mil trece (2013) Radicación número: </w:t>
      </w:r>
      <w:r w:rsidRPr="002020CB">
        <w:rPr>
          <w:rFonts w:ascii="Verdana" w:hAnsi="Verdana" w:cs="Arial"/>
          <w:sz w:val="12"/>
          <w:szCs w:val="12"/>
          <w:lang w:val="es-CO"/>
        </w:rPr>
        <w:t>1001-03-26-000-2010-00037-00 (39005).</w:t>
      </w:r>
    </w:p>
    <w:p w14:paraId="60718C90" w14:textId="77777777" w:rsidR="008C34A2" w:rsidRPr="002020CB" w:rsidRDefault="008C34A2" w:rsidP="008C34A2">
      <w:pPr>
        <w:pStyle w:val="Textonotapie"/>
        <w:ind w:left="567"/>
        <w:jc w:val="both"/>
        <w:rPr>
          <w:rFonts w:ascii="Verdana" w:hAnsi="Verdana"/>
          <w:sz w:val="12"/>
          <w:szCs w:val="12"/>
          <w:lang w:val="es-CO"/>
        </w:rPr>
      </w:pPr>
    </w:p>
  </w:footnote>
  <w:footnote w:id="14">
    <w:p w14:paraId="7F2A62CD" w14:textId="77777777" w:rsidR="008C34A2" w:rsidRPr="002020CB" w:rsidRDefault="008C34A2" w:rsidP="008C34A2">
      <w:pPr>
        <w:pStyle w:val="Textonotapie"/>
        <w:ind w:left="567"/>
        <w:rPr>
          <w:lang w:val="es-ES"/>
        </w:rPr>
      </w:pPr>
      <w:r w:rsidRPr="002020CB">
        <w:rPr>
          <w:rStyle w:val="Refdenotaalpie"/>
          <w:rFonts w:ascii="Verdana" w:hAnsi="Verdana"/>
          <w:sz w:val="12"/>
          <w:szCs w:val="12"/>
        </w:rPr>
        <w:footnoteRef/>
      </w:r>
      <w:r w:rsidRPr="002020CB">
        <w:rPr>
          <w:rFonts w:ascii="Verdana" w:hAnsi="Verdana"/>
          <w:sz w:val="12"/>
          <w:szCs w:val="12"/>
        </w:rPr>
        <w:t xml:space="preserve"> Ibidem.</w:t>
      </w:r>
      <w:r>
        <w:t xml:space="preserve"> </w:t>
      </w:r>
    </w:p>
  </w:footnote>
  <w:footnote w:id="15">
    <w:p w14:paraId="181D414B" w14:textId="77777777" w:rsidR="008C34A2" w:rsidRDefault="008C34A2" w:rsidP="008C34A2">
      <w:pPr>
        <w:pStyle w:val="Textonotapie"/>
        <w:ind w:firstLine="709"/>
        <w:rPr>
          <w:rFonts w:ascii="Verdana" w:hAnsi="Verdana"/>
          <w:sz w:val="12"/>
          <w:szCs w:val="12"/>
        </w:rPr>
      </w:pPr>
      <w:r w:rsidRPr="003D15BD">
        <w:rPr>
          <w:rStyle w:val="Refdenotaalpie"/>
          <w:sz w:val="12"/>
          <w:szCs w:val="12"/>
        </w:rPr>
        <w:footnoteRef/>
      </w:r>
      <w:r w:rsidRPr="003D15BD">
        <w:rPr>
          <w:sz w:val="12"/>
          <w:szCs w:val="12"/>
        </w:rPr>
        <w:t xml:space="preserve"> </w:t>
      </w:r>
      <w:r w:rsidRPr="003D15BD">
        <w:rPr>
          <w:rFonts w:ascii="Verdana" w:hAnsi="Verdana"/>
          <w:sz w:val="12"/>
          <w:szCs w:val="12"/>
        </w:rPr>
        <w:t xml:space="preserve">CONSEJO DE ESTADO. Sección tercera. Subsección A. Sentencia del </w:t>
      </w:r>
      <w:r w:rsidRPr="003D15BD">
        <w:rPr>
          <w:rFonts w:ascii="Verdana" w:hAnsi="Verdana"/>
          <w:sz w:val="12"/>
          <w:szCs w:val="12"/>
          <w:lang w:val="es-CO"/>
        </w:rPr>
        <w:t>cuatro (4) de julio de dos mil veintitrés (2023). Radicación: 250002336000201800853 01 (69280</w:t>
      </w:r>
      <w:r w:rsidRPr="005C3460">
        <w:rPr>
          <w:rFonts w:ascii="Verdana" w:hAnsi="Verdana"/>
          <w:sz w:val="12"/>
          <w:szCs w:val="12"/>
          <w:lang w:val="es-CO"/>
        </w:rPr>
        <w:t>)</w:t>
      </w:r>
      <w:r w:rsidRPr="005C3460">
        <w:rPr>
          <w:rFonts w:ascii="Verdana" w:hAnsi="Verdana"/>
          <w:sz w:val="12"/>
          <w:szCs w:val="12"/>
        </w:rPr>
        <w:t xml:space="preserve"> </w:t>
      </w:r>
    </w:p>
    <w:p w14:paraId="355EA699" w14:textId="77777777" w:rsidR="008C34A2" w:rsidRPr="005C3460" w:rsidRDefault="008C34A2" w:rsidP="008C34A2">
      <w:pPr>
        <w:pStyle w:val="Textonotapie"/>
        <w:ind w:firstLine="709"/>
        <w:rPr>
          <w:rFonts w:ascii="Verdana" w:hAnsi="Verdana"/>
          <w:sz w:val="12"/>
          <w:szCs w:val="12"/>
          <w:lang w:val="es-ES"/>
        </w:rPr>
      </w:pPr>
    </w:p>
  </w:footnote>
  <w:footnote w:id="16">
    <w:p w14:paraId="0B2A18F2" w14:textId="77777777" w:rsidR="008C34A2" w:rsidRDefault="008C34A2" w:rsidP="008C34A2">
      <w:pPr>
        <w:pStyle w:val="Textonotapie"/>
        <w:ind w:firstLine="709"/>
        <w:jc w:val="both"/>
        <w:rPr>
          <w:rFonts w:ascii="Verdana" w:hAnsi="Verdana"/>
          <w:sz w:val="12"/>
          <w:szCs w:val="12"/>
        </w:rPr>
      </w:pPr>
      <w:r w:rsidRPr="00835571">
        <w:rPr>
          <w:rStyle w:val="Refdenotaalpie"/>
          <w:rFonts w:ascii="Verdana" w:hAnsi="Verdana"/>
          <w:sz w:val="12"/>
          <w:szCs w:val="12"/>
        </w:rPr>
        <w:footnoteRef/>
      </w:r>
      <w:r w:rsidRPr="00835571">
        <w:rPr>
          <w:rFonts w:ascii="Verdana" w:hAnsi="Verdana"/>
          <w:sz w:val="12"/>
          <w:szCs w:val="12"/>
        </w:rPr>
        <w:t xml:space="preserve"> CONSEJO DE ESTADO. Sección Tercera. Sentencia de 20 de febrero de 2014. Exp. 28.342. M.P Stella Conto Diaz Del Castillo.</w:t>
      </w:r>
    </w:p>
    <w:p w14:paraId="690BBBD3" w14:textId="77777777" w:rsidR="008C34A2" w:rsidRPr="00835571" w:rsidRDefault="008C34A2" w:rsidP="008C34A2">
      <w:pPr>
        <w:pStyle w:val="Textonotapie"/>
        <w:ind w:firstLine="709"/>
        <w:jc w:val="both"/>
        <w:rPr>
          <w:rFonts w:ascii="Verdana" w:hAnsi="Verdana"/>
          <w:sz w:val="12"/>
          <w:szCs w:val="12"/>
        </w:rPr>
      </w:pPr>
    </w:p>
  </w:footnote>
  <w:footnote w:id="17">
    <w:p w14:paraId="02318B89" w14:textId="77777777" w:rsidR="008C34A2" w:rsidRPr="00992A57" w:rsidRDefault="008C34A2" w:rsidP="008C34A2">
      <w:pPr>
        <w:pStyle w:val="Textonotapie"/>
        <w:rPr>
          <w:rFonts w:ascii="Verdana" w:hAnsi="Verdana"/>
          <w:sz w:val="16"/>
          <w:szCs w:val="16"/>
          <w:lang w:val="es-ES"/>
        </w:rPr>
      </w:pPr>
      <w:r w:rsidRPr="00992A57">
        <w:rPr>
          <w:rStyle w:val="Refdenotaalpie"/>
          <w:rFonts w:ascii="Verdana" w:hAnsi="Verdana"/>
          <w:sz w:val="16"/>
          <w:szCs w:val="16"/>
        </w:rPr>
        <w:footnoteRef/>
      </w:r>
      <w:r w:rsidRPr="00992A57">
        <w:rPr>
          <w:rFonts w:ascii="Verdana" w:hAnsi="Verdana"/>
          <w:sz w:val="16"/>
          <w:szCs w:val="16"/>
        </w:rPr>
        <w:t xml:space="preserve"> Se puede acceder a la Guía mencionada en el siguiente link: </w:t>
      </w:r>
      <w:hyperlink r:id="rId1" w:history="1">
        <w:r w:rsidRPr="00992A57">
          <w:rPr>
            <w:rStyle w:val="Hipervnculo"/>
            <w:rFonts w:ascii="Verdana" w:hAnsi="Verdana"/>
            <w:sz w:val="16"/>
            <w:szCs w:val="16"/>
          </w:rPr>
          <w:t>https://www.colombiacompra.gov.co/sites/cce_public/files/cce_documents/guia_para_promover_la_participacion_de_las_mipymes_en_los_procesos_de_compra_publica_cce-gad-gi-26_1.pdf</w:t>
        </w:r>
      </w:hyperlink>
      <w:r w:rsidRPr="00992A57">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1.25pt;height:11.25pt;visibility:visible;mso-wrap-style:squar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94460F"/>
    <w:multiLevelType w:val="hybridMultilevel"/>
    <w:tmpl w:val="A50EA08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27675E06"/>
    <w:multiLevelType w:val="hybridMultilevel"/>
    <w:tmpl w:val="4864A90A"/>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2B342B1E"/>
    <w:multiLevelType w:val="hybridMultilevel"/>
    <w:tmpl w:val="4864A90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D471CDA"/>
    <w:multiLevelType w:val="hybridMultilevel"/>
    <w:tmpl w:val="643E257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5CA124C"/>
    <w:multiLevelType w:val="multilevel"/>
    <w:tmpl w:val="618CD4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6236730"/>
    <w:multiLevelType w:val="multilevel"/>
    <w:tmpl w:val="BBF652E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2160" w:hanging="216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20" w15:restartNumberingAfterBreak="0">
    <w:nsid w:val="7B694198"/>
    <w:multiLevelType w:val="hybridMultilevel"/>
    <w:tmpl w:val="34E4966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9"/>
  </w:num>
  <w:num w:numId="2" w16cid:durableId="19822139">
    <w:abstractNumId w:val="2"/>
  </w:num>
  <w:num w:numId="3" w16cid:durableId="876742304">
    <w:abstractNumId w:val="7"/>
  </w:num>
  <w:num w:numId="4" w16cid:durableId="24518640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8"/>
  </w:num>
  <w:num w:numId="8" w16cid:durableId="152644682">
    <w:abstractNumId w:val="14"/>
  </w:num>
  <w:num w:numId="9" w16cid:durableId="1317221377">
    <w:abstractNumId w:val="10"/>
  </w:num>
  <w:num w:numId="10" w16cid:durableId="1471245386">
    <w:abstractNumId w:val="13"/>
  </w:num>
  <w:num w:numId="11" w16cid:durableId="289172385">
    <w:abstractNumId w:val="11"/>
  </w:num>
  <w:num w:numId="12" w16cid:durableId="1470781324">
    <w:abstractNumId w:val="1"/>
  </w:num>
  <w:num w:numId="13" w16cid:durableId="1512908409">
    <w:abstractNumId w:val="3"/>
  </w:num>
  <w:num w:numId="14" w16cid:durableId="895897244">
    <w:abstractNumId w:val="17"/>
  </w:num>
  <w:num w:numId="15" w16cid:durableId="390349800">
    <w:abstractNumId w:val="12"/>
  </w:num>
  <w:num w:numId="16" w16cid:durableId="202817398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368986087">
    <w:abstractNumId w:val="15"/>
  </w:num>
  <w:num w:numId="18" w16cid:durableId="1240015687">
    <w:abstractNumId w:val="4"/>
  </w:num>
  <w:num w:numId="19" w16cid:durableId="633104166">
    <w:abstractNumId w:val="20"/>
  </w:num>
  <w:num w:numId="20" w16cid:durableId="1925725463">
    <w:abstractNumId w:val="19"/>
  </w:num>
  <w:num w:numId="21" w16cid:durableId="887496039">
    <w:abstractNumId w:val="6"/>
  </w:num>
  <w:num w:numId="22" w16cid:durableId="1697386707">
    <w:abstractNumId w:val="5"/>
  </w:num>
  <w:num w:numId="23" w16cid:durableId="169372416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6CC1"/>
    <w:rsid w:val="00035B71"/>
    <w:rsid w:val="00046945"/>
    <w:rsid w:val="00061B2A"/>
    <w:rsid w:val="000727E2"/>
    <w:rsid w:val="00082362"/>
    <w:rsid w:val="0009540C"/>
    <w:rsid w:val="000A683E"/>
    <w:rsid w:val="000B19B9"/>
    <w:rsid w:val="000D0334"/>
    <w:rsid w:val="000F118F"/>
    <w:rsid w:val="000F6486"/>
    <w:rsid w:val="001158FA"/>
    <w:rsid w:val="00125105"/>
    <w:rsid w:val="00127233"/>
    <w:rsid w:val="001511A0"/>
    <w:rsid w:val="001E4177"/>
    <w:rsid w:val="001F57C7"/>
    <w:rsid w:val="001F7DC6"/>
    <w:rsid w:val="00204B52"/>
    <w:rsid w:val="002421BB"/>
    <w:rsid w:val="00244BB8"/>
    <w:rsid w:val="002564AB"/>
    <w:rsid w:val="0025796E"/>
    <w:rsid w:val="00263E1A"/>
    <w:rsid w:val="002707A2"/>
    <w:rsid w:val="002768C7"/>
    <w:rsid w:val="002951A0"/>
    <w:rsid w:val="002962BC"/>
    <w:rsid w:val="002A093D"/>
    <w:rsid w:val="002A0DD0"/>
    <w:rsid w:val="002A49AC"/>
    <w:rsid w:val="002A64FD"/>
    <w:rsid w:val="002C1C34"/>
    <w:rsid w:val="002C7A84"/>
    <w:rsid w:val="002E4FD9"/>
    <w:rsid w:val="00322A85"/>
    <w:rsid w:val="00324168"/>
    <w:rsid w:val="00324EAE"/>
    <w:rsid w:val="003448F4"/>
    <w:rsid w:val="00374F5E"/>
    <w:rsid w:val="00377E3E"/>
    <w:rsid w:val="003900A6"/>
    <w:rsid w:val="003A779E"/>
    <w:rsid w:val="003D0F4D"/>
    <w:rsid w:val="003D5B0D"/>
    <w:rsid w:val="003E0499"/>
    <w:rsid w:val="003F3941"/>
    <w:rsid w:val="00406575"/>
    <w:rsid w:val="00414818"/>
    <w:rsid w:val="00414C74"/>
    <w:rsid w:val="00425831"/>
    <w:rsid w:val="0042722E"/>
    <w:rsid w:val="0044528D"/>
    <w:rsid w:val="004477EE"/>
    <w:rsid w:val="004660CF"/>
    <w:rsid w:val="004778A9"/>
    <w:rsid w:val="004A1847"/>
    <w:rsid w:val="004A305D"/>
    <w:rsid w:val="004E25D0"/>
    <w:rsid w:val="004F21C4"/>
    <w:rsid w:val="004F685F"/>
    <w:rsid w:val="005566E8"/>
    <w:rsid w:val="00574867"/>
    <w:rsid w:val="00575054"/>
    <w:rsid w:val="00591460"/>
    <w:rsid w:val="005977A8"/>
    <w:rsid w:val="005B1CDA"/>
    <w:rsid w:val="005B3816"/>
    <w:rsid w:val="005C3777"/>
    <w:rsid w:val="005C5CDC"/>
    <w:rsid w:val="005D476C"/>
    <w:rsid w:val="006219F8"/>
    <w:rsid w:val="00623EB5"/>
    <w:rsid w:val="00632102"/>
    <w:rsid w:val="00665D70"/>
    <w:rsid w:val="006900D9"/>
    <w:rsid w:val="006D5DD4"/>
    <w:rsid w:val="00706C16"/>
    <w:rsid w:val="00720B00"/>
    <w:rsid w:val="00756841"/>
    <w:rsid w:val="007649AB"/>
    <w:rsid w:val="00771D0C"/>
    <w:rsid w:val="007833AC"/>
    <w:rsid w:val="007B268C"/>
    <w:rsid w:val="007B7171"/>
    <w:rsid w:val="007C0C0F"/>
    <w:rsid w:val="007C3DC2"/>
    <w:rsid w:val="007E5497"/>
    <w:rsid w:val="00806F5F"/>
    <w:rsid w:val="00820278"/>
    <w:rsid w:val="008470C0"/>
    <w:rsid w:val="00867F95"/>
    <w:rsid w:val="008843B6"/>
    <w:rsid w:val="00891928"/>
    <w:rsid w:val="008A446D"/>
    <w:rsid w:val="008C34A2"/>
    <w:rsid w:val="008D180B"/>
    <w:rsid w:val="008D494E"/>
    <w:rsid w:val="008F0EA7"/>
    <w:rsid w:val="00923EEF"/>
    <w:rsid w:val="009419F9"/>
    <w:rsid w:val="00952321"/>
    <w:rsid w:val="0095685E"/>
    <w:rsid w:val="00961B09"/>
    <w:rsid w:val="00965334"/>
    <w:rsid w:val="0097093E"/>
    <w:rsid w:val="00986AC5"/>
    <w:rsid w:val="009A0746"/>
    <w:rsid w:val="009A0DFA"/>
    <w:rsid w:val="009B2D26"/>
    <w:rsid w:val="009C71FA"/>
    <w:rsid w:val="009C72E7"/>
    <w:rsid w:val="009D3058"/>
    <w:rsid w:val="009F3A13"/>
    <w:rsid w:val="00A122D3"/>
    <w:rsid w:val="00A17F13"/>
    <w:rsid w:val="00A20739"/>
    <w:rsid w:val="00A33C78"/>
    <w:rsid w:val="00A55FC1"/>
    <w:rsid w:val="00AB0ADB"/>
    <w:rsid w:val="00B01B1A"/>
    <w:rsid w:val="00B118E7"/>
    <w:rsid w:val="00B25657"/>
    <w:rsid w:val="00B34C56"/>
    <w:rsid w:val="00B66319"/>
    <w:rsid w:val="00B72CD3"/>
    <w:rsid w:val="00B72FFF"/>
    <w:rsid w:val="00BB2176"/>
    <w:rsid w:val="00BC3D36"/>
    <w:rsid w:val="00BD7F72"/>
    <w:rsid w:val="00C04FB3"/>
    <w:rsid w:val="00C206EB"/>
    <w:rsid w:val="00C330EB"/>
    <w:rsid w:val="00C41061"/>
    <w:rsid w:val="00C754BE"/>
    <w:rsid w:val="00C76B1C"/>
    <w:rsid w:val="00CB6357"/>
    <w:rsid w:val="00CC1B26"/>
    <w:rsid w:val="00CF7A7C"/>
    <w:rsid w:val="00D31C4F"/>
    <w:rsid w:val="00D423A2"/>
    <w:rsid w:val="00D50E13"/>
    <w:rsid w:val="00D520D8"/>
    <w:rsid w:val="00D53208"/>
    <w:rsid w:val="00D57FBF"/>
    <w:rsid w:val="00D63AC2"/>
    <w:rsid w:val="00D7383B"/>
    <w:rsid w:val="00DA231B"/>
    <w:rsid w:val="00DC39FC"/>
    <w:rsid w:val="00DD4C03"/>
    <w:rsid w:val="00DD7D18"/>
    <w:rsid w:val="00DF0B74"/>
    <w:rsid w:val="00DF4396"/>
    <w:rsid w:val="00DF5254"/>
    <w:rsid w:val="00DF5476"/>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F0744B"/>
    <w:rsid w:val="00F31EDC"/>
    <w:rsid w:val="00F462B3"/>
    <w:rsid w:val="00F5664F"/>
    <w:rsid w:val="00F666C4"/>
    <w:rsid w:val="00F76AFC"/>
    <w:rsid w:val="00F94637"/>
    <w:rsid w:val="00FA47C0"/>
    <w:rsid w:val="00FB5DD1"/>
    <w:rsid w:val="00FC2B5D"/>
    <w:rsid w:val="00FF1449"/>
    <w:rsid w:val="028E7D2D"/>
    <w:rsid w:val="04585396"/>
    <w:rsid w:val="081C1E42"/>
    <w:rsid w:val="086468C5"/>
    <w:rsid w:val="089F68AC"/>
    <w:rsid w:val="0B9F408D"/>
    <w:rsid w:val="0EB38692"/>
    <w:rsid w:val="0EC8A159"/>
    <w:rsid w:val="145BDE79"/>
    <w:rsid w:val="1C3435D3"/>
    <w:rsid w:val="1FDD750D"/>
    <w:rsid w:val="2091325B"/>
    <w:rsid w:val="220D88C4"/>
    <w:rsid w:val="269DB588"/>
    <w:rsid w:val="2716EEE8"/>
    <w:rsid w:val="2E8AF69A"/>
    <w:rsid w:val="30795F33"/>
    <w:rsid w:val="309293D2"/>
    <w:rsid w:val="310E63B3"/>
    <w:rsid w:val="33B840E2"/>
    <w:rsid w:val="343EF669"/>
    <w:rsid w:val="3CA294FE"/>
    <w:rsid w:val="3DF48A0C"/>
    <w:rsid w:val="3FB3E60C"/>
    <w:rsid w:val="42131BBE"/>
    <w:rsid w:val="431751BC"/>
    <w:rsid w:val="4A98C140"/>
    <w:rsid w:val="4CFC4A68"/>
    <w:rsid w:val="57B0D92B"/>
    <w:rsid w:val="57BFEE17"/>
    <w:rsid w:val="57DE8262"/>
    <w:rsid w:val="57E2FF40"/>
    <w:rsid w:val="5DFE9FBD"/>
    <w:rsid w:val="646BF43E"/>
    <w:rsid w:val="651448FB"/>
    <w:rsid w:val="6731F872"/>
    <w:rsid w:val="6B8A5DE3"/>
    <w:rsid w:val="6D60836D"/>
    <w:rsid w:val="6E594218"/>
    <w:rsid w:val="6EEED753"/>
    <w:rsid w:val="6FA4908D"/>
    <w:rsid w:val="72F334C6"/>
    <w:rsid w:val="740AE0D7"/>
    <w:rsid w:val="747C8EF9"/>
    <w:rsid w:val="775C7820"/>
    <w:rsid w:val="77BB276A"/>
    <w:rsid w:val="7802BCC0"/>
    <w:rsid w:val="79897D92"/>
    <w:rsid w:val="7A7BBA29"/>
    <w:rsid w:val="7BD02DD3"/>
    <w:rsid w:val="7C5E8010"/>
    <w:rsid w:val="7EB6D0B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8C34A2"/>
    <w:pPr>
      <w:spacing w:line="240" w:lineRule="exact"/>
    </w:pPr>
    <w:rPr>
      <w:vertAlign w:val="superscript"/>
    </w:rPr>
  </w:style>
  <w:style w:type="table" w:customStyle="1" w:styleId="Tablaconcuadrcula1">
    <w:name w:val="Tabla con cuadrícula1"/>
    <w:basedOn w:val="Tablanormal"/>
    <w:next w:val="Tablaconcuadrcula"/>
    <w:uiPriority w:val="39"/>
    <w:qFormat/>
    <w:rsid w:val="008C34A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1"/>
    <w:unhideWhenUsed/>
    <w:qFormat/>
    <w:rsid w:val="008C34A2"/>
    <w:pPr>
      <w:spacing w:after="120"/>
    </w:pPr>
  </w:style>
  <w:style w:type="character" w:customStyle="1" w:styleId="TextoindependienteCar">
    <w:name w:val="Texto independiente Car"/>
    <w:basedOn w:val="Fuentedeprrafopredeter"/>
    <w:link w:val="Textoindependiente"/>
    <w:uiPriority w:val="1"/>
    <w:rsid w:val="008C34A2"/>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C34A2"/>
    <w:rPr>
      <w:rFonts w:ascii="Geomanist Light" w:hAnsi="Geomanist Light"/>
      <w:lang w:val="es-ES"/>
    </w:rPr>
  </w:style>
  <w:style w:type="character" w:styleId="Textoennegrita">
    <w:name w:val="Strong"/>
    <w:basedOn w:val="Fuentedeprrafopredeter"/>
    <w:uiPriority w:val="22"/>
    <w:qFormat/>
    <w:rsid w:val="008C34A2"/>
    <w:rPr>
      <w:b/>
      <w:bCs/>
    </w:rPr>
  </w:style>
  <w:style w:type="paragraph" w:styleId="Textocomentario">
    <w:name w:val="annotation text"/>
    <w:basedOn w:val="Normal"/>
    <w:link w:val="TextocomentarioCar"/>
    <w:uiPriority w:val="99"/>
    <w:semiHidden/>
    <w:unhideWhenUsed/>
    <w:rsid w:val="004E25D0"/>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E25D0"/>
    <w:rPr>
      <w:sz w:val="20"/>
      <w:szCs w:val="20"/>
    </w:rPr>
  </w:style>
  <w:style w:type="character" w:styleId="Refdecomentario">
    <w:name w:val="annotation reference"/>
    <w:basedOn w:val="Fuentedeprrafopredeter"/>
    <w:uiPriority w:val="99"/>
    <w:semiHidden/>
    <w:unhideWhenUsed/>
    <w:rsid w:val="004E25D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5979002">
      <w:bodyDiv w:val="1"/>
      <w:marLeft w:val="0"/>
      <w:marRight w:val="0"/>
      <w:marTop w:val="0"/>
      <w:marBottom w:val="0"/>
      <w:divBdr>
        <w:top w:val="none" w:sz="0" w:space="0" w:color="auto"/>
        <w:left w:val="none" w:sz="0" w:space="0" w:color="auto"/>
        <w:bottom w:val="none" w:sz="0" w:space="0" w:color="auto"/>
        <w:right w:val="none" w:sz="0" w:space="0" w:color="auto"/>
      </w:divBdr>
    </w:div>
    <w:div w:id="542720299">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1525096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900440040">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normativa/ley-1150-de-2007/" TargetMode="External"/><Relationship Id="rId18" Type="http://schemas.openxmlformats.org/officeDocument/2006/relationships/hyperlink" Target="https://relatoria.colombiacompra.gov.co/busqueda/conceptos" TargetMode="External"/><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hyperlink" Target="https://nam02.safelinks.protection.outlook.com/?url=https%3A%2F%2Fwww.colombiacompra.gov.co%2Fmanuales-guias-y-pliegos-tipo%2Fmanuales-y-guias%2Fguia-de-contratacion-publica-sostenible-y-socialmente&amp;data=05%7C02%7Crichard.montenegro%40colombiacompra.gov.co%7Ceb0fd05604104aa4d3bc08dd4c4ad35e%7C7b09041e245149d08cb179d5e3d8c1be%7C0%7C0%7C638750606448542560%7CUnknown%7CTWFpbGZsb3d8eyJFbXB0eU1hcGkiOnRydWUsIlYiOiIwLjAuMDAwMCIsIlAiOiJXaW4zMiIsIkFOIjoiTWFpbCIsIldUIjoyfQ%3D%3D%7C0%7C%7C%7C&amp;sdata=PupjwwYMGQiHFUc19Hr6f9C9toNM85JR5cSVS9gAT2w%3D&amp;reserved=0" TargetMode="External"/><Relationship Id="rId7" Type="http://schemas.openxmlformats.org/officeDocument/2006/relationships/webSettings" Target="webSettings.xml"/><Relationship Id="rId12" Type="http://schemas.openxmlformats.org/officeDocument/2006/relationships/hyperlink" Target="https://relatoria.colombiacompra.gov.co/normativa/ley-1712-de-2014/" TargetMode="External"/><Relationship Id="rId17" Type="http://schemas.openxmlformats.org/officeDocument/2006/relationships/hyperlink" Target="https://www.colombiacompra.gov.co/sites/cce_public/files/cce_documents/guia_para_promover_la_participacion_de_las_mipymes_en_los_procesos_de_compra_publica_cce-gad-gi-26_1.pdf"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relatoria.colombiacompra.gov.co/providencias/11001-03-26-000-2011-00039-00_41719/" TargetMode="External"/><Relationship Id="rId20" Type="http://schemas.openxmlformats.org/officeDocument/2006/relationships/hyperlink" Target="https://nam02.safelinks.protection.outlook.com/?url=https%3A%2F%2Fwww.colombiacompra.gov.co%2Fciudadanos%2Fcalendario&amp;data=05%7C02%7Crichard.montenegro%40colombiacompra.gov.co%7Ceb0fd05604104aa4d3bc08dd4c4ad35e%7C7b09041e245149d08cb179d5e3d8c1be%7C0%7C0%7C638750606448526086%7CUnknown%7CTWFpbGZsb3d8eyJFbXB0eU1hcGkiOnRydWUsIlYiOiIwLjAuMDAwMCIsIlAiOiJXaW4zMiIsIkFOIjoiTWFpbCIsIldUIjoyfQ%3D%3D%7C0%7C%7C%7C&amp;sdata=6yCFshe0TnsKlUdjdffn9qQEosMwoebHUQfu7V3xn%2Fs%3D&amp;reserved=0"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german.quintero357@casur.gov.co" TargetMode="External"/><Relationship Id="rId24" Type="http://schemas.openxmlformats.org/officeDocument/2006/relationships/footer" Target="footer1.xml"/><Relationship Id="rId5" Type="http://schemas.openxmlformats.org/officeDocument/2006/relationships/styles" Target="styles.xml"/><Relationship Id="rId15" Type="http://schemas.openxmlformats.org/officeDocument/2006/relationships/hyperlink" Target="https://relatoria.colombiacompra.gov.co/providencias/05001-23-33-000-2013-01143-01_1317-16_ce-suj2-025-21/" TargetMode="External"/><Relationship Id="rId23" Type="http://schemas.openxmlformats.org/officeDocument/2006/relationships/header" Target="header1.xml"/><Relationship Id="rId10" Type="http://schemas.openxmlformats.org/officeDocument/2006/relationships/image" Target="media/image2.png"/><Relationship Id="rId19" Type="http://schemas.openxmlformats.org/officeDocument/2006/relationships/hyperlink" Target="https://nam02.safelinks.protection.outlook.com/?url=https%3A%2F%2Fwww.colombiacompra.gov.co%2Fmanuales-guias-y-pliegos-tipo%2Fmanuales-y-guias%2Fcartilla-para-incentivar-y-fortalecer-el-acceso-las&amp;data=05%7C02%7Crichard.montenegro%40colombiacompra.gov.co%7Ceb0fd05604104aa4d3bc08dd4c4ad35e%7C7b09041e245149d08cb179d5e3d8c1be%7C0%7C0%7C638750606448503420%7CUnknown%7CTWFpbGZsb3d8eyJFbXB0eU1hcGkiOnRydWUsIlYiOiIwLjAuMDAwMCIsIlAiOiJXaW4zMiIsIkFOIjoiTWFpbCIsIldUIjoyfQ%3D%3D%7C0%7C%7C%7C&amp;sdata=34g3U1uoHQc2YRtc44RFZc7XortMF%2BCuQXOZLtJZ4FQ%3D&amp;reserved=0"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relatoria.colombiacompra.gov.co/normativa/decreto-1082-de-2015/" TargetMode="External"/><Relationship Id="rId22"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sites/cce_public/files/cce_documents/guia_para_promover_la_participacion_de_las_mipymes_en_los_procesos_de_compra_publica_cce-gad-gi-26_1.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412C1E56-E8CD-44EA-B637-3F9621CA37A2}"/>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29</Pages>
  <Words>10038</Words>
  <Characters>53908</Characters>
  <Application>Microsoft Office Word</Application>
  <DocSecurity>0</DocSecurity>
  <Lines>1100</Lines>
  <Paragraphs>209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Richard Andrés Montenegro Siefken</cp:lastModifiedBy>
  <cp:revision>3</cp:revision>
  <cp:lastPrinted>2023-01-10T21:18:00Z</cp:lastPrinted>
  <dcterms:created xsi:type="dcterms:W3CDTF">2025-05-14T17:58:00Z</dcterms:created>
  <dcterms:modified xsi:type="dcterms:W3CDTF">2025-10-06T01:31:00Z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