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3A8B6" w14:textId="18445B9A" w:rsidR="00F01B85" w:rsidRPr="00EE0EBA" w:rsidRDefault="00F01B85" w:rsidP="00032C61">
      <w:pPr>
        <w:pStyle w:val="Textoindependiente"/>
        <w:ind w:left="284"/>
      </w:pPr>
    </w:p>
    <w:p w14:paraId="23B361D0" w14:textId="77777777" w:rsidR="00F01B85" w:rsidRPr="00EE0EBA" w:rsidRDefault="00F01B85" w:rsidP="00032C61">
      <w:pPr>
        <w:ind w:left="284" w:right="866"/>
        <w:contextualSpacing/>
        <w:jc w:val="both"/>
        <w:rPr>
          <w:rFonts w:eastAsia="Yu Gothic UI Semibold" w:cs="Arial"/>
          <w:b/>
          <w:color w:val="000000" w:themeColor="text1"/>
          <w:lang w:val="es-MX"/>
        </w:rPr>
      </w:pPr>
      <w:r w:rsidRPr="00EE0EBA">
        <w:rPr>
          <w:rFonts w:eastAsia="Yu Gothic UI Semibold" w:cs="Arial"/>
          <w:b/>
          <w:color w:val="000000" w:themeColor="text1"/>
          <w:lang w:val="es-MX"/>
        </w:rPr>
        <w:t>CONTRATOS DE PRESTACIÓN DE SERVICIOS – Generalidades</w:t>
      </w:r>
    </w:p>
    <w:p w14:paraId="33BC22A3" w14:textId="77777777" w:rsidR="00F01B85" w:rsidRPr="00EE0EBA" w:rsidRDefault="00F01B85" w:rsidP="00032C61">
      <w:pPr>
        <w:ind w:left="284" w:right="866"/>
        <w:contextualSpacing/>
        <w:jc w:val="both"/>
        <w:rPr>
          <w:rFonts w:cs="Arial"/>
          <w:color w:val="000000" w:themeColor="text1"/>
          <w:sz w:val="20"/>
          <w:szCs w:val="20"/>
          <w:lang w:val="es-MX"/>
        </w:rPr>
      </w:pPr>
    </w:p>
    <w:p w14:paraId="538988ED" w14:textId="77777777" w:rsidR="00F01B85" w:rsidRPr="00EE0EBA" w:rsidRDefault="00F01B85" w:rsidP="00032C61">
      <w:pPr>
        <w:ind w:left="284" w:right="866"/>
        <w:contextualSpacing/>
        <w:jc w:val="both"/>
        <w:rPr>
          <w:rFonts w:eastAsia="Yu Gothic UI Semibold" w:cs="Arial"/>
          <w:b/>
          <w:color w:val="000000" w:themeColor="text1"/>
          <w:sz w:val="20"/>
          <w:szCs w:val="20"/>
          <w:lang w:val="es-MX"/>
        </w:rPr>
      </w:pPr>
      <w:r w:rsidRPr="00EE0EBA">
        <w:rPr>
          <w:rFonts w:cs="Arial"/>
          <w:color w:val="000000" w:themeColor="text1"/>
          <w:sz w:val="20"/>
          <w:szCs w:val="20"/>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EE0EBA">
        <w:rPr>
          <w:rFonts w:eastAsia="Calibri" w:cs="Arial"/>
          <w:color w:val="000000" w:themeColor="text1"/>
          <w:sz w:val="20"/>
          <w:szCs w:val="20"/>
          <w:lang w:val="es-ES_tradnl"/>
        </w:rPr>
        <w:t xml:space="preserve"> La celebración de dicho contrato debe efectuarse a través de la modalidad de contratación directa.</w:t>
      </w:r>
    </w:p>
    <w:p w14:paraId="5E56D166" w14:textId="77777777" w:rsidR="00F01B85" w:rsidRPr="00EE0EBA" w:rsidRDefault="00F01B85" w:rsidP="00032C61">
      <w:pPr>
        <w:ind w:left="284" w:right="866"/>
        <w:contextualSpacing/>
        <w:jc w:val="both"/>
        <w:rPr>
          <w:rFonts w:eastAsia="Yu Gothic UI Semibold" w:cs="Arial"/>
          <w:b/>
          <w:color w:val="000000" w:themeColor="text1"/>
          <w:sz w:val="20"/>
          <w:szCs w:val="20"/>
          <w:lang w:val="es-MX"/>
        </w:rPr>
      </w:pPr>
    </w:p>
    <w:p w14:paraId="43AC2613" w14:textId="77777777" w:rsidR="00F01B85" w:rsidRPr="00EE0EBA" w:rsidRDefault="00F01B85" w:rsidP="00032C61">
      <w:pPr>
        <w:ind w:left="284" w:right="866"/>
        <w:contextualSpacing/>
        <w:jc w:val="both"/>
        <w:rPr>
          <w:rFonts w:eastAsia="Yu Gothic UI Semibold" w:cs="Arial"/>
          <w:sz w:val="20"/>
          <w:szCs w:val="20"/>
          <w:shd w:val="clear" w:color="auto" w:fill="FFFFFF"/>
          <w:lang w:val="es-ES_tradnl"/>
        </w:rPr>
      </w:pPr>
    </w:p>
    <w:p w14:paraId="3E3D6F95" w14:textId="77777777" w:rsidR="00F01B85" w:rsidRPr="00EE0EBA" w:rsidRDefault="00F01B85" w:rsidP="00032C61">
      <w:pPr>
        <w:ind w:left="284" w:right="866"/>
        <w:contextualSpacing/>
        <w:jc w:val="both"/>
        <w:rPr>
          <w:rFonts w:eastAsia="Yu Gothic UI Semibold" w:cs="Arial"/>
          <w:b/>
          <w:color w:val="000000" w:themeColor="text1"/>
          <w:lang w:val="es-MX"/>
        </w:rPr>
      </w:pPr>
      <w:r w:rsidRPr="00EE0EBA">
        <w:rPr>
          <w:rFonts w:eastAsia="Yu Gothic UI Semibold" w:cs="Arial"/>
          <w:b/>
          <w:color w:val="000000" w:themeColor="text1"/>
          <w:lang w:val="es-MX"/>
        </w:rPr>
        <w:t>ESTABILIDAD LABORAL REFORZADA DE MUJER EMBARAZADA – Concepto</w:t>
      </w:r>
    </w:p>
    <w:p w14:paraId="55EE884F" w14:textId="77777777" w:rsidR="00F01B85" w:rsidRPr="00EE0EBA" w:rsidRDefault="00F01B85" w:rsidP="00032C61">
      <w:pPr>
        <w:ind w:left="284" w:right="866"/>
        <w:contextualSpacing/>
        <w:jc w:val="both"/>
        <w:rPr>
          <w:rFonts w:eastAsia="Yu Gothic UI Semibold" w:cs="Arial"/>
          <w:b/>
          <w:color w:val="000000" w:themeColor="text1"/>
          <w:lang w:val="es-MX"/>
        </w:rPr>
      </w:pPr>
    </w:p>
    <w:p w14:paraId="3AF02F18" w14:textId="77777777" w:rsidR="00F01B85" w:rsidRPr="00EE0EBA" w:rsidRDefault="00F01B85" w:rsidP="00032C61">
      <w:pPr>
        <w:ind w:left="284" w:right="866"/>
        <w:contextualSpacing/>
        <w:jc w:val="both"/>
        <w:rPr>
          <w:rFonts w:eastAsia="Yu Gothic UI Semibold" w:cs="Arial"/>
          <w:b/>
          <w:color w:val="000000" w:themeColor="text1"/>
          <w:sz w:val="20"/>
          <w:szCs w:val="20"/>
          <w:lang w:val="es-MX"/>
        </w:rPr>
      </w:pPr>
      <w:r w:rsidRPr="00EE0EBA">
        <w:rPr>
          <w:rFonts w:eastAsia="Calibri" w:cs="Arial"/>
          <w:sz w:val="20"/>
          <w:szCs w:val="20"/>
          <w:lang w:val="es-MX"/>
        </w:rPr>
        <w:t>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discriminación constituida por el despido, la terminación o la no renovación del contrato por causa o con ocasión del embarazo o la lactancia”.</w:t>
      </w:r>
    </w:p>
    <w:p w14:paraId="2B4B70E1" w14:textId="77777777" w:rsidR="00F01B85" w:rsidRPr="00EE0EBA" w:rsidRDefault="00F01B85" w:rsidP="00032C61">
      <w:pPr>
        <w:ind w:left="284" w:right="866"/>
        <w:contextualSpacing/>
        <w:jc w:val="both"/>
        <w:rPr>
          <w:rFonts w:eastAsia="Yu Gothic UI Semibold" w:cs="Arial"/>
          <w:b/>
          <w:color w:val="000000" w:themeColor="text1"/>
          <w:sz w:val="20"/>
          <w:szCs w:val="20"/>
          <w:lang w:val="es-MX"/>
        </w:rPr>
      </w:pPr>
    </w:p>
    <w:p w14:paraId="08363452" w14:textId="77777777" w:rsidR="00F01B85" w:rsidRPr="00EE0EBA" w:rsidRDefault="00F01B85" w:rsidP="00032C61">
      <w:pPr>
        <w:ind w:left="284" w:right="866"/>
        <w:contextualSpacing/>
        <w:jc w:val="both"/>
        <w:rPr>
          <w:rFonts w:eastAsia="Yu Gothic UI Semibold" w:cs="Arial"/>
          <w:b/>
          <w:color w:val="000000" w:themeColor="text1"/>
          <w:lang w:val="es-MX"/>
        </w:rPr>
      </w:pPr>
      <w:r w:rsidRPr="00EE0EBA">
        <w:rPr>
          <w:rFonts w:eastAsia="Yu Gothic UI Semibold" w:cs="Arial"/>
          <w:b/>
          <w:color w:val="000000" w:themeColor="text1"/>
          <w:lang w:val="es-MX"/>
        </w:rPr>
        <w:t xml:space="preserve">ESTABILIDAD LABORAL REFORZADA DE MUJER EMBARAZADA – Unificación jurisprudencial </w:t>
      </w:r>
    </w:p>
    <w:p w14:paraId="2281D355" w14:textId="77777777" w:rsidR="00F01B85" w:rsidRPr="00EE0EBA" w:rsidRDefault="00F01B85" w:rsidP="00032C61">
      <w:pPr>
        <w:ind w:left="284" w:right="866"/>
        <w:contextualSpacing/>
        <w:jc w:val="both"/>
        <w:rPr>
          <w:rFonts w:eastAsia="Yu Gothic UI Semibold" w:cs="Arial"/>
          <w:b/>
          <w:color w:val="000000" w:themeColor="text1"/>
          <w:sz w:val="20"/>
          <w:szCs w:val="20"/>
          <w:lang w:val="es-MX"/>
        </w:rPr>
      </w:pPr>
    </w:p>
    <w:p w14:paraId="6995176D" w14:textId="77777777" w:rsidR="00F01B85" w:rsidRPr="00EE0EBA" w:rsidRDefault="00F01B85" w:rsidP="00032C61">
      <w:pPr>
        <w:ind w:left="284" w:right="866"/>
        <w:contextualSpacing/>
        <w:jc w:val="both"/>
        <w:rPr>
          <w:rFonts w:eastAsia="Yu Gothic UI Semibold" w:cs="Arial"/>
          <w:sz w:val="20"/>
          <w:szCs w:val="20"/>
          <w:shd w:val="clear" w:color="auto" w:fill="FFFFFF"/>
          <w:lang w:val="es-ES_tradnl"/>
        </w:rPr>
      </w:pPr>
      <w:r w:rsidRPr="00EE0EBA">
        <w:rPr>
          <w:rFonts w:eastAsia="Yu Gothic UI Semibold" w:cs="Arial"/>
          <w:sz w:val="20"/>
          <w:szCs w:val="20"/>
          <w:shd w:val="clear" w:color="auto" w:fill="FFFFFF"/>
          <w:lang w:val="es-ES_tradnl"/>
        </w:rPr>
        <w:t xml:space="preserve">[…] </w:t>
      </w:r>
      <w:r w:rsidRPr="00EE0EBA">
        <w:rPr>
          <w:rFonts w:eastAsia="Yu Gothic UI Semibold" w:cs="Arial"/>
          <w:sz w:val="20"/>
          <w:szCs w:val="20"/>
        </w:rPr>
        <w:t>en el año 2018 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mujer en estado de embarazo o lactancia, específicamente, respecto a la terminación o la no renovación del contrato. Dando paso a establecer que el denominado</w:t>
      </w:r>
      <w:r w:rsidRPr="00EE0EBA">
        <w:rPr>
          <w:rFonts w:eastAsia="Yu Gothic UI Semibold" w:cs="Arial"/>
          <w:i/>
          <w:sz w:val="20"/>
          <w:szCs w:val="20"/>
        </w:rPr>
        <w:t xml:space="preserve"> </w:t>
      </w:r>
      <w:r w:rsidRPr="00EE0EBA">
        <w:rPr>
          <w:rFonts w:eastAsia="Yu Gothic UI Semibold" w:cs="Arial"/>
          <w:i/>
          <w:sz w:val="20"/>
          <w:szCs w:val="20"/>
          <w:lang w:eastAsia="es-MX"/>
        </w:rPr>
        <w:t>“</w:t>
      </w:r>
      <w:r w:rsidRPr="00EE0EBA">
        <w:rPr>
          <w:rFonts w:eastAsia="Yu Gothic UI Semibold" w:cs="Arial"/>
          <w:i/>
          <w:sz w:val="20"/>
          <w:szCs w:val="20"/>
        </w:rPr>
        <w:t>fuero de maternidad</w:t>
      </w:r>
      <w:r w:rsidRPr="00EE0EBA">
        <w:rPr>
          <w:rFonts w:eastAsia="Yu Gothic UI Semibold" w:cs="Arial"/>
          <w:i/>
          <w:sz w:val="20"/>
          <w:szCs w:val="20"/>
          <w:lang w:eastAsia="es-MX"/>
        </w:rPr>
        <w:t>”</w:t>
      </w:r>
      <w:r w:rsidRPr="00EE0EBA">
        <w:rPr>
          <w:rFonts w:eastAsia="Yu Gothic UI Semibold" w:cs="Arial"/>
          <w:i/>
          <w:sz w:val="20"/>
          <w:szCs w:val="20"/>
        </w:rPr>
        <w:t>,</w:t>
      </w:r>
      <w:r w:rsidRPr="00EE0EBA">
        <w:rPr>
          <w:rFonts w:eastAsia="Yu Gothic UI Semibold" w:cs="Arial"/>
          <w:sz w:val="20"/>
          <w:szCs w:val="20"/>
        </w:rPr>
        <w:t xml:space="preserve"> encuentra también su sustento en la cláusula general de igualdad de la Constitución </w:t>
      </w:r>
      <w:r w:rsidRPr="00EE0EBA">
        <w:rPr>
          <w:rFonts w:eastAsia="Yu Gothic UI Semibold" w:cs="Arial"/>
          <w:i/>
          <w:sz w:val="20"/>
          <w:szCs w:val="20"/>
          <w:lang w:eastAsia="es-MX"/>
        </w:rPr>
        <w:t>“</w:t>
      </w:r>
      <w:r w:rsidRPr="00EE0EBA">
        <w:rPr>
          <w:rFonts w:eastAsia="Yu Gothic UI Semibold" w:cs="Arial"/>
          <w:i/>
          <w:sz w:val="20"/>
          <w:szCs w:val="20"/>
        </w:rPr>
        <w:t>que proscribe la discriminación por razones de sexo, así como en el ya mencionado artículo 43 Superior, que dispone la igualdad de derechos y oportunidades entre hombres y mujeres</w:t>
      </w:r>
      <w:r w:rsidRPr="00EE0EBA">
        <w:rPr>
          <w:rFonts w:eastAsia="Yu Gothic UI Semibold" w:cs="Arial"/>
          <w:i/>
          <w:sz w:val="20"/>
          <w:szCs w:val="20"/>
          <w:lang w:eastAsia="es-MX"/>
        </w:rPr>
        <w:t>”</w:t>
      </w:r>
    </w:p>
    <w:p w14:paraId="17B0AF9B" w14:textId="77777777" w:rsidR="00F01B85" w:rsidRPr="00EE0EBA" w:rsidRDefault="00F01B85" w:rsidP="00032C61">
      <w:pPr>
        <w:ind w:left="284" w:right="866"/>
        <w:contextualSpacing/>
        <w:rPr>
          <w:rFonts w:cs="Arial"/>
          <w:sz w:val="20"/>
          <w:szCs w:val="20"/>
        </w:rPr>
      </w:pPr>
    </w:p>
    <w:p w14:paraId="704D7C36" w14:textId="77777777" w:rsidR="00F01B85" w:rsidRPr="00EE0EBA" w:rsidRDefault="00F01B85" w:rsidP="00032C61">
      <w:pPr>
        <w:ind w:left="284" w:right="866"/>
        <w:contextualSpacing/>
        <w:jc w:val="both"/>
        <w:rPr>
          <w:rFonts w:eastAsia="Yu Gothic UI Semibold" w:cs="Arial"/>
          <w:b/>
          <w:color w:val="000000" w:themeColor="text1"/>
          <w:sz w:val="20"/>
          <w:szCs w:val="20"/>
          <w:lang w:val="es-MX"/>
        </w:rPr>
      </w:pPr>
      <w:r w:rsidRPr="00EE0EBA">
        <w:rPr>
          <w:rFonts w:eastAsia="Yu Gothic UI Semibold" w:cs="Arial"/>
          <w:b/>
          <w:color w:val="000000" w:themeColor="text1"/>
          <w:lang w:val="es-MX"/>
        </w:rPr>
        <w:t>ESTABILIDAD LABORAL REFORZADA DE MUJER EMBARAZADA – Procedencia</w:t>
      </w:r>
    </w:p>
    <w:p w14:paraId="67A31894" w14:textId="77777777" w:rsidR="00F01B85" w:rsidRPr="00EE0EBA" w:rsidRDefault="00F01B85" w:rsidP="00032C61">
      <w:pPr>
        <w:ind w:left="284" w:right="866"/>
        <w:contextualSpacing/>
        <w:jc w:val="both"/>
        <w:rPr>
          <w:rFonts w:cs="Arial"/>
          <w:sz w:val="20"/>
          <w:szCs w:val="20"/>
        </w:rPr>
      </w:pPr>
    </w:p>
    <w:p w14:paraId="76F2D46F" w14:textId="77777777" w:rsidR="00F01B85" w:rsidRPr="00EE0EBA" w:rsidRDefault="00F01B85" w:rsidP="00032C61">
      <w:pPr>
        <w:ind w:left="284" w:right="866"/>
        <w:contextualSpacing/>
        <w:jc w:val="both"/>
        <w:rPr>
          <w:rFonts w:eastAsia="Arial" w:cs="Arial"/>
          <w:sz w:val="20"/>
          <w:szCs w:val="20"/>
        </w:rPr>
      </w:pPr>
      <w:r w:rsidRPr="00EE0EBA">
        <w:rPr>
          <w:rFonts w:eastAsia="Arial" w:cs="Arial"/>
          <w:sz w:val="20"/>
          <w:szCs w:val="20"/>
        </w:rPr>
        <w:t xml:space="preserve">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w:t>
      </w:r>
      <w:r w:rsidRPr="00EE0EBA">
        <w:rPr>
          <w:rFonts w:eastAsia="Arial" w:cs="Arial"/>
          <w:sz w:val="20"/>
          <w:szCs w:val="20"/>
        </w:rPr>
        <w:lastRenderedPageBreak/>
        <w:t>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5CCC8B07" w14:textId="77777777" w:rsidR="00F01B85" w:rsidRPr="00EE0EBA" w:rsidRDefault="00F01B85" w:rsidP="00032C61">
      <w:pPr>
        <w:ind w:left="284" w:right="866"/>
        <w:rPr>
          <w:rFonts w:eastAsia="Geomanist Light" w:cs="Arial"/>
          <w:color w:val="000000" w:themeColor="text1"/>
          <w:lang w:val="es-MX"/>
        </w:rPr>
      </w:pPr>
    </w:p>
    <w:p w14:paraId="2DFE6A2E" w14:textId="77777777" w:rsidR="00F01B85" w:rsidRPr="00EE0EBA" w:rsidRDefault="00F01B85" w:rsidP="00032C61">
      <w:pPr>
        <w:ind w:left="284" w:right="866"/>
        <w:contextualSpacing/>
        <w:jc w:val="both"/>
        <w:rPr>
          <w:rFonts w:eastAsia="Calibri" w:cs="Arial"/>
          <w:b/>
          <w:sz w:val="20"/>
          <w:szCs w:val="20"/>
          <w:lang w:val="es-ES_tradnl" w:eastAsia="es-ES_tradnl"/>
        </w:rPr>
      </w:pPr>
      <w:r w:rsidRPr="00EE0EBA">
        <w:rPr>
          <w:rFonts w:eastAsia="Calibri" w:cs="Arial"/>
          <w:b/>
          <w:sz w:val="20"/>
          <w:szCs w:val="20"/>
          <w:lang w:val="es-ES_tradnl" w:eastAsia="es-ES_tradnl"/>
        </w:rPr>
        <w:t>ESTABILIDAD LABORAL REFORZADA – Periodo de Lactancia – Descanso remunerado – Ley 2306 de 2023 – Contratos de prestación de servicios – Aplicación</w:t>
      </w:r>
    </w:p>
    <w:p w14:paraId="143C2A00" w14:textId="77777777" w:rsidR="00F01B85" w:rsidRPr="00EE0EBA" w:rsidRDefault="00F01B85" w:rsidP="00032C61">
      <w:pPr>
        <w:ind w:left="284" w:right="866"/>
        <w:contextualSpacing/>
        <w:jc w:val="both"/>
        <w:rPr>
          <w:rFonts w:eastAsia="Calibri" w:cs="Arial"/>
          <w:color w:val="000000" w:themeColor="text1"/>
          <w:sz w:val="20"/>
          <w:szCs w:val="20"/>
        </w:rPr>
      </w:pPr>
    </w:p>
    <w:p w14:paraId="6323F9D2" w14:textId="77777777" w:rsidR="00F01B85" w:rsidRPr="00EE0EBA" w:rsidRDefault="00F01B85" w:rsidP="00032C61">
      <w:pPr>
        <w:ind w:left="284" w:right="866"/>
        <w:contextualSpacing/>
        <w:jc w:val="both"/>
        <w:rPr>
          <w:rFonts w:eastAsia="Calibri" w:cs="Arial"/>
          <w:color w:val="000000"/>
          <w:sz w:val="20"/>
          <w:szCs w:val="20"/>
        </w:rPr>
      </w:pPr>
      <w:r w:rsidRPr="00EE0EBA">
        <w:rPr>
          <w:rFonts w:eastAsia="Calibri" w:cs="Arial"/>
          <w:color w:val="000000" w:themeColor="text1"/>
          <w:sz w:val="20"/>
          <w:szCs w:val="20"/>
        </w:rPr>
        <w:t xml:space="preserve">[…]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 </w:t>
      </w:r>
    </w:p>
    <w:p w14:paraId="7633D37D" w14:textId="77777777" w:rsidR="00F01B85" w:rsidRPr="00EE0EBA" w:rsidRDefault="00F01B85" w:rsidP="00032C61">
      <w:pPr>
        <w:ind w:left="284" w:right="866"/>
        <w:contextualSpacing/>
        <w:rPr>
          <w:sz w:val="20"/>
          <w:szCs w:val="20"/>
        </w:rPr>
      </w:pPr>
    </w:p>
    <w:p w14:paraId="3D455952" w14:textId="77777777" w:rsidR="00F01B85" w:rsidRPr="00EE0EBA" w:rsidRDefault="00F01B85" w:rsidP="00032C61">
      <w:pPr>
        <w:ind w:left="284" w:right="866"/>
        <w:contextualSpacing/>
        <w:rPr>
          <w:sz w:val="20"/>
          <w:szCs w:val="20"/>
        </w:rPr>
      </w:pPr>
      <w:r w:rsidRPr="00EE0EBA">
        <w:rPr>
          <w:sz w:val="20"/>
          <w:szCs w:val="20"/>
        </w:rPr>
        <w:t>[…]</w:t>
      </w:r>
    </w:p>
    <w:p w14:paraId="288082D2" w14:textId="77777777" w:rsidR="00F01B85" w:rsidRPr="00EE0EBA" w:rsidRDefault="00F01B85" w:rsidP="00032C61">
      <w:pPr>
        <w:ind w:left="284" w:right="866"/>
        <w:contextualSpacing/>
        <w:jc w:val="both"/>
        <w:rPr>
          <w:rFonts w:eastAsia="Calibri" w:cs="Arial"/>
          <w:bCs/>
          <w:color w:val="000000"/>
          <w:sz w:val="20"/>
          <w:szCs w:val="20"/>
          <w:lang w:val="es-ES_tradnl"/>
        </w:rPr>
      </w:pPr>
    </w:p>
    <w:p w14:paraId="65277892" w14:textId="77777777" w:rsidR="00F01B85" w:rsidRPr="00EE0EBA" w:rsidRDefault="00F01B85" w:rsidP="00032C61">
      <w:pPr>
        <w:ind w:left="284" w:right="866"/>
        <w:contextualSpacing/>
        <w:jc w:val="both"/>
        <w:rPr>
          <w:rFonts w:cs="Arial"/>
          <w:sz w:val="20"/>
          <w:szCs w:val="20"/>
          <w:shd w:val="clear" w:color="auto" w:fill="FFFFFF"/>
        </w:rPr>
      </w:pPr>
      <w:r w:rsidRPr="00EE0EBA">
        <w:rPr>
          <w:rFonts w:eastAsia="Calibri" w:cs="Arial"/>
          <w:bCs/>
          <w:color w:val="000000"/>
          <w:sz w:val="20"/>
          <w:szCs w:val="20"/>
          <w:lang w:val="es-ES_tradnl"/>
        </w:rPr>
        <w:t xml:space="preserve">Habiendo efectuado la precisión anterior, puede afirmarse que lo previsto en la Ley 2306 de 2023, específicamente en el artículo 6, no se aplica a las relaciones contractuales de las Entidades Estatales que </w:t>
      </w:r>
      <w:r w:rsidRPr="00EE0EBA">
        <w:rPr>
          <w:rFonts w:eastAsia="Calibri" w:cs="Arial"/>
          <w:bCs/>
          <w:i/>
          <w:iCs/>
          <w:color w:val="000000"/>
          <w:sz w:val="20"/>
          <w:szCs w:val="20"/>
          <w:lang w:val="es-ES_tradnl"/>
        </w:rPr>
        <w:t>no</w:t>
      </w:r>
      <w:r w:rsidRPr="00EE0EBA">
        <w:rPr>
          <w:rFonts w:eastAsia="Calibri" w:cs="Arial"/>
          <w:bCs/>
          <w:color w:val="000000"/>
          <w:sz w:val="20"/>
          <w:szCs w:val="20"/>
          <w:lang w:val="es-ES_tradnl"/>
        </w:rPr>
        <w:t xml:space="preserve">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sidRPr="00EE0EBA" w:rsidDel="00C72792">
        <w:rPr>
          <w:rFonts w:cs="Arial"/>
          <w:sz w:val="20"/>
          <w:szCs w:val="20"/>
          <w:shd w:val="clear" w:color="auto" w:fill="FFFFFF"/>
        </w:rPr>
        <w:t xml:space="preserve"> </w:t>
      </w:r>
    </w:p>
    <w:p w14:paraId="31995768" w14:textId="77777777" w:rsidR="00F01B85" w:rsidRPr="00EE0EBA" w:rsidRDefault="00F01B85" w:rsidP="00032C61">
      <w:pPr>
        <w:pStyle w:val="Textoindependiente"/>
        <w:ind w:left="284"/>
      </w:pPr>
    </w:p>
    <w:p w14:paraId="386037CD" w14:textId="77777777" w:rsidR="00F01B85" w:rsidRPr="00EE0EBA" w:rsidRDefault="00F01B85" w:rsidP="00032C61">
      <w:pPr>
        <w:pStyle w:val="Textoindependiente"/>
        <w:ind w:left="284"/>
      </w:pPr>
    </w:p>
    <w:p w14:paraId="47B07CDF" w14:textId="77777777" w:rsidR="00F01B85" w:rsidRPr="00EE0EBA" w:rsidRDefault="00F01B85" w:rsidP="00032C61">
      <w:pPr>
        <w:pStyle w:val="Textoindependiente"/>
        <w:ind w:left="284"/>
      </w:pPr>
    </w:p>
    <w:p w14:paraId="71FDCF31" w14:textId="77777777" w:rsidR="00F01B85" w:rsidRPr="00EE0EBA" w:rsidRDefault="00F01B85" w:rsidP="00032C61">
      <w:pPr>
        <w:pStyle w:val="Textoindependiente"/>
        <w:ind w:left="284"/>
      </w:pPr>
    </w:p>
    <w:p w14:paraId="49287C48" w14:textId="77777777" w:rsidR="00F01B85" w:rsidRPr="00EE0EBA" w:rsidRDefault="00F01B85" w:rsidP="00F01B85">
      <w:pPr>
        <w:pStyle w:val="Textoindependiente"/>
      </w:pPr>
    </w:p>
    <w:p w14:paraId="4FFF9C66" w14:textId="77777777" w:rsidR="00F01B85" w:rsidRPr="00EE0EBA" w:rsidRDefault="00F01B85">
      <w:pPr>
        <w:pStyle w:val="Textoindependiente"/>
        <w:spacing w:before="158"/>
        <w:ind w:left="261"/>
      </w:pPr>
    </w:p>
    <w:p w14:paraId="0D1FC40C" w14:textId="77777777" w:rsidR="00F01B85" w:rsidRPr="00EE0EBA" w:rsidRDefault="00F01B85">
      <w:pPr>
        <w:pStyle w:val="Textoindependiente"/>
        <w:spacing w:before="158"/>
        <w:ind w:left="261"/>
      </w:pPr>
    </w:p>
    <w:p w14:paraId="122C9EB9" w14:textId="77777777" w:rsidR="00F01B85" w:rsidRPr="00EE0EBA" w:rsidRDefault="00F01B85">
      <w:pPr>
        <w:pStyle w:val="Textoindependiente"/>
        <w:spacing w:before="158"/>
        <w:ind w:left="261"/>
      </w:pPr>
    </w:p>
    <w:p w14:paraId="0FB4BEF3" w14:textId="77777777" w:rsidR="00F01B85" w:rsidRPr="00EE0EBA" w:rsidRDefault="00F01B85">
      <w:pPr>
        <w:pStyle w:val="Textoindependiente"/>
        <w:spacing w:before="158"/>
        <w:ind w:left="261"/>
      </w:pPr>
    </w:p>
    <w:p w14:paraId="4DC091CF" w14:textId="77777777" w:rsidR="00F01B85" w:rsidRPr="00EE0EBA" w:rsidRDefault="00F01B85">
      <w:pPr>
        <w:pStyle w:val="Textoindependiente"/>
        <w:spacing w:before="158"/>
        <w:ind w:left="261"/>
      </w:pPr>
    </w:p>
    <w:p w14:paraId="6650EB08" w14:textId="77777777" w:rsidR="00F01B85" w:rsidRPr="00EE0EBA" w:rsidRDefault="00F01B85">
      <w:pPr>
        <w:pStyle w:val="Textoindependiente"/>
        <w:spacing w:before="158"/>
        <w:ind w:left="261"/>
      </w:pPr>
    </w:p>
    <w:p w14:paraId="7015AD66" w14:textId="77777777" w:rsidR="00F01B85" w:rsidRPr="00EE0EBA" w:rsidRDefault="00F01B85">
      <w:pPr>
        <w:pStyle w:val="Textoindependiente"/>
        <w:spacing w:before="158"/>
        <w:ind w:left="261"/>
      </w:pPr>
    </w:p>
    <w:p w14:paraId="375684BF" w14:textId="77777777" w:rsidR="00F01B85" w:rsidRPr="00EE0EBA" w:rsidRDefault="00F01B85">
      <w:pPr>
        <w:pStyle w:val="Textoindependiente"/>
        <w:spacing w:before="158"/>
        <w:ind w:left="261"/>
      </w:pPr>
    </w:p>
    <w:p w14:paraId="70B76DA5" w14:textId="77777777" w:rsidR="00F01B85" w:rsidRPr="00EE0EBA" w:rsidRDefault="00F01B85">
      <w:pPr>
        <w:pStyle w:val="Textoindependiente"/>
        <w:spacing w:before="158"/>
        <w:ind w:left="261"/>
      </w:pPr>
    </w:p>
    <w:p w14:paraId="4BBBD3D6" w14:textId="77777777" w:rsidR="00F01B85" w:rsidRPr="00EE0EBA" w:rsidRDefault="00F01B85">
      <w:pPr>
        <w:pStyle w:val="Textoindependiente"/>
        <w:spacing w:before="158"/>
        <w:ind w:left="261"/>
      </w:pPr>
    </w:p>
    <w:p w14:paraId="341EED4E" w14:textId="1C31BCB8" w:rsidR="00771A1C" w:rsidRPr="00EE0EBA" w:rsidRDefault="00F01B85" w:rsidP="00032C61">
      <w:pPr>
        <w:pStyle w:val="Textoindependiente"/>
        <w:spacing w:before="158"/>
        <w:ind w:firstLine="260"/>
      </w:pPr>
      <w:r w:rsidRPr="00EE0EBA">
        <w:lastRenderedPageBreak/>
        <w:t>Bogotá</w:t>
      </w:r>
      <w:r w:rsidRPr="00EE0EBA">
        <w:rPr>
          <w:spacing w:val="-10"/>
        </w:rPr>
        <w:t xml:space="preserve"> </w:t>
      </w:r>
      <w:r w:rsidRPr="00EE0EBA">
        <w:t>D.C</w:t>
      </w:r>
      <w:r w:rsidR="008A7D10">
        <w:rPr>
          <w:spacing w:val="-4"/>
        </w:rPr>
        <w:t>., 12 de mayo de 2024</w:t>
      </w:r>
    </w:p>
    <w:p w14:paraId="21829EFB" w14:textId="77777777" w:rsidR="00771A1C" w:rsidRPr="00EE0EBA" w:rsidRDefault="00771A1C">
      <w:pPr>
        <w:pStyle w:val="Textoindependiente"/>
        <w:spacing w:before="43"/>
      </w:pPr>
    </w:p>
    <w:p w14:paraId="2B19CE43" w14:textId="77777777" w:rsidR="00771A1C" w:rsidRPr="00EE0EBA" w:rsidRDefault="002A56AD">
      <w:pPr>
        <w:pStyle w:val="Textoindependiente"/>
        <w:ind w:left="260"/>
      </w:pPr>
      <w:bookmarkStart w:id="0" w:name="_Hlk197679444"/>
      <w:r w:rsidRPr="00EE0EBA">
        <w:rPr>
          <w:spacing w:val="-2"/>
        </w:rPr>
        <w:t>Señora</w:t>
      </w:r>
    </w:p>
    <w:p w14:paraId="2F916BCF" w14:textId="0FF0643B" w:rsidR="009A0D11" w:rsidRPr="00EE0EBA" w:rsidRDefault="009A0D11" w:rsidP="00B43AEC">
      <w:pPr>
        <w:ind w:left="260" w:right="5685"/>
        <w:rPr>
          <w:b/>
          <w:lang w:val="pt-BR"/>
        </w:rPr>
      </w:pPr>
      <w:r w:rsidRPr="00EE0EBA">
        <w:rPr>
          <w:b/>
          <w:lang w:val="pt-BR"/>
        </w:rPr>
        <w:t>NATALIA CARDOZO RODRIGUEZ</w:t>
      </w:r>
    </w:p>
    <w:p w14:paraId="1066603E" w14:textId="15D1A687" w:rsidR="009A0D11" w:rsidRPr="00EE0EBA" w:rsidRDefault="0045762B" w:rsidP="00B43AEC">
      <w:pPr>
        <w:ind w:left="260" w:right="5402"/>
        <w:rPr>
          <w:b/>
          <w:color w:val="0000FF"/>
          <w:spacing w:val="-2"/>
          <w:u w:val="single" w:color="0000FF"/>
          <w:lang w:val="fr-FR"/>
        </w:rPr>
      </w:pPr>
      <w:r w:rsidRPr="00EE0EBA">
        <w:rPr>
          <w:b/>
          <w:color w:val="0000FF"/>
          <w:spacing w:val="-2"/>
          <w:u w:val="single" w:color="0000FF"/>
          <w:lang w:val="fr-FR"/>
        </w:rPr>
        <w:t>N</w:t>
      </w:r>
      <w:r w:rsidR="00B46090" w:rsidRPr="00EE0EBA">
        <w:rPr>
          <w:b/>
          <w:color w:val="0000FF"/>
          <w:spacing w:val="-2"/>
          <w:u w:val="single" w:color="0000FF"/>
          <w:lang w:val="fr-FR"/>
        </w:rPr>
        <w:t>atalia</w:t>
      </w:r>
      <w:r w:rsidRPr="00EE0EBA">
        <w:rPr>
          <w:b/>
          <w:color w:val="0000FF"/>
          <w:spacing w:val="-2"/>
          <w:u w:val="single" w:color="0000FF"/>
          <w:lang w:val="fr-FR"/>
        </w:rPr>
        <w:t>rodriguez_19@out</w:t>
      </w:r>
      <w:r w:rsidR="001640B5" w:rsidRPr="00EE0EBA">
        <w:rPr>
          <w:b/>
          <w:color w:val="0000FF"/>
          <w:spacing w:val="-2"/>
          <w:u w:val="single" w:color="0000FF"/>
          <w:lang w:val="fr-FR"/>
        </w:rPr>
        <w:t>look.com</w:t>
      </w:r>
    </w:p>
    <w:p w14:paraId="180ABA55" w14:textId="6843E99F" w:rsidR="00771A1C" w:rsidRPr="00EE0EBA" w:rsidRDefault="002A56AD" w:rsidP="009A0D11">
      <w:pPr>
        <w:ind w:left="260" w:right="6536"/>
        <w:rPr>
          <w:lang w:val="fr-FR"/>
        </w:rPr>
      </w:pPr>
      <w:r w:rsidRPr="00EE0EBA">
        <w:rPr>
          <w:lang w:val="fr-FR"/>
        </w:rPr>
        <w:t>Bogotá D.C</w:t>
      </w:r>
    </w:p>
    <w:p w14:paraId="2FB7B079" w14:textId="69C52CF5" w:rsidR="008A7D10" w:rsidRDefault="008A7D10" w:rsidP="008A7D10">
      <w:pPr>
        <w:pStyle w:val="Ttulo1"/>
        <w:spacing w:before="267"/>
        <w:ind w:left="2950" w:firstLine="0"/>
        <w:jc w:val="right"/>
      </w:pPr>
      <w:r w:rsidRPr="008A7D10">
        <w:drawing>
          <wp:inline distT="0" distB="0" distL="0" distR="0" wp14:anchorId="4C5A9024" wp14:editId="49588673">
            <wp:extent cx="1874682" cy="701101"/>
            <wp:effectExtent l="0" t="0" r="0" b="3810"/>
            <wp:docPr id="1788249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24907" name=""/>
                    <pic:cNvPicPr/>
                  </pic:nvPicPr>
                  <pic:blipFill>
                    <a:blip r:embed="rId11"/>
                    <a:stretch>
                      <a:fillRect/>
                    </a:stretch>
                  </pic:blipFill>
                  <pic:spPr>
                    <a:xfrm>
                      <a:off x="0" y="0"/>
                      <a:ext cx="1874682" cy="701101"/>
                    </a:xfrm>
                    <a:prstGeom prst="rect">
                      <a:avLst/>
                    </a:prstGeom>
                  </pic:spPr>
                </pic:pic>
              </a:graphicData>
            </a:graphic>
          </wp:inline>
        </w:drawing>
      </w:r>
    </w:p>
    <w:p w14:paraId="6F8D88AC" w14:textId="77777777" w:rsidR="008A7D10" w:rsidRDefault="008A7D10">
      <w:pPr>
        <w:pStyle w:val="Ttulo1"/>
        <w:spacing w:before="267"/>
        <w:ind w:left="2950" w:firstLine="0"/>
      </w:pPr>
    </w:p>
    <w:p w14:paraId="6E9B081F" w14:textId="34F9D5D8" w:rsidR="00771A1C" w:rsidRPr="00EE0EBA" w:rsidRDefault="002A56AD">
      <w:pPr>
        <w:pStyle w:val="Ttulo1"/>
        <w:spacing w:before="267"/>
        <w:ind w:left="2950" w:firstLine="0"/>
      </w:pPr>
      <w:r w:rsidRPr="00EE0EBA">
        <w:t>Concepto</w:t>
      </w:r>
      <w:r w:rsidRPr="00EE0EBA">
        <w:rPr>
          <w:spacing w:val="-8"/>
        </w:rPr>
        <w:t xml:space="preserve"> </w:t>
      </w:r>
      <w:r w:rsidRPr="00EE0EBA">
        <w:t>C-</w:t>
      </w:r>
      <w:r w:rsidRPr="00EE0EBA">
        <w:rPr>
          <w:spacing w:val="-8"/>
        </w:rPr>
        <w:t xml:space="preserve"> </w:t>
      </w:r>
      <w:r w:rsidR="00D728B7" w:rsidRPr="00EE0EBA">
        <w:t>414</w:t>
      </w:r>
      <w:r w:rsidRPr="00EE0EBA">
        <w:rPr>
          <w:spacing w:val="-7"/>
        </w:rPr>
        <w:t xml:space="preserve"> </w:t>
      </w:r>
      <w:r w:rsidRPr="00EE0EBA">
        <w:t>de</w:t>
      </w:r>
      <w:r w:rsidRPr="00EE0EBA">
        <w:rPr>
          <w:spacing w:val="-8"/>
        </w:rPr>
        <w:t xml:space="preserve"> </w:t>
      </w:r>
      <w:r w:rsidRPr="00EE0EBA">
        <w:rPr>
          <w:spacing w:val="-4"/>
        </w:rPr>
        <w:t>2025</w:t>
      </w:r>
    </w:p>
    <w:p w14:paraId="4C9384C6" w14:textId="77777777" w:rsidR="00771A1C" w:rsidRPr="00EE0EBA" w:rsidRDefault="00771A1C">
      <w:pPr>
        <w:pStyle w:val="Textoindependiente"/>
        <w:spacing w:before="10"/>
        <w:rPr>
          <w:b/>
        </w:rPr>
      </w:pPr>
    </w:p>
    <w:p w14:paraId="52596EFA" w14:textId="0CC4D730" w:rsidR="00771A1C" w:rsidRPr="00EE0EBA" w:rsidRDefault="002A56AD">
      <w:pPr>
        <w:pStyle w:val="Textoindependiente"/>
        <w:tabs>
          <w:tab w:val="left" w:pos="2949"/>
        </w:tabs>
        <w:ind w:left="260"/>
        <w:jc w:val="both"/>
      </w:pPr>
      <w:r w:rsidRPr="00EE0EBA">
        <w:rPr>
          <w:b/>
          <w:bCs/>
          <w:spacing w:val="-2"/>
        </w:rPr>
        <w:t>Temas:</w:t>
      </w:r>
      <w:r w:rsidRPr="00EE0EBA">
        <w:rPr>
          <w:b/>
        </w:rPr>
        <w:tab/>
      </w:r>
      <w:r w:rsidRPr="00EE0EBA">
        <w:t>CONTRATOS</w:t>
      </w:r>
      <w:r w:rsidRPr="00EE0EBA">
        <w:rPr>
          <w:spacing w:val="40"/>
        </w:rPr>
        <w:t xml:space="preserve">  </w:t>
      </w:r>
      <w:r w:rsidRPr="00EE0EBA">
        <w:t>DE</w:t>
      </w:r>
      <w:r w:rsidRPr="00EE0EBA">
        <w:rPr>
          <w:spacing w:val="41"/>
        </w:rPr>
        <w:t xml:space="preserve">  </w:t>
      </w:r>
      <w:r w:rsidRPr="00EE0EBA">
        <w:t>PRESTACIÓN</w:t>
      </w:r>
      <w:r w:rsidRPr="00EE0EBA">
        <w:rPr>
          <w:spacing w:val="41"/>
        </w:rPr>
        <w:t xml:space="preserve">  </w:t>
      </w:r>
      <w:r w:rsidRPr="00EE0EBA">
        <w:t>DE</w:t>
      </w:r>
      <w:r w:rsidRPr="00EE0EBA">
        <w:rPr>
          <w:spacing w:val="41"/>
        </w:rPr>
        <w:t xml:space="preserve">  </w:t>
      </w:r>
      <w:r w:rsidRPr="00EE0EBA">
        <w:t>SERVICIOS</w:t>
      </w:r>
      <w:r w:rsidRPr="00EE0EBA">
        <w:rPr>
          <w:spacing w:val="41"/>
        </w:rPr>
        <w:t xml:space="preserve">  </w:t>
      </w:r>
      <w:r w:rsidRPr="00EE0EBA">
        <w:rPr>
          <w:spacing w:val="-10"/>
        </w:rPr>
        <w:t>–</w:t>
      </w:r>
    </w:p>
    <w:p w14:paraId="4C035EDC" w14:textId="77777777" w:rsidR="00771A1C" w:rsidRPr="00EE0EBA" w:rsidRDefault="002A56AD">
      <w:pPr>
        <w:pStyle w:val="Textoindependiente"/>
        <w:spacing w:before="40" w:line="276" w:lineRule="auto"/>
        <w:ind w:left="2950" w:right="1028"/>
        <w:jc w:val="both"/>
      </w:pPr>
      <w:r w:rsidRPr="00EE0EBA">
        <w:t>Generalidades / ESTABILIDAD OCUPACIONAL REFORZADA DE MUJER EMBARAZADA – Concepto / ESTABILIDAD</w:t>
      </w:r>
      <w:r w:rsidRPr="00EE0EBA">
        <w:rPr>
          <w:spacing w:val="40"/>
        </w:rPr>
        <w:t xml:space="preserve"> </w:t>
      </w:r>
      <w:r w:rsidRPr="00EE0EBA">
        <w:t>OCUPACIONAL</w:t>
      </w:r>
      <w:r w:rsidRPr="00EE0EBA">
        <w:rPr>
          <w:spacing w:val="37"/>
        </w:rPr>
        <w:t xml:space="preserve"> </w:t>
      </w:r>
      <w:r w:rsidRPr="00EE0EBA">
        <w:t>REFORZADA</w:t>
      </w:r>
      <w:r w:rsidRPr="00EE0EBA">
        <w:rPr>
          <w:spacing w:val="40"/>
        </w:rPr>
        <w:t xml:space="preserve"> </w:t>
      </w:r>
      <w:r w:rsidRPr="00EE0EBA">
        <w:t>DE</w:t>
      </w:r>
      <w:r w:rsidRPr="00EE0EBA">
        <w:rPr>
          <w:spacing w:val="37"/>
        </w:rPr>
        <w:t xml:space="preserve"> </w:t>
      </w:r>
      <w:r w:rsidRPr="00EE0EBA">
        <w:rPr>
          <w:spacing w:val="-2"/>
        </w:rPr>
        <w:t>MUJER</w:t>
      </w:r>
    </w:p>
    <w:p w14:paraId="385B094B" w14:textId="77777777" w:rsidR="00771A1C" w:rsidRPr="00EE0EBA" w:rsidRDefault="002A56AD">
      <w:pPr>
        <w:pStyle w:val="Textoindependiente"/>
        <w:tabs>
          <w:tab w:val="left" w:pos="4872"/>
          <w:tab w:val="left" w:pos="5384"/>
          <w:tab w:val="left" w:pos="6949"/>
          <w:tab w:val="left" w:pos="8950"/>
        </w:tabs>
        <w:spacing w:line="276" w:lineRule="auto"/>
        <w:ind w:left="2950" w:right="1028"/>
      </w:pPr>
      <w:r w:rsidRPr="00EE0EBA">
        <w:rPr>
          <w:spacing w:val="-2"/>
        </w:rPr>
        <w:t>EMBARAZADA</w:t>
      </w:r>
      <w:r w:rsidRPr="00EE0EBA">
        <w:tab/>
      </w:r>
      <w:r w:rsidRPr="00EE0EBA">
        <w:rPr>
          <w:spacing w:val="-10"/>
        </w:rPr>
        <w:t>–</w:t>
      </w:r>
      <w:r w:rsidRPr="00EE0EBA">
        <w:tab/>
      </w:r>
      <w:r w:rsidRPr="00EE0EBA">
        <w:rPr>
          <w:spacing w:val="-2"/>
        </w:rPr>
        <w:t>Unificación</w:t>
      </w:r>
      <w:r w:rsidRPr="00EE0EBA">
        <w:tab/>
      </w:r>
      <w:r w:rsidRPr="00EE0EBA">
        <w:rPr>
          <w:spacing w:val="-2"/>
        </w:rPr>
        <w:t>jurisprudencial</w:t>
      </w:r>
      <w:r w:rsidRPr="00EE0EBA">
        <w:tab/>
      </w:r>
      <w:r w:rsidRPr="00EE0EBA">
        <w:rPr>
          <w:spacing w:val="-10"/>
        </w:rPr>
        <w:t xml:space="preserve">/ </w:t>
      </w:r>
      <w:r w:rsidRPr="00EE0EBA">
        <w:t>ESTABILIDAD</w:t>
      </w:r>
      <w:r w:rsidRPr="00EE0EBA">
        <w:rPr>
          <w:spacing w:val="40"/>
        </w:rPr>
        <w:t xml:space="preserve"> </w:t>
      </w:r>
      <w:r w:rsidRPr="00EE0EBA">
        <w:t>OCUPACIONAL</w:t>
      </w:r>
      <w:r w:rsidRPr="00EE0EBA">
        <w:rPr>
          <w:spacing w:val="37"/>
        </w:rPr>
        <w:t xml:space="preserve"> </w:t>
      </w:r>
      <w:r w:rsidRPr="00EE0EBA">
        <w:t>REFORZADA</w:t>
      </w:r>
      <w:r w:rsidRPr="00EE0EBA">
        <w:rPr>
          <w:spacing w:val="40"/>
        </w:rPr>
        <w:t xml:space="preserve"> </w:t>
      </w:r>
      <w:r w:rsidRPr="00EE0EBA">
        <w:t>DE</w:t>
      </w:r>
      <w:r w:rsidRPr="00EE0EBA">
        <w:rPr>
          <w:spacing w:val="37"/>
        </w:rPr>
        <w:t xml:space="preserve"> </w:t>
      </w:r>
      <w:r w:rsidRPr="00EE0EBA">
        <w:rPr>
          <w:spacing w:val="-2"/>
        </w:rPr>
        <w:t>MUJER</w:t>
      </w:r>
    </w:p>
    <w:p w14:paraId="17806741" w14:textId="77777777" w:rsidR="00771A1C" w:rsidRPr="00EE0EBA" w:rsidRDefault="002A56AD">
      <w:pPr>
        <w:pStyle w:val="Textoindependiente"/>
        <w:spacing w:line="276" w:lineRule="auto"/>
        <w:ind w:left="2950" w:right="1028"/>
        <w:jc w:val="both"/>
      </w:pPr>
      <w:r w:rsidRPr="00EE0EBA">
        <w:t>EMBARAZADA</w:t>
      </w:r>
      <w:r w:rsidRPr="00EE0EBA">
        <w:rPr>
          <w:spacing w:val="-5"/>
        </w:rPr>
        <w:t xml:space="preserve"> </w:t>
      </w:r>
      <w:r w:rsidRPr="00EE0EBA">
        <w:t>–</w:t>
      </w:r>
      <w:r w:rsidRPr="00EE0EBA">
        <w:rPr>
          <w:spacing w:val="-8"/>
        </w:rPr>
        <w:t xml:space="preserve"> </w:t>
      </w:r>
      <w:r w:rsidRPr="00EE0EBA">
        <w:t>Procedencia</w:t>
      </w:r>
      <w:r w:rsidRPr="00EE0EBA">
        <w:rPr>
          <w:spacing w:val="-5"/>
        </w:rPr>
        <w:t xml:space="preserve"> </w:t>
      </w:r>
      <w:r w:rsidRPr="00EE0EBA">
        <w:t>–</w:t>
      </w:r>
      <w:r w:rsidRPr="00EE0EBA">
        <w:rPr>
          <w:spacing w:val="-8"/>
        </w:rPr>
        <w:t xml:space="preserve"> </w:t>
      </w:r>
      <w:r w:rsidRPr="00EE0EBA">
        <w:t>Contratos</w:t>
      </w:r>
      <w:r w:rsidRPr="00EE0EBA">
        <w:rPr>
          <w:spacing w:val="-6"/>
        </w:rPr>
        <w:t xml:space="preserve"> </w:t>
      </w:r>
      <w:r w:rsidRPr="00EE0EBA">
        <w:t>de</w:t>
      </w:r>
      <w:r w:rsidRPr="00EE0EBA">
        <w:rPr>
          <w:spacing w:val="-8"/>
        </w:rPr>
        <w:t xml:space="preserve"> </w:t>
      </w:r>
      <w:r w:rsidRPr="00EE0EBA">
        <w:t xml:space="preserve">prestación de servicios / ESTABILIDAD OCUPACIONAL REFORZADA – Periodo de Lactancia – Contratos de </w:t>
      </w:r>
      <w:r w:rsidRPr="00EE0EBA">
        <w:rPr>
          <w:spacing w:val="-2"/>
        </w:rPr>
        <w:t>prestación</w:t>
      </w:r>
      <w:r w:rsidRPr="00EE0EBA">
        <w:rPr>
          <w:spacing w:val="-9"/>
        </w:rPr>
        <w:t xml:space="preserve"> </w:t>
      </w:r>
      <w:r w:rsidRPr="00EE0EBA">
        <w:rPr>
          <w:spacing w:val="-2"/>
        </w:rPr>
        <w:t>de</w:t>
      </w:r>
      <w:r w:rsidRPr="00EE0EBA">
        <w:rPr>
          <w:spacing w:val="-13"/>
        </w:rPr>
        <w:t xml:space="preserve"> </w:t>
      </w:r>
      <w:r w:rsidRPr="00EE0EBA">
        <w:rPr>
          <w:spacing w:val="-2"/>
        </w:rPr>
        <w:t>servicios</w:t>
      </w:r>
      <w:r w:rsidRPr="00EE0EBA">
        <w:rPr>
          <w:spacing w:val="-10"/>
        </w:rPr>
        <w:t xml:space="preserve"> </w:t>
      </w:r>
      <w:r w:rsidRPr="00EE0EBA">
        <w:rPr>
          <w:spacing w:val="-2"/>
        </w:rPr>
        <w:t>–</w:t>
      </w:r>
      <w:r w:rsidRPr="00EE0EBA">
        <w:rPr>
          <w:spacing w:val="-13"/>
        </w:rPr>
        <w:t xml:space="preserve"> </w:t>
      </w:r>
      <w:r w:rsidRPr="00EE0EBA">
        <w:rPr>
          <w:spacing w:val="-2"/>
        </w:rPr>
        <w:t>Aplicación</w:t>
      </w:r>
      <w:r w:rsidRPr="00EE0EBA">
        <w:rPr>
          <w:spacing w:val="-10"/>
        </w:rPr>
        <w:t xml:space="preserve"> </w:t>
      </w:r>
      <w:r w:rsidRPr="00EE0EBA">
        <w:rPr>
          <w:spacing w:val="-2"/>
        </w:rPr>
        <w:t>–</w:t>
      </w:r>
      <w:r w:rsidRPr="00EE0EBA">
        <w:rPr>
          <w:spacing w:val="-13"/>
        </w:rPr>
        <w:t xml:space="preserve"> </w:t>
      </w:r>
      <w:r w:rsidRPr="00EE0EBA">
        <w:rPr>
          <w:spacing w:val="-2"/>
        </w:rPr>
        <w:t>Ley</w:t>
      </w:r>
      <w:r w:rsidRPr="00EE0EBA">
        <w:rPr>
          <w:spacing w:val="-11"/>
        </w:rPr>
        <w:t xml:space="preserve"> </w:t>
      </w:r>
      <w:r w:rsidRPr="00EE0EBA">
        <w:rPr>
          <w:spacing w:val="-2"/>
        </w:rPr>
        <w:t>2306</w:t>
      </w:r>
      <w:r w:rsidRPr="00EE0EBA">
        <w:rPr>
          <w:spacing w:val="-12"/>
        </w:rPr>
        <w:t xml:space="preserve"> </w:t>
      </w:r>
      <w:r w:rsidRPr="00EE0EBA">
        <w:rPr>
          <w:spacing w:val="-2"/>
        </w:rPr>
        <w:t>de</w:t>
      </w:r>
      <w:r w:rsidRPr="00EE0EBA">
        <w:rPr>
          <w:spacing w:val="-13"/>
        </w:rPr>
        <w:t xml:space="preserve"> </w:t>
      </w:r>
      <w:r w:rsidRPr="00EE0EBA">
        <w:rPr>
          <w:spacing w:val="-4"/>
        </w:rPr>
        <w:t>2023</w:t>
      </w:r>
    </w:p>
    <w:p w14:paraId="3405D665" w14:textId="77777777" w:rsidR="00771A1C" w:rsidRPr="00EE0EBA" w:rsidRDefault="00771A1C">
      <w:pPr>
        <w:pStyle w:val="Textoindependiente"/>
        <w:spacing w:before="50"/>
      </w:pPr>
    </w:p>
    <w:p w14:paraId="5EFEB9DB" w14:textId="77777777" w:rsidR="00771A1C" w:rsidRPr="00EE0EBA" w:rsidRDefault="002A56AD">
      <w:pPr>
        <w:tabs>
          <w:tab w:val="left" w:pos="2949"/>
          <w:tab w:val="left" w:pos="4529"/>
          <w:tab w:val="left" w:pos="5102"/>
          <w:tab w:val="left" w:pos="6462"/>
          <w:tab w:val="left" w:pos="7290"/>
          <w:tab w:val="left" w:pos="8671"/>
        </w:tabs>
        <w:ind w:left="260"/>
      </w:pPr>
      <w:r w:rsidRPr="00EE0EBA">
        <w:rPr>
          <w:b/>
          <w:spacing w:val="-2"/>
        </w:rPr>
        <w:t>Radicación:</w:t>
      </w:r>
      <w:r w:rsidRPr="00EE0EBA">
        <w:rPr>
          <w:b/>
        </w:rPr>
        <w:tab/>
      </w:r>
      <w:r w:rsidRPr="00EE0EBA">
        <w:rPr>
          <w:spacing w:val="-2"/>
        </w:rPr>
        <w:t>Respuesta</w:t>
      </w:r>
      <w:r w:rsidRPr="00EE0EBA">
        <w:tab/>
      </w:r>
      <w:r w:rsidRPr="00EE0EBA">
        <w:rPr>
          <w:spacing w:val="-10"/>
        </w:rPr>
        <w:t>a</w:t>
      </w:r>
      <w:r w:rsidRPr="00EE0EBA">
        <w:tab/>
      </w:r>
      <w:r w:rsidRPr="00EE0EBA">
        <w:rPr>
          <w:spacing w:val="-2"/>
        </w:rPr>
        <w:t>consulta</w:t>
      </w:r>
      <w:r w:rsidRPr="00EE0EBA">
        <w:tab/>
      </w:r>
      <w:r w:rsidRPr="00EE0EBA">
        <w:rPr>
          <w:spacing w:val="-5"/>
        </w:rPr>
        <w:t>con</w:t>
      </w:r>
      <w:r w:rsidRPr="00EE0EBA">
        <w:tab/>
      </w:r>
      <w:r w:rsidRPr="00EE0EBA">
        <w:rPr>
          <w:spacing w:val="-2"/>
        </w:rPr>
        <w:t>radicado</w:t>
      </w:r>
      <w:r w:rsidRPr="00EE0EBA">
        <w:tab/>
      </w:r>
      <w:r w:rsidRPr="00EE0EBA">
        <w:rPr>
          <w:spacing w:val="-5"/>
        </w:rPr>
        <w:t>No.</w:t>
      </w:r>
    </w:p>
    <w:p w14:paraId="6D2CE63D" w14:textId="3A0DD3D4" w:rsidR="00771A1C" w:rsidRPr="00EE0EBA" w:rsidRDefault="00A8545E">
      <w:pPr>
        <w:pStyle w:val="Textoindependiente"/>
        <w:ind w:left="2950"/>
      </w:pPr>
      <w:r w:rsidRPr="00EE0EBA">
        <w:rPr>
          <w:spacing w:val="-2"/>
        </w:rPr>
        <w:t>P20250404003204</w:t>
      </w:r>
    </w:p>
    <w:p w14:paraId="6E89B0A3" w14:textId="77777777" w:rsidR="00771A1C" w:rsidRPr="00EE0EBA" w:rsidRDefault="00771A1C">
      <w:pPr>
        <w:pStyle w:val="Textoindependiente"/>
      </w:pPr>
    </w:p>
    <w:p w14:paraId="334A4E6F" w14:textId="77777777" w:rsidR="00771A1C" w:rsidRPr="00EE0EBA" w:rsidRDefault="00771A1C">
      <w:pPr>
        <w:pStyle w:val="Textoindependiente"/>
        <w:spacing w:before="10"/>
      </w:pPr>
    </w:p>
    <w:p w14:paraId="44AFBD7C" w14:textId="56C37F2F" w:rsidR="00771A1C" w:rsidRPr="00EE0EBA" w:rsidRDefault="002A56AD">
      <w:pPr>
        <w:pStyle w:val="Textoindependiente"/>
        <w:ind w:left="260"/>
      </w:pPr>
      <w:r w:rsidRPr="00EE0EBA">
        <w:t>Estimada</w:t>
      </w:r>
      <w:r w:rsidRPr="00EE0EBA">
        <w:rPr>
          <w:spacing w:val="-15"/>
        </w:rPr>
        <w:t xml:space="preserve"> </w:t>
      </w:r>
      <w:r w:rsidRPr="00EE0EBA">
        <w:t>señora</w:t>
      </w:r>
      <w:r w:rsidRPr="00EE0EBA">
        <w:rPr>
          <w:spacing w:val="-14"/>
        </w:rPr>
        <w:t xml:space="preserve"> </w:t>
      </w:r>
      <w:r w:rsidR="00D728B7" w:rsidRPr="00EE0EBA">
        <w:rPr>
          <w:spacing w:val="-2"/>
        </w:rPr>
        <w:t>Cardozo Rodriguez</w:t>
      </w:r>
      <w:r w:rsidRPr="00EE0EBA">
        <w:rPr>
          <w:spacing w:val="-2"/>
        </w:rPr>
        <w:t>:</w:t>
      </w:r>
    </w:p>
    <w:p w14:paraId="25050AA0" w14:textId="77777777" w:rsidR="00771A1C" w:rsidRPr="00EE0EBA" w:rsidRDefault="00771A1C">
      <w:pPr>
        <w:pStyle w:val="Textoindependiente"/>
        <w:spacing w:before="80"/>
      </w:pPr>
    </w:p>
    <w:p w14:paraId="4D756807" w14:textId="67819B22" w:rsidR="00771A1C" w:rsidRPr="00EE0EBA" w:rsidRDefault="002A56AD">
      <w:pPr>
        <w:pStyle w:val="Textoindependiente"/>
        <w:spacing w:line="276" w:lineRule="auto"/>
        <w:ind w:left="260" w:right="979"/>
        <w:jc w:val="both"/>
      </w:pPr>
      <w:r w:rsidRPr="00EE0EBA">
        <w:t>En ejercicio de la competencia otorgada por los artículos 3, numeral 5º, y 11, numeral</w:t>
      </w:r>
      <w:r w:rsidRPr="00EE0EBA">
        <w:rPr>
          <w:spacing w:val="-13"/>
        </w:rPr>
        <w:t xml:space="preserve"> </w:t>
      </w:r>
      <w:r w:rsidRPr="00EE0EBA">
        <w:t>8º,</w:t>
      </w:r>
      <w:r w:rsidRPr="00EE0EBA">
        <w:rPr>
          <w:spacing w:val="-14"/>
        </w:rPr>
        <w:t xml:space="preserve"> </w:t>
      </w:r>
      <w:r w:rsidRPr="00EE0EBA">
        <w:t>del</w:t>
      </w:r>
      <w:r w:rsidRPr="00EE0EBA">
        <w:rPr>
          <w:spacing w:val="-15"/>
        </w:rPr>
        <w:t xml:space="preserve"> </w:t>
      </w:r>
      <w:r w:rsidRPr="00EE0EBA">
        <w:t>Decreto</w:t>
      </w:r>
      <w:r w:rsidRPr="00EE0EBA">
        <w:rPr>
          <w:spacing w:val="-13"/>
        </w:rPr>
        <w:t xml:space="preserve"> </w:t>
      </w:r>
      <w:r w:rsidRPr="00EE0EBA">
        <w:t>Ley</w:t>
      </w:r>
      <w:r w:rsidRPr="00EE0EBA">
        <w:rPr>
          <w:spacing w:val="-14"/>
        </w:rPr>
        <w:t xml:space="preserve"> </w:t>
      </w:r>
      <w:r w:rsidRPr="00EE0EBA">
        <w:t>4170</w:t>
      </w:r>
      <w:r w:rsidRPr="00EE0EBA">
        <w:rPr>
          <w:spacing w:val="-14"/>
        </w:rPr>
        <w:t xml:space="preserve"> </w:t>
      </w:r>
      <w:r w:rsidRPr="00EE0EBA">
        <w:t>de</w:t>
      </w:r>
      <w:r w:rsidRPr="00EE0EBA">
        <w:rPr>
          <w:spacing w:val="-15"/>
        </w:rPr>
        <w:t xml:space="preserve"> </w:t>
      </w:r>
      <w:r w:rsidRPr="00EE0EBA">
        <w:t>2011,</w:t>
      </w:r>
      <w:r w:rsidRPr="00EE0EBA">
        <w:rPr>
          <w:spacing w:val="-14"/>
        </w:rPr>
        <w:t xml:space="preserve"> </w:t>
      </w:r>
      <w:r w:rsidRPr="00EE0EBA">
        <w:t>así</w:t>
      </w:r>
      <w:r w:rsidRPr="00EE0EBA">
        <w:rPr>
          <w:spacing w:val="-14"/>
        </w:rPr>
        <w:t xml:space="preserve"> </w:t>
      </w:r>
      <w:r w:rsidRPr="00EE0EBA">
        <w:t>como</w:t>
      </w:r>
      <w:r w:rsidRPr="00EE0EBA">
        <w:rPr>
          <w:spacing w:val="-14"/>
        </w:rPr>
        <w:t xml:space="preserve"> </w:t>
      </w:r>
      <w:r w:rsidRPr="00EE0EBA">
        <w:t>lo</w:t>
      </w:r>
      <w:r w:rsidRPr="00EE0EBA">
        <w:rPr>
          <w:spacing w:val="-15"/>
        </w:rPr>
        <w:t xml:space="preserve"> </w:t>
      </w:r>
      <w:r w:rsidRPr="00EE0EBA">
        <w:t>establecido</w:t>
      </w:r>
      <w:r w:rsidRPr="00EE0EBA">
        <w:rPr>
          <w:spacing w:val="-11"/>
        </w:rPr>
        <w:t xml:space="preserve"> </w:t>
      </w:r>
      <w:r w:rsidRPr="00EE0EBA">
        <w:t>en</w:t>
      </w:r>
      <w:r w:rsidRPr="00EE0EBA">
        <w:rPr>
          <w:spacing w:val="-15"/>
        </w:rPr>
        <w:t xml:space="preserve"> </w:t>
      </w:r>
      <w:r w:rsidRPr="00EE0EBA">
        <w:t>el</w:t>
      </w:r>
      <w:r w:rsidRPr="00EE0EBA">
        <w:rPr>
          <w:spacing w:val="-15"/>
        </w:rPr>
        <w:t xml:space="preserve"> </w:t>
      </w:r>
      <w:r w:rsidRPr="00EE0EBA">
        <w:t>artículo 4</w:t>
      </w:r>
      <w:r w:rsidRPr="00EE0EBA">
        <w:rPr>
          <w:spacing w:val="-9"/>
        </w:rPr>
        <w:t xml:space="preserve"> </w:t>
      </w:r>
      <w:r w:rsidRPr="00EE0EBA">
        <w:t>de</w:t>
      </w:r>
      <w:r w:rsidRPr="00EE0EBA">
        <w:rPr>
          <w:spacing w:val="-9"/>
        </w:rPr>
        <w:t xml:space="preserve"> </w:t>
      </w:r>
      <w:r w:rsidRPr="00EE0EBA">
        <w:t>la</w:t>
      </w:r>
      <w:r w:rsidRPr="00EE0EBA">
        <w:rPr>
          <w:spacing w:val="-9"/>
        </w:rPr>
        <w:t xml:space="preserve"> </w:t>
      </w:r>
      <w:r w:rsidRPr="00EE0EBA">
        <w:t>Resolución</w:t>
      </w:r>
      <w:r w:rsidRPr="00EE0EBA">
        <w:rPr>
          <w:spacing w:val="-6"/>
        </w:rPr>
        <w:t xml:space="preserve"> </w:t>
      </w:r>
      <w:r w:rsidRPr="00EE0EBA">
        <w:t>1707</w:t>
      </w:r>
      <w:r w:rsidRPr="00EE0EBA">
        <w:rPr>
          <w:spacing w:val="-8"/>
        </w:rPr>
        <w:t xml:space="preserve"> </w:t>
      </w:r>
      <w:r w:rsidRPr="00EE0EBA">
        <w:t>de</w:t>
      </w:r>
      <w:r w:rsidRPr="00EE0EBA">
        <w:rPr>
          <w:spacing w:val="-9"/>
        </w:rPr>
        <w:t xml:space="preserve"> </w:t>
      </w:r>
      <w:r w:rsidRPr="00EE0EBA">
        <w:t>2018</w:t>
      </w:r>
      <w:r w:rsidRPr="00EE0EBA">
        <w:rPr>
          <w:spacing w:val="-8"/>
        </w:rPr>
        <w:t xml:space="preserve"> </w:t>
      </w:r>
      <w:r w:rsidRPr="00EE0EBA">
        <w:t>expedida</w:t>
      </w:r>
      <w:r w:rsidRPr="00EE0EBA">
        <w:rPr>
          <w:spacing w:val="-7"/>
        </w:rPr>
        <w:t xml:space="preserve"> </w:t>
      </w:r>
      <w:r w:rsidRPr="00EE0EBA">
        <w:t>por</w:t>
      </w:r>
      <w:r w:rsidRPr="00EE0EBA">
        <w:rPr>
          <w:spacing w:val="-9"/>
        </w:rPr>
        <w:t xml:space="preserve"> </w:t>
      </w:r>
      <w:r w:rsidRPr="00EE0EBA">
        <w:t>esta</w:t>
      </w:r>
      <w:r w:rsidRPr="00EE0EBA">
        <w:rPr>
          <w:spacing w:val="-8"/>
        </w:rPr>
        <w:t xml:space="preserve"> </w:t>
      </w:r>
      <w:r w:rsidRPr="00EE0EBA">
        <w:t>Entidad,</w:t>
      </w:r>
      <w:r w:rsidRPr="00EE0EBA">
        <w:rPr>
          <w:spacing w:val="-7"/>
        </w:rPr>
        <w:t xml:space="preserve"> </w:t>
      </w:r>
      <w:r w:rsidRPr="00EE0EBA">
        <w:t>la</w:t>
      </w:r>
      <w:r w:rsidRPr="00EE0EBA">
        <w:rPr>
          <w:spacing w:val="-9"/>
        </w:rPr>
        <w:t xml:space="preserve"> </w:t>
      </w:r>
      <w:r w:rsidRPr="00EE0EBA">
        <w:t>Agencia</w:t>
      </w:r>
      <w:r w:rsidRPr="00EE0EBA">
        <w:rPr>
          <w:spacing w:val="-7"/>
        </w:rPr>
        <w:t xml:space="preserve"> </w:t>
      </w:r>
      <w:r w:rsidRPr="00EE0EBA">
        <w:t>Nacional de Contratación Pública – Colombia Compra Eficiente– responde su solicitud de consulta,</w:t>
      </w:r>
      <w:r w:rsidRPr="00EE0EBA">
        <w:rPr>
          <w:spacing w:val="-2"/>
        </w:rPr>
        <w:t xml:space="preserve"> </w:t>
      </w:r>
      <w:r w:rsidRPr="00EE0EBA">
        <w:t>remitida por</w:t>
      </w:r>
      <w:r w:rsidRPr="00EE0EBA">
        <w:rPr>
          <w:spacing w:val="-1"/>
        </w:rPr>
        <w:t xml:space="preserve"> </w:t>
      </w:r>
      <w:r w:rsidRPr="00EE0EBA">
        <w:t>el</w:t>
      </w:r>
      <w:r w:rsidRPr="00EE0EBA">
        <w:rPr>
          <w:spacing w:val="-1"/>
        </w:rPr>
        <w:t xml:space="preserve"> </w:t>
      </w:r>
      <w:r w:rsidRPr="00EE0EBA">
        <w:t>Departamento Administrativo de</w:t>
      </w:r>
      <w:r w:rsidRPr="00EE0EBA">
        <w:rPr>
          <w:spacing w:val="-1"/>
        </w:rPr>
        <w:t xml:space="preserve"> </w:t>
      </w:r>
      <w:r w:rsidRPr="00EE0EBA">
        <w:t>la</w:t>
      </w:r>
      <w:r w:rsidRPr="00EE0EBA">
        <w:rPr>
          <w:spacing w:val="-2"/>
        </w:rPr>
        <w:t xml:space="preserve"> </w:t>
      </w:r>
      <w:r w:rsidRPr="00EE0EBA">
        <w:t>Función Pública, el</w:t>
      </w:r>
      <w:r w:rsidR="00790C95">
        <w:t xml:space="preserve"> 3 de abril </w:t>
      </w:r>
      <w:r w:rsidRPr="00EE0EBA">
        <w:t>de 2025, en la cual manifiesta lo siguiente:</w:t>
      </w:r>
    </w:p>
    <w:p w14:paraId="0B6B9AA2" w14:textId="77777777" w:rsidR="009B6685" w:rsidRPr="00EE0EBA" w:rsidRDefault="009B6685">
      <w:pPr>
        <w:pStyle w:val="Textoindependiente"/>
        <w:spacing w:line="276" w:lineRule="auto"/>
        <w:ind w:left="260" w:right="979"/>
        <w:jc w:val="both"/>
      </w:pPr>
    </w:p>
    <w:p w14:paraId="312802A6" w14:textId="6DD8A7B2" w:rsidR="009B6685" w:rsidRPr="00EE0EBA" w:rsidRDefault="009B6685" w:rsidP="009B6685">
      <w:pPr>
        <w:spacing w:before="1"/>
        <w:ind w:left="970" w:right="1688"/>
        <w:jc w:val="both"/>
        <w:rPr>
          <w:sz w:val="20"/>
        </w:rPr>
      </w:pPr>
      <w:r w:rsidRPr="00EE0EBA">
        <w:rPr>
          <w:sz w:val="20"/>
        </w:rPr>
        <w:t xml:space="preserve">“Cordial saludo, por medio de la presente, solicito concepto sobre fuero de </w:t>
      </w:r>
      <w:r w:rsidRPr="00EE0EBA">
        <w:rPr>
          <w:sz w:val="20"/>
        </w:rPr>
        <w:lastRenderedPageBreak/>
        <w:t>maternidad (estabilidad laboral reforzada) para una contratista, teniendo en cuenta la ley 2306 de 2023 articulo 238 "El empleador está en la obligación de conceder a la trabajadora dos (2) descansos, de treinta (30) minutos cada uno, dentro de la jornada para amamantar a su hijo, sin descuento alguno en el salario por dicho concepto, durante los primeros seis (ó) meses de edad, y una vez cumplido este periodo, un (1) descanso de treinta (30) minutos en los mismos términos hasta los dos (2) años de edad de/ menor: siempre y cuando se mantenga y manifieste una adecuada lactancia materno continua". El caso es el siguiente, laboré como contratista de la alcaldia de Dolores Tolima desde febrero de 2023, en ese mismo año notifico en Diciembre mi estado de gestación por lo cual se me vincula por conntrato de prestación de servicios desde enero de 2024 hasta Julio 2024, fecha donde nace el bebé, posteriormente entro en licencia de maternidad hasta noviembre 3 y una vez culminado la licencia, se me renueva el contrato por prestación de servicios hasta diciembre 30 de 2024. Iniciando este año, el empleador (Alcaldia) menciona que no se me va a renovar el contrato teniendo en cuenta que ya finalizó el fuero de maternidad. Por lo tanto solicito concepto.” [SIC]</w:t>
      </w:r>
    </w:p>
    <w:p w14:paraId="313383B8" w14:textId="66FA64EE" w:rsidR="00771A1C" w:rsidRPr="00EE0EBA" w:rsidRDefault="002A56AD" w:rsidP="00790C95">
      <w:pPr>
        <w:pStyle w:val="Textoindependiente"/>
        <w:spacing w:before="158" w:line="276" w:lineRule="auto"/>
        <w:ind w:left="284" w:right="979" w:firstLine="436"/>
        <w:jc w:val="both"/>
      </w:pPr>
      <w:r w:rsidRPr="00EE0EBA">
        <w:t>De</w:t>
      </w:r>
      <w:r w:rsidRPr="00EE0EBA">
        <w:rPr>
          <w:spacing w:val="-20"/>
        </w:rPr>
        <w:t xml:space="preserve"> </w:t>
      </w:r>
      <w:r w:rsidRPr="00EE0EBA">
        <w:t>manera</w:t>
      </w:r>
      <w:r w:rsidRPr="00EE0EBA">
        <w:rPr>
          <w:spacing w:val="-19"/>
        </w:rPr>
        <w:t xml:space="preserve"> </w:t>
      </w:r>
      <w:r w:rsidRPr="00EE0EBA">
        <w:t>preliminar,</w:t>
      </w:r>
      <w:r w:rsidRPr="00EE0EBA">
        <w:rPr>
          <w:spacing w:val="-19"/>
        </w:rPr>
        <w:t xml:space="preserve"> </w:t>
      </w:r>
      <w:r w:rsidRPr="00EE0EBA">
        <w:t>resulta</w:t>
      </w:r>
      <w:r w:rsidRPr="00EE0EBA">
        <w:rPr>
          <w:spacing w:val="-20"/>
        </w:rPr>
        <w:t xml:space="preserve"> </w:t>
      </w:r>
      <w:r w:rsidRPr="00EE0EBA">
        <w:t>necesario</w:t>
      </w:r>
      <w:r w:rsidRPr="00EE0EBA">
        <w:rPr>
          <w:spacing w:val="-19"/>
        </w:rPr>
        <w:t xml:space="preserve"> </w:t>
      </w:r>
      <w:r w:rsidRPr="00EE0EBA">
        <w:t>acotar</w:t>
      </w:r>
      <w:r w:rsidRPr="00EE0EBA">
        <w:rPr>
          <w:spacing w:val="-20"/>
        </w:rPr>
        <w:t xml:space="preserve"> </w:t>
      </w:r>
      <w:r w:rsidRPr="00EE0EBA">
        <w:t>que</w:t>
      </w:r>
      <w:r w:rsidRPr="00EE0EBA">
        <w:rPr>
          <w:spacing w:val="-19"/>
        </w:rPr>
        <w:t xml:space="preserve"> </w:t>
      </w:r>
      <w:r w:rsidRPr="00EE0EBA">
        <w:t>esta</w:t>
      </w:r>
      <w:r w:rsidRPr="00EE0EBA">
        <w:rPr>
          <w:spacing w:val="-19"/>
        </w:rPr>
        <w:t xml:space="preserve"> </w:t>
      </w:r>
      <w:r w:rsidRPr="00EE0EBA">
        <w:t>entidad</w:t>
      </w:r>
      <w:r w:rsidRPr="00EE0EBA">
        <w:rPr>
          <w:spacing w:val="-20"/>
        </w:rPr>
        <w:t xml:space="preserve"> </w:t>
      </w:r>
      <w:r w:rsidRPr="00EE0EBA">
        <w:t>solo</w:t>
      </w:r>
      <w:r w:rsidRPr="00EE0EBA">
        <w:rPr>
          <w:spacing w:val="-19"/>
        </w:rPr>
        <w:t xml:space="preserve"> </w:t>
      </w:r>
      <w:r w:rsidRPr="00EE0EBA">
        <w:t>tiene competencia</w:t>
      </w:r>
      <w:r w:rsidRPr="00EE0EBA">
        <w:rPr>
          <w:spacing w:val="-15"/>
        </w:rPr>
        <w:t xml:space="preserve"> </w:t>
      </w:r>
      <w:r w:rsidRPr="00EE0EBA">
        <w:t>para</w:t>
      </w:r>
      <w:r w:rsidRPr="00EE0EBA">
        <w:rPr>
          <w:spacing w:val="-17"/>
        </w:rPr>
        <w:t xml:space="preserve"> </w:t>
      </w:r>
      <w:r w:rsidRPr="00EE0EBA">
        <w:t>responder</w:t>
      </w:r>
      <w:r w:rsidRPr="00EE0EBA">
        <w:rPr>
          <w:spacing w:val="-16"/>
        </w:rPr>
        <w:t xml:space="preserve"> </w:t>
      </w:r>
      <w:r w:rsidRPr="00EE0EBA">
        <w:t>consultas</w:t>
      </w:r>
      <w:r w:rsidRPr="00EE0EBA">
        <w:rPr>
          <w:spacing w:val="-16"/>
        </w:rPr>
        <w:t xml:space="preserve"> </w:t>
      </w:r>
      <w:r w:rsidRPr="00EE0EBA">
        <w:t>sobre</w:t>
      </w:r>
      <w:r w:rsidRPr="00EE0EBA">
        <w:rPr>
          <w:spacing w:val="-17"/>
        </w:rPr>
        <w:t xml:space="preserve"> </w:t>
      </w:r>
      <w:r w:rsidRPr="00EE0EBA">
        <w:t>la</w:t>
      </w:r>
      <w:r w:rsidRPr="00EE0EBA">
        <w:rPr>
          <w:spacing w:val="-18"/>
        </w:rPr>
        <w:t xml:space="preserve"> </w:t>
      </w:r>
      <w:r w:rsidRPr="00EE0EBA">
        <w:t>aplicación</w:t>
      </w:r>
      <w:r w:rsidRPr="00EE0EBA">
        <w:rPr>
          <w:spacing w:val="-15"/>
        </w:rPr>
        <w:t xml:space="preserve"> </w:t>
      </w:r>
      <w:r w:rsidRPr="00EE0EBA">
        <w:t>de</w:t>
      </w:r>
      <w:r w:rsidRPr="00EE0EBA">
        <w:rPr>
          <w:spacing w:val="-18"/>
        </w:rPr>
        <w:t xml:space="preserve"> </w:t>
      </w:r>
      <w:r w:rsidRPr="00EE0EBA">
        <w:t>normas</w:t>
      </w:r>
      <w:r w:rsidRPr="00EE0EBA">
        <w:rPr>
          <w:spacing w:val="-17"/>
        </w:rPr>
        <w:t xml:space="preserve"> </w:t>
      </w:r>
      <w:r w:rsidRPr="00EE0EBA">
        <w:t>de</w:t>
      </w:r>
      <w:r w:rsidRPr="00EE0EBA">
        <w:rPr>
          <w:spacing w:val="-18"/>
        </w:rPr>
        <w:t xml:space="preserve"> </w:t>
      </w:r>
      <w:r w:rsidRPr="00EE0EBA">
        <w:t>carácter general en materia de compras y</w:t>
      </w:r>
      <w:r w:rsidRPr="00EE0EBA">
        <w:rPr>
          <w:spacing w:val="-1"/>
        </w:rPr>
        <w:t xml:space="preserve"> </w:t>
      </w:r>
      <w:r w:rsidRPr="00EE0EBA">
        <w:t>contratación pública. En ese sentido, resolver casos particulares desborda las atribuciones asignadas por el legislador extraordinario,</w:t>
      </w:r>
      <w:r w:rsidRPr="00EE0EBA">
        <w:rPr>
          <w:spacing w:val="-20"/>
        </w:rPr>
        <w:t xml:space="preserve"> </w:t>
      </w:r>
      <w:r w:rsidRPr="00EE0EBA">
        <w:t>que</w:t>
      </w:r>
      <w:r w:rsidRPr="00EE0EBA">
        <w:rPr>
          <w:spacing w:val="-19"/>
        </w:rPr>
        <w:t xml:space="preserve"> </w:t>
      </w:r>
      <w:r w:rsidRPr="00EE0EBA">
        <w:t>no</w:t>
      </w:r>
      <w:r w:rsidRPr="00EE0EBA">
        <w:rPr>
          <w:spacing w:val="-19"/>
        </w:rPr>
        <w:t xml:space="preserve"> </w:t>
      </w:r>
      <w:r w:rsidRPr="00EE0EBA">
        <w:t>concibió</w:t>
      </w:r>
      <w:r w:rsidRPr="00EE0EBA">
        <w:rPr>
          <w:spacing w:val="-20"/>
        </w:rPr>
        <w:t xml:space="preserve"> </w:t>
      </w:r>
      <w:r w:rsidRPr="00EE0EBA">
        <w:t>a</w:t>
      </w:r>
      <w:r w:rsidRPr="00EE0EBA">
        <w:rPr>
          <w:spacing w:val="-19"/>
        </w:rPr>
        <w:t xml:space="preserve"> </w:t>
      </w:r>
      <w:r w:rsidRPr="00EE0EBA">
        <w:t>Colombia</w:t>
      </w:r>
      <w:r w:rsidRPr="00EE0EBA">
        <w:rPr>
          <w:spacing w:val="-20"/>
        </w:rPr>
        <w:t xml:space="preserve"> </w:t>
      </w:r>
      <w:r w:rsidRPr="00EE0EBA">
        <w:t>Compra</w:t>
      </w:r>
      <w:r w:rsidRPr="00EE0EBA">
        <w:rPr>
          <w:spacing w:val="-19"/>
        </w:rPr>
        <w:t xml:space="preserve"> </w:t>
      </w:r>
      <w:r w:rsidRPr="00EE0EBA">
        <w:t>Eficiente</w:t>
      </w:r>
      <w:r w:rsidRPr="00EE0EBA">
        <w:rPr>
          <w:spacing w:val="-19"/>
        </w:rPr>
        <w:t xml:space="preserve"> </w:t>
      </w:r>
      <w:r w:rsidRPr="00EE0EBA">
        <w:t>como</w:t>
      </w:r>
      <w:r w:rsidRPr="00EE0EBA">
        <w:rPr>
          <w:spacing w:val="-20"/>
        </w:rPr>
        <w:t xml:space="preserve"> </w:t>
      </w:r>
      <w:r w:rsidRPr="00EE0EBA">
        <w:t>una</w:t>
      </w:r>
      <w:r w:rsidRPr="00EE0EBA">
        <w:rPr>
          <w:spacing w:val="-19"/>
        </w:rPr>
        <w:t xml:space="preserve"> </w:t>
      </w:r>
      <w:r w:rsidRPr="00EE0EBA">
        <w:t>autoridad para solucionar problemas jurídicos particulares de todos los partícipes del sistema de compra pública. La competencia de esta entidad se fija con límites claros, con el objeto de evitar que la Agencia actúe como una instancia de validación de</w:t>
      </w:r>
      <w:r w:rsidRPr="00EE0EBA">
        <w:rPr>
          <w:spacing w:val="-1"/>
        </w:rPr>
        <w:t xml:space="preserve"> </w:t>
      </w:r>
      <w:r w:rsidRPr="00EE0EBA">
        <w:t>las actuaciones de</w:t>
      </w:r>
      <w:r w:rsidRPr="00EE0EBA">
        <w:rPr>
          <w:spacing w:val="-1"/>
        </w:rPr>
        <w:t xml:space="preserve"> </w:t>
      </w:r>
      <w:r w:rsidRPr="00EE0EBA">
        <w:t>las entidades sujetas a</w:t>
      </w:r>
      <w:r w:rsidRPr="00EE0EBA">
        <w:rPr>
          <w:spacing w:val="-1"/>
        </w:rPr>
        <w:t xml:space="preserve"> </w:t>
      </w:r>
      <w:r w:rsidRPr="00EE0EBA">
        <w:t>la</w:t>
      </w:r>
      <w:r w:rsidRPr="00EE0EBA">
        <w:rPr>
          <w:spacing w:val="-1"/>
        </w:rPr>
        <w:t xml:space="preserve"> </w:t>
      </w:r>
      <w:r w:rsidRPr="00EE0EBA">
        <w:t>Ley 80</w:t>
      </w:r>
      <w:r w:rsidRPr="00EE0EBA">
        <w:rPr>
          <w:spacing w:val="-1"/>
        </w:rPr>
        <w:t xml:space="preserve"> </w:t>
      </w:r>
      <w:r w:rsidRPr="00EE0EBA">
        <w:t>de</w:t>
      </w:r>
      <w:r w:rsidRPr="00EE0EBA">
        <w:rPr>
          <w:spacing w:val="-1"/>
        </w:rPr>
        <w:t xml:space="preserve"> </w:t>
      </w:r>
      <w:r w:rsidRPr="00EE0EBA">
        <w:t>1993 o</w:t>
      </w:r>
      <w:r w:rsidRPr="00EE0EBA">
        <w:rPr>
          <w:spacing w:val="-1"/>
        </w:rPr>
        <w:t xml:space="preserve"> </w:t>
      </w:r>
      <w:r w:rsidRPr="00EE0EBA">
        <w:t>de los demás participantes de la contratación pública. Esta competencia de interpretación de normas generales, por definición, no puede extenderse a la resolución de controversias, ni a brindar asesorías sobre casos puntuales.</w:t>
      </w:r>
    </w:p>
    <w:p w14:paraId="2050F214" w14:textId="77777777" w:rsidR="00771A1C" w:rsidRPr="00EE0EBA" w:rsidRDefault="002A56AD" w:rsidP="00790C95">
      <w:pPr>
        <w:pStyle w:val="Textoindependiente"/>
        <w:spacing w:before="120" w:line="276" w:lineRule="auto"/>
        <w:ind w:left="284" w:right="979" w:firstLine="258"/>
        <w:jc w:val="both"/>
      </w:pPr>
      <w:r w:rsidRPr="00EE0EBA">
        <w:t>Conforme lo expuesto, en aras de satisfacer el derecho fundamental de petición</w:t>
      </w:r>
      <w:r w:rsidRPr="00EE0EBA">
        <w:rPr>
          <w:spacing w:val="-13"/>
        </w:rPr>
        <w:t xml:space="preserve"> </w:t>
      </w:r>
      <w:r w:rsidRPr="00EE0EBA">
        <w:t>se</w:t>
      </w:r>
      <w:r w:rsidRPr="00EE0EBA">
        <w:rPr>
          <w:spacing w:val="-15"/>
        </w:rPr>
        <w:t xml:space="preserve"> </w:t>
      </w:r>
      <w:r w:rsidRPr="00EE0EBA">
        <w:t>resolverá</w:t>
      </w:r>
      <w:r w:rsidRPr="00EE0EBA">
        <w:rPr>
          <w:spacing w:val="-13"/>
        </w:rPr>
        <w:t xml:space="preserve"> </w:t>
      </w:r>
      <w:r w:rsidRPr="00EE0EBA">
        <w:t>su</w:t>
      </w:r>
      <w:r w:rsidRPr="00EE0EBA">
        <w:rPr>
          <w:spacing w:val="-15"/>
        </w:rPr>
        <w:t xml:space="preserve"> </w:t>
      </w:r>
      <w:r w:rsidRPr="00EE0EBA">
        <w:t>consulta</w:t>
      </w:r>
      <w:r w:rsidRPr="00EE0EBA">
        <w:rPr>
          <w:spacing w:val="-13"/>
        </w:rPr>
        <w:t xml:space="preserve"> </w:t>
      </w:r>
      <w:r w:rsidRPr="00EE0EBA">
        <w:t>dentro</w:t>
      </w:r>
      <w:r w:rsidRPr="00EE0EBA">
        <w:rPr>
          <w:spacing w:val="-14"/>
        </w:rPr>
        <w:t xml:space="preserve"> </w:t>
      </w:r>
      <w:r w:rsidRPr="00EE0EBA">
        <w:t>de</w:t>
      </w:r>
      <w:r w:rsidRPr="00EE0EBA">
        <w:rPr>
          <w:spacing w:val="-15"/>
        </w:rPr>
        <w:t xml:space="preserve"> </w:t>
      </w:r>
      <w:r w:rsidRPr="00EE0EBA">
        <w:t>los</w:t>
      </w:r>
      <w:r w:rsidRPr="00EE0EBA">
        <w:rPr>
          <w:spacing w:val="-15"/>
        </w:rPr>
        <w:t xml:space="preserve"> </w:t>
      </w:r>
      <w:r w:rsidRPr="00EE0EBA">
        <w:t>límites</w:t>
      </w:r>
      <w:r w:rsidRPr="00EE0EBA">
        <w:rPr>
          <w:spacing w:val="-14"/>
        </w:rPr>
        <w:t xml:space="preserve"> </w:t>
      </w:r>
      <w:r w:rsidRPr="00EE0EBA">
        <w:t>de</w:t>
      </w:r>
      <w:r w:rsidRPr="00EE0EBA">
        <w:rPr>
          <w:spacing w:val="-15"/>
        </w:rPr>
        <w:t xml:space="preserve"> </w:t>
      </w:r>
      <w:r w:rsidRPr="00EE0EBA">
        <w:t>la</w:t>
      </w:r>
      <w:r w:rsidRPr="00EE0EBA">
        <w:rPr>
          <w:spacing w:val="-15"/>
        </w:rPr>
        <w:t xml:space="preserve"> </w:t>
      </w:r>
      <w:r w:rsidRPr="00EE0EBA">
        <w:t>referida</w:t>
      </w:r>
      <w:r w:rsidRPr="00EE0EBA">
        <w:rPr>
          <w:spacing w:val="-13"/>
        </w:rPr>
        <w:t xml:space="preserve"> </w:t>
      </w:r>
      <w:r w:rsidRPr="00EE0EBA">
        <w:t>competencia consultiva, esto es, haciendo abstracción de las circunstancias particulares y concretas</w:t>
      </w:r>
      <w:r w:rsidRPr="00EE0EBA">
        <w:rPr>
          <w:spacing w:val="-2"/>
        </w:rPr>
        <w:t xml:space="preserve"> </w:t>
      </w:r>
      <w:r w:rsidRPr="00EE0EBA">
        <w:t>mencionadas</w:t>
      </w:r>
      <w:r w:rsidRPr="00EE0EBA">
        <w:rPr>
          <w:spacing w:val="-1"/>
        </w:rPr>
        <w:t xml:space="preserve"> </w:t>
      </w:r>
      <w:r w:rsidRPr="00EE0EBA">
        <w:t>en</w:t>
      </w:r>
      <w:r w:rsidRPr="00EE0EBA">
        <w:rPr>
          <w:spacing w:val="-4"/>
        </w:rPr>
        <w:t xml:space="preserve"> </w:t>
      </w:r>
      <w:r w:rsidRPr="00EE0EBA">
        <w:t>su</w:t>
      </w:r>
      <w:r w:rsidRPr="00EE0EBA">
        <w:rPr>
          <w:spacing w:val="-4"/>
        </w:rPr>
        <w:t xml:space="preserve"> </w:t>
      </w:r>
      <w:r w:rsidRPr="00EE0EBA">
        <w:t>petición,</w:t>
      </w:r>
      <w:r w:rsidRPr="00EE0EBA">
        <w:rPr>
          <w:spacing w:val="-1"/>
        </w:rPr>
        <w:t xml:space="preserve"> </w:t>
      </w:r>
      <w:r w:rsidRPr="00EE0EBA">
        <w:t>pero</w:t>
      </w:r>
      <w:r w:rsidRPr="00EE0EBA">
        <w:rPr>
          <w:spacing w:val="-3"/>
        </w:rPr>
        <w:t xml:space="preserve"> </w:t>
      </w:r>
      <w:r w:rsidRPr="00EE0EBA">
        <w:t>señalando</w:t>
      </w:r>
      <w:r w:rsidRPr="00EE0EBA">
        <w:rPr>
          <w:spacing w:val="-1"/>
        </w:rPr>
        <w:t xml:space="preserve"> </w:t>
      </w:r>
      <w:r w:rsidRPr="00EE0EBA">
        <w:t>algunas</w:t>
      </w:r>
      <w:r w:rsidRPr="00EE0EBA">
        <w:rPr>
          <w:spacing w:val="-3"/>
        </w:rPr>
        <w:t xml:space="preserve"> </w:t>
      </w:r>
      <w:r w:rsidRPr="00EE0EBA">
        <w:t>consideraciones sobre</w:t>
      </w:r>
      <w:r w:rsidRPr="00EE0EBA">
        <w:rPr>
          <w:spacing w:val="-19"/>
        </w:rPr>
        <w:t xml:space="preserve"> </w:t>
      </w:r>
      <w:r w:rsidRPr="00EE0EBA">
        <w:t>las</w:t>
      </w:r>
      <w:r w:rsidRPr="00EE0EBA">
        <w:rPr>
          <w:spacing w:val="-20"/>
        </w:rPr>
        <w:t xml:space="preserve"> </w:t>
      </w:r>
      <w:r w:rsidRPr="00EE0EBA">
        <w:t>normas</w:t>
      </w:r>
      <w:r w:rsidRPr="00EE0EBA">
        <w:rPr>
          <w:spacing w:val="-18"/>
        </w:rPr>
        <w:t xml:space="preserve"> </w:t>
      </w:r>
      <w:r w:rsidRPr="00EE0EBA">
        <w:t>generales</w:t>
      </w:r>
      <w:r w:rsidRPr="00EE0EBA">
        <w:rPr>
          <w:spacing w:val="-18"/>
        </w:rPr>
        <w:t xml:space="preserve"> </w:t>
      </w:r>
      <w:r w:rsidRPr="00EE0EBA">
        <w:t>relacionadas</w:t>
      </w:r>
      <w:r w:rsidRPr="00EE0EBA">
        <w:rPr>
          <w:spacing w:val="-17"/>
        </w:rPr>
        <w:t xml:space="preserve"> </w:t>
      </w:r>
      <w:r w:rsidRPr="00EE0EBA">
        <w:t>con</w:t>
      </w:r>
      <w:r w:rsidRPr="00EE0EBA">
        <w:rPr>
          <w:spacing w:val="-20"/>
        </w:rPr>
        <w:t xml:space="preserve"> </w:t>
      </w:r>
      <w:r w:rsidRPr="00EE0EBA">
        <w:t>el</w:t>
      </w:r>
      <w:r w:rsidRPr="00EE0EBA">
        <w:rPr>
          <w:spacing w:val="-19"/>
        </w:rPr>
        <w:t xml:space="preserve"> </w:t>
      </w:r>
      <w:r w:rsidRPr="00EE0EBA">
        <w:t>problema</w:t>
      </w:r>
      <w:r w:rsidRPr="00EE0EBA">
        <w:rPr>
          <w:spacing w:val="-18"/>
        </w:rPr>
        <w:t xml:space="preserve"> </w:t>
      </w:r>
      <w:r w:rsidRPr="00EE0EBA">
        <w:t>jurídico</w:t>
      </w:r>
      <w:r w:rsidRPr="00EE0EBA">
        <w:rPr>
          <w:spacing w:val="-18"/>
        </w:rPr>
        <w:t xml:space="preserve"> </w:t>
      </w:r>
      <w:r w:rsidRPr="00EE0EBA">
        <w:t>de</w:t>
      </w:r>
      <w:r w:rsidRPr="00EE0EBA">
        <w:rPr>
          <w:spacing w:val="-20"/>
        </w:rPr>
        <w:t xml:space="preserve"> </w:t>
      </w:r>
      <w:r w:rsidRPr="00EE0EBA">
        <w:t>su</w:t>
      </w:r>
      <w:r w:rsidRPr="00EE0EBA">
        <w:rPr>
          <w:spacing w:val="-19"/>
        </w:rPr>
        <w:t xml:space="preserve"> </w:t>
      </w:r>
      <w:r w:rsidRPr="00EE0EBA">
        <w:t>consulta.</w:t>
      </w:r>
    </w:p>
    <w:p w14:paraId="5C63A0A3" w14:textId="77777777" w:rsidR="00771A1C" w:rsidRPr="00EE0EBA" w:rsidRDefault="00771A1C">
      <w:pPr>
        <w:pStyle w:val="Textoindependiente"/>
        <w:spacing w:before="40"/>
      </w:pPr>
    </w:p>
    <w:p w14:paraId="75166FF8" w14:textId="77777777" w:rsidR="00771A1C" w:rsidRPr="00EE0EBA" w:rsidRDefault="002A56AD">
      <w:pPr>
        <w:pStyle w:val="Ttulo1"/>
        <w:numPr>
          <w:ilvl w:val="0"/>
          <w:numId w:val="8"/>
        </w:numPr>
        <w:tabs>
          <w:tab w:val="left" w:pos="542"/>
        </w:tabs>
        <w:ind w:left="542" w:hanging="282"/>
      </w:pPr>
      <w:r w:rsidRPr="00EE0EBA">
        <w:rPr>
          <w:spacing w:val="-2"/>
        </w:rPr>
        <w:t>Problema</w:t>
      </w:r>
      <w:r w:rsidRPr="00EE0EBA">
        <w:rPr>
          <w:spacing w:val="-4"/>
        </w:rPr>
        <w:t xml:space="preserve"> </w:t>
      </w:r>
      <w:r w:rsidRPr="00EE0EBA">
        <w:rPr>
          <w:spacing w:val="-2"/>
        </w:rPr>
        <w:t>planteado:</w:t>
      </w:r>
    </w:p>
    <w:p w14:paraId="78D2665D" w14:textId="77777777" w:rsidR="00771A1C" w:rsidRPr="00EE0EBA" w:rsidRDefault="00771A1C">
      <w:pPr>
        <w:pStyle w:val="Textoindependiente"/>
        <w:spacing w:before="80"/>
        <w:rPr>
          <w:b/>
        </w:rPr>
      </w:pPr>
    </w:p>
    <w:p w14:paraId="3AAE05EE" w14:textId="1DEED615" w:rsidR="00771A1C" w:rsidRPr="00EE0EBA" w:rsidRDefault="002A56AD">
      <w:pPr>
        <w:pStyle w:val="Textoindependiente"/>
        <w:spacing w:before="1" w:line="276" w:lineRule="auto"/>
        <w:ind w:left="260" w:right="979"/>
        <w:jc w:val="both"/>
      </w:pPr>
      <w:r w:rsidRPr="00EE0EBA">
        <w:t>De</w:t>
      </w:r>
      <w:r w:rsidRPr="00EE0EBA">
        <w:rPr>
          <w:spacing w:val="-3"/>
        </w:rPr>
        <w:t xml:space="preserve"> </w:t>
      </w:r>
      <w:r w:rsidRPr="00EE0EBA">
        <w:t>acuerdo</w:t>
      </w:r>
      <w:r w:rsidRPr="00EE0EBA">
        <w:rPr>
          <w:spacing w:val="-1"/>
        </w:rPr>
        <w:t xml:space="preserve"> </w:t>
      </w:r>
      <w:r w:rsidRPr="00EE0EBA">
        <w:t>con</w:t>
      </w:r>
      <w:r w:rsidRPr="00EE0EBA">
        <w:rPr>
          <w:spacing w:val="-3"/>
        </w:rPr>
        <w:t xml:space="preserve"> </w:t>
      </w:r>
      <w:r w:rsidRPr="00EE0EBA">
        <w:t>el</w:t>
      </w:r>
      <w:r w:rsidRPr="00EE0EBA">
        <w:rPr>
          <w:spacing w:val="-3"/>
        </w:rPr>
        <w:t xml:space="preserve"> </w:t>
      </w:r>
      <w:r w:rsidRPr="00EE0EBA">
        <w:t>contenido</w:t>
      </w:r>
      <w:r w:rsidRPr="00EE0EBA">
        <w:rPr>
          <w:spacing w:val="-1"/>
        </w:rPr>
        <w:t xml:space="preserve"> </w:t>
      </w:r>
      <w:r w:rsidRPr="00EE0EBA">
        <w:t>de</w:t>
      </w:r>
      <w:r w:rsidRPr="00EE0EBA">
        <w:rPr>
          <w:spacing w:val="-3"/>
        </w:rPr>
        <w:t xml:space="preserve"> </w:t>
      </w:r>
      <w:r w:rsidRPr="00EE0EBA">
        <w:t>su</w:t>
      </w:r>
      <w:r w:rsidRPr="00EE0EBA">
        <w:rPr>
          <w:spacing w:val="-3"/>
        </w:rPr>
        <w:t xml:space="preserve"> </w:t>
      </w:r>
      <w:r w:rsidRPr="00EE0EBA">
        <w:t>solicitud, esta</w:t>
      </w:r>
      <w:r w:rsidRPr="00733F1E">
        <w:t xml:space="preserve"> </w:t>
      </w:r>
      <w:r w:rsidRPr="00EE0EBA">
        <w:t>Agencia</w:t>
      </w:r>
      <w:r w:rsidRPr="00733F1E">
        <w:t xml:space="preserve"> </w:t>
      </w:r>
      <w:r w:rsidRPr="00EE0EBA">
        <w:t>resolverá</w:t>
      </w:r>
      <w:r w:rsidRPr="00733F1E">
        <w:t xml:space="preserve"> </w:t>
      </w:r>
      <w:r w:rsidRPr="00EE0EBA">
        <w:t>el</w:t>
      </w:r>
      <w:r w:rsidRPr="00733F1E">
        <w:t xml:space="preserve"> </w:t>
      </w:r>
      <w:r w:rsidRPr="00EE0EBA">
        <w:t>siguiente problema jurídico: ¿</w:t>
      </w:r>
      <w:r w:rsidR="00DF161A">
        <w:t>Cuál</w:t>
      </w:r>
      <w:r w:rsidR="00F22673">
        <w:t xml:space="preserve"> es el alcance de la </w:t>
      </w:r>
      <w:r w:rsidR="00DF161A" w:rsidRPr="00733F1E">
        <w:t>L</w:t>
      </w:r>
      <w:r w:rsidR="00F22673" w:rsidRPr="00733F1E">
        <w:t xml:space="preserve">ey 2306 de 2023 en cuanto a la licencia </w:t>
      </w:r>
      <w:r w:rsidR="00DF161A" w:rsidRPr="00733F1E">
        <w:t>de maternidad y periodo de lactancia en un contrato de prestación de servicios</w:t>
      </w:r>
      <w:r w:rsidRPr="00733F1E">
        <w:t>?</w:t>
      </w:r>
    </w:p>
    <w:p w14:paraId="412656F3" w14:textId="77777777" w:rsidR="00771A1C" w:rsidRPr="00EE0EBA" w:rsidRDefault="00771A1C">
      <w:pPr>
        <w:pStyle w:val="Textoindependiente"/>
        <w:spacing w:before="40"/>
      </w:pPr>
    </w:p>
    <w:p w14:paraId="641E0A41" w14:textId="77777777" w:rsidR="00771A1C" w:rsidRPr="00032C61" w:rsidRDefault="002A56AD" w:rsidP="00C30E3A">
      <w:pPr>
        <w:pStyle w:val="Ttulo1"/>
        <w:numPr>
          <w:ilvl w:val="0"/>
          <w:numId w:val="8"/>
        </w:numPr>
        <w:tabs>
          <w:tab w:val="left" w:pos="542"/>
        </w:tabs>
        <w:ind w:left="542" w:hanging="282"/>
      </w:pPr>
      <w:r w:rsidRPr="00EE0EBA">
        <w:rPr>
          <w:spacing w:val="-2"/>
        </w:rPr>
        <w:t>Respuesta:</w:t>
      </w:r>
    </w:p>
    <w:p w14:paraId="63D5F79C" w14:textId="77777777" w:rsidR="00032C61" w:rsidRPr="00EE0EBA" w:rsidRDefault="00032C61" w:rsidP="00032C61">
      <w:pPr>
        <w:pStyle w:val="Ttulo1"/>
        <w:tabs>
          <w:tab w:val="left" w:pos="542"/>
        </w:tabs>
        <w:ind w:firstLine="0"/>
      </w:pPr>
    </w:p>
    <w:p w14:paraId="0B3471DD" w14:textId="29BE2306" w:rsidR="00C560BE" w:rsidRDefault="00C560BE" w:rsidP="00032C61">
      <w:pPr>
        <w:pStyle w:val="Textoindependiente"/>
        <w:pBdr>
          <w:top w:val="single" w:sz="4" w:space="1" w:color="auto"/>
          <w:left w:val="single" w:sz="4" w:space="4" w:color="auto"/>
          <w:bottom w:val="single" w:sz="4" w:space="1" w:color="auto"/>
          <w:right w:val="single" w:sz="4" w:space="4" w:color="auto"/>
        </w:pBdr>
        <w:spacing w:before="120" w:line="276" w:lineRule="auto"/>
        <w:ind w:left="284" w:right="1008"/>
        <w:jc w:val="both"/>
        <w:rPr>
          <w:rFonts w:eastAsia="Calibri" w:cs="Arial"/>
          <w:color w:val="000000" w:themeColor="text1"/>
          <w:lang w:val="es-MX"/>
        </w:rPr>
      </w:pPr>
      <w:r>
        <w:t>R</w:t>
      </w:r>
      <w:r w:rsidRPr="00EE0EBA">
        <w:t xml:space="preserve">especto al objeto de su consulta, debe señalarse que, </w:t>
      </w:r>
      <w:r w:rsidRPr="008C6876">
        <w:rPr>
          <w:rFonts w:eastAsia="Calibri" w:cs="Arial"/>
          <w:color w:val="000000" w:themeColor="text1"/>
          <w:lang w:val="es-MX"/>
        </w:rPr>
        <w:t>la Corte Constitucional ha expuesto dos (2) posiciones para proteger el fuero de maternidad de las mujeres vinculadas mediante un contrato de prestación de servicios y que se encuentren en estado de embarazo y/o en periodo de lactancia: i) cuando el juez prueba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fundamente en criterios discriminatorios y no, en motivos objetivos.</w:t>
      </w:r>
    </w:p>
    <w:p w14:paraId="254D0ADD" w14:textId="1955E43C" w:rsidR="00C560BE" w:rsidRPr="00B45641" w:rsidRDefault="00C560BE" w:rsidP="00032C61">
      <w:pPr>
        <w:pStyle w:val="Textoindependiente"/>
        <w:pBdr>
          <w:top w:val="single" w:sz="4" w:space="1" w:color="auto"/>
          <w:left w:val="single" w:sz="4" w:space="4" w:color="auto"/>
          <w:bottom w:val="single" w:sz="4" w:space="1" w:color="auto"/>
          <w:right w:val="single" w:sz="4" w:space="4" w:color="auto"/>
        </w:pBdr>
        <w:spacing w:before="120" w:line="276" w:lineRule="auto"/>
        <w:ind w:left="284" w:right="1008"/>
        <w:jc w:val="both"/>
        <w:rPr>
          <w:rFonts w:eastAsia="Calibri" w:cs="Arial"/>
          <w:color w:val="000000" w:themeColor="text1"/>
          <w:lang w:val="es-MX"/>
        </w:rPr>
      </w:pPr>
      <w:r w:rsidRPr="008C6876">
        <w:rPr>
          <w:rFonts w:cs="Arial"/>
        </w:rPr>
        <w:t xml:space="preserve">En este sentido, la Corte Constitucional reconoce la protección al derecho a la estabilidad ocupacional reforzada a las mujeres que celebren contratos de prestación de servicios. </w:t>
      </w:r>
      <w:r w:rsidRPr="008C6876">
        <w:rPr>
          <w:rFonts w:eastAsia="Calibri" w:cs="Arial"/>
          <w:color w:val="000000" w:themeColor="text1"/>
          <w:lang w:val="es-MX"/>
        </w:rPr>
        <w:t>Así pues, si se</w:t>
      </w:r>
      <w:r w:rsidRPr="008C6876">
        <w:rPr>
          <w:rFonts w:cs="Arial"/>
        </w:rPr>
        <w:t xml:space="preserve"> configura alguna de las dos posiciones desarrolladas por el Alto Tribunal Constitucional para la protección del derecho a la estabilidad laboral reforzada, la Entidad Estatal deberá dilucidar la forma más adecuada para garantizar dicho derecho a la contratista y su seguridad social, pues lo que se pretende es </w:t>
      </w:r>
      <w:r w:rsidRPr="008C6876">
        <w:rPr>
          <w:rFonts w:eastAsia="Calibri" w:cs="Arial"/>
          <w:bCs/>
          <w:lang w:val="es-MX" w:eastAsia="es-ES_tradnl"/>
        </w:rPr>
        <w:t>impedir la discriminación materializada por la terminación o la no renovación del contrato por causa o con ocasión del embarazo o la lactancia.</w:t>
      </w:r>
    </w:p>
    <w:p w14:paraId="1478A876" w14:textId="0F2192D7" w:rsidR="00C560BE" w:rsidRPr="00B45641" w:rsidRDefault="00C560BE" w:rsidP="00032C61">
      <w:pPr>
        <w:pBdr>
          <w:top w:val="single" w:sz="4" w:space="1" w:color="auto"/>
          <w:left w:val="single" w:sz="4" w:space="4" w:color="auto"/>
          <w:bottom w:val="single" w:sz="4" w:space="1" w:color="auto"/>
          <w:right w:val="single" w:sz="4" w:space="4" w:color="auto"/>
        </w:pBdr>
        <w:snapToGrid w:val="0"/>
        <w:spacing w:before="120" w:after="120" w:line="276" w:lineRule="auto"/>
        <w:ind w:left="284" w:right="1008"/>
        <w:jc w:val="both"/>
        <w:rPr>
          <w:rFonts w:eastAsia="Calibri" w:cs="Arial"/>
          <w:bCs/>
          <w:color w:val="000000"/>
          <w:lang w:val="es-ES_tradnl"/>
        </w:rPr>
      </w:pPr>
      <w:r w:rsidRPr="008C6876">
        <w:rPr>
          <w:rFonts w:eastAsia="Calibri" w:cs="Arial"/>
          <w:bCs/>
          <w:color w:val="000000"/>
          <w:lang w:val="es-ES_tradnl"/>
        </w:rPr>
        <w:t xml:space="preserve">En relación con la consulta, la Agencia Nacional de Contratación Pública – Colombia Compra Eficiente el derecho a los descansos remunerados en el periodo de lactancia y – la posible extensión del fuero de maternidad –, regulado en la Ley 2306 de 2023, no rige a favor de las contratistas del Estado que no ingresan en la categoría de </w:t>
      </w:r>
      <w:r w:rsidRPr="008C6876">
        <w:rPr>
          <w:rFonts w:eastAsia="Calibri" w:cs="Arial"/>
          <w:bCs/>
          <w:i/>
          <w:iCs/>
          <w:color w:val="000000"/>
          <w:lang w:val="es-ES_tradnl"/>
        </w:rPr>
        <w:t>trabajadores</w:t>
      </w:r>
      <w:r w:rsidRPr="008C6876">
        <w:rPr>
          <w:rFonts w:eastAsia="Calibri" w:cs="Arial"/>
          <w:bCs/>
          <w:color w:val="000000"/>
          <w:lang w:val="es-ES_tradnl"/>
        </w:rPr>
        <w:t xml:space="preserve">, en virtud de los argumentos que a continuación se exponen. </w:t>
      </w:r>
    </w:p>
    <w:p w14:paraId="3080959A" w14:textId="77DDD671" w:rsidR="00C560BE" w:rsidRPr="008C6876" w:rsidRDefault="00C560BE" w:rsidP="00032C61">
      <w:pPr>
        <w:pBdr>
          <w:top w:val="single" w:sz="4" w:space="1" w:color="auto"/>
          <w:left w:val="single" w:sz="4" w:space="4" w:color="auto"/>
          <w:bottom w:val="single" w:sz="4" w:space="1" w:color="auto"/>
          <w:right w:val="single" w:sz="4" w:space="4" w:color="auto"/>
        </w:pBdr>
        <w:spacing w:after="120" w:line="276" w:lineRule="auto"/>
        <w:ind w:left="284" w:right="1008"/>
        <w:jc w:val="both"/>
        <w:rPr>
          <w:rFonts w:eastAsia="Calibri" w:cs="Arial"/>
          <w:color w:val="000000"/>
        </w:rPr>
      </w:pPr>
      <w:r>
        <w:rPr>
          <w:rFonts w:eastAsia="Calibri" w:cs="Arial"/>
          <w:color w:val="000000" w:themeColor="text1"/>
        </w:rPr>
        <w:t>Conforme a lo explicado</w:t>
      </w:r>
      <w:r w:rsidRPr="4B271BFC">
        <w:rPr>
          <w:rFonts w:eastAsia="Calibri" w:cs="Arial"/>
          <w:color w:val="000000" w:themeColor="text1"/>
        </w:rPr>
        <w:t xml:space="preserve">, las modificaciones introducidas por el artículo 6 de la Ley 2306 de 2023 les aplica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 </w:t>
      </w:r>
    </w:p>
    <w:p w14:paraId="4FF80DBC" w14:textId="77777777" w:rsidR="00C560BE" w:rsidRPr="008C6876" w:rsidRDefault="00C560BE" w:rsidP="00032C61">
      <w:pPr>
        <w:pBdr>
          <w:top w:val="single" w:sz="4" w:space="1" w:color="auto"/>
          <w:left w:val="single" w:sz="4" w:space="4" w:color="auto"/>
          <w:bottom w:val="single" w:sz="4" w:space="1" w:color="auto"/>
          <w:right w:val="single" w:sz="4" w:space="4" w:color="auto"/>
        </w:pBdr>
        <w:spacing w:after="120" w:line="276" w:lineRule="auto"/>
        <w:ind w:left="284" w:right="1008"/>
        <w:jc w:val="both"/>
        <w:rPr>
          <w:rFonts w:eastAsia="Calibri" w:cs="Arial"/>
          <w:bCs/>
          <w:color w:val="000000"/>
          <w:lang w:val="es-ES_tradnl"/>
        </w:rPr>
      </w:pPr>
      <w:r w:rsidRPr="008C6876">
        <w:t xml:space="preserve">El contrato de prestación de servicios no pertenece al ámbito jurídico laboral y, </w:t>
      </w:r>
      <w:r w:rsidRPr="008C6876">
        <w:lastRenderedPageBreak/>
        <w:t>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w:t>
      </w:r>
      <w:r w:rsidRPr="008C6876">
        <w:rPr>
          <w:rFonts w:cs="Arial"/>
        </w:rPr>
        <w:t> </w:t>
      </w:r>
    </w:p>
    <w:p w14:paraId="7A33C880" w14:textId="77777777" w:rsidR="00C560BE" w:rsidRPr="008C6876" w:rsidRDefault="00C560BE" w:rsidP="00032C61">
      <w:pPr>
        <w:pBdr>
          <w:top w:val="single" w:sz="4" w:space="1" w:color="auto"/>
          <w:left w:val="single" w:sz="4" w:space="4" w:color="auto"/>
          <w:bottom w:val="single" w:sz="4" w:space="1" w:color="auto"/>
          <w:right w:val="single" w:sz="4" w:space="4" w:color="auto"/>
        </w:pBdr>
        <w:spacing w:after="120" w:line="276" w:lineRule="auto"/>
        <w:ind w:left="284" w:right="1008"/>
        <w:jc w:val="both"/>
        <w:rPr>
          <w:rFonts w:cs="Arial"/>
          <w:shd w:val="clear" w:color="auto" w:fill="FFFFFF"/>
        </w:rPr>
      </w:pPr>
      <w:r w:rsidRPr="008C6876">
        <w:rPr>
          <w:rFonts w:eastAsia="Calibri" w:cs="Arial"/>
          <w:bCs/>
          <w:color w:val="000000"/>
          <w:lang w:val="es-ES_tradnl"/>
        </w:rPr>
        <w:t xml:space="preserve">Habiendo efectuado la precisión anterior, puede afirmarse que lo previsto en la Ley 2306 de 2023, específicamente en el artículo 6, no se aplica a las relaciones contractuales de las Entidades Estatales que </w:t>
      </w:r>
      <w:r w:rsidRPr="008C6876">
        <w:rPr>
          <w:rFonts w:eastAsia="Calibri" w:cs="Arial"/>
          <w:bCs/>
          <w:i/>
          <w:iCs/>
          <w:color w:val="000000"/>
          <w:lang w:val="es-ES_tradnl"/>
        </w:rPr>
        <w:t>no</w:t>
      </w:r>
      <w:r w:rsidRPr="008C6876">
        <w:rPr>
          <w:rFonts w:eastAsia="Calibri" w:cs="Arial"/>
          <w:bCs/>
          <w:color w:val="000000"/>
          <w:lang w:val="es-ES_tradnl"/>
        </w:rPr>
        <w:t xml:space="preserve">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sidRPr="008C6876" w:rsidDel="00C72792">
        <w:rPr>
          <w:rFonts w:cs="Arial"/>
          <w:shd w:val="clear" w:color="auto" w:fill="FFFFFF"/>
        </w:rPr>
        <w:t xml:space="preserve"> </w:t>
      </w:r>
    </w:p>
    <w:p w14:paraId="6D6BC80A" w14:textId="77777777" w:rsidR="00B45641" w:rsidRDefault="00C560BE" w:rsidP="00032C61">
      <w:pPr>
        <w:pBdr>
          <w:top w:val="single" w:sz="4" w:space="1" w:color="auto"/>
          <w:left w:val="single" w:sz="4" w:space="4" w:color="auto"/>
          <w:bottom w:val="single" w:sz="4" w:space="1" w:color="auto"/>
          <w:right w:val="single" w:sz="4" w:space="4" w:color="auto"/>
        </w:pBdr>
        <w:spacing w:line="276" w:lineRule="auto"/>
        <w:ind w:left="284" w:right="1008"/>
        <w:jc w:val="both"/>
        <w:rPr>
          <w:rFonts w:cs="Arial"/>
          <w:shd w:val="clear" w:color="auto" w:fill="FFFFFF"/>
        </w:rPr>
      </w:pPr>
      <w:r w:rsidRPr="008C6876">
        <w:rPr>
          <w:rFonts w:cs="Arial"/>
          <w:shd w:val="clear" w:color="auto" w:fill="FFFFFF"/>
        </w:rPr>
        <w:t>En este punto, es necesario precisar que, a la fecha no existe un precedente judicial o los fundamentos jurídicos mediante los cuales se han resuelto situaciones análogas, por lo que para la Agencia no es posible realizar la interpretación de la Ley </w:t>
      </w:r>
      <w:hyperlink r:id="rId12" w:history="1">
        <w:r w:rsidRPr="008C6876">
          <w:rPr>
            <w:rFonts w:cs="Arial"/>
            <w:shd w:val="clear" w:color="auto" w:fill="FFFFFF"/>
          </w:rPr>
          <w:t>2306</w:t>
        </w:r>
      </w:hyperlink>
      <w:r w:rsidRPr="008C6876">
        <w:rPr>
          <w:rFonts w:cs="Arial"/>
          <w:shd w:val="clear" w:color="auto" w:fill="FFFFFF"/>
        </w:rPr>
        <w:t> de 2023 que  modifica el artículo </w:t>
      </w:r>
      <w:hyperlink r:id="rId13" w:anchor="238" w:history="1">
        <w:r w:rsidRPr="008C6876">
          <w:rPr>
            <w:rFonts w:cs="Arial"/>
            <w:shd w:val="clear" w:color="auto" w:fill="FFFFFF"/>
          </w:rPr>
          <w:t>238</w:t>
        </w:r>
      </w:hyperlink>
      <w:r w:rsidRPr="008C6876">
        <w:rPr>
          <w:rFonts w:cs="Arial"/>
          <w:shd w:val="clear" w:color="auto" w:fill="FFFFFF"/>
        </w:rPr>
        <w:t> del Código Sustantivo del Trabajo para el caso específico de los contratos de prestación de servicios.</w:t>
      </w:r>
    </w:p>
    <w:p w14:paraId="6C52BCC8" w14:textId="77777777" w:rsidR="009925F9" w:rsidRDefault="009925F9" w:rsidP="00B45641">
      <w:pPr>
        <w:spacing w:line="276" w:lineRule="auto"/>
        <w:ind w:left="284" w:right="1008"/>
        <w:jc w:val="both"/>
        <w:rPr>
          <w:rFonts w:cs="Arial"/>
          <w:shd w:val="clear" w:color="auto" w:fill="FFFFFF"/>
        </w:rPr>
      </w:pPr>
    </w:p>
    <w:p w14:paraId="3F0E0CAC" w14:textId="4AE84C73" w:rsidR="009925F9" w:rsidRPr="009925F9" w:rsidRDefault="009925F9" w:rsidP="009925F9">
      <w:pPr>
        <w:pStyle w:val="Prrafodelista"/>
        <w:numPr>
          <w:ilvl w:val="0"/>
          <w:numId w:val="8"/>
        </w:numPr>
        <w:spacing w:line="276" w:lineRule="auto"/>
        <w:ind w:right="1008"/>
        <w:jc w:val="both"/>
        <w:rPr>
          <w:rFonts w:cs="Arial"/>
          <w:b/>
          <w:bCs/>
          <w:shd w:val="clear" w:color="auto" w:fill="FFFFFF"/>
        </w:rPr>
      </w:pPr>
      <w:r w:rsidRPr="009925F9">
        <w:rPr>
          <w:rFonts w:cs="Arial"/>
          <w:b/>
          <w:bCs/>
          <w:shd w:val="clear" w:color="auto" w:fill="FFFFFF"/>
        </w:rPr>
        <w:t xml:space="preserve">Razones de la respuesta </w:t>
      </w:r>
    </w:p>
    <w:p w14:paraId="47093B4A" w14:textId="77777777" w:rsidR="00B45641" w:rsidRDefault="00B45641" w:rsidP="00B45641">
      <w:pPr>
        <w:spacing w:line="276" w:lineRule="auto"/>
        <w:ind w:left="284" w:right="1008"/>
        <w:jc w:val="both"/>
        <w:rPr>
          <w:rFonts w:cs="Arial"/>
          <w:shd w:val="clear" w:color="auto" w:fill="FFFFFF"/>
        </w:rPr>
      </w:pPr>
    </w:p>
    <w:p w14:paraId="316C3D00" w14:textId="5AE61039" w:rsidR="00C560BE" w:rsidRPr="008C6876" w:rsidRDefault="00C560BE" w:rsidP="00790C95">
      <w:pPr>
        <w:spacing w:line="276" w:lineRule="auto"/>
        <w:ind w:left="284" w:right="1008" w:firstLine="261"/>
        <w:jc w:val="both"/>
        <w:rPr>
          <w:rFonts w:eastAsia="Arial" w:cs="Arial"/>
          <w:color w:val="000000"/>
        </w:rPr>
      </w:pPr>
      <w:r w:rsidRPr="008C6876">
        <w:rPr>
          <w:rFonts w:eastAsia="Arial" w:cs="Arial"/>
          <w:color w:val="000000"/>
        </w:rPr>
        <w:t xml:space="preserve">El contrato de prestación de servicios es un contrato estatal típico, regulado en el numeral 32.3 de la Ley 80 de 1993. Es definido como aquel que “celebren las entidades estatales para desarrollar actividades relacionadas con la administración o funcionamiento de la entidad. Estos contratos sólo se podrán celebrar con personas naturales cuando dichas actividades no puedan realizarse con personal de planta o requieran conocimientos especializados. En ningún caso estos contratos generan relación laboral ni prestaciones sociales y se celebrarán por el término estrictamente indispensable”. </w:t>
      </w:r>
    </w:p>
    <w:p w14:paraId="1D0F64F5" w14:textId="77777777" w:rsidR="00B45641" w:rsidRDefault="00B45641" w:rsidP="00B45641">
      <w:pPr>
        <w:spacing w:line="276" w:lineRule="auto"/>
        <w:ind w:right="1008"/>
        <w:jc w:val="both"/>
        <w:rPr>
          <w:rFonts w:eastAsia="Arial" w:cs="Arial"/>
          <w:color w:val="000000"/>
        </w:rPr>
      </w:pPr>
    </w:p>
    <w:p w14:paraId="206CEDF0" w14:textId="483464E4" w:rsidR="00C560BE" w:rsidRPr="008C6876" w:rsidRDefault="00C560BE" w:rsidP="00790C95">
      <w:pPr>
        <w:spacing w:line="276" w:lineRule="auto"/>
        <w:ind w:left="284" w:right="1008" w:firstLine="261"/>
        <w:jc w:val="both"/>
        <w:rPr>
          <w:rFonts w:eastAsia="Arial" w:cs="Arial"/>
          <w:color w:val="000000"/>
        </w:rPr>
      </w:pPr>
      <w:r w:rsidRPr="008C6876">
        <w:rPr>
          <w:rFonts w:eastAsia="Arial" w:cs="Arial"/>
          <w:color w:val="000000"/>
        </w:rPr>
        <w:t>La celebración de dicho contrato debe efectuarse a través de la modalidad de contratación directa. Así lo dispone el artículo 2, numeral 4°, literal h) de la Ley 1150 de 2007.</w:t>
      </w:r>
    </w:p>
    <w:p w14:paraId="0DF0C7DD" w14:textId="77777777" w:rsidR="00C560BE" w:rsidRPr="008C6876" w:rsidRDefault="00C560BE" w:rsidP="00C560BE">
      <w:pPr>
        <w:spacing w:line="276" w:lineRule="auto"/>
        <w:ind w:right="1008"/>
        <w:jc w:val="both"/>
        <w:rPr>
          <w:rFonts w:eastAsia="Arial" w:cs="Arial"/>
          <w:color w:val="000000"/>
        </w:rPr>
      </w:pPr>
    </w:p>
    <w:p w14:paraId="69301B2F" w14:textId="77777777" w:rsidR="00C560BE" w:rsidRPr="008C6876" w:rsidRDefault="00C560BE" w:rsidP="00C560BE">
      <w:pPr>
        <w:ind w:left="709" w:right="1008"/>
        <w:contextualSpacing/>
        <w:jc w:val="both"/>
        <w:rPr>
          <w:rFonts w:eastAsia="Calibri" w:cs="Arial"/>
          <w:color w:val="000000" w:themeColor="text1"/>
          <w:sz w:val="20"/>
          <w:szCs w:val="20"/>
          <w:lang w:val="es-MX"/>
        </w:rPr>
      </w:pPr>
      <w:r w:rsidRPr="008C6876">
        <w:rPr>
          <w:rFonts w:eastAsia="Yu Gothic UI Semibold" w:cs="Arial"/>
          <w:iCs/>
          <w:sz w:val="20"/>
          <w:szCs w:val="20"/>
          <w:lang w:eastAsia="es-MX"/>
        </w:rPr>
        <w:t>“</w:t>
      </w:r>
      <w:r w:rsidRPr="008C6876">
        <w:rPr>
          <w:rFonts w:eastAsia="Calibri" w:cs="Arial"/>
          <w:color w:val="000000" w:themeColor="text1"/>
          <w:sz w:val="20"/>
          <w:szCs w:val="20"/>
          <w:lang w:val="es-MX"/>
        </w:rPr>
        <w:t xml:space="preserve">La escogencia del contratista se efectuará con arreglo a las modalidades de selección de licitación pública, selección abreviada, concurso de méritos y </w:t>
      </w:r>
      <w:r w:rsidRPr="008C6876">
        <w:rPr>
          <w:rFonts w:eastAsia="Calibri" w:cs="Arial"/>
          <w:color w:val="000000" w:themeColor="text1"/>
          <w:sz w:val="20"/>
          <w:szCs w:val="20"/>
          <w:lang w:val="es-MX"/>
        </w:rPr>
        <w:lastRenderedPageBreak/>
        <w:t>contratación directa, con base en las siguientes reglas:</w:t>
      </w:r>
    </w:p>
    <w:p w14:paraId="758FD939" w14:textId="77777777" w:rsidR="00C560BE" w:rsidRPr="008C6876" w:rsidRDefault="00C560BE" w:rsidP="00C560BE">
      <w:pPr>
        <w:ind w:left="709" w:right="1008"/>
        <w:contextualSpacing/>
        <w:jc w:val="both"/>
        <w:rPr>
          <w:rFonts w:eastAsia="Calibri" w:cs="Arial"/>
          <w:color w:val="000000" w:themeColor="text1"/>
          <w:sz w:val="20"/>
          <w:szCs w:val="20"/>
          <w:lang w:val="es-MX"/>
        </w:rPr>
      </w:pPr>
      <w:r w:rsidRPr="008C6876">
        <w:rPr>
          <w:rFonts w:eastAsia="Calibri" w:cs="Arial"/>
          <w:color w:val="000000" w:themeColor="text1"/>
          <w:sz w:val="20"/>
          <w:szCs w:val="20"/>
          <w:lang w:val="es-MX"/>
        </w:rPr>
        <w:t>[…]</w:t>
      </w:r>
    </w:p>
    <w:p w14:paraId="2A8D6947" w14:textId="77777777" w:rsidR="00C560BE" w:rsidRPr="008C6876" w:rsidRDefault="00C560BE" w:rsidP="00C560BE">
      <w:pPr>
        <w:ind w:left="709" w:right="1008"/>
        <w:contextualSpacing/>
        <w:jc w:val="both"/>
        <w:rPr>
          <w:rFonts w:eastAsia="Calibri" w:cs="Arial"/>
          <w:color w:val="000000" w:themeColor="text1"/>
          <w:sz w:val="20"/>
          <w:szCs w:val="20"/>
          <w:lang w:val="es-MX"/>
        </w:rPr>
      </w:pPr>
    </w:p>
    <w:p w14:paraId="0E0C8F27" w14:textId="77777777" w:rsidR="00C560BE" w:rsidRPr="008C6876" w:rsidRDefault="00C560BE" w:rsidP="00C560BE">
      <w:pPr>
        <w:ind w:left="709" w:right="1008"/>
        <w:contextualSpacing/>
        <w:jc w:val="both"/>
        <w:rPr>
          <w:rFonts w:eastAsia="Calibri" w:cs="Arial"/>
          <w:color w:val="000000" w:themeColor="text1"/>
          <w:sz w:val="20"/>
          <w:szCs w:val="20"/>
          <w:lang w:val="es-MX"/>
        </w:rPr>
      </w:pPr>
      <w:r w:rsidRPr="008C6876">
        <w:rPr>
          <w:rFonts w:eastAsia="Calibri" w:cs="Arial"/>
          <w:color w:val="000000" w:themeColor="text1"/>
          <w:sz w:val="20"/>
          <w:szCs w:val="20"/>
          <w:lang w:val="es-MX"/>
        </w:rPr>
        <w:t>4. Contratación directa. La modalidad de selección de contratación directa, solamente procederá en los siguientes casos:</w:t>
      </w:r>
    </w:p>
    <w:p w14:paraId="12DC9427" w14:textId="77777777" w:rsidR="00C560BE" w:rsidRPr="008C6876" w:rsidRDefault="00C560BE" w:rsidP="00C560BE">
      <w:pPr>
        <w:ind w:left="709" w:right="1008"/>
        <w:contextualSpacing/>
        <w:jc w:val="both"/>
        <w:rPr>
          <w:rFonts w:eastAsia="Calibri" w:cs="Arial"/>
          <w:color w:val="000000" w:themeColor="text1"/>
          <w:sz w:val="20"/>
          <w:szCs w:val="20"/>
          <w:lang w:val="es-MX"/>
        </w:rPr>
      </w:pPr>
      <w:r w:rsidRPr="008C6876">
        <w:rPr>
          <w:rFonts w:eastAsia="Calibri" w:cs="Arial"/>
          <w:color w:val="000000" w:themeColor="text1"/>
          <w:sz w:val="20"/>
          <w:szCs w:val="20"/>
          <w:lang w:val="es-MX"/>
        </w:rPr>
        <w:t>[…]</w:t>
      </w:r>
    </w:p>
    <w:p w14:paraId="332C4C7F" w14:textId="77777777" w:rsidR="00C560BE" w:rsidRPr="008C6876" w:rsidRDefault="00C560BE" w:rsidP="00C560BE">
      <w:pPr>
        <w:ind w:left="709" w:right="1008"/>
        <w:contextualSpacing/>
        <w:jc w:val="both"/>
        <w:rPr>
          <w:rFonts w:eastAsia="Calibri" w:cs="Arial"/>
          <w:color w:val="000000" w:themeColor="text1"/>
          <w:sz w:val="20"/>
          <w:szCs w:val="20"/>
          <w:lang w:val="es-MX"/>
        </w:rPr>
      </w:pPr>
    </w:p>
    <w:p w14:paraId="457F840C" w14:textId="77777777" w:rsidR="00C560BE" w:rsidRPr="008C6876" w:rsidRDefault="00C560BE" w:rsidP="00C560BE">
      <w:pPr>
        <w:ind w:left="709" w:right="1008"/>
        <w:contextualSpacing/>
        <w:jc w:val="both"/>
        <w:rPr>
          <w:rFonts w:eastAsia="Calibri" w:cs="Arial"/>
          <w:color w:val="000000" w:themeColor="text1"/>
          <w:sz w:val="20"/>
          <w:szCs w:val="20"/>
          <w:lang w:val="es-MX"/>
        </w:rPr>
      </w:pPr>
      <w:r w:rsidRPr="008C6876">
        <w:rPr>
          <w:rFonts w:eastAsia="Calibri" w:cs="Arial"/>
          <w:color w:val="000000" w:themeColor="text1"/>
          <w:sz w:val="20"/>
          <w:szCs w:val="20"/>
          <w:lang w:val="es-MX"/>
        </w:rPr>
        <w:t>h) Para la prestación de servicios profesionales y de apoyo a la gestión, o para la ejecución de trabajos artísticos que sólo puedan encomendarse a determinadas personas naturales</w:t>
      </w:r>
      <w:r w:rsidRPr="008C6876">
        <w:rPr>
          <w:rFonts w:eastAsia="Yu Gothic UI Semibold" w:cs="Arial"/>
          <w:iCs/>
          <w:sz w:val="20"/>
          <w:szCs w:val="20"/>
          <w:lang w:eastAsia="es-MX"/>
        </w:rPr>
        <w:t>”</w:t>
      </w:r>
      <w:r w:rsidRPr="008C6876">
        <w:rPr>
          <w:rFonts w:eastAsia="Calibri" w:cs="Arial"/>
          <w:color w:val="000000" w:themeColor="text1"/>
          <w:sz w:val="20"/>
          <w:szCs w:val="20"/>
          <w:lang w:val="es-MX"/>
        </w:rPr>
        <w:t>.</w:t>
      </w:r>
    </w:p>
    <w:p w14:paraId="47F98704" w14:textId="77777777" w:rsidR="00C560BE" w:rsidRPr="008C6876" w:rsidRDefault="00C560BE" w:rsidP="00C560BE">
      <w:pPr>
        <w:spacing w:line="276" w:lineRule="auto"/>
        <w:ind w:right="1008"/>
        <w:jc w:val="both"/>
        <w:rPr>
          <w:rFonts w:eastAsia="Arial" w:cs="Arial"/>
          <w:color w:val="000000"/>
        </w:rPr>
      </w:pPr>
    </w:p>
    <w:p w14:paraId="4ABD894E" w14:textId="51A0B23E" w:rsidR="00C560BE" w:rsidRPr="008C6876" w:rsidRDefault="00790C95" w:rsidP="00B45641">
      <w:pPr>
        <w:tabs>
          <w:tab w:val="left" w:pos="426"/>
        </w:tabs>
        <w:spacing w:line="276" w:lineRule="auto"/>
        <w:ind w:left="426" w:right="1008"/>
        <w:jc w:val="both"/>
        <w:rPr>
          <w:rFonts w:eastAsia="Arial" w:cs="Arial"/>
          <w:color w:val="000000"/>
        </w:rPr>
      </w:pPr>
      <w:r>
        <w:rPr>
          <w:rFonts w:eastAsia="Arial" w:cs="Arial"/>
          <w:color w:val="000000"/>
        </w:rPr>
        <w:tab/>
      </w:r>
      <w:r w:rsidR="00C560BE" w:rsidRPr="008C6876">
        <w:rPr>
          <w:rFonts w:eastAsia="Arial" w:cs="Arial"/>
          <w:color w:val="000000"/>
        </w:rPr>
        <w:t xml:space="preserve">En tal sentido, el artículo 2.2.1.2.1.4.9 del Decreto 1082 de 2015 reglamentó la contratación directa para los contratos de servicios profesionales y de apoyo a la gestión, o para la ejecución de trabajos artísticos que sólo pueden encomendarse a determinadas personas naturales, en los siguientes términos: </w:t>
      </w:r>
    </w:p>
    <w:p w14:paraId="644961E8" w14:textId="77777777" w:rsidR="00C560BE" w:rsidRPr="008C6876" w:rsidRDefault="00C560BE" w:rsidP="00255AB5">
      <w:pPr>
        <w:spacing w:line="276" w:lineRule="auto"/>
        <w:ind w:left="709" w:right="1149"/>
        <w:jc w:val="both"/>
        <w:rPr>
          <w:rFonts w:eastAsia="Yu Gothic UI Semibold" w:cs="Arial"/>
          <w:iCs/>
          <w:sz w:val="21"/>
          <w:szCs w:val="21"/>
          <w:lang w:eastAsia="es-MX"/>
        </w:rPr>
      </w:pPr>
    </w:p>
    <w:p w14:paraId="6E3DE2AF" w14:textId="77777777" w:rsidR="00C560BE" w:rsidRPr="008C6876" w:rsidRDefault="00C560BE" w:rsidP="00255AB5">
      <w:pPr>
        <w:tabs>
          <w:tab w:val="left" w:pos="8364"/>
        </w:tabs>
        <w:ind w:left="709" w:right="1149"/>
        <w:contextualSpacing/>
        <w:jc w:val="both"/>
        <w:rPr>
          <w:rFonts w:cs="Arial"/>
          <w:sz w:val="20"/>
          <w:szCs w:val="20"/>
          <w:lang w:val="es-MX"/>
        </w:rPr>
      </w:pPr>
      <w:r w:rsidRPr="008C6876">
        <w:rPr>
          <w:rFonts w:eastAsia="Yu Gothic UI Semibold" w:cs="Arial"/>
          <w:iCs/>
          <w:sz w:val="20"/>
          <w:szCs w:val="20"/>
          <w:lang w:eastAsia="es-MX"/>
        </w:rPr>
        <w:t>“</w:t>
      </w:r>
      <w:r w:rsidRPr="008C6876">
        <w:rPr>
          <w:rFonts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72E58DF" w14:textId="77777777" w:rsidR="00C560BE" w:rsidRPr="008C6876" w:rsidRDefault="00C560BE" w:rsidP="00255AB5">
      <w:pPr>
        <w:tabs>
          <w:tab w:val="left" w:pos="8364"/>
        </w:tabs>
        <w:ind w:left="709" w:right="1149"/>
        <w:contextualSpacing/>
        <w:jc w:val="both"/>
        <w:rPr>
          <w:rFonts w:cs="Arial"/>
          <w:sz w:val="20"/>
          <w:szCs w:val="20"/>
          <w:lang w:val="es-MX"/>
        </w:rPr>
      </w:pPr>
    </w:p>
    <w:p w14:paraId="2814423F" w14:textId="77777777" w:rsidR="00C560BE" w:rsidRPr="008C6876" w:rsidRDefault="00C560BE" w:rsidP="00255AB5">
      <w:pPr>
        <w:tabs>
          <w:tab w:val="left" w:pos="8364"/>
        </w:tabs>
        <w:ind w:left="709" w:right="1149"/>
        <w:contextualSpacing/>
        <w:jc w:val="both"/>
        <w:rPr>
          <w:rFonts w:cs="Arial"/>
          <w:sz w:val="20"/>
          <w:szCs w:val="20"/>
          <w:lang w:val="es-MX"/>
        </w:rPr>
      </w:pPr>
      <w:r w:rsidRPr="008C6876">
        <w:rPr>
          <w:rFonts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C3E3F8F" w14:textId="77777777" w:rsidR="00C560BE" w:rsidRPr="008C6876" w:rsidRDefault="00C560BE" w:rsidP="00255AB5">
      <w:pPr>
        <w:tabs>
          <w:tab w:val="left" w:pos="8364"/>
        </w:tabs>
        <w:ind w:left="709" w:right="1149"/>
        <w:contextualSpacing/>
        <w:jc w:val="both"/>
        <w:rPr>
          <w:rFonts w:cs="Arial"/>
          <w:sz w:val="20"/>
          <w:szCs w:val="20"/>
          <w:lang w:val="es-MX"/>
        </w:rPr>
      </w:pPr>
    </w:p>
    <w:p w14:paraId="6B190E2A" w14:textId="77777777" w:rsidR="00C560BE" w:rsidRPr="008C6876" w:rsidRDefault="00C560BE" w:rsidP="00255AB5">
      <w:pPr>
        <w:tabs>
          <w:tab w:val="left" w:pos="8364"/>
        </w:tabs>
        <w:ind w:left="709" w:right="1149"/>
        <w:contextualSpacing/>
        <w:jc w:val="both"/>
        <w:rPr>
          <w:rFonts w:cs="Arial"/>
          <w:sz w:val="20"/>
          <w:szCs w:val="20"/>
          <w:lang w:val="es-MX"/>
        </w:rPr>
      </w:pPr>
      <w:r w:rsidRPr="008C6876">
        <w:rPr>
          <w:rFonts w:cs="Arial"/>
          <w:sz w:val="20"/>
          <w:szCs w:val="20"/>
          <w:lang w:val="es-MX"/>
        </w:rPr>
        <w:t>La Entidad Estatal, para la contratación de trabajos artísticos que solamente puedan en</w:t>
      </w:r>
      <w:r w:rsidRPr="008C6876">
        <w:rPr>
          <w:rFonts w:cs="Arial"/>
          <w:sz w:val="20"/>
          <w:szCs w:val="20"/>
          <w:lang w:val="es-MX"/>
        </w:rPr>
        <w:softHyphen/>
        <w:t>comendarse a determinadas personas naturales, debe justificar esta situación en los estudios y documentos previos</w:t>
      </w:r>
      <w:r w:rsidRPr="008C6876">
        <w:rPr>
          <w:rFonts w:eastAsia="Yu Gothic UI Semibold" w:cs="Arial"/>
          <w:iCs/>
          <w:sz w:val="20"/>
          <w:szCs w:val="20"/>
          <w:lang w:eastAsia="es-MX"/>
        </w:rPr>
        <w:t>”</w:t>
      </w:r>
      <w:r w:rsidRPr="008C6876">
        <w:rPr>
          <w:rFonts w:cs="Arial"/>
          <w:sz w:val="20"/>
          <w:szCs w:val="20"/>
          <w:lang w:val="es-MX"/>
        </w:rPr>
        <w:t>.</w:t>
      </w:r>
    </w:p>
    <w:p w14:paraId="3B414A75" w14:textId="77777777" w:rsidR="00C560BE" w:rsidRPr="008C6876" w:rsidRDefault="00C560BE" w:rsidP="00C560BE">
      <w:pPr>
        <w:spacing w:line="276" w:lineRule="auto"/>
        <w:ind w:right="1008" w:firstLine="709"/>
        <w:jc w:val="both"/>
        <w:rPr>
          <w:rFonts w:eastAsia="Calibri" w:cs="Arial"/>
          <w:color w:val="000000"/>
          <w:lang w:val="es-ES_tradnl" w:eastAsia="es-ES_tradnl"/>
        </w:rPr>
      </w:pPr>
      <w:r w:rsidRPr="008C6876">
        <w:rPr>
          <w:rFonts w:eastAsia="Arial" w:cs="Arial"/>
          <w:color w:val="000000"/>
        </w:rPr>
        <w:tab/>
      </w:r>
    </w:p>
    <w:p w14:paraId="22CD17DE" w14:textId="77777777" w:rsidR="00B45641" w:rsidRDefault="00C560BE" w:rsidP="00B45641">
      <w:pPr>
        <w:spacing w:after="120" w:line="276" w:lineRule="auto"/>
        <w:ind w:left="426" w:right="1008"/>
        <w:jc w:val="both"/>
        <w:rPr>
          <w:rFonts w:eastAsia="Calibri" w:cs="Arial"/>
          <w:color w:val="000000"/>
          <w:lang w:val="es-ES_tradnl" w:eastAsia="es-ES_tradnl"/>
        </w:rPr>
      </w:pPr>
      <w:r w:rsidRPr="008C6876">
        <w:rPr>
          <w:rFonts w:eastAsia="Calibri" w:cs="Arial"/>
          <w:color w:val="000000"/>
          <w:lang w:val="es-ES_tradnl" w:eastAsia="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471D0DFC" w14:textId="77777777" w:rsidR="00B45641" w:rsidRP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eastAsia="Arial" w:cs="Arial"/>
          <w:color w:val="000000"/>
        </w:rPr>
        <w:t xml:space="preserve">Sólo puede celebrarse para realizar “actividades relacionadas con la administración o funcionamiento de la entidad”, es decir, que hagan </w:t>
      </w:r>
      <w:r w:rsidRPr="00B45641">
        <w:rPr>
          <w:rFonts w:eastAsia="Arial" w:cs="Arial"/>
          <w:color w:val="000000"/>
        </w:rPr>
        <w:lastRenderedPageBreak/>
        <w:t>parte de su giro ordinario o que hacer diario</w:t>
      </w:r>
      <w:r w:rsidRPr="008C6876">
        <w:rPr>
          <w:noProof/>
          <w:vertAlign w:val="superscript"/>
          <w:lang w:val="es-ES_tradnl"/>
        </w:rPr>
        <w:footnoteReference w:id="2"/>
      </w:r>
      <w:r w:rsidRPr="00B45641">
        <w:rPr>
          <w:rFonts w:cs="Arial"/>
          <w:noProof/>
          <w:lang w:val="es-ES_tradnl"/>
        </w:rPr>
        <w:t>.</w:t>
      </w:r>
    </w:p>
    <w:p w14:paraId="3184A622" w14:textId="77777777" w:rsidR="00B45641" w:rsidRP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cs="Arial"/>
          <w:noProof/>
          <w:lang w:val="es-ES_tradnl"/>
        </w:rPr>
        <w:t xml:space="preserve">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w:t>
      </w:r>
      <w:r w:rsidRPr="00B45641">
        <w:rPr>
          <w:rFonts w:eastAsia="Calibri" w:cs="Arial"/>
          <w:color w:val="000000"/>
          <w:lang w:eastAsia="es-ES"/>
        </w:rPr>
        <w:t>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241C38D9" w14:textId="77777777" w:rsidR="00B45641" w:rsidRP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cs="Arial"/>
          <w:noProof/>
          <w:lang w:val="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B45641">
        <w:rPr>
          <w:rFonts w:cs="Arial"/>
          <w:i/>
          <w:noProof/>
          <w:lang w:val="es-ES_tradnl"/>
        </w:rPr>
        <w:t xml:space="preserve">subordinación </w:t>
      </w:r>
      <w:r w:rsidRPr="00B45641">
        <w:rPr>
          <w:rFonts w:cs="Arial"/>
          <w:iCs/>
          <w:noProof/>
          <w:lang w:val="es-ES_tradnl"/>
        </w:rPr>
        <w:t>ni</w:t>
      </w:r>
      <w:r w:rsidRPr="00B45641">
        <w:rPr>
          <w:rFonts w:cs="Arial"/>
          <w:i/>
          <w:noProof/>
          <w:lang w:val="es-ES_tradnl"/>
        </w:rPr>
        <w:t xml:space="preserve"> dependencia</w:t>
      </w:r>
      <w:r w:rsidRPr="00B45641">
        <w:rPr>
          <w:rFonts w:cs="Arial"/>
          <w:iCs/>
          <w:noProof/>
          <w:lang w:val="es-ES_tradnl"/>
        </w:rPr>
        <w:t>,</w:t>
      </w:r>
      <w:r w:rsidRPr="00B45641">
        <w:rPr>
          <w:rFonts w:cs="Arial"/>
          <w:noProof/>
          <w:lang w:val="es-ES_tradnl"/>
        </w:rPr>
        <w:t xml:space="preserve"> que es uno de los elementos constitutivos del vínculo laboral</w:t>
      </w:r>
      <w:r w:rsidRPr="008C6876">
        <w:rPr>
          <w:noProof/>
          <w:vertAlign w:val="superscript"/>
          <w:lang w:val="es-ES_tradnl"/>
        </w:rPr>
        <w:footnoteReference w:id="3"/>
      </w:r>
      <w:r w:rsidRPr="00B45641">
        <w:rPr>
          <w:rFonts w:cs="Arial"/>
          <w:noProof/>
          <w:lang w:val="es-ES_tradnl"/>
        </w:rPr>
        <w:t>.</w:t>
      </w:r>
    </w:p>
    <w:p w14:paraId="1E079AF9" w14:textId="0DA23D74" w:rsidR="00C560BE" w:rsidRPr="00B45641" w:rsidRDefault="00C560BE" w:rsidP="00790C95">
      <w:pPr>
        <w:spacing w:after="120" w:line="276" w:lineRule="auto"/>
        <w:ind w:right="1008" w:firstLine="426"/>
        <w:jc w:val="both"/>
        <w:rPr>
          <w:rFonts w:eastAsia="Calibri" w:cs="Arial"/>
          <w:color w:val="000000"/>
          <w:lang w:val="es-ES_tradnl" w:eastAsia="es-ES_tradnl"/>
        </w:rPr>
      </w:pPr>
      <w:r w:rsidRPr="00B45641">
        <w:rPr>
          <w:rFonts w:cs="Arial"/>
          <w:noProof/>
          <w:lang w:val="es-ES_tradnl"/>
        </w:rPr>
        <w:t xml:space="preserve">Por lo anterior,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B45641">
        <w:rPr>
          <w:rFonts w:cs="Arial"/>
          <w:i/>
          <w:noProof/>
          <w:lang w:val="es-ES_tradnl"/>
        </w:rPr>
        <w:t>no pueden</w:t>
      </w:r>
      <w:r w:rsidRPr="00B45641">
        <w:rPr>
          <w:rFonts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w:t>
      </w:r>
      <w:r w:rsidRPr="00B45641">
        <w:rPr>
          <w:rFonts w:cs="Arial"/>
          <w:noProof/>
          <w:lang w:val="es-ES_tradnl"/>
        </w:rPr>
        <w:lastRenderedPageBreak/>
        <w:t>Integral</w:t>
      </w:r>
      <w:r w:rsidRPr="008C6876">
        <w:rPr>
          <w:noProof/>
          <w:vertAlign w:val="superscript"/>
          <w:lang w:val="es-ES_tradnl"/>
        </w:rPr>
        <w:footnoteReference w:id="4"/>
      </w:r>
      <w:r w:rsidRPr="00B45641">
        <w:rPr>
          <w:rFonts w:cs="Arial"/>
          <w:noProof/>
          <w:lang w:val="es-ES_tradnl"/>
        </w:rPr>
        <w:t xml:space="preserve">. </w:t>
      </w:r>
    </w:p>
    <w:p w14:paraId="73F947E1" w14:textId="77777777" w:rsidR="00B45641" w:rsidRDefault="00C560BE" w:rsidP="00790C95">
      <w:pPr>
        <w:spacing w:after="120" w:line="276" w:lineRule="auto"/>
        <w:ind w:left="426" w:right="1008" w:firstLine="294"/>
        <w:jc w:val="both"/>
        <w:rPr>
          <w:rFonts w:cs="Arial"/>
          <w:noProof/>
          <w:lang w:val="es-ES_tradnl"/>
        </w:rPr>
      </w:pPr>
      <w:r w:rsidRPr="008C6876">
        <w:rPr>
          <w:rFonts w:cs="Arial"/>
          <w:noProof/>
          <w:lang w:val="es-ES_tradnl"/>
        </w:rPr>
        <w:t xml:space="preserve">A pesar de este mandato deontológico, es posible que en la práctica se configure una relación laboral, pues el contrato de trabajo es </w:t>
      </w:r>
      <w:r w:rsidRPr="008C6876">
        <w:rPr>
          <w:rFonts w:cs="Arial"/>
          <w:i/>
          <w:iCs/>
          <w:noProof/>
          <w:lang w:val="es-ES_tradnl"/>
        </w:rPr>
        <w:t xml:space="preserve">de </w:t>
      </w:r>
      <w:r w:rsidRPr="008C6876">
        <w:rPr>
          <w:rFonts w:cs="Arial"/>
          <w:i/>
          <w:noProof/>
          <w:lang w:val="es-ES_tradnl"/>
        </w:rPr>
        <w:t>realidad</w:t>
      </w:r>
      <w:r w:rsidRPr="008C6876">
        <w:rPr>
          <w:rFonts w:cs="Arial"/>
          <w:noProof/>
          <w:lang w:val="es-ES_tradnl"/>
        </w:rPr>
        <w:t xml:space="preserve"> y para perfeccionarlo rige el principio de prevalencia de la realidad sobre las formalidades. En el sentido anterior, la Corte Constitucional declaró la exequibilidad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8C6876">
        <w:rPr>
          <w:rFonts w:cs="Arial"/>
          <w:noProof/>
          <w:vertAlign w:val="superscript"/>
          <w:lang w:val="es-ES_tradnl"/>
        </w:rPr>
        <w:footnoteReference w:id="5"/>
      </w:r>
    </w:p>
    <w:p w14:paraId="009436B2" w14:textId="598A1CCD" w:rsidR="00C560BE" w:rsidRPr="00B45641" w:rsidRDefault="00C560BE" w:rsidP="00B45641">
      <w:pPr>
        <w:pStyle w:val="Prrafodelista"/>
        <w:numPr>
          <w:ilvl w:val="0"/>
          <w:numId w:val="10"/>
        </w:numPr>
        <w:spacing w:after="120" w:line="276" w:lineRule="auto"/>
        <w:ind w:right="1008"/>
        <w:jc w:val="both"/>
        <w:rPr>
          <w:rFonts w:cs="Arial"/>
          <w:noProof/>
          <w:lang w:val="es-ES_tradnl"/>
        </w:rPr>
      </w:pPr>
      <w:r w:rsidRPr="00B45641">
        <w:rPr>
          <w:rFonts w:cs="Arial"/>
          <w:noProof/>
          <w:lang w:val="es-ES_tradnl"/>
        </w:rPr>
        <w:t xml:space="preserve"> Deben ser temporales. La </w:t>
      </w:r>
      <w:r w:rsidRPr="00B45641">
        <w:rPr>
          <w:rFonts w:eastAsia="Arial" w:cs="Arial"/>
          <w:color w:val="000000"/>
        </w:rPr>
        <w:t>Sentencia de Unificación Jurisprudencial de 09 de septiembre de 2021, proferida por el Consejo de Estado</w:t>
      </w:r>
      <w:r w:rsidRPr="008C6876">
        <w:rPr>
          <w:bCs/>
          <w:vertAlign w:val="superscript"/>
        </w:rPr>
        <w:footnoteReference w:id="6"/>
      </w:r>
      <w:r w:rsidRPr="00B45641">
        <w:rPr>
          <w:rFonts w:cs="Arial"/>
          <w:noProof/>
          <w:lang w:val="es-ES_tradnl"/>
        </w:rPr>
        <w:t xml:space="preserve">,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 </w:t>
      </w:r>
      <w:r w:rsidRPr="00B45641">
        <w:rPr>
          <w:rFonts w:cs="Arial"/>
          <w:lang w:val="es-MX"/>
        </w:rPr>
        <w:t xml:space="preserve">De igual manera, señaló que “no cabe su empleo para la cobertura indefinida de necesidades permanentes o recurrentes”. </w:t>
      </w:r>
      <w:r w:rsidRPr="00B45641">
        <w:rPr>
          <w:rFonts w:cs="Arial"/>
          <w:noProof/>
          <w:lang w:val="es-ES_tradnl"/>
        </w:rPr>
        <w:t>En sentido similar se manifestó la Corte Constitucional en la sentencia C-154 de 1997, expresando que:</w:t>
      </w:r>
    </w:p>
    <w:p w14:paraId="51030BB3" w14:textId="77777777" w:rsidR="00C560BE" w:rsidRPr="008C6876" w:rsidRDefault="00C560BE" w:rsidP="00C560BE">
      <w:pPr>
        <w:spacing w:line="276" w:lineRule="auto"/>
        <w:ind w:right="1008"/>
        <w:jc w:val="both"/>
        <w:rPr>
          <w:rFonts w:cs="Arial"/>
          <w:noProof/>
          <w:lang w:val="es-ES_tradnl"/>
        </w:rPr>
      </w:pPr>
    </w:p>
    <w:p w14:paraId="7CE4C557" w14:textId="77777777" w:rsidR="00C560BE" w:rsidRPr="008C6876" w:rsidRDefault="00C560BE" w:rsidP="00255AB5">
      <w:pPr>
        <w:ind w:left="1134" w:right="1149"/>
        <w:contextualSpacing/>
        <w:jc w:val="both"/>
        <w:rPr>
          <w:rFonts w:cs="Arial"/>
          <w:noProof/>
          <w:sz w:val="20"/>
          <w:szCs w:val="20"/>
          <w:lang w:val="es-ES_tradnl"/>
        </w:rPr>
      </w:pPr>
      <w:r w:rsidRPr="008C6876">
        <w:rPr>
          <w:rFonts w:eastAsia="Yu Gothic UI Semibold" w:cs="Arial"/>
          <w:iCs/>
          <w:sz w:val="20"/>
          <w:szCs w:val="20"/>
          <w:lang w:eastAsia="es-MX"/>
        </w:rPr>
        <w:t>“</w:t>
      </w:r>
      <w:r w:rsidRPr="008C6876">
        <w:rPr>
          <w:rFonts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8C6876">
        <w:rPr>
          <w:rFonts w:cs="Arial"/>
          <w:noProof/>
          <w:sz w:val="20"/>
          <w:szCs w:val="20"/>
          <w:vertAlign w:val="superscript"/>
          <w:lang w:val="es-ES_tradnl"/>
        </w:rPr>
        <w:footnoteReference w:id="7"/>
      </w:r>
      <w:r w:rsidRPr="008C6876">
        <w:rPr>
          <w:rFonts w:cs="Arial"/>
          <w:noProof/>
          <w:sz w:val="20"/>
          <w:szCs w:val="20"/>
          <w:lang w:val="es-ES_tradnl"/>
        </w:rPr>
        <w:t>.</w:t>
      </w:r>
    </w:p>
    <w:p w14:paraId="6F7394D0" w14:textId="77777777" w:rsidR="00C560BE" w:rsidRPr="008C6876" w:rsidRDefault="00C560BE" w:rsidP="00C560BE">
      <w:pPr>
        <w:spacing w:line="276" w:lineRule="auto"/>
        <w:ind w:left="709" w:right="1008"/>
        <w:jc w:val="both"/>
        <w:rPr>
          <w:rFonts w:cs="Arial"/>
          <w:noProof/>
          <w:lang w:val="es-ES_tradnl"/>
        </w:rPr>
      </w:pPr>
    </w:p>
    <w:p w14:paraId="6E295262" w14:textId="77777777" w:rsid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eastAsia="Calibri" w:cs="Arial"/>
          <w:color w:val="000000"/>
          <w:lang w:val="es-ES_tradnl" w:eastAsia="es-ES_tradnl"/>
        </w:rPr>
        <w:t xml:space="preserve">Los contratos de prestación de servicios constituyen un </w:t>
      </w:r>
      <w:r w:rsidRPr="00B45641">
        <w:rPr>
          <w:rFonts w:eastAsia="Calibri" w:cs="Arial"/>
          <w:i/>
          <w:iCs/>
          <w:color w:val="000000"/>
          <w:lang w:val="es-ES_tradnl" w:eastAsia="es-ES_tradnl"/>
        </w:rPr>
        <w:t>género</w:t>
      </w:r>
      <w:r w:rsidRPr="00B45641">
        <w:rPr>
          <w:rFonts w:eastAsia="Calibri" w:cs="Arial"/>
          <w:color w:val="000000"/>
          <w:lang w:val="es-ES_tradnl" w:eastAsia="es-ES_tradnl"/>
        </w:rPr>
        <w:t xml:space="preserve"> que incluye, como </w:t>
      </w:r>
      <w:r w:rsidRPr="00B45641">
        <w:rPr>
          <w:rFonts w:eastAsia="Calibri" w:cs="Arial"/>
          <w:i/>
          <w:iCs/>
          <w:color w:val="000000"/>
          <w:lang w:val="es-ES_tradnl" w:eastAsia="es-ES_tradnl"/>
        </w:rPr>
        <w:t>especies</w:t>
      </w:r>
      <w:r w:rsidRPr="00B45641">
        <w:rPr>
          <w:rFonts w:eastAsia="Calibri" w:cs="Arial"/>
          <w:color w:val="000000"/>
          <w:lang w:val="es-ES_tradnl" w:eastAsia="es-ES_tradnl"/>
        </w:rPr>
        <w:t>, los contratos de prestación de servicios profesionales, los contratos de prestación de servicios de apoyo a la gestión y los contratos de prestación de servicios artísticos que solo pueden encomendarse a determinadas personas naturales</w:t>
      </w:r>
      <w:r w:rsidRPr="008C6876">
        <w:rPr>
          <w:vertAlign w:val="superscript"/>
          <w:lang w:val="es-ES_tradnl" w:eastAsia="es-ES_tradnl"/>
        </w:rPr>
        <w:footnoteReference w:id="8"/>
      </w:r>
      <w:r w:rsidRPr="00B45641">
        <w:rPr>
          <w:rFonts w:eastAsia="Calibri" w:cs="Arial"/>
          <w:color w:val="000000"/>
          <w:lang w:val="es-ES_tradnl" w:eastAsia="es-ES_tradnl"/>
        </w:rPr>
        <w:t xml:space="preserve">. La diferencia entre el contrato de prestación de servicios </w:t>
      </w:r>
      <w:r w:rsidRPr="00B45641">
        <w:rPr>
          <w:rFonts w:eastAsia="Calibri" w:cs="Arial"/>
          <w:i/>
          <w:color w:val="000000"/>
          <w:lang w:val="es-ES_tradnl" w:eastAsia="es-ES_tradnl"/>
        </w:rPr>
        <w:t>profesionales</w:t>
      </w:r>
      <w:r w:rsidRPr="00B45641">
        <w:rPr>
          <w:rFonts w:eastAsia="Calibri" w:cs="Arial"/>
          <w:color w:val="000000"/>
          <w:lang w:val="es-ES_tradnl" w:eastAsia="es-ES_tradnl"/>
        </w:rPr>
        <w:t xml:space="preserve"> con las otras dos especies del género en el cual se ubican radica en su contenido intelectual intangible y, al mismo tiempo, en la formación profesional que se exige para desempeñar la labor</w:t>
      </w:r>
      <w:r w:rsidRPr="008C6876">
        <w:rPr>
          <w:vertAlign w:val="superscript"/>
          <w:lang w:val="es-ES_tradnl" w:eastAsia="es-ES_tradnl"/>
        </w:rPr>
        <w:footnoteReference w:id="9"/>
      </w:r>
      <w:r w:rsidRPr="00B45641">
        <w:rPr>
          <w:rFonts w:eastAsia="Calibri" w:cs="Arial"/>
          <w:color w:val="000000"/>
          <w:lang w:val="es-ES_tradnl" w:eastAsia="es-ES_tradnl"/>
        </w:rPr>
        <w:t>.</w:t>
      </w:r>
    </w:p>
    <w:p w14:paraId="7A0D5C85" w14:textId="77777777" w:rsidR="00B45641" w:rsidRP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cs="Arial"/>
          <w:noProof/>
          <w:lang w:val="es-ES_tradnl"/>
        </w:rPr>
        <w:t xml:space="preserve">Se celebran a través de la modalidad de contratación directa, independientemente de la cuantía y del tipo de servicio profesional, siempre que su objeto no sea la consultoría. Esto por cuanto, como lo indicó </w:t>
      </w:r>
      <w:r w:rsidRPr="00B45641">
        <w:rPr>
          <w:rFonts w:eastAsia="Arial" w:cs="Arial"/>
          <w:color w:val="000000"/>
        </w:rPr>
        <w:t>Sentencia de Unificación Jurisprudencial de 09 de septiembre de 2021, proferida por el Consejo de Estado</w:t>
      </w:r>
      <w:r w:rsidRPr="008C6876">
        <w:rPr>
          <w:bCs/>
          <w:vertAlign w:val="superscript"/>
        </w:rPr>
        <w:footnoteReference w:id="10"/>
      </w:r>
      <w:r w:rsidRPr="00B45641">
        <w:rPr>
          <w:rFonts w:cs="Arial"/>
          <w:noProof/>
          <w:lang w:val="es-ES_tradnl"/>
        </w:rPr>
        <w:t xml:space="preserve">, si bien en ambos existe un componente intelectual y profesional, el objeto del contrato de </w:t>
      </w:r>
      <w:r w:rsidRPr="00B45641">
        <w:rPr>
          <w:rFonts w:cs="Arial"/>
          <w:noProof/>
          <w:lang w:val="es-ES_tradnl"/>
        </w:rPr>
        <w:lastRenderedPageBreak/>
        <w:t>consultoría es especial y debe celebrarse, por regla general, mediante un concurso de méritos</w:t>
      </w:r>
      <w:r w:rsidRPr="008C6876">
        <w:rPr>
          <w:noProof/>
          <w:vertAlign w:val="superscript"/>
          <w:lang w:val="es-ES_tradnl"/>
        </w:rPr>
        <w:footnoteReference w:id="11"/>
      </w:r>
      <w:r w:rsidRPr="00B45641">
        <w:rPr>
          <w:rFonts w:cs="Arial"/>
          <w:noProof/>
          <w:lang w:val="es-ES_tradnl"/>
        </w:rPr>
        <w:t>. Esto también se deriva d</w:t>
      </w:r>
      <w:r w:rsidRPr="00B45641">
        <w:rPr>
          <w:rFonts w:eastAsia="Calibri"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r w:rsidRPr="00B45641">
        <w:rPr>
          <w:rFonts w:eastAsia="Calibri" w:cs="Arial"/>
          <w:color w:val="000000"/>
          <w:lang w:eastAsia="es-ES"/>
        </w:rPr>
        <w:t xml:space="preserve">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21A59416" w14:textId="77777777" w:rsidR="00B45641" w:rsidRP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cs="Arial"/>
          <w:noProof/>
          <w:lang w:val="es-ES_tradnl"/>
        </w:rPr>
        <w:t>Para su celebración no se requiere expedir un acto administrativo de justificación de la contratación directa</w:t>
      </w:r>
      <w:r w:rsidRPr="008C6876">
        <w:rPr>
          <w:noProof/>
          <w:vertAlign w:val="superscript"/>
          <w:lang w:val="es-ES_tradnl"/>
        </w:rPr>
        <w:footnoteReference w:id="12"/>
      </w:r>
      <w:r w:rsidRPr="00B45641">
        <w:rPr>
          <w:rFonts w:cs="Arial"/>
          <w:noProof/>
          <w:lang w:val="es-ES_tradnl"/>
        </w:rPr>
        <w:t>.</w:t>
      </w:r>
    </w:p>
    <w:p w14:paraId="3B95461B" w14:textId="77777777" w:rsidR="00B45641" w:rsidRP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cs="Arial"/>
          <w:noProof/>
          <w:lang w:val="es-ES_tradnl"/>
        </w:rPr>
        <w:t>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8C6876">
        <w:rPr>
          <w:noProof/>
          <w:vertAlign w:val="superscript"/>
          <w:lang w:val="es-ES_tradnl"/>
        </w:rPr>
        <w:footnoteReference w:id="13"/>
      </w:r>
      <w:r w:rsidRPr="00B45641">
        <w:rPr>
          <w:rFonts w:cs="Arial"/>
          <w:noProof/>
          <w:lang w:val="es-ES_tradnl"/>
        </w:rPr>
        <w:t>.</w:t>
      </w:r>
    </w:p>
    <w:p w14:paraId="107D3A70" w14:textId="77777777" w:rsidR="00B45641" w:rsidRP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cs="Arial"/>
          <w:noProof/>
          <w:lang w:val="es-ES_tradnl"/>
        </w:rPr>
        <w:lastRenderedPageBreak/>
        <w:t xml:space="preserve"> No es obligatoria la liquidación de estos contratos, como lo establece el artículo 217 del Decreto 019 de 2012, que modificó el artículo 60 de la Ley 80 de 1993</w:t>
      </w:r>
      <w:r w:rsidRPr="008C6876">
        <w:rPr>
          <w:noProof/>
          <w:vertAlign w:val="superscript"/>
          <w:lang w:val="es-ES_tradnl"/>
        </w:rPr>
        <w:footnoteReference w:id="14"/>
      </w:r>
      <w:r w:rsidRPr="00B45641">
        <w:rPr>
          <w:rFonts w:cs="Arial"/>
          <w:noProof/>
          <w:lang w:val="es-ES_tradnl"/>
        </w:rPr>
        <w:t>.</w:t>
      </w:r>
    </w:p>
    <w:p w14:paraId="4008206F" w14:textId="77777777" w:rsidR="00B45641" w:rsidRP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cs="Arial"/>
          <w:noProof/>
          <w:lang w:val="es-ES_tradnl"/>
        </w:rPr>
        <w:t>Para su celebración el contratista no requiere estar inscrito en el Registro Único de Proponentes –en adelante RUP–, como lo señala el artículo 6 de la Ley 1150 de 2007</w:t>
      </w:r>
      <w:r w:rsidRPr="008C6876">
        <w:rPr>
          <w:noProof/>
          <w:vertAlign w:val="superscript"/>
          <w:lang w:val="es-ES_tradnl"/>
        </w:rPr>
        <w:footnoteReference w:id="15"/>
      </w:r>
      <w:r w:rsidRPr="00B45641">
        <w:rPr>
          <w:rFonts w:cs="Arial"/>
          <w:noProof/>
          <w:lang w:val="es-ES_tradnl"/>
        </w:rPr>
        <w:t>.</w:t>
      </w:r>
    </w:p>
    <w:p w14:paraId="6208113A" w14:textId="77777777" w:rsidR="00B45641" w:rsidRP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cs="Arial"/>
          <w:noProof/>
          <w:lang w:val="es-ES_tradnl"/>
        </w:rPr>
        <w:t xml:space="preserve"> No es obligtoria la exigencia de garantías</w:t>
      </w:r>
      <w:r w:rsidRPr="008C6876">
        <w:rPr>
          <w:noProof/>
          <w:vertAlign w:val="superscript"/>
          <w:lang w:val="es-ES_tradnl"/>
        </w:rPr>
        <w:footnoteReference w:id="16"/>
      </w:r>
      <w:r w:rsidRPr="00B45641">
        <w:rPr>
          <w:rFonts w:cs="Arial"/>
          <w:noProof/>
          <w:lang w:val="es-ES_tradnl"/>
        </w:rPr>
        <w:t>.</w:t>
      </w:r>
    </w:p>
    <w:p w14:paraId="1C7165DD" w14:textId="13CAB17F" w:rsidR="00C560BE" w:rsidRPr="00B45641" w:rsidRDefault="00C560BE" w:rsidP="00B45641">
      <w:pPr>
        <w:pStyle w:val="Prrafodelista"/>
        <w:numPr>
          <w:ilvl w:val="0"/>
          <w:numId w:val="10"/>
        </w:numPr>
        <w:spacing w:after="120" w:line="276" w:lineRule="auto"/>
        <w:ind w:right="1008"/>
        <w:jc w:val="both"/>
        <w:rPr>
          <w:rFonts w:eastAsia="Calibri" w:cs="Arial"/>
          <w:color w:val="000000"/>
          <w:lang w:val="es-ES_tradnl" w:eastAsia="es-ES_tradnl"/>
        </w:rPr>
      </w:pPr>
      <w:r w:rsidRPr="00B45641">
        <w:rPr>
          <w:rFonts w:cs="Arial"/>
          <w:noProof/>
          <w:lang w:val="es-ES_tradnl"/>
        </w:rPr>
        <w:t>Como los demás contratos estatales, se trata de un contrato solemne que debe constar por escrito y debe ser publicado en el SECOP.</w:t>
      </w:r>
    </w:p>
    <w:p w14:paraId="455D8070" w14:textId="77777777" w:rsidR="00C560BE" w:rsidRPr="008C6876" w:rsidRDefault="00C560BE" w:rsidP="00790C95">
      <w:pPr>
        <w:spacing w:line="276" w:lineRule="auto"/>
        <w:ind w:right="1008" w:firstLine="426"/>
        <w:jc w:val="both"/>
        <w:rPr>
          <w:rFonts w:cs="Arial"/>
          <w:noProof/>
        </w:rPr>
      </w:pPr>
      <w:r w:rsidRPr="008C6876">
        <w:rPr>
          <w:rFonts w:cs="Arial"/>
          <w:noProof/>
          <w:lang w:val="es-ES_tradnl"/>
        </w:rPr>
        <w:t xml:space="preserve">Analizadas las caracteristicas del contrato de prestación de servicios, se procede al estudio de la procedencia de la estabilidad ocupacional reforzada de las mujeres en estado de emabarazo y periodo de lactancia en este tipo de relaciones juridicas. </w:t>
      </w:r>
    </w:p>
    <w:p w14:paraId="43A46B20" w14:textId="77777777" w:rsidR="00C560BE" w:rsidRPr="008C6876" w:rsidRDefault="00C560BE" w:rsidP="00C560BE">
      <w:pPr>
        <w:tabs>
          <w:tab w:val="left" w:pos="0"/>
        </w:tabs>
        <w:spacing w:line="276" w:lineRule="auto"/>
        <w:ind w:right="1008"/>
        <w:jc w:val="both"/>
        <w:rPr>
          <w:rFonts w:cs="Arial"/>
          <w:noProof/>
          <w:lang w:val="es-ES_tradnl"/>
        </w:rPr>
      </w:pPr>
      <w:bookmarkStart w:id="1" w:name="_Hlk151110740"/>
    </w:p>
    <w:p w14:paraId="15AE7076" w14:textId="1CE2C5AC" w:rsidR="00C560BE" w:rsidRPr="008C6876" w:rsidRDefault="00790C95" w:rsidP="00C560BE">
      <w:pPr>
        <w:tabs>
          <w:tab w:val="left" w:pos="0"/>
        </w:tabs>
        <w:spacing w:after="120" w:line="276" w:lineRule="auto"/>
        <w:ind w:right="1008"/>
        <w:jc w:val="both"/>
        <w:rPr>
          <w:rFonts w:cs="Arial"/>
          <w:noProof/>
          <w:lang w:val="es-ES_tradnl"/>
        </w:rPr>
      </w:pPr>
      <w:r>
        <w:rPr>
          <w:rFonts w:cs="Arial"/>
          <w:noProof/>
          <w:lang w:val="es-ES_tradnl"/>
        </w:rPr>
        <w:tab/>
      </w:r>
      <w:r w:rsidR="00C560BE" w:rsidRPr="008C6876">
        <w:rPr>
          <w:rFonts w:cs="Arial"/>
          <w:noProof/>
          <w:lang w:val="es-ES_tradnl"/>
        </w:rPr>
        <w:t xml:space="preserve">El fuero de maternidad es una figura que otorga una protección reforzada a la futura madre y a la que acaba de serlo, es decir, a la mujer que se encuentre </w:t>
      </w:r>
      <w:r w:rsidR="00C560BE" w:rsidRPr="008C6876">
        <w:rPr>
          <w:rFonts w:cs="Arial"/>
          <w:noProof/>
          <w:lang w:val="es-ES_tradnl"/>
        </w:rPr>
        <w:lastRenderedPageBreak/>
        <w:t>en estado de embarazo y en periodo de lactancia, con el fin de que el proceso de gestación no interfiera en la estabilidad laboral que, como trabajadora, le asiste. El propósito es que las aspiraciones familiares y profesionales de la mujer no se excluyan y puedan armonizarse, al punto de desarrollar su proyecto de vida y su personalidad en condicionrd de dignidad y libertad, pues históricamente el estado de gravidez ha constituido un motivo de exclusión de la mujer en el trabajo, en el que es preciso “impedir la discriminación constituida por el despido, la terminación o la no renovación del contrato por causa o con ocasión del embarazo o la lactancia”</w:t>
      </w:r>
      <w:r w:rsidR="00C560BE" w:rsidRPr="008C6876">
        <w:rPr>
          <w:rFonts w:eastAsia="Calibri" w:cs="Arial"/>
          <w:bCs/>
          <w:vertAlign w:val="superscript"/>
        </w:rPr>
        <w:t xml:space="preserve"> </w:t>
      </w:r>
      <w:r w:rsidR="00C560BE" w:rsidRPr="008C6876">
        <w:rPr>
          <w:rFonts w:eastAsia="Calibri" w:cs="Arial"/>
          <w:bCs/>
          <w:vertAlign w:val="superscript"/>
        </w:rPr>
        <w:footnoteReference w:id="17"/>
      </w:r>
      <w:r w:rsidR="00C560BE" w:rsidRPr="008C6876">
        <w:rPr>
          <w:rFonts w:eastAsia="Calibri" w:cs="Arial"/>
          <w:bCs/>
        </w:rPr>
        <w:t>.</w:t>
      </w:r>
    </w:p>
    <w:p w14:paraId="601D1D6E" w14:textId="77777777" w:rsidR="00C560BE" w:rsidRPr="008C6876" w:rsidRDefault="00C560BE" w:rsidP="00790C95">
      <w:pPr>
        <w:spacing w:after="120" w:line="276" w:lineRule="auto"/>
        <w:ind w:right="1008" w:firstLine="720"/>
        <w:jc w:val="both"/>
      </w:pPr>
      <w:r w:rsidRPr="008C6876">
        <w:t>Con el fin de aclarar el objeto bajo consulta, se explicarán las dos (2) posiciones que ha definido al Corte Constitucional para proteger el fuero de maternidad a una mujer que está vinculada a través de un contrato de prestación de servicios. Lo anterior, pa</w:t>
      </w:r>
      <w:bookmarkEnd w:id="1"/>
      <w:r w:rsidRPr="008C6876">
        <w:t xml:space="preserve">ra determinar cuál es la posición del Alto Tribunal Constitucional en la defensa del derecho a la estabilidad ocupacional reforzada. </w:t>
      </w:r>
    </w:p>
    <w:p w14:paraId="57FEF880" w14:textId="42C62675" w:rsidR="00C560BE" w:rsidRPr="008C6876" w:rsidRDefault="00790C95" w:rsidP="00C560BE">
      <w:pPr>
        <w:tabs>
          <w:tab w:val="left" w:pos="0"/>
        </w:tabs>
        <w:spacing w:after="120" w:line="276" w:lineRule="auto"/>
        <w:ind w:right="1008"/>
        <w:jc w:val="both"/>
        <w:rPr>
          <w:rFonts w:cs="Arial"/>
        </w:rPr>
      </w:pPr>
      <w:r>
        <w:rPr>
          <w:rFonts w:eastAsia="Arial" w:cs="Arial"/>
          <w:color w:val="000000"/>
        </w:rPr>
        <w:tab/>
      </w:r>
      <w:r w:rsidR="00C560BE" w:rsidRPr="008C6876">
        <w:rPr>
          <w:rFonts w:eastAsia="Arial" w:cs="Arial"/>
          <w:color w:val="000000"/>
        </w:rPr>
        <w:t>La Corte Constitucional, en la Sentencia SU-070 de 2013, con ponencia de la Magistrada Gloria Stella Ortiz Delgado, fijó la primera posición frente el tema, indicando que la protección al fuero de maternidad excluye a las trabajadoras que laboran de manera independiente, y sólo procede su protección si el juez de tutela, al analizar las condiciones propias del contrato de prestación de servicios, comprueba que las partes están vinculadas a través de un contrato de trabajo</w:t>
      </w:r>
      <w:r w:rsidR="00C560BE" w:rsidRPr="008C6876">
        <w:rPr>
          <w:rFonts w:cs="Arial"/>
          <w:vertAlign w:val="superscript"/>
        </w:rPr>
        <w:footnoteReference w:id="18"/>
      </w:r>
      <w:r w:rsidR="00C560BE" w:rsidRPr="008C6876">
        <w:rPr>
          <w:rFonts w:cs="Arial"/>
        </w:rPr>
        <w:t xml:space="preserve">. De esta forma, según el criterio fijado por la Corte en la Sentencia SU-070 de 2023, la protección a la estabilidad laboral reforzada de mujeres vinculadas a través de un contrato de prestación de servicios sólo procede frente aquellos casos donde se verifique la concurrencia de los tres (3) elementos del contrato de trabajo. </w:t>
      </w:r>
    </w:p>
    <w:p w14:paraId="6B9023C9" w14:textId="77777777" w:rsidR="00C560BE" w:rsidRPr="008C6876" w:rsidRDefault="00C560BE" w:rsidP="00790C95">
      <w:pPr>
        <w:pStyle w:val="Textoindependiente"/>
        <w:spacing w:after="120" w:line="276" w:lineRule="auto"/>
        <w:ind w:right="1008" w:firstLine="720"/>
        <w:jc w:val="both"/>
        <w:rPr>
          <w:rFonts w:cs="Arial"/>
        </w:rPr>
      </w:pPr>
      <w:r w:rsidRPr="008C6876">
        <w:rPr>
          <w:rFonts w:cs="Arial"/>
        </w:rPr>
        <w:t xml:space="preserve">Ahora bien, el Alto Tribunal Constitucional, en las sentencias T-102 de </w:t>
      </w:r>
      <w:r w:rsidRPr="008C6876">
        <w:rPr>
          <w:rFonts w:cs="Arial"/>
        </w:rPr>
        <w:lastRenderedPageBreak/>
        <w:t>2016</w:t>
      </w:r>
      <w:r w:rsidRPr="008C6876">
        <w:rPr>
          <w:rStyle w:val="Refdenotaalpie"/>
          <w:rFonts w:cs="Arial"/>
        </w:rPr>
        <w:footnoteReference w:id="19"/>
      </w:r>
      <w:r w:rsidRPr="008C6876">
        <w:rPr>
          <w:rFonts w:cs="Arial"/>
        </w:rPr>
        <w:t xml:space="preserve"> y T-564 de 2017</w:t>
      </w:r>
      <w:r w:rsidRPr="008C6876">
        <w:rPr>
          <w:rStyle w:val="Refdenotaalpie"/>
          <w:rFonts w:cs="Arial"/>
        </w:rPr>
        <w:footnoteReference w:id="20"/>
      </w:r>
      <w:r w:rsidRPr="008C6876">
        <w:rPr>
          <w:rFonts w:cs="Arial"/>
        </w:rPr>
        <w:t xml:space="preserve"> estableció otra posición, en los eventos donde no se prueba la configuración del contrato realidad en el contrato de prestación de servicios, señalando que este no es un motivo suficiente para desproteger los derechos de la estabilidad ocupacional reforzada de la mujer embarazada, si se comprueba que la terminación del contrato es discriminatoria y no atiende a un motivo objetivo.</w:t>
      </w:r>
    </w:p>
    <w:p w14:paraId="13B9B555" w14:textId="46BE4194" w:rsidR="00C560BE" w:rsidRPr="008C6876" w:rsidRDefault="00790C95" w:rsidP="00C560BE">
      <w:pPr>
        <w:tabs>
          <w:tab w:val="left" w:pos="0"/>
        </w:tabs>
        <w:spacing w:after="120" w:line="276" w:lineRule="auto"/>
        <w:ind w:right="1008"/>
        <w:jc w:val="both"/>
        <w:rPr>
          <w:rFonts w:cs="Arial"/>
        </w:rPr>
      </w:pPr>
      <w:r>
        <w:rPr>
          <w:rFonts w:cs="Arial"/>
        </w:rPr>
        <w:tab/>
      </w:r>
      <w:r w:rsidR="00C560BE" w:rsidRPr="008C6876">
        <w:rPr>
          <w:rFonts w:cs="Arial"/>
        </w:rPr>
        <w:t>De acuerdo con la sentencia T-564 de 2017, a pesar de no probarse la configuración del contrato realidad, se debe proteger a la mujer en estado embarazo, vinculada a través de un contrato de prestación de servicios, porque a pesar de que la trabajadora informó al empleador de su estado de gestación, éste terminó anticipadamente su contrato, configurándose una terminación por motivos discriminatorios. Por su parte, la sentencia T-102 de 2016, si bien reconoce la existencia del contrato realidad, reitera que el empleador no demostró ningún motivo objetivo que justificara la terminación del contrato, ya sea porque la actividad que venía realizando ya no era necesaria, o porque no probó que las causas que originaron la contratación desaparecieron, entre otros.</w:t>
      </w:r>
    </w:p>
    <w:p w14:paraId="566E3327" w14:textId="77777777" w:rsidR="00C560BE" w:rsidRPr="008C6876" w:rsidRDefault="00C560BE" w:rsidP="00790C95">
      <w:pPr>
        <w:spacing w:line="276" w:lineRule="auto"/>
        <w:ind w:right="1008" w:firstLine="709"/>
        <w:jc w:val="both"/>
        <w:rPr>
          <w:rFonts w:eastAsiaTheme="minorEastAsia" w:cs="Arial"/>
          <w:lang w:eastAsia="es-CO"/>
        </w:rPr>
      </w:pPr>
      <w:r w:rsidRPr="008C6876">
        <w:rPr>
          <w:rFonts w:eastAsiaTheme="minorEastAsia" w:cs="Arial"/>
          <w:lang w:eastAsia="es-CO"/>
        </w:rPr>
        <w:t xml:space="preserve">En el mismo sentido, en el salvamento de voto a la sentencia T-743 de 2017, </w:t>
      </w:r>
      <w:r w:rsidRPr="008C6876">
        <w:rPr>
          <w:rFonts w:eastAsiaTheme="minorEastAsia" w:cs="Arial"/>
          <w:lang w:eastAsia="es-CO"/>
        </w:rPr>
        <w:lastRenderedPageBreak/>
        <w:t>se reiteró que la protección a la mujer en estado de embarazo, vinculada por un contrato de prestación de servicios, no sólo se realiza cuando se prueba la configuración de contrato realidad, sino, además, cuando se demuestre que la decisión de la terminación es discriminatoria y no atiende a un motivo objetivo:</w:t>
      </w:r>
    </w:p>
    <w:p w14:paraId="5CAD3EA0" w14:textId="77777777" w:rsidR="00C560BE" w:rsidRPr="008C6876" w:rsidRDefault="00C560BE" w:rsidP="00C560BE">
      <w:pPr>
        <w:spacing w:line="276" w:lineRule="auto"/>
        <w:ind w:left="709" w:right="1008"/>
        <w:jc w:val="both"/>
        <w:rPr>
          <w:rFonts w:cs="Arial"/>
        </w:rPr>
      </w:pPr>
    </w:p>
    <w:p w14:paraId="7D4869B2" w14:textId="77777777" w:rsidR="00C560BE" w:rsidRPr="008C6876" w:rsidRDefault="00C560BE" w:rsidP="00B45641">
      <w:pPr>
        <w:ind w:left="709" w:right="1858"/>
        <w:contextualSpacing/>
        <w:jc w:val="both"/>
        <w:rPr>
          <w:rFonts w:cs="Arial"/>
          <w:i/>
          <w:sz w:val="20"/>
          <w:szCs w:val="20"/>
        </w:rPr>
      </w:pPr>
      <w:r w:rsidRPr="008C6876">
        <w:rPr>
          <w:rFonts w:eastAsia="Yu Gothic UI Semibold" w:cs="Arial"/>
          <w:iCs/>
          <w:sz w:val="20"/>
          <w:szCs w:val="20"/>
          <w:lang w:eastAsia="es-MX"/>
        </w:rPr>
        <w:t>“</w:t>
      </w:r>
      <w:r w:rsidRPr="008C6876">
        <w:rPr>
          <w:rFonts w:cs="Arial"/>
          <w:sz w:val="20"/>
          <w:szCs w:val="20"/>
        </w:rPr>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considero que existen sentencias recientes de las diferentes Salas de Revisión que han establecido que en el marco de relaciones de prestación de servicios, el juez de tutela, </w:t>
      </w:r>
      <w:r w:rsidRPr="008C6876">
        <w:rPr>
          <w:rFonts w:cs="Arial"/>
          <w:i/>
          <w:sz w:val="20"/>
          <w:szCs w:val="20"/>
        </w:rPr>
        <w:t>a pesar de no encontrar probados los elementos del contrato realidad, sí puede garantizar la estabilidad laboral reforzada de la mujer embarazada, siempre y cuando se demuestre que la decisión de la desvinculación es discriminatoria y no atiende a un motivo</w:t>
      </w:r>
      <w:r w:rsidRPr="008C6876">
        <w:rPr>
          <w:rFonts w:cs="Arial"/>
          <w:i/>
          <w:spacing w:val="-5"/>
          <w:sz w:val="20"/>
          <w:szCs w:val="20"/>
        </w:rPr>
        <w:t xml:space="preserve"> </w:t>
      </w:r>
      <w:r w:rsidRPr="008C6876">
        <w:rPr>
          <w:rFonts w:cs="Arial"/>
          <w:i/>
          <w:sz w:val="20"/>
          <w:szCs w:val="20"/>
        </w:rPr>
        <w:t>objetivo.</w:t>
      </w:r>
    </w:p>
    <w:p w14:paraId="5E0BCF3E" w14:textId="77777777" w:rsidR="00C560BE" w:rsidRPr="008C6876" w:rsidRDefault="00C560BE" w:rsidP="00B45641">
      <w:pPr>
        <w:ind w:left="709" w:right="1858"/>
        <w:contextualSpacing/>
        <w:jc w:val="both"/>
        <w:rPr>
          <w:rFonts w:cs="Arial"/>
          <w:i/>
          <w:sz w:val="20"/>
          <w:szCs w:val="20"/>
        </w:rPr>
      </w:pPr>
    </w:p>
    <w:p w14:paraId="061A67DA" w14:textId="77777777" w:rsidR="00C560BE" w:rsidRPr="008C6876" w:rsidRDefault="00C560BE" w:rsidP="00B45641">
      <w:pPr>
        <w:ind w:left="709" w:right="1858"/>
        <w:contextualSpacing/>
        <w:jc w:val="both"/>
        <w:rPr>
          <w:rFonts w:cs="Arial"/>
          <w:sz w:val="20"/>
          <w:szCs w:val="20"/>
        </w:rPr>
      </w:pPr>
      <w:r w:rsidRPr="008C6876">
        <w:rPr>
          <w:rFonts w:cs="Arial"/>
          <w:sz w:val="20"/>
          <w:szCs w:val="20"/>
        </w:rPr>
        <w:t>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consecuencia, procede con todos sus efectos el numeral 2º del artículo 239 del Código Sustantivo de Trabajo</w:t>
      </w:r>
      <w:r w:rsidRPr="008C6876">
        <w:rPr>
          <w:rFonts w:cs="Arial"/>
          <w:noProof/>
          <w:sz w:val="20"/>
          <w:szCs w:val="20"/>
          <w:lang w:val="es-ES_tradnl"/>
        </w:rPr>
        <w:t>”</w:t>
      </w:r>
      <w:r w:rsidRPr="008C6876">
        <w:rPr>
          <w:rFonts w:cs="Arial"/>
          <w:sz w:val="20"/>
          <w:szCs w:val="20"/>
        </w:rPr>
        <w:t>. (Énfasis fuera del</w:t>
      </w:r>
      <w:r w:rsidRPr="008C6876">
        <w:rPr>
          <w:rFonts w:cs="Arial"/>
          <w:spacing w:val="-16"/>
          <w:sz w:val="20"/>
          <w:szCs w:val="20"/>
        </w:rPr>
        <w:t xml:space="preserve"> </w:t>
      </w:r>
      <w:r w:rsidRPr="008C6876">
        <w:rPr>
          <w:rFonts w:cs="Arial"/>
          <w:sz w:val="20"/>
          <w:szCs w:val="20"/>
        </w:rPr>
        <w:t>texto).</w:t>
      </w:r>
    </w:p>
    <w:p w14:paraId="3E0EC001" w14:textId="77777777" w:rsidR="00C560BE" w:rsidRPr="008C6876" w:rsidRDefault="00C560BE" w:rsidP="00C560BE">
      <w:pPr>
        <w:spacing w:line="276" w:lineRule="auto"/>
        <w:ind w:right="1008"/>
        <w:rPr>
          <w:rFonts w:eastAsia="Yu Gothic UI Semibold" w:cs="Arial"/>
          <w:b/>
          <w:lang w:eastAsia="es-CO"/>
        </w:rPr>
      </w:pPr>
    </w:p>
    <w:p w14:paraId="56E8CDD7" w14:textId="05584EB7" w:rsidR="00C560BE" w:rsidRPr="008C6876" w:rsidRDefault="00C560BE" w:rsidP="00790C95">
      <w:pPr>
        <w:spacing w:after="120" w:line="276" w:lineRule="auto"/>
        <w:ind w:right="1008" w:firstLine="709"/>
        <w:jc w:val="both"/>
        <w:rPr>
          <w:rFonts w:eastAsia="Yu Gothic UI Semibold" w:cs="Arial"/>
          <w:i/>
          <w:lang w:eastAsia="es-MX"/>
        </w:rPr>
      </w:pPr>
      <w:r w:rsidRPr="008C6876">
        <w:rPr>
          <w:rFonts w:eastAsia="Yu Gothic UI Semibold" w:cs="Arial"/>
          <w:lang w:eastAsia="es-CO"/>
        </w:rPr>
        <w:t>Finalmente, la Corte Constitucional profirió la sentencia de unificación SU-075 de 2018, en la cual recoge, entre otras, las sentencias T-030 de 2018 y T-350 del 2016. En esta providencia, el Alto Tribunal estableció unos criterios con el fin de impedir la discriminación que puede presentarse frente a una mujer en estado de embarazo o lactancia, específicamente, respecto a la terminación o la no renovación del contrato. Dicha providencia dio paso a establecer que, el denominado</w:t>
      </w:r>
      <w:r w:rsidRPr="008C6876">
        <w:rPr>
          <w:rFonts w:eastAsia="Yu Gothic UI Semibold" w:cs="Arial"/>
          <w:i/>
          <w:lang w:eastAsia="es-CO"/>
        </w:rPr>
        <w:t xml:space="preserve"> </w:t>
      </w:r>
      <w:r w:rsidRPr="008C6876">
        <w:rPr>
          <w:rFonts w:eastAsia="Yu Gothic UI Semibold" w:cs="Arial"/>
          <w:i/>
          <w:lang w:eastAsia="es-MX"/>
        </w:rPr>
        <w:t>“</w:t>
      </w:r>
      <w:r w:rsidRPr="008C6876">
        <w:rPr>
          <w:rFonts w:eastAsia="Yu Gothic UI Semibold" w:cs="Arial"/>
          <w:i/>
          <w:lang w:eastAsia="es-CO"/>
        </w:rPr>
        <w:t>fuero de maternidad</w:t>
      </w:r>
      <w:r w:rsidRPr="008C6876">
        <w:rPr>
          <w:rFonts w:eastAsia="Yu Gothic UI Semibold" w:cs="Arial"/>
          <w:i/>
          <w:lang w:eastAsia="es-MX"/>
        </w:rPr>
        <w:t>”</w:t>
      </w:r>
      <w:r w:rsidRPr="008C6876">
        <w:rPr>
          <w:rFonts w:eastAsia="Yu Gothic UI Semibold" w:cs="Arial"/>
          <w:lang w:eastAsia="es-CO"/>
        </w:rPr>
        <w:t xml:space="preserve"> encuentra también su sustento en la cláusula general de igualdad de la Constitución </w:t>
      </w:r>
      <w:r w:rsidRPr="008C6876">
        <w:rPr>
          <w:rFonts w:eastAsia="Yu Gothic UI Semibold" w:cs="Arial"/>
          <w:i/>
          <w:lang w:eastAsia="es-MX"/>
        </w:rPr>
        <w:t>“</w:t>
      </w:r>
      <w:r w:rsidRPr="008C6876">
        <w:rPr>
          <w:rFonts w:eastAsia="Yu Gothic UI Semibold" w:cs="Arial"/>
          <w:i/>
          <w:lang w:eastAsia="es-CO"/>
        </w:rPr>
        <w:t>que proscribe la discriminación por razones de sexo, así como en el ya mencionado artículo 43 Superior, que dispone la igualdad de derechos y oportunidades entre hombres y mujeres</w:t>
      </w:r>
      <w:r w:rsidRPr="008C6876">
        <w:rPr>
          <w:rFonts w:eastAsia="Yu Gothic UI Semibold" w:cs="Arial"/>
          <w:i/>
          <w:lang w:eastAsia="es-MX"/>
        </w:rPr>
        <w:t>”</w:t>
      </w:r>
      <w:r w:rsidRPr="008C6876">
        <w:rPr>
          <w:rFonts w:eastAsia="Yu Gothic UI Semibold" w:cs="Arial"/>
          <w:i/>
          <w:vertAlign w:val="superscript"/>
          <w:lang w:eastAsia="es-MX"/>
        </w:rPr>
        <w:footnoteReference w:id="21"/>
      </w:r>
      <w:r w:rsidRPr="008C6876">
        <w:rPr>
          <w:rFonts w:eastAsia="Yu Gothic UI Semibold" w:cs="Arial"/>
          <w:i/>
          <w:lang w:eastAsia="es-MX"/>
        </w:rPr>
        <w:t xml:space="preserve">. </w:t>
      </w:r>
    </w:p>
    <w:p w14:paraId="3C2D8507" w14:textId="77777777" w:rsidR="00C560BE" w:rsidRPr="008C6876" w:rsidRDefault="00C560BE" w:rsidP="00790C95">
      <w:pPr>
        <w:spacing w:line="276" w:lineRule="auto"/>
        <w:ind w:right="1008" w:firstLine="709"/>
        <w:jc w:val="both"/>
        <w:rPr>
          <w:rFonts w:eastAsia="Yu Gothic UI Semibold" w:cs="Arial"/>
          <w:lang w:eastAsia="es-CO"/>
        </w:rPr>
      </w:pPr>
      <w:r w:rsidRPr="008C6876">
        <w:rPr>
          <w:rFonts w:eastAsia="Yu Gothic UI Semibold" w:cs="Arial"/>
          <w:lang w:eastAsia="es-CO"/>
        </w:rPr>
        <w:t xml:space="preserve">La sentencia citada determina el tratamiento que deberían darles las entidades a sus trabajadoras o contratistas cuando se encuentren en estado de embarazo o lactancia, estableciendo su procedencia en los siguientes términos: </w:t>
      </w:r>
    </w:p>
    <w:p w14:paraId="395521CE" w14:textId="77777777" w:rsidR="00C560BE" w:rsidRPr="008C6876" w:rsidRDefault="00C560BE" w:rsidP="00C560BE">
      <w:pPr>
        <w:shd w:val="clear" w:color="auto" w:fill="FFFFFF"/>
        <w:spacing w:after="120" w:line="276" w:lineRule="auto"/>
        <w:ind w:left="709" w:right="1008"/>
        <w:contextualSpacing/>
        <w:jc w:val="both"/>
        <w:rPr>
          <w:rFonts w:eastAsia="Yu Gothic UI Semibold" w:cs="Arial"/>
          <w:highlight w:val="red"/>
          <w:lang w:eastAsia="es-CO"/>
        </w:rPr>
      </w:pPr>
    </w:p>
    <w:p w14:paraId="11FEA186"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r w:rsidRPr="008C6876">
        <w:rPr>
          <w:rFonts w:eastAsia="Yu Gothic UI Semibold" w:cs="Arial"/>
          <w:iCs/>
          <w:sz w:val="20"/>
          <w:szCs w:val="20"/>
          <w:lang w:eastAsia="es-MX"/>
        </w:rPr>
        <w:t>“</w:t>
      </w:r>
      <w:r w:rsidRPr="008C6876">
        <w:rPr>
          <w:rFonts w:eastAsia="Yu Gothic UI Semibold" w:cs="Arial"/>
          <w:sz w:val="20"/>
          <w:szCs w:val="20"/>
          <w:lang w:eastAsia="es-CO"/>
        </w:rPr>
        <w:t>La protección reforzada a la maternidad y la lactancia en el ámbito del trabajo procede cuando se demuestre, sin ninguna otra exigencia adicional, lo siguiente:</w:t>
      </w:r>
    </w:p>
    <w:p w14:paraId="7087424E"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p>
    <w:p w14:paraId="1007A61F"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r w:rsidRPr="008C6876">
        <w:rPr>
          <w:rFonts w:eastAsia="Yu Gothic UI Semibold" w:cs="Arial"/>
          <w:sz w:val="20"/>
          <w:szCs w:val="20"/>
          <w:lang w:eastAsia="es-CO"/>
        </w:rPr>
        <w:t>(a) La existencia de una relación laboral o de prestación de servicios y;</w:t>
      </w:r>
    </w:p>
    <w:p w14:paraId="107CA970"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p>
    <w:p w14:paraId="197CEDAE"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r w:rsidRPr="008C6876">
        <w:rPr>
          <w:rFonts w:eastAsia="Yu Gothic UI Semibold" w:cs="Arial"/>
          <w:sz w:val="20"/>
          <w:szCs w:val="20"/>
          <w:lang w:eastAsia="es-CO"/>
        </w:rPr>
        <w:t>(b) Que la mujer se encuentra en estado de embarazo o dentro de los tres meses siguientes al parto, en vigencia de dicha relación laboral o de prestación.</w:t>
      </w:r>
    </w:p>
    <w:p w14:paraId="68B6E454"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r w:rsidRPr="008C6876">
        <w:rPr>
          <w:rFonts w:eastAsia="Yu Gothic UI Semibold" w:cs="Arial"/>
          <w:sz w:val="20"/>
          <w:szCs w:val="20"/>
          <w:lang w:eastAsia="es-CO"/>
        </w:rPr>
        <w:t> </w:t>
      </w:r>
    </w:p>
    <w:p w14:paraId="4B626C97"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r w:rsidRPr="008C6876">
        <w:rPr>
          <w:rFonts w:eastAsia="Yu Gothic UI Semibold" w:cs="Arial"/>
          <w:sz w:val="20"/>
          <w:szCs w:val="20"/>
          <w:lang w:eastAsia="es-CO"/>
        </w:rPr>
        <w:t>No obstante, el alcance de la protección se debe determinar a partir de dos factores:</w:t>
      </w:r>
    </w:p>
    <w:p w14:paraId="19ECC349"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r w:rsidRPr="008C6876">
        <w:rPr>
          <w:rFonts w:eastAsia="Yu Gothic UI Semibold" w:cs="Arial"/>
          <w:sz w:val="20"/>
          <w:szCs w:val="20"/>
          <w:lang w:eastAsia="es-CO"/>
        </w:rPr>
        <w:t> </w:t>
      </w:r>
    </w:p>
    <w:p w14:paraId="2B0C869C"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r w:rsidRPr="008C6876">
        <w:rPr>
          <w:rFonts w:eastAsia="Yu Gothic UI Semibold" w:cs="Arial"/>
          <w:sz w:val="20"/>
          <w:szCs w:val="20"/>
          <w:lang w:eastAsia="es-CO"/>
        </w:rPr>
        <w:t>(a) El conocimiento del embarazo por parte del empleador; y</w:t>
      </w:r>
    </w:p>
    <w:p w14:paraId="1A94E644"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r w:rsidRPr="008C6876">
        <w:rPr>
          <w:rFonts w:eastAsia="Yu Gothic UI Semibold" w:cs="Arial"/>
          <w:sz w:val="20"/>
          <w:szCs w:val="20"/>
          <w:lang w:eastAsia="es-CO"/>
        </w:rPr>
        <w:t> </w:t>
      </w:r>
    </w:p>
    <w:p w14:paraId="5D527F24" w14:textId="77777777" w:rsidR="00C560BE" w:rsidRPr="008C6876" w:rsidRDefault="00C560BE" w:rsidP="00B45641">
      <w:pPr>
        <w:shd w:val="clear" w:color="auto" w:fill="FFFFFF"/>
        <w:ind w:left="709" w:right="1858"/>
        <w:contextualSpacing/>
        <w:jc w:val="both"/>
        <w:rPr>
          <w:rFonts w:eastAsia="Yu Gothic UI Semibold" w:cs="Arial"/>
          <w:sz w:val="20"/>
          <w:szCs w:val="20"/>
          <w:lang w:eastAsia="es-CO"/>
        </w:rPr>
      </w:pPr>
      <w:r w:rsidRPr="008C6876">
        <w:rPr>
          <w:rFonts w:eastAsia="Yu Gothic UI Semibold" w:cs="Arial"/>
          <w:sz w:val="20"/>
          <w:szCs w:val="20"/>
          <w:lang w:eastAsia="es-CO"/>
        </w:rPr>
        <w:t>(b) La alternativa laboral mediante la cual se encontraba vinculada la mujer embarazada</w:t>
      </w:r>
      <w:r w:rsidRPr="008C6876">
        <w:rPr>
          <w:rFonts w:cs="Arial"/>
          <w:noProof/>
          <w:sz w:val="20"/>
          <w:szCs w:val="20"/>
          <w:lang w:val="es-ES_tradnl"/>
        </w:rPr>
        <w:t>”.</w:t>
      </w:r>
    </w:p>
    <w:p w14:paraId="40E46A02" w14:textId="77777777" w:rsidR="00C560BE" w:rsidRPr="008C6876" w:rsidRDefault="00C560BE" w:rsidP="00C560BE">
      <w:pPr>
        <w:shd w:val="clear" w:color="auto" w:fill="FFFFFF"/>
        <w:spacing w:line="276" w:lineRule="auto"/>
        <w:ind w:right="1008" w:firstLine="708"/>
        <w:jc w:val="both"/>
        <w:rPr>
          <w:rFonts w:eastAsia="Yu Gothic UI Semibold" w:cs="Arial"/>
          <w:lang w:eastAsia="es-CO"/>
        </w:rPr>
      </w:pPr>
    </w:p>
    <w:p w14:paraId="15C3B814" w14:textId="77777777" w:rsidR="00C560BE" w:rsidRPr="008C6876" w:rsidRDefault="00C560BE" w:rsidP="00790C95">
      <w:pPr>
        <w:shd w:val="clear" w:color="auto" w:fill="FFFFFF"/>
        <w:spacing w:line="276" w:lineRule="auto"/>
        <w:ind w:right="1008" w:firstLine="709"/>
        <w:jc w:val="both"/>
        <w:rPr>
          <w:rFonts w:eastAsia="Yu Gothic UI Semibold" w:cs="Arial"/>
          <w:lang w:eastAsia="es-CO"/>
        </w:rPr>
      </w:pPr>
      <w:r w:rsidRPr="008C6876">
        <w:rPr>
          <w:rFonts w:eastAsia="Yu Gothic UI Semibold" w:cs="Arial"/>
          <w:lang w:eastAsia="es-CO"/>
        </w:rPr>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ocupacional reforzada de mujer embarazada y en los tres (3) meses siguientes al parto. Para el caso concreto de los contratos de prestación de servicios, la sentencia en mención determina:   </w:t>
      </w:r>
    </w:p>
    <w:p w14:paraId="10799995" w14:textId="77777777" w:rsidR="00C560BE" w:rsidRPr="008C6876" w:rsidRDefault="00C560BE" w:rsidP="00B45641">
      <w:pPr>
        <w:shd w:val="clear" w:color="auto" w:fill="FFFFFF"/>
        <w:spacing w:line="276" w:lineRule="auto"/>
        <w:ind w:left="709" w:right="1858"/>
        <w:jc w:val="both"/>
        <w:rPr>
          <w:rFonts w:eastAsia="Yu Gothic UI Semibold" w:cs="Arial"/>
          <w:lang w:eastAsia="es-CO"/>
        </w:rPr>
      </w:pPr>
    </w:p>
    <w:p w14:paraId="24059317" w14:textId="77777777" w:rsidR="00C560BE" w:rsidRPr="008C6876" w:rsidRDefault="00C560BE" w:rsidP="00B45641">
      <w:pPr>
        <w:shd w:val="clear" w:color="auto" w:fill="FFFFFF"/>
        <w:ind w:left="709" w:right="1858"/>
        <w:contextualSpacing/>
        <w:jc w:val="both"/>
        <w:rPr>
          <w:rFonts w:cs="Arial"/>
          <w:noProof/>
          <w:sz w:val="20"/>
          <w:szCs w:val="20"/>
          <w:lang w:val="es-ES_tradnl"/>
        </w:rPr>
      </w:pPr>
      <w:r w:rsidRPr="008C6876">
        <w:rPr>
          <w:rFonts w:eastAsia="Yu Gothic UI Semibold" w:cs="Arial"/>
          <w:iCs/>
          <w:sz w:val="20"/>
          <w:szCs w:val="20"/>
          <w:lang w:eastAsia="es-MX"/>
        </w:rPr>
        <w:t>“</w:t>
      </w:r>
      <w:r w:rsidRPr="008C6876">
        <w:rPr>
          <w:rFonts w:eastAsia="Yu Gothic UI Semibold" w:cs="Arial"/>
          <w:sz w:val="20"/>
          <w:szCs w:val="20"/>
          <w:lang w:eastAsia="es-CO"/>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sidRPr="008C6876">
        <w:rPr>
          <w:rFonts w:cs="Arial"/>
          <w:noProof/>
          <w:sz w:val="20"/>
          <w:szCs w:val="20"/>
          <w:lang w:val="es-ES_tradnl"/>
        </w:rPr>
        <w:t>”.</w:t>
      </w:r>
    </w:p>
    <w:p w14:paraId="04E8A869" w14:textId="77777777" w:rsidR="00C560BE" w:rsidRPr="008C6876" w:rsidRDefault="00C560BE" w:rsidP="00C560BE">
      <w:pPr>
        <w:shd w:val="clear" w:color="auto" w:fill="FFFFFF"/>
        <w:ind w:right="1008"/>
        <w:contextualSpacing/>
        <w:jc w:val="both"/>
        <w:rPr>
          <w:rFonts w:cs="Arial"/>
          <w:noProof/>
          <w:lang w:val="es-ES_tradnl"/>
        </w:rPr>
      </w:pPr>
    </w:p>
    <w:p w14:paraId="6C916975" w14:textId="7333DD19" w:rsidR="00C560BE" w:rsidRPr="008C6876" w:rsidRDefault="00C560BE" w:rsidP="00790C95">
      <w:pPr>
        <w:shd w:val="clear" w:color="auto" w:fill="FFFFFF"/>
        <w:spacing w:after="120" w:line="276" w:lineRule="auto"/>
        <w:ind w:right="1008" w:firstLine="709"/>
        <w:jc w:val="both"/>
        <w:rPr>
          <w:rFonts w:eastAsia="Yu Gothic UI Semibold" w:cs="Arial"/>
          <w:lang w:eastAsia="es-CO"/>
        </w:rPr>
      </w:pPr>
      <w:r w:rsidRPr="008C6876">
        <w:rPr>
          <w:rFonts w:cs="Arial"/>
          <w:noProof/>
          <w:lang w:val="es-ES_tradnl"/>
        </w:rPr>
        <w:t>Conforme a lo anterior, la Corte Constitucional ha expuesto dos (2) posiciones frente a los cuales opera la protección del denominado fuero de maternidad de mujeres vinculadas por medio de un contrato de prestación de servicios: i) cuando el juez prueba la configurción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218798E1" w14:textId="0BE693E6" w:rsidR="00C560BE" w:rsidRDefault="00790C95" w:rsidP="00C560BE">
      <w:pPr>
        <w:tabs>
          <w:tab w:val="left" w:pos="0"/>
        </w:tabs>
        <w:spacing w:after="120" w:line="276" w:lineRule="auto"/>
        <w:ind w:right="1008"/>
        <w:jc w:val="both"/>
        <w:rPr>
          <w:rFonts w:cs="Arial"/>
        </w:rPr>
      </w:pPr>
      <w:r>
        <w:rPr>
          <w:rFonts w:cs="Arial"/>
        </w:rPr>
        <w:lastRenderedPageBreak/>
        <w:tab/>
      </w:r>
      <w:r w:rsidR="00C560BE" w:rsidRPr="008C6876">
        <w:rPr>
          <w:rFonts w:cs="Arial"/>
        </w:rPr>
        <w:t xml:space="preserve">Asimismo, se resalta que el Alto Tribunal Constitucional, en la sentencia T-743 de 2017, reiteró que la protección a la mujer en estado de embarazo y en periodo de lactancia está sustentada en cuatro presupuestos de origen constitucional: i) el deber de protección especial a la mujer gestante, ii) la contención de prácticas discriminatorias en el escenario laboral contra la mujer con ocasión del estado de embarazo, iii) la protección a la vida y a la mujer como su gestora y iv) la </w:t>
      </w:r>
      <w:r w:rsidR="00B45641" w:rsidRPr="008C6876">
        <w:rPr>
          <w:rFonts w:cs="Arial"/>
        </w:rPr>
        <w:t>relevancia</w:t>
      </w:r>
      <w:r w:rsidR="00C560BE" w:rsidRPr="008C6876">
        <w:rPr>
          <w:rFonts w:cs="Arial"/>
        </w:rPr>
        <w:t xml:space="preserve"> de la familia en el ordenamiento social colombiano.</w:t>
      </w:r>
    </w:p>
    <w:p w14:paraId="3CC0FBF5" w14:textId="77777777" w:rsidR="00790C95" w:rsidRPr="008C6876" w:rsidRDefault="00790C95" w:rsidP="00C560BE">
      <w:pPr>
        <w:tabs>
          <w:tab w:val="left" w:pos="0"/>
        </w:tabs>
        <w:spacing w:after="120" w:line="276" w:lineRule="auto"/>
        <w:ind w:right="1008"/>
        <w:jc w:val="both"/>
        <w:rPr>
          <w:rFonts w:cs="Arial"/>
        </w:rPr>
      </w:pPr>
    </w:p>
    <w:p w14:paraId="6A00AE73" w14:textId="77777777" w:rsidR="00C560BE" w:rsidRPr="008C6876" w:rsidRDefault="00C560BE" w:rsidP="00790C95">
      <w:pPr>
        <w:spacing w:line="276" w:lineRule="auto"/>
        <w:ind w:right="1008" w:firstLine="709"/>
        <w:jc w:val="both"/>
        <w:rPr>
          <w:rFonts w:eastAsia="Arial" w:cs="Arial"/>
        </w:rPr>
      </w:pPr>
      <w:r w:rsidRPr="008C6876">
        <w:rPr>
          <w:rFonts w:eastAsia="Arial" w:cs="Arial"/>
        </w:rPr>
        <w:t xml:space="preserve">Adicionalmente, la Corte Constitucional profirió la sentencia T-329 de 2022, con ponencia de la magistrada </w:t>
      </w:r>
      <w:r w:rsidRPr="008C6876">
        <w:rPr>
          <w:rFonts w:cs="Arial"/>
        </w:rPr>
        <w:t>Natalia Ángel Cabo</w:t>
      </w:r>
      <w:r w:rsidRPr="008C6876">
        <w:rPr>
          <w:rFonts w:eastAsia="Arial" w:cs="Arial"/>
        </w:rPr>
        <w:t xml:space="preserve">, en la cual reiteró el precedente sobre </w:t>
      </w:r>
      <w:bookmarkStart w:id="2" w:name="_Hlk108422441"/>
      <w:r w:rsidRPr="008C6876">
        <w:rPr>
          <w:rFonts w:eastAsia="Arial" w:cs="Arial"/>
        </w:rPr>
        <w:t>la protección de la mujer embarazada y en período de lactancia en contratos de prestación de servicios</w:t>
      </w:r>
      <w:bookmarkEnd w:id="2"/>
      <w:r w:rsidRPr="008C6876">
        <w:rPr>
          <w:rFonts w:eastAsia="Arial" w:cs="Arial"/>
        </w:rPr>
        <w:t xml:space="preserve"> establecido en la Sentencia S-070 de 2013, al indicar lo siguiente: </w:t>
      </w:r>
    </w:p>
    <w:p w14:paraId="37317341" w14:textId="77777777" w:rsidR="00C560BE" w:rsidRPr="008C6876" w:rsidRDefault="00C560BE" w:rsidP="00C560BE">
      <w:pPr>
        <w:spacing w:line="276" w:lineRule="auto"/>
        <w:ind w:right="1008" w:firstLine="709"/>
        <w:contextualSpacing/>
        <w:jc w:val="both"/>
        <w:rPr>
          <w:rFonts w:eastAsia="Arial" w:cs="Arial"/>
        </w:rPr>
      </w:pPr>
    </w:p>
    <w:p w14:paraId="7F1F59A7" w14:textId="77777777" w:rsidR="00C560BE" w:rsidRPr="009925F9" w:rsidRDefault="00C560BE" w:rsidP="00B45641">
      <w:pPr>
        <w:ind w:left="709" w:right="2142"/>
        <w:contextualSpacing/>
        <w:jc w:val="both"/>
        <w:rPr>
          <w:rFonts w:eastAsia="Times New Roman" w:cs="Arial"/>
          <w:sz w:val="20"/>
          <w:szCs w:val="20"/>
          <w:lang w:eastAsia="es-ES"/>
        </w:rPr>
      </w:pPr>
      <w:r w:rsidRPr="009925F9">
        <w:rPr>
          <w:rFonts w:eastAsia="Yu Gothic UI Semibold" w:cs="Arial"/>
          <w:iCs/>
          <w:sz w:val="20"/>
          <w:szCs w:val="20"/>
          <w:lang w:eastAsia="es-MX"/>
        </w:rPr>
        <w:t>“</w:t>
      </w:r>
      <w:r w:rsidRPr="009925F9">
        <w:rPr>
          <w:rFonts w:eastAsia="Yu Gothic UI Semibold" w:cs="Arial"/>
          <w:sz w:val="20"/>
          <w:szCs w:val="20"/>
          <w:lang w:eastAsia="es-CO"/>
        </w:rPr>
        <w:t xml:space="preserve">[…] </w:t>
      </w:r>
      <w:r w:rsidRPr="009925F9">
        <w:rPr>
          <w:rFonts w:eastAsia="Times New Roman" w:cs="Arial"/>
          <w:sz w:val="20"/>
          <w:szCs w:val="20"/>
          <w:lang w:eastAsia="es-ES"/>
        </w:rPr>
        <w:t>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r w:rsidRPr="009925F9">
        <w:rPr>
          <w:rFonts w:eastAsia="Times New Roman" w:cs="Arial"/>
          <w:noProof/>
          <w:sz w:val="20"/>
          <w:szCs w:val="20"/>
          <w:lang w:val="es-ES_tradnl" w:eastAsia="es-ES"/>
        </w:rPr>
        <w:t>”.</w:t>
      </w:r>
    </w:p>
    <w:p w14:paraId="70BF6216" w14:textId="77777777" w:rsidR="00C560BE" w:rsidRPr="008C6876" w:rsidRDefault="00C560BE" w:rsidP="00C560BE">
      <w:pPr>
        <w:spacing w:line="276" w:lineRule="auto"/>
        <w:ind w:right="1008" w:firstLine="709"/>
        <w:jc w:val="both"/>
        <w:rPr>
          <w:rFonts w:eastAsia="Arial" w:cs="Arial"/>
        </w:rPr>
      </w:pPr>
    </w:p>
    <w:p w14:paraId="7922E119" w14:textId="77777777" w:rsidR="00C560BE" w:rsidRPr="008C6876" w:rsidRDefault="00C560BE" w:rsidP="00790C95">
      <w:pPr>
        <w:spacing w:after="120" w:line="276" w:lineRule="auto"/>
        <w:ind w:right="1008" w:firstLine="709"/>
        <w:jc w:val="both"/>
        <w:rPr>
          <w:rFonts w:cs="Arial"/>
          <w:shd w:val="clear" w:color="auto" w:fill="FFFFFF"/>
        </w:rPr>
      </w:pPr>
      <w:r w:rsidRPr="008C6876">
        <w:rPr>
          <w:rFonts w:eastAsia="Arial" w:cs="Arial"/>
        </w:rPr>
        <w:t xml:space="preserve">En dicha providencia la Corte consideró que, </w:t>
      </w:r>
      <w:r w:rsidRPr="008C6876">
        <w:rPr>
          <w:rFonts w:cs="Arial"/>
        </w:rPr>
        <w:t xml:space="preserve">en los casos de vinculación mediante contrato de prestación de servicios, aun cuando en el trámite de tutela no se logren acreditar los elementos del contrato realidad, hay lugar a la protección derivada de del fuero de maternidad. Lo anterior, en palabras de la Corte encuentra sustento en las siguientes razones: </w:t>
      </w:r>
      <w:r w:rsidRPr="008C6876">
        <w:rPr>
          <w:rFonts w:eastAsia="Yu Gothic UI Semibold" w:cs="Arial"/>
          <w:iCs/>
          <w:lang w:eastAsia="es-MX"/>
        </w:rPr>
        <w:t>“</w:t>
      </w:r>
      <w:r w:rsidRPr="008C6876">
        <w:rPr>
          <w:rFonts w:cs="Arial"/>
        </w:rPr>
        <w:t xml:space="preserve">(i) la protección de la mujer gestante o en periodo de lactancia se deriva de, entre otros, los artículos 43, 53 y 13 de la Constitución Nacional; (ii) la Sentencia SU-070 de 2013 reiteró la protección a la mujer embarazada en todas las alternativas laborales o de trabajo en las que se incluye el contrato de prestación de servicios; (iii) la Sentencia SU-075 de 2018 reiteró que las condiciones para la protección de la mujer embarazada son la existencia de una relación laboral o de prestación de servicios y que </w:t>
      </w:r>
      <w:r w:rsidRPr="008C6876">
        <w:rPr>
          <w:rFonts w:cs="Arial"/>
          <w:shd w:val="clear" w:color="auto" w:fill="FFFFFF"/>
        </w:rPr>
        <w:t>la mujer se encuentre en estado de embarazo o dentro de los tres meses siguientes al parto, en vigencia de dicha relación laboral o de prestación de servicios</w:t>
      </w:r>
      <w:r w:rsidRPr="008C6876">
        <w:rPr>
          <w:rFonts w:cs="Arial"/>
        </w:rPr>
        <w:t xml:space="preserve">; y (iv) las salas de revisión de la Corte Constitucional </w:t>
      </w:r>
      <w:r w:rsidRPr="008C6876">
        <w:rPr>
          <w:rFonts w:cs="Arial"/>
          <w:shd w:val="clear" w:color="auto" w:fill="FFFFFF"/>
        </w:rPr>
        <w:t xml:space="preserve">reconocen la protección derivada del fuero </w:t>
      </w:r>
      <w:r w:rsidRPr="008C6876">
        <w:rPr>
          <w:rFonts w:cs="Arial"/>
          <w:shd w:val="clear" w:color="auto" w:fill="FFFFFF"/>
        </w:rPr>
        <w:lastRenderedPageBreak/>
        <w:t>de maternidad en los contratos de prestación de servicios</w:t>
      </w:r>
      <w:r w:rsidRPr="008C6876">
        <w:rPr>
          <w:rFonts w:cs="Arial"/>
          <w:noProof/>
          <w:lang w:val="es-ES_tradnl"/>
        </w:rPr>
        <w:t>”</w:t>
      </w:r>
      <w:r w:rsidRPr="008C6876">
        <w:rPr>
          <w:rFonts w:cs="Arial"/>
          <w:noProof/>
          <w:vertAlign w:val="superscript"/>
          <w:lang w:val="es-ES_tradnl"/>
        </w:rPr>
        <w:footnoteReference w:id="22"/>
      </w:r>
      <w:r w:rsidRPr="008C6876">
        <w:rPr>
          <w:rFonts w:cs="Arial"/>
          <w:shd w:val="clear" w:color="auto" w:fill="FFFFFF"/>
        </w:rPr>
        <w:t xml:space="preserve">. </w:t>
      </w:r>
    </w:p>
    <w:p w14:paraId="4A2266B4" w14:textId="77777777" w:rsidR="00C560BE" w:rsidRPr="008C6876" w:rsidRDefault="00C560BE" w:rsidP="00790C95">
      <w:pPr>
        <w:spacing w:line="276" w:lineRule="auto"/>
        <w:ind w:right="1008" w:firstLine="709"/>
        <w:jc w:val="both"/>
        <w:rPr>
          <w:rFonts w:cs="Arial"/>
          <w:shd w:val="clear" w:color="auto" w:fill="FFFFFF"/>
        </w:rPr>
      </w:pPr>
      <w:r w:rsidRPr="008C6876">
        <w:rPr>
          <w:rFonts w:cs="Arial"/>
          <w:shd w:val="clear" w:color="auto" w:fill="FFFFFF"/>
        </w:rPr>
        <w:t xml:space="preserve">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lactancia: </w:t>
      </w:r>
    </w:p>
    <w:p w14:paraId="24CAF384" w14:textId="77777777" w:rsidR="00C560BE" w:rsidRPr="008C6876" w:rsidRDefault="00C560BE" w:rsidP="00C560BE">
      <w:pPr>
        <w:spacing w:line="276" w:lineRule="auto"/>
        <w:ind w:right="1008" w:firstLine="709"/>
        <w:jc w:val="both"/>
        <w:rPr>
          <w:rFonts w:cs="Arial"/>
          <w:shd w:val="clear" w:color="auto" w:fill="FFFFFF"/>
        </w:rPr>
      </w:pPr>
    </w:p>
    <w:tbl>
      <w:tblPr>
        <w:tblStyle w:val="Tablaconcuadrcula"/>
        <w:tblW w:w="4502" w:type="pct"/>
        <w:tblLook w:val="04A0" w:firstRow="1" w:lastRow="0" w:firstColumn="1" w:lastColumn="0" w:noHBand="0" w:noVBand="1"/>
      </w:tblPr>
      <w:tblGrid>
        <w:gridCol w:w="2907"/>
        <w:gridCol w:w="6160"/>
      </w:tblGrid>
      <w:tr w:rsidR="00C560BE" w:rsidRPr="008C6876" w14:paraId="1A772B3B" w14:textId="77777777" w:rsidTr="00B45641">
        <w:tc>
          <w:tcPr>
            <w:tcW w:w="1603" w:type="pct"/>
            <w:shd w:val="clear" w:color="auto" w:fill="DBE5F1" w:themeFill="accent1" w:themeFillTint="33"/>
            <w:vAlign w:val="center"/>
          </w:tcPr>
          <w:p w14:paraId="18ECC68D" w14:textId="77777777" w:rsidR="00C560BE" w:rsidRPr="00B45641" w:rsidRDefault="00C560BE" w:rsidP="00C560BE">
            <w:pPr>
              <w:ind w:right="1008"/>
              <w:jc w:val="center"/>
              <w:rPr>
                <w:rFonts w:cs="Arial"/>
                <w:b/>
                <w:bCs/>
                <w:sz w:val="16"/>
                <w:szCs w:val="16"/>
                <w:lang w:val="es-MX"/>
              </w:rPr>
            </w:pPr>
            <w:r w:rsidRPr="00B45641">
              <w:rPr>
                <w:rFonts w:cs="Arial"/>
                <w:b/>
                <w:bCs/>
                <w:sz w:val="16"/>
                <w:szCs w:val="16"/>
                <w:lang w:val="es-MX"/>
              </w:rPr>
              <w:t>Tipo de relación material</w:t>
            </w:r>
          </w:p>
        </w:tc>
        <w:tc>
          <w:tcPr>
            <w:tcW w:w="3397" w:type="pct"/>
            <w:shd w:val="clear" w:color="auto" w:fill="DBE5F1" w:themeFill="accent1" w:themeFillTint="33"/>
            <w:vAlign w:val="center"/>
          </w:tcPr>
          <w:p w14:paraId="4E89E085" w14:textId="77777777" w:rsidR="00C560BE" w:rsidRPr="00B45641" w:rsidRDefault="00C560BE" w:rsidP="00C560BE">
            <w:pPr>
              <w:ind w:right="1008"/>
              <w:jc w:val="center"/>
              <w:rPr>
                <w:rFonts w:cs="Arial"/>
                <w:b/>
                <w:bCs/>
                <w:sz w:val="16"/>
                <w:szCs w:val="16"/>
                <w:lang w:val="es-MX"/>
              </w:rPr>
            </w:pPr>
            <w:r w:rsidRPr="00B45641">
              <w:rPr>
                <w:rFonts w:cs="Arial"/>
                <w:b/>
                <w:bCs/>
                <w:sz w:val="16"/>
                <w:szCs w:val="16"/>
                <w:lang w:val="es-MX"/>
              </w:rPr>
              <w:t>Alcance de la protección</w:t>
            </w:r>
          </w:p>
        </w:tc>
      </w:tr>
      <w:tr w:rsidR="00C560BE" w:rsidRPr="008C6876" w14:paraId="72111CB1" w14:textId="77777777" w:rsidTr="00B45641">
        <w:tc>
          <w:tcPr>
            <w:tcW w:w="1603" w:type="pct"/>
            <w:tcBorders>
              <w:bottom w:val="single" w:sz="4" w:space="0" w:color="auto"/>
            </w:tcBorders>
            <w:vAlign w:val="center"/>
          </w:tcPr>
          <w:p w14:paraId="68C232E6" w14:textId="77777777" w:rsidR="00C560BE" w:rsidRPr="00B45641" w:rsidRDefault="00C560BE" w:rsidP="00C560BE">
            <w:pPr>
              <w:ind w:right="1008"/>
              <w:jc w:val="center"/>
              <w:rPr>
                <w:rFonts w:cs="Arial"/>
                <w:b/>
                <w:bCs/>
                <w:sz w:val="16"/>
                <w:szCs w:val="16"/>
                <w:lang w:val="es-MX"/>
              </w:rPr>
            </w:pPr>
            <w:r w:rsidRPr="00B45641">
              <w:rPr>
                <w:rFonts w:cs="Arial"/>
                <w:b/>
                <w:bCs/>
                <w:sz w:val="16"/>
                <w:szCs w:val="16"/>
                <w:lang w:val="es-MX"/>
              </w:rPr>
              <w:t>Se configura un contrato realidad</w:t>
            </w:r>
          </w:p>
        </w:tc>
        <w:tc>
          <w:tcPr>
            <w:tcW w:w="3397" w:type="pct"/>
          </w:tcPr>
          <w:p w14:paraId="7D2791CB" w14:textId="77777777" w:rsidR="00C560BE" w:rsidRPr="00B45641" w:rsidRDefault="00C560BE" w:rsidP="00C560BE">
            <w:pPr>
              <w:ind w:right="1008"/>
              <w:jc w:val="both"/>
              <w:rPr>
                <w:rFonts w:cs="Arial"/>
                <w:sz w:val="16"/>
                <w:szCs w:val="16"/>
                <w:lang w:val="es-MX"/>
              </w:rPr>
            </w:pPr>
            <w:r w:rsidRPr="00B45641">
              <w:rPr>
                <w:rFonts w:cs="Arial"/>
                <w:sz w:val="16"/>
                <w:szCs w:val="16"/>
                <w:lang w:val="es-MX"/>
              </w:rPr>
              <w:t>El juez de tutela deberá aplicar las reglas establecidas para el contrato laboral a término fijo, debido a que este contrato, por sus características de temporalidad, es el que mejor se asemeja al contrato de prestación de servicios</w:t>
            </w:r>
            <w:r w:rsidRPr="00B45641">
              <w:rPr>
                <w:rFonts w:cs="Arial"/>
                <w:sz w:val="16"/>
                <w:szCs w:val="16"/>
                <w:vertAlign w:val="superscript"/>
                <w:lang w:val="es-MX"/>
              </w:rPr>
              <w:t xml:space="preserve"> </w:t>
            </w:r>
            <w:r w:rsidRPr="00B45641">
              <w:rPr>
                <w:rFonts w:cs="Arial"/>
                <w:sz w:val="16"/>
                <w:szCs w:val="16"/>
                <w:vertAlign w:val="superscript"/>
                <w:lang w:val="es-MX"/>
              </w:rPr>
              <w:footnoteReference w:id="23"/>
            </w:r>
            <w:r w:rsidRPr="00B45641">
              <w:rPr>
                <w:rFonts w:cs="Arial"/>
                <w:sz w:val="16"/>
                <w:szCs w:val="16"/>
                <w:lang w:val="es-MX"/>
              </w:rPr>
              <w:t>.</w:t>
            </w:r>
          </w:p>
        </w:tc>
      </w:tr>
      <w:tr w:rsidR="00C560BE" w:rsidRPr="008C6876" w14:paraId="439E8EF9" w14:textId="77777777" w:rsidTr="00B45641">
        <w:trPr>
          <w:trHeight w:val="269"/>
        </w:trPr>
        <w:tc>
          <w:tcPr>
            <w:tcW w:w="1603" w:type="pct"/>
            <w:tcBorders>
              <w:top w:val="single" w:sz="4" w:space="0" w:color="auto"/>
              <w:left w:val="single" w:sz="4" w:space="0" w:color="auto"/>
              <w:bottom w:val="single" w:sz="4" w:space="0" w:color="auto"/>
              <w:right w:val="single" w:sz="4" w:space="0" w:color="auto"/>
            </w:tcBorders>
            <w:vAlign w:val="center"/>
          </w:tcPr>
          <w:p w14:paraId="1586AD90" w14:textId="77777777" w:rsidR="00C560BE" w:rsidRPr="00B45641" w:rsidRDefault="00C560BE" w:rsidP="00C560BE">
            <w:pPr>
              <w:ind w:right="1008"/>
              <w:jc w:val="center"/>
              <w:rPr>
                <w:rFonts w:cs="Arial"/>
                <w:b/>
                <w:bCs/>
                <w:sz w:val="16"/>
                <w:szCs w:val="16"/>
                <w:lang w:val="es-MX"/>
              </w:rPr>
            </w:pPr>
            <w:r w:rsidRPr="00B45641">
              <w:rPr>
                <w:rFonts w:cs="Arial"/>
                <w:b/>
                <w:bCs/>
                <w:sz w:val="16"/>
                <w:szCs w:val="16"/>
                <w:lang w:val="es-MX"/>
              </w:rPr>
              <w:t>No se configura un contrato realidad</w:t>
            </w:r>
          </w:p>
        </w:tc>
        <w:tc>
          <w:tcPr>
            <w:tcW w:w="3397" w:type="pct"/>
            <w:tcBorders>
              <w:left w:val="single" w:sz="4" w:space="0" w:color="auto"/>
            </w:tcBorders>
            <w:vAlign w:val="center"/>
          </w:tcPr>
          <w:p w14:paraId="6ABD1925" w14:textId="77777777" w:rsidR="00C560BE" w:rsidRPr="00B45641" w:rsidRDefault="00C560BE" w:rsidP="00C560BE">
            <w:pPr>
              <w:ind w:right="1008"/>
              <w:jc w:val="both"/>
              <w:rPr>
                <w:rFonts w:cs="Arial"/>
                <w:sz w:val="16"/>
                <w:szCs w:val="16"/>
                <w:lang w:val="es-MX"/>
              </w:rPr>
            </w:pPr>
            <w:r w:rsidRPr="00B45641">
              <w:rPr>
                <w:rFonts w:cs="Arial"/>
                <w:sz w:val="16"/>
                <w:szCs w:val="16"/>
                <w:lang w:val="es-MX"/>
              </w:rPr>
              <w:t>Si (i) el contratante conoce el estado de embarazo de la contratista, (ii) subsiste la causa del contrato y (iii) no cuenta con permiso del inspector del trabajo para terminar el contrato, el juez deberá ordenar:</w:t>
            </w:r>
          </w:p>
          <w:p w14:paraId="737A843E" w14:textId="77777777" w:rsidR="00C560BE" w:rsidRPr="00B45641" w:rsidRDefault="00C560BE" w:rsidP="00C560BE">
            <w:pPr>
              <w:ind w:right="1008"/>
              <w:rPr>
                <w:rFonts w:cs="Arial"/>
                <w:sz w:val="16"/>
                <w:szCs w:val="16"/>
                <w:lang w:val="es-MX"/>
              </w:rPr>
            </w:pPr>
          </w:p>
          <w:p w14:paraId="3E303CA1" w14:textId="77777777" w:rsidR="00C560BE" w:rsidRPr="00B45641" w:rsidRDefault="00C560BE" w:rsidP="00C560BE">
            <w:pPr>
              <w:numPr>
                <w:ilvl w:val="0"/>
                <w:numId w:val="9"/>
              </w:numPr>
              <w:ind w:right="1008"/>
              <w:jc w:val="both"/>
              <w:rPr>
                <w:rFonts w:cs="Arial"/>
                <w:sz w:val="16"/>
                <w:szCs w:val="16"/>
                <w:lang w:val="es-MX"/>
              </w:rPr>
            </w:pPr>
            <w:r w:rsidRPr="00B45641">
              <w:rPr>
                <w:rFonts w:cs="Arial"/>
                <w:sz w:val="16"/>
                <w:szCs w:val="16"/>
                <w:lang w:val="es-MX"/>
              </w:rPr>
              <w:t xml:space="preserve">La renovación de la relación contractual, la cual se dará hasta por el término del periodo de lactancia. </w:t>
            </w:r>
          </w:p>
          <w:p w14:paraId="5B92BAF0" w14:textId="77777777" w:rsidR="00C560BE" w:rsidRPr="00B45641" w:rsidRDefault="00C560BE" w:rsidP="00C560BE">
            <w:pPr>
              <w:numPr>
                <w:ilvl w:val="0"/>
                <w:numId w:val="9"/>
              </w:numPr>
              <w:ind w:right="1008"/>
              <w:jc w:val="both"/>
              <w:rPr>
                <w:rFonts w:cs="Arial"/>
                <w:sz w:val="16"/>
                <w:szCs w:val="16"/>
                <w:lang w:val="es-MX"/>
              </w:rPr>
            </w:pPr>
            <w:r w:rsidRPr="00B45641">
              <w:rPr>
                <w:rFonts w:cs="Arial"/>
                <w:sz w:val="16"/>
                <w:szCs w:val="16"/>
                <w:lang w:val="es-MX"/>
              </w:rPr>
              <w:t>El pago de los honorarios dejados de percibir desde la fecha de no renovación del contrato, hasta la renovación del mismo;</w:t>
            </w:r>
          </w:p>
          <w:p w14:paraId="271A69D9" w14:textId="77777777" w:rsidR="00C560BE" w:rsidRPr="00B45641" w:rsidRDefault="00C560BE" w:rsidP="00C560BE">
            <w:pPr>
              <w:numPr>
                <w:ilvl w:val="0"/>
                <w:numId w:val="9"/>
              </w:numPr>
              <w:ind w:right="1008"/>
              <w:jc w:val="both"/>
              <w:rPr>
                <w:rFonts w:cs="Arial"/>
                <w:sz w:val="16"/>
                <w:szCs w:val="16"/>
                <w:lang w:val="es-MX"/>
              </w:rPr>
            </w:pPr>
            <w:r w:rsidRPr="00B45641">
              <w:rPr>
                <w:rFonts w:cs="Arial"/>
                <w:sz w:val="16"/>
                <w:szCs w:val="16"/>
                <w:lang w:val="es-MX"/>
              </w:rPr>
              <w:t>El pago por concepto de la indemnización por despido discriminatorio</w:t>
            </w:r>
            <w:r w:rsidRPr="00B45641">
              <w:rPr>
                <w:rFonts w:cs="Arial"/>
                <w:sz w:val="16"/>
                <w:szCs w:val="16"/>
                <w:vertAlign w:val="superscript"/>
                <w:lang w:val="es-MX"/>
              </w:rPr>
              <w:footnoteReference w:id="24"/>
            </w:r>
            <w:r w:rsidRPr="00B45641">
              <w:rPr>
                <w:rFonts w:cs="Arial"/>
                <w:sz w:val="16"/>
                <w:szCs w:val="16"/>
                <w:lang w:val="es-MX"/>
              </w:rPr>
              <w:t>; y</w:t>
            </w:r>
          </w:p>
          <w:p w14:paraId="3B5B6972" w14:textId="77777777" w:rsidR="00C560BE" w:rsidRPr="00B45641" w:rsidRDefault="00C560BE" w:rsidP="00C560BE">
            <w:pPr>
              <w:numPr>
                <w:ilvl w:val="0"/>
                <w:numId w:val="9"/>
              </w:numPr>
              <w:ind w:right="1008"/>
              <w:jc w:val="both"/>
              <w:rPr>
                <w:rFonts w:cs="Arial"/>
                <w:sz w:val="16"/>
                <w:szCs w:val="16"/>
                <w:lang w:val="es-MX"/>
              </w:rPr>
            </w:pPr>
            <w:r w:rsidRPr="00B45641">
              <w:rPr>
                <w:rFonts w:cs="Arial"/>
                <w:sz w:val="16"/>
                <w:szCs w:val="16"/>
                <w:lang w:val="es-MX"/>
              </w:rPr>
              <w:t>El pago de la licencia de maternidad. Este pago no se realizará si en el caso se acredita que la madre disfrutó de la licencia de maternidad</w:t>
            </w:r>
            <w:r w:rsidRPr="00B45641">
              <w:rPr>
                <w:rFonts w:cs="Arial"/>
                <w:sz w:val="16"/>
                <w:szCs w:val="16"/>
                <w:vertAlign w:val="superscript"/>
                <w:lang w:val="es-MX"/>
              </w:rPr>
              <w:footnoteReference w:id="25"/>
            </w:r>
            <w:r w:rsidRPr="00B45641">
              <w:rPr>
                <w:rFonts w:cs="Arial"/>
                <w:sz w:val="16"/>
                <w:szCs w:val="16"/>
                <w:lang w:val="es-MX"/>
              </w:rPr>
              <w:t>.</w:t>
            </w:r>
          </w:p>
          <w:p w14:paraId="3CE91C6C" w14:textId="77777777" w:rsidR="00C560BE" w:rsidRPr="00B45641" w:rsidRDefault="00C560BE" w:rsidP="00C560BE">
            <w:pPr>
              <w:numPr>
                <w:ilvl w:val="0"/>
                <w:numId w:val="9"/>
              </w:numPr>
              <w:ind w:right="1008"/>
              <w:jc w:val="both"/>
              <w:rPr>
                <w:rFonts w:cs="Arial"/>
                <w:sz w:val="16"/>
                <w:szCs w:val="16"/>
                <w:lang w:val="es-MX"/>
              </w:rPr>
            </w:pPr>
            <w:r w:rsidRPr="00B45641">
              <w:rPr>
                <w:rFonts w:cs="Arial"/>
                <w:sz w:val="16"/>
                <w:szCs w:val="16"/>
                <w:lang w:val="es-MX"/>
              </w:rPr>
              <w:t>En el evento en el que el término del periodo de lactancia ya haya terminado, procederá el reconocimiento de los honorarios dejados de percibir hasta la terminación de periodo de lactancia</w:t>
            </w:r>
            <w:r w:rsidRPr="00B45641">
              <w:rPr>
                <w:rFonts w:cs="Arial"/>
                <w:sz w:val="16"/>
                <w:szCs w:val="16"/>
                <w:vertAlign w:val="superscript"/>
                <w:lang w:val="es-MX"/>
              </w:rPr>
              <w:footnoteReference w:id="26"/>
            </w:r>
            <w:r w:rsidRPr="00B45641">
              <w:rPr>
                <w:rFonts w:cs="Arial"/>
                <w:sz w:val="16"/>
                <w:szCs w:val="16"/>
                <w:lang w:val="es-MX"/>
              </w:rPr>
              <w:t>.</w:t>
            </w:r>
          </w:p>
          <w:p w14:paraId="55F42530" w14:textId="77777777" w:rsidR="00C560BE" w:rsidRPr="00B45641" w:rsidRDefault="00C560BE" w:rsidP="00C560BE">
            <w:pPr>
              <w:ind w:right="1008"/>
              <w:rPr>
                <w:rFonts w:cs="Arial"/>
                <w:sz w:val="16"/>
                <w:szCs w:val="16"/>
                <w:lang w:val="es-MX"/>
              </w:rPr>
            </w:pPr>
          </w:p>
          <w:p w14:paraId="124386FF" w14:textId="77777777" w:rsidR="00C560BE" w:rsidRPr="00B45641" w:rsidRDefault="00C560BE" w:rsidP="00C560BE">
            <w:pPr>
              <w:keepNext/>
              <w:ind w:right="1008"/>
              <w:jc w:val="both"/>
              <w:rPr>
                <w:rFonts w:cs="Arial"/>
                <w:sz w:val="16"/>
                <w:szCs w:val="16"/>
                <w:lang w:val="es-MX"/>
              </w:rPr>
            </w:pPr>
            <w:r w:rsidRPr="00B45641">
              <w:rPr>
                <w:rFonts w:cs="Arial"/>
                <w:sz w:val="16"/>
                <w:szCs w:val="16"/>
                <w:lang w:val="es-MX"/>
              </w:rPr>
              <w:t>En todo caso, el juez deberá estudiar la procedencia de cada una de estas medidas de protección para lo cual tendrá en cuenta las particularidades del caso</w:t>
            </w:r>
            <w:r w:rsidRPr="00B45641">
              <w:rPr>
                <w:rFonts w:cs="Arial"/>
                <w:sz w:val="16"/>
                <w:szCs w:val="16"/>
                <w:vertAlign w:val="superscript"/>
                <w:lang w:val="es-MX"/>
              </w:rPr>
              <w:footnoteReference w:id="27"/>
            </w:r>
            <w:r w:rsidRPr="00B45641">
              <w:rPr>
                <w:rFonts w:cs="Arial"/>
                <w:sz w:val="16"/>
                <w:szCs w:val="16"/>
                <w:lang w:val="es-MX"/>
              </w:rPr>
              <w:t>.</w:t>
            </w:r>
          </w:p>
        </w:tc>
      </w:tr>
    </w:tbl>
    <w:p w14:paraId="34DFB1FC" w14:textId="77777777" w:rsidR="00C560BE" w:rsidRPr="008C6876" w:rsidRDefault="00C560BE" w:rsidP="00C560BE">
      <w:pPr>
        <w:ind w:right="1008"/>
        <w:jc w:val="center"/>
        <w:rPr>
          <w:rFonts w:eastAsia="Times New Roman" w:cs="Arial"/>
          <w:b/>
          <w:bCs/>
          <w:iCs/>
          <w:sz w:val="16"/>
          <w:szCs w:val="16"/>
        </w:rPr>
      </w:pPr>
      <w:r w:rsidRPr="008C6876">
        <w:rPr>
          <w:rFonts w:eastAsia="Times New Roman" w:cs="Arial"/>
          <w:b/>
          <w:bCs/>
          <w:iCs/>
          <w:sz w:val="16"/>
          <w:szCs w:val="16"/>
        </w:rPr>
        <w:t xml:space="preserve">Tabla: Reglas para la protección de la mujer embarazada en contratos de prestación de servicios. – </w:t>
      </w:r>
      <w:r w:rsidRPr="008C6876">
        <w:rPr>
          <w:rFonts w:eastAsia="Times New Roman" w:cs="Arial"/>
          <w:b/>
          <w:bCs/>
          <w:iCs/>
          <w:sz w:val="16"/>
          <w:szCs w:val="16"/>
        </w:rPr>
        <w:lastRenderedPageBreak/>
        <w:t xml:space="preserve">Tomada de la Sentencia T-329 de 2022. </w:t>
      </w:r>
    </w:p>
    <w:p w14:paraId="04BBEDFD" w14:textId="77777777" w:rsidR="00C560BE" w:rsidRPr="008C6876" w:rsidRDefault="00C560BE" w:rsidP="00C560BE">
      <w:pPr>
        <w:tabs>
          <w:tab w:val="left" w:pos="0"/>
        </w:tabs>
        <w:spacing w:line="276" w:lineRule="auto"/>
        <w:ind w:right="1008"/>
        <w:jc w:val="both"/>
        <w:rPr>
          <w:rFonts w:cs="Arial"/>
          <w:highlight w:val="yellow"/>
          <w:shd w:val="clear" w:color="auto" w:fill="FFFFFF"/>
        </w:rPr>
      </w:pPr>
    </w:p>
    <w:p w14:paraId="38A5A36E" w14:textId="528EAD69" w:rsidR="00C560BE" w:rsidRPr="008C6876" w:rsidRDefault="00790C95" w:rsidP="00C560BE">
      <w:pPr>
        <w:tabs>
          <w:tab w:val="left" w:pos="0"/>
        </w:tabs>
        <w:spacing w:line="276" w:lineRule="auto"/>
        <w:ind w:right="1008"/>
        <w:jc w:val="both"/>
        <w:rPr>
          <w:rFonts w:cs="Arial"/>
        </w:rPr>
      </w:pPr>
      <w:r>
        <w:rPr>
          <w:rFonts w:cs="Arial"/>
          <w:shd w:val="clear" w:color="auto" w:fill="FFFFFF"/>
        </w:rPr>
        <w:tab/>
      </w:r>
      <w:r w:rsidR="00C560BE" w:rsidRPr="008C6876">
        <w:rPr>
          <w:rFonts w:cs="Arial"/>
          <w:shd w:val="clear" w:color="auto" w:fill="FFFFFF"/>
        </w:rPr>
        <w:t>En este sentido, les corresponde a las Entidades Estatales, en virtud de su autonomía, y de acuerdo con los lineamientos de la Corte Constitucional, determinar la mejor forma para garantizar la estabilidad ocupacional reforzada de las mujeres embarazadas y en periodo de lactancia vinculadas mediante contratos de prestación de servicios.</w:t>
      </w:r>
    </w:p>
    <w:p w14:paraId="7B6C0E10" w14:textId="77777777" w:rsidR="009F3ABF" w:rsidRDefault="009F3ABF" w:rsidP="00C560BE">
      <w:pPr>
        <w:pStyle w:val="Textoindependiente"/>
        <w:shd w:val="clear" w:color="auto" w:fill="FFFFFF"/>
        <w:spacing w:line="276" w:lineRule="auto"/>
        <w:ind w:right="1008"/>
        <w:jc w:val="both"/>
        <w:rPr>
          <w:rFonts w:eastAsiaTheme="minorHAnsi" w:cs="Arial"/>
          <w:b/>
          <w:bCs/>
          <w:shd w:val="clear" w:color="auto" w:fill="FFFFFF"/>
        </w:rPr>
      </w:pPr>
    </w:p>
    <w:p w14:paraId="2EDE3145" w14:textId="44C9591A" w:rsidR="00C560BE" w:rsidRPr="008C6876" w:rsidRDefault="00C560BE" w:rsidP="00790C95">
      <w:pPr>
        <w:pStyle w:val="Textoindependiente"/>
        <w:shd w:val="clear" w:color="auto" w:fill="FFFFFF"/>
        <w:spacing w:line="276" w:lineRule="auto"/>
        <w:ind w:right="1008" w:firstLine="720"/>
        <w:jc w:val="both"/>
        <w:rPr>
          <w:rFonts w:eastAsiaTheme="minorHAnsi" w:cs="Arial"/>
          <w:shd w:val="clear" w:color="auto" w:fill="FFFFFF"/>
        </w:rPr>
      </w:pPr>
      <w:r w:rsidRPr="008C6876">
        <w:rPr>
          <w:rFonts w:eastAsiaTheme="minorHAnsi" w:cs="Arial"/>
          <w:shd w:val="clear" w:color="auto" w:fill="FFFFFF"/>
        </w:rPr>
        <w:t xml:space="preserve">En relación con el objeto de la consulta resulta importante señalar que, recientemente el Congreso de la Republica expidió la Ley 2306 de 2023 </w:t>
      </w:r>
      <w:r w:rsidRPr="008C6876">
        <w:rPr>
          <w:rFonts w:eastAsiaTheme="minorHAnsi" w:cs="Arial"/>
          <w:i/>
          <w:iCs/>
          <w:shd w:val="clear" w:color="auto" w:fill="FFFFFF"/>
        </w:rPr>
        <w:t>“</w:t>
      </w:r>
      <w:r w:rsidRPr="008C6876">
        <w:rPr>
          <w:rFonts w:cs="Open Sans"/>
          <w:i/>
          <w:iCs/>
        </w:rPr>
        <w:t>Por medio de la cual se promueve la protección de la maternidad y la primera infancia, se crean incentivos y normas para la construcción de áreas que permitan la lactancia materna en el espacio público y se dictan otras disposiciones</w:t>
      </w:r>
      <w:r w:rsidRPr="008C6876">
        <w:rPr>
          <w:rFonts w:eastAsiaTheme="minorHAnsi" w:cs="Arial"/>
          <w:i/>
          <w:iCs/>
          <w:shd w:val="clear" w:color="auto" w:fill="FFFFFF"/>
        </w:rPr>
        <w:t>”</w:t>
      </w:r>
      <w:r w:rsidRPr="008C6876">
        <w:rPr>
          <w:rFonts w:eastAsiaTheme="minorHAnsi" w:cs="Arial"/>
          <w:shd w:val="clear" w:color="auto" w:fill="FFFFFF"/>
        </w:rPr>
        <w:t xml:space="preserve">. El artículo 6 de la mencionada ley modificó el artículo </w:t>
      </w:r>
      <w:hyperlink r:id="rId14" w:anchor="238" w:history="1">
        <w:r w:rsidRPr="008C6876">
          <w:rPr>
            <w:rFonts w:eastAsiaTheme="minorHAnsi" w:cs="Arial"/>
            <w:shd w:val="clear" w:color="auto" w:fill="FFFFFF"/>
          </w:rPr>
          <w:t>238</w:t>
        </w:r>
      </w:hyperlink>
      <w:r w:rsidRPr="008C6876">
        <w:rPr>
          <w:rFonts w:eastAsiaTheme="minorHAnsi" w:cs="Arial"/>
          <w:shd w:val="clear" w:color="auto" w:fill="FFFFFF"/>
        </w:rPr>
        <w:t xml:space="preserve"> del Código Sustantivo del Trabajo quedando este así:</w:t>
      </w:r>
    </w:p>
    <w:p w14:paraId="1D14E03C" w14:textId="77777777" w:rsidR="00C560BE" w:rsidRPr="008C6876" w:rsidRDefault="00C560BE" w:rsidP="00C560BE">
      <w:pPr>
        <w:shd w:val="clear" w:color="auto" w:fill="FFFFFF"/>
        <w:spacing w:line="276" w:lineRule="auto"/>
        <w:ind w:right="1008"/>
        <w:jc w:val="both"/>
        <w:rPr>
          <w:rFonts w:cs="Arial"/>
          <w:shd w:val="clear" w:color="auto" w:fill="FFFFFF"/>
        </w:rPr>
      </w:pPr>
    </w:p>
    <w:p w14:paraId="44EB322B" w14:textId="77777777" w:rsidR="00C560BE" w:rsidRPr="008C6876" w:rsidRDefault="00C560BE" w:rsidP="00B45641">
      <w:pPr>
        <w:shd w:val="clear" w:color="auto" w:fill="FFFFFF"/>
        <w:ind w:left="993" w:right="2142"/>
        <w:jc w:val="both"/>
        <w:rPr>
          <w:rFonts w:cs="Arial"/>
          <w:sz w:val="20"/>
          <w:szCs w:val="20"/>
          <w:shd w:val="clear" w:color="auto" w:fill="FFFFFF"/>
        </w:rPr>
      </w:pPr>
      <w:r w:rsidRPr="008C6876">
        <w:rPr>
          <w:rFonts w:cs="Arial"/>
          <w:sz w:val="20"/>
          <w:szCs w:val="20"/>
          <w:shd w:val="clear" w:color="auto" w:fill="FFFFFF"/>
        </w:rPr>
        <w:t>“ARTÍCULO 238. DESCANSO REMUNERADO DURANTE LA LACTANCIA.</w:t>
      </w:r>
    </w:p>
    <w:p w14:paraId="0DF06355" w14:textId="77777777" w:rsidR="00C560BE" w:rsidRPr="008C6876" w:rsidRDefault="00C560BE" w:rsidP="00B45641">
      <w:pPr>
        <w:shd w:val="clear" w:color="auto" w:fill="FFFFFF"/>
        <w:ind w:left="993" w:right="2142"/>
        <w:jc w:val="both"/>
        <w:rPr>
          <w:rFonts w:cs="Arial"/>
          <w:sz w:val="20"/>
          <w:szCs w:val="20"/>
          <w:shd w:val="clear" w:color="auto" w:fill="FFFFFF"/>
        </w:rPr>
      </w:pPr>
    </w:p>
    <w:p w14:paraId="5A1F60D6" w14:textId="77777777" w:rsidR="00C560BE" w:rsidRPr="008C6876" w:rsidRDefault="00C560BE" w:rsidP="00B45641">
      <w:pPr>
        <w:shd w:val="clear" w:color="auto" w:fill="FFFFFF"/>
        <w:ind w:left="993" w:right="2142"/>
        <w:jc w:val="both"/>
        <w:rPr>
          <w:rFonts w:cs="Arial"/>
          <w:sz w:val="20"/>
          <w:szCs w:val="20"/>
          <w:shd w:val="clear" w:color="auto" w:fill="FFFFFF"/>
        </w:rPr>
      </w:pPr>
      <w:r w:rsidRPr="008C6876">
        <w:rPr>
          <w:rFonts w:cs="Arial"/>
          <w:sz w:val="20"/>
          <w:szCs w:val="20"/>
          <w:shd w:val="clear" w:color="auto" w:fill="FFFFFF"/>
        </w:rPr>
        <w:t>1.El empleador está en la obligación de conceder a la trabajadora dos (2) descansos, de treinta (30) minutos cada uno, dentro de la jornada para amamantar a su hijo, sin descuento alguno en el salario por dicho concepto, durante los primeros seis (6) meses de edad, y una vez cumplido este periodo, un (1) descanso de treinta (30) minutos en los mismos términos hasta los dos (2) años de edad de/ menor: siempre y cuando se mantenga y manifieste una adecuada lactancia materno continua.</w:t>
      </w:r>
    </w:p>
    <w:p w14:paraId="00D2CAFC" w14:textId="77777777" w:rsidR="00C560BE" w:rsidRPr="008C6876" w:rsidRDefault="00C560BE" w:rsidP="00B45641">
      <w:pPr>
        <w:shd w:val="clear" w:color="auto" w:fill="FFFFFF"/>
        <w:ind w:left="993" w:right="2142"/>
        <w:jc w:val="both"/>
        <w:rPr>
          <w:rFonts w:cs="Arial"/>
          <w:sz w:val="20"/>
          <w:szCs w:val="20"/>
          <w:shd w:val="clear" w:color="auto" w:fill="FFFFFF"/>
        </w:rPr>
      </w:pPr>
    </w:p>
    <w:p w14:paraId="31C1E5D6" w14:textId="77777777" w:rsidR="00C560BE" w:rsidRPr="008C6876" w:rsidRDefault="00C560BE" w:rsidP="00B45641">
      <w:pPr>
        <w:shd w:val="clear" w:color="auto" w:fill="FFFFFF"/>
        <w:ind w:left="993" w:right="2142"/>
        <w:jc w:val="both"/>
        <w:rPr>
          <w:rFonts w:cs="Arial"/>
          <w:sz w:val="20"/>
          <w:szCs w:val="20"/>
          <w:shd w:val="clear" w:color="auto" w:fill="FFFFFF"/>
        </w:rPr>
      </w:pPr>
      <w:r w:rsidRPr="008C6876">
        <w:rPr>
          <w:rFonts w:cs="Arial"/>
          <w:sz w:val="20"/>
          <w:szCs w:val="20"/>
          <w:shd w:val="clear" w:color="auto" w:fill="FFFFFF"/>
        </w:rPr>
        <w:t>2. El empleador está en la obligación de conceder más descansos que los establecidos en el inciso anterior si lo trabajadora presenta certificado médico en el cual se expongan las razones que justifiquen ese mayor número de descansos.</w:t>
      </w:r>
    </w:p>
    <w:p w14:paraId="769B16BC" w14:textId="77777777" w:rsidR="00C560BE" w:rsidRPr="008C6876" w:rsidRDefault="00C560BE" w:rsidP="00B45641">
      <w:pPr>
        <w:shd w:val="clear" w:color="auto" w:fill="FFFFFF"/>
        <w:ind w:left="993" w:right="2142"/>
        <w:jc w:val="both"/>
        <w:rPr>
          <w:rFonts w:cs="Arial"/>
          <w:sz w:val="20"/>
          <w:szCs w:val="20"/>
          <w:shd w:val="clear" w:color="auto" w:fill="FFFFFF"/>
        </w:rPr>
      </w:pPr>
    </w:p>
    <w:p w14:paraId="36C42764" w14:textId="77777777" w:rsidR="00C560BE" w:rsidRPr="008C6876" w:rsidRDefault="00C560BE" w:rsidP="00B45641">
      <w:pPr>
        <w:shd w:val="clear" w:color="auto" w:fill="FFFFFF"/>
        <w:ind w:left="993" w:right="2142"/>
        <w:jc w:val="both"/>
        <w:rPr>
          <w:rFonts w:cs="Arial"/>
          <w:sz w:val="20"/>
          <w:szCs w:val="20"/>
          <w:shd w:val="clear" w:color="auto" w:fill="FFFFFF"/>
        </w:rPr>
      </w:pPr>
      <w:r w:rsidRPr="008C6876">
        <w:rPr>
          <w:rFonts w:cs="Arial"/>
          <w:sz w:val="20"/>
          <w:szCs w:val="20"/>
          <w:shd w:val="clear" w:color="auto" w:fill="FFFFFF"/>
        </w:rPr>
        <w:t>3. Para dar cumplimiento a la obligación consagrada en este artículo, los empleadores deben establecer en un local contiguo a aquel en donde la mujer trabaja, una sala de lactancia o un lugar apropiado para guardar al niño.</w:t>
      </w:r>
    </w:p>
    <w:p w14:paraId="1E27F794" w14:textId="77777777" w:rsidR="00C560BE" w:rsidRPr="008C6876" w:rsidRDefault="00C560BE" w:rsidP="00B45641">
      <w:pPr>
        <w:shd w:val="clear" w:color="auto" w:fill="FFFFFF"/>
        <w:ind w:left="993" w:right="2142"/>
        <w:jc w:val="both"/>
        <w:rPr>
          <w:rFonts w:cs="Arial"/>
          <w:sz w:val="20"/>
          <w:szCs w:val="20"/>
          <w:shd w:val="clear" w:color="auto" w:fill="FFFFFF"/>
        </w:rPr>
      </w:pPr>
    </w:p>
    <w:p w14:paraId="7E51B0D8" w14:textId="77777777" w:rsidR="00C560BE" w:rsidRPr="008C6876" w:rsidRDefault="00C560BE" w:rsidP="00B45641">
      <w:pPr>
        <w:shd w:val="clear" w:color="auto" w:fill="FFFFFF"/>
        <w:ind w:left="992" w:right="2142"/>
        <w:jc w:val="both"/>
        <w:rPr>
          <w:rFonts w:cs="Arial"/>
          <w:sz w:val="20"/>
          <w:szCs w:val="20"/>
          <w:shd w:val="clear" w:color="auto" w:fill="FFFFFF"/>
        </w:rPr>
      </w:pPr>
      <w:r w:rsidRPr="008C6876">
        <w:rPr>
          <w:rFonts w:cs="Arial"/>
          <w:sz w:val="20"/>
          <w:szCs w:val="20"/>
          <w:shd w:val="clear" w:color="auto" w:fill="FFFFFF"/>
        </w:rPr>
        <w:t>4. Los empleadores pueden contratar con las instituciones de protección infantil el inciso anterior”.</w:t>
      </w:r>
    </w:p>
    <w:p w14:paraId="1EFA44A2" w14:textId="77777777" w:rsidR="00C560BE" w:rsidRPr="008C6876" w:rsidRDefault="00C560BE" w:rsidP="00C560BE">
      <w:pPr>
        <w:tabs>
          <w:tab w:val="left" w:pos="0"/>
        </w:tabs>
        <w:spacing w:line="276" w:lineRule="auto"/>
        <w:ind w:right="1008"/>
        <w:jc w:val="both"/>
        <w:rPr>
          <w:rFonts w:cs="Arial"/>
        </w:rPr>
      </w:pPr>
    </w:p>
    <w:p w14:paraId="0227BF91" w14:textId="5541EDD8" w:rsidR="00C560BE" w:rsidRPr="008C6876" w:rsidRDefault="00C560BE" w:rsidP="00790C95">
      <w:pPr>
        <w:spacing w:after="120" w:line="276" w:lineRule="auto"/>
        <w:ind w:right="1008" w:firstLine="720"/>
        <w:jc w:val="both"/>
        <w:rPr>
          <w:rFonts w:cs="Arial"/>
        </w:rPr>
      </w:pPr>
      <w:r>
        <w:rPr>
          <w:rFonts w:cs="Arial"/>
        </w:rPr>
        <w:t>Según se deprende del texto transcrito</w:t>
      </w:r>
      <w:r w:rsidRPr="008C6876">
        <w:rPr>
          <w:rFonts w:cs="Arial"/>
        </w:rPr>
        <w:t>, la norma concede un descanso remunerado para la</w:t>
      </w:r>
      <w:r>
        <w:rPr>
          <w:rFonts w:cs="Arial"/>
        </w:rPr>
        <w:t>s</w:t>
      </w:r>
      <w:r w:rsidRPr="008C6876">
        <w:rPr>
          <w:rFonts w:cs="Arial"/>
        </w:rPr>
        <w:t xml:space="preserve"> trabajadora</w:t>
      </w:r>
      <w:r>
        <w:rPr>
          <w:rFonts w:cs="Arial"/>
        </w:rPr>
        <w:t>s</w:t>
      </w:r>
      <w:r w:rsidRPr="008C6876">
        <w:rPr>
          <w:rFonts w:cs="Arial"/>
        </w:rPr>
        <w:t xml:space="preserve"> durante el periodo de lactancia de la siguiente forma: i) hasta los seis (6) </w:t>
      </w:r>
      <w:r>
        <w:rPr>
          <w:rFonts w:cs="Arial"/>
        </w:rPr>
        <w:t xml:space="preserve">meses </w:t>
      </w:r>
      <w:r w:rsidRPr="008C6876">
        <w:rPr>
          <w:rFonts w:cs="Arial"/>
        </w:rPr>
        <w:t xml:space="preserve">de edad, los empleadores deben conceder dos (2) descansos de treinta (30) minutos cada uno durante la jornada laboral y; ii) </w:t>
      </w:r>
      <w:r w:rsidRPr="008C6876">
        <w:rPr>
          <w:rFonts w:cs="Arial"/>
        </w:rPr>
        <w:lastRenderedPageBreak/>
        <w:t xml:space="preserve">de los seis (6) en adelante y hasta los dos (2) años de edad, se debe conceder a la trabajadora un descanso de treinta (30) minutos durante la jornada laboral, sin que estos descansos impliquen una disminución en el salario devengado. </w:t>
      </w:r>
      <w:r w:rsidRPr="008C6876">
        <w:rPr>
          <w:rFonts w:cs="Arial"/>
        </w:rPr>
        <w:tab/>
      </w:r>
    </w:p>
    <w:p w14:paraId="49ECC071" w14:textId="469F72F4" w:rsidR="00C560BE" w:rsidRPr="008C6876" w:rsidRDefault="00790C95" w:rsidP="00C560BE">
      <w:pPr>
        <w:tabs>
          <w:tab w:val="left" w:pos="0"/>
        </w:tabs>
        <w:spacing w:after="120" w:line="276" w:lineRule="auto"/>
        <w:ind w:right="1008"/>
        <w:jc w:val="both"/>
        <w:rPr>
          <w:rFonts w:cs="Arial"/>
          <w:shd w:val="clear" w:color="auto" w:fill="FFFFFF"/>
        </w:rPr>
      </w:pPr>
      <w:r>
        <w:rPr>
          <w:rFonts w:cs="Arial"/>
          <w:shd w:val="clear" w:color="auto" w:fill="FFFFFF"/>
        </w:rPr>
        <w:tab/>
      </w:r>
      <w:r w:rsidR="00C560BE" w:rsidRPr="008C6876">
        <w:rPr>
          <w:rFonts w:cs="Arial"/>
          <w:shd w:val="clear" w:color="auto" w:fill="FFFFFF"/>
        </w:rPr>
        <w:t xml:space="preserve">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como opera durante el periodo de lactancia. De acuerdo con lo establecido en el artículo 239 </w:t>
      </w:r>
      <w:r w:rsidR="00C560BE" w:rsidRPr="008C6876">
        <w:rPr>
          <w:rFonts w:cs="Arial"/>
          <w:i/>
          <w:iCs/>
          <w:shd w:val="clear" w:color="auto" w:fill="FFFFFF"/>
        </w:rPr>
        <w:t>ibidem</w:t>
      </w:r>
      <w:r w:rsidR="00C560BE" w:rsidRPr="008C6876">
        <w:rPr>
          <w:rFonts w:cs="Arial"/>
          <w:shd w:val="clear" w:color="auto" w:fill="FFFFFF"/>
        </w:rPr>
        <w:t xml:space="preserve">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 </w:t>
      </w:r>
    </w:p>
    <w:p w14:paraId="1A9F93AF" w14:textId="6E09E45D" w:rsidR="00C560BE" w:rsidRPr="008C6876" w:rsidRDefault="00790C95" w:rsidP="00C560BE">
      <w:pPr>
        <w:tabs>
          <w:tab w:val="left" w:pos="0"/>
        </w:tabs>
        <w:spacing w:after="120" w:line="276" w:lineRule="auto"/>
        <w:ind w:right="1008"/>
        <w:jc w:val="both"/>
      </w:pPr>
      <w:r>
        <w:tab/>
      </w:r>
      <w:r w:rsidR="00C560BE" w:rsidRPr="008C6876">
        <w:t xml:space="preserve">De conformidad con las citadas normas, se entiende que existiría la presunción de despido por estado de embarazo, durante el embarazo y el goce de la licencia de maternidad que equivale a las (18) semanas posteriores al parto y en el término de la lactancia en donde si bien existe una protección, no le es aplicable dicha presunción, motivo por el cual la trabajadora deberá demostrar ante la autoridad competente que dicho despido fue dado a causa de su embarazo o lactancia. </w:t>
      </w:r>
    </w:p>
    <w:p w14:paraId="76F168E1" w14:textId="77777777" w:rsidR="00C560BE" w:rsidRPr="008C6876" w:rsidRDefault="00C560BE" w:rsidP="00790C95">
      <w:pPr>
        <w:spacing w:after="120" w:line="276" w:lineRule="auto"/>
        <w:ind w:right="1008" w:firstLine="720"/>
        <w:jc w:val="both"/>
        <w:rPr>
          <w:rFonts w:cs="Arial"/>
          <w:shd w:val="clear" w:color="auto" w:fill="FFFFFF"/>
        </w:rPr>
      </w:pPr>
      <w:r w:rsidRPr="008C6876">
        <w:rPr>
          <w:rFonts w:cs="Arial"/>
          <w:shd w:val="clear" w:color="auto" w:fill="FFFFFF"/>
        </w:rPr>
        <w:t xml:space="preserve">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w:t>
      </w:r>
      <w:hyperlink r:id="rId15" w:history="1">
        <w:r w:rsidRPr="008C6876">
          <w:rPr>
            <w:rFonts w:cs="Arial"/>
            <w:shd w:val="clear" w:color="auto" w:fill="FFFFFF"/>
          </w:rPr>
          <w:t>2603</w:t>
        </w:r>
      </w:hyperlink>
      <w:r w:rsidRPr="008C6876">
        <w:rPr>
          <w:rFonts w:cs="Arial"/>
          <w:shd w:val="clear" w:color="auto" w:fill="FFFFFF"/>
        </w:rPr>
        <w:t xml:space="preserve"> de 2023 no implica una extensión automática del fuero de maternidad. En efecto, las trabajadoras gozarán del descanso remunerado de lactancia durante los dos (2) primeros años de vida del menor “…siempre y cuando se mantenga y manifieste una adecuada lactancia materno continua</w:t>
      </w:r>
      <w:r>
        <w:rPr>
          <w:rFonts w:cs="Arial"/>
          <w:shd w:val="clear" w:color="auto" w:fill="FFFFFF"/>
        </w:rPr>
        <w:t>,</w:t>
      </w:r>
      <w:r w:rsidRPr="008C6876">
        <w:rPr>
          <w:rFonts w:cs="Arial"/>
          <w:shd w:val="clear" w:color="auto" w:fill="FFFFFF"/>
        </w:rPr>
        <w:t xml:space="preserve"> la que deberá acreditar la Madre Trabajadora con los respectivos certificados médicos.” </w:t>
      </w:r>
    </w:p>
    <w:p w14:paraId="26516472" w14:textId="77777777" w:rsidR="00C560BE" w:rsidRPr="008C6876" w:rsidRDefault="00C560BE" w:rsidP="00790C95">
      <w:pPr>
        <w:spacing w:after="120" w:line="276" w:lineRule="auto"/>
        <w:ind w:right="1008" w:firstLine="720"/>
        <w:jc w:val="both"/>
        <w:rPr>
          <w:rFonts w:eastAsia="Calibri" w:cs="Arial"/>
          <w:color w:val="000000"/>
        </w:rPr>
      </w:pPr>
      <w:r w:rsidRPr="008C6876">
        <w:rPr>
          <w:rFonts w:eastAsia="Calibri" w:cs="Arial"/>
          <w:bCs/>
          <w:color w:val="000000"/>
          <w:lang w:val="es-ES_tradnl"/>
        </w:rPr>
        <w:t>En</w:t>
      </w:r>
      <w:r>
        <w:rPr>
          <w:rFonts w:eastAsia="Calibri" w:cs="Arial"/>
          <w:bCs/>
          <w:color w:val="000000"/>
          <w:lang w:val="es-ES_tradnl"/>
        </w:rPr>
        <w:t xml:space="preserve"> este contexto, frente al interrogante planteado en su consulta tendiente a establecer si ¿</w:t>
      </w:r>
      <w:r w:rsidRPr="008C6876">
        <w:rPr>
          <w:rFonts w:eastAsia="Calibri" w:cs="Arial"/>
          <w:bCs/>
          <w:color w:val="000000"/>
          <w:lang w:val="es-ES_tradnl"/>
        </w:rPr>
        <w:t xml:space="preserve">el derecho regulado en la </w:t>
      </w:r>
      <w:r>
        <w:rPr>
          <w:rFonts w:eastAsia="Calibri" w:cs="Arial"/>
          <w:bCs/>
          <w:color w:val="000000"/>
          <w:lang w:val="es-ES_tradnl"/>
        </w:rPr>
        <w:t xml:space="preserve">en el artículo 6 de la </w:t>
      </w:r>
      <w:r w:rsidRPr="008C6876">
        <w:rPr>
          <w:rFonts w:eastAsia="Calibri" w:cs="Arial"/>
          <w:bCs/>
          <w:color w:val="000000"/>
          <w:lang w:val="es-ES_tradnl"/>
        </w:rPr>
        <w:t xml:space="preserve">Ley 2306 de 2023 también </w:t>
      </w:r>
      <w:r>
        <w:rPr>
          <w:rFonts w:eastAsia="Calibri" w:cs="Arial"/>
          <w:bCs/>
          <w:color w:val="000000"/>
          <w:lang w:val="es-ES_tradnl"/>
        </w:rPr>
        <w:t xml:space="preserve">debe garantizarse </w:t>
      </w:r>
      <w:r w:rsidRPr="008C6876">
        <w:rPr>
          <w:rFonts w:eastAsia="Calibri" w:cs="Arial"/>
          <w:bCs/>
          <w:color w:val="000000"/>
          <w:lang w:val="es-ES_tradnl"/>
        </w:rPr>
        <w:t>a las contratistas</w:t>
      </w:r>
      <w:r>
        <w:rPr>
          <w:rFonts w:eastAsia="Calibri" w:cs="Arial"/>
          <w:bCs/>
          <w:color w:val="000000"/>
          <w:lang w:val="es-ES_tradnl"/>
        </w:rPr>
        <w:t xml:space="preserve"> del Estado en la modalidad</w:t>
      </w:r>
      <w:r w:rsidRPr="008C6876">
        <w:rPr>
          <w:rFonts w:eastAsia="Calibri" w:cs="Arial"/>
          <w:bCs/>
          <w:color w:val="000000"/>
          <w:lang w:val="es-ES_tradnl"/>
        </w:rPr>
        <w:t xml:space="preserve"> prestación de servicio</w:t>
      </w:r>
      <w:r>
        <w:rPr>
          <w:rFonts w:eastAsia="Calibri" w:cs="Arial"/>
          <w:bCs/>
          <w:color w:val="000000"/>
          <w:lang w:val="es-ES_tradnl"/>
        </w:rPr>
        <w:t>?</w:t>
      </w:r>
      <w:r w:rsidRPr="008C6876">
        <w:rPr>
          <w:rFonts w:eastAsia="Calibri" w:cs="Arial"/>
          <w:bCs/>
          <w:color w:val="000000"/>
          <w:lang w:val="es-ES_tradnl"/>
        </w:rPr>
        <w:t>, la</w:t>
      </w:r>
      <w:r>
        <w:rPr>
          <w:rFonts w:eastAsia="Calibri" w:cs="Arial"/>
          <w:bCs/>
          <w:color w:val="000000"/>
          <w:lang w:val="es-ES_tradnl"/>
        </w:rPr>
        <w:t xml:space="preserve"> respuesta</w:t>
      </w:r>
      <w:r w:rsidRPr="008C6876">
        <w:rPr>
          <w:rFonts w:eastAsia="Calibri" w:cs="Arial"/>
          <w:bCs/>
          <w:color w:val="000000"/>
          <w:lang w:val="es-ES_tradnl"/>
        </w:rPr>
        <w:t xml:space="preserve"> Agencia Nacional de Contratación Pública – Colombia Compra Eficiente</w:t>
      </w:r>
      <w:r>
        <w:rPr>
          <w:rFonts w:eastAsia="Calibri" w:cs="Arial"/>
          <w:bCs/>
          <w:color w:val="000000"/>
          <w:lang w:val="es-ES_tradnl"/>
        </w:rPr>
        <w:t>–</w:t>
      </w:r>
      <w:r w:rsidRPr="008C6876">
        <w:rPr>
          <w:rFonts w:eastAsia="Calibri" w:cs="Arial"/>
          <w:bCs/>
          <w:color w:val="000000"/>
          <w:lang w:val="es-ES_tradnl"/>
        </w:rPr>
        <w:t xml:space="preserve"> </w:t>
      </w:r>
      <w:r>
        <w:rPr>
          <w:rFonts w:eastAsia="Calibri" w:cs="Arial"/>
          <w:bCs/>
          <w:color w:val="000000"/>
          <w:lang w:val="es-ES_tradnl"/>
        </w:rPr>
        <w:t xml:space="preserve">es negativa. </w:t>
      </w:r>
      <w:r>
        <w:rPr>
          <w:rFonts w:eastAsia="Calibri" w:cs="Arial"/>
          <w:color w:val="000000" w:themeColor="text1"/>
        </w:rPr>
        <w:t xml:space="preserve">Esto comoquiera que, </w:t>
      </w:r>
      <w:r w:rsidRPr="4B271BFC">
        <w:rPr>
          <w:rFonts w:eastAsia="Calibri" w:cs="Arial"/>
          <w:color w:val="000000" w:themeColor="text1"/>
        </w:rPr>
        <w:t xml:space="preserve">las modificaciones </w:t>
      </w:r>
      <w:r w:rsidRPr="4B271BFC">
        <w:rPr>
          <w:rFonts w:eastAsia="Calibri" w:cs="Arial"/>
          <w:color w:val="000000" w:themeColor="text1"/>
        </w:rPr>
        <w:lastRenderedPageBreak/>
        <w:t xml:space="preserve">introducidas por el artículo 6 de la Ley 2306 de 2023 </w:t>
      </w:r>
      <w:r>
        <w:rPr>
          <w:rFonts w:eastAsia="Calibri" w:cs="Arial"/>
          <w:color w:val="000000" w:themeColor="text1"/>
        </w:rPr>
        <w:t>son</w:t>
      </w:r>
      <w:r w:rsidRPr="4B271BFC">
        <w:rPr>
          <w:rFonts w:eastAsia="Calibri" w:cs="Arial"/>
          <w:color w:val="000000" w:themeColor="text1"/>
        </w:rPr>
        <w:t xml:space="preserve"> aplica</w:t>
      </w:r>
      <w:r>
        <w:rPr>
          <w:rFonts w:eastAsia="Calibri" w:cs="Arial"/>
          <w:color w:val="000000" w:themeColor="text1"/>
        </w:rPr>
        <w:t>bles</w:t>
      </w:r>
      <w:r w:rsidRPr="4B271BFC">
        <w:rPr>
          <w:rFonts w:eastAsia="Calibri" w:cs="Arial"/>
          <w:color w:val="000000" w:themeColor="text1"/>
        </w:rPr>
        <w:t xml:space="preserve">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 </w:t>
      </w:r>
    </w:p>
    <w:p w14:paraId="2A24203A" w14:textId="77777777" w:rsidR="00C560BE" w:rsidRPr="008C6876" w:rsidRDefault="00C560BE" w:rsidP="00790C95">
      <w:pPr>
        <w:spacing w:after="120" w:line="276" w:lineRule="auto"/>
        <w:ind w:right="1008" w:firstLine="720"/>
        <w:jc w:val="both"/>
        <w:rPr>
          <w:rFonts w:cs="Arial"/>
          <w:shd w:val="clear" w:color="auto" w:fill="FFFFFF"/>
        </w:rPr>
      </w:pPr>
      <w:r w:rsidRPr="008C6876">
        <w:rPr>
          <w:rFonts w:eastAsia="Calibri" w:cs="Arial"/>
          <w:bCs/>
          <w:color w:val="000000"/>
          <w:lang w:val="es-ES_tradnl"/>
        </w:rPr>
        <w:t xml:space="preserve">Habiendo efectuado la precisión anterior, puede afirmarse que lo previsto en la Ley 2306 de 2023, específicamente en el artículo 6, no se aplica a las relaciones contractuales de las Entidades Estatales que </w:t>
      </w:r>
      <w:r w:rsidRPr="008C6876">
        <w:rPr>
          <w:rFonts w:eastAsia="Calibri" w:cs="Arial"/>
          <w:bCs/>
          <w:i/>
          <w:iCs/>
          <w:color w:val="000000"/>
          <w:lang w:val="es-ES_tradnl"/>
        </w:rPr>
        <w:t>no</w:t>
      </w:r>
      <w:r w:rsidRPr="008C6876">
        <w:rPr>
          <w:rFonts w:eastAsia="Calibri" w:cs="Arial"/>
          <w:bCs/>
          <w:color w:val="000000"/>
          <w:lang w:val="es-ES_tradnl"/>
        </w:rPr>
        <w:t xml:space="preserve">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sidRPr="008C6876" w:rsidDel="00C72792">
        <w:rPr>
          <w:rFonts w:cs="Arial"/>
          <w:shd w:val="clear" w:color="auto" w:fill="FFFFFF"/>
        </w:rPr>
        <w:t xml:space="preserve"> </w:t>
      </w:r>
    </w:p>
    <w:p w14:paraId="46F508E4" w14:textId="77777777" w:rsidR="00C560BE" w:rsidRPr="008C6876" w:rsidRDefault="00C560BE" w:rsidP="00790C95">
      <w:pPr>
        <w:spacing w:line="276" w:lineRule="auto"/>
        <w:ind w:right="1008" w:firstLine="260"/>
        <w:jc w:val="both"/>
        <w:rPr>
          <w:rFonts w:eastAsia="Calibri" w:cs="Arial"/>
          <w:bCs/>
          <w:color w:val="000000"/>
          <w:lang w:val="es-ES_tradnl"/>
        </w:rPr>
      </w:pPr>
      <w:r w:rsidRPr="008C6876">
        <w:rPr>
          <w:rFonts w:cs="Arial"/>
          <w:shd w:val="clear" w:color="auto" w:fill="FFFFFF"/>
        </w:rPr>
        <w:t>En este punto, es necesario precisar que, a la fecha no existe un precedente judicial o los fundamentos jurídicos mediante los cuales se han resuelto situaciones análogas, por lo que para la Agencia no es posible realizar la interpretación de la Ley </w:t>
      </w:r>
      <w:hyperlink r:id="rId16" w:history="1">
        <w:r w:rsidRPr="008C6876">
          <w:rPr>
            <w:rFonts w:cs="Arial"/>
            <w:shd w:val="clear" w:color="auto" w:fill="FFFFFF"/>
          </w:rPr>
          <w:t>2306</w:t>
        </w:r>
      </w:hyperlink>
      <w:r w:rsidRPr="008C6876">
        <w:rPr>
          <w:rFonts w:cs="Arial"/>
          <w:shd w:val="clear" w:color="auto" w:fill="FFFFFF"/>
        </w:rPr>
        <w:t> de 2023 que  modifica el artículo </w:t>
      </w:r>
      <w:hyperlink r:id="rId17" w:anchor="238" w:history="1">
        <w:r w:rsidRPr="008C6876">
          <w:rPr>
            <w:rFonts w:cs="Arial"/>
            <w:shd w:val="clear" w:color="auto" w:fill="FFFFFF"/>
          </w:rPr>
          <w:t>238</w:t>
        </w:r>
      </w:hyperlink>
      <w:r w:rsidRPr="008C6876">
        <w:rPr>
          <w:rFonts w:cs="Arial"/>
          <w:shd w:val="clear" w:color="auto" w:fill="FFFFFF"/>
        </w:rPr>
        <w:t> del Código Sustantivo del Trabajo para el caso específico de los contratos de prestación de servicios.</w:t>
      </w:r>
      <w:r>
        <w:rPr>
          <w:rFonts w:cs="Arial"/>
          <w:shd w:val="clear" w:color="auto" w:fill="FFFFFF"/>
        </w:rPr>
        <w:t xml:space="preserve"> </w:t>
      </w:r>
      <w:r w:rsidRPr="008C6876">
        <w:rPr>
          <w:rFonts w:eastAsia="Calibri" w:cs="Arial"/>
          <w:bCs/>
          <w:color w:val="000000"/>
          <w:lang w:val="es-ES_tradnl"/>
        </w:rPr>
        <w:t xml:space="preserve">Por lo expuesto, el derecho a los descansos remunerados en el periodo de lactancia y – la posible extensión del fuero de maternidad –, regulado en la Ley 2306 de 2023, no rige a favor de las contratistas del Estado que no ingresan en la categoría de </w:t>
      </w:r>
      <w:r w:rsidRPr="008C6876">
        <w:rPr>
          <w:rFonts w:eastAsia="Calibri" w:cs="Arial"/>
          <w:bCs/>
          <w:i/>
          <w:iCs/>
          <w:color w:val="000000"/>
          <w:lang w:val="es-ES_tradnl"/>
        </w:rPr>
        <w:t>trabajadores</w:t>
      </w:r>
      <w:r w:rsidRPr="008C6876">
        <w:rPr>
          <w:rFonts w:eastAsia="Calibri" w:cs="Arial"/>
          <w:bCs/>
          <w:color w:val="000000"/>
          <w:lang w:val="es-ES_tradnl"/>
        </w:rPr>
        <w:t xml:space="preserve">. </w:t>
      </w:r>
    </w:p>
    <w:p w14:paraId="31E9FC1E" w14:textId="77777777" w:rsidR="00771A1C" w:rsidRPr="00C560BE" w:rsidRDefault="00771A1C">
      <w:pPr>
        <w:pStyle w:val="Textoindependiente"/>
        <w:spacing w:before="40"/>
        <w:rPr>
          <w:lang w:val="es-ES_tradnl"/>
        </w:rPr>
      </w:pPr>
    </w:p>
    <w:p w14:paraId="7879DBD1" w14:textId="77777777" w:rsidR="00771A1C" w:rsidRPr="00255AB5" w:rsidRDefault="002A56AD">
      <w:pPr>
        <w:pStyle w:val="Ttulo1"/>
        <w:numPr>
          <w:ilvl w:val="0"/>
          <w:numId w:val="3"/>
        </w:numPr>
        <w:tabs>
          <w:tab w:val="left" w:pos="542"/>
        </w:tabs>
        <w:ind w:left="542" w:hanging="282"/>
      </w:pPr>
      <w:r w:rsidRPr="00EE0EBA">
        <w:rPr>
          <w:spacing w:val="-2"/>
        </w:rPr>
        <w:t>Referencias</w:t>
      </w:r>
      <w:r w:rsidRPr="00EE0EBA">
        <w:rPr>
          <w:spacing w:val="-3"/>
        </w:rPr>
        <w:t xml:space="preserve"> </w:t>
      </w:r>
      <w:r w:rsidRPr="00EE0EBA">
        <w:rPr>
          <w:spacing w:val="-2"/>
        </w:rPr>
        <w:t>normativas,</w:t>
      </w:r>
      <w:r w:rsidRPr="00EE0EBA">
        <w:rPr>
          <w:spacing w:val="-3"/>
        </w:rPr>
        <w:t xml:space="preserve"> </w:t>
      </w:r>
      <w:r w:rsidRPr="00EE0EBA">
        <w:rPr>
          <w:spacing w:val="-2"/>
        </w:rPr>
        <w:t>jurisprudenciales</w:t>
      </w:r>
      <w:r w:rsidRPr="00EE0EBA">
        <w:rPr>
          <w:spacing w:val="-3"/>
        </w:rPr>
        <w:t xml:space="preserve"> </w:t>
      </w:r>
      <w:r w:rsidRPr="00EE0EBA">
        <w:rPr>
          <w:spacing w:val="-2"/>
        </w:rPr>
        <w:t>y otras</w:t>
      </w:r>
      <w:r w:rsidRPr="00EE0EBA">
        <w:rPr>
          <w:spacing w:val="-3"/>
        </w:rPr>
        <w:t xml:space="preserve"> </w:t>
      </w:r>
      <w:r w:rsidRPr="00EE0EBA">
        <w:rPr>
          <w:spacing w:val="-2"/>
        </w:rPr>
        <w:t>fuentes:</w:t>
      </w:r>
    </w:p>
    <w:p w14:paraId="37EB788C" w14:textId="77777777" w:rsidR="00255AB5" w:rsidRDefault="00255AB5" w:rsidP="00255AB5">
      <w:pPr>
        <w:pStyle w:val="Ttulo1"/>
        <w:tabs>
          <w:tab w:val="left" w:pos="542"/>
        </w:tabs>
        <w:ind w:firstLine="0"/>
        <w:rPr>
          <w:spacing w:val="-2"/>
        </w:rPr>
      </w:pPr>
    </w:p>
    <w:p w14:paraId="46DB20EA" w14:textId="0482C9B0" w:rsidR="00255AB5" w:rsidRDefault="009925F9" w:rsidP="00255AB5">
      <w:pPr>
        <w:pStyle w:val="Ttulo1"/>
        <w:tabs>
          <w:tab w:val="left" w:pos="542"/>
        </w:tabs>
        <w:ind w:firstLine="0"/>
      </w:pPr>
      <w:r w:rsidRPr="00EE0EBA">
        <w:rPr>
          <w:b w:val="0"/>
          <w:noProof/>
          <w:sz w:val="20"/>
        </w:rPr>
        <w:lastRenderedPageBreak/>
        <mc:AlternateContent>
          <mc:Choice Requires="wps">
            <w:drawing>
              <wp:anchor distT="0" distB="0" distL="0" distR="0" simplePos="0" relativeHeight="251659264" behindDoc="1" locked="0" layoutInCell="1" allowOverlap="1" wp14:anchorId="28802A79" wp14:editId="57EA2D03">
                <wp:simplePos x="0" y="0"/>
                <wp:positionH relativeFrom="margin">
                  <wp:posOffset>0</wp:posOffset>
                </wp:positionH>
                <wp:positionV relativeFrom="paragraph">
                  <wp:posOffset>170815</wp:posOffset>
                </wp:positionV>
                <wp:extent cx="5781675" cy="2352675"/>
                <wp:effectExtent l="0" t="0" r="28575" b="28575"/>
                <wp:wrapTopAndBottom/>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2352675"/>
                        </a:xfrm>
                        <a:prstGeom prst="rect">
                          <a:avLst/>
                        </a:prstGeom>
                        <a:ln w="6350">
                          <a:solidFill>
                            <a:srgbClr val="000000"/>
                          </a:solidFill>
                          <a:prstDash val="dot"/>
                        </a:ln>
                      </wps:spPr>
                      <wps:txbx>
                        <w:txbxContent>
                          <w:p w14:paraId="0F8E3B0E" w14:textId="77777777" w:rsidR="009925F9" w:rsidRDefault="009925F9" w:rsidP="009925F9">
                            <w:pPr>
                              <w:pStyle w:val="Textoindependiente"/>
                              <w:numPr>
                                <w:ilvl w:val="0"/>
                                <w:numId w:val="2"/>
                              </w:numPr>
                              <w:tabs>
                                <w:tab w:val="left" w:pos="822"/>
                              </w:tabs>
                              <w:ind w:left="822"/>
                            </w:pPr>
                            <w:r>
                              <w:t>Ley</w:t>
                            </w:r>
                            <w:r>
                              <w:rPr>
                                <w:spacing w:val="-9"/>
                              </w:rPr>
                              <w:t xml:space="preserve"> </w:t>
                            </w:r>
                            <w:r>
                              <w:t>80</w:t>
                            </w:r>
                            <w:r>
                              <w:rPr>
                                <w:spacing w:val="-8"/>
                              </w:rPr>
                              <w:t xml:space="preserve"> </w:t>
                            </w:r>
                            <w:r>
                              <w:t>de</w:t>
                            </w:r>
                            <w:r>
                              <w:rPr>
                                <w:spacing w:val="-9"/>
                              </w:rPr>
                              <w:t xml:space="preserve"> </w:t>
                            </w:r>
                            <w:r>
                              <w:t>1993,</w:t>
                            </w:r>
                            <w:r>
                              <w:rPr>
                                <w:spacing w:val="-3"/>
                              </w:rPr>
                              <w:t xml:space="preserve"> </w:t>
                            </w:r>
                            <w:r>
                              <w:t>numeral</w:t>
                            </w:r>
                            <w:r>
                              <w:rPr>
                                <w:spacing w:val="-6"/>
                              </w:rPr>
                              <w:t xml:space="preserve"> </w:t>
                            </w:r>
                            <w:r>
                              <w:t>3</w:t>
                            </w:r>
                            <w:r>
                              <w:rPr>
                                <w:spacing w:val="-8"/>
                              </w:rPr>
                              <w:t xml:space="preserve"> </w:t>
                            </w:r>
                            <w:r>
                              <w:t>del</w:t>
                            </w:r>
                            <w:r>
                              <w:rPr>
                                <w:spacing w:val="-9"/>
                              </w:rPr>
                              <w:t xml:space="preserve"> </w:t>
                            </w:r>
                            <w:r>
                              <w:t>artículo</w:t>
                            </w:r>
                            <w:r>
                              <w:rPr>
                                <w:spacing w:val="-8"/>
                              </w:rPr>
                              <w:t xml:space="preserve"> </w:t>
                            </w:r>
                            <w:r>
                              <w:rPr>
                                <w:spacing w:val="-5"/>
                              </w:rPr>
                              <w:t>32.</w:t>
                            </w:r>
                          </w:p>
                          <w:p w14:paraId="5E7C42E7" w14:textId="77777777" w:rsidR="009925F9" w:rsidRDefault="009925F9" w:rsidP="009925F9">
                            <w:pPr>
                              <w:pStyle w:val="Textoindependiente"/>
                              <w:numPr>
                                <w:ilvl w:val="0"/>
                                <w:numId w:val="2"/>
                              </w:numPr>
                              <w:tabs>
                                <w:tab w:val="left" w:pos="822"/>
                              </w:tabs>
                              <w:spacing w:before="38"/>
                              <w:ind w:left="822"/>
                            </w:pPr>
                            <w:r>
                              <w:t>Ley</w:t>
                            </w:r>
                            <w:r>
                              <w:rPr>
                                <w:spacing w:val="-10"/>
                              </w:rPr>
                              <w:t xml:space="preserve"> </w:t>
                            </w:r>
                            <w:r>
                              <w:t>1150</w:t>
                            </w:r>
                            <w:r>
                              <w:rPr>
                                <w:spacing w:val="-9"/>
                              </w:rPr>
                              <w:t xml:space="preserve"> </w:t>
                            </w:r>
                            <w:r>
                              <w:t>de</w:t>
                            </w:r>
                            <w:r>
                              <w:rPr>
                                <w:spacing w:val="-9"/>
                              </w:rPr>
                              <w:t xml:space="preserve"> </w:t>
                            </w:r>
                            <w:r>
                              <w:t>2007,</w:t>
                            </w:r>
                            <w:r>
                              <w:rPr>
                                <w:spacing w:val="-3"/>
                              </w:rPr>
                              <w:t xml:space="preserve"> </w:t>
                            </w:r>
                            <w:r>
                              <w:t>el</w:t>
                            </w:r>
                            <w:r>
                              <w:rPr>
                                <w:spacing w:val="-9"/>
                              </w:rPr>
                              <w:t xml:space="preserve"> </w:t>
                            </w:r>
                            <w:r>
                              <w:t>artículo</w:t>
                            </w:r>
                            <w:r>
                              <w:rPr>
                                <w:spacing w:val="-9"/>
                              </w:rPr>
                              <w:t xml:space="preserve"> </w:t>
                            </w:r>
                            <w:r>
                              <w:t>2,</w:t>
                            </w:r>
                            <w:r>
                              <w:rPr>
                                <w:spacing w:val="-10"/>
                              </w:rPr>
                              <w:t xml:space="preserve"> </w:t>
                            </w:r>
                            <w:r>
                              <w:t>numeral</w:t>
                            </w:r>
                            <w:r>
                              <w:rPr>
                                <w:spacing w:val="-9"/>
                              </w:rPr>
                              <w:t xml:space="preserve"> </w:t>
                            </w:r>
                            <w:r>
                              <w:t>4°,</w:t>
                            </w:r>
                            <w:r>
                              <w:rPr>
                                <w:spacing w:val="-9"/>
                              </w:rPr>
                              <w:t xml:space="preserve"> </w:t>
                            </w:r>
                            <w:r>
                              <w:t>literal</w:t>
                            </w:r>
                            <w:r>
                              <w:rPr>
                                <w:spacing w:val="-9"/>
                              </w:rPr>
                              <w:t xml:space="preserve"> </w:t>
                            </w:r>
                            <w:r>
                              <w:rPr>
                                <w:spacing w:val="-5"/>
                              </w:rPr>
                              <w:t>h).</w:t>
                            </w:r>
                          </w:p>
                          <w:p w14:paraId="601F884F" w14:textId="77777777" w:rsidR="009925F9" w:rsidRPr="009F3ABF" w:rsidRDefault="009925F9" w:rsidP="009925F9">
                            <w:pPr>
                              <w:pStyle w:val="Textoindependiente"/>
                              <w:numPr>
                                <w:ilvl w:val="0"/>
                                <w:numId w:val="2"/>
                              </w:numPr>
                              <w:tabs>
                                <w:tab w:val="left" w:pos="822"/>
                              </w:tabs>
                              <w:spacing w:before="38"/>
                              <w:ind w:left="822"/>
                            </w:pPr>
                            <w:r>
                              <w:t>Ley</w:t>
                            </w:r>
                            <w:r>
                              <w:rPr>
                                <w:spacing w:val="-10"/>
                              </w:rPr>
                              <w:t xml:space="preserve"> </w:t>
                            </w:r>
                            <w:r>
                              <w:t>2306</w:t>
                            </w:r>
                            <w:r>
                              <w:rPr>
                                <w:spacing w:val="-10"/>
                              </w:rPr>
                              <w:t xml:space="preserve"> </w:t>
                            </w:r>
                            <w:r>
                              <w:t>de</w:t>
                            </w:r>
                            <w:r>
                              <w:rPr>
                                <w:spacing w:val="-10"/>
                              </w:rPr>
                              <w:t xml:space="preserve"> </w:t>
                            </w:r>
                            <w:r>
                              <w:t>2023,</w:t>
                            </w:r>
                            <w:r>
                              <w:rPr>
                                <w:spacing w:val="-9"/>
                              </w:rPr>
                              <w:t xml:space="preserve"> </w:t>
                            </w:r>
                            <w:r>
                              <w:t>artículo</w:t>
                            </w:r>
                            <w:r>
                              <w:rPr>
                                <w:spacing w:val="-10"/>
                              </w:rPr>
                              <w:t xml:space="preserve"> </w:t>
                            </w:r>
                            <w:r>
                              <w:rPr>
                                <w:spacing w:val="-5"/>
                              </w:rPr>
                              <w:t>5.</w:t>
                            </w:r>
                          </w:p>
                          <w:p w14:paraId="34BD2A39" w14:textId="77777777" w:rsidR="009925F9" w:rsidRDefault="009925F9" w:rsidP="009925F9">
                            <w:pPr>
                              <w:pStyle w:val="Textoindependiente"/>
                              <w:numPr>
                                <w:ilvl w:val="0"/>
                                <w:numId w:val="2"/>
                              </w:numPr>
                              <w:tabs>
                                <w:tab w:val="left" w:pos="821"/>
                              </w:tabs>
                              <w:jc w:val="both"/>
                            </w:pPr>
                            <w:r>
                              <w:t>Decreto</w:t>
                            </w:r>
                            <w:r>
                              <w:rPr>
                                <w:spacing w:val="-11"/>
                              </w:rPr>
                              <w:t xml:space="preserve"> </w:t>
                            </w:r>
                            <w:r>
                              <w:t>1082</w:t>
                            </w:r>
                            <w:r>
                              <w:rPr>
                                <w:spacing w:val="-10"/>
                              </w:rPr>
                              <w:t xml:space="preserve"> </w:t>
                            </w:r>
                            <w:r>
                              <w:t>de</w:t>
                            </w:r>
                            <w:r>
                              <w:rPr>
                                <w:spacing w:val="-10"/>
                              </w:rPr>
                              <w:t xml:space="preserve"> </w:t>
                            </w:r>
                            <w:r>
                              <w:t>2015,</w:t>
                            </w:r>
                            <w:r>
                              <w:rPr>
                                <w:spacing w:val="-3"/>
                              </w:rPr>
                              <w:t xml:space="preserve"> </w:t>
                            </w:r>
                            <w:r>
                              <w:t>el</w:t>
                            </w:r>
                            <w:r>
                              <w:rPr>
                                <w:spacing w:val="-10"/>
                              </w:rPr>
                              <w:t xml:space="preserve"> </w:t>
                            </w:r>
                            <w:r>
                              <w:t>artículo</w:t>
                            </w:r>
                            <w:r>
                              <w:rPr>
                                <w:spacing w:val="-10"/>
                              </w:rPr>
                              <w:t xml:space="preserve"> </w:t>
                            </w:r>
                            <w:r>
                              <w:rPr>
                                <w:spacing w:val="-2"/>
                              </w:rPr>
                              <w:t>2.2.1.2.1.4.9.</w:t>
                            </w:r>
                          </w:p>
                          <w:p w14:paraId="58099948" w14:textId="77777777" w:rsidR="009925F9" w:rsidRDefault="009925F9" w:rsidP="009925F9">
                            <w:pPr>
                              <w:pStyle w:val="Textoindependiente"/>
                              <w:numPr>
                                <w:ilvl w:val="0"/>
                                <w:numId w:val="2"/>
                              </w:numPr>
                              <w:tabs>
                                <w:tab w:val="left" w:pos="823"/>
                              </w:tabs>
                              <w:spacing w:before="38" w:line="273" w:lineRule="auto"/>
                              <w:ind w:right="104"/>
                              <w:jc w:val="both"/>
                            </w:pPr>
                            <w:r>
                              <w:t>Corte Constitucional. Sentencia SU-070 de 2013. Fund. 6. Reiterado en las sentencias SU-040 de 2018 y SU-075 de 2018.</w:t>
                            </w:r>
                          </w:p>
                          <w:p w14:paraId="034A516D" w14:textId="77777777" w:rsidR="009925F9" w:rsidRDefault="009925F9" w:rsidP="009925F9">
                            <w:pPr>
                              <w:pStyle w:val="Textoindependiente"/>
                              <w:numPr>
                                <w:ilvl w:val="0"/>
                                <w:numId w:val="2"/>
                              </w:numPr>
                              <w:tabs>
                                <w:tab w:val="left" w:pos="823"/>
                              </w:tabs>
                              <w:spacing w:before="3" w:line="273" w:lineRule="auto"/>
                              <w:ind w:right="103"/>
                              <w:jc w:val="both"/>
                            </w:pPr>
                            <w:r>
                              <w:t>Corte</w:t>
                            </w:r>
                            <w:r>
                              <w:rPr>
                                <w:spacing w:val="-20"/>
                              </w:rPr>
                              <w:t xml:space="preserve"> </w:t>
                            </w:r>
                            <w:r>
                              <w:t>Constitucional.</w:t>
                            </w:r>
                            <w:r>
                              <w:rPr>
                                <w:spacing w:val="-19"/>
                              </w:rPr>
                              <w:t xml:space="preserve"> </w:t>
                            </w:r>
                            <w:r>
                              <w:t>Sentencia</w:t>
                            </w:r>
                            <w:r>
                              <w:rPr>
                                <w:spacing w:val="-19"/>
                              </w:rPr>
                              <w:t xml:space="preserve"> </w:t>
                            </w:r>
                            <w:r>
                              <w:t>SU-070</w:t>
                            </w:r>
                            <w:r>
                              <w:rPr>
                                <w:spacing w:val="-19"/>
                              </w:rPr>
                              <w:t xml:space="preserve"> </w:t>
                            </w:r>
                            <w:r>
                              <w:t>de</w:t>
                            </w:r>
                            <w:r>
                              <w:rPr>
                                <w:spacing w:val="-20"/>
                              </w:rPr>
                              <w:t xml:space="preserve"> </w:t>
                            </w:r>
                            <w:r>
                              <w:t>2013,</w:t>
                            </w:r>
                            <w:r>
                              <w:rPr>
                                <w:spacing w:val="-19"/>
                              </w:rPr>
                              <w:t xml:space="preserve"> </w:t>
                            </w:r>
                            <w:r>
                              <w:t>Magistrado</w:t>
                            </w:r>
                            <w:r>
                              <w:rPr>
                                <w:spacing w:val="-18"/>
                              </w:rPr>
                              <w:t xml:space="preserve"> </w:t>
                            </w:r>
                            <w:r>
                              <w:t>Ponente: Alexei Julio Estrada</w:t>
                            </w:r>
                          </w:p>
                          <w:p w14:paraId="55227626" w14:textId="77777777" w:rsidR="009925F9" w:rsidRPr="00247D1E" w:rsidRDefault="009925F9" w:rsidP="009925F9">
                            <w:pPr>
                              <w:pStyle w:val="Textoindependiente"/>
                              <w:numPr>
                                <w:ilvl w:val="0"/>
                                <w:numId w:val="2"/>
                              </w:numPr>
                              <w:tabs>
                                <w:tab w:val="left" w:pos="823"/>
                              </w:tabs>
                              <w:spacing w:before="2" w:line="273" w:lineRule="auto"/>
                              <w:ind w:right="218"/>
                              <w:jc w:val="both"/>
                              <w:rPr>
                                <w:lang w:val="pt-BR"/>
                              </w:rPr>
                            </w:pPr>
                            <w:r w:rsidRPr="00247D1E">
                              <w:rPr>
                                <w:lang w:val="pt-BR"/>
                              </w:rPr>
                              <w:t>Corte Constitucional, Sentencia T-743 de 2017, Exp. T-6.366.648 Magistrada Ponente Cristina Pardo Schlesinger.</w:t>
                            </w:r>
                          </w:p>
                          <w:p w14:paraId="261B6873" w14:textId="77777777" w:rsidR="009925F9" w:rsidRDefault="009925F9" w:rsidP="009925F9">
                            <w:pPr>
                              <w:pStyle w:val="Textoindependiente"/>
                              <w:numPr>
                                <w:ilvl w:val="0"/>
                                <w:numId w:val="2"/>
                              </w:numPr>
                              <w:tabs>
                                <w:tab w:val="left" w:pos="823"/>
                              </w:tabs>
                              <w:spacing w:before="3" w:line="273" w:lineRule="auto"/>
                              <w:ind w:right="215"/>
                              <w:jc w:val="both"/>
                            </w:pPr>
                            <w:r>
                              <w:t>Corte Constitucional. Sentencia SU-075 de 2018. Magistrado Ponente: Gloria Stella Ortiz Delgado.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28802A79" id="_x0000_t202" coordsize="21600,21600" o:spt="202" path="m,l,21600r21600,l21600,xe">
                <v:stroke joinstyle="miter"/>
                <v:path gradientshapeok="t" o:connecttype="rect"/>
              </v:shapetype>
              <v:shape id="Textbox 14" o:spid="_x0000_s1026" type="#_x0000_t202" style="position:absolute;left:0;text-align:left;margin-left:0;margin-top:13.45pt;width:455.25pt;height:185.25pt;z-index:-25165721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" filled="f" strokeweight=".5pt">
                <v:stroke dashstyle="dot"/>
                <v:path arrowok="t"/>
                <v:textbox inset="0,0,0,0">
                  <w:txbxContent>
                    <w:p w14:paraId="0F8E3B0E" w14:textId="77777777" w:rsidR="009925F9" w:rsidRDefault="009925F9" w:rsidP="009925F9">
                      <w:pPr>
                        <w:pStyle w:val="Textoindependiente"/>
                        <w:numPr>
                          <w:ilvl w:val="0"/>
                          <w:numId w:val="2"/>
                        </w:numPr>
                        <w:tabs>
                          <w:tab w:val="left" w:pos="822"/>
                        </w:tabs>
                        <w:ind w:left="822"/>
                      </w:pPr>
                      <w:r>
                        <w:t>Ley</w:t>
                      </w:r>
                      <w:r>
                        <w:rPr>
                          <w:spacing w:val="-9"/>
                        </w:rPr>
                        <w:t xml:space="preserve"> </w:t>
                      </w:r>
                      <w:r>
                        <w:t>80</w:t>
                      </w:r>
                      <w:r>
                        <w:rPr>
                          <w:spacing w:val="-8"/>
                        </w:rPr>
                        <w:t xml:space="preserve"> </w:t>
                      </w:r>
                      <w:r>
                        <w:t>de</w:t>
                      </w:r>
                      <w:r>
                        <w:rPr>
                          <w:spacing w:val="-9"/>
                        </w:rPr>
                        <w:t xml:space="preserve"> </w:t>
                      </w:r>
                      <w:r>
                        <w:t>1993,</w:t>
                      </w:r>
                      <w:r>
                        <w:rPr>
                          <w:spacing w:val="-3"/>
                        </w:rPr>
                        <w:t xml:space="preserve"> </w:t>
                      </w:r>
                      <w:r>
                        <w:t>numeral</w:t>
                      </w:r>
                      <w:r>
                        <w:rPr>
                          <w:spacing w:val="-6"/>
                        </w:rPr>
                        <w:t xml:space="preserve"> </w:t>
                      </w:r>
                      <w:r>
                        <w:t>3</w:t>
                      </w:r>
                      <w:r>
                        <w:rPr>
                          <w:spacing w:val="-8"/>
                        </w:rPr>
                        <w:t xml:space="preserve"> </w:t>
                      </w:r>
                      <w:r>
                        <w:t>del</w:t>
                      </w:r>
                      <w:r>
                        <w:rPr>
                          <w:spacing w:val="-9"/>
                        </w:rPr>
                        <w:t xml:space="preserve"> </w:t>
                      </w:r>
                      <w:r>
                        <w:t>artículo</w:t>
                      </w:r>
                      <w:r>
                        <w:rPr>
                          <w:spacing w:val="-8"/>
                        </w:rPr>
                        <w:t xml:space="preserve"> </w:t>
                      </w:r>
                      <w:r>
                        <w:rPr>
                          <w:spacing w:val="-5"/>
                        </w:rPr>
                        <w:t>32.</w:t>
                      </w:r>
                    </w:p>
                    <w:p w14:paraId="5E7C42E7" w14:textId="77777777" w:rsidR="009925F9" w:rsidRDefault="009925F9" w:rsidP="009925F9">
                      <w:pPr>
                        <w:pStyle w:val="Textoindependiente"/>
                        <w:numPr>
                          <w:ilvl w:val="0"/>
                          <w:numId w:val="2"/>
                        </w:numPr>
                        <w:tabs>
                          <w:tab w:val="left" w:pos="822"/>
                        </w:tabs>
                        <w:spacing w:before="38"/>
                        <w:ind w:left="822"/>
                      </w:pPr>
                      <w:r>
                        <w:t>Ley</w:t>
                      </w:r>
                      <w:r>
                        <w:rPr>
                          <w:spacing w:val="-10"/>
                        </w:rPr>
                        <w:t xml:space="preserve"> </w:t>
                      </w:r>
                      <w:r>
                        <w:t>1150</w:t>
                      </w:r>
                      <w:r>
                        <w:rPr>
                          <w:spacing w:val="-9"/>
                        </w:rPr>
                        <w:t xml:space="preserve"> </w:t>
                      </w:r>
                      <w:r>
                        <w:t>de</w:t>
                      </w:r>
                      <w:r>
                        <w:rPr>
                          <w:spacing w:val="-9"/>
                        </w:rPr>
                        <w:t xml:space="preserve"> </w:t>
                      </w:r>
                      <w:r>
                        <w:t>2007,</w:t>
                      </w:r>
                      <w:r>
                        <w:rPr>
                          <w:spacing w:val="-3"/>
                        </w:rPr>
                        <w:t xml:space="preserve"> </w:t>
                      </w:r>
                      <w:r>
                        <w:t>el</w:t>
                      </w:r>
                      <w:r>
                        <w:rPr>
                          <w:spacing w:val="-9"/>
                        </w:rPr>
                        <w:t xml:space="preserve"> </w:t>
                      </w:r>
                      <w:r>
                        <w:t>artículo</w:t>
                      </w:r>
                      <w:r>
                        <w:rPr>
                          <w:spacing w:val="-9"/>
                        </w:rPr>
                        <w:t xml:space="preserve"> </w:t>
                      </w:r>
                      <w:r>
                        <w:t>2,</w:t>
                      </w:r>
                      <w:r>
                        <w:rPr>
                          <w:spacing w:val="-10"/>
                        </w:rPr>
                        <w:t xml:space="preserve"> </w:t>
                      </w:r>
                      <w:r>
                        <w:t>numeral</w:t>
                      </w:r>
                      <w:r>
                        <w:rPr>
                          <w:spacing w:val="-9"/>
                        </w:rPr>
                        <w:t xml:space="preserve"> </w:t>
                      </w:r>
                      <w:r>
                        <w:t>4°,</w:t>
                      </w:r>
                      <w:r>
                        <w:rPr>
                          <w:spacing w:val="-9"/>
                        </w:rPr>
                        <w:t xml:space="preserve"> </w:t>
                      </w:r>
                      <w:r>
                        <w:t>literal</w:t>
                      </w:r>
                      <w:r>
                        <w:rPr>
                          <w:spacing w:val="-9"/>
                        </w:rPr>
                        <w:t xml:space="preserve"> </w:t>
                      </w:r>
                      <w:r>
                        <w:rPr>
                          <w:spacing w:val="-5"/>
                        </w:rPr>
                        <w:t>h).</w:t>
                      </w:r>
                    </w:p>
                    <w:p w14:paraId="601F884F" w14:textId="77777777" w:rsidR="009925F9" w:rsidRPr="009F3ABF" w:rsidRDefault="009925F9" w:rsidP="009925F9">
                      <w:pPr>
                        <w:pStyle w:val="Textoindependiente"/>
                        <w:numPr>
                          <w:ilvl w:val="0"/>
                          <w:numId w:val="2"/>
                        </w:numPr>
                        <w:tabs>
                          <w:tab w:val="left" w:pos="822"/>
                        </w:tabs>
                        <w:spacing w:before="38"/>
                        <w:ind w:left="822"/>
                      </w:pPr>
                      <w:r>
                        <w:t>Ley</w:t>
                      </w:r>
                      <w:r>
                        <w:rPr>
                          <w:spacing w:val="-10"/>
                        </w:rPr>
                        <w:t xml:space="preserve"> </w:t>
                      </w:r>
                      <w:r>
                        <w:t>2306</w:t>
                      </w:r>
                      <w:r>
                        <w:rPr>
                          <w:spacing w:val="-10"/>
                        </w:rPr>
                        <w:t xml:space="preserve"> </w:t>
                      </w:r>
                      <w:r>
                        <w:t>de</w:t>
                      </w:r>
                      <w:r>
                        <w:rPr>
                          <w:spacing w:val="-10"/>
                        </w:rPr>
                        <w:t xml:space="preserve"> </w:t>
                      </w:r>
                      <w:r>
                        <w:t>2023,</w:t>
                      </w:r>
                      <w:r>
                        <w:rPr>
                          <w:spacing w:val="-9"/>
                        </w:rPr>
                        <w:t xml:space="preserve"> </w:t>
                      </w:r>
                      <w:r>
                        <w:t>artículo</w:t>
                      </w:r>
                      <w:r>
                        <w:rPr>
                          <w:spacing w:val="-10"/>
                        </w:rPr>
                        <w:t xml:space="preserve"> </w:t>
                      </w:r>
                      <w:r>
                        <w:rPr>
                          <w:spacing w:val="-5"/>
                        </w:rPr>
                        <w:t>5.</w:t>
                      </w:r>
                    </w:p>
                    <w:p w14:paraId="34BD2A39" w14:textId="77777777" w:rsidR="009925F9" w:rsidRDefault="009925F9" w:rsidP="009925F9">
                      <w:pPr>
                        <w:pStyle w:val="Textoindependiente"/>
                        <w:numPr>
                          <w:ilvl w:val="0"/>
                          <w:numId w:val="2"/>
                        </w:numPr>
                        <w:tabs>
                          <w:tab w:val="left" w:pos="821"/>
                        </w:tabs>
                        <w:jc w:val="both"/>
                      </w:pPr>
                      <w:r>
                        <w:t>Decreto</w:t>
                      </w:r>
                      <w:r>
                        <w:rPr>
                          <w:spacing w:val="-11"/>
                        </w:rPr>
                        <w:t xml:space="preserve"> </w:t>
                      </w:r>
                      <w:r>
                        <w:t>1082</w:t>
                      </w:r>
                      <w:r>
                        <w:rPr>
                          <w:spacing w:val="-10"/>
                        </w:rPr>
                        <w:t xml:space="preserve"> </w:t>
                      </w:r>
                      <w:r>
                        <w:t>de</w:t>
                      </w:r>
                      <w:r>
                        <w:rPr>
                          <w:spacing w:val="-10"/>
                        </w:rPr>
                        <w:t xml:space="preserve"> </w:t>
                      </w:r>
                      <w:r>
                        <w:t>2015,</w:t>
                      </w:r>
                      <w:r>
                        <w:rPr>
                          <w:spacing w:val="-3"/>
                        </w:rPr>
                        <w:t xml:space="preserve"> </w:t>
                      </w:r>
                      <w:r>
                        <w:t>el</w:t>
                      </w:r>
                      <w:r>
                        <w:rPr>
                          <w:spacing w:val="-10"/>
                        </w:rPr>
                        <w:t xml:space="preserve"> </w:t>
                      </w:r>
                      <w:r>
                        <w:t>artículo</w:t>
                      </w:r>
                      <w:r>
                        <w:rPr>
                          <w:spacing w:val="-10"/>
                        </w:rPr>
                        <w:t xml:space="preserve"> </w:t>
                      </w:r>
                      <w:r>
                        <w:rPr>
                          <w:spacing w:val="-2"/>
                        </w:rPr>
                        <w:t>2.2.1.2.1.4.9.</w:t>
                      </w:r>
                    </w:p>
                    <w:p w14:paraId="58099948" w14:textId="77777777" w:rsidR="009925F9" w:rsidRDefault="009925F9" w:rsidP="009925F9">
                      <w:pPr>
                        <w:pStyle w:val="Textoindependiente"/>
                        <w:numPr>
                          <w:ilvl w:val="0"/>
                          <w:numId w:val="2"/>
                        </w:numPr>
                        <w:tabs>
                          <w:tab w:val="left" w:pos="823"/>
                        </w:tabs>
                        <w:spacing w:before="38" w:line="273" w:lineRule="auto"/>
                        <w:ind w:right="104"/>
                        <w:jc w:val="both"/>
                      </w:pPr>
                      <w:r>
                        <w:t>Corte Constitucional. Sentencia SU-070 de 2013. Fund. 6. Reiterado en las sentencias SU-040 de 2018 y SU-075 de 2018.</w:t>
                      </w:r>
                    </w:p>
                    <w:p w14:paraId="034A516D" w14:textId="77777777" w:rsidR="009925F9" w:rsidRDefault="009925F9" w:rsidP="009925F9">
                      <w:pPr>
                        <w:pStyle w:val="Textoindependiente"/>
                        <w:numPr>
                          <w:ilvl w:val="0"/>
                          <w:numId w:val="2"/>
                        </w:numPr>
                        <w:tabs>
                          <w:tab w:val="left" w:pos="823"/>
                        </w:tabs>
                        <w:spacing w:before="3" w:line="273" w:lineRule="auto"/>
                        <w:ind w:right="103"/>
                        <w:jc w:val="both"/>
                      </w:pPr>
                      <w:r>
                        <w:t>Corte</w:t>
                      </w:r>
                      <w:r>
                        <w:rPr>
                          <w:spacing w:val="-20"/>
                        </w:rPr>
                        <w:t xml:space="preserve"> </w:t>
                      </w:r>
                      <w:r>
                        <w:t>Constitucional.</w:t>
                      </w:r>
                      <w:r>
                        <w:rPr>
                          <w:spacing w:val="-19"/>
                        </w:rPr>
                        <w:t xml:space="preserve"> </w:t>
                      </w:r>
                      <w:r>
                        <w:t>Sentencia</w:t>
                      </w:r>
                      <w:r>
                        <w:rPr>
                          <w:spacing w:val="-19"/>
                        </w:rPr>
                        <w:t xml:space="preserve"> </w:t>
                      </w:r>
                      <w:r>
                        <w:t>SU-070</w:t>
                      </w:r>
                      <w:r>
                        <w:rPr>
                          <w:spacing w:val="-19"/>
                        </w:rPr>
                        <w:t xml:space="preserve"> </w:t>
                      </w:r>
                      <w:r>
                        <w:t>de</w:t>
                      </w:r>
                      <w:r>
                        <w:rPr>
                          <w:spacing w:val="-20"/>
                        </w:rPr>
                        <w:t xml:space="preserve"> </w:t>
                      </w:r>
                      <w:r>
                        <w:t>2013,</w:t>
                      </w:r>
                      <w:r>
                        <w:rPr>
                          <w:spacing w:val="-19"/>
                        </w:rPr>
                        <w:t xml:space="preserve"> </w:t>
                      </w:r>
                      <w:r>
                        <w:t>Magistrado</w:t>
                      </w:r>
                      <w:r>
                        <w:rPr>
                          <w:spacing w:val="-18"/>
                        </w:rPr>
                        <w:t xml:space="preserve"> </w:t>
                      </w:r>
                      <w:r>
                        <w:t>Ponente: Alexei Julio Estrada</w:t>
                      </w:r>
                    </w:p>
                    <w:p w14:paraId="55227626" w14:textId="77777777" w:rsidR="009925F9" w:rsidRPr="00247D1E" w:rsidRDefault="009925F9" w:rsidP="009925F9">
                      <w:pPr>
                        <w:pStyle w:val="Textoindependiente"/>
                        <w:numPr>
                          <w:ilvl w:val="0"/>
                          <w:numId w:val="2"/>
                        </w:numPr>
                        <w:tabs>
                          <w:tab w:val="left" w:pos="823"/>
                        </w:tabs>
                        <w:spacing w:before="2" w:line="273" w:lineRule="auto"/>
                        <w:ind w:right="218"/>
                        <w:jc w:val="both"/>
                        <w:rPr>
                          <w:lang w:val="pt-BR"/>
                        </w:rPr>
                      </w:pPr>
                      <w:r w:rsidRPr="00247D1E">
                        <w:rPr>
                          <w:lang w:val="pt-BR"/>
                        </w:rPr>
                        <w:t>Corte Constitucional, Sentencia T-743 de 2017, Exp. T-6.366.648 Magistrada Ponente Cristina Pardo Schlesinger.</w:t>
                      </w:r>
                    </w:p>
                    <w:p w14:paraId="261B6873" w14:textId="77777777" w:rsidR="009925F9" w:rsidRDefault="009925F9" w:rsidP="009925F9">
                      <w:pPr>
                        <w:pStyle w:val="Textoindependiente"/>
                        <w:numPr>
                          <w:ilvl w:val="0"/>
                          <w:numId w:val="2"/>
                        </w:numPr>
                        <w:tabs>
                          <w:tab w:val="left" w:pos="823"/>
                        </w:tabs>
                        <w:spacing w:before="3" w:line="273" w:lineRule="auto"/>
                        <w:ind w:right="215"/>
                        <w:jc w:val="both"/>
                      </w:pPr>
                      <w:r>
                        <w:t>Corte Constitucional. Sentencia SU-075 de 2018. Magistrado Ponente: Gloria Stella Ortiz Delgado.</w:t>
                      </w:r>
                    </w:p>
                  </w:txbxContent>
                </v:textbox>
                <w10:wrap type="topAndBottom" anchorx="margin"/>
              </v:shape>
            </w:pict>
          </mc:Fallback>
        </mc:AlternateContent>
      </w:r>
    </w:p>
    <w:p w14:paraId="5EFDCF86" w14:textId="77777777" w:rsidR="00255AB5" w:rsidRDefault="00255AB5" w:rsidP="00255AB5">
      <w:pPr>
        <w:pStyle w:val="Ttulo1"/>
        <w:tabs>
          <w:tab w:val="left" w:pos="542"/>
        </w:tabs>
        <w:ind w:firstLine="0"/>
      </w:pPr>
    </w:p>
    <w:p w14:paraId="77F8E763" w14:textId="2FF9568E" w:rsidR="00255AB5" w:rsidRPr="00EE0EBA" w:rsidRDefault="00255AB5" w:rsidP="00255AB5">
      <w:pPr>
        <w:pStyle w:val="Ttulo1"/>
        <w:numPr>
          <w:ilvl w:val="0"/>
          <w:numId w:val="3"/>
        </w:numPr>
        <w:tabs>
          <w:tab w:val="left" w:pos="542"/>
        </w:tabs>
      </w:pPr>
      <w:r w:rsidRPr="00EE0EBA">
        <w:t>Doctrina</w:t>
      </w:r>
      <w:r w:rsidRPr="00EE0EBA">
        <w:rPr>
          <w:spacing w:val="-14"/>
        </w:rPr>
        <w:t xml:space="preserve"> </w:t>
      </w:r>
      <w:r w:rsidRPr="00EE0EBA">
        <w:t>de</w:t>
      </w:r>
      <w:r w:rsidRPr="00EE0EBA">
        <w:rPr>
          <w:spacing w:val="-14"/>
        </w:rPr>
        <w:t xml:space="preserve"> </w:t>
      </w:r>
      <w:r w:rsidRPr="00EE0EBA">
        <w:t>la</w:t>
      </w:r>
      <w:r w:rsidRPr="00EE0EBA">
        <w:rPr>
          <w:spacing w:val="-14"/>
        </w:rPr>
        <w:t xml:space="preserve"> </w:t>
      </w:r>
      <w:r w:rsidRPr="00EE0EBA">
        <w:t>Agencia</w:t>
      </w:r>
      <w:r w:rsidRPr="00EE0EBA">
        <w:rPr>
          <w:spacing w:val="-13"/>
        </w:rPr>
        <w:t xml:space="preserve"> </w:t>
      </w:r>
      <w:r w:rsidRPr="00EE0EBA">
        <w:t>Nacional</w:t>
      </w:r>
      <w:r w:rsidRPr="00EE0EBA">
        <w:rPr>
          <w:spacing w:val="-14"/>
        </w:rPr>
        <w:t xml:space="preserve"> </w:t>
      </w:r>
      <w:r w:rsidRPr="00EE0EBA">
        <w:t>de</w:t>
      </w:r>
      <w:r w:rsidRPr="00EE0EBA">
        <w:rPr>
          <w:spacing w:val="-14"/>
        </w:rPr>
        <w:t xml:space="preserve"> </w:t>
      </w:r>
      <w:r w:rsidRPr="00EE0EBA">
        <w:t>Contratación</w:t>
      </w:r>
      <w:r w:rsidRPr="00EE0EBA">
        <w:rPr>
          <w:spacing w:val="-14"/>
        </w:rPr>
        <w:t xml:space="preserve"> </w:t>
      </w:r>
      <w:r w:rsidRPr="00EE0EBA">
        <w:rPr>
          <w:spacing w:val="-2"/>
        </w:rPr>
        <w:t>Pública:</w:t>
      </w:r>
    </w:p>
    <w:p w14:paraId="22D1B029" w14:textId="77777777" w:rsidR="00255AB5" w:rsidRPr="00EE0EBA" w:rsidRDefault="00255AB5" w:rsidP="00255AB5">
      <w:pPr>
        <w:pStyle w:val="Textoindependiente"/>
        <w:spacing w:before="80"/>
        <w:rPr>
          <w:b/>
        </w:rPr>
      </w:pPr>
    </w:p>
    <w:p w14:paraId="615FDDA6" w14:textId="77777777" w:rsidR="00255AB5" w:rsidRPr="00EE0EBA" w:rsidRDefault="00255AB5" w:rsidP="00255AB5">
      <w:pPr>
        <w:pStyle w:val="Textoindependiente"/>
        <w:spacing w:line="276" w:lineRule="auto"/>
        <w:ind w:left="260" w:right="1008"/>
        <w:jc w:val="both"/>
      </w:pPr>
      <w:r w:rsidRPr="00EE0EBA">
        <w:t>Sobre</w:t>
      </w:r>
      <w:r w:rsidRPr="00EE0EBA">
        <w:rPr>
          <w:spacing w:val="-2"/>
        </w:rPr>
        <w:t xml:space="preserve"> </w:t>
      </w:r>
      <w:r w:rsidRPr="00EE0EBA">
        <w:t>la estabilidad laboral reforzada en mujer</w:t>
      </w:r>
      <w:r w:rsidRPr="00EE0EBA">
        <w:rPr>
          <w:spacing w:val="-20"/>
        </w:rPr>
        <w:t xml:space="preserve"> </w:t>
      </w:r>
      <w:r w:rsidRPr="00EE0EBA">
        <w:t>embarazada se pronunció esta Subdirección</w:t>
      </w:r>
      <w:r w:rsidRPr="00EE0EBA">
        <w:rPr>
          <w:spacing w:val="-1"/>
        </w:rPr>
        <w:t xml:space="preserve"> </w:t>
      </w:r>
      <w:r w:rsidRPr="00EE0EBA">
        <w:t>en</w:t>
      </w:r>
      <w:r w:rsidRPr="00EE0EBA">
        <w:rPr>
          <w:spacing w:val="-4"/>
        </w:rPr>
        <w:t xml:space="preserve"> </w:t>
      </w:r>
      <w:r w:rsidRPr="00EE0EBA">
        <w:t>los</w:t>
      </w:r>
      <w:r w:rsidRPr="00EE0EBA">
        <w:rPr>
          <w:spacing w:val="-5"/>
        </w:rPr>
        <w:t xml:space="preserve"> </w:t>
      </w:r>
      <w:r w:rsidRPr="00EE0EBA">
        <w:t>conceptos</w:t>
      </w:r>
      <w:r w:rsidRPr="00EE0EBA">
        <w:rPr>
          <w:spacing w:val="-3"/>
        </w:rPr>
        <w:t xml:space="preserve"> </w:t>
      </w:r>
      <w:r w:rsidRPr="00EE0EBA">
        <w:t>Nos.</w:t>
      </w:r>
      <w:r w:rsidRPr="00EE0EBA">
        <w:rPr>
          <w:spacing w:val="-4"/>
        </w:rPr>
        <w:t xml:space="preserve"> </w:t>
      </w:r>
      <w:r w:rsidRPr="00EE0EBA">
        <w:t>2201913000009150 del</w:t>
      </w:r>
      <w:r w:rsidRPr="00EE0EBA">
        <w:rPr>
          <w:spacing w:val="-4"/>
        </w:rPr>
        <w:t xml:space="preserve"> </w:t>
      </w:r>
      <w:r w:rsidRPr="00EE0EBA">
        <w:t>11</w:t>
      </w:r>
      <w:r w:rsidRPr="00EE0EBA">
        <w:rPr>
          <w:spacing w:val="-4"/>
        </w:rPr>
        <w:t xml:space="preserve"> </w:t>
      </w:r>
      <w:r w:rsidRPr="00EE0EBA">
        <w:t>de</w:t>
      </w:r>
      <w:r w:rsidRPr="00EE0EBA">
        <w:rPr>
          <w:spacing w:val="-4"/>
        </w:rPr>
        <w:t xml:space="preserve"> </w:t>
      </w:r>
      <w:r w:rsidRPr="00EE0EBA">
        <w:t>diciembre</w:t>
      </w:r>
      <w:r w:rsidRPr="00EE0EBA">
        <w:rPr>
          <w:spacing w:val="-2"/>
        </w:rPr>
        <w:t xml:space="preserve"> </w:t>
      </w:r>
      <w:r w:rsidRPr="00EE0EBA">
        <w:t xml:space="preserve">de </w:t>
      </w:r>
      <w:r w:rsidRPr="00EE0EBA">
        <w:rPr>
          <w:spacing w:val="-2"/>
        </w:rPr>
        <w:t>2019,</w:t>
      </w:r>
      <w:r w:rsidRPr="00EE0EBA">
        <w:rPr>
          <w:spacing w:val="-5"/>
        </w:rPr>
        <w:t xml:space="preserve"> </w:t>
      </w:r>
      <w:r w:rsidRPr="00EE0EBA">
        <w:rPr>
          <w:spacing w:val="-2"/>
        </w:rPr>
        <w:t>2201913000009571</w:t>
      </w:r>
      <w:r w:rsidRPr="00EE0EBA">
        <w:rPr>
          <w:spacing w:val="-13"/>
        </w:rPr>
        <w:t xml:space="preserve"> </w:t>
      </w:r>
      <w:r w:rsidRPr="00EE0EBA">
        <w:rPr>
          <w:spacing w:val="-2"/>
        </w:rPr>
        <w:t>del</w:t>
      </w:r>
      <w:r w:rsidRPr="00EE0EBA">
        <w:rPr>
          <w:spacing w:val="-21"/>
        </w:rPr>
        <w:t xml:space="preserve"> </w:t>
      </w:r>
      <w:r w:rsidRPr="00EE0EBA">
        <w:rPr>
          <w:spacing w:val="-2"/>
        </w:rPr>
        <w:t>24</w:t>
      </w:r>
      <w:r w:rsidRPr="00EE0EBA">
        <w:rPr>
          <w:spacing w:val="-22"/>
        </w:rPr>
        <w:t xml:space="preserve"> </w:t>
      </w:r>
      <w:r w:rsidRPr="00EE0EBA">
        <w:rPr>
          <w:spacing w:val="-2"/>
        </w:rPr>
        <w:t>de</w:t>
      </w:r>
      <w:r w:rsidRPr="00EE0EBA">
        <w:rPr>
          <w:spacing w:val="-23"/>
        </w:rPr>
        <w:t xml:space="preserve"> </w:t>
      </w:r>
      <w:r w:rsidRPr="00EE0EBA">
        <w:rPr>
          <w:spacing w:val="-2"/>
        </w:rPr>
        <w:t>diciembre</w:t>
      </w:r>
      <w:r w:rsidRPr="00EE0EBA">
        <w:rPr>
          <w:spacing w:val="-18"/>
        </w:rPr>
        <w:t xml:space="preserve"> </w:t>
      </w:r>
      <w:r w:rsidRPr="00EE0EBA">
        <w:rPr>
          <w:spacing w:val="-2"/>
        </w:rPr>
        <w:t>de</w:t>
      </w:r>
      <w:r w:rsidRPr="00EE0EBA">
        <w:rPr>
          <w:spacing w:val="-22"/>
        </w:rPr>
        <w:t xml:space="preserve"> </w:t>
      </w:r>
      <w:r w:rsidRPr="00EE0EBA">
        <w:rPr>
          <w:spacing w:val="-2"/>
        </w:rPr>
        <w:t>2019,</w:t>
      </w:r>
      <w:r w:rsidRPr="00EE0EBA">
        <w:rPr>
          <w:spacing w:val="-20"/>
        </w:rPr>
        <w:t xml:space="preserve"> </w:t>
      </w:r>
      <w:r w:rsidRPr="00EE0EBA">
        <w:rPr>
          <w:spacing w:val="-2"/>
        </w:rPr>
        <w:t>C-712</w:t>
      </w:r>
      <w:r w:rsidRPr="00EE0EBA">
        <w:rPr>
          <w:spacing w:val="-21"/>
        </w:rPr>
        <w:t xml:space="preserve"> </w:t>
      </w:r>
      <w:r w:rsidRPr="00EE0EBA">
        <w:rPr>
          <w:spacing w:val="-2"/>
        </w:rPr>
        <w:t>del</w:t>
      </w:r>
      <w:r w:rsidRPr="00EE0EBA">
        <w:rPr>
          <w:spacing w:val="-21"/>
        </w:rPr>
        <w:t xml:space="preserve"> </w:t>
      </w:r>
      <w:r w:rsidRPr="00EE0EBA">
        <w:rPr>
          <w:spacing w:val="-2"/>
        </w:rPr>
        <w:t>7</w:t>
      </w:r>
      <w:r w:rsidRPr="00EE0EBA">
        <w:rPr>
          <w:spacing w:val="-23"/>
        </w:rPr>
        <w:t xml:space="preserve"> </w:t>
      </w:r>
      <w:r w:rsidRPr="00EE0EBA">
        <w:rPr>
          <w:spacing w:val="-2"/>
        </w:rPr>
        <w:t>de</w:t>
      </w:r>
      <w:r w:rsidRPr="00EE0EBA">
        <w:rPr>
          <w:spacing w:val="-23"/>
        </w:rPr>
        <w:t xml:space="preserve"> </w:t>
      </w:r>
      <w:r w:rsidRPr="00EE0EBA">
        <w:rPr>
          <w:spacing w:val="-2"/>
        </w:rPr>
        <w:t>diciembre</w:t>
      </w:r>
    </w:p>
    <w:p w14:paraId="31DFA657" w14:textId="17A93D58" w:rsidR="00255AB5" w:rsidRDefault="00255AB5" w:rsidP="009925F9">
      <w:pPr>
        <w:pStyle w:val="Textoindependiente"/>
        <w:tabs>
          <w:tab w:val="left" w:pos="8290"/>
        </w:tabs>
        <w:spacing w:line="276" w:lineRule="auto"/>
        <w:ind w:left="260" w:right="1008"/>
        <w:jc w:val="both"/>
        <w:rPr>
          <w:color w:val="FF0000"/>
          <w:spacing w:val="-2"/>
        </w:rPr>
      </w:pPr>
      <w:r w:rsidRPr="00EE0EBA">
        <w:t>de</w:t>
      </w:r>
      <w:r w:rsidRPr="00EE0EBA">
        <w:rPr>
          <w:spacing w:val="-20"/>
        </w:rPr>
        <w:t xml:space="preserve"> </w:t>
      </w:r>
      <w:r w:rsidRPr="00EE0EBA">
        <w:t>2022,</w:t>
      </w:r>
      <w:r w:rsidRPr="00EE0EBA">
        <w:rPr>
          <w:spacing w:val="-19"/>
        </w:rPr>
        <w:t xml:space="preserve"> </w:t>
      </w:r>
      <w:r w:rsidRPr="00EE0EBA">
        <w:t>C-789</w:t>
      </w:r>
      <w:r w:rsidRPr="00EE0EBA">
        <w:rPr>
          <w:spacing w:val="-19"/>
        </w:rPr>
        <w:t xml:space="preserve"> </w:t>
      </w:r>
      <w:r w:rsidRPr="00EE0EBA">
        <w:t>del</w:t>
      </w:r>
      <w:r w:rsidRPr="00EE0EBA">
        <w:rPr>
          <w:spacing w:val="-20"/>
        </w:rPr>
        <w:t xml:space="preserve"> </w:t>
      </w:r>
      <w:r w:rsidRPr="00EE0EBA">
        <w:t>22</w:t>
      </w:r>
      <w:r w:rsidRPr="00EE0EBA">
        <w:rPr>
          <w:spacing w:val="-19"/>
        </w:rPr>
        <w:t xml:space="preserve"> </w:t>
      </w:r>
      <w:r w:rsidRPr="00EE0EBA">
        <w:t>de</w:t>
      </w:r>
      <w:r w:rsidRPr="00EE0EBA">
        <w:rPr>
          <w:spacing w:val="-11"/>
        </w:rPr>
        <w:t xml:space="preserve"> </w:t>
      </w:r>
      <w:r w:rsidRPr="00EE0EBA">
        <w:t>noviembre</w:t>
      </w:r>
      <w:r w:rsidRPr="00EE0EBA">
        <w:rPr>
          <w:spacing w:val="-4"/>
        </w:rPr>
        <w:t xml:space="preserve"> </w:t>
      </w:r>
      <w:r w:rsidRPr="00EE0EBA">
        <w:t>de</w:t>
      </w:r>
      <w:r w:rsidRPr="00EE0EBA">
        <w:rPr>
          <w:spacing w:val="-6"/>
        </w:rPr>
        <w:t xml:space="preserve"> </w:t>
      </w:r>
      <w:r w:rsidRPr="00EE0EBA">
        <w:t>2022,</w:t>
      </w:r>
      <w:r w:rsidRPr="00EE0EBA">
        <w:rPr>
          <w:spacing w:val="-5"/>
        </w:rPr>
        <w:t xml:space="preserve"> </w:t>
      </w:r>
      <w:r w:rsidRPr="00EE0EBA">
        <w:t>C-920</w:t>
      </w:r>
      <w:r w:rsidRPr="00EE0EBA">
        <w:rPr>
          <w:spacing w:val="-5"/>
        </w:rPr>
        <w:t xml:space="preserve"> </w:t>
      </w:r>
      <w:r w:rsidRPr="00EE0EBA">
        <w:t>del</w:t>
      </w:r>
      <w:r w:rsidRPr="00EE0EBA">
        <w:rPr>
          <w:spacing w:val="-6"/>
        </w:rPr>
        <w:t xml:space="preserve"> </w:t>
      </w:r>
      <w:r w:rsidRPr="00EE0EBA">
        <w:t>14</w:t>
      </w:r>
      <w:r w:rsidRPr="00EE0EBA">
        <w:rPr>
          <w:spacing w:val="-6"/>
        </w:rPr>
        <w:t xml:space="preserve"> </w:t>
      </w:r>
      <w:r w:rsidRPr="00EE0EBA">
        <w:t>de</w:t>
      </w:r>
      <w:r w:rsidRPr="00EE0EBA">
        <w:rPr>
          <w:spacing w:val="-6"/>
        </w:rPr>
        <w:t xml:space="preserve"> </w:t>
      </w:r>
      <w:r w:rsidRPr="00EE0EBA">
        <w:t>febrero</w:t>
      </w:r>
      <w:r w:rsidRPr="00EE0EBA">
        <w:rPr>
          <w:spacing w:val="-4"/>
        </w:rPr>
        <w:t xml:space="preserve"> </w:t>
      </w:r>
      <w:r w:rsidRPr="00EE0EBA">
        <w:t>de</w:t>
      </w:r>
      <w:r w:rsidRPr="00EE0EBA">
        <w:rPr>
          <w:spacing w:val="-6"/>
        </w:rPr>
        <w:t xml:space="preserve"> </w:t>
      </w:r>
      <w:r w:rsidRPr="00EE0EBA">
        <w:t>2023, C-031</w:t>
      </w:r>
      <w:r w:rsidRPr="00EE0EBA">
        <w:rPr>
          <w:spacing w:val="-20"/>
        </w:rPr>
        <w:t xml:space="preserve"> </w:t>
      </w:r>
      <w:r w:rsidRPr="00EE0EBA">
        <w:t>del</w:t>
      </w:r>
      <w:r w:rsidRPr="00EE0EBA">
        <w:rPr>
          <w:spacing w:val="-19"/>
        </w:rPr>
        <w:t xml:space="preserve"> </w:t>
      </w:r>
      <w:r w:rsidRPr="00EE0EBA">
        <w:t>17</w:t>
      </w:r>
      <w:r w:rsidRPr="00EE0EBA">
        <w:rPr>
          <w:spacing w:val="-19"/>
        </w:rPr>
        <w:t xml:space="preserve"> </w:t>
      </w:r>
      <w:r w:rsidRPr="00EE0EBA">
        <w:t>de</w:t>
      </w:r>
      <w:r w:rsidRPr="00EE0EBA">
        <w:rPr>
          <w:spacing w:val="-12"/>
        </w:rPr>
        <w:t xml:space="preserve"> </w:t>
      </w:r>
      <w:r w:rsidRPr="00EE0EBA">
        <w:t>marzo</w:t>
      </w:r>
      <w:r w:rsidRPr="00EE0EBA">
        <w:rPr>
          <w:spacing w:val="-6"/>
        </w:rPr>
        <w:t xml:space="preserve"> </w:t>
      </w:r>
      <w:r w:rsidRPr="00EE0EBA">
        <w:t>de</w:t>
      </w:r>
      <w:r w:rsidRPr="00EE0EBA">
        <w:rPr>
          <w:spacing w:val="-20"/>
        </w:rPr>
        <w:t xml:space="preserve"> </w:t>
      </w:r>
      <w:r w:rsidRPr="00EE0EBA">
        <w:t>2023,</w:t>
      </w:r>
      <w:r w:rsidRPr="00EE0EBA">
        <w:rPr>
          <w:spacing w:val="-15"/>
        </w:rPr>
        <w:t xml:space="preserve"> </w:t>
      </w:r>
      <w:r w:rsidRPr="00EE0EBA">
        <w:t>C-</w:t>
      </w:r>
      <w:r w:rsidRPr="00EE0EBA">
        <w:rPr>
          <w:spacing w:val="-18"/>
        </w:rPr>
        <w:t xml:space="preserve"> </w:t>
      </w:r>
      <w:r w:rsidRPr="00EE0EBA">
        <w:t>213</w:t>
      </w:r>
      <w:r w:rsidRPr="00EE0EBA">
        <w:rPr>
          <w:spacing w:val="-16"/>
        </w:rPr>
        <w:t xml:space="preserve"> </w:t>
      </w:r>
      <w:r w:rsidRPr="00EE0EBA">
        <w:t>del</w:t>
      </w:r>
      <w:r w:rsidRPr="00EE0EBA">
        <w:rPr>
          <w:spacing w:val="-17"/>
        </w:rPr>
        <w:t xml:space="preserve"> </w:t>
      </w:r>
      <w:r w:rsidRPr="00EE0EBA">
        <w:t>26</w:t>
      </w:r>
      <w:r w:rsidRPr="00EE0EBA">
        <w:rPr>
          <w:spacing w:val="-17"/>
        </w:rPr>
        <w:t xml:space="preserve"> </w:t>
      </w:r>
      <w:r w:rsidRPr="00EE0EBA">
        <w:t>de</w:t>
      </w:r>
      <w:r w:rsidRPr="00EE0EBA">
        <w:rPr>
          <w:spacing w:val="-18"/>
        </w:rPr>
        <w:t xml:space="preserve"> </w:t>
      </w:r>
      <w:r w:rsidRPr="00EE0EBA">
        <w:t>junio</w:t>
      </w:r>
      <w:r w:rsidRPr="00EE0EBA">
        <w:rPr>
          <w:spacing w:val="-17"/>
        </w:rPr>
        <w:t xml:space="preserve"> </w:t>
      </w:r>
      <w:r w:rsidRPr="00EE0EBA">
        <w:t>de</w:t>
      </w:r>
      <w:r w:rsidRPr="00EE0EBA">
        <w:rPr>
          <w:spacing w:val="-17"/>
        </w:rPr>
        <w:t xml:space="preserve"> </w:t>
      </w:r>
      <w:r w:rsidRPr="00EE0EBA">
        <w:t>2023,</w:t>
      </w:r>
      <w:r w:rsidRPr="00EE0EBA">
        <w:rPr>
          <w:spacing w:val="-17"/>
        </w:rPr>
        <w:t xml:space="preserve"> </w:t>
      </w:r>
      <w:r w:rsidRPr="00EE0EBA">
        <w:t>C-469</w:t>
      </w:r>
      <w:r w:rsidRPr="00EE0EBA">
        <w:rPr>
          <w:spacing w:val="-16"/>
        </w:rPr>
        <w:t xml:space="preserve"> </w:t>
      </w:r>
      <w:r w:rsidRPr="00EE0EBA">
        <w:t>del</w:t>
      </w:r>
      <w:r w:rsidRPr="00EE0EBA">
        <w:rPr>
          <w:spacing w:val="-18"/>
        </w:rPr>
        <w:t xml:space="preserve"> </w:t>
      </w:r>
      <w:r w:rsidRPr="00EE0EBA">
        <w:t>22</w:t>
      </w:r>
      <w:r w:rsidRPr="00EE0EBA">
        <w:rPr>
          <w:spacing w:val="-17"/>
        </w:rPr>
        <w:t xml:space="preserve"> </w:t>
      </w:r>
      <w:r w:rsidRPr="00EE0EBA">
        <w:t>de noviembre</w:t>
      </w:r>
      <w:r w:rsidRPr="00EE0EBA">
        <w:rPr>
          <w:spacing w:val="-2"/>
        </w:rPr>
        <w:t xml:space="preserve"> </w:t>
      </w:r>
      <w:r w:rsidRPr="00EE0EBA">
        <w:t>de</w:t>
      </w:r>
      <w:r w:rsidRPr="00EE0EBA">
        <w:rPr>
          <w:spacing w:val="-4"/>
        </w:rPr>
        <w:t xml:space="preserve"> </w:t>
      </w:r>
      <w:r w:rsidRPr="00EE0EBA">
        <w:t xml:space="preserve">2023 y C-076 del 8 de julio de 2024, C-300 del 21 de agosto de 2024. Estos y otros conceptos se encuentran disponibles para consulta en el Sistema de relatoría de la Agencia, al cual se puede acceder a través del </w:t>
      </w:r>
      <w:r w:rsidRPr="00EE0EBA">
        <w:rPr>
          <w:spacing w:val="-2"/>
        </w:rPr>
        <w:t>siguiente</w:t>
      </w:r>
      <w:r>
        <w:rPr>
          <w:spacing w:val="-2"/>
        </w:rPr>
        <w:t xml:space="preserve"> </w:t>
      </w:r>
      <w:r w:rsidRPr="00EE0EBA">
        <w:rPr>
          <w:spacing w:val="-2"/>
        </w:rPr>
        <w:t>enlac</w:t>
      </w:r>
      <w:r>
        <w:rPr>
          <w:spacing w:val="-2"/>
        </w:rPr>
        <w:t>e</w:t>
      </w:r>
      <w:r w:rsidRPr="00EE0EBA">
        <w:rPr>
          <w:spacing w:val="-2"/>
        </w:rPr>
        <w:t>:</w:t>
      </w:r>
      <w:hyperlink r:id="rId18">
        <w:r w:rsidRPr="00EE0EBA">
          <w:rPr>
            <w:color w:val="0000FF"/>
            <w:spacing w:val="-2"/>
            <w:u w:val="single" w:color="0000FF"/>
          </w:rPr>
          <w:t>https://relatoria.colombiacompra.gov.co/busqueda/conceptos</w:t>
        </w:r>
      </w:hyperlink>
      <w:r w:rsidRPr="00EE0EBA">
        <w:rPr>
          <w:color w:val="FF0000"/>
          <w:spacing w:val="-2"/>
        </w:rPr>
        <w:t>.</w:t>
      </w:r>
    </w:p>
    <w:p w14:paraId="549FBD65" w14:textId="77777777" w:rsidR="009925F9" w:rsidRPr="00EE0EBA" w:rsidRDefault="009925F9" w:rsidP="009925F9">
      <w:pPr>
        <w:pStyle w:val="Textoindependiente"/>
        <w:tabs>
          <w:tab w:val="left" w:pos="8290"/>
        </w:tabs>
        <w:spacing w:line="276" w:lineRule="auto"/>
        <w:ind w:left="260" w:right="1008"/>
        <w:jc w:val="both"/>
      </w:pPr>
    </w:p>
    <w:p w14:paraId="6B8F91E3" w14:textId="613A3B55" w:rsidR="00255AB5" w:rsidRDefault="00255AB5" w:rsidP="00255AB5">
      <w:pPr>
        <w:pStyle w:val="Textoindependiente"/>
        <w:spacing w:before="40" w:line="276" w:lineRule="auto"/>
        <w:ind w:left="284" w:right="1008" w:hanging="24"/>
        <w:jc w:val="both"/>
      </w:pPr>
      <w:r w:rsidRPr="00255AB5">
        <w:t>Le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16 de mayo de 2025.  Puede consultar la información en el siguiente enlace:</w:t>
      </w:r>
      <w:r w:rsidRPr="00255AB5">
        <w:rPr>
          <w:b/>
          <w:bCs/>
        </w:rPr>
        <w:t> </w:t>
      </w:r>
      <w:hyperlink r:id="rId19" w:tgtFrame="_blank" w:tooltip="Dirección URL original: https://www.colombiacompra.gov.co/normativa-y-relatoria/documentos-tipo. Haga clic o pulse si confía en este vínculo." w:history="1">
        <w:r w:rsidRPr="00255AB5">
          <w:rPr>
            <w:rStyle w:val="Hipervnculo"/>
            <w:b/>
            <w:bCs/>
          </w:rPr>
          <w:t>Documentos Tipo – ANCP Colombia Compra Eficiente</w:t>
        </w:r>
      </w:hyperlink>
    </w:p>
    <w:p w14:paraId="01AE01BF" w14:textId="77777777" w:rsidR="00255AB5" w:rsidRPr="00EE0EBA" w:rsidRDefault="00255AB5" w:rsidP="00255AB5">
      <w:pPr>
        <w:pStyle w:val="Textoindependiente"/>
        <w:spacing w:before="40"/>
        <w:ind w:right="1008"/>
      </w:pPr>
    </w:p>
    <w:p w14:paraId="7DDC9198" w14:textId="77777777" w:rsidR="00255AB5" w:rsidRPr="00EE0EBA" w:rsidRDefault="00255AB5" w:rsidP="00255AB5">
      <w:pPr>
        <w:pStyle w:val="Textoindependiente"/>
        <w:spacing w:line="276" w:lineRule="auto"/>
        <w:ind w:left="260" w:right="1008"/>
      </w:pPr>
      <w:r w:rsidRPr="00EE0EBA">
        <w:t>Por</w:t>
      </w:r>
      <w:r w:rsidRPr="00EE0EBA">
        <w:rPr>
          <w:spacing w:val="-20"/>
        </w:rPr>
        <w:t xml:space="preserve"> </w:t>
      </w:r>
      <w:r w:rsidRPr="00EE0EBA">
        <w:t>último,</w:t>
      </w:r>
      <w:r w:rsidRPr="00EE0EBA">
        <w:rPr>
          <w:spacing w:val="-18"/>
        </w:rPr>
        <w:t xml:space="preserve"> </w:t>
      </w:r>
      <w:r w:rsidRPr="00EE0EBA">
        <w:t>lo</w:t>
      </w:r>
      <w:r w:rsidRPr="00EE0EBA">
        <w:rPr>
          <w:spacing w:val="-20"/>
        </w:rPr>
        <w:t xml:space="preserve"> </w:t>
      </w:r>
      <w:r w:rsidRPr="00EE0EBA">
        <w:t>invitamos</w:t>
      </w:r>
      <w:r w:rsidRPr="00EE0EBA">
        <w:rPr>
          <w:spacing w:val="-17"/>
        </w:rPr>
        <w:t xml:space="preserve"> </w:t>
      </w:r>
      <w:r w:rsidRPr="00EE0EBA">
        <w:t>a</w:t>
      </w:r>
      <w:r w:rsidRPr="00EE0EBA">
        <w:rPr>
          <w:spacing w:val="-20"/>
        </w:rPr>
        <w:t xml:space="preserve"> </w:t>
      </w:r>
      <w:r w:rsidRPr="00EE0EBA">
        <w:t>seguirnos</w:t>
      </w:r>
      <w:r w:rsidRPr="00EE0EBA">
        <w:rPr>
          <w:spacing w:val="-17"/>
        </w:rPr>
        <w:t xml:space="preserve"> </w:t>
      </w:r>
      <w:r w:rsidRPr="00EE0EBA">
        <w:t>en</w:t>
      </w:r>
      <w:r w:rsidRPr="00EE0EBA">
        <w:rPr>
          <w:spacing w:val="-20"/>
        </w:rPr>
        <w:t xml:space="preserve"> </w:t>
      </w:r>
      <w:r w:rsidRPr="00EE0EBA">
        <w:t>las</w:t>
      </w:r>
      <w:r w:rsidRPr="00EE0EBA">
        <w:rPr>
          <w:spacing w:val="-19"/>
        </w:rPr>
        <w:t xml:space="preserve"> </w:t>
      </w:r>
      <w:r w:rsidRPr="00EE0EBA">
        <w:t>redes</w:t>
      </w:r>
      <w:r w:rsidRPr="00EE0EBA">
        <w:rPr>
          <w:spacing w:val="-19"/>
        </w:rPr>
        <w:t xml:space="preserve"> </w:t>
      </w:r>
      <w:r w:rsidRPr="00EE0EBA">
        <w:t>sociales</w:t>
      </w:r>
      <w:r w:rsidRPr="00EE0EBA">
        <w:rPr>
          <w:spacing w:val="-18"/>
        </w:rPr>
        <w:t xml:space="preserve"> </w:t>
      </w:r>
      <w:r w:rsidRPr="00EE0EBA">
        <w:t>en</w:t>
      </w:r>
      <w:r w:rsidRPr="00EE0EBA">
        <w:rPr>
          <w:spacing w:val="-20"/>
        </w:rPr>
        <w:t xml:space="preserve"> </w:t>
      </w:r>
      <w:r w:rsidRPr="00EE0EBA">
        <w:t>las</w:t>
      </w:r>
      <w:r w:rsidRPr="00EE0EBA">
        <w:rPr>
          <w:spacing w:val="-19"/>
        </w:rPr>
        <w:t xml:space="preserve"> </w:t>
      </w:r>
      <w:r w:rsidRPr="00EE0EBA">
        <w:t>cuales</w:t>
      </w:r>
      <w:r w:rsidRPr="00EE0EBA">
        <w:rPr>
          <w:spacing w:val="-18"/>
        </w:rPr>
        <w:t xml:space="preserve"> </w:t>
      </w:r>
      <w:r w:rsidRPr="00EE0EBA">
        <w:t>se</w:t>
      </w:r>
      <w:r w:rsidRPr="00EE0EBA">
        <w:rPr>
          <w:spacing w:val="-20"/>
        </w:rPr>
        <w:t xml:space="preserve"> </w:t>
      </w:r>
      <w:r w:rsidRPr="00EE0EBA">
        <w:t>difunde información institucional:</w:t>
      </w:r>
    </w:p>
    <w:p w14:paraId="11CA7639" w14:textId="77777777" w:rsidR="00255AB5" w:rsidRPr="00EE0EBA" w:rsidRDefault="00255AB5" w:rsidP="00255AB5">
      <w:pPr>
        <w:pStyle w:val="Textoindependiente"/>
        <w:spacing w:before="40"/>
        <w:ind w:right="1008"/>
      </w:pPr>
    </w:p>
    <w:p w14:paraId="1F2621E1" w14:textId="77777777" w:rsidR="00255AB5" w:rsidRPr="00EE0EBA" w:rsidRDefault="00255AB5" w:rsidP="00255AB5">
      <w:pPr>
        <w:pStyle w:val="Textoindependiente"/>
        <w:ind w:left="260" w:right="1008"/>
      </w:pPr>
      <w:r w:rsidRPr="00EE0EBA">
        <w:t>Twitter:</w:t>
      </w:r>
      <w:r w:rsidRPr="00EE0EBA">
        <w:rPr>
          <w:spacing w:val="-14"/>
        </w:rPr>
        <w:t xml:space="preserve"> </w:t>
      </w:r>
      <w:r w:rsidRPr="00EE0EBA">
        <w:rPr>
          <w:color w:val="4472C4"/>
          <w:spacing w:val="-2"/>
          <w:u w:val="single" w:color="4472C4"/>
        </w:rPr>
        <w:t>@colombiacompra</w:t>
      </w:r>
    </w:p>
    <w:p w14:paraId="14EE7EEC" w14:textId="77777777" w:rsidR="00255AB5" w:rsidRPr="00EE0EBA" w:rsidRDefault="00255AB5" w:rsidP="00255AB5">
      <w:pPr>
        <w:pStyle w:val="Textoindependiente"/>
        <w:spacing w:before="40"/>
        <w:ind w:left="260" w:right="1008"/>
      </w:pPr>
      <w:r w:rsidRPr="00EE0EBA">
        <w:t>Facebook:</w:t>
      </w:r>
      <w:r w:rsidRPr="00EE0EBA">
        <w:rPr>
          <w:spacing w:val="-18"/>
        </w:rPr>
        <w:t xml:space="preserve"> </w:t>
      </w:r>
      <w:r w:rsidRPr="00EE0EBA">
        <w:rPr>
          <w:color w:val="4472C4"/>
          <w:spacing w:val="-2"/>
          <w:u w:val="single" w:color="4472C4"/>
        </w:rPr>
        <w:t>ColombiaCompraEficiente</w:t>
      </w:r>
    </w:p>
    <w:p w14:paraId="1C87D078" w14:textId="77777777" w:rsidR="00255AB5" w:rsidRPr="00EE0EBA" w:rsidRDefault="00255AB5" w:rsidP="00255AB5">
      <w:pPr>
        <w:pStyle w:val="Textoindependiente"/>
        <w:spacing w:before="40"/>
        <w:ind w:left="260" w:right="1008"/>
      </w:pPr>
      <w:r w:rsidRPr="00EE0EBA">
        <w:rPr>
          <w:spacing w:val="-2"/>
        </w:rPr>
        <w:lastRenderedPageBreak/>
        <w:t>LinkedIn:</w:t>
      </w:r>
      <w:r w:rsidRPr="00EE0EBA">
        <w:rPr>
          <w:spacing w:val="-9"/>
        </w:rPr>
        <w:t xml:space="preserve"> </w:t>
      </w:r>
      <w:r w:rsidRPr="00EE0EBA">
        <w:rPr>
          <w:color w:val="4472C4"/>
          <w:spacing w:val="-2"/>
          <w:u w:val="single" w:color="4472C4"/>
        </w:rPr>
        <w:t>Agencia</w:t>
      </w:r>
      <w:r w:rsidRPr="00EE0EBA">
        <w:rPr>
          <w:color w:val="4472C4"/>
          <w:spacing w:val="-8"/>
          <w:u w:val="single" w:color="4472C4"/>
        </w:rPr>
        <w:t xml:space="preserve"> </w:t>
      </w:r>
      <w:r w:rsidRPr="00EE0EBA">
        <w:rPr>
          <w:color w:val="4472C4"/>
          <w:spacing w:val="-2"/>
          <w:u w:val="single" w:color="4472C4"/>
        </w:rPr>
        <w:t>Nacional</w:t>
      </w:r>
      <w:r w:rsidRPr="00EE0EBA">
        <w:rPr>
          <w:color w:val="4472C4"/>
          <w:spacing w:val="-9"/>
          <w:u w:val="single" w:color="4472C4"/>
        </w:rPr>
        <w:t xml:space="preserve"> </w:t>
      </w:r>
      <w:r w:rsidRPr="00EE0EBA">
        <w:rPr>
          <w:color w:val="4472C4"/>
          <w:spacing w:val="-2"/>
          <w:u w:val="single" w:color="4472C4"/>
        </w:rPr>
        <w:t>de</w:t>
      </w:r>
      <w:r w:rsidRPr="00EE0EBA">
        <w:rPr>
          <w:color w:val="4472C4"/>
          <w:spacing w:val="-10"/>
          <w:u w:val="single" w:color="4472C4"/>
        </w:rPr>
        <w:t xml:space="preserve"> </w:t>
      </w:r>
      <w:r w:rsidRPr="00EE0EBA">
        <w:rPr>
          <w:color w:val="4472C4"/>
          <w:spacing w:val="-2"/>
          <w:u w:val="single" w:color="4472C4"/>
        </w:rPr>
        <w:t>Contratación</w:t>
      </w:r>
      <w:r w:rsidRPr="00EE0EBA">
        <w:rPr>
          <w:color w:val="4472C4"/>
          <w:spacing w:val="-7"/>
          <w:u w:val="single" w:color="4472C4"/>
        </w:rPr>
        <w:t xml:space="preserve"> </w:t>
      </w:r>
      <w:r w:rsidRPr="00EE0EBA">
        <w:rPr>
          <w:color w:val="4472C4"/>
          <w:spacing w:val="-2"/>
          <w:u w:val="single" w:color="4472C4"/>
        </w:rPr>
        <w:t>Pública</w:t>
      </w:r>
      <w:r w:rsidRPr="00EE0EBA">
        <w:rPr>
          <w:color w:val="4472C4"/>
          <w:spacing w:val="-9"/>
          <w:u w:val="single" w:color="4472C4"/>
        </w:rPr>
        <w:t xml:space="preserve"> </w:t>
      </w:r>
      <w:r w:rsidRPr="00EE0EBA">
        <w:rPr>
          <w:color w:val="4472C4"/>
          <w:spacing w:val="-2"/>
          <w:u w:val="single" w:color="4472C4"/>
        </w:rPr>
        <w:t>-</w:t>
      </w:r>
      <w:r w:rsidRPr="00EE0EBA">
        <w:rPr>
          <w:color w:val="4472C4"/>
          <w:spacing w:val="-11"/>
          <w:u w:val="single" w:color="4472C4"/>
        </w:rPr>
        <w:t xml:space="preserve"> </w:t>
      </w:r>
      <w:r w:rsidRPr="00EE0EBA">
        <w:rPr>
          <w:color w:val="4472C4"/>
          <w:spacing w:val="-2"/>
          <w:u w:val="single" w:color="4472C4"/>
        </w:rPr>
        <w:t>Colombia</w:t>
      </w:r>
      <w:r w:rsidRPr="00EE0EBA">
        <w:rPr>
          <w:color w:val="4472C4"/>
          <w:spacing w:val="-8"/>
          <w:u w:val="single" w:color="4472C4"/>
        </w:rPr>
        <w:t xml:space="preserve"> </w:t>
      </w:r>
      <w:r w:rsidRPr="00EE0EBA">
        <w:rPr>
          <w:color w:val="4472C4"/>
          <w:spacing w:val="-2"/>
          <w:u w:val="single" w:color="4472C4"/>
        </w:rPr>
        <w:t>Compra</w:t>
      </w:r>
      <w:r w:rsidRPr="00EE0EBA">
        <w:rPr>
          <w:color w:val="4472C4"/>
          <w:spacing w:val="-9"/>
          <w:u w:val="single" w:color="4472C4"/>
        </w:rPr>
        <w:t xml:space="preserve"> </w:t>
      </w:r>
      <w:r w:rsidRPr="00EE0EBA">
        <w:rPr>
          <w:color w:val="4472C4"/>
          <w:spacing w:val="-2"/>
          <w:u w:val="single" w:color="4472C4"/>
        </w:rPr>
        <w:t>Eficiente</w:t>
      </w:r>
    </w:p>
    <w:p w14:paraId="21554FEE" w14:textId="77777777" w:rsidR="00255AB5" w:rsidRPr="00EE0EBA" w:rsidRDefault="00255AB5" w:rsidP="00255AB5">
      <w:pPr>
        <w:pStyle w:val="Textoindependiente"/>
        <w:spacing w:before="40"/>
        <w:ind w:left="260" w:right="1008"/>
      </w:pPr>
      <w:r w:rsidRPr="00EE0EBA">
        <w:t>Instagram:</w:t>
      </w:r>
      <w:r w:rsidRPr="00EE0EBA">
        <w:rPr>
          <w:spacing w:val="-19"/>
        </w:rPr>
        <w:t xml:space="preserve"> </w:t>
      </w:r>
      <w:r w:rsidRPr="00EE0EBA">
        <w:rPr>
          <w:color w:val="4472C4"/>
          <w:spacing w:val="-2"/>
          <w:u w:val="single" w:color="4472C4"/>
        </w:rPr>
        <w:t>@colombiacompraeficiente_cce</w:t>
      </w:r>
    </w:p>
    <w:p w14:paraId="60E82A1C" w14:textId="77777777" w:rsidR="00255AB5" w:rsidRPr="00EE0EBA" w:rsidRDefault="00255AB5" w:rsidP="00255AB5">
      <w:pPr>
        <w:pStyle w:val="Textoindependiente"/>
        <w:spacing w:before="80"/>
        <w:ind w:right="1008"/>
      </w:pPr>
    </w:p>
    <w:p w14:paraId="45A46D68" w14:textId="77777777" w:rsidR="00255AB5" w:rsidRPr="00EE0EBA" w:rsidRDefault="00255AB5" w:rsidP="00255AB5">
      <w:pPr>
        <w:pStyle w:val="Textoindependiente"/>
        <w:spacing w:line="276" w:lineRule="auto"/>
        <w:ind w:left="260" w:right="1008"/>
        <w:jc w:val="both"/>
      </w:pPr>
      <w:r w:rsidRPr="00EE0EBA">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2017FE3" w14:textId="77777777" w:rsidR="00255AB5" w:rsidRPr="00EE0EBA" w:rsidRDefault="00255AB5" w:rsidP="00255AB5">
      <w:pPr>
        <w:pStyle w:val="Textoindependiente"/>
        <w:spacing w:before="40"/>
      </w:pPr>
    </w:p>
    <w:p w14:paraId="4E93F04B" w14:textId="77777777" w:rsidR="00255AB5" w:rsidRPr="00EE0EBA" w:rsidRDefault="00255AB5" w:rsidP="00255AB5">
      <w:pPr>
        <w:pStyle w:val="Textoindependiente"/>
        <w:spacing w:before="1"/>
        <w:ind w:left="260"/>
      </w:pPr>
      <w:r w:rsidRPr="00EE0EBA">
        <w:rPr>
          <w:spacing w:val="-2"/>
        </w:rPr>
        <w:t>Atentamente,</w:t>
      </w:r>
    </w:p>
    <w:p w14:paraId="762F0029" w14:textId="77777777" w:rsidR="00255AB5" w:rsidRDefault="00255AB5" w:rsidP="00255AB5">
      <w:pPr>
        <w:pStyle w:val="Textoindependiente"/>
        <w:spacing w:line="276" w:lineRule="auto"/>
        <w:ind w:left="260" w:right="979"/>
        <w:jc w:val="both"/>
      </w:pPr>
    </w:p>
    <w:p w14:paraId="43A121E7" w14:textId="77777777" w:rsidR="00255AB5" w:rsidRDefault="00255AB5" w:rsidP="00255AB5">
      <w:pPr>
        <w:pStyle w:val="Textoindependiente"/>
        <w:spacing w:line="276" w:lineRule="auto"/>
        <w:ind w:left="260" w:right="979"/>
        <w:jc w:val="both"/>
      </w:pPr>
    </w:p>
    <w:p w14:paraId="179E6D7E" w14:textId="07CB2E18" w:rsidR="00255AB5" w:rsidRPr="00EE0EBA" w:rsidRDefault="0086046F" w:rsidP="00255AB5">
      <w:pPr>
        <w:spacing w:line="276" w:lineRule="auto"/>
        <w:jc w:val="center"/>
        <w:rPr>
          <w:rFonts w:eastAsia="Calibri" w:cs="Arial"/>
          <w:lang w:val="es-ES_tradnl" w:eastAsia="es-CO"/>
        </w:rPr>
      </w:pPr>
      <w:r w:rsidRPr="002C3AD6">
        <w:rPr>
          <w:rFonts w:ascii="Century Gothic" w:hAnsi="Century Gothic"/>
          <w:noProof/>
        </w:rPr>
        <w:drawing>
          <wp:inline distT="0" distB="0" distL="0" distR="0" wp14:anchorId="18B410BC" wp14:editId="4EF2B0B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55AB5" w:rsidRPr="00EE0EBA" w14:paraId="4FFA145D" w14:textId="77777777" w:rsidTr="002A1FF2">
        <w:trPr>
          <w:trHeight w:val="315"/>
        </w:trPr>
        <w:tc>
          <w:tcPr>
            <w:tcW w:w="893" w:type="dxa"/>
            <w:vAlign w:val="center"/>
            <w:hideMark/>
          </w:tcPr>
          <w:p w14:paraId="33DB34B2" w14:textId="77777777" w:rsidR="00255AB5" w:rsidRPr="00EE0EBA" w:rsidRDefault="00255AB5" w:rsidP="002A1FF2">
            <w:pPr>
              <w:rPr>
                <w:rFonts w:eastAsia="Calibri" w:cs="Arial"/>
                <w:sz w:val="16"/>
                <w:szCs w:val="16"/>
                <w:lang w:eastAsia="es-ES"/>
              </w:rPr>
            </w:pPr>
            <w:r w:rsidRPr="00EE0EBA">
              <w:rPr>
                <w:rFonts w:eastAsia="Calibri" w:cs="Arial"/>
                <w:sz w:val="16"/>
                <w:szCs w:val="16"/>
                <w:lang w:eastAsia="es-ES"/>
              </w:rPr>
              <w:t>Elaboró:</w:t>
            </w:r>
          </w:p>
        </w:tc>
        <w:tc>
          <w:tcPr>
            <w:tcW w:w="5628" w:type="dxa"/>
            <w:tcBorders>
              <w:top w:val="nil"/>
              <w:left w:val="nil"/>
              <w:bottom w:val="dotted" w:sz="4" w:space="0" w:color="7F7F7F"/>
              <w:right w:val="nil"/>
            </w:tcBorders>
            <w:vAlign w:val="center"/>
            <w:hideMark/>
          </w:tcPr>
          <w:p w14:paraId="7B8153CC" w14:textId="49C487BD" w:rsidR="00255AB5" w:rsidRPr="00EE0EBA" w:rsidRDefault="00790C95" w:rsidP="002A1FF2">
            <w:pPr>
              <w:rPr>
                <w:rFonts w:eastAsia="Arial" w:cs="Arial"/>
                <w:sz w:val="16"/>
                <w:szCs w:val="16"/>
              </w:rPr>
            </w:pPr>
            <w:r>
              <w:rPr>
                <w:rFonts w:eastAsia="Arial" w:cs="Arial"/>
                <w:sz w:val="16"/>
                <w:szCs w:val="16"/>
              </w:rPr>
              <w:t xml:space="preserve">Diana </w:t>
            </w:r>
            <w:r w:rsidR="00255AB5" w:rsidRPr="00EE0EBA">
              <w:rPr>
                <w:rFonts w:eastAsia="Arial" w:cs="Arial"/>
                <w:sz w:val="16"/>
                <w:szCs w:val="16"/>
              </w:rPr>
              <w:t xml:space="preserve">Carolina Blanco Rodriguez </w:t>
            </w:r>
          </w:p>
          <w:p w14:paraId="2B78AFB9" w14:textId="77777777" w:rsidR="00255AB5" w:rsidRPr="00EE0EBA" w:rsidRDefault="00255AB5" w:rsidP="002A1FF2">
            <w:pPr>
              <w:rPr>
                <w:rFonts w:eastAsia="Arial" w:cs="Arial"/>
                <w:sz w:val="16"/>
                <w:szCs w:val="16"/>
              </w:rPr>
            </w:pPr>
            <w:r w:rsidRPr="00EE0EBA">
              <w:rPr>
                <w:rFonts w:eastAsia="Arial" w:cs="Arial"/>
                <w:sz w:val="16"/>
                <w:szCs w:val="16"/>
              </w:rPr>
              <w:t>Contratista de la Subdirección de Gestión Contractual</w:t>
            </w:r>
          </w:p>
        </w:tc>
      </w:tr>
      <w:tr w:rsidR="00255AB5" w:rsidRPr="00EE0EBA" w14:paraId="5C15A769" w14:textId="77777777" w:rsidTr="002A1FF2">
        <w:trPr>
          <w:trHeight w:val="330"/>
        </w:trPr>
        <w:tc>
          <w:tcPr>
            <w:tcW w:w="893" w:type="dxa"/>
            <w:vAlign w:val="center"/>
            <w:hideMark/>
          </w:tcPr>
          <w:p w14:paraId="47EC0A8D" w14:textId="77777777" w:rsidR="00255AB5" w:rsidRPr="00EE0EBA" w:rsidRDefault="00255AB5" w:rsidP="002A1FF2">
            <w:pPr>
              <w:rPr>
                <w:rFonts w:eastAsia="Calibri" w:cs="Arial"/>
                <w:sz w:val="16"/>
                <w:szCs w:val="16"/>
                <w:lang w:eastAsia="es-ES"/>
              </w:rPr>
            </w:pPr>
            <w:r w:rsidRPr="00EE0EBA">
              <w:rPr>
                <w:rFonts w:eastAsia="Calibri"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455DAA19" w14:textId="594DD9F8" w:rsidR="00255AB5" w:rsidRPr="00EE0EBA" w:rsidRDefault="00255AB5" w:rsidP="002A1FF2">
            <w:pPr>
              <w:textAlignment w:val="baseline"/>
              <w:rPr>
                <w:rFonts w:eastAsia="Times New Roman" w:cs="Segoe UI"/>
                <w:sz w:val="16"/>
                <w:szCs w:val="16"/>
                <w:lang w:eastAsia="es-ES_tradnl"/>
              </w:rPr>
            </w:pPr>
            <w:r w:rsidRPr="00EE0EBA">
              <w:rPr>
                <w:rFonts w:eastAsia="Times New Roman" w:cs="Segoe UI"/>
                <w:sz w:val="16"/>
                <w:szCs w:val="16"/>
                <w:lang w:eastAsia="es-ES_tradnl"/>
              </w:rPr>
              <w:t xml:space="preserve">Juan David Cárdenas </w:t>
            </w:r>
            <w:r w:rsidR="00790C95">
              <w:rPr>
                <w:rFonts w:eastAsia="Times New Roman" w:cs="Segoe UI"/>
                <w:sz w:val="16"/>
                <w:szCs w:val="16"/>
                <w:lang w:eastAsia="es-ES_tradnl"/>
              </w:rPr>
              <w:t>Cabeza</w:t>
            </w:r>
          </w:p>
          <w:p w14:paraId="355369FC" w14:textId="77777777" w:rsidR="00255AB5" w:rsidRPr="00EE0EBA" w:rsidRDefault="00255AB5" w:rsidP="002A1FF2">
            <w:pPr>
              <w:textAlignment w:val="baseline"/>
              <w:rPr>
                <w:rFonts w:eastAsia="Times New Roman" w:cs="Segoe UI"/>
                <w:sz w:val="16"/>
                <w:szCs w:val="16"/>
                <w:lang w:eastAsia="es-ES_tradnl"/>
              </w:rPr>
            </w:pPr>
            <w:r w:rsidRPr="00EE0EBA">
              <w:rPr>
                <w:rFonts w:eastAsia="Times New Roman" w:cs="Arial"/>
                <w:sz w:val="16"/>
                <w:szCs w:val="16"/>
                <w:lang w:eastAsia="es-ES_tradnl"/>
              </w:rPr>
              <w:t>Contratista de la Subdirección de Gestión Contractual </w:t>
            </w:r>
          </w:p>
        </w:tc>
      </w:tr>
      <w:tr w:rsidR="00255AB5" w:rsidRPr="00EE0EBA" w14:paraId="02FEF9B0" w14:textId="77777777" w:rsidTr="002A1FF2">
        <w:trPr>
          <w:trHeight w:val="300"/>
        </w:trPr>
        <w:tc>
          <w:tcPr>
            <w:tcW w:w="893" w:type="dxa"/>
            <w:vAlign w:val="center"/>
          </w:tcPr>
          <w:p w14:paraId="45C45032" w14:textId="77777777" w:rsidR="00255AB5" w:rsidRPr="00EE0EBA" w:rsidRDefault="00255AB5" w:rsidP="002A1FF2">
            <w:pPr>
              <w:rPr>
                <w:rFonts w:eastAsia="Calibri" w:cs="Arial"/>
                <w:sz w:val="16"/>
                <w:szCs w:val="16"/>
                <w:lang w:eastAsia="es-ES"/>
              </w:rPr>
            </w:pPr>
            <w:r w:rsidRPr="00EE0EBA">
              <w:rPr>
                <w:rFonts w:eastAsia="Calibri"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17455AF8" w14:textId="77777777" w:rsidR="00255AB5" w:rsidRPr="00EE0EBA" w:rsidRDefault="00255AB5" w:rsidP="002A1FF2">
            <w:pPr>
              <w:rPr>
                <w:rFonts w:eastAsia="Calibri" w:cs="Arial"/>
                <w:sz w:val="16"/>
                <w:szCs w:val="16"/>
                <w:lang w:val="pt-BR" w:eastAsia="es-ES"/>
              </w:rPr>
            </w:pPr>
            <w:r w:rsidRPr="00EE0EBA">
              <w:rPr>
                <w:rFonts w:eastAsia="Calibri" w:cs="Arial"/>
                <w:sz w:val="16"/>
                <w:szCs w:val="16"/>
                <w:lang w:val="pt-BR" w:eastAsia="es-ES"/>
              </w:rPr>
              <w:t>Carolina Quintero Gacharná</w:t>
            </w:r>
          </w:p>
          <w:p w14:paraId="5ABF9689" w14:textId="77777777" w:rsidR="00255AB5" w:rsidRPr="00EE0EBA" w:rsidRDefault="00255AB5" w:rsidP="002A1FF2">
            <w:pPr>
              <w:rPr>
                <w:rFonts w:eastAsia="Calibri" w:cs="Arial"/>
                <w:sz w:val="16"/>
                <w:szCs w:val="16"/>
                <w:lang w:val="pt-BR" w:eastAsia="es-ES"/>
              </w:rPr>
            </w:pPr>
            <w:r w:rsidRPr="00EE0EBA">
              <w:rPr>
                <w:rFonts w:eastAsia="Calibri" w:cs="Arial"/>
                <w:sz w:val="16"/>
                <w:szCs w:val="16"/>
                <w:lang w:eastAsia="es-ES"/>
              </w:rPr>
              <w:t>Subdirectora</w:t>
            </w:r>
            <w:r w:rsidRPr="00EE0EBA">
              <w:rPr>
                <w:rFonts w:eastAsia="Calibri" w:cs="Arial"/>
                <w:sz w:val="16"/>
                <w:szCs w:val="16"/>
                <w:lang w:val="pt-BR" w:eastAsia="es-ES"/>
              </w:rPr>
              <w:t xml:space="preserve"> de Gestión Contratual ANCP – CCE</w:t>
            </w:r>
          </w:p>
        </w:tc>
      </w:tr>
      <w:bookmarkEnd w:id="0"/>
    </w:tbl>
    <w:p w14:paraId="0ABD8858" w14:textId="77777777" w:rsidR="00255AB5" w:rsidRPr="00EE0EBA" w:rsidRDefault="00255AB5" w:rsidP="00255AB5">
      <w:pPr>
        <w:pStyle w:val="Textoindependiente"/>
        <w:ind w:left="2024"/>
        <w:rPr>
          <w:sz w:val="20"/>
        </w:rPr>
      </w:pPr>
    </w:p>
    <w:sectPr w:rsidR="00255AB5" w:rsidRPr="00EE0EBA">
      <w:headerReference w:type="default" r:id="rId21"/>
      <w:footerReference w:type="default" r:id="rId22"/>
      <w:pgSz w:w="12240" w:h="15840"/>
      <w:pgMar w:top="1880" w:right="720" w:bottom="1900" w:left="144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22003" w14:textId="77777777" w:rsidR="00B87474" w:rsidRDefault="00B87474">
      <w:r>
        <w:separator/>
      </w:r>
    </w:p>
  </w:endnote>
  <w:endnote w:type="continuationSeparator" w:id="0">
    <w:p w14:paraId="3D10CD58" w14:textId="77777777" w:rsidR="00B87474" w:rsidRDefault="00B87474">
      <w:r>
        <w:continuationSeparator/>
      </w:r>
    </w:p>
  </w:endnote>
  <w:endnote w:type="continuationNotice" w:id="1">
    <w:p w14:paraId="1B3C6AFF" w14:textId="77777777" w:rsidR="00B87474" w:rsidRDefault="00B874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UI Semibold">
    <w:panose1 w:val="020B0700000000000000"/>
    <w:charset w:val="80"/>
    <w:family w:val="swiss"/>
    <w:pitch w:val="variable"/>
    <w:sig w:usb0="E00002FF" w:usb1="2AC7FDFF" w:usb2="00000016" w:usb3="00000000" w:csb0="0002009F" w:csb1="00000000"/>
  </w:font>
  <w:font w:name="Geomanist Light">
    <w:panose1 w:val="00000000000000000000"/>
    <w:charset w:val="00"/>
    <w:family w:val="modern"/>
    <w:notTrueType/>
    <w:pitch w:val="variable"/>
    <w:sig w:usb0="A000002F" w:usb1="1000004A" w:usb2="000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Open Sans">
    <w:charset w:val="00"/>
    <w:family w:val="swiss"/>
    <w:pitch w:val="variable"/>
    <w:sig w:usb0="E00002EF" w:usb1="4000205B" w:usb2="00000028"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FE85A" w14:textId="77777777" w:rsidR="00771A1C" w:rsidRDefault="002A56AD">
    <w:pPr>
      <w:pStyle w:val="Textoindependiente"/>
      <w:spacing w:line="14" w:lineRule="auto"/>
      <w:rPr>
        <w:sz w:val="20"/>
      </w:rPr>
    </w:pPr>
    <w:r>
      <w:rPr>
        <w:noProof/>
        <w:sz w:val="20"/>
      </w:rPr>
      <mc:AlternateContent>
        <mc:Choice Requires="wps">
          <w:drawing>
            <wp:anchor distT="0" distB="0" distL="0" distR="0" simplePos="0" relativeHeight="251653632" behindDoc="1" locked="0" layoutInCell="1" allowOverlap="1" wp14:anchorId="128E72C9" wp14:editId="7DD6493B">
              <wp:simplePos x="0" y="0"/>
              <wp:positionH relativeFrom="page">
                <wp:posOffset>1062355</wp:posOffset>
              </wp:positionH>
              <wp:positionV relativeFrom="page">
                <wp:posOffset>8803097</wp:posOffset>
              </wp:positionV>
              <wp:extent cx="5647690"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B9BEBB" id="Graphic 3" o:spid="_x0000_s1026" style="position:absolute;margin-left:83.65pt;margin-top:693.15pt;width:444.7pt;height:.1pt;z-index:-251662848;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sz w:val="20"/>
      </w:rPr>
      <mc:AlternateContent>
        <mc:Choice Requires="wps">
          <w:drawing>
            <wp:anchor distT="0" distB="0" distL="0" distR="0" simplePos="0" relativeHeight="251660800" behindDoc="1" locked="0" layoutInCell="1" allowOverlap="1" wp14:anchorId="20C44FD3" wp14:editId="26372101">
              <wp:simplePos x="0" y="0"/>
              <wp:positionH relativeFrom="page">
                <wp:posOffset>1067435</wp:posOffset>
              </wp:positionH>
              <wp:positionV relativeFrom="page">
                <wp:posOffset>8806274</wp:posOffset>
              </wp:positionV>
              <wp:extent cx="2985135" cy="6477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2F88B8A5" w14:textId="77777777" w:rsidR="00771A1C" w:rsidRDefault="002A56AD">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2B204BA3" w14:textId="77777777" w:rsidR="00771A1C" w:rsidRDefault="002A56AD">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20C44FD3" id="_x0000_t202" coordsize="21600,21600" o:spt="202" path="m,l,21600r21600,l21600,xe">
              <v:stroke joinstyle="miter"/>
              <v:path gradientshapeok="t" o:connecttype="rect"/>
            </v:shapetype>
            <v:shape id="Textbox 4" o:spid="_x0000_s1028" type="#_x0000_t202" style="position:absolute;margin-left:84.05pt;margin-top:693.4pt;width:235.05pt;height:51pt;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" filled="f" stroked="f">
              <v:textbox inset="0,0,0,0">
                <w:txbxContent>
                  <w:p w14:paraId="2F88B8A5" w14:textId="77777777" w:rsidR="00771A1C" w:rsidRDefault="002A56AD">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2B204BA3" w14:textId="77777777" w:rsidR="00771A1C" w:rsidRDefault="002A56AD">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251667968" behindDoc="1" locked="0" layoutInCell="1" allowOverlap="1" wp14:anchorId="2BF9E48D" wp14:editId="2CC1D01D">
              <wp:simplePos x="0" y="0"/>
              <wp:positionH relativeFrom="page">
                <wp:posOffset>6025148</wp:posOffset>
              </wp:positionH>
              <wp:positionV relativeFrom="page">
                <wp:posOffset>8831810</wp:posOffset>
              </wp:positionV>
              <wp:extent cx="450850" cy="14922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14:paraId="281461D0" w14:textId="77777777" w:rsidR="00771A1C" w:rsidRDefault="002A56AD">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2BF9E48D" id="Textbox 5" o:spid="_x0000_s1029" type="#_x0000_t202" style="position:absolute;margin-left:474.4pt;margin-top:695.4pt;width:35.5pt;height:11.75pt;z-index:-25164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" filled="f" stroked="f">
              <v:textbox inset="0,0,0,0">
                <w:txbxContent>
                  <w:p w14:paraId="281461D0" w14:textId="77777777" w:rsidR="00771A1C" w:rsidRDefault="002A56AD">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251675136" behindDoc="1" locked="0" layoutInCell="1" allowOverlap="1" wp14:anchorId="2259A8AD" wp14:editId="64A8BAE7">
              <wp:simplePos x="0" y="0"/>
              <wp:positionH relativeFrom="page">
                <wp:posOffset>1067435</wp:posOffset>
              </wp:positionH>
              <wp:positionV relativeFrom="page">
                <wp:posOffset>9442399</wp:posOffset>
              </wp:positionV>
              <wp:extent cx="2525395" cy="1644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62A0DBAE" w14:textId="77777777" w:rsidR="00771A1C" w:rsidRDefault="002A56AD">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2259A8AD" id="Textbox 6" o:spid="_x0000_s1030" type="#_x0000_t202" style="position:absolute;margin-left:84.05pt;margin-top:743.5pt;width:198.85pt;height:12.95pt;z-index:-25164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" filled="f" stroked="f">
              <v:textbox inset="0,0,0,0">
                <w:txbxContent>
                  <w:p w14:paraId="62A0DBAE" w14:textId="77777777" w:rsidR="00771A1C" w:rsidRDefault="002A56AD">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251682304" behindDoc="1" locked="0" layoutInCell="1" allowOverlap="1" wp14:anchorId="381729C1" wp14:editId="6BA991ED">
              <wp:simplePos x="0" y="0"/>
              <wp:positionH relativeFrom="page">
                <wp:posOffset>3972317</wp:posOffset>
              </wp:positionH>
              <wp:positionV relativeFrom="page">
                <wp:posOffset>9465337</wp:posOffset>
              </wp:positionV>
              <wp:extent cx="2688590" cy="13906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56B20C83" w14:textId="77777777" w:rsidR="00771A1C" w:rsidRDefault="002A56AD">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381729C1" id="Textbox 7" o:spid="_x0000_s1031" type="#_x0000_t202" style="position:absolute;margin-left:312.8pt;margin-top:745.3pt;width:211.7pt;height:10.95pt;z-index:-251634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CoGVM6mQEA&#10;ACIDAAAOAAAAAAAAAAAAAAAAAC4CAABkcnMvZTJvRG9jLnhtbFBLAQItABQABgAIAAAAIQAk7Hy2&#10;4AAAAA4BAAAPAAAAAAAAAAAAAAAAAPMDAABkcnMvZG93bnJldi54bWxQSwUGAAAAAAQABADzAAAA&#10;AAUAAAAA&#10;" filled="f" stroked="f">
              <v:textbox inset="0,0,0,0">
                <w:txbxContent>
                  <w:p w14:paraId="56B20C83" w14:textId="77777777" w:rsidR="00771A1C" w:rsidRDefault="002A56AD">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63AEE" w14:textId="77777777" w:rsidR="00B87474" w:rsidRDefault="00B87474">
      <w:r>
        <w:separator/>
      </w:r>
    </w:p>
  </w:footnote>
  <w:footnote w:type="continuationSeparator" w:id="0">
    <w:p w14:paraId="21CA0325" w14:textId="77777777" w:rsidR="00B87474" w:rsidRDefault="00B87474">
      <w:r>
        <w:continuationSeparator/>
      </w:r>
    </w:p>
  </w:footnote>
  <w:footnote w:type="continuationNotice" w:id="1">
    <w:p w14:paraId="108CD663" w14:textId="77777777" w:rsidR="00B87474" w:rsidRDefault="00B87474"/>
  </w:footnote>
  <w:footnote w:id="2">
    <w:p w14:paraId="4162F908" w14:textId="77777777" w:rsidR="00C560BE" w:rsidRPr="00260EBF" w:rsidRDefault="00C560BE" w:rsidP="00255AB5">
      <w:pPr>
        <w:pStyle w:val="Textonotapie"/>
        <w:ind w:right="866" w:firstLine="708"/>
        <w:contextualSpacing/>
        <w:jc w:val="both"/>
        <w:rPr>
          <w:rFonts w:ascii="Verdana" w:hAnsi="Verdana" w:cs="Arial"/>
          <w:sz w:val="18"/>
          <w:szCs w:val="18"/>
        </w:rPr>
      </w:pPr>
      <w:r w:rsidRPr="00260EBF">
        <w:rPr>
          <w:rStyle w:val="Refdenotaalpie"/>
          <w:rFonts w:ascii="Verdana" w:hAnsi="Verdana" w:cs="Arial"/>
          <w:sz w:val="18"/>
          <w:szCs w:val="18"/>
        </w:rPr>
        <w:footnoteRef/>
      </w:r>
      <w:r w:rsidRPr="00260EBF">
        <w:rPr>
          <w:rFonts w:ascii="Verdana" w:hAnsi="Verdana" w:cs="Arial"/>
          <w:sz w:val="18"/>
          <w:szCs w:val="18"/>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0CF87875" w14:textId="77777777" w:rsidR="00C560BE" w:rsidRPr="00260EBF" w:rsidRDefault="00C560BE" w:rsidP="00255AB5">
      <w:pPr>
        <w:pStyle w:val="Textonotapie"/>
        <w:ind w:right="866" w:firstLine="708"/>
        <w:contextualSpacing/>
        <w:jc w:val="both"/>
        <w:rPr>
          <w:rFonts w:ascii="Verdana" w:hAnsi="Verdana" w:cs="Arial"/>
          <w:sz w:val="18"/>
          <w:szCs w:val="18"/>
          <w:lang w:val="es-ES_tradnl"/>
        </w:rPr>
      </w:pPr>
    </w:p>
  </w:footnote>
  <w:footnote w:id="3">
    <w:p w14:paraId="3331DE19" w14:textId="77777777" w:rsidR="00C560BE" w:rsidRPr="00260EBF" w:rsidRDefault="00C560BE" w:rsidP="00255AB5">
      <w:pPr>
        <w:pStyle w:val="Textonotapie"/>
        <w:ind w:right="866" w:firstLine="708"/>
        <w:contextualSpacing/>
        <w:jc w:val="both"/>
        <w:rPr>
          <w:rFonts w:ascii="Verdana" w:hAnsi="Verdana" w:cs="Arial"/>
          <w:sz w:val="18"/>
          <w:szCs w:val="18"/>
          <w:lang w:val="es-ES"/>
        </w:rPr>
      </w:pPr>
      <w:r w:rsidRPr="00260EBF">
        <w:rPr>
          <w:rStyle w:val="Refdenotaalpie"/>
          <w:rFonts w:ascii="Verdana" w:hAnsi="Verdana" w:cs="Arial"/>
          <w:sz w:val="18"/>
          <w:szCs w:val="18"/>
        </w:rPr>
        <w:footnoteRef/>
      </w:r>
      <w:r w:rsidRPr="00260EBF">
        <w:rPr>
          <w:rFonts w:ascii="Verdana" w:hAnsi="Verdana" w:cs="Arial"/>
          <w:sz w:val="18"/>
          <w:szCs w:val="18"/>
        </w:rPr>
        <w:t xml:space="preserve"> </w:t>
      </w:r>
      <w:r w:rsidRPr="00260EBF">
        <w:rPr>
          <w:rFonts w:ascii="Verdana" w:hAnsi="Verdana" w:cs="Arial"/>
          <w:sz w:val="18"/>
          <w:szCs w:val="18"/>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1B222466" w14:textId="77777777" w:rsidR="00C560BE" w:rsidRPr="00260EBF" w:rsidRDefault="00C560BE" w:rsidP="00C560BE">
      <w:pPr>
        <w:pStyle w:val="Textonotapie"/>
        <w:ind w:firstLine="709"/>
        <w:contextualSpacing/>
        <w:jc w:val="both"/>
        <w:rPr>
          <w:rFonts w:ascii="Verdana" w:hAnsi="Verdana" w:cs="Arial"/>
          <w:sz w:val="18"/>
          <w:szCs w:val="18"/>
          <w:lang w:val="es-ES"/>
        </w:rPr>
      </w:pPr>
    </w:p>
  </w:footnote>
  <w:footnote w:id="4">
    <w:p w14:paraId="07DB2331" w14:textId="77777777" w:rsidR="00C560BE" w:rsidRPr="00255AB5" w:rsidRDefault="00C560BE" w:rsidP="00255AB5">
      <w:pPr>
        <w:pStyle w:val="Textonotapie"/>
        <w:tabs>
          <w:tab w:val="left" w:pos="9072"/>
        </w:tabs>
        <w:ind w:right="1008" w:firstLine="709"/>
        <w:contextualSpacing/>
        <w:jc w:val="both"/>
        <w:rPr>
          <w:rFonts w:ascii="Verdana" w:hAnsi="Verdana" w:cs="Arial"/>
          <w:sz w:val="16"/>
          <w:szCs w:val="16"/>
          <w:lang w:val="es-ES"/>
        </w:rPr>
      </w:pPr>
      <w:r w:rsidRPr="00255AB5">
        <w:rPr>
          <w:rStyle w:val="Refdenotaalpie"/>
          <w:rFonts w:ascii="Verdana" w:hAnsi="Verdana" w:cs="Arial"/>
          <w:sz w:val="16"/>
          <w:szCs w:val="16"/>
        </w:rPr>
        <w:footnoteRef/>
      </w:r>
      <w:r w:rsidRPr="00255AB5">
        <w:rPr>
          <w:rFonts w:ascii="Verdana" w:hAnsi="Verdana" w:cs="Arial"/>
          <w:sz w:val="16"/>
          <w:szCs w:val="16"/>
        </w:rPr>
        <w:t xml:space="preserve"> </w:t>
      </w:r>
      <w:r w:rsidRPr="00255AB5">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7CE1C2DF" w14:textId="77777777" w:rsidR="00C560BE" w:rsidRPr="00255AB5" w:rsidRDefault="00C560BE" w:rsidP="00255AB5">
      <w:pPr>
        <w:pStyle w:val="Textonotapie"/>
        <w:tabs>
          <w:tab w:val="left" w:pos="9072"/>
        </w:tabs>
        <w:ind w:right="1008" w:firstLine="709"/>
        <w:contextualSpacing/>
        <w:jc w:val="both"/>
        <w:rPr>
          <w:rFonts w:ascii="Verdana" w:hAnsi="Verdana" w:cs="Arial"/>
          <w:sz w:val="16"/>
          <w:szCs w:val="16"/>
          <w:lang w:val="es-ES"/>
        </w:rPr>
      </w:pPr>
      <w:r w:rsidRPr="00255AB5">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7BFDEE6D" w14:textId="77777777" w:rsidR="00C560BE" w:rsidRPr="00255AB5" w:rsidRDefault="00C560BE" w:rsidP="00255AB5">
      <w:pPr>
        <w:pStyle w:val="Textonotapie"/>
        <w:tabs>
          <w:tab w:val="left" w:pos="9072"/>
        </w:tabs>
        <w:ind w:right="1008" w:firstLine="709"/>
        <w:contextualSpacing/>
        <w:jc w:val="both"/>
        <w:rPr>
          <w:rFonts w:ascii="Verdana" w:hAnsi="Verdana" w:cs="Arial"/>
          <w:sz w:val="16"/>
          <w:szCs w:val="16"/>
          <w:lang w:val="es-ES"/>
        </w:rPr>
      </w:pPr>
      <w:r w:rsidRPr="00255AB5">
        <w:rPr>
          <w:rFonts w:ascii="Verdana" w:hAnsi="Verdana" w:cs="Arial"/>
          <w:sz w:val="16"/>
          <w:szCs w:val="16"/>
          <w:lang w:val="es-ES"/>
        </w:rPr>
        <w:t>El Gobierno nacional reglamentará el mecanismo para realizar la mensualización de que trata el presente artículo.</w:t>
      </w:r>
    </w:p>
    <w:p w14:paraId="57B0D0E5" w14:textId="77777777" w:rsidR="00C560BE" w:rsidRPr="00255AB5" w:rsidRDefault="00C560BE" w:rsidP="00255AB5">
      <w:pPr>
        <w:pStyle w:val="Textonotapie"/>
        <w:tabs>
          <w:tab w:val="left" w:pos="9072"/>
        </w:tabs>
        <w:ind w:right="1008" w:firstLine="709"/>
        <w:contextualSpacing/>
        <w:jc w:val="both"/>
        <w:rPr>
          <w:rFonts w:ascii="Verdana" w:hAnsi="Verdana" w:cs="Arial"/>
          <w:sz w:val="16"/>
          <w:szCs w:val="16"/>
          <w:lang w:val="pt-BR"/>
        </w:rPr>
      </w:pPr>
      <w:r w:rsidRPr="00255AB5">
        <w:rPr>
          <w:rFonts w:ascii="Verdana" w:hAnsi="Verdana" w:cs="Arial"/>
          <w:sz w:val="16"/>
          <w:szCs w:val="16"/>
          <w:lang w:val="pt-BR"/>
        </w:rPr>
        <w:t>[…]”.</w:t>
      </w:r>
    </w:p>
    <w:p w14:paraId="354AC06D" w14:textId="77777777" w:rsidR="00C560BE" w:rsidRPr="00255AB5" w:rsidRDefault="00C560BE" w:rsidP="00255AB5">
      <w:pPr>
        <w:pStyle w:val="Textonotapie"/>
        <w:tabs>
          <w:tab w:val="left" w:pos="9072"/>
        </w:tabs>
        <w:ind w:right="1008" w:firstLine="709"/>
        <w:contextualSpacing/>
        <w:jc w:val="both"/>
        <w:rPr>
          <w:rFonts w:ascii="Verdana" w:hAnsi="Verdana" w:cs="Arial"/>
          <w:sz w:val="16"/>
          <w:szCs w:val="16"/>
          <w:lang w:val="pt-BR"/>
        </w:rPr>
      </w:pPr>
    </w:p>
  </w:footnote>
  <w:footnote w:id="5">
    <w:p w14:paraId="0FC4EA45" w14:textId="77777777" w:rsidR="00C560BE" w:rsidRPr="00255AB5" w:rsidRDefault="00C560BE" w:rsidP="00255AB5">
      <w:pPr>
        <w:pStyle w:val="Textonotapie"/>
        <w:tabs>
          <w:tab w:val="left" w:pos="9072"/>
        </w:tabs>
        <w:ind w:right="1008" w:firstLine="709"/>
        <w:contextualSpacing/>
        <w:jc w:val="both"/>
        <w:rPr>
          <w:rFonts w:ascii="Verdana" w:hAnsi="Verdana" w:cs="Arial"/>
          <w:sz w:val="16"/>
          <w:szCs w:val="16"/>
          <w:lang w:val="es-ES"/>
        </w:rPr>
      </w:pPr>
      <w:r w:rsidRPr="00255AB5">
        <w:rPr>
          <w:rStyle w:val="Refdenotaalpie"/>
          <w:rFonts w:ascii="Verdana" w:hAnsi="Verdana" w:cs="Arial"/>
          <w:sz w:val="16"/>
          <w:szCs w:val="16"/>
        </w:rPr>
        <w:footnoteRef/>
      </w:r>
      <w:r w:rsidRPr="00255AB5">
        <w:rPr>
          <w:rFonts w:ascii="Verdana" w:hAnsi="Verdana" w:cs="Arial"/>
          <w:sz w:val="16"/>
          <w:szCs w:val="16"/>
          <w:lang w:val="pt-BR"/>
        </w:rPr>
        <w:t xml:space="preserve"> Corte Constitucional. Sentencia C-154 de 1997. </w:t>
      </w:r>
      <w:r w:rsidRPr="00255AB5">
        <w:rPr>
          <w:rFonts w:ascii="Verdana" w:hAnsi="Verdana" w:cs="Arial"/>
          <w:sz w:val="16"/>
          <w:szCs w:val="16"/>
          <w:lang w:val="es-ES"/>
        </w:rPr>
        <w:t>MP: Hernando Herrera Vergara.</w:t>
      </w:r>
    </w:p>
  </w:footnote>
  <w:footnote w:id="6">
    <w:p w14:paraId="105C1649" w14:textId="77777777" w:rsidR="00C560BE" w:rsidRPr="00260EBF" w:rsidRDefault="00C560BE" w:rsidP="00C560BE">
      <w:pPr>
        <w:contextualSpacing/>
        <w:rPr>
          <w:sz w:val="18"/>
          <w:szCs w:val="18"/>
        </w:rPr>
      </w:pPr>
    </w:p>
  </w:footnote>
  <w:footnote w:id="7">
    <w:p w14:paraId="37CFB15B" w14:textId="77777777" w:rsidR="00C560BE" w:rsidRPr="00255AB5" w:rsidRDefault="00C560BE" w:rsidP="00255AB5">
      <w:pPr>
        <w:pStyle w:val="Textonotapie"/>
        <w:ind w:right="866" w:firstLine="709"/>
        <w:contextualSpacing/>
        <w:jc w:val="both"/>
        <w:rPr>
          <w:rFonts w:ascii="Verdana" w:hAnsi="Verdana" w:cs="Arial"/>
          <w:sz w:val="16"/>
          <w:szCs w:val="16"/>
          <w:lang w:val="es-ES"/>
        </w:rPr>
      </w:pPr>
      <w:r w:rsidRPr="00255AB5">
        <w:rPr>
          <w:rStyle w:val="Refdenotaalpie"/>
          <w:rFonts w:ascii="Verdana" w:hAnsi="Verdana" w:cs="Arial"/>
          <w:sz w:val="16"/>
          <w:szCs w:val="16"/>
        </w:rPr>
        <w:footnoteRef/>
      </w:r>
      <w:r w:rsidRPr="00255AB5">
        <w:rPr>
          <w:rFonts w:ascii="Verdana" w:hAnsi="Verdana" w:cs="Arial"/>
          <w:sz w:val="16"/>
          <w:szCs w:val="16"/>
        </w:rPr>
        <w:t xml:space="preserve"> </w:t>
      </w:r>
      <w:r w:rsidRPr="00255AB5">
        <w:rPr>
          <w:rFonts w:ascii="Verdana" w:hAnsi="Verdana" w:cs="Arial"/>
          <w:sz w:val="16"/>
          <w:szCs w:val="16"/>
          <w:lang w:val="es-ES"/>
        </w:rPr>
        <w:t>Ibíd.</w:t>
      </w:r>
    </w:p>
    <w:p w14:paraId="35D3CACC" w14:textId="77777777" w:rsidR="00C560BE" w:rsidRPr="00255AB5" w:rsidRDefault="00C560BE" w:rsidP="00255AB5">
      <w:pPr>
        <w:pStyle w:val="Textonotapie"/>
        <w:ind w:right="866" w:firstLine="709"/>
        <w:contextualSpacing/>
        <w:jc w:val="both"/>
        <w:rPr>
          <w:rFonts w:ascii="Verdana" w:hAnsi="Verdana" w:cs="Arial"/>
          <w:sz w:val="16"/>
          <w:szCs w:val="16"/>
          <w:lang w:val="es-ES"/>
        </w:rPr>
      </w:pPr>
    </w:p>
  </w:footnote>
  <w:footnote w:id="8">
    <w:p w14:paraId="1917CCAD" w14:textId="77777777" w:rsidR="00C560BE" w:rsidRPr="00255AB5" w:rsidRDefault="00C560BE" w:rsidP="00255AB5">
      <w:pPr>
        <w:pStyle w:val="Textonotapie"/>
        <w:ind w:right="866" w:firstLine="709"/>
        <w:contextualSpacing/>
        <w:jc w:val="both"/>
        <w:rPr>
          <w:rFonts w:ascii="Verdana" w:hAnsi="Verdana" w:cs="Arial"/>
          <w:color w:val="000000"/>
          <w:sz w:val="16"/>
          <w:szCs w:val="16"/>
          <w:lang w:val="es-ES"/>
        </w:rPr>
      </w:pPr>
      <w:r w:rsidRPr="00255AB5">
        <w:rPr>
          <w:rStyle w:val="Refdenotaalpie"/>
          <w:rFonts w:ascii="Verdana" w:hAnsi="Verdana" w:cs="Arial"/>
          <w:color w:val="000000"/>
          <w:sz w:val="16"/>
          <w:szCs w:val="16"/>
        </w:rPr>
        <w:footnoteRef/>
      </w:r>
      <w:r w:rsidRPr="00255AB5">
        <w:rPr>
          <w:rFonts w:ascii="Verdana" w:hAnsi="Verdana" w:cs="Arial"/>
          <w:color w:val="000000"/>
          <w:sz w:val="16"/>
          <w:szCs w:val="16"/>
        </w:rPr>
        <w:t xml:space="preserve"> </w:t>
      </w:r>
      <w:r w:rsidRPr="00255AB5">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113D726" w14:textId="77777777" w:rsidR="00C560BE" w:rsidRPr="00255AB5" w:rsidRDefault="00C560BE" w:rsidP="00255AB5">
      <w:pPr>
        <w:pStyle w:val="Textonotapie"/>
        <w:ind w:right="866" w:firstLine="709"/>
        <w:contextualSpacing/>
        <w:jc w:val="both"/>
        <w:rPr>
          <w:rFonts w:ascii="Verdana" w:hAnsi="Verdana" w:cs="Arial"/>
          <w:color w:val="000000"/>
          <w:sz w:val="16"/>
          <w:szCs w:val="16"/>
          <w:lang w:val="es-ES"/>
        </w:rPr>
      </w:pPr>
      <w:r w:rsidRPr="00255AB5">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31319F87" w14:textId="77777777" w:rsidR="00C560BE" w:rsidRPr="00255AB5" w:rsidRDefault="00C560BE" w:rsidP="00255AB5">
      <w:pPr>
        <w:pStyle w:val="Textonotapie"/>
        <w:ind w:right="866" w:firstLine="709"/>
        <w:contextualSpacing/>
        <w:jc w:val="both"/>
        <w:rPr>
          <w:rFonts w:ascii="Verdana" w:hAnsi="Verdana" w:cs="Arial"/>
          <w:color w:val="000000"/>
          <w:sz w:val="16"/>
          <w:szCs w:val="16"/>
          <w:lang w:val="es-ES"/>
        </w:rPr>
      </w:pPr>
      <w:r w:rsidRPr="00255AB5">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57C1C5E6" w14:textId="77777777" w:rsidR="00C560BE" w:rsidRPr="00255AB5" w:rsidRDefault="00C560BE" w:rsidP="00255AB5">
      <w:pPr>
        <w:pStyle w:val="Textonotapie"/>
        <w:ind w:right="866" w:firstLine="709"/>
        <w:contextualSpacing/>
        <w:jc w:val="both"/>
        <w:rPr>
          <w:rFonts w:ascii="Verdana" w:hAnsi="Verdana" w:cs="Arial"/>
          <w:color w:val="000000"/>
          <w:sz w:val="16"/>
          <w:szCs w:val="16"/>
          <w:lang w:val="es-ES"/>
        </w:rPr>
      </w:pPr>
    </w:p>
  </w:footnote>
  <w:footnote w:id="9">
    <w:p w14:paraId="3FD1E9D0" w14:textId="77777777" w:rsidR="00C560BE" w:rsidRPr="00255AB5" w:rsidRDefault="00C560BE" w:rsidP="00255AB5">
      <w:pPr>
        <w:pStyle w:val="Textonotapie"/>
        <w:ind w:right="866" w:firstLine="709"/>
        <w:contextualSpacing/>
        <w:jc w:val="both"/>
        <w:rPr>
          <w:rFonts w:ascii="Verdana" w:hAnsi="Verdana" w:cs="Arial"/>
          <w:color w:val="000000"/>
          <w:sz w:val="16"/>
          <w:szCs w:val="16"/>
          <w:lang w:val="es-ES"/>
        </w:rPr>
      </w:pPr>
      <w:r w:rsidRPr="00255AB5">
        <w:rPr>
          <w:rStyle w:val="Refdenotaalpie"/>
          <w:rFonts w:ascii="Verdana" w:hAnsi="Verdana" w:cs="Arial"/>
          <w:color w:val="000000"/>
          <w:sz w:val="16"/>
          <w:szCs w:val="16"/>
        </w:rPr>
        <w:footnoteRef/>
      </w:r>
      <w:r w:rsidRPr="00255AB5">
        <w:rPr>
          <w:rFonts w:ascii="Verdana" w:hAnsi="Verdana" w:cs="Arial"/>
          <w:color w:val="000000"/>
          <w:sz w:val="16"/>
          <w:szCs w:val="16"/>
        </w:rPr>
        <w:t xml:space="preserve"> </w:t>
      </w:r>
      <w:r w:rsidRPr="00255AB5">
        <w:rPr>
          <w:rFonts w:ascii="Verdana" w:hAnsi="Verdana" w:cs="Arial"/>
          <w:color w:val="000000"/>
          <w:sz w:val="16"/>
          <w:szCs w:val="16"/>
          <w:lang w:val="es-ES"/>
        </w:rPr>
        <w:t>CONSEJO DE ESTADO. Sección Tercera. Subsección C. Sentencia del 2 de diciembre de 2013. Exp. 41719. Consejero Ponente: Jaime Orlando Santofimio Gamboa.</w:t>
      </w:r>
    </w:p>
    <w:p w14:paraId="7303A18F" w14:textId="77777777" w:rsidR="00C560BE" w:rsidRPr="00260EBF" w:rsidRDefault="00C560BE" w:rsidP="00C560BE">
      <w:pPr>
        <w:pStyle w:val="Textonotapie"/>
        <w:ind w:firstLine="709"/>
        <w:contextualSpacing/>
        <w:jc w:val="both"/>
        <w:rPr>
          <w:rFonts w:ascii="Verdana" w:hAnsi="Verdana" w:cs="Arial"/>
          <w:color w:val="000000"/>
          <w:sz w:val="18"/>
          <w:szCs w:val="18"/>
          <w:lang w:val="es-ES"/>
        </w:rPr>
      </w:pPr>
    </w:p>
  </w:footnote>
  <w:footnote w:id="10">
    <w:p w14:paraId="6D59D259" w14:textId="77777777" w:rsidR="00C560BE" w:rsidRPr="00260EBF" w:rsidRDefault="00C560BE" w:rsidP="00C560BE">
      <w:pPr>
        <w:contextualSpacing/>
        <w:rPr>
          <w:sz w:val="18"/>
          <w:szCs w:val="18"/>
        </w:rPr>
      </w:pPr>
    </w:p>
  </w:footnote>
  <w:footnote w:id="11">
    <w:p w14:paraId="29E793A6" w14:textId="77777777" w:rsidR="00C560BE" w:rsidRPr="00255AB5" w:rsidRDefault="00C560BE" w:rsidP="00255AB5">
      <w:pPr>
        <w:pStyle w:val="Textonotapie"/>
        <w:ind w:right="1008" w:firstLine="709"/>
        <w:contextualSpacing/>
        <w:jc w:val="both"/>
        <w:rPr>
          <w:rFonts w:ascii="Verdana" w:hAnsi="Verdana" w:cs="Arial"/>
          <w:sz w:val="16"/>
          <w:szCs w:val="16"/>
        </w:rPr>
      </w:pPr>
      <w:r w:rsidRPr="00255AB5">
        <w:rPr>
          <w:rStyle w:val="Refdenotaalpie"/>
          <w:rFonts w:ascii="Verdana" w:hAnsi="Verdana" w:cs="Arial"/>
          <w:sz w:val="16"/>
          <w:szCs w:val="16"/>
        </w:rPr>
        <w:footnoteRef/>
      </w:r>
      <w:r w:rsidRPr="00255AB5">
        <w:rPr>
          <w:rFonts w:ascii="Verdana" w:hAnsi="Verdana" w:cs="Arial"/>
          <w:sz w:val="16"/>
          <w:szCs w:val="16"/>
        </w:rPr>
        <w:t xml:space="preserve"> </w:t>
      </w:r>
      <w:r w:rsidRPr="00255AB5">
        <w:rPr>
          <w:rFonts w:ascii="Verdana" w:hAnsi="Verdana" w:cs="Arial"/>
          <w:sz w:val="16"/>
          <w:szCs w:val="16"/>
          <w:lang w:val="es-ES"/>
        </w:rPr>
        <w:t>CONSEJO DE ESTADO. Sección Tercera. Subsección C. Sentencia de Unificación del 2 de diciembre de 2013. Exp. 41.719. C.P. Jaime Orlando Santofimio Gamboa.</w:t>
      </w:r>
      <w:r w:rsidRPr="00255AB5">
        <w:rPr>
          <w:rFonts w:ascii="Verdana" w:hAnsi="Verdana" w:cs="Arial"/>
          <w:sz w:val="16"/>
          <w:szCs w:val="16"/>
        </w:rPr>
        <w:t xml:space="preserve"> </w:t>
      </w:r>
    </w:p>
    <w:p w14:paraId="34180FC3" w14:textId="77777777" w:rsidR="00C560BE" w:rsidRPr="00255AB5" w:rsidRDefault="00C560BE" w:rsidP="00255AB5">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A21781F" w14:textId="77777777" w:rsidR="00C560BE" w:rsidRPr="00255AB5" w:rsidRDefault="00C560BE" w:rsidP="00255AB5">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1109ED4B" w14:textId="77777777" w:rsidR="00C560BE" w:rsidRPr="00255AB5" w:rsidRDefault="00C560BE" w:rsidP="00255AB5">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44E11A48" w14:textId="77777777" w:rsidR="00C560BE" w:rsidRPr="00255AB5" w:rsidRDefault="00C560BE" w:rsidP="00255AB5">
      <w:pPr>
        <w:pStyle w:val="Textonotapie"/>
        <w:ind w:right="1008" w:firstLine="709"/>
        <w:contextualSpacing/>
        <w:jc w:val="both"/>
        <w:rPr>
          <w:rFonts w:ascii="Verdana" w:hAnsi="Verdana" w:cs="Arial"/>
          <w:sz w:val="16"/>
          <w:szCs w:val="16"/>
          <w:lang w:val="es-ES"/>
        </w:rPr>
      </w:pPr>
    </w:p>
  </w:footnote>
  <w:footnote w:id="12">
    <w:p w14:paraId="0ABA134D" w14:textId="77777777" w:rsidR="00C560BE" w:rsidRPr="00255AB5" w:rsidRDefault="00C560BE" w:rsidP="00255AB5">
      <w:pPr>
        <w:pStyle w:val="Textonotapie"/>
        <w:ind w:right="1008" w:firstLine="709"/>
        <w:contextualSpacing/>
        <w:jc w:val="both"/>
        <w:rPr>
          <w:rFonts w:ascii="Verdana" w:hAnsi="Verdana" w:cs="Arial"/>
          <w:sz w:val="16"/>
          <w:szCs w:val="16"/>
          <w:lang w:val="es-ES"/>
        </w:rPr>
      </w:pPr>
      <w:r w:rsidRPr="00255AB5">
        <w:rPr>
          <w:rStyle w:val="Refdenotaalpie"/>
          <w:rFonts w:ascii="Verdana" w:hAnsi="Verdana" w:cs="Arial"/>
          <w:sz w:val="16"/>
          <w:szCs w:val="16"/>
        </w:rPr>
        <w:footnoteRef/>
      </w:r>
      <w:r w:rsidRPr="00255AB5">
        <w:rPr>
          <w:rFonts w:ascii="Verdana" w:hAnsi="Verdana" w:cs="Arial"/>
          <w:sz w:val="16"/>
          <w:szCs w:val="16"/>
        </w:rPr>
        <w:t xml:space="preserve"> </w:t>
      </w:r>
      <w:r w:rsidRPr="00255AB5">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1F832DF7" w14:textId="77777777" w:rsidR="00C560BE" w:rsidRPr="00255AB5" w:rsidRDefault="00C560BE" w:rsidP="00255AB5">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1. La causal que invoca para contratar directamente.</w:t>
      </w:r>
    </w:p>
    <w:p w14:paraId="06873107" w14:textId="77777777" w:rsidR="00C560BE" w:rsidRPr="00255AB5" w:rsidRDefault="00C560BE" w:rsidP="00255AB5">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2. El objeto del contrato.</w:t>
      </w:r>
    </w:p>
    <w:p w14:paraId="0B709A49" w14:textId="77777777" w:rsidR="00C560BE" w:rsidRPr="00255AB5" w:rsidRDefault="00C560BE" w:rsidP="00255AB5">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3. El presupuesto para la contratación y las condiciones que exigirá al contratista.</w:t>
      </w:r>
    </w:p>
    <w:p w14:paraId="79DB9398" w14:textId="77777777" w:rsidR="00C560BE" w:rsidRPr="00255AB5" w:rsidRDefault="00C560BE" w:rsidP="00255AB5">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4. El lugar en el cual los interesados pueden consultar los estudios y documentos previos.</w:t>
      </w:r>
    </w:p>
    <w:p w14:paraId="77BA2D72" w14:textId="77777777" w:rsidR="00C560BE" w:rsidRPr="00260EBF" w:rsidRDefault="00C560BE" w:rsidP="00255AB5">
      <w:pPr>
        <w:pStyle w:val="Textonotapie"/>
        <w:ind w:right="1008" w:firstLine="709"/>
        <w:contextualSpacing/>
        <w:jc w:val="both"/>
        <w:rPr>
          <w:rFonts w:ascii="Verdana" w:hAnsi="Verdana" w:cs="Arial"/>
          <w:sz w:val="18"/>
          <w:szCs w:val="18"/>
          <w:lang w:val="es-ES"/>
        </w:rPr>
      </w:pPr>
      <w:r w:rsidRPr="00255AB5">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3">
    <w:p w14:paraId="3C6E58BD" w14:textId="77777777" w:rsidR="00C560BE" w:rsidRPr="00260EBF" w:rsidRDefault="00C560BE" w:rsidP="00C560BE">
      <w:pPr>
        <w:pStyle w:val="Textonotapie"/>
        <w:contextualSpacing/>
        <w:jc w:val="both"/>
        <w:rPr>
          <w:rFonts w:ascii="Verdana" w:hAnsi="Verdana" w:cs="Arial"/>
          <w:sz w:val="18"/>
          <w:szCs w:val="18"/>
        </w:rPr>
      </w:pPr>
    </w:p>
    <w:p w14:paraId="704F1AE8" w14:textId="77777777" w:rsidR="00C560BE" w:rsidRPr="00255AB5" w:rsidRDefault="00C560BE" w:rsidP="00255AB5">
      <w:pPr>
        <w:pStyle w:val="Textonotapie"/>
        <w:ind w:right="866" w:firstLine="709"/>
        <w:contextualSpacing/>
        <w:jc w:val="both"/>
        <w:rPr>
          <w:rFonts w:ascii="Verdana" w:hAnsi="Verdana" w:cs="Arial"/>
          <w:sz w:val="16"/>
          <w:szCs w:val="16"/>
          <w:lang w:val="es-ES"/>
        </w:rPr>
      </w:pPr>
      <w:r w:rsidRPr="00255AB5">
        <w:rPr>
          <w:rStyle w:val="Refdenotaalpie"/>
          <w:rFonts w:ascii="Verdana" w:hAnsi="Verdana" w:cs="Arial"/>
          <w:sz w:val="16"/>
          <w:szCs w:val="16"/>
        </w:rPr>
        <w:footnoteRef/>
      </w:r>
      <w:r w:rsidRPr="00255AB5">
        <w:rPr>
          <w:rFonts w:ascii="Verdana" w:hAnsi="Verdana" w:cs="Arial"/>
          <w:sz w:val="16"/>
          <w:szCs w:val="16"/>
        </w:rPr>
        <w:t xml:space="preserve"> </w:t>
      </w:r>
      <w:r w:rsidRPr="00255AB5">
        <w:rPr>
          <w:rFonts w:ascii="Verdana" w:hAnsi="Verdana" w:cs="Arial"/>
          <w:sz w:val="16"/>
          <w:szCs w:val="16"/>
          <w:lang w:val="es-ES"/>
        </w:rPr>
        <w:t xml:space="preserve">La norma expresa: “Art. 14. </w:t>
      </w:r>
      <w:r w:rsidRPr="00255AB5">
        <w:rPr>
          <w:rFonts w:ascii="Verdana" w:hAnsi="Verdana" w:cs="Arial"/>
          <w:sz w:val="16"/>
          <w:szCs w:val="16"/>
        </w:rPr>
        <w:t>P</w:t>
      </w:r>
      <w:r w:rsidRPr="00255AB5">
        <w:rPr>
          <w:rFonts w:ascii="Verdana" w:hAnsi="Verdana" w:cs="Arial"/>
          <w:sz w:val="16"/>
          <w:szCs w:val="16"/>
          <w:lang w:val="es-ES"/>
        </w:rPr>
        <w:t>ara el cumplimiento de los fines de la contratación, las entidades estatales al celebrar un contrato:</w:t>
      </w:r>
    </w:p>
    <w:p w14:paraId="25C824BA" w14:textId="77777777" w:rsidR="00C560BE" w:rsidRPr="00255AB5" w:rsidRDefault="00C560BE" w:rsidP="009925F9">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w:t>
      </w:r>
    </w:p>
    <w:p w14:paraId="0A35C386" w14:textId="77777777" w:rsidR="00C560BE" w:rsidRPr="00255AB5" w:rsidRDefault="00C560BE" w:rsidP="009925F9">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4B9A97E3" w14:textId="77777777" w:rsidR="00C560BE" w:rsidRPr="00255AB5" w:rsidRDefault="00C560BE" w:rsidP="009925F9">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Las entidades estatales podrán pactar estas cláusulas en los contratos de suministro y de prestación de servicios.</w:t>
      </w:r>
    </w:p>
    <w:p w14:paraId="04C1BFC0" w14:textId="77777777" w:rsidR="00C560BE" w:rsidRPr="00255AB5" w:rsidRDefault="00C560BE" w:rsidP="009925F9">
      <w:pPr>
        <w:pStyle w:val="Textonotapie"/>
        <w:ind w:right="1008" w:firstLine="709"/>
        <w:contextualSpacing/>
        <w:jc w:val="both"/>
        <w:rPr>
          <w:rFonts w:ascii="Verdana" w:hAnsi="Verdana" w:cs="Arial"/>
          <w:sz w:val="16"/>
          <w:szCs w:val="16"/>
          <w:lang w:val="es-ES"/>
        </w:rPr>
      </w:pPr>
      <w:r w:rsidRPr="00255AB5">
        <w:rPr>
          <w:rFonts w:ascii="Verdana" w:hAnsi="Verdana" w:cs="Arial"/>
          <w:sz w:val="16"/>
          <w:szCs w:val="16"/>
          <w:lang w:val="es-ES"/>
        </w:rPr>
        <w:t>[…]”.</w:t>
      </w:r>
    </w:p>
    <w:p w14:paraId="17E5EBE3" w14:textId="77777777" w:rsidR="00C560BE" w:rsidRPr="00255AB5" w:rsidRDefault="00C560BE" w:rsidP="009925F9">
      <w:pPr>
        <w:pStyle w:val="Textonotapie"/>
        <w:ind w:right="1008" w:firstLine="709"/>
        <w:contextualSpacing/>
        <w:jc w:val="both"/>
        <w:rPr>
          <w:rFonts w:ascii="Verdana" w:hAnsi="Verdana" w:cs="Arial"/>
          <w:sz w:val="16"/>
          <w:szCs w:val="16"/>
          <w:lang w:val="es-ES"/>
        </w:rPr>
      </w:pPr>
    </w:p>
  </w:footnote>
  <w:footnote w:id="14">
    <w:p w14:paraId="6A9733B6" w14:textId="77777777" w:rsidR="00C560BE" w:rsidRPr="00255AB5" w:rsidRDefault="00C560BE" w:rsidP="009925F9">
      <w:pPr>
        <w:pStyle w:val="Textonotapie"/>
        <w:ind w:right="1008" w:firstLine="709"/>
        <w:contextualSpacing/>
        <w:jc w:val="both"/>
        <w:rPr>
          <w:rFonts w:ascii="Verdana" w:hAnsi="Verdana" w:cs="Arial"/>
          <w:sz w:val="16"/>
          <w:szCs w:val="16"/>
          <w:lang w:val="es-ES"/>
        </w:rPr>
      </w:pPr>
      <w:r w:rsidRPr="00255AB5">
        <w:rPr>
          <w:rStyle w:val="Refdenotaalpie"/>
          <w:rFonts w:ascii="Verdana" w:hAnsi="Verdana" w:cs="Arial"/>
          <w:sz w:val="16"/>
          <w:szCs w:val="16"/>
        </w:rPr>
        <w:footnoteRef/>
      </w:r>
      <w:r w:rsidRPr="00255AB5">
        <w:rPr>
          <w:rFonts w:ascii="Verdana" w:hAnsi="Verdana" w:cs="Arial"/>
          <w:sz w:val="16"/>
          <w:szCs w:val="16"/>
        </w:rPr>
        <w:t xml:space="preserve"> </w:t>
      </w:r>
      <w:r w:rsidRPr="00255AB5">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45A7BB90" w14:textId="77777777" w:rsidR="00C560BE" w:rsidRPr="00255AB5" w:rsidRDefault="00C560BE" w:rsidP="009925F9">
      <w:pPr>
        <w:pStyle w:val="Textonotapie"/>
        <w:ind w:right="1008" w:firstLine="709"/>
        <w:contextualSpacing/>
        <w:jc w:val="both"/>
        <w:rPr>
          <w:rFonts w:ascii="Verdana" w:hAnsi="Verdana" w:cs="Arial"/>
          <w:sz w:val="16"/>
          <w:szCs w:val="16"/>
          <w:lang w:val="es-ES"/>
        </w:rPr>
      </w:pPr>
    </w:p>
  </w:footnote>
  <w:footnote w:id="15">
    <w:p w14:paraId="4ED3531C" w14:textId="77777777" w:rsidR="00C560BE" w:rsidRPr="00255AB5" w:rsidRDefault="00C560BE" w:rsidP="009925F9">
      <w:pPr>
        <w:pStyle w:val="Textonotapie"/>
        <w:ind w:right="1008" w:firstLine="709"/>
        <w:contextualSpacing/>
        <w:jc w:val="both"/>
        <w:rPr>
          <w:rFonts w:ascii="Verdana" w:hAnsi="Verdana" w:cs="Arial"/>
          <w:sz w:val="16"/>
          <w:szCs w:val="16"/>
        </w:rPr>
      </w:pPr>
      <w:r w:rsidRPr="00255AB5">
        <w:rPr>
          <w:rStyle w:val="Refdenotaalpie"/>
          <w:rFonts w:ascii="Verdana" w:hAnsi="Verdana" w:cs="Arial"/>
          <w:sz w:val="16"/>
          <w:szCs w:val="16"/>
        </w:rPr>
        <w:footnoteRef/>
      </w:r>
      <w:r w:rsidRPr="00255AB5">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C28442C" w14:textId="77777777" w:rsidR="00C560BE" w:rsidRPr="00255AB5" w:rsidRDefault="00C560BE" w:rsidP="009925F9">
      <w:pPr>
        <w:pStyle w:val="Textonotapie"/>
        <w:ind w:right="1008" w:firstLine="709"/>
        <w:contextualSpacing/>
        <w:jc w:val="both"/>
        <w:rPr>
          <w:rFonts w:ascii="Verdana" w:hAnsi="Verdana" w:cs="Arial"/>
          <w:sz w:val="16"/>
          <w:szCs w:val="16"/>
        </w:rPr>
      </w:pPr>
      <w:r w:rsidRPr="00255AB5">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FCC0E25" w14:textId="77777777" w:rsidR="00C560BE" w:rsidRPr="00255AB5" w:rsidRDefault="00C560BE" w:rsidP="009925F9">
      <w:pPr>
        <w:pStyle w:val="Textonotapie"/>
        <w:ind w:right="1008" w:firstLine="709"/>
        <w:contextualSpacing/>
        <w:jc w:val="both"/>
        <w:rPr>
          <w:rFonts w:ascii="Verdana" w:hAnsi="Verdana" w:cs="Arial"/>
          <w:sz w:val="16"/>
          <w:szCs w:val="16"/>
        </w:rPr>
      </w:pPr>
      <w:r w:rsidRPr="00255AB5">
        <w:rPr>
          <w:rFonts w:ascii="Verdana" w:hAnsi="Verdana" w:cs="Arial"/>
          <w:sz w:val="16"/>
          <w:szCs w:val="16"/>
        </w:rPr>
        <w:t>[…]”.</w:t>
      </w:r>
    </w:p>
    <w:p w14:paraId="62478A30" w14:textId="77777777" w:rsidR="00C560BE" w:rsidRPr="00255AB5" w:rsidRDefault="00C560BE" w:rsidP="009925F9">
      <w:pPr>
        <w:pStyle w:val="Textonotapie"/>
        <w:ind w:right="1008" w:firstLine="709"/>
        <w:contextualSpacing/>
        <w:jc w:val="both"/>
        <w:rPr>
          <w:rFonts w:ascii="Verdana" w:hAnsi="Verdana" w:cs="Arial"/>
          <w:sz w:val="16"/>
          <w:szCs w:val="16"/>
          <w:lang w:val="es-ES"/>
        </w:rPr>
      </w:pPr>
    </w:p>
  </w:footnote>
  <w:footnote w:id="16">
    <w:p w14:paraId="6D8D5117" w14:textId="77777777" w:rsidR="00C560BE" w:rsidRPr="00255AB5" w:rsidRDefault="00C560BE" w:rsidP="009925F9">
      <w:pPr>
        <w:pStyle w:val="Textonotapie"/>
        <w:ind w:right="1008" w:firstLine="709"/>
        <w:contextualSpacing/>
        <w:jc w:val="both"/>
        <w:rPr>
          <w:rFonts w:ascii="Verdana" w:hAnsi="Verdana" w:cs="Arial"/>
          <w:sz w:val="16"/>
          <w:szCs w:val="16"/>
          <w:lang w:val="es-ES"/>
        </w:rPr>
      </w:pPr>
      <w:r w:rsidRPr="00255AB5">
        <w:rPr>
          <w:rStyle w:val="Refdenotaalpie"/>
          <w:rFonts w:ascii="Verdana" w:hAnsi="Verdana" w:cs="Arial"/>
          <w:sz w:val="16"/>
          <w:szCs w:val="16"/>
        </w:rPr>
        <w:footnoteRef/>
      </w:r>
      <w:r w:rsidRPr="00255AB5">
        <w:rPr>
          <w:rFonts w:ascii="Verdana" w:hAnsi="Verdana" w:cs="Arial"/>
          <w:sz w:val="16"/>
          <w:szCs w:val="16"/>
        </w:rPr>
        <w:t xml:space="preserve"> </w:t>
      </w:r>
      <w:r w:rsidRPr="00255AB5">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616CD0A5" w14:textId="77777777" w:rsidR="00C560BE" w:rsidRPr="00260EBF" w:rsidRDefault="00C560BE" w:rsidP="00C560BE">
      <w:pPr>
        <w:pStyle w:val="Textonotapie"/>
        <w:ind w:firstLine="709"/>
        <w:contextualSpacing/>
        <w:jc w:val="both"/>
        <w:rPr>
          <w:rFonts w:ascii="Verdana" w:hAnsi="Verdana" w:cs="Arial"/>
          <w:sz w:val="18"/>
          <w:szCs w:val="18"/>
          <w:lang w:val="es-ES"/>
        </w:rPr>
      </w:pPr>
    </w:p>
  </w:footnote>
  <w:footnote w:id="17">
    <w:p w14:paraId="268D3C5C" w14:textId="77777777" w:rsidR="00C560BE" w:rsidRPr="00255AB5" w:rsidRDefault="00C560BE" w:rsidP="00255AB5">
      <w:pPr>
        <w:pStyle w:val="Textonotapie"/>
        <w:ind w:right="1008" w:firstLine="709"/>
        <w:contextualSpacing/>
        <w:jc w:val="both"/>
        <w:rPr>
          <w:rFonts w:ascii="Verdana" w:hAnsi="Verdana" w:cs="Arial"/>
          <w:sz w:val="16"/>
          <w:szCs w:val="16"/>
          <w:lang w:val="it-IT"/>
        </w:rPr>
      </w:pPr>
      <w:r w:rsidRPr="00255AB5">
        <w:rPr>
          <w:rStyle w:val="Refdenotaalpie"/>
          <w:rFonts w:ascii="Verdana" w:hAnsi="Verdana" w:cs="Arial"/>
          <w:sz w:val="16"/>
          <w:szCs w:val="16"/>
        </w:rPr>
        <w:footnoteRef/>
      </w:r>
      <w:r w:rsidRPr="00F22673">
        <w:rPr>
          <w:rFonts w:ascii="Verdana" w:hAnsi="Verdana" w:cs="Arial"/>
          <w:sz w:val="16"/>
          <w:szCs w:val="16"/>
          <w:lang w:val="pt-BR"/>
        </w:rPr>
        <w:t xml:space="preserve"> Corte Constitucional, sentencia T-743 de 2017, Exp. </w:t>
      </w:r>
      <w:r w:rsidRPr="00255AB5">
        <w:rPr>
          <w:rFonts w:ascii="Verdana" w:hAnsi="Verdana" w:cs="Arial"/>
          <w:sz w:val="16"/>
          <w:szCs w:val="16"/>
          <w:lang w:val="it-IT"/>
        </w:rPr>
        <w:t>T-6.366.648 Magistrada Ponente Cristina Pardo Schlesinger.</w:t>
      </w:r>
    </w:p>
    <w:p w14:paraId="135156EA" w14:textId="77777777" w:rsidR="00C560BE" w:rsidRPr="00255AB5" w:rsidRDefault="00C560BE" w:rsidP="00255AB5">
      <w:pPr>
        <w:pStyle w:val="Textonotapie"/>
        <w:ind w:right="1008" w:firstLine="709"/>
        <w:contextualSpacing/>
        <w:jc w:val="both"/>
        <w:rPr>
          <w:rFonts w:ascii="Verdana" w:hAnsi="Verdana" w:cs="Arial"/>
          <w:sz w:val="16"/>
          <w:szCs w:val="16"/>
          <w:lang w:val="it-IT"/>
        </w:rPr>
      </w:pPr>
    </w:p>
  </w:footnote>
  <w:footnote w:id="18">
    <w:p w14:paraId="327FF90B" w14:textId="77777777" w:rsidR="00C560BE" w:rsidRPr="00255AB5" w:rsidRDefault="00C560BE" w:rsidP="00255AB5">
      <w:pPr>
        <w:ind w:right="1008" w:firstLine="709"/>
        <w:contextualSpacing/>
        <w:jc w:val="both"/>
        <w:rPr>
          <w:rFonts w:cs="Arial"/>
          <w:sz w:val="16"/>
          <w:szCs w:val="16"/>
        </w:rPr>
      </w:pPr>
      <w:r w:rsidRPr="00255AB5">
        <w:rPr>
          <w:rStyle w:val="Refdenotaalpie"/>
          <w:rFonts w:cs="Arial"/>
          <w:sz w:val="16"/>
          <w:szCs w:val="16"/>
        </w:rPr>
        <w:footnoteRef/>
      </w:r>
      <w:r w:rsidRPr="00255AB5">
        <w:rPr>
          <w:rFonts w:cs="Arial"/>
          <w:sz w:val="16"/>
          <w:szCs w:val="16"/>
        </w:rPr>
        <w:t xml:space="preserve"> La sentencia explica lo siguiente: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7281F103" w14:textId="77777777" w:rsidR="00C560BE" w:rsidRPr="00255AB5" w:rsidRDefault="00C560BE" w:rsidP="00255AB5">
      <w:pPr>
        <w:ind w:right="1008" w:firstLine="709"/>
        <w:contextualSpacing/>
        <w:jc w:val="both"/>
        <w:rPr>
          <w:rFonts w:cs="Arial"/>
          <w:sz w:val="16"/>
          <w:szCs w:val="16"/>
        </w:rPr>
      </w:pPr>
      <w:r w:rsidRPr="00255AB5">
        <w:rPr>
          <w:rFonts w:cs="Arial"/>
          <w:sz w:val="16"/>
          <w:szCs w:val="16"/>
        </w:rPr>
        <w:t>[…]</w:t>
      </w:r>
    </w:p>
    <w:p w14:paraId="7E07EE02" w14:textId="77777777" w:rsidR="00C560BE" w:rsidRPr="00255AB5" w:rsidRDefault="00C560BE" w:rsidP="00255AB5">
      <w:pPr>
        <w:ind w:right="1008" w:firstLine="709"/>
        <w:contextualSpacing/>
        <w:jc w:val="both"/>
        <w:rPr>
          <w:rFonts w:cs="Arial"/>
          <w:sz w:val="16"/>
          <w:szCs w:val="16"/>
        </w:rPr>
      </w:pPr>
      <w:r w:rsidRPr="00255AB5">
        <w:rPr>
          <w:rFonts w:cs="Arial"/>
          <w:sz w:val="16"/>
          <w:szCs w:val="16"/>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(ii) la continua subordinación o dependencia y (iii)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w:t>
      </w:r>
      <w:r w:rsidRPr="00255AB5">
        <w:rPr>
          <w:rFonts w:cs="Arial"/>
          <w:spacing w:val="-17"/>
          <w:sz w:val="16"/>
          <w:szCs w:val="16"/>
        </w:rPr>
        <w:t xml:space="preserve"> </w:t>
      </w:r>
      <w:r w:rsidRPr="00255AB5">
        <w:rPr>
          <w:rFonts w:cs="Arial"/>
          <w:sz w:val="16"/>
          <w:szCs w:val="16"/>
        </w:rPr>
        <w:t>trabajo”.</w:t>
      </w:r>
    </w:p>
    <w:p w14:paraId="1142AE8D" w14:textId="77777777" w:rsidR="00C560BE" w:rsidRPr="00260EBF" w:rsidRDefault="00C560BE" w:rsidP="00C560BE">
      <w:pPr>
        <w:pStyle w:val="Textonotapie"/>
        <w:contextualSpacing/>
        <w:jc w:val="both"/>
        <w:rPr>
          <w:rFonts w:ascii="Verdana" w:hAnsi="Verdana" w:cs="Arial"/>
          <w:sz w:val="18"/>
          <w:szCs w:val="18"/>
        </w:rPr>
      </w:pPr>
    </w:p>
  </w:footnote>
  <w:footnote w:id="19">
    <w:p w14:paraId="462F1962" w14:textId="77777777" w:rsidR="00C560BE" w:rsidRPr="00255AB5" w:rsidRDefault="00C560BE" w:rsidP="009925F9">
      <w:pPr>
        <w:ind w:right="1008" w:firstLine="709"/>
        <w:contextualSpacing/>
        <w:jc w:val="both"/>
        <w:rPr>
          <w:rFonts w:cs="Arial"/>
          <w:sz w:val="16"/>
          <w:szCs w:val="16"/>
        </w:rPr>
      </w:pPr>
      <w:r w:rsidRPr="00255AB5">
        <w:rPr>
          <w:rStyle w:val="Refdenotaalpie"/>
          <w:rFonts w:cs="Arial"/>
          <w:sz w:val="16"/>
          <w:szCs w:val="16"/>
        </w:rPr>
        <w:footnoteRef/>
      </w:r>
      <w:r w:rsidRPr="00255AB5">
        <w:rPr>
          <w:rFonts w:cs="Arial"/>
          <w:sz w:val="16"/>
          <w:szCs w:val="16"/>
        </w:rPr>
        <w:t xml:space="preserve"> 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17EDAD5B" w14:textId="77777777" w:rsidR="00C560BE" w:rsidRPr="00255AB5" w:rsidRDefault="00C560BE" w:rsidP="009925F9">
      <w:pPr>
        <w:pStyle w:val="Textonotapie"/>
        <w:ind w:right="1008"/>
        <w:contextualSpacing/>
        <w:jc w:val="both"/>
        <w:rPr>
          <w:rFonts w:ascii="Verdana" w:hAnsi="Verdana" w:cs="Arial"/>
          <w:sz w:val="16"/>
          <w:szCs w:val="16"/>
        </w:rPr>
      </w:pPr>
    </w:p>
  </w:footnote>
  <w:footnote w:id="20">
    <w:p w14:paraId="14202CFD" w14:textId="77777777" w:rsidR="00C560BE" w:rsidRPr="00255AB5" w:rsidRDefault="00C560BE" w:rsidP="009925F9">
      <w:pPr>
        <w:ind w:right="1008" w:firstLine="562"/>
        <w:contextualSpacing/>
        <w:jc w:val="both"/>
        <w:rPr>
          <w:rFonts w:cs="Arial"/>
          <w:sz w:val="16"/>
          <w:szCs w:val="16"/>
        </w:rPr>
      </w:pPr>
      <w:r w:rsidRPr="00255AB5">
        <w:rPr>
          <w:rFonts w:cs="Arial"/>
          <w:sz w:val="16"/>
          <w:szCs w:val="16"/>
        </w:rPr>
        <w:t xml:space="preserve">  </w:t>
      </w:r>
      <w:r w:rsidRPr="00255AB5">
        <w:rPr>
          <w:rStyle w:val="Refdenotaalpie"/>
          <w:rFonts w:cs="Arial"/>
          <w:sz w:val="16"/>
          <w:szCs w:val="16"/>
        </w:rPr>
        <w:footnoteRef/>
      </w:r>
      <w:r w:rsidRPr="00255AB5">
        <w:rPr>
          <w:rFonts w:cs="Arial"/>
          <w:sz w:val="16"/>
          <w:szCs w:val="16"/>
        </w:rPr>
        <w:t xml:space="preserve"> 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w:t>
      </w:r>
      <w:r w:rsidRPr="00255AB5">
        <w:rPr>
          <w:rFonts w:cs="Arial"/>
          <w:spacing w:val="-6"/>
          <w:sz w:val="16"/>
          <w:szCs w:val="16"/>
        </w:rPr>
        <w:t xml:space="preserve"> </w:t>
      </w:r>
      <w:r w:rsidRPr="00255AB5">
        <w:rPr>
          <w:rFonts w:cs="Arial"/>
          <w:sz w:val="16"/>
          <w:szCs w:val="16"/>
        </w:rPr>
        <w:t>laboral”.</w:t>
      </w:r>
    </w:p>
    <w:p w14:paraId="316AB0D7" w14:textId="77777777" w:rsidR="00C560BE" w:rsidRPr="00255AB5" w:rsidRDefault="00C560BE" w:rsidP="009925F9">
      <w:pPr>
        <w:ind w:right="1008"/>
        <w:contextualSpacing/>
        <w:jc w:val="both"/>
        <w:rPr>
          <w:rFonts w:cs="Arial"/>
          <w:sz w:val="16"/>
          <w:szCs w:val="16"/>
        </w:rPr>
      </w:pPr>
    </w:p>
    <w:p w14:paraId="650EF428" w14:textId="77777777" w:rsidR="00C560BE" w:rsidRPr="00255AB5" w:rsidRDefault="00C560BE" w:rsidP="009925F9">
      <w:pPr>
        <w:ind w:right="1008"/>
        <w:contextualSpacing/>
        <w:jc w:val="both"/>
        <w:rPr>
          <w:rFonts w:cs="Arial"/>
          <w:sz w:val="16"/>
          <w:szCs w:val="16"/>
        </w:rPr>
      </w:pPr>
      <w:r w:rsidRPr="00255AB5">
        <w:rPr>
          <w:rFonts w:cs="Arial"/>
          <w:sz w:val="16"/>
          <w:szCs w:val="16"/>
        </w:rPr>
        <w:t>]…]</w:t>
      </w:r>
    </w:p>
    <w:p w14:paraId="09B98A63" w14:textId="77777777" w:rsidR="00C560BE" w:rsidRPr="00255AB5" w:rsidRDefault="00C560BE" w:rsidP="009925F9">
      <w:pPr>
        <w:pStyle w:val="Textoindependiente"/>
        <w:ind w:right="1008"/>
        <w:contextualSpacing/>
        <w:jc w:val="both"/>
        <w:rPr>
          <w:rFonts w:cs="Arial"/>
          <w:sz w:val="16"/>
          <w:szCs w:val="16"/>
        </w:rPr>
      </w:pPr>
    </w:p>
    <w:p w14:paraId="2DFEA200" w14:textId="77777777" w:rsidR="00C560BE" w:rsidRPr="00255AB5" w:rsidRDefault="00C560BE" w:rsidP="009925F9">
      <w:pPr>
        <w:ind w:right="1008"/>
        <w:contextualSpacing/>
        <w:jc w:val="both"/>
        <w:rPr>
          <w:rFonts w:cs="Arial"/>
          <w:sz w:val="16"/>
          <w:szCs w:val="16"/>
        </w:rPr>
      </w:pPr>
      <w:r w:rsidRPr="00255AB5">
        <w:rPr>
          <w:rFonts w:cs="Arial"/>
          <w:sz w:val="16"/>
          <w:szCs w:val="16"/>
        </w:rPr>
        <w:t>“Así las cosas, encuentra la Sala que se cumplen los criterios determinados por la Corporación para proceder al amparo de los derechos fundamentales de la contratista: (i) existió una relación de prestación de servicios entre las partes; (ii) la accionante se encontraba en estado de embarazo y dicha situación fue informada a la accionada en el mes de noviembre de 2016, y (iii)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w:t>
      </w:r>
      <w:r w:rsidRPr="00255AB5">
        <w:rPr>
          <w:rFonts w:cs="Arial"/>
          <w:spacing w:val="2"/>
          <w:sz w:val="16"/>
          <w:szCs w:val="16"/>
        </w:rPr>
        <w:t xml:space="preserve"> </w:t>
      </w:r>
      <w:r w:rsidRPr="00255AB5">
        <w:rPr>
          <w:rFonts w:cs="Arial"/>
          <w:sz w:val="16"/>
          <w:szCs w:val="16"/>
        </w:rPr>
        <w:t>terminación”.</w:t>
      </w:r>
    </w:p>
    <w:p w14:paraId="1C99B005" w14:textId="77777777" w:rsidR="00C560BE" w:rsidRPr="00260EBF" w:rsidRDefault="00C560BE" w:rsidP="00C560BE">
      <w:pPr>
        <w:ind w:firstLine="850"/>
        <w:contextualSpacing/>
        <w:jc w:val="both"/>
        <w:rPr>
          <w:rFonts w:cs="Arial"/>
          <w:sz w:val="18"/>
          <w:szCs w:val="18"/>
        </w:rPr>
      </w:pPr>
    </w:p>
    <w:p w14:paraId="4F02775F" w14:textId="77777777" w:rsidR="00C560BE" w:rsidRPr="00260EBF" w:rsidRDefault="00C560BE" w:rsidP="00C560BE">
      <w:pPr>
        <w:pStyle w:val="Textonotapie"/>
        <w:contextualSpacing/>
        <w:jc w:val="both"/>
        <w:rPr>
          <w:rFonts w:ascii="Verdana" w:hAnsi="Verdana" w:cs="Arial"/>
          <w:sz w:val="18"/>
          <w:szCs w:val="18"/>
        </w:rPr>
      </w:pPr>
    </w:p>
  </w:footnote>
  <w:footnote w:id="21">
    <w:p w14:paraId="2CAA6343" w14:textId="77777777" w:rsidR="00C560BE" w:rsidRPr="00260EBF" w:rsidRDefault="00C560BE" w:rsidP="009925F9">
      <w:pPr>
        <w:pStyle w:val="Textonotapie"/>
        <w:ind w:right="1008" w:firstLine="708"/>
        <w:contextualSpacing/>
        <w:jc w:val="both"/>
        <w:rPr>
          <w:rFonts w:ascii="Verdana" w:hAnsi="Verdana" w:cs="Arial"/>
          <w:sz w:val="18"/>
          <w:szCs w:val="18"/>
          <w:lang w:val="es-CO"/>
        </w:rPr>
      </w:pPr>
      <w:r w:rsidRPr="00260EBF">
        <w:rPr>
          <w:rStyle w:val="Refdenotaalpie"/>
          <w:rFonts w:ascii="Verdana" w:hAnsi="Verdana" w:cs="Arial"/>
          <w:sz w:val="18"/>
          <w:szCs w:val="18"/>
        </w:rPr>
        <w:footnoteRef/>
      </w:r>
      <w:r w:rsidRPr="00260EBF">
        <w:rPr>
          <w:rFonts w:ascii="Verdana" w:hAnsi="Verdana" w:cs="Arial"/>
          <w:sz w:val="18"/>
          <w:szCs w:val="18"/>
        </w:rPr>
        <w:t xml:space="preserve"> </w:t>
      </w:r>
      <w:r w:rsidRPr="00260EBF">
        <w:rPr>
          <w:rFonts w:ascii="Verdana" w:hAnsi="Verdana" w:cs="Arial"/>
          <w:sz w:val="18"/>
          <w:szCs w:val="18"/>
          <w:lang w:val="es-ES"/>
        </w:rPr>
        <w:t>Corte Constitucional. Sentencia SU-075 de 2018. Magistrado Ponente: Gloria Stella Ortiz Delgado</w:t>
      </w:r>
    </w:p>
  </w:footnote>
  <w:footnote w:id="22">
    <w:p w14:paraId="1FAEBC76" w14:textId="77777777" w:rsidR="00C560BE" w:rsidRPr="00260EBF" w:rsidRDefault="00C560BE" w:rsidP="009925F9">
      <w:pPr>
        <w:pStyle w:val="Sinespaciado"/>
        <w:tabs>
          <w:tab w:val="left" w:pos="9072"/>
        </w:tabs>
        <w:ind w:right="1008" w:firstLine="682"/>
        <w:contextualSpacing/>
        <w:jc w:val="both"/>
        <w:rPr>
          <w:rFonts w:ascii="Verdana" w:hAnsi="Verdana" w:cs="Arial"/>
          <w:sz w:val="18"/>
          <w:szCs w:val="18"/>
        </w:rPr>
      </w:pPr>
      <w:r w:rsidRPr="00260EBF">
        <w:rPr>
          <w:rStyle w:val="Refdenotaalpie"/>
          <w:rFonts w:ascii="Verdana" w:hAnsi="Verdana" w:cs="Arial"/>
          <w:sz w:val="18"/>
          <w:szCs w:val="18"/>
        </w:rPr>
        <w:footnoteRef/>
      </w:r>
      <w:r w:rsidRPr="00260EBF">
        <w:rPr>
          <w:rFonts w:ascii="Verdana" w:hAnsi="Verdana" w:cs="Arial"/>
          <w:sz w:val="18"/>
          <w:szCs w:val="18"/>
        </w:rPr>
        <w:t xml:space="preserve"> Corte Constitucional. Sentencia T-329 del 19 de septiembre de 2022. Expediente </w:t>
      </w:r>
      <w:bookmarkStart w:id="3" w:name="_Hlk113364075"/>
      <w:r w:rsidRPr="00260EBF">
        <w:rPr>
          <w:rFonts w:ascii="Verdana" w:hAnsi="Verdana" w:cs="Arial"/>
          <w:sz w:val="18"/>
          <w:szCs w:val="18"/>
        </w:rPr>
        <w:t>T-8.517.984</w:t>
      </w:r>
      <w:bookmarkEnd w:id="3"/>
      <w:r w:rsidRPr="00260EBF">
        <w:rPr>
          <w:rFonts w:ascii="Verdana" w:hAnsi="Verdana" w:cs="Arial"/>
          <w:sz w:val="18"/>
          <w:szCs w:val="18"/>
        </w:rPr>
        <w:t>. Magistrada Ponente: Natalia Ángel Cabo</w:t>
      </w:r>
    </w:p>
    <w:p w14:paraId="0D80BA69" w14:textId="77777777" w:rsidR="00C560BE" w:rsidRPr="00260EBF" w:rsidRDefault="00C560BE" w:rsidP="00C560BE">
      <w:pPr>
        <w:pStyle w:val="Textonotapie"/>
        <w:contextualSpacing/>
        <w:jc w:val="both"/>
        <w:rPr>
          <w:rFonts w:ascii="Verdana" w:hAnsi="Verdana" w:cs="Arial"/>
          <w:sz w:val="18"/>
          <w:szCs w:val="18"/>
        </w:rPr>
      </w:pPr>
    </w:p>
  </w:footnote>
  <w:footnote w:id="23">
    <w:p w14:paraId="1E7C02D2" w14:textId="77777777" w:rsidR="00C560BE" w:rsidRPr="00260EBF" w:rsidRDefault="00C560BE" w:rsidP="009925F9">
      <w:pPr>
        <w:pStyle w:val="Textonotapie"/>
        <w:ind w:right="1008" w:firstLine="708"/>
        <w:contextualSpacing/>
        <w:jc w:val="both"/>
        <w:rPr>
          <w:rFonts w:ascii="Verdana" w:hAnsi="Verdana" w:cs="Arial"/>
          <w:sz w:val="18"/>
          <w:szCs w:val="18"/>
        </w:rPr>
      </w:pPr>
      <w:r w:rsidRPr="00260EBF">
        <w:rPr>
          <w:rStyle w:val="Refdenotaalpie"/>
          <w:rFonts w:ascii="Verdana" w:hAnsi="Verdana" w:cs="Arial"/>
          <w:sz w:val="18"/>
          <w:szCs w:val="18"/>
        </w:rPr>
        <w:footnoteRef/>
      </w:r>
      <w:r w:rsidRPr="00260EBF">
        <w:rPr>
          <w:rFonts w:ascii="Verdana" w:hAnsi="Verdana" w:cs="Arial"/>
          <w:sz w:val="18"/>
          <w:szCs w:val="18"/>
        </w:rPr>
        <w:t xml:space="preserve"> Sentencia SU-070 de 2013. Fund. 6. Reiterado en las</w:t>
      </w:r>
      <w:r w:rsidRPr="00260EBF">
        <w:rPr>
          <w:rFonts w:ascii="Verdana" w:hAnsi="Verdana" w:cs="Arial"/>
          <w:sz w:val="18"/>
          <w:szCs w:val="18"/>
          <w:lang w:val="es-ES_tradnl"/>
        </w:rPr>
        <w:t xml:space="preserve"> sentencias SU-040 de 2018 y SU-075 de 2018.</w:t>
      </w:r>
    </w:p>
  </w:footnote>
  <w:footnote w:id="24">
    <w:p w14:paraId="1685005E" w14:textId="77777777" w:rsidR="00C560BE" w:rsidRPr="00260EBF" w:rsidRDefault="00C560BE" w:rsidP="009925F9">
      <w:pPr>
        <w:pStyle w:val="Textonotapie"/>
        <w:ind w:right="1008"/>
        <w:contextualSpacing/>
        <w:jc w:val="both"/>
        <w:rPr>
          <w:rFonts w:ascii="Verdana" w:hAnsi="Verdana" w:cs="Arial"/>
          <w:sz w:val="18"/>
          <w:szCs w:val="18"/>
        </w:rPr>
      </w:pPr>
    </w:p>
    <w:p w14:paraId="076BD3F8" w14:textId="77777777" w:rsidR="00C560BE" w:rsidRPr="00260EBF" w:rsidRDefault="00C560BE" w:rsidP="009925F9">
      <w:pPr>
        <w:pStyle w:val="Textonotapie"/>
        <w:ind w:right="1008" w:firstLine="708"/>
        <w:contextualSpacing/>
        <w:jc w:val="both"/>
        <w:rPr>
          <w:rFonts w:ascii="Verdana" w:hAnsi="Verdana" w:cs="Arial"/>
          <w:sz w:val="18"/>
          <w:szCs w:val="18"/>
        </w:rPr>
      </w:pPr>
      <w:r w:rsidRPr="00260EBF">
        <w:rPr>
          <w:rStyle w:val="Refdenotaalpie"/>
          <w:rFonts w:ascii="Verdana" w:hAnsi="Verdana" w:cs="Arial"/>
          <w:sz w:val="18"/>
          <w:szCs w:val="18"/>
        </w:rPr>
        <w:footnoteRef/>
      </w:r>
      <w:r w:rsidRPr="00260EBF">
        <w:rPr>
          <w:rFonts w:ascii="Verdana" w:hAnsi="Verdana" w:cs="Arial"/>
          <w:sz w:val="18"/>
          <w:szCs w:val="18"/>
        </w:rPr>
        <w:t xml:space="preserve"> Esta indemnización se ha reconocido en contratos de prestación de servicios, entre otras, en las sentencias T-564 de 2017, T-350 de 2016, 316 de 2016, T-102 de 2016 y T-346 de 2013.</w:t>
      </w:r>
    </w:p>
  </w:footnote>
  <w:footnote w:id="25">
    <w:p w14:paraId="4EAF7EF3" w14:textId="77777777" w:rsidR="00C560BE" w:rsidRPr="00260EBF" w:rsidRDefault="00C560BE" w:rsidP="009925F9">
      <w:pPr>
        <w:pStyle w:val="Textonotapie"/>
        <w:ind w:right="1008"/>
        <w:contextualSpacing/>
        <w:jc w:val="both"/>
        <w:rPr>
          <w:rFonts w:ascii="Verdana" w:hAnsi="Verdana" w:cs="Arial"/>
          <w:sz w:val="18"/>
          <w:szCs w:val="18"/>
        </w:rPr>
      </w:pPr>
    </w:p>
    <w:p w14:paraId="3DA61069" w14:textId="77777777" w:rsidR="00C560BE" w:rsidRPr="00260EBF" w:rsidRDefault="00C560BE" w:rsidP="009925F9">
      <w:pPr>
        <w:pStyle w:val="Textonotapie"/>
        <w:ind w:right="1008" w:firstLine="708"/>
        <w:contextualSpacing/>
        <w:jc w:val="both"/>
        <w:rPr>
          <w:rFonts w:ascii="Verdana" w:hAnsi="Verdana" w:cs="Arial"/>
          <w:sz w:val="18"/>
          <w:szCs w:val="18"/>
        </w:rPr>
      </w:pPr>
      <w:r w:rsidRPr="00260EBF">
        <w:rPr>
          <w:rStyle w:val="Refdenotaalpie"/>
          <w:rFonts w:ascii="Verdana" w:hAnsi="Verdana" w:cs="Arial"/>
          <w:sz w:val="18"/>
          <w:szCs w:val="18"/>
        </w:rPr>
        <w:footnoteRef/>
      </w:r>
      <w:r w:rsidRPr="00260EBF">
        <w:rPr>
          <w:rFonts w:ascii="Verdana" w:hAnsi="Verdana" w:cs="Arial"/>
          <w:sz w:val="18"/>
          <w:szCs w:val="18"/>
        </w:rPr>
        <w:t xml:space="preserve"> En las sentencias T-238 de 2015 y T-350 de 2016 la Corte determinó que no procede el pago de la licencia de maternidad cuando en el caso se observe que la licencia de maternidad ya fue disfrutada. </w:t>
      </w:r>
    </w:p>
  </w:footnote>
  <w:footnote w:id="26">
    <w:p w14:paraId="26D067B5" w14:textId="77777777" w:rsidR="00C560BE" w:rsidRPr="00260EBF" w:rsidRDefault="00C560BE" w:rsidP="009925F9">
      <w:pPr>
        <w:pStyle w:val="Textonotapie"/>
        <w:ind w:right="1008" w:firstLine="708"/>
        <w:contextualSpacing/>
        <w:jc w:val="both"/>
        <w:rPr>
          <w:rFonts w:ascii="Verdana" w:hAnsi="Verdana" w:cs="Arial"/>
          <w:sz w:val="18"/>
          <w:szCs w:val="18"/>
        </w:rPr>
      </w:pPr>
    </w:p>
    <w:p w14:paraId="2427633F" w14:textId="77777777" w:rsidR="00C560BE" w:rsidRPr="00260EBF" w:rsidRDefault="00C560BE" w:rsidP="009925F9">
      <w:pPr>
        <w:pStyle w:val="Textonotapie"/>
        <w:ind w:right="1008" w:firstLine="708"/>
        <w:contextualSpacing/>
        <w:jc w:val="both"/>
        <w:rPr>
          <w:rFonts w:ascii="Verdana" w:hAnsi="Verdana" w:cs="Arial"/>
          <w:sz w:val="18"/>
          <w:szCs w:val="18"/>
        </w:rPr>
      </w:pPr>
      <w:r w:rsidRPr="00260EBF">
        <w:rPr>
          <w:rStyle w:val="Refdenotaalpie"/>
          <w:rFonts w:ascii="Verdana" w:hAnsi="Verdana" w:cs="Arial"/>
          <w:sz w:val="18"/>
          <w:szCs w:val="18"/>
        </w:rPr>
        <w:footnoteRef/>
      </w:r>
      <w:r w:rsidRPr="00260EBF">
        <w:rPr>
          <w:rFonts w:ascii="Verdana" w:hAnsi="Verdana" w:cs="Arial"/>
          <w:sz w:val="18"/>
          <w:szCs w:val="18"/>
        </w:rPr>
        <w:t xml:space="preserve"> Esta media fue aplicada en la Sentencia T-030 de 2018 respecto del caso estudiado bajo el expediente T-6.425.691.</w:t>
      </w:r>
    </w:p>
  </w:footnote>
  <w:footnote w:id="27">
    <w:p w14:paraId="16172F39" w14:textId="77777777" w:rsidR="00C560BE" w:rsidRPr="00260EBF" w:rsidRDefault="00C560BE" w:rsidP="009925F9">
      <w:pPr>
        <w:pStyle w:val="Textonotapie"/>
        <w:ind w:right="1008" w:firstLine="708"/>
        <w:contextualSpacing/>
        <w:jc w:val="both"/>
        <w:rPr>
          <w:rFonts w:ascii="Verdana" w:hAnsi="Verdana" w:cs="Arial"/>
          <w:sz w:val="18"/>
          <w:szCs w:val="18"/>
        </w:rPr>
      </w:pPr>
    </w:p>
    <w:p w14:paraId="127B4E30" w14:textId="77777777" w:rsidR="00C560BE" w:rsidRPr="00260EBF" w:rsidRDefault="00C560BE" w:rsidP="009925F9">
      <w:pPr>
        <w:pStyle w:val="Textonotapie"/>
        <w:ind w:right="1008" w:firstLine="708"/>
        <w:contextualSpacing/>
        <w:jc w:val="both"/>
        <w:rPr>
          <w:rFonts w:ascii="Verdana" w:hAnsi="Verdana" w:cs="Arial"/>
          <w:sz w:val="18"/>
          <w:szCs w:val="18"/>
        </w:rPr>
      </w:pPr>
      <w:r w:rsidRPr="00260EBF">
        <w:rPr>
          <w:rStyle w:val="Refdenotaalpie"/>
          <w:rFonts w:ascii="Verdana" w:hAnsi="Verdana" w:cs="Arial"/>
          <w:sz w:val="18"/>
          <w:szCs w:val="18"/>
        </w:rPr>
        <w:footnoteRef/>
      </w:r>
      <w:r w:rsidRPr="00260EBF">
        <w:rPr>
          <w:rFonts w:ascii="Verdana" w:hAnsi="Verdana" w:cs="Arial"/>
          <w:sz w:val="18"/>
          <w:szCs w:val="18"/>
        </w:rPr>
        <w:t xml:space="preserve"> En algunas oportunidades las salas de revisión han reconocido el pago de las prestaciones en materia de seguridad social en salud. Sentencia T-102 de 2016.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2829E" w14:textId="77777777" w:rsidR="00771A1C" w:rsidRDefault="002A56AD">
    <w:pPr>
      <w:pStyle w:val="Textoindependiente"/>
      <w:spacing w:line="14" w:lineRule="auto"/>
      <w:rPr>
        <w:sz w:val="20"/>
      </w:rPr>
    </w:pPr>
    <w:r>
      <w:rPr>
        <w:noProof/>
        <w:sz w:val="20"/>
      </w:rPr>
      <w:drawing>
        <wp:anchor distT="0" distB="0" distL="0" distR="0" simplePos="0" relativeHeight="251639296" behindDoc="1" locked="0" layoutInCell="1" allowOverlap="1" wp14:anchorId="39FE59D0" wp14:editId="6DC86470">
          <wp:simplePos x="0" y="0"/>
          <wp:positionH relativeFrom="page">
            <wp:posOffset>2924175</wp:posOffset>
          </wp:positionH>
          <wp:positionV relativeFrom="page">
            <wp:posOffset>104775</wp:posOffset>
          </wp:positionV>
          <wp:extent cx="1924050" cy="855979"/>
          <wp:effectExtent l="0" t="0" r="0" b="0"/>
          <wp:wrapNone/>
          <wp:docPr id="90946722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251646464" behindDoc="1" locked="0" layoutInCell="1" allowOverlap="1" wp14:anchorId="3BC221C3" wp14:editId="21960019">
              <wp:simplePos x="0" y="0"/>
              <wp:positionH relativeFrom="page">
                <wp:posOffset>1067435</wp:posOffset>
              </wp:positionH>
              <wp:positionV relativeFrom="page">
                <wp:posOffset>961802</wp:posOffset>
              </wp:positionV>
              <wp:extent cx="1390650" cy="1955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0" cy="195580"/>
                      </a:xfrm>
                      <a:prstGeom prst="rect">
                        <a:avLst/>
                      </a:prstGeom>
                    </wps:spPr>
                    <wps:txbx>
                      <w:txbxContent>
                        <w:p w14:paraId="78F6E38F" w14:textId="77777777" w:rsidR="00771A1C" w:rsidRDefault="002A56AD">
                          <w:pPr>
                            <w:spacing w:before="20"/>
                            <w:ind w:left="20"/>
                            <w:rPr>
                              <w:b/>
                            </w:rPr>
                          </w:pPr>
                          <w:r>
                            <w:rPr>
                              <w:b/>
                              <w:spacing w:val="-2"/>
                            </w:rPr>
                            <w:t>FORMATO</w:t>
                          </w:r>
                          <w:r>
                            <w:rPr>
                              <w:b/>
                              <w:spacing w:val="-6"/>
                            </w:rPr>
                            <w:t xml:space="preserve"> </w:t>
                          </w:r>
                          <w:r>
                            <w:rPr>
                              <w:b/>
                              <w:spacing w:val="-2"/>
                            </w:rPr>
                            <w:t>PQRSD</w:t>
                          </w:r>
                        </w:p>
                      </w:txbxContent>
                    </wps:txbx>
                    <wps:bodyPr wrap="square" lIns="0" tIns="0" rIns="0" bIns="0" rtlCol="0">
                      <a:noAutofit/>
                    </wps:bodyPr>
                  </wps:wsp>
                </a:graphicData>
              </a:graphic>
            </wp:anchor>
          </w:drawing>
        </mc:Choice>
        <mc:Fallback>
          <w:pict>
            <v:shapetype w14:anchorId="3BC221C3" id="_x0000_t202" coordsize="21600,21600" o:spt="202" path="m,l,21600r21600,l21600,xe">
              <v:stroke joinstyle="miter"/>
              <v:path gradientshapeok="t" o:connecttype="rect"/>
            </v:shapetype>
            <v:shape id="Textbox 2" o:spid="_x0000_s1027" type="#_x0000_t202" style="position:absolute;margin-left:84.05pt;margin-top:75.75pt;width:109.5pt;height:15.4pt;z-index:-251670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" filled="f" stroked="f">
              <v:textbox inset="0,0,0,0">
                <w:txbxContent>
                  <w:p w14:paraId="78F6E38F" w14:textId="77777777" w:rsidR="00771A1C" w:rsidRDefault="002A56AD">
                    <w:pPr>
                      <w:spacing w:before="20"/>
                      <w:ind w:left="20"/>
                      <w:rPr>
                        <w:b/>
                      </w:rPr>
                    </w:pPr>
                    <w:r>
                      <w:rPr>
                        <w:b/>
                        <w:spacing w:val="-2"/>
                      </w:rPr>
                      <w:t>FORMATO</w:t>
                    </w:r>
                    <w:r>
                      <w:rPr>
                        <w:b/>
                        <w:spacing w:val="-6"/>
                      </w:rPr>
                      <w:t xml:space="preserve"> </w:t>
                    </w:r>
                    <w:r>
                      <w:rPr>
                        <w:b/>
                        <w:spacing w:val="-2"/>
                      </w:rPr>
                      <w:t>PQRSD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15F5B"/>
    <w:multiLevelType w:val="hybridMultilevel"/>
    <w:tmpl w:val="DE2CC33A"/>
    <w:lvl w:ilvl="0" w:tplc="2716FD44">
      <w:numFmt w:val="bullet"/>
      <w:lvlText w:val=""/>
      <w:lvlJc w:val="left"/>
      <w:pPr>
        <w:ind w:left="823" w:hanging="360"/>
      </w:pPr>
      <w:rPr>
        <w:rFonts w:ascii="Symbol" w:eastAsia="Symbol" w:hAnsi="Symbol" w:cs="Symbol" w:hint="default"/>
        <w:b w:val="0"/>
        <w:bCs w:val="0"/>
        <w:i w:val="0"/>
        <w:iCs w:val="0"/>
        <w:spacing w:val="0"/>
        <w:w w:val="99"/>
        <w:sz w:val="22"/>
        <w:szCs w:val="22"/>
        <w:lang w:val="es-ES" w:eastAsia="en-US" w:bidi="ar-SA"/>
      </w:rPr>
    </w:lvl>
    <w:lvl w:ilvl="1" w:tplc="CFC683E4">
      <w:numFmt w:val="bullet"/>
      <w:lvlText w:val="•"/>
      <w:lvlJc w:val="left"/>
      <w:pPr>
        <w:ind w:left="1601" w:hanging="360"/>
      </w:pPr>
      <w:rPr>
        <w:rFonts w:hint="default"/>
        <w:lang w:val="es-ES" w:eastAsia="en-US" w:bidi="ar-SA"/>
      </w:rPr>
    </w:lvl>
    <w:lvl w:ilvl="2" w:tplc="5CE2CA7A">
      <w:numFmt w:val="bullet"/>
      <w:lvlText w:val="•"/>
      <w:lvlJc w:val="left"/>
      <w:pPr>
        <w:ind w:left="2383" w:hanging="360"/>
      </w:pPr>
      <w:rPr>
        <w:rFonts w:hint="default"/>
        <w:lang w:val="es-ES" w:eastAsia="en-US" w:bidi="ar-SA"/>
      </w:rPr>
    </w:lvl>
    <w:lvl w:ilvl="3" w:tplc="671876DE">
      <w:numFmt w:val="bullet"/>
      <w:lvlText w:val="•"/>
      <w:lvlJc w:val="left"/>
      <w:pPr>
        <w:ind w:left="3165" w:hanging="360"/>
      </w:pPr>
      <w:rPr>
        <w:rFonts w:hint="default"/>
        <w:lang w:val="es-ES" w:eastAsia="en-US" w:bidi="ar-SA"/>
      </w:rPr>
    </w:lvl>
    <w:lvl w:ilvl="4" w:tplc="C4B4C3EA">
      <w:numFmt w:val="bullet"/>
      <w:lvlText w:val="•"/>
      <w:lvlJc w:val="left"/>
      <w:pPr>
        <w:ind w:left="3946" w:hanging="360"/>
      </w:pPr>
      <w:rPr>
        <w:rFonts w:hint="default"/>
        <w:lang w:val="es-ES" w:eastAsia="en-US" w:bidi="ar-SA"/>
      </w:rPr>
    </w:lvl>
    <w:lvl w:ilvl="5" w:tplc="7F30D304">
      <w:numFmt w:val="bullet"/>
      <w:lvlText w:val="•"/>
      <w:lvlJc w:val="left"/>
      <w:pPr>
        <w:ind w:left="4728" w:hanging="360"/>
      </w:pPr>
      <w:rPr>
        <w:rFonts w:hint="default"/>
        <w:lang w:val="es-ES" w:eastAsia="en-US" w:bidi="ar-SA"/>
      </w:rPr>
    </w:lvl>
    <w:lvl w:ilvl="6" w:tplc="CDFA795C">
      <w:numFmt w:val="bullet"/>
      <w:lvlText w:val="•"/>
      <w:lvlJc w:val="left"/>
      <w:pPr>
        <w:ind w:left="5510" w:hanging="360"/>
      </w:pPr>
      <w:rPr>
        <w:rFonts w:hint="default"/>
        <w:lang w:val="es-ES" w:eastAsia="en-US" w:bidi="ar-SA"/>
      </w:rPr>
    </w:lvl>
    <w:lvl w:ilvl="7" w:tplc="3F3074FA">
      <w:numFmt w:val="bullet"/>
      <w:lvlText w:val="•"/>
      <w:lvlJc w:val="left"/>
      <w:pPr>
        <w:ind w:left="6291" w:hanging="360"/>
      </w:pPr>
      <w:rPr>
        <w:rFonts w:hint="default"/>
        <w:lang w:val="es-ES" w:eastAsia="en-US" w:bidi="ar-SA"/>
      </w:rPr>
    </w:lvl>
    <w:lvl w:ilvl="8" w:tplc="2CAAF428">
      <w:numFmt w:val="bullet"/>
      <w:lvlText w:val="•"/>
      <w:lvlJc w:val="left"/>
      <w:pPr>
        <w:ind w:left="7073" w:hanging="360"/>
      </w:pPr>
      <w:rPr>
        <w:rFonts w:hint="default"/>
        <w:lang w:val="es-ES" w:eastAsia="en-US" w:bidi="ar-SA"/>
      </w:rPr>
    </w:lvl>
  </w:abstractNum>
  <w:abstractNum w:abstractNumId="1"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984599"/>
    <w:multiLevelType w:val="hybridMultilevel"/>
    <w:tmpl w:val="84D43D32"/>
    <w:lvl w:ilvl="0" w:tplc="14241186">
      <w:start w:val="1"/>
      <w:numFmt w:val="lowerLetter"/>
      <w:lvlText w:val="(%1)"/>
      <w:lvlJc w:val="left"/>
      <w:pPr>
        <w:ind w:left="1341" w:hanging="371"/>
        <w:jc w:val="left"/>
      </w:pPr>
      <w:rPr>
        <w:rFonts w:ascii="Verdana" w:eastAsia="Verdana" w:hAnsi="Verdana" w:cs="Verdana" w:hint="default"/>
        <w:b w:val="0"/>
        <w:bCs w:val="0"/>
        <w:i w:val="0"/>
        <w:iCs w:val="0"/>
        <w:spacing w:val="-1"/>
        <w:w w:val="99"/>
        <w:sz w:val="20"/>
        <w:szCs w:val="20"/>
        <w:lang w:val="es-ES" w:eastAsia="en-US" w:bidi="ar-SA"/>
      </w:rPr>
    </w:lvl>
    <w:lvl w:ilvl="1" w:tplc="7EA0314C">
      <w:numFmt w:val="bullet"/>
      <w:lvlText w:val="•"/>
      <w:lvlJc w:val="left"/>
      <w:pPr>
        <w:ind w:left="2214" w:hanging="371"/>
      </w:pPr>
      <w:rPr>
        <w:rFonts w:hint="default"/>
        <w:lang w:val="es-ES" w:eastAsia="en-US" w:bidi="ar-SA"/>
      </w:rPr>
    </w:lvl>
    <w:lvl w:ilvl="2" w:tplc="B83084EA">
      <w:numFmt w:val="bullet"/>
      <w:lvlText w:val="•"/>
      <w:lvlJc w:val="left"/>
      <w:pPr>
        <w:ind w:left="3088" w:hanging="371"/>
      </w:pPr>
      <w:rPr>
        <w:rFonts w:hint="default"/>
        <w:lang w:val="es-ES" w:eastAsia="en-US" w:bidi="ar-SA"/>
      </w:rPr>
    </w:lvl>
    <w:lvl w:ilvl="3" w:tplc="931AC91E">
      <w:numFmt w:val="bullet"/>
      <w:lvlText w:val="•"/>
      <w:lvlJc w:val="left"/>
      <w:pPr>
        <w:ind w:left="3962" w:hanging="371"/>
      </w:pPr>
      <w:rPr>
        <w:rFonts w:hint="default"/>
        <w:lang w:val="es-ES" w:eastAsia="en-US" w:bidi="ar-SA"/>
      </w:rPr>
    </w:lvl>
    <w:lvl w:ilvl="4" w:tplc="24A4EAF6">
      <w:numFmt w:val="bullet"/>
      <w:lvlText w:val="•"/>
      <w:lvlJc w:val="left"/>
      <w:pPr>
        <w:ind w:left="4836" w:hanging="371"/>
      </w:pPr>
      <w:rPr>
        <w:rFonts w:hint="default"/>
        <w:lang w:val="es-ES" w:eastAsia="en-US" w:bidi="ar-SA"/>
      </w:rPr>
    </w:lvl>
    <w:lvl w:ilvl="5" w:tplc="86D8B548">
      <w:numFmt w:val="bullet"/>
      <w:lvlText w:val="•"/>
      <w:lvlJc w:val="left"/>
      <w:pPr>
        <w:ind w:left="5710" w:hanging="371"/>
      </w:pPr>
      <w:rPr>
        <w:rFonts w:hint="default"/>
        <w:lang w:val="es-ES" w:eastAsia="en-US" w:bidi="ar-SA"/>
      </w:rPr>
    </w:lvl>
    <w:lvl w:ilvl="6" w:tplc="189C571A">
      <w:numFmt w:val="bullet"/>
      <w:lvlText w:val="•"/>
      <w:lvlJc w:val="left"/>
      <w:pPr>
        <w:ind w:left="6584" w:hanging="371"/>
      </w:pPr>
      <w:rPr>
        <w:rFonts w:hint="default"/>
        <w:lang w:val="es-ES" w:eastAsia="en-US" w:bidi="ar-SA"/>
      </w:rPr>
    </w:lvl>
    <w:lvl w:ilvl="7" w:tplc="FF2E0FBC">
      <w:numFmt w:val="bullet"/>
      <w:lvlText w:val="•"/>
      <w:lvlJc w:val="left"/>
      <w:pPr>
        <w:ind w:left="7458" w:hanging="371"/>
      </w:pPr>
      <w:rPr>
        <w:rFonts w:hint="default"/>
        <w:lang w:val="es-ES" w:eastAsia="en-US" w:bidi="ar-SA"/>
      </w:rPr>
    </w:lvl>
    <w:lvl w:ilvl="8" w:tplc="140A068E">
      <w:numFmt w:val="bullet"/>
      <w:lvlText w:val="•"/>
      <w:lvlJc w:val="left"/>
      <w:pPr>
        <w:ind w:left="8332" w:hanging="371"/>
      </w:pPr>
      <w:rPr>
        <w:rFonts w:hint="default"/>
        <w:lang w:val="es-ES" w:eastAsia="en-US" w:bidi="ar-SA"/>
      </w:rPr>
    </w:lvl>
  </w:abstractNum>
  <w:abstractNum w:abstractNumId="3" w15:restartNumberingAfterBreak="0">
    <w:nsid w:val="1BD33055"/>
    <w:multiLevelType w:val="hybridMultilevel"/>
    <w:tmpl w:val="C8ACE6BC"/>
    <w:lvl w:ilvl="0" w:tplc="41DCE058">
      <w:start w:val="1"/>
      <w:numFmt w:val="lowerLetter"/>
      <w:lvlText w:val="%1."/>
      <w:lvlJc w:val="left"/>
      <w:pPr>
        <w:ind w:left="828" w:hanging="360"/>
        <w:jc w:val="left"/>
      </w:pPr>
      <w:rPr>
        <w:rFonts w:ascii="Verdana" w:eastAsia="Verdana" w:hAnsi="Verdana" w:cs="Verdana" w:hint="default"/>
        <w:b w:val="0"/>
        <w:bCs w:val="0"/>
        <w:i w:val="0"/>
        <w:iCs w:val="0"/>
        <w:spacing w:val="-1"/>
        <w:w w:val="99"/>
        <w:sz w:val="20"/>
        <w:szCs w:val="20"/>
        <w:lang w:val="es-ES" w:eastAsia="en-US" w:bidi="ar-SA"/>
      </w:rPr>
    </w:lvl>
    <w:lvl w:ilvl="1" w:tplc="2A30C5E0">
      <w:numFmt w:val="bullet"/>
      <w:lvlText w:val="•"/>
      <w:lvlJc w:val="left"/>
      <w:pPr>
        <w:ind w:left="1439" w:hanging="360"/>
      </w:pPr>
      <w:rPr>
        <w:rFonts w:hint="default"/>
        <w:lang w:val="es-ES" w:eastAsia="en-US" w:bidi="ar-SA"/>
      </w:rPr>
    </w:lvl>
    <w:lvl w:ilvl="2" w:tplc="B618523A">
      <w:numFmt w:val="bullet"/>
      <w:lvlText w:val="•"/>
      <w:lvlJc w:val="left"/>
      <w:pPr>
        <w:ind w:left="2058" w:hanging="360"/>
      </w:pPr>
      <w:rPr>
        <w:rFonts w:hint="default"/>
        <w:lang w:val="es-ES" w:eastAsia="en-US" w:bidi="ar-SA"/>
      </w:rPr>
    </w:lvl>
    <w:lvl w:ilvl="3" w:tplc="CC6267D8">
      <w:numFmt w:val="bullet"/>
      <w:lvlText w:val="•"/>
      <w:lvlJc w:val="left"/>
      <w:pPr>
        <w:ind w:left="2677" w:hanging="360"/>
      </w:pPr>
      <w:rPr>
        <w:rFonts w:hint="default"/>
        <w:lang w:val="es-ES" w:eastAsia="en-US" w:bidi="ar-SA"/>
      </w:rPr>
    </w:lvl>
    <w:lvl w:ilvl="4" w:tplc="50007742">
      <w:numFmt w:val="bullet"/>
      <w:lvlText w:val="•"/>
      <w:lvlJc w:val="left"/>
      <w:pPr>
        <w:ind w:left="3296" w:hanging="360"/>
      </w:pPr>
      <w:rPr>
        <w:rFonts w:hint="default"/>
        <w:lang w:val="es-ES" w:eastAsia="en-US" w:bidi="ar-SA"/>
      </w:rPr>
    </w:lvl>
    <w:lvl w:ilvl="5" w:tplc="7C38F4AC">
      <w:numFmt w:val="bullet"/>
      <w:lvlText w:val="•"/>
      <w:lvlJc w:val="left"/>
      <w:pPr>
        <w:ind w:left="3916" w:hanging="360"/>
      </w:pPr>
      <w:rPr>
        <w:rFonts w:hint="default"/>
        <w:lang w:val="es-ES" w:eastAsia="en-US" w:bidi="ar-SA"/>
      </w:rPr>
    </w:lvl>
    <w:lvl w:ilvl="6" w:tplc="13029B84">
      <w:numFmt w:val="bullet"/>
      <w:lvlText w:val="•"/>
      <w:lvlJc w:val="left"/>
      <w:pPr>
        <w:ind w:left="4535" w:hanging="360"/>
      </w:pPr>
      <w:rPr>
        <w:rFonts w:hint="default"/>
        <w:lang w:val="es-ES" w:eastAsia="en-US" w:bidi="ar-SA"/>
      </w:rPr>
    </w:lvl>
    <w:lvl w:ilvl="7" w:tplc="A88C83B6">
      <w:numFmt w:val="bullet"/>
      <w:lvlText w:val="•"/>
      <w:lvlJc w:val="left"/>
      <w:pPr>
        <w:ind w:left="5154" w:hanging="360"/>
      </w:pPr>
      <w:rPr>
        <w:rFonts w:hint="default"/>
        <w:lang w:val="es-ES" w:eastAsia="en-US" w:bidi="ar-SA"/>
      </w:rPr>
    </w:lvl>
    <w:lvl w:ilvl="8" w:tplc="6D5E1FB0">
      <w:numFmt w:val="bullet"/>
      <w:lvlText w:val="•"/>
      <w:lvlJc w:val="left"/>
      <w:pPr>
        <w:ind w:left="5773" w:hanging="360"/>
      </w:pPr>
      <w:rPr>
        <w:rFonts w:hint="default"/>
        <w:lang w:val="es-ES" w:eastAsia="en-US" w:bidi="ar-SA"/>
      </w:rPr>
    </w:lvl>
  </w:abstractNum>
  <w:abstractNum w:abstractNumId="4" w15:restartNumberingAfterBreak="0">
    <w:nsid w:val="32BD2B42"/>
    <w:multiLevelType w:val="hybridMultilevel"/>
    <w:tmpl w:val="8C3A30C6"/>
    <w:lvl w:ilvl="0" w:tplc="A70E43FA">
      <w:start w:val="8"/>
      <w:numFmt w:val="lowerLetter"/>
      <w:lvlText w:val="%1)"/>
      <w:lvlJc w:val="left"/>
      <w:pPr>
        <w:ind w:left="261" w:hanging="173"/>
        <w:jc w:val="left"/>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jc w:val="left"/>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5" w15:restartNumberingAfterBreak="0">
    <w:nsid w:val="3BE57BE5"/>
    <w:multiLevelType w:val="hybridMultilevel"/>
    <w:tmpl w:val="03A65B72"/>
    <w:lvl w:ilvl="0" w:tplc="1D768D10">
      <w:start w:val="1"/>
      <w:numFmt w:val="lowerRoman"/>
      <w:lvlText w:val="%1)"/>
      <w:lvlJc w:val="left"/>
      <w:pPr>
        <w:ind w:left="1146" w:hanging="720"/>
      </w:pPr>
      <w:rPr>
        <w:rFonts w:eastAsia="Arial" w:hint="default"/>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6" w15:restartNumberingAfterBreak="0">
    <w:nsid w:val="494936A6"/>
    <w:multiLevelType w:val="hybridMultilevel"/>
    <w:tmpl w:val="79B45578"/>
    <w:lvl w:ilvl="0" w:tplc="6A466F4C">
      <w:start w:val="1"/>
      <w:numFmt w:val="decimal"/>
      <w:lvlText w:val="%1."/>
      <w:lvlJc w:val="left"/>
      <w:pPr>
        <w:ind w:left="970" w:hanging="201"/>
        <w:jc w:val="left"/>
      </w:pPr>
      <w:rPr>
        <w:rFonts w:ascii="Verdana" w:eastAsia="Verdana" w:hAnsi="Verdana" w:cs="Verdana" w:hint="default"/>
        <w:b w:val="0"/>
        <w:bCs w:val="0"/>
        <w:i w:val="0"/>
        <w:iCs w:val="0"/>
        <w:spacing w:val="-1"/>
        <w:w w:val="98"/>
        <w:sz w:val="18"/>
        <w:szCs w:val="18"/>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7" w15:restartNumberingAfterBreak="0">
    <w:nsid w:val="4BE018BB"/>
    <w:multiLevelType w:val="hybridMultilevel"/>
    <w:tmpl w:val="DC38EB9A"/>
    <w:lvl w:ilvl="0" w:tplc="1E642E60">
      <w:numFmt w:val="bullet"/>
      <w:lvlText w:val=""/>
      <w:lvlJc w:val="left"/>
      <w:pPr>
        <w:ind w:left="823" w:hanging="360"/>
      </w:pPr>
      <w:rPr>
        <w:rFonts w:ascii="Symbol" w:eastAsia="Symbol" w:hAnsi="Symbol" w:cs="Symbol" w:hint="default"/>
        <w:b w:val="0"/>
        <w:bCs w:val="0"/>
        <w:i w:val="0"/>
        <w:iCs w:val="0"/>
        <w:spacing w:val="0"/>
        <w:w w:val="99"/>
        <w:sz w:val="22"/>
        <w:szCs w:val="22"/>
        <w:lang w:val="es-ES" w:eastAsia="en-US" w:bidi="ar-SA"/>
      </w:rPr>
    </w:lvl>
    <w:lvl w:ilvl="1" w:tplc="825C6A52">
      <w:numFmt w:val="bullet"/>
      <w:lvlText w:val="•"/>
      <w:lvlJc w:val="left"/>
      <w:pPr>
        <w:ind w:left="1601" w:hanging="360"/>
      </w:pPr>
      <w:rPr>
        <w:rFonts w:hint="default"/>
        <w:lang w:val="es-ES" w:eastAsia="en-US" w:bidi="ar-SA"/>
      </w:rPr>
    </w:lvl>
    <w:lvl w:ilvl="2" w:tplc="3CE0DDD2">
      <w:numFmt w:val="bullet"/>
      <w:lvlText w:val="•"/>
      <w:lvlJc w:val="left"/>
      <w:pPr>
        <w:ind w:left="2383" w:hanging="360"/>
      </w:pPr>
      <w:rPr>
        <w:rFonts w:hint="default"/>
        <w:lang w:val="es-ES" w:eastAsia="en-US" w:bidi="ar-SA"/>
      </w:rPr>
    </w:lvl>
    <w:lvl w:ilvl="3" w:tplc="6E5A118A">
      <w:numFmt w:val="bullet"/>
      <w:lvlText w:val="•"/>
      <w:lvlJc w:val="left"/>
      <w:pPr>
        <w:ind w:left="3165" w:hanging="360"/>
      </w:pPr>
      <w:rPr>
        <w:rFonts w:hint="default"/>
        <w:lang w:val="es-ES" w:eastAsia="en-US" w:bidi="ar-SA"/>
      </w:rPr>
    </w:lvl>
    <w:lvl w:ilvl="4" w:tplc="1CD0C212">
      <w:numFmt w:val="bullet"/>
      <w:lvlText w:val="•"/>
      <w:lvlJc w:val="left"/>
      <w:pPr>
        <w:ind w:left="3946" w:hanging="360"/>
      </w:pPr>
      <w:rPr>
        <w:rFonts w:hint="default"/>
        <w:lang w:val="es-ES" w:eastAsia="en-US" w:bidi="ar-SA"/>
      </w:rPr>
    </w:lvl>
    <w:lvl w:ilvl="5" w:tplc="A670C860">
      <w:numFmt w:val="bullet"/>
      <w:lvlText w:val="•"/>
      <w:lvlJc w:val="left"/>
      <w:pPr>
        <w:ind w:left="4728" w:hanging="360"/>
      </w:pPr>
      <w:rPr>
        <w:rFonts w:hint="default"/>
        <w:lang w:val="es-ES" w:eastAsia="en-US" w:bidi="ar-SA"/>
      </w:rPr>
    </w:lvl>
    <w:lvl w:ilvl="6" w:tplc="C8C83990">
      <w:numFmt w:val="bullet"/>
      <w:lvlText w:val="•"/>
      <w:lvlJc w:val="left"/>
      <w:pPr>
        <w:ind w:left="5510" w:hanging="360"/>
      </w:pPr>
      <w:rPr>
        <w:rFonts w:hint="default"/>
        <w:lang w:val="es-ES" w:eastAsia="en-US" w:bidi="ar-SA"/>
      </w:rPr>
    </w:lvl>
    <w:lvl w:ilvl="7" w:tplc="958CC15C">
      <w:numFmt w:val="bullet"/>
      <w:lvlText w:val="•"/>
      <w:lvlJc w:val="left"/>
      <w:pPr>
        <w:ind w:left="6291" w:hanging="360"/>
      </w:pPr>
      <w:rPr>
        <w:rFonts w:hint="default"/>
        <w:lang w:val="es-ES" w:eastAsia="en-US" w:bidi="ar-SA"/>
      </w:rPr>
    </w:lvl>
    <w:lvl w:ilvl="8" w:tplc="6840CA70">
      <w:numFmt w:val="bullet"/>
      <w:lvlText w:val="•"/>
      <w:lvlJc w:val="left"/>
      <w:pPr>
        <w:ind w:left="7073" w:hanging="360"/>
      </w:pPr>
      <w:rPr>
        <w:rFonts w:hint="default"/>
        <w:lang w:val="es-ES" w:eastAsia="en-US" w:bidi="ar-SA"/>
      </w:rPr>
    </w:lvl>
  </w:abstractNum>
  <w:abstractNum w:abstractNumId="8" w15:restartNumberingAfterBreak="0">
    <w:nsid w:val="4C7C67D5"/>
    <w:multiLevelType w:val="hybridMultilevel"/>
    <w:tmpl w:val="29946232"/>
    <w:lvl w:ilvl="0" w:tplc="B48E4258">
      <w:start w:val="1"/>
      <w:numFmt w:val="decimal"/>
      <w:lvlText w:val="%1."/>
      <w:lvlJc w:val="left"/>
      <w:pPr>
        <w:ind w:left="545" w:hanging="284"/>
        <w:jc w:val="left"/>
      </w:pPr>
      <w:rPr>
        <w:rFonts w:hint="default"/>
        <w:spacing w:val="-1"/>
        <w:w w:val="99"/>
        <w:lang w:val="es-ES" w:eastAsia="en-US" w:bidi="ar-SA"/>
      </w:rPr>
    </w:lvl>
    <w:lvl w:ilvl="1" w:tplc="9836BC40">
      <w:numFmt w:val="bullet"/>
      <w:lvlText w:val="•"/>
      <w:lvlJc w:val="left"/>
      <w:pPr>
        <w:ind w:left="1494" w:hanging="284"/>
      </w:pPr>
      <w:rPr>
        <w:rFonts w:hint="default"/>
        <w:lang w:val="es-ES" w:eastAsia="en-US" w:bidi="ar-SA"/>
      </w:rPr>
    </w:lvl>
    <w:lvl w:ilvl="2" w:tplc="5D26EB9E">
      <w:numFmt w:val="bullet"/>
      <w:lvlText w:val="•"/>
      <w:lvlJc w:val="left"/>
      <w:pPr>
        <w:ind w:left="2448" w:hanging="284"/>
      </w:pPr>
      <w:rPr>
        <w:rFonts w:hint="default"/>
        <w:lang w:val="es-ES" w:eastAsia="en-US" w:bidi="ar-SA"/>
      </w:rPr>
    </w:lvl>
    <w:lvl w:ilvl="3" w:tplc="AA6C8AB2">
      <w:numFmt w:val="bullet"/>
      <w:lvlText w:val="•"/>
      <w:lvlJc w:val="left"/>
      <w:pPr>
        <w:ind w:left="3402" w:hanging="284"/>
      </w:pPr>
      <w:rPr>
        <w:rFonts w:hint="default"/>
        <w:lang w:val="es-ES" w:eastAsia="en-US" w:bidi="ar-SA"/>
      </w:rPr>
    </w:lvl>
    <w:lvl w:ilvl="4" w:tplc="5FEC5856">
      <w:numFmt w:val="bullet"/>
      <w:lvlText w:val="•"/>
      <w:lvlJc w:val="left"/>
      <w:pPr>
        <w:ind w:left="4356" w:hanging="284"/>
      </w:pPr>
      <w:rPr>
        <w:rFonts w:hint="default"/>
        <w:lang w:val="es-ES" w:eastAsia="en-US" w:bidi="ar-SA"/>
      </w:rPr>
    </w:lvl>
    <w:lvl w:ilvl="5" w:tplc="2C46D6D4">
      <w:numFmt w:val="bullet"/>
      <w:lvlText w:val="•"/>
      <w:lvlJc w:val="left"/>
      <w:pPr>
        <w:ind w:left="5310" w:hanging="284"/>
      </w:pPr>
      <w:rPr>
        <w:rFonts w:hint="default"/>
        <w:lang w:val="es-ES" w:eastAsia="en-US" w:bidi="ar-SA"/>
      </w:rPr>
    </w:lvl>
    <w:lvl w:ilvl="6" w:tplc="0D5868D8">
      <w:numFmt w:val="bullet"/>
      <w:lvlText w:val="•"/>
      <w:lvlJc w:val="left"/>
      <w:pPr>
        <w:ind w:left="6264" w:hanging="284"/>
      </w:pPr>
      <w:rPr>
        <w:rFonts w:hint="default"/>
        <w:lang w:val="es-ES" w:eastAsia="en-US" w:bidi="ar-SA"/>
      </w:rPr>
    </w:lvl>
    <w:lvl w:ilvl="7" w:tplc="8C5878DE">
      <w:numFmt w:val="bullet"/>
      <w:lvlText w:val="•"/>
      <w:lvlJc w:val="left"/>
      <w:pPr>
        <w:ind w:left="7218" w:hanging="284"/>
      </w:pPr>
      <w:rPr>
        <w:rFonts w:hint="default"/>
        <w:lang w:val="es-ES" w:eastAsia="en-US" w:bidi="ar-SA"/>
      </w:rPr>
    </w:lvl>
    <w:lvl w:ilvl="8" w:tplc="76004D90">
      <w:numFmt w:val="bullet"/>
      <w:lvlText w:val="•"/>
      <w:lvlJc w:val="left"/>
      <w:pPr>
        <w:ind w:left="8172" w:hanging="284"/>
      </w:pPr>
      <w:rPr>
        <w:rFonts w:hint="default"/>
        <w:lang w:val="es-ES" w:eastAsia="en-US" w:bidi="ar-SA"/>
      </w:rPr>
    </w:lvl>
  </w:abstractNum>
  <w:abstractNum w:abstractNumId="9" w15:restartNumberingAfterBreak="0">
    <w:nsid w:val="573C611B"/>
    <w:multiLevelType w:val="hybridMultilevel"/>
    <w:tmpl w:val="0A4C623A"/>
    <w:lvl w:ilvl="0" w:tplc="FFFFFFFF">
      <w:start w:val="4"/>
      <w:numFmt w:val="decimal"/>
      <w:lvlText w:val="%1."/>
      <w:lvlJc w:val="left"/>
      <w:pPr>
        <w:ind w:left="545" w:hanging="284"/>
        <w:jc w:val="left"/>
      </w:pPr>
      <w:rPr>
        <w:rFonts w:ascii="Verdana" w:eastAsia="Verdana" w:hAnsi="Verdana" w:cs="Verdana" w:hint="default"/>
        <w:b/>
        <w:bCs/>
        <w:i w:val="0"/>
        <w:iCs w:val="0"/>
        <w:spacing w:val="-1"/>
        <w:w w:val="99"/>
        <w:sz w:val="22"/>
        <w:szCs w:val="22"/>
        <w:lang w:val="es-ES" w:eastAsia="en-US" w:bidi="ar-SA"/>
      </w:rPr>
    </w:lvl>
    <w:lvl w:ilvl="1" w:tplc="FFFFFFFF">
      <w:numFmt w:val="bullet"/>
      <w:lvlText w:val="•"/>
      <w:lvlJc w:val="left"/>
      <w:pPr>
        <w:ind w:left="1494" w:hanging="284"/>
      </w:pPr>
      <w:rPr>
        <w:rFonts w:hint="default"/>
        <w:lang w:val="es-ES" w:eastAsia="en-US" w:bidi="ar-SA"/>
      </w:rPr>
    </w:lvl>
    <w:lvl w:ilvl="2" w:tplc="FFFFFFFF">
      <w:numFmt w:val="bullet"/>
      <w:lvlText w:val="•"/>
      <w:lvlJc w:val="left"/>
      <w:pPr>
        <w:ind w:left="2448" w:hanging="284"/>
      </w:pPr>
      <w:rPr>
        <w:rFonts w:hint="default"/>
        <w:lang w:val="es-ES" w:eastAsia="en-US" w:bidi="ar-SA"/>
      </w:rPr>
    </w:lvl>
    <w:lvl w:ilvl="3" w:tplc="FFFFFFFF">
      <w:numFmt w:val="bullet"/>
      <w:lvlText w:val="•"/>
      <w:lvlJc w:val="left"/>
      <w:pPr>
        <w:ind w:left="3402" w:hanging="284"/>
      </w:pPr>
      <w:rPr>
        <w:rFonts w:hint="default"/>
        <w:lang w:val="es-ES" w:eastAsia="en-US" w:bidi="ar-SA"/>
      </w:rPr>
    </w:lvl>
    <w:lvl w:ilvl="4" w:tplc="FFFFFFFF">
      <w:numFmt w:val="bullet"/>
      <w:lvlText w:val="•"/>
      <w:lvlJc w:val="left"/>
      <w:pPr>
        <w:ind w:left="4356" w:hanging="284"/>
      </w:pPr>
      <w:rPr>
        <w:rFonts w:hint="default"/>
        <w:lang w:val="es-ES" w:eastAsia="en-US" w:bidi="ar-SA"/>
      </w:rPr>
    </w:lvl>
    <w:lvl w:ilvl="5" w:tplc="FFFFFFFF">
      <w:numFmt w:val="bullet"/>
      <w:lvlText w:val="•"/>
      <w:lvlJc w:val="left"/>
      <w:pPr>
        <w:ind w:left="5310" w:hanging="284"/>
      </w:pPr>
      <w:rPr>
        <w:rFonts w:hint="default"/>
        <w:lang w:val="es-ES" w:eastAsia="en-US" w:bidi="ar-SA"/>
      </w:rPr>
    </w:lvl>
    <w:lvl w:ilvl="6" w:tplc="FFFFFFFF">
      <w:numFmt w:val="bullet"/>
      <w:lvlText w:val="•"/>
      <w:lvlJc w:val="left"/>
      <w:pPr>
        <w:ind w:left="6264" w:hanging="284"/>
      </w:pPr>
      <w:rPr>
        <w:rFonts w:hint="default"/>
        <w:lang w:val="es-ES" w:eastAsia="en-US" w:bidi="ar-SA"/>
      </w:rPr>
    </w:lvl>
    <w:lvl w:ilvl="7" w:tplc="FFFFFFFF">
      <w:numFmt w:val="bullet"/>
      <w:lvlText w:val="•"/>
      <w:lvlJc w:val="left"/>
      <w:pPr>
        <w:ind w:left="7218" w:hanging="284"/>
      </w:pPr>
      <w:rPr>
        <w:rFonts w:hint="default"/>
        <w:lang w:val="es-ES" w:eastAsia="en-US" w:bidi="ar-SA"/>
      </w:rPr>
    </w:lvl>
    <w:lvl w:ilvl="8" w:tplc="FFFFFFFF">
      <w:numFmt w:val="bullet"/>
      <w:lvlText w:val="•"/>
      <w:lvlJc w:val="left"/>
      <w:pPr>
        <w:ind w:left="8172" w:hanging="284"/>
      </w:pPr>
      <w:rPr>
        <w:rFonts w:hint="default"/>
        <w:lang w:val="es-ES" w:eastAsia="en-US" w:bidi="ar-SA"/>
      </w:rPr>
    </w:lvl>
  </w:abstractNum>
  <w:abstractNum w:abstractNumId="10" w15:restartNumberingAfterBreak="0">
    <w:nsid w:val="62965531"/>
    <w:multiLevelType w:val="hybridMultilevel"/>
    <w:tmpl w:val="0A4C623A"/>
    <w:lvl w:ilvl="0" w:tplc="AC2A6F92">
      <w:start w:val="4"/>
      <w:numFmt w:val="decimal"/>
      <w:lvlText w:val="%1."/>
      <w:lvlJc w:val="left"/>
      <w:pPr>
        <w:ind w:left="545" w:hanging="284"/>
        <w:jc w:val="left"/>
      </w:pPr>
      <w:rPr>
        <w:rFonts w:ascii="Verdana" w:eastAsia="Verdana" w:hAnsi="Verdana" w:cs="Verdana" w:hint="default"/>
        <w:b/>
        <w:bCs/>
        <w:i w:val="0"/>
        <w:iCs w:val="0"/>
        <w:spacing w:val="-1"/>
        <w:w w:val="99"/>
        <w:sz w:val="22"/>
        <w:szCs w:val="22"/>
        <w:lang w:val="es-ES" w:eastAsia="en-US" w:bidi="ar-SA"/>
      </w:rPr>
    </w:lvl>
    <w:lvl w:ilvl="1" w:tplc="91C000CA">
      <w:numFmt w:val="bullet"/>
      <w:lvlText w:val="•"/>
      <w:lvlJc w:val="left"/>
      <w:pPr>
        <w:ind w:left="1494" w:hanging="284"/>
      </w:pPr>
      <w:rPr>
        <w:rFonts w:hint="default"/>
        <w:lang w:val="es-ES" w:eastAsia="en-US" w:bidi="ar-SA"/>
      </w:rPr>
    </w:lvl>
    <w:lvl w:ilvl="2" w:tplc="8BDAA882">
      <w:numFmt w:val="bullet"/>
      <w:lvlText w:val="•"/>
      <w:lvlJc w:val="left"/>
      <w:pPr>
        <w:ind w:left="2448" w:hanging="284"/>
      </w:pPr>
      <w:rPr>
        <w:rFonts w:hint="default"/>
        <w:lang w:val="es-ES" w:eastAsia="en-US" w:bidi="ar-SA"/>
      </w:rPr>
    </w:lvl>
    <w:lvl w:ilvl="3" w:tplc="11CC1FBA">
      <w:numFmt w:val="bullet"/>
      <w:lvlText w:val="•"/>
      <w:lvlJc w:val="left"/>
      <w:pPr>
        <w:ind w:left="3402" w:hanging="284"/>
      </w:pPr>
      <w:rPr>
        <w:rFonts w:hint="default"/>
        <w:lang w:val="es-ES" w:eastAsia="en-US" w:bidi="ar-SA"/>
      </w:rPr>
    </w:lvl>
    <w:lvl w:ilvl="4" w:tplc="7452FA24">
      <w:numFmt w:val="bullet"/>
      <w:lvlText w:val="•"/>
      <w:lvlJc w:val="left"/>
      <w:pPr>
        <w:ind w:left="4356" w:hanging="284"/>
      </w:pPr>
      <w:rPr>
        <w:rFonts w:hint="default"/>
        <w:lang w:val="es-ES" w:eastAsia="en-US" w:bidi="ar-SA"/>
      </w:rPr>
    </w:lvl>
    <w:lvl w:ilvl="5" w:tplc="B9E66122">
      <w:numFmt w:val="bullet"/>
      <w:lvlText w:val="•"/>
      <w:lvlJc w:val="left"/>
      <w:pPr>
        <w:ind w:left="5310" w:hanging="284"/>
      </w:pPr>
      <w:rPr>
        <w:rFonts w:hint="default"/>
        <w:lang w:val="es-ES" w:eastAsia="en-US" w:bidi="ar-SA"/>
      </w:rPr>
    </w:lvl>
    <w:lvl w:ilvl="6" w:tplc="CE16C94C">
      <w:numFmt w:val="bullet"/>
      <w:lvlText w:val="•"/>
      <w:lvlJc w:val="left"/>
      <w:pPr>
        <w:ind w:left="6264" w:hanging="284"/>
      </w:pPr>
      <w:rPr>
        <w:rFonts w:hint="default"/>
        <w:lang w:val="es-ES" w:eastAsia="en-US" w:bidi="ar-SA"/>
      </w:rPr>
    </w:lvl>
    <w:lvl w:ilvl="7" w:tplc="F9049D7C">
      <w:numFmt w:val="bullet"/>
      <w:lvlText w:val="•"/>
      <w:lvlJc w:val="left"/>
      <w:pPr>
        <w:ind w:left="7218" w:hanging="284"/>
      </w:pPr>
      <w:rPr>
        <w:rFonts w:hint="default"/>
        <w:lang w:val="es-ES" w:eastAsia="en-US" w:bidi="ar-SA"/>
      </w:rPr>
    </w:lvl>
    <w:lvl w:ilvl="8" w:tplc="0A6C2510">
      <w:numFmt w:val="bullet"/>
      <w:lvlText w:val="•"/>
      <w:lvlJc w:val="left"/>
      <w:pPr>
        <w:ind w:left="8172" w:hanging="284"/>
      </w:pPr>
      <w:rPr>
        <w:rFonts w:hint="default"/>
        <w:lang w:val="es-ES" w:eastAsia="en-US" w:bidi="ar-SA"/>
      </w:rPr>
    </w:lvl>
  </w:abstractNum>
  <w:num w:numId="1" w16cid:durableId="99616965">
    <w:abstractNumId w:val="7"/>
  </w:num>
  <w:num w:numId="2" w16cid:durableId="467550468">
    <w:abstractNumId w:val="0"/>
  </w:num>
  <w:num w:numId="3" w16cid:durableId="1178470164">
    <w:abstractNumId w:val="10"/>
  </w:num>
  <w:num w:numId="4" w16cid:durableId="1534726307">
    <w:abstractNumId w:val="6"/>
  </w:num>
  <w:num w:numId="5" w16cid:durableId="1936204623">
    <w:abstractNumId w:val="3"/>
  </w:num>
  <w:num w:numId="6" w16cid:durableId="1443694528">
    <w:abstractNumId w:val="2"/>
  </w:num>
  <w:num w:numId="7" w16cid:durableId="1524516111">
    <w:abstractNumId w:val="4"/>
  </w:num>
  <w:num w:numId="8" w16cid:durableId="1506171886">
    <w:abstractNumId w:val="8"/>
  </w:num>
  <w:num w:numId="9" w16cid:durableId="777065519">
    <w:abstractNumId w:val="1"/>
  </w:num>
  <w:num w:numId="10" w16cid:durableId="1825077983">
    <w:abstractNumId w:val="5"/>
  </w:num>
  <w:num w:numId="11" w16cid:durableId="2226392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A1C"/>
    <w:rsid w:val="000039E4"/>
    <w:rsid w:val="00032C61"/>
    <w:rsid w:val="00057D77"/>
    <w:rsid w:val="00071929"/>
    <w:rsid w:val="001640B5"/>
    <w:rsid w:val="00183A1A"/>
    <w:rsid w:val="00247D1E"/>
    <w:rsid w:val="00255AB5"/>
    <w:rsid w:val="002A56AD"/>
    <w:rsid w:val="002F0D05"/>
    <w:rsid w:val="002F6B4C"/>
    <w:rsid w:val="00387CFF"/>
    <w:rsid w:val="003B6B43"/>
    <w:rsid w:val="00456104"/>
    <w:rsid w:val="0045762B"/>
    <w:rsid w:val="004A247D"/>
    <w:rsid w:val="00517659"/>
    <w:rsid w:val="005D632C"/>
    <w:rsid w:val="00615F1D"/>
    <w:rsid w:val="00662B7A"/>
    <w:rsid w:val="00694E13"/>
    <w:rsid w:val="006B713F"/>
    <w:rsid w:val="00733F1E"/>
    <w:rsid w:val="00757853"/>
    <w:rsid w:val="00771A1C"/>
    <w:rsid w:val="00790C95"/>
    <w:rsid w:val="00856433"/>
    <w:rsid w:val="0086046F"/>
    <w:rsid w:val="00877F2E"/>
    <w:rsid w:val="00885C89"/>
    <w:rsid w:val="008A7D10"/>
    <w:rsid w:val="00922A2A"/>
    <w:rsid w:val="009925F9"/>
    <w:rsid w:val="009A0D11"/>
    <w:rsid w:val="009B6685"/>
    <w:rsid w:val="009E2632"/>
    <w:rsid w:val="009F3ABF"/>
    <w:rsid w:val="00A8545E"/>
    <w:rsid w:val="00AB1F37"/>
    <w:rsid w:val="00AC35CE"/>
    <w:rsid w:val="00B43AEC"/>
    <w:rsid w:val="00B45641"/>
    <w:rsid w:val="00B46090"/>
    <w:rsid w:val="00B8228A"/>
    <w:rsid w:val="00B87474"/>
    <w:rsid w:val="00B97E0E"/>
    <w:rsid w:val="00C21D3F"/>
    <w:rsid w:val="00C30E3A"/>
    <w:rsid w:val="00C44363"/>
    <w:rsid w:val="00C560BE"/>
    <w:rsid w:val="00D608A9"/>
    <w:rsid w:val="00D728B7"/>
    <w:rsid w:val="00D85E45"/>
    <w:rsid w:val="00DF161A"/>
    <w:rsid w:val="00E86204"/>
    <w:rsid w:val="00EE0EBA"/>
    <w:rsid w:val="00EE67D7"/>
    <w:rsid w:val="00F01B85"/>
    <w:rsid w:val="00F0436F"/>
    <w:rsid w:val="00F22673"/>
    <w:rsid w:val="00F31549"/>
    <w:rsid w:val="00F95A40"/>
    <w:rsid w:val="049BB46D"/>
    <w:rsid w:val="242EE103"/>
    <w:rsid w:val="2F12FFCD"/>
    <w:rsid w:val="60B3968F"/>
    <w:rsid w:val="61C22FE4"/>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2303C"/>
  <w15:docId w15:val="{CA224BB1-2002-924E-A665-E529C5978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542" w:hanging="282"/>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9A0D11"/>
    <w:rPr>
      <w:color w:val="0000FF" w:themeColor="hyperlink"/>
      <w:u w:val="single"/>
    </w:rPr>
  </w:style>
  <w:style w:type="paragraph" w:styleId="Textoindependiente">
    <w:name w:val="Body Text"/>
    <w:basedOn w:val="Normal"/>
    <w:link w:val="TextoindependienteCar"/>
    <w:uiPriority w:val="1"/>
    <w:qFormat/>
  </w:style>
  <w:style w:type="paragraph" w:styleId="Prrafodelista">
    <w:name w:val="List Paragraph"/>
    <w:basedOn w:val="Normal"/>
    <w:uiPriority w:val="1"/>
    <w:qFormat/>
    <w:pPr>
      <w:ind w:left="970"/>
    </w:pPr>
  </w:style>
  <w:style w:type="paragraph" w:customStyle="1" w:styleId="TableParagraph">
    <w:name w:val="Table Paragraph"/>
    <w:basedOn w:val="Normal"/>
    <w:uiPriority w:val="1"/>
    <w:qFormat/>
    <w:pPr>
      <w:jc w:val="both"/>
    </w:pPr>
  </w:style>
  <w:style w:type="paragraph" w:styleId="Encabezado">
    <w:name w:val="header"/>
    <w:basedOn w:val="Normal"/>
    <w:link w:val="EncabezadoCar"/>
    <w:uiPriority w:val="99"/>
    <w:semiHidden/>
    <w:unhideWhenUsed/>
    <w:rsid w:val="00C44363"/>
    <w:pPr>
      <w:tabs>
        <w:tab w:val="center" w:pos="4419"/>
        <w:tab w:val="right" w:pos="8838"/>
      </w:tabs>
    </w:pPr>
  </w:style>
  <w:style w:type="character" w:customStyle="1" w:styleId="EncabezadoCar">
    <w:name w:val="Encabezado Car"/>
    <w:basedOn w:val="Fuentedeprrafopredeter"/>
    <w:link w:val="Encabezado"/>
    <w:uiPriority w:val="99"/>
    <w:semiHidden/>
    <w:rsid w:val="00C44363"/>
    <w:rPr>
      <w:rFonts w:ascii="Verdana" w:eastAsia="Verdana" w:hAnsi="Verdana" w:cs="Verdana"/>
      <w:lang w:val="es-ES"/>
    </w:rPr>
  </w:style>
  <w:style w:type="paragraph" w:styleId="Piedepgina">
    <w:name w:val="footer"/>
    <w:basedOn w:val="Normal"/>
    <w:link w:val="PiedepginaCar"/>
    <w:uiPriority w:val="99"/>
    <w:semiHidden/>
    <w:unhideWhenUsed/>
    <w:rsid w:val="00C44363"/>
    <w:pPr>
      <w:tabs>
        <w:tab w:val="center" w:pos="4419"/>
        <w:tab w:val="right" w:pos="8838"/>
      </w:tabs>
    </w:pPr>
  </w:style>
  <w:style w:type="character" w:customStyle="1" w:styleId="PiedepginaCar">
    <w:name w:val="Pie de página Car"/>
    <w:basedOn w:val="Fuentedeprrafopredeter"/>
    <w:link w:val="Piedepgina"/>
    <w:uiPriority w:val="99"/>
    <w:semiHidden/>
    <w:rsid w:val="00C44363"/>
    <w:rPr>
      <w:rFonts w:ascii="Verdana" w:eastAsia="Verdana" w:hAnsi="Verdana" w:cs="Verdana"/>
      <w:lang w:val="es-ES"/>
    </w:rPr>
  </w:style>
  <w:style w:type="table" w:customStyle="1" w:styleId="TableNormal1">
    <w:name w:val="Table Normal1"/>
    <w:uiPriority w:val="2"/>
    <w:semiHidden/>
    <w:unhideWhenUsed/>
    <w:qFormat/>
    <w:rsid w:val="00C44363"/>
    <w:tblPr>
      <w:tblInd w:w="0" w:type="dxa"/>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0D11"/>
    <w:rPr>
      <w:color w:val="605E5C"/>
      <w:shd w:val="clear" w:color="auto" w:fill="E1DFDD"/>
    </w:rPr>
  </w:style>
  <w:style w:type="table" w:styleId="Tablaconcuadrcula">
    <w:name w:val="Table Grid"/>
    <w:basedOn w:val="Tablanormal"/>
    <w:uiPriority w:val="39"/>
    <w:qFormat/>
    <w:rsid w:val="00EE0EBA"/>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C560BE"/>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C560BE"/>
    <w:pPr>
      <w:widowControl/>
      <w:autoSpaceDE/>
      <w:autoSpaceDN/>
    </w:pPr>
    <w:rPr>
      <w:rFonts w:asciiTheme="minorHAnsi" w:eastAsiaTheme="minorHAnsi" w:hAnsiTheme="minorHAnsi" w:cstheme="minorBidi"/>
      <w:sz w:val="20"/>
      <w:szCs w:val="20"/>
      <w:lang w:val="es-MX"/>
    </w:rPr>
  </w:style>
  <w:style w:type="character" w:customStyle="1" w:styleId="TextonotapieCar1">
    <w:name w:val="Texto nota pie Car1"/>
    <w:basedOn w:val="Fuentedeprrafopredeter"/>
    <w:uiPriority w:val="99"/>
    <w:semiHidden/>
    <w:rsid w:val="00C560BE"/>
    <w:rPr>
      <w:rFonts w:ascii="Verdana" w:eastAsia="Verdana" w:hAnsi="Verdana" w:cs="Verdana"/>
      <w:sz w:val="20"/>
      <w:szCs w:val="20"/>
      <w:lang w:val="es-ES"/>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C560BE"/>
    <w:rPr>
      <w:vertAlign w:val="superscript"/>
    </w:rPr>
  </w:style>
  <w:style w:type="paragraph" w:styleId="Sinespaciado">
    <w:name w:val="No Spacing"/>
    <w:uiPriority w:val="1"/>
    <w:qFormat/>
    <w:rsid w:val="00C560BE"/>
    <w:pPr>
      <w:widowControl/>
      <w:autoSpaceDE/>
      <w:autoSpaceDN/>
    </w:pPr>
    <w:rPr>
      <w:lang w:val="es-CO"/>
    </w:rPr>
  </w:style>
  <w:style w:type="paragraph" w:customStyle="1" w:styleId="Appelnotedebasde">
    <w:name w:val="Appel note de bas de..."/>
    <w:basedOn w:val="Normal"/>
    <w:link w:val="Refdenotaalpie"/>
    <w:uiPriority w:val="99"/>
    <w:rsid w:val="00C560BE"/>
    <w:pPr>
      <w:widowControl/>
      <w:autoSpaceDE/>
      <w:autoSpaceDN/>
      <w:spacing w:after="160" w:line="240" w:lineRule="exact"/>
    </w:pPr>
    <w:rPr>
      <w:rFonts w:asciiTheme="minorHAnsi" w:eastAsiaTheme="minorHAnsi" w:hAnsiTheme="minorHAnsi" w:cstheme="minorBidi"/>
      <w:vertAlign w:val="superscript"/>
      <w:lang w:val="en-US"/>
    </w:rPr>
  </w:style>
  <w:style w:type="character" w:customStyle="1" w:styleId="TextoindependienteCar">
    <w:name w:val="Texto independiente Car"/>
    <w:basedOn w:val="Fuentedeprrafopredeter"/>
    <w:link w:val="Textoindependiente"/>
    <w:uiPriority w:val="1"/>
    <w:rsid w:val="009925F9"/>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lcaldiabogota.gov.co/sisjur/normas/Norma1.jsp?i=33104" TargetMode="External"/><Relationship Id="rId18" Type="http://schemas.openxmlformats.org/officeDocument/2006/relationships/hyperlink" Target="https://relatoria.colombiacompra.gov.co/busqueda/conceptos"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alcaldiabogota.gov.co/sisjur/normas/Norma1.jsp?i=144617" TargetMode="External"/><Relationship Id="rId17" Type="http://schemas.openxmlformats.org/officeDocument/2006/relationships/hyperlink" Target="https://www.alcaldiabogota.gov.co/sisjur/normas/Norma1.jsp?i=33104" TargetMode="External"/><Relationship Id="rId2" Type="http://schemas.openxmlformats.org/officeDocument/2006/relationships/customXml" Target="../customXml/item2.xml"/><Relationship Id="rId16" Type="http://schemas.openxmlformats.org/officeDocument/2006/relationships/hyperlink" Target="https://www.alcaldiabogota.gov.co/sisjur/normas/Norma1.jsp?i=144617"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alcaldiabogota.gov.co/sisjur/normas/Norma1.jsp?i=144617"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nam02.safelinks.protection.outlook.com/?url=https%3A%2F%2Fwww.colombiacompra.gov.co%2Fnormativa-y-relatoria%2Fdocumentos-tipo&amp;data=05%7C02%7Cmartha.romero%40colombiacompra.gov.co%7C603e1a9f513d4811571608dd8e333a73%7C7b09041e245149d08cb179d5e3d8c1be%7C0%7C0%7C638823072861893012%7CUnknown%7CTWFpbGZsb3d8eyJFbXB0eU1hcGkiOnRydWUsIlYiOiIwLjAuMDAwMCIsIlAiOiJXaW4zMiIsIkFOIjoiTWFpbCIsIldUIjoyfQ%3D%3D%7C0%7C%7C%7C&amp;sdata=ScEl%2FnKCWktzjW8VS59unVcQne%2F%2FqXqAtxR3ZDJA1Aw%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lcaldiabogota.gov.co/sisjur/normas/Norma1.jsp?i=33104"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081939-06AF-4EC5-9642-4EB77F76D463}">
  <ds:schemaRefs>
    <ds:schemaRef ds:uri="http://schemas.microsoft.com/sharepoint/v3/contenttype/forms"/>
  </ds:schemaRefs>
</ds:datastoreItem>
</file>

<file path=customXml/itemProps2.xml><?xml version="1.0" encoding="utf-8"?>
<ds:datastoreItem xmlns:ds="http://schemas.openxmlformats.org/officeDocument/2006/customXml" ds:itemID="{EC8882F8-DC73-4CB8-AD46-A6D3B85EF2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C467F6-3852-43B0-9A2F-23390FEAC313}">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D8840123-B406-3941-941F-6443A3721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23</Pages>
  <Words>7132</Words>
  <Characters>39232</Characters>
  <Application>Microsoft Office Word</Application>
  <DocSecurity>0</DocSecurity>
  <Lines>326</Lines>
  <Paragraphs>92</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46272</CharactersWithSpaces>
  <SharedDoc>false</SharedDoc>
  <HLinks>
    <vt:vector size="90" baseType="variant">
      <vt:variant>
        <vt:i4>3932280</vt:i4>
      </vt:variant>
      <vt:variant>
        <vt:i4>36</vt:i4>
      </vt:variant>
      <vt:variant>
        <vt:i4>0</vt:i4>
      </vt:variant>
      <vt:variant>
        <vt:i4>5</vt:i4>
      </vt:variant>
      <vt:variant>
        <vt:lpwstr>https://nam02.safelinks.protection.outlook.com/?url=https%3A%2F%2Fwww.colombiacompra.gov.co%2Fmanuales-guias-y-pliegos-tipo%2Fmanuales-y-guias%2Fguia-de-contratacion-publica-sostenible-y-socialmente&amp;data=05%7C02%7Candrea.garzon%40colombiacompra.gov.co%7Ceb0fd05604104aa4d3bc08dd4c4ad35e%7C7b09041e245149d08cb179d5e3d8c1be%7C0%7C0%7C638750606445153310%7CUnknown%7CTWFpbGZsb3d8eyJFbXB0eU1hcGkiOnRydWUsIlYiOiIwLjAuMDAwMCIsIlAiOiJXaW4zMiIsIkFOIjoiTWFpbCIsIldUIjoyfQ%3D%3D%7C0%7C%7C%7C&amp;sdata=SB22kawG2jT0mZg6TCL7eUFqVHDp0NyaS7O7ZSYALAk%3D&amp;reserved=0</vt:lpwstr>
      </vt:variant>
      <vt:variant>
        <vt:lpwstr/>
      </vt:variant>
      <vt:variant>
        <vt:i4>3932280</vt:i4>
      </vt:variant>
      <vt:variant>
        <vt:i4>33</vt:i4>
      </vt:variant>
      <vt:variant>
        <vt:i4>0</vt:i4>
      </vt:variant>
      <vt:variant>
        <vt:i4>5</vt:i4>
      </vt:variant>
      <vt:variant>
        <vt:lpwstr>https://nam02.safelinks.protection.outlook.com/?url=https%3A%2F%2Fwww.colombiacompra.gov.co%2Fmanuales-guias-y-pliegos-tipo%2Fmanuales-y-guias%2Fguia-de-contratacion-publica-sostenible-y-socialmente&amp;data=05%7C02%7Candrea.garzon%40colombiacompra.gov.co%7Ceb0fd05604104aa4d3bc08dd4c4ad35e%7C7b09041e245149d08cb179d5e3d8c1be%7C0%7C0%7C638750606445153310%7CUnknown%7CTWFpbGZsb3d8eyJFbXB0eU1hcGkiOnRydWUsIlYiOiIwLjAuMDAwMCIsIlAiOiJXaW4zMiIsIkFOIjoiTWFpbCIsIldUIjoyfQ%3D%3D%7C0%7C%7C%7C&amp;sdata=SB22kawG2jT0mZg6TCL7eUFqVHDp0NyaS7O7ZSYALAk%3D&amp;reserved=0</vt:lpwstr>
      </vt:variant>
      <vt:variant>
        <vt:lpwstr/>
      </vt:variant>
      <vt:variant>
        <vt:i4>3932280</vt:i4>
      </vt:variant>
      <vt:variant>
        <vt:i4>30</vt:i4>
      </vt:variant>
      <vt:variant>
        <vt:i4>0</vt:i4>
      </vt:variant>
      <vt:variant>
        <vt:i4>5</vt:i4>
      </vt:variant>
      <vt:variant>
        <vt:lpwstr>https://nam02.safelinks.protection.outlook.com/?url=https%3A%2F%2Fwww.colombiacompra.gov.co%2Fmanuales-guias-y-pliegos-tipo%2Fmanuales-y-guias%2Fguia-de-contratacion-publica-sostenible-y-socialmente&amp;data=05%7C02%7Candrea.garzon%40colombiacompra.gov.co%7Ceb0fd05604104aa4d3bc08dd4c4ad35e%7C7b09041e245149d08cb179d5e3d8c1be%7C0%7C0%7C638750606445153310%7CUnknown%7CTWFpbGZsb3d8eyJFbXB0eU1hcGkiOnRydWUsIlYiOiIwLjAuMDAwMCIsIlAiOiJXaW4zMiIsIkFOIjoiTWFpbCIsIldUIjoyfQ%3D%3D%7C0%7C%7C%7C&amp;sdata=SB22kawG2jT0mZg6TCL7eUFqVHDp0NyaS7O7ZSYALAk%3D&amp;reserved=0</vt:lpwstr>
      </vt:variant>
      <vt:variant>
        <vt:lpwstr/>
      </vt:variant>
      <vt:variant>
        <vt:i4>8323175</vt:i4>
      </vt:variant>
      <vt:variant>
        <vt:i4>27</vt:i4>
      </vt:variant>
      <vt:variant>
        <vt:i4>0</vt:i4>
      </vt:variant>
      <vt:variant>
        <vt:i4>5</vt:i4>
      </vt:variant>
      <vt:variant>
        <vt:lpwstr>https://nam02.safelinks.protection.outlook.com/?url=https%3A%2F%2Fwww.colombiacompra.gov.co%2Fciudadanos%2Fcalendario&amp;data=05%7C02%7Candrea.garzon%40colombiacompra.gov.co%7Ceb0fd05604104aa4d3bc08dd4c4ad35e%7C7b09041e245149d08cb179d5e3d8c1be%7C0%7C0%7C638750606445126804%7CUnknown%7CTWFpbGZsb3d8eyJFbXB0eU1hcGkiOnRydWUsIlYiOiIwLjAuMDAwMCIsIlAiOiJXaW4zMiIsIkFOIjoiTWFpbCIsIldUIjoyfQ%3D%3D%7C0%7C%7C%7C&amp;sdata=4LNYifF%2Fl1nK1KyOCHwvNqd3%2FwRboLoLLrxyeNFBcJc%3D&amp;reserved=0</vt:lpwstr>
      </vt:variant>
      <vt:variant>
        <vt:lpwstr/>
      </vt:variant>
      <vt:variant>
        <vt:i4>8323175</vt:i4>
      </vt:variant>
      <vt:variant>
        <vt:i4>24</vt:i4>
      </vt:variant>
      <vt:variant>
        <vt:i4>0</vt:i4>
      </vt:variant>
      <vt:variant>
        <vt:i4>5</vt:i4>
      </vt:variant>
      <vt:variant>
        <vt:lpwstr>https://nam02.safelinks.protection.outlook.com/?url=https%3A%2F%2Fwww.colombiacompra.gov.co%2Fciudadanos%2Fcalendario&amp;data=05%7C02%7Candrea.garzon%40colombiacompra.gov.co%7Ceb0fd05604104aa4d3bc08dd4c4ad35e%7C7b09041e245149d08cb179d5e3d8c1be%7C0%7C0%7C638750606445126804%7CUnknown%7CTWFpbGZsb3d8eyJFbXB0eU1hcGkiOnRydWUsIlYiOiIwLjAuMDAwMCIsIlAiOiJXaW4zMiIsIkFOIjoiTWFpbCIsIldUIjoyfQ%3D%3D%7C0%7C%7C%7C&amp;sdata=4LNYifF%2Fl1nK1KyOCHwvNqd3%2FwRboLoLLrxyeNFBcJc%3D&amp;reserved=0</vt:lpwstr>
      </vt:variant>
      <vt:variant>
        <vt:lpwstr/>
      </vt:variant>
      <vt:variant>
        <vt:i4>7602273</vt:i4>
      </vt:variant>
      <vt:variant>
        <vt:i4>21</vt:i4>
      </vt:variant>
      <vt:variant>
        <vt:i4>0</vt:i4>
      </vt:variant>
      <vt:variant>
        <vt:i4>5</vt:i4>
      </vt:variant>
      <vt:variant>
        <vt:lpwstr>https://nam02.safelinks.protection.outlook.com/?url=https%3A%2F%2Fwww.colombiacompra.gov.co%2Fmanuales-guias-y-pliegos-tipo%2Fmanuales-y-guias%2Fcartilla-para-incentivar-y-fortalecer-el-acceso-las&amp;data=05%7C02%7Candrea.garzon%40colombiacompra.gov.co%7Ceb0fd05604104aa4d3bc08dd4c4ad35e%7C7b09041e245149d08cb179d5e3d8c1be%7C0%7C0%7C638750606445091041%7CUnknown%7CTWFpbGZsb3d8eyJFbXB0eU1hcGkiOnRydWUsIlYiOiIwLjAuMDAwMCIsIlAiOiJXaW4zMiIsIkFOIjoiTWFpbCIsIldUIjoyfQ%3D%3D%7C0%7C%7C%7C&amp;sdata=n7u9GS8PQxg4RPIhp3cnx1%2Bb6pcGMm3wS2iX2htMIgU%3D&amp;reserved=0</vt:lpwstr>
      </vt:variant>
      <vt:variant>
        <vt:lpwstr/>
      </vt:variant>
      <vt:variant>
        <vt:i4>7602273</vt:i4>
      </vt:variant>
      <vt:variant>
        <vt:i4>18</vt:i4>
      </vt:variant>
      <vt:variant>
        <vt:i4>0</vt:i4>
      </vt:variant>
      <vt:variant>
        <vt:i4>5</vt:i4>
      </vt:variant>
      <vt:variant>
        <vt:lpwstr>https://nam02.safelinks.protection.outlook.com/?url=https%3A%2F%2Fwww.colombiacompra.gov.co%2Fmanuales-guias-y-pliegos-tipo%2Fmanuales-y-guias%2Fcartilla-para-incentivar-y-fortalecer-el-acceso-las&amp;data=05%7C02%7Candrea.garzon%40colombiacompra.gov.co%7Ceb0fd05604104aa4d3bc08dd4c4ad35e%7C7b09041e245149d08cb179d5e3d8c1be%7C0%7C0%7C638750606445091041%7CUnknown%7CTWFpbGZsb3d8eyJFbXB0eU1hcGkiOnRydWUsIlYiOiIwLjAuMDAwMCIsIlAiOiJXaW4zMiIsIkFOIjoiTWFpbCIsIldUIjoyfQ%3D%3D%7C0%7C%7C%7C&amp;sdata=n7u9GS8PQxg4RPIhp3cnx1%2Bb6pcGMm3wS2iX2htMIgU%3D&amp;reserved=0</vt:lpwstr>
      </vt:variant>
      <vt:variant>
        <vt:lpwstr/>
      </vt:variant>
      <vt:variant>
        <vt:i4>7602273</vt:i4>
      </vt:variant>
      <vt:variant>
        <vt:i4>15</vt:i4>
      </vt:variant>
      <vt:variant>
        <vt:i4>0</vt:i4>
      </vt:variant>
      <vt:variant>
        <vt:i4>5</vt:i4>
      </vt:variant>
      <vt:variant>
        <vt:lpwstr>https://nam02.safelinks.protection.outlook.com/?url=https%3A%2F%2Fwww.colombiacompra.gov.co%2Fmanuales-guias-y-pliegos-tipo%2Fmanuales-y-guias%2Fcartilla-para-incentivar-y-fortalecer-el-acceso-las&amp;data=05%7C02%7Candrea.garzon%40colombiacompra.gov.co%7Ceb0fd05604104aa4d3bc08dd4c4ad35e%7C7b09041e245149d08cb179d5e3d8c1be%7C0%7C0%7C638750606445091041%7CUnknown%7CTWFpbGZsb3d8eyJFbXB0eU1hcGkiOnRydWUsIlYiOiIwLjAuMDAwMCIsIlAiOiJXaW4zMiIsIkFOIjoiTWFpbCIsIldUIjoyfQ%3D%3D%7C0%7C%7C%7C&amp;sdata=n7u9GS8PQxg4RPIhp3cnx1%2Bb6pcGMm3wS2iX2htMIgU%3D&amp;reserved=0</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2293801</vt:i4>
      </vt:variant>
      <vt:variant>
        <vt:i4>9</vt:i4>
      </vt:variant>
      <vt:variant>
        <vt:i4>0</vt:i4>
      </vt:variant>
      <vt:variant>
        <vt:i4>5</vt:i4>
      </vt:variant>
      <vt:variant>
        <vt:lpwstr>https://www.alcaldiabogota.gov.co/sisjur/normas/Norma1.jsp?i=33104&amp;238</vt:lpwstr>
      </vt:variant>
      <vt:variant>
        <vt:lpwstr/>
      </vt:variant>
      <vt:variant>
        <vt:i4>2818109</vt:i4>
      </vt:variant>
      <vt:variant>
        <vt:i4>6</vt:i4>
      </vt:variant>
      <vt:variant>
        <vt:i4>0</vt:i4>
      </vt:variant>
      <vt:variant>
        <vt:i4>5</vt:i4>
      </vt:variant>
      <vt:variant>
        <vt:lpwstr>https://www.alcaldiabogota.gov.co/sisjur/normas/Norma1.jsp?i=144617</vt:lpwstr>
      </vt:variant>
      <vt:variant>
        <vt:lpwstr/>
      </vt:variant>
      <vt:variant>
        <vt:i4>2818109</vt:i4>
      </vt:variant>
      <vt:variant>
        <vt:i4>3</vt:i4>
      </vt:variant>
      <vt:variant>
        <vt:i4>0</vt:i4>
      </vt:variant>
      <vt:variant>
        <vt:i4>5</vt:i4>
      </vt:variant>
      <vt:variant>
        <vt:lpwstr>https://www.alcaldiabogota.gov.co/sisjur/normas/Norma1.jsp?i=144617</vt:lpwstr>
      </vt:variant>
      <vt:variant>
        <vt:lpwstr/>
      </vt:variant>
      <vt:variant>
        <vt:i4>2293801</vt:i4>
      </vt:variant>
      <vt:variant>
        <vt:i4>0</vt:i4>
      </vt:variant>
      <vt:variant>
        <vt:i4>0</vt:i4>
      </vt:variant>
      <vt:variant>
        <vt:i4>5</vt:i4>
      </vt:variant>
      <vt:variant>
        <vt:lpwstr>https://www.alcaldiabogota.gov.co/sisjur/normas/Norma1.jsp?i=33104&amp;238</vt:lpwstr>
      </vt:variant>
      <vt:variant>
        <vt:lpwstr/>
      </vt:variant>
      <vt:variant>
        <vt:i4>2293801</vt:i4>
      </vt:variant>
      <vt:variant>
        <vt:i4>3</vt:i4>
      </vt:variant>
      <vt:variant>
        <vt:i4>0</vt:i4>
      </vt:variant>
      <vt:variant>
        <vt:i4>5</vt:i4>
      </vt:variant>
      <vt:variant>
        <vt:lpwstr>https://www.alcaldiabogota.gov.co/sisjur/normas/Norma1.jsp?i=33104&amp;238</vt:lpwstr>
      </vt:variant>
      <vt:variant>
        <vt:lpwstr/>
      </vt:variant>
      <vt:variant>
        <vt:i4>2818109</vt:i4>
      </vt:variant>
      <vt:variant>
        <vt:i4>0</vt:i4>
      </vt:variant>
      <vt:variant>
        <vt:i4>0</vt:i4>
      </vt:variant>
      <vt:variant>
        <vt:i4>5</vt:i4>
      </vt:variant>
      <vt:variant>
        <vt:lpwstr>https://www.alcaldiabogota.gov.co/sisjur/normas/Norma1.jsp?i=144617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Diana Carolina Blanco Rodriguez</cp:lastModifiedBy>
  <cp:revision>4</cp:revision>
  <dcterms:created xsi:type="dcterms:W3CDTF">2025-05-11T23:39:00Z</dcterms:created>
  <dcterms:modified xsi:type="dcterms:W3CDTF">2025-05-26T16:27:00Z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2025-03-25T00:00:00Z</vt:filetime>
  </property>
  <property fmtid="{D5CDD505-2E9C-101B-9397-08002B2CF9AE}" pid="3" name="Creator">
    <vt:lpwstr>e-iceblue</vt:lpwstr>
  </property>
  <property fmtid="{D5CDD505-2E9C-101B-9397-08002B2CF9AE}" pid="4" name="LastSaved">
    <vt:filetime>2025-03-28T00:00:00Z</vt:filetime>
  </property>
  <property fmtid="{D5CDD505-2E9C-101B-9397-08002B2CF9AE}" pid="5" name="Producer">
    <vt:lpwstr>macOS Versión 15.3.2 (Fase 24D81) Quartz PDFContext, AppendMode 1.1</vt:lpwstr>
  </property>
  <property fmtid="{D5CDD505-2E9C-101B-9397-08002B2CF9AE}" pid="6" name="ContentTypeId">
    <vt:lpwstr>0x010100F2E0F32964D9B84EA054B84E5D4157A0</vt:lpwstr>
  </property>
  <property fmtid="{D5CDD505-2E9C-101B-9397-08002B2CF9AE}" pid="7" name="MediaServiceImageTags">
    <vt:lpwstr/>
  </property>
</Properties>
</file>