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485B93" w14:textId="2EC82125" w:rsidR="000C0762" w:rsidRPr="009D4217" w:rsidRDefault="000C0762" w:rsidP="00E81957">
      <w:pPr>
        <w:spacing w:after="0" w:line="240" w:lineRule="auto"/>
        <w:jc w:val="both"/>
        <w:rPr>
          <w:rFonts w:ascii="Verdana" w:hAnsi="Verdana"/>
          <w:b/>
          <w:bCs/>
          <w:sz w:val="20"/>
          <w:szCs w:val="20"/>
        </w:rPr>
      </w:pPr>
      <w:bookmarkStart w:id="0" w:name="_Hlk143780582"/>
      <w:bookmarkStart w:id="1" w:name="_Hlk198313938"/>
      <w:r w:rsidRPr="009D4217">
        <w:rPr>
          <w:rFonts w:ascii="Verdana" w:hAnsi="Verdana"/>
          <w:b/>
          <w:bCs/>
          <w:sz w:val="20"/>
          <w:szCs w:val="20"/>
        </w:rPr>
        <w:t xml:space="preserve">CONTRATO DE PRESTACIÓN DE SERVICIOS – Concepto – Características </w:t>
      </w:r>
    </w:p>
    <w:p w14:paraId="42A87F58" w14:textId="77777777" w:rsidR="000C0762" w:rsidRPr="009D4217" w:rsidRDefault="000C0762" w:rsidP="00E81957">
      <w:pPr>
        <w:spacing w:after="0" w:line="240" w:lineRule="auto"/>
        <w:jc w:val="both"/>
        <w:rPr>
          <w:rFonts w:ascii="Verdana" w:hAnsi="Verdana"/>
          <w:b/>
          <w:bCs/>
          <w:sz w:val="20"/>
          <w:szCs w:val="20"/>
        </w:rPr>
      </w:pPr>
    </w:p>
    <w:p w14:paraId="4AFAD5EB" w14:textId="0B9FA54B" w:rsidR="000C0762" w:rsidRPr="009D4217" w:rsidRDefault="000C0762" w:rsidP="00DC1D9E">
      <w:pPr>
        <w:spacing w:after="0" w:line="240" w:lineRule="auto"/>
        <w:jc w:val="both"/>
        <w:rPr>
          <w:rFonts w:ascii="Verdana" w:eastAsia="Calibri" w:hAnsi="Verdana" w:cs="Arial"/>
          <w:sz w:val="20"/>
          <w:szCs w:val="20"/>
          <w:lang w:val="es-ES" w:eastAsia="es-ES"/>
        </w:rPr>
      </w:pPr>
      <w:r w:rsidRPr="009D4217">
        <w:rPr>
          <w:rFonts w:ascii="Verdana" w:eastAsia="Calibri" w:hAnsi="Verdana" w:cs="Arial"/>
          <w:sz w:val="20"/>
          <w:szCs w:val="20"/>
          <w:lang w:val="es-ES_tradnl" w:eastAsia="es-ES_tradnl"/>
        </w:rPr>
        <w:t>El contrato de prestación de servicios es uno de los tipos contractuales consagrados en el Estatuto General de Contratación de la Administración Pública, que pueden celebrar las Entidades Estatales. Se trata de un contrato típico, ya que se encuentra definido en la ley</w:t>
      </w:r>
      <w:r w:rsidR="00DC1D9E" w:rsidRPr="009D4217">
        <w:rPr>
          <w:rFonts w:ascii="Verdana" w:eastAsia="Calibri" w:hAnsi="Verdana" w:cs="Arial"/>
          <w:sz w:val="20"/>
          <w:szCs w:val="20"/>
          <w:lang w:val="es-ES_tradnl" w:eastAsia="es-ES_tradnl"/>
        </w:rPr>
        <w:t xml:space="preserve"> en el </w:t>
      </w:r>
      <w:r w:rsidR="00DC1D9E" w:rsidRPr="009D4217">
        <w:rPr>
          <w:rFonts w:ascii="Verdana" w:eastAsia="Calibri" w:hAnsi="Verdana" w:cs="Arial"/>
          <w:sz w:val="20"/>
          <w:szCs w:val="20"/>
          <w:lang w:val="es-ES_tradnl" w:eastAsia="es-ES_tradnl"/>
        </w:rPr>
        <w:t>artículo 32, numeral 3º, de la Ley 80 de 1993</w:t>
      </w:r>
      <w:r w:rsidRPr="009D4217">
        <w:rPr>
          <w:rFonts w:ascii="Verdana" w:eastAsia="Calibri" w:hAnsi="Verdana" w:cs="Arial"/>
          <w:sz w:val="20"/>
          <w:szCs w:val="20"/>
          <w:lang w:val="es-ES_tradnl" w:eastAsia="es-ES_tradnl"/>
        </w:rPr>
        <w:t xml:space="preserve">. </w:t>
      </w:r>
      <w:r w:rsidR="00DC1D9E" w:rsidRPr="009D4217">
        <w:rPr>
          <w:rFonts w:ascii="Verdana" w:eastAsia="Calibri" w:hAnsi="Verdana" w:cs="Arial"/>
          <w:sz w:val="20"/>
          <w:szCs w:val="20"/>
          <w:lang w:val="es-ES" w:eastAsia="es-ES"/>
        </w:rPr>
        <w:t>De otro lado, la celebración de dicho contrato se debe efectuar a través de la modalidad de la contratación directa. Así lo prevé el artículo 2, numeral 4, literal h), de la Ley 1150 de 2007</w:t>
      </w:r>
      <w:r w:rsidR="00DC1D9E" w:rsidRPr="009D4217">
        <w:rPr>
          <w:rFonts w:ascii="Verdana" w:eastAsia="Calibri" w:hAnsi="Verdana" w:cs="Arial"/>
          <w:sz w:val="20"/>
          <w:szCs w:val="20"/>
          <w:lang w:val="es-ES" w:eastAsia="es-ES"/>
        </w:rPr>
        <w:t>.</w:t>
      </w:r>
    </w:p>
    <w:p w14:paraId="1A9B5140" w14:textId="77777777" w:rsidR="00DC1D9E" w:rsidRPr="009D4217" w:rsidRDefault="00DC1D9E" w:rsidP="00DC1D9E">
      <w:pPr>
        <w:spacing w:after="0" w:line="240" w:lineRule="auto"/>
        <w:jc w:val="both"/>
        <w:rPr>
          <w:rFonts w:ascii="Verdana" w:eastAsia="Calibri" w:hAnsi="Verdana" w:cs="Arial"/>
          <w:sz w:val="20"/>
          <w:szCs w:val="20"/>
          <w:lang w:val="es-ES" w:eastAsia="es-ES"/>
        </w:rPr>
      </w:pPr>
    </w:p>
    <w:p w14:paraId="1C0FBE58" w14:textId="760037F2" w:rsidR="00DC1D9E" w:rsidRPr="009D4217" w:rsidRDefault="00DC1D9E" w:rsidP="00DC1D9E">
      <w:pPr>
        <w:spacing w:after="0" w:line="240" w:lineRule="auto"/>
        <w:jc w:val="both"/>
        <w:rPr>
          <w:rFonts w:ascii="Verdana" w:eastAsia="Calibri" w:hAnsi="Verdana" w:cs="Arial"/>
          <w:sz w:val="20"/>
          <w:szCs w:val="20"/>
          <w:lang w:val="es-ES_tradnl" w:eastAsia="es-ES_tradnl"/>
        </w:rPr>
      </w:pPr>
      <w:r w:rsidRPr="009D4217">
        <w:rPr>
          <w:rFonts w:ascii="Verdana" w:eastAsia="Calibri" w:hAnsi="Verdana" w:cs="Arial"/>
          <w:sz w:val="20"/>
          <w:szCs w:val="20"/>
          <w:lang w:val="es-ES_tradnl" w:eastAsia="es-ES_tradnl"/>
        </w:rPr>
        <w:t>A partir de estos enunciados normativos, es posible señalar las siguientes características del contrato de prestación de servicios:</w:t>
      </w:r>
    </w:p>
    <w:p w14:paraId="7D7EB446" w14:textId="77777777" w:rsidR="00DC1D9E" w:rsidRPr="009D4217" w:rsidRDefault="00DC1D9E" w:rsidP="00DC1D9E">
      <w:pPr>
        <w:spacing w:after="0" w:line="240" w:lineRule="auto"/>
        <w:jc w:val="both"/>
        <w:rPr>
          <w:rFonts w:ascii="Verdana" w:eastAsia="Calibri" w:hAnsi="Verdana" w:cs="Arial"/>
          <w:sz w:val="20"/>
          <w:szCs w:val="20"/>
          <w:lang w:val="es-ES_tradnl" w:eastAsia="es-ES_tradnl"/>
        </w:rPr>
      </w:pPr>
    </w:p>
    <w:p w14:paraId="4B509B91" w14:textId="4B2D133F" w:rsidR="00DC1D9E" w:rsidRPr="009D4217" w:rsidRDefault="00DC1D9E" w:rsidP="00DC1D9E">
      <w:pPr>
        <w:spacing w:after="0" w:line="240" w:lineRule="auto"/>
        <w:jc w:val="both"/>
        <w:rPr>
          <w:rFonts w:ascii="Verdana" w:eastAsia="Calibri" w:hAnsi="Verdana" w:cs="Arial"/>
          <w:sz w:val="20"/>
          <w:szCs w:val="20"/>
          <w:lang w:val="es-ES_tradnl" w:eastAsia="es-ES_tradnl"/>
        </w:rPr>
      </w:pPr>
      <w:r w:rsidRPr="009D4217">
        <w:rPr>
          <w:rFonts w:ascii="Verdana" w:eastAsia="Calibri" w:hAnsi="Verdana" w:cs="Arial"/>
          <w:sz w:val="20"/>
          <w:szCs w:val="20"/>
          <w:lang w:val="es-ES_tradnl" w:eastAsia="es-ES_tradnl"/>
        </w:rPr>
        <w:t xml:space="preserve">a) </w:t>
      </w:r>
      <w:r w:rsidRPr="009D4217">
        <w:rPr>
          <w:rFonts w:ascii="Verdana" w:eastAsia="Calibri" w:hAnsi="Verdana" w:cs="Arial"/>
          <w:sz w:val="20"/>
          <w:szCs w:val="20"/>
          <w:lang w:val="es-ES_tradnl" w:eastAsia="es-ES_tradnl"/>
        </w:rPr>
        <w:t>Solo puede celebrarse para realizar “actividades relacionadas con la administración o funcionamiento de la entidad”, es decir, que hagan parte de su giro ordinario o quehacer cotidiano.</w:t>
      </w:r>
    </w:p>
    <w:p w14:paraId="1434AD2D" w14:textId="14CD1043" w:rsidR="00DC1D9E" w:rsidRPr="009D4217" w:rsidRDefault="00DC1D9E" w:rsidP="00DC1D9E">
      <w:pPr>
        <w:spacing w:after="0" w:line="240" w:lineRule="auto"/>
        <w:jc w:val="both"/>
        <w:rPr>
          <w:rFonts w:ascii="Verdana" w:eastAsia="Calibri" w:hAnsi="Verdana" w:cs="Arial"/>
          <w:sz w:val="20"/>
          <w:szCs w:val="20"/>
          <w:lang w:val="es-ES_tradnl" w:eastAsia="es-ES_tradnl"/>
        </w:rPr>
      </w:pPr>
      <w:r w:rsidRPr="009D4217">
        <w:rPr>
          <w:rFonts w:ascii="Verdana" w:eastAsia="Calibri" w:hAnsi="Verdana" w:cs="Arial"/>
          <w:sz w:val="20"/>
          <w:szCs w:val="20"/>
          <w:lang w:val="es-ES_tradnl" w:eastAsia="es-ES_tradnl"/>
        </w:rPr>
        <w:t>b) Admite que se suscriba tanto con personas naturales como con personas jurídicas. Y requiere que la Entidad Estatal justifique en los estudios previos que las actividades que buscan encomendarse a aquella “no puedan realizarse con personal de planta o requieran conocimientos especializados</w:t>
      </w:r>
      <w:r w:rsidRPr="009D4217">
        <w:rPr>
          <w:rFonts w:ascii="Verdana" w:eastAsia="Calibri" w:hAnsi="Verdana" w:cs="Arial"/>
          <w:sz w:val="20"/>
          <w:szCs w:val="20"/>
          <w:lang w:val="es-ES_tradnl" w:eastAsia="es-ES_tradnl"/>
        </w:rPr>
        <w:t>”.</w:t>
      </w:r>
    </w:p>
    <w:p w14:paraId="7EC3E046" w14:textId="7E3C5C87" w:rsidR="00DC1D9E" w:rsidRPr="009D4217" w:rsidRDefault="00DC1D9E" w:rsidP="00DC1D9E">
      <w:pPr>
        <w:spacing w:after="0" w:line="240" w:lineRule="auto"/>
        <w:jc w:val="both"/>
        <w:rPr>
          <w:rFonts w:ascii="Verdana" w:eastAsia="Calibri" w:hAnsi="Verdana" w:cs="Arial"/>
          <w:sz w:val="20"/>
          <w:szCs w:val="20"/>
          <w:lang w:val="es-ES" w:eastAsia="es-ES_tradnl"/>
        </w:rPr>
      </w:pPr>
      <w:r w:rsidRPr="009D4217">
        <w:rPr>
          <w:rFonts w:ascii="Verdana" w:eastAsia="Calibri" w:hAnsi="Verdana" w:cs="Arial"/>
          <w:sz w:val="20"/>
          <w:szCs w:val="20"/>
          <w:lang w:val="es-ES" w:eastAsia="es-ES_tradnl"/>
        </w:rPr>
        <w:t xml:space="preserve">c) Si bien se celebran para obtener la prestación personal de un servicio, se diferencian del contrato de </w:t>
      </w:r>
      <w:r w:rsidRPr="009D4217">
        <w:rPr>
          <w:rFonts w:ascii="Verdana" w:eastAsia="Calibri" w:hAnsi="Verdana" w:cs="Arial"/>
          <w:sz w:val="20"/>
          <w:szCs w:val="20"/>
          <w:lang w:val="es-ES" w:eastAsia="es-ES_tradnl"/>
        </w:rPr>
        <w:t>trabajo en</w:t>
      </w:r>
      <w:r w:rsidRPr="009D4217">
        <w:rPr>
          <w:rFonts w:ascii="Verdana" w:eastAsia="Calibri" w:hAnsi="Verdana" w:cs="Arial"/>
          <w:sz w:val="20"/>
          <w:szCs w:val="20"/>
          <w:lang w:val="es-ES" w:eastAsia="es-ES_tradnl"/>
        </w:rPr>
        <w:t xml:space="preserve"> que quien celebra el contrato de prestación de servicios debe mantener autonomía e independencia en la ejecución de la labor, lo que significa que no puede existir la subordinación y dependencia, que es uno de los elementos constitutivos del vínculo laboral.</w:t>
      </w:r>
    </w:p>
    <w:p w14:paraId="32D9B4A3" w14:textId="7E514D4D" w:rsidR="00DC1D9E" w:rsidRPr="009D4217" w:rsidRDefault="00DC1D9E" w:rsidP="00DC1D9E">
      <w:pPr>
        <w:spacing w:after="0" w:line="240" w:lineRule="auto"/>
        <w:jc w:val="both"/>
        <w:rPr>
          <w:rFonts w:ascii="Verdana" w:eastAsia="Calibri" w:hAnsi="Verdana" w:cs="Arial"/>
          <w:sz w:val="20"/>
          <w:szCs w:val="20"/>
          <w:lang w:val="es-ES" w:eastAsia="es-ES_tradnl"/>
        </w:rPr>
      </w:pPr>
      <w:r w:rsidRPr="009D4217">
        <w:rPr>
          <w:rFonts w:ascii="Verdana" w:eastAsia="Calibri" w:hAnsi="Verdana" w:cs="Arial"/>
          <w:sz w:val="20"/>
          <w:szCs w:val="20"/>
          <w:lang w:val="es-ES" w:eastAsia="es-ES_tradnl"/>
        </w:rPr>
        <w:t>d) Deben ser temporales.</w:t>
      </w:r>
    </w:p>
    <w:p w14:paraId="5180C88C" w14:textId="329BD82A" w:rsidR="00DC1D9E" w:rsidRPr="009D4217" w:rsidRDefault="00DC1D9E" w:rsidP="00DC1D9E">
      <w:pPr>
        <w:spacing w:after="0" w:line="240" w:lineRule="auto"/>
        <w:jc w:val="both"/>
        <w:rPr>
          <w:rFonts w:ascii="Verdana" w:eastAsia="Calibri" w:hAnsi="Verdana" w:cs="Arial"/>
          <w:sz w:val="20"/>
          <w:szCs w:val="20"/>
          <w:lang w:val="es-ES" w:eastAsia="es-ES_tradnl"/>
        </w:rPr>
      </w:pPr>
      <w:r w:rsidRPr="009D4217">
        <w:rPr>
          <w:rFonts w:ascii="Verdana" w:eastAsia="Calibri" w:hAnsi="Verdana" w:cs="Arial"/>
          <w:sz w:val="20"/>
          <w:szCs w:val="20"/>
          <w:lang w:val="es-ES" w:eastAsia="es-ES_tradnl"/>
        </w:rPr>
        <w:t>e) Los contratos de prestación de servicios constituyen un género que incluye, como especies, los contratos de prestación de servicios profesionales, los contratos de prestación de servicios de apoyo a la gestión y los contratos de prestación de servicios artísticos que solo pueden encomendarse a determinadas personas naturales</w:t>
      </w:r>
      <w:r w:rsidR="008B1D97" w:rsidRPr="009D4217">
        <w:rPr>
          <w:rFonts w:ascii="Verdana" w:eastAsia="Calibri" w:hAnsi="Verdana" w:cs="Arial"/>
          <w:sz w:val="20"/>
          <w:szCs w:val="20"/>
          <w:lang w:val="es-ES" w:eastAsia="es-ES_tradnl"/>
        </w:rPr>
        <w:t>.</w:t>
      </w:r>
      <w:r w:rsidR="00E948A2" w:rsidRPr="009D4217">
        <w:rPr>
          <w:rFonts w:ascii="Verdana" w:eastAsia="Calibri" w:hAnsi="Verdana" w:cs="Arial"/>
          <w:sz w:val="20"/>
          <w:szCs w:val="20"/>
          <w:lang w:val="es-ES" w:eastAsia="es-ES_tradnl"/>
        </w:rPr>
        <w:t xml:space="preserve"> </w:t>
      </w:r>
      <w:r w:rsidR="00E948A2" w:rsidRPr="009D4217">
        <w:rPr>
          <w:rFonts w:ascii="Verdana" w:eastAsia="Calibri" w:hAnsi="Verdana" w:cs="Arial"/>
          <w:sz w:val="20"/>
          <w:szCs w:val="20"/>
          <w:lang w:val="es-ES" w:eastAsia="es-ES_tradnl"/>
        </w:rPr>
        <w:t>La diferencia entre el contrato de prestación de servicios profesionales con las otras dos especies del género en el cual se ubican radica en su contenido intelectual intangible y, al mismo tiempo, en la formación profesional que se exige para desempeñar la labor.</w:t>
      </w:r>
    </w:p>
    <w:p w14:paraId="5F60BA4E" w14:textId="588788B6" w:rsidR="00E948A2" w:rsidRPr="009D4217" w:rsidRDefault="00E948A2" w:rsidP="00DC1D9E">
      <w:pPr>
        <w:spacing w:after="0" w:line="240" w:lineRule="auto"/>
        <w:jc w:val="both"/>
        <w:rPr>
          <w:rFonts w:ascii="Verdana" w:eastAsia="Calibri" w:hAnsi="Verdana" w:cs="Arial"/>
          <w:sz w:val="20"/>
          <w:szCs w:val="20"/>
          <w:lang w:val="es-ES" w:eastAsia="es-ES_tradnl"/>
        </w:rPr>
      </w:pPr>
      <w:r w:rsidRPr="009D4217">
        <w:rPr>
          <w:rFonts w:ascii="Verdana" w:eastAsia="Calibri" w:hAnsi="Verdana" w:cs="Arial"/>
          <w:sz w:val="20"/>
          <w:szCs w:val="20"/>
          <w:lang w:val="es-ES" w:eastAsia="es-ES_tradnl"/>
        </w:rPr>
        <w:t>f)</w:t>
      </w:r>
      <w:r w:rsidRPr="009D4217">
        <w:rPr>
          <w:sz w:val="20"/>
          <w:szCs w:val="20"/>
        </w:rPr>
        <w:t xml:space="preserve"> </w:t>
      </w:r>
      <w:r w:rsidRPr="009D4217">
        <w:rPr>
          <w:rFonts w:ascii="Verdana" w:eastAsia="Calibri" w:hAnsi="Verdana" w:cs="Arial"/>
          <w:sz w:val="20"/>
          <w:szCs w:val="20"/>
          <w:lang w:val="es-ES" w:eastAsia="es-ES_tradnl"/>
        </w:rPr>
        <w:t>Su celebración debe realizarse a través de la modalidad de contratación directa, independientemente de la cuantía y del tipo de servicio</w:t>
      </w:r>
      <w:r w:rsidRPr="009D4217">
        <w:rPr>
          <w:rFonts w:ascii="Verdana" w:eastAsia="Calibri" w:hAnsi="Verdana" w:cs="Arial"/>
          <w:sz w:val="20"/>
          <w:szCs w:val="20"/>
          <w:lang w:val="es-ES" w:eastAsia="es-ES_tradnl"/>
        </w:rPr>
        <w:t>.</w:t>
      </w:r>
    </w:p>
    <w:p w14:paraId="25F81E1B" w14:textId="27A83E11" w:rsidR="00E948A2" w:rsidRPr="009D4217" w:rsidRDefault="00E948A2" w:rsidP="00E948A2">
      <w:pPr>
        <w:spacing w:after="0" w:line="240" w:lineRule="auto"/>
        <w:jc w:val="both"/>
        <w:rPr>
          <w:rFonts w:ascii="Verdana" w:eastAsia="Calibri" w:hAnsi="Verdana" w:cs="Arial"/>
          <w:sz w:val="20"/>
          <w:szCs w:val="20"/>
          <w:lang w:val="es-ES" w:eastAsia="es-ES_tradnl"/>
        </w:rPr>
      </w:pPr>
      <w:r w:rsidRPr="009D4217">
        <w:rPr>
          <w:rFonts w:ascii="Verdana" w:eastAsia="Calibri" w:hAnsi="Verdana" w:cs="Arial"/>
          <w:sz w:val="20"/>
          <w:szCs w:val="20"/>
          <w:lang w:val="es-ES" w:eastAsia="es-ES_tradnl"/>
        </w:rPr>
        <w:t xml:space="preserve">g) Para su celebración no se requiere en algunos casos la expedición del acto administrativo de justificación de la contratación directa. </w:t>
      </w:r>
    </w:p>
    <w:p w14:paraId="3AA7BE03" w14:textId="484168D0" w:rsidR="00E948A2" w:rsidRPr="009D4217" w:rsidRDefault="00E948A2" w:rsidP="00E948A2">
      <w:pPr>
        <w:spacing w:after="0" w:line="240" w:lineRule="auto"/>
        <w:jc w:val="both"/>
        <w:rPr>
          <w:rFonts w:ascii="Verdana" w:eastAsia="Calibri" w:hAnsi="Verdana" w:cs="Arial"/>
          <w:sz w:val="20"/>
          <w:szCs w:val="20"/>
          <w:lang w:val="es-ES" w:eastAsia="es-ES_tradnl"/>
        </w:rPr>
      </w:pPr>
      <w:r w:rsidRPr="009D4217">
        <w:rPr>
          <w:rFonts w:ascii="Verdana" w:eastAsia="Calibri" w:hAnsi="Verdana" w:cs="Arial"/>
          <w:sz w:val="20"/>
          <w:szCs w:val="20"/>
          <w:lang w:val="es-ES" w:eastAsia="es-ES_tradnl"/>
        </w:rPr>
        <w:t xml:space="preserve">h) Admiten el pacto de cláusulas excepcionales. </w:t>
      </w:r>
      <w:r w:rsidRPr="009D4217">
        <w:rPr>
          <w:rFonts w:ascii="Verdana" w:eastAsia="Calibri" w:hAnsi="Verdana" w:cs="Arial"/>
          <w:sz w:val="20"/>
          <w:szCs w:val="20"/>
          <w:lang w:val="es-ES" w:eastAsia="es-ES_tradnl"/>
        </w:rPr>
        <w:t>Para</w:t>
      </w:r>
      <w:r w:rsidRPr="009D4217">
        <w:rPr>
          <w:rFonts w:ascii="Verdana" w:eastAsia="Calibri" w:hAnsi="Verdana" w:cs="Arial"/>
          <w:sz w:val="20"/>
          <w:szCs w:val="20"/>
          <w:lang w:val="es-ES" w:eastAsia="es-ES_tradnl"/>
        </w:rPr>
        <w:t xml:space="preserve"> que puedan ejercerse dichas exorbitancias han debido quedar incluidas expresamente en el contrato, ya que no se entienden pactadas por naturaleza. </w:t>
      </w:r>
    </w:p>
    <w:p w14:paraId="50314883" w14:textId="105ECCBB" w:rsidR="00E948A2" w:rsidRPr="009D4217" w:rsidRDefault="00E948A2" w:rsidP="00E948A2">
      <w:pPr>
        <w:spacing w:after="0" w:line="240" w:lineRule="auto"/>
        <w:jc w:val="both"/>
        <w:rPr>
          <w:rFonts w:ascii="Verdana" w:eastAsia="Calibri" w:hAnsi="Verdana" w:cs="Arial"/>
          <w:sz w:val="20"/>
          <w:szCs w:val="20"/>
          <w:lang w:val="es-ES" w:eastAsia="es-ES_tradnl"/>
        </w:rPr>
      </w:pPr>
      <w:r w:rsidRPr="009D4217">
        <w:rPr>
          <w:rFonts w:ascii="Verdana" w:eastAsia="Calibri" w:hAnsi="Verdana" w:cs="Arial"/>
          <w:sz w:val="20"/>
          <w:szCs w:val="20"/>
          <w:lang w:val="es-ES" w:eastAsia="es-ES_tradnl"/>
        </w:rPr>
        <w:t>i) En algunos casos no es obligatoria la liquidación, pues así lo estableció el artículo 217 del Decreto 019 de 2012, que modificó el artículo 60 de la Ley 80 de 1993, refiriéndose a los contratos de prestación de servicios profesionales y de apoyo a la gestión.</w:t>
      </w:r>
    </w:p>
    <w:p w14:paraId="0DB7B81D" w14:textId="1FE0DB42" w:rsidR="00E948A2" w:rsidRPr="009D4217" w:rsidRDefault="00E948A2" w:rsidP="00E948A2">
      <w:pPr>
        <w:spacing w:after="0" w:line="240" w:lineRule="auto"/>
        <w:jc w:val="both"/>
        <w:rPr>
          <w:rFonts w:ascii="Verdana" w:eastAsia="Calibri" w:hAnsi="Verdana" w:cs="Arial"/>
          <w:sz w:val="20"/>
          <w:szCs w:val="20"/>
          <w:lang w:val="es-ES" w:eastAsia="es-ES_tradnl"/>
        </w:rPr>
      </w:pPr>
      <w:r w:rsidRPr="009D4217">
        <w:rPr>
          <w:rFonts w:ascii="Verdana" w:eastAsia="Calibri" w:hAnsi="Verdana" w:cs="Arial"/>
          <w:sz w:val="20"/>
          <w:szCs w:val="20"/>
          <w:lang w:val="es-ES" w:eastAsia="es-ES_tradnl"/>
        </w:rPr>
        <w:t>j) Para su celebración no se requiere inscripción en el Registro Único de Proponentes – en adelante RUP–, según lo prevé el artículo 6 de la Ley 1150 de 2007.</w:t>
      </w:r>
    </w:p>
    <w:p w14:paraId="79FF3357" w14:textId="104824BB" w:rsidR="00E948A2" w:rsidRPr="009D4217" w:rsidRDefault="00E948A2" w:rsidP="00E948A2">
      <w:pPr>
        <w:spacing w:after="0" w:line="240" w:lineRule="auto"/>
        <w:jc w:val="both"/>
        <w:rPr>
          <w:rFonts w:ascii="Verdana" w:eastAsia="Calibri" w:hAnsi="Verdana" w:cs="Arial"/>
          <w:sz w:val="20"/>
          <w:szCs w:val="20"/>
          <w:lang w:val="es-ES" w:eastAsia="es-ES_tradnl"/>
        </w:rPr>
      </w:pPr>
      <w:r w:rsidRPr="009D4217">
        <w:rPr>
          <w:rFonts w:ascii="Verdana" w:eastAsia="Calibri" w:hAnsi="Verdana" w:cs="Arial"/>
          <w:sz w:val="20"/>
          <w:szCs w:val="20"/>
          <w:lang w:val="es-ES" w:eastAsia="es-ES_tradnl"/>
        </w:rPr>
        <w:t>k) En ellos no son necesarias las garantías</w:t>
      </w:r>
      <w:r w:rsidRPr="009D4217">
        <w:rPr>
          <w:rFonts w:ascii="Verdana" w:eastAsia="Calibri" w:hAnsi="Verdana" w:cs="Arial"/>
          <w:sz w:val="20"/>
          <w:szCs w:val="20"/>
          <w:lang w:val="es-ES" w:eastAsia="es-ES_tradnl"/>
        </w:rPr>
        <w:t>.</w:t>
      </w:r>
    </w:p>
    <w:p w14:paraId="6F16DE77" w14:textId="77777777" w:rsidR="00E948A2" w:rsidRPr="009D4217" w:rsidRDefault="00E948A2" w:rsidP="00E948A2">
      <w:pPr>
        <w:spacing w:after="0" w:line="240" w:lineRule="auto"/>
        <w:jc w:val="both"/>
        <w:rPr>
          <w:rFonts w:ascii="Verdana" w:eastAsia="Calibri" w:hAnsi="Verdana" w:cs="Arial"/>
          <w:sz w:val="20"/>
          <w:szCs w:val="20"/>
          <w:lang w:val="es-ES" w:eastAsia="es-ES_tradnl"/>
        </w:rPr>
      </w:pPr>
    </w:p>
    <w:p w14:paraId="42C105FD" w14:textId="67357BA4" w:rsidR="00E948A2" w:rsidRPr="009D4217" w:rsidRDefault="00E948A2" w:rsidP="00E948A2">
      <w:pPr>
        <w:spacing w:after="0" w:line="240" w:lineRule="auto"/>
        <w:jc w:val="both"/>
        <w:rPr>
          <w:rFonts w:ascii="Verdana" w:eastAsia="Calibri" w:hAnsi="Verdana" w:cs="Arial"/>
          <w:b/>
          <w:bCs/>
          <w:sz w:val="20"/>
          <w:szCs w:val="20"/>
          <w:lang w:val="es-ES" w:eastAsia="es-ES_tradnl"/>
        </w:rPr>
      </w:pPr>
      <w:r w:rsidRPr="009D4217">
        <w:rPr>
          <w:rFonts w:ascii="Verdana" w:eastAsia="Calibri" w:hAnsi="Verdana" w:cs="Arial"/>
          <w:b/>
          <w:bCs/>
          <w:sz w:val="20"/>
          <w:szCs w:val="20"/>
          <w:lang w:val="es-ES" w:eastAsia="es-ES_tradnl"/>
        </w:rPr>
        <w:lastRenderedPageBreak/>
        <w:t>CONTRATO DE PRESTACIÓN DE SERVICIOS – Cuentas de cobro – CONTRATO DE PRESTACIÓN DE SERVICIO</w:t>
      </w:r>
      <w:r w:rsidR="009D4217">
        <w:rPr>
          <w:rFonts w:ascii="Verdana" w:eastAsia="Calibri" w:hAnsi="Verdana" w:cs="Arial"/>
          <w:b/>
          <w:bCs/>
          <w:sz w:val="20"/>
          <w:szCs w:val="20"/>
          <w:lang w:val="es-ES" w:eastAsia="es-ES_tradnl"/>
        </w:rPr>
        <w:t>S</w:t>
      </w:r>
      <w:r w:rsidRPr="009D4217">
        <w:rPr>
          <w:rFonts w:ascii="Verdana" w:eastAsia="Calibri" w:hAnsi="Verdana" w:cs="Arial"/>
          <w:b/>
          <w:bCs/>
          <w:sz w:val="20"/>
          <w:szCs w:val="20"/>
          <w:lang w:val="es-ES" w:eastAsia="es-ES_tradnl"/>
        </w:rPr>
        <w:t xml:space="preserve"> – Forma de presentar documentos – CONTRATO DE PRESTACIÓN DE SERVICIOS – Documentos que conforman la cuenta de cobro – CONTRATO DE PRESTACIÓN DE SERVICIOS – Fechas de presentación de cuentas de cobro</w:t>
      </w:r>
      <w:r w:rsidR="00E56128" w:rsidRPr="009D4217">
        <w:rPr>
          <w:rFonts w:ascii="Verdana" w:eastAsia="Calibri" w:hAnsi="Verdana" w:cs="Arial"/>
          <w:b/>
          <w:bCs/>
          <w:sz w:val="20"/>
          <w:szCs w:val="20"/>
          <w:lang w:val="es-ES" w:eastAsia="es-ES_tradnl"/>
        </w:rPr>
        <w:t xml:space="preserve"> – CONTRATO DE PRESTACIÓN DE SERVICIOS – Autonomía de la voluntad </w:t>
      </w:r>
    </w:p>
    <w:p w14:paraId="5F418530" w14:textId="77777777" w:rsidR="00DC1D9E" w:rsidRPr="009D4217" w:rsidRDefault="00DC1D9E" w:rsidP="00DC1D9E">
      <w:pPr>
        <w:spacing w:after="0" w:line="240" w:lineRule="auto"/>
        <w:jc w:val="both"/>
        <w:rPr>
          <w:rFonts w:ascii="Verdana" w:eastAsia="Calibri" w:hAnsi="Verdana" w:cs="Arial"/>
          <w:sz w:val="20"/>
          <w:szCs w:val="20"/>
          <w:lang w:val="es-ES" w:eastAsia="es-ES_tradnl"/>
        </w:rPr>
      </w:pPr>
    </w:p>
    <w:p w14:paraId="4013FFB3" w14:textId="6469FA6A" w:rsidR="00DC1D9E" w:rsidRPr="009D4217" w:rsidRDefault="00E56128" w:rsidP="00E81957">
      <w:pPr>
        <w:spacing w:after="0" w:line="240" w:lineRule="auto"/>
        <w:jc w:val="both"/>
        <w:rPr>
          <w:rFonts w:ascii="Verdana" w:eastAsia="Calibri" w:hAnsi="Verdana" w:cs="Arial"/>
          <w:sz w:val="20"/>
          <w:szCs w:val="20"/>
          <w:lang w:val="es-ES" w:eastAsia="es-ES_tradnl"/>
        </w:rPr>
      </w:pPr>
      <w:r w:rsidRPr="009D4217">
        <w:rPr>
          <w:rFonts w:ascii="Verdana" w:eastAsia="Calibri" w:hAnsi="Verdana" w:cs="Arial"/>
          <w:sz w:val="20"/>
          <w:szCs w:val="20"/>
          <w:lang w:val="es-ES" w:eastAsia="es-ES_tradnl"/>
        </w:rPr>
        <w:t>En relación con la forma, los documentos y las fechas en que debe presentarse las cuentas de cobro en los contratos de prestación de servicios, es pertinente precisar que no existe en el Sistema de Compra y Contratación Pública una disposición normativa que lo indique, pues en virtud del principio de autonomía de la voluntad, las partes pueden determinar el contenido de los contratos estatales e incluir las condiciones, cláusulas o estipulaciones que consideren necesarias para desarrollar el objeto contractual, la forma de ejecución, los documentos necesarios para cancelar los honorarios, entre otros aspectos, siempre en consideración de lo que arroja la etapa de planeación a través de los documentos previos.</w:t>
      </w:r>
    </w:p>
    <w:p w14:paraId="7FB60370" w14:textId="77777777" w:rsidR="00DC1D9E" w:rsidRPr="009D4217" w:rsidRDefault="00DC1D9E" w:rsidP="00E81957">
      <w:pPr>
        <w:spacing w:after="0" w:line="240" w:lineRule="auto"/>
        <w:jc w:val="both"/>
        <w:rPr>
          <w:rFonts w:ascii="Verdana" w:eastAsia="Calibri" w:hAnsi="Verdana" w:cs="Arial"/>
          <w:sz w:val="20"/>
          <w:szCs w:val="20"/>
          <w:lang w:val="es-ES_tradnl" w:eastAsia="es-ES_tradnl"/>
        </w:rPr>
      </w:pPr>
    </w:p>
    <w:p w14:paraId="1AC6DD66" w14:textId="53BAD7FC" w:rsidR="00E56128" w:rsidRPr="009D4217" w:rsidRDefault="00E56128" w:rsidP="00E56128">
      <w:pPr>
        <w:spacing w:after="0" w:line="240" w:lineRule="auto"/>
        <w:jc w:val="both"/>
        <w:rPr>
          <w:rFonts w:ascii="Verdana" w:eastAsia="Calibri" w:hAnsi="Verdana" w:cs="Arial"/>
          <w:b/>
          <w:bCs/>
          <w:sz w:val="20"/>
          <w:szCs w:val="20"/>
          <w:lang w:val="es-ES_tradnl" w:eastAsia="es-ES_tradnl"/>
        </w:rPr>
      </w:pPr>
      <w:r w:rsidRPr="009D4217">
        <w:rPr>
          <w:rFonts w:ascii="Verdana" w:eastAsia="Calibri" w:hAnsi="Verdana" w:cs="Arial"/>
          <w:b/>
          <w:bCs/>
          <w:sz w:val="20"/>
          <w:szCs w:val="20"/>
          <w:lang w:val="es-ES_tradnl" w:eastAsia="es-ES_tradnl"/>
        </w:rPr>
        <w:t>CONTRATO DE PRESTACIÓN DE SERVICIOS – Estudios pre</w:t>
      </w:r>
      <w:r w:rsidR="009D4217">
        <w:rPr>
          <w:rFonts w:ascii="Verdana" w:eastAsia="Calibri" w:hAnsi="Verdana" w:cs="Arial"/>
          <w:b/>
          <w:bCs/>
          <w:sz w:val="20"/>
          <w:szCs w:val="20"/>
          <w:lang w:val="es-ES_tradnl" w:eastAsia="es-ES_tradnl"/>
        </w:rPr>
        <w:t>v</w:t>
      </w:r>
      <w:r w:rsidRPr="009D4217">
        <w:rPr>
          <w:rFonts w:ascii="Verdana" w:eastAsia="Calibri" w:hAnsi="Verdana" w:cs="Arial"/>
          <w:b/>
          <w:bCs/>
          <w:sz w:val="20"/>
          <w:szCs w:val="20"/>
          <w:lang w:val="es-ES_tradnl" w:eastAsia="es-ES_tradnl"/>
        </w:rPr>
        <w:t xml:space="preserve">ios – Condiciones del contrato – CONTRATO DE PRESTACIÓN DE SERVICIO – Condiciones fijadas en guías – circulares - manuales </w:t>
      </w:r>
    </w:p>
    <w:p w14:paraId="6529291E" w14:textId="77777777" w:rsidR="00E56128" w:rsidRPr="009D4217" w:rsidRDefault="00E56128" w:rsidP="00E56128">
      <w:pPr>
        <w:spacing w:after="0" w:line="240" w:lineRule="auto"/>
        <w:jc w:val="both"/>
        <w:rPr>
          <w:rFonts w:ascii="Verdana" w:eastAsia="Calibri" w:hAnsi="Verdana" w:cs="Arial"/>
          <w:sz w:val="20"/>
          <w:szCs w:val="20"/>
          <w:lang w:val="es-ES_tradnl" w:eastAsia="es-ES_tradnl"/>
        </w:rPr>
      </w:pPr>
    </w:p>
    <w:p w14:paraId="677F7D50" w14:textId="532FA065" w:rsidR="00E56128" w:rsidRPr="009D4217" w:rsidRDefault="00E56128" w:rsidP="00E56128">
      <w:pPr>
        <w:spacing w:after="0" w:line="240" w:lineRule="auto"/>
        <w:jc w:val="both"/>
        <w:rPr>
          <w:rFonts w:ascii="Verdana" w:eastAsia="Calibri" w:hAnsi="Verdana" w:cs="Arial"/>
          <w:bCs/>
          <w:color w:val="000000"/>
          <w:kern w:val="2"/>
          <w:sz w:val="20"/>
          <w:szCs w:val="20"/>
          <w14:ligatures w14:val="standardContextual"/>
        </w:rPr>
      </w:pPr>
      <w:r w:rsidRPr="009D4217">
        <w:rPr>
          <w:rFonts w:ascii="Verdana" w:eastAsia="Calibri" w:hAnsi="Verdana" w:cs="Arial"/>
          <w:bCs/>
          <w:color w:val="000000"/>
          <w:kern w:val="2"/>
          <w:sz w:val="20"/>
          <w:szCs w:val="20"/>
          <w14:ligatures w14:val="standardContextual"/>
        </w:rPr>
        <w:t xml:space="preserve">las Entidades Públicas desde los estudios previos definirán las condiciones del contrato de prestación de servicios a celebrar, plasmado en la minuta del contrato de prestación de servicios profesionales, de apoyo a la gestión y trabajos artísticos. Finalmente, se resalta que en la Ley 80 de 1993, Ley 1150 de 2007 y en el Decreto 1082 de 2015 no se encuentran disposiciones que establezcan la forma en que deben presentarse las cuentas de cobro, tales como el informe de ejecución o el informe y certificación de cumplimiento, así como las fechas para su presentación, por cuanto esto dependerá de las directrices fijadas al interior de la entidad estatal en su guías, circulares o manuales, que se verán reflejados en las cláusulas contenidas en la minuta del contrato de prestación de servicios. </w:t>
      </w:r>
    </w:p>
    <w:p w14:paraId="5F5FBB0A" w14:textId="77777777" w:rsidR="00E56128" w:rsidRPr="009D4217" w:rsidRDefault="00E56128" w:rsidP="00E56128">
      <w:pPr>
        <w:spacing w:after="0" w:line="240" w:lineRule="auto"/>
        <w:jc w:val="both"/>
        <w:rPr>
          <w:rFonts w:ascii="Verdana" w:eastAsia="Calibri" w:hAnsi="Verdana" w:cs="Arial"/>
          <w:bCs/>
          <w:color w:val="000000"/>
          <w:kern w:val="2"/>
          <w:sz w:val="20"/>
          <w:szCs w:val="20"/>
          <w14:ligatures w14:val="standardContextual"/>
        </w:rPr>
      </w:pPr>
    </w:p>
    <w:p w14:paraId="19D04F50" w14:textId="76975EB9" w:rsidR="00E56128" w:rsidRPr="009D4217" w:rsidRDefault="00E56128" w:rsidP="00E56128">
      <w:pPr>
        <w:spacing w:after="0" w:line="240" w:lineRule="auto"/>
        <w:jc w:val="both"/>
        <w:rPr>
          <w:rFonts w:ascii="Verdana" w:eastAsia="Calibri" w:hAnsi="Verdana" w:cs="Arial"/>
          <w:bCs/>
          <w:color w:val="000000"/>
          <w:kern w:val="2"/>
          <w:sz w:val="20"/>
          <w:szCs w:val="20"/>
          <w14:ligatures w14:val="standardContextual"/>
        </w:rPr>
      </w:pPr>
      <w:r w:rsidRPr="009D4217">
        <w:rPr>
          <w:rFonts w:ascii="Verdana" w:eastAsia="Calibri" w:hAnsi="Verdana" w:cs="Arial"/>
          <w:bCs/>
          <w:color w:val="000000"/>
          <w:kern w:val="2"/>
          <w:sz w:val="20"/>
          <w:szCs w:val="20"/>
          <w14:ligatures w14:val="standardContextual"/>
        </w:rPr>
        <w:t>Es importante señalar que dentro de las cuentas de cobro lo que sí resulta obligatorio desde el ámbito normativo, es el cumplimiento de las obligaciones al Sistema de Seguridad Social Integral que deberá asumir el contratista, de conformidad con lo establecido en el artículo 41 de la Ley 80 de 1993</w:t>
      </w:r>
      <w:r w:rsidRPr="009D4217">
        <w:rPr>
          <w:rFonts w:ascii="Verdana" w:eastAsia="Calibri" w:hAnsi="Verdana" w:cs="Arial"/>
          <w:bCs/>
          <w:color w:val="000000"/>
          <w:kern w:val="2"/>
          <w:sz w:val="20"/>
          <w:szCs w:val="20"/>
          <w14:ligatures w14:val="standardContextual"/>
        </w:rPr>
        <w:t>.</w:t>
      </w:r>
    </w:p>
    <w:p w14:paraId="0215A27C" w14:textId="77777777" w:rsidR="00E56128" w:rsidRPr="009D4217" w:rsidRDefault="00E56128" w:rsidP="00E56128">
      <w:pPr>
        <w:spacing w:after="0" w:line="240" w:lineRule="auto"/>
        <w:jc w:val="both"/>
        <w:rPr>
          <w:rFonts w:ascii="Verdana" w:eastAsia="Calibri" w:hAnsi="Verdana" w:cs="Arial"/>
          <w:bCs/>
          <w:color w:val="000000"/>
          <w:kern w:val="2"/>
          <w:sz w:val="20"/>
          <w:szCs w:val="20"/>
          <w14:ligatures w14:val="standardContextual"/>
        </w:rPr>
      </w:pPr>
    </w:p>
    <w:p w14:paraId="127F6EF9" w14:textId="3775AAF8" w:rsidR="00E56128" w:rsidRPr="009D4217" w:rsidRDefault="00E56128" w:rsidP="009D4217">
      <w:pPr>
        <w:spacing w:after="0" w:line="240" w:lineRule="auto"/>
        <w:jc w:val="both"/>
        <w:rPr>
          <w:rFonts w:ascii="Verdana" w:eastAsia="Calibri" w:hAnsi="Verdana" w:cs="Arial"/>
          <w:b/>
          <w:color w:val="000000"/>
          <w:kern w:val="2"/>
          <w:sz w:val="20"/>
          <w:szCs w:val="20"/>
          <w14:ligatures w14:val="standardContextual"/>
        </w:rPr>
      </w:pPr>
      <w:r w:rsidRPr="009D4217">
        <w:rPr>
          <w:rFonts w:ascii="Verdana" w:eastAsia="Calibri" w:hAnsi="Verdana" w:cs="Arial"/>
          <w:b/>
          <w:color w:val="000000"/>
          <w:kern w:val="2"/>
          <w:sz w:val="20"/>
          <w:szCs w:val="20"/>
          <w14:ligatures w14:val="standardContextual"/>
        </w:rPr>
        <w:t xml:space="preserve">PAGO DE CUENTAS DE COBRO – Circular Externa 003 del 7 de enero de 2025 </w:t>
      </w:r>
      <w:r w:rsidR="009D4217" w:rsidRPr="009D4217">
        <w:rPr>
          <w:rFonts w:ascii="Verdana" w:eastAsia="Calibri" w:hAnsi="Verdana" w:cs="Arial"/>
          <w:b/>
          <w:color w:val="000000"/>
          <w:kern w:val="2"/>
          <w:sz w:val="20"/>
          <w:szCs w:val="20"/>
          <w14:ligatures w14:val="standardContextual"/>
        </w:rPr>
        <w:t>–</w:t>
      </w:r>
      <w:r w:rsidRPr="009D4217">
        <w:rPr>
          <w:rFonts w:ascii="Verdana" w:eastAsia="Calibri" w:hAnsi="Verdana" w:cs="Arial"/>
          <w:b/>
          <w:color w:val="000000"/>
          <w:kern w:val="2"/>
          <w:sz w:val="20"/>
          <w:szCs w:val="20"/>
          <w14:ligatures w14:val="standardContextual"/>
        </w:rPr>
        <w:t xml:space="preserve"> </w:t>
      </w:r>
      <w:r w:rsidR="009D4217" w:rsidRPr="009D4217">
        <w:rPr>
          <w:rFonts w:ascii="Verdana" w:eastAsia="Calibri" w:hAnsi="Verdana" w:cs="Arial"/>
          <w:b/>
          <w:color w:val="000000"/>
          <w:kern w:val="2"/>
          <w:sz w:val="20"/>
          <w:szCs w:val="20"/>
          <w14:ligatures w14:val="standardContextual"/>
        </w:rPr>
        <w:t xml:space="preserve">PAC – CONTRATO DE PRESTACIÓN DE SERVICIOS – Forma de pago y procedimiento </w:t>
      </w:r>
    </w:p>
    <w:p w14:paraId="24B5C169" w14:textId="77777777" w:rsidR="009D4217" w:rsidRPr="009D4217" w:rsidRDefault="009D4217" w:rsidP="009D4217">
      <w:pPr>
        <w:spacing w:after="0" w:line="240" w:lineRule="auto"/>
        <w:jc w:val="both"/>
        <w:rPr>
          <w:rFonts w:ascii="Verdana" w:eastAsia="Calibri" w:hAnsi="Verdana" w:cs="Arial"/>
          <w:sz w:val="20"/>
          <w:szCs w:val="20"/>
          <w:lang w:val="es-ES_tradnl" w:eastAsia="es-ES_tradnl"/>
        </w:rPr>
      </w:pPr>
    </w:p>
    <w:p w14:paraId="11D0CF5B" w14:textId="190C2AB0" w:rsidR="009D4217" w:rsidRPr="009D4217" w:rsidRDefault="009D4217" w:rsidP="009D4217">
      <w:pPr>
        <w:spacing w:after="0" w:line="240" w:lineRule="auto"/>
        <w:jc w:val="both"/>
        <w:rPr>
          <w:rFonts w:ascii="Verdana" w:eastAsia="Calibri" w:hAnsi="Verdana" w:cs="Arial"/>
          <w:sz w:val="20"/>
          <w:szCs w:val="20"/>
        </w:rPr>
      </w:pPr>
      <w:r>
        <w:rPr>
          <w:rFonts w:ascii="Verdana" w:eastAsia="Calibri" w:hAnsi="Verdana" w:cs="Arial"/>
          <w:sz w:val="20"/>
          <w:szCs w:val="20"/>
        </w:rPr>
        <w:t>E</w:t>
      </w:r>
      <w:r w:rsidRPr="009D4217">
        <w:rPr>
          <w:rFonts w:ascii="Verdana" w:eastAsia="Calibri" w:hAnsi="Verdana" w:cs="Arial"/>
          <w:sz w:val="20"/>
          <w:szCs w:val="20"/>
        </w:rPr>
        <w:t xml:space="preserve">n consideración la Circular Externa 003 del 7 de enero de 2025, expedida por el </w:t>
      </w:r>
      <w:proofErr w:type="gramStart"/>
      <w:r w:rsidRPr="009D4217">
        <w:rPr>
          <w:rFonts w:ascii="Verdana" w:eastAsia="Calibri" w:hAnsi="Verdana" w:cs="Arial"/>
          <w:sz w:val="20"/>
          <w:szCs w:val="20"/>
        </w:rPr>
        <w:t>Subdirector</w:t>
      </w:r>
      <w:proofErr w:type="gramEnd"/>
      <w:r w:rsidRPr="009D4217">
        <w:rPr>
          <w:rFonts w:ascii="Verdana" w:eastAsia="Calibri" w:hAnsi="Verdana" w:cs="Arial"/>
          <w:sz w:val="20"/>
          <w:szCs w:val="20"/>
        </w:rPr>
        <w:t xml:space="preserve"> de Operaciones de la Dirección General de Crédito Público y del Tesoro Nacional, mediante el cual indica en términos generales el calendario del Plan Anual Mensualizado de Caja – en adelante PAC – vigencia fiscal 2025 y aspectos a considerar para su aprobación. En ese escenario, la asignación del PAC se efectuará de manera mensual previa revisión de los ingresos de la Nación y atendiendo los gastos </w:t>
      </w:r>
      <w:r w:rsidRPr="009D4217">
        <w:rPr>
          <w:rFonts w:ascii="Verdana" w:eastAsia="Calibri" w:hAnsi="Verdana" w:cs="Arial"/>
          <w:sz w:val="20"/>
          <w:szCs w:val="20"/>
        </w:rPr>
        <w:lastRenderedPageBreak/>
        <w:t xml:space="preserve">eminentemente básicos del Estado. Las asignaciones del PAC se harán mes anticipado, y solo se estudiará su aprobación si media una solicitud previamente registrada en SIIF- Nación. Estas deberán contener una justificación consistente sobre el uso que se dará a los recursos solicitados, agrupando los conceptos del gasto con sus respectivos valores, de mayor a menor. Así mismo, determinó un calendario correspondiente al año fiscal 2025 que deberá ser adoptado por parte de las entidades del estado. </w:t>
      </w:r>
    </w:p>
    <w:p w14:paraId="5D407D1F" w14:textId="77777777" w:rsidR="009D4217" w:rsidRDefault="009D4217" w:rsidP="009D4217">
      <w:pPr>
        <w:spacing w:after="0" w:line="240" w:lineRule="auto"/>
        <w:jc w:val="both"/>
        <w:rPr>
          <w:rFonts w:ascii="Verdana" w:eastAsia="Calibri" w:hAnsi="Verdana" w:cs="Arial"/>
          <w:sz w:val="20"/>
          <w:szCs w:val="20"/>
        </w:rPr>
      </w:pPr>
    </w:p>
    <w:p w14:paraId="12AF7FA6" w14:textId="02F71DD7" w:rsidR="009D4217" w:rsidRPr="009D4217" w:rsidRDefault="009D4217" w:rsidP="009D4217">
      <w:pPr>
        <w:spacing w:after="0" w:line="240" w:lineRule="auto"/>
        <w:jc w:val="both"/>
        <w:rPr>
          <w:rFonts w:ascii="Verdana" w:eastAsia="Calibri" w:hAnsi="Verdana" w:cs="Arial"/>
          <w:sz w:val="20"/>
          <w:szCs w:val="20"/>
        </w:rPr>
      </w:pPr>
      <w:r w:rsidRPr="009D4217">
        <w:rPr>
          <w:rFonts w:ascii="Verdana" w:eastAsia="Calibri" w:hAnsi="Verdana" w:cs="Arial"/>
          <w:sz w:val="20"/>
          <w:szCs w:val="20"/>
        </w:rPr>
        <w:t>Con base en lo anterior, será la Entidad Estatal la competente para determinar en el PAC los recursos necesarios para hacerlos efectivos, previo el cumplimiento de los lineamientos determinados por parte de la Dirección General de Crédito Público y del Tesoro Nacional y lo establecido en las cláusulas del contrato de prestación de servicios, pues el contenido debe determinar la forma de pago y el procedimiento para ello.</w:t>
      </w:r>
    </w:p>
    <w:p w14:paraId="4628C479" w14:textId="77777777" w:rsidR="00DC1D9E" w:rsidRPr="000C0762" w:rsidRDefault="00DC1D9E" w:rsidP="00E81957">
      <w:pPr>
        <w:spacing w:after="0" w:line="240" w:lineRule="auto"/>
        <w:jc w:val="both"/>
        <w:rPr>
          <w:rFonts w:ascii="Verdana" w:hAnsi="Verdana"/>
          <w:b/>
          <w:bCs/>
        </w:rPr>
      </w:pPr>
    </w:p>
    <w:p w14:paraId="019B0948" w14:textId="6B9677A1" w:rsidR="009D4217" w:rsidRPr="009D4217" w:rsidRDefault="009D4217" w:rsidP="009D4217">
      <w:pPr>
        <w:spacing w:after="0" w:line="240" w:lineRule="auto"/>
        <w:jc w:val="both"/>
        <w:rPr>
          <w:rFonts w:ascii="Verdana" w:eastAsia="Calibri" w:hAnsi="Verdana" w:cs="Arial"/>
          <w:b/>
          <w:bCs/>
          <w:sz w:val="20"/>
          <w:szCs w:val="20"/>
        </w:rPr>
      </w:pPr>
      <w:r w:rsidRPr="009D4217">
        <w:rPr>
          <w:rFonts w:ascii="Verdana" w:eastAsia="Calibri" w:hAnsi="Verdana" w:cs="Arial"/>
          <w:b/>
          <w:bCs/>
          <w:sz w:val="20"/>
          <w:szCs w:val="20"/>
        </w:rPr>
        <w:t>SECOP II – Plataforma transaccional – SECOP II – Principio de publicida</w:t>
      </w:r>
      <w:r>
        <w:rPr>
          <w:rFonts w:ascii="Verdana" w:eastAsia="Calibri" w:hAnsi="Verdana" w:cs="Arial"/>
          <w:b/>
          <w:bCs/>
          <w:sz w:val="20"/>
          <w:szCs w:val="20"/>
        </w:rPr>
        <w:t xml:space="preserve">d – Documentos del proceso – CONTRATO DE PRESTACIÓN DE SERVICIOS – Publicación en plataforma – CONTRATO DE PRESTACIÓN DE SERVICIOS – Gestión transaccional </w:t>
      </w:r>
    </w:p>
    <w:p w14:paraId="3B7B4607" w14:textId="77777777" w:rsidR="009D4217" w:rsidRPr="009D4217" w:rsidRDefault="009D4217" w:rsidP="009D4217">
      <w:pPr>
        <w:spacing w:after="0" w:line="240" w:lineRule="auto"/>
        <w:jc w:val="both"/>
        <w:rPr>
          <w:rFonts w:ascii="Verdana" w:eastAsia="Calibri" w:hAnsi="Verdana" w:cs="Arial"/>
          <w:sz w:val="20"/>
          <w:szCs w:val="20"/>
        </w:rPr>
      </w:pPr>
    </w:p>
    <w:p w14:paraId="17815B70" w14:textId="50559ACC" w:rsidR="009D4217" w:rsidRDefault="009D4217" w:rsidP="009D4217">
      <w:pPr>
        <w:spacing w:after="0" w:line="240" w:lineRule="auto"/>
        <w:jc w:val="both"/>
        <w:rPr>
          <w:rFonts w:ascii="Verdana" w:eastAsia="Calibri" w:hAnsi="Verdana" w:cs="Arial"/>
          <w:sz w:val="20"/>
          <w:szCs w:val="20"/>
          <w:lang w:val="es-ES_tradnl"/>
        </w:rPr>
      </w:pPr>
      <w:r>
        <w:rPr>
          <w:rFonts w:ascii="Verdana" w:eastAsia="Calibri" w:hAnsi="Verdana" w:cs="Arial"/>
          <w:sz w:val="20"/>
          <w:szCs w:val="20"/>
        </w:rPr>
        <w:t>R</w:t>
      </w:r>
      <w:r w:rsidRPr="009D4217">
        <w:rPr>
          <w:rFonts w:ascii="Verdana" w:eastAsia="Calibri" w:hAnsi="Verdana" w:cs="Arial"/>
          <w:sz w:val="20"/>
          <w:szCs w:val="20"/>
        </w:rPr>
        <w:t>esulta importante indicar que tratándose de la plataforma SECOP II</w:t>
      </w:r>
      <w:r>
        <w:rPr>
          <w:rFonts w:ascii="Verdana" w:eastAsia="Calibri" w:hAnsi="Verdana" w:cs="Arial"/>
          <w:sz w:val="20"/>
          <w:szCs w:val="20"/>
        </w:rPr>
        <w:t xml:space="preserve"> […] </w:t>
      </w:r>
      <w:r w:rsidRPr="009D4217">
        <w:rPr>
          <w:rFonts w:ascii="Verdana" w:eastAsia="Calibri" w:hAnsi="Verdana" w:cs="Arial"/>
          <w:sz w:val="20"/>
          <w:szCs w:val="20"/>
          <w:lang w:val="es-ES_tradnl"/>
        </w:rPr>
        <w:t xml:space="preserve">es un medio transaccional para la suscripción de contratos electrónicos. </w:t>
      </w:r>
    </w:p>
    <w:p w14:paraId="09E496B6" w14:textId="77777777" w:rsidR="009D4217" w:rsidRPr="009D4217" w:rsidRDefault="009D4217" w:rsidP="009D4217">
      <w:pPr>
        <w:spacing w:after="0" w:line="240" w:lineRule="auto"/>
        <w:jc w:val="both"/>
        <w:rPr>
          <w:rFonts w:ascii="Verdana" w:eastAsia="Calibri" w:hAnsi="Verdana" w:cs="Arial"/>
          <w:sz w:val="20"/>
          <w:szCs w:val="20"/>
          <w:lang w:val="es-ES_tradnl"/>
        </w:rPr>
      </w:pPr>
    </w:p>
    <w:p w14:paraId="315D9700" w14:textId="3B293336" w:rsidR="009D4217" w:rsidRDefault="009D4217" w:rsidP="009D4217">
      <w:pPr>
        <w:spacing w:after="0" w:line="240" w:lineRule="auto"/>
        <w:jc w:val="both"/>
        <w:rPr>
          <w:rFonts w:ascii="Verdana" w:eastAsia="Calibri" w:hAnsi="Verdana" w:cs="Arial"/>
          <w:color w:val="000000" w:themeColor="text1"/>
          <w:sz w:val="20"/>
          <w:szCs w:val="20"/>
          <w:lang w:val="es-ES"/>
        </w:rPr>
      </w:pPr>
      <w:r>
        <w:rPr>
          <w:rFonts w:ascii="Verdana" w:eastAsia="Calibri" w:hAnsi="Verdana" w:cs="Arial"/>
          <w:color w:val="000000" w:themeColor="text1"/>
          <w:sz w:val="20"/>
          <w:szCs w:val="20"/>
          <w:lang w:val="es-ES"/>
        </w:rPr>
        <w:t>El</w:t>
      </w:r>
      <w:r w:rsidRPr="009D4217">
        <w:rPr>
          <w:rFonts w:ascii="Verdana" w:eastAsia="Calibri" w:hAnsi="Verdana" w:cs="Arial"/>
          <w:color w:val="000000" w:themeColor="text1"/>
          <w:sz w:val="20"/>
          <w:szCs w:val="20"/>
          <w:lang w:val="es-ES"/>
        </w:rPr>
        <w:t xml:space="preserve"> SECOP II permite generar contratos en línea y realizar la firma electrónica de los mismos. Tiene funciones que permiten al proveedor presentar garantías y facturas; y a la entidad estatal, realizar la revisión y aprobación de ambos tipos de documentos en línea. Además, el módulo permite hacer modificaciones contractuales, tanto unilaterales como bilaterales –estas últimas son enviadas para aprobación del proveedor antes de la publicación por parte de la entidad estatal–. Para registrar el seguimiento al avance de la ejecución, el módulo de gestión contractual habilita el registro de planes de ejecución por porcentaje de avance y el cargue de documentos tanto a proveedor como a la entidad estatal, la cual puede crear usuarios para que los supervisores de los contratos carguen la información pertinente. Finalmente, la liquidación y el cierre de los expedientes contractuales también puede realizarse a través del SECOP II. </w:t>
      </w:r>
    </w:p>
    <w:p w14:paraId="6E76A387" w14:textId="731938C6" w:rsidR="009D4217" w:rsidRPr="009D4217" w:rsidRDefault="009D4217" w:rsidP="009D4217">
      <w:pPr>
        <w:widowControl w:val="0"/>
        <w:tabs>
          <w:tab w:val="left" w:pos="728"/>
        </w:tabs>
        <w:autoSpaceDE w:val="0"/>
        <w:autoSpaceDN w:val="0"/>
        <w:spacing w:after="0" w:line="240" w:lineRule="auto"/>
        <w:jc w:val="both"/>
        <w:rPr>
          <w:rFonts w:ascii="Verdana" w:eastAsia="Arial" w:hAnsi="Verdana" w:cs="Arial"/>
          <w:sz w:val="20"/>
          <w:szCs w:val="20"/>
          <w:lang w:val="es-ES"/>
        </w:rPr>
      </w:pPr>
      <w:r w:rsidRPr="009D4217">
        <w:rPr>
          <w:rFonts w:ascii="Verdana" w:eastAsia="Arial" w:hAnsi="Verdana" w:cs="Arial"/>
          <w:sz w:val="20"/>
          <w:szCs w:val="20"/>
          <w:lang w:val="es-ES"/>
        </w:rPr>
        <w:t xml:space="preserve"> </w:t>
      </w:r>
    </w:p>
    <w:p w14:paraId="586C6BA7" w14:textId="01D0E77A" w:rsidR="009D4217" w:rsidRPr="009D4217" w:rsidRDefault="009D4217" w:rsidP="009D4217">
      <w:pPr>
        <w:widowControl w:val="0"/>
        <w:tabs>
          <w:tab w:val="left" w:pos="728"/>
        </w:tabs>
        <w:autoSpaceDE w:val="0"/>
        <w:autoSpaceDN w:val="0"/>
        <w:spacing w:after="0" w:line="240" w:lineRule="auto"/>
        <w:jc w:val="both"/>
        <w:rPr>
          <w:rFonts w:ascii="Verdana" w:hAnsi="Verdana" w:cs="Arial"/>
          <w:sz w:val="20"/>
          <w:szCs w:val="20"/>
          <w:lang w:val="es-ES"/>
        </w:rPr>
      </w:pPr>
      <w:r w:rsidRPr="009D4217">
        <w:rPr>
          <w:rFonts w:ascii="Verdana" w:hAnsi="Verdana" w:cs="Arial"/>
          <w:sz w:val="20"/>
          <w:szCs w:val="20"/>
          <w:lang w:val="es-ES"/>
        </w:rPr>
        <w:t xml:space="preserve">Ahora bien, las entidades estatales, conforme al artículo 2.2.1.1.1.7.1 del Decreto 1082 de 2015, tienen la obligación de publicar en el SECOP “[…] los Documentos del Proceso y los actos administrativos del Proceso de Contratación […]”. </w:t>
      </w:r>
    </w:p>
    <w:p w14:paraId="102F84E8" w14:textId="77777777" w:rsidR="009D4217" w:rsidRDefault="009D4217" w:rsidP="009D4217">
      <w:pPr>
        <w:widowControl w:val="0"/>
        <w:autoSpaceDE w:val="0"/>
        <w:autoSpaceDN w:val="0"/>
        <w:spacing w:after="0" w:line="240" w:lineRule="auto"/>
        <w:jc w:val="both"/>
        <w:rPr>
          <w:rFonts w:ascii="Verdana" w:hAnsi="Verdana" w:cs="Arial"/>
          <w:sz w:val="20"/>
          <w:szCs w:val="20"/>
          <w:lang w:val="es-MX"/>
        </w:rPr>
      </w:pPr>
    </w:p>
    <w:p w14:paraId="63223CD4" w14:textId="06784CEF" w:rsidR="009D4217" w:rsidRDefault="009D4217" w:rsidP="009D4217">
      <w:pPr>
        <w:widowControl w:val="0"/>
        <w:autoSpaceDE w:val="0"/>
        <w:autoSpaceDN w:val="0"/>
        <w:spacing w:after="0" w:line="240" w:lineRule="auto"/>
        <w:jc w:val="both"/>
        <w:rPr>
          <w:rFonts w:ascii="Verdana" w:hAnsi="Verdana" w:cs="Arial"/>
          <w:sz w:val="20"/>
          <w:szCs w:val="20"/>
          <w:lang w:val="es-MX"/>
        </w:rPr>
      </w:pPr>
      <w:r w:rsidRPr="009D4217">
        <w:rPr>
          <w:rFonts w:ascii="Verdana" w:hAnsi="Verdana" w:cs="Arial"/>
          <w:sz w:val="20"/>
          <w:szCs w:val="20"/>
          <w:lang w:val="es-MX"/>
        </w:rPr>
        <w:t xml:space="preserve">Respecto de los contratos de prestación de servicios, si bien los documentos que deben publicarse en el SECOP II corresponden a los mismos que deben publicarse en el SECOP I, esto es, todos los expedidos con ocasión a la gestión contractual con excepción de los expresamente excluidos, la naturaleza transaccional del SECOP II implica que los procesos contractuales no solo deban ser publicados mediante esta plataforma, sino también gestionados a través de ella, al consistir la mayoría de los hitos contractuales en documentos y actuaciones electrónicas generadas en tiempo real, de tal manera que el proceso contractual avanza en la medida en la que se generen y aprueben estos documentos y actuaciones electrónicas en la plataforma. </w:t>
      </w:r>
    </w:p>
    <w:p w14:paraId="47EB7B21" w14:textId="77777777" w:rsidR="009D4217" w:rsidRPr="009D4217" w:rsidRDefault="009D4217" w:rsidP="009D4217">
      <w:pPr>
        <w:widowControl w:val="0"/>
        <w:autoSpaceDE w:val="0"/>
        <w:autoSpaceDN w:val="0"/>
        <w:spacing w:after="0" w:line="240" w:lineRule="auto"/>
        <w:jc w:val="both"/>
        <w:rPr>
          <w:rFonts w:ascii="Verdana" w:hAnsi="Verdana" w:cs="Arial"/>
          <w:sz w:val="20"/>
          <w:szCs w:val="20"/>
          <w:lang w:val="es-MX"/>
        </w:rPr>
      </w:pPr>
    </w:p>
    <w:p w14:paraId="4BE301EF" w14:textId="7A74B7EE" w:rsidR="009D4217" w:rsidRPr="009D4217" w:rsidRDefault="009D4217" w:rsidP="009D4217">
      <w:pPr>
        <w:spacing w:after="0" w:line="240" w:lineRule="auto"/>
        <w:jc w:val="both"/>
        <w:rPr>
          <w:rFonts w:ascii="Verdana" w:hAnsi="Verdana" w:cs="Arial"/>
          <w:b/>
          <w:bCs/>
          <w:sz w:val="20"/>
          <w:szCs w:val="20"/>
          <w:lang w:val="es-MX"/>
        </w:rPr>
      </w:pPr>
      <w:r w:rsidRPr="009D4217">
        <w:rPr>
          <w:rFonts w:ascii="Verdana" w:hAnsi="Verdana" w:cs="Arial"/>
          <w:b/>
          <w:bCs/>
          <w:sz w:val="20"/>
          <w:szCs w:val="20"/>
          <w:lang w:val="es-MX"/>
        </w:rPr>
        <w:lastRenderedPageBreak/>
        <w:t xml:space="preserve">SECOP II – </w:t>
      </w:r>
      <w:r w:rsidR="001E4AEE">
        <w:rPr>
          <w:rFonts w:ascii="Verdana" w:hAnsi="Verdana" w:cs="Arial"/>
          <w:b/>
          <w:bCs/>
          <w:sz w:val="20"/>
          <w:szCs w:val="20"/>
          <w:lang w:val="es-MX"/>
        </w:rPr>
        <w:t xml:space="preserve">Publicidad - </w:t>
      </w:r>
      <w:r w:rsidR="001E4AEE" w:rsidRPr="001E4AEE">
        <w:rPr>
          <w:rFonts w:ascii="Verdana" w:hAnsi="Verdana" w:cs="Arial"/>
          <w:b/>
          <w:bCs/>
          <w:sz w:val="20"/>
          <w:szCs w:val="20"/>
          <w:lang w:val="es-MX"/>
        </w:rPr>
        <w:t>CONTRATO DE PRESTACIÓN DE SERVICIOS</w:t>
      </w:r>
      <w:r w:rsidRPr="009D4217">
        <w:rPr>
          <w:rFonts w:ascii="Verdana" w:hAnsi="Verdana" w:cs="Arial"/>
          <w:b/>
          <w:bCs/>
          <w:sz w:val="20"/>
          <w:szCs w:val="20"/>
          <w:lang w:val="es-MX"/>
        </w:rPr>
        <w:t xml:space="preserve"> – </w:t>
      </w:r>
      <w:r w:rsidR="001E4AEE">
        <w:rPr>
          <w:rFonts w:ascii="Verdana" w:hAnsi="Verdana" w:cs="Arial"/>
          <w:b/>
          <w:bCs/>
          <w:sz w:val="20"/>
          <w:szCs w:val="20"/>
          <w:lang w:val="es-MX"/>
        </w:rPr>
        <w:t xml:space="preserve">Ejecución del contrato de manera transaccional </w:t>
      </w:r>
    </w:p>
    <w:p w14:paraId="22C0A2A5" w14:textId="77777777" w:rsidR="009D4217" w:rsidRDefault="009D4217" w:rsidP="009D4217">
      <w:pPr>
        <w:spacing w:after="0" w:line="240" w:lineRule="auto"/>
        <w:jc w:val="both"/>
        <w:rPr>
          <w:rFonts w:ascii="Verdana" w:hAnsi="Verdana" w:cs="Arial"/>
          <w:sz w:val="20"/>
          <w:szCs w:val="20"/>
          <w:lang w:val="es-MX"/>
        </w:rPr>
      </w:pPr>
    </w:p>
    <w:p w14:paraId="7E3734DC" w14:textId="5ECE1320" w:rsidR="009D4217" w:rsidRDefault="009D4217" w:rsidP="009D4217">
      <w:pPr>
        <w:spacing w:after="0" w:line="240" w:lineRule="auto"/>
        <w:jc w:val="both"/>
        <w:rPr>
          <w:rFonts w:ascii="Verdana" w:eastAsia="Calibri" w:hAnsi="Verdana" w:cs="Arial"/>
          <w:bCs/>
          <w:color w:val="000000" w:themeColor="text1"/>
          <w:sz w:val="20"/>
          <w:szCs w:val="20"/>
          <w:lang w:val="es-ES_tradnl"/>
        </w:rPr>
      </w:pPr>
      <w:r w:rsidRPr="009D4217">
        <w:rPr>
          <w:rFonts w:ascii="Verdana" w:eastAsia="Calibri" w:hAnsi="Verdana" w:cs="Arial"/>
          <w:bCs/>
          <w:color w:val="000000" w:themeColor="text1"/>
          <w:sz w:val="20"/>
          <w:szCs w:val="20"/>
          <w:lang w:val="es-ES_tradnl"/>
        </w:rPr>
        <w:t xml:space="preserve">Para la publicidad de la ejecución del contrato se recomienda el uso del módulo de “Plan de Pagos” que se encuentra en la sección “7. Ejecución del contrato”. Allí el contratista podrá registrar las facturas y/o cuentas de cobro, junto con los demás documentos exigidos por la Entidad Estatal. Por su parte, la Entidad en su deber de seguimiento a la Ejecución contractual tendrá disponible la opción de rechazar o aprobar la referencia del plan de pago según corresponda, así como de publicar los documentos relacionados con la supervisión del contrato. </w:t>
      </w:r>
    </w:p>
    <w:p w14:paraId="67EA20F1" w14:textId="77777777" w:rsidR="009D4217" w:rsidRPr="009D4217" w:rsidRDefault="009D4217" w:rsidP="009D4217">
      <w:pPr>
        <w:spacing w:after="0" w:line="240" w:lineRule="auto"/>
        <w:jc w:val="both"/>
        <w:rPr>
          <w:rFonts w:ascii="Verdana" w:eastAsia="Calibri" w:hAnsi="Verdana" w:cs="Arial"/>
          <w:bCs/>
          <w:color w:val="000000" w:themeColor="text1"/>
          <w:sz w:val="20"/>
          <w:szCs w:val="20"/>
          <w:lang w:val="es-ES_tradnl"/>
        </w:rPr>
      </w:pPr>
    </w:p>
    <w:p w14:paraId="3999B19C" w14:textId="26F3D4EF" w:rsidR="000C0762" w:rsidRPr="009D4217" w:rsidRDefault="009D4217" w:rsidP="009D4217">
      <w:pPr>
        <w:spacing w:after="0" w:line="240" w:lineRule="auto"/>
        <w:jc w:val="both"/>
        <w:rPr>
          <w:rFonts w:ascii="Verdana" w:hAnsi="Verdana"/>
          <w:sz w:val="20"/>
          <w:szCs w:val="20"/>
        </w:rPr>
      </w:pPr>
      <w:r w:rsidRPr="009D4217">
        <w:rPr>
          <w:rFonts w:ascii="Verdana" w:eastAsia="Calibri" w:hAnsi="Verdana" w:cs="Arial"/>
          <w:bCs/>
          <w:color w:val="000000" w:themeColor="text1"/>
          <w:sz w:val="20"/>
          <w:szCs w:val="20"/>
          <w:lang w:val="es-ES_tradnl"/>
        </w:rPr>
        <w:t>Adicionalmente, aquellos documentos transversales a la ejecución del contrato, como, por ejemplo, el registro presupuestal, el acta de inicio, las actas de delegación de la supervisión, entre otros, podrán publicarse a través del módulo “Documentos de la ejecución” de la sección “7. Ejecución del contrato”. La ventana de documentos de ejecución del contrato en el aplicativo SECOP II, permite cumplir con el deber de publicidad regulado por el artículo 2.2.1.1.1.7.1. del Decreto 1082 de 2015, lo que significa que todos los documentos expedidos durante la etapa ejecución puedan ser publicados en esa opción, ya sea por la misma Entidad Estatal o el proveedor, dentro de los tres (3) días siguientes a su expedición, en caso de no ser publicados automáticamente por la plataforma de SECOP II al momento de su creación, garantizando, entre otros, el principio de transparencia que rige en la contratación estatal</w:t>
      </w:r>
    </w:p>
    <w:p w14:paraId="1C6CBE60" w14:textId="77777777" w:rsidR="000C0762" w:rsidRPr="009D4217" w:rsidRDefault="000C0762" w:rsidP="00E81957">
      <w:pPr>
        <w:spacing w:after="0" w:line="240" w:lineRule="auto"/>
        <w:jc w:val="both"/>
        <w:rPr>
          <w:rFonts w:ascii="Verdana" w:hAnsi="Verdana"/>
          <w:sz w:val="20"/>
          <w:szCs w:val="20"/>
        </w:rPr>
      </w:pPr>
    </w:p>
    <w:p w14:paraId="71C81457" w14:textId="77777777" w:rsidR="000C0762" w:rsidRDefault="000C0762" w:rsidP="00E81957">
      <w:pPr>
        <w:spacing w:after="0" w:line="240" w:lineRule="auto"/>
        <w:jc w:val="both"/>
        <w:rPr>
          <w:rFonts w:ascii="Verdana" w:hAnsi="Verdana"/>
        </w:rPr>
      </w:pPr>
    </w:p>
    <w:p w14:paraId="0E467635" w14:textId="77777777" w:rsidR="000C0762" w:rsidRDefault="000C0762" w:rsidP="00E81957">
      <w:pPr>
        <w:spacing w:after="0" w:line="240" w:lineRule="auto"/>
        <w:jc w:val="both"/>
        <w:rPr>
          <w:rFonts w:ascii="Verdana" w:hAnsi="Verdana"/>
        </w:rPr>
      </w:pPr>
    </w:p>
    <w:p w14:paraId="107B092A" w14:textId="77777777" w:rsidR="001E4AEE" w:rsidRDefault="001E4AEE" w:rsidP="00E81957">
      <w:pPr>
        <w:spacing w:after="0" w:line="240" w:lineRule="auto"/>
        <w:jc w:val="both"/>
        <w:rPr>
          <w:rFonts w:ascii="Verdana" w:hAnsi="Verdana"/>
        </w:rPr>
      </w:pPr>
    </w:p>
    <w:p w14:paraId="3FE87622" w14:textId="77777777" w:rsidR="001E4AEE" w:rsidRDefault="001E4AEE" w:rsidP="00E81957">
      <w:pPr>
        <w:spacing w:after="0" w:line="240" w:lineRule="auto"/>
        <w:jc w:val="both"/>
        <w:rPr>
          <w:rFonts w:ascii="Verdana" w:hAnsi="Verdana"/>
        </w:rPr>
      </w:pPr>
    </w:p>
    <w:p w14:paraId="70E59C72" w14:textId="77777777" w:rsidR="001E4AEE" w:rsidRDefault="001E4AEE" w:rsidP="00E81957">
      <w:pPr>
        <w:spacing w:after="0" w:line="240" w:lineRule="auto"/>
        <w:jc w:val="both"/>
        <w:rPr>
          <w:rFonts w:ascii="Verdana" w:hAnsi="Verdana"/>
        </w:rPr>
      </w:pPr>
    </w:p>
    <w:p w14:paraId="7587600A" w14:textId="77777777" w:rsidR="001E4AEE" w:rsidRDefault="001E4AEE" w:rsidP="00E81957">
      <w:pPr>
        <w:spacing w:after="0" w:line="240" w:lineRule="auto"/>
        <w:jc w:val="both"/>
        <w:rPr>
          <w:rFonts w:ascii="Verdana" w:hAnsi="Verdana"/>
        </w:rPr>
      </w:pPr>
    </w:p>
    <w:p w14:paraId="70137F73" w14:textId="77777777" w:rsidR="001E4AEE" w:rsidRDefault="001E4AEE" w:rsidP="00E81957">
      <w:pPr>
        <w:spacing w:after="0" w:line="240" w:lineRule="auto"/>
        <w:jc w:val="both"/>
        <w:rPr>
          <w:rFonts w:ascii="Verdana" w:hAnsi="Verdana"/>
        </w:rPr>
      </w:pPr>
    </w:p>
    <w:p w14:paraId="13CE59DE" w14:textId="77777777" w:rsidR="001E4AEE" w:rsidRDefault="001E4AEE" w:rsidP="00E81957">
      <w:pPr>
        <w:spacing w:after="0" w:line="240" w:lineRule="auto"/>
        <w:jc w:val="both"/>
        <w:rPr>
          <w:rFonts w:ascii="Verdana" w:hAnsi="Verdana"/>
        </w:rPr>
      </w:pPr>
    </w:p>
    <w:p w14:paraId="191CB880" w14:textId="77777777" w:rsidR="001E4AEE" w:rsidRDefault="001E4AEE" w:rsidP="00E81957">
      <w:pPr>
        <w:spacing w:after="0" w:line="240" w:lineRule="auto"/>
        <w:jc w:val="both"/>
        <w:rPr>
          <w:rFonts w:ascii="Verdana" w:hAnsi="Verdana"/>
        </w:rPr>
      </w:pPr>
    </w:p>
    <w:p w14:paraId="638349A6" w14:textId="77777777" w:rsidR="001E4AEE" w:rsidRDefault="001E4AEE" w:rsidP="00E81957">
      <w:pPr>
        <w:spacing w:after="0" w:line="240" w:lineRule="auto"/>
        <w:jc w:val="both"/>
        <w:rPr>
          <w:rFonts w:ascii="Verdana" w:hAnsi="Verdana"/>
        </w:rPr>
      </w:pPr>
    </w:p>
    <w:p w14:paraId="17DABA6D" w14:textId="77777777" w:rsidR="001E4AEE" w:rsidRDefault="001E4AEE" w:rsidP="00E81957">
      <w:pPr>
        <w:spacing w:after="0" w:line="240" w:lineRule="auto"/>
        <w:jc w:val="both"/>
        <w:rPr>
          <w:rFonts w:ascii="Verdana" w:hAnsi="Verdana"/>
        </w:rPr>
      </w:pPr>
    </w:p>
    <w:p w14:paraId="4181283F" w14:textId="77777777" w:rsidR="001E4AEE" w:rsidRDefault="001E4AEE" w:rsidP="00E81957">
      <w:pPr>
        <w:spacing w:after="0" w:line="240" w:lineRule="auto"/>
        <w:jc w:val="both"/>
        <w:rPr>
          <w:rFonts w:ascii="Verdana" w:hAnsi="Verdana"/>
        </w:rPr>
      </w:pPr>
    </w:p>
    <w:p w14:paraId="5FD81624" w14:textId="77777777" w:rsidR="001E4AEE" w:rsidRDefault="001E4AEE" w:rsidP="00E81957">
      <w:pPr>
        <w:spacing w:after="0" w:line="240" w:lineRule="auto"/>
        <w:jc w:val="both"/>
        <w:rPr>
          <w:rFonts w:ascii="Verdana" w:hAnsi="Verdana"/>
        </w:rPr>
      </w:pPr>
    </w:p>
    <w:p w14:paraId="5AD47F0E" w14:textId="77777777" w:rsidR="001E4AEE" w:rsidRDefault="001E4AEE" w:rsidP="00E81957">
      <w:pPr>
        <w:spacing w:after="0" w:line="240" w:lineRule="auto"/>
        <w:jc w:val="both"/>
        <w:rPr>
          <w:rFonts w:ascii="Verdana" w:hAnsi="Verdana"/>
        </w:rPr>
      </w:pPr>
    </w:p>
    <w:p w14:paraId="1F5246AA" w14:textId="77777777" w:rsidR="001E4AEE" w:rsidRDefault="001E4AEE" w:rsidP="00E81957">
      <w:pPr>
        <w:spacing w:after="0" w:line="240" w:lineRule="auto"/>
        <w:jc w:val="both"/>
        <w:rPr>
          <w:rFonts w:ascii="Verdana" w:hAnsi="Verdana"/>
        </w:rPr>
      </w:pPr>
    </w:p>
    <w:p w14:paraId="32115CA9" w14:textId="77777777" w:rsidR="001E4AEE" w:rsidRDefault="001E4AEE" w:rsidP="00E81957">
      <w:pPr>
        <w:spacing w:after="0" w:line="240" w:lineRule="auto"/>
        <w:jc w:val="both"/>
        <w:rPr>
          <w:rFonts w:ascii="Verdana" w:hAnsi="Verdana"/>
        </w:rPr>
      </w:pPr>
    </w:p>
    <w:p w14:paraId="6438869C" w14:textId="77777777" w:rsidR="001E4AEE" w:rsidRDefault="001E4AEE" w:rsidP="00E81957">
      <w:pPr>
        <w:spacing w:after="0" w:line="240" w:lineRule="auto"/>
        <w:jc w:val="both"/>
        <w:rPr>
          <w:rFonts w:ascii="Verdana" w:hAnsi="Verdana"/>
        </w:rPr>
      </w:pPr>
    </w:p>
    <w:p w14:paraId="3F34643E" w14:textId="77777777" w:rsidR="001E4AEE" w:rsidRDefault="001E4AEE" w:rsidP="00E81957">
      <w:pPr>
        <w:spacing w:after="0" w:line="240" w:lineRule="auto"/>
        <w:jc w:val="both"/>
        <w:rPr>
          <w:rFonts w:ascii="Verdana" w:hAnsi="Verdana"/>
        </w:rPr>
      </w:pPr>
    </w:p>
    <w:p w14:paraId="24B0E241" w14:textId="77777777" w:rsidR="001E4AEE" w:rsidRDefault="001E4AEE" w:rsidP="00E81957">
      <w:pPr>
        <w:spacing w:after="0" w:line="240" w:lineRule="auto"/>
        <w:jc w:val="both"/>
        <w:rPr>
          <w:rFonts w:ascii="Verdana" w:hAnsi="Verdana"/>
        </w:rPr>
      </w:pPr>
    </w:p>
    <w:p w14:paraId="4C67EFA1" w14:textId="77777777" w:rsidR="001E4AEE" w:rsidRDefault="001E4AEE" w:rsidP="00E81957">
      <w:pPr>
        <w:spacing w:after="0" w:line="240" w:lineRule="auto"/>
        <w:jc w:val="both"/>
        <w:rPr>
          <w:rFonts w:ascii="Verdana" w:hAnsi="Verdana"/>
        </w:rPr>
      </w:pPr>
    </w:p>
    <w:p w14:paraId="7DF9E976" w14:textId="77777777" w:rsidR="001E4AEE" w:rsidRDefault="001E4AEE" w:rsidP="00E81957">
      <w:pPr>
        <w:spacing w:after="0" w:line="240" w:lineRule="auto"/>
        <w:jc w:val="both"/>
        <w:rPr>
          <w:rFonts w:ascii="Verdana" w:hAnsi="Verdana"/>
        </w:rPr>
      </w:pPr>
    </w:p>
    <w:p w14:paraId="5A43D884" w14:textId="615CED93" w:rsidR="00E546EE" w:rsidRDefault="001E4AEE" w:rsidP="00E81957">
      <w:pPr>
        <w:spacing w:after="0" w:line="240" w:lineRule="auto"/>
        <w:jc w:val="both"/>
        <w:rPr>
          <w:rFonts w:ascii="Verdana" w:hAnsi="Verdana"/>
        </w:rPr>
      </w:pPr>
      <w:r>
        <w:rPr>
          <w:rFonts w:ascii="Verdana" w:hAnsi="Verdana"/>
        </w:rPr>
        <w:lastRenderedPageBreak/>
        <w:t xml:space="preserve">Bogotá D.C., 16 de mayo de 2025 </w:t>
      </w:r>
    </w:p>
    <w:p w14:paraId="046A4A73" w14:textId="77777777" w:rsidR="001E4AEE" w:rsidRDefault="001E4AEE" w:rsidP="00E81957">
      <w:pPr>
        <w:spacing w:after="0" w:line="240" w:lineRule="auto"/>
        <w:jc w:val="both"/>
        <w:rPr>
          <w:rFonts w:ascii="Verdana" w:hAnsi="Verdana"/>
        </w:rPr>
      </w:pPr>
    </w:p>
    <w:p w14:paraId="0BCBA4B2" w14:textId="25B34554" w:rsidR="001E4AEE" w:rsidRPr="00E81957" w:rsidRDefault="001E4AEE" w:rsidP="001E4AEE">
      <w:pPr>
        <w:spacing w:after="0" w:line="240" w:lineRule="auto"/>
        <w:jc w:val="right"/>
        <w:rPr>
          <w:rFonts w:ascii="Verdana" w:hAnsi="Verdana"/>
        </w:rPr>
      </w:pPr>
      <w:r w:rsidRPr="001E4AEE">
        <w:rPr>
          <w:rFonts w:ascii="Verdana" w:hAnsi="Verdana"/>
        </w:rPr>
        <w:drawing>
          <wp:inline distT="0" distB="0" distL="0" distR="0" wp14:anchorId="69776E19" wp14:editId="73B8B7B7">
            <wp:extent cx="3020081" cy="797402"/>
            <wp:effectExtent l="0" t="0" r="0" b="3175"/>
            <wp:docPr id="84385354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3853540" name=""/>
                    <pic:cNvPicPr/>
                  </pic:nvPicPr>
                  <pic:blipFill>
                    <a:blip r:embed="rId10"/>
                    <a:stretch>
                      <a:fillRect/>
                    </a:stretch>
                  </pic:blipFill>
                  <pic:spPr>
                    <a:xfrm>
                      <a:off x="0" y="0"/>
                      <a:ext cx="3041106" cy="802953"/>
                    </a:xfrm>
                    <a:prstGeom prst="rect">
                      <a:avLst/>
                    </a:prstGeom>
                  </pic:spPr>
                </pic:pic>
              </a:graphicData>
            </a:graphic>
          </wp:inline>
        </w:drawing>
      </w:r>
    </w:p>
    <w:p w14:paraId="77D62421" w14:textId="77777777" w:rsidR="00E546EE" w:rsidRPr="00E81957" w:rsidRDefault="00E546EE" w:rsidP="00E81957">
      <w:pPr>
        <w:spacing w:after="0" w:line="240" w:lineRule="auto"/>
        <w:jc w:val="both"/>
        <w:rPr>
          <w:rFonts w:ascii="Verdana" w:hAnsi="Verdana"/>
        </w:rPr>
      </w:pPr>
    </w:p>
    <w:p w14:paraId="6D350092" w14:textId="77777777" w:rsidR="00E546EE" w:rsidRPr="00E81957" w:rsidRDefault="00E546EE" w:rsidP="00E81957">
      <w:pPr>
        <w:spacing w:after="0" w:line="240" w:lineRule="auto"/>
        <w:jc w:val="both"/>
        <w:rPr>
          <w:rFonts w:ascii="Verdana" w:eastAsia="Calibri" w:hAnsi="Verdana" w:cs="Arial"/>
          <w:lang w:val="es-ES" w:eastAsia="es-ES"/>
        </w:rPr>
      </w:pPr>
    </w:p>
    <w:p w14:paraId="2563C12D" w14:textId="77777777" w:rsidR="00E546EE" w:rsidRPr="00E81957" w:rsidRDefault="00E546EE" w:rsidP="00E81957">
      <w:pPr>
        <w:spacing w:after="0" w:line="240" w:lineRule="auto"/>
        <w:jc w:val="both"/>
        <w:rPr>
          <w:rFonts w:ascii="Verdana" w:eastAsia="Calibri" w:hAnsi="Verdana" w:cs="Arial"/>
          <w:lang w:val="es-ES" w:eastAsia="es-ES"/>
        </w:rPr>
      </w:pPr>
      <w:r w:rsidRPr="00E81957">
        <w:rPr>
          <w:rFonts w:ascii="Verdana" w:eastAsia="Calibri" w:hAnsi="Verdana" w:cs="Arial"/>
          <w:lang w:val="es-ES" w:eastAsia="es-ES"/>
        </w:rPr>
        <w:t>Señora</w:t>
      </w:r>
    </w:p>
    <w:p w14:paraId="7EF6909E" w14:textId="77777777" w:rsidR="00E546EE" w:rsidRPr="00E81957" w:rsidRDefault="00E546EE" w:rsidP="00E81957">
      <w:pPr>
        <w:spacing w:after="0" w:line="240" w:lineRule="auto"/>
        <w:rPr>
          <w:rFonts w:ascii="Verdana" w:eastAsia="Calibri" w:hAnsi="Verdana" w:cs="Arial"/>
          <w:b/>
          <w:lang w:eastAsia="es-ES_tradnl"/>
        </w:rPr>
      </w:pPr>
      <w:r w:rsidRPr="00E81957">
        <w:rPr>
          <w:rFonts w:ascii="Verdana" w:eastAsia="Calibri" w:hAnsi="Verdana" w:cs="Arial"/>
          <w:b/>
          <w:lang w:eastAsia="es-ES_tradnl"/>
        </w:rPr>
        <w:t>Amanda Lucía Bárcenas Mantilla</w:t>
      </w:r>
    </w:p>
    <w:p w14:paraId="54170338" w14:textId="77777777" w:rsidR="00E546EE" w:rsidRPr="00E81957" w:rsidRDefault="00E546EE" w:rsidP="00E81957">
      <w:pPr>
        <w:spacing w:after="0" w:line="240" w:lineRule="auto"/>
        <w:rPr>
          <w:rFonts w:ascii="Verdana" w:hAnsi="Verdana"/>
        </w:rPr>
      </w:pPr>
      <w:hyperlink r:id="rId11" w:history="1">
        <w:r w:rsidRPr="00E81957">
          <w:rPr>
            <w:rStyle w:val="Hipervnculo"/>
            <w:rFonts w:ascii="Verdana" w:hAnsi="Verdana"/>
          </w:rPr>
          <w:t>presupuesto@bomberosdebucaramanga.gov.co</w:t>
        </w:r>
      </w:hyperlink>
    </w:p>
    <w:p w14:paraId="11E36512" w14:textId="77777777" w:rsidR="00E546EE" w:rsidRPr="00E81957" w:rsidRDefault="00E546EE" w:rsidP="00E81957">
      <w:pPr>
        <w:spacing w:after="0" w:line="240" w:lineRule="auto"/>
        <w:rPr>
          <w:rFonts w:ascii="Verdana" w:hAnsi="Verdana"/>
          <w:lang w:val="it-CH"/>
        </w:rPr>
      </w:pPr>
      <w:r w:rsidRPr="00E81957">
        <w:rPr>
          <w:rFonts w:ascii="Verdana" w:hAnsi="Verdana"/>
          <w:lang w:val="it-CH"/>
        </w:rPr>
        <w:t xml:space="preserve">Bucaramanga – Santander </w:t>
      </w:r>
    </w:p>
    <w:p w14:paraId="5BA92254" w14:textId="77777777" w:rsidR="00E546EE" w:rsidRPr="00E81957" w:rsidRDefault="00E546EE" w:rsidP="00E81957">
      <w:pPr>
        <w:spacing w:after="0" w:line="240" w:lineRule="auto"/>
        <w:rPr>
          <w:rFonts w:ascii="Verdana" w:eastAsia="Calibri" w:hAnsi="Verdana" w:cs="Arial"/>
          <w:b/>
          <w:bCs/>
          <w:color w:val="000000"/>
          <w:lang w:val="it-CH" w:eastAsia="es-ES_tradnl"/>
        </w:rPr>
      </w:pPr>
    </w:p>
    <w:p w14:paraId="0296D29A" w14:textId="77777777" w:rsidR="00E546EE" w:rsidRPr="00E81957" w:rsidRDefault="00E546EE" w:rsidP="00E81957">
      <w:pPr>
        <w:spacing w:after="0" w:line="240" w:lineRule="auto"/>
        <w:rPr>
          <w:rFonts w:ascii="Verdana" w:eastAsia="Calibri" w:hAnsi="Verdana" w:cs="Arial"/>
          <w:b/>
          <w:bCs/>
          <w:color w:val="000000"/>
          <w:lang w:val="it-CH"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E546EE" w:rsidRPr="00E81957" w14:paraId="2901D4B0" w14:textId="77777777" w:rsidTr="000307E3">
        <w:trPr>
          <w:trHeight w:val="162"/>
        </w:trPr>
        <w:tc>
          <w:tcPr>
            <w:tcW w:w="2689" w:type="dxa"/>
          </w:tcPr>
          <w:p w14:paraId="6F1A0881" w14:textId="77777777" w:rsidR="00E546EE" w:rsidRPr="00E81957" w:rsidRDefault="00E546EE" w:rsidP="00E81957">
            <w:pPr>
              <w:jc w:val="both"/>
              <w:rPr>
                <w:rFonts w:ascii="Verdana" w:eastAsia="Calibri" w:hAnsi="Verdana" w:cs="Arial"/>
                <w:b/>
                <w:bCs/>
                <w:color w:val="7030A0"/>
                <w:lang w:val="it-CH" w:eastAsia="es-ES_tradnl"/>
              </w:rPr>
            </w:pPr>
          </w:p>
        </w:tc>
        <w:tc>
          <w:tcPr>
            <w:tcW w:w="6100" w:type="dxa"/>
            <w:shd w:val="clear" w:color="auto" w:fill="auto"/>
          </w:tcPr>
          <w:p w14:paraId="6B3279FA" w14:textId="2D4DACBF" w:rsidR="00E546EE" w:rsidRPr="00E81957" w:rsidRDefault="00D0677D" w:rsidP="00E81957">
            <w:pPr>
              <w:jc w:val="both"/>
              <w:rPr>
                <w:rFonts w:ascii="Verdana" w:eastAsia="Calibri" w:hAnsi="Verdana" w:cs="Arial"/>
                <w:b/>
                <w:bCs/>
                <w:lang w:val="es-ES" w:eastAsia="es-ES"/>
              </w:rPr>
            </w:pPr>
            <w:r w:rsidRPr="00E81957">
              <w:rPr>
                <w:rFonts w:ascii="Verdana" w:eastAsia="Calibri" w:hAnsi="Verdana" w:cs="Arial"/>
                <w:b/>
                <w:bCs/>
                <w:lang w:val="es-ES" w:eastAsia="es-ES"/>
              </w:rPr>
              <w:t xml:space="preserve">Concepto </w:t>
            </w:r>
            <w:r w:rsidR="00E546EE" w:rsidRPr="00E81957">
              <w:rPr>
                <w:rFonts w:ascii="Verdana" w:eastAsia="Calibri" w:hAnsi="Verdana" w:cs="Arial"/>
                <w:b/>
                <w:bCs/>
                <w:lang w:val="es-ES" w:eastAsia="es-ES"/>
              </w:rPr>
              <w:t>C- 441 de 2025</w:t>
            </w:r>
          </w:p>
          <w:p w14:paraId="54C51D4C" w14:textId="77777777" w:rsidR="00D0677D" w:rsidRPr="00E81957" w:rsidRDefault="00D0677D" w:rsidP="00E81957">
            <w:pPr>
              <w:jc w:val="both"/>
              <w:rPr>
                <w:rFonts w:ascii="Verdana" w:eastAsia="Calibri" w:hAnsi="Verdana" w:cs="Arial"/>
                <w:b/>
                <w:bCs/>
                <w:color w:val="7030A0"/>
                <w:lang w:val="es-ES" w:eastAsia="es-ES"/>
              </w:rPr>
            </w:pPr>
          </w:p>
        </w:tc>
      </w:tr>
      <w:tr w:rsidR="00E546EE" w:rsidRPr="00E81957" w14:paraId="6DAC7A5F" w14:textId="77777777" w:rsidTr="000307E3">
        <w:trPr>
          <w:trHeight w:val="884"/>
        </w:trPr>
        <w:tc>
          <w:tcPr>
            <w:tcW w:w="2689" w:type="dxa"/>
          </w:tcPr>
          <w:p w14:paraId="464922E1" w14:textId="77777777" w:rsidR="00E546EE" w:rsidRPr="00E81957" w:rsidRDefault="00E546EE" w:rsidP="00E81957">
            <w:pPr>
              <w:jc w:val="both"/>
              <w:rPr>
                <w:rFonts w:ascii="Verdana" w:eastAsia="Calibri" w:hAnsi="Verdana" w:cs="Arial"/>
                <w:color w:val="000000"/>
                <w:lang w:val="es-ES_tradnl" w:eastAsia="es-ES_tradnl"/>
              </w:rPr>
            </w:pPr>
            <w:r w:rsidRPr="00E81957">
              <w:rPr>
                <w:rFonts w:ascii="Verdana" w:eastAsia="Calibri" w:hAnsi="Verdana" w:cs="Arial"/>
                <w:b/>
                <w:color w:val="000000"/>
                <w:lang w:val="es-ES_tradnl" w:eastAsia="es-ES_tradnl"/>
              </w:rPr>
              <w:t>Temas:</w:t>
            </w:r>
            <w:r w:rsidRPr="00E81957">
              <w:rPr>
                <w:rFonts w:ascii="Verdana" w:eastAsia="Calibri" w:hAnsi="Verdana" w:cs="Arial"/>
                <w:color w:val="000000"/>
                <w:lang w:val="es-ES_tradnl" w:eastAsia="es-ES_tradnl"/>
              </w:rPr>
              <w:t xml:space="preserve">                   </w:t>
            </w:r>
          </w:p>
        </w:tc>
        <w:tc>
          <w:tcPr>
            <w:tcW w:w="6100" w:type="dxa"/>
            <w:shd w:val="clear" w:color="auto" w:fill="auto"/>
          </w:tcPr>
          <w:p w14:paraId="40C4B1FD" w14:textId="77777777" w:rsidR="00E546EE" w:rsidRPr="00E81957" w:rsidRDefault="00E546EE" w:rsidP="00F91EF1">
            <w:pPr>
              <w:jc w:val="both"/>
              <w:rPr>
                <w:rFonts w:ascii="Verdana" w:eastAsia="Calibri" w:hAnsi="Verdana" w:cs="Arial"/>
                <w:bCs/>
                <w:color w:val="000000"/>
                <w:lang w:val="es-ES_tradnl"/>
              </w:rPr>
            </w:pPr>
            <w:r w:rsidRPr="00E81957">
              <w:rPr>
                <w:rFonts w:ascii="Verdana" w:eastAsia="Calibri" w:hAnsi="Verdana" w:cs="Arial"/>
                <w:lang w:eastAsia="es-ES"/>
              </w:rPr>
              <w:t xml:space="preserve">CONTRATO DE PRESTACIÓN DE SERVICIOS - </w:t>
            </w:r>
            <w:r w:rsidRPr="00E81957">
              <w:rPr>
                <w:rFonts w:ascii="Verdana" w:eastAsia="Calibri" w:hAnsi="Verdana" w:cs="Arial"/>
                <w:bCs/>
                <w:color w:val="000000"/>
                <w:lang w:val="es-ES_tradnl"/>
              </w:rPr>
              <w:t xml:space="preserve">Concepto / Características – CONTRATO DE PRESTACIÓN DE SERVICIOS – Documentos para pago – Autonomía de la Voluntad – Documentos del proceso / CONTRATO DE PRESTACIÓN DE </w:t>
            </w:r>
            <w:r w:rsidR="008609C0" w:rsidRPr="00E81957">
              <w:rPr>
                <w:rFonts w:ascii="Verdana" w:eastAsia="Calibri" w:hAnsi="Verdana" w:cs="Arial"/>
                <w:bCs/>
                <w:color w:val="000000"/>
                <w:lang w:val="es-ES_tradnl"/>
              </w:rPr>
              <w:t>SERVICIOS</w:t>
            </w:r>
            <w:r w:rsidRPr="00E81957">
              <w:rPr>
                <w:rFonts w:ascii="Verdana" w:eastAsia="Calibri" w:hAnsi="Verdana" w:cs="Arial"/>
                <w:bCs/>
                <w:color w:val="000000"/>
                <w:lang w:val="es-ES_tradnl"/>
              </w:rPr>
              <w:t xml:space="preserve"> – Pagos – Calendario del PAC / CONTRATO DE PRESTACIÓN DE SERVICIOS / SECOP II – Informes y cuentas de cobro – Gestión en plataforma  </w:t>
            </w:r>
          </w:p>
          <w:p w14:paraId="7ECBDB64" w14:textId="06E042B4" w:rsidR="00D0677D" w:rsidRPr="00E81957" w:rsidRDefault="00D0677D" w:rsidP="00F91EF1">
            <w:pPr>
              <w:jc w:val="both"/>
              <w:rPr>
                <w:rFonts w:ascii="Verdana" w:eastAsia="Calibri" w:hAnsi="Verdana" w:cs="Arial"/>
                <w:lang w:eastAsia="es-ES"/>
              </w:rPr>
            </w:pPr>
          </w:p>
        </w:tc>
      </w:tr>
      <w:tr w:rsidR="00E546EE" w:rsidRPr="00E81957" w14:paraId="11F22A7A" w14:textId="77777777" w:rsidTr="000307E3">
        <w:tc>
          <w:tcPr>
            <w:tcW w:w="2689" w:type="dxa"/>
          </w:tcPr>
          <w:p w14:paraId="0CDF6FD9" w14:textId="77777777" w:rsidR="00E546EE" w:rsidRPr="00E81957" w:rsidRDefault="00E546EE" w:rsidP="00E81957">
            <w:pPr>
              <w:jc w:val="both"/>
              <w:rPr>
                <w:rFonts w:ascii="Verdana" w:eastAsia="Calibri" w:hAnsi="Verdana" w:cs="Arial"/>
                <w:b/>
                <w:lang w:val="es-ES_tradnl" w:eastAsia="es-ES_tradnl"/>
              </w:rPr>
            </w:pPr>
            <w:r w:rsidRPr="00E81957">
              <w:rPr>
                <w:rFonts w:ascii="Verdana" w:eastAsia="Calibri" w:hAnsi="Verdana" w:cs="Arial"/>
                <w:b/>
                <w:lang w:val="es-ES_tradnl" w:eastAsia="es-ES_tradnl"/>
              </w:rPr>
              <w:t>Radicación:</w:t>
            </w:r>
            <w:r w:rsidRPr="00E81957">
              <w:rPr>
                <w:rFonts w:ascii="Verdana" w:eastAsia="Calibri" w:hAnsi="Verdana" w:cs="Arial"/>
                <w:lang w:val="es-ES_tradnl" w:eastAsia="es-ES_tradnl"/>
              </w:rPr>
              <w:t xml:space="preserve">               </w:t>
            </w:r>
          </w:p>
        </w:tc>
        <w:tc>
          <w:tcPr>
            <w:tcW w:w="6100" w:type="dxa"/>
          </w:tcPr>
          <w:p w14:paraId="72D28982" w14:textId="77777777" w:rsidR="00E546EE" w:rsidRPr="00E81957" w:rsidRDefault="00E546EE" w:rsidP="00E81957">
            <w:pPr>
              <w:jc w:val="both"/>
              <w:rPr>
                <w:rFonts w:ascii="Verdana" w:eastAsia="Calibri" w:hAnsi="Verdana" w:cs="Arial"/>
                <w:lang w:val="es-ES_tradnl" w:eastAsia="es-ES_tradnl"/>
              </w:rPr>
            </w:pPr>
            <w:r w:rsidRPr="00E81957">
              <w:rPr>
                <w:rFonts w:ascii="Verdana" w:eastAsia="Calibri" w:hAnsi="Verdana" w:cs="Arial"/>
                <w:lang w:val="es-ES_tradnl" w:eastAsia="es-ES_tradnl"/>
              </w:rPr>
              <w:t>Respuesta a consulta con radicado No. P20250410003497</w:t>
            </w:r>
          </w:p>
        </w:tc>
      </w:tr>
    </w:tbl>
    <w:p w14:paraId="125453AE" w14:textId="77777777" w:rsidR="00E546EE" w:rsidRPr="00E81957" w:rsidRDefault="00E546EE" w:rsidP="00F91EF1">
      <w:pPr>
        <w:spacing w:after="0" w:line="240" w:lineRule="auto"/>
        <w:jc w:val="both"/>
        <w:rPr>
          <w:rFonts w:ascii="Verdana" w:eastAsia="Calibri" w:hAnsi="Verdana" w:cs="Arial"/>
          <w:lang w:val="es-ES_tradnl" w:eastAsia="es-ES_tradnl"/>
        </w:rPr>
      </w:pPr>
    </w:p>
    <w:p w14:paraId="481AE705" w14:textId="77777777" w:rsidR="00E546EE" w:rsidRPr="00E81957" w:rsidRDefault="00E546EE" w:rsidP="00E81957">
      <w:pPr>
        <w:spacing w:after="0" w:line="276" w:lineRule="auto"/>
        <w:jc w:val="both"/>
        <w:rPr>
          <w:rFonts w:ascii="Verdana" w:eastAsia="Calibri" w:hAnsi="Verdana" w:cs="Arial"/>
          <w:lang w:val="es-ES" w:eastAsia="es-ES"/>
        </w:rPr>
      </w:pPr>
      <w:r w:rsidRPr="00E81957">
        <w:rPr>
          <w:rFonts w:ascii="Verdana" w:eastAsia="Calibri" w:hAnsi="Verdana" w:cs="Arial"/>
          <w:lang w:val="es-ES" w:eastAsia="es-ES"/>
        </w:rPr>
        <w:t xml:space="preserve">Estimada señora Amanda Lucía: </w:t>
      </w:r>
    </w:p>
    <w:p w14:paraId="4B1D761E" w14:textId="77777777" w:rsidR="00E546EE" w:rsidRPr="00F71A6A" w:rsidRDefault="00E546EE" w:rsidP="00E81957">
      <w:pPr>
        <w:tabs>
          <w:tab w:val="left" w:pos="3768"/>
        </w:tabs>
        <w:spacing w:after="0" w:line="276" w:lineRule="auto"/>
        <w:jc w:val="both"/>
        <w:rPr>
          <w:rFonts w:ascii="Verdana" w:eastAsia="Calibri" w:hAnsi="Verdana" w:cs="Arial"/>
          <w:lang w:val="es-ES" w:eastAsia="es-ES"/>
        </w:rPr>
      </w:pPr>
      <w:r w:rsidRPr="00F71A6A">
        <w:rPr>
          <w:rFonts w:ascii="Verdana" w:eastAsia="Calibri" w:hAnsi="Verdana" w:cs="Arial"/>
          <w:lang w:val="es-ES" w:eastAsia="es-ES"/>
        </w:rPr>
        <w:tab/>
      </w:r>
    </w:p>
    <w:p w14:paraId="44494BCB" w14:textId="77777777" w:rsidR="00E546EE" w:rsidRPr="00F71A6A" w:rsidRDefault="00E546EE" w:rsidP="00E81957">
      <w:pPr>
        <w:spacing w:after="0" w:line="276" w:lineRule="auto"/>
        <w:jc w:val="both"/>
        <w:rPr>
          <w:rFonts w:ascii="Verdana" w:eastAsia="Calibri" w:hAnsi="Verdana" w:cs="Arial"/>
          <w:lang w:val="es-ES" w:eastAsia="es-ES"/>
        </w:rPr>
      </w:pPr>
      <w:r w:rsidRPr="00F71A6A">
        <w:rPr>
          <w:rFonts w:ascii="Verdana" w:eastAsia="Calibri" w:hAnsi="Verdana" w:cs="Arial"/>
          <w:color w:val="000000" w:themeColor="text1"/>
          <w:lang w:val="es-ES" w:eastAsia="es-ES"/>
        </w:rPr>
        <w:t>En ejercicio de la competencia otorgada por los artículos 3, numeral 5º, y 11, numeral 8º, del Decreto Ley 4170 de 2011,</w:t>
      </w:r>
      <w:r w:rsidRPr="00F71A6A">
        <w:rPr>
          <w:rFonts w:ascii="Verdana" w:eastAsia="Arial MT" w:hAnsi="Verdana" w:cs="Arial MT"/>
          <w:lang w:val="es-ES" w:eastAsia="es-ES"/>
        </w:rPr>
        <w:t xml:space="preserve"> </w:t>
      </w:r>
      <w:r w:rsidRPr="00F71A6A">
        <w:rPr>
          <w:rFonts w:ascii="Verdana" w:hAnsi="Verdana" w:cs="Arial"/>
        </w:rPr>
        <w:t xml:space="preserve">así como lo establecido en el artículo 4 de la Resolución 1707 de 2018 expedida por esta Entidad, </w:t>
      </w:r>
      <w:r w:rsidRPr="00F71A6A">
        <w:rPr>
          <w:rFonts w:ascii="Verdana" w:eastAsia="Calibri" w:hAnsi="Verdana" w:cs="Arial"/>
          <w:color w:val="000000" w:themeColor="text1"/>
          <w:lang w:val="es-ES" w:eastAsia="es-ES"/>
        </w:rPr>
        <w:t xml:space="preserve">la Agencia Nacional de Contratación </w:t>
      </w:r>
      <w:r w:rsidRPr="00F71A6A">
        <w:rPr>
          <w:rFonts w:ascii="Verdana" w:eastAsia="Calibri" w:hAnsi="Verdana" w:cs="Arial"/>
          <w:lang w:val="es-ES" w:eastAsia="es-ES"/>
        </w:rPr>
        <w:t xml:space="preserve">Pública – Colombia Compra Eficiente– responde su solicitud de consulta de fecha </w:t>
      </w:r>
      <w:r>
        <w:rPr>
          <w:rFonts w:ascii="Verdana" w:eastAsia="Calibri" w:hAnsi="Verdana" w:cs="Arial"/>
          <w:lang w:val="es-ES" w:eastAsia="es-ES"/>
        </w:rPr>
        <w:t>10 de abril de 2025</w:t>
      </w:r>
      <w:r w:rsidRPr="00F71A6A">
        <w:rPr>
          <w:rFonts w:ascii="Verdana" w:eastAsia="Calibri" w:hAnsi="Verdana" w:cs="Arial"/>
          <w:lang w:val="es-ES" w:eastAsia="es-ES"/>
        </w:rPr>
        <w:t>,</w:t>
      </w:r>
      <w:r>
        <w:rPr>
          <w:rFonts w:ascii="Verdana" w:eastAsia="Calibri" w:hAnsi="Verdana" w:cs="Arial"/>
          <w:lang w:val="es-ES" w:eastAsia="es-ES"/>
        </w:rPr>
        <w:t xml:space="preserve"> </w:t>
      </w:r>
      <w:r w:rsidRPr="00F71A6A">
        <w:rPr>
          <w:rFonts w:ascii="Verdana" w:eastAsia="Calibri" w:hAnsi="Verdana" w:cs="Arial"/>
          <w:lang w:val="es-ES" w:eastAsia="es-ES"/>
        </w:rPr>
        <w:t xml:space="preserve">en la cual manifiesta lo siguiente: </w:t>
      </w:r>
    </w:p>
    <w:p w14:paraId="4AED7DFE" w14:textId="77777777" w:rsidR="00E546EE" w:rsidRPr="000643DA" w:rsidRDefault="00E546EE" w:rsidP="00E81957">
      <w:pPr>
        <w:pStyle w:val="Prrafodelista"/>
        <w:tabs>
          <w:tab w:val="left" w:pos="142"/>
          <w:tab w:val="left" w:pos="284"/>
        </w:tabs>
        <w:spacing w:after="0" w:line="276" w:lineRule="auto"/>
        <w:ind w:left="142"/>
        <w:contextualSpacing w:val="0"/>
        <w:jc w:val="both"/>
        <w:rPr>
          <w:rFonts w:ascii="Verdana" w:eastAsia="Century Gothic" w:hAnsi="Verdana" w:cs="Century Gothic"/>
          <w:b/>
          <w:bCs/>
          <w:i/>
          <w:iCs/>
          <w:sz w:val="20"/>
          <w:szCs w:val="20"/>
        </w:rPr>
      </w:pPr>
    </w:p>
    <w:p w14:paraId="3C49E62C" w14:textId="77777777" w:rsidR="00891E38" w:rsidRDefault="00E546EE" w:rsidP="00E546EE">
      <w:pPr>
        <w:spacing w:after="0" w:line="240" w:lineRule="auto"/>
        <w:ind w:left="709" w:right="902"/>
        <w:jc w:val="both"/>
        <w:rPr>
          <w:rFonts w:ascii="Verdana" w:eastAsia="Century Gothic" w:hAnsi="Verdana" w:cs="Century Gothic"/>
          <w:sz w:val="20"/>
          <w:szCs w:val="20"/>
        </w:rPr>
      </w:pPr>
      <w:bookmarkStart w:id="2" w:name="_Hlk192699624"/>
      <w:r w:rsidRPr="00835A24">
        <w:rPr>
          <w:rFonts w:ascii="Verdana" w:eastAsia="Century Gothic" w:hAnsi="Verdana" w:cs="Century Gothic"/>
          <w:sz w:val="20"/>
          <w:szCs w:val="20"/>
        </w:rPr>
        <w:t xml:space="preserve">“(…) </w:t>
      </w:r>
    </w:p>
    <w:p w14:paraId="14074B8C" w14:textId="5E0A5BF1" w:rsidR="00E546EE" w:rsidRDefault="00E546EE" w:rsidP="00E546EE">
      <w:pPr>
        <w:spacing w:after="0" w:line="240" w:lineRule="auto"/>
        <w:ind w:left="709" w:right="902"/>
        <w:jc w:val="both"/>
        <w:rPr>
          <w:rFonts w:ascii="Verdana" w:hAnsi="Verdana"/>
          <w:sz w:val="20"/>
          <w:szCs w:val="20"/>
        </w:rPr>
      </w:pPr>
      <w:r w:rsidRPr="006E593D">
        <w:rPr>
          <w:rFonts w:ascii="Verdana" w:hAnsi="Verdana"/>
          <w:sz w:val="20"/>
          <w:szCs w:val="20"/>
        </w:rPr>
        <w:t xml:space="preserve">1. Existe marco normativo respecto de la presentación de la forma y fechas en las cuales un contratista debe presentar sus cuentas especialmente de prestación de servicios. </w:t>
      </w:r>
    </w:p>
    <w:p w14:paraId="76E9FE44" w14:textId="77777777" w:rsidR="00E546EE" w:rsidRDefault="00E546EE" w:rsidP="00E546EE">
      <w:pPr>
        <w:spacing w:after="0" w:line="240" w:lineRule="auto"/>
        <w:ind w:left="709" w:right="902"/>
        <w:jc w:val="both"/>
        <w:rPr>
          <w:rFonts w:ascii="Verdana" w:hAnsi="Verdana"/>
          <w:sz w:val="20"/>
          <w:szCs w:val="20"/>
        </w:rPr>
      </w:pPr>
      <w:r w:rsidRPr="006E593D">
        <w:rPr>
          <w:rFonts w:ascii="Verdana" w:hAnsi="Verdana"/>
          <w:sz w:val="20"/>
          <w:szCs w:val="20"/>
        </w:rPr>
        <w:lastRenderedPageBreak/>
        <w:t xml:space="preserve">2. Que es primero el acta de ejecución o el informe y certificación de cumplimiento de obligaciones </w:t>
      </w:r>
    </w:p>
    <w:p w14:paraId="09CC70B1" w14:textId="77777777" w:rsidR="00E546EE" w:rsidRDefault="00E546EE" w:rsidP="00E546EE">
      <w:pPr>
        <w:spacing w:after="0" w:line="240" w:lineRule="auto"/>
        <w:ind w:left="709" w:right="902"/>
        <w:jc w:val="both"/>
        <w:rPr>
          <w:rFonts w:ascii="Verdana" w:hAnsi="Verdana"/>
          <w:sz w:val="20"/>
          <w:szCs w:val="20"/>
        </w:rPr>
      </w:pPr>
      <w:r w:rsidRPr="006E593D">
        <w:rPr>
          <w:rFonts w:ascii="Verdana" w:hAnsi="Verdana"/>
          <w:sz w:val="20"/>
          <w:szCs w:val="20"/>
        </w:rPr>
        <w:t xml:space="preserve">3. Está prohibido que un contratista presente simultáneamente 2 cuentas de cobro o </w:t>
      </w:r>
      <w:proofErr w:type="spellStart"/>
      <w:r w:rsidRPr="006E593D">
        <w:rPr>
          <w:rFonts w:ascii="Verdana" w:hAnsi="Verdana"/>
          <w:sz w:val="20"/>
          <w:szCs w:val="20"/>
        </w:rPr>
        <w:t>mas</w:t>
      </w:r>
      <w:proofErr w:type="spellEnd"/>
      <w:r w:rsidRPr="006E593D">
        <w:rPr>
          <w:rFonts w:ascii="Verdana" w:hAnsi="Verdana"/>
          <w:sz w:val="20"/>
          <w:szCs w:val="20"/>
        </w:rPr>
        <w:t xml:space="preserve"> </w:t>
      </w:r>
      <w:r>
        <w:rPr>
          <w:rFonts w:ascii="Verdana" w:hAnsi="Verdana"/>
          <w:sz w:val="20"/>
          <w:szCs w:val="20"/>
        </w:rPr>
        <w:t xml:space="preserve">(sic) </w:t>
      </w:r>
      <w:r w:rsidRPr="006E593D">
        <w:rPr>
          <w:rFonts w:ascii="Verdana" w:hAnsi="Verdana"/>
          <w:sz w:val="20"/>
          <w:szCs w:val="20"/>
        </w:rPr>
        <w:t xml:space="preserve">por sus servicios prestados en periodos diferentes </w:t>
      </w:r>
    </w:p>
    <w:p w14:paraId="030BDEB1" w14:textId="77777777" w:rsidR="00E546EE" w:rsidRPr="00835A24" w:rsidRDefault="00E546EE" w:rsidP="00E546EE">
      <w:pPr>
        <w:spacing w:after="0" w:line="240" w:lineRule="auto"/>
        <w:ind w:left="709" w:right="902"/>
        <w:jc w:val="both"/>
        <w:rPr>
          <w:rFonts w:ascii="Verdana" w:hAnsi="Verdana"/>
          <w:sz w:val="20"/>
          <w:szCs w:val="20"/>
        </w:rPr>
      </w:pPr>
      <w:r w:rsidRPr="006E593D">
        <w:rPr>
          <w:rFonts w:ascii="Verdana" w:hAnsi="Verdana"/>
          <w:sz w:val="20"/>
          <w:szCs w:val="20"/>
        </w:rPr>
        <w:t xml:space="preserve">4. Los documentos que se publican en el SECOP II del contratista y contratante deben coincidir con la misma fecha ?: </w:t>
      </w:r>
      <w:r w:rsidRPr="00835A24">
        <w:rPr>
          <w:rFonts w:ascii="Verdana" w:eastAsia="Century Gothic" w:hAnsi="Verdana" w:cs="Century Gothic"/>
          <w:sz w:val="20"/>
          <w:szCs w:val="20"/>
        </w:rPr>
        <w:t>(…)”.</w:t>
      </w:r>
    </w:p>
    <w:bookmarkEnd w:id="2"/>
    <w:p w14:paraId="796ADC1A" w14:textId="77777777" w:rsidR="00E546EE" w:rsidRPr="00F71A6A" w:rsidRDefault="00E546EE" w:rsidP="00E546EE">
      <w:pPr>
        <w:pStyle w:val="Prrafodelista"/>
        <w:tabs>
          <w:tab w:val="left" w:pos="142"/>
          <w:tab w:val="left" w:pos="284"/>
        </w:tabs>
        <w:spacing w:after="0" w:line="240" w:lineRule="auto"/>
        <w:ind w:left="0"/>
        <w:jc w:val="both"/>
        <w:rPr>
          <w:rFonts w:ascii="Verdana" w:eastAsia="Century Gothic" w:hAnsi="Verdana" w:cs="Century Gothic"/>
          <w:b/>
          <w:bCs/>
        </w:rPr>
      </w:pPr>
    </w:p>
    <w:p w14:paraId="138ACD4F" w14:textId="77777777" w:rsidR="00E546EE" w:rsidRPr="00995CAD" w:rsidRDefault="00E546EE" w:rsidP="00E546EE">
      <w:pPr>
        <w:spacing w:after="120" w:line="276" w:lineRule="auto"/>
        <w:ind w:firstLine="709"/>
        <w:jc w:val="both"/>
        <w:rPr>
          <w:rFonts w:ascii="Verdana" w:eastAsia="Calibri" w:hAnsi="Verdana" w:cs="Arial"/>
          <w:color w:val="000000"/>
          <w:szCs w:val="24"/>
          <w:lang w:val="es-ES_tradnl" w:eastAsia="es-ES_tradnl"/>
        </w:rPr>
      </w:pPr>
      <w:r w:rsidRPr="00995CAD">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995CAD">
        <w:rPr>
          <w:rFonts w:ascii="Verdana" w:eastAsia="Calibri" w:hAnsi="Verdana" w:cs="Arial"/>
          <w:color w:val="000000"/>
          <w:szCs w:val="24"/>
          <w:lang w:val="es-ES_tradnl" w:eastAsia="es-ES_tradnl"/>
        </w:rPr>
        <w:tab/>
      </w:r>
    </w:p>
    <w:p w14:paraId="4EF2FD7B" w14:textId="77777777" w:rsidR="00E546EE" w:rsidRPr="00995CAD" w:rsidRDefault="00E546EE" w:rsidP="00E546EE">
      <w:pPr>
        <w:spacing w:after="0" w:line="276" w:lineRule="auto"/>
        <w:ind w:firstLine="709"/>
        <w:jc w:val="both"/>
        <w:rPr>
          <w:rFonts w:ascii="Verdana" w:eastAsia="Calibri" w:hAnsi="Verdana" w:cs="Arial"/>
          <w:color w:val="000000"/>
          <w:lang w:val="es-ES" w:eastAsia="es-ES"/>
        </w:rPr>
      </w:pPr>
      <w:r w:rsidRPr="00995CAD">
        <w:rPr>
          <w:rFonts w:ascii="Verdana" w:eastAsia="Calibri" w:hAnsi="Verdana" w:cs="Arial"/>
          <w:color w:val="000000"/>
          <w:lang w:val="es-ES" w:eastAsia="es-ES"/>
        </w:rPr>
        <w:t xml:space="preserve">Conforme lo expuesto, en aras de garantizar el derecho fundamental de petición, se resolverá su petición dentro de los límites de la referida competencia consultiva, esto es, haciendo </w:t>
      </w:r>
      <w:r>
        <w:rPr>
          <w:rFonts w:ascii="Verdana" w:eastAsia="Calibri" w:hAnsi="Verdana" w:cs="Arial"/>
          <w:color w:val="000000"/>
          <w:lang w:val="es-ES" w:eastAsia="es-ES"/>
        </w:rPr>
        <w:t>abstracción del caso particular y concreto señalado en su petición, pero señalando</w:t>
      </w:r>
      <w:r w:rsidRPr="00995CAD">
        <w:rPr>
          <w:rFonts w:ascii="Verdana" w:eastAsia="Calibri" w:hAnsi="Verdana" w:cs="Arial"/>
          <w:color w:val="000000"/>
          <w:lang w:val="es-ES" w:eastAsia="es-ES"/>
        </w:rPr>
        <w:t xml:space="preserve"> </w:t>
      </w:r>
      <w:r>
        <w:rPr>
          <w:rFonts w:ascii="Verdana" w:eastAsia="Calibri" w:hAnsi="Verdana" w:cs="Arial"/>
          <w:color w:val="000000"/>
          <w:lang w:val="es-ES" w:eastAsia="es-ES"/>
        </w:rPr>
        <w:t>alg</w:t>
      </w:r>
      <w:r w:rsidRPr="00995CAD">
        <w:rPr>
          <w:rFonts w:ascii="Verdana" w:eastAsia="Calibri" w:hAnsi="Verdana" w:cs="Arial"/>
          <w:color w:val="000000"/>
          <w:lang w:val="es-ES" w:eastAsia="es-ES"/>
        </w:rPr>
        <w:t>unas consideraciones sobre las normas generales relacionadas con el</w:t>
      </w:r>
      <w:r w:rsidRPr="00995CAD">
        <w:rPr>
          <w:rFonts w:ascii="Verdana" w:eastAsia="Calibri" w:hAnsi="Verdana" w:cs="Arial"/>
          <w:color w:val="7030A0"/>
          <w:lang w:val="es-ES" w:eastAsia="es-ES"/>
        </w:rPr>
        <w:t xml:space="preserve"> </w:t>
      </w:r>
      <w:r w:rsidRPr="00995CAD">
        <w:rPr>
          <w:rFonts w:ascii="Verdana" w:eastAsia="Calibri" w:hAnsi="Verdana" w:cs="Arial"/>
          <w:color w:val="000000"/>
          <w:lang w:val="es-ES" w:eastAsia="es-ES"/>
        </w:rPr>
        <w:t>problema</w:t>
      </w:r>
      <w:r w:rsidRPr="00995CAD">
        <w:rPr>
          <w:rFonts w:ascii="Verdana" w:eastAsia="Calibri" w:hAnsi="Verdana" w:cs="Arial"/>
          <w:color w:val="7030A0"/>
          <w:lang w:val="es-ES" w:eastAsia="es-ES"/>
        </w:rPr>
        <w:t xml:space="preserve"> </w:t>
      </w:r>
      <w:r w:rsidRPr="00995CAD">
        <w:rPr>
          <w:rFonts w:ascii="Verdana" w:eastAsia="Calibri" w:hAnsi="Verdana" w:cs="Arial"/>
          <w:color w:val="000000"/>
          <w:lang w:val="es-ES" w:eastAsia="es-ES"/>
        </w:rPr>
        <w:t>jurídico</w:t>
      </w:r>
      <w:r w:rsidRPr="00995CAD">
        <w:rPr>
          <w:rFonts w:ascii="Verdana" w:eastAsia="Calibri" w:hAnsi="Verdana" w:cs="Arial"/>
          <w:color w:val="7030A0"/>
          <w:lang w:val="es-ES" w:eastAsia="es-ES"/>
        </w:rPr>
        <w:t xml:space="preserve"> </w:t>
      </w:r>
      <w:r w:rsidRPr="00995CAD">
        <w:rPr>
          <w:rFonts w:ascii="Verdana" w:eastAsia="Calibri" w:hAnsi="Verdana" w:cs="Arial"/>
          <w:color w:val="000000"/>
          <w:lang w:val="es-ES" w:eastAsia="es-ES"/>
        </w:rPr>
        <w:t xml:space="preserve">de su consulta.  </w:t>
      </w:r>
    </w:p>
    <w:p w14:paraId="5AF330D9" w14:textId="77777777" w:rsidR="00E546EE" w:rsidRPr="00F71A6A" w:rsidRDefault="00E546EE" w:rsidP="00E546EE">
      <w:pPr>
        <w:spacing w:after="0" w:line="276" w:lineRule="auto"/>
        <w:ind w:firstLine="709"/>
        <w:jc w:val="both"/>
        <w:rPr>
          <w:rFonts w:ascii="Verdana" w:eastAsia="Calibri" w:hAnsi="Verdana" w:cs="Arial"/>
          <w:color w:val="000000"/>
          <w:lang w:val="es-ES" w:eastAsia="es-ES"/>
        </w:rPr>
      </w:pPr>
    </w:p>
    <w:p w14:paraId="3EA5D484" w14:textId="77777777" w:rsidR="00E546EE" w:rsidRPr="00F71A6A" w:rsidRDefault="00E546EE" w:rsidP="00E546EE">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F71A6A">
        <w:rPr>
          <w:rFonts w:ascii="Verdana" w:eastAsia="Century Gothic" w:hAnsi="Verdana" w:cs="Century Gothic"/>
          <w:b/>
          <w:bCs/>
        </w:rPr>
        <w:t>Problema planteado:</w:t>
      </w:r>
    </w:p>
    <w:p w14:paraId="7AD6A411" w14:textId="77777777" w:rsidR="00E546EE" w:rsidRPr="00F71A6A" w:rsidRDefault="00E546EE" w:rsidP="00E546EE">
      <w:pPr>
        <w:tabs>
          <w:tab w:val="left" w:pos="426"/>
        </w:tabs>
        <w:spacing w:after="0" w:line="276" w:lineRule="auto"/>
        <w:jc w:val="both"/>
        <w:rPr>
          <w:rFonts w:ascii="Verdana" w:eastAsia="Century Gothic" w:hAnsi="Verdana" w:cs="Century Gothic"/>
          <w:lang w:val="es-ES"/>
        </w:rPr>
      </w:pPr>
    </w:p>
    <w:p w14:paraId="17611165" w14:textId="77777777" w:rsidR="00E546EE" w:rsidRDefault="00E546EE" w:rsidP="00E546EE">
      <w:pPr>
        <w:spacing w:after="0" w:line="276" w:lineRule="auto"/>
        <w:jc w:val="both"/>
        <w:rPr>
          <w:rFonts w:ascii="Verdana" w:eastAsia="Century Gothic" w:hAnsi="Verdana" w:cs="Century Gothic"/>
        </w:rPr>
      </w:pPr>
      <w:r w:rsidRPr="00F71A6A">
        <w:rPr>
          <w:rFonts w:ascii="Verdana" w:eastAsia="Century Gothic" w:hAnsi="Verdana" w:cs="Century Gothic"/>
        </w:rPr>
        <w:t xml:space="preserve">De acuerdo con el contenido de su solicitud, esta Agencia </w:t>
      </w:r>
      <w:r>
        <w:rPr>
          <w:rFonts w:ascii="Verdana" w:eastAsia="Century Gothic" w:hAnsi="Verdana" w:cs="Century Gothic"/>
        </w:rPr>
        <w:t xml:space="preserve">resolverá los siguientes problemas jurídicos: </w:t>
      </w:r>
    </w:p>
    <w:p w14:paraId="01E514DB" w14:textId="77777777" w:rsidR="00E546EE" w:rsidRDefault="00E546EE" w:rsidP="00E546EE">
      <w:pPr>
        <w:spacing w:after="0" w:line="276" w:lineRule="auto"/>
        <w:jc w:val="both"/>
        <w:rPr>
          <w:rFonts w:ascii="Verdana" w:eastAsia="Century Gothic" w:hAnsi="Verdana" w:cs="Century Gothic"/>
        </w:rPr>
      </w:pPr>
    </w:p>
    <w:p w14:paraId="4C5DBBC6" w14:textId="77777777" w:rsidR="00E546EE" w:rsidRDefault="00E546EE" w:rsidP="00E546EE">
      <w:pPr>
        <w:pStyle w:val="Prrafodelista"/>
        <w:numPr>
          <w:ilvl w:val="0"/>
          <w:numId w:val="18"/>
        </w:numPr>
        <w:spacing w:after="0" w:line="276" w:lineRule="auto"/>
        <w:jc w:val="both"/>
        <w:rPr>
          <w:rFonts w:ascii="Verdana" w:eastAsia="Century Gothic" w:hAnsi="Verdana" w:cs="Century Gothic"/>
        </w:rPr>
      </w:pPr>
      <w:bookmarkStart w:id="3" w:name="_Hlk196729405"/>
      <w:r>
        <w:rPr>
          <w:rFonts w:ascii="Verdana" w:eastAsia="Century Gothic" w:hAnsi="Verdana" w:cs="Century Gothic"/>
        </w:rPr>
        <w:t xml:space="preserve">¿Existe un marco normativo que indique cuál es la forma y los documentos que conforman las cuentas de cobro, así como las fechas en las que deben presentarse dichas cuentas en los contratos de prestación de servicio? </w:t>
      </w:r>
    </w:p>
    <w:p w14:paraId="42F966D6" w14:textId="4CC16C17" w:rsidR="00E546EE" w:rsidRDefault="00E546EE" w:rsidP="00E546EE">
      <w:pPr>
        <w:pStyle w:val="Prrafodelista"/>
        <w:numPr>
          <w:ilvl w:val="0"/>
          <w:numId w:val="18"/>
        </w:numPr>
        <w:spacing w:after="0" w:line="276" w:lineRule="auto"/>
        <w:jc w:val="both"/>
        <w:rPr>
          <w:rFonts w:ascii="Verdana" w:eastAsia="Century Gothic" w:hAnsi="Verdana" w:cs="Century Gothic"/>
        </w:rPr>
      </w:pPr>
      <w:r>
        <w:rPr>
          <w:rFonts w:ascii="Verdana" w:eastAsia="Century Gothic" w:hAnsi="Verdana" w:cs="Century Gothic"/>
        </w:rPr>
        <w:t xml:space="preserve">¿Un contratista del </w:t>
      </w:r>
      <w:r w:rsidR="000D51E8">
        <w:rPr>
          <w:rFonts w:ascii="Verdana" w:eastAsia="Century Gothic" w:hAnsi="Verdana" w:cs="Century Gothic"/>
        </w:rPr>
        <w:t xml:space="preserve">Estado </w:t>
      </w:r>
      <w:r>
        <w:rPr>
          <w:rFonts w:ascii="Verdana" w:eastAsia="Century Gothic" w:hAnsi="Verdana" w:cs="Century Gothic"/>
        </w:rPr>
        <w:t xml:space="preserve">puede presentar simultáneamente </w:t>
      </w:r>
      <w:r w:rsidR="00C703C4">
        <w:rPr>
          <w:rFonts w:ascii="Verdana" w:eastAsia="Century Gothic" w:hAnsi="Verdana" w:cs="Century Gothic"/>
        </w:rPr>
        <w:t>dos (</w:t>
      </w:r>
      <w:r>
        <w:rPr>
          <w:rFonts w:ascii="Verdana" w:eastAsia="Century Gothic" w:hAnsi="Verdana" w:cs="Century Gothic"/>
        </w:rPr>
        <w:t>2</w:t>
      </w:r>
      <w:r w:rsidR="00C703C4">
        <w:rPr>
          <w:rFonts w:ascii="Verdana" w:eastAsia="Century Gothic" w:hAnsi="Verdana" w:cs="Century Gothic"/>
        </w:rPr>
        <w:t>)</w:t>
      </w:r>
      <w:r>
        <w:rPr>
          <w:rFonts w:ascii="Verdana" w:eastAsia="Century Gothic" w:hAnsi="Verdana" w:cs="Century Gothic"/>
        </w:rPr>
        <w:t xml:space="preserve"> o más cuentas de cobro por los servicios prestados en periodos diferentes?</w:t>
      </w:r>
    </w:p>
    <w:p w14:paraId="74EAEA4B" w14:textId="756F76F2" w:rsidR="00E546EE" w:rsidRPr="00F524CB" w:rsidRDefault="00E546EE" w:rsidP="00E546EE">
      <w:pPr>
        <w:pStyle w:val="Prrafodelista"/>
        <w:numPr>
          <w:ilvl w:val="0"/>
          <w:numId w:val="18"/>
        </w:numPr>
        <w:spacing w:after="0" w:line="276" w:lineRule="auto"/>
        <w:jc w:val="both"/>
        <w:rPr>
          <w:rFonts w:ascii="Verdana" w:eastAsia="Century Gothic" w:hAnsi="Verdana" w:cs="Century Gothic"/>
        </w:rPr>
      </w:pPr>
      <w:r>
        <w:rPr>
          <w:rFonts w:ascii="Verdana" w:eastAsia="Century Gothic" w:hAnsi="Verdana" w:cs="Century Gothic"/>
        </w:rPr>
        <w:lastRenderedPageBreak/>
        <w:t xml:space="preserve">Los documentos que se publican en el SECOP II del contratista y de la entidad del </w:t>
      </w:r>
      <w:r w:rsidR="00C703C4">
        <w:rPr>
          <w:rFonts w:ascii="Verdana" w:eastAsia="Century Gothic" w:hAnsi="Verdana" w:cs="Century Gothic"/>
        </w:rPr>
        <w:t xml:space="preserve">Estado </w:t>
      </w:r>
      <w:r>
        <w:rPr>
          <w:rFonts w:ascii="Verdana" w:eastAsia="Century Gothic" w:hAnsi="Verdana" w:cs="Century Gothic"/>
        </w:rPr>
        <w:t>¿deben tener la misma fecha de expedición?</w:t>
      </w:r>
    </w:p>
    <w:bookmarkEnd w:id="3"/>
    <w:p w14:paraId="732B352E" w14:textId="77777777" w:rsidR="00E546EE" w:rsidRDefault="00E546EE" w:rsidP="00E546EE">
      <w:pPr>
        <w:spacing w:after="0" w:line="276" w:lineRule="auto"/>
        <w:jc w:val="both"/>
        <w:rPr>
          <w:rFonts w:ascii="Verdana" w:eastAsia="Century Gothic" w:hAnsi="Verdana" w:cs="Century Gothic"/>
          <w:b/>
          <w:bCs/>
        </w:rPr>
      </w:pPr>
    </w:p>
    <w:p w14:paraId="5BA42251" w14:textId="77777777" w:rsidR="00E546EE" w:rsidRDefault="00E546EE" w:rsidP="00E546EE">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DC1BDA">
        <w:rPr>
          <w:rFonts w:ascii="Verdana" w:eastAsia="Century Gothic" w:hAnsi="Verdana" w:cs="Century Gothic"/>
          <w:b/>
          <w:bCs/>
        </w:rPr>
        <w:t>Respuesta:</w:t>
      </w:r>
    </w:p>
    <w:p w14:paraId="42C559F6" w14:textId="77777777" w:rsidR="00E546EE" w:rsidRPr="00F71A6A" w:rsidRDefault="00E546EE" w:rsidP="00E546EE">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Look w:val="04A0" w:firstRow="1" w:lastRow="0" w:firstColumn="1" w:lastColumn="0" w:noHBand="0" w:noVBand="1"/>
      </w:tblPr>
      <w:tblGrid>
        <w:gridCol w:w="8828"/>
      </w:tblGrid>
      <w:tr w:rsidR="00E546EE" w:rsidRPr="00F71A6A" w14:paraId="23D5E663" w14:textId="77777777" w:rsidTr="000307E3">
        <w:tc>
          <w:tcPr>
            <w:tcW w:w="8828" w:type="dxa"/>
            <w:shd w:val="clear" w:color="auto" w:fill="auto"/>
          </w:tcPr>
          <w:p w14:paraId="281918B9" w14:textId="2A8AA28C" w:rsidR="00E546EE" w:rsidRDefault="00E546EE" w:rsidP="00F91EF1">
            <w:pPr>
              <w:spacing w:after="120" w:line="276" w:lineRule="auto"/>
              <w:jc w:val="both"/>
              <w:rPr>
                <w:rFonts w:ascii="Verdana" w:eastAsia="Calibri" w:hAnsi="Verdana" w:cs="Arial"/>
                <w:bCs/>
                <w:color w:val="000000"/>
                <w:kern w:val="2"/>
                <w14:ligatures w14:val="standardContextual"/>
              </w:rPr>
            </w:pPr>
            <w:r w:rsidRPr="00B35191">
              <w:rPr>
                <w:rFonts w:ascii="Verdana" w:eastAsia="Arial" w:hAnsi="Verdana" w:cs="Arial"/>
                <w:b/>
                <w:bCs/>
                <w:iCs/>
                <w:lang w:val="es-ES"/>
              </w:rPr>
              <w:t>i)</w:t>
            </w:r>
            <w:r w:rsidRPr="00DD350F">
              <w:rPr>
                <w:rFonts w:ascii="Verdana" w:eastAsia="Arial" w:hAnsi="Verdana" w:cs="Arial"/>
                <w:iCs/>
                <w:lang w:val="es-ES"/>
              </w:rPr>
              <w:t xml:space="preserve"> En relación </w:t>
            </w:r>
            <w:r>
              <w:rPr>
                <w:rFonts w:ascii="Verdana" w:eastAsia="Arial" w:hAnsi="Verdana" w:cs="Arial"/>
                <w:iCs/>
                <w:lang w:val="es-ES"/>
              </w:rPr>
              <w:t xml:space="preserve">con la </w:t>
            </w:r>
            <w:r w:rsidRPr="00DD350F">
              <w:rPr>
                <w:rFonts w:ascii="Verdana" w:eastAsia="Century Gothic" w:hAnsi="Verdana" w:cs="Century Gothic"/>
              </w:rPr>
              <w:t>forma</w:t>
            </w:r>
            <w:r>
              <w:rPr>
                <w:rFonts w:ascii="Verdana" w:eastAsia="Century Gothic" w:hAnsi="Verdana" w:cs="Century Gothic"/>
              </w:rPr>
              <w:t>, los documentos y las fechas en que debe presentarse las cuentas de cobro en los contratos de prestación de servicios</w:t>
            </w:r>
            <w:r w:rsidRPr="00DD350F">
              <w:rPr>
                <w:rFonts w:ascii="Verdana" w:eastAsia="Arial" w:hAnsi="Verdana" w:cs="Arial"/>
                <w:iCs/>
                <w:lang w:val="es-ES"/>
              </w:rPr>
              <w:t xml:space="preserve">, </w:t>
            </w:r>
            <w:r w:rsidRPr="00DD350F">
              <w:rPr>
                <w:rFonts w:ascii="Verdana" w:eastAsia="Calibri" w:hAnsi="Verdana" w:cs="Arial"/>
                <w:bCs/>
                <w:color w:val="000000"/>
                <w:kern w:val="2"/>
                <w14:ligatures w14:val="standardContextual"/>
              </w:rPr>
              <w:t xml:space="preserve">es pertinente precisar que no existe en el </w:t>
            </w:r>
            <w:r w:rsidR="0020218E" w:rsidRPr="00DD350F">
              <w:rPr>
                <w:rFonts w:ascii="Verdana" w:eastAsia="Calibri" w:hAnsi="Verdana" w:cs="Arial"/>
                <w:bCs/>
                <w:color w:val="000000"/>
                <w:kern w:val="2"/>
                <w14:ligatures w14:val="standardContextual"/>
              </w:rPr>
              <w:t xml:space="preserve">Sistema de Compra </w:t>
            </w:r>
            <w:r w:rsidRPr="00DD350F">
              <w:rPr>
                <w:rFonts w:ascii="Verdana" w:eastAsia="Calibri" w:hAnsi="Verdana" w:cs="Arial"/>
                <w:bCs/>
                <w:color w:val="000000"/>
                <w:kern w:val="2"/>
                <w14:ligatures w14:val="standardContextual"/>
              </w:rPr>
              <w:t xml:space="preserve">y </w:t>
            </w:r>
            <w:r w:rsidR="0020218E" w:rsidRPr="00DD350F">
              <w:rPr>
                <w:rFonts w:ascii="Verdana" w:eastAsia="Calibri" w:hAnsi="Verdana" w:cs="Arial"/>
                <w:bCs/>
                <w:color w:val="000000"/>
                <w:kern w:val="2"/>
                <w14:ligatures w14:val="standardContextual"/>
              </w:rPr>
              <w:t xml:space="preserve">Contratación Pública </w:t>
            </w:r>
            <w:r w:rsidRPr="00DD350F">
              <w:rPr>
                <w:rFonts w:ascii="Verdana" w:eastAsia="Calibri" w:hAnsi="Verdana" w:cs="Arial"/>
                <w:bCs/>
                <w:color w:val="000000"/>
                <w:kern w:val="2"/>
                <w14:ligatures w14:val="standardContextual"/>
              </w:rPr>
              <w:t xml:space="preserve">una disposición </w:t>
            </w:r>
            <w:r>
              <w:rPr>
                <w:rFonts w:ascii="Verdana" w:eastAsia="Calibri" w:hAnsi="Verdana" w:cs="Arial"/>
                <w:bCs/>
                <w:color w:val="000000"/>
                <w:kern w:val="2"/>
                <w14:ligatures w14:val="standardContextual"/>
              </w:rPr>
              <w:t>normativa que lo indique</w:t>
            </w:r>
            <w:r w:rsidRPr="00DD350F">
              <w:rPr>
                <w:rFonts w:ascii="Verdana" w:eastAsia="Calibri" w:hAnsi="Verdana" w:cs="Arial"/>
                <w:bCs/>
                <w:color w:val="000000"/>
                <w:kern w:val="2"/>
                <w14:ligatures w14:val="standardContextual"/>
              </w:rPr>
              <w:t xml:space="preserve">, pues en virtud del principio de autonomía de la voluntad, las partes pueden determinar el contenido de los contratos estatales e incluir las condiciones, cláusulas o estipulaciones que consideren necesarias para desarrollar el objeto contractual, </w:t>
            </w:r>
            <w:r>
              <w:rPr>
                <w:rFonts w:ascii="Verdana" w:eastAsia="Calibri" w:hAnsi="Verdana" w:cs="Arial"/>
                <w:bCs/>
                <w:color w:val="000000"/>
                <w:kern w:val="2"/>
                <w14:ligatures w14:val="standardContextual"/>
              </w:rPr>
              <w:t>la forma de ejecución, los documentos necesarios para cancelar los honorarios, entre otros aspectos, siempre en consideración de lo que arroja la etapa de planeación a través de los documentos previos.</w:t>
            </w:r>
          </w:p>
          <w:p w14:paraId="65D62954" w14:textId="77777777" w:rsidR="00E546EE" w:rsidRPr="00C2596A" w:rsidRDefault="00E546EE" w:rsidP="00F91EF1">
            <w:pPr>
              <w:spacing w:after="120" w:line="276" w:lineRule="auto"/>
              <w:ind w:firstLine="709"/>
              <w:jc w:val="both"/>
              <w:rPr>
                <w:rFonts w:ascii="Verdana" w:eastAsia="Calibri" w:hAnsi="Verdana" w:cs="Arial"/>
                <w:bCs/>
                <w:color w:val="000000"/>
                <w:kern w:val="2"/>
                <w14:ligatures w14:val="standardContextual"/>
              </w:rPr>
            </w:pPr>
            <w:r w:rsidRPr="00F31A35">
              <w:rPr>
                <w:rFonts w:ascii="Verdana" w:eastAsia="Calibri" w:hAnsi="Verdana" w:cs="Arial"/>
                <w:bCs/>
                <w:color w:val="000000"/>
                <w:kern w:val="2"/>
                <w14:ligatures w14:val="standardContextual"/>
              </w:rPr>
              <w:t>Los entes estatales durante la etapa de planeación, tienen el deber de realizar el análisis del sector y justificar la modalidad de contratación en los documentos del proceso, que para el caso de los procesos que impliquen una contratación directa y en lo concerniente a los contratos de prestación de servicios profesionales, de apoyo a la gestión y de trabajos artísticos, se constata en los estudios y documentos previos, los cuales deben indicar, entre otras, las condiciones mínimas exigidas para suplir la necesidad de la entidad así como los requisitos que debe acreditar el futuro contratista para el cumplimiento del objeto contractual.</w:t>
            </w:r>
          </w:p>
          <w:p w14:paraId="63FC573A" w14:textId="737AB08E" w:rsidR="00E546EE" w:rsidRDefault="00E546EE" w:rsidP="0020218E">
            <w:pPr>
              <w:spacing w:line="276" w:lineRule="auto"/>
              <w:ind w:firstLine="709"/>
              <w:jc w:val="both"/>
              <w:rPr>
                <w:rFonts w:ascii="Verdana" w:eastAsia="Calibri" w:hAnsi="Verdana" w:cs="Arial"/>
                <w:bCs/>
                <w:color w:val="000000"/>
                <w:kern w:val="2"/>
                <w14:ligatures w14:val="standardContextual"/>
              </w:rPr>
            </w:pPr>
            <w:r w:rsidRPr="00F31A35">
              <w:rPr>
                <w:rFonts w:ascii="Verdana" w:eastAsia="Calibri" w:hAnsi="Verdana" w:cs="Arial"/>
                <w:bCs/>
                <w:color w:val="000000"/>
                <w:kern w:val="2"/>
                <w14:ligatures w14:val="standardContextual"/>
              </w:rPr>
              <w:t xml:space="preserve">En ese sentido, las </w:t>
            </w:r>
            <w:r w:rsidR="00671C48" w:rsidRPr="00F31A35">
              <w:rPr>
                <w:rFonts w:ascii="Verdana" w:eastAsia="Calibri" w:hAnsi="Verdana" w:cs="Arial"/>
                <w:bCs/>
                <w:color w:val="000000"/>
                <w:kern w:val="2"/>
                <w14:ligatures w14:val="standardContextual"/>
              </w:rPr>
              <w:t xml:space="preserve">Entidades Públicas </w:t>
            </w:r>
            <w:r>
              <w:rPr>
                <w:rFonts w:ascii="Verdana" w:eastAsia="Calibri" w:hAnsi="Verdana" w:cs="Arial"/>
                <w:bCs/>
                <w:color w:val="000000"/>
                <w:kern w:val="2"/>
                <w14:ligatures w14:val="standardContextual"/>
              </w:rPr>
              <w:t xml:space="preserve">desde los estudios previos definirán las condiciones del contrato de prestación de servicios a celebrar, plasmado en la minuta del contrato </w:t>
            </w:r>
            <w:r w:rsidRPr="00F31A35">
              <w:rPr>
                <w:rFonts w:ascii="Verdana" w:eastAsia="Calibri" w:hAnsi="Verdana" w:cs="Arial"/>
                <w:bCs/>
                <w:color w:val="000000"/>
                <w:kern w:val="2"/>
                <w14:ligatures w14:val="standardContextual"/>
              </w:rPr>
              <w:t xml:space="preserve">de prestación de servicios profesionales, de apoyo a la gestión y trabajos artísticos. Finalmente, se resalta que en la Ley 80 de 1993, Ley 1150 de 2007 y en el Decreto 1082 de 2015 no se encuentran disposiciones que establezcan </w:t>
            </w:r>
            <w:r>
              <w:rPr>
                <w:rFonts w:ascii="Verdana" w:eastAsia="Calibri" w:hAnsi="Verdana" w:cs="Arial"/>
                <w:bCs/>
                <w:color w:val="000000"/>
                <w:kern w:val="2"/>
                <w14:ligatures w14:val="standardContextual"/>
              </w:rPr>
              <w:t xml:space="preserve">la forma en que deben presentarse las cuentas de cobro, tales como el informe de ejecución </w:t>
            </w:r>
            <w:r w:rsidRPr="001153C9">
              <w:rPr>
                <w:rFonts w:ascii="Verdana" w:eastAsia="Calibri" w:hAnsi="Verdana" w:cs="Arial"/>
                <w:bCs/>
                <w:color w:val="000000"/>
                <w:kern w:val="2"/>
                <w14:ligatures w14:val="standardContextual"/>
              </w:rPr>
              <w:t>o el informe y certificación de cumplimiento</w:t>
            </w:r>
            <w:r>
              <w:rPr>
                <w:rFonts w:ascii="Verdana" w:eastAsia="Calibri" w:hAnsi="Verdana" w:cs="Arial"/>
                <w:bCs/>
                <w:color w:val="000000"/>
                <w:kern w:val="2"/>
                <w14:ligatures w14:val="standardContextual"/>
              </w:rPr>
              <w:t>, así como las fechas para su presentación</w:t>
            </w:r>
            <w:r w:rsidRPr="0037766C">
              <w:rPr>
                <w:rFonts w:ascii="Verdana" w:eastAsia="Calibri" w:hAnsi="Verdana" w:cs="Arial"/>
                <w:bCs/>
                <w:color w:val="000000"/>
                <w:kern w:val="2"/>
                <w14:ligatures w14:val="standardContextual"/>
              </w:rPr>
              <w:t xml:space="preserve">, </w:t>
            </w:r>
            <w:r>
              <w:rPr>
                <w:rFonts w:ascii="Verdana" w:eastAsia="Calibri" w:hAnsi="Verdana" w:cs="Arial"/>
                <w:bCs/>
                <w:color w:val="000000"/>
                <w:kern w:val="2"/>
                <w14:ligatures w14:val="standardContextual"/>
              </w:rPr>
              <w:t xml:space="preserve">por cuanto esto dependerá de las directrices fijadas al interior de la </w:t>
            </w:r>
            <w:r w:rsidR="00671C48">
              <w:rPr>
                <w:rFonts w:ascii="Verdana" w:eastAsia="Calibri" w:hAnsi="Verdana" w:cs="Arial"/>
                <w:bCs/>
                <w:color w:val="000000"/>
                <w:kern w:val="2"/>
                <w14:ligatures w14:val="standardContextual"/>
              </w:rPr>
              <w:t xml:space="preserve">Entidad Estatal </w:t>
            </w:r>
            <w:r>
              <w:rPr>
                <w:rFonts w:ascii="Verdana" w:eastAsia="Calibri" w:hAnsi="Verdana" w:cs="Arial"/>
                <w:bCs/>
                <w:color w:val="000000"/>
                <w:kern w:val="2"/>
                <w14:ligatures w14:val="standardContextual"/>
              </w:rPr>
              <w:t>en su guías, circulares o manuales,</w:t>
            </w:r>
            <w:r w:rsidR="00671C48">
              <w:rPr>
                <w:rFonts w:ascii="Verdana" w:eastAsia="Calibri" w:hAnsi="Verdana" w:cs="Arial"/>
                <w:bCs/>
                <w:color w:val="000000"/>
                <w:kern w:val="2"/>
                <w14:ligatures w14:val="standardContextual"/>
              </w:rPr>
              <w:t xml:space="preserve"> o demás documentos internos,</w:t>
            </w:r>
            <w:r>
              <w:rPr>
                <w:rFonts w:ascii="Verdana" w:eastAsia="Calibri" w:hAnsi="Verdana" w:cs="Arial"/>
                <w:bCs/>
                <w:color w:val="000000"/>
                <w:kern w:val="2"/>
                <w14:ligatures w14:val="standardContextual"/>
              </w:rPr>
              <w:t xml:space="preserve"> que se verán reflejados en las cláusulas contenidas en la minuta del contrato de prestación de servicios</w:t>
            </w:r>
            <w:r w:rsidRPr="00F31A35">
              <w:rPr>
                <w:rFonts w:ascii="Verdana" w:eastAsia="Calibri" w:hAnsi="Verdana" w:cs="Arial"/>
                <w:bCs/>
                <w:color w:val="000000"/>
                <w:kern w:val="2"/>
                <w14:ligatures w14:val="standardContextual"/>
              </w:rPr>
              <w:t>.</w:t>
            </w:r>
            <w:r>
              <w:rPr>
                <w:rFonts w:ascii="Verdana" w:eastAsia="Calibri" w:hAnsi="Verdana" w:cs="Arial"/>
                <w:bCs/>
                <w:color w:val="000000"/>
                <w:kern w:val="2"/>
                <w14:ligatures w14:val="standardContextual"/>
              </w:rPr>
              <w:t xml:space="preserve"> </w:t>
            </w:r>
          </w:p>
          <w:p w14:paraId="1A6659BF" w14:textId="77777777" w:rsidR="0020218E" w:rsidRDefault="0020218E" w:rsidP="00F91EF1">
            <w:pPr>
              <w:spacing w:line="276" w:lineRule="auto"/>
              <w:ind w:firstLine="709"/>
              <w:jc w:val="both"/>
              <w:rPr>
                <w:rFonts w:ascii="Verdana" w:eastAsia="Calibri" w:hAnsi="Verdana" w:cs="Arial"/>
                <w:bCs/>
                <w:color w:val="000000"/>
                <w:kern w:val="2"/>
                <w14:ligatures w14:val="standardContextual"/>
              </w:rPr>
            </w:pPr>
          </w:p>
          <w:p w14:paraId="62AB327F" w14:textId="77777777" w:rsidR="00E546EE" w:rsidRDefault="00E546EE" w:rsidP="00F91EF1">
            <w:pPr>
              <w:spacing w:after="120" w:line="276" w:lineRule="auto"/>
              <w:jc w:val="both"/>
              <w:rPr>
                <w:rFonts w:ascii="Verdana" w:eastAsia="Calibri" w:hAnsi="Verdana" w:cs="Arial"/>
              </w:rPr>
            </w:pPr>
            <w:proofErr w:type="spellStart"/>
            <w:r w:rsidRPr="00806580">
              <w:rPr>
                <w:rFonts w:ascii="Verdana" w:eastAsia="Calibri" w:hAnsi="Verdana" w:cs="Arial"/>
                <w:b/>
                <w:bCs/>
              </w:rPr>
              <w:t>ii</w:t>
            </w:r>
            <w:proofErr w:type="spellEnd"/>
            <w:r w:rsidRPr="00806580">
              <w:rPr>
                <w:rFonts w:ascii="Verdana" w:eastAsia="Calibri" w:hAnsi="Verdana" w:cs="Arial"/>
                <w:b/>
                <w:bCs/>
              </w:rPr>
              <w:t>)</w:t>
            </w:r>
            <w:r>
              <w:rPr>
                <w:rFonts w:ascii="Verdana" w:eastAsia="Calibri" w:hAnsi="Verdana" w:cs="Arial"/>
                <w:b/>
                <w:bCs/>
              </w:rPr>
              <w:t xml:space="preserve"> </w:t>
            </w:r>
            <w:r>
              <w:rPr>
                <w:rFonts w:ascii="Verdana" w:eastAsia="Calibri" w:hAnsi="Verdana" w:cs="Arial"/>
              </w:rPr>
              <w:t xml:space="preserve">En cuanto al segundo problema jurídico planteado, resulta indispensable tener en consideración la circular externa 003 del 7 de enero de 2025 expedida por el </w:t>
            </w:r>
            <w:proofErr w:type="gramStart"/>
            <w:r>
              <w:rPr>
                <w:rFonts w:ascii="Verdana" w:eastAsia="Calibri" w:hAnsi="Verdana" w:cs="Arial"/>
              </w:rPr>
              <w:t>Subdirector</w:t>
            </w:r>
            <w:proofErr w:type="gramEnd"/>
            <w:r>
              <w:rPr>
                <w:rFonts w:ascii="Verdana" w:eastAsia="Calibri" w:hAnsi="Verdana" w:cs="Arial"/>
              </w:rPr>
              <w:t xml:space="preserve"> de Operaciones de la Dirección General de Crédito Público y del Tesoro Nacional, mediante el cual indica en términos generales el calendario PAC vigencia fiscal 2025 y aspectos a considerar para su aprobación. En ese escenario, la asignación del PAC se efectuará de manera mensual previa revisión de los ingresos de la Nación y atendiendo los gastos eminentemente básicos del Estado. </w:t>
            </w:r>
            <w:r w:rsidRPr="0094332D">
              <w:rPr>
                <w:rFonts w:ascii="Verdana" w:eastAsia="Calibri" w:hAnsi="Verdana" w:cs="Arial"/>
              </w:rPr>
              <w:t>Las asignaciones del PAC se harán mes anticipado, y solo se estudiará su aprobación si media una solicitud previamente registrada en SIIF- Nación. Estas deberán contener una justificación consistente sobre el uso que se dará a los recursos solicitados, agrupando los conceptos del gasto con sus respectivos valores, de mayor a menor.</w:t>
            </w:r>
            <w:r>
              <w:rPr>
                <w:rFonts w:ascii="Verdana" w:eastAsia="Calibri" w:hAnsi="Verdana" w:cs="Arial"/>
              </w:rPr>
              <w:t xml:space="preserve"> Así mismo, determinó un calendario correspondiente al año fiscal 2025 que deberá ser adoptado por parte de las entidades del estado. </w:t>
            </w:r>
          </w:p>
          <w:p w14:paraId="5D3ED372" w14:textId="2B95F630" w:rsidR="00E546EE" w:rsidRDefault="00E546EE" w:rsidP="000307E3">
            <w:pPr>
              <w:spacing w:line="276" w:lineRule="auto"/>
              <w:ind w:firstLine="709"/>
              <w:jc w:val="both"/>
              <w:rPr>
                <w:rFonts w:ascii="Verdana" w:eastAsia="Calibri" w:hAnsi="Verdana" w:cs="Arial"/>
              </w:rPr>
            </w:pPr>
            <w:r>
              <w:rPr>
                <w:rFonts w:ascii="Verdana" w:eastAsia="Calibri" w:hAnsi="Verdana" w:cs="Arial"/>
              </w:rPr>
              <w:t xml:space="preserve">Con base en lo anterior, será la </w:t>
            </w:r>
            <w:r w:rsidR="00671C48">
              <w:rPr>
                <w:rFonts w:ascii="Verdana" w:eastAsia="Calibri" w:hAnsi="Verdana" w:cs="Arial"/>
              </w:rPr>
              <w:t xml:space="preserve">Entidad Estatal </w:t>
            </w:r>
            <w:r>
              <w:rPr>
                <w:rFonts w:ascii="Verdana" w:eastAsia="Calibri" w:hAnsi="Verdana" w:cs="Arial"/>
              </w:rPr>
              <w:t>la competente para determinar en el PAC los recursos necesarios para hacerlos efectivos, previo el cumplimiento de los lineamientos determinados por parte de la Dirección General de Crédito Público y del Tesoro Nacional y lo establecido en las cláusulas del contrato de prestación de servicios, pues el contenido debe determinar la forma de pago y el procedimiento para ello.</w:t>
            </w:r>
          </w:p>
          <w:p w14:paraId="4E42A337" w14:textId="77777777" w:rsidR="00E546EE" w:rsidRDefault="00E546EE" w:rsidP="000307E3">
            <w:pPr>
              <w:ind w:firstLine="709"/>
              <w:jc w:val="both"/>
              <w:rPr>
                <w:rFonts w:ascii="Verdana" w:eastAsia="Calibri" w:hAnsi="Verdana" w:cs="Arial"/>
              </w:rPr>
            </w:pPr>
          </w:p>
          <w:p w14:paraId="6D7C56E9" w14:textId="77777777" w:rsidR="00E546EE" w:rsidRDefault="00E546EE" w:rsidP="00F91EF1">
            <w:pPr>
              <w:spacing w:after="120" w:line="276" w:lineRule="auto"/>
              <w:jc w:val="both"/>
              <w:rPr>
                <w:rFonts w:ascii="Verdana" w:eastAsia="Calibri" w:hAnsi="Verdana" w:cs="Arial"/>
                <w:bCs/>
                <w:color w:val="000000" w:themeColor="text1"/>
                <w:lang w:val="es-ES_tradnl"/>
              </w:rPr>
            </w:pPr>
            <w:proofErr w:type="spellStart"/>
            <w:r w:rsidRPr="00096A92">
              <w:rPr>
                <w:rFonts w:ascii="Verdana" w:eastAsia="Calibri" w:hAnsi="Verdana" w:cs="Arial"/>
                <w:b/>
                <w:bCs/>
                <w:lang w:val="es-ES_tradnl"/>
              </w:rPr>
              <w:t>iii</w:t>
            </w:r>
            <w:proofErr w:type="spellEnd"/>
            <w:r w:rsidRPr="00096A92">
              <w:rPr>
                <w:rFonts w:ascii="Verdana" w:eastAsia="Calibri" w:hAnsi="Verdana" w:cs="Arial"/>
                <w:b/>
                <w:bCs/>
                <w:lang w:val="es-ES_tradnl"/>
              </w:rPr>
              <w:t>)</w:t>
            </w:r>
            <w:r>
              <w:rPr>
                <w:rFonts w:ascii="Verdana" w:eastAsia="Calibri" w:hAnsi="Verdana" w:cs="Arial"/>
                <w:lang w:val="es-ES_tradnl"/>
              </w:rPr>
              <w:t xml:space="preserve"> </w:t>
            </w:r>
            <w:r w:rsidRPr="00A76507">
              <w:rPr>
                <w:rFonts w:ascii="Verdana" w:eastAsia="Calibri" w:hAnsi="Verdana" w:cs="Arial"/>
                <w:lang w:val="es-ES_tradnl"/>
              </w:rPr>
              <w:t xml:space="preserve">El numeral 1.2 </w:t>
            </w:r>
            <w:r w:rsidRPr="00A76507">
              <w:rPr>
                <w:rFonts w:ascii="Verdana" w:eastAsia="Calibri" w:hAnsi="Verdana" w:cs="Arial"/>
              </w:rPr>
              <w:t>de la Circular Externa Única de la Agencia Nacional de Contratación Pública – Colombia Compra Eficiente dispone que el Sistema Electrónico para la Contratación Pública</w:t>
            </w:r>
            <w:r w:rsidRPr="00A76507">
              <w:rPr>
                <w:rFonts w:ascii="Verdana" w:eastAsia="Calibri" w:hAnsi="Verdana" w:cs="Arial"/>
                <w:lang w:val="es-ES_tradnl"/>
              </w:rPr>
              <w:t xml:space="preserve"> está compuesto por el SECOP I, el SECOP II y la Tienda Virtual del Estado Colombiano. </w:t>
            </w:r>
            <w:r>
              <w:rPr>
                <w:rFonts w:ascii="Verdana" w:eastAsia="Calibri" w:hAnsi="Verdana" w:cs="Arial"/>
                <w:lang w:val="es-ES_tradnl"/>
              </w:rPr>
              <w:t>El</w:t>
            </w:r>
            <w:r w:rsidRPr="00A76507">
              <w:rPr>
                <w:rFonts w:ascii="Verdana" w:eastAsia="Calibri" w:hAnsi="Verdana" w:cs="Arial"/>
                <w:bCs/>
                <w:color w:val="000000" w:themeColor="text1"/>
                <w:lang w:val="es-ES_tradnl"/>
              </w:rPr>
              <w:t xml:space="preserve"> SECOP I solo funciona como medio de publicidad, es decir, no tiene carácter transaccional. Esto significa que el procedimiento contractual se adelanta fuera de la plataforma a través de un expediente físico. No obstante, las actuaciones y los documentos se convierten en electrónicos para cargarse posteriormente a la plataforma por quien tenga la función dentro de la entidad. </w:t>
            </w:r>
          </w:p>
          <w:p w14:paraId="0102261A" w14:textId="77777777" w:rsidR="00E546EE" w:rsidRDefault="00E546EE" w:rsidP="000307E3">
            <w:pPr>
              <w:spacing w:after="120" w:line="276" w:lineRule="auto"/>
              <w:ind w:firstLine="708"/>
              <w:jc w:val="both"/>
              <w:rPr>
                <w:rFonts w:ascii="Verdana" w:eastAsia="Calibri" w:hAnsi="Verdana" w:cs="Arial"/>
                <w:bCs/>
                <w:color w:val="000000" w:themeColor="text1"/>
                <w:lang w:val="es-ES_tradnl"/>
              </w:rPr>
            </w:pPr>
            <w:r>
              <w:rPr>
                <w:rFonts w:ascii="Verdana" w:eastAsia="Calibri" w:hAnsi="Verdana" w:cs="Arial"/>
                <w:bCs/>
                <w:color w:val="000000" w:themeColor="text1"/>
                <w:lang w:val="es-ES_tradnl"/>
              </w:rPr>
              <w:t>Por su parte</w:t>
            </w:r>
            <w:r w:rsidRPr="00A76507">
              <w:rPr>
                <w:rFonts w:ascii="Verdana" w:eastAsia="Calibri" w:hAnsi="Verdana" w:cs="Arial"/>
                <w:bCs/>
                <w:color w:val="000000" w:themeColor="text1"/>
                <w:lang w:val="es-ES_tradnl"/>
              </w:rPr>
              <w:t xml:space="preserve">, el SECOP II permite generar contratos en línea y realizar la firma electrónica de los mismos. Tiene funciones que permiten al proveedor presentar garantías y facturas; y a la entidad estatal, realizar la revisión y aprobación de ambos tipos de documentos en línea. Además, el módulo permite hacer modificaciones contractuales, tanto unilaterales como </w:t>
            </w:r>
            <w:r w:rsidRPr="00A76507">
              <w:rPr>
                <w:rFonts w:ascii="Verdana" w:eastAsia="Calibri" w:hAnsi="Verdana" w:cs="Arial"/>
                <w:bCs/>
                <w:color w:val="000000" w:themeColor="text1"/>
                <w:lang w:val="es-ES_tradnl"/>
              </w:rPr>
              <w:lastRenderedPageBreak/>
              <w:t xml:space="preserve">bilaterales –estas últimas son enviadas para aprobación del proveedor antes de la publicación por parte de la entidad estatal–. Para registrar el seguimiento al avance de la ejecución, el módulo de gestión contractual habilita el registro de planes de ejecución por porcentaje de avance y el cargue de documentos tanto a proveedor como a la entidad estatal, la cual puede crear usuarios para que los supervisores de los contratos carguen la información pertinente. </w:t>
            </w:r>
          </w:p>
          <w:p w14:paraId="24E9F336" w14:textId="77777777" w:rsidR="00462A13" w:rsidRDefault="00E546EE" w:rsidP="000307E3">
            <w:pPr>
              <w:widowControl w:val="0"/>
              <w:autoSpaceDE w:val="0"/>
              <w:autoSpaceDN w:val="0"/>
              <w:spacing w:after="120" w:line="276" w:lineRule="auto"/>
              <w:ind w:firstLine="709"/>
              <w:jc w:val="both"/>
              <w:rPr>
                <w:rFonts w:ascii="Verdana" w:hAnsi="Verdana" w:cs="Arial"/>
                <w:lang w:val="es-MX"/>
              </w:rPr>
            </w:pPr>
            <w:r w:rsidRPr="004678E2">
              <w:rPr>
                <w:rFonts w:ascii="Verdana" w:hAnsi="Verdana" w:cs="Arial"/>
                <w:lang w:val="es-MX"/>
              </w:rPr>
              <w:t xml:space="preserve">Respecto de los contratos de prestación de servicios, si bien los documentos que deben publicarse en el SECOP II corresponden a los mismos que deben publicarse en el SECOP I, esto es, todos los expedidos con ocasión a la gestión contractual con excepción de los expresamente excluidos, la naturaleza transaccional del SECOP II implica que los procesos contractuales no solo deban ser publicados mediante esta plataforma, sino también gestionados a través de ella, al consistir la mayoría de los hitos contractuales en documentos y actuaciones electrónicas generadas en tiempo real, de tal manera que el proceso contractual avanza en la medida en la que se generen y aprueben estos documentos y actuaciones electrónicas en la plataforma. </w:t>
            </w:r>
          </w:p>
          <w:p w14:paraId="4A7C6B57" w14:textId="5AE52C86" w:rsidR="00E546EE" w:rsidRPr="004678E2" w:rsidRDefault="00E546EE" w:rsidP="000307E3">
            <w:pPr>
              <w:widowControl w:val="0"/>
              <w:autoSpaceDE w:val="0"/>
              <w:autoSpaceDN w:val="0"/>
              <w:spacing w:after="120" w:line="276" w:lineRule="auto"/>
              <w:ind w:firstLine="709"/>
              <w:jc w:val="both"/>
              <w:rPr>
                <w:rFonts w:ascii="Verdana" w:hAnsi="Verdana" w:cs="Arial"/>
                <w:lang w:val="es-MX"/>
              </w:rPr>
            </w:pPr>
            <w:r w:rsidRPr="004678E2">
              <w:rPr>
                <w:rFonts w:ascii="Verdana" w:hAnsi="Verdana" w:cs="Arial"/>
                <w:lang w:val="es-MX"/>
              </w:rPr>
              <w:t>Esta es una diferencia respecto de los procesos publicados en el SECOP I, en los que primero se generan los documentos escritos y luego se publican en la plataforma dentro del plazo de tres (3) días previsto en el artículo 2.2.1.1.1.7.1 del Decreto 1082 de 2015. Esto significa que el término de tres (3) días para publicar, en la práctica, no opera en las actuaciones generadas de manera electrónica dentro de los procedimientos gestionados a través de SECOP II, puesto que tales documentos son creados o expedidos mediante la propia plataforma, razón por la que una vez estos se aprueban quedan inmediatamente publicados, sin que transcurra el referido término.</w:t>
            </w:r>
          </w:p>
          <w:p w14:paraId="222ED5C8" w14:textId="77777777" w:rsidR="00E546EE" w:rsidRPr="004678E2" w:rsidRDefault="00E546EE" w:rsidP="000307E3">
            <w:pPr>
              <w:widowControl w:val="0"/>
              <w:autoSpaceDE w:val="0"/>
              <w:autoSpaceDN w:val="0"/>
              <w:spacing w:after="120" w:line="276" w:lineRule="auto"/>
              <w:ind w:firstLine="709"/>
              <w:jc w:val="both"/>
              <w:rPr>
                <w:rFonts w:ascii="Verdana" w:hAnsi="Verdana" w:cs="Arial"/>
                <w:lang w:val="es-MX"/>
              </w:rPr>
            </w:pPr>
            <w:r w:rsidRPr="004678E2">
              <w:rPr>
                <w:rFonts w:ascii="Verdana" w:hAnsi="Verdana" w:cs="Arial"/>
                <w:lang w:val="es-MX"/>
              </w:rPr>
              <w:t>En ese orden de ideas, el carácter transaccional de SECOP II, como herramienta que permite no solo publicar sino también gestionar y crear Documentos del Proceso, de manera electrónica al interior de la plataforma, implica que el deber de publicidad respecto de estas actuaciones se cumpla de manera distinta a como sucede en SECOP I, donde los documentos contractuales se expiden primero en un medio físico que posteriormente es cargado en la plataforma.</w:t>
            </w:r>
          </w:p>
          <w:p w14:paraId="79CC0B2E" w14:textId="77777777" w:rsidR="00E546EE" w:rsidRPr="00096A92" w:rsidRDefault="00E546EE" w:rsidP="00F91EF1">
            <w:pPr>
              <w:spacing w:line="276" w:lineRule="auto"/>
              <w:ind w:firstLine="708"/>
              <w:jc w:val="both"/>
              <w:rPr>
                <w:rFonts w:ascii="Verdana" w:eastAsia="Calibri" w:hAnsi="Verdana" w:cs="Arial"/>
                <w:bCs/>
                <w:color w:val="000000" w:themeColor="text1"/>
                <w:lang w:val="es-ES_tradnl"/>
              </w:rPr>
            </w:pPr>
            <w:r w:rsidRPr="004678E2">
              <w:rPr>
                <w:rFonts w:ascii="Verdana" w:eastAsia="Calibri" w:hAnsi="Verdana" w:cs="Arial"/>
                <w:bCs/>
                <w:color w:val="000000" w:themeColor="text1"/>
                <w:lang w:val="es-ES_tradnl"/>
              </w:rPr>
              <w:t xml:space="preserve">Para la publicidad de la ejecución del contrato se recomienda el uso del módulo de “Plan de Pagos” que se encuentra en la sección “7. Ejecución del contrato”. Allí el contratista podrá registrar las facturas y/o cuentas de cobro, </w:t>
            </w:r>
            <w:r w:rsidRPr="004678E2">
              <w:rPr>
                <w:rFonts w:ascii="Verdana" w:eastAsia="Calibri" w:hAnsi="Verdana" w:cs="Arial"/>
                <w:bCs/>
                <w:color w:val="000000" w:themeColor="text1"/>
                <w:lang w:val="es-ES_tradnl"/>
              </w:rPr>
              <w:lastRenderedPageBreak/>
              <w:t>junto con los demás documentos exigidos por la Entidad Estatal. Por su parte, la Entidad en su deber de seguimiento a la Ejecución contractual tendrá disponible la opción de rechazar o aprobar la referencia del plan de pago según corresponda, así como de publicar los documentos relacionados con la supervisión del contrato.</w:t>
            </w:r>
          </w:p>
        </w:tc>
      </w:tr>
    </w:tbl>
    <w:p w14:paraId="5FF43569" w14:textId="77777777" w:rsidR="00E546EE" w:rsidRPr="00F71A6A" w:rsidRDefault="00E546EE" w:rsidP="00E546EE">
      <w:pPr>
        <w:tabs>
          <w:tab w:val="left" w:pos="142"/>
          <w:tab w:val="left" w:pos="284"/>
        </w:tabs>
        <w:spacing w:after="0" w:line="276" w:lineRule="auto"/>
        <w:jc w:val="both"/>
        <w:rPr>
          <w:rFonts w:ascii="Verdana" w:eastAsia="Century Gothic" w:hAnsi="Verdana" w:cs="Century Gothic"/>
          <w:b/>
          <w:bCs/>
          <w:lang w:val="es-ES"/>
        </w:rPr>
      </w:pPr>
    </w:p>
    <w:p w14:paraId="36B1E7FE" w14:textId="77777777" w:rsidR="00E546EE" w:rsidRDefault="00E546EE" w:rsidP="00E546EE">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F71A6A">
        <w:rPr>
          <w:rFonts w:ascii="Verdana" w:eastAsia="Century Gothic" w:hAnsi="Verdana" w:cs="Century Gothic"/>
          <w:b/>
          <w:bCs/>
        </w:rPr>
        <w:t xml:space="preserve">Razones de la </w:t>
      </w:r>
      <w:r>
        <w:rPr>
          <w:rFonts w:ascii="Verdana" w:eastAsia="Century Gothic" w:hAnsi="Verdana" w:cs="Century Gothic"/>
          <w:b/>
          <w:bCs/>
        </w:rPr>
        <w:t>respuesta:</w:t>
      </w:r>
    </w:p>
    <w:p w14:paraId="621DD5DC" w14:textId="77777777" w:rsidR="00E546EE" w:rsidRDefault="00E546EE" w:rsidP="00E546EE">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2DA249EA" w14:textId="77777777" w:rsidR="00E546EE" w:rsidRDefault="00E546EE" w:rsidP="00E546EE">
      <w:pPr>
        <w:pStyle w:val="Prrafodelista"/>
        <w:tabs>
          <w:tab w:val="left" w:pos="142"/>
          <w:tab w:val="left" w:pos="284"/>
        </w:tabs>
        <w:spacing w:after="0" w:line="276" w:lineRule="auto"/>
        <w:ind w:left="0"/>
        <w:contextualSpacing w:val="0"/>
        <w:jc w:val="both"/>
        <w:rPr>
          <w:rFonts w:ascii="Verdana" w:eastAsia="Calibri" w:hAnsi="Verdana" w:cs="Arial"/>
        </w:rPr>
      </w:pPr>
      <w:r w:rsidRPr="00EB1551">
        <w:rPr>
          <w:rFonts w:ascii="Verdana" w:eastAsia="Calibri" w:hAnsi="Verdana" w:cs="Arial"/>
        </w:rPr>
        <w:t xml:space="preserve">Lo anterior se sustenta en las siguientes consideraciones: </w:t>
      </w:r>
      <w:bookmarkStart w:id="4" w:name="_Hlk192104360"/>
    </w:p>
    <w:p w14:paraId="45FA6C8D" w14:textId="77777777" w:rsidR="00E546EE" w:rsidRPr="00B35191" w:rsidRDefault="00E546EE" w:rsidP="00E546EE">
      <w:pPr>
        <w:pStyle w:val="Prrafodelista"/>
        <w:tabs>
          <w:tab w:val="left" w:pos="142"/>
          <w:tab w:val="left" w:pos="284"/>
        </w:tabs>
        <w:spacing w:after="0" w:line="276" w:lineRule="auto"/>
        <w:ind w:left="0"/>
        <w:contextualSpacing w:val="0"/>
        <w:jc w:val="both"/>
        <w:rPr>
          <w:rFonts w:ascii="Verdana" w:eastAsia="Calibri" w:hAnsi="Verdana" w:cs="Arial"/>
        </w:rPr>
      </w:pPr>
    </w:p>
    <w:p w14:paraId="33232F32" w14:textId="1801FDDB" w:rsidR="00E546EE" w:rsidRPr="001532C8" w:rsidRDefault="00E81957" w:rsidP="00F91EF1">
      <w:pPr>
        <w:spacing w:after="0" w:line="276" w:lineRule="auto"/>
        <w:jc w:val="both"/>
        <w:rPr>
          <w:rFonts w:ascii="Verdana" w:eastAsia="Calibri" w:hAnsi="Verdana" w:cs="Arial"/>
          <w:lang w:val="es-ES_tradnl" w:eastAsia="es-ES_tradnl"/>
        </w:rPr>
      </w:pPr>
      <w:r w:rsidRPr="00F91EF1">
        <w:rPr>
          <w:rFonts w:ascii="Verdana" w:eastAsia="Calibri" w:hAnsi="Verdana" w:cs="Arial"/>
          <w:b/>
          <w:bCs/>
          <w:lang w:val="es-ES_tradnl" w:eastAsia="es-ES_tradnl"/>
        </w:rPr>
        <w:t xml:space="preserve">i) </w:t>
      </w:r>
      <w:r w:rsidR="00E546EE">
        <w:rPr>
          <w:rFonts w:ascii="Verdana" w:eastAsia="Calibri" w:hAnsi="Verdana" w:cs="Arial"/>
          <w:lang w:val="es-ES_tradnl" w:eastAsia="es-ES_tradnl"/>
        </w:rPr>
        <w:t>El</w:t>
      </w:r>
      <w:r w:rsidR="00E546EE" w:rsidRPr="001532C8">
        <w:rPr>
          <w:rFonts w:ascii="Verdana" w:eastAsia="Calibri" w:hAnsi="Verdana" w:cs="Arial"/>
          <w:lang w:val="es-ES_tradnl" w:eastAsia="es-ES_tradnl"/>
        </w:rPr>
        <w:t xml:space="preserve"> contrato de prestación de servicios es uno de los tipos contractuales consagrados en el Estatuto General de Contratación de la Administración Pública – en adelante EGCAP–, que pueden celebrar las Entidades Estatales. Se trata de un contrato típico, ya que se encuentra definido en la ley. Concretamente, el artículo 32, numeral 3º, de la Ley 80 de 1993, establece:</w:t>
      </w:r>
    </w:p>
    <w:p w14:paraId="67D66010" w14:textId="77777777" w:rsidR="00E546EE" w:rsidRPr="001532C8" w:rsidRDefault="00E546EE" w:rsidP="00B12DB6">
      <w:pPr>
        <w:spacing w:after="0" w:line="276" w:lineRule="auto"/>
        <w:jc w:val="both"/>
        <w:rPr>
          <w:rFonts w:ascii="Verdana" w:eastAsia="Calibri" w:hAnsi="Verdana" w:cs="Arial"/>
          <w:lang w:val="es-ES_tradnl" w:eastAsia="es-ES_tradnl"/>
        </w:rPr>
      </w:pPr>
    </w:p>
    <w:p w14:paraId="263029EB" w14:textId="77777777" w:rsidR="00E546EE" w:rsidRPr="00F91EF1" w:rsidRDefault="00E546EE" w:rsidP="00B12DB6">
      <w:pPr>
        <w:spacing w:after="0" w:line="240" w:lineRule="auto"/>
        <w:ind w:left="709" w:right="709"/>
        <w:jc w:val="both"/>
        <w:rPr>
          <w:rFonts w:ascii="Verdana" w:eastAsia="Calibri" w:hAnsi="Verdana" w:cs="Arial"/>
          <w:sz w:val="20"/>
          <w:szCs w:val="20"/>
          <w:lang w:val="es-ES_tradnl" w:eastAsia="es-ES_tradnl"/>
        </w:rPr>
      </w:pPr>
      <w:r w:rsidRPr="00F91EF1">
        <w:rPr>
          <w:rFonts w:ascii="Verdana" w:eastAsia="Times New Roman" w:hAnsi="Verdana" w:cs="Arial"/>
          <w:sz w:val="20"/>
          <w:szCs w:val="20"/>
          <w:lang w:eastAsia="es-ES_tradnl"/>
        </w:rPr>
        <w:t>“</w:t>
      </w:r>
      <w:r w:rsidRPr="00F91EF1">
        <w:rPr>
          <w:rFonts w:ascii="Verdana" w:eastAsia="Calibri" w:hAnsi="Verdana" w:cs="Arial"/>
          <w:sz w:val="20"/>
          <w:szCs w:val="20"/>
          <w:lang w:val="es-ES_tradnl" w:eastAsia="es-ES_tradnl"/>
        </w:rPr>
        <w:t>Son contratos de prestación de servicios los que celebren las entidades estatales para desarrollar actividades relacionadas con la administración o funcionamiento de la entidad. Estos contratos sólo podrán celebrarse con personas naturales cuando dichas actividades no puedan realizarse con personal de planta o requieran conocimientos especializados.</w:t>
      </w:r>
    </w:p>
    <w:p w14:paraId="20C4E9A0" w14:textId="77777777" w:rsidR="00E546EE" w:rsidRPr="00F91EF1" w:rsidRDefault="00E546EE" w:rsidP="00B12DB6">
      <w:pPr>
        <w:spacing w:after="0" w:line="240" w:lineRule="auto"/>
        <w:ind w:left="709" w:right="709"/>
        <w:jc w:val="both"/>
        <w:rPr>
          <w:rFonts w:ascii="Verdana" w:eastAsia="Calibri" w:hAnsi="Verdana" w:cs="Arial"/>
          <w:sz w:val="20"/>
          <w:szCs w:val="20"/>
          <w:lang w:val="es-ES_tradnl" w:eastAsia="es-ES_tradnl"/>
        </w:rPr>
      </w:pPr>
    </w:p>
    <w:p w14:paraId="3D435D04" w14:textId="77777777" w:rsidR="00E546EE" w:rsidRPr="00F91EF1" w:rsidRDefault="00E546EE" w:rsidP="00B12DB6">
      <w:pPr>
        <w:spacing w:after="0" w:line="240" w:lineRule="auto"/>
        <w:ind w:left="709" w:right="709"/>
        <w:jc w:val="both"/>
        <w:rPr>
          <w:rFonts w:ascii="Verdana" w:eastAsia="Calibri" w:hAnsi="Verdana" w:cs="Arial"/>
          <w:sz w:val="20"/>
          <w:szCs w:val="20"/>
          <w:lang w:val="es-ES_tradnl" w:eastAsia="es-ES_tradnl"/>
        </w:rPr>
      </w:pPr>
      <w:r w:rsidRPr="00F91EF1">
        <w:rPr>
          <w:rFonts w:ascii="Verdana" w:eastAsia="Calibri" w:hAnsi="Verdana" w:cs="Arial"/>
          <w:sz w:val="20"/>
          <w:szCs w:val="20"/>
          <w:lang w:val="es-ES_tradnl" w:eastAsia="es-ES_tradnl"/>
        </w:rPr>
        <w:t>En ningún caso estos contratos generan relación laboral ni prestaciones sociales y se celebrarán por el término estrictamente indispensable</w:t>
      </w:r>
      <w:r w:rsidRPr="00F91EF1">
        <w:rPr>
          <w:rFonts w:ascii="Verdana" w:eastAsia="Times New Roman" w:hAnsi="Verdana" w:cs="Arial"/>
          <w:sz w:val="20"/>
          <w:szCs w:val="20"/>
          <w:lang w:eastAsia="es-ES_tradnl"/>
        </w:rPr>
        <w:t>”</w:t>
      </w:r>
      <w:r w:rsidRPr="00F91EF1">
        <w:rPr>
          <w:rFonts w:ascii="Verdana" w:eastAsia="Calibri" w:hAnsi="Verdana" w:cs="Arial"/>
          <w:sz w:val="20"/>
          <w:szCs w:val="20"/>
          <w:lang w:val="es-ES_tradnl" w:eastAsia="es-ES_tradnl"/>
        </w:rPr>
        <w:t>.</w:t>
      </w:r>
    </w:p>
    <w:p w14:paraId="5C543DA4" w14:textId="77777777" w:rsidR="00E546EE" w:rsidRPr="001532C8" w:rsidRDefault="00E546EE" w:rsidP="00B12DB6">
      <w:pPr>
        <w:tabs>
          <w:tab w:val="left" w:pos="284"/>
        </w:tabs>
        <w:spacing w:after="0" w:line="276" w:lineRule="auto"/>
        <w:jc w:val="both"/>
        <w:rPr>
          <w:rFonts w:ascii="Verdana" w:eastAsia="Calibri" w:hAnsi="Verdana" w:cs="Arial"/>
          <w:b/>
          <w:lang w:val="es-ES_tradnl" w:eastAsia="es-ES_tradnl"/>
        </w:rPr>
      </w:pPr>
    </w:p>
    <w:p w14:paraId="26CD9898" w14:textId="77777777" w:rsidR="00E546EE" w:rsidRPr="001532C8" w:rsidRDefault="00E546EE" w:rsidP="00B12DB6">
      <w:pPr>
        <w:spacing w:after="0" w:line="276" w:lineRule="auto"/>
        <w:ind w:firstLine="709"/>
        <w:jc w:val="both"/>
        <w:rPr>
          <w:rFonts w:ascii="Verdana" w:eastAsia="Calibri" w:hAnsi="Verdana" w:cs="Arial"/>
          <w:lang w:val="es-ES" w:eastAsia="es-ES"/>
        </w:rPr>
      </w:pPr>
      <w:r w:rsidRPr="1D1EDF85">
        <w:rPr>
          <w:rFonts w:ascii="Verdana" w:eastAsia="Calibri" w:hAnsi="Verdana" w:cs="Arial"/>
          <w:lang w:val="es-ES" w:eastAsia="es-ES"/>
        </w:rPr>
        <w:t>De otro lado, la celebración de dicho contrato se debe efectuar a través de la modalidad de la contratación directa. Así lo prevé el artículo 2, numeral 4, literal h), de la Ley 1150 de 2007, que dispone:</w:t>
      </w:r>
    </w:p>
    <w:p w14:paraId="3863B4CB" w14:textId="77777777" w:rsidR="00E546EE" w:rsidRPr="001532C8" w:rsidRDefault="00E546EE" w:rsidP="00B12DB6">
      <w:pPr>
        <w:spacing w:after="0" w:line="276" w:lineRule="auto"/>
        <w:ind w:firstLine="709"/>
        <w:jc w:val="both"/>
        <w:rPr>
          <w:rFonts w:ascii="Verdana" w:eastAsia="Calibri" w:hAnsi="Verdana" w:cs="Arial"/>
          <w:lang w:val="es-ES_tradnl" w:eastAsia="es-ES_tradnl"/>
        </w:rPr>
      </w:pPr>
    </w:p>
    <w:p w14:paraId="641BA4B7" w14:textId="77777777" w:rsidR="00E546EE" w:rsidRPr="00F91EF1" w:rsidRDefault="00E546EE" w:rsidP="00B12DB6">
      <w:pPr>
        <w:spacing w:after="0" w:line="240" w:lineRule="auto"/>
        <w:ind w:left="709" w:right="709"/>
        <w:jc w:val="both"/>
        <w:rPr>
          <w:rFonts w:ascii="Verdana" w:eastAsia="Calibri" w:hAnsi="Verdana" w:cs="Arial"/>
          <w:sz w:val="20"/>
          <w:szCs w:val="20"/>
          <w:lang w:val="es-ES_tradnl" w:eastAsia="es-ES_tradnl"/>
        </w:rPr>
      </w:pPr>
      <w:r w:rsidRPr="00F91EF1">
        <w:rPr>
          <w:rFonts w:ascii="Verdana" w:eastAsia="Times New Roman" w:hAnsi="Verdana" w:cs="Arial"/>
          <w:sz w:val="20"/>
          <w:szCs w:val="20"/>
          <w:lang w:eastAsia="es-ES_tradnl"/>
        </w:rPr>
        <w:t>“</w:t>
      </w:r>
      <w:r w:rsidRPr="00F91EF1">
        <w:rPr>
          <w:rFonts w:ascii="Verdana" w:eastAsia="Calibri" w:hAnsi="Verdana" w:cs="Arial"/>
          <w:sz w:val="20"/>
          <w:szCs w:val="20"/>
          <w:lang w:val="es-ES_tradnl" w:eastAsia="es-ES_tradnl"/>
        </w:rPr>
        <w:t>[…]</w:t>
      </w:r>
    </w:p>
    <w:p w14:paraId="138AD993" w14:textId="77777777" w:rsidR="00E546EE" w:rsidRPr="00F91EF1" w:rsidRDefault="00E546EE" w:rsidP="00B12DB6">
      <w:pPr>
        <w:spacing w:after="0" w:line="240" w:lineRule="auto"/>
        <w:ind w:left="709" w:right="709"/>
        <w:jc w:val="both"/>
        <w:rPr>
          <w:rFonts w:ascii="Verdana" w:eastAsia="Calibri" w:hAnsi="Verdana" w:cs="Arial"/>
          <w:sz w:val="20"/>
          <w:szCs w:val="20"/>
          <w:lang w:val="es-ES_tradnl" w:eastAsia="es-ES_tradnl"/>
        </w:rPr>
      </w:pPr>
      <w:r w:rsidRPr="00F91EF1">
        <w:rPr>
          <w:rFonts w:ascii="Verdana" w:eastAsia="Calibri" w:hAnsi="Verdana" w:cs="Arial"/>
          <w:sz w:val="20"/>
          <w:szCs w:val="20"/>
          <w:lang w:val="es-ES_tradnl" w:eastAsia="es-ES_tradnl"/>
        </w:rPr>
        <w:t>Contratación directa. La modalidad de selección de contratación directa solamente procederá en los siguientes casos:</w:t>
      </w:r>
    </w:p>
    <w:p w14:paraId="50C98EC1" w14:textId="77777777" w:rsidR="00E546EE" w:rsidRPr="00F91EF1" w:rsidRDefault="00E546EE" w:rsidP="00B12DB6">
      <w:pPr>
        <w:spacing w:after="0" w:line="240" w:lineRule="auto"/>
        <w:ind w:left="709" w:right="709"/>
        <w:jc w:val="both"/>
        <w:rPr>
          <w:rFonts w:ascii="Verdana" w:eastAsia="Calibri" w:hAnsi="Verdana" w:cs="Arial"/>
          <w:sz w:val="20"/>
          <w:szCs w:val="20"/>
          <w:lang w:val="es-ES_tradnl" w:eastAsia="es-ES_tradnl"/>
        </w:rPr>
      </w:pPr>
    </w:p>
    <w:p w14:paraId="5F765E59" w14:textId="77777777" w:rsidR="00E546EE" w:rsidRPr="00F91EF1" w:rsidRDefault="00E546EE" w:rsidP="00B12DB6">
      <w:pPr>
        <w:spacing w:after="0" w:line="240" w:lineRule="auto"/>
        <w:ind w:left="709" w:right="709"/>
        <w:jc w:val="both"/>
        <w:rPr>
          <w:rFonts w:ascii="Verdana" w:eastAsia="Calibri" w:hAnsi="Verdana" w:cs="Arial"/>
          <w:sz w:val="20"/>
          <w:szCs w:val="20"/>
          <w:lang w:val="es-ES_tradnl" w:eastAsia="es-ES_tradnl"/>
        </w:rPr>
      </w:pPr>
      <w:r w:rsidRPr="00F91EF1">
        <w:rPr>
          <w:rFonts w:ascii="Verdana" w:eastAsia="Calibri" w:hAnsi="Verdana" w:cs="Arial"/>
          <w:sz w:val="20"/>
          <w:szCs w:val="20"/>
          <w:lang w:val="es-ES_tradnl" w:eastAsia="es-ES_tradnl"/>
        </w:rPr>
        <w:t>[…]</w:t>
      </w:r>
    </w:p>
    <w:p w14:paraId="5B0E6D2C" w14:textId="77777777" w:rsidR="00E546EE" w:rsidRPr="00F91EF1" w:rsidRDefault="00E546EE" w:rsidP="00B12DB6">
      <w:pPr>
        <w:spacing w:after="0" w:line="240" w:lineRule="auto"/>
        <w:ind w:left="709" w:right="709"/>
        <w:jc w:val="both"/>
        <w:rPr>
          <w:rFonts w:ascii="Verdana" w:eastAsia="Calibri" w:hAnsi="Verdana" w:cs="Arial"/>
          <w:sz w:val="20"/>
          <w:szCs w:val="20"/>
          <w:lang w:val="es-ES_tradnl" w:eastAsia="es-ES_tradnl"/>
        </w:rPr>
      </w:pPr>
    </w:p>
    <w:p w14:paraId="537F1FF4" w14:textId="77777777" w:rsidR="00E546EE" w:rsidRPr="00F91EF1" w:rsidRDefault="00E546EE" w:rsidP="00B12DB6">
      <w:pPr>
        <w:spacing w:after="0" w:line="240" w:lineRule="auto"/>
        <w:ind w:left="709" w:right="709"/>
        <w:jc w:val="both"/>
        <w:rPr>
          <w:rFonts w:ascii="Verdana" w:eastAsia="Calibri" w:hAnsi="Verdana" w:cs="Arial"/>
          <w:sz w:val="20"/>
          <w:szCs w:val="20"/>
          <w:lang w:val="es-ES_tradnl" w:eastAsia="es-ES_tradnl"/>
        </w:rPr>
      </w:pPr>
      <w:r w:rsidRPr="00F91EF1">
        <w:rPr>
          <w:rFonts w:ascii="Verdana" w:eastAsia="Calibri" w:hAnsi="Verdana" w:cs="Arial"/>
          <w:sz w:val="20"/>
          <w:szCs w:val="20"/>
          <w:lang w:val="es-ES_tradnl" w:eastAsia="es-ES_tradnl"/>
        </w:rPr>
        <w:t>h) Para la prestación de servicios profesionales y de apoyo a la gestión, o para la ejecución de trabajos artísticos que sólo puedan encomendarse a determinadas personas naturales;</w:t>
      </w:r>
    </w:p>
    <w:p w14:paraId="4EF9ADDB" w14:textId="77777777" w:rsidR="00E546EE" w:rsidRPr="00F91EF1" w:rsidRDefault="00E546EE" w:rsidP="00B12DB6">
      <w:pPr>
        <w:spacing w:after="0" w:line="240" w:lineRule="auto"/>
        <w:ind w:left="709" w:right="709"/>
        <w:jc w:val="both"/>
        <w:rPr>
          <w:rFonts w:ascii="Verdana" w:eastAsia="Calibri" w:hAnsi="Verdana" w:cs="Arial"/>
          <w:sz w:val="20"/>
          <w:szCs w:val="20"/>
          <w:lang w:val="es-ES_tradnl" w:eastAsia="es-ES_tradnl"/>
        </w:rPr>
      </w:pPr>
    </w:p>
    <w:p w14:paraId="5B8F78B5" w14:textId="77777777" w:rsidR="00E546EE" w:rsidRPr="00F91EF1" w:rsidRDefault="00E546EE" w:rsidP="00B12DB6">
      <w:pPr>
        <w:spacing w:after="0" w:line="240" w:lineRule="auto"/>
        <w:ind w:left="709" w:right="709"/>
        <w:jc w:val="both"/>
        <w:rPr>
          <w:rFonts w:ascii="Verdana" w:eastAsia="Calibri" w:hAnsi="Verdana" w:cs="Arial"/>
          <w:sz w:val="20"/>
          <w:szCs w:val="20"/>
          <w:lang w:val="es-ES_tradnl" w:eastAsia="es-ES_tradnl"/>
        </w:rPr>
      </w:pPr>
      <w:r w:rsidRPr="00F91EF1">
        <w:rPr>
          <w:rFonts w:ascii="Verdana" w:eastAsia="Calibri" w:hAnsi="Verdana" w:cs="Arial"/>
          <w:sz w:val="20"/>
          <w:szCs w:val="20"/>
          <w:lang w:val="es-ES_tradnl" w:eastAsia="es-ES_tradnl"/>
        </w:rPr>
        <w:t>[…]</w:t>
      </w:r>
      <w:r w:rsidRPr="00F91EF1">
        <w:rPr>
          <w:rFonts w:ascii="Verdana" w:eastAsia="Times New Roman" w:hAnsi="Verdana" w:cs="Arial"/>
          <w:sz w:val="20"/>
          <w:szCs w:val="20"/>
          <w:lang w:eastAsia="es-ES_tradnl"/>
        </w:rPr>
        <w:t xml:space="preserve">”. </w:t>
      </w:r>
    </w:p>
    <w:p w14:paraId="2A16A2E7" w14:textId="77777777" w:rsidR="00E546EE" w:rsidRPr="001532C8" w:rsidRDefault="00E546EE" w:rsidP="00B12DB6">
      <w:pPr>
        <w:spacing w:after="0" w:line="276" w:lineRule="auto"/>
        <w:ind w:right="709"/>
        <w:jc w:val="both"/>
        <w:rPr>
          <w:rFonts w:ascii="Verdana" w:eastAsia="Calibri" w:hAnsi="Verdana" w:cs="Arial"/>
          <w:lang w:val="es-ES_tradnl" w:eastAsia="es-ES_tradnl"/>
        </w:rPr>
      </w:pPr>
    </w:p>
    <w:p w14:paraId="41744804" w14:textId="77777777" w:rsidR="00E546EE" w:rsidRPr="001532C8" w:rsidRDefault="00E546EE" w:rsidP="0094138A">
      <w:pPr>
        <w:spacing w:after="120" w:line="276" w:lineRule="auto"/>
        <w:ind w:firstLine="709"/>
        <w:jc w:val="both"/>
        <w:rPr>
          <w:rFonts w:ascii="Verdana" w:eastAsia="Calibri" w:hAnsi="Verdana" w:cs="Arial"/>
          <w:lang w:val="es-ES_tradnl" w:eastAsia="es-ES_tradnl"/>
        </w:rPr>
      </w:pPr>
      <w:r w:rsidRPr="001532C8">
        <w:rPr>
          <w:rFonts w:ascii="Verdana" w:eastAsia="Calibri" w:hAnsi="Verdana" w:cs="Arial"/>
          <w:lang w:val="es-ES_tradnl" w:eastAsia="es-ES_tradnl"/>
        </w:rPr>
        <w:lastRenderedPageBreak/>
        <w:t>A partir de estos enunciados normativos, entre otros, de carácter legal y reglamentario, que complementan su regulación, y de los pronunciamientos judiciales más destacados sobre el tema, es posible señalar las siguientes características del contrato de prestación de servicios:</w:t>
      </w:r>
    </w:p>
    <w:p w14:paraId="24FBA1F6" w14:textId="77777777" w:rsidR="00E546EE" w:rsidRPr="001532C8" w:rsidRDefault="00E546EE" w:rsidP="0094138A">
      <w:pPr>
        <w:spacing w:after="120" w:line="276" w:lineRule="auto"/>
        <w:ind w:firstLine="709"/>
        <w:jc w:val="both"/>
        <w:rPr>
          <w:rFonts w:ascii="Verdana" w:eastAsia="Calibri" w:hAnsi="Verdana" w:cs="Arial"/>
          <w:lang w:val="es-ES_tradnl" w:eastAsia="es-ES_tradnl"/>
        </w:rPr>
      </w:pPr>
      <w:r>
        <w:rPr>
          <w:rFonts w:ascii="Verdana" w:eastAsia="Calibri" w:hAnsi="Verdana" w:cs="Arial"/>
          <w:lang w:val="es-ES_tradnl" w:eastAsia="es-ES_tradnl"/>
        </w:rPr>
        <w:t>a</w:t>
      </w:r>
      <w:r w:rsidRPr="001532C8">
        <w:rPr>
          <w:rFonts w:ascii="Verdana" w:eastAsia="Calibri" w:hAnsi="Verdana" w:cs="Arial"/>
          <w:lang w:val="es-ES_tradnl" w:eastAsia="es-ES_tradnl"/>
        </w:rPr>
        <w:t xml:space="preserve">) Solo puede celebrarse para realizar </w:t>
      </w:r>
      <w:r>
        <w:rPr>
          <w:rFonts w:ascii="Verdana" w:eastAsia="Calibri" w:hAnsi="Verdana" w:cs="Arial"/>
          <w:lang w:val="es-ES_tradnl" w:eastAsia="es-ES_tradnl"/>
        </w:rPr>
        <w:t>“</w:t>
      </w:r>
      <w:r w:rsidRPr="001532C8">
        <w:rPr>
          <w:rFonts w:ascii="Verdana" w:eastAsia="Calibri" w:hAnsi="Verdana" w:cs="Arial"/>
          <w:lang w:val="es-ES_tradnl" w:eastAsia="es-ES_tradnl"/>
        </w:rPr>
        <w:t>actividades relacionadas con la administración o funcionamiento de la entidad</w:t>
      </w:r>
      <w:r>
        <w:rPr>
          <w:rFonts w:ascii="Verdana" w:eastAsia="Calibri" w:hAnsi="Verdana" w:cs="Arial"/>
          <w:lang w:val="es-ES_tradnl" w:eastAsia="es-ES_tradnl"/>
        </w:rPr>
        <w:t>”</w:t>
      </w:r>
      <w:r w:rsidRPr="001532C8">
        <w:rPr>
          <w:rFonts w:ascii="Verdana" w:eastAsia="Calibri" w:hAnsi="Verdana" w:cs="Arial"/>
          <w:lang w:val="es-ES_tradnl" w:eastAsia="es-ES_tradnl"/>
        </w:rPr>
        <w:t>, es decir, que hagan parte de su giro ordinario o quehacer cotidiano.</w:t>
      </w:r>
    </w:p>
    <w:p w14:paraId="64813268" w14:textId="46F606AB" w:rsidR="00E546EE" w:rsidRPr="001532C8" w:rsidRDefault="00E546EE" w:rsidP="0094138A">
      <w:pPr>
        <w:spacing w:after="120" w:line="276" w:lineRule="auto"/>
        <w:ind w:firstLine="709"/>
        <w:jc w:val="both"/>
        <w:rPr>
          <w:rFonts w:ascii="Verdana" w:eastAsia="Calibri" w:hAnsi="Verdana" w:cs="Arial"/>
          <w:lang w:val="es-ES" w:eastAsia="es-ES"/>
        </w:rPr>
      </w:pPr>
      <w:r>
        <w:rPr>
          <w:rFonts w:ascii="Verdana" w:eastAsia="Calibri" w:hAnsi="Verdana" w:cs="Arial"/>
          <w:lang w:val="es-ES" w:eastAsia="es-ES"/>
        </w:rPr>
        <w:t>b</w:t>
      </w:r>
      <w:r w:rsidRPr="7E0867B5">
        <w:rPr>
          <w:rFonts w:ascii="Verdana" w:eastAsia="Calibri" w:hAnsi="Verdana" w:cs="Arial"/>
          <w:lang w:val="es-ES" w:eastAsia="es-ES"/>
        </w:rPr>
        <w:t>) Admite que se suscriba tanto con personas naturales como con personas jurídicas. Y requiere que la Entidad Estatal justifique en los estudios previos que las actividades que buscan encomendarse a aquella “no puedan realizarse con personal de planta o requieran conocimientos especializados”</w:t>
      </w:r>
      <w:r w:rsidRPr="7E0867B5">
        <w:rPr>
          <w:rFonts w:ascii="Verdana" w:eastAsia="Calibri" w:hAnsi="Verdana" w:cs="Arial"/>
          <w:vertAlign w:val="superscript"/>
          <w:lang w:val="es-ES" w:eastAsia="es-ES"/>
        </w:rPr>
        <w:footnoteReference w:id="1"/>
      </w:r>
      <w:r>
        <w:rPr>
          <w:rFonts w:ascii="Verdana" w:eastAsia="Calibri" w:hAnsi="Verdana" w:cs="Arial"/>
          <w:lang w:val="es-ES" w:eastAsia="es-ES"/>
        </w:rPr>
        <w:t>.</w:t>
      </w:r>
      <w:r w:rsidRPr="7E0867B5">
        <w:rPr>
          <w:rFonts w:ascii="Verdana" w:eastAsia="Calibri" w:hAnsi="Verdana" w:cs="Arial"/>
          <w:lang w:val="es-ES" w:eastAsia="es-ES"/>
        </w:rPr>
        <w:t xml:space="preserve"> Esto puede suceder en varios eventos, como, por ejemplo</w:t>
      </w:r>
      <w:r w:rsidR="00403670">
        <w:rPr>
          <w:rFonts w:ascii="Verdana" w:eastAsia="Calibri" w:hAnsi="Verdana" w:cs="Arial"/>
          <w:lang w:val="es-ES" w:eastAsia="es-ES"/>
        </w:rPr>
        <w:t xml:space="preserve">; </w:t>
      </w:r>
      <w:r w:rsidRPr="7E0867B5">
        <w:rPr>
          <w:rFonts w:ascii="Verdana" w:eastAsia="Calibri" w:hAnsi="Verdana" w:cs="Arial"/>
          <w:lang w:val="es-ES" w:eastAsia="es-ES"/>
        </w:rPr>
        <w:t>que, efectivamente, no exista el personal de planta para encargarse de dichas labores; que exista, pero que está sobrecargado de trabajo, requiriéndose, por tanto, un apoyo externo; o que haya personal de planta, pero no tenga la experticia o conocimiento especializado en la materia, y que, por esta razón, sea necesario contratar los servicios de una persona natural que posea conocimiento y experiencia en el tema.</w:t>
      </w:r>
    </w:p>
    <w:p w14:paraId="398BD45F" w14:textId="77777777" w:rsidR="00AE3F52" w:rsidRDefault="00E546EE" w:rsidP="0094138A">
      <w:pPr>
        <w:spacing w:after="120" w:line="276" w:lineRule="auto"/>
        <w:ind w:firstLine="709"/>
        <w:jc w:val="both"/>
        <w:rPr>
          <w:rFonts w:ascii="Verdana" w:eastAsia="Calibri" w:hAnsi="Verdana" w:cs="Arial"/>
          <w:lang w:val="es-ES" w:eastAsia="es-ES"/>
        </w:rPr>
      </w:pPr>
      <w:r>
        <w:rPr>
          <w:rFonts w:ascii="Verdana" w:eastAsia="Calibri" w:hAnsi="Verdana" w:cs="Arial"/>
          <w:lang w:val="es-ES" w:eastAsia="es-ES"/>
        </w:rPr>
        <w:t>c</w:t>
      </w:r>
      <w:r w:rsidRPr="7E0867B5">
        <w:rPr>
          <w:rFonts w:ascii="Verdana" w:eastAsia="Calibri" w:hAnsi="Verdana" w:cs="Arial"/>
          <w:lang w:val="es-ES" w:eastAsia="es-ES"/>
        </w:rPr>
        <w:t>) Si bien se celebran para obtener la prestación personal de un servicio, se diferencian del contrato de trabajo</w:t>
      </w:r>
      <w:r w:rsidRPr="7E0867B5">
        <w:rPr>
          <w:rFonts w:ascii="Verdana" w:eastAsia="Calibri" w:hAnsi="Verdana" w:cs="Arial"/>
          <w:vertAlign w:val="superscript"/>
          <w:lang w:val="es-ES" w:eastAsia="es-ES"/>
        </w:rPr>
        <w:footnoteReference w:id="2"/>
      </w:r>
      <w:r w:rsidRPr="7E0867B5">
        <w:rPr>
          <w:rFonts w:ascii="Verdana" w:eastAsia="Calibri" w:hAnsi="Verdana" w:cs="Arial"/>
          <w:lang w:val="es-ES" w:eastAsia="es-ES"/>
        </w:rPr>
        <w:t xml:space="preserve"> en que quien celebra el contrato de prestación de servicios debe mantener autonomía e independencia en la ejecución de la labor, lo que significa que no puede existir la </w:t>
      </w:r>
      <w:r w:rsidRPr="7E0867B5">
        <w:rPr>
          <w:rFonts w:ascii="Verdana" w:eastAsia="Calibri" w:hAnsi="Verdana" w:cs="Arial"/>
          <w:i/>
          <w:lang w:val="es-ES" w:eastAsia="es-ES"/>
        </w:rPr>
        <w:t>subordinación y dependencia</w:t>
      </w:r>
      <w:r w:rsidRPr="7E0867B5">
        <w:rPr>
          <w:rFonts w:ascii="Verdana" w:eastAsia="Calibri" w:hAnsi="Verdana" w:cs="Arial"/>
          <w:lang w:val="es-ES" w:eastAsia="es-ES"/>
        </w:rPr>
        <w:t>, que es uno de los elementos constitutivos del vínculo laboral.</w:t>
      </w:r>
    </w:p>
    <w:p w14:paraId="21B582EA" w14:textId="73D0D765" w:rsidR="002C5237" w:rsidRDefault="00E546EE" w:rsidP="0094138A">
      <w:pPr>
        <w:spacing w:after="120" w:line="276" w:lineRule="auto"/>
        <w:ind w:firstLine="709"/>
        <w:jc w:val="both"/>
        <w:rPr>
          <w:rFonts w:ascii="Verdana" w:eastAsia="Calibri" w:hAnsi="Verdana" w:cs="Arial"/>
          <w:lang w:val="es-ES" w:eastAsia="es-ES"/>
        </w:rPr>
      </w:pPr>
      <w:r w:rsidRPr="7E0867B5">
        <w:rPr>
          <w:rFonts w:ascii="Verdana" w:eastAsia="Calibri" w:hAnsi="Verdana" w:cs="Arial"/>
          <w:lang w:val="es-ES" w:eastAsia="es-ES"/>
        </w:rPr>
        <w:lastRenderedPageBreak/>
        <w:t xml:space="preserve">Por ello, el numeral 3 del artículo 32 de la Ley 80 de 1993 establece que “En ningún caso estos contratos generan relación laboral ni prestaciones sociales”, inciso que más que un enunciado que aluda al “ser” se refiere al “deber ser”, pues debe interpretarse en el sentido de que los contratos de prestación de servicios profesionales </w:t>
      </w:r>
      <w:r w:rsidRPr="7E0867B5">
        <w:rPr>
          <w:rFonts w:ascii="Verdana" w:eastAsia="Calibri" w:hAnsi="Verdana" w:cs="Arial"/>
          <w:i/>
          <w:lang w:val="es-ES" w:eastAsia="es-ES"/>
        </w:rPr>
        <w:t>no pueden</w:t>
      </w:r>
      <w:r w:rsidRPr="7E0867B5">
        <w:rPr>
          <w:rFonts w:ascii="Verdana" w:eastAsia="Calibri" w:hAnsi="Verdana" w:cs="Arial"/>
          <w:lang w:val="es-ES" w:eastAsia="es-ES"/>
        </w:rPr>
        <w:t xml:space="preserve"> generar relación laboral, ni dar lugar a que las Entidades Estatales paguen por su cuenta los aportes al Sistema de Seguridad Social Integral del contratista. Ello por cuanto, según se indicó, en dichos contratos no puede existir subordinación y dependencia; entonces, la relación laboral está proscrita y es el contratista quien, como “trabajador independiente” –como lo califican las normas en materia de seguridad social– debe cotizar por su cuenta y riesgo al Sistema de Seguridad Social Integral. </w:t>
      </w:r>
    </w:p>
    <w:p w14:paraId="4B77AA07" w14:textId="41C445C6" w:rsidR="00E546EE" w:rsidRPr="001532C8" w:rsidRDefault="00E546EE" w:rsidP="0094138A">
      <w:pPr>
        <w:spacing w:after="120" w:line="276" w:lineRule="auto"/>
        <w:ind w:firstLine="709"/>
        <w:jc w:val="both"/>
        <w:rPr>
          <w:rFonts w:ascii="Verdana" w:eastAsia="Calibri" w:hAnsi="Verdana" w:cs="Arial"/>
          <w:lang w:val="es-ES" w:eastAsia="es-ES"/>
        </w:rPr>
      </w:pPr>
      <w:r w:rsidRPr="7E0867B5">
        <w:rPr>
          <w:rFonts w:ascii="Verdana" w:eastAsia="Calibri" w:hAnsi="Verdana" w:cs="Arial"/>
          <w:lang w:val="es-ES" w:eastAsia="es-ES"/>
        </w:rPr>
        <w:t xml:space="preserve">Pero es posible que, a pesar de este mandato deontológico, en la práctica surja la relación laboral, pues, como se sabe, el contrato de trabajo es un </w:t>
      </w:r>
      <w:r w:rsidRPr="7E0867B5">
        <w:rPr>
          <w:rFonts w:ascii="Verdana" w:eastAsia="Calibri" w:hAnsi="Verdana" w:cs="Arial"/>
          <w:i/>
          <w:lang w:val="es-ES" w:eastAsia="es-ES"/>
        </w:rPr>
        <w:t>contrato realidad</w:t>
      </w:r>
      <w:r w:rsidRPr="7E0867B5">
        <w:rPr>
          <w:rFonts w:ascii="Verdana" w:eastAsia="Calibri" w:hAnsi="Verdana" w:cs="Arial"/>
          <w:lang w:val="es-ES" w:eastAsia="es-ES"/>
        </w:rPr>
        <w:t>, ya que para su perfeccionamiento rige el principio de la prevalencia de la realidad sobre las formalidades. Por ello, la Corte Constitucional declaró la constitucionalidad condicionada del segundo inciso del numeral 3º del artículo 32, indicando que “las expresiones acusadas del numeral 3o. del artículo 32 de la Ley 80 de 1993, no vulneran los preceptos constitucionales, razón por la cual deberán ser declaradas exequibles, salvo que se acredite por parte del contratista la existencia de una relación laboral subordinada”</w:t>
      </w:r>
      <w:r w:rsidRPr="7E0867B5">
        <w:rPr>
          <w:rFonts w:ascii="Verdana" w:eastAsia="Calibri" w:hAnsi="Verdana" w:cs="Arial"/>
          <w:vertAlign w:val="superscript"/>
          <w:lang w:val="es-ES" w:eastAsia="es-ES"/>
        </w:rPr>
        <w:footnoteReference w:id="3"/>
      </w:r>
      <w:r w:rsidRPr="7E0867B5">
        <w:rPr>
          <w:rFonts w:ascii="Verdana" w:eastAsia="Calibri" w:hAnsi="Verdana" w:cs="Arial"/>
          <w:lang w:val="es-ES" w:eastAsia="es-ES"/>
        </w:rPr>
        <w:t>.</w:t>
      </w:r>
    </w:p>
    <w:p w14:paraId="48C2BE1C" w14:textId="77777777" w:rsidR="00E546EE" w:rsidRPr="001532C8" w:rsidRDefault="00E546EE" w:rsidP="00E546EE">
      <w:pPr>
        <w:spacing w:after="0" w:line="276" w:lineRule="auto"/>
        <w:ind w:firstLine="709"/>
        <w:jc w:val="both"/>
        <w:rPr>
          <w:rFonts w:ascii="Verdana" w:eastAsia="Calibri" w:hAnsi="Verdana" w:cs="Arial"/>
          <w:lang w:val="es-ES" w:eastAsia="es-ES"/>
        </w:rPr>
      </w:pPr>
      <w:r>
        <w:rPr>
          <w:rFonts w:ascii="Verdana" w:eastAsia="Calibri" w:hAnsi="Verdana" w:cs="Arial"/>
          <w:lang w:val="es-ES" w:eastAsia="es-ES"/>
        </w:rPr>
        <w:t>d</w:t>
      </w:r>
      <w:r w:rsidRPr="7E0867B5">
        <w:rPr>
          <w:rFonts w:ascii="Verdana" w:eastAsia="Calibri" w:hAnsi="Verdana" w:cs="Arial"/>
          <w:lang w:val="es-ES" w:eastAsia="es-ES"/>
        </w:rPr>
        <w:t>) Deben ser temporales. Así lo señaló la Corte Constitucional en la misma providencia a la que se aludió previamente, expresando que:</w:t>
      </w:r>
    </w:p>
    <w:p w14:paraId="720423C4" w14:textId="77777777" w:rsidR="00E546EE" w:rsidRPr="001532C8" w:rsidRDefault="00E546EE" w:rsidP="00E546EE">
      <w:pPr>
        <w:spacing w:after="0" w:line="276" w:lineRule="auto"/>
        <w:ind w:firstLine="709"/>
        <w:jc w:val="both"/>
        <w:rPr>
          <w:rFonts w:ascii="Verdana" w:eastAsia="Calibri" w:hAnsi="Verdana" w:cs="Arial"/>
          <w:lang w:val="es-ES_tradnl" w:eastAsia="es-ES_tradnl"/>
        </w:rPr>
      </w:pPr>
    </w:p>
    <w:p w14:paraId="23DD101D" w14:textId="77777777" w:rsidR="00E546EE" w:rsidRPr="002D6661" w:rsidRDefault="00E546EE" w:rsidP="00E546EE">
      <w:pPr>
        <w:spacing w:after="0" w:line="240" w:lineRule="auto"/>
        <w:ind w:left="709" w:right="709"/>
        <w:jc w:val="both"/>
        <w:rPr>
          <w:rFonts w:ascii="Verdana" w:eastAsia="Calibri" w:hAnsi="Verdana" w:cs="Arial"/>
          <w:sz w:val="20"/>
          <w:szCs w:val="20"/>
          <w:lang w:val="es-ES_tradnl" w:eastAsia="es-ES_tradnl"/>
        </w:rPr>
      </w:pPr>
      <w:r w:rsidRPr="002D6661">
        <w:rPr>
          <w:rFonts w:ascii="Verdana" w:eastAsia="Times New Roman" w:hAnsi="Verdana" w:cs="Arial"/>
          <w:sz w:val="20"/>
          <w:szCs w:val="20"/>
          <w:lang w:eastAsia="es-ES_tradnl"/>
        </w:rPr>
        <w:t>“</w:t>
      </w:r>
      <w:r w:rsidRPr="002D6661">
        <w:rPr>
          <w:rFonts w:ascii="Verdana" w:eastAsia="Calibri" w:hAnsi="Verdana" w:cs="Arial"/>
          <w:sz w:val="20"/>
          <w:szCs w:val="20"/>
          <w:lang w:val="es-ES_tradnl" w:eastAsia="es-ES_tradnl"/>
        </w:rPr>
        <w:t>La vigencia del contrato es temporal y, por lo tanto, su duración debe ser por tiempo limitado y el indispensable para ejecutar el objeto contractual convenido. En el caso de que las actividades con ellos atendidas demanden una permanencia mayor e indefinida, excediendo su carácter excepcional y temporal para convertirse en ordinario y permanente, será necesario que la respectiva entidad adopte las medidas y provisiones pertinentes a fin de que se dé cabal cumplimiento a lo previsto en el artículo 122 de la Carta Política, según el cual se requiere que el empleo público quede contemplado en la respectiva planta y previstos sus emolumentos en el presupuesto correspondiente</w:t>
      </w:r>
      <w:r w:rsidRPr="002D6661">
        <w:rPr>
          <w:rFonts w:ascii="Verdana" w:eastAsia="Times New Roman" w:hAnsi="Verdana" w:cs="Arial"/>
          <w:sz w:val="20"/>
          <w:szCs w:val="20"/>
          <w:lang w:eastAsia="es-ES_tradnl"/>
        </w:rPr>
        <w:t>”</w:t>
      </w:r>
      <w:r w:rsidRPr="002D6661">
        <w:rPr>
          <w:rFonts w:ascii="Verdana" w:eastAsia="Calibri" w:hAnsi="Verdana" w:cs="Arial"/>
          <w:sz w:val="20"/>
          <w:szCs w:val="20"/>
          <w:vertAlign w:val="superscript"/>
          <w:lang w:val="es-ES_tradnl" w:eastAsia="es-ES_tradnl"/>
        </w:rPr>
        <w:footnoteReference w:id="4"/>
      </w:r>
      <w:r w:rsidRPr="002D6661">
        <w:rPr>
          <w:rFonts w:ascii="Verdana" w:eastAsia="Calibri" w:hAnsi="Verdana" w:cs="Arial"/>
          <w:sz w:val="20"/>
          <w:szCs w:val="20"/>
          <w:lang w:val="es-ES_tradnl" w:eastAsia="es-ES_tradnl"/>
        </w:rPr>
        <w:t>.</w:t>
      </w:r>
    </w:p>
    <w:p w14:paraId="72BFF063" w14:textId="77777777" w:rsidR="00E546EE" w:rsidRPr="00DD350F" w:rsidRDefault="00E546EE" w:rsidP="002D6661">
      <w:pPr>
        <w:spacing w:after="0" w:line="276" w:lineRule="auto"/>
        <w:ind w:left="709" w:right="709"/>
        <w:jc w:val="both"/>
        <w:rPr>
          <w:rFonts w:ascii="Verdana" w:eastAsia="Calibri" w:hAnsi="Verdana" w:cs="Arial"/>
          <w:sz w:val="21"/>
          <w:szCs w:val="21"/>
          <w:lang w:val="es-ES_tradnl" w:eastAsia="es-ES_tradnl"/>
        </w:rPr>
      </w:pPr>
    </w:p>
    <w:p w14:paraId="48760D96" w14:textId="77777777" w:rsidR="00E546EE" w:rsidRPr="001532C8" w:rsidRDefault="00E546EE" w:rsidP="0094138A">
      <w:pPr>
        <w:spacing w:after="0" w:line="276" w:lineRule="auto"/>
        <w:ind w:firstLine="709"/>
        <w:jc w:val="both"/>
        <w:rPr>
          <w:rFonts w:ascii="Verdana" w:eastAsia="Calibri" w:hAnsi="Verdana" w:cs="Arial"/>
          <w:lang w:val="es-ES" w:eastAsia="es-ES"/>
        </w:rPr>
      </w:pPr>
      <w:r>
        <w:rPr>
          <w:rFonts w:ascii="Verdana" w:eastAsia="Calibri" w:hAnsi="Verdana" w:cs="Arial"/>
          <w:lang w:val="es-ES" w:eastAsia="es-ES"/>
        </w:rPr>
        <w:t>e</w:t>
      </w:r>
      <w:r w:rsidRPr="7E0867B5">
        <w:rPr>
          <w:rFonts w:ascii="Verdana" w:eastAsia="Calibri" w:hAnsi="Verdana" w:cs="Arial"/>
          <w:lang w:val="es-ES" w:eastAsia="es-ES"/>
        </w:rPr>
        <w:t xml:space="preserve">) Los contratos de prestación de servicios constituyen un </w:t>
      </w:r>
      <w:r w:rsidRPr="7E0867B5">
        <w:rPr>
          <w:rFonts w:ascii="Verdana" w:eastAsia="Calibri" w:hAnsi="Verdana" w:cs="Arial"/>
          <w:i/>
          <w:lang w:val="es-ES" w:eastAsia="es-ES"/>
        </w:rPr>
        <w:t>género</w:t>
      </w:r>
      <w:r w:rsidRPr="7E0867B5">
        <w:rPr>
          <w:rFonts w:ascii="Verdana" w:eastAsia="Calibri" w:hAnsi="Verdana" w:cs="Arial"/>
          <w:lang w:val="es-ES" w:eastAsia="es-ES"/>
        </w:rPr>
        <w:t xml:space="preserve"> que incluye, como </w:t>
      </w:r>
      <w:r w:rsidRPr="7E0867B5">
        <w:rPr>
          <w:rFonts w:ascii="Verdana" w:eastAsia="Calibri" w:hAnsi="Verdana" w:cs="Arial"/>
          <w:i/>
          <w:lang w:val="es-ES" w:eastAsia="es-ES"/>
        </w:rPr>
        <w:t>especies</w:t>
      </w:r>
      <w:r w:rsidRPr="7E0867B5">
        <w:rPr>
          <w:rFonts w:ascii="Verdana" w:eastAsia="Calibri" w:hAnsi="Verdana" w:cs="Arial"/>
          <w:lang w:val="es-ES" w:eastAsia="es-ES"/>
        </w:rPr>
        <w:t xml:space="preserve">, los contratos de prestación de servicios profesionales, </w:t>
      </w:r>
      <w:r w:rsidRPr="7E0867B5">
        <w:rPr>
          <w:rFonts w:ascii="Verdana" w:eastAsia="Calibri" w:hAnsi="Verdana" w:cs="Arial"/>
          <w:lang w:val="es-ES" w:eastAsia="es-ES"/>
        </w:rPr>
        <w:lastRenderedPageBreak/>
        <w:t>los contratos de prestación de servicios de apoyo a la gestión y los contratos de prestación de servicios artísticos que solo pueden encomendarse a determinadas personas naturales</w:t>
      </w:r>
      <w:r w:rsidRPr="7E0867B5">
        <w:rPr>
          <w:rFonts w:ascii="Verdana" w:eastAsia="Calibri" w:hAnsi="Verdana" w:cs="Arial"/>
          <w:vertAlign w:val="superscript"/>
          <w:lang w:val="es-ES" w:eastAsia="es-ES"/>
        </w:rPr>
        <w:footnoteReference w:id="5"/>
      </w:r>
      <w:r w:rsidRPr="7E0867B5">
        <w:rPr>
          <w:rFonts w:ascii="Verdana" w:eastAsia="Calibri" w:hAnsi="Verdana" w:cs="Arial"/>
          <w:lang w:val="es-ES" w:eastAsia="es-ES"/>
        </w:rPr>
        <w:t xml:space="preserve">. La diferencia entre el contrato de prestación de servicios </w:t>
      </w:r>
      <w:r w:rsidRPr="7E0867B5">
        <w:rPr>
          <w:rFonts w:ascii="Verdana" w:eastAsia="Calibri" w:hAnsi="Verdana" w:cs="Arial"/>
          <w:i/>
          <w:lang w:val="es-ES" w:eastAsia="es-ES"/>
        </w:rPr>
        <w:t>profesionales</w:t>
      </w:r>
      <w:r w:rsidRPr="7E0867B5">
        <w:rPr>
          <w:rFonts w:ascii="Verdana" w:eastAsia="Calibri" w:hAnsi="Verdana" w:cs="Arial"/>
          <w:lang w:val="es-ES" w:eastAsia="es-ES"/>
        </w:rPr>
        <w:t xml:space="preserve"> con las otras dos especies del género en el cual se ubican radica en su contenido intelectual intangible y, al mismo tiempo, en la formación profesional que se exige para desempeñar la labor. Así lo consideró el Consejo de Estado en sentencia de unificación jurisprudencial del 2 de diciembre de 2013, al indicar, respecto del contrato de prestación de servicios profesionales, que:</w:t>
      </w:r>
    </w:p>
    <w:p w14:paraId="73F404A3" w14:textId="77777777" w:rsidR="00E546EE" w:rsidRPr="001532C8" w:rsidRDefault="00E546EE" w:rsidP="0094138A">
      <w:pPr>
        <w:spacing w:after="0" w:line="276" w:lineRule="auto"/>
        <w:ind w:firstLine="709"/>
        <w:jc w:val="both"/>
        <w:rPr>
          <w:rFonts w:ascii="Verdana" w:eastAsia="Calibri" w:hAnsi="Verdana" w:cs="Arial"/>
          <w:lang w:val="es-ES_tradnl" w:eastAsia="es-ES_tradnl"/>
        </w:rPr>
      </w:pPr>
    </w:p>
    <w:p w14:paraId="7362D68D" w14:textId="77777777" w:rsidR="00E546EE" w:rsidRPr="002D6661" w:rsidRDefault="00E546EE" w:rsidP="00E546EE">
      <w:pPr>
        <w:spacing w:after="0" w:line="240" w:lineRule="auto"/>
        <w:ind w:left="709" w:right="709"/>
        <w:jc w:val="both"/>
        <w:rPr>
          <w:rFonts w:ascii="Verdana" w:eastAsia="Calibri" w:hAnsi="Verdana" w:cs="Arial"/>
          <w:sz w:val="20"/>
          <w:szCs w:val="20"/>
          <w:lang w:val="es-ES" w:eastAsia="es-ES_tradnl"/>
        </w:rPr>
      </w:pPr>
      <w:r w:rsidRPr="002D6661">
        <w:rPr>
          <w:rFonts w:ascii="Verdana" w:eastAsia="Times New Roman" w:hAnsi="Verdana" w:cs="Arial"/>
          <w:sz w:val="20"/>
          <w:szCs w:val="20"/>
          <w:lang w:eastAsia="es-ES_tradnl"/>
        </w:rPr>
        <w:t>“</w:t>
      </w:r>
      <w:r w:rsidRPr="002D6661">
        <w:rPr>
          <w:rFonts w:ascii="Verdana" w:eastAsia="Calibri" w:hAnsi="Verdana" w:cs="Arial"/>
          <w:sz w:val="20"/>
          <w:szCs w:val="20"/>
          <w:lang w:val="es-ES" w:eastAsia="es-ES_tradnl"/>
        </w:rPr>
        <w:t>Su objeto está determinado por el desarrollo de actividades identificables e intangibles que impliquen el desempeño de un esfuerzo o actividad, tendiente a satisfacer necesidades de las entidades estatales en lo relacionado con la gestión administrativa o funcionamiento que ellas requieran, bien sea acompañándolas, apoyándolas o soportándolas, con conocimientos especializados siempre y cuando dichos objetos estén encomendados a personas consideradas legalmente como profesionales. Se caracteriza por demandar un conocimiento intelectivo cualificado: el saber profesional</w:t>
      </w:r>
      <w:r w:rsidRPr="002D6661">
        <w:rPr>
          <w:rFonts w:ascii="Verdana" w:eastAsia="Times New Roman" w:hAnsi="Verdana" w:cs="Arial"/>
          <w:sz w:val="20"/>
          <w:szCs w:val="20"/>
          <w:lang w:eastAsia="es-ES_tradnl"/>
        </w:rPr>
        <w:t>”</w:t>
      </w:r>
      <w:r w:rsidRPr="002D6661">
        <w:rPr>
          <w:rFonts w:ascii="Verdana" w:eastAsia="Calibri" w:hAnsi="Verdana" w:cs="Arial"/>
          <w:sz w:val="20"/>
          <w:szCs w:val="20"/>
          <w:vertAlign w:val="superscript"/>
          <w:lang w:val="es-ES" w:eastAsia="es-ES_tradnl"/>
        </w:rPr>
        <w:footnoteReference w:id="6"/>
      </w:r>
      <w:r w:rsidRPr="002D6661">
        <w:rPr>
          <w:rFonts w:ascii="Verdana" w:eastAsia="Times New Roman" w:hAnsi="Verdana" w:cs="Arial"/>
          <w:sz w:val="20"/>
          <w:szCs w:val="20"/>
          <w:lang w:eastAsia="es-ES_tradnl"/>
        </w:rPr>
        <w:t>.</w:t>
      </w:r>
    </w:p>
    <w:p w14:paraId="31CDCA72" w14:textId="77777777" w:rsidR="00E546EE" w:rsidRPr="001532C8" w:rsidRDefault="00E546EE" w:rsidP="0094138A">
      <w:pPr>
        <w:spacing w:after="0" w:line="276" w:lineRule="auto"/>
        <w:ind w:firstLine="709"/>
        <w:jc w:val="both"/>
        <w:rPr>
          <w:rFonts w:ascii="Verdana" w:eastAsia="Calibri" w:hAnsi="Verdana" w:cs="Arial"/>
          <w:lang w:val="es-ES_tradnl" w:eastAsia="es-ES_tradnl"/>
        </w:rPr>
      </w:pPr>
    </w:p>
    <w:p w14:paraId="3EDC4E8E" w14:textId="77777777" w:rsidR="00E546EE" w:rsidRPr="001532C8" w:rsidRDefault="00E546EE" w:rsidP="0094138A">
      <w:pPr>
        <w:spacing w:after="0" w:line="276" w:lineRule="auto"/>
        <w:ind w:firstLine="709"/>
        <w:jc w:val="both"/>
        <w:rPr>
          <w:rFonts w:ascii="Verdana" w:eastAsia="Calibri" w:hAnsi="Verdana" w:cs="Arial"/>
          <w:lang w:val="es-ES_tradnl" w:eastAsia="es-ES_tradnl"/>
        </w:rPr>
      </w:pPr>
      <w:r w:rsidRPr="001532C8">
        <w:rPr>
          <w:rFonts w:ascii="Verdana" w:eastAsia="Calibri" w:hAnsi="Verdana" w:cs="Arial"/>
          <w:lang w:val="es-ES_tradnl" w:eastAsia="es-ES_tradnl"/>
        </w:rPr>
        <w:t>Objeto que, según la sentencia que se cita, se diferencia del contrato de prestación de servicios de apoyo a la gestión, porque en este:</w:t>
      </w:r>
    </w:p>
    <w:p w14:paraId="24BE80F1" w14:textId="77777777" w:rsidR="00E546EE" w:rsidRPr="001532C8" w:rsidRDefault="00E546EE" w:rsidP="0094138A">
      <w:pPr>
        <w:spacing w:after="0" w:line="276" w:lineRule="auto"/>
        <w:ind w:firstLine="709"/>
        <w:jc w:val="both"/>
        <w:rPr>
          <w:rFonts w:ascii="Verdana" w:eastAsia="Calibri" w:hAnsi="Verdana" w:cs="Arial"/>
          <w:lang w:val="es-ES_tradnl" w:eastAsia="es-ES_tradnl"/>
        </w:rPr>
      </w:pPr>
    </w:p>
    <w:p w14:paraId="3B6571D9" w14:textId="77777777" w:rsidR="00E546EE" w:rsidRPr="002D6661" w:rsidRDefault="00E546EE" w:rsidP="0094138A">
      <w:pPr>
        <w:spacing w:after="0" w:line="240" w:lineRule="auto"/>
        <w:ind w:left="709" w:right="709"/>
        <w:jc w:val="both"/>
        <w:rPr>
          <w:rFonts w:ascii="Verdana" w:eastAsia="Calibri" w:hAnsi="Verdana" w:cs="Arial"/>
          <w:sz w:val="20"/>
          <w:szCs w:val="20"/>
          <w:lang w:val="es-ES_tradnl" w:eastAsia="es-ES_tradnl"/>
        </w:rPr>
      </w:pPr>
      <w:r w:rsidRPr="002D6661">
        <w:rPr>
          <w:rFonts w:ascii="Verdana" w:eastAsia="Times New Roman" w:hAnsi="Verdana" w:cs="Arial"/>
          <w:sz w:val="20"/>
          <w:szCs w:val="20"/>
          <w:lang w:eastAsia="es-ES_tradnl"/>
        </w:rPr>
        <w:t>“</w:t>
      </w:r>
      <w:r w:rsidRPr="002D6661">
        <w:rPr>
          <w:rFonts w:ascii="Verdana" w:eastAsia="Calibri" w:hAnsi="Verdana" w:cs="Arial"/>
          <w:sz w:val="20"/>
          <w:szCs w:val="20"/>
          <w:lang w:val="es-ES_tradnl" w:eastAsia="es-ES_tradnl"/>
        </w:rPr>
        <w:t>Su objeto contractual participa de las características encaminadas a desarrollar actividades identificables e intangibles. Hay lugar a su celebración en aquellos casos en donde las necesidades de la Administración no demanden la presencia de personal profesional.</w:t>
      </w:r>
    </w:p>
    <w:p w14:paraId="3DCD5292" w14:textId="77777777" w:rsidR="00E546EE" w:rsidRPr="002D6661" w:rsidRDefault="00E546EE" w:rsidP="0094138A">
      <w:pPr>
        <w:spacing w:after="0" w:line="240" w:lineRule="auto"/>
        <w:ind w:left="709" w:right="709"/>
        <w:jc w:val="both"/>
        <w:rPr>
          <w:rFonts w:ascii="Verdana" w:eastAsia="Calibri" w:hAnsi="Verdana" w:cs="Arial"/>
          <w:sz w:val="20"/>
          <w:szCs w:val="20"/>
          <w:lang w:val="es-ES_tradnl" w:eastAsia="es-ES_tradnl"/>
        </w:rPr>
      </w:pPr>
    </w:p>
    <w:p w14:paraId="08E5827C" w14:textId="77777777" w:rsidR="00E546EE" w:rsidRPr="002D6661" w:rsidRDefault="00E546EE" w:rsidP="0094138A">
      <w:pPr>
        <w:spacing w:after="0" w:line="240" w:lineRule="auto"/>
        <w:ind w:left="709" w:right="709"/>
        <w:jc w:val="both"/>
        <w:rPr>
          <w:rFonts w:ascii="Verdana" w:eastAsia="Calibri" w:hAnsi="Verdana" w:cs="Arial"/>
          <w:sz w:val="20"/>
          <w:szCs w:val="20"/>
          <w:lang w:val="es-ES" w:eastAsia="es-ES"/>
        </w:rPr>
      </w:pPr>
      <w:r w:rsidRPr="002D6661">
        <w:rPr>
          <w:rFonts w:ascii="Verdana" w:eastAsia="Calibri" w:hAnsi="Verdana" w:cs="Arial"/>
          <w:sz w:val="20"/>
          <w:szCs w:val="20"/>
          <w:lang w:val="es-ES" w:eastAsia="es-ES"/>
        </w:rPr>
        <w:t xml:space="preserve">Aunque también se caracteriza por el desempeño de actividad intelectiva, ésta </w:t>
      </w:r>
      <w:proofErr w:type="gramStart"/>
      <w:r w:rsidRPr="002D6661">
        <w:rPr>
          <w:rFonts w:ascii="Verdana" w:eastAsia="Calibri" w:hAnsi="Verdana" w:cs="Arial"/>
          <w:sz w:val="20"/>
          <w:szCs w:val="20"/>
          <w:lang w:val="es-ES" w:eastAsia="es-ES"/>
        </w:rPr>
        <w:t>se enmarca dentro de</w:t>
      </w:r>
      <w:proofErr w:type="gramEnd"/>
      <w:r w:rsidRPr="002D6661">
        <w:rPr>
          <w:rFonts w:ascii="Verdana" w:eastAsia="Calibri" w:hAnsi="Verdana" w:cs="Arial"/>
          <w:sz w:val="20"/>
          <w:szCs w:val="20"/>
          <w:lang w:val="es-ES" w:eastAsia="es-ES"/>
        </w:rPr>
        <w:t xml:space="preserve"> un saber propiamente técnico; igualmente involucra actividades en donde prima el esfuerzo físico o mecánico, en donde no se requiere de personal profesional.</w:t>
      </w:r>
    </w:p>
    <w:p w14:paraId="67CB818C" w14:textId="77777777" w:rsidR="00E546EE" w:rsidRPr="002D6661" w:rsidRDefault="00E546EE" w:rsidP="0094138A">
      <w:pPr>
        <w:spacing w:after="0" w:line="240" w:lineRule="auto"/>
        <w:ind w:right="709"/>
        <w:jc w:val="both"/>
        <w:rPr>
          <w:rFonts w:ascii="Verdana" w:eastAsia="Calibri" w:hAnsi="Verdana" w:cs="Arial"/>
          <w:sz w:val="20"/>
          <w:szCs w:val="20"/>
          <w:lang w:val="es-ES_tradnl" w:eastAsia="es-ES_tradnl"/>
        </w:rPr>
      </w:pPr>
    </w:p>
    <w:p w14:paraId="0535C209" w14:textId="77777777" w:rsidR="00E546EE" w:rsidRPr="002D6661" w:rsidRDefault="00E546EE" w:rsidP="0094138A">
      <w:pPr>
        <w:spacing w:after="0" w:line="240" w:lineRule="auto"/>
        <w:ind w:left="709" w:right="709"/>
        <w:jc w:val="both"/>
        <w:rPr>
          <w:rFonts w:ascii="Verdana" w:eastAsia="Calibri" w:hAnsi="Verdana" w:cs="Arial"/>
          <w:sz w:val="20"/>
          <w:szCs w:val="20"/>
          <w:lang w:val="es-ES_tradnl" w:eastAsia="es-ES_tradnl"/>
        </w:rPr>
      </w:pPr>
      <w:r w:rsidRPr="002D6661">
        <w:rPr>
          <w:rFonts w:ascii="Verdana" w:eastAsia="Calibri" w:hAnsi="Verdana" w:cs="Arial"/>
          <w:sz w:val="20"/>
          <w:szCs w:val="20"/>
          <w:lang w:val="es-ES_tradnl" w:eastAsia="es-ES_tradnl"/>
        </w:rPr>
        <w:t>Dentro de su objeto contractual pueden tener lugar actividades operativas, logísticas o asistenciales, siempre que satisfaga los requisitos antes mencionados y sea acorde con las necesidades de la Administración y el principio de planeación</w:t>
      </w:r>
      <w:r w:rsidRPr="002D6661">
        <w:rPr>
          <w:rFonts w:ascii="Verdana" w:eastAsia="Times New Roman" w:hAnsi="Verdana" w:cs="Arial"/>
          <w:sz w:val="20"/>
          <w:szCs w:val="20"/>
          <w:lang w:eastAsia="es-ES_tradnl"/>
        </w:rPr>
        <w:t>”</w:t>
      </w:r>
      <w:r w:rsidRPr="002D6661">
        <w:rPr>
          <w:rFonts w:ascii="Verdana" w:eastAsia="Calibri" w:hAnsi="Verdana" w:cs="Arial"/>
          <w:sz w:val="20"/>
          <w:szCs w:val="20"/>
          <w:vertAlign w:val="superscript"/>
          <w:lang w:val="es-ES_tradnl" w:eastAsia="es-ES_tradnl"/>
        </w:rPr>
        <w:footnoteReference w:id="7"/>
      </w:r>
      <w:r w:rsidRPr="002D6661">
        <w:rPr>
          <w:rFonts w:ascii="Verdana" w:eastAsia="Calibri" w:hAnsi="Verdana" w:cs="Arial"/>
          <w:sz w:val="20"/>
          <w:szCs w:val="20"/>
          <w:lang w:val="es-ES_tradnl" w:eastAsia="es-ES_tradnl"/>
        </w:rPr>
        <w:t>.</w:t>
      </w:r>
    </w:p>
    <w:p w14:paraId="7A619581" w14:textId="77777777" w:rsidR="00E546EE" w:rsidRPr="001532C8" w:rsidRDefault="00E546EE" w:rsidP="00E546EE">
      <w:pPr>
        <w:spacing w:after="0" w:line="276" w:lineRule="auto"/>
        <w:ind w:firstLine="709"/>
        <w:jc w:val="both"/>
        <w:rPr>
          <w:rFonts w:ascii="Verdana" w:eastAsia="Calibri" w:hAnsi="Verdana" w:cs="Arial"/>
          <w:lang w:val="es-ES_tradnl" w:eastAsia="es-ES_tradnl"/>
        </w:rPr>
      </w:pPr>
    </w:p>
    <w:p w14:paraId="0CB16596" w14:textId="77777777" w:rsidR="00E546EE" w:rsidRPr="001532C8" w:rsidRDefault="00E546EE" w:rsidP="00E546EE">
      <w:pPr>
        <w:spacing w:after="0" w:line="276" w:lineRule="auto"/>
        <w:ind w:firstLine="709"/>
        <w:jc w:val="both"/>
        <w:rPr>
          <w:rFonts w:ascii="Verdana" w:eastAsia="Calibri" w:hAnsi="Verdana" w:cs="Arial"/>
          <w:lang w:val="es-ES_tradnl" w:eastAsia="es-ES_tradnl"/>
        </w:rPr>
      </w:pPr>
      <w:r w:rsidRPr="001532C8">
        <w:rPr>
          <w:rFonts w:ascii="Verdana" w:eastAsia="Calibri" w:hAnsi="Verdana" w:cs="Arial"/>
          <w:lang w:val="es-ES_tradnl" w:eastAsia="es-ES_tradnl"/>
        </w:rPr>
        <w:t>En relación con el contrato de prestación de servicios artísticos que solo pueden encomendarse a determinadas personas naturales, señala el mencionado fallo que:</w:t>
      </w:r>
    </w:p>
    <w:p w14:paraId="0C92D861" w14:textId="77777777" w:rsidR="00E546EE" w:rsidRPr="001532C8" w:rsidRDefault="00E546EE" w:rsidP="00E546EE">
      <w:pPr>
        <w:spacing w:after="0" w:line="276" w:lineRule="auto"/>
        <w:ind w:left="709" w:right="709"/>
        <w:jc w:val="both"/>
        <w:rPr>
          <w:rFonts w:ascii="Verdana" w:eastAsia="Calibri" w:hAnsi="Verdana" w:cs="Arial"/>
          <w:lang w:val="es-ES_tradnl" w:eastAsia="es-ES_tradnl"/>
        </w:rPr>
      </w:pPr>
    </w:p>
    <w:p w14:paraId="7883AD25" w14:textId="77777777" w:rsidR="00E546EE" w:rsidRPr="002D6661" w:rsidRDefault="00E546EE" w:rsidP="00E546EE">
      <w:pPr>
        <w:spacing w:after="0" w:line="240" w:lineRule="auto"/>
        <w:ind w:left="709" w:right="709"/>
        <w:jc w:val="both"/>
        <w:rPr>
          <w:rFonts w:ascii="Verdana" w:eastAsia="Calibri" w:hAnsi="Verdana" w:cs="Arial"/>
          <w:sz w:val="20"/>
          <w:szCs w:val="20"/>
          <w:lang w:val="es-ES_tradnl" w:eastAsia="es-ES_tradnl"/>
        </w:rPr>
      </w:pPr>
      <w:r w:rsidRPr="002D6661">
        <w:rPr>
          <w:rFonts w:ascii="Verdana" w:eastAsia="Times New Roman" w:hAnsi="Verdana" w:cs="Arial"/>
          <w:sz w:val="20"/>
          <w:szCs w:val="20"/>
          <w:lang w:eastAsia="es-ES_tradnl"/>
        </w:rPr>
        <w:t>“</w:t>
      </w:r>
      <w:r w:rsidRPr="002D6661">
        <w:rPr>
          <w:rFonts w:ascii="Verdana" w:eastAsia="Calibri" w:hAnsi="Verdana" w:cs="Arial"/>
          <w:sz w:val="20"/>
          <w:szCs w:val="20"/>
          <w:lang w:val="es-ES_tradnl" w:eastAsia="es-ES_tradnl"/>
        </w:rPr>
        <w:t>Tienen lugar dentro de esta categoría los contratos de prestación de servicios que tengan por objeto la ejecución de trabajos artísticos, esto es, trabajos que corresponden al conjunto de creaciones humanas que expresan una especial visión del mundo, tanto real como imaginaria, y que sólo pueda celebrarse con determinadas personas naturales, lo que implica que el contratista debe ser un artista, esto es, una persona reconocida como realizador o productor de arte o trabajos artísticos</w:t>
      </w:r>
      <w:r w:rsidRPr="002D6661">
        <w:rPr>
          <w:rFonts w:ascii="Verdana" w:eastAsia="Times New Roman" w:hAnsi="Verdana" w:cs="Arial"/>
          <w:sz w:val="20"/>
          <w:szCs w:val="20"/>
          <w:lang w:eastAsia="es-ES_tradnl"/>
        </w:rPr>
        <w:t>”</w:t>
      </w:r>
      <w:r w:rsidRPr="002D6661">
        <w:rPr>
          <w:rFonts w:ascii="Verdana" w:eastAsia="Calibri" w:hAnsi="Verdana" w:cs="Arial"/>
          <w:sz w:val="20"/>
          <w:szCs w:val="20"/>
          <w:vertAlign w:val="superscript"/>
          <w:lang w:val="es-ES_tradnl" w:eastAsia="es-ES_tradnl"/>
        </w:rPr>
        <w:footnoteReference w:id="8"/>
      </w:r>
      <w:r w:rsidRPr="002D6661">
        <w:rPr>
          <w:rFonts w:ascii="Verdana" w:eastAsia="Calibri" w:hAnsi="Verdana" w:cs="Arial"/>
          <w:sz w:val="20"/>
          <w:szCs w:val="20"/>
          <w:lang w:val="es-ES_tradnl" w:eastAsia="es-ES_tradnl"/>
        </w:rPr>
        <w:t>.</w:t>
      </w:r>
    </w:p>
    <w:p w14:paraId="6E964F36" w14:textId="77777777" w:rsidR="00E546EE" w:rsidRPr="001532C8" w:rsidRDefault="00E546EE" w:rsidP="00E546EE">
      <w:pPr>
        <w:spacing w:after="0" w:line="240" w:lineRule="auto"/>
        <w:ind w:left="709" w:right="709"/>
        <w:jc w:val="both"/>
        <w:rPr>
          <w:rFonts w:ascii="Verdana" w:eastAsia="Calibri" w:hAnsi="Verdana" w:cs="Arial"/>
          <w:sz w:val="21"/>
          <w:szCs w:val="21"/>
          <w:lang w:val="es-ES_tradnl" w:eastAsia="es-ES_tradnl"/>
        </w:rPr>
      </w:pPr>
    </w:p>
    <w:p w14:paraId="1769C4AE" w14:textId="77777777" w:rsidR="00E546EE" w:rsidRPr="001532C8" w:rsidRDefault="00E546EE" w:rsidP="00E546EE">
      <w:pPr>
        <w:spacing w:after="120" w:line="276" w:lineRule="auto"/>
        <w:ind w:firstLine="709"/>
        <w:jc w:val="both"/>
        <w:rPr>
          <w:rFonts w:ascii="Verdana" w:eastAsia="Calibri" w:hAnsi="Verdana" w:cs="Arial"/>
          <w:lang w:val="es-ES_tradnl" w:eastAsia="es-ES_tradnl"/>
        </w:rPr>
      </w:pPr>
      <w:r>
        <w:rPr>
          <w:rFonts w:ascii="Verdana" w:eastAsia="Calibri" w:hAnsi="Verdana" w:cs="Arial"/>
          <w:lang w:val="es-ES_tradnl" w:eastAsia="es-ES_tradnl"/>
        </w:rPr>
        <w:t>f</w:t>
      </w:r>
      <w:r w:rsidRPr="001532C8">
        <w:rPr>
          <w:rFonts w:ascii="Verdana" w:eastAsia="Calibri" w:hAnsi="Verdana" w:cs="Arial"/>
          <w:lang w:val="es-ES_tradnl" w:eastAsia="es-ES_tradnl"/>
        </w:rPr>
        <w:t>) Su celebración debe realizarse a través de la modalidad de contratación directa, independientemente de la cuantía y del tipo de servicio, siempre que este no ingrese dentro del objeto del contrato de consultoría, pues, como lo indicó el Consejo de Estado, en la sentencia de unificación jurisprudencial a la que se hizo referencia, si bien en ambos existe un componente intelectual intangible, el objeto del contrato de consultoría es especial y debe celebrarse, por regla general, precedido de un concurso de méritos</w:t>
      </w:r>
      <w:r w:rsidRPr="001532C8">
        <w:rPr>
          <w:rFonts w:ascii="Verdana" w:eastAsia="Calibri" w:hAnsi="Verdana" w:cs="Arial"/>
          <w:vertAlign w:val="superscript"/>
          <w:lang w:val="es-ES_tradnl" w:eastAsia="es-ES_tradnl"/>
        </w:rPr>
        <w:footnoteReference w:id="9"/>
      </w:r>
      <w:r w:rsidRPr="001532C8">
        <w:rPr>
          <w:rFonts w:ascii="Verdana" w:eastAsia="Calibri" w:hAnsi="Verdana" w:cs="Arial"/>
          <w:lang w:val="es-ES_tradnl" w:eastAsia="es-ES_tradnl"/>
        </w:rPr>
        <w:t>. Pero, tampoco puede suscribirse un contrato de prestación de servicios profesionales para que el contratista ejecute labores que se enmarcan en los otros contratos tipificados en el artículo 32 de la Ley 80 de 1993, como, por ejemplo, para que el contratista de prestación de servicios construya una obra.</w:t>
      </w:r>
    </w:p>
    <w:p w14:paraId="4FAAF6A4" w14:textId="77777777" w:rsidR="00E546EE" w:rsidRPr="001532C8" w:rsidRDefault="00E546EE" w:rsidP="00E546EE">
      <w:pPr>
        <w:spacing w:after="120" w:line="276" w:lineRule="auto"/>
        <w:ind w:firstLine="709"/>
        <w:jc w:val="both"/>
        <w:rPr>
          <w:rFonts w:ascii="Verdana" w:eastAsia="Calibri" w:hAnsi="Verdana" w:cs="Arial"/>
          <w:lang w:val="es-ES" w:eastAsia="es-ES"/>
        </w:rPr>
      </w:pPr>
      <w:r>
        <w:rPr>
          <w:rFonts w:ascii="Verdana" w:eastAsia="Calibri" w:hAnsi="Verdana" w:cs="Arial"/>
          <w:lang w:val="es-ES" w:eastAsia="es-ES"/>
        </w:rPr>
        <w:lastRenderedPageBreak/>
        <w:t>g</w:t>
      </w:r>
      <w:r w:rsidRPr="7E0867B5">
        <w:rPr>
          <w:rFonts w:ascii="Verdana" w:eastAsia="Calibri" w:hAnsi="Verdana" w:cs="Arial"/>
          <w:lang w:val="es-ES" w:eastAsia="es-ES"/>
        </w:rPr>
        <w:t>) Para su celebración no se requiere en algunos casos la expedición del acto administrativo de justificación de la contratación directa</w:t>
      </w:r>
      <w:r w:rsidRPr="7E0867B5">
        <w:rPr>
          <w:rFonts w:ascii="Verdana" w:eastAsia="Calibri" w:hAnsi="Verdana" w:cs="Arial"/>
          <w:vertAlign w:val="superscript"/>
          <w:lang w:val="es-ES" w:eastAsia="es-ES"/>
        </w:rPr>
        <w:footnoteReference w:id="10"/>
      </w:r>
      <w:r w:rsidRPr="7E0867B5">
        <w:rPr>
          <w:rFonts w:ascii="Verdana" w:eastAsia="Calibri" w:hAnsi="Verdana" w:cs="Arial"/>
          <w:lang w:val="es-ES" w:eastAsia="es-ES"/>
        </w:rPr>
        <w:t xml:space="preserve">. </w:t>
      </w:r>
    </w:p>
    <w:p w14:paraId="6CC4CA97" w14:textId="77777777" w:rsidR="00E546EE" w:rsidRPr="001532C8" w:rsidRDefault="00E546EE" w:rsidP="00E546EE">
      <w:pPr>
        <w:spacing w:after="120" w:line="276" w:lineRule="auto"/>
        <w:ind w:firstLine="709"/>
        <w:jc w:val="both"/>
        <w:rPr>
          <w:rFonts w:ascii="Verdana" w:eastAsia="Calibri" w:hAnsi="Verdana" w:cs="Arial"/>
          <w:lang w:val="es-ES" w:eastAsia="es-ES"/>
        </w:rPr>
      </w:pPr>
      <w:r>
        <w:rPr>
          <w:rFonts w:ascii="Verdana" w:eastAsia="Calibri" w:hAnsi="Verdana" w:cs="Arial"/>
          <w:lang w:val="es-ES" w:eastAsia="es-ES"/>
        </w:rPr>
        <w:t>h</w:t>
      </w:r>
      <w:r w:rsidRPr="7E0867B5">
        <w:rPr>
          <w:rFonts w:ascii="Verdana" w:eastAsia="Calibri" w:hAnsi="Verdana" w:cs="Arial"/>
          <w:lang w:val="es-ES" w:eastAsia="es-ES"/>
        </w:rPr>
        <w:t>) Admiten el pacto de cláusulas excepcionales. Es decir, en los contratos de prestación de servicios se puede estipular la caducidad, así como la modificación, interpretación o terminación unilaterales, como elementos accidentales, o sea que para que puedan ejercerse dichas exorbitancias han debido quedar incluidas expresamente en el contrato, ya que no se entienden pactadas por naturaleza. Así se infiere del artículo 14, numeral 2, de la Ley 80 de 1993</w:t>
      </w:r>
      <w:r w:rsidRPr="7E0867B5">
        <w:rPr>
          <w:rFonts w:ascii="Verdana" w:eastAsia="Calibri" w:hAnsi="Verdana" w:cs="Arial"/>
          <w:vertAlign w:val="superscript"/>
          <w:lang w:val="es-ES" w:eastAsia="es-ES"/>
        </w:rPr>
        <w:footnoteReference w:id="11"/>
      </w:r>
      <w:r w:rsidRPr="7E0867B5">
        <w:rPr>
          <w:rFonts w:ascii="Verdana" w:eastAsia="Calibri" w:hAnsi="Verdana" w:cs="Arial"/>
          <w:lang w:val="es-ES" w:eastAsia="es-ES"/>
        </w:rPr>
        <w:t>.</w:t>
      </w:r>
    </w:p>
    <w:p w14:paraId="549CFAF7" w14:textId="77777777" w:rsidR="00E546EE" w:rsidRPr="001532C8" w:rsidRDefault="00E546EE" w:rsidP="00E546EE">
      <w:pPr>
        <w:spacing w:after="120" w:line="276" w:lineRule="auto"/>
        <w:ind w:firstLine="709"/>
        <w:jc w:val="both"/>
        <w:rPr>
          <w:rFonts w:ascii="Verdana" w:eastAsia="Calibri" w:hAnsi="Verdana" w:cs="Arial"/>
          <w:lang w:val="es-ES" w:eastAsia="es-ES"/>
        </w:rPr>
      </w:pPr>
      <w:r>
        <w:rPr>
          <w:rFonts w:ascii="Verdana" w:eastAsia="Calibri" w:hAnsi="Verdana" w:cs="Arial"/>
          <w:lang w:val="es-ES" w:eastAsia="es-ES"/>
        </w:rPr>
        <w:t>i</w:t>
      </w:r>
      <w:r w:rsidRPr="7E0867B5">
        <w:rPr>
          <w:rFonts w:ascii="Verdana" w:eastAsia="Calibri" w:hAnsi="Verdana" w:cs="Arial"/>
          <w:lang w:val="es-ES" w:eastAsia="es-ES"/>
        </w:rPr>
        <w:t>) En algunos casos no es obligatoria la liquidación, pues así lo estableció el artículo 217 del Decreto 019 de 2012, que modificó el artículo 60 de la Ley 80 de 1993</w:t>
      </w:r>
      <w:r w:rsidRPr="7E0867B5">
        <w:rPr>
          <w:rFonts w:ascii="Verdana" w:eastAsia="Calibri" w:hAnsi="Verdana" w:cs="Arial"/>
          <w:vertAlign w:val="superscript"/>
          <w:lang w:val="es-ES" w:eastAsia="es-ES"/>
        </w:rPr>
        <w:footnoteReference w:id="12"/>
      </w:r>
      <w:r w:rsidRPr="7E0867B5">
        <w:rPr>
          <w:rFonts w:ascii="Verdana" w:eastAsia="Calibri" w:hAnsi="Verdana" w:cs="Arial"/>
          <w:lang w:val="es-ES" w:eastAsia="es-ES"/>
        </w:rPr>
        <w:t>, refiriéndose a los contratos de prestación de servicios profesionales y de apoyo a la gestión.</w:t>
      </w:r>
    </w:p>
    <w:p w14:paraId="2554B62A" w14:textId="77777777" w:rsidR="00E546EE" w:rsidRPr="001532C8" w:rsidRDefault="00E546EE" w:rsidP="00E546EE">
      <w:pPr>
        <w:spacing w:after="120" w:line="276" w:lineRule="auto"/>
        <w:ind w:firstLine="709"/>
        <w:jc w:val="both"/>
        <w:rPr>
          <w:rFonts w:ascii="Verdana" w:eastAsia="Calibri" w:hAnsi="Verdana" w:cs="Arial"/>
          <w:lang w:val="es-ES_tradnl" w:eastAsia="es-ES_tradnl"/>
        </w:rPr>
      </w:pPr>
      <w:r>
        <w:rPr>
          <w:rFonts w:ascii="Verdana" w:eastAsia="Calibri" w:hAnsi="Verdana" w:cs="Arial"/>
          <w:lang w:val="es-ES_tradnl" w:eastAsia="es-ES_tradnl"/>
        </w:rPr>
        <w:t>j</w:t>
      </w:r>
      <w:r w:rsidRPr="001532C8">
        <w:rPr>
          <w:rFonts w:ascii="Verdana" w:eastAsia="Calibri" w:hAnsi="Verdana" w:cs="Arial"/>
          <w:lang w:val="es-ES_tradnl" w:eastAsia="es-ES_tradnl"/>
        </w:rPr>
        <w:t>) Para su celebración no se requiere inscripción en el Registro Único de Proponentes – en adelante RUP–, según lo prevé el artículo 6 de la Ley 1150 de 2007</w:t>
      </w:r>
      <w:r w:rsidRPr="001532C8">
        <w:rPr>
          <w:rFonts w:ascii="Verdana" w:eastAsia="Calibri" w:hAnsi="Verdana" w:cs="Arial"/>
          <w:vertAlign w:val="superscript"/>
          <w:lang w:val="es-ES_tradnl" w:eastAsia="es-ES_tradnl"/>
        </w:rPr>
        <w:footnoteReference w:id="13"/>
      </w:r>
      <w:r w:rsidRPr="001532C8">
        <w:rPr>
          <w:rFonts w:ascii="Verdana" w:eastAsia="Calibri" w:hAnsi="Verdana" w:cs="Arial"/>
          <w:lang w:val="es-ES_tradnl" w:eastAsia="es-ES_tradnl"/>
        </w:rPr>
        <w:t>.</w:t>
      </w:r>
    </w:p>
    <w:p w14:paraId="3DDD3A55" w14:textId="77777777" w:rsidR="00E546EE" w:rsidRPr="00282ED1" w:rsidRDefault="00E546EE" w:rsidP="00E546EE">
      <w:pPr>
        <w:spacing w:before="120" w:after="120" w:line="276" w:lineRule="auto"/>
        <w:ind w:firstLine="709"/>
        <w:jc w:val="both"/>
        <w:rPr>
          <w:rFonts w:ascii="Verdana" w:eastAsia="Calibri" w:hAnsi="Verdana" w:cs="Arial"/>
          <w:lang w:val="es-ES_tradnl" w:eastAsia="es-ES_tradnl"/>
        </w:rPr>
      </w:pPr>
      <w:r>
        <w:rPr>
          <w:rFonts w:ascii="Verdana" w:eastAsia="Calibri" w:hAnsi="Verdana" w:cs="Arial"/>
          <w:lang w:val="es-ES_tradnl" w:eastAsia="es-ES_tradnl"/>
        </w:rPr>
        <w:lastRenderedPageBreak/>
        <w:t>k</w:t>
      </w:r>
      <w:r w:rsidRPr="00282ED1">
        <w:rPr>
          <w:rFonts w:ascii="Verdana" w:eastAsia="Calibri" w:hAnsi="Verdana" w:cs="Arial"/>
          <w:lang w:val="es-ES_tradnl" w:eastAsia="es-ES_tradnl"/>
        </w:rPr>
        <w:t>) En ellos no son necesarias las garantías</w:t>
      </w:r>
      <w:r w:rsidRPr="00282ED1">
        <w:rPr>
          <w:rFonts w:ascii="Verdana" w:eastAsia="Calibri" w:hAnsi="Verdana" w:cs="Arial"/>
          <w:vertAlign w:val="superscript"/>
          <w:lang w:val="es-ES_tradnl" w:eastAsia="es-ES_tradnl"/>
        </w:rPr>
        <w:footnoteReference w:id="14"/>
      </w:r>
      <w:r w:rsidRPr="00282ED1">
        <w:rPr>
          <w:rFonts w:ascii="Verdana" w:eastAsia="Calibri" w:hAnsi="Verdana" w:cs="Arial"/>
          <w:lang w:val="es-ES_tradnl" w:eastAsia="es-ES_tradnl"/>
        </w:rPr>
        <w:t>.</w:t>
      </w:r>
    </w:p>
    <w:p w14:paraId="6B1396E2" w14:textId="7B465874" w:rsidR="00E546EE" w:rsidRPr="002D6661" w:rsidRDefault="00E63B3F" w:rsidP="002D6661">
      <w:pPr>
        <w:spacing w:after="0" w:line="240" w:lineRule="auto"/>
        <w:ind w:firstLine="708"/>
        <w:jc w:val="both"/>
        <w:rPr>
          <w:rFonts w:ascii="Verdana" w:eastAsia="Calibri" w:hAnsi="Verdana" w:cs="Arial"/>
          <w:color w:val="000000" w:themeColor="text1"/>
          <w:lang w:val="es-ES"/>
        </w:rPr>
      </w:pPr>
      <w:r w:rsidRPr="002D6661">
        <w:rPr>
          <w:rFonts w:ascii="Verdana" w:eastAsia="Calibri" w:hAnsi="Verdana" w:cs="Arial"/>
          <w:color w:val="000000" w:themeColor="text1"/>
          <w:lang w:val="es-ES"/>
        </w:rPr>
        <w:t xml:space="preserve">Vistas las características del contrato de prestación </w:t>
      </w:r>
      <w:r w:rsidR="00C830F4" w:rsidRPr="002D6661">
        <w:rPr>
          <w:rFonts w:ascii="Verdana" w:eastAsia="Calibri" w:hAnsi="Verdana" w:cs="Arial"/>
          <w:color w:val="000000" w:themeColor="text1"/>
          <w:lang w:val="es-ES"/>
        </w:rPr>
        <w:t xml:space="preserve">de servicios, a continuación, </w:t>
      </w:r>
      <w:r w:rsidR="006113B1" w:rsidRPr="002D6661">
        <w:rPr>
          <w:rFonts w:ascii="Verdana" w:eastAsia="Calibri" w:hAnsi="Verdana" w:cs="Arial"/>
          <w:color w:val="000000" w:themeColor="text1"/>
          <w:lang w:val="es-ES"/>
        </w:rPr>
        <w:t xml:space="preserve">se procede a analizar lo relativo al trámite de las cuentas de cobro, a las que se refieren sus consultas.  </w:t>
      </w:r>
    </w:p>
    <w:p w14:paraId="1565275C" w14:textId="77777777" w:rsidR="00E63B3F" w:rsidRPr="00282ED1" w:rsidRDefault="00E63B3F" w:rsidP="00E546EE">
      <w:pPr>
        <w:spacing w:after="0" w:line="240" w:lineRule="auto"/>
        <w:jc w:val="both"/>
        <w:rPr>
          <w:rFonts w:ascii="Verdana" w:eastAsia="Calibri" w:hAnsi="Verdana" w:cs="Arial"/>
          <w:color w:val="FF0000"/>
          <w:lang w:val="es-ES"/>
        </w:rPr>
      </w:pPr>
    </w:p>
    <w:p w14:paraId="69904B4B" w14:textId="5BB3857F" w:rsidR="00E546EE" w:rsidRPr="00DD350F" w:rsidRDefault="00E81957" w:rsidP="002D6661">
      <w:pPr>
        <w:spacing w:after="120" w:line="276" w:lineRule="auto"/>
        <w:ind w:firstLine="709"/>
        <w:jc w:val="both"/>
        <w:rPr>
          <w:rFonts w:ascii="Verdana" w:eastAsia="Century Gothic" w:hAnsi="Verdana" w:cs="Century Gothic"/>
          <w:lang w:val="es-ES"/>
        </w:rPr>
      </w:pPr>
      <w:proofErr w:type="spellStart"/>
      <w:r>
        <w:rPr>
          <w:rFonts w:ascii="Verdana" w:eastAsia="Arial" w:hAnsi="Verdana" w:cs="Arial"/>
          <w:b/>
          <w:bCs/>
          <w:iCs/>
          <w:lang w:val="es-ES"/>
        </w:rPr>
        <w:t>i</w:t>
      </w:r>
      <w:r w:rsidR="00E546EE" w:rsidRPr="00B35191">
        <w:rPr>
          <w:rFonts w:ascii="Verdana" w:eastAsia="Arial" w:hAnsi="Verdana" w:cs="Arial"/>
          <w:b/>
          <w:bCs/>
          <w:iCs/>
          <w:lang w:val="es-ES"/>
        </w:rPr>
        <w:t>i</w:t>
      </w:r>
      <w:proofErr w:type="spellEnd"/>
      <w:r w:rsidR="00E546EE" w:rsidRPr="00B35191">
        <w:rPr>
          <w:rFonts w:ascii="Verdana" w:eastAsia="Arial" w:hAnsi="Verdana" w:cs="Arial"/>
          <w:b/>
          <w:bCs/>
          <w:iCs/>
          <w:lang w:val="es-ES"/>
        </w:rPr>
        <w:t>)</w:t>
      </w:r>
      <w:r w:rsidR="00E546EE" w:rsidRPr="00DD350F">
        <w:rPr>
          <w:rFonts w:ascii="Verdana" w:eastAsia="Arial" w:hAnsi="Verdana" w:cs="Arial"/>
          <w:iCs/>
          <w:lang w:val="es-ES"/>
        </w:rPr>
        <w:t xml:space="preserve"> En relación </w:t>
      </w:r>
      <w:r w:rsidR="00E546EE">
        <w:rPr>
          <w:rFonts w:ascii="Verdana" w:eastAsia="Arial" w:hAnsi="Verdana" w:cs="Arial"/>
          <w:iCs/>
          <w:lang w:val="es-ES"/>
        </w:rPr>
        <w:t xml:space="preserve">con la </w:t>
      </w:r>
      <w:r w:rsidR="00E546EE" w:rsidRPr="00DD350F">
        <w:rPr>
          <w:rFonts w:ascii="Verdana" w:eastAsia="Century Gothic" w:hAnsi="Verdana" w:cs="Century Gothic"/>
        </w:rPr>
        <w:t>forma</w:t>
      </w:r>
      <w:r w:rsidR="00E546EE">
        <w:rPr>
          <w:rFonts w:ascii="Verdana" w:eastAsia="Century Gothic" w:hAnsi="Verdana" w:cs="Century Gothic"/>
        </w:rPr>
        <w:t>, los documentos y las fechas en que debe presentarse las cuentas de cobro en los contratos de prestación de servicios</w:t>
      </w:r>
      <w:r w:rsidR="00E546EE" w:rsidRPr="00DD350F">
        <w:rPr>
          <w:rFonts w:ascii="Verdana" w:eastAsia="Arial" w:hAnsi="Verdana" w:cs="Arial"/>
          <w:iCs/>
          <w:lang w:val="es-ES"/>
        </w:rPr>
        <w:t xml:space="preserve">, </w:t>
      </w:r>
      <w:r w:rsidR="00E546EE" w:rsidRPr="00DD350F">
        <w:rPr>
          <w:rFonts w:ascii="Verdana" w:eastAsia="Calibri" w:hAnsi="Verdana" w:cs="Arial"/>
          <w:bCs/>
          <w:color w:val="000000"/>
          <w:kern w:val="2"/>
          <w14:ligatures w14:val="standardContextual"/>
        </w:rPr>
        <w:t xml:space="preserve">es pertinente precisar que no existe en el </w:t>
      </w:r>
      <w:r w:rsidR="006113B1" w:rsidRPr="00DD350F">
        <w:rPr>
          <w:rFonts w:ascii="Verdana" w:eastAsia="Calibri" w:hAnsi="Verdana" w:cs="Arial"/>
          <w:bCs/>
          <w:color w:val="000000"/>
          <w:kern w:val="2"/>
          <w14:ligatures w14:val="standardContextual"/>
        </w:rPr>
        <w:t xml:space="preserve">Sistema </w:t>
      </w:r>
      <w:r w:rsidR="00E546EE" w:rsidRPr="00DD350F">
        <w:rPr>
          <w:rFonts w:ascii="Verdana" w:eastAsia="Calibri" w:hAnsi="Verdana" w:cs="Arial"/>
          <w:bCs/>
          <w:color w:val="000000"/>
          <w:kern w:val="2"/>
          <w14:ligatures w14:val="standardContextual"/>
        </w:rPr>
        <w:t xml:space="preserve">de </w:t>
      </w:r>
      <w:r w:rsidR="006113B1" w:rsidRPr="00DD350F">
        <w:rPr>
          <w:rFonts w:ascii="Verdana" w:eastAsia="Calibri" w:hAnsi="Verdana" w:cs="Arial"/>
          <w:bCs/>
          <w:color w:val="000000"/>
          <w:kern w:val="2"/>
          <w14:ligatures w14:val="standardContextual"/>
        </w:rPr>
        <w:t xml:space="preserve">Compra </w:t>
      </w:r>
      <w:r w:rsidR="00E546EE" w:rsidRPr="00DD350F">
        <w:rPr>
          <w:rFonts w:ascii="Verdana" w:eastAsia="Calibri" w:hAnsi="Verdana" w:cs="Arial"/>
          <w:bCs/>
          <w:color w:val="000000"/>
          <w:kern w:val="2"/>
          <w14:ligatures w14:val="standardContextual"/>
        </w:rPr>
        <w:t xml:space="preserve">y </w:t>
      </w:r>
      <w:r w:rsidR="006113B1" w:rsidRPr="00DD350F">
        <w:rPr>
          <w:rFonts w:ascii="Verdana" w:eastAsia="Calibri" w:hAnsi="Verdana" w:cs="Arial"/>
          <w:bCs/>
          <w:color w:val="000000"/>
          <w:kern w:val="2"/>
          <w14:ligatures w14:val="standardContextual"/>
        </w:rPr>
        <w:t xml:space="preserve">Contratación Pública </w:t>
      </w:r>
      <w:r w:rsidR="00E546EE" w:rsidRPr="00DD350F">
        <w:rPr>
          <w:rFonts w:ascii="Verdana" w:eastAsia="Calibri" w:hAnsi="Verdana" w:cs="Arial"/>
          <w:bCs/>
          <w:color w:val="000000"/>
          <w:kern w:val="2"/>
          <w14:ligatures w14:val="standardContextual"/>
        </w:rPr>
        <w:t xml:space="preserve">una disposición </w:t>
      </w:r>
      <w:r w:rsidR="00E546EE">
        <w:rPr>
          <w:rFonts w:ascii="Verdana" w:eastAsia="Calibri" w:hAnsi="Verdana" w:cs="Arial"/>
          <w:bCs/>
          <w:color w:val="000000"/>
          <w:kern w:val="2"/>
          <w14:ligatures w14:val="standardContextual"/>
        </w:rPr>
        <w:t>normativa que lo indique</w:t>
      </w:r>
      <w:r w:rsidR="00E546EE" w:rsidRPr="00DD350F">
        <w:rPr>
          <w:rFonts w:ascii="Verdana" w:eastAsia="Calibri" w:hAnsi="Verdana" w:cs="Arial"/>
          <w:bCs/>
          <w:color w:val="000000"/>
          <w:kern w:val="2"/>
          <w14:ligatures w14:val="standardContextual"/>
        </w:rPr>
        <w:t xml:space="preserve">, pues en virtud del principio de autonomía de la voluntad, las partes pueden determinar el contenido de los contratos estatales e incluir las condiciones, cláusulas o estipulaciones que consideren necesarias para desarrollar el objeto contractual, </w:t>
      </w:r>
      <w:r w:rsidR="00E546EE">
        <w:rPr>
          <w:rFonts w:ascii="Verdana" w:eastAsia="Calibri" w:hAnsi="Verdana" w:cs="Arial"/>
          <w:bCs/>
          <w:color w:val="000000"/>
          <w:kern w:val="2"/>
          <w14:ligatures w14:val="standardContextual"/>
        </w:rPr>
        <w:t xml:space="preserve">la forma de ejecución, los documentos necesarios para cancelar los honorarios, entre otros aspectos, siempre en consideración de lo que arroja la etapa de planeación a través de los documentos previos. </w:t>
      </w:r>
    </w:p>
    <w:p w14:paraId="5FA56B5D" w14:textId="77777777" w:rsidR="00E546EE" w:rsidRPr="00F31A35" w:rsidRDefault="00E546EE" w:rsidP="002D6661">
      <w:pPr>
        <w:spacing w:after="120" w:line="276" w:lineRule="auto"/>
        <w:ind w:firstLine="709"/>
        <w:jc w:val="both"/>
        <w:rPr>
          <w:rFonts w:ascii="Verdana" w:eastAsia="Calibri" w:hAnsi="Verdana" w:cs="Arial"/>
          <w:bCs/>
          <w:color w:val="000000"/>
          <w:kern w:val="2"/>
          <w14:ligatures w14:val="standardContextual"/>
        </w:rPr>
      </w:pPr>
      <w:r w:rsidRPr="00F31A35">
        <w:rPr>
          <w:rFonts w:ascii="Verdana" w:eastAsia="Calibri" w:hAnsi="Verdana" w:cs="Arial"/>
          <w:bCs/>
          <w:color w:val="000000"/>
          <w:kern w:val="2"/>
          <w14:ligatures w14:val="standardContextual"/>
        </w:rPr>
        <w:t>Los entes estatales durante la etapa de planeación, tienen el deber de realizar el análisis del sector y justificar la modalidad de contratación en los documentos del proceso, que para el caso de los procesos que impliquen una contratación directa y en lo concerniente a los contratos de prestación de servicios profesionales, de apoyo a la gestión y de trabajos artísticos, se constata en los estudios y documentos previos, los cuales deben indicar, entre otras, las condiciones mínimas exigidas para suplir la necesidad de la entidad así como los requisitos que debe acreditar el futuro contratista para el cumplimiento del objeto contractual.</w:t>
      </w:r>
    </w:p>
    <w:p w14:paraId="6814B6EF" w14:textId="35B38997" w:rsidR="00E546EE" w:rsidRDefault="00E546EE" w:rsidP="002D6661">
      <w:pPr>
        <w:spacing w:after="120" w:line="276" w:lineRule="auto"/>
        <w:ind w:firstLine="709"/>
        <w:jc w:val="both"/>
        <w:rPr>
          <w:rFonts w:ascii="Verdana" w:eastAsia="Calibri" w:hAnsi="Verdana" w:cs="Arial"/>
          <w:bCs/>
          <w:color w:val="000000"/>
          <w:kern w:val="2"/>
          <w14:ligatures w14:val="standardContextual"/>
        </w:rPr>
      </w:pPr>
      <w:r w:rsidRPr="00F31A35">
        <w:rPr>
          <w:rFonts w:ascii="Verdana" w:eastAsia="Calibri" w:hAnsi="Verdana" w:cs="Arial"/>
          <w:bCs/>
          <w:color w:val="000000"/>
          <w:kern w:val="2"/>
          <w14:ligatures w14:val="standardContextual"/>
        </w:rPr>
        <w:t xml:space="preserve">Lo anterior, en razón a que, el EGCAP contiene disposiciones que exigen a las Entidades Estatales del deber de realizar planeación en la etapa precontractual, para que los Procesos de Contratación satisfagan las necesidades de la Administración, cumplan sus fines, logren la continua y eficiente prestación de los servicios y permitan la efectividad de los derechos e intereses de los administrados que colaboraran en la consecución. </w:t>
      </w:r>
    </w:p>
    <w:p w14:paraId="0474139F" w14:textId="77777777" w:rsidR="00E546EE" w:rsidRDefault="00E546EE" w:rsidP="002D6661">
      <w:pPr>
        <w:spacing w:after="120" w:line="276" w:lineRule="auto"/>
        <w:ind w:firstLine="709"/>
        <w:jc w:val="both"/>
        <w:rPr>
          <w:rFonts w:ascii="Verdana" w:hAnsi="Verdana" w:cs="Arial"/>
        </w:rPr>
      </w:pPr>
      <w:r w:rsidRPr="00F31A35">
        <w:rPr>
          <w:rFonts w:ascii="Verdana" w:hAnsi="Verdana" w:cs="Arial"/>
        </w:rPr>
        <w:t xml:space="preserve">Ahora bien, pese a que la normativa en materia de contratación estatal establece la obligatoriedad de realizar el análisis necesario para conocer el sector </w:t>
      </w:r>
      <w:r w:rsidRPr="00F31A35">
        <w:rPr>
          <w:rFonts w:ascii="Verdana" w:hAnsi="Verdana" w:cs="Arial"/>
        </w:rPr>
        <w:lastRenderedPageBreak/>
        <w:t xml:space="preserve">relativo al objeto del Proceso de Contratación, no determinan un procedimiento específico para efectuar dicho </w:t>
      </w:r>
      <w:r>
        <w:rPr>
          <w:rFonts w:ascii="Verdana" w:hAnsi="Verdana" w:cs="Arial"/>
        </w:rPr>
        <w:t>estudio,</w:t>
      </w:r>
      <w:r w:rsidRPr="00F31A35">
        <w:rPr>
          <w:rFonts w:ascii="Verdana" w:hAnsi="Verdana" w:cs="Arial"/>
        </w:rPr>
        <w:t xml:space="preserve"> por lo que las entidades son autónomas para estructurarlo, para lo cual deberán cumplir lo dispuesto en el artículo 2.2.1.1.1.6.1 del Decreto 1082 de 2015 y realizar un análisis integral de planeación que sirva de sustento a la decisión de realizar un Proceso de Contratación. </w:t>
      </w:r>
    </w:p>
    <w:p w14:paraId="3F0B08CD" w14:textId="77777777" w:rsidR="00E546EE" w:rsidRDefault="00E546EE" w:rsidP="002D6661">
      <w:pPr>
        <w:spacing w:after="120" w:line="276" w:lineRule="auto"/>
        <w:ind w:firstLine="709"/>
        <w:jc w:val="both"/>
        <w:rPr>
          <w:rFonts w:ascii="Verdana" w:hAnsi="Verdana" w:cs="Arial"/>
        </w:rPr>
      </w:pPr>
      <w:r w:rsidRPr="00F31A35">
        <w:rPr>
          <w:rFonts w:ascii="Verdana" w:hAnsi="Verdana" w:cs="Arial"/>
        </w:rPr>
        <w:t>En línea con lo anterior, la Agencia Nacional de Contratación Pública – Colombia Compra Eficiente elaboró la “Guía para la Elaboración de Estudios del Sector”</w:t>
      </w:r>
      <w:r w:rsidRPr="00F31A35">
        <w:rPr>
          <w:rStyle w:val="Refdenotaalpie"/>
          <w:rFonts w:ascii="Verdana" w:hAnsi="Verdana" w:cs="Arial"/>
        </w:rPr>
        <w:footnoteReference w:id="15"/>
      </w:r>
      <w:r w:rsidRPr="00F31A35">
        <w:rPr>
          <w:rFonts w:ascii="Verdana" w:hAnsi="Verdana" w:cs="Arial"/>
        </w:rPr>
        <w:t>, instrumento que sirve de apoyo para entender el mercado del bien, obra o servicio que la Entidad Estatal pretende adquirir para diseñar el Proceso de Contratación con la información necesaria para alcanzar los objetivos de eficacia, eficiencia, economía, promoción de la competencia y manejo del riesgo. Esta Guía es un insumo para realizar el estudio del sector relativo al Proceso de Contratación, ya que comprende pautas sobre los aspectos generales del mercado, el análisis de la demanda y de la oferta y constituye un instrumento de orientación, por lo que –al carecer de fuerza vinculante– su aplicación no exime a las entidades de acatar las normas vigentes. De este modo, la Guía contiene recomendaciones generales por lo que no debe aplicarse de manera mecánica, pues la profundidad del estudio del sector depende de la complejidad y particularidades de cada Proceso de Contratación.</w:t>
      </w:r>
    </w:p>
    <w:p w14:paraId="0E7A9D1E" w14:textId="77777777" w:rsidR="00E546EE" w:rsidRPr="00F252D7" w:rsidRDefault="00E546EE" w:rsidP="00E546EE">
      <w:pPr>
        <w:spacing w:after="120" w:line="276" w:lineRule="auto"/>
        <w:ind w:firstLine="708"/>
        <w:contextualSpacing/>
        <w:jc w:val="both"/>
        <w:rPr>
          <w:rFonts w:ascii="Verdana" w:eastAsia="Calibri" w:hAnsi="Verdana" w:cs="Arial"/>
          <w:szCs w:val="24"/>
          <w:lang w:val="es-ES" w:eastAsia="es-ES_tradnl"/>
        </w:rPr>
      </w:pPr>
      <w:r w:rsidRPr="00F252D7">
        <w:rPr>
          <w:rFonts w:ascii="Verdana" w:eastAsia="Calibri" w:hAnsi="Verdana" w:cs="Arial"/>
          <w:bCs/>
          <w:lang w:val="es-ES_tradnl" w:eastAsia="es-MX"/>
        </w:rPr>
        <w:t xml:space="preserve">En este instrumento se recomienda, particularmente para la contratación directa y los contratos de prestación de servicios que: </w:t>
      </w:r>
    </w:p>
    <w:p w14:paraId="10EA3AA1" w14:textId="77777777" w:rsidR="00E546EE" w:rsidRPr="00F252D7" w:rsidRDefault="00E546EE" w:rsidP="00E546EE">
      <w:pPr>
        <w:ind w:left="720"/>
        <w:contextualSpacing/>
        <w:rPr>
          <w:rFonts w:ascii="Verdana" w:eastAsia="Calibri" w:hAnsi="Verdana" w:cs="Arial"/>
          <w:szCs w:val="24"/>
          <w:lang w:val="es-ES" w:eastAsia="es-ES_tradnl"/>
        </w:rPr>
      </w:pPr>
    </w:p>
    <w:p w14:paraId="04D7E4D8" w14:textId="77777777" w:rsidR="00E546EE" w:rsidRPr="006B27A4" w:rsidRDefault="00E546EE" w:rsidP="002D6661">
      <w:pPr>
        <w:spacing w:after="0" w:line="240" w:lineRule="auto"/>
        <w:ind w:left="709" w:right="709"/>
        <w:jc w:val="both"/>
        <w:rPr>
          <w:rFonts w:ascii="Verdana" w:eastAsia="Times New Roman" w:hAnsi="Verdana" w:cs="Arial"/>
          <w:sz w:val="20"/>
          <w:szCs w:val="20"/>
          <w:lang w:val="es-MX" w:eastAsia="es-ES_tradnl"/>
        </w:rPr>
      </w:pPr>
      <w:r w:rsidRPr="006B27A4">
        <w:rPr>
          <w:rFonts w:ascii="Verdana" w:eastAsia="Times New Roman" w:hAnsi="Verdana" w:cs="Arial"/>
          <w:sz w:val="20"/>
          <w:szCs w:val="20"/>
          <w:lang w:val="es-ES" w:eastAsia="es-ES_tradnl"/>
        </w:rPr>
        <w:t>“</w:t>
      </w:r>
      <w:r w:rsidRPr="006B27A4">
        <w:rPr>
          <w:rFonts w:ascii="Verdana" w:eastAsia="Times New Roman" w:hAnsi="Verdana" w:cs="Arial"/>
          <w:sz w:val="20"/>
          <w:szCs w:val="20"/>
          <w:lang w:val="es-MX" w:eastAsia="es-ES_tradnl"/>
        </w:rPr>
        <w:t>en la contratación directa, el estudio del sector debe tener en cuenta el objeto del proceso de contratación, particularmente las condiciones del contrato, como los plazos y formas de entrega y de pago. El estudio del sector debe permitir a la Entidad Estatal sustentar su decisión de hacer una contratación directa, la elección del proveedor y la forma en que se pacta el contrato desde el punto de vista de la eficiencia, eficacia y economía.</w:t>
      </w:r>
    </w:p>
    <w:p w14:paraId="6972E857" w14:textId="77777777" w:rsidR="00E546EE" w:rsidRPr="006B27A4" w:rsidRDefault="00E546EE" w:rsidP="002D6661">
      <w:pPr>
        <w:spacing w:after="0" w:line="240" w:lineRule="auto"/>
        <w:ind w:left="709" w:right="709"/>
        <w:jc w:val="both"/>
        <w:rPr>
          <w:rFonts w:ascii="Verdana" w:eastAsia="Times New Roman" w:hAnsi="Verdana" w:cs="Arial"/>
          <w:sz w:val="20"/>
          <w:szCs w:val="20"/>
          <w:lang w:val="es-MX" w:eastAsia="es-ES_tradnl"/>
        </w:rPr>
      </w:pPr>
    </w:p>
    <w:p w14:paraId="78484272" w14:textId="77777777" w:rsidR="00E546EE" w:rsidRDefault="00E546EE" w:rsidP="00E04F8A">
      <w:pPr>
        <w:spacing w:after="0" w:line="240" w:lineRule="auto"/>
        <w:ind w:left="709" w:right="709"/>
        <w:jc w:val="both"/>
        <w:rPr>
          <w:rFonts w:ascii="Verdana" w:eastAsia="Times New Roman" w:hAnsi="Verdana" w:cs="Arial"/>
          <w:sz w:val="20"/>
          <w:szCs w:val="20"/>
          <w:lang w:val="es-MX" w:eastAsia="es-ES_tradnl"/>
        </w:rPr>
      </w:pPr>
      <w:r w:rsidRPr="006B27A4">
        <w:rPr>
          <w:rFonts w:ascii="Verdana" w:eastAsia="Times New Roman" w:hAnsi="Verdana" w:cs="Arial"/>
          <w:sz w:val="20"/>
          <w:szCs w:val="20"/>
          <w:lang w:val="es-MX" w:eastAsia="es-ES_tradnl"/>
        </w:rPr>
        <w:t xml:space="preserve">La entidad debe consignar en los Documentos del Proceso, bien sea en los estudios previos o en la información de soporte de estos, los aspectos de que trata el artículo 2.2.1.1.1.6.1 del Decreto 1082 de 2015, esto es, el análisis desde la perspectiva legal, comercial, financiera, organizacional, técnica y de análisis de riesgo. En un contrato de prestación de servicios profesionales, el estudio del sector depende del objeto del contrato y de </w:t>
      </w:r>
      <w:r w:rsidRPr="006B27A4">
        <w:rPr>
          <w:rFonts w:ascii="Verdana" w:eastAsia="Times New Roman" w:hAnsi="Verdana" w:cs="Arial"/>
          <w:sz w:val="20"/>
          <w:szCs w:val="20"/>
          <w:lang w:val="es-MX" w:eastAsia="es-ES_tradnl"/>
        </w:rPr>
        <w:lastRenderedPageBreak/>
        <w:t>las condiciones de idoneidad y/o experiencia que llevan a contratar a la persona natural o jurídica que está en condiciones de desarrollar dicho objeto. Por ejemplo, si se trata de la contratación de un abogado para llevar un proceso judicial, la Entidad debe analizar la necesidad de contratar el servicio, de forma esencialmente temporal y las condiciones de los Procesos de Contratación que ha adelantado en el pasado para contratar este tipo de servicios, teniendo en cuenta plazos valor y forma de pago”</w:t>
      </w:r>
      <w:r w:rsidRPr="006B27A4">
        <w:rPr>
          <w:rFonts w:ascii="Verdana" w:eastAsia="Times New Roman" w:hAnsi="Verdana" w:cs="Arial"/>
          <w:sz w:val="20"/>
          <w:szCs w:val="20"/>
          <w:vertAlign w:val="superscript"/>
          <w:lang w:val="es-MX" w:eastAsia="es-ES_tradnl"/>
        </w:rPr>
        <w:footnoteReference w:id="16"/>
      </w:r>
      <w:r w:rsidRPr="006B27A4">
        <w:rPr>
          <w:rFonts w:ascii="Verdana" w:eastAsia="Times New Roman" w:hAnsi="Verdana" w:cs="Arial"/>
          <w:sz w:val="20"/>
          <w:szCs w:val="20"/>
          <w:lang w:val="es-MX" w:eastAsia="es-ES_tradnl"/>
        </w:rPr>
        <w:t>.</w:t>
      </w:r>
    </w:p>
    <w:p w14:paraId="4C3601BD" w14:textId="77777777" w:rsidR="00E04F8A" w:rsidRPr="002D6661" w:rsidRDefault="00E04F8A" w:rsidP="002D6661">
      <w:pPr>
        <w:spacing w:after="0" w:line="276" w:lineRule="auto"/>
        <w:ind w:left="709" w:right="709"/>
        <w:jc w:val="both"/>
        <w:rPr>
          <w:rFonts w:ascii="Verdana" w:eastAsia="Times New Roman" w:hAnsi="Verdana" w:cs="Arial"/>
          <w:lang w:val="es-MX" w:eastAsia="es-ES_tradnl"/>
        </w:rPr>
      </w:pPr>
    </w:p>
    <w:p w14:paraId="0729FE63" w14:textId="2FAD9BA8" w:rsidR="00E546EE" w:rsidRDefault="00E546EE" w:rsidP="002D6661">
      <w:pPr>
        <w:spacing w:after="120" w:line="276" w:lineRule="auto"/>
        <w:ind w:firstLine="709"/>
        <w:jc w:val="both"/>
        <w:rPr>
          <w:rFonts w:ascii="Verdana" w:eastAsia="Calibri" w:hAnsi="Verdana" w:cs="Arial"/>
          <w:bCs/>
          <w:color w:val="000000"/>
          <w:kern w:val="2"/>
          <w14:ligatures w14:val="standardContextual"/>
        </w:rPr>
      </w:pPr>
      <w:r w:rsidRPr="00F31A35">
        <w:rPr>
          <w:rFonts w:ascii="Verdana" w:eastAsia="Calibri" w:hAnsi="Verdana" w:cs="Arial"/>
          <w:bCs/>
          <w:color w:val="000000"/>
          <w:kern w:val="2"/>
          <w14:ligatures w14:val="standardContextual"/>
        </w:rPr>
        <w:t xml:space="preserve">En ese sentido, las </w:t>
      </w:r>
      <w:r w:rsidR="00E04F8A" w:rsidRPr="00F31A35">
        <w:rPr>
          <w:rFonts w:ascii="Verdana" w:eastAsia="Calibri" w:hAnsi="Verdana" w:cs="Arial"/>
          <w:bCs/>
          <w:color w:val="000000"/>
          <w:kern w:val="2"/>
          <w14:ligatures w14:val="standardContextual"/>
        </w:rPr>
        <w:t xml:space="preserve">Entidades Públicas </w:t>
      </w:r>
      <w:r>
        <w:rPr>
          <w:rFonts w:ascii="Verdana" w:eastAsia="Calibri" w:hAnsi="Verdana" w:cs="Arial"/>
          <w:bCs/>
          <w:color w:val="000000"/>
          <w:kern w:val="2"/>
          <w14:ligatures w14:val="standardContextual"/>
        </w:rPr>
        <w:t xml:space="preserve">desde los estudios previos definirán las condiciones del contrato de prestación de servicios a celebrar, plasmado en la minuta del contrato </w:t>
      </w:r>
      <w:r w:rsidRPr="00F31A35">
        <w:rPr>
          <w:rFonts w:ascii="Verdana" w:eastAsia="Calibri" w:hAnsi="Verdana" w:cs="Arial"/>
          <w:bCs/>
          <w:color w:val="000000"/>
          <w:kern w:val="2"/>
          <w14:ligatures w14:val="standardContextual"/>
        </w:rPr>
        <w:t xml:space="preserve">de prestación de servicios profesionales, de apoyo a la gestión y trabajos artísticos. </w:t>
      </w:r>
      <w:bookmarkStart w:id="5" w:name="_Hlk139612360"/>
      <w:r w:rsidRPr="00F31A35">
        <w:rPr>
          <w:rFonts w:ascii="Verdana" w:eastAsia="Calibri" w:hAnsi="Verdana" w:cs="Arial"/>
          <w:bCs/>
          <w:color w:val="000000"/>
          <w:kern w:val="2"/>
          <w14:ligatures w14:val="standardContextual"/>
        </w:rPr>
        <w:t xml:space="preserve">Finalmente, se resalta que en la Ley 80 de 1993, Ley 1150 de 2007 y en el Decreto 1082 de 2015 no se encuentran disposiciones que establezcan </w:t>
      </w:r>
      <w:r>
        <w:rPr>
          <w:rFonts w:ascii="Verdana" w:eastAsia="Calibri" w:hAnsi="Verdana" w:cs="Arial"/>
          <w:bCs/>
          <w:color w:val="000000"/>
          <w:kern w:val="2"/>
          <w14:ligatures w14:val="standardContextual"/>
        </w:rPr>
        <w:t xml:space="preserve">la forma en que deben presentarse las cuentas de cobro, tales como el informe de ejecución </w:t>
      </w:r>
      <w:r w:rsidRPr="001153C9">
        <w:rPr>
          <w:rFonts w:ascii="Verdana" w:eastAsia="Calibri" w:hAnsi="Verdana" w:cs="Arial"/>
          <w:bCs/>
          <w:color w:val="000000"/>
          <w:kern w:val="2"/>
          <w14:ligatures w14:val="standardContextual"/>
        </w:rPr>
        <w:t>o el informe y certificación de cumplimiento</w:t>
      </w:r>
      <w:r>
        <w:rPr>
          <w:rFonts w:ascii="Verdana" w:eastAsia="Calibri" w:hAnsi="Verdana" w:cs="Arial"/>
          <w:bCs/>
          <w:color w:val="000000"/>
          <w:kern w:val="2"/>
          <w14:ligatures w14:val="standardContextual"/>
        </w:rPr>
        <w:t>, así como las fechas para su presentación</w:t>
      </w:r>
      <w:bookmarkStart w:id="6" w:name="_Hlk139612160"/>
      <w:r w:rsidRPr="0037766C">
        <w:rPr>
          <w:rFonts w:ascii="Verdana" w:eastAsia="Calibri" w:hAnsi="Verdana" w:cs="Arial"/>
          <w:bCs/>
          <w:color w:val="000000"/>
          <w:kern w:val="2"/>
          <w14:ligatures w14:val="standardContextual"/>
        </w:rPr>
        <w:t xml:space="preserve">, </w:t>
      </w:r>
      <w:r>
        <w:rPr>
          <w:rFonts w:ascii="Verdana" w:eastAsia="Calibri" w:hAnsi="Verdana" w:cs="Arial"/>
          <w:bCs/>
          <w:color w:val="000000"/>
          <w:kern w:val="2"/>
          <w14:ligatures w14:val="standardContextual"/>
        </w:rPr>
        <w:t>por cuanto esto dependerá de las directrices fijadas al interior de la entidad estatal en su guías, circulares o manuales, que se verán reflejados en las cláusulas contenidas en la minuta del contrato de prestación de servicios</w:t>
      </w:r>
      <w:r w:rsidRPr="00F31A35">
        <w:rPr>
          <w:rFonts w:ascii="Verdana" w:eastAsia="Calibri" w:hAnsi="Verdana" w:cs="Arial"/>
          <w:bCs/>
          <w:color w:val="000000"/>
          <w:kern w:val="2"/>
          <w14:ligatures w14:val="standardContextual"/>
        </w:rPr>
        <w:t>.</w:t>
      </w:r>
      <w:bookmarkEnd w:id="5"/>
      <w:r>
        <w:rPr>
          <w:rFonts w:ascii="Verdana" w:eastAsia="Calibri" w:hAnsi="Verdana" w:cs="Arial"/>
          <w:bCs/>
          <w:color w:val="000000"/>
          <w:kern w:val="2"/>
          <w14:ligatures w14:val="standardContextual"/>
        </w:rPr>
        <w:t xml:space="preserve"> </w:t>
      </w:r>
    </w:p>
    <w:p w14:paraId="7110CFE3" w14:textId="0D1F737D" w:rsidR="00E546EE" w:rsidRDefault="00E546EE" w:rsidP="002D6661">
      <w:pPr>
        <w:spacing w:after="120" w:line="276" w:lineRule="auto"/>
        <w:ind w:firstLine="709"/>
        <w:jc w:val="both"/>
        <w:rPr>
          <w:rFonts w:ascii="Verdana" w:eastAsia="Calibri" w:hAnsi="Verdana" w:cs="Arial"/>
          <w:bCs/>
          <w:color w:val="000000"/>
          <w:kern w:val="2"/>
          <w14:ligatures w14:val="standardContextual"/>
        </w:rPr>
      </w:pPr>
      <w:r>
        <w:rPr>
          <w:rFonts w:ascii="Verdana" w:eastAsia="Calibri" w:hAnsi="Verdana" w:cs="Arial"/>
          <w:bCs/>
          <w:color w:val="000000"/>
          <w:kern w:val="2"/>
          <w14:ligatures w14:val="standardContextual"/>
        </w:rPr>
        <w:t xml:space="preserve">Es importante señalar que dentro de las cuentas de cobro lo que sí resulta obligatorio desde el ámbito normativo, es el cumplimiento de las obligaciones al </w:t>
      </w:r>
      <w:r w:rsidR="004D5391">
        <w:rPr>
          <w:rFonts w:ascii="Verdana" w:eastAsia="Calibri" w:hAnsi="Verdana" w:cs="Arial"/>
          <w:bCs/>
          <w:color w:val="000000"/>
          <w:kern w:val="2"/>
          <w14:ligatures w14:val="standardContextual"/>
        </w:rPr>
        <w:t xml:space="preserve">Sistema </w:t>
      </w:r>
      <w:r>
        <w:rPr>
          <w:rFonts w:ascii="Verdana" w:eastAsia="Calibri" w:hAnsi="Verdana" w:cs="Arial"/>
          <w:bCs/>
          <w:color w:val="000000"/>
          <w:kern w:val="2"/>
          <w14:ligatures w14:val="standardContextual"/>
        </w:rPr>
        <w:t xml:space="preserve">de </w:t>
      </w:r>
      <w:r w:rsidR="004D5391">
        <w:rPr>
          <w:rFonts w:ascii="Verdana" w:eastAsia="Calibri" w:hAnsi="Verdana" w:cs="Arial"/>
          <w:bCs/>
          <w:color w:val="000000"/>
          <w:kern w:val="2"/>
          <w14:ligatures w14:val="standardContextual"/>
        </w:rPr>
        <w:t xml:space="preserve">Seguridad Social Integral </w:t>
      </w:r>
      <w:r>
        <w:rPr>
          <w:rFonts w:ascii="Verdana" w:eastAsia="Calibri" w:hAnsi="Verdana" w:cs="Arial"/>
          <w:bCs/>
          <w:color w:val="000000"/>
          <w:kern w:val="2"/>
          <w14:ligatures w14:val="standardContextual"/>
        </w:rPr>
        <w:t>que deberá asumir el contratista, de conformidad con lo establecido en el artículo 41 de la Ley 80 de 1993</w:t>
      </w:r>
      <w:r>
        <w:rPr>
          <w:rStyle w:val="Refdenotaalpie"/>
          <w:rFonts w:ascii="Verdana" w:eastAsia="Calibri" w:hAnsi="Verdana" w:cs="Arial"/>
          <w:bCs/>
          <w:color w:val="000000"/>
          <w:kern w:val="2"/>
          <w14:ligatures w14:val="standardContextual"/>
        </w:rPr>
        <w:footnoteReference w:id="17"/>
      </w:r>
      <w:r>
        <w:rPr>
          <w:rFonts w:ascii="Verdana" w:eastAsia="Calibri" w:hAnsi="Verdana" w:cs="Arial"/>
          <w:bCs/>
          <w:color w:val="000000"/>
          <w:kern w:val="2"/>
          <w14:ligatures w14:val="standardContextual"/>
        </w:rPr>
        <w:t xml:space="preserve">. </w:t>
      </w:r>
    </w:p>
    <w:bookmarkEnd w:id="6"/>
    <w:p w14:paraId="152354F2" w14:textId="00A99240" w:rsidR="00E546EE" w:rsidRDefault="00E81957" w:rsidP="002D6661">
      <w:pPr>
        <w:spacing w:after="120" w:line="276" w:lineRule="auto"/>
        <w:ind w:firstLine="709"/>
        <w:jc w:val="both"/>
        <w:rPr>
          <w:rFonts w:ascii="Verdana" w:eastAsia="Calibri" w:hAnsi="Verdana" w:cs="Arial"/>
        </w:rPr>
      </w:pPr>
      <w:proofErr w:type="spellStart"/>
      <w:r>
        <w:rPr>
          <w:rFonts w:ascii="Verdana" w:eastAsia="Calibri" w:hAnsi="Verdana" w:cs="Arial"/>
          <w:b/>
          <w:bCs/>
        </w:rPr>
        <w:t>i</w:t>
      </w:r>
      <w:r w:rsidR="00E546EE" w:rsidRPr="00806580">
        <w:rPr>
          <w:rFonts w:ascii="Verdana" w:eastAsia="Calibri" w:hAnsi="Verdana" w:cs="Arial"/>
          <w:b/>
          <w:bCs/>
        </w:rPr>
        <w:t>ii</w:t>
      </w:r>
      <w:proofErr w:type="spellEnd"/>
      <w:r w:rsidR="00E546EE" w:rsidRPr="00806580">
        <w:rPr>
          <w:rFonts w:ascii="Verdana" w:eastAsia="Calibri" w:hAnsi="Verdana" w:cs="Arial"/>
          <w:b/>
          <w:bCs/>
        </w:rPr>
        <w:t>)</w:t>
      </w:r>
      <w:r w:rsidR="00E546EE">
        <w:rPr>
          <w:rFonts w:ascii="Verdana" w:eastAsia="Calibri" w:hAnsi="Verdana" w:cs="Arial"/>
          <w:b/>
          <w:bCs/>
        </w:rPr>
        <w:t xml:space="preserve"> </w:t>
      </w:r>
      <w:r w:rsidR="00E546EE">
        <w:rPr>
          <w:rFonts w:ascii="Verdana" w:eastAsia="Calibri" w:hAnsi="Verdana" w:cs="Arial"/>
        </w:rPr>
        <w:t xml:space="preserve">En cuanto al segundo problema jurídico planteado, resulta indispensable tener en consideración la </w:t>
      </w:r>
      <w:r w:rsidR="000D5F81">
        <w:rPr>
          <w:rFonts w:ascii="Verdana" w:eastAsia="Calibri" w:hAnsi="Verdana" w:cs="Arial"/>
        </w:rPr>
        <w:t xml:space="preserve">Circular Externa </w:t>
      </w:r>
      <w:r w:rsidR="00E546EE">
        <w:rPr>
          <w:rFonts w:ascii="Verdana" w:eastAsia="Calibri" w:hAnsi="Verdana" w:cs="Arial"/>
        </w:rPr>
        <w:t>003 del 7 de enero de 2025</w:t>
      </w:r>
      <w:r w:rsidR="00F904F2">
        <w:rPr>
          <w:rFonts w:ascii="Verdana" w:eastAsia="Calibri" w:hAnsi="Verdana" w:cs="Arial"/>
        </w:rPr>
        <w:t>,</w:t>
      </w:r>
      <w:r w:rsidR="00E546EE">
        <w:rPr>
          <w:rFonts w:ascii="Verdana" w:eastAsia="Calibri" w:hAnsi="Verdana" w:cs="Arial"/>
        </w:rPr>
        <w:t xml:space="preserve"> expedida por el </w:t>
      </w:r>
      <w:proofErr w:type="gramStart"/>
      <w:r w:rsidR="00E546EE">
        <w:rPr>
          <w:rFonts w:ascii="Verdana" w:eastAsia="Calibri" w:hAnsi="Verdana" w:cs="Arial"/>
        </w:rPr>
        <w:t>Subdirector</w:t>
      </w:r>
      <w:proofErr w:type="gramEnd"/>
      <w:r w:rsidR="00E546EE">
        <w:rPr>
          <w:rFonts w:ascii="Verdana" w:eastAsia="Calibri" w:hAnsi="Verdana" w:cs="Arial"/>
        </w:rPr>
        <w:t xml:space="preserve"> de Operaciones de la Dirección General de Crédito Público y del Tesoro Nacional, mediante el cual indica en términos generales el calendario</w:t>
      </w:r>
      <w:r w:rsidR="00806E20">
        <w:rPr>
          <w:rFonts w:ascii="Verdana" w:eastAsia="Calibri" w:hAnsi="Verdana" w:cs="Arial"/>
        </w:rPr>
        <w:t xml:space="preserve"> del Plan Anual </w:t>
      </w:r>
      <w:r w:rsidR="00546E49">
        <w:rPr>
          <w:rFonts w:ascii="Verdana" w:eastAsia="Calibri" w:hAnsi="Verdana" w:cs="Arial"/>
        </w:rPr>
        <w:t>Mensualizado de Caja – en adelante</w:t>
      </w:r>
      <w:r w:rsidR="00E546EE">
        <w:rPr>
          <w:rFonts w:ascii="Verdana" w:eastAsia="Calibri" w:hAnsi="Verdana" w:cs="Arial"/>
        </w:rPr>
        <w:t xml:space="preserve"> PAC</w:t>
      </w:r>
      <w:r w:rsidR="00546E49">
        <w:rPr>
          <w:rFonts w:ascii="Verdana" w:eastAsia="Calibri" w:hAnsi="Verdana" w:cs="Arial"/>
        </w:rPr>
        <w:t xml:space="preserve"> –</w:t>
      </w:r>
      <w:r w:rsidR="00E546EE">
        <w:rPr>
          <w:rFonts w:ascii="Verdana" w:eastAsia="Calibri" w:hAnsi="Verdana" w:cs="Arial"/>
        </w:rPr>
        <w:t xml:space="preserve"> vigencia</w:t>
      </w:r>
      <w:r w:rsidR="00546E49">
        <w:rPr>
          <w:rFonts w:ascii="Verdana" w:eastAsia="Calibri" w:hAnsi="Verdana" w:cs="Arial"/>
        </w:rPr>
        <w:t xml:space="preserve"> </w:t>
      </w:r>
      <w:r w:rsidR="00E546EE">
        <w:rPr>
          <w:rFonts w:ascii="Verdana" w:eastAsia="Calibri" w:hAnsi="Verdana" w:cs="Arial"/>
        </w:rPr>
        <w:t xml:space="preserve">fiscal 2025 y aspectos a considerar para su aprobación. En ese escenario, la asignación del PAC se efectuará de manera mensual previa revisión de los ingresos de la Nación y atendiendo los gastos eminentemente básicos del Estado. </w:t>
      </w:r>
      <w:r w:rsidR="00E546EE" w:rsidRPr="0094332D">
        <w:rPr>
          <w:rFonts w:ascii="Verdana" w:eastAsia="Calibri" w:hAnsi="Verdana" w:cs="Arial"/>
        </w:rPr>
        <w:t xml:space="preserve">Las asignaciones del PAC se harán mes anticipado, y solo se estudiará su aprobación si media una solicitud previamente registrada en SIIF- Nación. </w:t>
      </w:r>
      <w:r w:rsidR="00E546EE" w:rsidRPr="0094332D">
        <w:rPr>
          <w:rFonts w:ascii="Verdana" w:eastAsia="Calibri" w:hAnsi="Verdana" w:cs="Arial"/>
        </w:rPr>
        <w:lastRenderedPageBreak/>
        <w:t>Estas deberán contener una justificación consistente sobre el uso que se dará a los recursos solicitados, agrupando los conceptos del gasto con sus respectivos valores, de mayor a menor.</w:t>
      </w:r>
      <w:r w:rsidR="00E546EE">
        <w:rPr>
          <w:rFonts w:ascii="Verdana" w:eastAsia="Calibri" w:hAnsi="Verdana" w:cs="Arial"/>
        </w:rPr>
        <w:t xml:space="preserve"> Así mismo, determinó un calendario correspondiente al año fiscal 2025 que deberá ser adoptado por parte de las entidades del estado. </w:t>
      </w:r>
    </w:p>
    <w:p w14:paraId="077E7207" w14:textId="55F0ABFB" w:rsidR="00E546EE" w:rsidRDefault="00E546EE" w:rsidP="00476163">
      <w:pPr>
        <w:spacing w:after="120" w:line="276" w:lineRule="auto"/>
        <w:ind w:firstLine="709"/>
        <w:jc w:val="both"/>
        <w:rPr>
          <w:rFonts w:ascii="Verdana" w:eastAsia="Calibri" w:hAnsi="Verdana" w:cs="Arial"/>
        </w:rPr>
      </w:pPr>
      <w:r>
        <w:rPr>
          <w:rFonts w:ascii="Verdana" w:eastAsia="Calibri" w:hAnsi="Verdana" w:cs="Arial"/>
        </w:rPr>
        <w:t xml:space="preserve">Con base en lo anterior, será la </w:t>
      </w:r>
      <w:r w:rsidR="00455325">
        <w:rPr>
          <w:rFonts w:ascii="Verdana" w:eastAsia="Calibri" w:hAnsi="Verdana" w:cs="Arial"/>
        </w:rPr>
        <w:t xml:space="preserve">Entidad Estatal </w:t>
      </w:r>
      <w:r>
        <w:rPr>
          <w:rFonts w:ascii="Verdana" w:eastAsia="Calibri" w:hAnsi="Verdana" w:cs="Arial"/>
        </w:rPr>
        <w:t>la competente para determinar en el PAC los recursos necesarios para hacerlos efectivos, previo el cumplimiento de los lineamientos determinados por parte de la Dirección General de Crédito Público y del Tesoro Nacional y lo establecido en las cláusulas del contrato de prestación de servicios, pues el contenido debe determinar la forma de pago y el procedimiento para ello.</w:t>
      </w:r>
    </w:p>
    <w:p w14:paraId="18E92D2B" w14:textId="77777777" w:rsidR="00E546EE" w:rsidRDefault="00E546EE" w:rsidP="00476163">
      <w:pPr>
        <w:spacing w:after="120" w:line="276" w:lineRule="auto"/>
        <w:ind w:firstLine="709"/>
        <w:jc w:val="both"/>
        <w:rPr>
          <w:rFonts w:ascii="Verdana" w:eastAsia="Calibri" w:hAnsi="Verdana" w:cs="Arial"/>
        </w:rPr>
      </w:pPr>
    </w:p>
    <w:p w14:paraId="44768E0E" w14:textId="2C6E5895" w:rsidR="00E546EE" w:rsidRPr="00A76507" w:rsidRDefault="00E546EE" w:rsidP="004D5391">
      <w:pPr>
        <w:spacing w:after="120" w:line="276" w:lineRule="auto"/>
        <w:ind w:firstLine="708"/>
        <w:jc w:val="both"/>
        <w:rPr>
          <w:rFonts w:ascii="Verdana" w:eastAsia="Calibri" w:hAnsi="Verdana" w:cs="Arial"/>
          <w:lang w:val="es-ES_tradnl"/>
        </w:rPr>
      </w:pPr>
      <w:bookmarkStart w:id="7" w:name="_Hlk196757138"/>
      <w:proofErr w:type="spellStart"/>
      <w:r w:rsidRPr="00603306">
        <w:rPr>
          <w:rFonts w:ascii="Verdana" w:eastAsia="Calibri" w:hAnsi="Verdana" w:cs="Arial"/>
          <w:b/>
          <w:bCs/>
        </w:rPr>
        <w:t>iii</w:t>
      </w:r>
      <w:proofErr w:type="spellEnd"/>
      <w:r w:rsidRPr="00603306">
        <w:rPr>
          <w:rFonts w:ascii="Verdana" w:eastAsia="Calibri" w:hAnsi="Verdana" w:cs="Arial"/>
          <w:b/>
          <w:bCs/>
        </w:rPr>
        <w:t>)</w:t>
      </w:r>
      <w:r>
        <w:rPr>
          <w:rFonts w:ascii="Verdana" w:eastAsia="Calibri" w:hAnsi="Verdana" w:cs="Arial"/>
        </w:rPr>
        <w:t xml:space="preserve"> </w:t>
      </w:r>
      <w:r w:rsidRPr="00603306">
        <w:rPr>
          <w:rFonts w:ascii="Verdana" w:eastAsia="Calibri" w:hAnsi="Verdana" w:cs="Arial"/>
        </w:rPr>
        <w:t xml:space="preserve">Por último, respecto del </w:t>
      </w:r>
      <w:r w:rsidR="00476163">
        <w:rPr>
          <w:rFonts w:ascii="Verdana" w:eastAsia="Calibri" w:hAnsi="Verdana" w:cs="Arial"/>
        </w:rPr>
        <w:t xml:space="preserve">tercer </w:t>
      </w:r>
      <w:r w:rsidRPr="00603306">
        <w:rPr>
          <w:rFonts w:ascii="Verdana" w:eastAsia="Calibri" w:hAnsi="Verdana" w:cs="Arial"/>
        </w:rPr>
        <w:t>problema jurídico planteado, resulta importante indicar que</w:t>
      </w:r>
      <w:r>
        <w:rPr>
          <w:rFonts w:ascii="Verdana" w:eastAsia="Calibri" w:hAnsi="Verdana" w:cs="Arial"/>
        </w:rPr>
        <w:t xml:space="preserve"> tratándose de la plataforma SECOP II, el </w:t>
      </w:r>
      <w:r w:rsidRPr="00A76507">
        <w:rPr>
          <w:rFonts w:ascii="Verdana" w:eastAsia="Calibri" w:hAnsi="Verdana" w:cs="Arial"/>
          <w:lang w:val="es-ES_tradnl"/>
        </w:rPr>
        <w:t xml:space="preserve">artículo 3 de la Ley 1150 de 2007 </w:t>
      </w:r>
      <w:r>
        <w:rPr>
          <w:rFonts w:ascii="Verdana" w:eastAsia="Calibri" w:hAnsi="Verdana" w:cs="Arial"/>
          <w:lang w:val="es-ES_tradnl"/>
        </w:rPr>
        <w:t>creó</w:t>
      </w:r>
      <w:r w:rsidRPr="00A76507">
        <w:rPr>
          <w:rFonts w:ascii="Verdana" w:eastAsia="Calibri" w:hAnsi="Verdana" w:cs="Arial"/>
          <w:lang w:val="es-ES_tradnl"/>
        </w:rPr>
        <w:t xml:space="preserve"> </w:t>
      </w:r>
      <w:bookmarkStart w:id="8" w:name="_Hlk56073112"/>
      <w:r w:rsidRPr="00A76507">
        <w:rPr>
          <w:rFonts w:ascii="Verdana" w:eastAsia="Calibri" w:hAnsi="Verdana" w:cs="Arial"/>
          <w:lang w:val="es-ES_tradnl"/>
        </w:rPr>
        <w:t>el Sistema Electrónico para la Contratación Pública</w:t>
      </w:r>
      <w:bookmarkEnd w:id="8"/>
      <w:r w:rsidRPr="00A76507">
        <w:rPr>
          <w:rFonts w:ascii="Verdana" w:eastAsia="Calibri" w:hAnsi="Verdana" w:cs="Arial"/>
          <w:lang w:val="es-ES_tradnl"/>
        </w:rPr>
        <w:t xml:space="preserve">, el cual –de conformidad con el artículo 3.8 del Decreto 4170 de 2011– es administrado por esta Agencia. Esta plataforma no solo es un canal de publicidad de la gestión contractual de las entidades públicas, pues también es un medio transaccional para la suscripción de contratos electrónicos. A estas dos (2) facetas del SECOP se refiere la ley citada cuando dispone, respectivamente, que “De conformidad con lo dispuesto en la Ley 527 de 1999, […] la expedición de los […] contratos y en general los actos derivados de la actividad precontractual y contractual, podrán tener lugar por medios electrónicos” y que “Contará con la información oficial de la contratación realizada con dineros públicos, para lo cual establecerá los patrones a que haya lugar y se encargará de su difusión a través de canales electrónicos”. </w:t>
      </w:r>
    </w:p>
    <w:p w14:paraId="13349B36" w14:textId="77777777" w:rsidR="00E546EE" w:rsidRPr="00A76507" w:rsidRDefault="00E546EE" w:rsidP="00476163">
      <w:pPr>
        <w:spacing w:after="120" w:line="276" w:lineRule="auto"/>
        <w:jc w:val="both"/>
        <w:rPr>
          <w:rFonts w:ascii="Verdana" w:eastAsia="Calibri" w:hAnsi="Verdana" w:cs="Arial"/>
          <w:bCs/>
          <w:color w:val="000000" w:themeColor="text1"/>
          <w:lang w:val="es-ES_tradnl"/>
        </w:rPr>
      </w:pPr>
      <w:r w:rsidRPr="00A76507">
        <w:rPr>
          <w:rFonts w:ascii="Verdana" w:eastAsia="Calibri" w:hAnsi="Verdana" w:cs="Arial"/>
          <w:lang w:val="es-ES_tradnl"/>
        </w:rPr>
        <w:tab/>
        <w:t xml:space="preserve">El numeral 1.2 </w:t>
      </w:r>
      <w:r w:rsidRPr="00A76507">
        <w:rPr>
          <w:rFonts w:ascii="Verdana" w:eastAsia="Calibri" w:hAnsi="Verdana" w:cs="Arial"/>
        </w:rPr>
        <w:t>de la Circular Externa Única de la Agencia Nacional de Contratación Pública – Colombia Compra Eficiente</w:t>
      </w:r>
      <w:r>
        <w:rPr>
          <w:rStyle w:val="Refdenotaalpie"/>
          <w:rFonts w:ascii="Verdana" w:eastAsia="Calibri" w:hAnsi="Verdana" w:cs="Arial"/>
        </w:rPr>
        <w:footnoteReference w:id="18"/>
      </w:r>
      <w:r w:rsidRPr="00A76507">
        <w:rPr>
          <w:rFonts w:ascii="Verdana" w:eastAsia="Calibri" w:hAnsi="Verdana" w:cs="Arial"/>
        </w:rPr>
        <w:t xml:space="preserve"> dispone que el Sistema Electrónico para la Contratación Pública</w:t>
      </w:r>
      <w:r w:rsidRPr="00A76507">
        <w:rPr>
          <w:rFonts w:ascii="Verdana" w:eastAsia="Calibri" w:hAnsi="Verdana" w:cs="Arial"/>
          <w:lang w:val="es-ES_tradnl"/>
        </w:rPr>
        <w:t xml:space="preserve"> está compuesto por el SECOP I, el SECOP II y la Tienda Virtual del Estado Colombiano. </w:t>
      </w:r>
      <w:r>
        <w:rPr>
          <w:rFonts w:ascii="Verdana" w:eastAsia="Calibri" w:hAnsi="Verdana" w:cs="Arial"/>
          <w:lang w:val="es-ES_tradnl"/>
        </w:rPr>
        <w:t>El</w:t>
      </w:r>
      <w:r w:rsidRPr="00A76507">
        <w:rPr>
          <w:rFonts w:ascii="Verdana" w:eastAsia="Calibri" w:hAnsi="Verdana" w:cs="Arial"/>
          <w:bCs/>
          <w:color w:val="000000" w:themeColor="text1"/>
          <w:lang w:val="es-ES_tradnl"/>
        </w:rPr>
        <w:t xml:space="preserve"> SECOP I solo funciona como medio de publicidad, es decir, no tiene carácter transaccional. Esto significa que el procedimiento contractual se adelanta fuera de la plataforma a través de un expediente físico. No obstante, las actuaciones y los documentos se convierten en electrónicos para cargarse posteriormente a la plataforma por quien tenga la función dentro de la entidad. </w:t>
      </w:r>
    </w:p>
    <w:p w14:paraId="64331E36" w14:textId="77777777" w:rsidR="00E546EE" w:rsidRPr="00A76507" w:rsidRDefault="00E546EE" w:rsidP="004D5391">
      <w:pPr>
        <w:spacing w:after="120" w:line="276" w:lineRule="auto"/>
        <w:ind w:firstLine="708"/>
        <w:jc w:val="both"/>
        <w:rPr>
          <w:rFonts w:ascii="Verdana" w:eastAsia="Calibri" w:hAnsi="Verdana" w:cs="Arial"/>
          <w:color w:val="000000" w:themeColor="text1"/>
          <w:lang w:val="es-ES"/>
        </w:rPr>
      </w:pPr>
      <w:r w:rsidRPr="1545E662">
        <w:rPr>
          <w:rFonts w:ascii="Verdana" w:eastAsia="Calibri" w:hAnsi="Verdana" w:cs="Arial"/>
          <w:color w:val="000000" w:themeColor="text1"/>
          <w:lang w:val="es-ES"/>
        </w:rPr>
        <w:lastRenderedPageBreak/>
        <w:t>Por su parte, el SECOP II permite generar contratos en línea y realizar la firma electrónica de los mismos. Tiene funciones que permiten al proveedor presentar garantías y facturas; y a la entidad estatal, realizar la revisión y aprobación de ambos tipos de documentos en línea. Además, el módulo permite hacer modificaciones contractuales, tanto unilaterales como bilaterales –estas últimas son enviadas para aprobación del proveedor antes de la publicación por parte de la entidad estatal–. Para registrar el seguimiento al avance de la ejecución, el módulo de gestión contractual habilita el registro de planes de ejecución por porcentaje de avance y el cargue de documentos tanto a proveedor como a la entidad estatal, la cual puede crear usuarios para que los supervisores de los contratos carguen la información pertinente. Finalmente, la liquidación y el cierre de los expedientes contractuales también puede realizarse a través del SECOP II. Es de destacar que la plataforma tiene un módulo de búsqueda pública que permite a los ciudadanos y entes de control revisar el avance en tiempo real de cualquier contrato realizado a través del SECOP II, sin necesidad de tener usuarios creados en la plataforma.</w:t>
      </w:r>
    </w:p>
    <w:p w14:paraId="181AF548" w14:textId="77777777" w:rsidR="00E546EE" w:rsidRDefault="00E546EE" w:rsidP="004D5391">
      <w:pPr>
        <w:widowControl w:val="0"/>
        <w:tabs>
          <w:tab w:val="left" w:pos="728"/>
        </w:tabs>
        <w:autoSpaceDE w:val="0"/>
        <w:autoSpaceDN w:val="0"/>
        <w:spacing w:after="120" w:line="276" w:lineRule="auto"/>
        <w:jc w:val="both"/>
        <w:rPr>
          <w:rFonts w:ascii="Verdana" w:eastAsia="Arial" w:hAnsi="Verdana" w:cs="Arial"/>
          <w:lang w:val="es-ES"/>
        </w:rPr>
      </w:pPr>
      <w:r w:rsidRPr="00A76507">
        <w:rPr>
          <w:rFonts w:ascii="Verdana" w:eastAsia="Arial" w:hAnsi="Verdana" w:cs="Arial"/>
          <w:lang w:val="es-ES"/>
        </w:rPr>
        <w:tab/>
        <w:t xml:space="preserve">Ambas plataformas contribuyen a la concreción del principio de publicidad. Dicho principio impone a las autoridades administrativas el deber de dar a conocer sus actos, contratos y decisiones, para que se divulguen y eventualmente se controlen las actuaciones. Por lo demás, la Ley 1712 de 2014 identifica como principios que orientan el acceso a la información pública el de máxima publicidad y el de transparencia en la información. El primero establece que toda información en posesión, bajo control o custodia de un sujeto obligado es pública y no podrá ser reservada o limitada sino por disposición constitucional o legal. Por su parte, el segundo alude al deber de los sujetos de proporcionar y facilitar el acceso a la misma en los términos más amplios posibles, y a través de los medios y procedimientos que establezca la ley. </w:t>
      </w:r>
    </w:p>
    <w:p w14:paraId="5D4081B4" w14:textId="77777777" w:rsidR="00E546EE" w:rsidRDefault="00E546EE" w:rsidP="004D5391">
      <w:pPr>
        <w:widowControl w:val="0"/>
        <w:tabs>
          <w:tab w:val="left" w:pos="728"/>
        </w:tabs>
        <w:autoSpaceDE w:val="0"/>
        <w:autoSpaceDN w:val="0"/>
        <w:spacing w:after="120" w:line="276" w:lineRule="auto"/>
        <w:ind w:firstLine="726"/>
        <w:jc w:val="both"/>
        <w:rPr>
          <w:rFonts w:ascii="Verdana" w:hAnsi="Verdana" w:cs="Arial"/>
          <w:lang w:val="es-ES"/>
        </w:rPr>
      </w:pPr>
      <w:r w:rsidRPr="007819DC">
        <w:rPr>
          <w:rFonts w:ascii="Verdana" w:hAnsi="Verdana" w:cs="Arial"/>
          <w:lang w:val="es-ES"/>
        </w:rPr>
        <w:t>Ahora bien, las entidades estatales, conforme al artículo 2.2.1.1.1.7.1 del Decreto 1082 de 2015, tienen la obligación de publicar en el SECOP “[…] los Documentos del Proceso y los actos administrativos del Proceso de Contratación […]”. La expresión Documentos del Proceso está definida en el artículo 2.2.1.1.1.3.1 del Decreto 1082 de 2015, donde se establece que son “(a) los estudios y documentos previos; (b) el aviso de convocatoria; (c) los pliegos de condiciones o la invitación; (d) las adendas; (e) la oferta; (f) el informe de evaluación; (g) el contrato; y cualquier otro documento expedido por la Entidad Estatal durante el Proceso de Contratación”.</w:t>
      </w:r>
    </w:p>
    <w:p w14:paraId="0EBCB939" w14:textId="77777777" w:rsidR="00E546EE" w:rsidRPr="004678E2" w:rsidRDefault="00E546EE" w:rsidP="004D5391">
      <w:pPr>
        <w:widowControl w:val="0"/>
        <w:autoSpaceDE w:val="0"/>
        <w:autoSpaceDN w:val="0"/>
        <w:spacing w:after="120" w:line="276" w:lineRule="auto"/>
        <w:ind w:firstLine="709"/>
        <w:jc w:val="both"/>
        <w:rPr>
          <w:rFonts w:ascii="Verdana" w:eastAsia="Arial" w:hAnsi="Verdana" w:cs="Arial"/>
          <w:lang w:val="es-ES"/>
        </w:rPr>
      </w:pPr>
      <w:r w:rsidRPr="004678E2">
        <w:rPr>
          <w:rFonts w:ascii="Verdana" w:eastAsia="Arial" w:hAnsi="Verdana" w:cs="Arial"/>
          <w:lang w:val="es-ES"/>
        </w:rPr>
        <w:lastRenderedPageBreak/>
        <w:t xml:space="preserve">No obstante, para identificar los documentos que deben publicarse, es necesario realizar una interpretación sistemática de las disposiciones del Decreto 1082 del 2015, comoquiera que el anterior no es un listado taxativo, sino enunciativo. En efecto, además de los documentos enlistados, el artículo 2.2.1.1.1.3.1 </w:t>
      </w:r>
      <w:proofErr w:type="spellStart"/>
      <w:r w:rsidRPr="004678E2">
        <w:rPr>
          <w:rFonts w:ascii="Verdana" w:eastAsia="Arial" w:hAnsi="Verdana" w:cs="Arial"/>
          <w:i/>
          <w:iCs/>
          <w:lang w:val="es-ES"/>
        </w:rPr>
        <w:t>Ibídem</w:t>
      </w:r>
      <w:proofErr w:type="spellEnd"/>
      <w:r w:rsidRPr="004678E2">
        <w:rPr>
          <w:rFonts w:ascii="Verdana" w:eastAsia="Arial" w:hAnsi="Verdana" w:cs="Arial"/>
          <w:lang w:val="es-ES"/>
        </w:rPr>
        <w:t xml:space="preserve"> recoge en la noción de </w:t>
      </w:r>
      <w:r w:rsidRPr="004678E2">
        <w:rPr>
          <w:rFonts w:ascii="Verdana" w:eastAsia="Arial" w:hAnsi="Verdana" w:cs="Arial"/>
          <w:i/>
          <w:iCs/>
          <w:lang w:val="es-ES"/>
        </w:rPr>
        <w:t>Documentos del Proceso</w:t>
      </w:r>
      <w:r w:rsidRPr="004678E2">
        <w:rPr>
          <w:rFonts w:ascii="Verdana" w:eastAsia="Arial" w:hAnsi="Verdana" w:cs="Arial"/>
          <w:lang w:val="es-ES"/>
        </w:rPr>
        <w:t xml:space="preserve"> “cualquier otro documento expedido por la Entidad Estatal durante el </w:t>
      </w:r>
      <w:r w:rsidRPr="004678E2">
        <w:rPr>
          <w:rFonts w:ascii="Verdana" w:eastAsia="Arial" w:hAnsi="Verdana" w:cs="Arial"/>
          <w:i/>
          <w:iCs/>
          <w:lang w:val="es-ES"/>
        </w:rPr>
        <w:t>Proceso de Contratación”</w:t>
      </w:r>
      <w:r w:rsidRPr="004678E2">
        <w:rPr>
          <w:rFonts w:ascii="Verdana" w:eastAsia="Arial" w:hAnsi="Verdana" w:cs="Arial"/>
          <w:lang w:val="es-ES"/>
        </w:rPr>
        <w:t xml:space="preserve">. Este mismo artículo define la expresión </w:t>
      </w:r>
      <w:r w:rsidRPr="004678E2">
        <w:rPr>
          <w:rFonts w:ascii="Verdana" w:eastAsia="Arial" w:hAnsi="Verdana" w:cs="Arial"/>
          <w:i/>
          <w:iCs/>
          <w:lang w:val="es-ES"/>
        </w:rPr>
        <w:t>Proceso de Contratación</w:t>
      </w:r>
      <w:r w:rsidRPr="004678E2">
        <w:rPr>
          <w:rFonts w:ascii="Verdana" w:eastAsia="Arial" w:hAnsi="Verdana" w:cs="Arial"/>
          <w:lang w:val="es-ES"/>
        </w:rPr>
        <w:t xml:space="preserve"> como el “Conjunto de actos y actividades, y su secuencia, adelantadas por la Entidad Estatal desde la planeación hasta el vencimiento de las garantías de calidad, estabilidad y mantenimiento, o las condiciones de disposición final o recuperación ambiental de las obras o bienes o el vencimiento del plazo, lo que ocurra más tarde”. </w:t>
      </w:r>
    </w:p>
    <w:p w14:paraId="791A8995" w14:textId="77777777" w:rsidR="00E546EE" w:rsidRPr="004678E2" w:rsidRDefault="00E546EE" w:rsidP="004D5391">
      <w:pPr>
        <w:widowControl w:val="0"/>
        <w:autoSpaceDE w:val="0"/>
        <w:autoSpaceDN w:val="0"/>
        <w:spacing w:after="120" w:line="276" w:lineRule="auto"/>
        <w:ind w:firstLine="709"/>
        <w:jc w:val="both"/>
        <w:rPr>
          <w:rFonts w:ascii="Verdana" w:hAnsi="Verdana" w:cs="Arial"/>
          <w:lang w:val="es-MX"/>
        </w:rPr>
      </w:pPr>
      <w:r w:rsidRPr="004678E2">
        <w:rPr>
          <w:rFonts w:ascii="Verdana" w:hAnsi="Verdana" w:cs="Arial"/>
          <w:lang w:val="es-MX"/>
        </w:rPr>
        <w:t>Respecto de los contratos de prestación de servicios, si bien los documentos que deben publicarse en el SECOP II corresponden a los mismos que deben publicarse en el SECOP I, esto es, todos los expedidos con ocasión a la gestión contractual con excepción de los expresamente excluidos, la naturaleza transaccional del SECOP II implica que los procesos contractuales no solo deban ser publicados mediante esta plataforma, sino también gestionados a través de ella, al consistir la mayoría de los hitos contractuales en documentos y actuaciones electrónicas generadas en tiempo real, de tal manera que el proceso contractual avanza en la medida en la que se generen y aprueben estos documentos y actuaciones electrónicas en la plataforma. Esta es una diferencia respecto de los procesos publicados en el SECOP I, en los que primero se generan los documentos escritos y luego se publican en la plataforma dentro del plazo de tres (3) días previsto en el artículo 2.2.1.1.1.7.1 del Decreto 1082 de 2015. Esto significa que el término de tres (3) días para publicar, en la práctica, no opera en las actuaciones generadas de manera electrónica dentro de los procedimientos gestionados a través de SECOP II, puesto que tales documentos son creados o expedidos mediante la propia plataforma, razón por la que una vez estos se aprueban quedan inmediatamente publicados, sin que transcurra el referido término.</w:t>
      </w:r>
    </w:p>
    <w:p w14:paraId="0A1D1D15" w14:textId="77777777" w:rsidR="00E546EE" w:rsidRPr="004678E2" w:rsidRDefault="00E546EE" w:rsidP="004D5391">
      <w:pPr>
        <w:widowControl w:val="0"/>
        <w:autoSpaceDE w:val="0"/>
        <w:autoSpaceDN w:val="0"/>
        <w:spacing w:after="120" w:line="276" w:lineRule="auto"/>
        <w:ind w:firstLine="709"/>
        <w:jc w:val="both"/>
        <w:rPr>
          <w:rFonts w:ascii="Verdana" w:hAnsi="Verdana" w:cs="Arial"/>
          <w:lang w:val="es-MX"/>
        </w:rPr>
      </w:pPr>
      <w:r w:rsidRPr="004678E2">
        <w:rPr>
          <w:rFonts w:ascii="Verdana" w:hAnsi="Verdana" w:cs="Arial"/>
          <w:lang w:val="es-MX"/>
        </w:rPr>
        <w:t xml:space="preserve">En ese orden de ideas, el carácter transaccional de SECOP II, como herramienta que permite no solo publicar sino también gestionar y crear Documentos del Proceso, de manera electrónica al interior de la plataforma, implica que el deber de publicidad respecto de estas actuaciones se cumpla de manera distinta a como sucede en SECOP I, donde los documentos contractuales </w:t>
      </w:r>
      <w:r w:rsidRPr="004678E2">
        <w:rPr>
          <w:rFonts w:ascii="Verdana" w:hAnsi="Verdana" w:cs="Arial"/>
          <w:lang w:val="es-MX"/>
        </w:rPr>
        <w:lastRenderedPageBreak/>
        <w:t>se expiden primero en un medio físico que posteriormente es cargado en la plataforma.</w:t>
      </w:r>
    </w:p>
    <w:p w14:paraId="19F15D29" w14:textId="77777777" w:rsidR="00E546EE" w:rsidRPr="004678E2" w:rsidRDefault="00E546EE" w:rsidP="004D5391">
      <w:pPr>
        <w:spacing w:after="120" w:line="276" w:lineRule="auto"/>
        <w:ind w:firstLine="708"/>
        <w:jc w:val="both"/>
        <w:rPr>
          <w:rFonts w:ascii="Verdana" w:eastAsia="Calibri" w:hAnsi="Verdana" w:cs="Arial"/>
          <w:bCs/>
          <w:color w:val="000000" w:themeColor="text1"/>
          <w:lang w:val="es-ES_tradnl"/>
        </w:rPr>
      </w:pPr>
      <w:r w:rsidRPr="004678E2">
        <w:rPr>
          <w:rFonts w:ascii="Verdana" w:eastAsia="Calibri" w:hAnsi="Verdana" w:cs="Arial"/>
          <w:bCs/>
          <w:color w:val="000000" w:themeColor="text1"/>
          <w:lang w:val="es-ES_tradnl"/>
        </w:rPr>
        <w:t xml:space="preserve">Para la publicidad de la ejecución del contrato se recomienda el uso del módulo de “Plan de Pagos” que se encuentra en la sección “7. Ejecución del contrato”. Allí el contratista podrá registrar las facturas y/o cuentas de cobro, junto con los demás documentos exigidos por la Entidad Estatal. Por su parte, la Entidad en su deber de seguimiento a la Ejecución contractual tendrá disponible la opción de rechazar o aprobar la referencia del plan de pago según corresponda, así como de publicar los documentos relacionados con la supervisión del contrato. </w:t>
      </w:r>
    </w:p>
    <w:p w14:paraId="5B8FC004" w14:textId="77777777" w:rsidR="00E546EE" w:rsidRPr="00C33EF9" w:rsidRDefault="00E546EE" w:rsidP="00E546EE">
      <w:pPr>
        <w:spacing w:after="0" w:line="276" w:lineRule="auto"/>
        <w:ind w:firstLine="708"/>
        <w:jc w:val="both"/>
        <w:rPr>
          <w:rFonts w:ascii="Verdana" w:eastAsia="Calibri" w:hAnsi="Verdana" w:cs="Arial"/>
          <w:bCs/>
          <w:color w:val="000000" w:themeColor="text1"/>
          <w:lang w:val="es-ES_tradnl"/>
        </w:rPr>
      </w:pPr>
      <w:r w:rsidRPr="00C33EF9">
        <w:rPr>
          <w:rFonts w:ascii="Verdana" w:eastAsia="Calibri" w:hAnsi="Verdana" w:cs="Arial"/>
          <w:bCs/>
          <w:color w:val="000000" w:themeColor="text1"/>
          <w:lang w:val="es-ES_tradnl"/>
        </w:rPr>
        <w:t>Adicionalmente, aquellos documentos transversales a la ejecución del contrato, como, por ejemplo, el registro presupuestal, el acta de inicio, las actas de delegación de la supervisión, entre otros, podrán publicarse a través del módulo “Documentos de la ejecución” de la sección “7. Ejecución del contrato”. La ventana de documentos de ejecución del contrato en el aplicativo SECOP II, permite cumplir con el deber de publicidad regulado por el artículo 2.2.1.1.1.7.1. del Decreto 1082 de 2015, lo que significa que todos los documentos expedidos durante la etapa ejecución puedan ser publicados en esa opción, ya sea por la misma Entidad Estatal o el proveedor, dentro de los tres (3) días siguientes a su expedición, en caso de no ser publicados automáticamente por la plataforma de SECOP II al momento de su creación, garantizando, entre otros, el principio de transparencia que rige en la contratación estatal. Para estos efectos, la “Guía de gestión contractual en el SECOP II” explica que:</w:t>
      </w:r>
    </w:p>
    <w:p w14:paraId="34C6364A" w14:textId="77777777" w:rsidR="00E546EE" w:rsidRPr="00C33EF9" w:rsidRDefault="00E546EE" w:rsidP="00E546EE">
      <w:pPr>
        <w:spacing w:after="0" w:line="276" w:lineRule="auto"/>
        <w:ind w:firstLine="708"/>
        <w:jc w:val="both"/>
        <w:rPr>
          <w:rFonts w:ascii="Verdana" w:eastAsia="Calibri" w:hAnsi="Verdana" w:cs="Arial"/>
          <w:bCs/>
          <w:color w:val="000000" w:themeColor="text1"/>
          <w:lang w:val="es-ES_tradnl"/>
        </w:rPr>
      </w:pPr>
    </w:p>
    <w:p w14:paraId="331D90BF" w14:textId="77777777" w:rsidR="00E546EE" w:rsidRPr="00C33EF9" w:rsidRDefault="00E546EE" w:rsidP="00E546EE">
      <w:pPr>
        <w:spacing w:after="0" w:line="240" w:lineRule="auto"/>
        <w:ind w:left="709" w:right="757"/>
        <w:jc w:val="both"/>
        <w:rPr>
          <w:rFonts w:ascii="Verdana" w:eastAsia="Calibri" w:hAnsi="Verdana" w:cs="Arial"/>
          <w:bCs/>
          <w:color w:val="000000" w:themeColor="text1"/>
          <w:sz w:val="20"/>
          <w:szCs w:val="20"/>
          <w:lang w:val="es-ES_tradnl"/>
        </w:rPr>
      </w:pPr>
      <w:r w:rsidRPr="00C33EF9">
        <w:rPr>
          <w:rFonts w:ascii="Verdana" w:eastAsia="Calibri" w:hAnsi="Verdana" w:cs="Arial"/>
          <w:bCs/>
          <w:color w:val="000000" w:themeColor="text1"/>
          <w:sz w:val="20"/>
          <w:szCs w:val="20"/>
          <w:lang w:val="es-ES_tradnl"/>
        </w:rPr>
        <w:t>En la séptima sección de “Ejecución del contrato” una vez inicia la ejecución del contrato, aparecerán los planes de entrega de los bienes y servicios del contrato; los planes de pago y la opción para que usted solicite los pagos (En el caso de las facturas deberá enviarlas a la Entidad Estatal a través de SECOP II después de radicarlas en la entidad). También puede consultar documentos de la ejecución contractual cargados por la entidad estatal como los informes de supervisión. Adicionalmente, en esta sección usted puede cargar informes de actividades y en general documentos de la ejecución contractual que la entidad estatal le solicite</w:t>
      </w:r>
      <w:r w:rsidRPr="00C33EF9">
        <w:rPr>
          <w:rStyle w:val="Refdenotaalpie"/>
          <w:rFonts w:ascii="Verdana" w:eastAsia="Calibri" w:hAnsi="Verdana" w:cs="Arial"/>
          <w:bCs/>
          <w:color w:val="000000" w:themeColor="text1"/>
          <w:sz w:val="20"/>
          <w:szCs w:val="20"/>
          <w:lang w:val="es-ES_tradnl"/>
        </w:rPr>
        <w:footnoteReference w:id="19"/>
      </w:r>
      <w:r>
        <w:rPr>
          <w:rFonts w:ascii="Verdana" w:eastAsia="Calibri" w:hAnsi="Verdana" w:cs="Arial"/>
          <w:bCs/>
          <w:color w:val="000000" w:themeColor="text1"/>
          <w:sz w:val="20"/>
          <w:szCs w:val="20"/>
          <w:lang w:val="es-ES_tradnl"/>
        </w:rPr>
        <w:t>.</w:t>
      </w:r>
    </w:p>
    <w:bookmarkEnd w:id="7"/>
    <w:p w14:paraId="1046BD64" w14:textId="77777777" w:rsidR="00E546EE" w:rsidRDefault="00E546EE" w:rsidP="00E546EE">
      <w:pPr>
        <w:spacing w:after="0" w:line="276" w:lineRule="auto"/>
        <w:jc w:val="both"/>
        <w:rPr>
          <w:rFonts w:ascii="Verdana" w:eastAsia="Calibri" w:hAnsi="Verdana" w:cs="Arial"/>
          <w:lang w:val="es-ES"/>
        </w:rPr>
      </w:pPr>
    </w:p>
    <w:bookmarkEnd w:id="4"/>
    <w:p w14:paraId="04DC5C2E" w14:textId="77777777" w:rsidR="00E546EE" w:rsidRPr="00ED7249" w:rsidRDefault="00E546EE" w:rsidP="00E546EE">
      <w:pPr>
        <w:spacing w:after="0" w:line="276" w:lineRule="auto"/>
        <w:jc w:val="both"/>
        <w:rPr>
          <w:rFonts w:ascii="Verdana" w:eastAsia="Century Gothic" w:hAnsi="Verdana" w:cs="Century Gothic"/>
          <w:b/>
          <w:bCs/>
        </w:rPr>
      </w:pPr>
      <w:r>
        <w:rPr>
          <w:rFonts w:ascii="Verdana" w:eastAsia="Century Gothic" w:hAnsi="Verdana" w:cs="Century Gothic"/>
          <w:b/>
          <w:bCs/>
        </w:rPr>
        <w:lastRenderedPageBreak/>
        <w:t xml:space="preserve">4. </w:t>
      </w:r>
      <w:r w:rsidRPr="00F71A6A">
        <w:rPr>
          <w:rFonts w:ascii="Verdana" w:eastAsia="Century Gothic" w:hAnsi="Verdana" w:cs="Century Gothic"/>
          <w:b/>
          <w:bCs/>
        </w:rPr>
        <w:t>Referencias normativas, jurisprudenciales y otras fuentes:</w:t>
      </w:r>
    </w:p>
    <w:p w14:paraId="14C902B1" w14:textId="77777777" w:rsidR="00E546EE" w:rsidRPr="000074D5" w:rsidRDefault="00E546EE" w:rsidP="00E546EE">
      <w:pPr>
        <w:spacing w:after="0" w:line="276" w:lineRule="auto"/>
        <w:jc w:val="both"/>
        <w:rPr>
          <w:rFonts w:ascii="Verdana" w:eastAsia="Century Gothic" w:hAnsi="Verdana" w:cs="Century Gothic"/>
          <w:b/>
          <w:bCs/>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E546EE" w:rsidRPr="00F71A6A" w14:paraId="4C37680B" w14:textId="77777777" w:rsidTr="000307E3">
        <w:trPr>
          <w:trHeight w:val="632"/>
        </w:trPr>
        <w:tc>
          <w:tcPr>
            <w:tcW w:w="8647" w:type="dxa"/>
          </w:tcPr>
          <w:p w14:paraId="7E78F9B1" w14:textId="77777777" w:rsidR="00E546EE" w:rsidRPr="00932FAD" w:rsidRDefault="00E546EE" w:rsidP="000307E3">
            <w:pPr>
              <w:pStyle w:val="Prrafodelista"/>
              <w:numPr>
                <w:ilvl w:val="0"/>
                <w:numId w:val="17"/>
              </w:numPr>
              <w:spacing w:line="276" w:lineRule="auto"/>
              <w:contextualSpacing w:val="0"/>
              <w:jc w:val="both"/>
              <w:rPr>
                <w:rFonts w:ascii="Verdana" w:hAnsi="Verdana"/>
              </w:rPr>
            </w:pPr>
            <w:r w:rsidRPr="00932FAD">
              <w:rPr>
                <w:rFonts w:ascii="Verdana" w:eastAsia="Calibri" w:hAnsi="Verdana" w:cs="Arial"/>
                <w:lang w:val="es-ES_tradnl"/>
              </w:rPr>
              <w:t xml:space="preserve">Decreto 1068 de 2015. Artículo 2.8.4.4.5. </w:t>
            </w:r>
          </w:p>
          <w:p w14:paraId="021000C1" w14:textId="77777777" w:rsidR="00E546EE" w:rsidRPr="005D3261" w:rsidRDefault="00E546EE" w:rsidP="000307E3">
            <w:pPr>
              <w:pStyle w:val="Prrafodelista"/>
              <w:numPr>
                <w:ilvl w:val="0"/>
                <w:numId w:val="17"/>
              </w:numPr>
              <w:spacing w:line="276" w:lineRule="auto"/>
              <w:contextualSpacing w:val="0"/>
              <w:jc w:val="both"/>
              <w:rPr>
                <w:rFonts w:ascii="Verdana" w:hAnsi="Verdana"/>
              </w:rPr>
            </w:pPr>
            <w:r w:rsidRPr="00932FAD">
              <w:rPr>
                <w:rFonts w:ascii="Verdana" w:hAnsi="Verdana"/>
              </w:rPr>
              <w:t>Decreto 1082 de 2015</w:t>
            </w:r>
            <w:r>
              <w:rPr>
                <w:rFonts w:ascii="Verdana" w:hAnsi="Verdana"/>
              </w:rPr>
              <w:t xml:space="preserve">. </w:t>
            </w:r>
            <w:r w:rsidRPr="00932FAD">
              <w:rPr>
                <w:rFonts w:ascii="Verdana" w:hAnsi="Verdana"/>
              </w:rPr>
              <w:t>Artículo</w:t>
            </w:r>
            <w:r>
              <w:rPr>
                <w:rFonts w:ascii="Verdana" w:hAnsi="Verdana"/>
              </w:rPr>
              <w:t xml:space="preserve">s </w:t>
            </w:r>
            <w:r w:rsidRPr="004678E2">
              <w:rPr>
                <w:rFonts w:ascii="Verdana" w:eastAsia="Arial" w:hAnsi="Verdana" w:cs="Arial"/>
              </w:rPr>
              <w:t>2.2.1.1.1.3.1</w:t>
            </w:r>
            <w:r>
              <w:rPr>
                <w:rFonts w:ascii="Verdana" w:eastAsia="Arial" w:hAnsi="Verdana" w:cs="Arial"/>
              </w:rPr>
              <w:t xml:space="preserve">, </w:t>
            </w:r>
            <w:r w:rsidRPr="005D3261">
              <w:rPr>
                <w:rFonts w:ascii="Verdana" w:hAnsi="Verdana"/>
              </w:rPr>
              <w:t>2.2.1.2.1.4.1.</w:t>
            </w:r>
            <w:r>
              <w:rPr>
                <w:rFonts w:ascii="Verdana" w:hAnsi="Verdana"/>
              </w:rPr>
              <w:t>,</w:t>
            </w:r>
            <w:r w:rsidRPr="005D3261">
              <w:rPr>
                <w:rFonts w:ascii="Verdana" w:hAnsi="Verdana"/>
              </w:rPr>
              <w:t xml:space="preserve"> 2.2.1.2.1.4.5.</w:t>
            </w:r>
            <w:r>
              <w:rPr>
                <w:rFonts w:ascii="Verdana" w:hAnsi="Verdana"/>
              </w:rPr>
              <w:t>,</w:t>
            </w:r>
            <w:r w:rsidRPr="005D3261">
              <w:rPr>
                <w:rFonts w:ascii="Verdana" w:hAnsi="Verdana"/>
              </w:rPr>
              <w:t xml:space="preserve"> </w:t>
            </w:r>
            <w:r w:rsidRPr="00932FAD">
              <w:rPr>
                <w:rFonts w:ascii="Verdana" w:hAnsi="Verdana"/>
              </w:rPr>
              <w:t>2.2.1.2.1.4.9</w:t>
            </w:r>
            <w:r>
              <w:rPr>
                <w:rFonts w:ascii="Verdana" w:hAnsi="Verdana"/>
              </w:rPr>
              <w:t xml:space="preserve">., </w:t>
            </w:r>
            <w:r w:rsidRPr="00F31A35">
              <w:rPr>
                <w:rFonts w:ascii="Verdana" w:hAnsi="Verdana" w:cs="Arial"/>
              </w:rPr>
              <w:t>2.2.1.1.1.6.1</w:t>
            </w:r>
            <w:r>
              <w:rPr>
                <w:rFonts w:ascii="Verdana" w:hAnsi="Verdana" w:cs="Arial"/>
              </w:rPr>
              <w:t xml:space="preserve">., </w:t>
            </w:r>
            <w:r w:rsidRPr="007819DC">
              <w:rPr>
                <w:rFonts w:ascii="Verdana" w:hAnsi="Verdana" w:cs="Arial"/>
              </w:rPr>
              <w:t>2.2.1.1.1.7.1</w:t>
            </w:r>
            <w:r>
              <w:rPr>
                <w:rFonts w:ascii="Verdana" w:hAnsi="Verdana" w:cs="Arial"/>
              </w:rPr>
              <w:t>.</w:t>
            </w:r>
          </w:p>
          <w:p w14:paraId="3AF98C8F" w14:textId="77777777" w:rsidR="00E546EE" w:rsidRPr="005D3261" w:rsidRDefault="00E546EE" w:rsidP="000307E3">
            <w:pPr>
              <w:pStyle w:val="Prrafodelista"/>
              <w:numPr>
                <w:ilvl w:val="0"/>
                <w:numId w:val="17"/>
              </w:numPr>
              <w:spacing w:line="276" w:lineRule="auto"/>
              <w:contextualSpacing w:val="0"/>
              <w:jc w:val="both"/>
              <w:rPr>
                <w:rFonts w:ascii="Verdana" w:hAnsi="Verdana"/>
              </w:rPr>
            </w:pPr>
            <w:r w:rsidRPr="00932FAD">
              <w:rPr>
                <w:rFonts w:ascii="Verdana" w:eastAsia="Calibri" w:hAnsi="Verdana" w:cs="Arial"/>
                <w:lang w:val="es-ES_tradnl"/>
              </w:rPr>
              <w:t xml:space="preserve">Código Sustantivo del Trabajo. Artículo 22. </w:t>
            </w:r>
          </w:p>
          <w:p w14:paraId="12921662" w14:textId="77777777" w:rsidR="00E546EE" w:rsidRPr="005D3261" w:rsidRDefault="00E546EE" w:rsidP="000307E3">
            <w:pPr>
              <w:pStyle w:val="Prrafodelista"/>
              <w:numPr>
                <w:ilvl w:val="0"/>
                <w:numId w:val="17"/>
              </w:numPr>
              <w:spacing w:line="276" w:lineRule="auto"/>
              <w:contextualSpacing w:val="0"/>
              <w:jc w:val="both"/>
              <w:rPr>
                <w:rFonts w:ascii="Verdana" w:hAnsi="Verdana"/>
              </w:rPr>
            </w:pPr>
            <w:r w:rsidRPr="005D3261">
              <w:rPr>
                <w:rFonts w:ascii="Verdana" w:hAnsi="Verdana" w:cs="Arial"/>
                <w:color w:val="000000"/>
              </w:rPr>
              <w:t>Ley 80 de 1993. Artículo 32 numeral 2.</w:t>
            </w:r>
          </w:p>
          <w:p w14:paraId="09715C36" w14:textId="77777777" w:rsidR="00E546EE" w:rsidRPr="005D3261" w:rsidRDefault="00E546EE" w:rsidP="000307E3">
            <w:pPr>
              <w:pStyle w:val="Prrafodelista"/>
              <w:numPr>
                <w:ilvl w:val="0"/>
                <w:numId w:val="17"/>
              </w:numPr>
              <w:spacing w:line="276" w:lineRule="auto"/>
              <w:contextualSpacing w:val="0"/>
              <w:jc w:val="both"/>
              <w:rPr>
                <w:rFonts w:ascii="Verdana" w:hAnsi="Verdana"/>
              </w:rPr>
            </w:pPr>
            <w:r>
              <w:rPr>
                <w:rFonts w:ascii="Verdana" w:hAnsi="Verdana" w:cs="Arial"/>
                <w:color w:val="000000"/>
              </w:rPr>
              <w:t xml:space="preserve">Ley 1150 de 2007. Artículo 6. </w:t>
            </w:r>
          </w:p>
          <w:p w14:paraId="5CEB3658" w14:textId="77777777" w:rsidR="00E546EE" w:rsidRPr="005D3261" w:rsidRDefault="00E546EE" w:rsidP="000307E3">
            <w:pPr>
              <w:pStyle w:val="Prrafodelista"/>
              <w:numPr>
                <w:ilvl w:val="0"/>
                <w:numId w:val="17"/>
              </w:numPr>
              <w:spacing w:line="276" w:lineRule="auto"/>
              <w:contextualSpacing w:val="0"/>
              <w:jc w:val="both"/>
              <w:rPr>
                <w:rFonts w:ascii="Verdana" w:hAnsi="Verdana"/>
              </w:rPr>
            </w:pPr>
            <w:r w:rsidRPr="00A76507">
              <w:rPr>
                <w:rFonts w:ascii="Verdana" w:eastAsia="Calibri" w:hAnsi="Verdana" w:cs="Arial"/>
                <w:lang w:val="es-ES_tradnl"/>
              </w:rPr>
              <w:t>Decreto 4170 de 2011</w:t>
            </w:r>
            <w:r>
              <w:rPr>
                <w:rFonts w:ascii="Verdana" w:eastAsia="Calibri" w:hAnsi="Verdana" w:cs="Arial"/>
                <w:lang w:val="es-ES_tradnl"/>
              </w:rPr>
              <w:t xml:space="preserve">. Artículo 3.8. </w:t>
            </w:r>
          </w:p>
          <w:p w14:paraId="4690A6AF" w14:textId="77777777" w:rsidR="00E546EE" w:rsidRPr="00932FAD" w:rsidRDefault="00E546EE" w:rsidP="000307E3">
            <w:pPr>
              <w:pStyle w:val="Prrafodelista"/>
              <w:numPr>
                <w:ilvl w:val="0"/>
                <w:numId w:val="17"/>
              </w:numPr>
              <w:spacing w:line="276" w:lineRule="auto"/>
              <w:contextualSpacing w:val="0"/>
              <w:jc w:val="both"/>
              <w:rPr>
                <w:rFonts w:ascii="Verdana" w:hAnsi="Verdana"/>
              </w:rPr>
            </w:pPr>
            <w:r w:rsidRPr="00932FAD">
              <w:rPr>
                <w:rFonts w:ascii="Verdana" w:hAnsi="Verdana"/>
              </w:rPr>
              <w:t>Corte Constitucional. Sentencia C-154 de 1997. Magistrado Ponente: Hernando Herrera Vergara.</w:t>
            </w:r>
          </w:p>
          <w:p w14:paraId="365763D0" w14:textId="77777777" w:rsidR="00E546EE" w:rsidRDefault="00E546EE" w:rsidP="000307E3">
            <w:pPr>
              <w:pStyle w:val="Prrafodelista"/>
              <w:numPr>
                <w:ilvl w:val="0"/>
                <w:numId w:val="17"/>
              </w:numPr>
              <w:spacing w:line="276" w:lineRule="auto"/>
              <w:contextualSpacing w:val="0"/>
              <w:jc w:val="both"/>
              <w:rPr>
                <w:rFonts w:ascii="Verdana" w:hAnsi="Verdana"/>
              </w:rPr>
            </w:pPr>
            <w:r w:rsidRPr="005D3261">
              <w:rPr>
                <w:rFonts w:ascii="Verdana" w:hAnsi="Verdana"/>
              </w:rPr>
              <w:t xml:space="preserve">Consejo de Estado. Sala de lo Contencioso Administrativo. Sección Tercera. Subsección C. Sentencia del 2 de diciembre de 2013. </w:t>
            </w:r>
            <w:proofErr w:type="spellStart"/>
            <w:r w:rsidRPr="005D3261">
              <w:rPr>
                <w:rFonts w:ascii="Verdana" w:hAnsi="Verdana"/>
              </w:rPr>
              <w:t>Exp</w:t>
            </w:r>
            <w:proofErr w:type="spellEnd"/>
            <w:r w:rsidRPr="005D3261">
              <w:rPr>
                <w:rFonts w:ascii="Verdana" w:hAnsi="Verdana"/>
              </w:rPr>
              <w:t>. 41719. Consejero Ponente: Jaime Orlando Santofimio Gamboa.</w:t>
            </w:r>
          </w:p>
          <w:p w14:paraId="519CED0A" w14:textId="77777777" w:rsidR="00E546EE" w:rsidRDefault="00E546EE" w:rsidP="000307E3">
            <w:pPr>
              <w:pStyle w:val="Prrafodelista"/>
              <w:numPr>
                <w:ilvl w:val="0"/>
                <w:numId w:val="17"/>
              </w:numPr>
              <w:spacing w:line="276" w:lineRule="auto"/>
              <w:contextualSpacing w:val="0"/>
              <w:jc w:val="both"/>
              <w:rPr>
                <w:rFonts w:ascii="Verdana" w:hAnsi="Verdana"/>
              </w:rPr>
            </w:pPr>
            <w:r w:rsidRPr="005D3261">
              <w:rPr>
                <w:rFonts w:ascii="Verdana" w:hAnsi="Verdana"/>
              </w:rPr>
              <w:t xml:space="preserve">Guía de Elaboración de Estudios del Sector. Disponible en: </w:t>
            </w:r>
            <w:hyperlink r:id="rId12" w:history="1">
              <w:r w:rsidRPr="0043072E">
                <w:rPr>
                  <w:rStyle w:val="Hipervnculo"/>
                  <w:rFonts w:ascii="Verdana" w:hAnsi="Verdana"/>
                </w:rPr>
                <w:t>https://colombiacompra.gov.co/wp-content/uploads/2024/08/cce-eicp-gi-18._gees_v.2_2.pdf</w:t>
              </w:r>
            </w:hyperlink>
          </w:p>
          <w:p w14:paraId="0C3E879B" w14:textId="77777777" w:rsidR="00E546EE" w:rsidRPr="005D3261" w:rsidRDefault="00E546EE" w:rsidP="000307E3">
            <w:pPr>
              <w:pStyle w:val="Prrafodelista"/>
              <w:numPr>
                <w:ilvl w:val="0"/>
                <w:numId w:val="17"/>
              </w:numPr>
              <w:spacing w:line="276" w:lineRule="auto"/>
              <w:contextualSpacing w:val="0"/>
              <w:jc w:val="both"/>
              <w:rPr>
                <w:rFonts w:ascii="Verdana" w:hAnsi="Verdana"/>
              </w:rPr>
            </w:pPr>
            <w:r>
              <w:rPr>
                <w:rFonts w:ascii="Verdana" w:eastAsia="Calibri" w:hAnsi="Verdana" w:cs="Arial"/>
              </w:rPr>
              <w:t>Circular externa 003 del 7 de enero de 2025 de la Dirección General de Crédito Público y del Tesoro Nacional.</w:t>
            </w:r>
          </w:p>
          <w:p w14:paraId="55E4F928" w14:textId="77777777" w:rsidR="00E546EE" w:rsidRPr="00C0677A" w:rsidRDefault="00E546EE" w:rsidP="000307E3">
            <w:pPr>
              <w:pStyle w:val="Prrafodelista"/>
              <w:numPr>
                <w:ilvl w:val="0"/>
                <w:numId w:val="17"/>
              </w:numPr>
              <w:spacing w:line="276" w:lineRule="auto"/>
              <w:contextualSpacing w:val="0"/>
              <w:jc w:val="both"/>
              <w:rPr>
                <w:rFonts w:ascii="Verdana" w:hAnsi="Verdana"/>
              </w:rPr>
            </w:pPr>
            <w:r w:rsidRPr="00A76507">
              <w:rPr>
                <w:rFonts w:ascii="Verdana" w:eastAsia="Calibri" w:hAnsi="Verdana" w:cs="Arial"/>
              </w:rPr>
              <w:t>Circular Externa Única de la Agencia Nacional de Contratación Pública – Colombia Compra Eficiente</w:t>
            </w:r>
            <w:r>
              <w:rPr>
                <w:rFonts w:ascii="Verdana" w:eastAsia="Calibri" w:hAnsi="Verdana" w:cs="Arial"/>
              </w:rPr>
              <w:t xml:space="preserve">. </w:t>
            </w:r>
            <w:hyperlink r:id="rId13" w:history="1">
              <w:r w:rsidRPr="005D3261">
                <w:rPr>
                  <w:rStyle w:val="Hipervnculo"/>
                  <w:rFonts w:ascii="Verdana" w:eastAsia="Calibri" w:hAnsi="Verdana" w:cs="Arial"/>
                  <w:lang w:val="es-CO"/>
                </w:rPr>
                <w:t>circular_externa_unica_version_3_vf49.pdf</w:t>
              </w:r>
            </w:hyperlink>
          </w:p>
        </w:tc>
      </w:tr>
    </w:tbl>
    <w:p w14:paraId="702BB08A" w14:textId="77777777" w:rsidR="00E546EE" w:rsidRDefault="00E546EE" w:rsidP="00E546EE">
      <w:pPr>
        <w:pStyle w:val="Prrafodelista"/>
        <w:tabs>
          <w:tab w:val="left" w:pos="142"/>
          <w:tab w:val="left" w:pos="284"/>
        </w:tabs>
        <w:spacing w:after="0" w:line="276" w:lineRule="auto"/>
        <w:ind w:left="0"/>
        <w:contextualSpacing w:val="0"/>
        <w:jc w:val="both"/>
        <w:rPr>
          <w:rFonts w:ascii="Verdana" w:eastAsia="Century Gothic" w:hAnsi="Verdana" w:cs="Century Gothic"/>
          <w:b/>
          <w:bCs/>
          <w:lang w:val="es-CO"/>
        </w:rPr>
      </w:pPr>
    </w:p>
    <w:p w14:paraId="57207EA4" w14:textId="77777777" w:rsidR="00E546EE" w:rsidRPr="00F71A6A" w:rsidRDefault="00E546EE" w:rsidP="00E546EE">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r>
        <w:rPr>
          <w:rFonts w:ascii="Verdana" w:eastAsia="Century Gothic" w:hAnsi="Verdana" w:cs="Century Gothic"/>
          <w:b/>
          <w:bCs/>
          <w:lang w:val="es-CO"/>
        </w:rPr>
        <w:t xml:space="preserve">5. </w:t>
      </w:r>
      <w:r w:rsidRPr="00F71A6A">
        <w:rPr>
          <w:rFonts w:ascii="Verdana" w:eastAsia="Century Gothic" w:hAnsi="Verdana" w:cs="Century Gothic"/>
          <w:b/>
          <w:bCs/>
        </w:rPr>
        <w:t>Doctrina de la Agencia Nacional de Contratación Pública:</w:t>
      </w:r>
    </w:p>
    <w:p w14:paraId="14A7319F" w14:textId="77777777" w:rsidR="00E546EE" w:rsidRDefault="00E546EE" w:rsidP="00E546EE">
      <w:pPr>
        <w:spacing w:after="0" w:line="276" w:lineRule="auto"/>
        <w:jc w:val="both"/>
        <w:rPr>
          <w:rFonts w:ascii="Verdana" w:eastAsia="Calibri" w:hAnsi="Verdana" w:cs="Arial"/>
          <w:lang w:eastAsia="es-ES_tradnl"/>
        </w:rPr>
      </w:pPr>
    </w:p>
    <w:p w14:paraId="6D2764A5" w14:textId="77777777" w:rsidR="00E546EE" w:rsidRDefault="00E546EE" w:rsidP="00E546EE">
      <w:pPr>
        <w:spacing w:after="0" w:line="276" w:lineRule="auto"/>
        <w:jc w:val="both"/>
        <w:rPr>
          <w:rFonts w:ascii="Verdana" w:hAnsi="Verdana" w:cs="Arial"/>
          <w:shd w:val="clear" w:color="auto" w:fill="FFFFFF"/>
        </w:rPr>
      </w:pPr>
      <w:r w:rsidRPr="00C33EF9">
        <w:rPr>
          <w:rFonts w:ascii="Verdana" w:hAnsi="Verdana" w:cs="Arial"/>
          <w:shd w:val="clear" w:color="auto" w:fill="FFFFFF"/>
          <w:lang w:val="es-ES"/>
        </w:rPr>
        <w:t xml:space="preserve">Sobre la naturaleza y características del contrato de prestación de servicios, esta Subdirección se ha referido en los Conceptos </w:t>
      </w:r>
      <w:r w:rsidRPr="00C33EF9">
        <w:rPr>
          <w:rStyle w:val="normaltextrun"/>
          <w:rFonts w:ascii="Verdana" w:hAnsi="Verdana" w:cs="Arial"/>
          <w:shd w:val="clear" w:color="auto" w:fill="FFFFFF"/>
          <w:lang w:val="es-ES"/>
        </w:rPr>
        <w:t xml:space="preserve">4201912000006026 de 1° de octubre de 2019, </w:t>
      </w:r>
      <w:r w:rsidRPr="00C33EF9">
        <w:rPr>
          <w:rFonts w:ascii="Verdana" w:hAnsi="Verdana" w:cs="Arial"/>
          <w:shd w:val="clear" w:color="auto" w:fill="FFFFFF"/>
          <w:lang w:val="es-ES"/>
        </w:rPr>
        <w:t xml:space="preserve">Concepto </w:t>
      </w:r>
      <w:proofErr w:type="spellStart"/>
      <w:r w:rsidRPr="00C33EF9">
        <w:rPr>
          <w:rFonts w:ascii="Verdana" w:hAnsi="Verdana" w:cs="Arial"/>
          <w:shd w:val="clear" w:color="auto" w:fill="FFFFFF"/>
        </w:rPr>
        <w:t>N°</w:t>
      </w:r>
      <w:proofErr w:type="spellEnd"/>
      <w:r w:rsidRPr="00C33EF9">
        <w:rPr>
          <w:rFonts w:ascii="Verdana" w:hAnsi="Verdana" w:cs="Arial"/>
          <w:shd w:val="clear" w:color="auto" w:fill="FFFFFF"/>
        </w:rPr>
        <w:t xml:space="preserve"> Radicado: 2201913000008409 del 12 de noviembre de 2019</w:t>
      </w:r>
      <w:r>
        <w:rPr>
          <w:rFonts w:ascii="Verdana" w:hAnsi="Verdana" w:cs="Arial"/>
          <w:shd w:val="clear" w:color="auto" w:fill="FFFFFF"/>
        </w:rPr>
        <w:t xml:space="preserve">, </w:t>
      </w:r>
      <w:r w:rsidRPr="00C33EF9">
        <w:rPr>
          <w:rStyle w:val="normaltextrun"/>
          <w:rFonts w:ascii="Verdana" w:hAnsi="Verdana" w:cs="Arial"/>
          <w:shd w:val="clear" w:color="auto" w:fill="FFFFFF"/>
          <w:lang w:val="es-ES"/>
        </w:rPr>
        <w:t>C–047</w:t>
      </w:r>
      <w:r w:rsidRPr="009A05DA">
        <w:rPr>
          <w:rStyle w:val="normaltextrun"/>
          <w:rFonts w:ascii="Verdana" w:hAnsi="Verdana" w:cs="Arial"/>
          <w:shd w:val="clear" w:color="auto" w:fill="FFFFFF"/>
          <w:lang w:val="es-ES"/>
        </w:rPr>
        <w:t xml:space="preserve"> del 18 de febrero de 2020, C–071 del 4 de marzo de 2020, C–188 del 13 de abril de 2020, C–005, 006, 018 y 138 del 11 de mayo de 2020, C–053, 175, 255, 282, 293 y 320 del 12 de mayo de 2020, C–288 del 27 de mayo de 2020, C–345 del 23 de junio de 2020, C–484 del 6 de agosto de 2020, C–608 del 1 de octubre de 2020, C-145 del 8 de abril del 2021, C-491 del 14 de septiembre de 2021, C-517 del 30 de septiembre de 2021, C – 654 de 22 de noviembre de, C-181 del 7 de abril de 2022, C-773 del 17 de noviembre de 2022, </w:t>
      </w:r>
      <w:r w:rsidRPr="00C33EF9">
        <w:rPr>
          <w:rStyle w:val="normaltextrun"/>
          <w:rFonts w:ascii="Verdana" w:hAnsi="Verdana" w:cs="Arial"/>
          <w:shd w:val="clear" w:color="auto" w:fill="FFFFFF"/>
          <w:lang w:val="es-ES"/>
        </w:rPr>
        <w:t xml:space="preserve">C- 953 del 25 de enero de 2023 y C-966 del 1 de febrero de 2023, C-135 del 25 de mayo de 2023, C-414 del 11 de septiembre de 2024, </w:t>
      </w:r>
      <w:r w:rsidRPr="00C33EF9">
        <w:rPr>
          <w:rFonts w:ascii="Verdana" w:hAnsi="Verdana" w:cs="Arial"/>
          <w:shd w:val="clear" w:color="auto" w:fill="FFFFFF"/>
          <w:lang w:val="es-ES"/>
        </w:rPr>
        <w:t xml:space="preserve">C-079 del 4 de </w:t>
      </w:r>
      <w:r w:rsidRPr="00C33EF9">
        <w:rPr>
          <w:rFonts w:ascii="Verdana" w:hAnsi="Verdana" w:cs="Arial"/>
          <w:shd w:val="clear" w:color="auto" w:fill="FFFFFF"/>
          <w:lang w:val="es-ES"/>
        </w:rPr>
        <w:lastRenderedPageBreak/>
        <w:t xml:space="preserve">marzo de 2025, entre otros. </w:t>
      </w:r>
      <w:r w:rsidRPr="00875F08">
        <w:rPr>
          <w:rFonts w:ascii="Verdana" w:hAnsi="Verdana" w:cs="Arial"/>
          <w:shd w:val="clear" w:color="auto" w:fill="FFFFFF"/>
          <w:lang w:val="es-ES"/>
        </w:rPr>
        <w:t xml:space="preserve">Sobre la publicación de los documentos del contrato de prestación de servicios, esta Subdirección se ha referido en los conceptos C-148 de 30 de marzo de 2023, </w:t>
      </w:r>
      <w:r w:rsidRPr="00875F08">
        <w:rPr>
          <w:rStyle w:val="normaltextrun"/>
          <w:rFonts w:ascii="Verdana" w:hAnsi="Verdana" w:cs="Arial"/>
          <w:color w:val="000000"/>
          <w:shd w:val="clear" w:color="auto" w:fill="FFFFFF"/>
        </w:rPr>
        <w:t>C-332 del 24 de mayo de 2022</w:t>
      </w:r>
      <w:r w:rsidRPr="00875F08">
        <w:rPr>
          <w:rFonts w:ascii="Verdana" w:hAnsi="Verdana" w:cs="Arial"/>
          <w:shd w:val="clear" w:color="auto" w:fill="FFFFFF"/>
          <w:lang w:val="es-ES"/>
        </w:rPr>
        <w:t xml:space="preserve">, entre otros. </w:t>
      </w:r>
      <w:r w:rsidRPr="00875F08">
        <w:rPr>
          <w:rFonts w:ascii="Verdana" w:hAnsi="Verdana" w:cs="Arial"/>
          <w:shd w:val="clear" w:color="auto" w:fill="FFFFFF"/>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 </w:t>
      </w:r>
      <w:hyperlink r:id="rId14" w:tgtFrame="_blank" w:tooltip="Dirección URL original: https://relatoria.colombiacompra.gov.co/. Haga clic o pulse si confía en este vínculo." w:history="1">
        <w:r w:rsidRPr="00875F08">
          <w:rPr>
            <w:rStyle w:val="Hipervnculo"/>
            <w:rFonts w:ascii="Verdana" w:hAnsi="Verdana" w:cs="Arial"/>
            <w:shd w:val="clear" w:color="auto" w:fill="FFFFFF"/>
          </w:rPr>
          <w:t>https://relatoria.colombiacompra.gov.co/</w:t>
        </w:r>
      </w:hyperlink>
      <w:r w:rsidRPr="00875F08">
        <w:rPr>
          <w:rFonts w:ascii="Verdana" w:hAnsi="Verdana" w:cs="Arial"/>
          <w:shd w:val="clear" w:color="auto" w:fill="FFFFFF"/>
        </w:rPr>
        <w:t>.</w:t>
      </w:r>
    </w:p>
    <w:p w14:paraId="53781A8D" w14:textId="77777777" w:rsidR="00E546EE" w:rsidRDefault="00E546EE" w:rsidP="00E546EE">
      <w:pPr>
        <w:spacing w:after="0" w:line="276" w:lineRule="auto"/>
        <w:jc w:val="both"/>
        <w:rPr>
          <w:rFonts w:ascii="Verdana" w:hAnsi="Verdana"/>
        </w:rPr>
      </w:pPr>
    </w:p>
    <w:p w14:paraId="419F6C9D" w14:textId="77777777" w:rsidR="00E546EE" w:rsidRPr="00F71A6A" w:rsidRDefault="00E546EE" w:rsidP="00E546EE">
      <w:pPr>
        <w:spacing w:after="0" w:line="276" w:lineRule="auto"/>
        <w:jc w:val="both"/>
        <w:rPr>
          <w:rFonts w:ascii="Verdana" w:hAnsi="Verdana"/>
        </w:rPr>
      </w:pPr>
      <w:r w:rsidRPr="00F71A6A">
        <w:rPr>
          <w:rFonts w:ascii="Verdana" w:hAnsi="Verdana"/>
        </w:rPr>
        <w:t xml:space="preserve">Por último, lo invitamos a seguirnos en las redes sociales en las cuales se difunde información institucional: </w:t>
      </w:r>
    </w:p>
    <w:p w14:paraId="1C169143" w14:textId="77777777" w:rsidR="00E546EE" w:rsidRPr="00F71A6A" w:rsidRDefault="00E546EE" w:rsidP="00E546EE">
      <w:pPr>
        <w:spacing w:after="0" w:line="276" w:lineRule="auto"/>
        <w:jc w:val="both"/>
        <w:rPr>
          <w:rFonts w:ascii="Verdana" w:hAnsi="Verdana"/>
        </w:rPr>
      </w:pPr>
    </w:p>
    <w:p w14:paraId="28CF8318" w14:textId="77777777" w:rsidR="00E546EE" w:rsidRPr="00F71A6A" w:rsidRDefault="00E546EE" w:rsidP="00E546EE">
      <w:pPr>
        <w:spacing w:after="0" w:line="276" w:lineRule="auto"/>
        <w:jc w:val="both"/>
        <w:rPr>
          <w:rFonts w:ascii="Verdana" w:hAnsi="Verdana"/>
        </w:rPr>
      </w:pPr>
      <w:r w:rsidRPr="00F71A6A">
        <w:rPr>
          <w:rFonts w:ascii="Verdana" w:hAnsi="Verdana"/>
        </w:rPr>
        <w:t xml:space="preserve">Twitter: </w:t>
      </w:r>
      <w:r w:rsidRPr="00F71A6A">
        <w:rPr>
          <w:rStyle w:val="Hipervnculo"/>
          <w:rFonts w:ascii="Verdana" w:hAnsi="Verdana"/>
          <w:color w:val="4472C4" w:themeColor="accent1"/>
        </w:rPr>
        <w:t>@colombiacompra</w:t>
      </w:r>
      <w:r w:rsidRPr="00F71A6A">
        <w:rPr>
          <w:rFonts w:ascii="Verdana" w:hAnsi="Verdana"/>
          <w:color w:val="4472C4" w:themeColor="accent1"/>
        </w:rPr>
        <w:t xml:space="preserve"> </w:t>
      </w:r>
    </w:p>
    <w:p w14:paraId="3BE4FBB2" w14:textId="77777777" w:rsidR="00E546EE" w:rsidRPr="00F71A6A" w:rsidRDefault="00E546EE" w:rsidP="00E546EE">
      <w:pPr>
        <w:spacing w:after="0" w:line="276" w:lineRule="auto"/>
        <w:jc w:val="both"/>
        <w:rPr>
          <w:rFonts w:ascii="Verdana" w:hAnsi="Verdana"/>
        </w:rPr>
      </w:pPr>
      <w:r w:rsidRPr="00F71A6A">
        <w:rPr>
          <w:rFonts w:ascii="Verdana" w:hAnsi="Verdana"/>
        </w:rPr>
        <w:t xml:space="preserve">Facebook: </w:t>
      </w:r>
      <w:proofErr w:type="spellStart"/>
      <w:r w:rsidRPr="00F71A6A">
        <w:rPr>
          <w:rStyle w:val="Hipervnculo"/>
          <w:rFonts w:ascii="Verdana" w:hAnsi="Verdana"/>
          <w:color w:val="4472C4" w:themeColor="accent1"/>
        </w:rPr>
        <w:t>ColombiaCompraEficiente</w:t>
      </w:r>
      <w:proofErr w:type="spellEnd"/>
    </w:p>
    <w:p w14:paraId="5A98BC8C" w14:textId="77777777" w:rsidR="00E546EE" w:rsidRDefault="00E546EE" w:rsidP="00E546EE">
      <w:pPr>
        <w:spacing w:after="0" w:line="276" w:lineRule="auto"/>
        <w:jc w:val="both"/>
        <w:rPr>
          <w:rStyle w:val="Hipervnculo"/>
          <w:rFonts w:ascii="Verdana" w:hAnsi="Verdana"/>
          <w:color w:val="4472C4" w:themeColor="accent1"/>
        </w:rPr>
      </w:pPr>
      <w:r w:rsidRPr="00F71A6A">
        <w:rPr>
          <w:rFonts w:ascii="Verdana" w:hAnsi="Verdana"/>
        </w:rPr>
        <w:t xml:space="preserve">LinkedIn: </w:t>
      </w:r>
      <w:r w:rsidRPr="00F71A6A">
        <w:rPr>
          <w:rStyle w:val="Hipervnculo"/>
          <w:rFonts w:ascii="Verdana" w:hAnsi="Verdana"/>
          <w:color w:val="4472C4" w:themeColor="accent1"/>
        </w:rPr>
        <w:t>Agencia Nacional de Contratación Pública - Colombia Compra Eficiente</w:t>
      </w:r>
      <w:r w:rsidRPr="00F71A6A">
        <w:rPr>
          <w:rFonts w:ascii="Verdana" w:hAnsi="Verdana"/>
          <w:color w:val="4472C4" w:themeColor="accent1"/>
        </w:rPr>
        <w:t xml:space="preserve"> </w:t>
      </w:r>
      <w:r w:rsidRPr="00F71A6A">
        <w:rPr>
          <w:rFonts w:ascii="Verdana" w:hAnsi="Verdana"/>
        </w:rPr>
        <w:t xml:space="preserve">Instagram: </w:t>
      </w:r>
      <w:r w:rsidRPr="00F71A6A">
        <w:rPr>
          <w:rStyle w:val="Hipervnculo"/>
          <w:rFonts w:ascii="Verdana" w:hAnsi="Verdana"/>
          <w:color w:val="4472C4" w:themeColor="accent1"/>
        </w:rPr>
        <w:t>@colombiacompraeficiente_cce</w:t>
      </w:r>
    </w:p>
    <w:p w14:paraId="30430B88" w14:textId="77777777" w:rsidR="00E546EE" w:rsidRDefault="00E546EE" w:rsidP="00E546EE">
      <w:pPr>
        <w:widowControl w:val="0"/>
        <w:autoSpaceDE w:val="0"/>
        <w:autoSpaceDN w:val="0"/>
        <w:spacing w:after="0" w:line="276" w:lineRule="auto"/>
        <w:jc w:val="both"/>
        <w:rPr>
          <w:rFonts w:ascii="Verdana" w:hAnsi="Verdana" w:cs="Arial"/>
        </w:rPr>
      </w:pPr>
    </w:p>
    <w:p w14:paraId="30861B61" w14:textId="7171A7E6" w:rsidR="00E546EE" w:rsidRPr="00F71A6A" w:rsidRDefault="00E546EE" w:rsidP="00E546EE">
      <w:pPr>
        <w:widowControl w:val="0"/>
        <w:autoSpaceDE w:val="0"/>
        <w:autoSpaceDN w:val="0"/>
        <w:spacing w:after="0" w:line="276" w:lineRule="auto"/>
        <w:jc w:val="both"/>
        <w:rPr>
          <w:rFonts w:ascii="Verdana" w:hAnsi="Verdana" w:cs="Arial"/>
          <w:lang w:val="es-ES_tradnl"/>
        </w:rPr>
      </w:pPr>
      <w:r w:rsidRPr="00F71A6A">
        <w:rPr>
          <w:rFonts w:ascii="Verdana" w:hAnsi="Verdana" w:cs="Arial"/>
        </w:rPr>
        <w:t xml:space="preserve">Este concepto tiene el alcance previsto en el artículo 28 del Código de Procedimiento Administrativo y de lo Contencioso Administrativo </w:t>
      </w:r>
      <w:r w:rsidRPr="00F71A6A">
        <w:rPr>
          <w:rFonts w:ascii="Verdana" w:hAnsi="Verdana" w:cs="Arial"/>
          <w:lang w:val="es-ES_tradnl"/>
        </w:rPr>
        <w:t>y las expresiones aquí utilizadas con mayúscula inicial deben ser entendidas con el significado que les otorga el artículo 2.2.1.1.1.3.1. del Decreto 1082 de 2015.</w:t>
      </w:r>
    </w:p>
    <w:p w14:paraId="23D52DE2" w14:textId="77777777" w:rsidR="00E546EE" w:rsidRPr="006F2228" w:rsidRDefault="00E546EE" w:rsidP="00E546EE">
      <w:pPr>
        <w:widowControl w:val="0"/>
        <w:autoSpaceDE w:val="0"/>
        <w:autoSpaceDN w:val="0"/>
        <w:spacing w:after="0" w:line="276" w:lineRule="auto"/>
        <w:jc w:val="both"/>
        <w:rPr>
          <w:rFonts w:ascii="Verdana" w:hAnsi="Verdana" w:cs="Arial"/>
          <w:lang w:val="es-ES_tradnl"/>
        </w:rPr>
      </w:pPr>
    </w:p>
    <w:p w14:paraId="444E022E" w14:textId="77777777" w:rsidR="00E546EE" w:rsidRDefault="00E546EE" w:rsidP="00E546EE">
      <w:pPr>
        <w:spacing w:after="0" w:line="276" w:lineRule="auto"/>
        <w:rPr>
          <w:rFonts w:ascii="Verdana" w:hAnsi="Verdana" w:cs="Arial"/>
          <w:lang w:eastAsia="es-CO"/>
        </w:rPr>
      </w:pPr>
      <w:r w:rsidRPr="00F71A6A">
        <w:rPr>
          <w:rFonts w:ascii="Verdana" w:eastAsia="Times New Roman" w:hAnsi="Verdana" w:cs="Arial"/>
          <w:lang w:eastAsia="es-CO"/>
        </w:rPr>
        <w:t>Atentamente,</w:t>
      </w:r>
      <w:r w:rsidRPr="00F71A6A">
        <w:rPr>
          <w:rFonts w:ascii="Verdana" w:hAnsi="Verdana" w:cs="Arial"/>
          <w:lang w:eastAsia="es-CO"/>
        </w:rPr>
        <w:t xml:space="preserve"> </w:t>
      </w:r>
    </w:p>
    <w:p w14:paraId="61D9205C" w14:textId="5CEE1A44" w:rsidR="00E546EE" w:rsidRDefault="000C0762" w:rsidP="00E546EE">
      <w:pPr>
        <w:spacing w:after="0" w:line="240" w:lineRule="auto"/>
        <w:jc w:val="center"/>
        <w:rPr>
          <w:rFonts w:ascii="Verdana" w:hAnsi="Verdana" w:cs="Arial"/>
          <w:lang w:eastAsia="es-CO"/>
        </w:rPr>
      </w:pPr>
      <w:r>
        <w:rPr>
          <w:noProof/>
        </w:rPr>
        <w:drawing>
          <wp:inline distT="0" distB="0" distL="0" distR="0" wp14:anchorId="35728635" wp14:editId="0593817D">
            <wp:extent cx="3962400" cy="1866900"/>
            <wp:effectExtent l="0" t="0" r="0" b="0"/>
            <wp:docPr id="119417683" name="Imagen 1" descr="Interfaz de usuario gráfica, Texto, Aplicación&#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417683" name="Imagen 1" descr="Interfaz de usuario gráfica, Texto, Aplicación&#10;&#10;Descripción generada automáticamente con confianza media"/>
                    <pic:cNvPicPr>
                      <a:picLocks noChangeAspect="1"/>
                    </pic:cNvPicPr>
                  </pic:nvPicPr>
                  <pic:blipFill>
                    <a:blip r:embed="rId15"/>
                    <a:stretch>
                      <a:fillRect/>
                    </a:stretch>
                  </pic:blipFill>
                  <pic:spPr>
                    <a:xfrm>
                      <a:off x="0" y="0"/>
                      <a:ext cx="3962400" cy="1866900"/>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E546EE" w:rsidRPr="00156969" w14:paraId="5A01DE53" w14:textId="77777777" w:rsidTr="000307E3">
        <w:trPr>
          <w:trHeight w:val="315"/>
        </w:trPr>
        <w:tc>
          <w:tcPr>
            <w:tcW w:w="893" w:type="dxa"/>
            <w:vAlign w:val="center"/>
            <w:hideMark/>
          </w:tcPr>
          <w:p w14:paraId="61BB5EC2" w14:textId="77777777" w:rsidR="00E546EE" w:rsidRPr="00156969" w:rsidRDefault="00E546EE" w:rsidP="000307E3">
            <w:pPr>
              <w:contextualSpacing/>
              <w:rPr>
                <w:rFonts w:ascii="Verdana" w:hAnsi="Verdana" w:cs="Arial"/>
                <w:sz w:val="16"/>
                <w:szCs w:val="16"/>
                <w:lang w:val="es-ES" w:eastAsia="es-ES"/>
              </w:rPr>
            </w:pPr>
            <w:r w:rsidRPr="00156969">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6C2F238C" w14:textId="77777777" w:rsidR="00E546EE" w:rsidRPr="00156969" w:rsidRDefault="00E546EE" w:rsidP="000307E3">
            <w:pPr>
              <w:contextualSpacing/>
              <w:rPr>
                <w:rStyle w:val="normaltextrun"/>
                <w:rFonts w:ascii="Verdana" w:hAnsi="Verdana"/>
                <w:sz w:val="16"/>
                <w:szCs w:val="16"/>
              </w:rPr>
            </w:pPr>
            <w:r w:rsidRPr="00156969">
              <w:rPr>
                <w:rStyle w:val="normaltextrun"/>
                <w:rFonts w:ascii="Verdana" w:hAnsi="Verdana"/>
                <w:sz w:val="16"/>
                <w:szCs w:val="16"/>
              </w:rPr>
              <w:t xml:space="preserve">Esperanza Contreras P </w:t>
            </w:r>
          </w:p>
          <w:p w14:paraId="6773A15A" w14:textId="77777777" w:rsidR="00E546EE" w:rsidRPr="00156969" w:rsidRDefault="00E546EE" w:rsidP="000307E3">
            <w:pPr>
              <w:contextualSpacing/>
              <w:rPr>
                <w:rFonts w:ascii="Verdana" w:eastAsia="Arial" w:hAnsi="Verdana" w:cs="Arial"/>
                <w:sz w:val="16"/>
                <w:szCs w:val="16"/>
              </w:rPr>
            </w:pPr>
            <w:r w:rsidRPr="00156969">
              <w:rPr>
                <w:rStyle w:val="normaltextrun"/>
                <w:rFonts w:ascii="Verdana" w:hAnsi="Verdana" w:cs="Arial"/>
                <w:sz w:val="16"/>
                <w:szCs w:val="16"/>
                <w:lang w:val="es-ES"/>
              </w:rPr>
              <w:t>Contratista de la Subdirección de Gestión Contractual</w:t>
            </w:r>
            <w:r w:rsidRPr="00156969">
              <w:rPr>
                <w:rStyle w:val="eop"/>
                <w:rFonts w:ascii="Verdana" w:hAnsi="Verdana" w:cs="Arial"/>
                <w:sz w:val="16"/>
                <w:szCs w:val="16"/>
              </w:rPr>
              <w:t> </w:t>
            </w:r>
          </w:p>
        </w:tc>
      </w:tr>
      <w:tr w:rsidR="00E546EE" w:rsidRPr="00156969" w14:paraId="200745AF" w14:textId="77777777" w:rsidTr="000307E3">
        <w:trPr>
          <w:trHeight w:val="330"/>
        </w:trPr>
        <w:tc>
          <w:tcPr>
            <w:tcW w:w="893" w:type="dxa"/>
            <w:vAlign w:val="center"/>
            <w:hideMark/>
          </w:tcPr>
          <w:p w14:paraId="14BAEDD2" w14:textId="77777777" w:rsidR="00E546EE" w:rsidRPr="00156969" w:rsidRDefault="00E546EE" w:rsidP="000307E3">
            <w:pPr>
              <w:contextualSpacing/>
              <w:rPr>
                <w:rFonts w:ascii="Verdana" w:hAnsi="Verdana" w:cs="Arial"/>
                <w:sz w:val="16"/>
                <w:szCs w:val="16"/>
                <w:lang w:val="es-ES" w:eastAsia="es-ES"/>
              </w:rPr>
            </w:pPr>
            <w:r w:rsidRPr="00156969">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624258B2" w14:textId="77777777" w:rsidR="00E546EE" w:rsidRPr="0086168D" w:rsidRDefault="00E546EE" w:rsidP="000307E3">
            <w:pPr>
              <w:pStyle w:val="paragraph"/>
              <w:spacing w:before="0" w:beforeAutospacing="0" w:after="0" w:afterAutospacing="0"/>
              <w:contextualSpacing/>
              <w:textAlignment w:val="baseline"/>
              <w:rPr>
                <w:rStyle w:val="normaltextrun"/>
                <w:rFonts w:ascii="Verdana" w:hAnsi="Verdana"/>
                <w:sz w:val="16"/>
                <w:szCs w:val="16"/>
                <w:lang w:val="es-ES"/>
              </w:rPr>
            </w:pPr>
            <w:r w:rsidRPr="0086168D">
              <w:rPr>
                <w:rStyle w:val="normaltextrun"/>
                <w:rFonts w:ascii="Verdana" w:hAnsi="Verdana"/>
                <w:sz w:val="16"/>
                <w:szCs w:val="16"/>
                <w:lang w:val="es-ES"/>
              </w:rPr>
              <w:t xml:space="preserve">Diana Lucía Saavedra Castañeda </w:t>
            </w:r>
          </w:p>
          <w:p w14:paraId="2651827A" w14:textId="77777777" w:rsidR="00E546EE" w:rsidRPr="00C666EA" w:rsidRDefault="00E546EE" w:rsidP="000307E3">
            <w:pPr>
              <w:pStyle w:val="paragraph"/>
              <w:spacing w:before="0" w:beforeAutospacing="0" w:after="0" w:afterAutospacing="0"/>
              <w:contextualSpacing/>
              <w:textAlignment w:val="baseline"/>
              <w:rPr>
                <w:rFonts w:ascii="Verdana" w:hAnsi="Verdana" w:cs="Segoe UI"/>
                <w:sz w:val="16"/>
                <w:szCs w:val="16"/>
              </w:rPr>
            </w:pPr>
            <w:r w:rsidRPr="00C666EA">
              <w:rPr>
                <w:rStyle w:val="eop"/>
                <w:rFonts w:ascii="Verdana" w:hAnsi="Verdana" w:cs="Arial"/>
                <w:sz w:val="16"/>
                <w:szCs w:val="16"/>
              </w:rPr>
              <w:t xml:space="preserve">Contratista de la Subdirección de Negocios </w:t>
            </w:r>
          </w:p>
        </w:tc>
      </w:tr>
      <w:tr w:rsidR="00E546EE" w:rsidRPr="00F71A6A" w14:paraId="698EA878" w14:textId="77777777" w:rsidTr="000307E3">
        <w:trPr>
          <w:trHeight w:val="300"/>
        </w:trPr>
        <w:tc>
          <w:tcPr>
            <w:tcW w:w="893" w:type="dxa"/>
            <w:vAlign w:val="center"/>
          </w:tcPr>
          <w:p w14:paraId="5209095D" w14:textId="77777777" w:rsidR="00E546EE" w:rsidRPr="00156969" w:rsidRDefault="00E546EE" w:rsidP="000307E3">
            <w:pPr>
              <w:contextualSpacing/>
              <w:rPr>
                <w:rFonts w:ascii="Verdana" w:hAnsi="Verdana" w:cs="Arial"/>
                <w:sz w:val="16"/>
                <w:szCs w:val="16"/>
                <w:lang w:val="es-ES" w:eastAsia="es-ES"/>
              </w:rPr>
            </w:pPr>
            <w:r w:rsidRPr="00156969">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3FB916DE" w14:textId="77777777" w:rsidR="00E546EE" w:rsidRPr="00156969" w:rsidRDefault="00E546EE" w:rsidP="000307E3">
            <w:pPr>
              <w:contextualSpacing/>
              <w:rPr>
                <w:rFonts w:ascii="Verdana" w:eastAsia="Calibri" w:hAnsi="Verdana" w:cs="Arial"/>
                <w:sz w:val="16"/>
                <w:szCs w:val="16"/>
                <w:lang w:val="pt-BR" w:eastAsia="es-ES"/>
              </w:rPr>
            </w:pPr>
            <w:r w:rsidRPr="00156969">
              <w:rPr>
                <w:rFonts w:ascii="Verdana" w:eastAsia="Calibri" w:hAnsi="Verdana" w:cs="Arial"/>
                <w:sz w:val="16"/>
                <w:szCs w:val="16"/>
                <w:lang w:val="pt-BR" w:eastAsia="es-ES"/>
              </w:rPr>
              <w:t>Carolina Quintero Gacharná</w:t>
            </w:r>
          </w:p>
          <w:p w14:paraId="3AAF1392" w14:textId="77777777" w:rsidR="00E546EE" w:rsidRPr="00F71A6A" w:rsidRDefault="00E546EE" w:rsidP="000307E3">
            <w:pPr>
              <w:contextualSpacing/>
              <w:rPr>
                <w:rFonts w:ascii="Verdana" w:eastAsia="Calibri" w:hAnsi="Verdana" w:cs="Arial"/>
                <w:sz w:val="16"/>
                <w:szCs w:val="16"/>
                <w:lang w:val="pt-BR" w:eastAsia="es-ES"/>
              </w:rPr>
            </w:pPr>
            <w:r w:rsidRPr="00156969">
              <w:rPr>
                <w:rFonts w:ascii="Verdana" w:eastAsia="Calibri" w:hAnsi="Verdana" w:cs="Arial"/>
                <w:sz w:val="16"/>
                <w:szCs w:val="16"/>
                <w:lang w:eastAsia="es-ES"/>
              </w:rPr>
              <w:t>Subdirectora</w:t>
            </w:r>
            <w:r w:rsidRPr="00156969">
              <w:rPr>
                <w:rFonts w:ascii="Verdana" w:eastAsia="Calibri" w:hAnsi="Verdana" w:cs="Arial"/>
                <w:sz w:val="16"/>
                <w:szCs w:val="16"/>
                <w:lang w:val="pt-BR" w:eastAsia="es-ES"/>
              </w:rPr>
              <w:t xml:space="preserve"> de Gestión Contractual ANCP – CCE</w:t>
            </w:r>
          </w:p>
        </w:tc>
      </w:tr>
    </w:tbl>
    <w:p w14:paraId="6F1CBED6" w14:textId="77777777" w:rsidR="00E546EE" w:rsidRPr="0044528D" w:rsidRDefault="00E546EE" w:rsidP="00E546EE">
      <w:pPr>
        <w:spacing w:after="0" w:line="240" w:lineRule="auto"/>
        <w:textAlignment w:val="baseline"/>
        <w:rPr>
          <w:rFonts w:ascii="Verdana" w:eastAsia="Times New Roman" w:hAnsi="Verdana" w:cs="Segoe UI"/>
          <w:b/>
          <w:bCs/>
          <w:color w:val="46589C"/>
          <w:lang w:val="es-ES" w:eastAsia="es-CO"/>
        </w:rPr>
      </w:pPr>
    </w:p>
    <w:p w14:paraId="3CD206DD" w14:textId="77777777" w:rsidR="00E546EE" w:rsidRPr="00FC5D28" w:rsidRDefault="00E546EE" w:rsidP="00E546EE">
      <w:pPr>
        <w:spacing w:after="0"/>
        <w:jc w:val="both"/>
        <w:rPr>
          <w:rStyle w:val="Hipervnculo"/>
          <w:rFonts w:ascii="Verdana" w:hAnsi="Verdana"/>
          <w:lang w:val="es-ES"/>
        </w:rPr>
      </w:pPr>
    </w:p>
    <w:bookmarkEnd w:id="0"/>
    <w:p w14:paraId="605E0E25" w14:textId="77777777" w:rsidR="00E546EE" w:rsidRPr="0044528D" w:rsidRDefault="00E546EE" w:rsidP="00E546EE">
      <w:pPr>
        <w:spacing w:after="0" w:line="240" w:lineRule="auto"/>
        <w:textAlignment w:val="baseline"/>
        <w:rPr>
          <w:rFonts w:ascii="Verdana" w:eastAsia="Times New Roman" w:hAnsi="Verdana" w:cs="Segoe UI"/>
          <w:b/>
          <w:bCs/>
          <w:color w:val="46589C"/>
          <w:lang w:val="es-ES" w:eastAsia="es-CO"/>
        </w:rPr>
      </w:pPr>
    </w:p>
    <w:bookmarkEnd w:id="1"/>
    <w:p w14:paraId="01EA86EE" w14:textId="77777777" w:rsidR="00F04BFB" w:rsidRPr="00F04BFB" w:rsidRDefault="00F04BFB" w:rsidP="00C76B1C">
      <w:pPr>
        <w:spacing w:after="0" w:line="240" w:lineRule="auto"/>
        <w:textAlignment w:val="baseline"/>
        <w:rPr>
          <w:rFonts w:ascii="Verdana" w:eastAsia="Times New Roman" w:hAnsi="Verdana" w:cs="Segoe UI"/>
          <w:b/>
          <w:bCs/>
          <w:color w:val="46589C"/>
          <w:lang w:val="es-ES" w:eastAsia="es-CO"/>
        </w:rPr>
      </w:pPr>
    </w:p>
    <w:sectPr w:rsidR="00F04BFB" w:rsidRPr="00F04BFB" w:rsidSect="007C0C0F">
      <w:headerReference w:type="default" r:id="rId16"/>
      <w:footerReference w:type="default" r:id="rId17"/>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49D969A" w14:textId="77777777" w:rsidR="00E7021A" w:rsidRDefault="00E7021A" w:rsidP="004A1847">
      <w:pPr>
        <w:spacing w:after="0" w:line="240" w:lineRule="auto"/>
      </w:pPr>
      <w:r>
        <w:separator/>
      </w:r>
    </w:p>
  </w:endnote>
  <w:endnote w:type="continuationSeparator" w:id="0">
    <w:p w14:paraId="266FE54F" w14:textId="77777777" w:rsidR="00E7021A" w:rsidRDefault="00E7021A"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9BE547C" w14:textId="77777777" w:rsidR="00E7021A" w:rsidRDefault="00E7021A" w:rsidP="004A1847">
      <w:pPr>
        <w:spacing w:after="0" w:line="240" w:lineRule="auto"/>
      </w:pPr>
      <w:r>
        <w:separator/>
      </w:r>
    </w:p>
  </w:footnote>
  <w:footnote w:type="continuationSeparator" w:id="0">
    <w:p w14:paraId="37B7E7C0" w14:textId="77777777" w:rsidR="00E7021A" w:rsidRDefault="00E7021A" w:rsidP="004A1847">
      <w:pPr>
        <w:spacing w:after="0" w:line="240" w:lineRule="auto"/>
      </w:pPr>
      <w:r>
        <w:continuationSeparator/>
      </w:r>
    </w:p>
  </w:footnote>
  <w:footnote w:id="1">
    <w:p w14:paraId="12C8B958" w14:textId="77777777" w:rsidR="00E546EE" w:rsidRPr="008F274E" w:rsidRDefault="00E546EE" w:rsidP="00E546EE">
      <w:pPr>
        <w:pStyle w:val="Textonotapie"/>
        <w:ind w:firstLine="709"/>
        <w:contextualSpacing/>
        <w:jc w:val="both"/>
        <w:rPr>
          <w:rFonts w:ascii="Verdana" w:hAnsi="Verdana" w:cs="Arial"/>
          <w:color w:val="000000"/>
          <w:sz w:val="14"/>
          <w:szCs w:val="14"/>
        </w:rPr>
      </w:pPr>
      <w:r w:rsidRPr="008F274E">
        <w:rPr>
          <w:rStyle w:val="Refdenotaalpie"/>
          <w:rFonts w:ascii="Verdana" w:hAnsi="Verdana" w:cs="Arial"/>
          <w:sz w:val="14"/>
          <w:szCs w:val="14"/>
        </w:rPr>
        <w:footnoteRef/>
      </w:r>
      <w:r w:rsidRPr="008F274E">
        <w:rPr>
          <w:rFonts w:ascii="Verdana" w:hAnsi="Verdana" w:cs="Arial"/>
          <w:sz w:val="14"/>
          <w:szCs w:val="14"/>
        </w:rPr>
        <w:t xml:space="preserve"> Decreto 1068 de 2015: “</w:t>
      </w:r>
      <w:r w:rsidRPr="008F274E">
        <w:rPr>
          <w:rFonts w:ascii="Verdana" w:hAnsi="Verdana" w:cs="Arial"/>
          <w:color w:val="000000"/>
          <w:sz w:val="14"/>
          <w:szCs w:val="14"/>
        </w:rPr>
        <w:t xml:space="preserve">Artículo 2.8.4.4.5. Condiciones para contratar la prestación de servicios. Los contratos de prestación de servicios con personas naturales o jurídicas, sólo se podrán celebrar cuando no exista personal de planta con capacidad para realizar las actividades que se contratarán. </w:t>
      </w:r>
    </w:p>
    <w:p w14:paraId="397B18BF" w14:textId="77777777" w:rsidR="00E546EE" w:rsidRPr="008F274E" w:rsidRDefault="00E546EE" w:rsidP="00E546EE">
      <w:pPr>
        <w:pStyle w:val="Textonotapie"/>
        <w:ind w:firstLine="709"/>
        <w:contextualSpacing/>
        <w:jc w:val="both"/>
        <w:rPr>
          <w:rFonts w:ascii="Verdana" w:hAnsi="Verdana" w:cs="Arial"/>
          <w:color w:val="000000"/>
          <w:sz w:val="14"/>
          <w:szCs w:val="14"/>
        </w:rPr>
      </w:pPr>
      <w:r w:rsidRPr="008F274E">
        <w:rPr>
          <w:rFonts w:ascii="Verdana" w:hAnsi="Verdana" w:cs="Arial"/>
          <w:color w:val="000000"/>
          <w:sz w:val="14"/>
          <w:szCs w:val="14"/>
        </w:rPr>
        <w:t xml:space="preserve">“Se entiende que no existe personal de planta en el respectivo organismo, entidad, ente público o persona jurídica, es imposible atender la actividad con personal de planta, porque de acuerdo con los manuales específicos, no existe personal que pueda desarrollar la actividad para la cual se requiere contratar la prestación del servicio, o cuando el desarrollo de la actividad requiere un grado de especialización que implica la contratación del servicio, o cuando aun existiendo personal en la planta, éste no sea suficiente, la inexistencia de personal suficiente deberá acreditarse por el jefe del respectivo organismo. </w:t>
      </w:r>
    </w:p>
    <w:p w14:paraId="42711E92" w14:textId="77777777" w:rsidR="00E546EE" w:rsidRPr="008F274E" w:rsidRDefault="00E546EE" w:rsidP="00E546EE">
      <w:pPr>
        <w:pStyle w:val="Textonotapie"/>
        <w:ind w:firstLine="708"/>
        <w:contextualSpacing/>
        <w:jc w:val="both"/>
        <w:rPr>
          <w:rFonts w:ascii="Verdana" w:hAnsi="Verdana" w:cs="Arial"/>
          <w:sz w:val="14"/>
          <w:szCs w:val="14"/>
        </w:rPr>
      </w:pPr>
      <w:r w:rsidRPr="008F274E">
        <w:rPr>
          <w:rFonts w:ascii="Verdana" w:hAnsi="Verdana" w:cs="Arial"/>
          <w:color w:val="000000"/>
          <w:sz w:val="14"/>
          <w:szCs w:val="14"/>
        </w:rPr>
        <w:t>“Tampoco se podrán celebrar estos contratos cuando existan relaciones contractuales vigentes con objeto igual al del contrato que se pretende suscribir, salvo autorización expresa del jefe del respectivo órgano, ente o entidad contratante. Esta autorización estará precedida de la sustentación sobre las especiales características y necesidades técnicas de las contrataciones a realizar”.</w:t>
      </w:r>
      <w:r w:rsidRPr="008F274E">
        <w:rPr>
          <w:rFonts w:ascii="Verdana" w:hAnsi="Verdana" w:cs="Arial"/>
          <w:sz w:val="14"/>
          <w:szCs w:val="14"/>
        </w:rPr>
        <w:t xml:space="preserve"> </w:t>
      </w:r>
    </w:p>
  </w:footnote>
  <w:footnote w:id="2">
    <w:p w14:paraId="08AE8FF3" w14:textId="77777777" w:rsidR="00E546EE" w:rsidRPr="008F274E" w:rsidRDefault="00E546EE" w:rsidP="00E546EE">
      <w:pPr>
        <w:pStyle w:val="Textonotapie"/>
        <w:ind w:firstLine="709"/>
        <w:contextualSpacing/>
        <w:jc w:val="both"/>
        <w:rPr>
          <w:rFonts w:ascii="Verdana" w:hAnsi="Verdana" w:cs="Arial"/>
          <w:color w:val="000000"/>
          <w:sz w:val="14"/>
          <w:szCs w:val="14"/>
        </w:rPr>
      </w:pPr>
    </w:p>
    <w:p w14:paraId="2BD506A4" w14:textId="77777777" w:rsidR="00E546EE" w:rsidRPr="008F274E" w:rsidRDefault="00E546EE" w:rsidP="00E546EE">
      <w:pPr>
        <w:pStyle w:val="Textonotapie"/>
        <w:ind w:firstLine="709"/>
        <w:contextualSpacing/>
        <w:jc w:val="both"/>
        <w:rPr>
          <w:rFonts w:ascii="Verdana" w:hAnsi="Verdana" w:cs="Arial"/>
          <w:color w:val="000000"/>
          <w:sz w:val="14"/>
          <w:szCs w:val="14"/>
          <w:lang w:val="es-ES"/>
        </w:rPr>
      </w:pPr>
      <w:r w:rsidRPr="008F274E">
        <w:rPr>
          <w:rStyle w:val="Refdenotaalpie"/>
          <w:rFonts w:ascii="Verdana" w:hAnsi="Verdana" w:cs="Arial"/>
          <w:color w:val="000000"/>
          <w:sz w:val="14"/>
          <w:szCs w:val="14"/>
        </w:rPr>
        <w:footnoteRef/>
      </w:r>
      <w:r w:rsidRPr="008F274E">
        <w:rPr>
          <w:rFonts w:ascii="Verdana" w:hAnsi="Verdana" w:cs="Arial"/>
          <w:color w:val="000000"/>
          <w:sz w:val="14"/>
          <w:szCs w:val="14"/>
        </w:rPr>
        <w:t xml:space="preserve"> </w:t>
      </w:r>
      <w:r w:rsidRPr="008F274E">
        <w:rPr>
          <w:rFonts w:ascii="Verdana" w:hAnsi="Verdana" w:cs="Arial"/>
          <w:color w:val="000000"/>
          <w:sz w:val="14"/>
          <w:szCs w:val="14"/>
          <w:lang w:val="es-ES"/>
        </w:rPr>
        <w:t>El artículo 22 del Código Sustantivo del Trabajo establece: “1. Contrato de trabajo es aquel por el cual una persona natural se obliga a prestar un servicio personal a otra persona, natural o jurídica, bajo la continuada dependencia o subordinación de la segunda y mediante remuneración.</w:t>
      </w:r>
    </w:p>
    <w:p w14:paraId="266C7F3F" w14:textId="77777777" w:rsidR="00E546EE" w:rsidRPr="008F274E" w:rsidRDefault="00E546EE" w:rsidP="00E546EE">
      <w:pPr>
        <w:pStyle w:val="Textonotapie"/>
        <w:ind w:firstLine="709"/>
        <w:contextualSpacing/>
        <w:jc w:val="both"/>
        <w:rPr>
          <w:rFonts w:ascii="Verdana" w:hAnsi="Verdana" w:cs="Arial"/>
          <w:color w:val="000000"/>
          <w:sz w:val="14"/>
          <w:szCs w:val="14"/>
          <w:lang w:val="es-ES"/>
        </w:rPr>
      </w:pPr>
      <w:r w:rsidRPr="008F274E">
        <w:rPr>
          <w:rFonts w:ascii="Verdana" w:hAnsi="Verdana" w:cs="Arial"/>
          <w:color w:val="000000"/>
          <w:sz w:val="14"/>
          <w:szCs w:val="14"/>
          <w:lang w:val="es-ES"/>
        </w:rPr>
        <w:t>“2. Quien presta el servicio se denomina trabajador, quien lo recibe y remunera, empleador, y la remuneración, cualquiera que sea su forma, salario”.</w:t>
      </w:r>
    </w:p>
    <w:p w14:paraId="2B5A5A2C" w14:textId="77777777" w:rsidR="00E546EE" w:rsidRPr="00D171F5" w:rsidRDefault="00E546EE" w:rsidP="00E546EE">
      <w:pPr>
        <w:pStyle w:val="Textonotapie"/>
        <w:ind w:firstLine="709"/>
        <w:contextualSpacing/>
        <w:jc w:val="both"/>
        <w:rPr>
          <w:rFonts w:ascii="Verdana" w:hAnsi="Verdana" w:cs="Arial"/>
          <w:color w:val="000000"/>
          <w:sz w:val="14"/>
          <w:szCs w:val="14"/>
          <w:lang w:val="es-ES"/>
        </w:rPr>
      </w:pPr>
    </w:p>
  </w:footnote>
  <w:footnote w:id="3">
    <w:p w14:paraId="44420BFF" w14:textId="77777777" w:rsidR="00E546EE" w:rsidRPr="00D171F5" w:rsidRDefault="00E546EE" w:rsidP="00E546EE">
      <w:pPr>
        <w:pStyle w:val="Textonotapie"/>
        <w:ind w:firstLine="709"/>
        <w:contextualSpacing/>
        <w:jc w:val="both"/>
        <w:rPr>
          <w:rFonts w:ascii="Verdana" w:hAnsi="Verdana" w:cs="Arial"/>
          <w:color w:val="000000"/>
          <w:sz w:val="14"/>
          <w:szCs w:val="14"/>
          <w:lang w:val="es-ES"/>
        </w:rPr>
      </w:pPr>
      <w:r w:rsidRPr="00D171F5">
        <w:rPr>
          <w:rStyle w:val="Refdenotaalpie"/>
          <w:rFonts w:ascii="Verdana" w:hAnsi="Verdana" w:cs="Arial"/>
          <w:color w:val="000000"/>
          <w:sz w:val="14"/>
          <w:szCs w:val="14"/>
        </w:rPr>
        <w:footnoteRef/>
      </w:r>
      <w:r w:rsidRPr="001E2FFC">
        <w:rPr>
          <w:rFonts w:ascii="Verdana" w:hAnsi="Verdana" w:cs="Arial"/>
          <w:color w:val="000000"/>
          <w:sz w:val="14"/>
          <w:szCs w:val="14"/>
          <w:lang w:val="pt-PT"/>
        </w:rPr>
        <w:t xml:space="preserve"> C</w:t>
      </w:r>
      <w:r>
        <w:rPr>
          <w:rFonts w:ascii="Verdana" w:hAnsi="Verdana" w:cs="Arial"/>
          <w:color w:val="000000"/>
          <w:sz w:val="14"/>
          <w:szCs w:val="14"/>
          <w:lang w:val="pt-PT"/>
        </w:rPr>
        <w:t xml:space="preserve">orte Constitucional. </w:t>
      </w:r>
      <w:r w:rsidRPr="001E2FFC">
        <w:rPr>
          <w:rFonts w:ascii="Verdana" w:hAnsi="Verdana" w:cs="Arial"/>
          <w:color w:val="000000"/>
          <w:sz w:val="14"/>
          <w:szCs w:val="14"/>
          <w:lang w:val="pt-PT"/>
        </w:rPr>
        <w:t xml:space="preserve">Sentencia C-154 de 1997. </w:t>
      </w:r>
      <w:r w:rsidRPr="00D171F5">
        <w:rPr>
          <w:rFonts w:ascii="Verdana" w:hAnsi="Verdana" w:cs="Arial"/>
          <w:color w:val="000000"/>
          <w:sz w:val="14"/>
          <w:szCs w:val="14"/>
          <w:lang w:val="es-ES"/>
        </w:rPr>
        <w:t>Magistrado Ponente: Hernando Herrera Vergara.</w:t>
      </w:r>
    </w:p>
    <w:p w14:paraId="34D31073" w14:textId="77777777" w:rsidR="00E546EE" w:rsidRPr="00D171F5" w:rsidRDefault="00E546EE" w:rsidP="00E546EE">
      <w:pPr>
        <w:pStyle w:val="Textonotapie"/>
        <w:ind w:firstLine="709"/>
        <w:contextualSpacing/>
        <w:jc w:val="both"/>
        <w:rPr>
          <w:rFonts w:ascii="Verdana" w:hAnsi="Verdana" w:cs="Arial"/>
          <w:color w:val="000000"/>
          <w:sz w:val="14"/>
          <w:szCs w:val="14"/>
          <w:lang w:val="es-ES"/>
        </w:rPr>
      </w:pPr>
    </w:p>
  </w:footnote>
  <w:footnote w:id="4">
    <w:p w14:paraId="202AEB50" w14:textId="77777777" w:rsidR="00E546EE" w:rsidRPr="00D171F5" w:rsidRDefault="00E546EE" w:rsidP="00E546EE">
      <w:pPr>
        <w:pStyle w:val="Textonotapie"/>
        <w:ind w:firstLine="709"/>
        <w:contextualSpacing/>
        <w:jc w:val="both"/>
        <w:rPr>
          <w:rFonts w:ascii="Verdana" w:hAnsi="Verdana" w:cs="Arial"/>
          <w:color w:val="000000"/>
          <w:sz w:val="14"/>
          <w:szCs w:val="14"/>
          <w:lang w:val="es-ES"/>
        </w:rPr>
      </w:pPr>
      <w:r w:rsidRPr="00D171F5">
        <w:rPr>
          <w:rStyle w:val="Refdenotaalpie"/>
          <w:rFonts w:ascii="Verdana" w:hAnsi="Verdana" w:cs="Arial"/>
          <w:color w:val="000000"/>
          <w:sz w:val="14"/>
          <w:szCs w:val="14"/>
        </w:rPr>
        <w:footnoteRef/>
      </w:r>
      <w:r w:rsidRPr="00D171F5">
        <w:rPr>
          <w:rFonts w:ascii="Verdana" w:hAnsi="Verdana" w:cs="Arial"/>
          <w:color w:val="000000"/>
          <w:sz w:val="14"/>
          <w:szCs w:val="14"/>
        </w:rPr>
        <w:t xml:space="preserve"> </w:t>
      </w:r>
      <w:r w:rsidRPr="00D171F5">
        <w:rPr>
          <w:rFonts w:ascii="Verdana" w:hAnsi="Verdana" w:cs="Arial"/>
          <w:color w:val="000000"/>
          <w:sz w:val="14"/>
          <w:szCs w:val="14"/>
          <w:lang w:val="es-ES"/>
        </w:rPr>
        <w:t>Ibid.</w:t>
      </w:r>
    </w:p>
  </w:footnote>
  <w:footnote w:id="5">
    <w:p w14:paraId="2992263E" w14:textId="77777777" w:rsidR="00E546EE" w:rsidRPr="00D171F5" w:rsidRDefault="00E546EE" w:rsidP="00E546EE">
      <w:pPr>
        <w:pStyle w:val="Textonotapie"/>
        <w:ind w:firstLine="709"/>
        <w:contextualSpacing/>
        <w:jc w:val="both"/>
        <w:rPr>
          <w:rFonts w:ascii="Verdana" w:hAnsi="Verdana" w:cs="Arial"/>
          <w:color w:val="000000"/>
          <w:sz w:val="14"/>
          <w:szCs w:val="14"/>
        </w:rPr>
      </w:pPr>
    </w:p>
    <w:p w14:paraId="66D1EB9E" w14:textId="77777777" w:rsidR="00E546EE" w:rsidRPr="00D171F5" w:rsidRDefault="00E546EE" w:rsidP="00E546EE">
      <w:pPr>
        <w:pStyle w:val="Textonotapie"/>
        <w:ind w:firstLine="709"/>
        <w:contextualSpacing/>
        <w:jc w:val="both"/>
        <w:rPr>
          <w:rFonts w:ascii="Verdana" w:hAnsi="Verdana" w:cs="Arial"/>
          <w:color w:val="000000"/>
          <w:sz w:val="14"/>
          <w:szCs w:val="14"/>
          <w:lang w:val="es-ES"/>
        </w:rPr>
      </w:pPr>
      <w:r w:rsidRPr="00D171F5">
        <w:rPr>
          <w:rStyle w:val="Refdenotaalpie"/>
          <w:rFonts w:ascii="Verdana" w:hAnsi="Verdana" w:cs="Arial"/>
          <w:color w:val="000000"/>
          <w:sz w:val="14"/>
          <w:szCs w:val="14"/>
        </w:rPr>
        <w:footnoteRef/>
      </w:r>
      <w:r w:rsidRPr="00D171F5">
        <w:rPr>
          <w:rFonts w:ascii="Verdana" w:hAnsi="Verdana" w:cs="Arial"/>
          <w:color w:val="000000"/>
          <w:sz w:val="14"/>
          <w:szCs w:val="14"/>
        </w:rPr>
        <w:t xml:space="preserve"> </w:t>
      </w:r>
      <w:r w:rsidRPr="00D171F5">
        <w:rPr>
          <w:rFonts w:ascii="Verdana" w:hAnsi="Verdana" w:cs="Arial"/>
          <w:color w:val="000000"/>
          <w:sz w:val="14"/>
          <w:szCs w:val="14"/>
          <w:lang w:val="es-ES"/>
        </w:rPr>
        <w:t>El Decreto 1082 de 2015 lo establece así: “Artículo 2.2.1.2.1.4.9. Contratos de prestación de servicios profesionales y de apoyo a la gestión, o para la ejecución de trabajos artísticos que solo pueden encomendarse a determinadas personas naturales. Las Entidades Estatales pueden contratar bajo la modalidad de contratación directa la prestación de servicios profesionales y de apoyo a la gestión con la persona natural o jurídica que esté en capacidad de ejecutar el objeto del contrato, siempre y cuando la Entidad Estatal verifique la idoneidad o experiencia requerida y relacionada con el área de que se trate. En este caso, no es necesario que la Entidad Estatal haya obtenido previamente varias ofertas, de lo cual el ordenador del gasto debe dejar constancia escrita.</w:t>
      </w:r>
    </w:p>
    <w:p w14:paraId="1E48F719" w14:textId="77777777" w:rsidR="00E546EE" w:rsidRPr="00D171F5" w:rsidRDefault="00E546EE" w:rsidP="00E546EE">
      <w:pPr>
        <w:pStyle w:val="Textonotapie"/>
        <w:ind w:firstLine="709"/>
        <w:contextualSpacing/>
        <w:jc w:val="both"/>
        <w:rPr>
          <w:rFonts w:ascii="Verdana" w:hAnsi="Verdana" w:cs="Arial"/>
          <w:color w:val="000000"/>
          <w:sz w:val="14"/>
          <w:szCs w:val="14"/>
          <w:lang w:val="es-ES"/>
        </w:rPr>
      </w:pPr>
      <w:r w:rsidRPr="00D171F5">
        <w:rPr>
          <w:rFonts w:ascii="Verdana" w:hAnsi="Verdana" w:cs="Arial"/>
          <w:color w:val="000000"/>
          <w:sz w:val="14"/>
          <w:szCs w:val="14"/>
          <w:lang w:val="es-ES"/>
        </w:rPr>
        <w:t>“Los servicios profesionales y de apoyo a la gestión corresponden a aquellos de naturaleza intelectual diferentes a los de consultoría que se derivan del cumplimiento de las funciones de la Entidad Estatal, así como los relacionados con actividades operativas, logísticas, o asistenciales.</w:t>
      </w:r>
    </w:p>
    <w:p w14:paraId="703C46BB" w14:textId="77777777" w:rsidR="00E546EE" w:rsidRPr="00D171F5" w:rsidRDefault="00E546EE" w:rsidP="00E546EE">
      <w:pPr>
        <w:pStyle w:val="Textonotapie"/>
        <w:ind w:firstLine="709"/>
        <w:contextualSpacing/>
        <w:jc w:val="both"/>
        <w:rPr>
          <w:rFonts w:ascii="Verdana" w:hAnsi="Verdana" w:cs="Arial"/>
          <w:color w:val="000000"/>
          <w:sz w:val="14"/>
          <w:szCs w:val="14"/>
          <w:lang w:val="es-ES"/>
        </w:rPr>
      </w:pPr>
      <w:r w:rsidRPr="00D171F5">
        <w:rPr>
          <w:rFonts w:ascii="Verdana" w:hAnsi="Verdana" w:cs="Arial"/>
          <w:color w:val="000000"/>
          <w:sz w:val="14"/>
          <w:szCs w:val="14"/>
          <w:lang w:val="es-ES"/>
        </w:rPr>
        <w:t>“La Entidad Estatal, para la contratación de trabajos artísticos que solamente puedan en­comendarse a determinadas personas naturales, debe justificar esta situación en los estudios y documentos previos”.</w:t>
      </w:r>
    </w:p>
  </w:footnote>
  <w:footnote w:id="6">
    <w:p w14:paraId="53726D2B" w14:textId="77777777" w:rsidR="00E546EE" w:rsidRPr="00D171F5" w:rsidRDefault="00E546EE" w:rsidP="00E546EE">
      <w:pPr>
        <w:pStyle w:val="Textonotapie"/>
        <w:ind w:firstLine="709"/>
        <w:contextualSpacing/>
        <w:jc w:val="both"/>
        <w:rPr>
          <w:rFonts w:ascii="Verdana" w:hAnsi="Verdana" w:cs="Arial"/>
          <w:color w:val="000000"/>
          <w:sz w:val="14"/>
          <w:szCs w:val="14"/>
        </w:rPr>
      </w:pPr>
    </w:p>
    <w:p w14:paraId="67D2E090" w14:textId="77777777" w:rsidR="00E546EE" w:rsidRPr="00D171F5" w:rsidRDefault="00E546EE" w:rsidP="00E546EE">
      <w:pPr>
        <w:pStyle w:val="Textonotapie"/>
        <w:ind w:firstLine="709"/>
        <w:contextualSpacing/>
        <w:jc w:val="both"/>
        <w:rPr>
          <w:rFonts w:ascii="Verdana" w:hAnsi="Verdana" w:cs="Arial"/>
          <w:color w:val="000000"/>
          <w:sz w:val="14"/>
          <w:szCs w:val="14"/>
          <w:lang w:val="es-ES"/>
        </w:rPr>
      </w:pPr>
      <w:r w:rsidRPr="00D171F5">
        <w:rPr>
          <w:rStyle w:val="Refdenotaalpie"/>
          <w:rFonts w:ascii="Verdana" w:hAnsi="Verdana" w:cs="Arial"/>
          <w:color w:val="000000"/>
          <w:sz w:val="14"/>
          <w:szCs w:val="14"/>
        </w:rPr>
        <w:footnoteRef/>
      </w:r>
      <w:r w:rsidRPr="00D171F5">
        <w:rPr>
          <w:rFonts w:ascii="Verdana" w:hAnsi="Verdana" w:cs="Arial"/>
          <w:color w:val="000000"/>
          <w:sz w:val="14"/>
          <w:szCs w:val="14"/>
        </w:rPr>
        <w:t xml:space="preserve"> </w:t>
      </w:r>
      <w:r w:rsidRPr="00D171F5">
        <w:rPr>
          <w:rFonts w:ascii="Verdana" w:hAnsi="Verdana" w:cs="Arial"/>
          <w:color w:val="000000"/>
          <w:sz w:val="14"/>
          <w:szCs w:val="14"/>
          <w:lang w:val="es-ES"/>
        </w:rPr>
        <w:t>C</w:t>
      </w:r>
      <w:r>
        <w:rPr>
          <w:rFonts w:ascii="Verdana" w:hAnsi="Verdana" w:cs="Arial"/>
          <w:color w:val="000000"/>
          <w:sz w:val="14"/>
          <w:szCs w:val="14"/>
          <w:lang w:val="es-ES"/>
        </w:rPr>
        <w:t xml:space="preserve">onsejo de Estado. Sala de lo Contencioso Administrativo. </w:t>
      </w:r>
      <w:r w:rsidRPr="00D171F5">
        <w:rPr>
          <w:rFonts w:ascii="Verdana" w:hAnsi="Verdana" w:cs="Arial"/>
          <w:color w:val="000000"/>
          <w:sz w:val="14"/>
          <w:szCs w:val="14"/>
          <w:lang w:val="es-ES"/>
        </w:rPr>
        <w:t>Sección Tercera. Subsección C. Sentencia del 2 de diciembre de 2013. Exp. 41719. Consejero Ponente: Jaime Orlando Santofimio Gamboa.</w:t>
      </w:r>
    </w:p>
  </w:footnote>
  <w:footnote w:id="7">
    <w:p w14:paraId="1FFDDB44" w14:textId="77777777" w:rsidR="00E546EE" w:rsidRPr="00D171F5" w:rsidRDefault="00E546EE" w:rsidP="00E546EE">
      <w:pPr>
        <w:pStyle w:val="Textonotapie"/>
        <w:ind w:firstLine="709"/>
        <w:contextualSpacing/>
        <w:jc w:val="both"/>
        <w:rPr>
          <w:rFonts w:ascii="Verdana" w:hAnsi="Verdana" w:cs="Arial"/>
          <w:color w:val="000000"/>
          <w:sz w:val="14"/>
          <w:szCs w:val="14"/>
        </w:rPr>
      </w:pPr>
    </w:p>
    <w:p w14:paraId="68D18935" w14:textId="77777777" w:rsidR="00E546EE" w:rsidRPr="00D171F5" w:rsidRDefault="00E546EE" w:rsidP="00E546EE">
      <w:pPr>
        <w:pStyle w:val="Textonotapie"/>
        <w:ind w:firstLine="709"/>
        <w:contextualSpacing/>
        <w:jc w:val="both"/>
        <w:rPr>
          <w:rFonts w:ascii="Verdana" w:hAnsi="Verdana" w:cs="Arial"/>
          <w:color w:val="000000"/>
          <w:sz w:val="14"/>
          <w:szCs w:val="14"/>
          <w:lang w:val="es-ES"/>
        </w:rPr>
      </w:pPr>
      <w:r w:rsidRPr="00D171F5">
        <w:rPr>
          <w:rStyle w:val="Refdenotaalpie"/>
          <w:rFonts w:ascii="Verdana" w:hAnsi="Verdana" w:cs="Arial"/>
          <w:color w:val="000000"/>
          <w:sz w:val="14"/>
          <w:szCs w:val="14"/>
        </w:rPr>
        <w:footnoteRef/>
      </w:r>
      <w:r w:rsidRPr="00D171F5">
        <w:rPr>
          <w:rFonts w:ascii="Verdana" w:hAnsi="Verdana" w:cs="Arial"/>
          <w:color w:val="000000"/>
          <w:sz w:val="14"/>
          <w:szCs w:val="14"/>
        </w:rPr>
        <w:t xml:space="preserve"> </w:t>
      </w:r>
      <w:r w:rsidRPr="00D171F5">
        <w:rPr>
          <w:rFonts w:ascii="Verdana" w:hAnsi="Verdana" w:cs="Arial"/>
          <w:color w:val="000000"/>
          <w:sz w:val="14"/>
          <w:szCs w:val="14"/>
          <w:lang w:val="es-ES"/>
        </w:rPr>
        <w:t>Ibid.</w:t>
      </w:r>
    </w:p>
    <w:p w14:paraId="4989975C" w14:textId="77777777" w:rsidR="00E546EE" w:rsidRPr="00D171F5" w:rsidRDefault="00E546EE" w:rsidP="00E546EE">
      <w:pPr>
        <w:pStyle w:val="Textonotapie"/>
        <w:ind w:firstLine="709"/>
        <w:contextualSpacing/>
        <w:jc w:val="both"/>
        <w:rPr>
          <w:rFonts w:ascii="Verdana" w:hAnsi="Verdana" w:cs="Arial"/>
          <w:color w:val="000000"/>
          <w:sz w:val="14"/>
          <w:szCs w:val="14"/>
          <w:lang w:val="es-ES"/>
        </w:rPr>
      </w:pPr>
    </w:p>
  </w:footnote>
  <w:footnote w:id="8">
    <w:p w14:paraId="3E808DD9" w14:textId="77777777" w:rsidR="00E546EE" w:rsidRPr="00D171F5" w:rsidRDefault="00E546EE" w:rsidP="00E546EE">
      <w:pPr>
        <w:pStyle w:val="Textonotapie"/>
        <w:ind w:firstLine="709"/>
        <w:contextualSpacing/>
        <w:jc w:val="both"/>
        <w:rPr>
          <w:rFonts w:ascii="Verdana" w:hAnsi="Verdana" w:cs="Arial"/>
          <w:color w:val="000000"/>
          <w:sz w:val="14"/>
          <w:szCs w:val="14"/>
          <w:lang w:val="es-ES"/>
        </w:rPr>
      </w:pPr>
      <w:r w:rsidRPr="00D171F5">
        <w:rPr>
          <w:rStyle w:val="Refdenotaalpie"/>
          <w:rFonts w:ascii="Verdana" w:hAnsi="Verdana" w:cs="Arial"/>
          <w:color w:val="000000"/>
          <w:sz w:val="14"/>
          <w:szCs w:val="14"/>
        </w:rPr>
        <w:footnoteRef/>
      </w:r>
      <w:r w:rsidRPr="00D171F5">
        <w:rPr>
          <w:rFonts w:ascii="Verdana" w:hAnsi="Verdana" w:cs="Arial"/>
          <w:color w:val="000000"/>
          <w:sz w:val="14"/>
          <w:szCs w:val="14"/>
        </w:rPr>
        <w:t xml:space="preserve"> </w:t>
      </w:r>
      <w:r w:rsidRPr="00D171F5">
        <w:rPr>
          <w:rFonts w:ascii="Verdana" w:hAnsi="Verdana" w:cs="Arial"/>
          <w:color w:val="000000"/>
          <w:sz w:val="14"/>
          <w:szCs w:val="14"/>
          <w:lang w:val="es-ES"/>
        </w:rPr>
        <w:t>Ibid.</w:t>
      </w:r>
    </w:p>
    <w:p w14:paraId="64CE871C" w14:textId="77777777" w:rsidR="00E546EE" w:rsidRPr="00D171F5" w:rsidRDefault="00E546EE" w:rsidP="00E546EE">
      <w:pPr>
        <w:pStyle w:val="Textonotapie"/>
        <w:ind w:firstLine="709"/>
        <w:contextualSpacing/>
        <w:jc w:val="both"/>
        <w:rPr>
          <w:rFonts w:ascii="Verdana" w:hAnsi="Verdana" w:cs="Arial"/>
          <w:color w:val="000000"/>
          <w:sz w:val="14"/>
          <w:szCs w:val="14"/>
          <w:lang w:val="es-ES"/>
        </w:rPr>
      </w:pPr>
    </w:p>
  </w:footnote>
  <w:footnote w:id="9">
    <w:p w14:paraId="62222FBC" w14:textId="77777777" w:rsidR="00E546EE" w:rsidRPr="00D171F5" w:rsidRDefault="00E546EE" w:rsidP="00E546EE">
      <w:pPr>
        <w:pStyle w:val="Textonotapie"/>
        <w:ind w:firstLine="709"/>
        <w:contextualSpacing/>
        <w:jc w:val="both"/>
        <w:rPr>
          <w:rFonts w:ascii="Verdana" w:hAnsi="Verdana" w:cs="Arial"/>
          <w:color w:val="000000"/>
          <w:sz w:val="14"/>
          <w:szCs w:val="14"/>
          <w:lang w:val="es-ES"/>
        </w:rPr>
      </w:pPr>
      <w:r w:rsidRPr="00D171F5">
        <w:rPr>
          <w:rStyle w:val="Refdenotaalpie"/>
          <w:rFonts w:ascii="Verdana" w:hAnsi="Verdana" w:cs="Arial"/>
          <w:color w:val="000000"/>
          <w:sz w:val="14"/>
          <w:szCs w:val="14"/>
        </w:rPr>
        <w:footnoteRef/>
      </w:r>
      <w:r w:rsidRPr="00D171F5">
        <w:rPr>
          <w:rFonts w:ascii="Verdana" w:hAnsi="Verdana" w:cs="Arial"/>
          <w:color w:val="000000"/>
          <w:sz w:val="14"/>
          <w:szCs w:val="14"/>
        </w:rPr>
        <w:t xml:space="preserve"> </w:t>
      </w:r>
      <w:r w:rsidRPr="00D171F5">
        <w:rPr>
          <w:rFonts w:ascii="Verdana" w:hAnsi="Verdana" w:cs="Arial"/>
          <w:color w:val="000000"/>
          <w:sz w:val="14"/>
          <w:szCs w:val="14"/>
          <w:lang w:val="es-ES"/>
        </w:rPr>
        <w:t>Ibid. En efecto, el numeral 2º del artículo 32 de la Ley 80 de 1993 define el contrato de consultoría así: “Son contratos de consultoría los que celebren las entidades estatales referidos a los estudios necesarios para la ejecución de proyectos de inversión, estudios de diagnóstico, prefactibilidad o factibilidad para programas o proyectos específicos, así como a las asesorías técnicas de coordinación, control y supervisión.</w:t>
      </w:r>
    </w:p>
    <w:p w14:paraId="548E3515" w14:textId="77777777" w:rsidR="00E546EE" w:rsidRPr="00D171F5" w:rsidRDefault="00E546EE" w:rsidP="00E546EE">
      <w:pPr>
        <w:pStyle w:val="Textonotapie"/>
        <w:ind w:firstLine="709"/>
        <w:contextualSpacing/>
        <w:jc w:val="both"/>
        <w:rPr>
          <w:rFonts w:ascii="Verdana" w:hAnsi="Verdana" w:cs="Arial"/>
          <w:color w:val="000000"/>
          <w:sz w:val="14"/>
          <w:szCs w:val="14"/>
          <w:lang w:val="es-ES"/>
        </w:rPr>
      </w:pPr>
      <w:r w:rsidRPr="00D171F5">
        <w:rPr>
          <w:rFonts w:ascii="Verdana" w:hAnsi="Verdana" w:cs="Arial"/>
          <w:color w:val="000000"/>
          <w:sz w:val="14"/>
          <w:szCs w:val="14"/>
          <w:lang w:val="es-ES"/>
        </w:rPr>
        <w:t>“Son también contratos de consultoría los que tienen por objeto la interventoría, asesoría, gerencia de obra o de proyectos, dirección, programación y la ejecución de diseños, planos, anteproyectos y proyectos.</w:t>
      </w:r>
    </w:p>
    <w:p w14:paraId="6E975525" w14:textId="77777777" w:rsidR="00E546EE" w:rsidRPr="00D171F5" w:rsidRDefault="00E546EE" w:rsidP="00E546EE">
      <w:pPr>
        <w:pStyle w:val="Textonotapie"/>
        <w:ind w:firstLine="709"/>
        <w:contextualSpacing/>
        <w:jc w:val="both"/>
        <w:rPr>
          <w:rFonts w:ascii="Verdana" w:hAnsi="Verdana" w:cs="Arial"/>
          <w:color w:val="000000"/>
          <w:sz w:val="14"/>
          <w:szCs w:val="14"/>
          <w:lang w:val="es-ES"/>
        </w:rPr>
      </w:pPr>
      <w:r w:rsidRPr="00D171F5">
        <w:rPr>
          <w:rFonts w:ascii="Verdana" w:hAnsi="Verdana" w:cs="Arial"/>
          <w:color w:val="000000"/>
          <w:sz w:val="14"/>
          <w:szCs w:val="14"/>
          <w:lang w:val="es-ES"/>
        </w:rPr>
        <w:t xml:space="preserve">“Ninguna orden del interventor de una obra podrá darse verbalmente. Es obligatorio para el interventor entregar por escrito sus órdenes o sugerencias y ellas deben </w:t>
      </w:r>
      <w:proofErr w:type="gramStart"/>
      <w:r w:rsidRPr="00D171F5">
        <w:rPr>
          <w:rFonts w:ascii="Verdana" w:hAnsi="Verdana" w:cs="Arial"/>
          <w:color w:val="000000"/>
          <w:sz w:val="14"/>
          <w:szCs w:val="14"/>
          <w:lang w:val="es-ES"/>
        </w:rPr>
        <w:t>enmarcarse dentro de</w:t>
      </w:r>
      <w:proofErr w:type="gramEnd"/>
      <w:r w:rsidRPr="00D171F5">
        <w:rPr>
          <w:rFonts w:ascii="Verdana" w:hAnsi="Verdana" w:cs="Arial"/>
          <w:color w:val="000000"/>
          <w:sz w:val="14"/>
          <w:szCs w:val="14"/>
          <w:lang w:val="es-ES"/>
        </w:rPr>
        <w:t xml:space="preserve"> los términos del respectivo contrato”. </w:t>
      </w:r>
    </w:p>
    <w:p w14:paraId="3EAA6992" w14:textId="77777777" w:rsidR="00E546EE" w:rsidRPr="00D171F5" w:rsidRDefault="00E546EE" w:rsidP="00E546EE">
      <w:pPr>
        <w:pStyle w:val="Textonotapie"/>
        <w:ind w:firstLine="709"/>
        <w:contextualSpacing/>
        <w:jc w:val="both"/>
        <w:rPr>
          <w:rFonts w:ascii="Verdana" w:hAnsi="Verdana" w:cs="Arial"/>
          <w:color w:val="000000"/>
          <w:sz w:val="14"/>
          <w:szCs w:val="14"/>
          <w:lang w:val="es-ES"/>
        </w:rPr>
      </w:pPr>
    </w:p>
  </w:footnote>
  <w:footnote w:id="10">
    <w:p w14:paraId="2AA0ED11" w14:textId="77777777" w:rsidR="00E546EE" w:rsidRPr="00D171F5" w:rsidRDefault="00E546EE" w:rsidP="00E546EE">
      <w:pPr>
        <w:pStyle w:val="Textonotapie"/>
        <w:ind w:firstLine="709"/>
        <w:contextualSpacing/>
        <w:jc w:val="both"/>
        <w:rPr>
          <w:rFonts w:ascii="Verdana" w:hAnsi="Verdana" w:cs="Arial"/>
          <w:color w:val="000000"/>
          <w:sz w:val="14"/>
          <w:szCs w:val="14"/>
          <w:lang w:val="es-ES"/>
        </w:rPr>
      </w:pPr>
      <w:r w:rsidRPr="00D171F5">
        <w:rPr>
          <w:rStyle w:val="Refdenotaalpie"/>
          <w:rFonts w:ascii="Verdana" w:hAnsi="Verdana" w:cs="Arial"/>
          <w:color w:val="000000"/>
          <w:sz w:val="14"/>
          <w:szCs w:val="14"/>
        </w:rPr>
        <w:footnoteRef/>
      </w:r>
      <w:r w:rsidRPr="00D171F5">
        <w:rPr>
          <w:rFonts w:ascii="Verdana" w:hAnsi="Verdana" w:cs="Arial"/>
          <w:color w:val="000000"/>
          <w:sz w:val="14"/>
          <w:szCs w:val="14"/>
        </w:rPr>
        <w:t xml:space="preserve"> </w:t>
      </w:r>
      <w:r w:rsidRPr="00D171F5">
        <w:rPr>
          <w:rFonts w:ascii="Verdana" w:hAnsi="Verdana" w:cs="Arial"/>
          <w:color w:val="000000"/>
          <w:sz w:val="14"/>
          <w:szCs w:val="14"/>
          <w:lang w:val="es-ES"/>
        </w:rPr>
        <w:t>Así lo prevé el artículo 2.2.1.2.1.4.1. del Decreto 1082 de 2015: “La Entidad Estatal debe señalar en un acto administrativo la justificación para contratar bajo la modalidad de contratación directa, el cual debe contener:</w:t>
      </w:r>
    </w:p>
    <w:p w14:paraId="7AB375A5" w14:textId="77777777" w:rsidR="00E546EE" w:rsidRPr="00D171F5" w:rsidRDefault="00E546EE" w:rsidP="00E546EE">
      <w:pPr>
        <w:pStyle w:val="Textonotapie"/>
        <w:ind w:firstLine="709"/>
        <w:contextualSpacing/>
        <w:jc w:val="both"/>
        <w:rPr>
          <w:rFonts w:ascii="Verdana" w:hAnsi="Verdana" w:cs="Arial"/>
          <w:color w:val="000000"/>
          <w:sz w:val="14"/>
          <w:szCs w:val="14"/>
          <w:lang w:val="es-ES"/>
        </w:rPr>
      </w:pPr>
      <w:r w:rsidRPr="00D171F5">
        <w:rPr>
          <w:rFonts w:ascii="Verdana" w:hAnsi="Verdana" w:cs="Arial"/>
          <w:color w:val="000000"/>
          <w:sz w:val="14"/>
          <w:szCs w:val="14"/>
          <w:lang w:val="es-ES"/>
        </w:rPr>
        <w:t>“1. La causal que invoca para contratar directamente.</w:t>
      </w:r>
    </w:p>
    <w:p w14:paraId="51B53E4A" w14:textId="77777777" w:rsidR="00E546EE" w:rsidRPr="00D171F5" w:rsidRDefault="00E546EE" w:rsidP="00E546EE">
      <w:pPr>
        <w:pStyle w:val="Textonotapie"/>
        <w:ind w:firstLine="709"/>
        <w:contextualSpacing/>
        <w:jc w:val="both"/>
        <w:rPr>
          <w:rFonts w:ascii="Verdana" w:hAnsi="Verdana" w:cs="Arial"/>
          <w:color w:val="000000"/>
          <w:sz w:val="14"/>
          <w:szCs w:val="14"/>
          <w:lang w:val="es-ES"/>
        </w:rPr>
      </w:pPr>
      <w:r w:rsidRPr="00D171F5">
        <w:rPr>
          <w:rFonts w:ascii="Verdana" w:hAnsi="Verdana" w:cs="Arial"/>
          <w:color w:val="000000"/>
          <w:sz w:val="14"/>
          <w:szCs w:val="14"/>
          <w:lang w:val="es-ES"/>
        </w:rPr>
        <w:t>“2. El objeto del contrato.</w:t>
      </w:r>
    </w:p>
    <w:p w14:paraId="312386C2" w14:textId="77777777" w:rsidR="00E546EE" w:rsidRPr="00D171F5" w:rsidRDefault="00E546EE" w:rsidP="00E546EE">
      <w:pPr>
        <w:pStyle w:val="Textonotapie"/>
        <w:ind w:firstLine="709"/>
        <w:contextualSpacing/>
        <w:jc w:val="both"/>
        <w:rPr>
          <w:rFonts w:ascii="Verdana" w:hAnsi="Verdana" w:cs="Arial"/>
          <w:color w:val="000000"/>
          <w:sz w:val="14"/>
          <w:szCs w:val="14"/>
          <w:lang w:val="es-ES"/>
        </w:rPr>
      </w:pPr>
      <w:r w:rsidRPr="00D171F5">
        <w:rPr>
          <w:rFonts w:ascii="Verdana" w:hAnsi="Verdana" w:cs="Arial"/>
          <w:color w:val="000000"/>
          <w:sz w:val="14"/>
          <w:szCs w:val="14"/>
          <w:lang w:val="es-ES"/>
        </w:rPr>
        <w:t>“3. El presupuesto para la contratación y las condiciones que exigirá al contratista.</w:t>
      </w:r>
    </w:p>
    <w:p w14:paraId="3AF58D34" w14:textId="77777777" w:rsidR="00E546EE" w:rsidRPr="00D171F5" w:rsidRDefault="00E546EE" w:rsidP="00E546EE">
      <w:pPr>
        <w:pStyle w:val="Textonotapie"/>
        <w:ind w:firstLine="709"/>
        <w:contextualSpacing/>
        <w:jc w:val="both"/>
        <w:rPr>
          <w:rFonts w:ascii="Verdana" w:hAnsi="Verdana" w:cs="Arial"/>
          <w:color w:val="000000"/>
          <w:sz w:val="14"/>
          <w:szCs w:val="14"/>
          <w:lang w:val="es-ES"/>
        </w:rPr>
      </w:pPr>
      <w:r w:rsidRPr="00D171F5">
        <w:rPr>
          <w:rFonts w:ascii="Verdana" w:hAnsi="Verdana" w:cs="Arial"/>
          <w:color w:val="000000"/>
          <w:sz w:val="14"/>
          <w:szCs w:val="14"/>
          <w:lang w:val="es-ES"/>
        </w:rPr>
        <w:t>“4. El lugar en el cual los interesados pueden consultar los estudios y documentos previos.</w:t>
      </w:r>
    </w:p>
    <w:p w14:paraId="7936DDBA" w14:textId="77777777" w:rsidR="00E546EE" w:rsidRPr="00D171F5" w:rsidRDefault="00E546EE" w:rsidP="00E546EE">
      <w:pPr>
        <w:pStyle w:val="Textonotapie"/>
        <w:ind w:firstLine="709"/>
        <w:contextualSpacing/>
        <w:jc w:val="both"/>
        <w:rPr>
          <w:rFonts w:ascii="Verdana" w:hAnsi="Verdana" w:cs="Arial"/>
          <w:color w:val="000000"/>
          <w:sz w:val="14"/>
          <w:szCs w:val="14"/>
          <w:lang w:val="es-ES"/>
        </w:rPr>
      </w:pPr>
      <w:r w:rsidRPr="00D171F5">
        <w:rPr>
          <w:rFonts w:ascii="Verdana" w:hAnsi="Verdana" w:cs="Arial"/>
          <w:color w:val="000000"/>
          <w:sz w:val="14"/>
          <w:szCs w:val="14"/>
          <w:lang w:val="es-ES"/>
        </w:rPr>
        <w:t>“Este acto administrativo no es necesario cuando el contrato a celebrar es de prestación de servicios profesionales y de apoyo a la gestión, y para los contratos de que tratan los literales (a) y (b) del artículo 2.2.1.2.1.4.3 del presente decreto”.</w:t>
      </w:r>
    </w:p>
  </w:footnote>
  <w:footnote w:id="11">
    <w:p w14:paraId="48E5209B" w14:textId="77777777" w:rsidR="00E546EE" w:rsidRPr="00D171F5" w:rsidRDefault="00E546EE" w:rsidP="00E546EE">
      <w:pPr>
        <w:pStyle w:val="Textonotapie"/>
        <w:ind w:firstLine="709"/>
        <w:contextualSpacing/>
        <w:jc w:val="both"/>
        <w:rPr>
          <w:rFonts w:ascii="Verdana" w:hAnsi="Verdana" w:cs="Arial"/>
          <w:color w:val="000000"/>
          <w:sz w:val="14"/>
          <w:szCs w:val="14"/>
        </w:rPr>
      </w:pPr>
    </w:p>
    <w:p w14:paraId="1920B3DA" w14:textId="77777777" w:rsidR="00E546EE" w:rsidRPr="00D171F5" w:rsidRDefault="00E546EE" w:rsidP="00E546EE">
      <w:pPr>
        <w:pStyle w:val="Textonotapie"/>
        <w:ind w:firstLine="709"/>
        <w:contextualSpacing/>
        <w:jc w:val="both"/>
        <w:rPr>
          <w:rFonts w:ascii="Verdana" w:hAnsi="Verdana" w:cs="Arial"/>
          <w:color w:val="000000"/>
          <w:sz w:val="14"/>
          <w:szCs w:val="14"/>
          <w:lang w:val="es-ES"/>
        </w:rPr>
      </w:pPr>
      <w:r w:rsidRPr="00D171F5">
        <w:rPr>
          <w:rStyle w:val="Refdenotaalpie"/>
          <w:rFonts w:ascii="Verdana" w:hAnsi="Verdana" w:cs="Arial"/>
          <w:color w:val="000000"/>
          <w:sz w:val="14"/>
          <w:szCs w:val="14"/>
        </w:rPr>
        <w:footnoteRef/>
      </w:r>
      <w:r w:rsidRPr="00D171F5">
        <w:rPr>
          <w:rFonts w:ascii="Verdana" w:hAnsi="Verdana" w:cs="Arial"/>
          <w:color w:val="000000"/>
          <w:sz w:val="14"/>
          <w:szCs w:val="14"/>
        </w:rPr>
        <w:t xml:space="preserve"> </w:t>
      </w:r>
      <w:r w:rsidRPr="00D171F5">
        <w:rPr>
          <w:rFonts w:ascii="Verdana" w:hAnsi="Verdana" w:cs="Arial"/>
          <w:color w:val="000000"/>
          <w:sz w:val="14"/>
          <w:szCs w:val="14"/>
          <w:lang w:val="es-ES"/>
        </w:rPr>
        <w:t>Esta norma expresa: “</w:t>
      </w:r>
      <w:r w:rsidRPr="00D171F5">
        <w:rPr>
          <w:rFonts w:ascii="Verdana" w:hAnsi="Verdana" w:cs="Arial"/>
          <w:color w:val="000000"/>
          <w:sz w:val="14"/>
          <w:szCs w:val="14"/>
        </w:rPr>
        <w:t>P</w:t>
      </w:r>
      <w:r w:rsidRPr="00D171F5">
        <w:rPr>
          <w:rFonts w:ascii="Verdana" w:hAnsi="Verdana" w:cs="Arial"/>
          <w:color w:val="000000"/>
          <w:sz w:val="14"/>
          <w:szCs w:val="14"/>
          <w:lang w:val="es-ES"/>
        </w:rPr>
        <w:t>ara el cumplimiento de los fines de la contratación, las entidades estatales al celebrar un contrato:</w:t>
      </w:r>
    </w:p>
    <w:p w14:paraId="16A067FF" w14:textId="77777777" w:rsidR="00E546EE" w:rsidRPr="00D171F5" w:rsidRDefault="00E546EE" w:rsidP="00E546EE">
      <w:pPr>
        <w:pStyle w:val="Textonotapie"/>
        <w:ind w:firstLine="709"/>
        <w:contextualSpacing/>
        <w:jc w:val="both"/>
        <w:rPr>
          <w:rFonts w:ascii="Verdana" w:hAnsi="Verdana" w:cs="Arial"/>
          <w:color w:val="000000"/>
          <w:sz w:val="14"/>
          <w:szCs w:val="14"/>
          <w:lang w:val="es-ES"/>
        </w:rPr>
      </w:pPr>
      <w:r w:rsidRPr="00D171F5">
        <w:rPr>
          <w:rFonts w:ascii="Verdana" w:hAnsi="Verdana" w:cs="Arial"/>
          <w:color w:val="000000"/>
          <w:sz w:val="14"/>
          <w:szCs w:val="14"/>
          <w:lang w:val="es-ES"/>
        </w:rPr>
        <w:t>[…]</w:t>
      </w:r>
    </w:p>
    <w:p w14:paraId="22C26526" w14:textId="77777777" w:rsidR="00E546EE" w:rsidRPr="00D171F5" w:rsidRDefault="00E546EE" w:rsidP="00E546EE">
      <w:pPr>
        <w:pStyle w:val="Textonotapie"/>
        <w:ind w:firstLine="709"/>
        <w:contextualSpacing/>
        <w:jc w:val="both"/>
        <w:rPr>
          <w:rFonts w:ascii="Verdana" w:hAnsi="Verdana" w:cs="Arial"/>
          <w:color w:val="000000"/>
          <w:sz w:val="14"/>
          <w:szCs w:val="14"/>
          <w:lang w:val="es-ES"/>
        </w:rPr>
      </w:pPr>
      <w:r w:rsidRPr="00D171F5">
        <w:rPr>
          <w:rFonts w:ascii="Verdana" w:hAnsi="Verdana" w:cs="Arial"/>
          <w:color w:val="000000"/>
          <w:sz w:val="14"/>
          <w:szCs w:val="14"/>
          <w:lang w:val="es-ES"/>
        </w:rPr>
        <w:t>“2o. Pactarán las cláusulas excepcionales al derecho común de terminación, interpretación y modificación unilaterales, de sometimiento a las leyes nacionales y de caducidad en los contratos que tengan por objeto el ejercicio de una actividad que constituya monopolio estatal, la prestación de servicios públicos o la explotación y concesión de bienes del Estado, así como en los contratos de obra. En los contratos de explotación y concesión de bienes del Estado se incluirá la cláusula de reversión.</w:t>
      </w:r>
    </w:p>
    <w:p w14:paraId="16AF2F89" w14:textId="77777777" w:rsidR="00E546EE" w:rsidRPr="00D171F5" w:rsidRDefault="00E546EE" w:rsidP="00E546EE">
      <w:pPr>
        <w:pStyle w:val="Textonotapie"/>
        <w:ind w:firstLine="709"/>
        <w:contextualSpacing/>
        <w:jc w:val="both"/>
        <w:rPr>
          <w:rFonts w:ascii="Verdana" w:hAnsi="Verdana" w:cs="Arial"/>
          <w:color w:val="000000"/>
          <w:sz w:val="14"/>
          <w:szCs w:val="14"/>
          <w:lang w:val="es-ES"/>
        </w:rPr>
      </w:pPr>
      <w:r w:rsidRPr="00D171F5">
        <w:rPr>
          <w:rFonts w:ascii="Verdana" w:hAnsi="Verdana" w:cs="Arial"/>
          <w:color w:val="000000"/>
          <w:sz w:val="14"/>
          <w:szCs w:val="14"/>
          <w:lang w:val="es-ES"/>
        </w:rPr>
        <w:t>“Las entidades estatales podrán pactar estas cláusulas en los contratos de suministro y de prestación de servicios.</w:t>
      </w:r>
    </w:p>
    <w:p w14:paraId="59BF4E3E" w14:textId="77777777" w:rsidR="00E546EE" w:rsidRPr="00D171F5" w:rsidRDefault="00E546EE" w:rsidP="00E546EE">
      <w:pPr>
        <w:pStyle w:val="Textonotapie"/>
        <w:ind w:firstLine="709"/>
        <w:contextualSpacing/>
        <w:jc w:val="both"/>
        <w:rPr>
          <w:rFonts w:ascii="Verdana" w:hAnsi="Verdana" w:cs="Arial"/>
          <w:color w:val="000000"/>
          <w:sz w:val="14"/>
          <w:szCs w:val="14"/>
          <w:lang w:val="es-ES"/>
        </w:rPr>
      </w:pPr>
      <w:r w:rsidRPr="00D171F5">
        <w:rPr>
          <w:rFonts w:ascii="Verdana" w:hAnsi="Verdana" w:cs="Arial"/>
          <w:color w:val="000000"/>
          <w:sz w:val="14"/>
          <w:szCs w:val="14"/>
          <w:lang w:val="es-ES"/>
        </w:rPr>
        <w:t>[…]”.</w:t>
      </w:r>
    </w:p>
  </w:footnote>
  <w:footnote w:id="12">
    <w:p w14:paraId="1B299890" w14:textId="77777777" w:rsidR="00E546EE" w:rsidRPr="00D171F5" w:rsidRDefault="00E546EE" w:rsidP="00E546EE">
      <w:pPr>
        <w:pStyle w:val="Textonotapie"/>
        <w:ind w:firstLine="709"/>
        <w:contextualSpacing/>
        <w:jc w:val="both"/>
        <w:rPr>
          <w:rFonts w:ascii="Verdana" w:hAnsi="Verdana" w:cs="Arial"/>
          <w:color w:val="000000"/>
          <w:sz w:val="14"/>
          <w:szCs w:val="14"/>
        </w:rPr>
      </w:pPr>
    </w:p>
    <w:p w14:paraId="25CE7F57" w14:textId="77777777" w:rsidR="00E546EE" w:rsidRPr="00D171F5" w:rsidRDefault="00E546EE" w:rsidP="00E546EE">
      <w:pPr>
        <w:pStyle w:val="Textonotapie"/>
        <w:ind w:firstLine="709"/>
        <w:contextualSpacing/>
        <w:jc w:val="both"/>
        <w:rPr>
          <w:rFonts w:ascii="Verdana" w:hAnsi="Verdana" w:cs="Arial"/>
          <w:color w:val="000000"/>
          <w:sz w:val="14"/>
          <w:szCs w:val="14"/>
          <w:lang w:val="es-ES"/>
        </w:rPr>
      </w:pPr>
      <w:r w:rsidRPr="00D171F5">
        <w:rPr>
          <w:rStyle w:val="Refdenotaalpie"/>
          <w:rFonts w:ascii="Verdana" w:hAnsi="Verdana" w:cs="Arial"/>
          <w:color w:val="000000"/>
          <w:sz w:val="14"/>
          <w:szCs w:val="14"/>
        </w:rPr>
        <w:footnoteRef/>
      </w:r>
      <w:r w:rsidRPr="00D171F5">
        <w:rPr>
          <w:rFonts w:ascii="Verdana" w:hAnsi="Verdana" w:cs="Arial"/>
          <w:color w:val="000000"/>
          <w:sz w:val="14"/>
          <w:szCs w:val="14"/>
        </w:rPr>
        <w:t xml:space="preserve"> </w:t>
      </w:r>
      <w:r w:rsidRPr="00D171F5">
        <w:rPr>
          <w:rFonts w:ascii="Verdana" w:hAnsi="Verdana" w:cs="Arial"/>
          <w:color w:val="000000"/>
          <w:sz w:val="14"/>
          <w:szCs w:val="14"/>
          <w:lang w:val="es-ES"/>
        </w:rPr>
        <w:t>La norma dispone: “La liquidación a que se refiere el presente artículo no será obligatoria en los contratos de prestación de servicios profesionales y de apoyo a la gestión”.</w:t>
      </w:r>
    </w:p>
    <w:p w14:paraId="7DF7FAD4" w14:textId="77777777" w:rsidR="00E546EE" w:rsidRPr="00D171F5" w:rsidRDefault="00E546EE" w:rsidP="00E546EE">
      <w:pPr>
        <w:pStyle w:val="Textonotapie"/>
        <w:ind w:firstLine="709"/>
        <w:contextualSpacing/>
        <w:jc w:val="both"/>
        <w:rPr>
          <w:rFonts w:ascii="Verdana" w:hAnsi="Verdana" w:cs="Arial"/>
          <w:color w:val="000000"/>
          <w:sz w:val="14"/>
          <w:szCs w:val="14"/>
          <w:lang w:val="es-ES"/>
        </w:rPr>
      </w:pPr>
    </w:p>
  </w:footnote>
  <w:footnote w:id="13">
    <w:p w14:paraId="2D5E8922" w14:textId="77777777" w:rsidR="00E546EE" w:rsidRPr="00D171F5" w:rsidRDefault="00E546EE" w:rsidP="00E546EE">
      <w:pPr>
        <w:pStyle w:val="Textonotapie"/>
        <w:ind w:firstLine="709"/>
        <w:contextualSpacing/>
        <w:jc w:val="both"/>
        <w:rPr>
          <w:rFonts w:ascii="Verdana" w:hAnsi="Verdana" w:cs="Arial"/>
          <w:color w:val="000000"/>
          <w:sz w:val="14"/>
          <w:szCs w:val="14"/>
        </w:rPr>
      </w:pPr>
      <w:r w:rsidRPr="00D171F5">
        <w:rPr>
          <w:rStyle w:val="Refdenotaalpie"/>
          <w:rFonts w:ascii="Verdana" w:hAnsi="Verdana" w:cs="Arial"/>
          <w:color w:val="000000"/>
          <w:sz w:val="14"/>
          <w:szCs w:val="14"/>
        </w:rPr>
        <w:footnoteRef/>
      </w:r>
      <w:r w:rsidRPr="00D171F5">
        <w:rPr>
          <w:rFonts w:ascii="Verdana" w:hAnsi="Verdana" w:cs="Arial"/>
          <w:color w:val="000000"/>
          <w:sz w:val="14"/>
          <w:szCs w:val="14"/>
        </w:rPr>
        <w:t xml:space="preserve"> Según dicho artículo “Todas las personas naturales o jurídicas nacionales o extranjeras domiciliadas o con sucursal en Colombia, que aspiren a celebrar contratos con las entidades estatales, se inscribirán en el Registro Único de Proponentes del Registro Único Empresarial de la Cámara de Comercio con jurisdicción en su domicilio principal.</w:t>
      </w:r>
    </w:p>
    <w:p w14:paraId="1EBFA968" w14:textId="77777777" w:rsidR="00E546EE" w:rsidRPr="00D171F5" w:rsidRDefault="00E546EE" w:rsidP="00E546EE">
      <w:pPr>
        <w:pStyle w:val="Textonotapie"/>
        <w:ind w:firstLine="709"/>
        <w:contextualSpacing/>
        <w:jc w:val="both"/>
        <w:rPr>
          <w:rFonts w:ascii="Verdana" w:hAnsi="Verdana" w:cs="Arial"/>
          <w:color w:val="000000"/>
          <w:sz w:val="14"/>
          <w:szCs w:val="14"/>
        </w:rPr>
      </w:pPr>
      <w:r w:rsidRPr="00D171F5">
        <w:rPr>
          <w:rFonts w:ascii="Verdana" w:hAnsi="Verdana" w:cs="Arial"/>
          <w:color w:val="000000"/>
          <w:sz w:val="14"/>
          <w:szCs w:val="14"/>
        </w:rPr>
        <w:t>“No se requerirá de este registro, ni de clasificación, en los casos de contratación directa; contratos para la prestación de servicios de salud; contratos de mínima cuantía; enajenación de bienes del Estado; contratos que tengan por objeto la adquisición de productos de origen o destinación agropecuaria que se ofrezcan en bolsas de productos legalmente constituidas; los actos y contratos que tengan por objeto directo las actividades comerciales e industriales propias de las empresas industriales y comerciales del Estado y las sociedades de economía mixta y los contratos de concesión de cualquier índole. En los casos anteriormente señalados, corresponderá a las entidades contratantes cumplir con la labor de verificación de las condiciones de los proponentes.</w:t>
      </w:r>
    </w:p>
    <w:p w14:paraId="39D2BC45" w14:textId="77777777" w:rsidR="00E546EE" w:rsidRPr="00D171F5" w:rsidRDefault="00E546EE" w:rsidP="00E546EE">
      <w:pPr>
        <w:pStyle w:val="Textonotapie"/>
        <w:ind w:firstLine="709"/>
        <w:contextualSpacing/>
        <w:jc w:val="both"/>
        <w:rPr>
          <w:rFonts w:ascii="Verdana" w:hAnsi="Verdana" w:cs="Arial"/>
          <w:color w:val="000000"/>
          <w:sz w:val="14"/>
          <w:szCs w:val="14"/>
        </w:rPr>
      </w:pPr>
      <w:r w:rsidRPr="00D171F5">
        <w:rPr>
          <w:rFonts w:ascii="Verdana" w:hAnsi="Verdana" w:cs="Arial"/>
          <w:color w:val="000000"/>
          <w:sz w:val="14"/>
          <w:szCs w:val="14"/>
        </w:rPr>
        <w:t>[…]”.</w:t>
      </w:r>
    </w:p>
    <w:p w14:paraId="648D7376" w14:textId="77777777" w:rsidR="00E546EE" w:rsidRPr="00D171F5" w:rsidRDefault="00E546EE" w:rsidP="00E546EE">
      <w:pPr>
        <w:pStyle w:val="Textonotapie"/>
        <w:ind w:firstLine="709"/>
        <w:contextualSpacing/>
        <w:jc w:val="both"/>
        <w:rPr>
          <w:rFonts w:ascii="Verdana" w:hAnsi="Verdana" w:cs="Arial"/>
          <w:color w:val="000000"/>
          <w:sz w:val="14"/>
          <w:szCs w:val="14"/>
        </w:rPr>
      </w:pPr>
    </w:p>
  </w:footnote>
  <w:footnote w:id="14">
    <w:p w14:paraId="21937240" w14:textId="77777777" w:rsidR="00E546EE" w:rsidRPr="00D171F5" w:rsidRDefault="00E546EE" w:rsidP="00E546EE">
      <w:pPr>
        <w:pStyle w:val="Textonotapie"/>
        <w:ind w:firstLine="709"/>
        <w:contextualSpacing/>
        <w:jc w:val="both"/>
        <w:rPr>
          <w:rFonts w:ascii="Verdana" w:hAnsi="Verdana" w:cs="Arial"/>
          <w:color w:val="000000"/>
          <w:sz w:val="14"/>
          <w:szCs w:val="14"/>
          <w:lang w:val="es-ES"/>
        </w:rPr>
      </w:pPr>
      <w:r w:rsidRPr="00D171F5">
        <w:rPr>
          <w:rStyle w:val="Refdenotaalpie"/>
          <w:rFonts w:ascii="Verdana" w:hAnsi="Verdana" w:cs="Arial"/>
          <w:color w:val="000000"/>
          <w:sz w:val="14"/>
          <w:szCs w:val="14"/>
        </w:rPr>
        <w:footnoteRef/>
      </w:r>
      <w:r w:rsidRPr="00D171F5">
        <w:rPr>
          <w:rFonts w:ascii="Verdana" w:hAnsi="Verdana" w:cs="Arial"/>
          <w:color w:val="000000"/>
          <w:sz w:val="14"/>
          <w:szCs w:val="14"/>
        </w:rPr>
        <w:t xml:space="preserve"> </w:t>
      </w:r>
      <w:r w:rsidRPr="00D171F5">
        <w:rPr>
          <w:rFonts w:ascii="Verdana" w:hAnsi="Verdana" w:cs="Arial"/>
          <w:color w:val="000000"/>
          <w:sz w:val="14"/>
          <w:szCs w:val="14"/>
          <w:lang w:val="es-ES"/>
        </w:rPr>
        <w:t>Es esto lo que establece el Decreto 1082 de 2015: “Artículo 2.2.1.2.1.4.5. No obligatoriedad de garantías. En la contratación directa la exigencia de garantías establecidas en la Sección 3, que comprende los artículos 2.2.1.2.3.1.1 al 2.2.1.2.3.5.1.del presente decreto no es obligatoria y la justificación para exigirlas o no debe estar en los estudios y documentos previos”.</w:t>
      </w:r>
    </w:p>
    <w:p w14:paraId="3092C8CF" w14:textId="77777777" w:rsidR="00E546EE" w:rsidRPr="00D171F5" w:rsidRDefault="00E546EE" w:rsidP="00E546EE">
      <w:pPr>
        <w:pStyle w:val="Textonotapie"/>
        <w:ind w:firstLine="709"/>
        <w:contextualSpacing/>
        <w:jc w:val="both"/>
        <w:rPr>
          <w:rFonts w:ascii="Verdana" w:hAnsi="Verdana" w:cs="Arial"/>
          <w:color w:val="000000"/>
          <w:sz w:val="14"/>
          <w:szCs w:val="14"/>
          <w:lang w:val="es-ES"/>
        </w:rPr>
      </w:pPr>
    </w:p>
  </w:footnote>
  <w:footnote w:id="15">
    <w:p w14:paraId="0A2E7296" w14:textId="77777777" w:rsidR="00E546EE" w:rsidRPr="00D171F5" w:rsidRDefault="00E546EE" w:rsidP="00E546EE">
      <w:pPr>
        <w:pStyle w:val="Textonotapie"/>
        <w:ind w:firstLine="708"/>
        <w:jc w:val="both"/>
        <w:rPr>
          <w:rFonts w:ascii="Verdana" w:hAnsi="Verdana" w:cs="Arial"/>
          <w:sz w:val="14"/>
          <w:szCs w:val="14"/>
          <w:lang w:val="es-CO"/>
        </w:rPr>
      </w:pPr>
      <w:r w:rsidRPr="00D171F5">
        <w:rPr>
          <w:rStyle w:val="Refdenotaalpie"/>
          <w:rFonts w:ascii="Verdana" w:hAnsi="Verdana" w:cs="Arial"/>
          <w:sz w:val="14"/>
          <w:szCs w:val="14"/>
        </w:rPr>
        <w:footnoteRef/>
      </w:r>
      <w:r w:rsidRPr="00D171F5">
        <w:rPr>
          <w:rFonts w:ascii="Verdana" w:hAnsi="Verdana" w:cs="Arial"/>
          <w:sz w:val="14"/>
          <w:szCs w:val="14"/>
        </w:rPr>
        <w:t xml:space="preserve"> Agencia Nacional de Contratación Pública – Colombia Compra Eficiente. Guía de Elaboración de Estudios del Sector. Disponible en: </w:t>
      </w:r>
      <w:hyperlink r:id="rId1" w:history="1">
        <w:r w:rsidRPr="00D171F5">
          <w:rPr>
            <w:rStyle w:val="Hipervnculo"/>
            <w:rFonts w:ascii="Verdana" w:hAnsi="Verdana" w:cs="Arial"/>
            <w:sz w:val="14"/>
            <w:szCs w:val="14"/>
          </w:rPr>
          <w:t>https://www.colombiacompra.gov.co/manualesguias-y-pliegos-tipo/manuales-y-guias</w:t>
        </w:r>
      </w:hyperlink>
      <w:r w:rsidRPr="00D171F5">
        <w:rPr>
          <w:rFonts w:ascii="Verdana" w:hAnsi="Verdana" w:cs="Arial"/>
          <w:sz w:val="14"/>
          <w:szCs w:val="14"/>
        </w:rPr>
        <w:t xml:space="preserve">. </w:t>
      </w:r>
    </w:p>
  </w:footnote>
  <w:footnote w:id="16">
    <w:p w14:paraId="32EE9F9D" w14:textId="77777777" w:rsidR="00E546EE" w:rsidRPr="00E11C25" w:rsidRDefault="00E546EE" w:rsidP="00E546EE">
      <w:pPr>
        <w:pStyle w:val="Textonotapie"/>
        <w:ind w:firstLine="708"/>
        <w:jc w:val="both"/>
        <w:rPr>
          <w:rFonts w:ascii="Verdana" w:hAnsi="Verdana"/>
          <w:sz w:val="14"/>
          <w:szCs w:val="14"/>
          <w:lang w:val="es-CO"/>
        </w:rPr>
      </w:pPr>
      <w:r w:rsidRPr="00E11C25">
        <w:rPr>
          <w:rStyle w:val="Refdenotaalpie"/>
          <w:rFonts w:ascii="Verdana" w:hAnsi="Verdana"/>
          <w:sz w:val="14"/>
          <w:szCs w:val="14"/>
        </w:rPr>
        <w:footnoteRef/>
      </w:r>
      <w:r w:rsidRPr="00E11C25">
        <w:rPr>
          <w:rFonts w:ascii="Verdana" w:hAnsi="Verdana"/>
          <w:sz w:val="14"/>
          <w:szCs w:val="14"/>
        </w:rPr>
        <w:t xml:space="preserve"> Colombia Compra Eficiente, Guía de Elaboración de Estudios de Sector. </w:t>
      </w:r>
      <w:hyperlink r:id="rId2" w:history="1">
        <w:r w:rsidRPr="00E11C25">
          <w:rPr>
            <w:rStyle w:val="Hipervnculo"/>
            <w:rFonts w:ascii="Verdana" w:hAnsi="Verdana"/>
            <w:sz w:val="14"/>
            <w:szCs w:val="14"/>
            <w:lang w:val="es-CO"/>
          </w:rPr>
          <w:t>https://colombiacompra.gov.co/wp-content/uploads/2024/08/cce-eicp-gi-18._gees_v.2_2.pdf</w:t>
        </w:r>
      </w:hyperlink>
    </w:p>
    <w:p w14:paraId="076E0994" w14:textId="77777777" w:rsidR="00E546EE" w:rsidRPr="00E11C25" w:rsidRDefault="00E546EE" w:rsidP="00E546EE">
      <w:pPr>
        <w:pStyle w:val="Textonotapie"/>
        <w:ind w:firstLine="708"/>
        <w:jc w:val="both"/>
        <w:rPr>
          <w:rFonts w:ascii="Verdana" w:hAnsi="Verdana"/>
          <w:sz w:val="14"/>
          <w:szCs w:val="14"/>
          <w:lang w:val="es-CO"/>
        </w:rPr>
      </w:pPr>
    </w:p>
  </w:footnote>
  <w:footnote w:id="17">
    <w:p w14:paraId="23722771" w14:textId="77777777" w:rsidR="00E546EE" w:rsidRDefault="00E546EE" w:rsidP="00E546EE">
      <w:pPr>
        <w:pStyle w:val="Textonotapie"/>
        <w:ind w:firstLine="709"/>
        <w:rPr>
          <w:rFonts w:ascii="Verdana" w:hAnsi="Verdana"/>
          <w:sz w:val="14"/>
          <w:szCs w:val="14"/>
          <w:lang w:val="es-ES"/>
        </w:rPr>
      </w:pPr>
      <w:r w:rsidRPr="0094332D">
        <w:rPr>
          <w:rStyle w:val="Refdenotaalpie"/>
          <w:rFonts w:ascii="Verdana" w:hAnsi="Verdana"/>
          <w:sz w:val="14"/>
          <w:szCs w:val="14"/>
        </w:rPr>
        <w:footnoteRef/>
      </w:r>
      <w:r w:rsidRPr="0094332D">
        <w:rPr>
          <w:rFonts w:ascii="Verdana" w:hAnsi="Verdana"/>
          <w:sz w:val="14"/>
          <w:szCs w:val="14"/>
        </w:rPr>
        <w:t xml:space="preserve"> </w:t>
      </w:r>
      <w:r w:rsidRPr="0094332D">
        <w:rPr>
          <w:rFonts w:ascii="Verdana" w:hAnsi="Verdana"/>
          <w:sz w:val="14"/>
          <w:szCs w:val="14"/>
          <w:lang w:val="es-ES"/>
        </w:rPr>
        <w:t>Se puede consultar el concepto C -240 del 4 de abril de 2025</w:t>
      </w:r>
      <w:r>
        <w:rPr>
          <w:rFonts w:ascii="Verdana" w:hAnsi="Verdana"/>
          <w:sz w:val="14"/>
          <w:szCs w:val="14"/>
          <w:lang w:val="es-ES"/>
        </w:rPr>
        <w:t xml:space="preserve">. </w:t>
      </w:r>
      <w:hyperlink r:id="rId3" w:history="1">
        <w:r w:rsidRPr="0043072E">
          <w:rPr>
            <w:rStyle w:val="Hipervnculo"/>
            <w:rFonts w:ascii="Verdana" w:hAnsi="Verdana"/>
            <w:sz w:val="14"/>
            <w:szCs w:val="14"/>
            <w:lang w:val="es-ES"/>
          </w:rPr>
          <w:t>https://relatoria.colombiacompra.gov.co/conceptos/c-240-de-2025/</w:t>
        </w:r>
      </w:hyperlink>
    </w:p>
    <w:p w14:paraId="6D5FE820" w14:textId="77777777" w:rsidR="00E546EE" w:rsidRPr="0094332D" w:rsidRDefault="00E546EE" w:rsidP="00E546EE">
      <w:pPr>
        <w:pStyle w:val="Textonotapie"/>
        <w:ind w:firstLine="709"/>
        <w:rPr>
          <w:rFonts w:ascii="Verdana" w:hAnsi="Verdana"/>
          <w:sz w:val="14"/>
          <w:szCs w:val="14"/>
          <w:lang w:val="es-ES"/>
        </w:rPr>
      </w:pPr>
    </w:p>
  </w:footnote>
  <w:footnote w:id="18">
    <w:p w14:paraId="1358F7CF" w14:textId="77777777" w:rsidR="00E546EE" w:rsidRPr="005D3261" w:rsidRDefault="00E546EE" w:rsidP="00E546EE">
      <w:pPr>
        <w:pStyle w:val="Textonotapie"/>
        <w:ind w:firstLine="709"/>
        <w:rPr>
          <w:rFonts w:ascii="Verdana" w:hAnsi="Verdana"/>
          <w:sz w:val="14"/>
          <w:szCs w:val="14"/>
        </w:rPr>
      </w:pPr>
      <w:r w:rsidRPr="005D3261">
        <w:rPr>
          <w:rStyle w:val="Refdenotaalpie"/>
          <w:rFonts w:ascii="Verdana" w:hAnsi="Verdana"/>
          <w:sz w:val="14"/>
          <w:szCs w:val="14"/>
        </w:rPr>
        <w:footnoteRef/>
      </w:r>
      <w:r w:rsidRPr="005D3261">
        <w:rPr>
          <w:rFonts w:ascii="Verdana" w:hAnsi="Verdana"/>
          <w:sz w:val="14"/>
          <w:szCs w:val="14"/>
        </w:rPr>
        <w:t xml:space="preserve"> </w:t>
      </w:r>
      <w:hyperlink r:id="rId4" w:history="1">
        <w:r w:rsidRPr="005D3261">
          <w:rPr>
            <w:rStyle w:val="Hipervnculo"/>
            <w:rFonts w:ascii="Verdana" w:hAnsi="Verdana"/>
            <w:sz w:val="14"/>
            <w:szCs w:val="14"/>
            <w:lang w:val="es-CO"/>
          </w:rPr>
          <w:t>circular_externa_unica_version_3_vf49.pdf</w:t>
        </w:r>
      </w:hyperlink>
    </w:p>
  </w:footnote>
  <w:footnote w:id="19">
    <w:p w14:paraId="57276E21" w14:textId="77777777" w:rsidR="00E546EE" w:rsidRPr="00E636B1" w:rsidRDefault="00E546EE" w:rsidP="00E546EE">
      <w:pPr>
        <w:pStyle w:val="Textonotapie"/>
        <w:ind w:firstLine="708"/>
        <w:jc w:val="both"/>
        <w:rPr>
          <w:rFonts w:ascii="Arial" w:hAnsi="Arial" w:cs="Arial"/>
          <w:sz w:val="18"/>
          <w:szCs w:val="18"/>
        </w:rPr>
      </w:pPr>
      <w:r w:rsidRPr="00E636B1">
        <w:rPr>
          <w:rStyle w:val="Refdenotaalpie"/>
          <w:rFonts w:ascii="Arial" w:hAnsi="Arial" w:cs="Arial"/>
          <w:sz w:val="18"/>
          <w:szCs w:val="18"/>
        </w:rPr>
        <w:footnoteRef/>
      </w:r>
      <w:r w:rsidRPr="00E636B1">
        <w:rPr>
          <w:rFonts w:ascii="Arial" w:hAnsi="Arial" w:cs="Arial"/>
          <w:sz w:val="18"/>
          <w:szCs w:val="18"/>
        </w:rPr>
        <w:t xml:space="preserve"> </w:t>
      </w:r>
      <w:r>
        <w:rPr>
          <w:rFonts w:ascii="Arial" w:hAnsi="Arial" w:cs="Arial"/>
          <w:sz w:val="18"/>
          <w:szCs w:val="18"/>
        </w:rPr>
        <w:t xml:space="preserve">Consultado el 8 de mayo de 2023 en la página web </w:t>
      </w:r>
      <w:hyperlink r:id="rId5" w:history="1">
        <w:r w:rsidRPr="00374A8C">
          <w:rPr>
            <w:rStyle w:val="Hipervnculo"/>
            <w:rFonts w:ascii="Arial" w:hAnsi="Arial" w:cs="Arial"/>
            <w:sz w:val="18"/>
            <w:szCs w:val="18"/>
          </w:rPr>
          <w:t>https://www.colombiacompra.gov.co/sites/cce_public/files/cce_step/cce-sec-gi-01provpcgestioncontractual07-09-2020_0.pdf</w:t>
        </w:r>
      </w:hyperlink>
      <w:r>
        <w:rPr>
          <w:rFonts w:ascii="Arial" w:hAnsi="Arial" w:cs="Arial"/>
          <w:sz w:val="18"/>
          <w:szCs w:val="18"/>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mc:AlternateContent>
      <mc:Choice Requires="v">
        <w:pict>
          <v:shapetype w14:anchorId="7CEBD68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n 416723886" o:spid="_x0000_i1025" type="#_x0000_t75" style="width:11.3pt;height:11.3pt;visibility:visible;mso-wrap-style:square">
            <v:imagedata r:id="rId1" o:title=""/>
          </v:shape>
        </w:pict>
      </mc:Choice>
      <mc:Fallback>
        <w:drawing>
          <wp:inline distT="0" distB="0" distL="0" distR="0" wp14:anchorId="2B581269" wp14:editId="6CC6FFE9">
            <wp:extent cx="143510" cy="143510"/>
            <wp:effectExtent l="0" t="0" r="0" b="0"/>
            <wp:docPr id="416723886" name="Imagen 4167238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3"/>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43510" cy="143510"/>
                    </a:xfrm>
                    <a:prstGeom prst="rect">
                      <a:avLst/>
                    </a:prstGeom>
                    <a:noFill/>
                    <a:ln>
                      <a:noFill/>
                    </a:ln>
                  </pic:spPr>
                </pic:pic>
              </a:graphicData>
            </a:graphic>
          </wp:inline>
        </w:drawing>
      </mc:Fallback>
    </mc:AlternateConten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1D74886"/>
    <w:multiLevelType w:val="hybridMultilevel"/>
    <w:tmpl w:val="CE80799A"/>
    <w:lvl w:ilvl="0" w:tplc="240A0017">
      <w:start w:val="1"/>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5A7D33FE"/>
    <w:multiLevelType w:val="hybridMultilevel"/>
    <w:tmpl w:val="7EC828A2"/>
    <w:lvl w:ilvl="0" w:tplc="013800A2">
      <w:start w:val="1"/>
      <w:numFmt w:val="low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1"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B2A7397"/>
    <w:multiLevelType w:val="hybridMultilevel"/>
    <w:tmpl w:val="7ADA6ED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3"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7"/>
  </w:num>
  <w:num w:numId="2" w16cid:durableId="19822139">
    <w:abstractNumId w:val="3"/>
  </w:num>
  <w:num w:numId="3" w16cid:durableId="876742304">
    <w:abstractNumId w:val="5"/>
  </w:num>
  <w:num w:numId="4" w16cid:durableId="24518640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3"/>
  </w:num>
  <w:num w:numId="6" w16cid:durableId="316692925">
    <w:abstractNumId w:val="15"/>
  </w:num>
  <w:num w:numId="7" w16cid:durableId="1946422806">
    <w:abstractNumId w:val="6"/>
  </w:num>
  <w:num w:numId="8" w16cid:durableId="152644682">
    <w:abstractNumId w:val="14"/>
  </w:num>
  <w:num w:numId="9" w16cid:durableId="1317221377">
    <w:abstractNumId w:val="8"/>
  </w:num>
  <w:num w:numId="10" w16cid:durableId="1471245386">
    <w:abstractNumId w:val="13"/>
  </w:num>
  <w:num w:numId="11" w16cid:durableId="289172385">
    <w:abstractNumId w:val="9"/>
  </w:num>
  <w:num w:numId="12" w16cid:durableId="1470781324">
    <w:abstractNumId w:val="2"/>
  </w:num>
  <w:num w:numId="13" w16cid:durableId="1512908409">
    <w:abstractNumId w:val="4"/>
  </w:num>
  <w:num w:numId="14" w16cid:durableId="895897244">
    <w:abstractNumId w:val="16"/>
  </w:num>
  <w:num w:numId="15" w16cid:durableId="390349800">
    <w:abstractNumId w:val="11"/>
  </w:num>
  <w:num w:numId="16" w16cid:durableId="341274352">
    <w:abstractNumId w:val="0"/>
  </w:num>
  <w:num w:numId="17" w16cid:durableId="1864202067">
    <w:abstractNumId w:val="12"/>
  </w:num>
  <w:num w:numId="18" w16cid:durableId="1482383943">
    <w:abstractNumId w:val="10"/>
  </w:num>
  <w:num w:numId="19" w16cid:durableId="73192976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239D"/>
    <w:rsid w:val="00016F78"/>
    <w:rsid w:val="00046945"/>
    <w:rsid w:val="00055AF4"/>
    <w:rsid w:val="00061B2A"/>
    <w:rsid w:val="00082362"/>
    <w:rsid w:val="000A683E"/>
    <w:rsid w:val="000B19B9"/>
    <w:rsid w:val="000C0762"/>
    <w:rsid w:val="000D0334"/>
    <w:rsid w:val="000D51E8"/>
    <w:rsid w:val="000D5F81"/>
    <w:rsid w:val="000F6486"/>
    <w:rsid w:val="00125105"/>
    <w:rsid w:val="00127233"/>
    <w:rsid w:val="001511A0"/>
    <w:rsid w:val="00165DCF"/>
    <w:rsid w:val="001E4177"/>
    <w:rsid w:val="001E4AEE"/>
    <w:rsid w:val="001F7DC6"/>
    <w:rsid w:val="0020218E"/>
    <w:rsid w:val="002421BB"/>
    <w:rsid w:val="0025796E"/>
    <w:rsid w:val="002707A2"/>
    <w:rsid w:val="002951A0"/>
    <w:rsid w:val="002962BC"/>
    <w:rsid w:val="00297517"/>
    <w:rsid w:val="002A093D"/>
    <w:rsid w:val="002A0DD0"/>
    <w:rsid w:val="002A49AC"/>
    <w:rsid w:val="002A64FD"/>
    <w:rsid w:val="002C5237"/>
    <w:rsid w:val="002C7A84"/>
    <w:rsid w:val="002D6661"/>
    <w:rsid w:val="002E4FD9"/>
    <w:rsid w:val="00322A85"/>
    <w:rsid w:val="00324168"/>
    <w:rsid w:val="003448F4"/>
    <w:rsid w:val="00374F5E"/>
    <w:rsid w:val="00377E3E"/>
    <w:rsid w:val="003A779E"/>
    <w:rsid w:val="003D0F4D"/>
    <w:rsid w:val="003D5B0D"/>
    <w:rsid w:val="003E0499"/>
    <w:rsid w:val="003F3941"/>
    <w:rsid w:val="00403670"/>
    <w:rsid w:val="00406575"/>
    <w:rsid w:val="00414C74"/>
    <w:rsid w:val="0042722E"/>
    <w:rsid w:val="0044528D"/>
    <w:rsid w:val="00455325"/>
    <w:rsid w:val="00462A13"/>
    <w:rsid w:val="00476163"/>
    <w:rsid w:val="004A1847"/>
    <w:rsid w:val="004A305D"/>
    <w:rsid w:val="004D5391"/>
    <w:rsid w:val="004E30FF"/>
    <w:rsid w:val="004F21C4"/>
    <w:rsid w:val="004F685F"/>
    <w:rsid w:val="00546E49"/>
    <w:rsid w:val="005566E8"/>
    <w:rsid w:val="00562EFC"/>
    <w:rsid w:val="00574867"/>
    <w:rsid w:val="00591460"/>
    <w:rsid w:val="005B3816"/>
    <w:rsid w:val="005C3777"/>
    <w:rsid w:val="005C5CDC"/>
    <w:rsid w:val="005D476C"/>
    <w:rsid w:val="006113B1"/>
    <w:rsid w:val="006219F8"/>
    <w:rsid w:val="00665D70"/>
    <w:rsid w:val="00671C48"/>
    <w:rsid w:val="006900D9"/>
    <w:rsid w:val="00706C16"/>
    <w:rsid w:val="00756841"/>
    <w:rsid w:val="007649AB"/>
    <w:rsid w:val="00771D0C"/>
    <w:rsid w:val="007833AC"/>
    <w:rsid w:val="007B268C"/>
    <w:rsid w:val="007B7171"/>
    <w:rsid w:val="007C0C0F"/>
    <w:rsid w:val="007C3DC2"/>
    <w:rsid w:val="007E5497"/>
    <w:rsid w:val="00806E20"/>
    <w:rsid w:val="00806F5F"/>
    <w:rsid w:val="00820278"/>
    <w:rsid w:val="008609C0"/>
    <w:rsid w:val="00867F95"/>
    <w:rsid w:val="008843B6"/>
    <w:rsid w:val="00891928"/>
    <w:rsid w:val="00891E38"/>
    <w:rsid w:val="008A446D"/>
    <w:rsid w:val="008B1D97"/>
    <w:rsid w:val="008D180B"/>
    <w:rsid w:val="008F0EA7"/>
    <w:rsid w:val="00923EEF"/>
    <w:rsid w:val="0094138A"/>
    <w:rsid w:val="009419F9"/>
    <w:rsid w:val="0095685E"/>
    <w:rsid w:val="00961B09"/>
    <w:rsid w:val="00965334"/>
    <w:rsid w:val="0097093E"/>
    <w:rsid w:val="00986AC5"/>
    <w:rsid w:val="009A0DFA"/>
    <w:rsid w:val="009A427C"/>
    <w:rsid w:val="009B2D26"/>
    <w:rsid w:val="009C71FA"/>
    <w:rsid w:val="009C72E7"/>
    <w:rsid w:val="009D3058"/>
    <w:rsid w:val="009D4217"/>
    <w:rsid w:val="009F3A13"/>
    <w:rsid w:val="00A122D3"/>
    <w:rsid w:val="00A17F13"/>
    <w:rsid w:val="00A20739"/>
    <w:rsid w:val="00A24ABF"/>
    <w:rsid w:val="00A33C78"/>
    <w:rsid w:val="00AB0ADB"/>
    <w:rsid w:val="00AB4DE7"/>
    <w:rsid w:val="00AE3F52"/>
    <w:rsid w:val="00B01B1A"/>
    <w:rsid w:val="00B12DB6"/>
    <w:rsid w:val="00B66319"/>
    <w:rsid w:val="00B72CD3"/>
    <w:rsid w:val="00B72FFF"/>
    <w:rsid w:val="00BC3D36"/>
    <w:rsid w:val="00BD7F72"/>
    <w:rsid w:val="00C04FB3"/>
    <w:rsid w:val="00C330EB"/>
    <w:rsid w:val="00C41061"/>
    <w:rsid w:val="00C703C4"/>
    <w:rsid w:val="00C754BE"/>
    <w:rsid w:val="00C76B1C"/>
    <w:rsid w:val="00C830F4"/>
    <w:rsid w:val="00CB6357"/>
    <w:rsid w:val="00CC1B26"/>
    <w:rsid w:val="00CC59BF"/>
    <w:rsid w:val="00D0677D"/>
    <w:rsid w:val="00D423A2"/>
    <w:rsid w:val="00D520D8"/>
    <w:rsid w:val="00D63AC2"/>
    <w:rsid w:val="00D6600F"/>
    <w:rsid w:val="00D7383B"/>
    <w:rsid w:val="00DA231B"/>
    <w:rsid w:val="00DC1D9E"/>
    <w:rsid w:val="00DC39FC"/>
    <w:rsid w:val="00DF5254"/>
    <w:rsid w:val="00E04F8A"/>
    <w:rsid w:val="00E16408"/>
    <w:rsid w:val="00E20894"/>
    <w:rsid w:val="00E245AB"/>
    <w:rsid w:val="00E2764C"/>
    <w:rsid w:val="00E27F2E"/>
    <w:rsid w:val="00E43316"/>
    <w:rsid w:val="00E50AFE"/>
    <w:rsid w:val="00E546EE"/>
    <w:rsid w:val="00E56128"/>
    <w:rsid w:val="00E62D54"/>
    <w:rsid w:val="00E63B3F"/>
    <w:rsid w:val="00E7021A"/>
    <w:rsid w:val="00E75C92"/>
    <w:rsid w:val="00E771DC"/>
    <w:rsid w:val="00E81957"/>
    <w:rsid w:val="00E8772A"/>
    <w:rsid w:val="00E90F6B"/>
    <w:rsid w:val="00E92C27"/>
    <w:rsid w:val="00E948A2"/>
    <w:rsid w:val="00EA0E3D"/>
    <w:rsid w:val="00EC38A7"/>
    <w:rsid w:val="00ED7384"/>
    <w:rsid w:val="00EE1AA8"/>
    <w:rsid w:val="00F04BFB"/>
    <w:rsid w:val="00F31EDC"/>
    <w:rsid w:val="00F462B3"/>
    <w:rsid w:val="00F5664F"/>
    <w:rsid w:val="00F666C4"/>
    <w:rsid w:val="00F76AFC"/>
    <w:rsid w:val="00F904F2"/>
    <w:rsid w:val="00F91EF1"/>
    <w:rsid w:val="00FA47C0"/>
    <w:rsid w:val="00FB5DD1"/>
    <w:rsid w:val="00FC2B5D"/>
    <w:rsid w:val="00FF1449"/>
    <w:rsid w:val="1545E662"/>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List Paragrap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E546EE"/>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E546EE"/>
    <w:rPr>
      <w:rFonts w:ascii="Geomanist Light" w:hAnsi="Geomanist Light"/>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colombiacompra.gov.co/wp-content/uploads/2024/08/circular_externa_unica_version_3_vf49.pdf"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colombiacompra.gov.co/wp-content/uploads/2024/08/cce-eicp-gi-18._gees_v.2_2.pdf"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presupuesto@bomberosdebucaramanga.gov.co" TargetMode="External"/><Relationship Id="rId5" Type="http://schemas.openxmlformats.org/officeDocument/2006/relationships/styles" Target="styles.xml"/><Relationship Id="rId15" Type="http://schemas.openxmlformats.org/officeDocument/2006/relationships/image" Target="media/image4.png"/><Relationship Id="rId10" Type="http://schemas.openxmlformats.org/officeDocument/2006/relationships/image" Target="media/image3.png"/><Relationship Id="rId19"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nam02.safelinks.protection.outlook.com/?url=https%3A%2F%2Frelatoria.colombiacompra.gov.co%2F&amp;data=05%7C02%7Cjose.garcia%40colombiacompra.gov.co%7C5aad36a736844ec87b2108dcc1fa4639%7C7b09041e245149d08cb179d5e3d8c1be%7C0%7C0%7C638598527919569564%7CUnknown%7CTWFpbGZsb3d8eyJWIjoiMC4wLjAwMDAiLCJQIjoiV2luMzIiLCJBTiI6Ik1haWwiLCJXVCI6Mn0%3D%7C0%7C%7C%7C&amp;sdata=dxd5A4gL5eWAFf8ZLcaVWYdH0y65hi6R6J0wtaeazGQ%3D&amp;reserved=0" TargetMode="External"/></Relationships>
</file>

<file path=word/_rels/footnotes.xml.rels><?xml version="1.0" encoding="UTF-8" standalone="yes"?>
<Relationships xmlns="http://schemas.openxmlformats.org/package/2006/relationships"><Relationship Id="rId3" Type="http://schemas.openxmlformats.org/officeDocument/2006/relationships/hyperlink" Target="https://relatoria.colombiacompra.gov.co/conceptos/c-240-de-2025/" TargetMode="External"/><Relationship Id="rId2" Type="http://schemas.openxmlformats.org/officeDocument/2006/relationships/hyperlink" Target="https://colombiacompra.gov.co/wp-content/uploads/2024/08/cce-eicp-gi-18._gees_v.2_2.pdf" TargetMode="External"/><Relationship Id="rId1" Type="http://schemas.openxmlformats.org/officeDocument/2006/relationships/hyperlink" Target="https://www.colombiacompra.gov.co/manualesguias-y-pliegos-tipo/manuales-y-guias" TargetMode="External"/><Relationship Id="rId5" Type="http://schemas.openxmlformats.org/officeDocument/2006/relationships/hyperlink" Target="https://www.colombiacompra.gov.co/sites/cce_public/files/cce_step/cce-sec-gi-01provpcgestioncontractual07-09-2020_0.pdf" TargetMode="External"/><Relationship Id="rId4" Type="http://schemas.openxmlformats.org/officeDocument/2006/relationships/hyperlink" Target="https://www.colombiacompra.gov.co/wp-content/uploads/2024/08/circular_externa_unica_version_3_vf49.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6.png"/><Relationship Id="rId1" Type="http://schemas.openxmlformats.org/officeDocument/2006/relationships/image" Target="media/image5.png"/></Relationships>
</file>

<file path=word/_rels/numbering.xml.rels><?xml version="1.0" encoding="UTF-8" standalone="yes"?>
<Relationships xmlns="http://schemas.openxmlformats.org/package/2006/relationships"><Relationship Id="rId2" Type="http://schemas.openxmlformats.org/officeDocument/2006/relationships/image" Target="media/image2.gif"/><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8CE3C8F5-A3AC-4305-A350-66D9E92AB706}"/>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b531b13d-89bf-4629-be1e-22fdf3dd34d4"/>
    <ds:schemaRef ds:uri="8ae15d26-076e-464e-81a7-6f76a0fb3917"/>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212</TotalTime>
  <Pages>25</Pages>
  <Words>8283</Words>
  <Characters>45560</Characters>
  <Application>Microsoft Office Word</Application>
  <DocSecurity>0</DocSecurity>
  <Lines>379</Lines>
  <Paragraphs>107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53736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Esperanza Contreras Pedreros</cp:lastModifiedBy>
  <cp:revision>5</cp:revision>
  <cp:lastPrinted>2023-01-10T21:18:00Z</cp:lastPrinted>
  <dcterms:created xsi:type="dcterms:W3CDTF">2025-05-16T19:20:00Z</dcterms:created>
  <dcterms:modified xsi:type="dcterms:W3CDTF">2025-05-17T03:38:00Z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