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863D9B" w14:textId="77777777" w:rsidR="003B2541" w:rsidRPr="002230BD" w:rsidRDefault="003B2541" w:rsidP="003B2541">
      <w:pPr>
        <w:spacing w:before="120" w:after="120" w:line="276" w:lineRule="auto"/>
        <w:contextualSpacing/>
        <w:jc w:val="both"/>
        <w:rPr>
          <w:rFonts w:ascii="Verdana" w:hAnsi="Verdana" w:cs="Arial"/>
          <w:b/>
          <w:lang w:val="es-ES_tradnl"/>
        </w:rPr>
      </w:pPr>
      <w:r w:rsidRPr="002230BD">
        <w:rPr>
          <w:rFonts w:ascii="Verdana" w:hAnsi="Verdana" w:cs="Arial"/>
          <w:b/>
          <w:lang w:val="es-ES_tradnl"/>
        </w:rPr>
        <w:t xml:space="preserve">PRINCIPIO DE SELECCIÓN OBJETIVA – Noción – Normativa – Requisitos habilitantes – Requisitos ponderables </w:t>
      </w:r>
    </w:p>
    <w:p w14:paraId="53F65220" w14:textId="77777777" w:rsidR="003B2541" w:rsidRPr="002230BD" w:rsidRDefault="003B2541" w:rsidP="003B2541">
      <w:pPr>
        <w:spacing w:after="0" w:line="240" w:lineRule="auto"/>
        <w:contextualSpacing/>
        <w:jc w:val="both"/>
        <w:rPr>
          <w:rFonts w:ascii="Verdana" w:hAnsi="Verdana" w:cs="Arial"/>
          <w:bCs/>
          <w:sz w:val="20"/>
          <w:szCs w:val="20"/>
          <w:lang w:val="es-ES_tradnl"/>
        </w:rPr>
      </w:pPr>
    </w:p>
    <w:p w14:paraId="2BB98844" w14:textId="77777777" w:rsidR="003B2541" w:rsidRPr="002230BD" w:rsidRDefault="003B2541" w:rsidP="003B2541">
      <w:pPr>
        <w:spacing w:after="0" w:line="240" w:lineRule="auto"/>
        <w:contextualSpacing/>
        <w:jc w:val="both"/>
        <w:rPr>
          <w:rFonts w:ascii="Verdana" w:eastAsia="Calibri" w:hAnsi="Verdana" w:cs="Arial"/>
          <w:bCs/>
          <w:sz w:val="20"/>
          <w:szCs w:val="20"/>
          <w:lang w:val="es-ES_tradnl"/>
        </w:rPr>
      </w:pPr>
      <w:r w:rsidRPr="002230BD">
        <w:rPr>
          <w:rFonts w:ascii="Verdana" w:eastAsia="Calibri" w:hAnsi="Verdana" w:cs="Arial"/>
          <w:bCs/>
          <w:sz w:val="20"/>
          <w:szCs w:val="20"/>
          <w:lang w:val="es-ES_tradnl"/>
        </w:rPr>
        <w:t xml:space="preserve">Uno de los principios transversales de los procedimientos de selección es el de </w:t>
      </w:r>
      <w:r w:rsidRPr="00387BC4">
        <w:rPr>
          <w:rFonts w:ascii="Verdana" w:eastAsia="Calibri" w:hAnsi="Verdana" w:cs="Arial"/>
          <w:bCs/>
          <w:sz w:val="20"/>
          <w:szCs w:val="20"/>
          <w:lang w:val="es-ES_tradnl"/>
        </w:rPr>
        <w:t>selección objetiva</w:t>
      </w:r>
      <w:r w:rsidRPr="002230BD">
        <w:rPr>
          <w:rFonts w:ascii="Verdana" w:eastAsia="Calibri" w:hAnsi="Verdana" w:cs="Arial"/>
          <w:bCs/>
          <w:sz w:val="20"/>
          <w:szCs w:val="20"/>
          <w:lang w:val="es-ES_tradnl"/>
        </w:rPr>
        <w:t xml:space="preserve">. Se trata del postulado que exige que la escogencia de la oferta ganadora se debe fundamentar en factores objetivos, de carácter técnico, jurídico y financiero, y no en criterios subjetivos, como el afecto, la amistad, el ánimo de ayuda, el interés personal, etc. </w:t>
      </w:r>
    </w:p>
    <w:p w14:paraId="07AD6F19" w14:textId="77777777" w:rsidR="003B2541" w:rsidRPr="00387BC4" w:rsidRDefault="003B2541" w:rsidP="003B2541">
      <w:pPr>
        <w:spacing w:after="0" w:line="240" w:lineRule="auto"/>
        <w:contextualSpacing/>
        <w:jc w:val="both"/>
        <w:rPr>
          <w:rFonts w:ascii="Verdana" w:eastAsia="Calibri" w:hAnsi="Verdana" w:cs="Arial"/>
          <w:bCs/>
          <w:sz w:val="20"/>
          <w:szCs w:val="20"/>
          <w:lang w:val="es-ES_tradnl"/>
        </w:rPr>
      </w:pPr>
      <w:r w:rsidRPr="00387BC4">
        <w:rPr>
          <w:rFonts w:ascii="Verdana" w:eastAsia="Calibri" w:hAnsi="Verdana" w:cs="Arial"/>
          <w:bCs/>
          <w:sz w:val="20"/>
          <w:szCs w:val="20"/>
          <w:lang w:val="es-ES_tradnl"/>
        </w:rPr>
        <w:t>[…]</w:t>
      </w:r>
    </w:p>
    <w:p w14:paraId="238BD61E" w14:textId="77777777" w:rsidR="003B2541" w:rsidRPr="00387BC4" w:rsidRDefault="003B2541" w:rsidP="003B2541">
      <w:pPr>
        <w:spacing w:after="0" w:line="240" w:lineRule="auto"/>
        <w:contextualSpacing/>
        <w:jc w:val="both"/>
        <w:rPr>
          <w:rFonts w:ascii="Verdana" w:eastAsia="Calibri" w:hAnsi="Verdana" w:cs="Arial"/>
          <w:sz w:val="20"/>
          <w:szCs w:val="20"/>
          <w:lang w:val="es-ES"/>
        </w:rPr>
      </w:pPr>
      <w:r w:rsidRPr="7E5A8D80">
        <w:rPr>
          <w:rFonts w:ascii="Verdana" w:eastAsia="Calibri" w:hAnsi="Verdana" w:cs="Arial"/>
          <w:sz w:val="20"/>
          <w:szCs w:val="20"/>
          <w:lang w:val="es-ES"/>
        </w:rPr>
        <w:t>Al respecto, el numeral 1 del artículo 5 de la Ley 1150 de 2007 se refiere a algunos requisitos exigibles en la generalidad de los procesos de selección adelantados conforme al EGCAP, tales como la capacidad jurídica, las condiciones de experiencia, la capacidad financiera y de organización, denominados requisitos habilitantes, los cuales –en principio, salvo expresa disposición legal– no otorgan puntaje. Lo anterior comoquiera que estos no se refieren a la oferta misma sino a la idoneidad del oferente para asumir adecuadamente la ejecución del contrato. Los oferentes que cumplan estos requisitos habilitantes son considerados idóneos para ejecutar el objeto contractual, de manera que sus ofertas pueden ser consideradas en la evaluación dirigida a determinar cuál es la más favorable para la entidad y a los fines de la contratación. En este sentido, los requisitos habilitantes son aquellos que deben cumplir en igualdad de condiciones los proponentes, haciendo que estos se habiliten en el procedimiento de selección y sean susceptibles de ser seleccionados como futuros contratistas.</w:t>
      </w:r>
    </w:p>
    <w:p w14:paraId="46A2140A" w14:textId="77777777" w:rsidR="003B2541" w:rsidRPr="00387BC4" w:rsidRDefault="003B2541" w:rsidP="003B2541">
      <w:pPr>
        <w:spacing w:after="0" w:line="240" w:lineRule="auto"/>
        <w:contextualSpacing/>
        <w:jc w:val="both"/>
        <w:rPr>
          <w:rFonts w:ascii="Verdana" w:eastAsia="Calibri" w:hAnsi="Verdana" w:cs="Arial"/>
          <w:bCs/>
          <w:sz w:val="20"/>
          <w:szCs w:val="20"/>
          <w:lang w:val="es-ES_tradnl"/>
        </w:rPr>
      </w:pPr>
    </w:p>
    <w:p w14:paraId="52E7A6FD" w14:textId="77777777" w:rsidR="003B2541" w:rsidRPr="00387BC4" w:rsidRDefault="003B2541" w:rsidP="003B2541">
      <w:pPr>
        <w:spacing w:after="0" w:line="240" w:lineRule="auto"/>
        <w:contextualSpacing/>
        <w:jc w:val="both"/>
        <w:rPr>
          <w:rFonts w:ascii="Verdana" w:eastAsia="Calibri" w:hAnsi="Verdana" w:cs="Arial"/>
          <w:sz w:val="20"/>
          <w:szCs w:val="20"/>
          <w:lang w:val="es-ES"/>
        </w:rPr>
      </w:pPr>
      <w:r w:rsidRPr="7E5A8D80">
        <w:rPr>
          <w:rFonts w:ascii="Verdana" w:eastAsia="Calibri" w:hAnsi="Verdana" w:cs="Arial"/>
          <w:sz w:val="20"/>
          <w:szCs w:val="20"/>
          <w:lang w:val="es-ES"/>
        </w:rPr>
        <w:t xml:space="preserve">En contraposición a los requisitos habilitantes, el artículo 5 de la Ley 1150 de 2007 regula los factores dirigidos a determinar cuál es la propuesta, comparativamente, más favorable. En ese sentido, el inciso primero dispone los factores de escogencia y calificación que deben indicarse en los pliegos de condiciones o documentos equivalentes. El numeral segundo de esta norma establece que la oferta más favorable es aquella que resulte ser la más ventajosa para la entidad, una vez se realice la ponderación precisa y detallada de los factores técnicos y económicos de escogencia, de acuerdo con los parámetros establecidos en los pliegos de condiciones o equivalentes, que permiten la comparación de ofertas. Este numeral segundo se divide en dos literales, cada uno de los cuales hace referencia a los mecanismos por los que pueden optar las entidades para ponderar los elementos de calidad y precio de las ofertas. El literal a) alude a la ponderación de los referidos elementos mediante puntajes o fórmulas, mientras que el literal b) se refiere la elección de la oferta que represente la mejor relación costo-beneficio para la entidad. </w:t>
      </w:r>
    </w:p>
    <w:p w14:paraId="1BFE0C35" w14:textId="77777777" w:rsidR="003B2541" w:rsidRPr="002230BD" w:rsidRDefault="003B2541" w:rsidP="003B2541">
      <w:pPr>
        <w:spacing w:after="0" w:line="240" w:lineRule="auto"/>
        <w:contextualSpacing/>
        <w:jc w:val="both"/>
        <w:rPr>
          <w:rFonts w:ascii="Verdana" w:hAnsi="Verdana" w:cs="Arial"/>
          <w:bCs/>
          <w:sz w:val="20"/>
          <w:szCs w:val="20"/>
          <w:lang w:val="es-ES_tradnl"/>
        </w:rPr>
      </w:pPr>
    </w:p>
    <w:p w14:paraId="7C270DFD" w14:textId="77777777" w:rsidR="003B2541" w:rsidRPr="00387BC4" w:rsidRDefault="003B2541" w:rsidP="003B2541">
      <w:pPr>
        <w:spacing w:before="120" w:after="120" w:line="276" w:lineRule="auto"/>
        <w:contextualSpacing/>
        <w:jc w:val="both"/>
        <w:rPr>
          <w:rFonts w:ascii="Verdana" w:hAnsi="Verdana" w:cs="Arial"/>
          <w:b/>
          <w:lang w:val="es-ES_tradnl"/>
        </w:rPr>
      </w:pPr>
      <w:r w:rsidRPr="002230BD">
        <w:rPr>
          <w:rFonts w:ascii="Verdana" w:hAnsi="Verdana" w:cs="Arial"/>
          <w:b/>
          <w:lang w:val="es-ES_tradnl"/>
        </w:rPr>
        <w:t xml:space="preserve">REQUISITOS PONDERABLES – Asignación de puntaje </w:t>
      </w:r>
    </w:p>
    <w:p w14:paraId="0150A0B8" w14:textId="77777777" w:rsidR="003B2541" w:rsidRPr="00387BC4" w:rsidRDefault="003B2541" w:rsidP="003B2541">
      <w:pPr>
        <w:spacing w:after="0" w:line="240" w:lineRule="auto"/>
        <w:contextualSpacing/>
        <w:jc w:val="both"/>
        <w:rPr>
          <w:rFonts w:ascii="Verdana" w:eastAsia="Calibri" w:hAnsi="Verdana" w:cs="Arial"/>
          <w:sz w:val="20"/>
          <w:szCs w:val="20"/>
          <w:lang w:val="es-ES"/>
        </w:rPr>
      </w:pPr>
      <w:r w:rsidRPr="7E5A8D80">
        <w:rPr>
          <w:rFonts w:ascii="Verdana" w:eastAsia="Calibri" w:hAnsi="Verdana" w:cs="Arial"/>
          <w:sz w:val="20"/>
          <w:szCs w:val="20"/>
          <w:lang w:val="es-ES"/>
        </w:rPr>
        <w:t xml:space="preserve">De acuerdo con lo anterior, es posible asimilar las diferentes categorías a las que hace referencia el artículo 5 de la Ley 1150 de 2007, cuando alude a los factores que, a diferencia de los requisitos habilitantes, determinan la oferta más favorable para la </w:t>
      </w:r>
      <w:r w:rsidRPr="7E5A8D80">
        <w:rPr>
          <w:rFonts w:ascii="Verdana" w:eastAsia="Calibri" w:hAnsi="Verdana" w:cs="Arial"/>
          <w:sz w:val="20"/>
          <w:szCs w:val="20"/>
          <w:lang w:val="es-ES"/>
        </w:rPr>
        <w:lastRenderedPageBreak/>
        <w:t xml:space="preserve">entidad, y que, por lo tanto, hacen que una oferta sea mejor que otra, pese a tener que cumplir todas ellas los requisitos habilitantes. Es frente a aquellos factores, que determinan comparativamente que una oferta sea mejor que otra, que la entidad concibe el otorgamiento de puntajes, como mecanismos para ponderar y comparar los ofrecimientos, con el fin de determinar objetivamente la oferta más favorable, aplicando para ello las reglas establecidas en el pliego o documento equivalente para la ponderación de las ofertas. </w:t>
      </w:r>
    </w:p>
    <w:p w14:paraId="0D32656C" w14:textId="77777777" w:rsidR="003B2541" w:rsidRPr="00387BC4" w:rsidRDefault="003B2541" w:rsidP="003B2541">
      <w:pPr>
        <w:spacing w:after="0" w:line="240" w:lineRule="auto"/>
        <w:contextualSpacing/>
        <w:jc w:val="both"/>
        <w:rPr>
          <w:rFonts w:ascii="Verdana" w:eastAsia="Calibri" w:hAnsi="Verdana" w:cs="Arial"/>
          <w:bCs/>
          <w:sz w:val="20"/>
          <w:szCs w:val="20"/>
          <w:lang w:val="es-ES_tradnl"/>
        </w:rPr>
      </w:pPr>
    </w:p>
    <w:p w14:paraId="6169AB03" w14:textId="77777777" w:rsidR="003B2541" w:rsidRPr="00387BC4" w:rsidRDefault="003B2541" w:rsidP="003B2541">
      <w:pPr>
        <w:spacing w:after="0" w:line="240" w:lineRule="auto"/>
        <w:contextualSpacing/>
        <w:jc w:val="both"/>
        <w:rPr>
          <w:rFonts w:ascii="Verdana" w:eastAsia="Calibri" w:hAnsi="Verdana" w:cs="Arial"/>
          <w:bCs/>
          <w:sz w:val="20"/>
          <w:szCs w:val="20"/>
          <w:lang w:val="es-ES_tradnl"/>
        </w:rPr>
      </w:pPr>
      <w:r w:rsidRPr="00387BC4">
        <w:rPr>
          <w:rFonts w:ascii="Verdana" w:eastAsia="Calibri" w:hAnsi="Verdana" w:cs="Arial"/>
          <w:bCs/>
          <w:sz w:val="20"/>
          <w:szCs w:val="20"/>
          <w:lang w:val="es-ES_tradnl"/>
        </w:rPr>
        <w:t xml:space="preserve">En ese sentido, la asignación de puntaje es un mecanismo mediante el cual las entidades ponderan los factores de calificación </w:t>
      </w:r>
      <w:r w:rsidRPr="00387BC4">
        <w:rPr>
          <w:rFonts w:ascii="Tahoma" w:eastAsia="Calibri" w:hAnsi="Tahoma" w:cs="Tahoma"/>
          <w:bCs/>
          <w:sz w:val="20"/>
          <w:szCs w:val="20"/>
          <w:lang w:val="es-ES_tradnl"/>
        </w:rPr>
        <w:t>ꟷ</w:t>
      </w:r>
      <w:r w:rsidRPr="00387BC4">
        <w:rPr>
          <w:rFonts w:ascii="Verdana" w:eastAsia="Calibri" w:hAnsi="Verdana" w:cs="Arial"/>
          <w:bCs/>
          <w:sz w:val="20"/>
          <w:szCs w:val="20"/>
          <w:lang w:val="es-ES_tradnl"/>
        </w:rPr>
        <w:t>v.g. técnicos, de calidad y precio, etc.</w:t>
      </w:r>
      <w:r w:rsidRPr="00387BC4">
        <w:rPr>
          <w:rFonts w:ascii="Tahoma" w:eastAsia="Calibri" w:hAnsi="Tahoma" w:cs="Tahoma"/>
          <w:bCs/>
          <w:sz w:val="20"/>
          <w:szCs w:val="20"/>
          <w:lang w:val="es-ES_tradnl"/>
        </w:rPr>
        <w:t>ꟷ</w:t>
      </w:r>
      <w:r w:rsidRPr="00387BC4">
        <w:rPr>
          <w:rFonts w:ascii="Verdana" w:eastAsia="Calibri" w:hAnsi="Verdana" w:cs="Arial"/>
          <w:bCs/>
          <w:sz w:val="20"/>
          <w:szCs w:val="20"/>
          <w:lang w:val="es-ES_tradnl"/>
        </w:rPr>
        <w:t xml:space="preserve"> en un determinado proceso de selección, como se desprende del literal a) del numeral segundo del artículo 5 de la Ley 1150 de 2007, en el que, expresamente, se alude al puntaje. Sin embargo, no es este el único mecanismo de ponderación que tienen a su alcance las entidades estatales para determinar el ofrecimiento más favorable, ya que el propio literal b) del artículo 5.2 posibilita que el ofrecimiento más favorable se determine con un análisis de la relación costo-beneficio, evento en el no habría necesidad de acudir obligatoriamente a sistemas de asignación de puntaje. A estos se suman, los procesos de selección de bienes y servicios de características técnicas uniformes y de común utilización, así como los de mínima cuantía, en los que –según los artículos 5.3 y 2.5 de la Ley 1150 de 2007– el único factor de selección es el menor precio ofertado, por lo que no hay lugar a ponderación mediante puntajes.</w:t>
      </w:r>
    </w:p>
    <w:p w14:paraId="2DD28212" w14:textId="77777777" w:rsidR="003B2541" w:rsidRPr="00387BC4" w:rsidRDefault="003B2541" w:rsidP="003B2541">
      <w:pPr>
        <w:spacing w:after="0" w:line="240" w:lineRule="auto"/>
        <w:contextualSpacing/>
        <w:jc w:val="both"/>
        <w:rPr>
          <w:rFonts w:ascii="Verdana" w:eastAsia="Calibri" w:hAnsi="Verdana" w:cs="Arial"/>
          <w:bCs/>
          <w:sz w:val="20"/>
          <w:szCs w:val="20"/>
          <w:lang w:val="es-ES_tradnl"/>
        </w:rPr>
      </w:pPr>
      <w:r w:rsidRPr="00387BC4">
        <w:rPr>
          <w:rFonts w:ascii="Verdana" w:eastAsia="Calibri" w:hAnsi="Verdana" w:cs="Arial"/>
          <w:bCs/>
          <w:sz w:val="20"/>
          <w:szCs w:val="20"/>
          <w:lang w:val="es-ES_tradnl"/>
        </w:rPr>
        <w:t>[…]</w:t>
      </w:r>
    </w:p>
    <w:p w14:paraId="7FD4C4F3" w14:textId="77777777" w:rsidR="003B2541" w:rsidRPr="00387BC4" w:rsidRDefault="003B2541" w:rsidP="003B2541">
      <w:pPr>
        <w:spacing w:after="0" w:line="240" w:lineRule="auto"/>
        <w:contextualSpacing/>
        <w:jc w:val="both"/>
        <w:rPr>
          <w:rFonts w:ascii="Verdana" w:eastAsia="Calibri" w:hAnsi="Verdana" w:cs="Arial"/>
          <w:bCs/>
          <w:sz w:val="20"/>
          <w:szCs w:val="20"/>
          <w:lang w:val="es-ES_tradnl"/>
        </w:rPr>
      </w:pPr>
      <w:r w:rsidRPr="00387BC4">
        <w:rPr>
          <w:rFonts w:ascii="Verdana" w:eastAsia="Calibri" w:hAnsi="Verdana" w:cs="Arial"/>
          <w:bCs/>
          <w:sz w:val="20"/>
          <w:szCs w:val="20"/>
          <w:lang w:val="es-ES_tradnl"/>
        </w:rPr>
        <w:t>A partir de lo expuesto, “PONDERAR o ASIGNAR PUNTAJE en un proceso de selección” es el procedimiento que realiza la Entidad Estatal al evaluar las ofertas presentadas por los proponentes, frente a los factores ponderables o de asignación de puntaje que determinaron en el pliego de condiciones para que una oferta sea considerada mejor que otra, en virtud del principio de selección objetiva que rige en la contratación estatal.</w:t>
      </w:r>
    </w:p>
    <w:p w14:paraId="2094AB5F" w14:textId="77777777" w:rsidR="003B2541" w:rsidRDefault="003B2541" w:rsidP="003B2541">
      <w:pPr>
        <w:spacing w:after="0" w:line="240" w:lineRule="auto"/>
        <w:contextualSpacing/>
        <w:jc w:val="both"/>
        <w:rPr>
          <w:rFonts w:ascii="Verdana" w:eastAsia="Calibri" w:hAnsi="Verdana" w:cs="Arial"/>
          <w:bCs/>
          <w:sz w:val="20"/>
          <w:szCs w:val="20"/>
          <w:lang w:val="es-ES_tradnl"/>
        </w:rPr>
      </w:pPr>
    </w:p>
    <w:p w14:paraId="027F1031" w14:textId="77777777" w:rsidR="003B2541" w:rsidRPr="00AC1D09" w:rsidRDefault="003B2541" w:rsidP="003B2541">
      <w:pPr>
        <w:spacing w:before="120" w:after="120" w:line="276" w:lineRule="auto"/>
        <w:contextualSpacing/>
        <w:jc w:val="both"/>
        <w:rPr>
          <w:rFonts w:ascii="Verdana" w:hAnsi="Verdana" w:cs="Arial"/>
          <w:b/>
          <w:lang w:val="es-ES_tradnl"/>
        </w:rPr>
      </w:pPr>
      <w:r w:rsidRPr="00AC1D09">
        <w:rPr>
          <w:rFonts w:ascii="Verdana" w:hAnsi="Verdana" w:cs="Arial"/>
          <w:b/>
          <w:lang w:val="es-ES_tradnl"/>
        </w:rPr>
        <w:t xml:space="preserve">REQUISITOS HABILITANTES – </w:t>
      </w:r>
      <w:r w:rsidRPr="00B95F1B">
        <w:rPr>
          <w:rFonts w:ascii="Verdana" w:hAnsi="Verdana" w:cs="Arial"/>
          <w:b/>
          <w:lang w:val="es-ES_tradnl"/>
        </w:rPr>
        <w:t>Manual para determinar y verificar los requisitos habilitantes en los Procesos de Contratación</w:t>
      </w:r>
      <w:r w:rsidRPr="00AC1D09">
        <w:rPr>
          <w:rFonts w:ascii="Verdana" w:hAnsi="Verdana" w:cs="Arial"/>
          <w:b/>
          <w:lang w:val="es-ES_tradnl"/>
        </w:rPr>
        <w:t xml:space="preserve"> </w:t>
      </w:r>
    </w:p>
    <w:p w14:paraId="5F9CCF83" w14:textId="77777777" w:rsidR="003B2541" w:rsidRDefault="003B2541" w:rsidP="003B2541">
      <w:pPr>
        <w:spacing w:after="0" w:line="240" w:lineRule="auto"/>
        <w:contextualSpacing/>
        <w:jc w:val="both"/>
        <w:rPr>
          <w:rFonts w:ascii="Verdana" w:eastAsia="Calibri" w:hAnsi="Verdana" w:cs="Arial"/>
          <w:sz w:val="20"/>
          <w:szCs w:val="20"/>
          <w:lang w:val="es-ES"/>
        </w:rPr>
      </w:pPr>
      <w:r>
        <w:rPr>
          <w:rFonts w:ascii="Verdana" w:eastAsia="Calibri" w:hAnsi="Verdana" w:cs="Arial"/>
          <w:sz w:val="20"/>
          <w:szCs w:val="20"/>
          <w:lang w:val="es-ES"/>
        </w:rPr>
        <w:t xml:space="preserve">[…] </w:t>
      </w:r>
      <w:r w:rsidRPr="00943E93">
        <w:rPr>
          <w:rFonts w:ascii="Verdana" w:eastAsia="Calibri" w:hAnsi="Verdana" w:cs="Arial"/>
          <w:sz w:val="20"/>
          <w:szCs w:val="20"/>
          <w:lang w:val="es-ES"/>
        </w:rPr>
        <w:t>en el “Manual para determinar y verificar los requisitos habilitantes en los Procesos de Contratación” expedido por esta Agencia, en el cual se determinaron los parámetros para establecer, acreditar y subsanar los requisitos habilitantes estudiados en los párrafos precedentes, se indica que su propósito consiste en “establecer unas condiciones mínimas para los proponentes de tal manera que la Entidad Estatal sólo evalúe las ofertas de aquellos que están en condiciones de cumplir con el objeto del Proceso de Contratación”. En otras palabras, al tratarse de condiciones mínimas, significa que las entidades podrían establecer otras, según su autonomía de la voluntad, y teniendo en cuenta el objeto del contrato, los riesgos detectados en los estudios previos, el presupuesto oficial, entre otros factores.</w:t>
      </w:r>
    </w:p>
    <w:p w14:paraId="1DD1B8C6" w14:textId="77777777" w:rsidR="003B2541" w:rsidRDefault="003B2541" w:rsidP="003B2541">
      <w:pPr>
        <w:spacing w:after="0" w:line="240" w:lineRule="auto"/>
        <w:contextualSpacing/>
        <w:jc w:val="both"/>
        <w:rPr>
          <w:rFonts w:ascii="Verdana" w:eastAsia="Calibri" w:hAnsi="Verdana" w:cs="Arial"/>
          <w:sz w:val="20"/>
          <w:szCs w:val="20"/>
          <w:lang w:val="es-ES"/>
        </w:rPr>
      </w:pPr>
    </w:p>
    <w:p w14:paraId="11AA48CB" w14:textId="77777777" w:rsidR="003B2541" w:rsidRPr="00AC1D09" w:rsidRDefault="003B2541" w:rsidP="003B2541">
      <w:pPr>
        <w:spacing w:before="120" w:after="120" w:line="276" w:lineRule="auto"/>
        <w:contextualSpacing/>
        <w:jc w:val="both"/>
        <w:rPr>
          <w:rFonts w:ascii="Verdana" w:hAnsi="Verdana" w:cs="Arial"/>
          <w:b/>
          <w:lang w:val="es-ES_tradnl"/>
        </w:rPr>
      </w:pPr>
      <w:r w:rsidRPr="005770E1">
        <w:rPr>
          <w:rFonts w:ascii="Verdana" w:hAnsi="Verdana" w:cs="Arial"/>
          <w:b/>
          <w:lang w:val="es-ES"/>
        </w:rPr>
        <w:lastRenderedPageBreak/>
        <w:t xml:space="preserve">REQUISITOS HABILITANTES – Discrecionalidad – Pliego de condiciones </w:t>
      </w:r>
      <w:r w:rsidRPr="00B95F1B">
        <w:rPr>
          <w:rFonts w:ascii="Verdana" w:hAnsi="Verdana" w:cs="Arial"/>
          <w:b/>
          <w:lang w:val="es-ES_tradnl"/>
        </w:rPr>
        <w:t>Contratación</w:t>
      </w:r>
      <w:r w:rsidRPr="00AC1D09">
        <w:rPr>
          <w:rFonts w:ascii="Verdana" w:hAnsi="Verdana" w:cs="Arial"/>
          <w:b/>
          <w:lang w:val="es-ES_tradnl"/>
        </w:rPr>
        <w:t xml:space="preserve"> </w:t>
      </w:r>
    </w:p>
    <w:p w14:paraId="4CB74473" w14:textId="77777777" w:rsidR="003B2541" w:rsidRPr="005770E1" w:rsidRDefault="003B2541" w:rsidP="003B2541">
      <w:pPr>
        <w:spacing w:after="0" w:line="240" w:lineRule="auto"/>
        <w:contextualSpacing/>
        <w:jc w:val="both"/>
        <w:rPr>
          <w:rFonts w:ascii="Verdana" w:eastAsia="Calibri" w:hAnsi="Verdana" w:cs="Arial"/>
          <w:sz w:val="20"/>
          <w:szCs w:val="20"/>
          <w:lang w:val="es-ES"/>
        </w:rPr>
      </w:pPr>
      <w:r>
        <w:rPr>
          <w:rFonts w:ascii="Verdana" w:eastAsia="Calibri" w:hAnsi="Verdana" w:cs="Arial"/>
          <w:sz w:val="20"/>
          <w:szCs w:val="20"/>
          <w:lang w:val="es-ES"/>
        </w:rPr>
        <w:t xml:space="preserve">[…] </w:t>
      </w:r>
      <w:r w:rsidRPr="005770E1">
        <w:rPr>
          <w:rFonts w:ascii="Verdana" w:eastAsia="Calibri" w:hAnsi="Verdana" w:cs="Arial"/>
          <w:sz w:val="20"/>
          <w:szCs w:val="20"/>
          <w:lang w:val="es-ES"/>
        </w:rPr>
        <w:t>corresponde a las entidades estatales, durante la etapa de planeación del contrato estatal, estudiar y determinar los requisitos habilitantes que establecerán en los pliegos de condiciones, los cuales deben fijarse de forma adecuada y proporcional. Esto último, según se deriva de la lectura del artículo 2.2.1.1.1.6.2 del Decreto 1082 de 2015, debe hacerse de acuerdo con la naturaleza, el valor del contrato, la forma de pago, los riesgos asociados al contrato, el plazo y la complejidad de ejecución del objeto.</w:t>
      </w:r>
    </w:p>
    <w:p w14:paraId="2DC9CC2A" w14:textId="77777777" w:rsidR="003B2541" w:rsidRPr="00AC1D09" w:rsidRDefault="003B2541" w:rsidP="003B2541">
      <w:pPr>
        <w:spacing w:after="0" w:line="240" w:lineRule="auto"/>
        <w:contextualSpacing/>
        <w:jc w:val="both"/>
        <w:rPr>
          <w:rFonts w:ascii="Verdana" w:eastAsia="Calibri" w:hAnsi="Verdana" w:cs="Arial"/>
          <w:sz w:val="20"/>
          <w:szCs w:val="20"/>
          <w:lang w:val="es-ES"/>
        </w:rPr>
      </w:pPr>
      <w:r w:rsidRPr="005770E1">
        <w:rPr>
          <w:rFonts w:ascii="Verdana" w:eastAsia="Calibri" w:hAnsi="Verdana" w:cs="Arial"/>
          <w:sz w:val="20"/>
          <w:szCs w:val="20"/>
          <w:lang w:val="es-ES"/>
        </w:rPr>
        <w:t>Considerando la discrecionalidad para establecer requisitos habilitantes, es necesario tener en cuenta que el artículo 44 de la Ley 1437 de 2011 –aplicable en los procedimientos contractuales en virtud del artículo 77 de la Ley 80 de 1993– dispone que “En la medida en que el contenido de una decisión de carácter general o particular sea discrecional, debe ser adecuada a los fines de la norma que la autoriza, y proporcional a los hechos que le sirven de causa”. Dado lo anterior, para efectos de configurar requisitos habilitantes la Entidad Estatal tiene la carga de justificar en los estudios previos y análisis del sector del proceso de selección su procedencia, de conformidad con el artículo 2.2.1.1.1.6.2 del Decreto 1082 de 2015.</w:t>
      </w:r>
    </w:p>
    <w:p w14:paraId="4C120450" w14:textId="77777777" w:rsidR="003B2541" w:rsidRPr="003B2541" w:rsidRDefault="003B2541" w:rsidP="003B2541">
      <w:pPr>
        <w:pStyle w:val="Textoindependiente"/>
        <w:spacing w:before="168"/>
        <w:rPr>
          <w:rFonts w:ascii="Verdana" w:hAnsi="Verdana"/>
          <w:lang w:val="es-ES"/>
        </w:rPr>
      </w:pPr>
    </w:p>
    <w:p w14:paraId="250CBD5C" w14:textId="77777777" w:rsidR="003B2541" w:rsidRDefault="003B2541" w:rsidP="003B2541">
      <w:pPr>
        <w:pStyle w:val="Textoindependiente"/>
        <w:spacing w:before="168"/>
        <w:rPr>
          <w:rFonts w:ascii="Verdana" w:hAnsi="Verdana"/>
        </w:rPr>
      </w:pPr>
    </w:p>
    <w:p w14:paraId="6823A7A8" w14:textId="77777777" w:rsidR="003B2541" w:rsidRDefault="003B2541" w:rsidP="003B2541">
      <w:pPr>
        <w:pStyle w:val="Textoindependiente"/>
        <w:spacing w:before="168"/>
        <w:rPr>
          <w:rFonts w:ascii="Verdana" w:hAnsi="Verdana"/>
        </w:rPr>
      </w:pPr>
    </w:p>
    <w:p w14:paraId="52DDA39C" w14:textId="77777777" w:rsidR="003B2541" w:rsidRDefault="003B2541" w:rsidP="003B2541">
      <w:pPr>
        <w:pStyle w:val="Textoindependiente"/>
        <w:spacing w:before="168"/>
        <w:rPr>
          <w:rFonts w:ascii="Verdana" w:hAnsi="Verdana"/>
        </w:rPr>
      </w:pPr>
    </w:p>
    <w:p w14:paraId="286C474E" w14:textId="77777777" w:rsidR="003B2541" w:rsidRDefault="003B2541" w:rsidP="003B2541">
      <w:pPr>
        <w:pStyle w:val="Textoindependiente"/>
        <w:spacing w:before="168"/>
        <w:rPr>
          <w:rFonts w:ascii="Verdana" w:hAnsi="Verdana"/>
        </w:rPr>
      </w:pPr>
    </w:p>
    <w:p w14:paraId="39A1424B" w14:textId="77777777" w:rsidR="003B2541" w:rsidRDefault="003B2541" w:rsidP="003B2541">
      <w:pPr>
        <w:pStyle w:val="Textoindependiente"/>
        <w:spacing w:before="168"/>
        <w:rPr>
          <w:rFonts w:ascii="Verdana" w:hAnsi="Verdana"/>
        </w:rPr>
      </w:pPr>
    </w:p>
    <w:p w14:paraId="1115B03A" w14:textId="77777777" w:rsidR="003B2541" w:rsidRDefault="003B2541" w:rsidP="003B2541">
      <w:pPr>
        <w:pStyle w:val="Textoindependiente"/>
        <w:spacing w:before="168"/>
        <w:rPr>
          <w:rFonts w:ascii="Verdana" w:hAnsi="Verdana"/>
        </w:rPr>
      </w:pPr>
    </w:p>
    <w:p w14:paraId="5F37282E" w14:textId="77777777" w:rsidR="003B2541" w:rsidRDefault="003B2541" w:rsidP="003B2541">
      <w:pPr>
        <w:pStyle w:val="Textoindependiente"/>
        <w:spacing w:before="168"/>
        <w:rPr>
          <w:rFonts w:ascii="Verdana" w:hAnsi="Verdana"/>
        </w:rPr>
      </w:pPr>
    </w:p>
    <w:p w14:paraId="35100199" w14:textId="77777777" w:rsidR="003B2541" w:rsidRDefault="003B2541" w:rsidP="003B2541">
      <w:pPr>
        <w:pStyle w:val="Textoindependiente"/>
        <w:spacing w:before="168"/>
        <w:rPr>
          <w:rFonts w:ascii="Verdana" w:hAnsi="Verdana"/>
        </w:rPr>
      </w:pPr>
    </w:p>
    <w:p w14:paraId="7FE8956C" w14:textId="77777777" w:rsidR="003B2541" w:rsidRDefault="003B2541" w:rsidP="003B2541">
      <w:pPr>
        <w:pStyle w:val="Textoindependiente"/>
        <w:spacing w:before="168"/>
        <w:rPr>
          <w:rFonts w:ascii="Verdana" w:hAnsi="Verdana"/>
        </w:rPr>
      </w:pPr>
    </w:p>
    <w:p w14:paraId="14F710FA" w14:textId="77777777" w:rsidR="003B2541" w:rsidRDefault="003B2541" w:rsidP="003B2541">
      <w:pPr>
        <w:pStyle w:val="Textoindependiente"/>
        <w:spacing w:before="168"/>
        <w:rPr>
          <w:rFonts w:ascii="Verdana" w:hAnsi="Verdana"/>
        </w:rPr>
      </w:pPr>
    </w:p>
    <w:p w14:paraId="3C645B41" w14:textId="77777777" w:rsidR="003B2541" w:rsidRDefault="003B2541" w:rsidP="003B2541">
      <w:pPr>
        <w:pStyle w:val="Textoindependiente"/>
        <w:spacing w:before="168"/>
        <w:rPr>
          <w:rFonts w:ascii="Verdana" w:hAnsi="Verdana"/>
        </w:rPr>
      </w:pPr>
    </w:p>
    <w:p w14:paraId="33B4A1F1" w14:textId="77777777" w:rsidR="003B2541" w:rsidRDefault="003B2541" w:rsidP="003B2541">
      <w:pPr>
        <w:pStyle w:val="Textoindependiente"/>
        <w:spacing w:before="168"/>
        <w:rPr>
          <w:rFonts w:ascii="Verdana" w:hAnsi="Verdana"/>
        </w:rPr>
      </w:pPr>
    </w:p>
    <w:p w14:paraId="38F24759" w14:textId="5D104C4B" w:rsidR="003B2541" w:rsidRPr="003B2541" w:rsidRDefault="003B2541" w:rsidP="003B2541">
      <w:pPr>
        <w:pStyle w:val="Textoindependiente"/>
        <w:spacing w:before="168"/>
        <w:rPr>
          <w:rFonts w:ascii="Verdana" w:hAnsi="Verdana"/>
        </w:rPr>
      </w:pPr>
      <w:r w:rsidRPr="003B2541">
        <w:rPr>
          <w:rFonts w:ascii="Verdana" w:hAnsi="Verdana"/>
          <w:noProof/>
        </w:rPr>
        <w:lastRenderedPageBreak/>
        <w:drawing>
          <wp:anchor distT="0" distB="0" distL="0" distR="0" simplePos="0" relativeHeight="251659264" behindDoc="0" locked="0" layoutInCell="1" allowOverlap="1" wp14:anchorId="3726469E" wp14:editId="526FEA4C">
            <wp:simplePos x="0" y="0"/>
            <wp:positionH relativeFrom="page">
              <wp:posOffset>4291965</wp:posOffset>
            </wp:positionH>
            <wp:positionV relativeFrom="paragraph">
              <wp:posOffset>102996</wp:posOffset>
            </wp:positionV>
            <wp:extent cx="2400300" cy="615950"/>
            <wp:effectExtent l="0" t="0" r="0" b="0"/>
            <wp:wrapNone/>
            <wp:docPr id="8" name="Image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 name="Image 8"/>
                    <pic:cNvPicPr/>
                  </pic:nvPicPr>
                  <pic:blipFill>
                    <a:blip r:embed="rId11" cstate="print"/>
                    <a:stretch>
                      <a:fillRect/>
                    </a:stretch>
                  </pic:blipFill>
                  <pic:spPr>
                    <a:xfrm>
                      <a:off x="0" y="0"/>
                      <a:ext cx="2400300" cy="615950"/>
                    </a:xfrm>
                    <a:prstGeom prst="rect">
                      <a:avLst/>
                    </a:prstGeom>
                  </pic:spPr>
                </pic:pic>
              </a:graphicData>
            </a:graphic>
          </wp:anchor>
        </w:drawing>
      </w:r>
      <w:r w:rsidRPr="003B2541">
        <w:rPr>
          <w:rFonts w:ascii="Verdana" w:hAnsi="Verdana"/>
        </w:rPr>
        <w:t>Bogotá</w:t>
      </w:r>
      <w:r w:rsidRPr="003B2541">
        <w:rPr>
          <w:rFonts w:ascii="Verdana" w:hAnsi="Verdana"/>
          <w:spacing w:val="-5"/>
        </w:rPr>
        <w:t xml:space="preserve"> </w:t>
      </w:r>
      <w:r w:rsidRPr="003B2541">
        <w:rPr>
          <w:rFonts w:ascii="Verdana" w:hAnsi="Verdana"/>
        </w:rPr>
        <w:t>D.C.,</w:t>
      </w:r>
      <w:r w:rsidRPr="003B2541">
        <w:rPr>
          <w:rFonts w:ascii="Verdana" w:hAnsi="Verdana"/>
          <w:spacing w:val="2"/>
        </w:rPr>
        <w:t xml:space="preserve"> </w:t>
      </w:r>
      <w:r w:rsidRPr="003B2541">
        <w:rPr>
          <w:rFonts w:ascii="Verdana" w:hAnsi="Verdana"/>
        </w:rPr>
        <w:t>21 Mayo</w:t>
      </w:r>
      <w:r w:rsidRPr="003B2541">
        <w:rPr>
          <w:rFonts w:ascii="Verdana" w:hAnsi="Verdana"/>
          <w:spacing w:val="-5"/>
        </w:rPr>
        <w:t xml:space="preserve"> </w:t>
      </w:r>
      <w:r w:rsidRPr="003B2541">
        <w:rPr>
          <w:rFonts w:ascii="Verdana" w:hAnsi="Verdana"/>
          <w:spacing w:val="-4"/>
        </w:rPr>
        <w:t>2025</w:t>
      </w:r>
    </w:p>
    <w:p w14:paraId="7B82F7C4" w14:textId="56A071CB" w:rsidR="00871B59" w:rsidRPr="003B2541" w:rsidRDefault="00871B59" w:rsidP="007C3A01">
      <w:pPr>
        <w:spacing w:after="0" w:line="240" w:lineRule="auto"/>
        <w:rPr>
          <w:rFonts w:ascii="Verdana" w:eastAsia="Geomanist Light" w:hAnsi="Verdana" w:cs="Arial"/>
          <w:color w:val="000000" w:themeColor="text1"/>
        </w:rPr>
      </w:pPr>
    </w:p>
    <w:p w14:paraId="6A6826D7" w14:textId="4C075261" w:rsidR="00871B59" w:rsidRPr="00B96799" w:rsidRDefault="00871B59" w:rsidP="00871B59">
      <w:pPr>
        <w:spacing w:after="0" w:line="240" w:lineRule="auto"/>
        <w:jc w:val="both"/>
        <w:rPr>
          <w:rFonts w:ascii="Verdana" w:eastAsia="Calibri" w:hAnsi="Verdana" w:cs="Arial"/>
          <w:lang w:val="es-ES" w:eastAsia="es-ES"/>
        </w:rPr>
      </w:pPr>
      <w:r w:rsidRPr="00B96799">
        <w:rPr>
          <w:rFonts w:ascii="Verdana" w:eastAsia="Calibri" w:hAnsi="Verdana" w:cs="Arial"/>
          <w:lang w:val="es-ES" w:eastAsia="es-ES"/>
        </w:rPr>
        <w:t>Señor</w:t>
      </w:r>
    </w:p>
    <w:p w14:paraId="38A70410" w14:textId="3F5CA40C" w:rsidR="00871B59" w:rsidRPr="00B96799" w:rsidRDefault="007C3A01" w:rsidP="00871B59">
      <w:pPr>
        <w:spacing w:after="0" w:line="240" w:lineRule="auto"/>
        <w:rPr>
          <w:rFonts w:ascii="Verdana" w:eastAsia="Calibri" w:hAnsi="Verdana" w:cs="Arial"/>
          <w:b/>
          <w:lang w:val="es-ES_tradnl" w:eastAsia="es-ES_tradnl"/>
        </w:rPr>
      </w:pPr>
      <w:r>
        <w:rPr>
          <w:rFonts w:ascii="Verdana" w:eastAsia="Calibri" w:hAnsi="Verdana" w:cs="Arial"/>
          <w:b/>
          <w:lang w:val="es-ES_tradnl" w:eastAsia="es-ES_tradnl"/>
        </w:rPr>
        <w:t xml:space="preserve">José Vicente Carrillo Reyes </w:t>
      </w:r>
    </w:p>
    <w:p w14:paraId="7A539A3F" w14:textId="17210027" w:rsidR="00871B59" w:rsidRPr="00B96799" w:rsidRDefault="007C3A01" w:rsidP="00871B59">
      <w:pPr>
        <w:spacing w:after="0" w:line="240" w:lineRule="auto"/>
        <w:rPr>
          <w:rFonts w:ascii="Verdana" w:eastAsia="Calibri" w:hAnsi="Verdana" w:cs="Arial"/>
          <w:u w:val="single"/>
          <w:lang w:val="es-ES" w:eastAsia="es-ES"/>
        </w:rPr>
      </w:pPr>
      <w:r w:rsidRPr="007C3A01">
        <w:rPr>
          <w:rFonts w:ascii="Verdana" w:eastAsia="Calibri" w:hAnsi="Verdana" w:cs="Arial"/>
          <w:u w:val="single"/>
          <w:lang w:val="es-ES" w:eastAsia="es-ES"/>
        </w:rPr>
        <w:t>jvcarrillo7@gmail.com</w:t>
      </w:r>
    </w:p>
    <w:p w14:paraId="74516B2E" w14:textId="1714BEA1" w:rsidR="00871B59" w:rsidRPr="00B96799" w:rsidRDefault="007C3A01" w:rsidP="00871B59">
      <w:pPr>
        <w:spacing w:after="0" w:line="240" w:lineRule="auto"/>
        <w:rPr>
          <w:rFonts w:ascii="Verdana" w:eastAsia="Calibri" w:hAnsi="Verdana" w:cs="Arial"/>
          <w:b/>
          <w:bCs/>
          <w:lang w:val="es-ES" w:eastAsia="es-ES"/>
        </w:rPr>
      </w:pPr>
      <w:r>
        <w:rPr>
          <w:rFonts w:ascii="Verdana" w:eastAsia="Calibri" w:hAnsi="Verdana" w:cs="Arial"/>
          <w:lang w:val="es-ES" w:eastAsia="es-ES"/>
        </w:rPr>
        <w:t>Bogotá</w:t>
      </w:r>
      <w:r w:rsidR="00871B59" w:rsidRPr="00B96799">
        <w:rPr>
          <w:rFonts w:ascii="Verdana" w:eastAsia="Calibri" w:hAnsi="Verdana" w:cs="Arial"/>
          <w:lang w:val="es-ES" w:eastAsia="es-ES"/>
        </w:rPr>
        <w:t xml:space="preserve">, </w:t>
      </w:r>
      <w:r>
        <w:rPr>
          <w:rFonts w:ascii="Verdana" w:eastAsia="Calibri" w:hAnsi="Verdana" w:cs="Arial"/>
          <w:lang w:val="es-ES" w:eastAsia="es-ES"/>
        </w:rPr>
        <w:t>D.C</w:t>
      </w:r>
    </w:p>
    <w:p w14:paraId="7289AD22" w14:textId="77777777" w:rsidR="00871B59" w:rsidRPr="00593A5F" w:rsidRDefault="00871B59" w:rsidP="00871B59">
      <w:pPr>
        <w:spacing w:after="0" w:line="240" w:lineRule="auto"/>
        <w:rPr>
          <w:rFonts w:ascii="Verdana" w:eastAsia="Calibri" w:hAnsi="Verdana" w:cs="Arial"/>
          <w:b/>
          <w:bCs/>
          <w:color w:val="000000"/>
          <w:lang w:val="es-ES_tradnl" w:eastAsia="es-ES_tradnl"/>
        </w:rPr>
      </w:pPr>
    </w:p>
    <w:p w14:paraId="26C3E112" w14:textId="77777777" w:rsidR="00871B59" w:rsidRPr="00593A5F" w:rsidRDefault="00871B59" w:rsidP="00871B59">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871B59" w:rsidRPr="00593A5F" w14:paraId="057360A9" w14:textId="77777777" w:rsidTr="002607A7">
        <w:trPr>
          <w:trHeight w:val="884"/>
        </w:trPr>
        <w:tc>
          <w:tcPr>
            <w:tcW w:w="2689" w:type="dxa"/>
          </w:tcPr>
          <w:p w14:paraId="439E42C9" w14:textId="77777777" w:rsidR="00871B59" w:rsidRPr="00C00976" w:rsidRDefault="00871B59" w:rsidP="002607A7">
            <w:pPr>
              <w:jc w:val="both"/>
              <w:rPr>
                <w:rFonts w:ascii="Verdana" w:eastAsia="Calibri" w:hAnsi="Verdana" w:cs="Arial"/>
                <w:b/>
                <w:bCs/>
                <w:color w:val="7030A0"/>
                <w:lang w:val="es-ES_tradnl" w:eastAsia="es-ES_tradnl"/>
              </w:rPr>
            </w:pPr>
          </w:p>
        </w:tc>
        <w:tc>
          <w:tcPr>
            <w:tcW w:w="6100" w:type="dxa"/>
          </w:tcPr>
          <w:p w14:paraId="2974EB4B" w14:textId="4EB2E1F1" w:rsidR="00871B59" w:rsidRPr="00C00976" w:rsidRDefault="00871B59" w:rsidP="002607A7">
            <w:pPr>
              <w:jc w:val="both"/>
              <w:rPr>
                <w:rFonts w:ascii="Verdana" w:eastAsia="Calibri" w:hAnsi="Verdana" w:cs="Arial"/>
                <w:b/>
                <w:bCs/>
                <w:color w:val="7030A0"/>
                <w:lang w:val="es-ES" w:eastAsia="es-ES"/>
              </w:rPr>
            </w:pPr>
            <w:r w:rsidRPr="00247BDE">
              <w:rPr>
                <w:rFonts w:ascii="Verdana" w:eastAsia="Calibri" w:hAnsi="Verdana" w:cs="Arial"/>
                <w:b/>
                <w:bCs/>
                <w:lang w:val="es-ES" w:eastAsia="es-ES"/>
              </w:rPr>
              <w:t xml:space="preserve">Concepto C- </w:t>
            </w:r>
            <w:r w:rsidR="007C3A01">
              <w:rPr>
                <w:rFonts w:ascii="Verdana" w:eastAsia="Calibri" w:hAnsi="Verdana" w:cs="Arial"/>
                <w:b/>
                <w:bCs/>
                <w:lang w:val="es-ES" w:eastAsia="es-ES"/>
              </w:rPr>
              <w:t>442 de 2025</w:t>
            </w:r>
            <w:r w:rsidRPr="00C00976">
              <w:rPr>
                <w:rFonts w:ascii="Verdana" w:eastAsia="Calibri" w:hAnsi="Verdana" w:cs="Arial"/>
                <w:b/>
                <w:bCs/>
                <w:color w:val="7030A0"/>
                <w:lang w:val="es-ES" w:eastAsia="es-ES"/>
              </w:rPr>
              <w:t xml:space="preserve"> </w:t>
            </w:r>
          </w:p>
        </w:tc>
      </w:tr>
      <w:tr w:rsidR="00475A36" w:rsidRPr="00593A5F" w14:paraId="630272D8" w14:textId="77777777" w:rsidTr="005F3391">
        <w:trPr>
          <w:trHeight w:val="884"/>
        </w:trPr>
        <w:tc>
          <w:tcPr>
            <w:tcW w:w="2689" w:type="dxa"/>
          </w:tcPr>
          <w:p w14:paraId="16DDFAE5" w14:textId="77777777" w:rsidR="00475A36" w:rsidRPr="00593A5F" w:rsidRDefault="00475A36" w:rsidP="005F3391">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100" w:type="dxa"/>
          </w:tcPr>
          <w:p w14:paraId="5CEEE6A0" w14:textId="001FFDA7" w:rsidR="00475A36" w:rsidRDefault="00475A36" w:rsidP="005F3391">
            <w:pPr>
              <w:spacing w:line="276" w:lineRule="auto"/>
              <w:jc w:val="both"/>
              <w:rPr>
                <w:rFonts w:ascii="Verdana" w:eastAsia="Calibri" w:hAnsi="Verdana" w:cs="Arial"/>
                <w:lang w:val="es-ES" w:eastAsia="es-ES"/>
              </w:rPr>
            </w:pPr>
            <w:r w:rsidRPr="005C0FC8">
              <w:rPr>
                <w:rFonts w:ascii="Verdana" w:eastAsia="Calibri" w:hAnsi="Verdana" w:cs="Arial"/>
                <w:lang w:val="es-ES" w:eastAsia="es-ES"/>
              </w:rPr>
              <w:t>REQUISITOS HABILITANTES – Noción</w:t>
            </w:r>
            <w:r>
              <w:rPr>
                <w:rFonts w:ascii="Verdana" w:eastAsia="Calibri" w:hAnsi="Verdana" w:cs="Arial"/>
                <w:lang w:val="es-ES" w:eastAsia="es-ES"/>
              </w:rPr>
              <w:t xml:space="preserve"> – definición \ CRITERIOS DE EVALUACIÓN – Concepto – garantía de la libre competencia económica \ PRINCIPIO DE SELECCIÓN OBJETIVA – concordancia. </w:t>
            </w:r>
          </w:p>
          <w:p w14:paraId="7FDB215C" w14:textId="77777777" w:rsidR="00475A36" w:rsidRPr="00A11406" w:rsidRDefault="00475A36" w:rsidP="005F3391">
            <w:pPr>
              <w:spacing w:line="276" w:lineRule="auto"/>
              <w:jc w:val="both"/>
              <w:rPr>
                <w:rFonts w:ascii="Verdana" w:eastAsia="Calibri" w:hAnsi="Verdana" w:cs="Arial"/>
                <w:lang w:val="es-ES" w:eastAsia="es-ES"/>
              </w:rPr>
            </w:pPr>
          </w:p>
          <w:p w14:paraId="5412743F" w14:textId="77777777" w:rsidR="00475A36" w:rsidRPr="00593A5F" w:rsidRDefault="00475A36" w:rsidP="005F3391">
            <w:pPr>
              <w:spacing w:line="276" w:lineRule="auto"/>
              <w:jc w:val="both"/>
              <w:rPr>
                <w:rFonts w:ascii="Verdana" w:eastAsia="Calibri" w:hAnsi="Verdana" w:cs="Arial"/>
                <w:lang w:val="es-ES" w:eastAsia="es-ES"/>
              </w:rPr>
            </w:pPr>
            <w:r w:rsidRPr="00A11406">
              <w:rPr>
                <w:rFonts w:ascii="Verdana" w:eastAsia="Calibri" w:hAnsi="Verdana" w:cs="Arial"/>
                <w:lang w:val="es-ES" w:eastAsia="es-ES"/>
              </w:rPr>
              <w:t xml:space="preserve"> </w:t>
            </w:r>
            <w:r w:rsidRPr="00D1484F">
              <w:rPr>
                <w:rFonts w:ascii="Verdana" w:eastAsia="Calibri" w:hAnsi="Verdana" w:cs="Arial"/>
                <w:lang w:val="es-ES" w:eastAsia="es-ES"/>
              </w:rPr>
              <w:t xml:space="preserve"> </w:t>
            </w:r>
          </w:p>
        </w:tc>
      </w:tr>
      <w:tr w:rsidR="007C3A01" w:rsidRPr="007C3A01" w14:paraId="23567734" w14:textId="77777777" w:rsidTr="002607A7">
        <w:tc>
          <w:tcPr>
            <w:tcW w:w="2689" w:type="dxa"/>
          </w:tcPr>
          <w:p w14:paraId="2AADB022" w14:textId="77777777" w:rsidR="00871B59" w:rsidRPr="007C3A01" w:rsidRDefault="00871B59" w:rsidP="002607A7">
            <w:pPr>
              <w:jc w:val="both"/>
              <w:rPr>
                <w:rFonts w:ascii="Verdana" w:eastAsia="Calibri" w:hAnsi="Verdana" w:cs="Arial"/>
                <w:b/>
                <w:color w:val="000000" w:themeColor="text1"/>
                <w:lang w:val="es-ES_tradnl" w:eastAsia="es-ES_tradnl"/>
              </w:rPr>
            </w:pPr>
            <w:r w:rsidRPr="007C3A01">
              <w:rPr>
                <w:rFonts w:ascii="Verdana" w:eastAsia="Calibri" w:hAnsi="Verdana" w:cs="Arial"/>
                <w:b/>
                <w:color w:val="000000" w:themeColor="text1"/>
                <w:lang w:val="es-ES_tradnl" w:eastAsia="es-ES_tradnl"/>
              </w:rPr>
              <w:t>Radicación:</w:t>
            </w:r>
            <w:r w:rsidRPr="007C3A01">
              <w:rPr>
                <w:rFonts w:ascii="Verdana" w:eastAsia="Calibri" w:hAnsi="Verdana" w:cs="Arial"/>
                <w:color w:val="000000" w:themeColor="text1"/>
                <w:lang w:val="es-ES_tradnl" w:eastAsia="es-ES_tradnl"/>
              </w:rPr>
              <w:t xml:space="preserve">               </w:t>
            </w:r>
          </w:p>
        </w:tc>
        <w:tc>
          <w:tcPr>
            <w:tcW w:w="6100" w:type="dxa"/>
          </w:tcPr>
          <w:p w14:paraId="644AC438" w14:textId="1323254C" w:rsidR="00871B59" w:rsidRPr="007C3A01" w:rsidRDefault="00871B59" w:rsidP="002607A7">
            <w:pPr>
              <w:jc w:val="both"/>
              <w:rPr>
                <w:rFonts w:ascii="Verdana" w:eastAsia="Calibri" w:hAnsi="Verdana" w:cs="Arial"/>
                <w:color w:val="000000" w:themeColor="text1"/>
                <w:lang w:val="es-ES_tradnl" w:eastAsia="es-ES_tradnl"/>
              </w:rPr>
            </w:pPr>
            <w:r w:rsidRPr="007C3A01">
              <w:rPr>
                <w:rFonts w:ascii="Verdana" w:eastAsia="Calibri" w:hAnsi="Verdana" w:cs="Arial"/>
                <w:color w:val="000000" w:themeColor="text1"/>
                <w:lang w:val="es-ES_tradnl" w:eastAsia="es-ES_tradnl"/>
              </w:rPr>
              <w:t>Respuesta a consulta con radicado No. P202</w:t>
            </w:r>
            <w:r w:rsidR="007C3A01" w:rsidRPr="007C3A01">
              <w:rPr>
                <w:rFonts w:ascii="Verdana" w:eastAsia="Calibri" w:hAnsi="Verdana" w:cs="Arial"/>
                <w:color w:val="000000" w:themeColor="text1"/>
                <w:lang w:val="es-ES_tradnl" w:eastAsia="es-ES_tradnl"/>
              </w:rPr>
              <w:t>5</w:t>
            </w:r>
            <w:r w:rsidR="007C3A01" w:rsidRPr="007C3A01">
              <w:rPr>
                <w:rFonts w:ascii="Verdana" w:hAnsi="Verdana"/>
                <w:color w:val="000000" w:themeColor="text1"/>
                <w:shd w:val="clear" w:color="auto" w:fill="F5F5F5"/>
              </w:rPr>
              <w:t xml:space="preserve"> P20250410003514</w:t>
            </w:r>
          </w:p>
        </w:tc>
      </w:tr>
    </w:tbl>
    <w:p w14:paraId="4727DE15" w14:textId="77777777" w:rsidR="00871B59" w:rsidRPr="00593A5F" w:rsidRDefault="00871B59" w:rsidP="00871B59">
      <w:pPr>
        <w:spacing w:after="0" w:line="240" w:lineRule="auto"/>
        <w:jc w:val="both"/>
        <w:rPr>
          <w:rFonts w:ascii="Verdana" w:eastAsia="Calibri" w:hAnsi="Verdana" w:cs="Arial"/>
          <w:color w:val="000000"/>
          <w:lang w:val="es-ES_tradnl" w:eastAsia="es-ES_tradnl"/>
        </w:rPr>
      </w:pPr>
    </w:p>
    <w:p w14:paraId="5F7F9D73" w14:textId="77777777" w:rsidR="00871B59" w:rsidRPr="00593A5F" w:rsidRDefault="00871B59" w:rsidP="00871B59">
      <w:pPr>
        <w:spacing w:after="0" w:line="240" w:lineRule="auto"/>
        <w:jc w:val="both"/>
        <w:rPr>
          <w:rFonts w:ascii="Verdana" w:eastAsia="Calibri" w:hAnsi="Verdana" w:cs="Arial"/>
          <w:color w:val="000000"/>
          <w:lang w:val="es-ES_tradnl" w:eastAsia="es-ES_tradnl"/>
        </w:rPr>
      </w:pPr>
    </w:p>
    <w:p w14:paraId="3DC82C1B" w14:textId="6BD4C37C" w:rsidR="00871B59" w:rsidRPr="007C3A01" w:rsidRDefault="00871B59" w:rsidP="00871B59">
      <w:pPr>
        <w:spacing w:after="0" w:line="276" w:lineRule="auto"/>
        <w:jc w:val="both"/>
        <w:rPr>
          <w:rFonts w:ascii="Verdana" w:eastAsia="Calibri" w:hAnsi="Verdana" w:cs="Arial"/>
          <w:color w:val="000000" w:themeColor="text1"/>
          <w:lang w:val="es-ES" w:eastAsia="es-ES"/>
        </w:rPr>
      </w:pPr>
      <w:r w:rsidRPr="007C3A01">
        <w:rPr>
          <w:rFonts w:ascii="Verdana" w:eastAsia="Calibri" w:hAnsi="Verdana" w:cs="Arial"/>
          <w:color w:val="000000" w:themeColor="text1"/>
          <w:lang w:val="es-ES" w:eastAsia="es-ES"/>
        </w:rPr>
        <w:t>Estimado señor</w:t>
      </w:r>
      <w:r w:rsidR="007C3A01" w:rsidRPr="007C3A01">
        <w:rPr>
          <w:rFonts w:ascii="Verdana" w:eastAsia="Calibri" w:hAnsi="Verdana" w:cs="Arial"/>
          <w:color w:val="000000" w:themeColor="text1"/>
          <w:lang w:val="es-ES" w:eastAsia="es-ES"/>
        </w:rPr>
        <w:t xml:space="preserve"> Carrillo</w:t>
      </w:r>
      <w:r w:rsidRPr="007C3A01">
        <w:rPr>
          <w:rFonts w:ascii="Verdana" w:eastAsia="Calibri" w:hAnsi="Verdana" w:cs="Arial"/>
          <w:color w:val="000000" w:themeColor="text1"/>
          <w:lang w:val="es-ES" w:eastAsia="es-ES"/>
        </w:rPr>
        <w:t xml:space="preserve">: </w:t>
      </w:r>
    </w:p>
    <w:p w14:paraId="4350CDCB" w14:textId="77777777" w:rsidR="00871B59" w:rsidRPr="007C3A01" w:rsidRDefault="00871B59" w:rsidP="00871B59">
      <w:pPr>
        <w:tabs>
          <w:tab w:val="left" w:pos="3768"/>
        </w:tabs>
        <w:spacing w:after="0" w:line="276" w:lineRule="auto"/>
        <w:jc w:val="both"/>
        <w:rPr>
          <w:rFonts w:ascii="Verdana" w:eastAsia="Calibri" w:hAnsi="Verdana" w:cs="Arial"/>
          <w:color w:val="000000" w:themeColor="text1"/>
          <w:lang w:val="es-ES" w:eastAsia="es-ES"/>
        </w:rPr>
      </w:pPr>
      <w:r w:rsidRPr="007C3A01">
        <w:rPr>
          <w:rFonts w:ascii="Verdana" w:eastAsia="Calibri" w:hAnsi="Verdana" w:cs="Arial"/>
          <w:color w:val="000000" w:themeColor="text1"/>
          <w:lang w:val="es-ES" w:eastAsia="es-ES"/>
        </w:rPr>
        <w:tab/>
      </w:r>
    </w:p>
    <w:p w14:paraId="0DF3B140" w14:textId="1CD036D5" w:rsidR="00871B59" w:rsidRPr="007C3A01" w:rsidRDefault="00871B59" w:rsidP="00871B59">
      <w:pPr>
        <w:spacing w:after="0" w:line="276" w:lineRule="auto"/>
        <w:jc w:val="both"/>
        <w:rPr>
          <w:rFonts w:ascii="Verdana" w:eastAsia="Calibri" w:hAnsi="Verdana" w:cs="Arial"/>
          <w:color w:val="000000" w:themeColor="text1"/>
          <w:lang w:val="es-ES" w:eastAsia="es-ES"/>
        </w:rPr>
      </w:pPr>
      <w:r w:rsidRPr="007C3A01">
        <w:rPr>
          <w:rFonts w:ascii="Verdana" w:eastAsia="Calibri" w:hAnsi="Verdana" w:cs="Arial"/>
          <w:color w:val="000000" w:themeColor="text1"/>
          <w:lang w:val="es-ES" w:eastAsia="es-ES"/>
        </w:rPr>
        <w:t>En ejercicio de la competencia otorgada por los artículos 3, numeral 5º, y 11, numeral 8º, del Decreto Ley 4170 de 2011,</w:t>
      </w:r>
      <w:r w:rsidRPr="007C3A01">
        <w:rPr>
          <w:rFonts w:ascii="Verdana" w:eastAsia="Arial MT" w:hAnsi="Verdana" w:cs="Arial MT"/>
          <w:color w:val="000000" w:themeColor="text1"/>
          <w:lang w:val="es-ES" w:eastAsia="es-ES"/>
        </w:rPr>
        <w:t xml:space="preserve"> </w:t>
      </w:r>
      <w:r w:rsidRPr="007C3A01">
        <w:rPr>
          <w:rFonts w:ascii="Verdana" w:hAnsi="Verdana" w:cs="Arial"/>
          <w:color w:val="000000" w:themeColor="text1"/>
        </w:rPr>
        <w:t xml:space="preserve">así como lo establecido en el artículo 4 de la Resolución 1707 de 2018 expedida por esta Entidad, </w:t>
      </w:r>
      <w:r w:rsidRPr="007C3A01">
        <w:rPr>
          <w:rFonts w:ascii="Verdana" w:eastAsia="Calibri" w:hAnsi="Verdana" w:cs="Arial"/>
          <w:color w:val="000000" w:themeColor="text1"/>
          <w:lang w:val="es-ES" w:eastAsia="es-ES"/>
        </w:rPr>
        <w:t>la Agencia Nacional de Contratación Pública – Colombia Compra Eficiente– responde su solicitud de consulta de fecha</w:t>
      </w:r>
      <w:r w:rsidR="007C3A01" w:rsidRPr="007C3A01">
        <w:rPr>
          <w:rFonts w:ascii="Verdana" w:eastAsia="Calibri" w:hAnsi="Verdana" w:cs="Arial"/>
          <w:color w:val="000000" w:themeColor="text1"/>
          <w:lang w:val="es-ES" w:eastAsia="es-ES"/>
        </w:rPr>
        <w:t xml:space="preserve"> 10 </w:t>
      </w:r>
      <w:r w:rsidRPr="007C3A01">
        <w:rPr>
          <w:rFonts w:ascii="Verdana" w:eastAsia="Calibri" w:hAnsi="Verdana" w:cs="Arial"/>
          <w:color w:val="000000" w:themeColor="text1"/>
          <w:lang w:val="es-ES" w:eastAsia="es-ES"/>
        </w:rPr>
        <w:t>de</w:t>
      </w:r>
      <w:r w:rsidR="007C3A01" w:rsidRPr="007C3A01">
        <w:rPr>
          <w:rFonts w:ascii="Verdana" w:eastAsia="Calibri" w:hAnsi="Verdana" w:cs="Arial"/>
          <w:color w:val="000000" w:themeColor="text1"/>
          <w:lang w:val="es-ES" w:eastAsia="es-ES"/>
        </w:rPr>
        <w:t xml:space="preserve"> abril</w:t>
      </w:r>
      <w:r w:rsidRPr="007C3A01">
        <w:rPr>
          <w:rFonts w:ascii="Verdana" w:eastAsia="Calibri" w:hAnsi="Verdana" w:cs="Arial"/>
          <w:color w:val="000000" w:themeColor="text1"/>
          <w:lang w:val="es-ES" w:eastAsia="es-ES"/>
        </w:rPr>
        <w:t xml:space="preserve"> de 20</w:t>
      </w:r>
      <w:r w:rsidR="007C3A01" w:rsidRPr="007C3A01">
        <w:rPr>
          <w:rFonts w:ascii="Verdana" w:eastAsia="Calibri" w:hAnsi="Verdana" w:cs="Arial"/>
          <w:color w:val="000000" w:themeColor="text1"/>
          <w:lang w:val="es-ES" w:eastAsia="es-ES"/>
        </w:rPr>
        <w:t>25</w:t>
      </w:r>
      <w:r w:rsidRPr="007C3A01">
        <w:rPr>
          <w:rFonts w:ascii="Verdana" w:eastAsia="Calibri" w:hAnsi="Verdana" w:cs="Arial"/>
          <w:color w:val="000000" w:themeColor="text1"/>
          <w:lang w:val="es-ES" w:eastAsia="es-ES"/>
        </w:rPr>
        <w:t>, en la cual manifiesta lo siguiente:</w:t>
      </w:r>
      <w:r w:rsidR="007C3A01" w:rsidRPr="007C3A01">
        <w:rPr>
          <w:rFonts w:ascii="Verdana" w:eastAsia="Calibri" w:hAnsi="Verdana" w:cs="Arial"/>
          <w:color w:val="000000" w:themeColor="text1"/>
          <w:lang w:val="es-ES" w:eastAsia="es-ES"/>
        </w:rPr>
        <w:t xml:space="preserve"> </w:t>
      </w:r>
    </w:p>
    <w:p w14:paraId="58E3A92F" w14:textId="77777777" w:rsidR="00871B59" w:rsidRPr="00272A7B" w:rsidRDefault="00871B59" w:rsidP="00871B59">
      <w:pPr>
        <w:pStyle w:val="Prrafodelista"/>
        <w:tabs>
          <w:tab w:val="left" w:pos="142"/>
          <w:tab w:val="left" w:pos="284"/>
        </w:tabs>
        <w:spacing w:line="276" w:lineRule="auto"/>
        <w:ind w:left="0"/>
        <w:jc w:val="both"/>
        <w:rPr>
          <w:rFonts w:ascii="Verdana" w:eastAsia="Century Gothic" w:hAnsi="Verdana" w:cs="Century Gothic"/>
          <w:b/>
          <w:bCs/>
          <w:lang w:val="es-ES"/>
        </w:rPr>
      </w:pPr>
    </w:p>
    <w:p w14:paraId="30DE4E1C" w14:textId="36006284" w:rsidR="00871B59" w:rsidRPr="007C3A01" w:rsidRDefault="00871B59" w:rsidP="00871B59">
      <w:pPr>
        <w:spacing w:after="0" w:line="240" w:lineRule="auto"/>
        <w:ind w:left="709" w:right="709"/>
        <w:jc w:val="both"/>
        <w:rPr>
          <w:rFonts w:ascii="Verdana" w:eastAsia="Century Gothic" w:hAnsi="Verdana" w:cs="Century Gothic"/>
          <w:color w:val="000000" w:themeColor="text1"/>
          <w:sz w:val="20"/>
          <w:szCs w:val="20"/>
          <w:lang w:val="es-ES"/>
        </w:rPr>
      </w:pPr>
      <w:bookmarkStart w:id="0" w:name="_Hlk95313578"/>
      <w:r w:rsidRPr="007C3A01">
        <w:rPr>
          <w:rFonts w:ascii="Verdana" w:eastAsia="Century Gothic" w:hAnsi="Verdana" w:cs="Century Gothic"/>
          <w:color w:val="000000" w:themeColor="text1"/>
          <w:sz w:val="20"/>
          <w:szCs w:val="20"/>
          <w:lang w:val="es-ES"/>
        </w:rPr>
        <w:t>“</w:t>
      </w:r>
      <w:r w:rsidR="007C3A01" w:rsidRPr="007C3A01">
        <w:rPr>
          <w:rFonts w:ascii="Verdana" w:hAnsi="Verdana"/>
          <w:color w:val="000000" w:themeColor="text1"/>
          <w:sz w:val="20"/>
          <w:szCs w:val="20"/>
        </w:rPr>
        <w:t xml:space="preserve">¿Puede una Entidad Estatal, establecer requisitos de ponderación tan específicos, que solo puedan ser cumplidos por uno o dos empresas en el mercado? 2. ¿Puede una Entidad Estatal, justificar requisitos de puntaje bajo el supuesto de que “Al ser un criterio de puntaje no limita la pluralidad o derecho a participar”, ¿aun cuando se evidencie que los requisitos de puntaje son limitantes de la participación? 3. ¿Establecer requisitos de puntaje limitantes, desproporcionados o que solo cumplan pocos </w:t>
      </w:r>
      <w:r w:rsidR="007C3A01" w:rsidRPr="007C3A01">
        <w:rPr>
          <w:rFonts w:ascii="Verdana" w:hAnsi="Verdana"/>
          <w:color w:val="000000" w:themeColor="text1"/>
          <w:sz w:val="20"/>
          <w:szCs w:val="20"/>
        </w:rPr>
        <w:lastRenderedPageBreak/>
        <w:t>proponentes, por ser sumamente específicos, se podría considerar como limitante a la participación? En el entendido que sería ilógico presentar una oferta sin la intensión de ser acreedor de puntaje</w:t>
      </w:r>
      <w:r w:rsidRPr="007C3A01">
        <w:rPr>
          <w:rFonts w:ascii="Verdana" w:eastAsia="Century Gothic" w:hAnsi="Verdana" w:cs="Century Gothic"/>
          <w:color w:val="000000" w:themeColor="text1"/>
          <w:sz w:val="20"/>
          <w:szCs w:val="20"/>
          <w:lang w:val="es-ES"/>
        </w:rPr>
        <w:t>”</w:t>
      </w:r>
      <w:bookmarkEnd w:id="0"/>
      <w:r w:rsidRPr="007C3A01">
        <w:rPr>
          <w:rFonts w:ascii="Verdana" w:eastAsia="Century Gothic" w:hAnsi="Verdana" w:cs="Century Gothic"/>
          <w:color w:val="000000" w:themeColor="text1"/>
          <w:sz w:val="20"/>
          <w:szCs w:val="20"/>
          <w:lang w:val="es-ES"/>
        </w:rPr>
        <w:t>.</w:t>
      </w:r>
    </w:p>
    <w:p w14:paraId="5B676070" w14:textId="77777777" w:rsidR="00871B59" w:rsidRPr="00593A5F" w:rsidRDefault="00871B59" w:rsidP="00871B59">
      <w:pPr>
        <w:pStyle w:val="Prrafodelista"/>
        <w:tabs>
          <w:tab w:val="left" w:pos="142"/>
          <w:tab w:val="left" w:pos="284"/>
        </w:tabs>
        <w:spacing w:line="276" w:lineRule="auto"/>
        <w:ind w:left="0"/>
        <w:jc w:val="both"/>
        <w:rPr>
          <w:rFonts w:ascii="Verdana" w:eastAsia="Century Gothic" w:hAnsi="Verdana" w:cs="Century Gothic"/>
          <w:b/>
          <w:bCs/>
          <w:lang w:val="es-ES"/>
        </w:rPr>
      </w:pPr>
    </w:p>
    <w:p w14:paraId="27EB817B" w14:textId="77777777" w:rsidR="00871B59" w:rsidRDefault="00871B59" w:rsidP="00871B59">
      <w:pPr>
        <w:spacing w:after="120" w:line="276" w:lineRule="auto"/>
        <w:ind w:firstLine="709"/>
        <w:jc w:val="both"/>
        <w:rPr>
          <w:rFonts w:ascii="Verdana" w:eastAsia="Calibri" w:hAnsi="Verdana" w:cs="Arial"/>
          <w:color w:val="000000"/>
          <w:szCs w:val="24"/>
          <w:lang w:val="es-ES_tradnl" w:eastAsia="es-ES_tradnl"/>
        </w:rPr>
      </w:pPr>
      <w:r w:rsidRPr="00593A5F">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10D30887" w14:textId="6EADD228" w:rsidR="00871B59" w:rsidRDefault="00871B59" w:rsidP="00871B59">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particular</w:t>
      </w:r>
      <w:r>
        <w:rPr>
          <w:rFonts w:ascii="Verdana" w:eastAsia="Calibri" w:hAnsi="Verdana" w:cs="Arial"/>
          <w:color w:val="000000"/>
          <w:lang w:val="es-ES" w:eastAsia="es-ES"/>
        </w:rPr>
        <w:t>es</w:t>
      </w:r>
      <w:r w:rsidRPr="00593A5F">
        <w:rPr>
          <w:rFonts w:ascii="Verdana" w:eastAsia="Calibri" w:hAnsi="Verdana" w:cs="Arial"/>
          <w:color w:val="000000"/>
          <w:lang w:val="es-ES" w:eastAsia="es-ES"/>
        </w:rPr>
        <w:t xml:space="preserve"> y concreta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mencionada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en su petición, pero haciendo unas consideraciones sobre las normas generales relacionadas con </w:t>
      </w:r>
      <w:r>
        <w:rPr>
          <w:rFonts w:ascii="Verdana" w:eastAsia="Calibri" w:hAnsi="Verdana" w:cs="Arial"/>
          <w:color w:val="000000"/>
          <w:lang w:val="es-ES" w:eastAsia="es-ES"/>
        </w:rPr>
        <w:t>el problema</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w:t>
      </w:r>
      <w:r w:rsidR="007C3A01">
        <w:rPr>
          <w:rFonts w:ascii="Verdana" w:eastAsia="Calibri" w:hAnsi="Verdana" w:cs="Arial"/>
          <w:color w:val="000000"/>
          <w:lang w:val="es-ES" w:eastAsia="es-ES"/>
        </w:rPr>
        <w:t xml:space="preserve"> </w:t>
      </w:r>
    </w:p>
    <w:p w14:paraId="0AFAE967" w14:textId="77777777" w:rsidR="00871B59" w:rsidRPr="002A28EB" w:rsidRDefault="00871B59" w:rsidP="00871B59">
      <w:pPr>
        <w:spacing w:after="0" w:line="276" w:lineRule="auto"/>
        <w:ind w:firstLine="709"/>
        <w:jc w:val="both"/>
        <w:rPr>
          <w:rFonts w:ascii="Verdana" w:eastAsia="Calibri" w:hAnsi="Verdana" w:cs="Arial"/>
          <w:color w:val="000000" w:themeColor="text1"/>
          <w:lang w:val="es-ES" w:eastAsia="es-ES"/>
        </w:rPr>
      </w:pPr>
    </w:p>
    <w:p w14:paraId="56D8DD66" w14:textId="77777777" w:rsidR="00871B59" w:rsidRPr="002A28EB" w:rsidRDefault="00871B59" w:rsidP="00871B59">
      <w:pPr>
        <w:pStyle w:val="Prrafodelista"/>
        <w:numPr>
          <w:ilvl w:val="0"/>
          <w:numId w:val="4"/>
        </w:numPr>
        <w:tabs>
          <w:tab w:val="left" w:pos="142"/>
          <w:tab w:val="left" w:pos="284"/>
        </w:tabs>
        <w:spacing w:after="0" w:line="276" w:lineRule="auto"/>
        <w:ind w:left="0" w:firstLine="0"/>
        <w:jc w:val="both"/>
        <w:rPr>
          <w:rFonts w:ascii="Verdana" w:eastAsia="Century Gothic" w:hAnsi="Verdana" w:cs="Century Gothic"/>
          <w:b/>
          <w:bCs/>
          <w:color w:val="000000" w:themeColor="text1"/>
          <w:lang w:val="es-ES"/>
        </w:rPr>
      </w:pPr>
      <w:r w:rsidRPr="002A28EB">
        <w:rPr>
          <w:rFonts w:ascii="Verdana" w:eastAsia="Century Gothic" w:hAnsi="Verdana" w:cs="Century Gothic"/>
          <w:b/>
          <w:bCs/>
          <w:color w:val="000000" w:themeColor="text1"/>
          <w:lang w:val="es-ES"/>
        </w:rPr>
        <w:t>Problema planteado:</w:t>
      </w:r>
    </w:p>
    <w:p w14:paraId="58B268BF" w14:textId="77777777" w:rsidR="00871B59" w:rsidRPr="002A28EB" w:rsidRDefault="00871B59" w:rsidP="00871B59">
      <w:pPr>
        <w:tabs>
          <w:tab w:val="left" w:pos="426"/>
        </w:tabs>
        <w:spacing w:after="0" w:line="276" w:lineRule="auto"/>
        <w:jc w:val="both"/>
        <w:rPr>
          <w:rFonts w:ascii="Verdana" w:eastAsia="Century Gothic" w:hAnsi="Verdana" w:cs="Century Gothic"/>
          <w:color w:val="000000" w:themeColor="text1"/>
          <w:lang w:val="es-ES"/>
        </w:rPr>
      </w:pPr>
    </w:p>
    <w:p w14:paraId="4F69474B" w14:textId="0A687229" w:rsidR="00871B59" w:rsidRPr="002A28EB" w:rsidRDefault="00871B59" w:rsidP="1F9252E4">
      <w:pPr>
        <w:spacing w:after="0" w:line="276" w:lineRule="auto"/>
        <w:jc w:val="both"/>
        <w:rPr>
          <w:rFonts w:ascii="Verdana" w:eastAsia="Century Gothic" w:hAnsi="Verdana" w:cs="Century Gothic"/>
          <w:color w:val="000000" w:themeColor="text1"/>
        </w:rPr>
      </w:pPr>
      <w:r w:rsidRPr="002A28EB">
        <w:rPr>
          <w:rFonts w:ascii="Verdana" w:eastAsia="Century Gothic" w:hAnsi="Verdana" w:cs="Century Gothic"/>
          <w:color w:val="000000" w:themeColor="text1"/>
        </w:rPr>
        <w:t>De acuerdo con el contenido de su solicitud, esta Agencia resolverá el  siguiente problema jurídico</w:t>
      </w:r>
      <w:r w:rsidR="007C3A01" w:rsidRPr="002A28EB">
        <w:rPr>
          <w:rFonts w:ascii="Verdana" w:eastAsia="Century Gothic" w:hAnsi="Verdana" w:cs="Century Gothic"/>
          <w:color w:val="000000" w:themeColor="text1"/>
        </w:rPr>
        <w:t xml:space="preserve">: </w:t>
      </w:r>
      <w:r w:rsidR="002A28EB" w:rsidRPr="002A28EB">
        <w:rPr>
          <w:rFonts w:ascii="Verdana" w:eastAsia="Century Gothic" w:hAnsi="Verdana" w:cs="Century Gothic"/>
          <w:color w:val="000000" w:themeColor="text1"/>
        </w:rPr>
        <w:t>¿</w:t>
      </w:r>
      <w:r w:rsidR="002A28EB" w:rsidRPr="002A28EB">
        <w:rPr>
          <w:color w:val="000000" w:themeColor="text1"/>
        </w:rPr>
        <w:t>Q</w:t>
      </w:r>
      <w:r w:rsidR="002A28EB" w:rsidRPr="002A28EB">
        <w:rPr>
          <w:rFonts w:ascii="Verdana" w:eastAsia="Century Gothic" w:hAnsi="Verdana" w:cs="Century Gothic"/>
          <w:color w:val="000000" w:themeColor="text1"/>
        </w:rPr>
        <w:t>ué factores debe tener en cuenta</w:t>
      </w:r>
      <w:r w:rsidR="002A28EB">
        <w:rPr>
          <w:rFonts w:ascii="Verdana" w:eastAsia="Century Gothic" w:hAnsi="Verdana" w:cs="Century Gothic"/>
          <w:color w:val="000000" w:themeColor="text1"/>
        </w:rPr>
        <w:t xml:space="preserve"> una</w:t>
      </w:r>
      <w:r w:rsidR="002A28EB" w:rsidRPr="002A28EB">
        <w:rPr>
          <w:rFonts w:ascii="Verdana" w:eastAsia="Century Gothic" w:hAnsi="Verdana" w:cs="Century Gothic"/>
          <w:color w:val="000000" w:themeColor="text1"/>
        </w:rPr>
        <w:t xml:space="preserve"> entidad para determinar </w:t>
      </w:r>
      <w:r w:rsidR="002A28EB">
        <w:rPr>
          <w:rFonts w:ascii="Verdana" w:eastAsia="Century Gothic" w:hAnsi="Verdana" w:cs="Century Gothic"/>
          <w:color w:val="000000" w:themeColor="text1"/>
        </w:rPr>
        <w:t>los requisitos habilitantes y los</w:t>
      </w:r>
      <w:r w:rsidR="002A28EB" w:rsidRPr="002A28EB">
        <w:rPr>
          <w:rFonts w:ascii="Verdana" w:eastAsia="Century Gothic" w:hAnsi="Verdana" w:cs="Century Gothic"/>
          <w:color w:val="000000" w:themeColor="text1"/>
        </w:rPr>
        <w:t xml:space="preserve"> criterios de evaluación y de asignación de puntaje</w:t>
      </w:r>
      <w:r w:rsidR="002A28EB">
        <w:rPr>
          <w:rFonts w:ascii="Verdana" w:eastAsia="Century Gothic" w:hAnsi="Verdana" w:cs="Century Gothic"/>
          <w:color w:val="000000" w:themeColor="text1"/>
        </w:rPr>
        <w:t>?</w:t>
      </w:r>
    </w:p>
    <w:p w14:paraId="14E0F545" w14:textId="77777777" w:rsidR="00871B59" w:rsidRPr="00593A5F" w:rsidRDefault="00871B59" w:rsidP="00871B59">
      <w:pPr>
        <w:spacing w:after="0" w:line="276" w:lineRule="auto"/>
        <w:jc w:val="both"/>
        <w:rPr>
          <w:rFonts w:ascii="Verdana" w:eastAsia="Calibri" w:hAnsi="Verdana" w:cs="Arial"/>
          <w:color w:val="7030A0"/>
          <w:lang w:val="es-ES"/>
        </w:rPr>
      </w:pPr>
    </w:p>
    <w:p w14:paraId="152E168F" w14:textId="77777777" w:rsidR="00871B59" w:rsidRPr="00593A5F" w:rsidRDefault="00871B59" w:rsidP="00871B59">
      <w:pPr>
        <w:pStyle w:val="Prrafodelista"/>
        <w:numPr>
          <w:ilvl w:val="0"/>
          <w:numId w:val="4"/>
        </w:numPr>
        <w:tabs>
          <w:tab w:val="left" w:pos="142"/>
          <w:tab w:val="left" w:pos="284"/>
        </w:tabs>
        <w:spacing w:after="0" w:line="276" w:lineRule="auto"/>
        <w:ind w:left="0" w:firstLine="0"/>
        <w:contextualSpacing w:val="0"/>
        <w:jc w:val="both"/>
        <w:rPr>
          <w:rFonts w:ascii="Verdana" w:eastAsia="Century Gothic" w:hAnsi="Verdana" w:cs="Century Gothic"/>
          <w:b/>
          <w:bCs/>
          <w:lang w:val="es-ES"/>
        </w:rPr>
      </w:pPr>
      <w:r w:rsidRPr="00593A5F">
        <w:rPr>
          <w:rFonts w:ascii="Verdana" w:eastAsia="Century Gothic" w:hAnsi="Verdana" w:cs="Century Gothic"/>
          <w:b/>
          <w:bCs/>
          <w:lang w:val="es-ES"/>
        </w:rPr>
        <w:t>Respuesta:</w:t>
      </w:r>
    </w:p>
    <w:p w14:paraId="24243229" w14:textId="77777777" w:rsidR="00871B59" w:rsidRPr="00593A5F" w:rsidRDefault="00871B59" w:rsidP="00871B59">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871B59" w:rsidRPr="00593A5F" w14:paraId="257B1B20" w14:textId="77777777" w:rsidTr="002607A7">
        <w:tc>
          <w:tcPr>
            <w:tcW w:w="8828" w:type="dxa"/>
          </w:tcPr>
          <w:p w14:paraId="1F47E9D1" w14:textId="22E54B75" w:rsidR="002A28EB" w:rsidRPr="00EB28D5" w:rsidRDefault="00B034B0" w:rsidP="002A28EB">
            <w:pPr>
              <w:spacing w:after="120" w:line="276" w:lineRule="auto"/>
              <w:ind w:right="51" w:firstLine="709"/>
              <w:jc w:val="both"/>
              <w:rPr>
                <w:rFonts w:ascii="Verdana" w:eastAsia="Calibri" w:hAnsi="Verdana" w:cs="Arial"/>
                <w:bCs/>
                <w:lang w:val="es-MX"/>
              </w:rPr>
            </w:pPr>
            <w:r>
              <w:rPr>
                <w:rFonts w:ascii="Verdana" w:hAnsi="Verdana"/>
                <w:lang w:val="es-ES"/>
              </w:rPr>
              <w:t xml:space="preserve">   </w:t>
            </w:r>
            <w:r w:rsidR="00EB28D5" w:rsidRPr="00EB28D5">
              <w:rPr>
                <w:rFonts w:ascii="Verdana" w:hAnsi="Verdana"/>
              </w:rPr>
              <w:t xml:space="preserve">Esta Agencia ha sostenido que el deber de selección objetiva supone que las entidades escojan en los procesos de selección el “[…] ofrecimiento </w:t>
            </w:r>
            <w:r w:rsidR="00EB28D5" w:rsidRPr="00EB28D5">
              <w:rPr>
                <w:rFonts w:ascii="Verdana" w:hAnsi="Verdana"/>
              </w:rPr>
              <w:lastRenderedPageBreak/>
              <w:t>más favorable a la entidad y a los fines que ella busca […]”. Tal favorabilidad debe determinarse a partir de criterios que pueden variar, de acuerdo con el objeto contractual o la modalidad de selección aplicable, los cuales, en todo caso, para que la selección sea objetiva, deben estar señalados en el pliego de condiciones o documento equivalente.</w:t>
            </w:r>
          </w:p>
          <w:p w14:paraId="24E1C0A8" w14:textId="77777777" w:rsidR="002A28EB" w:rsidRPr="00BD4869" w:rsidRDefault="002A28EB" w:rsidP="002A28EB">
            <w:pPr>
              <w:spacing w:after="120" w:line="276" w:lineRule="auto"/>
              <w:ind w:right="51" w:firstLine="709"/>
              <w:jc w:val="both"/>
              <w:rPr>
                <w:rFonts w:ascii="Verdana" w:eastAsia="Calibri" w:hAnsi="Verdana" w:cs="Arial"/>
                <w:bCs/>
                <w:lang w:val="es-MX"/>
              </w:rPr>
            </w:pPr>
            <w:r w:rsidRPr="00BD4869">
              <w:rPr>
                <w:rFonts w:ascii="Verdana" w:eastAsia="Calibri" w:hAnsi="Verdana" w:cs="Arial"/>
                <w:bCs/>
                <w:lang w:val="es-MX"/>
              </w:rPr>
              <w:t>Al respecto</w:t>
            </w:r>
            <w:r w:rsidRPr="00E9045B">
              <w:rPr>
                <w:rFonts w:ascii="Verdana" w:eastAsia="Calibri" w:hAnsi="Verdana" w:cs="Arial"/>
                <w:bCs/>
                <w:lang w:val="es-MX"/>
              </w:rPr>
              <w:t>, el numeral 1 del artículo 5 de la Ley 1150 de 2007 se refiere a algunos requisitos exigibles en la generalidad de los procesos de selección adelantados conforme al EGCAP, tales como la capacidad jurídica, las condiciones de experiencia, la capacidad financiera y de organización, denominados requisitos habilitantes, los cuales –en principio, salvo expresa disposición legal– no otorgan puntaje. Lo</w:t>
            </w:r>
            <w:r w:rsidRPr="00BD4869">
              <w:rPr>
                <w:rFonts w:ascii="Verdana" w:eastAsia="Calibri" w:hAnsi="Verdana" w:cs="Arial"/>
                <w:bCs/>
                <w:lang w:val="es-MX"/>
              </w:rPr>
              <w:t xml:space="preserve"> anterior comoquiera que estos no se refieren a la oferta misma sino a la idoneidad del oferente para asumir adecuadamente la ejecución del contrato</w:t>
            </w:r>
            <w:r w:rsidRPr="00BD4869">
              <w:rPr>
                <w:rFonts w:ascii="Verdana" w:eastAsia="Calibri" w:hAnsi="Verdana" w:cs="Arial"/>
                <w:bCs/>
                <w:vertAlign w:val="superscript"/>
                <w:lang w:val="es-MX"/>
              </w:rPr>
              <w:footnoteReference w:id="2"/>
            </w:r>
            <w:r w:rsidRPr="00BD4869">
              <w:rPr>
                <w:rFonts w:ascii="Verdana" w:eastAsia="Calibri" w:hAnsi="Verdana" w:cs="Arial"/>
                <w:bCs/>
                <w:lang w:val="es-MX"/>
              </w:rPr>
              <w:t xml:space="preserve">. Los oferentes que cumplan estos requisitos habilitantes son considerados idóneos para ejecutar el objeto contractual, de manera que sus ofertas pueden ser consideradas en la evaluación dirigida a determinar cuál es la más favorable para la entidad y a los fines de la contratación. En este sentido, los requisitos </w:t>
            </w:r>
            <w:r w:rsidRPr="00BD4869">
              <w:rPr>
                <w:rFonts w:ascii="Verdana" w:eastAsia="Calibri" w:hAnsi="Verdana" w:cs="Arial"/>
                <w:bCs/>
                <w:i/>
                <w:lang w:val="es-MX"/>
              </w:rPr>
              <w:t xml:space="preserve">habilitantes </w:t>
            </w:r>
            <w:r w:rsidRPr="00BD4869">
              <w:rPr>
                <w:rFonts w:ascii="Verdana" w:eastAsia="Calibri" w:hAnsi="Verdana" w:cs="Arial"/>
                <w:bCs/>
                <w:lang w:val="es-MX"/>
              </w:rPr>
              <w:t>son aquellos que deben cumplir en igualdad de condiciones los proponentes, haciendo que estos se habiliten en el procedimiento de selección y sean susceptibles de ser seleccionados como futuros contratistas.</w:t>
            </w:r>
          </w:p>
          <w:p w14:paraId="580427BE" w14:textId="40306D56" w:rsidR="00B034B0" w:rsidRDefault="00EB28D5" w:rsidP="002A28EB">
            <w:pPr>
              <w:widowControl w:val="0"/>
              <w:autoSpaceDE w:val="0"/>
              <w:autoSpaceDN w:val="0"/>
              <w:spacing w:line="276" w:lineRule="auto"/>
              <w:jc w:val="both"/>
              <w:rPr>
                <w:rFonts w:ascii="Verdana" w:hAnsi="Verdana"/>
              </w:rPr>
            </w:pPr>
            <w:r>
              <w:rPr>
                <w:rFonts w:ascii="Verdana" w:eastAsia="Calibri" w:hAnsi="Verdana" w:cs="Arial"/>
                <w:bCs/>
                <w:lang w:val="es-MX"/>
              </w:rPr>
              <w:t xml:space="preserve">     </w:t>
            </w:r>
            <w:r w:rsidR="002A28EB" w:rsidRPr="00BD4869">
              <w:rPr>
                <w:rFonts w:ascii="Verdana" w:eastAsia="Calibri" w:hAnsi="Verdana" w:cs="Arial"/>
                <w:bCs/>
                <w:lang w:val="es-MX"/>
              </w:rPr>
              <w:t xml:space="preserve">En contraposición a los requisitos habilitantes, el artículo 5 de la Ley 1150 de 2007 regula los factores dirigidos a determinar cuál es la propuesta, comparativamente, más favorable. En ese sentido, el inciso primero dispone los factores de escogencia y calificación que deben indicarse en los pliegos de condiciones o documentos equivalentes. El numeral segundo de esta norma establece que la oferta más favorable es aquella que resulte ser la más ventajosa para la entidad, una vez se realice la ponderación precisa y detallada de los factores técnicos y económicos de escogencia, de acuerdo con los parámetros establecidos en los pliegos de condiciones o equivalentes, que permiten la comparación de ofertas. Este numeral segundo se divide en dos literales, cada uno de los cuales hace referencia a los mecanismos por los que pueden optar las entidades para ponderar los elementos de calidad y precio </w:t>
            </w:r>
            <w:r w:rsidR="002A28EB" w:rsidRPr="00BD4869">
              <w:rPr>
                <w:rFonts w:ascii="Verdana" w:eastAsia="Calibri" w:hAnsi="Verdana" w:cs="Arial"/>
                <w:bCs/>
                <w:lang w:val="es-MX"/>
              </w:rPr>
              <w:lastRenderedPageBreak/>
              <w:t xml:space="preserve">de las ofertas. El literal a) alude a la ponderación de los referidos elementos mediante </w:t>
            </w:r>
            <w:r w:rsidR="002A28EB" w:rsidRPr="00BD4869">
              <w:rPr>
                <w:rFonts w:ascii="Verdana" w:eastAsia="Calibri" w:hAnsi="Verdana" w:cs="Arial"/>
                <w:bCs/>
                <w:i/>
                <w:iCs/>
                <w:lang w:val="es-MX"/>
              </w:rPr>
              <w:t>puntajes o fórmulas</w:t>
            </w:r>
            <w:r w:rsidR="002A28EB" w:rsidRPr="00BD4869">
              <w:rPr>
                <w:rFonts w:ascii="Verdana" w:eastAsia="Calibri" w:hAnsi="Verdana" w:cs="Arial"/>
                <w:bCs/>
                <w:lang w:val="es-MX"/>
              </w:rPr>
              <w:t xml:space="preserve">, </w:t>
            </w:r>
            <w:r w:rsidR="002A28EB" w:rsidRPr="0058754A">
              <w:rPr>
                <w:rFonts w:ascii="Verdana" w:eastAsia="Calibri" w:hAnsi="Verdana" w:cs="Arial"/>
                <w:bCs/>
                <w:lang w:val="es-MX"/>
              </w:rPr>
              <w:t xml:space="preserve">mientras que el literal b) se refiere la elección de la oferta que represente la mejor relación </w:t>
            </w:r>
            <w:r w:rsidR="002A28EB" w:rsidRPr="0058754A">
              <w:rPr>
                <w:rFonts w:ascii="Verdana" w:eastAsia="Calibri" w:hAnsi="Verdana" w:cs="Arial"/>
                <w:bCs/>
                <w:i/>
                <w:iCs/>
                <w:lang w:val="es-MX"/>
              </w:rPr>
              <w:t>costo-beneficio</w:t>
            </w:r>
            <w:r w:rsidR="002A28EB" w:rsidRPr="0058754A">
              <w:rPr>
                <w:rFonts w:ascii="Verdana" w:eastAsia="Calibri" w:hAnsi="Verdana" w:cs="Arial"/>
                <w:bCs/>
                <w:lang w:val="es-MX"/>
              </w:rPr>
              <w:t xml:space="preserve"> para la entidad</w:t>
            </w:r>
            <w:r w:rsidR="00B034B0">
              <w:rPr>
                <w:rFonts w:ascii="Verdana" w:hAnsi="Verdana"/>
                <w:lang w:val="es-ES"/>
              </w:rPr>
              <w:t xml:space="preserve"> L</w:t>
            </w:r>
            <w:r w:rsidR="00B034B0" w:rsidRPr="00B034B0">
              <w:rPr>
                <w:rFonts w:ascii="Verdana" w:hAnsi="Verdana"/>
              </w:rPr>
              <w:t xml:space="preserve">a entidad concibe el otorgamiento de puntajes como mecanismos para ponderar y comparar los ofrecimientos, con el fin de determinar objetivamente la oferta más favorable, aplicando para ello las reglas establecidas en el pliego o documento equivalente para la ponderación de las ofertas. En ese sentido, la asignación de puntaje es un mecanismo mediante el cual las entidades ponderan los factores de calificación </w:t>
            </w:r>
            <w:r w:rsidR="00B034B0" w:rsidRPr="00B034B0">
              <w:rPr>
                <w:rFonts w:ascii="Tahoma" w:hAnsi="Tahoma" w:cs="Tahoma"/>
              </w:rPr>
              <w:t>ꟷ</w:t>
            </w:r>
            <w:r w:rsidR="00B034B0" w:rsidRPr="00B034B0">
              <w:rPr>
                <w:rFonts w:ascii="Verdana" w:hAnsi="Verdana"/>
              </w:rPr>
              <w:t>v.g. técnicos, de calidad y precio, etc.</w:t>
            </w:r>
            <w:r w:rsidR="00B034B0" w:rsidRPr="00B034B0">
              <w:rPr>
                <w:rFonts w:ascii="Tahoma" w:hAnsi="Tahoma" w:cs="Tahoma"/>
              </w:rPr>
              <w:t>ꟷ</w:t>
            </w:r>
            <w:r w:rsidR="00B034B0" w:rsidRPr="00B034B0">
              <w:rPr>
                <w:rFonts w:ascii="Verdana" w:hAnsi="Verdana"/>
              </w:rPr>
              <w:t xml:space="preserve"> en un determinado proceso de selección, como se desprende del literal a) del numeral segundo del artículo 5 de la Ley 1150 de 2007, en el que, expresamente, se alude al puntaje. </w:t>
            </w:r>
          </w:p>
          <w:p w14:paraId="42DA3FA8" w14:textId="77777777" w:rsidR="002A28EB" w:rsidRPr="00B034B0" w:rsidRDefault="002A28EB" w:rsidP="002A28EB">
            <w:pPr>
              <w:widowControl w:val="0"/>
              <w:autoSpaceDE w:val="0"/>
              <w:autoSpaceDN w:val="0"/>
              <w:spacing w:line="276" w:lineRule="auto"/>
              <w:jc w:val="both"/>
              <w:rPr>
                <w:rFonts w:ascii="Verdana" w:hAnsi="Verdana"/>
              </w:rPr>
            </w:pPr>
          </w:p>
          <w:p w14:paraId="32758DAC" w14:textId="77777777" w:rsidR="00B034B0" w:rsidRPr="00B034B0" w:rsidRDefault="00B034B0" w:rsidP="00B034B0">
            <w:pPr>
              <w:widowControl w:val="0"/>
              <w:autoSpaceDE w:val="0"/>
              <w:autoSpaceDN w:val="0"/>
              <w:spacing w:line="276" w:lineRule="auto"/>
              <w:ind w:firstLine="709"/>
              <w:jc w:val="both"/>
              <w:rPr>
                <w:rFonts w:ascii="Verdana" w:hAnsi="Verdana"/>
              </w:rPr>
            </w:pPr>
            <w:r w:rsidRPr="00B034B0">
              <w:rPr>
                <w:rFonts w:ascii="Verdana" w:hAnsi="Verdana"/>
              </w:rPr>
              <w:t>Sin embargo, no es este el único mecanismo de ponderación que tienen a su alcance las entidades estatales para determinar el ofrecimiento más favorable, ya que el propio literal b) del artículo 5.2 posibilita que el ofrecimiento más favorable se determine con un análisis de la relación costo-beneficio, evento en el que no habría necesidad de acudir obligatoriamente a sistemas de asignación de puntaje. A estos se suman, los procesos de selección de bienes y servicios de características técnicas uniformes y de común utilización, así como los de mínima cuantía, en los que –según los artículos 5.3 y 2.5 de la Ley 1150 de 2007– el único factor de selección es el menor precio ofertado, por lo que no hay lugar a ponderación mediante puntajes.</w:t>
            </w:r>
          </w:p>
          <w:p w14:paraId="62C8DDAB" w14:textId="77777777" w:rsidR="00B034B0" w:rsidRPr="00B034B0" w:rsidRDefault="00B034B0" w:rsidP="00B034B0">
            <w:pPr>
              <w:widowControl w:val="0"/>
              <w:autoSpaceDE w:val="0"/>
              <w:autoSpaceDN w:val="0"/>
              <w:spacing w:line="276" w:lineRule="auto"/>
              <w:ind w:firstLine="709"/>
              <w:jc w:val="both"/>
              <w:rPr>
                <w:rFonts w:ascii="Verdana" w:hAnsi="Verdana"/>
              </w:rPr>
            </w:pPr>
            <w:r w:rsidRPr="00B034B0">
              <w:rPr>
                <w:rFonts w:ascii="Verdana" w:hAnsi="Verdana"/>
              </w:rPr>
              <w:t xml:space="preserve">De esta manera los criterios de puntaje, al ser definidos por la entidad además de los factores técnicos y económicos sujetos a comparación y puntuación, que establece el artículo 5° de la ley 1150 de 2007, deben ser razonables y proporcionales al objeto de contrato, y no pueden dar lugar a ambigüedades, ni a interpretaciones subjetivas, ni pueden restringir indebidamente la concurrencia de varios participantes; al determinar criterios que no permitan justificar que un factor otorgue mayor o menor puntaje, y como este se relacione con la oferta más ventajosa para la entidad. </w:t>
            </w:r>
          </w:p>
          <w:p w14:paraId="02EE0AF7" w14:textId="77777777" w:rsidR="00475A36" w:rsidRDefault="00475A36" w:rsidP="00B034B0">
            <w:pPr>
              <w:widowControl w:val="0"/>
              <w:autoSpaceDE w:val="0"/>
              <w:autoSpaceDN w:val="0"/>
              <w:spacing w:line="276" w:lineRule="auto"/>
              <w:ind w:firstLine="709"/>
              <w:jc w:val="both"/>
              <w:rPr>
                <w:rFonts w:ascii="Verdana" w:hAnsi="Verdana"/>
              </w:rPr>
            </w:pPr>
          </w:p>
          <w:p w14:paraId="4EECCF53" w14:textId="5EE0A90E" w:rsidR="00B034B0" w:rsidRDefault="00B034B0" w:rsidP="00B034B0">
            <w:pPr>
              <w:widowControl w:val="0"/>
              <w:autoSpaceDE w:val="0"/>
              <w:autoSpaceDN w:val="0"/>
              <w:spacing w:line="276" w:lineRule="auto"/>
              <w:ind w:firstLine="709"/>
              <w:jc w:val="both"/>
              <w:rPr>
                <w:rFonts w:ascii="Verdana" w:hAnsi="Verdana"/>
              </w:rPr>
            </w:pPr>
            <w:r w:rsidRPr="00B034B0">
              <w:rPr>
                <w:rFonts w:ascii="Verdana" w:hAnsi="Verdana"/>
              </w:rPr>
              <w:t xml:space="preserve">Asimismo, deben ir en consonancia con el deber de selección objetiva </w:t>
            </w:r>
            <w:r w:rsidRPr="00B034B0">
              <w:rPr>
                <w:rFonts w:ascii="Verdana" w:hAnsi="Verdana"/>
              </w:rPr>
              <w:lastRenderedPageBreak/>
              <w:t xml:space="preserve">que se materializa, entre otros aspectos, con la formulación de la metodología de la evaluación de las propuestas, esto es, mediante el establecimiento tanto de los requisitos habilitantes, como de los criterios de selección; dicha atribución se ejerce con una relativa discrecionalidad, y en todo caso con la orientación del principio de proporcionalidad que tiene como fuente positiva lo dispuesto en el art. 44 del Código de Procedimiento Administrativo y de lo Contencioso Administrativo. </w:t>
            </w:r>
          </w:p>
          <w:p w14:paraId="396AFC96" w14:textId="77777777" w:rsidR="002A28EB" w:rsidRPr="00B034B0" w:rsidRDefault="002A28EB" w:rsidP="00B034B0">
            <w:pPr>
              <w:widowControl w:val="0"/>
              <w:autoSpaceDE w:val="0"/>
              <w:autoSpaceDN w:val="0"/>
              <w:spacing w:line="276" w:lineRule="auto"/>
              <w:ind w:firstLine="709"/>
              <w:jc w:val="both"/>
              <w:rPr>
                <w:rFonts w:ascii="Verdana" w:hAnsi="Verdana"/>
              </w:rPr>
            </w:pPr>
          </w:p>
          <w:p w14:paraId="5275EEE5" w14:textId="77777777" w:rsidR="002A28EB" w:rsidRDefault="00B034B0" w:rsidP="002A28EB">
            <w:pPr>
              <w:widowControl w:val="0"/>
              <w:autoSpaceDE w:val="0"/>
              <w:autoSpaceDN w:val="0"/>
              <w:spacing w:line="276" w:lineRule="auto"/>
              <w:ind w:firstLine="709"/>
              <w:jc w:val="both"/>
              <w:rPr>
                <w:rFonts w:ascii="Verdana" w:hAnsi="Verdana"/>
              </w:rPr>
            </w:pPr>
            <w:r w:rsidRPr="00B034B0">
              <w:rPr>
                <w:rFonts w:ascii="Verdana" w:hAnsi="Verdana"/>
              </w:rPr>
              <w:t>De forma concomitante, la Corte Constitucional a través de la sentencia SU-713/06 señaló: “El Estado a través de sus entidades estatales, al elaborar los pliegos de condiciones evalúa discrecionalmente la conveniencia, idoneidad, suficiencia y proporcionalidad de los requisitos habilitantes y</w:t>
            </w:r>
            <w:r w:rsidRPr="00B034B0">
              <w:rPr>
                <w:rFonts w:ascii="Verdana" w:hAnsi="Verdana"/>
                <w:b/>
                <w:bCs/>
              </w:rPr>
              <w:t xml:space="preserve"> de los factores de selección en ellos previstos</w:t>
            </w:r>
            <w:r w:rsidRPr="00B034B0">
              <w:rPr>
                <w:rFonts w:ascii="Verdana" w:hAnsi="Verdana"/>
              </w:rPr>
              <w:t xml:space="preserve">, con el propósito de satisfacer el interés público que subyace en los fines de la contratación estatal” (…) Dichos preceptos normativos se inspiran en reglas mínimas de razonabilidad y proporcionalidad destinadas no sólo a garantizar la vigencia de parámetros éticos como la lealtad y honestidad, sino también instituidas para preservar, entre otros, los principios de transparencia, responsabilidad, economía, concurrencia e igualdad de los ciudadanos en el acceso a los beneficios públicos”.  (Resaltado propio). </w:t>
            </w:r>
          </w:p>
          <w:p w14:paraId="5EC92B97" w14:textId="77777777" w:rsidR="002A28EB" w:rsidRDefault="002A28EB" w:rsidP="002A28EB">
            <w:pPr>
              <w:widowControl w:val="0"/>
              <w:autoSpaceDE w:val="0"/>
              <w:autoSpaceDN w:val="0"/>
              <w:spacing w:line="276" w:lineRule="auto"/>
              <w:ind w:firstLine="709"/>
              <w:jc w:val="both"/>
              <w:rPr>
                <w:rFonts w:ascii="Verdana" w:hAnsi="Verdana"/>
              </w:rPr>
            </w:pPr>
          </w:p>
          <w:p w14:paraId="1BA509F1" w14:textId="669A3591" w:rsidR="00871B59" w:rsidRPr="002A28EB" w:rsidRDefault="00B034B0" w:rsidP="002A28EB">
            <w:pPr>
              <w:widowControl w:val="0"/>
              <w:autoSpaceDE w:val="0"/>
              <w:autoSpaceDN w:val="0"/>
              <w:spacing w:line="276" w:lineRule="auto"/>
              <w:ind w:firstLine="709"/>
              <w:jc w:val="both"/>
              <w:rPr>
                <w:rFonts w:ascii="Verdana" w:hAnsi="Verdana"/>
              </w:rPr>
            </w:pPr>
            <w:r w:rsidRPr="00B034B0">
              <w:rPr>
                <w:rFonts w:ascii="Verdana" w:hAnsi="Verdana"/>
              </w:rPr>
              <w:t>Por lo que la entidad no solo a través de los requisitos habilitantes, sino de los criterios de puntaje, o de evaluación, debe buscar que se garanticen de forma armónica los fines de la contratación estatal, así como lo dispuesto en el artículo 333 de la C.N, cuando establece que el Estado tiene la obligación de garantizar la libre competencia económica, permitiendo que los particulares que deseen participar y contratar con el Estado lo hagan en condiciones de igualdad, libre concurrencia</w:t>
            </w:r>
            <w:r w:rsidR="002A28EB">
              <w:rPr>
                <w:rFonts w:ascii="Verdana" w:hAnsi="Verdana"/>
              </w:rPr>
              <w:t>.</w:t>
            </w:r>
          </w:p>
        </w:tc>
      </w:tr>
    </w:tbl>
    <w:p w14:paraId="7ECC536B" w14:textId="77777777" w:rsidR="00871B59" w:rsidRPr="00593A5F" w:rsidRDefault="00871B59" w:rsidP="00871B59">
      <w:pPr>
        <w:tabs>
          <w:tab w:val="left" w:pos="142"/>
          <w:tab w:val="left" w:pos="284"/>
        </w:tabs>
        <w:spacing w:after="0" w:line="276" w:lineRule="auto"/>
        <w:jc w:val="both"/>
        <w:rPr>
          <w:rFonts w:ascii="Verdana" w:eastAsia="Century Gothic" w:hAnsi="Verdana" w:cs="Century Gothic"/>
          <w:b/>
          <w:bCs/>
          <w:lang w:val="es-ES"/>
        </w:rPr>
      </w:pPr>
    </w:p>
    <w:p w14:paraId="7FA923EE" w14:textId="77777777" w:rsidR="00871B59" w:rsidRPr="00593A5F" w:rsidRDefault="00871B59" w:rsidP="00871B59">
      <w:pPr>
        <w:pStyle w:val="Prrafodelista"/>
        <w:numPr>
          <w:ilvl w:val="0"/>
          <w:numId w:val="4"/>
        </w:numPr>
        <w:tabs>
          <w:tab w:val="left" w:pos="142"/>
          <w:tab w:val="left" w:pos="284"/>
        </w:tabs>
        <w:spacing w:after="0" w:line="276" w:lineRule="auto"/>
        <w:ind w:left="0" w:firstLine="0"/>
        <w:contextualSpacing w:val="0"/>
        <w:jc w:val="both"/>
        <w:rPr>
          <w:rFonts w:ascii="Verdana" w:eastAsia="Century Gothic" w:hAnsi="Verdana" w:cs="Century Gothic"/>
          <w:b/>
          <w:bCs/>
          <w:lang w:val="es-ES"/>
        </w:rPr>
      </w:pPr>
      <w:r w:rsidRPr="00593A5F">
        <w:rPr>
          <w:rFonts w:ascii="Verdana" w:eastAsia="Century Gothic" w:hAnsi="Verdana" w:cs="Century Gothic"/>
          <w:b/>
          <w:bCs/>
          <w:lang w:val="es-ES"/>
        </w:rPr>
        <w:t>Razones de la respuesta:</w:t>
      </w:r>
    </w:p>
    <w:p w14:paraId="16D46F9A" w14:textId="77777777" w:rsidR="00871B59" w:rsidRPr="00593A5F" w:rsidRDefault="00871B59" w:rsidP="00871B59">
      <w:pPr>
        <w:spacing w:after="0" w:line="276" w:lineRule="auto"/>
        <w:jc w:val="both"/>
        <w:rPr>
          <w:rFonts w:ascii="Verdana" w:eastAsia="Calibri" w:hAnsi="Verdana" w:cs="Arial"/>
          <w:color w:val="7030A0"/>
          <w:lang w:val="es-ES"/>
        </w:rPr>
      </w:pPr>
    </w:p>
    <w:p w14:paraId="6ECA3073" w14:textId="77777777" w:rsidR="00871B59" w:rsidRPr="00B96799" w:rsidRDefault="00871B59" w:rsidP="00871B59">
      <w:pPr>
        <w:spacing w:after="0" w:line="276" w:lineRule="auto"/>
        <w:jc w:val="both"/>
        <w:rPr>
          <w:rFonts w:ascii="Verdana" w:eastAsia="Calibri" w:hAnsi="Verdana" w:cs="Arial"/>
          <w:lang w:val="es-ES"/>
        </w:rPr>
      </w:pPr>
      <w:r w:rsidRPr="00B96799">
        <w:rPr>
          <w:rFonts w:ascii="Verdana" w:eastAsia="Calibri" w:hAnsi="Verdana" w:cs="Arial"/>
          <w:lang w:val="es-ES"/>
        </w:rPr>
        <w:t xml:space="preserve">Lo anterior se sustenta en las siguientes consideraciones: </w:t>
      </w:r>
    </w:p>
    <w:p w14:paraId="244EDA05" w14:textId="77777777" w:rsidR="00EA19BB" w:rsidRDefault="00EA19BB" w:rsidP="00EA19BB">
      <w:pPr>
        <w:spacing w:after="0" w:line="276" w:lineRule="auto"/>
        <w:ind w:right="49"/>
        <w:jc w:val="both"/>
        <w:rPr>
          <w:rFonts w:ascii="Verdana" w:eastAsia="Calibri" w:hAnsi="Verdana" w:cs="Arial"/>
          <w:color w:val="7030A0"/>
          <w:lang w:val="es-ES"/>
        </w:rPr>
      </w:pPr>
    </w:p>
    <w:p w14:paraId="455BEBA4" w14:textId="68D73D12" w:rsidR="00EA19BB" w:rsidRPr="00BD4869" w:rsidRDefault="00EA19BB" w:rsidP="00EA19BB">
      <w:pPr>
        <w:spacing w:after="0" w:line="276" w:lineRule="auto"/>
        <w:ind w:right="49"/>
        <w:jc w:val="both"/>
        <w:rPr>
          <w:rFonts w:ascii="Verdana" w:eastAsia="Calibri" w:hAnsi="Verdana" w:cs="Arial"/>
          <w:bCs/>
          <w:lang w:val="es-ES_tradnl"/>
        </w:rPr>
      </w:pPr>
      <w:r w:rsidRPr="00BD4869">
        <w:rPr>
          <w:rFonts w:ascii="Verdana" w:eastAsia="Calibri" w:hAnsi="Verdana" w:cs="Arial"/>
          <w:bCs/>
          <w:lang w:val="es-ES_tradnl"/>
        </w:rPr>
        <w:lastRenderedPageBreak/>
        <w:t xml:space="preserve">Uno de los principios transversales de los procedimientos de selección es el de </w:t>
      </w:r>
      <w:r w:rsidRPr="00BD4869">
        <w:rPr>
          <w:rFonts w:ascii="Verdana" w:eastAsia="Calibri" w:hAnsi="Verdana" w:cs="Arial"/>
          <w:bCs/>
          <w:i/>
          <w:iCs/>
          <w:lang w:val="es-ES_tradnl"/>
        </w:rPr>
        <w:t>selección objetiva</w:t>
      </w:r>
      <w:r w:rsidRPr="00BD4869">
        <w:rPr>
          <w:rFonts w:ascii="Verdana" w:eastAsia="Calibri" w:hAnsi="Verdana" w:cs="Arial"/>
          <w:bCs/>
          <w:lang w:val="es-ES_tradnl"/>
        </w:rPr>
        <w:t xml:space="preserve">. Se trata del postulado que exige que la escogencia de la oferta ganadora se debe fundamentar en factores objetivos, de carácter técnico, jurídico y financiero, y no en criterios subjetivos, como el afecto, la amistad, el ánimo de ayuda, el interés personal, etc. </w:t>
      </w:r>
    </w:p>
    <w:p w14:paraId="726BC239" w14:textId="51A2497D" w:rsidR="00EA19BB" w:rsidRPr="00BD4869" w:rsidRDefault="00EA19BB" w:rsidP="00EA19BB">
      <w:pPr>
        <w:spacing w:before="120" w:after="0" w:line="276" w:lineRule="auto"/>
        <w:ind w:right="51" w:firstLine="709"/>
        <w:jc w:val="both"/>
        <w:rPr>
          <w:rFonts w:ascii="Verdana" w:eastAsia="Calibri" w:hAnsi="Verdana" w:cs="Arial"/>
          <w:bCs/>
          <w:lang w:val="es-MX"/>
        </w:rPr>
      </w:pPr>
      <w:r w:rsidRPr="00BD4869">
        <w:rPr>
          <w:rFonts w:ascii="Verdana" w:eastAsia="Calibri" w:hAnsi="Verdana" w:cs="Arial"/>
          <w:bCs/>
          <w:lang w:val="es-MX"/>
        </w:rPr>
        <w:t xml:space="preserve">Si bien dentro de la historia de la contratación pública en Colombia, se </w:t>
      </w:r>
      <w:r w:rsidR="00F52677">
        <w:rPr>
          <w:rFonts w:ascii="Verdana" w:eastAsia="Calibri" w:hAnsi="Verdana" w:cs="Arial"/>
          <w:bCs/>
          <w:lang w:val="es-MX"/>
        </w:rPr>
        <w:t>pueden evidenciar</w:t>
      </w:r>
      <w:r w:rsidRPr="00BD4869">
        <w:rPr>
          <w:rFonts w:ascii="Verdana" w:eastAsia="Calibri" w:hAnsi="Verdana" w:cs="Arial"/>
          <w:bCs/>
          <w:lang w:val="es-MX"/>
        </w:rPr>
        <w:t xml:space="preserve"> antecedentes normativos que consagraban dicho principio</w:t>
      </w:r>
      <w:r w:rsidRPr="00BD4869">
        <w:rPr>
          <w:rFonts w:ascii="Verdana" w:eastAsia="Calibri" w:hAnsi="Verdana" w:cs="Arial"/>
          <w:bCs/>
          <w:vertAlign w:val="superscript"/>
          <w:lang w:val="es-MX"/>
        </w:rPr>
        <w:footnoteReference w:id="3"/>
      </w:r>
      <w:r w:rsidRPr="00BD4869">
        <w:rPr>
          <w:rFonts w:ascii="Verdana" w:eastAsia="Calibri" w:hAnsi="Verdana" w:cs="Arial"/>
          <w:bCs/>
          <w:lang w:val="es-MX"/>
        </w:rPr>
        <w:t xml:space="preserve">, en la actualidad la disposición legal que lo prevé de manera más clara y </w:t>
      </w:r>
      <w:r>
        <w:rPr>
          <w:rFonts w:ascii="Verdana" w:eastAsia="Calibri" w:hAnsi="Verdana" w:cs="Arial"/>
          <w:bCs/>
          <w:lang w:val="es-MX"/>
        </w:rPr>
        <w:t>expresa</w:t>
      </w:r>
      <w:r w:rsidRPr="00BD4869">
        <w:rPr>
          <w:rFonts w:ascii="Verdana" w:eastAsia="Calibri" w:hAnsi="Verdana" w:cs="Arial"/>
          <w:bCs/>
          <w:lang w:val="es-MX"/>
        </w:rPr>
        <w:t xml:space="preserve"> es el artículo 5 de la Ley 1150 de 2007, modificado por el artículo 88 de la Ley 1474 de 2011 y por el artículo 5 de la Ley 1882 de 2018, enunciado normativo en el que se lee: </w:t>
      </w:r>
    </w:p>
    <w:p w14:paraId="2B070822" w14:textId="77777777" w:rsidR="00EA19BB" w:rsidRPr="00BD4869" w:rsidRDefault="00EA19BB" w:rsidP="00EA19BB">
      <w:pPr>
        <w:spacing w:after="0" w:line="276" w:lineRule="auto"/>
        <w:ind w:right="51" w:firstLine="709"/>
        <w:jc w:val="both"/>
        <w:rPr>
          <w:rFonts w:ascii="Verdana" w:eastAsia="Calibri" w:hAnsi="Verdana" w:cs="Arial"/>
          <w:bCs/>
          <w:lang w:val="es-MX"/>
        </w:rPr>
      </w:pPr>
    </w:p>
    <w:p w14:paraId="47CFCAC1" w14:textId="77777777" w:rsidR="00EA19BB" w:rsidRPr="00BD4869" w:rsidRDefault="00EA19BB" w:rsidP="00EA19BB">
      <w:pPr>
        <w:spacing w:after="0" w:line="240" w:lineRule="auto"/>
        <w:ind w:left="709" w:right="709"/>
        <w:jc w:val="both"/>
        <w:rPr>
          <w:rFonts w:ascii="Verdana" w:eastAsia="Calibri" w:hAnsi="Verdana" w:cs="Arial"/>
          <w:color w:val="000000" w:themeColor="text1"/>
          <w:kern w:val="2"/>
          <w:sz w:val="20"/>
          <w:szCs w:val="20"/>
          <w:lang w:val="es-ES"/>
          <w14:ligatures w14:val="standardContextual"/>
        </w:rPr>
      </w:pPr>
      <w:r w:rsidRPr="7E5A8D80">
        <w:rPr>
          <w:rFonts w:ascii="Verdana" w:eastAsia="Calibri" w:hAnsi="Verdana" w:cs="Arial"/>
          <w:color w:val="000000" w:themeColor="text1"/>
          <w:kern w:val="2"/>
          <w:sz w:val="20"/>
          <w:szCs w:val="20"/>
          <w:lang w:val="es-ES"/>
          <w14:ligatures w14:val="standardContextual"/>
        </w:rPr>
        <w:t>“Artículo 5o. De la selección objetiva. Es objetiva la selección en la cual la escogencia se haga al ofrecimiento más favorable a la entidad y a los fines que ella busca, sin tener en consideración factores de afecto o de interés y, en general, cualquier clase de motivación subjetiva. En consecuencia, los factores de escogencia y calificación que establezcan las entidades en los pliegos de condiciones o sus equivalentes tendrán en cuenta los siguientes criterios:</w:t>
      </w:r>
    </w:p>
    <w:p w14:paraId="09A2361E" w14:textId="77777777" w:rsidR="00EA19BB" w:rsidRPr="00BD4869" w:rsidRDefault="00EA19BB" w:rsidP="00EA19BB">
      <w:pPr>
        <w:spacing w:after="0" w:line="240" w:lineRule="auto"/>
        <w:ind w:left="709" w:right="709"/>
        <w:jc w:val="both"/>
        <w:rPr>
          <w:rFonts w:ascii="Verdana" w:eastAsia="Calibri" w:hAnsi="Verdana" w:cs="Arial"/>
          <w:color w:val="000000" w:themeColor="text1"/>
          <w:kern w:val="2"/>
          <w:sz w:val="20"/>
          <w:szCs w:val="20"/>
          <w:lang w:val="es-ES_tradnl"/>
          <w14:ligatures w14:val="standardContextual"/>
        </w:rPr>
      </w:pPr>
    </w:p>
    <w:p w14:paraId="2F02D4DF" w14:textId="77777777" w:rsidR="00EA19BB" w:rsidRPr="00BD4869" w:rsidRDefault="00EA19BB" w:rsidP="00EA19BB">
      <w:pPr>
        <w:spacing w:after="0" w:line="240" w:lineRule="auto"/>
        <w:ind w:left="709" w:right="709"/>
        <w:jc w:val="both"/>
        <w:rPr>
          <w:rFonts w:ascii="Verdana" w:eastAsia="Calibri" w:hAnsi="Verdana" w:cs="Arial"/>
          <w:color w:val="000000" w:themeColor="text1"/>
          <w:kern w:val="2"/>
          <w:sz w:val="20"/>
          <w:szCs w:val="20"/>
          <w:lang w:val="es-ES"/>
          <w14:ligatures w14:val="standardContextual"/>
        </w:rPr>
      </w:pPr>
      <w:r w:rsidRPr="7E5A8D80">
        <w:rPr>
          <w:rFonts w:ascii="Verdana" w:eastAsia="Calibri" w:hAnsi="Verdana" w:cs="Arial"/>
          <w:color w:val="000000" w:themeColor="text1"/>
          <w:kern w:val="2"/>
          <w:sz w:val="20"/>
          <w:szCs w:val="20"/>
          <w:lang w:val="es-ES"/>
          <w14:ligatures w14:val="standardContextual"/>
        </w:rPr>
        <w:t xml:space="preserve">1. La capacidad jurídica y las condiciones de experiencia, capacidad financiera y de organización de los proponentes serán objeto de verificación de cumplimiento como requisitos habilitantes para la participación en el proceso de selección y no otorgarán puntaje, con excepción de lo previsto en el numeral 4 del presente artículo. La exigencia de tales condiciones debe ser adecuada y proporcional a la naturaleza del contrato a suscribir y a su valor. La verificación documental de las condiciones antes señaladas será efectuada por las Cámaras de Comercio </w:t>
      </w:r>
      <w:r w:rsidRPr="7E5A8D80">
        <w:rPr>
          <w:rFonts w:ascii="Verdana" w:eastAsia="Calibri" w:hAnsi="Verdana" w:cs="Arial"/>
          <w:color w:val="000000" w:themeColor="text1"/>
          <w:kern w:val="2"/>
          <w:sz w:val="20"/>
          <w:szCs w:val="20"/>
          <w:lang w:val="es-ES"/>
          <w14:ligatures w14:val="standardContextual"/>
        </w:rPr>
        <w:lastRenderedPageBreak/>
        <w:t>de conformidad con lo establecido en el artículo 6o de la presente ley, de acuerdo con lo cual se expedirá la respectiva certificación.</w:t>
      </w:r>
    </w:p>
    <w:p w14:paraId="1AAD3CCA" w14:textId="77777777" w:rsidR="00EA19BB" w:rsidRPr="00BD4869" w:rsidRDefault="00EA19BB" w:rsidP="00EA19BB">
      <w:pPr>
        <w:spacing w:after="0" w:line="240" w:lineRule="auto"/>
        <w:ind w:left="709" w:right="709"/>
        <w:jc w:val="both"/>
        <w:rPr>
          <w:rFonts w:ascii="Verdana" w:eastAsia="Calibri" w:hAnsi="Verdana" w:cs="Arial"/>
          <w:color w:val="000000" w:themeColor="text1"/>
          <w:kern w:val="2"/>
          <w:sz w:val="20"/>
          <w:szCs w:val="20"/>
          <w:lang w:val="es-ES_tradnl"/>
          <w14:ligatures w14:val="standardContextual"/>
        </w:rPr>
      </w:pPr>
    </w:p>
    <w:p w14:paraId="0301D9B1" w14:textId="77777777" w:rsidR="00EA19BB" w:rsidRPr="00BD4869" w:rsidRDefault="00EA19BB" w:rsidP="00EA19BB">
      <w:pPr>
        <w:spacing w:after="0" w:line="240" w:lineRule="auto"/>
        <w:ind w:left="709" w:right="709"/>
        <w:jc w:val="both"/>
        <w:rPr>
          <w:rFonts w:ascii="Verdana" w:eastAsia="Calibri" w:hAnsi="Verdana" w:cs="Arial"/>
          <w:color w:val="000000" w:themeColor="text1"/>
          <w:kern w:val="2"/>
          <w:sz w:val="20"/>
          <w:szCs w:val="20"/>
          <w:lang w:val="es-ES_tradnl"/>
          <w14:ligatures w14:val="standardContextual"/>
        </w:rPr>
      </w:pPr>
      <w:r w:rsidRPr="00BD4869">
        <w:rPr>
          <w:rFonts w:ascii="Verdana" w:eastAsia="Calibri" w:hAnsi="Verdana" w:cs="Arial"/>
          <w:color w:val="000000" w:themeColor="text1"/>
          <w:kern w:val="2"/>
          <w:sz w:val="20"/>
          <w:szCs w:val="20"/>
          <w:lang w:val="es-ES_tradnl"/>
          <w14:ligatures w14:val="standardContextual"/>
        </w:rPr>
        <w:t>2. &lt;Numeral modificado por el artículo 88 de la Ley 1474 de 2011. El nuevo texto es el siguiente:&gt; La oferta más favorable será aquella que, teniendo en cuenta los factores técnicos y económicos de escogencia y la ponderación precisa y detallada de los mismos contenida en los pliegos de condiciones o sus equivalentes, resulte ser la más ventajosa para la entidad, sin que la favorabilidad la constituyan factores diferentes a los contenidos en dichos documentos. En los contratos de obra pública, el menor plazo ofrecido no será objeto de evaluación. La entidad efectuará las comparaciones del caso mediante el cotejo de los ofrecimientos recibidos y la consulta de precios o condiciones del mercado y los estudios y deducciones de la entidad o de los organismos consultores o asesores designados para ello.</w:t>
      </w:r>
    </w:p>
    <w:p w14:paraId="790919A3" w14:textId="77777777" w:rsidR="00EA19BB" w:rsidRPr="00BD4869" w:rsidRDefault="00EA19BB" w:rsidP="00EA19BB">
      <w:pPr>
        <w:spacing w:after="0" w:line="240" w:lineRule="auto"/>
        <w:ind w:left="709" w:right="709"/>
        <w:jc w:val="both"/>
        <w:rPr>
          <w:rFonts w:ascii="Verdana" w:eastAsia="Calibri" w:hAnsi="Verdana" w:cs="Arial"/>
          <w:color w:val="000000" w:themeColor="text1"/>
          <w:kern w:val="2"/>
          <w:sz w:val="20"/>
          <w:szCs w:val="20"/>
          <w:lang w:val="es-ES_tradnl"/>
          <w14:ligatures w14:val="standardContextual"/>
        </w:rPr>
      </w:pPr>
    </w:p>
    <w:p w14:paraId="6D298736" w14:textId="77777777" w:rsidR="00EA19BB" w:rsidRPr="00BD4869" w:rsidRDefault="00EA19BB" w:rsidP="00EA19BB">
      <w:pPr>
        <w:spacing w:after="0" w:line="240" w:lineRule="auto"/>
        <w:ind w:left="709" w:right="709"/>
        <w:jc w:val="both"/>
        <w:rPr>
          <w:rFonts w:ascii="Verdana" w:eastAsia="Calibri" w:hAnsi="Verdana" w:cs="Arial"/>
          <w:color w:val="000000" w:themeColor="text1"/>
          <w:kern w:val="2"/>
          <w:sz w:val="20"/>
          <w:szCs w:val="20"/>
          <w:lang w:val="es-ES_tradnl"/>
          <w14:ligatures w14:val="standardContextual"/>
        </w:rPr>
      </w:pPr>
      <w:r w:rsidRPr="00BD4869">
        <w:rPr>
          <w:rFonts w:ascii="Verdana" w:eastAsia="Calibri" w:hAnsi="Verdana" w:cs="Arial"/>
          <w:color w:val="000000" w:themeColor="text1"/>
          <w:kern w:val="2"/>
          <w:sz w:val="20"/>
          <w:szCs w:val="20"/>
          <w:lang w:val="es-ES_tradnl"/>
          <w14:ligatures w14:val="standardContextual"/>
        </w:rPr>
        <w:t>En los procesos de selección en los que se tenga en cuenta los factores técnicos y económicos, la oferta más ventajosa será la que resulte de aplicar alguna de las siguientes alternativas:</w:t>
      </w:r>
    </w:p>
    <w:p w14:paraId="6D352344" w14:textId="77777777" w:rsidR="00EA19BB" w:rsidRPr="00BD4869" w:rsidRDefault="00EA19BB" w:rsidP="00EA19BB">
      <w:pPr>
        <w:spacing w:after="0" w:line="240" w:lineRule="auto"/>
        <w:ind w:left="709" w:right="709"/>
        <w:jc w:val="both"/>
        <w:rPr>
          <w:rFonts w:ascii="Verdana" w:eastAsia="Calibri" w:hAnsi="Verdana" w:cs="Arial"/>
          <w:color w:val="000000" w:themeColor="text1"/>
          <w:kern w:val="2"/>
          <w:sz w:val="20"/>
          <w:szCs w:val="20"/>
          <w:lang w:val="es-ES_tradnl"/>
          <w14:ligatures w14:val="standardContextual"/>
        </w:rPr>
      </w:pPr>
    </w:p>
    <w:p w14:paraId="2A96E343" w14:textId="77777777" w:rsidR="00EA19BB" w:rsidRPr="00BD4869" w:rsidRDefault="00EA19BB" w:rsidP="00EA19BB">
      <w:pPr>
        <w:spacing w:after="0" w:line="240" w:lineRule="auto"/>
        <w:ind w:left="709" w:right="709"/>
        <w:jc w:val="both"/>
        <w:rPr>
          <w:rFonts w:ascii="Verdana" w:eastAsia="Calibri" w:hAnsi="Verdana" w:cs="Arial"/>
          <w:color w:val="000000" w:themeColor="text1"/>
          <w:kern w:val="2"/>
          <w:sz w:val="20"/>
          <w:szCs w:val="20"/>
          <w:lang w:val="es-ES_tradnl"/>
          <w14:ligatures w14:val="standardContextual"/>
        </w:rPr>
      </w:pPr>
      <w:r w:rsidRPr="00BD4869">
        <w:rPr>
          <w:rFonts w:ascii="Verdana" w:eastAsia="Calibri" w:hAnsi="Verdana" w:cs="Arial"/>
          <w:color w:val="000000" w:themeColor="text1"/>
          <w:kern w:val="2"/>
          <w:sz w:val="20"/>
          <w:szCs w:val="20"/>
          <w:lang w:val="es-ES_tradnl"/>
          <w14:ligatures w14:val="standardContextual"/>
        </w:rPr>
        <w:t>a) La ponderación de los elementos de calidad y precio soportados en puntajes o fórmulas señaladas en el pliego de condiciones; o</w:t>
      </w:r>
    </w:p>
    <w:p w14:paraId="7999490B" w14:textId="77777777" w:rsidR="00EA19BB" w:rsidRPr="00BD4869" w:rsidRDefault="00EA19BB" w:rsidP="00EA19BB">
      <w:pPr>
        <w:spacing w:after="0" w:line="240" w:lineRule="auto"/>
        <w:ind w:left="709" w:right="709"/>
        <w:jc w:val="both"/>
        <w:rPr>
          <w:rFonts w:ascii="Verdana" w:eastAsia="Calibri" w:hAnsi="Verdana" w:cs="Arial"/>
          <w:color w:val="000000" w:themeColor="text1"/>
          <w:kern w:val="2"/>
          <w:sz w:val="20"/>
          <w:szCs w:val="20"/>
          <w:lang w:val="es-ES_tradnl"/>
          <w14:ligatures w14:val="standardContextual"/>
        </w:rPr>
      </w:pPr>
    </w:p>
    <w:p w14:paraId="089424AF" w14:textId="77777777" w:rsidR="00EA19BB" w:rsidRPr="00BD4869" w:rsidRDefault="00EA19BB" w:rsidP="00EA19BB">
      <w:pPr>
        <w:spacing w:after="0" w:line="240" w:lineRule="auto"/>
        <w:ind w:left="709" w:right="709"/>
        <w:jc w:val="both"/>
        <w:rPr>
          <w:rFonts w:ascii="Verdana" w:eastAsia="Calibri" w:hAnsi="Verdana" w:cs="Arial"/>
          <w:i/>
          <w:iCs/>
          <w:color w:val="000000" w:themeColor="text1"/>
          <w:kern w:val="2"/>
          <w:sz w:val="20"/>
          <w:szCs w:val="20"/>
          <w:lang w:val="es-ES_tradnl"/>
          <w14:ligatures w14:val="standardContextual"/>
        </w:rPr>
      </w:pPr>
      <w:r w:rsidRPr="00BD4869">
        <w:rPr>
          <w:rFonts w:ascii="Verdana" w:eastAsia="Calibri" w:hAnsi="Verdana" w:cs="Arial"/>
          <w:i/>
          <w:iCs/>
          <w:color w:val="000000" w:themeColor="text1"/>
          <w:kern w:val="2"/>
          <w:sz w:val="20"/>
          <w:szCs w:val="20"/>
          <w:lang w:val="es-ES_tradnl"/>
          <w14:ligatures w14:val="standardContextual"/>
        </w:rPr>
        <w:t>b) La ponderación de los elementos de calidad y precio que representen la mejor relación de costo-beneficio para la entidad.</w:t>
      </w:r>
    </w:p>
    <w:p w14:paraId="36500074" w14:textId="77777777" w:rsidR="00EA19BB" w:rsidRPr="00BD4869" w:rsidRDefault="00EA19BB" w:rsidP="00EA19BB">
      <w:pPr>
        <w:spacing w:after="0" w:line="240" w:lineRule="auto"/>
        <w:ind w:left="709" w:right="709"/>
        <w:jc w:val="both"/>
        <w:rPr>
          <w:rFonts w:ascii="Verdana" w:eastAsia="Calibri" w:hAnsi="Verdana" w:cs="Arial"/>
          <w:color w:val="000000" w:themeColor="text1"/>
          <w:kern w:val="2"/>
          <w:sz w:val="20"/>
          <w:szCs w:val="20"/>
          <w:lang w:val="es-ES_tradnl"/>
          <w14:ligatures w14:val="standardContextual"/>
        </w:rPr>
      </w:pPr>
    </w:p>
    <w:p w14:paraId="362E226E" w14:textId="77777777" w:rsidR="00EA19BB" w:rsidRDefault="00EA19BB" w:rsidP="00EA19BB">
      <w:pPr>
        <w:spacing w:after="0" w:line="240" w:lineRule="auto"/>
        <w:ind w:left="709" w:right="709"/>
        <w:jc w:val="both"/>
        <w:rPr>
          <w:rFonts w:ascii="Verdana" w:eastAsia="Calibri" w:hAnsi="Verdana" w:cs="Arial"/>
          <w:i/>
          <w:color w:val="000000" w:themeColor="text1"/>
          <w:kern w:val="2"/>
          <w:sz w:val="20"/>
          <w:szCs w:val="20"/>
          <w:lang w:val="es-ES_tradnl"/>
          <w14:ligatures w14:val="standardContextual"/>
        </w:rPr>
      </w:pPr>
      <w:r w:rsidRPr="007B1CA2">
        <w:rPr>
          <w:rFonts w:ascii="Verdana" w:eastAsia="Calibri" w:hAnsi="Verdana" w:cs="Arial"/>
          <w:i/>
          <w:iCs/>
          <w:color w:val="000000" w:themeColor="text1"/>
          <w:kern w:val="2"/>
          <w:sz w:val="20"/>
          <w:szCs w:val="20"/>
          <w:lang w:val="es-ES_tradnl"/>
          <w14:ligatures w14:val="standardContextual"/>
        </w:rPr>
        <w:t>3. Sin perjuicio de lo previsto en el numeral 1 del presente artículo, en los pliegos de condiciones para las contrataciones cuyo objeto sea la adquisición o suministro de bienes y servicios de características técnicas uniformes y común utilización, las entidades estatales incluirán como único factor de evaluación el menor precio ofrecido.</w:t>
      </w:r>
    </w:p>
    <w:p w14:paraId="22EBA9F5" w14:textId="77777777" w:rsidR="00EA19BB" w:rsidRPr="008A74DA" w:rsidRDefault="00EA19BB" w:rsidP="00EA19BB">
      <w:pPr>
        <w:spacing w:after="0" w:line="240" w:lineRule="auto"/>
        <w:ind w:left="709" w:right="709"/>
        <w:jc w:val="both"/>
        <w:rPr>
          <w:rFonts w:ascii="Verdana" w:eastAsia="Calibri" w:hAnsi="Verdana" w:cs="Arial"/>
          <w:i/>
          <w:color w:val="000000" w:themeColor="text1"/>
          <w:kern w:val="2"/>
          <w:sz w:val="20"/>
          <w:szCs w:val="20"/>
          <w:lang w:val="es-ES_tradnl"/>
          <w14:ligatures w14:val="standardContextual"/>
        </w:rPr>
      </w:pPr>
    </w:p>
    <w:p w14:paraId="45E3E73B" w14:textId="77777777" w:rsidR="00EA19BB" w:rsidRPr="00BD4869" w:rsidRDefault="00EA19BB" w:rsidP="00EA19BB">
      <w:pPr>
        <w:spacing w:after="0" w:line="240" w:lineRule="auto"/>
        <w:ind w:left="709" w:right="709"/>
        <w:jc w:val="both"/>
        <w:rPr>
          <w:rFonts w:ascii="Verdana" w:eastAsia="Calibri" w:hAnsi="Verdana" w:cs="Arial"/>
          <w:color w:val="000000" w:themeColor="text1"/>
          <w:kern w:val="2"/>
          <w:sz w:val="20"/>
          <w:szCs w:val="20"/>
          <w:lang w:val="es-ES_tradnl"/>
          <w14:ligatures w14:val="standardContextual"/>
        </w:rPr>
      </w:pPr>
      <w:r>
        <w:rPr>
          <w:rFonts w:ascii="Verdana" w:eastAsia="Calibri" w:hAnsi="Verdana" w:cs="Arial"/>
          <w:color w:val="000000" w:themeColor="text1"/>
          <w:kern w:val="2"/>
          <w:sz w:val="20"/>
          <w:szCs w:val="20"/>
          <w:lang w:val="es-ES_tradnl"/>
          <w14:ligatures w14:val="standardContextual"/>
        </w:rPr>
        <w:t>[…]</w:t>
      </w:r>
      <w:r w:rsidRPr="00BD4869">
        <w:rPr>
          <w:rFonts w:ascii="Verdana" w:eastAsia="Calibri" w:hAnsi="Verdana" w:cs="Arial"/>
          <w:color w:val="000000" w:themeColor="text1"/>
          <w:kern w:val="2"/>
          <w:sz w:val="20"/>
          <w:szCs w:val="20"/>
          <w:lang w:val="es-ES_tradnl"/>
          <w14:ligatures w14:val="standardContextual"/>
        </w:rPr>
        <w:t>”.</w:t>
      </w:r>
    </w:p>
    <w:p w14:paraId="532AAA5C" w14:textId="77777777" w:rsidR="00EA19BB" w:rsidRPr="00BD4869" w:rsidRDefault="00EA19BB" w:rsidP="00EA19BB">
      <w:pPr>
        <w:spacing w:after="0" w:line="276" w:lineRule="auto"/>
        <w:ind w:left="709" w:right="709"/>
        <w:jc w:val="both"/>
        <w:rPr>
          <w:rFonts w:ascii="Verdana" w:eastAsia="Calibri" w:hAnsi="Verdana" w:cs="Arial"/>
          <w:color w:val="000000" w:themeColor="text1"/>
          <w:kern w:val="2"/>
          <w:lang w:val="es-ES_tradnl"/>
          <w14:ligatures w14:val="standardContextual"/>
        </w:rPr>
      </w:pPr>
    </w:p>
    <w:p w14:paraId="26D662CA" w14:textId="1D65DC4E" w:rsidR="00EA19BB" w:rsidRPr="00BD4869" w:rsidRDefault="00EA19BB" w:rsidP="00EA19BB">
      <w:pPr>
        <w:spacing w:after="120" w:line="276" w:lineRule="auto"/>
        <w:ind w:right="51" w:firstLine="709"/>
        <w:jc w:val="both"/>
        <w:rPr>
          <w:rFonts w:ascii="Verdana" w:eastAsia="Calibri" w:hAnsi="Verdana" w:cs="Arial"/>
          <w:bCs/>
          <w:lang w:val="es-MX"/>
        </w:rPr>
      </w:pPr>
      <w:r w:rsidRPr="00BD4869">
        <w:rPr>
          <w:rFonts w:ascii="Verdana" w:eastAsia="Calibri" w:hAnsi="Verdana" w:cs="Arial"/>
          <w:bCs/>
          <w:lang w:val="es-MX"/>
        </w:rPr>
        <w:t>De acuerdo con esta norma y conforme con lo expresado en el concepto C–166 del 23 de abril de 2021,</w:t>
      </w:r>
      <w:r>
        <w:rPr>
          <w:rFonts w:ascii="Verdana" w:eastAsia="Calibri" w:hAnsi="Verdana" w:cs="Arial"/>
          <w:bCs/>
          <w:lang w:val="es-MX"/>
        </w:rPr>
        <w:t xml:space="preserve"> de esta Agencia</w:t>
      </w:r>
      <w:r w:rsidRPr="00BD4869">
        <w:rPr>
          <w:rFonts w:ascii="Verdana" w:eastAsia="Calibri" w:hAnsi="Verdana" w:cs="Arial"/>
          <w:bCs/>
          <w:lang w:val="es-MX"/>
        </w:rPr>
        <w:t xml:space="preserve"> puede decirse que el deber de selección objetiva supone que las entidades escojan en los procesos de selección el “[…] ofrecimiento más favorable a la entidad y a los fines que ella busca […]”. Tal favorabilidad debe determinarse a partir de criterios que pueden variar, de acuerdo con el objeto contractual o la modalidad de selección aplicable, los </w:t>
      </w:r>
      <w:r w:rsidRPr="00BD4869">
        <w:rPr>
          <w:rFonts w:ascii="Verdana" w:eastAsia="Calibri" w:hAnsi="Verdana" w:cs="Arial"/>
          <w:bCs/>
          <w:lang w:val="es-MX"/>
        </w:rPr>
        <w:lastRenderedPageBreak/>
        <w:t xml:space="preserve">cuales, en todo caso, para que la selección sea objetiva, deben estar señalados en el pliego de condiciones o documento equivalente. </w:t>
      </w:r>
    </w:p>
    <w:p w14:paraId="0998B148" w14:textId="77777777" w:rsidR="00EA19BB" w:rsidRPr="00BD4869" w:rsidRDefault="00EA19BB" w:rsidP="00EA19BB">
      <w:pPr>
        <w:spacing w:after="120" w:line="276" w:lineRule="auto"/>
        <w:ind w:right="51" w:firstLine="709"/>
        <w:jc w:val="both"/>
        <w:rPr>
          <w:rFonts w:ascii="Verdana" w:eastAsia="Calibri" w:hAnsi="Verdana" w:cs="Arial"/>
          <w:bCs/>
          <w:lang w:val="es-MX"/>
        </w:rPr>
      </w:pPr>
      <w:bookmarkStart w:id="1" w:name="_1fob9te" w:colFirst="0" w:colLast="0"/>
      <w:bookmarkEnd w:id="1"/>
      <w:r w:rsidRPr="00BD4869">
        <w:rPr>
          <w:rFonts w:ascii="Verdana" w:eastAsia="Calibri" w:hAnsi="Verdana" w:cs="Arial"/>
          <w:bCs/>
          <w:lang w:val="es-MX"/>
        </w:rPr>
        <w:t>Al respecto</w:t>
      </w:r>
      <w:r w:rsidRPr="00E9045B">
        <w:rPr>
          <w:rFonts w:ascii="Verdana" w:eastAsia="Calibri" w:hAnsi="Verdana" w:cs="Arial"/>
          <w:bCs/>
          <w:lang w:val="es-MX"/>
        </w:rPr>
        <w:t>, el numeral 1 del artículo 5 de la Ley 1150 de 2007 se refiere a algunos requisitos exigibles en la generalidad de los procesos de selección adelantados conforme al EGCAP, tales como la capacidad jurídica, las condiciones de experiencia, la capacidad financiera y de organización, denominados requisitos habilitantes, los cuales –en principio, salvo expresa disposición legal– no otorgan puntaje. Lo</w:t>
      </w:r>
      <w:r w:rsidRPr="00BD4869">
        <w:rPr>
          <w:rFonts w:ascii="Verdana" w:eastAsia="Calibri" w:hAnsi="Verdana" w:cs="Arial"/>
          <w:bCs/>
          <w:lang w:val="es-MX"/>
        </w:rPr>
        <w:t xml:space="preserve"> anterior comoquiera que estos no se refieren a la oferta misma sino a la idoneidad del oferente para asumir adecuadamente la ejecución del contrato</w:t>
      </w:r>
      <w:r w:rsidRPr="00BD4869">
        <w:rPr>
          <w:rFonts w:ascii="Verdana" w:eastAsia="Calibri" w:hAnsi="Verdana" w:cs="Arial"/>
          <w:bCs/>
          <w:vertAlign w:val="superscript"/>
          <w:lang w:val="es-MX"/>
        </w:rPr>
        <w:footnoteReference w:id="4"/>
      </w:r>
      <w:r w:rsidRPr="00BD4869">
        <w:rPr>
          <w:rFonts w:ascii="Verdana" w:eastAsia="Calibri" w:hAnsi="Verdana" w:cs="Arial"/>
          <w:bCs/>
          <w:lang w:val="es-MX"/>
        </w:rPr>
        <w:t xml:space="preserve">. Los oferentes que cumplan estos requisitos habilitantes son considerados idóneos para ejecutar el objeto contractual, de manera que sus ofertas pueden ser consideradas en la evaluación dirigida a determinar cuál es la más favorable para la entidad y a los fines de la contratación. En este sentido, los requisitos </w:t>
      </w:r>
      <w:r w:rsidRPr="00BD4869">
        <w:rPr>
          <w:rFonts w:ascii="Verdana" w:eastAsia="Calibri" w:hAnsi="Verdana" w:cs="Arial"/>
          <w:bCs/>
          <w:i/>
          <w:lang w:val="es-MX"/>
        </w:rPr>
        <w:t xml:space="preserve">habilitantes </w:t>
      </w:r>
      <w:r w:rsidRPr="00BD4869">
        <w:rPr>
          <w:rFonts w:ascii="Verdana" w:eastAsia="Calibri" w:hAnsi="Verdana" w:cs="Arial"/>
          <w:bCs/>
          <w:lang w:val="es-MX"/>
        </w:rPr>
        <w:t>son aquellos que deben cumplir en igualdad de condiciones los proponentes, haciendo que estos se habiliten en el procedimiento de selección y sean susceptibles de ser seleccionados como futuros contratistas.</w:t>
      </w:r>
    </w:p>
    <w:p w14:paraId="41D5DF16" w14:textId="77777777" w:rsidR="00EA19BB" w:rsidRPr="00BD4869" w:rsidRDefault="00EA19BB" w:rsidP="00EA19BB">
      <w:pPr>
        <w:spacing w:after="120" w:line="276" w:lineRule="auto"/>
        <w:ind w:right="51" w:firstLine="709"/>
        <w:jc w:val="both"/>
        <w:rPr>
          <w:rFonts w:ascii="Verdana" w:eastAsia="Calibri" w:hAnsi="Verdana" w:cs="Arial"/>
          <w:bCs/>
          <w:lang w:val="es-MX"/>
        </w:rPr>
      </w:pPr>
      <w:r w:rsidRPr="00BD4869">
        <w:rPr>
          <w:rFonts w:ascii="Verdana" w:eastAsia="Calibri" w:hAnsi="Verdana" w:cs="Arial"/>
          <w:bCs/>
          <w:lang w:val="es-MX"/>
        </w:rPr>
        <w:t xml:space="preserve">En contraposición a los requisitos habilitantes, el artículo 5 de la Ley 1150 de 2007 regula los factores dirigidos a determinar cuál es la propuesta, comparativamente, más favorable. En ese sentido, el inciso primero dispone los factores de escogencia y calificación que deben indicarse en los pliegos de condiciones o documentos equivalentes. El numeral segundo de esta norma establece que la oferta más favorable es aquella que resulte ser la más ventajosa para la entidad, una vez se realice la ponderación precisa y detallada de los factores técnicos y económicos de escogencia, de acuerdo con los parámetros establecidos en los pliegos de condiciones o equivalentes, que permiten la comparación de ofertas. Este numeral segundo se divide en dos literales, cada uno de los cuales hace referencia a los mecanismos por los que pueden optar las entidades para ponderar los elementos de calidad y precio de las ofertas. El literal a) alude a la ponderación de los referidos elementos </w:t>
      </w:r>
      <w:r w:rsidRPr="00BD4869">
        <w:rPr>
          <w:rFonts w:ascii="Verdana" w:eastAsia="Calibri" w:hAnsi="Verdana" w:cs="Arial"/>
          <w:bCs/>
          <w:lang w:val="es-MX"/>
        </w:rPr>
        <w:lastRenderedPageBreak/>
        <w:t xml:space="preserve">mediante </w:t>
      </w:r>
      <w:r w:rsidRPr="00BD4869">
        <w:rPr>
          <w:rFonts w:ascii="Verdana" w:eastAsia="Calibri" w:hAnsi="Verdana" w:cs="Arial"/>
          <w:bCs/>
          <w:i/>
          <w:iCs/>
          <w:lang w:val="es-MX"/>
        </w:rPr>
        <w:t>puntajes o fórmulas</w:t>
      </w:r>
      <w:r w:rsidRPr="00BD4869">
        <w:rPr>
          <w:rFonts w:ascii="Verdana" w:eastAsia="Calibri" w:hAnsi="Verdana" w:cs="Arial"/>
          <w:bCs/>
          <w:lang w:val="es-MX"/>
        </w:rPr>
        <w:t xml:space="preserve">, </w:t>
      </w:r>
      <w:r w:rsidRPr="0058754A">
        <w:rPr>
          <w:rFonts w:ascii="Verdana" w:eastAsia="Calibri" w:hAnsi="Verdana" w:cs="Arial"/>
          <w:bCs/>
          <w:lang w:val="es-MX"/>
        </w:rPr>
        <w:t xml:space="preserve">mientras que el literal b) se refiere la elección de la oferta que represente la mejor relación </w:t>
      </w:r>
      <w:r w:rsidRPr="0058754A">
        <w:rPr>
          <w:rFonts w:ascii="Verdana" w:eastAsia="Calibri" w:hAnsi="Verdana" w:cs="Arial"/>
          <w:bCs/>
          <w:i/>
          <w:iCs/>
          <w:lang w:val="es-MX"/>
        </w:rPr>
        <w:t>costo-beneficio</w:t>
      </w:r>
      <w:r w:rsidRPr="0058754A">
        <w:rPr>
          <w:rFonts w:ascii="Verdana" w:eastAsia="Calibri" w:hAnsi="Verdana" w:cs="Arial"/>
          <w:bCs/>
          <w:lang w:val="es-MX"/>
        </w:rPr>
        <w:t xml:space="preserve"> para la entidad.</w:t>
      </w:r>
      <w:r w:rsidRPr="00BD4869">
        <w:rPr>
          <w:rFonts w:ascii="Verdana" w:eastAsia="Calibri" w:hAnsi="Verdana" w:cs="Arial"/>
          <w:bCs/>
          <w:lang w:val="es-MX"/>
        </w:rPr>
        <w:t xml:space="preserve"> </w:t>
      </w:r>
    </w:p>
    <w:p w14:paraId="44DC3738" w14:textId="77777777" w:rsidR="00EA19BB" w:rsidRPr="00BD4869" w:rsidRDefault="00EA19BB" w:rsidP="00EA19BB">
      <w:pPr>
        <w:spacing w:after="120" w:line="276" w:lineRule="auto"/>
        <w:ind w:right="51" w:firstLine="709"/>
        <w:jc w:val="both"/>
        <w:rPr>
          <w:rFonts w:ascii="Verdana" w:eastAsia="Calibri" w:hAnsi="Verdana" w:cs="Arial"/>
          <w:bCs/>
          <w:lang w:val="es-MX"/>
        </w:rPr>
      </w:pPr>
      <w:r w:rsidRPr="00BD4869">
        <w:rPr>
          <w:rFonts w:ascii="Verdana" w:eastAsia="Calibri" w:hAnsi="Verdana" w:cs="Arial"/>
          <w:bCs/>
          <w:lang w:val="es-MX"/>
        </w:rPr>
        <w:t>Por su parte, el numeral tercero establece que en los procesos de selección de bienes y servicios de características técnicas uniformes y de común utilización el único factor de evaluación consiste en el menor precio. Por último, el numeral 4, referente a los procedimientos para la selección de consultores, señala que deben usarse factores de calificación, para valorar los aspectos técnicos de la oferta, permitiendo que entre ellos se pondere la experiencia.</w:t>
      </w:r>
    </w:p>
    <w:p w14:paraId="4F3F2C38" w14:textId="77777777" w:rsidR="00EA19BB" w:rsidRPr="00BD4869" w:rsidRDefault="00EA19BB" w:rsidP="00EA19BB">
      <w:pPr>
        <w:spacing w:after="120" w:line="276" w:lineRule="auto"/>
        <w:ind w:right="51" w:firstLine="709"/>
        <w:jc w:val="both"/>
        <w:rPr>
          <w:rFonts w:ascii="Verdana" w:eastAsia="Calibri" w:hAnsi="Verdana" w:cs="Arial"/>
          <w:bCs/>
          <w:lang w:val="es-MX"/>
        </w:rPr>
      </w:pPr>
      <w:r w:rsidRPr="00BD4869">
        <w:rPr>
          <w:rFonts w:ascii="Verdana" w:eastAsia="Calibri" w:hAnsi="Verdana" w:cs="Arial"/>
          <w:bCs/>
          <w:lang w:val="es-MX"/>
        </w:rPr>
        <w:t>De acuerdo con lo expresado, se concluye que el artículo 5 de la Ley 1150 de 2007 define los parámetros conforme a los cuales deben exigirse y evaluarse los factores que no otorgan puntaje o requisitos habilitantes, como también aquellos que deben tenerse en cuenta para la exigencia y evaluación de los factores de escogencia o calificación, técnicos y económicos, los cuales inciden en la comparación de las ofertas. Por ello, la doctrina define los requisitos o factores ponderables como “[…] aquellas condiciones de la oferta y no de quien la presenta, que sí entrarán a ser evaluadas por la Administración y que, en consecuencia, darán lugar a la escogencia objetiva de la mejor propuesta para la entidad”</w:t>
      </w:r>
      <w:r w:rsidRPr="00BD4869">
        <w:rPr>
          <w:rFonts w:ascii="Verdana" w:eastAsia="Calibri" w:hAnsi="Verdana" w:cs="Arial"/>
          <w:bCs/>
          <w:vertAlign w:val="superscript"/>
          <w:lang w:val="es-MX"/>
        </w:rPr>
        <w:footnoteReference w:id="5"/>
      </w:r>
      <w:r w:rsidRPr="00BD4869">
        <w:rPr>
          <w:rFonts w:ascii="Verdana" w:eastAsia="Calibri" w:hAnsi="Verdana" w:cs="Arial"/>
          <w:bCs/>
          <w:lang w:val="es-MX"/>
        </w:rPr>
        <w:t>. Todas estas categorías designan los “[…] factores a los cuales cabe otorgarles puntajes o que pueden ser ponderados, precisamente, pues estos son los factores que en últimas permiten una comparación de ofertas y una diferenciación entre ellas”</w:t>
      </w:r>
      <w:r w:rsidRPr="00BD4869">
        <w:rPr>
          <w:rFonts w:ascii="Verdana" w:eastAsia="Calibri" w:hAnsi="Verdana" w:cs="Arial"/>
          <w:bCs/>
          <w:vertAlign w:val="superscript"/>
          <w:lang w:val="es-MX"/>
        </w:rPr>
        <w:footnoteReference w:id="6"/>
      </w:r>
      <w:r w:rsidRPr="00BD4869">
        <w:rPr>
          <w:rFonts w:ascii="Verdana" w:eastAsia="Calibri" w:hAnsi="Verdana" w:cs="Arial"/>
          <w:bCs/>
          <w:lang w:val="es-MX"/>
        </w:rPr>
        <w:t xml:space="preserve">. </w:t>
      </w:r>
    </w:p>
    <w:p w14:paraId="4590481F" w14:textId="77777777" w:rsidR="00EA19BB" w:rsidRPr="00BD4869" w:rsidRDefault="00EA19BB" w:rsidP="00EA19BB">
      <w:pPr>
        <w:spacing w:before="120" w:after="0" w:line="276" w:lineRule="auto"/>
        <w:ind w:right="51" w:firstLine="709"/>
        <w:jc w:val="both"/>
        <w:rPr>
          <w:rFonts w:ascii="Verdana" w:eastAsia="Calibri" w:hAnsi="Verdana" w:cs="Arial"/>
          <w:bCs/>
          <w:lang w:val="es-MX"/>
        </w:rPr>
      </w:pPr>
      <w:r w:rsidRPr="00BD4869">
        <w:rPr>
          <w:rFonts w:ascii="Verdana" w:eastAsia="Calibri" w:hAnsi="Verdana" w:cs="Arial"/>
          <w:bCs/>
          <w:lang w:val="es-MX"/>
        </w:rPr>
        <w:t>Sobre la escogencia de la oferta más favorable a los intereses de la entidad y la evaluación de los factores exigidos en un caso concreto para el efecto, la doctrina explica que:</w:t>
      </w:r>
    </w:p>
    <w:p w14:paraId="4B2B96B1" w14:textId="77777777" w:rsidR="00EA19BB" w:rsidRPr="00BD4869" w:rsidRDefault="00EA19BB" w:rsidP="00EA19BB">
      <w:pPr>
        <w:spacing w:after="0" w:line="276" w:lineRule="auto"/>
        <w:ind w:right="51"/>
        <w:jc w:val="both"/>
        <w:rPr>
          <w:rFonts w:ascii="Verdana" w:eastAsia="Calibri" w:hAnsi="Verdana" w:cs="Arial"/>
          <w:bCs/>
          <w:lang w:val="es-MX"/>
        </w:rPr>
      </w:pPr>
    </w:p>
    <w:p w14:paraId="6240DE70" w14:textId="77777777" w:rsidR="00EA19BB" w:rsidRPr="00BD4869" w:rsidRDefault="00EA19BB" w:rsidP="00EA19BB">
      <w:pPr>
        <w:spacing w:after="0" w:line="240" w:lineRule="auto"/>
        <w:ind w:left="709" w:right="709"/>
        <w:jc w:val="both"/>
        <w:rPr>
          <w:rFonts w:ascii="Verdana" w:eastAsia="Calibri" w:hAnsi="Verdana" w:cs="Arial"/>
          <w:bCs/>
          <w:sz w:val="20"/>
          <w:szCs w:val="20"/>
          <w:lang w:val="es-MX"/>
        </w:rPr>
      </w:pPr>
      <w:r w:rsidRPr="00BD4869">
        <w:rPr>
          <w:rFonts w:ascii="Verdana" w:eastAsia="Calibri" w:hAnsi="Verdana" w:cs="Arial"/>
          <w:bCs/>
          <w:sz w:val="20"/>
          <w:szCs w:val="20"/>
          <w:lang w:val="es-MX"/>
        </w:rPr>
        <w:t xml:space="preserve">“De acuerdo con ese entendimiento, el numeral 2 del artículo 5.° de la Ley  1150 de 2007, modificado por el artículo 88 de la Ley 1474 de 2011, comienza por señalar que "la oferta más favorable será aquella que, teniendo en cuenta los factores técnicos y económicos de escogencia y la </w:t>
      </w:r>
      <w:r w:rsidRPr="00BD4869">
        <w:rPr>
          <w:rFonts w:ascii="Verdana" w:eastAsia="Calibri" w:hAnsi="Verdana" w:cs="Arial"/>
          <w:bCs/>
          <w:sz w:val="20"/>
          <w:szCs w:val="20"/>
          <w:lang w:val="es-MX"/>
        </w:rPr>
        <w:lastRenderedPageBreak/>
        <w:t xml:space="preserve">ponderación precisa y detallada de los mismos, contenida en los pliegos de condiciones o sus equivalentes, resulte ser la más ventajosa para la entidad, sin que la favorabilidad la constituyan factores diferentes a los contenidos en dichos documentos". Es decir que los factores de ponderación o de evaluación son los que en realidad determinan la propuesta que mejor satisface las necesidades de la Administración y no simplemente cuál de los proponentes es el más idóneo en la ejecución del contrato, pues, se insiste, todo oferente que supere los requisitos mínimos habilitantes se entiende que es suficientemente idóneo para la ejecución del objeto contractual. </w:t>
      </w:r>
    </w:p>
    <w:p w14:paraId="6DA25C3B" w14:textId="77777777" w:rsidR="00EA19BB" w:rsidRPr="00BD4869" w:rsidRDefault="00EA19BB" w:rsidP="00EA19BB">
      <w:pPr>
        <w:spacing w:after="0" w:line="240" w:lineRule="auto"/>
        <w:ind w:left="709" w:right="709"/>
        <w:jc w:val="both"/>
        <w:rPr>
          <w:rFonts w:ascii="Verdana" w:eastAsia="Calibri" w:hAnsi="Verdana" w:cs="Arial"/>
          <w:bCs/>
          <w:sz w:val="20"/>
          <w:szCs w:val="20"/>
          <w:lang w:val="es-MX"/>
        </w:rPr>
      </w:pPr>
    </w:p>
    <w:p w14:paraId="08B932B5" w14:textId="77777777" w:rsidR="00EA19BB" w:rsidRPr="00BD4869" w:rsidRDefault="00EA19BB" w:rsidP="00EA19BB">
      <w:pPr>
        <w:spacing w:after="0" w:line="240" w:lineRule="auto"/>
        <w:ind w:left="709" w:right="709"/>
        <w:jc w:val="both"/>
        <w:rPr>
          <w:rFonts w:ascii="Verdana" w:eastAsia="Calibri" w:hAnsi="Verdana" w:cs="Arial"/>
          <w:bCs/>
          <w:sz w:val="20"/>
          <w:szCs w:val="20"/>
          <w:lang w:val="es-MX"/>
        </w:rPr>
      </w:pPr>
      <w:r w:rsidRPr="00BD4869">
        <w:rPr>
          <w:rFonts w:ascii="Verdana" w:eastAsia="Calibri" w:hAnsi="Verdana" w:cs="Arial"/>
          <w:bCs/>
          <w:sz w:val="20"/>
          <w:szCs w:val="20"/>
          <w:lang w:val="es-MX"/>
        </w:rPr>
        <w:t xml:space="preserve">De nuevo, aquí es preciso señalar que es el pliego de condiciones el que debe determinar cuáles son esos factores que en cada caso concreto permiten hacer una comparación entre las ofertas presentadas y, con base en ello, determinar cuál es la más favorable para la Administración Pública. </w:t>
      </w:r>
    </w:p>
    <w:p w14:paraId="43DAF330" w14:textId="77777777" w:rsidR="00EA19BB" w:rsidRPr="00BD4869" w:rsidRDefault="00EA19BB" w:rsidP="00EA19BB">
      <w:pPr>
        <w:spacing w:after="0" w:line="240" w:lineRule="auto"/>
        <w:ind w:left="709" w:right="709"/>
        <w:jc w:val="both"/>
        <w:rPr>
          <w:rFonts w:ascii="Verdana" w:eastAsia="Calibri" w:hAnsi="Verdana" w:cs="Arial"/>
          <w:bCs/>
          <w:sz w:val="20"/>
          <w:szCs w:val="20"/>
          <w:lang w:val="es-MX"/>
        </w:rPr>
      </w:pPr>
    </w:p>
    <w:p w14:paraId="41B0636F" w14:textId="77777777" w:rsidR="00EA19BB" w:rsidRPr="00BD4869" w:rsidRDefault="00EA19BB" w:rsidP="00EA19BB">
      <w:pPr>
        <w:spacing w:after="0" w:line="240" w:lineRule="auto"/>
        <w:ind w:left="709" w:right="709"/>
        <w:jc w:val="both"/>
        <w:rPr>
          <w:rFonts w:ascii="Verdana" w:eastAsia="Calibri" w:hAnsi="Verdana" w:cs="Arial"/>
          <w:bCs/>
          <w:sz w:val="20"/>
          <w:szCs w:val="20"/>
          <w:lang w:val="es-MX"/>
        </w:rPr>
      </w:pPr>
      <w:r w:rsidRPr="00BD4869">
        <w:rPr>
          <w:rFonts w:ascii="Verdana" w:eastAsia="Calibri" w:hAnsi="Verdana" w:cs="Arial"/>
          <w:bCs/>
          <w:sz w:val="20"/>
          <w:szCs w:val="20"/>
          <w:lang w:val="es-MX"/>
        </w:rPr>
        <w:t>[…]Una siguiente conclusión que se deriva de la norma parcialmente transcrita consiste en que los pliegos de condiciones deben determinar dos situaciones por separado: 1. cuáles serán los factores o requisitos que serán evaluados por la Administración y 2. cuáles son los criterios para asignar puntaje a cada uno de los factores de evaluación y, con base en ello, poder hacer la comparación entre las ofertas y concluir cuál de ellas es la más ventajosa para la entidad estatal”</w:t>
      </w:r>
      <w:r w:rsidRPr="00BD4869">
        <w:rPr>
          <w:rFonts w:ascii="Verdana" w:eastAsia="Calibri" w:hAnsi="Verdana" w:cs="Arial"/>
          <w:bCs/>
          <w:sz w:val="20"/>
          <w:szCs w:val="20"/>
          <w:vertAlign w:val="superscript"/>
          <w:lang w:val="es-MX"/>
        </w:rPr>
        <w:footnoteReference w:id="7"/>
      </w:r>
      <w:r w:rsidRPr="00BD4869">
        <w:rPr>
          <w:rFonts w:ascii="Verdana" w:eastAsia="Calibri" w:hAnsi="Verdana" w:cs="Arial"/>
          <w:bCs/>
          <w:sz w:val="20"/>
          <w:szCs w:val="20"/>
          <w:lang w:val="es-MX"/>
        </w:rPr>
        <w:t>.</w:t>
      </w:r>
    </w:p>
    <w:p w14:paraId="26E381DA" w14:textId="77777777" w:rsidR="00EA19BB" w:rsidRPr="00BD4869" w:rsidRDefault="00EA19BB" w:rsidP="00EA19BB">
      <w:pPr>
        <w:spacing w:after="0" w:line="276" w:lineRule="auto"/>
        <w:ind w:left="709" w:right="709"/>
        <w:jc w:val="both"/>
        <w:rPr>
          <w:rFonts w:ascii="Verdana" w:eastAsia="Calibri" w:hAnsi="Verdana" w:cs="Arial"/>
          <w:bCs/>
          <w:lang w:val="es-MX"/>
        </w:rPr>
      </w:pPr>
    </w:p>
    <w:p w14:paraId="00F94A96" w14:textId="77777777" w:rsidR="00EA19BB" w:rsidRPr="00BD4869" w:rsidRDefault="00EA19BB" w:rsidP="00EA19BB">
      <w:pPr>
        <w:spacing w:after="120" w:line="276" w:lineRule="auto"/>
        <w:ind w:firstLine="709"/>
        <w:jc w:val="both"/>
        <w:rPr>
          <w:rFonts w:ascii="Verdana" w:eastAsia="Calibri" w:hAnsi="Verdana" w:cs="Arial"/>
          <w:bCs/>
          <w:lang w:val="es-MX"/>
        </w:rPr>
      </w:pPr>
      <w:r w:rsidRPr="00BD4869">
        <w:rPr>
          <w:rFonts w:ascii="Verdana" w:eastAsia="Calibri" w:hAnsi="Verdana" w:cs="Arial"/>
          <w:bCs/>
          <w:lang w:val="es-MX"/>
        </w:rPr>
        <w:t xml:space="preserve">De acuerdo con lo anterior, es posible asimilar las diferentes categorías a las que hace referencia el artículo 5 de la Ley 1150 de 2007, cuando alude a los factores que, a diferencia de los requisitos habilitantes, determinan la oferta más favorable para la entidad, y que, por lo tanto, hacen que una oferta sea mejor que otra, pese a tener que cumplir todas ellas los requisitos habilitantes. Es frente a aquellos factores, que determinan comparativamente que una oferta sea mejor que otra, que la entidad concibe el otorgamiento de puntajes, como mecanismos para ponderar y comparar los ofrecimientos, con el fin de determinar objetivamente la oferta más favorable, aplicando para ello las reglas establecidas en el pliego o documento equivalente para la ponderación de las ofertas. </w:t>
      </w:r>
    </w:p>
    <w:p w14:paraId="76AF0D6B" w14:textId="77777777" w:rsidR="00EA19BB" w:rsidRPr="003F0B4C" w:rsidRDefault="00EA19BB" w:rsidP="00EA19BB">
      <w:pPr>
        <w:spacing w:line="276" w:lineRule="auto"/>
        <w:ind w:firstLine="708"/>
        <w:jc w:val="both"/>
        <w:rPr>
          <w:rFonts w:ascii="Verdana" w:eastAsia="Calibri" w:hAnsi="Verdana" w:cs="Arial"/>
          <w:color w:val="000000" w:themeColor="text1"/>
          <w:lang w:val="es-ES_tradnl"/>
        </w:rPr>
      </w:pPr>
      <w:r w:rsidRPr="003F0B4C">
        <w:rPr>
          <w:rFonts w:ascii="Verdana" w:eastAsia="Calibri" w:hAnsi="Verdana" w:cs="Arial"/>
          <w:color w:val="000000" w:themeColor="text1"/>
          <w:lang w:val="es-ES_tradnl"/>
        </w:rPr>
        <w:t xml:space="preserve">Seguidamente, en relación con los requisitos habilitantes es importante mencionar que, en el “Manual para determinar y verificar los requisitos </w:t>
      </w:r>
      <w:r w:rsidRPr="003F0B4C">
        <w:rPr>
          <w:rFonts w:ascii="Verdana" w:eastAsia="Calibri" w:hAnsi="Verdana" w:cs="Arial"/>
          <w:color w:val="000000" w:themeColor="text1"/>
          <w:lang w:val="es-ES_tradnl"/>
        </w:rPr>
        <w:lastRenderedPageBreak/>
        <w:t>habilitantes en los Procesos de Contratación” expedido por esta Agencia, en el cual se determinaron los parámetros para establecer, acreditar y subsanar los requisitos habilitantes estudiados en los párrafos precedentes, se indica que su propósito consiste en “establecer unas condiciones mínimas para los proponentes de tal manera que la Entidad Estatal sólo evalúe las ofertas de aquellos que están en condiciones de cumplir con el objeto del Proceso de Contratación”. En otras palabras, al tratarse de condiciones mínimas, significa que las entidades podrían establecer otras, según su autonomía de la voluntad, y teniendo en cuenta el objeto del contrato, los riesgos detectados en los estudios previos, el presupuesto oficial, entre otros factores.</w:t>
      </w:r>
    </w:p>
    <w:p w14:paraId="34A2B32A" w14:textId="77777777" w:rsidR="00EA19BB" w:rsidRDefault="00EA19BB" w:rsidP="00EA19BB">
      <w:pPr>
        <w:widowControl w:val="0"/>
        <w:autoSpaceDE w:val="0"/>
        <w:autoSpaceDN w:val="0"/>
        <w:spacing w:line="276" w:lineRule="auto"/>
        <w:ind w:firstLine="709"/>
        <w:jc w:val="both"/>
        <w:rPr>
          <w:rFonts w:ascii="Verdana" w:eastAsia="Calibri" w:hAnsi="Verdana" w:cs="Arial"/>
          <w:color w:val="000000" w:themeColor="text1"/>
        </w:rPr>
      </w:pPr>
      <w:r w:rsidRPr="003F0B4C">
        <w:rPr>
          <w:rFonts w:ascii="Verdana" w:eastAsia="Calibri" w:hAnsi="Verdana" w:cs="Arial"/>
          <w:color w:val="000000" w:themeColor="text1"/>
        </w:rPr>
        <w:t xml:space="preserve">En consecuencia, corresponde a las entidades estatales, durante la etapa de planeación del contrato estatal, estudiar y determinar los requisitos habilitantes que establecerán en los pliegos de condiciones, los cuales deben fijarse de forma adecuada y proporcional. Esto último, según se deriva de la lectura del artículo 2.2.1.1.1.6.2 del Decreto 1082 de 2015, debe hacerse de acuerdo </w:t>
      </w:r>
      <w:bookmarkStart w:id="2" w:name="_Hlk182863897"/>
      <w:r w:rsidRPr="003F0B4C">
        <w:rPr>
          <w:rFonts w:ascii="Verdana" w:eastAsia="Calibri" w:hAnsi="Verdana" w:cs="Arial"/>
          <w:color w:val="000000" w:themeColor="text1"/>
        </w:rPr>
        <w:t>con la naturaleza, el valor del contrato, la forma de pago, los riesgos asociados al contrato, el plazo y la complejidad de ejecución del objeto</w:t>
      </w:r>
      <w:r w:rsidRPr="003F0B4C">
        <w:rPr>
          <w:rStyle w:val="Refdenotaalpie"/>
          <w:rFonts w:ascii="Verdana" w:eastAsia="Calibri" w:hAnsi="Verdana" w:cs="Arial"/>
          <w:color w:val="000000" w:themeColor="text1"/>
        </w:rPr>
        <w:footnoteReference w:id="8"/>
      </w:r>
      <w:r w:rsidRPr="003F0B4C">
        <w:rPr>
          <w:rFonts w:ascii="Verdana" w:eastAsia="Calibri" w:hAnsi="Verdana" w:cs="Arial"/>
          <w:color w:val="000000" w:themeColor="text1"/>
        </w:rPr>
        <w:t>.</w:t>
      </w:r>
      <w:bookmarkEnd w:id="2"/>
    </w:p>
    <w:p w14:paraId="2C8B0787" w14:textId="77777777" w:rsidR="009739D5" w:rsidRDefault="00EA19BB" w:rsidP="009739D5">
      <w:pPr>
        <w:widowControl w:val="0"/>
        <w:autoSpaceDE w:val="0"/>
        <w:autoSpaceDN w:val="0"/>
        <w:spacing w:line="276" w:lineRule="auto"/>
        <w:ind w:firstLine="709"/>
        <w:jc w:val="both"/>
        <w:rPr>
          <w:rFonts w:ascii="Verdana" w:eastAsia="Calibri" w:hAnsi="Verdana" w:cs="Arial"/>
          <w:color w:val="000000" w:themeColor="text1"/>
        </w:rPr>
      </w:pPr>
      <w:r w:rsidRPr="009616D4">
        <w:rPr>
          <w:rFonts w:ascii="Verdana" w:eastAsia="Calibri" w:hAnsi="Verdana" w:cs="Arial"/>
          <w:color w:val="000000" w:themeColor="text1"/>
        </w:rPr>
        <w:t>Considerando la discrecionalidad para establecer requisitos habilitantes, es necesario tener en cuenta que el artículo 44 de la Ley 1437 de 2011 –aplicable en los procedimientos contractuales en virtud del artículo 77 de la Ley 80 de 1993– dispone que “En la medida en que el contenido de una decisión de carácter general o particular sea d</w:t>
      </w:r>
      <w:r w:rsidRPr="003F0B4C">
        <w:rPr>
          <w:rFonts w:ascii="Verdana" w:eastAsia="Calibri" w:hAnsi="Verdana" w:cs="Arial"/>
          <w:color w:val="000000" w:themeColor="text1"/>
        </w:rPr>
        <w:t>iscrecional, debe ser adecuada a los fines de la norma que la autoriza, y proporcional a los hechos que le sirven de causa”. Dado lo anterior, para efectos de configurar requisitos habilitantes la Entidad Estatal tiene la carga de justificar en los estudios previos y análisis del sector del proceso de selección su procedencia, de conformidad con el artículo 2.2.1.1.1.6.2 del Decreto 1082 de 2015.</w:t>
      </w:r>
    </w:p>
    <w:p w14:paraId="5C15A4DF" w14:textId="77777777" w:rsidR="00761724" w:rsidRDefault="00F52677" w:rsidP="00761724">
      <w:pPr>
        <w:widowControl w:val="0"/>
        <w:autoSpaceDE w:val="0"/>
        <w:autoSpaceDN w:val="0"/>
        <w:spacing w:line="276" w:lineRule="auto"/>
        <w:ind w:firstLine="709"/>
        <w:jc w:val="both"/>
        <w:rPr>
          <w:rFonts w:ascii="Verdana" w:hAnsi="Verdana"/>
        </w:rPr>
      </w:pPr>
      <w:r w:rsidRPr="00C61EA0">
        <w:rPr>
          <w:rFonts w:ascii="Verdana" w:eastAsia="Calibri" w:hAnsi="Verdana" w:cs="Arial"/>
          <w:color w:val="000000" w:themeColor="text1"/>
        </w:rPr>
        <w:lastRenderedPageBreak/>
        <w:t>Por su parte,</w:t>
      </w:r>
      <w:r w:rsidR="00121FBF" w:rsidRPr="00C61EA0">
        <w:rPr>
          <w:rFonts w:ascii="Verdana" w:eastAsia="Calibri" w:hAnsi="Verdana" w:cs="Arial"/>
          <w:color w:val="000000" w:themeColor="text1"/>
        </w:rPr>
        <w:t xml:space="preserve"> el consejo de Estado</w:t>
      </w:r>
      <w:r w:rsidR="00121FBF" w:rsidRPr="00C61EA0">
        <w:rPr>
          <w:rStyle w:val="Refdenotaalpie"/>
          <w:rFonts w:ascii="Verdana" w:eastAsia="Calibri" w:hAnsi="Verdana" w:cs="Arial"/>
          <w:color w:val="000000" w:themeColor="text1"/>
        </w:rPr>
        <w:footnoteReference w:id="9"/>
      </w:r>
      <w:r w:rsidR="00121FBF" w:rsidRPr="00C61EA0">
        <w:rPr>
          <w:rFonts w:ascii="Verdana" w:eastAsia="Calibri" w:hAnsi="Verdana" w:cs="Arial"/>
          <w:color w:val="000000" w:themeColor="text1"/>
        </w:rPr>
        <w:t>, ha sostenido que “</w:t>
      </w:r>
      <w:r w:rsidR="00121FBF" w:rsidRPr="00C61EA0">
        <w:rPr>
          <w:rFonts w:ascii="Verdana" w:hAnsi="Verdana"/>
        </w:rPr>
        <w:t>los factores de calificación se deben aplicar exclusivamente en función de la oferta, entendida como los elementos del negocio jurídico sobre los cuales la entidad licitante va a efectuar la comparación de las propuestas para obtener la más favorable, teniendo en cuenta los elementos técnicos y económicos de escogencia y la ponderación precisa y detallada de los mismos, contenidos en los pliegos de condiciones. El artículo 5° de la ley 1150 de 2007 privilegia las condiciones técnicas y económicas de la oferta, señalando que ofrecimiento más favorable es aquel que teniendo en cuenta dichos factores de escogencia y “la ponderación precisa, detallada y concreta de los mismos”, es decir, el peso o valor exacto que tendrá cada uno de los mismos en la calificación total de la propuesta, “contenida en los pliegos de condiciones o sus equivalentes, resulta ser el más ventajoso para la entidad, sin que la favorabilidad la constituyan factores diferentes a los contenidos en dichos documentos</w:t>
      </w:r>
      <w:r w:rsidR="00C61EA0" w:rsidRPr="00C61EA0">
        <w:rPr>
          <w:rFonts w:ascii="Verdana" w:hAnsi="Verdana"/>
        </w:rPr>
        <w:t xml:space="preserve"> (…). </w:t>
      </w:r>
      <w:r w:rsidR="00121FBF" w:rsidRPr="00C61EA0">
        <w:rPr>
          <w:rFonts w:ascii="Verdana" w:hAnsi="Verdana"/>
        </w:rPr>
        <w:t>Estos elementos deben ser ponderados por la entidad licitante respecto de aquellos proponentes hábiles, esto es, sólo a aquellos que en la verificación de los requisitos habilitantes demostraron tener los requisitos necesarios para celebrar el contrato</w:t>
      </w:r>
      <w:r w:rsidR="009739D5" w:rsidRPr="00C61EA0">
        <w:rPr>
          <w:rFonts w:ascii="Verdana" w:hAnsi="Verdana"/>
        </w:rPr>
        <w:t>”</w:t>
      </w:r>
      <w:r w:rsidR="00121FBF" w:rsidRPr="00C61EA0">
        <w:rPr>
          <w:rFonts w:ascii="Verdana" w:hAnsi="Verdana"/>
        </w:rPr>
        <w:t>.</w:t>
      </w:r>
    </w:p>
    <w:p w14:paraId="5A831E4C" w14:textId="77777777" w:rsidR="00761724" w:rsidRPr="00B034B0" w:rsidRDefault="00761724" w:rsidP="00761724">
      <w:pPr>
        <w:widowControl w:val="0"/>
        <w:autoSpaceDE w:val="0"/>
        <w:autoSpaceDN w:val="0"/>
        <w:spacing w:line="276" w:lineRule="auto"/>
        <w:ind w:firstLine="709"/>
        <w:jc w:val="both"/>
        <w:rPr>
          <w:rFonts w:ascii="Verdana" w:hAnsi="Verdana"/>
        </w:rPr>
      </w:pPr>
      <w:r w:rsidRPr="00B034B0">
        <w:rPr>
          <w:rFonts w:ascii="Verdana" w:hAnsi="Verdana"/>
        </w:rPr>
        <w:t xml:space="preserve">Así las cosas, la entidad concibe el otorgamiento de puntajes como mecanismos para ponderar y comparar los ofrecimientos, con el fin de determinar objetivamente la oferta más favorable, aplicando para ello las reglas establecidas en el pliego o documento equivalente para la ponderación de las ofertas. En ese sentido, la asignación de puntaje es un mecanismo mediante el cual las entidades ponderan los factores de calificación </w:t>
      </w:r>
      <w:r w:rsidRPr="00B034B0">
        <w:rPr>
          <w:rFonts w:ascii="Tahoma" w:hAnsi="Tahoma" w:cs="Tahoma"/>
        </w:rPr>
        <w:t>ꟷ</w:t>
      </w:r>
      <w:r w:rsidRPr="00B034B0">
        <w:rPr>
          <w:rFonts w:ascii="Verdana" w:hAnsi="Verdana"/>
        </w:rPr>
        <w:t>v.g. técnicos, de calidad y precio, etc.</w:t>
      </w:r>
      <w:r w:rsidRPr="00B034B0">
        <w:rPr>
          <w:rFonts w:ascii="Tahoma" w:hAnsi="Tahoma" w:cs="Tahoma"/>
        </w:rPr>
        <w:t>ꟷ</w:t>
      </w:r>
      <w:r w:rsidRPr="00B034B0">
        <w:rPr>
          <w:rFonts w:ascii="Verdana" w:hAnsi="Verdana"/>
        </w:rPr>
        <w:t xml:space="preserve"> en un determinado proceso de selección, como se desprende del literal a) del numeral segundo del artículo 5 de la Ley 1150 de 2007, en el que, expresamente, se alude al puntaje. </w:t>
      </w:r>
    </w:p>
    <w:p w14:paraId="16471036" w14:textId="77777777" w:rsidR="00C71B27" w:rsidRPr="00B034B0" w:rsidRDefault="00761724" w:rsidP="00C71B27">
      <w:pPr>
        <w:widowControl w:val="0"/>
        <w:autoSpaceDE w:val="0"/>
        <w:autoSpaceDN w:val="0"/>
        <w:spacing w:line="276" w:lineRule="auto"/>
        <w:ind w:firstLine="709"/>
        <w:jc w:val="both"/>
        <w:rPr>
          <w:rFonts w:ascii="Verdana" w:hAnsi="Verdana"/>
        </w:rPr>
      </w:pPr>
      <w:r w:rsidRPr="00B034B0">
        <w:rPr>
          <w:rFonts w:ascii="Verdana" w:hAnsi="Verdana"/>
        </w:rPr>
        <w:t xml:space="preserve">Sin embargo, no es este el único mecanismo de ponderación que tienen a su alcance las entidades estatales para determinar el ofrecimiento más favorable, ya que el propio literal b) del artículo 5.2 posibilita que el ofrecimiento más favorable se determine con un análisis de la relación costo-beneficio, evento </w:t>
      </w:r>
      <w:r w:rsidRPr="00B034B0">
        <w:rPr>
          <w:rFonts w:ascii="Verdana" w:hAnsi="Verdana"/>
        </w:rPr>
        <w:lastRenderedPageBreak/>
        <w:t>en el que no habría necesidad de acudir obligatoriamente a sistemas de asignación de puntaje. A estos se suman, los procesos de selección de bienes y servicios de características técnicas uniformes y de común utilización, así como los de mínima cuantía, en los que –según los artículos 5.3 y 2.5 de la Ley 1150 de 2007– el único factor de selección es el menor precio ofertado, por lo que no hay lugar a ponderación mediante puntajes.</w:t>
      </w:r>
    </w:p>
    <w:p w14:paraId="1117E9E8" w14:textId="72850CB2" w:rsidR="00C71B27" w:rsidRPr="00B034B0" w:rsidRDefault="001F1261" w:rsidP="001F1261">
      <w:pPr>
        <w:widowControl w:val="0"/>
        <w:autoSpaceDE w:val="0"/>
        <w:autoSpaceDN w:val="0"/>
        <w:spacing w:line="276" w:lineRule="auto"/>
        <w:ind w:firstLine="709"/>
        <w:jc w:val="both"/>
        <w:rPr>
          <w:rFonts w:ascii="Verdana" w:hAnsi="Verdana"/>
        </w:rPr>
      </w:pPr>
      <w:r w:rsidRPr="00B034B0">
        <w:rPr>
          <w:rFonts w:ascii="Verdana" w:hAnsi="Verdana"/>
        </w:rPr>
        <w:t xml:space="preserve">De esta manera </w:t>
      </w:r>
      <w:r w:rsidR="002A2635" w:rsidRPr="00B034B0">
        <w:rPr>
          <w:rFonts w:ascii="Verdana" w:hAnsi="Verdana"/>
        </w:rPr>
        <w:t>los criterios de puntaje</w:t>
      </w:r>
      <w:r w:rsidRPr="00B034B0">
        <w:rPr>
          <w:rFonts w:ascii="Verdana" w:hAnsi="Verdana"/>
        </w:rPr>
        <w:t>,</w:t>
      </w:r>
      <w:r w:rsidR="002A2635" w:rsidRPr="00B034B0">
        <w:rPr>
          <w:rFonts w:ascii="Verdana" w:hAnsi="Verdana"/>
        </w:rPr>
        <w:t xml:space="preserve"> al ser definidos por la entidad </w:t>
      </w:r>
      <w:r w:rsidRPr="00B034B0">
        <w:rPr>
          <w:rFonts w:ascii="Verdana" w:hAnsi="Verdana"/>
        </w:rPr>
        <w:t xml:space="preserve">además de los factores técnicos y económicos sujetos a comparación y puntuación, que establece el artículo 5° de la ley 1150 de 2007, </w:t>
      </w:r>
      <w:r w:rsidR="002A2635" w:rsidRPr="00B034B0">
        <w:rPr>
          <w:rFonts w:ascii="Verdana" w:hAnsi="Verdana"/>
        </w:rPr>
        <w:t>deben</w:t>
      </w:r>
      <w:r w:rsidRPr="00B034B0">
        <w:rPr>
          <w:rFonts w:ascii="Verdana" w:hAnsi="Verdana"/>
        </w:rPr>
        <w:t xml:space="preserve"> ser</w:t>
      </w:r>
      <w:r w:rsidR="002A2635" w:rsidRPr="00B034B0">
        <w:rPr>
          <w:rFonts w:ascii="Verdana" w:hAnsi="Verdana"/>
        </w:rPr>
        <w:t xml:space="preserve"> razonab</w:t>
      </w:r>
      <w:r w:rsidR="00761724" w:rsidRPr="00B034B0">
        <w:rPr>
          <w:rFonts w:ascii="Verdana" w:hAnsi="Verdana"/>
        </w:rPr>
        <w:t xml:space="preserve">les </w:t>
      </w:r>
      <w:r w:rsidR="002A2635" w:rsidRPr="00B034B0">
        <w:rPr>
          <w:rFonts w:ascii="Verdana" w:hAnsi="Verdana"/>
        </w:rPr>
        <w:t>y proporcional</w:t>
      </w:r>
      <w:r w:rsidR="00761724" w:rsidRPr="00B034B0">
        <w:rPr>
          <w:rFonts w:ascii="Verdana" w:hAnsi="Verdana"/>
        </w:rPr>
        <w:t>es</w:t>
      </w:r>
      <w:r w:rsidR="002A2635" w:rsidRPr="00B034B0">
        <w:rPr>
          <w:rFonts w:ascii="Verdana" w:hAnsi="Verdana"/>
        </w:rPr>
        <w:t xml:space="preserve"> al objeto de contrato</w:t>
      </w:r>
      <w:r w:rsidR="00C71B27" w:rsidRPr="00B034B0">
        <w:rPr>
          <w:rFonts w:ascii="Verdana" w:hAnsi="Verdana"/>
        </w:rPr>
        <w:t xml:space="preserve">, y </w:t>
      </w:r>
      <w:r w:rsidR="002A2635" w:rsidRPr="00B034B0">
        <w:rPr>
          <w:rFonts w:ascii="Verdana" w:hAnsi="Verdana"/>
        </w:rPr>
        <w:t xml:space="preserve">no </w:t>
      </w:r>
      <w:r w:rsidR="000F4B42" w:rsidRPr="00B034B0">
        <w:rPr>
          <w:rFonts w:ascii="Verdana" w:hAnsi="Verdana"/>
        </w:rPr>
        <w:t>pueden</w:t>
      </w:r>
      <w:r w:rsidR="002A2635" w:rsidRPr="00B034B0">
        <w:rPr>
          <w:rFonts w:ascii="Verdana" w:hAnsi="Verdana"/>
        </w:rPr>
        <w:t xml:space="preserve"> dar lugar a ambigüedades, ni a </w:t>
      </w:r>
      <w:r w:rsidR="000F4B42" w:rsidRPr="00B034B0">
        <w:rPr>
          <w:rFonts w:ascii="Verdana" w:hAnsi="Verdana"/>
        </w:rPr>
        <w:t>interpretaciones</w:t>
      </w:r>
      <w:r w:rsidR="002A2635" w:rsidRPr="00B034B0">
        <w:rPr>
          <w:rFonts w:ascii="Verdana" w:hAnsi="Verdana"/>
        </w:rPr>
        <w:t xml:space="preserve"> subjetivas</w:t>
      </w:r>
      <w:r w:rsidR="000F4B42" w:rsidRPr="00B034B0">
        <w:rPr>
          <w:rFonts w:ascii="Verdana" w:hAnsi="Verdana"/>
        </w:rPr>
        <w:t xml:space="preserve">, </w:t>
      </w:r>
      <w:r w:rsidRPr="00B034B0">
        <w:rPr>
          <w:rFonts w:ascii="Verdana" w:hAnsi="Verdana"/>
        </w:rPr>
        <w:t>ni pueden</w:t>
      </w:r>
      <w:r w:rsidR="00C61EA0" w:rsidRPr="00B034B0">
        <w:rPr>
          <w:rFonts w:ascii="Verdana" w:hAnsi="Verdana"/>
        </w:rPr>
        <w:t xml:space="preserve"> </w:t>
      </w:r>
      <w:r w:rsidRPr="00B034B0">
        <w:rPr>
          <w:rFonts w:ascii="Verdana" w:hAnsi="Verdana"/>
        </w:rPr>
        <w:t>restringir</w:t>
      </w:r>
      <w:r w:rsidR="00C61EA0" w:rsidRPr="00B034B0">
        <w:rPr>
          <w:rFonts w:ascii="Verdana" w:hAnsi="Verdana"/>
        </w:rPr>
        <w:t xml:space="preserve"> indebidamente la concurrencia </w:t>
      </w:r>
      <w:r w:rsidRPr="00B034B0">
        <w:rPr>
          <w:rFonts w:ascii="Verdana" w:hAnsi="Verdana"/>
        </w:rPr>
        <w:t xml:space="preserve">de varios participantes; </w:t>
      </w:r>
      <w:r w:rsidR="00C61EA0" w:rsidRPr="00B034B0">
        <w:rPr>
          <w:rFonts w:ascii="Verdana" w:hAnsi="Verdana"/>
        </w:rPr>
        <w:t xml:space="preserve">al determinar criterios que no permitan justificar que un factor otorgue mayor o menor puntaje, y como este se relacione con la oferta más ventajosa para la entidad. </w:t>
      </w:r>
    </w:p>
    <w:p w14:paraId="6F9F2EED" w14:textId="77777777" w:rsidR="001F1261" w:rsidRPr="00B034B0" w:rsidRDefault="00C71B27" w:rsidP="00C71B27">
      <w:pPr>
        <w:widowControl w:val="0"/>
        <w:autoSpaceDE w:val="0"/>
        <w:autoSpaceDN w:val="0"/>
        <w:spacing w:line="276" w:lineRule="auto"/>
        <w:ind w:firstLine="709"/>
        <w:jc w:val="both"/>
        <w:rPr>
          <w:rFonts w:ascii="Verdana" w:hAnsi="Verdana"/>
        </w:rPr>
      </w:pPr>
      <w:r w:rsidRPr="00B034B0">
        <w:rPr>
          <w:rFonts w:ascii="Verdana" w:hAnsi="Verdana"/>
        </w:rPr>
        <w:t>Asimismo, deben ir en consonancia con el deber de selección objetiva</w:t>
      </w:r>
      <w:r w:rsidRPr="00B034B0">
        <w:rPr>
          <w:rStyle w:val="Refdenotaalpie"/>
          <w:rFonts w:ascii="Verdana" w:hAnsi="Verdana"/>
        </w:rPr>
        <w:footnoteReference w:id="10"/>
      </w:r>
      <w:r w:rsidRPr="00B034B0">
        <w:rPr>
          <w:rFonts w:ascii="Verdana" w:hAnsi="Verdana"/>
        </w:rPr>
        <w:t xml:space="preserve"> que se materializa, entre otros aspectos, con la formulación de la metodología de la evaluación de las propuestas, esto es, mediante el establecimiento </w:t>
      </w:r>
      <w:r w:rsidR="001F1261" w:rsidRPr="00B034B0">
        <w:rPr>
          <w:rFonts w:ascii="Verdana" w:hAnsi="Verdana"/>
        </w:rPr>
        <w:t>tanto de los</w:t>
      </w:r>
      <w:r w:rsidRPr="00B034B0">
        <w:rPr>
          <w:rFonts w:ascii="Verdana" w:hAnsi="Verdana"/>
        </w:rPr>
        <w:t xml:space="preserve"> requisitos habilitantes</w:t>
      </w:r>
      <w:r w:rsidR="001F1261" w:rsidRPr="00B034B0">
        <w:rPr>
          <w:rFonts w:ascii="Verdana" w:hAnsi="Verdana"/>
        </w:rPr>
        <w:t>, como de los</w:t>
      </w:r>
      <w:r w:rsidRPr="00B034B0">
        <w:rPr>
          <w:rFonts w:ascii="Verdana" w:hAnsi="Verdana"/>
        </w:rPr>
        <w:t xml:space="preserve"> criterios de selección; dicha atribución se ejerce con una relativa discrecionalidad, y en todo caso con la orientación del principio de proporcionalidad que tiene como fuente positiva lo dispuesto en el art. 44 del Código de Procedimiento Administrativo y de lo Contencioso Administrativo</w:t>
      </w:r>
      <w:r w:rsidRPr="00B034B0">
        <w:rPr>
          <w:rStyle w:val="Refdenotaalpie"/>
          <w:rFonts w:ascii="Verdana" w:hAnsi="Verdana"/>
        </w:rPr>
        <w:footnoteReference w:id="11"/>
      </w:r>
      <w:r w:rsidRPr="00B034B0">
        <w:rPr>
          <w:rFonts w:ascii="Verdana" w:hAnsi="Verdana"/>
        </w:rPr>
        <w:t xml:space="preserve">. </w:t>
      </w:r>
    </w:p>
    <w:p w14:paraId="3E962FA3" w14:textId="686974A7" w:rsidR="00C71B27" w:rsidRPr="00B034B0" w:rsidRDefault="001F1261" w:rsidP="001F1261">
      <w:pPr>
        <w:widowControl w:val="0"/>
        <w:autoSpaceDE w:val="0"/>
        <w:autoSpaceDN w:val="0"/>
        <w:spacing w:line="276" w:lineRule="auto"/>
        <w:ind w:firstLine="709"/>
        <w:jc w:val="both"/>
        <w:rPr>
          <w:rFonts w:ascii="Verdana" w:hAnsi="Verdana"/>
        </w:rPr>
      </w:pPr>
      <w:r w:rsidRPr="00B034B0">
        <w:rPr>
          <w:rFonts w:ascii="Verdana" w:hAnsi="Verdana"/>
        </w:rPr>
        <w:t xml:space="preserve">De forma concomitante, </w:t>
      </w:r>
      <w:r w:rsidR="00C71B27" w:rsidRPr="00B034B0">
        <w:rPr>
          <w:rFonts w:ascii="Verdana" w:hAnsi="Verdana"/>
        </w:rPr>
        <w:t>la Corte Constitucional</w:t>
      </w:r>
      <w:r w:rsidRPr="00B034B0">
        <w:rPr>
          <w:rFonts w:ascii="Verdana" w:hAnsi="Verdana"/>
        </w:rPr>
        <w:t xml:space="preserve"> a través de</w:t>
      </w:r>
      <w:r w:rsidR="00C71B27" w:rsidRPr="00B034B0">
        <w:rPr>
          <w:rFonts w:ascii="Verdana" w:hAnsi="Verdana"/>
        </w:rPr>
        <w:t xml:space="preserve"> la sentencia SU-713/06 señaló</w:t>
      </w:r>
      <w:r w:rsidRPr="00B034B0">
        <w:rPr>
          <w:rFonts w:ascii="Verdana" w:hAnsi="Verdana"/>
        </w:rPr>
        <w:t>: “</w:t>
      </w:r>
      <w:r w:rsidR="00C71B27" w:rsidRPr="00B034B0">
        <w:rPr>
          <w:rFonts w:ascii="Verdana" w:hAnsi="Verdana"/>
        </w:rPr>
        <w:t>El Estado a través de sus entidades estatales, al elaborar los pliegos de condiciones evalúa discrecionalmente la conveniencia, idoneidad, suficiencia y proporcionalidad de los requisitos habilitantes y</w:t>
      </w:r>
      <w:r w:rsidR="00C71B27" w:rsidRPr="00B034B0">
        <w:rPr>
          <w:rFonts w:ascii="Verdana" w:hAnsi="Verdana"/>
          <w:b/>
          <w:bCs/>
        </w:rPr>
        <w:t xml:space="preserve"> de los factores de selección en ellos previstos</w:t>
      </w:r>
      <w:r w:rsidR="00C71B27" w:rsidRPr="00B034B0">
        <w:rPr>
          <w:rFonts w:ascii="Verdana" w:hAnsi="Verdana"/>
        </w:rPr>
        <w:t xml:space="preserve">, con el propósito de satisfacer el interés público que subyace en los fines de la contratación estatal” (…) Dichos preceptos </w:t>
      </w:r>
      <w:r w:rsidR="00C71B27" w:rsidRPr="00B034B0">
        <w:rPr>
          <w:rFonts w:ascii="Verdana" w:hAnsi="Verdana"/>
        </w:rPr>
        <w:lastRenderedPageBreak/>
        <w:t xml:space="preserve">normativos se inspiran en reglas mínimas de razonabilidad y proporcionalidad destinadas no sólo a garantizar la vigencia de parámetros éticos como la lealtad y honestidad, sino también instituidas para preservar, entre otros, los principios de transparencia, responsabilidad, economía, concurrencia e igualdad de los ciudadanos en el acceso a los beneficios públicos”.  (Resaltado propio). </w:t>
      </w:r>
    </w:p>
    <w:p w14:paraId="748E2F2E" w14:textId="7796B6DF" w:rsidR="00871B59" w:rsidRPr="00053EE3" w:rsidRDefault="001F1261" w:rsidP="00053EE3">
      <w:pPr>
        <w:widowControl w:val="0"/>
        <w:autoSpaceDE w:val="0"/>
        <w:autoSpaceDN w:val="0"/>
        <w:spacing w:line="276" w:lineRule="auto"/>
        <w:ind w:firstLine="709"/>
        <w:jc w:val="both"/>
        <w:rPr>
          <w:rFonts w:ascii="Verdana" w:hAnsi="Verdana"/>
        </w:rPr>
      </w:pPr>
      <w:r w:rsidRPr="00B034B0">
        <w:rPr>
          <w:rFonts w:ascii="Verdana" w:hAnsi="Verdana"/>
        </w:rPr>
        <w:t xml:space="preserve">Por lo que la entidad </w:t>
      </w:r>
      <w:r w:rsidR="00C87571" w:rsidRPr="00B034B0">
        <w:rPr>
          <w:rFonts w:ascii="Verdana" w:hAnsi="Verdana"/>
        </w:rPr>
        <w:t xml:space="preserve">no solo a través de los requisitos habilitantes, sino de los criterios de puntaje, o de evaluación, </w:t>
      </w:r>
      <w:r w:rsidRPr="00B034B0">
        <w:rPr>
          <w:rFonts w:ascii="Verdana" w:hAnsi="Verdana"/>
        </w:rPr>
        <w:t xml:space="preserve">debe buscar </w:t>
      </w:r>
      <w:r w:rsidR="00C87571" w:rsidRPr="00B034B0">
        <w:rPr>
          <w:rFonts w:ascii="Verdana" w:hAnsi="Verdana"/>
        </w:rPr>
        <w:t xml:space="preserve">que se </w:t>
      </w:r>
      <w:r w:rsidRPr="00B034B0">
        <w:rPr>
          <w:rFonts w:ascii="Verdana" w:hAnsi="Verdana"/>
        </w:rPr>
        <w:t xml:space="preserve">garanticen </w:t>
      </w:r>
      <w:r w:rsidR="00C87571" w:rsidRPr="00B034B0">
        <w:rPr>
          <w:rFonts w:ascii="Verdana" w:hAnsi="Verdana"/>
        </w:rPr>
        <w:t xml:space="preserve">de forma armónica </w:t>
      </w:r>
      <w:r w:rsidRPr="00B034B0">
        <w:rPr>
          <w:rFonts w:ascii="Verdana" w:hAnsi="Verdana"/>
        </w:rPr>
        <w:t xml:space="preserve">los fines de la contratación estatal, </w:t>
      </w:r>
      <w:r w:rsidR="00C87571" w:rsidRPr="00B034B0">
        <w:rPr>
          <w:rFonts w:ascii="Verdana" w:hAnsi="Verdana"/>
        </w:rPr>
        <w:t>así como lo dispuesto en el artículo 333 de la C.N, cuando establece que el Estado tiene la obligación de garantizar la libre competencia económica, permitiendo que los particulares que deseen participar y contratar con</w:t>
      </w:r>
      <w:r w:rsidR="00B034B0" w:rsidRPr="00B034B0">
        <w:rPr>
          <w:rFonts w:ascii="Verdana" w:hAnsi="Verdana"/>
        </w:rPr>
        <w:t xml:space="preserve"> el E</w:t>
      </w:r>
      <w:r w:rsidR="00C87571" w:rsidRPr="00B034B0">
        <w:rPr>
          <w:rFonts w:ascii="Verdana" w:hAnsi="Verdana"/>
        </w:rPr>
        <w:t xml:space="preserve">stado lo hagan en condiciones de igualdad, libre concurrencia, trasparencia, garantizándose el deber </w:t>
      </w:r>
      <w:r w:rsidR="00B034B0" w:rsidRPr="00B034B0">
        <w:rPr>
          <w:rFonts w:ascii="Verdana" w:hAnsi="Verdana"/>
        </w:rPr>
        <w:t xml:space="preserve">de </w:t>
      </w:r>
      <w:r w:rsidR="00C87571" w:rsidRPr="00B034B0">
        <w:rPr>
          <w:rFonts w:ascii="Verdana" w:hAnsi="Verdana"/>
        </w:rPr>
        <w:t xml:space="preserve">selección objetiva del contratista. </w:t>
      </w:r>
    </w:p>
    <w:p w14:paraId="0DB4DCF1" w14:textId="77777777" w:rsidR="00871B59" w:rsidRPr="00593A5F" w:rsidRDefault="00871B59" w:rsidP="00871B59">
      <w:pPr>
        <w:pStyle w:val="Prrafodelista"/>
        <w:numPr>
          <w:ilvl w:val="0"/>
          <w:numId w:val="4"/>
        </w:numPr>
        <w:tabs>
          <w:tab w:val="left" w:pos="142"/>
          <w:tab w:val="left" w:pos="284"/>
        </w:tabs>
        <w:spacing w:after="0" w:line="276" w:lineRule="auto"/>
        <w:ind w:left="0" w:firstLine="0"/>
        <w:contextualSpacing w:val="0"/>
        <w:jc w:val="both"/>
        <w:rPr>
          <w:rFonts w:ascii="Verdana" w:eastAsia="Century Gothic" w:hAnsi="Verdana" w:cs="Century Gothic"/>
          <w:b/>
          <w:bCs/>
          <w:lang w:val="es-ES"/>
        </w:rPr>
      </w:pPr>
      <w:r w:rsidRPr="00593A5F">
        <w:rPr>
          <w:rFonts w:ascii="Verdana" w:eastAsia="Century Gothic" w:hAnsi="Verdana" w:cs="Century Gothic"/>
          <w:b/>
          <w:bCs/>
          <w:lang w:val="es-ES"/>
        </w:rPr>
        <w:t>Referencias normativas, jurisprudenciales y otras fuentes:</w:t>
      </w:r>
    </w:p>
    <w:p w14:paraId="6E8CCC4F" w14:textId="77777777" w:rsidR="00871B59" w:rsidRPr="00593A5F" w:rsidRDefault="00871B59" w:rsidP="00871B59">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871B59" w:rsidRPr="006402E7" w14:paraId="2E81AC96" w14:textId="77777777" w:rsidTr="002607A7">
        <w:trPr>
          <w:trHeight w:val="870"/>
        </w:trPr>
        <w:tc>
          <w:tcPr>
            <w:tcW w:w="8647" w:type="dxa"/>
          </w:tcPr>
          <w:p w14:paraId="7AB77344" w14:textId="443982EE" w:rsidR="006402E7" w:rsidRDefault="006402E7" w:rsidP="006402E7">
            <w:pPr>
              <w:pStyle w:val="Prrafodelista"/>
              <w:widowControl w:val="0"/>
              <w:numPr>
                <w:ilvl w:val="0"/>
                <w:numId w:val="8"/>
              </w:numPr>
              <w:autoSpaceDE w:val="0"/>
              <w:autoSpaceDN w:val="0"/>
              <w:spacing w:after="120"/>
              <w:ind w:left="714" w:hanging="357"/>
              <w:contextualSpacing w:val="0"/>
              <w:jc w:val="both"/>
              <w:rPr>
                <w:rFonts w:ascii="Verdana" w:hAnsi="Verdana" w:cs="Arial"/>
              </w:rPr>
            </w:pPr>
            <w:r>
              <w:rPr>
                <w:rFonts w:ascii="Verdana" w:hAnsi="Verdana" w:cs="Arial"/>
              </w:rPr>
              <w:t>Constitución Política de 1991, artículo 333</w:t>
            </w:r>
          </w:p>
          <w:p w14:paraId="6ACDE219" w14:textId="7EE82073" w:rsidR="006402E7" w:rsidRPr="006402E7" w:rsidRDefault="006402E7" w:rsidP="006402E7">
            <w:pPr>
              <w:pStyle w:val="Prrafodelista"/>
              <w:widowControl w:val="0"/>
              <w:numPr>
                <w:ilvl w:val="0"/>
                <w:numId w:val="8"/>
              </w:numPr>
              <w:autoSpaceDE w:val="0"/>
              <w:autoSpaceDN w:val="0"/>
              <w:spacing w:after="120"/>
              <w:ind w:left="714" w:hanging="357"/>
              <w:contextualSpacing w:val="0"/>
              <w:jc w:val="both"/>
              <w:rPr>
                <w:rFonts w:ascii="Verdana" w:hAnsi="Verdana" w:cs="Arial"/>
              </w:rPr>
            </w:pPr>
            <w:r w:rsidRPr="006402E7">
              <w:rPr>
                <w:rFonts w:ascii="Verdana" w:hAnsi="Verdana" w:cs="Arial"/>
              </w:rPr>
              <w:t>Ley 80 de 1993, artículo 77</w:t>
            </w:r>
          </w:p>
          <w:p w14:paraId="7CEDE254" w14:textId="5749447F" w:rsidR="006402E7" w:rsidRPr="006402E7" w:rsidRDefault="006402E7" w:rsidP="006402E7">
            <w:pPr>
              <w:pStyle w:val="Prrafodelista"/>
              <w:widowControl w:val="0"/>
              <w:numPr>
                <w:ilvl w:val="0"/>
                <w:numId w:val="8"/>
              </w:numPr>
              <w:autoSpaceDE w:val="0"/>
              <w:autoSpaceDN w:val="0"/>
              <w:spacing w:after="120"/>
              <w:ind w:left="714" w:hanging="357"/>
              <w:contextualSpacing w:val="0"/>
              <w:jc w:val="both"/>
              <w:rPr>
                <w:rFonts w:ascii="Verdana" w:hAnsi="Verdana" w:cs="Arial"/>
              </w:rPr>
            </w:pPr>
            <w:r w:rsidRPr="006402E7">
              <w:rPr>
                <w:rFonts w:ascii="Verdana" w:eastAsia="Calibri" w:hAnsi="Verdana" w:cs="Arial"/>
                <w:color w:val="000000" w:themeColor="text1"/>
              </w:rPr>
              <w:t xml:space="preserve">Ley 1437 de 2011, artículo 44 </w:t>
            </w:r>
          </w:p>
          <w:p w14:paraId="403B7887" w14:textId="7BD56581" w:rsidR="006402E7" w:rsidRPr="006402E7" w:rsidRDefault="006402E7" w:rsidP="006402E7">
            <w:pPr>
              <w:pStyle w:val="Prrafodelista"/>
              <w:widowControl w:val="0"/>
              <w:numPr>
                <w:ilvl w:val="0"/>
                <w:numId w:val="8"/>
              </w:numPr>
              <w:autoSpaceDE w:val="0"/>
              <w:autoSpaceDN w:val="0"/>
              <w:spacing w:after="120"/>
              <w:ind w:left="714" w:hanging="357"/>
              <w:contextualSpacing w:val="0"/>
              <w:jc w:val="both"/>
              <w:rPr>
                <w:rFonts w:ascii="Verdana" w:hAnsi="Verdana" w:cs="Arial"/>
              </w:rPr>
            </w:pPr>
            <w:r w:rsidRPr="006402E7">
              <w:rPr>
                <w:rFonts w:ascii="Verdana" w:hAnsi="Verdana" w:cs="Arial"/>
              </w:rPr>
              <w:t xml:space="preserve">Decreto 1082 de 2015, </w:t>
            </w:r>
            <w:r w:rsidRPr="006402E7">
              <w:rPr>
                <w:rFonts w:ascii="Verdana" w:eastAsia="Calibri" w:hAnsi="Verdana" w:cs="Arial"/>
                <w:lang w:val="es-ES_tradnl"/>
              </w:rPr>
              <w:t xml:space="preserve">en su artículo 2.2.1.2.1.5.2. y </w:t>
            </w:r>
            <w:r w:rsidRPr="006402E7">
              <w:rPr>
                <w:rFonts w:ascii="Verdana" w:eastAsia="Calibri" w:hAnsi="Verdana" w:cs="Arial"/>
                <w:color w:val="000000" w:themeColor="text1"/>
              </w:rPr>
              <w:t>2.2.1.1.1.6.2</w:t>
            </w:r>
          </w:p>
          <w:p w14:paraId="1A9D58C2" w14:textId="77777777" w:rsidR="00871B59" w:rsidRPr="006402E7" w:rsidRDefault="006402E7" w:rsidP="006402E7">
            <w:pPr>
              <w:pStyle w:val="Prrafodelista"/>
              <w:widowControl w:val="0"/>
              <w:numPr>
                <w:ilvl w:val="0"/>
                <w:numId w:val="8"/>
              </w:numPr>
              <w:autoSpaceDE w:val="0"/>
              <w:autoSpaceDN w:val="0"/>
              <w:spacing w:after="120"/>
              <w:contextualSpacing w:val="0"/>
              <w:jc w:val="both"/>
              <w:rPr>
                <w:rFonts w:ascii="Verdana" w:hAnsi="Verdana" w:cs="Arial"/>
              </w:rPr>
            </w:pPr>
            <w:r w:rsidRPr="006402E7">
              <w:rPr>
                <w:rFonts w:ascii="Verdana" w:hAnsi="Verdana" w:cs="Arial"/>
              </w:rPr>
              <w:t xml:space="preserve">AGENCIA NACIONAL DE CONTRATACIÓN PÚBLICA –COLOMBIA COMPRA EFICIENTE. Manual para determinar los requisitos habilitantes en los procesos de contratación, 2023. Disponible en línea: </w:t>
            </w:r>
            <w:hyperlink r:id="rId12" w:history="1">
              <w:r w:rsidRPr="006402E7">
                <w:rPr>
                  <w:rStyle w:val="Hipervnculo"/>
                  <w:rFonts w:ascii="Verdana" w:hAnsi="Verdana" w:cs="Arial"/>
                </w:rPr>
                <w:t>https://www.colombiacompra.gov.co/archivos/manual/manual-para-determinar-y-verificar-los-requisitos-habilitantes-en-los-procesos-de-contratacion</w:t>
              </w:r>
            </w:hyperlink>
            <w:r w:rsidRPr="006402E7">
              <w:rPr>
                <w:rFonts w:ascii="Verdana" w:hAnsi="Verdana" w:cs="Arial"/>
              </w:rPr>
              <w:t>.</w:t>
            </w:r>
          </w:p>
          <w:p w14:paraId="537EB056" w14:textId="7256002E" w:rsidR="006402E7" w:rsidRPr="006402E7" w:rsidRDefault="006402E7" w:rsidP="006402E7">
            <w:pPr>
              <w:pStyle w:val="Prrafodelista"/>
              <w:widowControl w:val="0"/>
              <w:numPr>
                <w:ilvl w:val="0"/>
                <w:numId w:val="8"/>
              </w:numPr>
              <w:autoSpaceDE w:val="0"/>
              <w:autoSpaceDN w:val="0"/>
              <w:spacing w:after="120"/>
              <w:contextualSpacing w:val="0"/>
              <w:jc w:val="both"/>
              <w:rPr>
                <w:rFonts w:ascii="Verdana" w:hAnsi="Verdana" w:cs="Arial"/>
              </w:rPr>
            </w:pPr>
            <w:r w:rsidRPr="006402E7">
              <w:rPr>
                <w:rFonts w:ascii="Verdana" w:hAnsi="Verdana"/>
              </w:rPr>
              <w:t xml:space="preserve">El principio de proporcionalidad y los requisitos habilitantes en la contratación estatal, Francisco Javier Solís Enríquez. </w:t>
            </w:r>
            <w:hyperlink r:id="rId13" w:history="1">
              <w:r w:rsidRPr="006402E7">
                <w:rPr>
                  <w:rStyle w:val="Hipervnculo"/>
                  <w:rFonts w:ascii="Verdana" w:hAnsi="Verdana"/>
                </w:rPr>
                <w:t>file:///Users/andreagarzon/Downloads/Dialnet- ElPrincipioDeProporcionalidadYLosRequisitosHabilit-5502214.pdf</w:t>
              </w:r>
            </w:hyperlink>
            <w:r w:rsidRPr="006402E7">
              <w:rPr>
                <w:rFonts w:ascii="Verdana" w:hAnsi="Verdana"/>
              </w:rPr>
              <w:t xml:space="preserve"> .</w:t>
            </w:r>
          </w:p>
          <w:p w14:paraId="157D16C7" w14:textId="77777777" w:rsidR="006402E7" w:rsidRPr="006402E7" w:rsidRDefault="006402E7" w:rsidP="006402E7">
            <w:pPr>
              <w:pStyle w:val="Prrafodelista"/>
              <w:widowControl w:val="0"/>
              <w:numPr>
                <w:ilvl w:val="0"/>
                <w:numId w:val="8"/>
              </w:numPr>
              <w:autoSpaceDE w:val="0"/>
              <w:autoSpaceDN w:val="0"/>
              <w:spacing w:after="120" w:line="276" w:lineRule="auto"/>
              <w:contextualSpacing w:val="0"/>
              <w:jc w:val="both"/>
              <w:rPr>
                <w:rFonts w:ascii="Verdana" w:hAnsi="Verdana" w:cs="Arial"/>
              </w:rPr>
            </w:pPr>
            <w:r w:rsidRPr="006402E7">
              <w:rPr>
                <w:rFonts w:ascii="Verdana" w:hAnsi="Verdana"/>
              </w:rPr>
              <w:t xml:space="preserve">Corte Constitucional a través de la sentencia SU-713 de 2006. </w:t>
            </w:r>
          </w:p>
          <w:p w14:paraId="4CCEA44B" w14:textId="7ADF99F2" w:rsidR="006402E7" w:rsidRPr="006402E7" w:rsidRDefault="006402E7" w:rsidP="006402E7">
            <w:pPr>
              <w:pStyle w:val="Prrafodelista"/>
              <w:widowControl w:val="0"/>
              <w:numPr>
                <w:ilvl w:val="0"/>
                <w:numId w:val="8"/>
              </w:numPr>
              <w:autoSpaceDE w:val="0"/>
              <w:autoSpaceDN w:val="0"/>
              <w:spacing w:after="120" w:line="276" w:lineRule="auto"/>
              <w:contextualSpacing w:val="0"/>
              <w:jc w:val="both"/>
              <w:rPr>
                <w:rFonts w:ascii="Verdana" w:hAnsi="Verdana" w:cs="Arial"/>
              </w:rPr>
            </w:pPr>
            <w:r w:rsidRPr="006402E7">
              <w:rPr>
                <w:rFonts w:ascii="Verdana" w:hAnsi="Verdana"/>
              </w:rPr>
              <w:t>Consejo de Estado, sentencia de 20 de mayo de 2010, Rad: 11001-</w:t>
            </w:r>
            <w:r w:rsidRPr="006402E7">
              <w:rPr>
                <w:rFonts w:ascii="Verdana" w:hAnsi="Verdana"/>
              </w:rPr>
              <w:lastRenderedPageBreak/>
              <w:t xml:space="preserve">03-06-000-2010-00034-00, </w:t>
            </w:r>
            <w:proofErr w:type="spellStart"/>
            <w:r w:rsidRPr="006402E7">
              <w:rPr>
                <w:rFonts w:ascii="Verdana" w:hAnsi="Verdana"/>
              </w:rPr>
              <w:t>M.p</w:t>
            </w:r>
            <w:proofErr w:type="spellEnd"/>
            <w:r w:rsidRPr="006402E7">
              <w:rPr>
                <w:rFonts w:ascii="Verdana" w:hAnsi="Verdana"/>
              </w:rPr>
              <w:t xml:space="preserve"> Enrique José Arboleda Perdono.</w:t>
            </w:r>
          </w:p>
        </w:tc>
      </w:tr>
    </w:tbl>
    <w:p w14:paraId="3FC6BA14" w14:textId="77777777" w:rsidR="00871B59" w:rsidRPr="006402E7" w:rsidRDefault="00871B59" w:rsidP="00871B59">
      <w:pPr>
        <w:widowControl w:val="0"/>
        <w:autoSpaceDE w:val="0"/>
        <w:autoSpaceDN w:val="0"/>
        <w:spacing w:after="0" w:line="276" w:lineRule="auto"/>
        <w:jc w:val="both"/>
        <w:rPr>
          <w:rFonts w:ascii="Verdana" w:hAnsi="Verdana" w:cs="Arial"/>
        </w:rPr>
      </w:pPr>
    </w:p>
    <w:p w14:paraId="45DD64F6" w14:textId="77777777" w:rsidR="00871B59" w:rsidRDefault="00871B59" w:rsidP="00871B59">
      <w:pPr>
        <w:pStyle w:val="Prrafodelista"/>
        <w:numPr>
          <w:ilvl w:val="0"/>
          <w:numId w:val="4"/>
        </w:numPr>
        <w:tabs>
          <w:tab w:val="left" w:pos="142"/>
          <w:tab w:val="left" w:pos="284"/>
        </w:tabs>
        <w:spacing w:after="0" w:line="276" w:lineRule="auto"/>
        <w:ind w:left="0" w:firstLine="0"/>
        <w:contextualSpacing w:val="0"/>
        <w:jc w:val="both"/>
        <w:rPr>
          <w:rFonts w:ascii="Verdana" w:eastAsia="Century Gothic" w:hAnsi="Verdana" w:cs="Century Gothic"/>
          <w:b/>
          <w:bCs/>
          <w:lang w:val="es-ES"/>
        </w:rPr>
      </w:pPr>
      <w:r>
        <w:rPr>
          <w:rFonts w:ascii="Verdana" w:eastAsia="Century Gothic" w:hAnsi="Verdana" w:cs="Century Gothic"/>
          <w:b/>
          <w:bCs/>
          <w:lang w:val="es-ES"/>
        </w:rPr>
        <w:t>Doctrina de la Agencia Nacional de Contratación Pública</w:t>
      </w:r>
      <w:r w:rsidRPr="00593A5F">
        <w:rPr>
          <w:rFonts w:ascii="Verdana" w:eastAsia="Century Gothic" w:hAnsi="Verdana" w:cs="Century Gothic"/>
          <w:b/>
          <w:bCs/>
          <w:lang w:val="es-ES"/>
        </w:rPr>
        <w:t>:</w:t>
      </w:r>
    </w:p>
    <w:p w14:paraId="17014D3C" w14:textId="77777777" w:rsidR="006402E7" w:rsidRDefault="006402E7" w:rsidP="006402E7">
      <w:pPr>
        <w:pStyle w:val="Prrafodelista"/>
        <w:tabs>
          <w:tab w:val="left" w:pos="142"/>
          <w:tab w:val="left" w:pos="284"/>
        </w:tabs>
        <w:spacing w:after="0" w:line="276" w:lineRule="auto"/>
        <w:ind w:left="0"/>
        <w:contextualSpacing w:val="0"/>
        <w:jc w:val="both"/>
        <w:rPr>
          <w:rFonts w:ascii="Verdana" w:eastAsia="Century Gothic" w:hAnsi="Verdana" w:cs="Century Gothic"/>
          <w:b/>
          <w:bCs/>
          <w:lang w:val="es-ES"/>
        </w:rPr>
      </w:pPr>
    </w:p>
    <w:p w14:paraId="5A0ED4C6" w14:textId="1FA2E09A" w:rsidR="00475A36" w:rsidRDefault="006402E7" w:rsidP="00475A36">
      <w:pPr>
        <w:widowControl w:val="0"/>
        <w:autoSpaceDE w:val="0"/>
        <w:autoSpaceDN w:val="0"/>
        <w:spacing w:after="0" w:line="276" w:lineRule="auto"/>
        <w:jc w:val="both"/>
        <w:rPr>
          <w:rFonts w:ascii="Verdana" w:eastAsia="Calibri" w:hAnsi="Verdana" w:cs="Times New Roman"/>
        </w:rPr>
      </w:pPr>
      <w:r w:rsidRPr="003F4BAF">
        <w:rPr>
          <w:rFonts w:ascii="Verdana" w:hAnsi="Verdana" w:cs="Arial"/>
          <w:bCs/>
          <w:shd w:val="clear" w:color="auto" w:fill="FFFFFF"/>
        </w:rPr>
        <w:t>La Agencia Nacional de Contratación Pública – Colombia Compra Eficient</w:t>
      </w:r>
      <w:r>
        <w:rPr>
          <w:rFonts w:ascii="Verdana" w:hAnsi="Verdana" w:cs="Arial"/>
          <w:bCs/>
          <w:shd w:val="clear" w:color="auto" w:fill="FFFFFF"/>
        </w:rPr>
        <w:t xml:space="preserve">e ha expedido </w:t>
      </w:r>
      <w:r>
        <w:rPr>
          <w:rFonts w:ascii="Verdana" w:eastAsia="Calibri" w:hAnsi="Verdana" w:cs="Arial"/>
          <w:lang w:val="es-ES_tradnl"/>
        </w:rPr>
        <w:t xml:space="preserve">conceptos sobre requisitos habilitantes y los códigos CIIU, tales como: C-296 del 26 de marzo de 2025, C- 187 del 25 de marzo de 2025, C-662 del 29 de enero de 2025, C- 337 del 18 de agosto de 2023, entre otros. En torno a la </w:t>
      </w:r>
      <w:proofErr w:type="spellStart"/>
      <w:r>
        <w:rPr>
          <w:rFonts w:ascii="Verdana" w:eastAsia="Calibri" w:hAnsi="Verdana" w:cs="Arial"/>
          <w:lang w:val="es-ES_tradnl"/>
        </w:rPr>
        <w:t>subsanabilidad</w:t>
      </w:r>
      <w:proofErr w:type="spellEnd"/>
      <w:r>
        <w:rPr>
          <w:rFonts w:ascii="Verdana" w:eastAsia="Calibri" w:hAnsi="Verdana" w:cs="Arial"/>
          <w:lang w:val="es-ES_tradnl"/>
        </w:rPr>
        <w:t xml:space="preserve">, se han expedido los siguientes conceptos: </w:t>
      </w:r>
      <w:r w:rsidRPr="00277E26">
        <w:rPr>
          <w:rStyle w:val="normaltextrun"/>
          <w:rFonts w:ascii="Verdana" w:hAnsi="Verdana" w:cs="Arial"/>
          <w:shd w:val="clear" w:color="auto" w:fill="FFFFFF"/>
          <w:lang w:val="es-ES"/>
        </w:rPr>
        <w:t xml:space="preserve">en los Conceptos </w:t>
      </w:r>
      <w:r w:rsidRPr="00E90148">
        <w:rPr>
          <w:rStyle w:val="normaltextrun"/>
          <w:rFonts w:ascii="Verdana" w:hAnsi="Verdana" w:cs="Arial"/>
          <w:shd w:val="clear" w:color="auto" w:fill="FFFFFF"/>
          <w:lang w:val="es-ES"/>
        </w:rPr>
        <w:t>C-218 del 2 de abril de 2020, C-229 del 16 de abril de 2020, C-307 del 21 de mayo de 2020, C-396 del 16 de julio de 2020, C-410 del 26 de junio de 2020, C-429 del 24 de julio de 2020, C-481 del 27 de julio de 2020, C-548 del 21 de agosto de 2020, C-633 del 2 de octubre de 2020, C-634 del 21 de octubre de 2020, C-675 del 25 de noviembre de 2020, C-802 del 1° de febrero de 2021, C-010 del 16 de febrero de 2021, C-083 del 18 de marzo de 2021, C-090 del 23 de marzo de 2021, C-152 del 12 de abril de 2021, C-207 del 10 de mayo de 2021, C-217 del 14 de mayo de 2021, C-250 del 2 de junio de 2021, C-311 del 10 de junio de 2021, C-409 del 13 de agosto de 2021, C-424 del 27 de septiembre de 2021, C-477 del 6 de septiembre de 2021, C-485 del 13 de octubre de 2021, C-498 del 14 de septiembre de 2021, C-501 del 16 de agosto de 2021, C-521 del 24 de septiembre de 2021, C-565 del 11 de octubre de 2021, C-691 del 28 de diciembre de 2021, C-716 del 23 de enero de 2022, C-728 del 26 de enero de 2022, C-753 del 6 de febrero de 2022, C-114 del 22 de marzo de 2022, C-140 del 28 de marzo de 2022, C-162 del 5 de abril de 2022, C-285 del 20 de mayo de 2022, C-343 del 31 de mayo de 2022, C-381 del 15 de julio de 2022, C-416 del 30 de junio de 2022, C-431 del 7 de julio de 2022, C-434 del 8 de julio de 2022, C-542 del 23 de agosto de 2022, C-595 del 9 de septiembre de 2022, C-772 del 28 de noviembre de 2022, C-793 del 21 de noviembre de 2022, C-923 del 27 de diciembre de 2022, C-965 del 27 de enero de 2023, C-058 del 10 de mayo de 2023, C-082 del 19 de abril de 2023</w:t>
      </w:r>
      <w:r>
        <w:rPr>
          <w:rStyle w:val="normaltextrun"/>
          <w:rFonts w:ascii="Verdana" w:hAnsi="Verdana" w:cs="Arial"/>
          <w:shd w:val="clear" w:color="auto" w:fill="FFFFFF"/>
          <w:lang w:val="es-ES"/>
        </w:rPr>
        <w:t>,</w:t>
      </w:r>
      <w:r w:rsidRPr="00E90148">
        <w:rPr>
          <w:rStyle w:val="normaltextrun"/>
          <w:rFonts w:ascii="Verdana" w:hAnsi="Verdana" w:cs="Arial"/>
          <w:shd w:val="clear" w:color="auto" w:fill="FFFFFF"/>
          <w:lang w:val="es-ES"/>
        </w:rPr>
        <w:t xml:space="preserve"> C-216 del 6 de junio de 2023</w:t>
      </w:r>
      <w:r>
        <w:rPr>
          <w:rStyle w:val="normaltextrun"/>
          <w:rFonts w:ascii="Verdana" w:hAnsi="Verdana" w:cs="Arial"/>
          <w:shd w:val="clear" w:color="auto" w:fill="FFFFFF"/>
          <w:lang w:val="es-ES"/>
        </w:rPr>
        <w:t xml:space="preserve"> y C-304 del 4 de julio de 2023, C-051 del 21 de febrero de 2025, y C- 296 DE 2025, entre otros</w:t>
      </w:r>
      <w:r w:rsidRPr="003F4BAF">
        <w:rPr>
          <w:rFonts w:ascii="Verdana" w:hAnsi="Verdana" w:cs="Arial"/>
          <w:bCs/>
          <w:shd w:val="clear" w:color="auto" w:fill="FFFFFF"/>
        </w:rPr>
        <w:t xml:space="preserve">. </w:t>
      </w:r>
      <w:r w:rsidRPr="00185EE9">
        <w:rPr>
          <w:rFonts w:ascii="Verdana" w:eastAsia="Calibri" w:hAnsi="Verdana" w:cs="Times New Roman"/>
        </w:rPr>
        <w:t xml:space="preserve">Estos y otros conceptos se encuentran disponibles para </w:t>
      </w:r>
      <w:r w:rsidRPr="00185EE9">
        <w:rPr>
          <w:rFonts w:ascii="Verdana" w:eastAsia="Calibri" w:hAnsi="Verdana" w:cs="Times New Roman"/>
        </w:rPr>
        <w:lastRenderedPageBreak/>
        <w:t>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r>
        <w:rPr>
          <w:rFonts w:ascii="Verdana" w:eastAsia="Calibri" w:hAnsi="Verdana" w:cs="Arial"/>
          <w:lang w:val="es-ES_tradnl"/>
        </w:rPr>
        <w:t xml:space="preserve"> </w:t>
      </w:r>
      <w:hyperlink r:id="rId14" w:history="1">
        <w:r w:rsidRPr="00185EE9">
          <w:rPr>
            <w:rFonts w:ascii="Verdana" w:eastAsia="Calibri" w:hAnsi="Verdana" w:cs="Times New Roman"/>
            <w:color w:val="0000FF"/>
            <w:u w:val="single"/>
            <w:lang w:val="es-ES"/>
          </w:rPr>
          <w:t>https://relatoria.colombiacompra.gov.co/busqueda/conceptos</w:t>
        </w:r>
      </w:hyperlink>
      <w:r w:rsidRPr="00185EE9">
        <w:rPr>
          <w:rFonts w:ascii="Verdana" w:eastAsia="Calibri" w:hAnsi="Verdana" w:cs="Times New Roman"/>
        </w:rPr>
        <w:t xml:space="preserve">. </w:t>
      </w:r>
    </w:p>
    <w:p w14:paraId="7BA503FE" w14:textId="77777777" w:rsidR="00475A36" w:rsidRPr="00475A36" w:rsidRDefault="00475A36" w:rsidP="00475A36">
      <w:pPr>
        <w:widowControl w:val="0"/>
        <w:autoSpaceDE w:val="0"/>
        <w:autoSpaceDN w:val="0"/>
        <w:spacing w:after="0" w:line="276" w:lineRule="auto"/>
        <w:jc w:val="both"/>
        <w:rPr>
          <w:rStyle w:val="normaltextrun"/>
          <w:rFonts w:ascii="Verdana" w:eastAsia="Calibri" w:hAnsi="Verdana" w:cs="Times New Roman"/>
        </w:rPr>
      </w:pPr>
    </w:p>
    <w:p w14:paraId="1D1BA0E5" w14:textId="5D62658A" w:rsidR="00475A36" w:rsidRPr="006926C4" w:rsidRDefault="00475A36" w:rsidP="00475A36">
      <w:pPr>
        <w:jc w:val="both"/>
        <w:rPr>
          <w:rFonts w:ascii="Verdana" w:hAnsi="Verdana" w:cs="Arial"/>
          <w:color w:val="000000" w:themeColor="text1"/>
          <w:shd w:val="clear" w:color="auto" w:fill="FFFFFF"/>
        </w:rPr>
      </w:pPr>
      <w:r w:rsidRPr="006926C4">
        <w:rPr>
          <w:rFonts w:ascii="Verdana" w:hAnsi="Verdana" w:cs="Arial"/>
          <w:color w:val="000000" w:themeColor="text1"/>
          <w:shd w:val="clear" w:color="auto" w:fill="FFFFFF"/>
        </w:rPr>
        <w:t>Nos complace informarle que ya están disponibles las nuevas versiones de los Documentos Tipo para Infraestructura de Transporte, recuerda que es de obligatoria observancia por TODAS las entidades sometidas al EGCAP y entidades de régimen especial, con las excepciones de ley:</w:t>
      </w:r>
    </w:p>
    <w:p w14:paraId="47F8457C" w14:textId="77777777" w:rsidR="00475A36" w:rsidRPr="006926C4" w:rsidRDefault="00475A36" w:rsidP="00475A36">
      <w:pPr>
        <w:numPr>
          <w:ilvl w:val="0"/>
          <w:numId w:val="12"/>
        </w:numPr>
        <w:spacing w:after="0" w:line="240" w:lineRule="auto"/>
        <w:jc w:val="both"/>
        <w:rPr>
          <w:rFonts w:ascii="Verdana" w:hAnsi="Verdana" w:cs="Arial"/>
          <w:color w:val="000000" w:themeColor="text1"/>
          <w:shd w:val="clear" w:color="auto" w:fill="FFFFFF"/>
        </w:rPr>
      </w:pPr>
      <w:r w:rsidRPr="006926C4">
        <w:rPr>
          <w:rFonts w:ascii="Verdana" w:hAnsi="Verdana" w:cs="Arial"/>
          <w:b/>
          <w:bCs/>
          <w:color w:val="000000" w:themeColor="text1"/>
          <w:shd w:val="clear" w:color="auto" w:fill="FFFFFF"/>
        </w:rPr>
        <w:t>Documentos tipo para los procesos de selección de interventoría de obra pública de infraestructura de transporte – versión 3: </w:t>
      </w:r>
      <w:hyperlink r:id="rId15" w:tgtFrame="_blank" w:tooltip="Dirección URL original: https://www.colombiacompra.gov.co/content/03-documentos-tipo-para-los-procesos-de-seleccion-de-interventoria-de-obra-publica-de. Haga clic o pulse si confía en este vínculo." w:history="1">
        <w:r w:rsidRPr="006926C4">
          <w:rPr>
            <w:rStyle w:val="Hipervnculo"/>
            <w:rFonts w:ascii="Verdana" w:hAnsi="Verdana" w:cs="Arial"/>
            <w:color w:val="4472C4" w:themeColor="accent1"/>
            <w:shd w:val="clear" w:color="auto" w:fill="FFFFFF"/>
          </w:rPr>
          <w:t>03. Documentos tipo para los procesos de selección de interventoría de obra pública de infraestructura de transporte – versión 3 | Colombia Compra Eficiente | Agencia Nacional de Contratación Pública</w:t>
        </w:r>
      </w:hyperlink>
    </w:p>
    <w:p w14:paraId="1A8E8D27" w14:textId="77777777" w:rsidR="00475A36" w:rsidRPr="006926C4" w:rsidRDefault="00475A36" w:rsidP="00475A36">
      <w:pPr>
        <w:jc w:val="both"/>
        <w:rPr>
          <w:rFonts w:ascii="Verdana" w:hAnsi="Verdana" w:cs="Arial"/>
          <w:color w:val="000000" w:themeColor="text1"/>
          <w:shd w:val="clear" w:color="auto" w:fill="FFFFFF"/>
        </w:rPr>
      </w:pPr>
    </w:p>
    <w:p w14:paraId="69C9C23E" w14:textId="77777777" w:rsidR="00475A36" w:rsidRPr="006926C4" w:rsidRDefault="00475A36" w:rsidP="00475A36">
      <w:pPr>
        <w:numPr>
          <w:ilvl w:val="0"/>
          <w:numId w:val="12"/>
        </w:numPr>
        <w:spacing w:after="0" w:line="240" w:lineRule="auto"/>
        <w:jc w:val="both"/>
        <w:rPr>
          <w:rFonts w:ascii="Verdana" w:hAnsi="Verdana" w:cs="Arial"/>
          <w:color w:val="000000" w:themeColor="text1"/>
          <w:shd w:val="clear" w:color="auto" w:fill="FFFFFF"/>
        </w:rPr>
      </w:pPr>
      <w:r w:rsidRPr="006926C4">
        <w:rPr>
          <w:rFonts w:ascii="Verdana" w:hAnsi="Verdana" w:cs="Arial"/>
          <w:b/>
          <w:bCs/>
          <w:color w:val="000000" w:themeColor="text1"/>
          <w:shd w:val="clear" w:color="auto" w:fill="FFFFFF"/>
        </w:rPr>
        <w:t>Documentos tipo para los procesos de selección de consultoría de obra pública de infraestructura de transporte – versión 2:</w:t>
      </w:r>
      <w:r w:rsidRPr="006926C4">
        <w:rPr>
          <w:rFonts w:ascii="Verdana" w:hAnsi="Verdana" w:cs="Arial"/>
          <w:color w:val="000000" w:themeColor="text1"/>
          <w:shd w:val="clear" w:color="auto" w:fill="FFFFFF"/>
        </w:rPr>
        <w:t> </w:t>
      </w:r>
      <w:hyperlink r:id="rId16" w:tgtFrame="_blank" w:tooltip="Dirección URL original: https://www.colombiacompra.gov.co/content/02-documentos-tipo-para-los-procesos-de-seleccion-de-consultoria-de-obra-publica-de. Haga clic o pulse si confía en este vínculo." w:history="1">
        <w:r w:rsidRPr="006926C4">
          <w:rPr>
            <w:rStyle w:val="Hipervnculo"/>
            <w:rFonts w:ascii="Verdana" w:hAnsi="Verdana" w:cs="Arial"/>
            <w:color w:val="4472C4" w:themeColor="accent1"/>
            <w:shd w:val="clear" w:color="auto" w:fill="FFFFFF"/>
          </w:rPr>
          <w:t>02. Documentos tipo para los procesos de selección de consultoría de obra pública de infraestructura de transporte – versión 2. | Colombia Compra Eficiente | Agencia Nacional de Contratación Pública</w:t>
        </w:r>
      </w:hyperlink>
    </w:p>
    <w:p w14:paraId="7C2DC3C0" w14:textId="77777777" w:rsidR="00475A36" w:rsidRPr="006926C4" w:rsidRDefault="00475A36" w:rsidP="00475A36">
      <w:pPr>
        <w:jc w:val="both"/>
        <w:rPr>
          <w:rFonts w:ascii="Verdana" w:hAnsi="Verdana" w:cs="Arial"/>
          <w:color w:val="000000" w:themeColor="text1"/>
          <w:shd w:val="clear" w:color="auto" w:fill="FFFFFF"/>
        </w:rPr>
      </w:pPr>
    </w:p>
    <w:p w14:paraId="6F33F468" w14:textId="22DE55E5" w:rsidR="00475A36" w:rsidRPr="00475A36" w:rsidRDefault="00475A36" w:rsidP="00475A36">
      <w:pPr>
        <w:jc w:val="both"/>
        <w:rPr>
          <w:rFonts w:ascii="Verdana" w:hAnsi="Verdana"/>
        </w:rPr>
      </w:pPr>
      <w:r w:rsidRPr="006926C4">
        <w:rPr>
          <w:rFonts w:ascii="Verdana" w:hAnsi="Verdana" w:cs="Arial"/>
          <w:color w:val="000000" w:themeColor="text1"/>
          <w:shd w:val="clear" w:color="auto" w:fill="FFFFFF"/>
        </w:rPr>
        <w:t>También, le contamos que ya publicamos </w:t>
      </w:r>
      <w:r w:rsidRPr="006926C4">
        <w:rPr>
          <w:rFonts w:ascii="Verdana" w:hAnsi="Verdana" w:cs="Arial"/>
          <w:b/>
          <w:bCs/>
          <w:color w:val="000000" w:themeColor="text1"/>
          <w:shd w:val="clear" w:color="auto" w:fill="FFFFFF"/>
        </w:rPr>
        <w:t>la nueva Guía de Contratación Pública Sostenible y Socialmente Responsable</w:t>
      </w:r>
      <w:r w:rsidRPr="006926C4">
        <w:rPr>
          <w:rFonts w:ascii="Verdana" w:hAnsi="Verdana" w:cs="Arial"/>
          <w:color w:val="000000" w:themeColor="text1"/>
          <w:shd w:val="clear" w:color="auto" w:fill="FFFFFF"/>
        </w:rPr>
        <w:t>. Esta guía es un instrumento clave para integrar buenas prácticas en la contratación estatal, promoviendo los Objetivos de Desarrollo Sostenible (ODS) a través de criterios y obligaciones ambientales y sociales en todas las etapas del proceso. Puede consultar la guía en el siguiente enlace: </w:t>
      </w:r>
      <w:hyperlink r:id="rId17" w:tgtFrame="_blank" w:tooltip="Dirección URL original: https://www.colombiacompra.gov.co/manuales-guias-y-pliegos-tipo/manuales-y-guias/guia-de-contratacion-publica-sostenible-y-socialmente. Haga clic o pulse si confía en este vínculo." w:history="1">
        <w:r w:rsidRPr="006926C4">
          <w:rPr>
            <w:rStyle w:val="Hipervnculo"/>
            <w:rFonts w:ascii="Verdana" w:hAnsi="Verdana" w:cs="Arial"/>
            <w:color w:val="4472C4" w:themeColor="accent1"/>
            <w:shd w:val="clear" w:color="auto" w:fill="FFFFFF"/>
          </w:rPr>
          <w:t>Guía de Contratación Pública Sostenible y Socialmente Responsable | Colombia Compra Eficiente | Agencia Nacional de Contratación Pública</w:t>
        </w:r>
      </w:hyperlink>
    </w:p>
    <w:p w14:paraId="68345192" w14:textId="14675E84" w:rsidR="00475A36" w:rsidRPr="006926C4" w:rsidRDefault="00475A36" w:rsidP="00475A36">
      <w:pPr>
        <w:jc w:val="both"/>
        <w:rPr>
          <w:rFonts w:ascii="Verdana" w:hAnsi="Verdana"/>
        </w:rPr>
      </w:pPr>
      <w:r w:rsidRPr="006926C4">
        <w:rPr>
          <w:rFonts w:ascii="Verdana" w:hAnsi="Verdana"/>
          <w:color w:val="000000"/>
          <w:shd w:val="clear" w:color="auto" w:fill="FFFFFF"/>
        </w:rPr>
        <w:t xml:space="preserve">Finalmente, le informamos que ya se encuentran disponibles los borradores de las nuevas versiones de documentos tipo del sector infraestructura social (Subsectores: institucional, vivienda, salud, educación, cultura y deporte) en las modalidades de licitación pública, selección abreviada de menor cuantía y </w:t>
      </w:r>
      <w:r w:rsidRPr="006926C4">
        <w:rPr>
          <w:rFonts w:ascii="Verdana" w:hAnsi="Verdana"/>
          <w:color w:val="000000"/>
          <w:shd w:val="clear" w:color="auto" w:fill="FFFFFF"/>
        </w:rPr>
        <w:lastRenderedPageBreak/>
        <w:t>mínima cuantía para comentarios. Dichos documentos estarán publicados hasta el próximo 16 de mayo de 2025.  Puede consultar la información en el siguiente enlace:</w:t>
      </w:r>
      <w:r w:rsidRPr="006926C4">
        <w:rPr>
          <w:rFonts w:ascii="Verdana" w:hAnsi="Verdana"/>
          <w:b/>
          <w:bCs/>
          <w:color w:val="000000"/>
          <w:shd w:val="clear" w:color="auto" w:fill="FFFFFF"/>
        </w:rPr>
        <w:t> </w:t>
      </w:r>
      <w:hyperlink r:id="rId18" w:tgtFrame="_blank" w:tooltip="Dirección URL original: https://www.colombiacompra.gov.co/normativa-y-relatoria/documentos-tipo. Haga clic o pulse si confía en este vínculo." w:history="1">
        <w:r w:rsidRPr="006926C4">
          <w:rPr>
            <w:rStyle w:val="Hipervnculo"/>
            <w:rFonts w:ascii="Verdana" w:hAnsi="Verdana"/>
            <w:b/>
            <w:bCs/>
            <w:bdr w:val="none" w:sz="0" w:space="0" w:color="auto" w:frame="1"/>
            <w:shd w:val="clear" w:color="auto" w:fill="FFFFFF"/>
          </w:rPr>
          <w:t>Documentos Tipo – ANCP Colombia Compra Eficiente</w:t>
        </w:r>
      </w:hyperlink>
      <w:r w:rsidRPr="006926C4">
        <w:rPr>
          <w:rFonts w:ascii="Verdana" w:hAnsi="Verdana"/>
          <w:color w:val="000000"/>
          <w:shd w:val="clear" w:color="auto" w:fill="FFFFFF"/>
        </w:rPr>
        <w:t>.</w:t>
      </w:r>
    </w:p>
    <w:p w14:paraId="7F82064F" w14:textId="5CA1B210" w:rsidR="00475A36" w:rsidRPr="006926C4" w:rsidRDefault="00475A36" w:rsidP="00475A36">
      <w:pPr>
        <w:jc w:val="both"/>
        <w:rPr>
          <w:rFonts w:ascii="Verdana" w:hAnsi="Verdana"/>
        </w:rPr>
      </w:pPr>
      <w:r w:rsidRPr="006926C4">
        <w:rPr>
          <w:rFonts w:ascii="Verdana" w:hAnsi="Verdana"/>
        </w:rPr>
        <w:t xml:space="preserve">Por último, lo invitamos a seguirnos en las redes sociales en las cuales se difunde información institucional: </w:t>
      </w:r>
    </w:p>
    <w:p w14:paraId="3A390F9E" w14:textId="77777777" w:rsidR="00475A36" w:rsidRPr="006926C4" w:rsidRDefault="00475A36" w:rsidP="00475A36">
      <w:pPr>
        <w:spacing w:line="240" w:lineRule="auto"/>
        <w:jc w:val="both"/>
        <w:rPr>
          <w:rFonts w:ascii="Verdana" w:hAnsi="Verdana"/>
        </w:rPr>
      </w:pPr>
      <w:r w:rsidRPr="006926C4">
        <w:rPr>
          <w:rFonts w:ascii="Verdana" w:hAnsi="Verdana"/>
        </w:rPr>
        <w:t xml:space="preserve">Twitter: </w:t>
      </w:r>
      <w:r w:rsidRPr="006926C4">
        <w:rPr>
          <w:rStyle w:val="Hipervnculo"/>
          <w:rFonts w:ascii="Verdana" w:hAnsi="Verdana"/>
          <w:color w:val="4472C4" w:themeColor="accent1"/>
        </w:rPr>
        <w:t>@colombiacompra</w:t>
      </w:r>
      <w:r w:rsidRPr="006926C4">
        <w:rPr>
          <w:rFonts w:ascii="Verdana" w:hAnsi="Verdana"/>
          <w:color w:val="4472C4" w:themeColor="accent1"/>
        </w:rPr>
        <w:t xml:space="preserve"> </w:t>
      </w:r>
    </w:p>
    <w:p w14:paraId="3A18F119" w14:textId="77777777" w:rsidR="00475A36" w:rsidRPr="006926C4" w:rsidRDefault="00475A36" w:rsidP="00475A36">
      <w:pPr>
        <w:spacing w:line="240" w:lineRule="auto"/>
        <w:jc w:val="both"/>
        <w:rPr>
          <w:rFonts w:ascii="Verdana" w:hAnsi="Verdana"/>
        </w:rPr>
      </w:pPr>
      <w:r w:rsidRPr="006926C4">
        <w:rPr>
          <w:rFonts w:ascii="Verdana" w:hAnsi="Verdana"/>
        </w:rPr>
        <w:t xml:space="preserve">Facebook: </w:t>
      </w:r>
      <w:proofErr w:type="spellStart"/>
      <w:r w:rsidRPr="006926C4">
        <w:rPr>
          <w:rStyle w:val="Hipervnculo"/>
          <w:rFonts w:ascii="Verdana" w:hAnsi="Verdana"/>
          <w:color w:val="4472C4" w:themeColor="accent1"/>
        </w:rPr>
        <w:t>ColombiaCompraEficiente</w:t>
      </w:r>
      <w:proofErr w:type="spellEnd"/>
    </w:p>
    <w:p w14:paraId="3B24991C" w14:textId="6418CB9E" w:rsidR="00475A36" w:rsidRPr="00475A36" w:rsidRDefault="00475A36" w:rsidP="00475A36">
      <w:pPr>
        <w:spacing w:line="240" w:lineRule="auto"/>
        <w:jc w:val="both"/>
        <w:rPr>
          <w:rFonts w:ascii="Verdana" w:hAnsi="Verdana"/>
        </w:rPr>
      </w:pPr>
      <w:r w:rsidRPr="006926C4">
        <w:rPr>
          <w:rFonts w:ascii="Verdana" w:hAnsi="Verdana"/>
        </w:rPr>
        <w:t xml:space="preserve">LinkedIn: </w:t>
      </w:r>
      <w:r w:rsidRPr="006926C4">
        <w:rPr>
          <w:rStyle w:val="Hipervnculo"/>
          <w:rFonts w:ascii="Verdana" w:hAnsi="Verdana"/>
          <w:color w:val="4472C4" w:themeColor="accent1"/>
        </w:rPr>
        <w:t>Agencia Nacional de Contratación Pública - Colombia Compra Eficiente</w:t>
      </w:r>
      <w:r w:rsidRPr="006926C4">
        <w:rPr>
          <w:rFonts w:ascii="Verdana" w:hAnsi="Verdana"/>
          <w:color w:val="4472C4" w:themeColor="accent1"/>
        </w:rPr>
        <w:t xml:space="preserve"> </w:t>
      </w:r>
      <w:r w:rsidRPr="006926C4">
        <w:rPr>
          <w:rFonts w:ascii="Verdana" w:hAnsi="Verdana"/>
        </w:rPr>
        <w:t xml:space="preserve">Instagram: </w:t>
      </w:r>
      <w:r w:rsidRPr="006926C4">
        <w:rPr>
          <w:rStyle w:val="Hipervnculo"/>
          <w:rFonts w:ascii="Verdana" w:hAnsi="Verdana"/>
          <w:color w:val="4472C4" w:themeColor="accent1"/>
        </w:rPr>
        <w:t>@colombiacompraeficiente_cce</w:t>
      </w:r>
    </w:p>
    <w:p w14:paraId="06128E0F" w14:textId="77777777" w:rsidR="00475A36" w:rsidRPr="006926C4" w:rsidRDefault="00475A36" w:rsidP="00475A36">
      <w:pPr>
        <w:widowControl w:val="0"/>
        <w:autoSpaceDE w:val="0"/>
        <w:autoSpaceDN w:val="0"/>
        <w:spacing w:line="276" w:lineRule="auto"/>
        <w:jc w:val="both"/>
        <w:rPr>
          <w:rFonts w:ascii="Verdana" w:hAnsi="Verdana" w:cs="Arial"/>
          <w:lang w:val="es-ES_tradnl"/>
        </w:rPr>
      </w:pPr>
      <w:r w:rsidRPr="006926C4">
        <w:rPr>
          <w:rFonts w:ascii="Verdana" w:hAnsi="Verdana" w:cs="Arial"/>
        </w:rPr>
        <w:t xml:space="preserve">Este concepto tiene el alcance previsto en el artículo 28 del Código de Procedimiento Administrativo y de lo Contencioso Administrativo </w:t>
      </w:r>
      <w:r w:rsidRPr="006926C4">
        <w:rPr>
          <w:rFonts w:ascii="Verdana" w:hAnsi="Verdana" w:cs="Arial"/>
          <w:lang w:val="es-ES_tradnl"/>
        </w:rPr>
        <w:t>y las expresiones aquí utilizadas con mayúscula inicial deben ser entendidas con el significado que les otorga el artículo 2.2.1.1.1.3.1. del Decreto 1082 de 2015.</w:t>
      </w:r>
    </w:p>
    <w:p w14:paraId="10E0827C" w14:textId="77777777" w:rsidR="00475A36" w:rsidRPr="006926C4" w:rsidRDefault="00475A36" w:rsidP="00475A36">
      <w:pPr>
        <w:widowControl w:val="0"/>
        <w:autoSpaceDE w:val="0"/>
        <w:autoSpaceDN w:val="0"/>
        <w:spacing w:line="276" w:lineRule="auto"/>
        <w:jc w:val="both"/>
        <w:rPr>
          <w:rFonts w:ascii="Verdana" w:hAnsi="Verdana" w:cs="Arial"/>
        </w:rPr>
      </w:pPr>
    </w:p>
    <w:p w14:paraId="4950D824" w14:textId="2A68C952" w:rsidR="00871B59" w:rsidRPr="00593A5F" w:rsidRDefault="00475A36" w:rsidP="00475A36">
      <w:pPr>
        <w:rPr>
          <w:rFonts w:ascii="Verdana" w:hAnsi="Verdana" w:cs="Arial"/>
          <w:lang w:eastAsia="es-CO"/>
        </w:rPr>
      </w:pPr>
      <w:r w:rsidRPr="006926C4">
        <w:rPr>
          <w:rFonts w:ascii="Verdana" w:hAnsi="Verdana" w:cs="Arial"/>
          <w:lang w:eastAsia="es-CO"/>
        </w:rPr>
        <w:t xml:space="preserve">Atentamente, </w:t>
      </w:r>
      <w:r w:rsidR="00871B59" w:rsidRPr="00593A5F">
        <w:rPr>
          <w:rFonts w:ascii="Verdana" w:hAnsi="Verdana" w:cs="Arial"/>
          <w:lang w:eastAsia="es-CO"/>
        </w:rPr>
        <w:t xml:space="preserve"> </w:t>
      </w:r>
    </w:p>
    <w:p w14:paraId="3D80B006" w14:textId="2A22A664" w:rsidR="00871B59" w:rsidRPr="00593A5F" w:rsidRDefault="003B2541" w:rsidP="00871B59">
      <w:pPr>
        <w:spacing w:line="276" w:lineRule="auto"/>
        <w:jc w:val="center"/>
        <w:rPr>
          <w:rFonts w:ascii="Verdana" w:hAnsi="Verdana" w:cs="Arial"/>
          <w:color w:val="000000"/>
          <w:lang w:val="es-ES_tradnl" w:eastAsia="es-CO"/>
        </w:rPr>
      </w:pPr>
      <w:r>
        <w:rPr>
          <w:noProof/>
        </w:rPr>
        <w:drawing>
          <wp:inline distT="0" distB="0" distL="0" distR="0" wp14:anchorId="0E560A2C" wp14:editId="15D0E42C">
            <wp:extent cx="3360420" cy="1135380"/>
            <wp:effectExtent l="0" t="0" r="0" b="762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9"/>
                    <a:stretch>
                      <a:fillRect/>
                    </a:stretch>
                  </pic:blipFill>
                  <pic:spPr>
                    <a:xfrm>
                      <a:off x="0" y="0"/>
                      <a:ext cx="3360420" cy="1135380"/>
                    </a:xfrm>
                    <a:prstGeom prst="rect">
                      <a:avLst/>
                    </a:prstGeom>
                  </pic:spPr>
                </pic:pic>
              </a:graphicData>
            </a:graphic>
          </wp:inline>
        </w:drawing>
      </w:r>
    </w:p>
    <w:p w14:paraId="72041E7F" w14:textId="77777777" w:rsidR="00475A36" w:rsidRPr="00593A5F" w:rsidRDefault="00475A36" w:rsidP="00475A36">
      <w:pPr>
        <w:spacing w:after="0" w:line="240" w:lineRule="auto"/>
        <w:rPr>
          <w:rFonts w:ascii="Verdana" w:eastAsia="Times New Roman" w:hAnsi="Verdana" w:cs="Arial"/>
          <w:sz w:val="24"/>
          <w:szCs w:val="24"/>
          <w:lang w:eastAsia="es-ES"/>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475A36" w:rsidRPr="00EA1223" w14:paraId="18368FEE" w14:textId="77777777" w:rsidTr="005F3391">
        <w:trPr>
          <w:trHeight w:val="315"/>
        </w:trPr>
        <w:tc>
          <w:tcPr>
            <w:tcW w:w="893" w:type="dxa"/>
            <w:vAlign w:val="center"/>
            <w:hideMark/>
          </w:tcPr>
          <w:p w14:paraId="2312E43A" w14:textId="77777777" w:rsidR="00475A36" w:rsidRPr="00EA1223" w:rsidRDefault="00475A36" w:rsidP="005F3391">
            <w:pPr>
              <w:contextualSpacing/>
              <w:rPr>
                <w:rFonts w:ascii="Verdana" w:hAnsi="Verdana" w:cs="Arial"/>
                <w:sz w:val="16"/>
                <w:szCs w:val="16"/>
                <w:lang w:val="es-ES" w:eastAsia="es-ES"/>
              </w:rPr>
            </w:pPr>
            <w:r w:rsidRPr="00EA1223">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26CA42BD" w14:textId="77777777" w:rsidR="00475A36" w:rsidRPr="00EA1223" w:rsidRDefault="00475A36" w:rsidP="005F3391">
            <w:pPr>
              <w:contextualSpacing/>
              <w:rPr>
                <w:rStyle w:val="normaltextrun"/>
                <w:rFonts w:ascii="Verdana" w:eastAsia="Arial" w:hAnsi="Verdana" w:cs="Arial"/>
                <w:sz w:val="16"/>
                <w:szCs w:val="16"/>
              </w:rPr>
            </w:pPr>
            <w:r w:rsidRPr="00EA1223">
              <w:rPr>
                <w:rStyle w:val="normaltextrun"/>
                <w:rFonts w:ascii="Verdana" w:eastAsia="Arial" w:hAnsi="Verdana" w:cs="Arial"/>
                <w:sz w:val="16"/>
                <w:szCs w:val="16"/>
              </w:rPr>
              <w:t>Andrea del Pilar Garzón Sánchez</w:t>
            </w:r>
          </w:p>
          <w:p w14:paraId="386F12F2" w14:textId="77777777" w:rsidR="00475A36" w:rsidRPr="00EA1223" w:rsidRDefault="00475A36" w:rsidP="005F3391">
            <w:pPr>
              <w:contextualSpacing/>
              <w:rPr>
                <w:rFonts w:ascii="Verdana" w:eastAsia="Arial" w:hAnsi="Verdana" w:cs="Arial"/>
                <w:color w:val="7030A0"/>
                <w:sz w:val="16"/>
                <w:szCs w:val="16"/>
              </w:rPr>
            </w:pPr>
            <w:r w:rsidRPr="00EA1223">
              <w:rPr>
                <w:rStyle w:val="normaltextrun"/>
                <w:rFonts w:ascii="Verdana" w:eastAsia="Arial" w:hAnsi="Verdana" w:cs="Arial"/>
                <w:sz w:val="16"/>
                <w:szCs w:val="16"/>
              </w:rPr>
              <w:t>Contratista de la Subdirección de Gestión Contractual</w:t>
            </w:r>
          </w:p>
        </w:tc>
      </w:tr>
      <w:tr w:rsidR="00475A36" w:rsidRPr="00EA1223" w14:paraId="17467150" w14:textId="77777777" w:rsidTr="005F3391">
        <w:trPr>
          <w:trHeight w:val="330"/>
        </w:trPr>
        <w:tc>
          <w:tcPr>
            <w:tcW w:w="893" w:type="dxa"/>
            <w:vAlign w:val="center"/>
            <w:hideMark/>
          </w:tcPr>
          <w:p w14:paraId="003C51EA" w14:textId="77777777" w:rsidR="00475A36" w:rsidRPr="00EA1223" w:rsidRDefault="00475A36" w:rsidP="005F3391">
            <w:pPr>
              <w:contextualSpacing/>
              <w:rPr>
                <w:rFonts w:ascii="Verdana" w:hAnsi="Verdana" w:cs="Arial"/>
                <w:sz w:val="16"/>
                <w:szCs w:val="16"/>
                <w:lang w:val="es-ES" w:eastAsia="es-ES"/>
              </w:rPr>
            </w:pPr>
            <w:r w:rsidRPr="00EA1223">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251F372E" w14:textId="77777777" w:rsidR="00475A36" w:rsidRPr="00EA1223" w:rsidRDefault="00475A36" w:rsidP="005F3391">
            <w:pPr>
              <w:pStyle w:val="paragraph"/>
              <w:spacing w:before="0" w:beforeAutospacing="0" w:after="0" w:afterAutospacing="0"/>
              <w:contextualSpacing/>
              <w:textAlignment w:val="baseline"/>
              <w:rPr>
                <w:rStyle w:val="normaltextrun"/>
                <w:rFonts w:ascii="Verdana" w:hAnsi="Verdana" w:cs="Arial"/>
                <w:sz w:val="16"/>
                <w:szCs w:val="16"/>
                <w:lang w:val="es-ES"/>
              </w:rPr>
            </w:pPr>
            <w:r>
              <w:rPr>
                <w:rStyle w:val="normaltextrun"/>
                <w:rFonts w:ascii="Verdana" w:hAnsi="Verdana" w:cs="Arial"/>
                <w:sz w:val="16"/>
                <w:szCs w:val="16"/>
                <w:lang w:val="es-ES"/>
              </w:rPr>
              <w:t>Juan David Cárdenas Cabeza</w:t>
            </w:r>
          </w:p>
          <w:p w14:paraId="3994A9E4" w14:textId="77777777" w:rsidR="00475A36" w:rsidRPr="00EA1223" w:rsidRDefault="00475A36" w:rsidP="005F3391">
            <w:pPr>
              <w:pStyle w:val="paragraph"/>
              <w:spacing w:before="0" w:beforeAutospacing="0" w:after="0" w:afterAutospacing="0"/>
              <w:contextualSpacing/>
              <w:textAlignment w:val="baseline"/>
              <w:rPr>
                <w:rFonts w:ascii="Verdana" w:hAnsi="Verdana" w:cs="Segoe UI"/>
                <w:sz w:val="16"/>
                <w:szCs w:val="16"/>
              </w:rPr>
            </w:pPr>
            <w:r w:rsidRPr="00EA1223">
              <w:rPr>
                <w:rStyle w:val="normaltextrun"/>
                <w:rFonts w:ascii="Verdana" w:hAnsi="Verdana" w:cs="Arial"/>
                <w:sz w:val="16"/>
                <w:szCs w:val="16"/>
                <w:lang w:val="es-ES"/>
              </w:rPr>
              <w:t>Contratista de la Subdirección de Gestión Contractual</w:t>
            </w:r>
            <w:r w:rsidRPr="00EA1223">
              <w:rPr>
                <w:rStyle w:val="eop"/>
                <w:rFonts w:ascii="Verdana" w:hAnsi="Verdana" w:cs="Arial"/>
                <w:sz w:val="16"/>
                <w:szCs w:val="16"/>
              </w:rPr>
              <w:t> </w:t>
            </w:r>
          </w:p>
        </w:tc>
      </w:tr>
      <w:tr w:rsidR="00475A36" w:rsidRPr="00EA1223" w14:paraId="2C4A2FF1" w14:textId="77777777" w:rsidTr="005F3391">
        <w:trPr>
          <w:trHeight w:val="300"/>
        </w:trPr>
        <w:tc>
          <w:tcPr>
            <w:tcW w:w="893" w:type="dxa"/>
            <w:vAlign w:val="center"/>
          </w:tcPr>
          <w:p w14:paraId="0475C99B" w14:textId="77777777" w:rsidR="00475A36" w:rsidRPr="00EA1223" w:rsidRDefault="00475A36" w:rsidP="005F3391">
            <w:pPr>
              <w:contextualSpacing/>
              <w:rPr>
                <w:rFonts w:ascii="Verdana" w:hAnsi="Verdana" w:cs="Arial"/>
                <w:sz w:val="16"/>
                <w:szCs w:val="16"/>
                <w:lang w:val="es-ES" w:eastAsia="es-ES"/>
              </w:rPr>
            </w:pPr>
            <w:r w:rsidRPr="00EA1223">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35C3F3FC" w14:textId="77777777" w:rsidR="00475A36" w:rsidRPr="00EA1223" w:rsidRDefault="00475A36" w:rsidP="005F3391">
            <w:pPr>
              <w:contextualSpacing/>
              <w:rPr>
                <w:rFonts w:ascii="Verdana" w:eastAsia="Calibri" w:hAnsi="Verdana" w:cs="Arial"/>
                <w:sz w:val="16"/>
                <w:szCs w:val="16"/>
                <w:lang w:val="pt-BR" w:eastAsia="es-ES"/>
              </w:rPr>
            </w:pPr>
            <w:r w:rsidRPr="00EA1223">
              <w:rPr>
                <w:rFonts w:ascii="Verdana" w:eastAsia="Calibri" w:hAnsi="Verdana" w:cs="Arial"/>
                <w:sz w:val="16"/>
                <w:szCs w:val="16"/>
                <w:lang w:val="pt-BR" w:eastAsia="es-ES"/>
              </w:rPr>
              <w:t xml:space="preserve">Carolina Quintero </w:t>
            </w:r>
            <w:proofErr w:type="spellStart"/>
            <w:r w:rsidRPr="00EA1223">
              <w:rPr>
                <w:rFonts w:ascii="Verdana" w:eastAsia="Calibri" w:hAnsi="Verdana" w:cs="Arial"/>
                <w:sz w:val="16"/>
                <w:szCs w:val="16"/>
                <w:lang w:val="pt-BR" w:eastAsia="es-ES"/>
              </w:rPr>
              <w:t>Gacharná</w:t>
            </w:r>
            <w:proofErr w:type="spellEnd"/>
          </w:p>
          <w:p w14:paraId="3973D89F" w14:textId="77777777" w:rsidR="00475A36" w:rsidRPr="00EA1223" w:rsidRDefault="00475A36" w:rsidP="005F3391">
            <w:pPr>
              <w:contextualSpacing/>
              <w:rPr>
                <w:rFonts w:ascii="Verdana" w:eastAsia="Calibri" w:hAnsi="Verdana" w:cs="Arial"/>
                <w:sz w:val="16"/>
                <w:szCs w:val="16"/>
                <w:lang w:val="pt-BR" w:eastAsia="es-ES"/>
              </w:rPr>
            </w:pPr>
            <w:r w:rsidRPr="00EA1223">
              <w:rPr>
                <w:rFonts w:ascii="Verdana" w:eastAsia="Calibri" w:hAnsi="Verdana" w:cs="Arial"/>
                <w:sz w:val="16"/>
                <w:szCs w:val="16"/>
                <w:lang w:eastAsia="es-ES"/>
              </w:rPr>
              <w:t>Subdirectora</w:t>
            </w:r>
            <w:r w:rsidRPr="00EA1223">
              <w:rPr>
                <w:rFonts w:ascii="Verdana" w:eastAsia="Calibri" w:hAnsi="Verdana" w:cs="Arial"/>
                <w:sz w:val="16"/>
                <w:szCs w:val="16"/>
                <w:lang w:val="pt-BR" w:eastAsia="es-ES"/>
              </w:rPr>
              <w:t xml:space="preserve"> de Gestión </w:t>
            </w:r>
            <w:proofErr w:type="spellStart"/>
            <w:r w:rsidRPr="00EA1223">
              <w:rPr>
                <w:rFonts w:ascii="Verdana" w:eastAsia="Calibri" w:hAnsi="Verdana" w:cs="Arial"/>
                <w:sz w:val="16"/>
                <w:szCs w:val="16"/>
                <w:lang w:val="pt-BR" w:eastAsia="es-ES"/>
              </w:rPr>
              <w:t>Contractual</w:t>
            </w:r>
            <w:proofErr w:type="spellEnd"/>
            <w:r w:rsidRPr="00EA1223">
              <w:rPr>
                <w:rFonts w:ascii="Verdana" w:eastAsia="Calibri" w:hAnsi="Verdana" w:cs="Arial"/>
                <w:sz w:val="16"/>
                <w:szCs w:val="16"/>
                <w:lang w:val="pt-BR" w:eastAsia="es-ES"/>
              </w:rPr>
              <w:t xml:space="preserve"> ANCP – CCE</w:t>
            </w:r>
          </w:p>
        </w:tc>
      </w:tr>
    </w:tbl>
    <w:p w14:paraId="12A0DB24" w14:textId="77777777" w:rsidR="5D8505AD" w:rsidRPr="00871B59" w:rsidRDefault="5D8505AD" w:rsidP="00871B59"/>
    <w:sectPr w:rsidR="5D8505AD" w:rsidRPr="00871B59" w:rsidSect="00E45F4B">
      <w:headerReference w:type="default" r:id="rId20"/>
      <w:footerReference w:type="default" r:id="rId21"/>
      <w:pgSz w:w="12240" w:h="15840" w:code="1"/>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5A3B09B" w14:textId="77777777" w:rsidR="00451410" w:rsidRDefault="00451410" w:rsidP="00B30448">
      <w:pPr>
        <w:spacing w:after="0" w:line="240" w:lineRule="auto"/>
      </w:pPr>
      <w:r>
        <w:separator/>
      </w:r>
    </w:p>
  </w:endnote>
  <w:endnote w:type="continuationSeparator" w:id="0">
    <w:p w14:paraId="630377E1" w14:textId="77777777" w:rsidR="00451410" w:rsidRDefault="00451410" w:rsidP="00B30448">
      <w:pPr>
        <w:spacing w:after="0" w:line="240" w:lineRule="auto"/>
      </w:pPr>
      <w:r>
        <w:continuationSeparator/>
      </w:r>
    </w:p>
  </w:endnote>
  <w:endnote w:type="continuationNotice" w:id="1">
    <w:p w14:paraId="7CEFFB5C" w14:textId="77777777" w:rsidR="00451410" w:rsidRDefault="0045141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orbel"/>
    <w:panose1 w:val="00000000000000000000"/>
    <w:charset w:val="00"/>
    <w:family w:val="modern"/>
    <w:notTrueType/>
    <w:pitch w:val="variable"/>
    <w:sig w:usb0="A000002F" w:usb1="1000004A" w:usb2="00000000" w:usb3="00000000" w:csb0="00000193"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DB9365" w14:textId="77777777" w:rsidR="000849D5" w:rsidRDefault="000849D5" w:rsidP="000849D5">
    <w:pPr>
      <w:spacing w:after="0"/>
      <w:rPr>
        <w:rFonts w:ascii="Verdana" w:hAnsi="Verdana"/>
        <w:b/>
        <w:bCs/>
        <w:sz w:val="20"/>
        <w:szCs w:val="20"/>
      </w:rPr>
    </w:pPr>
  </w:p>
  <w:p w14:paraId="19B24A82" w14:textId="77777777" w:rsidR="000849D5" w:rsidRPr="00174B77" w:rsidRDefault="000849D5" w:rsidP="000849D5">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67E11545" w14:textId="77777777" w:rsidR="000849D5" w:rsidRDefault="000849D5" w:rsidP="000849D5">
    <w:pPr>
      <w:spacing w:after="0"/>
      <w:jc w:val="both"/>
      <w:rPr>
        <w:rFonts w:ascii="Verdana" w:hAnsi="Verdana"/>
        <w:sz w:val="18"/>
        <w:szCs w:val="18"/>
      </w:rPr>
    </w:pPr>
    <w:r w:rsidRPr="00E41027">
      <w:rPr>
        <w:rFonts w:ascii="Verdana" w:hAnsi="Verdana"/>
        <w:sz w:val="18"/>
        <w:szCs w:val="18"/>
      </w:rPr>
      <w:t>Dirección: Carrera 7 # 26 – 20 - Bogotá, Colombia</w:t>
    </w:r>
  </w:p>
  <w:p w14:paraId="40F9F32D" w14:textId="77777777" w:rsidR="000849D5" w:rsidRPr="00E41027" w:rsidRDefault="000849D5" w:rsidP="000849D5">
    <w:pPr>
      <w:spacing w:after="0"/>
      <w:jc w:val="both"/>
      <w:rPr>
        <w:rFonts w:ascii="Verdana" w:hAnsi="Verdana"/>
        <w:sz w:val="18"/>
        <w:szCs w:val="18"/>
      </w:rPr>
    </w:pPr>
    <w:r w:rsidRPr="00E41027">
      <w:rPr>
        <w:rFonts w:ascii="Verdana" w:hAnsi="Verdana"/>
        <w:sz w:val="18"/>
        <w:szCs w:val="18"/>
      </w:rPr>
      <w:t>Mesa de servicio: (+57) 601 7456788</w:t>
    </w:r>
  </w:p>
  <w:p w14:paraId="4FF2C988" w14:textId="77777777" w:rsidR="000849D5" w:rsidRDefault="000849D5" w:rsidP="000849D5">
    <w:pPr>
      <w:pStyle w:val="Piedepgina"/>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Pr>
        <w:rFonts w:ascii="Century Gothic" w:hAnsi="Century Gothic"/>
        <w:sz w:val="18"/>
        <w:szCs w:val="18"/>
      </w:rPr>
      <w:t>Código: CCE-DES-FM-17 Versión: 4</w:t>
    </w:r>
    <w:r w:rsidRPr="0086556C">
      <w:rPr>
        <w:rFonts w:ascii="Century Gothic" w:hAnsi="Century Gothic"/>
        <w:sz w:val="18"/>
        <w:szCs w:val="18"/>
      </w:rPr>
      <w:t xml:space="preserve"> </w:t>
    </w:r>
    <w:r>
      <w:rPr>
        <w:rFonts w:ascii="Century Gothic" w:hAnsi="Century Gothic"/>
        <w:sz w:val="18"/>
        <w:szCs w:val="18"/>
      </w:rPr>
      <w:t>Fecha: 13-12-2023</w:t>
    </w:r>
  </w:p>
  <w:p w14:paraId="302A4B7C" w14:textId="77777777" w:rsidR="000849D5" w:rsidRPr="007D04B2" w:rsidRDefault="000849D5" w:rsidP="000849D5">
    <w:pPr>
      <w:pStyle w:val="Piedepgina"/>
    </w:pPr>
  </w:p>
  <w:p w14:paraId="619EAF28" w14:textId="77777777" w:rsidR="00B30448" w:rsidRPr="000849D5" w:rsidRDefault="00B30448" w:rsidP="000849D5">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33B5E61" w14:textId="77777777" w:rsidR="00451410" w:rsidRDefault="00451410" w:rsidP="00B30448">
      <w:pPr>
        <w:spacing w:after="0" w:line="240" w:lineRule="auto"/>
      </w:pPr>
      <w:r>
        <w:separator/>
      </w:r>
    </w:p>
  </w:footnote>
  <w:footnote w:type="continuationSeparator" w:id="0">
    <w:p w14:paraId="66C59E45" w14:textId="77777777" w:rsidR="00451410" w:rsidRDefault="00451410" w:rsidP="00B30448">
      <w:pPr>
        <w:spacing w:after="0" w:line="240" w:lineRule="auto"/>
      </w:pPr>
      <w:r>
        <w:continuationSeparator/>
      </w:r>
    </w:p>
  </w:footnote>
  <w:footnote w:type="continuationNotice" w:id="1">
    <w:p w14:paraId="5E73BDF7" w14:textId="77777777" w:rsidR="00451410" w:rsidRDefault="00451410">
      <w:pPr>
        <w:spacing w:after="0" w:line="240" w:lineRule="auto"/>
      </w:pPr>
    </w:p>
  </w:footnote>
  <w:footnote w:id="2">
    <w:p w14:paraId="762413D5" w14:textId="77777777" w:rsidR="002A28EB" w:rsidRPr="00BD4869" w:rsidRDefault="002A28EB" w:rsidP="00475A36">
      <w:pPr>
        <w:pBdr>
          <w:top w:val="nil"/>
          <w:left w:val="nil"/>
          <w:bottom w:val="nil"/>
          <w:right w:val="nil"/>
          <w:between w:val="nil"/>
        </w:pBdr>
        <w:spacing w:after="0" w:line="240" w:lineRule="auto"/>
        <w:contextualSpacing/>
        <w:jc w:val="both"/>
        <w:rPr>
          <w:rFonts w:ascii="Verdana" w:eastAsia="Arial" w:hAnsi="Verdana" w:cs="Arial"/>
          <w:color w:val="000000"/>
          <w:sz w:val="14"/>
          <w:szCs w:val="14"/>
        </w:rPr>
      </w:pPr>
    </w:p>
  </w:footnote>
  <w:footnote w:id="3">
    <w:p w14:paraId="471250A2" w14:textId="77777777" w:rsidR="00EA19BB" w:rsidRPr="00BD4869" w:rsidRDefault="00EA19BB" w:rsidP="00EA19BB">
      <w:pPr>
        <w:pBdr>
          <w:top w:val="nil"/>
          <w:left w:val="nil"/>
          <w:bottom w:val="nil"/>
          <w:right w:val="nil"/>
          <w:between w:val="nil"/>
        </w:pBdr>
        <w:spacing w:after="0" w:line="240" w:lineRule="auto"/>
        <w:ind w:firstLine="709"/>
        <w:contextualSpacing/>
        <w:jc w:val="both"/>
        <w:rPr>
          <w:rFonts w:ascii="Verdana" w:eastAsia="Arial" w:hAnsi="Verdana" w:cs="Arial"/>
          <w:color w:val="000000"/>
          <w:sz w:val="14"/>
          <w:szCs w:val="14"/>
        </w:rPr>
      </w:pPr>
      <w:r w:rsidRPr="00BD4869">
        <w:rPr>
          <w:rFonts w:ascii="Verdana" w:hAnsi="Verdana" w:cs="Arial"/>
          <w:sz w:val="14"/>
          <w:szCs w:val="14"/>
          <w:vertAlign w:val="superscript"/>
        </w:rPr>
        <w:footnoteRef/>
      </w:r>
      <w:r w:rsidRPr="00BD4869">
        <w:rPr>
          <w:rFonts w:ascii="Verdana" w:eastAsia="Arial" w:hAnsi="Verdana" w:cs="Arial"/>
          <w:color w:val="000000"/>
          <w:sz w:val="14"/>
          <w:szCs w:val="14"/>
        </w:rPr>
        <w:t xml:space="preserve"> Al respecto, conviene recordar el artículo 29 de la Ley 80 de 1993, derogado por el artículo 32 de la Ley 1150 de 2007, que establecía: “La selección de contratistas será objetiva.</w:t>
      </w:r>
    </w:p>
    <w:p w14:paraId="24AC38C9" w14:textId="77777777" w:rsidR="00EA19BB" w:rsidRPr="00BD4869" w:rsidRDefault="00EA19BB" w:rsidP="00EA19BB">
      <w:pPr>
        <w:pBdr>
          <w:top w:val="nil"/>
          <w:left w:val="nil"/>
          <w:bottom w:val="nil"/>
          <w:right w:val="nil"/>
          <w:between w:val="nil"/>
        </w:pBdr>
        <w:spacing w:after="0" w:line="240" w:lineRule="auto"/>
        <w:ind w:firstLine="709"/>
        <w:contextualSpacing/>
        <w:jc w:val="both"/>
        <w:rPr>
          <w:rFonts w:ascii="Verdana" w:eastAsia="Arial" w:hAnsi="Verdana" w:cs="Arial"/>
          <w:color w:val="000000"/>
          <w:sz w:val="14"/>
          <w:szCs w:val="14"/>
        </w:rPr>
      </w:pPr>
      <w:r w:rsidRPr="00BD4869">
        <w:rPr>
          <w:rFonts w:ascii="Verdana" w:eastAsia="Arial" w:hAnsi="Verdana" w:cs="Arial"/>
          <w:color w:val="000000"/>
          <w:sz w:val="14"/>
          <w:szCs w:val="14"/>
        </w:rPr>
        <w:t>Es objetiva la selección en la cual la escogencia se hace al ofrecimiento más favorable a la entidad y a los fines que ella busca, sin tener en consideración factores de afecto o de interés y, en general, cualquier clase de motivación subjetiva.</w:t>
      </w:r>
    </w:p>
    <w:p w14:paraId="7E0B3A01" w14:textId="77777777" w:rsidR="00EA19BB" w:rsidRPr="00BD4869" w:rsidRDefault="00EA19BB" w:rsidP="00EA19BB">
      <w:pPr>
        <w:pBdr>
          <w:top w:val="nil"/>
          <w:left w:val="nil"/>
          <w:bottom w:val="nil"/>
          <w:right w:val="nil"/>
          <w:between w:val="nil"/>
        </w:pBdr>
        <w:spacing w:after="0" w:line="240" w:lineRule="auto"/>
        <w:ind w:firstLine="709"/>
        <w:contextualSpacing/>
        <w:jc w:val="both"/>
        <w:rPr>
          <w:rFonts w:ascii="Verdana" w:eastAsia="Arial" w:hAnsi="Verdana" w:cs="Arial"/>
          <w:color w:val="000000"/>
          <w:sz w:val="14"/>
          <w:szCs w:val="14"/>
        </w:rPr>
      </w:pPr>
      <w:r w:rsidRPr="00BD4869">
        <w:rPr>
          <w:rFonts w:ascii="Verdana" w:eastAsia="Arial" w:hAnsi="Verdana" w:cs="Arial"/>
          <w:color w:val="000000"/>
          <w:sz w:val="14"/>
          <w:szCs w:val="14"/>
        </w:rPr>
        <w:t>Ofrecimiento más favorable es aquel que, teniendo en cuenta los factores de escogencia, tales como cumplimiento, experiencia, organización, equipos, plazo, precio y la ponderación precisa, detallada y concreta de los mismos, contenida en los pliegos de condiciones o términos de referencia o en el análisis previo a la suscripción del contrato, si se trata de contratación directa, resulta ser el más ventajoso para la entidad, sin que la favorabilidad la constituyan factores diferentes a los contenidos en dichos documentos, sólo alguno de ellos, el más bajo precio o el plazo ofrecido. El menor plazo que se ofrezca inferior al solicitado en los pliegos, no será objeto de evaluación”.</w:t>
      </w:r>
    </w:p>
    <w:p w14:paraId="0FBD210B" w14:textId="77777777" w:rsidR="00EA19BB" w:rsidRPr="00BD4869" w:rsidRDefault="00EA19BB" w:rsidP="00EA19BB">
      <w:pPr>
        <w:pBdr>
          <w:top w:val="nil"/>
          <w:left w:val="nil"/>
          <w:bottom w:val="nil"/>
          <w:right w:val="nil"/>
          <w:between w:val="nil"/>
        </w:pBdr>
        <w:spacing w:after="0" w:line="240" w:lineRule="auto"/>
        <w:ind w:firstLine="709"/>
        <w:contextualSpacing/>
        <w:jc w:val="both"/>
        <w:rPr>
          <w:rFonts w:ascii="Verdana" w:eastAsia="Arial" w:hAnsi="Verdana" w:cs="Arial"/>
          <w:color w:val="000000"/>
          <w:sz w:val="14"/>
          <w:szCs w:val="14"/>
        </w:rPr>
      </w:pPr>
      <w:r w:rsidRPr="00BD4869">
        <w:rPr>
          <w:rFonts w:ascii="Verdana" w:eastAsia="Arial" w:hAnsi="Verdana" w:cs="Arial"/>
          <w:color w:val="000000"/>
          <w:sz w:val="14"/>
          <w:szCs w:val="14"/>
        </w:rPr>
        <w:t>El administrador efectuará las comparaciones del caso mediante el cotejo de los diferentes ofrecimientos recibidos, la consulta de precios o condiciones del mercado y los estudios y deducciones de la entidad o de los organismos consultores o asesores designados para ello.</w:t>
      </w:r>
    </w:p>
    <w:p w14:paraId="65A94D07" w14:textId="77777777" w:rsidR="00EA19BB" w:rsidRPr="00BD4869" w:rsidRDefault="00EA19BB" w:rsidP="00EA19BB">
      <w:pPr>
        <w:pBdr>
          <w:top w:val="nil"/>
          <w:left w:val="nil"/>
          <w:bottom w:val="nil"/>
          <w:right w:val="nil"/>
          <w:between w:val="nil"/>
        </w:pBdr>
        <w:spacing w:after="0" w:line="240" w:lineRule="auto"/>
        <w:ind w:firstLine="709"/>
        <w:contextualSpacing/>
        <w:jc w:val="both"/>
        <w:rPr>
          <w:rFonts w:ascii="Verdana" w:eastAsia="Arial" w:hAnsi="Verdana" w:cs="Arial"/>
          <w:color w:val="000000"/>
          <w:sz w:val="14"/>
          <w:szCs w:val="14"/>
        </w:rPr>
      </w:pPr>
      <w:r w:rsidRPr="00BD4869">
        <w:rPr>
          <w:rFonts w:ascii="Verdana" w:eastAsia="Arial" w:hAnsi="Verdana" w:cs="Arial"/>
          <w:color w:val="000000"/>
          <w:sz w:val="14"/>
          <w:szCs w:val="14"/>
        </w:rPr>
        <w:t>En caso de comparación de propuestas nacionales y extranjeras, se incluirán los costos necesarios para la entrega del producto terminado en el lugar de su utilización”.</w:t>
      </w:r>
    </w:p>
  </w:footnote>
  <w:footnote w:id="4">
    <w:p w14:paraId="2AFD01ED" w14:textId="77777777" w:rsidR="00EA19BB" w:rsidRPr="00BD4869" w:rsidRDefault="00EA19BB" w:rsidP="00EA19BB">
      <w:pPr>
        <w:pBdr>
          <w:top w:val="nil"/>
          <w:left w:val="nil"/>
          <w:bottom w:val="nil"/>
          <w:right w:val="nil"/>
          <w:between w:val="nil"/>
        </w:pBdr>
        <w:spacing w:after="0" w:line="240" w:lineRule="auto"/>
        <w:ind w:firstLine="709"/>
        <w:contextualSpacing/>
        <w:jc w:val="both"/>
        <w:rPr>
          <w:rFonts w:ascii="Verdana" w:eastAsia="Arial" w:hAnsi="Verdana" w:cs="Arial"/>
          <w:color w:val="000000"/>
          <w:sz w:val="14"/>
          <w:szCs w:val="14"/>
        </w:rPr>
      </w:pPr>
      <w:r w:rsidRPr="00BD4869">
        <w:rPr>
          <w:rFonts w:ascii="Verdana" w:hAnsi="Verdana" w:cs="Arial"/>
          <w:sz w:val="14"/>
          <w:szCs w:val="14"/>
          <w:vertAlign w:val="superscript"/>
        </w:rPr>
        <w:footnoteRef/>
      </w:r>
      <w:r w:rsidRPr="00BD4869">
        <w:rPr>
          <w:rFonts w:ascii="Verdana" w:eastAsia="Arial" w:hAnsi="Verdana" w:cs="Arial"/>
          <w:color w:val="000000"/>
          <w:sz w:val="14"/>
          <w:szCs w:val="14"/>
        </w:rPr>
        <w:t xml:space="preserve"> DÁVILA VINUEZA, Luis Guillermo. Régimen jurídico de la contratación estatal. Tercera edición, Bogotá: Legis, 2016. p. 355.</w:t>
      </w:r>
    </w:p>
    <w:p w14:paraId="473FA8A7" w14:textId="77777777" w:rsidR="00EA19BB" w:rsidRPr="00BD4869" w:rsidRDefault="00EA19BB" w:rsidP="00EA19BB">
      <w:pPr>
        <w:pBdr>
          <w:top w:val="nil"/>
          <w:left w:val="nil"/>
          <w:bottom w:val="nil"/>
          <w:right w:val="nil"/>
          <w:between w:val="nil"/>
        </w:pBdr>
        <w:spacing w:after="0" w:line="240" w:lineRule="auto"/>
        <w:ind w:firstLine="709"/>
        <w:contextualSpacing/>
        <w:jc w:val="both"/>
        <w:rPr>
          <w:rFonts w:ascii="Verdana" w:eastAsia="Arial" w:hAnsi="Verdana" w:cs="Arial"/>
          <w:color w:val="000000"/>
          <w:sz w:val="14"/>
          <w:szCs w:val="14"/>
        </w:rPr>
      </w:pPr>
    </w:p>
  </w:footnote>
  <w:footnote w:id="5">
    <w:p w14:paraId="7035FA6A" w14:textId="77777777" w:rsidR="00EA19BB" w:rsidRPr="00BD4869" w:rsidRDefault="00EA19BB" w:rsidP="00EA19BB">
      <w:pPr>
        <w:pBdr>
          <w:top w:val="nil"/>
          <w:left w:val="nil"/>
          <w:bottom w:val="nil"/>
          <w:right w:val="nil"/>
          <w:between w:val="nil"/>
        </w:pBdr>
        <w:spacing w:after="0" w:line="240" w:lineRule="auto"/>
        <w:ind w:firstLine="709"/>
        <w:contextualSpacing/>
        <w:jc w:val="both"/>
        <w:rPr>
          <w:rFonts w:ascii="Verdana" w:eastAsia="Arial" w:hAnsi="Verdana" w:cs="Arial"/>
          <w:color w:val="000000"/>
          <w:sz w:val="14"/>
          <w:szCs w:val="14"/>
        </w:rPr>
      </w:pPr>
      <w:r w:rsidRPr="00BD4869">
        <w:rPr>
          <w:rFonts w:ascii="Verdana" w:hAnsi="Verdana" w:cs="Arial"/>
          <w:sz w:val="14"/>
          <w:szCs w:val="14"/>
          <w:vertAlign w:val="superscript"/>
        </w:rPr>
        <w:footnoteRef/>
      </w:r>
      <w:r w:rsidRPr="00BD4869">
        <w:rPr>
          <w:rFonts w:ascii="Verdana" w:eastAsia="Arial" w:hAnsi="Verdana" w:cs="Arial"/>
          <w:color w:val="000000"/>
          <w:sz w:val="14"/>
          <w:szCs w:val="14"/>
        </w:rPr>
        <w:t xml:space="preserve"> RODRÍGUEZ TAMAYO, Mauricio F. Evaluación y rechazo de ofertas en la Ley 80 de 1993. Primera edición. Medellín: Librería Jurídica Sánchez, 2016. pp. 110-111.</w:t>
      </w:r>
    </w:p>
    <w:p w14:paraId="61D495FD" w14:textId="77777777" w:rsidR="00EA19BB" w:rsidRPr="00BD4869" w:rsidRDefault="00EA19BB" w:rsidP="00EA19BB">
      <w:pPr>
        <w:pBdr>
          <w:top w:val="nil"/>
          <w:left w:val="nil"/>
          <w:bottom w:val="nil"/>
          <w:right w:val="nil"/>
          <w:between w:val="nil"/>
        </w:pBdr>
        <w:spacing w:after="0" w:line="240" w:lineRule="auto"/>
        <w:ind w:firstLine="709"/>
        <w:contextualSpacing/>
        <w:jc w:val="both"/>
        <w:rPr>
          <w:rFonts w:ascii="Verdana" w:eastAsia="Arial" w:hAnsi="Verdana" w:cs="Arial"/>
          <w:color w:val="000000"/>
          <w:sz w:val="14"/>
          <w:szCs w:val="14"/>
        </w:rPr>
      </w:pPr>
    </w:p>
  </w:footnote>
  <w:footnote w:id="6">
    <w:p w14:paraId="74481678" w14:textId="6D6B49F8" w:rsidR="00EA19BB" w:rsidRPr="00BD4869" w:rsidRDefault="00EA19BB" w:rsidP="00AA705F">
      <w:pPr>
        <w:pBdr>
          <w:top w:val="nil"/>
          <w:left w:val="nil"/>
          <w:bottom w:val="nil"/>
          <w:right w:val="nil"/>
          <w:between w:val="nil"/>
        </w:pBdr>
        <w:spacing w:after="0" w:line="240" w:lineRule="auto"/>
        <w:contextualSpacing/>
        <w:jc w:val="both"/>
        <w:rPr>
          <w:rFonts w:ascii="Verdana" w:eastAsia="Arial" w:hAnsi="Verdana" w:cs="Arial"/>
          <w:color w:val="000000"/>
          <w:sz w:val="14"/>
          <w:szCs w:val="14"/>
        </w:rPr>
      </w:pPr>
      <w:r w:rsidRPr="00BD4869">
        <w:rPr>
          <w:rFonts w:ascii="Verdana" w:hAnsi="Verdana" w:cs="Arial"/>
          <w:sz w:val="14"/>
          <w:szCs w:val="14"/>
          <w:vertAlign w:val="superscript"/>
        </w:rPr>
        <w:footnoteRef/>
      </w:r>
      <w:r w:rsidRPr="00BD4869">
        <w:rPr>
          <w:rFonts w:ascii="Verdana" w:eastAsia="Arial" w:hAnsi="Verdana" w:cs="Arial"/>
          <w:color w:val="000000"/>
          <w:sz w:val="14"/>
          <w:szCs w:val="14"/>
        </w:rPr>
        <w:t xml:space="preserve"> EXPÓSITO VELEZ, Juan C., El deber de selección objetiva, en: Del contrato estatal a los sistemas de compras públicas, por COVILLA MARTINEZ Juan C. y LOZANO VILLEGAS Germán (Eds.). Universidad Externado de Colombia, Bogotá, 2019. págs. 118-184</w:t>
      </w:r>
      <w:r w:rsidR="00AA705F">
        <w:rPr>
          <w:rFonts w:ascii="Verdana" w:eastAsia="Arial" w:hAnsi="Verdana" w:cs="Arial"/>
          <w:color w:val="000000"/>
          <w:sz w:val="14"/>
          <w:szCs w:val="14"/>
        </w:rPr>
        <w:t>.</w:t>
      </w:r>
    </w:p>
  </w:footnote>
  <w:footnote w:id="7">
    <w:p w14:paraId="0C92E9EA" w14:textId="77777777" w:rsidR="00EA19BB" w:rsidRPr="00BD4869" w:rsidRDefault="00EA19BB" w:rsidP="00AA705F">
      <w:pPr>
        <w:pBdr>
          <w:top w:val="nil"/>
          <w:left w:val="nil"/>
          <w:bottom w:val="nil"/>
          <w:right w:val="nil"/>
          <w:between w:val="nil"/>
        </w:pBdr>
        <w:spacing w:after="0" w:line="240" w:lineRule="auto"/>
        <w:contextualSpacing/>
        <w:jc w:val="both"/>
        <w:rPr>
          <w:rFonts w:ascii="Verdana" w:eastAsia="Arial" w:hAnsi="Verdana" w:cs="Arial"/>
          <w:color w:val="000000"/>
          <w:sz w:val="14"/>
          <w:szCs w:val="14"/>
        </w:rPr>
      </w:pPr>
      <w:r w:rsidRPr="00BD4869">
        <w:rPr>
          <w:rFonts w:ascii="Verdana" w:hAnsi="Verdana" w:cs="Arial"/>
          <w:sz w:val="14"/>
          <w:szCs w:val="14"/>
          <w:vertAlign w:val="superscript"/>
        </w:rPr>
        <w:footnoteRef/>
      </w:r>
      <w:r w:rsidRPr="00BD4869">
        <w:rPr>
          <w:rFonts w:ascii="Verdana" w:eastAsia="Arial" w:hAnsi="Verdana" w:cs="Arial"/>
          <w:i/>
          <w:color w:val="000000"/>
          <w:sz w:val="14"/>
          <w:szCs w:val="14"/>
        </w:rPr>
        <w:t xml:space="preserve"> </w:t>
      </w:r>
      <w:proofErr w:type="spellStart"/>
      <w:r w:rsidRPr="00BD4869">
        <w:rPr>
          <w:rFonts w:ascii="Verdana" w:eastAsia="Arial" w:hAnsi="Verdana" w:cs="Arial"/>
          <w:i/>
          <w:color w:val="000000"/>
          <w:sz w:val="14"/>
          <w:szCs w:val="14"/>
        </w:rPr>
        <w:t>Ibídem</w:t>
      </w:r>
      <w:proofErr w:type="spellEnd"/>
      <w:r w:rsidRPr="00BD4869">
        <w:rPr>
          <w:rFonts w:ascii="Verdana" w:eastAsia="Arial" w:hAnsi="Verdana" w:cs="Arial"/>
          <w:i/>
          <w:color w:val="000000"/>
          <w:sz w:val="14"/>
          <w:szCs w:val="14"/>
        </w:rPr>
        <w:t>.</w:t>
      </w:r>
    </w:p>
  </w:footnote>
  <w:footnote w:id="8">
    <w:p w14:paraId="7B247445" w14:textId="77777777" w:rsidR="00EA19BB" w:rsidRPr="002311A2" w:rsidRDefault="00EA19BB" w:rsidP="00EA19BB">
      <w:pPr>
        <w:pStyle w:val="Textonotapie"/>
        <w:ind w:firstLine="567"/>
        <w:jc w:val="both"/>
        <w:rPr>
          <w:rFonts w:ascii="Verdana" w:hAnsi="Verdana"/>
          <w:sz w:val="14"/>
          <w:szCs w:val="14"/>
          <w:lang w:val="es-CO"/>
        </w:rPr>
      </w:pPr>
      <w:r w:rsidRPr="002311A2">
        <w:rPr>
          <w:rStyle w:val="Refdenotaalpie"/>
          <w:rFonts w:ascii="Verdana" w:hAnsi="Verdana"/>
          <w:sz w:val="14"/>
          <w:szCs w:val="14"/>
        </w:rPr>
        <w:footnoteRef/>
      </w:r>
      <w:r w:rsidRPr="002311A2">
        <w:rPr>
          <w:rFonts w:ascii="Verdana" w:hAnsi="Verdana"/>
          <w:sz w:val="14"/>
          <w:szCs w:val="14"/>
        </w:rPr>
        <w:t xml:space="preserve"> “Artículo 2.2.1.1.1.6.2. Determinación de los Requisitos Habilitantes. La Entidad Estatal debe establecer los requisitos habilitantes en los pliegos de condiciones o en la invitación, teniendo en cuenta: (a) el Riesgo del Proceso de Contratación; (b) el valor del contrato objeto del Proceso de Contratación; (c) el análisis del sector económico respectivo; y (d) el conocimiento de fondo de los posibles oferentes desde la perspectiva comercial. La Entidad Estatal no debe limitarse a la aplicación mecánica de fórmulas financieras para verificar los requisitos habilitantes”.</w:t>
      </w:r>
    </w:p>
  </w:footnote>
  <w:footnote w:id="9">
    <w:p w14:paraId="51686222" w14:textId="4B855CFC" w:rsidR="00121FBF" w:rsidRPr="006402E7" w:rsidRDefault="00121FBF" w:rsidP="006402E7">
      <w:pPr>
        <w:pStyle w:val="Textonotapie"/>
        <w:jc w:val="both"/>
        <w:rPr>
          <w:rFonts w:ascii="Verdana" w:hAnsi="Verdana"/>
          <w:lang w:val="es-CO"/>
        </w:rPr>
      </w:pPr>
      <w:r w:rsidRPr="006402E7">
        <w:rPr>
          <w:rStyle w:val="Refdenotaalpie"/>
          <w:rFonts w:ascii="Verdana" w:hAnsi="Verdana"/>
        </w:rPr>
        <w:footnoteRef/>
      </w:r>
      <w:r w:rsidRPr="006402E7">
        <w:rPr>
          <w:rFonts w:ascii="Verdana" w:hAnsi="Verdana"/>
        </w:rPr>
        <w:t xml:space="preserve"> </w:t>
      </w:r>
      <w:r w:rsidRPr="006402E7">
        <w:rPr>
          <w:rFonts w:ascii="Verdana" w:hAnsi="Verdana"/>
          <w:lang w:val="es-CO"/>
        </w:rPr>
        <w:t xml:space="preserve">Consejo de Estado, sentencia de 20 de mayo de 2010, Rad: </w:t>
      </w:r>
      <w:r w:rsidRPr="006402E7">
        <w:rPr>
          <w:rFonts w:ascii="Verdana" w:hAnsi="Verdana"/>
        </w:rPr>
        <w:t>11001-03-06-000-2010-00034-00,</w:t>
      </w:r>
      <w:r w:rsidRPr="006402E7">
        <w:rPr>
          <w:rFonts w:ascii="Verdana" w:hAnsi="Verdana"/>
          <w:lang w:val="es-CO"/>
        </w:rPr>
        <w:t xml:space="preserve"> </w:t>
      </w:r>
      <w:proofErr w:type="spellStart"/>
      <w:r w:rsidRPr="006402E7">
        <w:rPr>
          <w:rFonts w:ascii="Verdana" w:hAnsi="Verdana"/>
          <w:lang w:val="es-CO"/>
        </w:rPr>
        <w:t>M.p</w:t>
      </w:r>
      <w:proofErr w:type="spellEnd"/>
      <w:r w:rsidRPr="006402E7">
        <w:rPr>
          <w:rFonts w:ascii="Verdana" w:hAnsi="Verdana"/>
          <w:lang w:val="es-CO"/>
        </w:rPr>
        <w:t xml:space="preserve"> Enrique José Arboleda Perdono. </w:t>
      </w:r>
    </w:p>
  </w:footnote>
  <w:footnote w:id="10">
    <w:p w14:paraId="6F700092" w14:textId="50F891A3" w:rsidR="00C71B27" w:rsidRPr="00C71B27" w:rsidRDefault="00C71B27">
      <w:pPr>
        <w:pStyle w:val="Textonotapie"/>
      </w:pPr>
      <w:r>
        <w:rPr>
          <w:rStyle w:val="Refdenotaalpie"/>
        </w:rPr>
        <w:footnoteRef/>
      </w:r>
      <w:r>
        <w:t xml:space="preserve"> </w:t>
      </w:r>
    </w:p>
  </w:footnote>
  <w:footnote w:id="11">
    <w:p w14:paraId="634AC97D" w14:textId="375E5AB4" w:rsidR="00C71B27" w:rsidRPr="00C71B27" w:rsidRDefault="00C71B27" w:rsidP="00C71B27">
      <w:pPr>
        <w:pStyle w:val="Textonotapie"/>
        <w:jc w:val="both"/>
        <w:rPr>
          <w:lang w:val="es-CO"/>
        </w:rPr>
      </w:pPr>
      <w:r>
        <w:rPr>
          <w:rStyle w:val="Refdenotaalpie"/>
        </w:rPr>
        <w:footnoteRef/>
      </w:r>
      <w:r>
        <w:t xml:space="preserve"> </w:t>
      </w:r>
      <w:r w:rsidRPr="00C71B27">
        <w:rPr>
          <w:rFonts w:ascii="Verdana" w:hAnsi="Verdana"/>
          <w:sz w:val="18"/>
          <w:szCs w:val="18"/>
        </w:rPr>
        <w:t>El art. 44 del Código de Procedimiento Administrativo y de lo Contencioso Administrativo es del siguiente tenor: “En la medida en que el contenido de una decisión de carácter general o particular sea discrecional, debe ser adecuada a los fines de la norma que la autoriza, y proporcional a los hechos que le sirven de causa”.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0A9550" w14:textId="77777777" w:rsidR="00515FB5" w:rsidRDefault="00515FB5" w:rsidP="00515FB5">
    <w:pPr>
      <w:pStyle w:val="Encabezado"/>
    </w:pPr>
    <w:r>
      <w:rPr>
        <w:rFonts w:ascii="Geomanist Bold" w:hAnsi="Geomanist Bold"/>
        <w:b/>
        <w:bCs/>
        <w:noProof/>
        <w:color w:val="002060"/>
        <w:sz w:val="24"/>
        <w:szCs w:val="24"/>
      </w:rPr>
      <w:drawing>
        <wp:anchor distT="0" distB="0" distL="114300" distR="114300" simplePos="0" relativeHeight="251667456" behindDoc="1" locked="0" layoutInCell="1" allowOverlap="1" wp14:anchorId="644A4C7B" wp14:editId="1164E74C">
          <wp:simplePos x="0" y="0"/>
          <wp:positionH relativeFrom="margin">
            <wp:align>center</wp:align>
          </wp:positionH>
          <wp:positionV relativeFrom="paragraph">
            <wp:posOffset>-325755</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66432" behindDoc="0" locked="0" layoutInCell="1" allowOverlap="1" wp14:anchorId="670A1590" wp14:editId="08EA360B">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descr="Imagen en blanco y negr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2149914" name="Imagen 962149914" descr="Imagen en blanco y negro&#10;&#10;Descripción generada automáticamente con confianza media"/>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4D0EEB17" w14:textId="77777777" w:rsidR="00515FB5" w:rsidRDefault="00515FB5" w:rsidP="00515FB5">
    <w:pPr>
      <w:pStyle w:val="Encabezado"/>
    </w:pPr>
  </w:p>
  <w:p w14:paraId="505DA0B4" w14:textId="77777777" w:rsidR="00515FB5" w:rsidRDefault="00515FB5" w:rsidP="00515FB5">
    <w:pPr>
      <w:pStyle w:val="Encabezado"/>
    </w:pPr>
  </w:p>
  <w:p w14:paraId="32EB00F1" w14:textId="77777777" w:rsidR="00515FB5" w:rsidRDefault="00515FB5" w:rsidP="00515FB5">
    <w:pPr>
      <w:pStyle w:val="Encabezado"/>
    </w:pPr>
  </w:p>
  <w:p w14:paraId="7C8FF86F" w14:textId="77777777" w:rsidR="00515FB5" w:rsidRPr="00AB7B56" w:rsidRDefault="00515FB5" w:rsidP="00515FB5">
    <w:pPr>
      <w:pStyle w:val="Encabezado"/>
    </w:pPr>
  </w:p>
  <w:p w14:paraId="3A3AC731" w14:textId="77777777" w:rsidR="00B30448" w:rsidRPr="00515FB5" w:rsidRDefault="00B30448" w:rsidP="00515FB5">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1.25pt;height:11.25pt;visibility:visible;mso-wrap-style:square" o:bullet="t">
        <v:imagedata r:id="rId1" o:title=""/>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51E06B3"/>
    <w:multiLevelType w:val="multilevel"/>
    <w:tmpl w:val="654EE8CE"/>
    <w:lvl w:ilvl="0">
      <w:start w:val="1"/>
      <w:numFmt w:val="decimal"/>
      <w:lvlText w:val="%1."/>
      <w:lvlJc w:val="left"/>
      <w:pPr>
        <w:ind w:left="347" w:hanging="248"/>
        <w:jc w:val="left"/>
      </w:pPr>
      <w:rPr>
        <w:rFonts w:ascii="Arial" w:eastAsia="Arial" w:hAnsi="Arial" w:cs="Arial" w:hint="default"/>
        <w:b/>
        <w:bCs/>
        <w:w w:val="100"/>
        <w:sz w:val="22"/>
        <w:szCs w:val="22"/>
        <w:lang w:val="es-ES" w:eastAsia="en-US" w:bidi="ar-SA"/>
      </w:rPr>
    </w:lvl>
    <w:lvl w:ilvl="1">
      <w:start w:val="1"/>
      <w:numFmt w:val="decimal"/>
      <w:lvlText w:val="%1.%2."/>
      <w:lvlJc w:val="left"/>
      <w:pPr>
        <w:ind w:left="529" w:hanging="430"/>
        <w:jc w:val="left"/>
      </w:pPr>
      <w:rPr>
        <w:rFonts w:ascii="Arial" w:eastAsia="Arial" w:hAnsi="Arial" w:cs="Arial" w:hint="default"/>
        <w:b/>
        <w:bCs/>
        <w:w w:val="100"/>
        <w:sz w:val="22"/>
        <w:szCs w:val="22"/>
        <w:lang w:val="es-ES" w:eastAsia="en-US" w:bidi="ar-SA"/>
      </w:rPr>
    </w:lvl>
    <w:lvl w:ilvl="2">
      <w:numFmt w:val="bullet"/>
      <w:lvlText w:val="•"/>
      <w:lvlJc w:val="left"/>
      <w:pPr>
        <w:ind w:left="1526" w:hanging="430"/>
      </w:pPr>
      <w:rPr>
        <w:rFonts w:hint="default"/>
        <w:lang w:val="es-ES" w:eastAsia="en-US" w:bidi="ar-SA"/>
      </w:rPr>
    </w:lvl>
    <w:lvl w:ilvl="3">
      <w:numFmt w:val="bullet"/>
      <w:lvlText w:val="•"/>
      <w:lvlJc w:val="left"/>
      <w:pPr>
        <w:ind w:left="2533" w:hanging="430"/>
      </w:pPr>
      <w:rPr>
        <w:rFonts w:hint="default"/>
        <w:lang w:val="es-ES" w:eastAsia="en-US" w:bidi="ar-SA"/>
      </w:rPr>
    </w:lvl>
    <w:lvl w:ilvl="4">
      <w:numFmt w:val="bullet"/>
      <w:lvlText w:val="•"/>
      <w:lvlJc w:val="left"/>
      <w:pPr>
        <w:ind w:left="3540" w:hanging="430"/>
      </w:pPr>
      <w:rPr>
        <w:rFonts w:hint="default"/>
        <w:lang w:val="es-ES" w:eastAsia="en-US" w:bidi="ar-SA"/>
      </w:rPr>
    </w:lvl>
    <w:lvl w:ilvl="5">
      <w:numFmt w:val="bullet"/>
      <w:lvlText w:val="•"/>
      <w:lvlJc w:val="left"/>
      <w:pPr>
        <w:ind w:left="4546" w:hanging="430"/>
      </w:pPr>
      <w:rPr>
        <w:rFonts w:hint="default"/>
        <w:lang w:val="es-ES" w:eastAsia="en-US" w:bidi="ar-SA"/>
      </w:rPr>
    </w:lvl>
    <w:lvl w:ilvl="6">
      <w:numFmt w:val="bullet"/>
      <w:lvlText w:val="•"/>
      <w:lvlJc w:val="left"/>
      <w:pPr>
        <w:ind w:left="5553" w:hanging="430"/>
      </w:pPr>
      <w:rPr>
        <w:rFonts w:hint="default"/>
        <w:lang w:val="es-ES" w:eastAsia="en-US" w:bidi="ar-SA"/>
      </w:rPr>
    </w:lvl>
    <w:lvl w:ilvl="7">
      <w:numFmt w:val="bullet"/>
      <w:lvlText w:val="•"/>
      <w:lvlJc w:val="left"/>
      <w:pPr>
        <w:ind w:left="6560" w:hanging="430"/>
      </w:pPr>
      <w:rPr>
        <w:rFonts w:hint="default"/>
        <w:lang w:val="es-ES" w:eastAsia="en-US" w:bidi="ar-SA"/>
      </w:rPr>
    </w:lvl>
    <w:lvl w:ilvl="8">
      <w:numFmt w:val="bullet"/>
      <w:lvlText w:val="•"/>
      <w:lvlJc w:val="left"/>
      <w:pPr>
        <w:ind w:left="7566" w:hanging="430"/>
      </w:pPr>
      <w:rPr>
        <w:rFonts w:hint="default"/>
        <w:lang w:val="es-ES" w:eastAsia="en-US" w:bidi="ar-SA"/>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1691187"/>
    <w:multiLevelType w:val="hybridMultilevel"/>
    <w:tmpl w:val="C5B6807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318E5EF0"/>
    <w:multiLevelType w:val="hybridMultilevel"/>
    <w:tmpl w:val="BAEA2E58"/>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7" w15:restartNumberingAfterBreak="0">
    <w:nsid w:val="444E26BD"/>
    <w:multiLevelType w:val="hybridMultilevel"/>
    <w:tmpl w:val="80769BD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 w15:restartNumberingAfterBreak="0">
    <w:nsid w:val="46CA6EB2"/>
    <w:multiLevelType w:val="multilevel"/>
    <w:tmpl w:val="CFE4E7B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4AA7326E"/>
    <w:multiLevelType w:val="multilevel"/>
    <w:tmpl w:val="5CE2D418"/>
    <w:lvl w:ilvl="0">
      <w:start w:val="1"/>
      <w:numFmt w:val="decimal"/>
      <w:lvlText w:val="%1."/>
      <w:lvlJc w:val="left"/>
      <w:pPr>
        <w:ind w:left="480" w:hanging="360"/>
      </w:pPr>
      <w:rPr>
        <w:rFonts w:ascii="Arial" w:eastAsia="Arial" w:hAnsi="Arial" w:cs="Arial" w:hint="default"/>
        <w:b/>
        <w:bCs/>
        <w:color w:val="4E4D4D"/>
        <w:spacing w:val="-8"/>
        <w:w w:val="100"/>
        <w:sz w:val="22"/>
        <w:szCs w:val="22"/>
        <w:lang w:val="es-ES" w:eastAsia="en-US" w:bidi="ar-SA"/>
      </w:rPr>
    </w:lvl>
    <w:lvl w:ilvl="1">
      <w:start w:val="1"/>
      <w:numFmt w:val="decimal"/>
      <w:lvlText w:val="%1.%2"/>
      <w:lvlJc w:val="left"/>
      <w:pPr>
        <w:ind w:left="688" w:hanging="578"/>
      </w:pPr>
      <w:rPr>
        <w:rFonts w:ascii="Arial" w:eastAsia="Arial" w:hAnsi="Arial" w:cs="Arial" w:hint="default"/>
        <w:b/>
        <w:bCs/>
        <w:color w:val="4E4D4D"/>
        <w:spacing w:val="-3"/>
        <w:w w:val="100"/>
        <w:sz w:val="22"/>
        <w:szCs w:val="22"/>
        <w:lang w:val="es-ES" w:eastAsia="en-US" w:bidi="ar-SA"/>
      </w:rPr>
    </w:lvl>
    <w:lvl w:ilvl="2">
      <w:start w:val="1"/>
      <w:numFmt w:val="lowerLetter"/>
      <w:lvlText w:val="%3)"/>
      <w:lvlJc w:val="left"/>
      <w:pPr>
        <w:ind w:left="800" w:hanging="325"/>
      </w:pPr>
      <w:rPr>
        <w:rFonts w:ascii="Arial" w:eastAsia="Arial" w:hAnsi="Arial" w:cs="Arial" w:hint="default"/>
        <w:color w:val="000000" w:themeColor="text1"/>
        <w:spacing w:val="-3"/>
        <w:w w:val="100"/>
        <w:sz w:val="22"/>
        <w:szCs w:val="22"/>
        <w:lang w:val="es-ES" w:eastAsia="en-US" w:bidi="ar-SA"/>
      </w:rPr>
    </w:lvl>
    <w:lvl w:ilvl="3">
      <w:numFmt w:val="bullet"/>
      <w:lvlText w:val="•"/>
      <w:lvlJc w:val="left"/>
      <w:pPr>
        <w:ind w:left="1845" w:hanging="325"/>
      </w:pPr>
      <w:rPr>
        <w:rFonts w:hint="default"/>
        <w:lang w:val="es-ES" w:eastAsia="en-US" w:bidi="ar-SA"/>
      </w:rPr>
    </w:lvl>
    <w:lvl w:ilvl="4">
      <w:numFmt w:val="bullet"/>
      <w:lvlText w:val="•"/>
      <w:lvlJc w:val="left"/>
      <w:pPr>
        <w:ind w:left="2890" w:hanging="325"/>
      </w:pPr>
      <w:rPr>
        <w:rFonts w:hint="default"/>
        <w:lang w:val="es-ES" w:eastAsia="en-US" w:bidi="ar-SA"/>
      </w:rPr>
    </w:lvl>
    <w:lvl w:ilvl="5">
      <w:numFmt w:val="bullet"/>
      <w:lvlText w:val="•"/>
      <w:lvlJc w:val="left"/>
      <w:pPr>
        <w:ind w:left="3935" w:hanging="325"/>
      </w:pPr>
      <w:rPr>
        <w:rFonts w:hint="default"/>
        <w:lang w:val="es-ES" w:eastAsia="en-US" w:bidi="ar-SA"/>
      </w:rPr>
    </w:lvl>
    <w:lvl w:ilvl="6">
      <w:numFmt w:val="bullet"/>
      <w:lvlText w:val="•"/>
      <w:lvlJc w:val="left"/>
      <w:pPr>
        <w:ind w:left="4980" w:hanging="325"/>
      </w:pPr>
      <w:rPr>
        <w:rFonts w:hint="default"/>
        <w:lang w:val="es-ES" w:eastAsia="en-US" w:bidi="ar-SA"/>
      </w:rPr>
    </w:lvl>
    <w:lvl w:ilvl="7">
      <w:numFmt w:val="bullet"/>
      <w:lvlText w:val="•"/>
      <w:lvlJc w:val="left"/>
      <w:pPr>
        <w:ind w:left="6025" w:hanging="325"/>
      </w:pPr>
      <w:rPr>
        <w:rFonts w:hint="default"/>
        <w:lang w:val="es-ES" w:eastAsia="en-US" w:bidi="ar-SA"/>
      </w:rPr>
    </w:lvl>
    <w:lvl w:ilvl="8">
      <w:numFmt w:val="bullet"/>
      <w:lvlText w:val="•"/>
      <w:lvlJc w:val="left"/>
      <w:pPr>
        <w:ind w:left="7070" w:hanging="325"/>
      </w:pPr>
      <w:rPr>
        <w:rFonts w:hint="default"/>
        <w:lang w:val="es-ES" w:eastAsia="en-US" w:bidi="ar-SA"/>
      </w:rPr>
    </w:lvl>
  </w:abstractNum>
  <w:abstractNum w:abstractNumId="10"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290670214">
    <w:abstractNumId w:val="5"/>
  </w:num>
  <w:num w:numId="2" w16cid:durableId="4285022">
    <w:abstractNumId w:val="2"/>
  </w:num>
  <w:num w:numId="3" w16cid:durableId="881983949">
    <w:abstractNumId w:val="3"/>
  </w:num>
  <w:num w:numId="4" w16cid:durableId="341274352">
    <w:abstractNumId w:val="0"/>
  </w:num>
  <w:num w:numId="5" w16cid:durableId="1887524674">
    <w:abstractNumId w:val="9"/>
  </w:num>
  <w:num w:numId="6" w16cid:durableId="1082990391">
    <w:abstractNumId w:val="1"/>
  </w:num>
  <w:num w:numId="7" w16cid:durableId="1492209491">
    <w:abstractNumId w:val="4"/>
  </w:num>
  <w:num w:numId="8" w16cid:durableId="679089576">
    <w:abstractNumId w:val="6"/>
  </w:num>
  <w:num w:numId="9" w16cid:durableId="1537349494">
    <w:abstractNumId w:val="7"/>
  </w:num>
  <w:num w:numId="10" w16cid:durableId="128136433">
    <w:abstractNumId w:val="11"/>
  </w:num>
  <w:num w:numId="11" w16cid:durableId="13189997">
    <w:abstractNumId w:val="10"/>
  </w:num>
  <w:num w:numId="12" w16cid:durableId="32324137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307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3A01"/>
    <w:rsid w:val="000016F3"/>
    <w:rsid w:val="000037AE"/>
    <w:rsid w:val="00005BB0"/>
    <w:rsid w:val="0001025F"/>
    <w:rsid w:val="0001222D"/>
    <w:rsid w:val="000135EB"/>
    <w:rsid w:val="00015D2B"/>
    <w:rsid w:val="00023EA6"/>
    <w:rsid w:val="00031584"/>
    <w:rsid w:val="00032A0E"/>
    <w:rsid w:val="00037347"/>
    <w:rsid w:val="000442CC"/>
    <w:rsid w:val="00053EE3"/>
    <w:rsid w:val="000556D4"/>
    <w:rsid w:val="000716AB"/>
    <w:rsid w:val="00082E4C"/>
    <w:rsid w:val="000849D5"/>
    <w:rsid w:val="0008528F"/>
    <w:rsid w:val="000A6E0C"/>
    <w:rsid w:val="000A7A56"/>
    <w:rsid w:val="000B1FF7"/>
    <w:rsid w:val="000B2513"/>
    <w:rsid w:val="000B4024"/>
    <w:rsid w:val="000C3C51"/>
    <w:rsid w:val="000C7262"/>
    <w:rsid w:val="000D2A7F"/>
    <w:rsid w:val="000D4FCE"/>
    <w:rsid w:val="000F4B42"/>
    <w:rsid w:val="000F549B"/>
    <w:rsid w:val="0011037E"/>
    <w:rsid w:val="00121FBF"/>
    <w:rsid w:val="001363C7"/>
    <w:rsid w:val="00140E86"/>
    <w:rsid w:val="00141AC5"/>
    <w:rsid w:val="00146B11"/>
    <w:rsid w:val="00147A04"/>
    <w:rsid w:val="0015476D"/>
    <w:rsid w:val="00161E13"/>
    <w:rsid w:val="00164AE0"/>
    <w:rsid w:val="00165E83"/>
    <w:rsid w:val="00166CD7"/>
    <w:rsid w:val="0017120C"/>
    <w:rsid w:val="00172F3A"/>
    <w:rsid w:val="0019532A"/>
    <w:rsid w:val="0019670E"/>
    <w:rsid w:val="00197205"/>
    <w:rsid w:val="001A5DD4"/>
    <w:rsid w:val="001A67E9"/>
    <w:rsid w:val="001B143B"/>
    <w:rsid w:val="001B21CA"/>
    <w:rsid w:val="001C04FC"/>
    <w:rsid w:val="001C25A3"/>
    <w:rsid w:val="001C5D03"/>
    <w:rsid w:val="001C7771"/>
    <w:rsid w:val="001D62FF"/>
    <w:rsid w:val="001F1261"/>
    <w:rsid w:val="001F3F48"/>
    <w:rsid w:val="002000AA"/>
    <w:rsid w:val="00204109"/>
    <w:rsid w:val="00211E6E"/>
    <w:rsid w:val="00212A46"/>
    <w:rsid w:val="0021401D"/>
    <w:rsid w:val="002146B8"/>
    <w:rsid w:val="00215516"/>
    <w:rsid w:val="002527C2"/>
    <w:rsid w:val="00270443"/>
    <w:rsid w:val="00270EE2"/>
    <w:rsid w:val="00272972"/>
    <w:rsid w:val="00286491"/>
    <w:rsid w:val="002A0F8D"/>
    <w:rsid w:val="002A2635"/>
    <w:rsid w:val="002A28EB"/>
    <w:rsid w:val="002B6E44"/>
    <w:rsid w:val="002B74B1"/>
    <w:rsid w:val="002E1DB5"/>
    <w:rsid w:val="002F6CCB"/>
    <w:rsid w:val="0030461E"/>
    <w:rsid w:val="003107A1"/>
    <w:rsid w:val="0032756A"/>
    <w:rsid w:val="00334EF8"/>
    <w:rsid w:val="00336408"/>
    <w:rsid w:val="00340DFB"/>
    <w:rsid w:val="0034404F"/>
    <w:rsid w:val="00356980"/>
    <w:rsid w:val="00367462"/>
    <w:rsid w:val="00371ECA"/>
    <w:rsid w:val="00372748"/>
    <w:rsid w:val="0037332A"/>
    <w:rsid w:val="0038151A"/>
    <w:rsid w:val="0039082A"/>
    <w:rsid w:val="00390C21"/>
    <w:rsid w:val="003A37BD"/>
    <w:rsid w:val="003B2541"/>
    <w:rsid w:val="003B6D94"/>
    <w:rsid w:val="003C4C96"/>
    <w:rsid w:val="003C55E0"/>
    <w:rsid w:val="003F519B"/>
    <w:rsid w:val="0040544F"/>
    <w:rsid w:val="00406A19"/>
    <w:rsid w:val="0041222D"/>
    <w:rsid w:val="0041483E"/>
    <w:rsid w:val="00415369"/>
    <w:rsid w:val="00430492"/>
    <w:rsid w:val="0044605D"/>
    <w:rsid w:val="00450BE7"/>
    <w:rsid w:val="00451410"/>
    <w:rsid w:val="0046741E"/>
    <w:rsid w:val="00472CC6"/>
    <w:rsid w:val="00475A36"/>
    <w:rsid w:val="0048026E"/>
    <w:rsid w:val="004807A9"/>
    <w:rsid w:val="004813EE"/>
    <w:rsid w:val="00493278"/>
    <w:rsid w:val="004943D9"/>
    <w:rsid w:val="004A0E7B"/>
    <w:rsid w:val="004A3498"/>
    <w:rsid w:val="004B0C45"/>
    <w:rsid w:val="004C0AB2"/>
    <w:rsid w:val="004C1619"/>
    <w:rsid w:val="004C1A26"/>
    <w:rsid w:val="004C1CC9"/>
    <w:rsid w:val="004C3755"/>
    <w:rsid w:val="004C4485"/>
    <w:rsid w:val="004D11AF"/>
    <w:rsid w:val="00500DFA"/>
    <w:rsid w:val="005019AA"/>
    <w:rsid w:val="005021BB"/>
    <w:rsid w:val="005139E7"/>
    <w:rsid w:val="005147DA"/>
    <w:rsid w:val="00515FB5"/>
    <w:rsid w:val="0052365C"/>
    <w:rsid w:val="005271EB"/>
    <w:rsid w:val="005426DB"/>
    <w:rsid w:val="0055082B"/>
    <w:rsid w:val="00552503"/>
    <w:rsid w:val="00552B57"/>
    <w:rsid w:val="00557DA1"/>
    <w:rsid w:val="0056322C"/>
    <w:rsid w:val="0058743A"/>
    <w:rsid w:val="005A4DB0"/>
    <w:rsid w:val="005A7B8E"/>
    <w:rsid w:val="005B012B"/>
    <w:rsid w:val="005B0C87"/>
    <w:rsid w:val="005D23F6"/>
    <w:rsid w:val="005D2FA8"/>
    <w:rsid w:val="005E2281"/>
    <w:rsid w:val="005E667C"/>
    <w:rsid w:val="005F077C"/>
    <w:rsid w:val="005F63D0"/>
    <w:rsid w:val="005F7973"/>
    <w:rsid w:val="0061690E"/>
    <w:rsid w:val="00627361"/>
    <w:rsid w:val="0063017E"/>
    <w:rsid w:val="00631B28"/>
    <w:rsid w:val="006402E7"/>
    <w:rsid w:val="00645B90"/>
    <w:rsid w:val="00650991"/>
    <w:rsid w:val="006511D7"/>
    <w:rsid w:val="00663D75"/>
    <w:rsid w:val="00670AEF"/>
    <w:rsid w:val="00675678"/>
    <w:rsid w:val="00677012"/>
    <w:rsid w:val="006825B4"/>
    <w:rsid w:val="00682AF2"/>
    <w:rsid w:val="006864DF"/>
    <w:rsid w:val="006A3C8A"/>
    <w:rsid w:val="006A7552"/>
    <w:rsid w:val="006B5953"/>
    <w:rsid w:val="006B7A81"/>
    <w:rsid w:val="006C4BAC"/>
    <w:rsid w:val="006C52F3"/>
    <w:rsid w:val="006E7F37"/>
    <w:rsid w:val="006F3B81"/>
    <w:rsid w:val="006F4F79"/>
    <w:rsid w:val="00705B37"/>
    <w:rsid w:val="00711FD9"/>
    <w:rsid w:val="00735062"/>
    <w:rsid w:val="00746BA5"/>
    <w:rsid w:val="00751D23"/>
    <w:rsid w:val="00761724"/>
    <w:rsid w:val="0076408C"/>
    <w:rsid w:val="00770577"/>
    <w:rsid w:val="00777666"/>
    <w:rsid w:val="0078159B"/>
    <w:rsid w:val="00782E10"/>
    <w:rsid w:val="0078706B"/>
    <w:rsid w:val="00790836"/>
    <w:rsid w:val="00797131"/>
    <w:rsid w:val="007A3C1D"/>
    <w:rsid w:val="007B285D"/>
    <w:rsid w:val="007C3A01"/>
    <w:rsid w:val="007C6BC6"/>
    <w:rsid w:val="00801DCA"/>
    <w:rsid w:val="00807D79"/>
    <w:rsid w:val="00813634"/>
    <w:rsid w:val="00822821"/>
    <w:rsid w:val="00831C29"/>
    <w:rsid w:val="008431EF"/>
    <w:rsid w:val="008468E0"/>
    <w:rsid w:val="008526E9"/>
    <w:rsid w:val="00863B82"/>
    <w:rsid w:val="00871B59"/>
    <w:rsid w:val="00877D03"/>
    <w:rsid w:val="00877E96"/>
    <w:rsid w:val="008806CA"/>
    <w:rsid w:val="008815E5"/>
    <w:rsid w:val="00887B37"/>
    <w:rsid w:val="008909B9"/>
    <w:rsid w:val="00891DFC"/>
    <w:rsid w:val="008B12B4"/>
    <w:rsid w:val="008B7914"/>
    <w:rsid w:val="008C1088"/>
    <w:rsid w:val="008C5D2A"/>
    <w:rsid w:val="008C7AF4"/>
    <w:rsid w:val="008D529F"/>
    <w:rsid w:val="008F5CC8"/>
    <w:rsid w:val="009061B8"/>
    <w:rsid w:val="0091008B"/>
    <w:rsid w:val="00911EA2"/>
    <w:rsid w:val="00916C7D"/>
    <w:rsid w:val="0092575D"/>
    <w:rsid w:val="009341DA"/>
    <w:rsid w:val="009430F9"/>
    <w:rsid w:val="009442E8"/>
    <w:rsid w:val="00946BD0"/>
    <w:rsid w:val="0095426C"/>
    <w:rsid w:val="00970087"/>
    <w:rsid w:val="00971074"/>
    <w:rsid w:val="009739D5"/>
    <w:rsid w:val="00983695"/>
    <w:rsid w:val="00995D86"/>
    <w:rsid w:val="009A5453"/>
    <w:rsid w:val="009B4D94"/>
    <w:rsid w:val="009C2871"/>
    <w:rsid w:val="009D3C33"/>
    <w:rsid w:val="009D7F3A"/>
    <w:rsid w:val="009E295D"/>
    <w:rsid w:val="009E4885"/>
    <w:rsid w:val="00A07DB6"/>
    <w:rsid w:val="00A10A73"/>
    <w:rsid w:val="00A170B3"/>
    <w:rsid w:val="00A223D5"/>
    <w:rsid w:val="00A37D1C"/>
    <w:rsid w:val="00A5453E"/>
    <w:rsid w:val="00A56F6C"/>
    <w:rsid w:val="00A76C8C"/>
    <w:rsid w:val="00A85F30"/>
    <w:rsid w:val="00A9099E"/>
    <w:rsid w:val="00A91FB7"/>
    <w:rsid w:val="00A9298F"/>
    <w:rsid w:val="00AA0351"/>
    <w:rsid w:val="00AA5F4A"/>
    <w:rsid w:val="00AA705F"/>
    <w:rsid w:val="00AB1984"/>
    <w:rsid w:val="00AB52B1"/>
    <w:rsid w:val="00AC4CB3"/>
    <w:rsid w:val="00AC780D"/>
    <w:rsid w:val="00AD036B"/>
    <w:rsid w:val="00AD1996"/>
    <w:rsid w:val="00AD4099"/>
    <w:rsid w:val="00AD4901"/>
    <w:rsid w:val="00B02FE0"/>
    <w:rsid w:val="00B034B0"/>
    <w:rsid w:val="00B057B6"/>
    <w:rsid w:val="00B2575B"/>
    <w:rsid w:val="00B30448"/>
    <w:rsid w:val="00B34786"/>
    <w:rsid w:val="00B400EC"/>
    <w:rsid w:val="00B40162"/>
    <w:rsid w:val="00B41ACE"/>
    <w:rsid w:val="00B50156"/>
    <w:rsid w:val="00B518AD"/>
    <w:rsid w:val="00B60A96"/>
    <w:rsid w:val="00B678EC"/>
    <w:rsid w:val="00B76C94"/>
    <w:rsid w:val="00B772D0"/>
    <w:rsid w:val="00B836EA"/>
    <w:rsid w:val="00B84C05"/>
    <w:rsid w:val="00B91B81"/>
    <w:rsid w:val="00B97135"/>
    <w:rsid w:val="00BB3072"/>
    <w:rsid w:val="00BC7632"/>
    <w:rsid w:val="00BD48A9"/>
    <w:rsid w:val="00BD630F"/>
    <w:rsid w:val="00BD7EC6"/>
    <w:rsid w:val="00BE73FA"/>
    <w:rsid w:val="00BF6B4B"/>
    <w:rsid w:val="00C0174E"/>
    <w:rsid w:val="00C0511C"/>
    <w:rsid w:val="00C20ACF"/>
    <w:rsid w:val="00C22307"/>
    <w:rsid w:val="00C23469"/>
    <w:rsid w:val="00C30C62"/>
    <w:rsid w:val="00C371DF"/>
    <w:rsid w:val="00C42055"/>
    <w:rsid w:val="00C44B4C"/>
    <w:rsid w:val="00C46734"/>
    <w:rsid w:val="00C47A86"/>
    <w:rsid w:val="00C53220"/>
    <w:rsid w:val="00C61EA0"/>
    <w:rsid w:val="00C71B27"/>
    <w:rsid w:val="00C8039B"/>
    <w:rsid w:val="00C87571"/>
    <w:rsid w:val="00CA3347"/>
    <w:rsid w:val="00CC299A"/>
    <w:rsid w:val="00CD03E3"/>
    <w:rsid w:val="00CE6BDA"/>
    <w:rsid w:val="00D03DBE"/>
    <w:rsid w:val="00D072C0"/>
    <w:rsid w:val="00D16080"/>
    <w:rsid w:val="00D34C82"/>
    <w:rsid w:val="00D3757A"/>
    <w:rsid w:val="00D504A9"/>
    <w:rsid w:val="00D5206D"/>
    <w:rsid w:val="00D7177D"/>
    <w:rsid w:val="00D81311"/>
    <w:rsid w:val="00DB201E"/>
    <w:rsid w:val="00DC0E68"/>
    <w:rsid w:val="00DD25ED"/>
    <w:rsid w:val="00DE0D6E"/>
    <w:rsid w:val="00DE3C60"/>
    <w:rsid w:val="00E1610C"/>
    <w:rsid w:val="00E16D73"/>
    <w:rsid w:val="00E23E9E"/>
    <w:rsid w:val="00E25722"/>
    <w:rsid w:val="00E27F0A"/>
    <w:rsid w:val="00E341EF"/>
    <w:rsid w:val="00E4231E"/>
    <w:rsid w:val="00E4302C"/>
    <w:rsid w:val="00E44AC7"/>
    <w:rsid w:val="00E45F4B"/>
    <w:rsid w:val="00E60A16"/>
    <w:rsid w:val="00E72D20"/>
    <w:rsid w:val="00E82B6E"/>
    <w:rsid w:val="00E94258"/>
    <w:rsid w:val="00E96C18"/>
    <w:rsid w:val="00EA19BB"/>
    <w:rsid w:val="00EA2E61"/>
    <w:rsid w:val="00EA7D7F"/>
    <w:rsid w:val="00EB02F4"/>
    <w:rsid w:val="00EB28D5"/>
    <w:rsid w:val="00EB2FA2"/>
    <w:rsid w:val="00EB769A"/>
    <w:rsid w:val="00EC3A35"/>
    <w:rsid w:val="00EC6232"/>
    <w:rsid w:val="00EE17F2"/>
    <w:rsid w:val="00EE3138"/>
    <w:rsid w:val="00EF2AC7"/>
    <w:rsid w:val="00EF400A"/>
    <w:rsid w:val="00EF6BE4"/>
    <w:rsid w:val="00EF6E5D"/>
    <w:rsid w:val="00F07764"/>
    <w:rsid w:val="00F12517"/>
    <w:rsid w:val="00F131DD"/>
    <w:rsid w:val="00F16BA1"/>
    <w:rsid w:val="00F24435"/>
    <w:rsid w:val="00F30C0F"/>
    <w:rsid w:val="00F314E8"/>
    <w:rsid w:val="00F323A2"/>
    <w:rsid w:val="00F33B57"/>
    <w:rsid w:val="00F33D5C"/>
    <w:rsid w:val="00F34E90"/>
    <w:rsid w:val="00F356D6"/>
    <w:rsid w:val="00F52677"/>
    <w:rsid w:val="00F53BE2"/>
    <w:rsid w:val="00F55684"/>
    <w:rsid w:val="00F64D5A"/>
    <w:rsid w:val="00F709CD"/>
    <w:rsid w:val="00F906F4"/>
    <w:rsid w:val="00FA0716"/>
    <w:rsid w:val="00FB4629"/>
    <w:rsid w:val="00FB6FB1"/>
    <w:rsid w:val="00FB7063"/>
    <w:rsid w:val="00FC7056"/>
    <w:rsid w:val="00FE1A00"/>
    <w:rsid w:val="024D7E2C"/>
    <w:rsid w:val="0D2EB883"/>
    <w:rsid w:val="0D8163B6"/>
    <w:rsid w:val="13A69650"/>
    <w:rsid w:val="18C10F1C"/>
    <w:rsid w:val="1BB32F19"/>
    <w:rsid w:val="1F2C3AF5"/>
    <w:rsid w:val="1F9252E4"/>
    <w:rsid w:val="1FF4886A"/>
    <w:rsid w:val="22D2584A"/>
    <w:rsid w:val="28751A95"/>
    <w:rsid w:val="29FA8189"/>
    <w:rsid w:val="2C00A012"/>
    <w:rsid w:val="2F421DDF"/>
    <w:rsid w:val="389994B3"/>
    <w:rsid w:val="3B30A011"/>
    <w:rsid w:val="3B93C128"/>
    <w:rsid w:val="3CFBE104"/>
    <w:rsid w:val="510454D8"/>
    <w:rsid w:val="521E120A"/>
    <w:rsid w:val="5D8505AD"/>
    <w:rsid w:val="6CAEFF2C"/>
    <w:rsid w:val="71443FBB"/>
    <w:rsid w:val="72EE784C"/>
    <w:rsid w:val="7563E76A"/>
    <w:rsid w:val="79A6159C"/>
    <w:rsid w:val="7B5CC0D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3073"/>
    <o:shapelayout v:ext="edit">
      <o:idmap v:ext="edit" data="2"/>
    </o:shapelayout>
  </w:shapeDefaults>
  <w:decimalSymbol w:val=","/>
  <w:listSeparator w:val=";"/>
  <w14:docId w14:val="0A46F906"/>
  <w15:docId w15:val="{9AA41753-0DF9-D341-B987-86FA18BE6C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5722"/>
  </w:style>
  <w:style w:type="paragraph" w:styleId="Ttulo1">
    <w:name w:val="heading 1"/>
    <w:basedOn w:val="Normal"/>
    <w:link w:val="Ttulo1Car"/>
    <w:uiPriority w:val="1"/>
    <w:qFormat/>
    <w:rsid w:val="00B34786"/>
    <w:pPr>
      <w:widowControl w:val="0"/>
      <w:autoSpaceDE w:val="0"/>
      <w:autoSpaceDN w:val="0"/>
      <w:spacing w:before="1" w:after="0" w:line="240" w:lineRule="auto"/>
      <w:ind w:left="1181" w:hanging="360"/>
      <w:outlineLvl w:val="0"/>
    </w:pPr>
    <w:rPr>
      <w:rFonts w:ascii="Arial" w:eastAsia="Arial" w:hAnsi="Arial" w:cs="Arial"/>
      <w:b/>
      <w:bCs/>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B3044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B30448"/>
    <w:pPr>
      <w:spacing w:after="0" w:line="240" w:lineRule="auto"/>
    </w:pPr>
    <w:rPr>
      <w:sz w:val="20"/>
      <w:szCs w:val="20"/>
      <w:lang w:val="es-MX"/>
    </w:rPr>
  </w:style>
  <w:style w:type="character" w:customStyle="1" w:styleId="TextonotapieCar1">
    <w:name w:val="Texto nota pie Car1"/>
    <w:basedOn w:val="Fuentedeprrafopredeter"/>
    <w:uiPriority w:val="99"/>
    <w:semiHidden/>
    <w:rsid w:val="00B3044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B30448"/>
    <w:rPr>
      <w:vertAlign w:val="superscript"/>
    </w:rPr>
  </w:style>
  <w:style w:type="paragraph" w:customStyle="1" w:styleId="Appelnotedebasde">
    <w:name w:val="Appel note de bas de..."/>
    <w:basedOn w:val="Normal"/>
    <w:link w:val="Refdenotaalpie"/>
    <w:uiPriority w:val="99"/>
    <w:rsid w:val="00B30448"/>
    <w:pPr>
      <w:spacing w:line="240" w:lineRule="exact"/>
    </w:pPr>
    <w:rPr>
      <w:vertAlign w:val="superscript"/>
    </w:rPr>
  </w:style>
  <w:style w:type="paragraph" w:styleId="Encabezado">
    <w:name w:val="header"/>
    <w:basedOn w:val="Normal"/>
    <w:link w:val="EncabezadoCar"/>
    <w:uiPriority w:val="99"/>
    <w:unhideWhenUsed/>
    <w:rsid w:val="00B3044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B30448"/>
  </w:style>
  <w:style w:type="paragraph" w:styleId="Piedepgina">
    <w:name w:val="footer"/>
    <w:basedOn w:val="Normal"/>
    <w:link w:val="PiedepginaCar"/>
    <w:uiPriority w:val="99"/>
    <w:unhideWhenUsed/>
    <w:rsid w:val="00B3044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B30448"/>
  </w:style>
  <w:style w:type="table" w:styleId="Tablaconcuadrcula">
    <w:name w:val="Table Grid"/>
    <w:basedOn w:val="Tablanormal"/>
    <w:uiPriority w:val="39"/>
    <w:qFormat/>
    <w:rsid w:val="00B3044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C22307"/>
    <w:rPr>
      <w:color w:val="0563C1" w:themeColor="hyperlink"/>
      <w:u w:val="single"/>
    </w:rPr>
  </w:style>
  <w:style w:type="character" w:styleId="Mencinsinresolver">
    <w:name w:val="Unresolved Mention"/>
    <w:basedOn w:val="Fuentedeprrafopredeter"/>
    <w:uiPriority w:val="99"/>
    <w:semiHidden/>
    <w:unhideWhenUsed/>
    <w:rsid w:val="00C22307"/>
    <w:rPr>
      <w:color w:val="605E5C"/>
      <w:shd w:val="clear" w:color="auto" w:fill="E1DFDD"/>
    </w:rPr>
  </w:style>
  <w:style w:type="character" w:styleId="Hipervnculovisitado">
    <w:name w:val="FollowedHyperlink"/>
    <w:basedOn w:val="Fuentedeprrafopredeter"/>
    <w:uiPriority w:val="99"/>
    <w:semiHidden/>
    <w:unhideWhenUsed/>
    <w:rsid w:val="00C22307"/>
    <w:rPr>
      <w:color w:val="954F72" w:themeColor="followedHyperlink"/>
      <w:u w:val="single"/>
    </w:rPr>
  </w:style>
  <w:style w:type="character" w:styleId="Refdecomentario">
    <w:name w:val="annotation reference"/>
    <w:basedOn w:val="Fuentedeprrafopredeter"/>
    <w:uiPriority w:val="99"/>
    <w:semiHidden/>
    <w:unhideWhenUsed/>
    <w:rsid w:val="00A37D1C"/>
    <w:rPr>
      <w:sz w:val="16"/>
      <w:szCs w:val="16"/>
    </w:rPr>
  </w:style>
  <w:style w:type="paragraph" w:styleId="Textocomentario">
    <w:name w:val="annotation text"/>
    <w:basedOn w:val="Normal"/>
    <w:link w:val="TextocomentarioCar"/>
    <w:uiPriority w:val="99"/>
    <w:unhideWhenUsed/>
    <w:rsid w:val="00A37D1C"/>
    <w:pPr>
      <w:spacing w:line="240" w:lineRule="auto"/>
    </w:pPr>
    <w:rPr>
      <w:sz w:val="20"/>
      <w:szCs w:val="20"/>
    </w:rPr>
  </w:style>
  <w:style w:type="character" w:customStyle="1" w:styleId="TextocomentarioCar">
    <w:name w:val="Texto comentario Car"/>
    <w:basedOn w:val="Fuentedeprrafopredeter"/>
    <w:link w:val="Textocomentario"/>
    <w:uiPriority w:val="99"/>
    <w:rsid w:val="00A37D1C"/>
    <w:rPr>
      <w:sz w:val="20"/>
      <w:szCs w:val="20"/>
    </w:rPr>
  </w:style>
  <w:style w:type="paragraph" w:styleId="Asuntodelcomentario">
    <w:name w:val="annotation subject"/>
    <w:basedOn w:val="Textocomentario"/>
    <w:next w:val="Textocomentario"/>
    <w:link w:val="AsuntodelcomentarioCar"/>
    <w:uiPriority w:val="99"/>
    <w:semiHidden/>
    <w:unhideWhenUsed/>
    <w:rsid w:val="00A37D1C"/>
    <w:rPr>
      <w:b/>
      <w:bCs/>
    </w:rPr>
  </w:style>
  <w:style w:type="character" w:customStyle="1" w:styleId="AsuntodelcomentarioCar">
    <w:name w:val="Asunto del comentario Car"/>
    <w:basedOn w:val="TextocomentarioCar"/>
    <w:link w:val="Asuntodelcomentario"/>
    <w:uiPriority w:val="99"/>
    <w:semiHidden/>
    <w:rsid w:val="00A37D1C"/>
    <w:rPr>
      <w:b/>
      <w:bCs/>
      <w:sz w:val="20"/>
      <w:szCs w:val="20"/>
    </w:rPr>
  </w:style>
  <w:style w:type="paragraph" w:customStyle="1" w:styleId="Normal11pt">
    <w:name w:val="Normal + 11 pt"/>
    <w:aliases w:val="Negro,Justificado,Izquierda:  -0,95 cm,Derecha:  0,04 cm"/>
    <w:basedOn w:val="Normal"/>
    <w:uiPriority w:val="99"/>
    <w:rsid w:val="00B76C94"/>
    <w:pPr>
      <w:spacing w:after="0" w:line="240" w:lineRule="auto"/>
      <w:ind w:left="-540"/>
      <w:jc w:val="both"/>
    </w:pPr>
    <w:rPr>
      <w:rFonts w:ascii="Arial" w:eastAsia="Times New Roman" w:hAnsi="Arial" w:cs="Arial"/>
      <w:color w:val="000000"/>
      <w:lang w:val="es-ES_tradnl" w:eastAsia="es-ES"/>
    </w:rPr>
  </w:style>
  <w:style w:type="paragraph" w:styleId="Revisin">
    <w:name w:val="Revision"/>
    <w:hidden/>
    <w:uiPriority w:val="99"/>
    <w:semiHidden/>
    <w:rsid w:val="00F64D5A"/>
    <w:pPr>
      <w:spacing w:after="0" w:line="240" w:lineRule="auto"/>
    </w:pPr>
  </w:style>
  <w:style w:type="character" w:customStyle="1" w:styleId="cf01">
    <w:name w:val="cf01"/>
    <w:basedOn w:val="Fuentedeprrafopredeter"/>
    <w:rsid w:val="005019AA"/>
    <w:rPr>
      <w:rFonts w:ascii="Segoe UI" w:hAnsi="Segoe UI" w:cs="Segoe UI" w:hint="default"/>
      <w:i/>
      <w:iCs/>
      <w:sz w:val="18"/>
      <w:szCs w:val="18"/>
    </w:rPr>
  </w:style>
  <w:style w:type="character" w:customStyle="1" w:styleId="normaltextrun">
    <w:name w:val="normaltextrun"/>
    <w:basedOn w:val="Fuentedeprrafopredeter"/>
    <w:rsid w:val="5D8505AD"/>
  </w:style>
  <w:style w:type="character" w:customStyle="1" w:styleId="eop">
    <w:name w:val="eop"/>
    <w:basedOn w:val="Fuentedeprrafopredeter"/>
    <w:rsid w:val="5D8505AD"/>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34"/>
    <w:qFormat/>
    <w:rsid w:val="00082E4C"/>
    <w:pPr>
      <w:ind w:left="720"/>
      <w:contextualSpacing/>
    </w:pPr>
  </w:style>
  <w:style w:type="character" w:customStyle="1" w:styleId="Hipervnculo1">
    <w:name w:val="Hipervínculo1"/>
    <w:basedOn w:val="Fuentedeprrafopredeter"/>
    <w:uiPriority w:val="99"/>
    <w:unhideWhenUsed/>
    <w:rsid w:val="000C3C51"/>
    <w:rPr>
      <w:color w:val="F2F2F2"/>
      <w:u w:val="single"/>
    </w:rPr>
  </w:style>
  <w:style w:type="paragraph" w:styleId="NormalWeb">
    <w:name w:val="Normal (Web)"/>
    <w:basedOn w:val="Normal"/>
    <w:uiPriority w:val="99"/>
    <w:unhideWhenUsed/>
    <w:rsid w:val="000C3C51"/>
    <w:rPr>
      <w:rFonts w:ascii="Times New Roman" w:hAnsi="Times New Roman" w:cs="Times New Roman"/>
      <w:sz w:val="24"/>
      <w:szCs w:val="24"/>
    </w:rPr>
  </w:style>
  <w:style w:type="character" w:styleId="Textoennegrita">
    <w:name w:val="Strong"/>
    <w:basedOn w:val="Fuentedeprrafopredeter"/>
    <w:uiPriority w:val="22"/>
    <w:qFormat/>
    <w:rsid w:val="000C3C51"/>
    <w:rPr>
      <w:b/>
      <w:bCs/>
    </w:rPr>
  </w:style>
  <w:style w:type="character" w:styleId="nfasis">
    <w:name w:val="Emphasis"/>
    <w:basedOn w:val="Fuentedeprrafopredeter"/>
    <w:uiPriority w:val="20"/>
    <w:qFormat/>
    <w:rsid w:val="000C3C51"/>
    <w:rPr>
      <w:i/>
      <w:iCs/>
    </w:rPr>
  </w:style>
  <w:style w:type="paragraph" w:styleId="Textoindependiente">
    <w:name w:val="Body Text"/>
    <w:basedOn w:val="Normal"/>
    <w:link w:val="TextoindependienteCar"/>
    <w:uiPriority w:val="1"/>
    <w:unhideWhenUsed/>
    <w:qFormat/>
    <w:rsid w:val="00430492"/>
    <w:pPr>
      <w:spacing w:after="120"/>
    </w:pPr>
  </w:style>
  <w:style w:type="character" w:customStyle="1" w:styleId="TextoindependienteCar">
    <w:name w:val="Texto independiente Car"/>
    <w:basedOn w:val="Fuentedeprrafopredeter"/>
    <w:link w:val="Textoindependiente"/>
    <w:uiPriority w:val="99"/>
    <w:rsid w:val="00430492"/>
  </w:style>
  <w:style w:type="paragraph" w:customStyle="1" w:styleId="Car1">
    <w:name w:val="Car1"/>
    <w:basedOn w:val="Normal"/>
    <w:next w:val="Textonotapie"/>
    <w:uiPriority w:val="99"/>
    <w:unhideWhenUsed/>
    <w:qFormat/>
    <w:rsid w:val="00430492"/>
    <w:pPr>
      <w:spacing w:after="0" w:line="240" w:lineRule="auto"/>
    </w:pPr>
    <w:rPr>
      <w:sz w:val="20"/>
      <w:szCs w:val="20"/>
      <w:lang w:val="es-MX"/>
    </w:rPr>
  </w:style>
  <w:style w:type="paragraph" w:customStyle="1" w:styleId="Cuadrculamedia1-nfasis21">
    <w:name w:val="Cuadrícula media 1 - Énfasis 21"/>
    <w:basedOn w:val="Normal"/>
    <w:uiPriority w:val="34"/>
    <w:qFormat/>
    <w:rsid w:val="009C2871"/>
    <w:pPr>
      <w:ind w:left="720"/>
      <w:contextualSpacing/>
    </w:pPr>
    <w:rPr>
      <w:rFonts w:ascii="Calibri" w:eastAsia="Calibri" w:hAnsi="Calibri" w:cs="Times New Roman"/>
    </w:rPr>
  </w:style>
  <w:style w:type="character" w:customStyle="1" w:styleId="Ttulo1Car">
    <w:name w:val="Título 1 Car"/>
    <w:basedOn w:val="Fuentedeprrafopredeter"/>
    <w:link w:val="Ttulo1"/>
    <w:uiPriority w:val="1"/>
    <w:rsid w:val="00B34786"/>
    <w:rPr>
      <w:rFonts w:ascii="Arial" w:eastAsia="Arial" w:hAnsi="Arial" w:cs="Arial"/>
      <w:b/>
      <w:bCs/>
      <w:lang w:val="es-ES"/>
    </w:rPr>
  </w:style>
  <w:style w:type="paragraph" w:customStyle="1" w:styleId="Default">
    <w:name w:val="Default"/>
    <w:rsid w:val="00B34786"/>
    <w:pPr>
      <w:autoSpaceDE w:val="0"/>
      <w:autoSpaceDN w:val="0"/>
      <w:adjustRightInd w:val="0"/>
      <w:spacing w:after="0" w:line="240" w:lineRule="auto"/>
    </w:pPr>
    <w:rPr>
      <w:rFonts w:ascii="Arial" w:hAnsi="Arial" w:cs="Arial"/>
      <w:color w:val="000000"/>
      <w:sz w:val="24"/>
      <w:szCs w:val="24"/>
    </w:rPr>
  </w:style>
  <w:style w:type="paragraph" w:styleId="Ttulo">
    <w:name w:val="Title"/>
    <w:basedOn w:val="Normal"/>
    <w:next w:val="Normal"/>
    <w:link w:val="TtuloCar"/>
    <w:uiPriority w:val="10"/>
    <w:qFormat/>
    <w:rsid w:val="00B34786"/>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B34786"/>
    <w:rPr>
      <w:rFonts w:ascii="Geomanist" w:eastAsiaTheme="majorEastAsia" w:hAnsi="Geomanist" w:cstheme="majorBidi"/>
      <w:spacing w:val="-10"/>
      <w:kern w:val="28"/>
      <w:szCs w:val="56"/>
      <w:lang w:val="es-ES"/>
    </w:rPr>
  </w:style>
  <w:style w:type="table" w:customStyle="1" w:styleId="Tablaconcuadrcula1">
    <w:name w:val="Tabla con cuadrícula1"/>
    <w:basedOn w:val="Tablanormal"/>
    <w:next w:val="Tablaconcuadrcula"/>
    <w:uiPriority w:val="59"/>
    <w:qFormat/>
    <w:rsid w:val="00B3478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
    <w:name w:val="Sin lista1"/>
    <w:next w:val="Sinlista"/>
    <w:uiPriority w:val="99"/>
    <w:semiHidden/>
    <w:unhideWhenUsed/>
    <w:rsid w:val="00B34786"/>
  </w:style>
  <w:style w:type="table" w:customStyle="1" w:styleId="TableNormal">
    <w:name w:val="Table Normal"/>
    <w:uiPriority w:val="2"/>
    <w:semiHidden/>
    <w:unhideWhenUsed/>
    <w:qFormat/>
    <w:rsid w:val="00B34786"/>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B34786"/>
    <w:pPr>
      <w:widowControl w:val="0"/>
      <w:autoSpaceDE w:val="0"/>
      <w:autoSpaceDN w:val="0"/>
      <w:spacing w:after="0" w:line="208" w:lineRule="exact"/>
      <w:ind w:left="119"/>
    </w:pPr>
    <w:rPr>
      <w:rFonts w:ascii="Calibri" w:eastAsia="Calibri" w:hAnsi="Calibri" w:cs="Calibri"/>
      <w:lang w:val="es-ES"/>
    </w:rPr>
  </w:style>
  <w:style w:type="table" w:customStyle="1" w:styleId="Tablaconcuadrcula2">
    <w:name w:val="Tabla con cuadrícula2"/>
    <w:basedOn w:val="Tablanormal"/>
    <w:next w:val="Tablaconcuadrcula"/>
    <w:uiPriority w:val="39"/>
    <w:rsid w:val="00B3478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1A5DD4"/>
    <w:pPr>
      <w:spacing w:before="100" w:beforeAutospacing="1" w:after="100" w:afterAutospacing="1" w:line="240" w:lineRule="auto"/>
    </w:pPr>
    <w:rPr>
      <w:rFonts w:ascii="Times New Roman" w:eastAsia="Times New Roman" w:hAnsi="Times New Roman" w:cs="Times New Roman"/>
      <w:sz w:val="24"/>
      <w:szCs w:val="24"/>
      <w:lang w:eastAsia="es-ES_tradnl"/>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5021B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7697270">
      <w:bodyDiv w:val="1"/>
      <w:marLeft w:val="0"/>
      <w:marRight w:val="0"/>
      <w:marTop w:val="0"/>
      <w:marBottom w:val="0"/>
      <w:divBdr>
        <w:top w:val="none" w:sz="0" w:space="0" w:color="auto"/>
        <w:left w:val="none" w:sz="0" w:space="0" w:color="auto"/>
        <w:bottom w:val="none" w:sz="0" w:space="0" w:color="auto"/>
        <w:right w:val="none" w:sz="0" w:space="0" w:color="auto"/>
      </w:divBdr>
    </w:div>
    <w:div w:id="567960049">
      <w:bodyDiv w:val="1"/>
      <w:marLeft w:val="0"/>
      <w:marRight w:val="0"/>
      <w:marTop w:val="0"/>
      <w:marBottom w:val="0"/>
      <w:divBdr>
        <w:top w:val="none" w:sz="0" w:space="0" w:color="auto"/>
        <w:left w:val="none" w:sz="0" w:space="0" w:color="auto"/>
        <w:bottom w:val="none" w:sz="0" w:space="0" w:color="auto"/>
        <w:right w:val="none" w:sz="0" w:space="0" w:color="auto"/>
      </w:divBdr>
    </w:div>
    <w:div w:id="632058178">
      <w:bodyDiv w:val="1"/>
      <w:marLeft w:val="0"/>
      <w:marRight w:val="0"/>
      <w:marTop w:val="0"/>
      <w:marBottom w:val="0"/>
      <w:divBdr>
        <w:top w:val="none" w:sz="0" w:space="0" w:color="auto"/>
        <w:left w:val="none" w:sz="0" w:space="0" w:color="auto"/>
        <w:bottom w:val="none" w:sz="0" w:space="0" w:color="auto"/>
        <w:right w:val="none" w:sz="0" w:space="0" w:color="auto"/>
      </w:divBdr>
    </w:div>
    <w:div w:id="904800413">
      <w:bodyDiv w:val="1"/>
      <w:marLeft w:val="0"/>
      <w:marRight w:val="0"/>
      <w:marTop w:val="0"/>
      <w:marBottom w:val="0"/>
      <w:divBdr>
        <w:top w:val="none" w:sz="0" w:space="0" w:color="auto"/>
        <w:left w:val="none" w:sz="0" w:space="0" w:color="auto"/>
        <w:bottom w:val="none" w:sz="0" w:space="0" w:color="auto"/>
        <w:right w:val="none" w:sz="0" w:space="0" w:color="auto"/>
      </w:divBdr>
    </w:div>
    <w:div w:id="1190610056">
      <w:bodyDiv w:val="1"/>
      <w:marLeft w:val="0"/>
      <w:marRight w:val="0"/>
      <w:marTop w:val="0"/>
      <w:marBottom w:val="0"/>
      <w:divBdr>
        <w:top w:val="none" w:sz="0" w:space="0" w:color="auto"/>
        <w:left w:val="none" w:sz="0" w:space="0" w:color="auto"/>
        <w:bottom w:val="none" w:sz="0" w:space="0" w:color="auto"/>
        <w:right w:val="none" w:sz="0" w:space="0" w:color="auto"/>
      </w:divBdr>
    </w:div>
    <w:div w:id="1200049807">
      <w:bodyDiv w:val="1"/>
      <w:marLeft w:val="0"/>
      <w:marRight w:val="0"/>
      <w:marTop w:val="0"/>
      <w:marBottom w:val="0"/>
      <w:divBdr>
        <w:top w:val="none" w:sz="0" w:space="0" w:color="auto"/>
        <w:left w:val="none" w:sz="0" w:space="0" w:color="auto"/>
        <w:bottom w:val="none" w:sz="0" w:space="0" w:color="auto"/>
        <w:right w:val="none" w:sz="0" w:space="0" w:color="auto"/>
      </w:divBdr>
    </w:div>
    <w:div w:id="160795633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cceficiente.sharepoint.com/Users/andreagarzon/Downloads/Dialnet-%20ElPrincipioDeProporcionalidadYLosRequisitosHabilit-5502214.pdf" TargetMode="External"/><Relationship Id="rId18" Type="http://schemas.openxmlformats.org/officeDocument/2006/relationships/hyperlink" Target="https://nam02.safelinks.protection.outlook.com/?url=https%3A%2F%2Fwww.colombiacompra.gov.co%2Fnormativa-y-relatoria%2Fdocumentos-tipo&amp;data=05%7C02%7Candrea.garzon%40colombiacompra.gov.co%7C603e1a9f513d4811571608dd8e333a73%7C7b09041e245149d08cb179d5e3d8c1be%7C0%7C0%7C638823072861410018%7CUnknown%7CTWFpbGZsb3d8eyJFbXB0eU1hcGkiOnRydWUsIlYiOiIwLjAuMDAwMCIsIlAiOiJXaW4zMiIsIkFOIjoiTWFpbCIsIldUIjoyfQ%3D%3D%7C0%7C%7C%7C&amp;sdata=rE3RnYCOk9XI%2BCppSVYnvOec3LR5CH2TZXZwiaRe9%2B4%3D&amp;reserved=0"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ettings" Target="settings.xml"/><Relationship Id="rId12" Type="http://schemas.openxmlformats.org/officeDocument/2006/relationships/hyperlink" Target="https://www.colombiacompra.gov.co/archivos/manual/manual-para-determinar-y-verificar-los-requisitos-habilitantes-en-los-procesos-de-contratacion" TargetMode="External"/><Relationship Id="rId17" Type="http://schemas.openxmlformats.org/officeDocument/2006/relationships/hyperlink" Target="https://nam02.safelinks.protection.outlook.com/?url=https%3A%2F%2Fwww.colombiacompra.gov.co%2Fmanuales-guias-y-pliegos-tipo%2Fmanuales-y-guias%2Fguia-de-contratacion-publica-sostenible-y-socialmente&amp;data=05%7C02%7Csantiago.herrera%40colombiacompra.gov.co%7Cb18b651bca3a4eb8eab008dd269b400d%7C7b09041e245149d08cb179d5e3d8c1be%7C0%7C0%7C638709170414849914%7CUnknown%7CTWFpbGZsb3d8eyJFbXB0eU1hcGkiOnRydWUsIlYiOiIwLjAuMDAwMCIsIlAiOiJXaW4zMiIsIkFOIjoiTWFpbCIsIldUIjoyfQ%3D%3D%7C0%7C%7C%7C&amp;sdata=DZcOamOFLr5%2FMvTaEwyrmGH46p0E2EeVRK9EI0%2Fzyss%3D&amp;reserved=0" TargetMode="External"/><Relationship Id="rId2" Type="http://schemas.openxmlformats.org/officeDocument/2006/relationships/customXml" Target="../customXml/item2.xml"/><Relationship Id="rId16" Type="http://schemas.openxmlformats.org/officeDocument/2006/relationships/hyperlink" Target="https://nam02.safelinks.protection.outlook.com/?url=https%3A%2F%2Fwww.colombiacompra.gov.co%2Fcontent%2F02-documentos-tipo-para-los-procesos-de-seleccion-de-consultoria-de-obra-publica-de&amp;data=05%7C02%7Csantiago.herrera%40colombiacompra.gov.co%7Cb18b651bca3a4eb8eab008dd269b400d%7C7b09041e245149d08cb179d5e3d8c1be%7C0%7C0%7C638709170414832391%7CUnknown%7CTWFpbGZsb3d8eyJFbXB0eU1hcGkiOnRydWUsIlYiOiIwLjAuMDAwMCIsIlAiOiJXaW4zMiIsIkFOIjoiTWFpbCIsIldUIjoyfQ%3D%3D%7C0%7C%7C%7C&amp;sdata=QVD3sz0azJZZvNSHi5xF%2FpgT1wYL%2BVLBpdZyrSAKCNU%3D&amp;reserved=0"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jpeg"/><Relationship Id="rId5" Type="http://schemas.openxmlformats.org/officeDocument/2006/relationships/numbering" Target="numbering.xml"/><Relationship Id="rId15" Type="http://schemas.openxmlformats.org/officeDocument/2006/relationships/hyperlink" Target="https://nam02.safelinks.protection.outlook.com/?url=https%3A%2F%2Fwww.colombiacompra.gov.co%2Fcontent%2F03-documentos-tipo-para-los-procesos-de-seleccion-de-interventoria-de-obra-publica-de&amp;data=05%7C02%7Csantiago.herrera%40colombiacompra.gov.co%7Cb18b651bca3a4eb8eab008dd269b400d%7C7b09041e245149d08cb179d5e3d8c1be%7C0%7C0%7C638709170414808332%7CUnknown%7CTWFpbGZsb3d8eyJFbXB0eU1hcGkiOnRydWUsIlYiOiIwLjAuMDAwMCIsIlAiOiJXaW4zMiIsIkFOIjoiTWFpbCIsIldUIjoyfQ%3D%3D%7C0%7C%7C%7C&amp;sdata=K7MA4S7M7cwwIPsP6WrY42WST6d89ZSAhI2oxiyLwXg%3D&amp;reserved=0" TargetMode="Externa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image" Target="media/image3.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relatoria.colombiacompra.gov.co/busqueda/conceptos" TargetMode="Externa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_Flow_SignoffStatus xmlns="9d85dbaf-23eb-4e57-a637-93dcacc8b1a1" xsi:nil="true"/>
  </documentManagement>
</p:properties>
</file>

<file path=customXml/itemProps1.xml><?xml version="1.0" encoding="utf-8"?>
<ds:datastoreItem xmlns:ds="http://schemas.openxmlformats.org/officeDocument/2006/customXml" ds:itemID="{B2843723-D73A-40E9-95E7-857E24E9F33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524EFD2-6506-4654-A0AC-DEF36450FF53}">
  <ds:schemaRefs>
    <ds:schemaRef ds:uri="http://schemas.microsoft.com/sharepoint/v3/contenttype/forms"/>
  </ds:schemaRefs>
</ds:datastoreItem>
</file>

<file path=customXml/itemProps3.xml><?xml version="1.0" encoding="utf-8"?>
<ds:datastoreItem xmlns:ds="http://schemas.openxmlformats.org/officeDocument/2006/customXml" ds:itemID="{206954CD-A18B-4BC8-BDFD-948A7B8E2372}">
  <ds:schemaRefs>
    <ds:schemaRef ds:uri="http://schemas.openxmlformats.org/officeDocument/2006/bibliography"/>
  </ds:schemaRefs>
</ds:datastoreItem>
</file>

<file path=customXml/itemProps4.xml><?xml version="1.0" encoding="utf-8"?>
<ds:datastoreItem xmlns:ds="http://schemas.openxmlformats.org/officeDocument/2006/customXml" ds:itemID="{B3B8AE37-E1F3-4B08-98E9-52F0B3FA79CF}">
  <ds:schemaRefs>
    <ds:schemaRef ds:uri="http://schemas.microsoft.com/office/2006/documentManagement/types"/>
    <ds:schemaRef ds:uri="http://schemas.openxmlformats.org/package/2006/metadata/core-properties"/>
    <ds:schemaRef ds:uri="a6cb9e4b-f1d1-4245-83ec-6cad768d538a"/>
    <ds:schemaRef ds:uri="http://purl.org/dc/elements/1.1/"/>
    <ds:schemaRef ds:uri="http://www.w3.org/XML/1998/namespace"/>
    <ds:schemaRef ds:uri="http://purl.org/dc/dcmitype/"/>
    <ds:schemaRef ds:uri="http://purl.org/dc/terms/"/>
    <ds:schemaRef ds:uri="http://schemas.microsoft.com/office/2006/metadata/properties"/>
    <ds:schemaRef ds:uri="http://schemas.microsoft.com/office/infopath/2007/PartnerControls"/>
    <ds:schemaRef ds:uri="9d85dbaf-23eb-4e57-a637-93dcacc8b1a1"/>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3</TotalTime>
  <Pages>20</Pages>
  <Words>6912</Words>
  <Characters>38019</Characters>
  <Application>Microsoft Office Word</Application>
  <DocSecurity>0</DocSecurity>
  <Lines>316</Lines>
  <Paragraphs>89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44842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Betty Elena Díaz Fernandez</cp:lastModifiedBy>
  <cp:revision>2</cp:revision>
  <dcterms:created xsi:type="dcterms:W3CDTF">2025-10-09T12:35:00Z</dcterms:created>
  <dcterms:modified xsi:type="dcterms:W3CDTF">2025-10-09T12:35:00Z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