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A882EE" w14:textId="77777777" w:rsidR="006C5245" w:rsidRDefault="000E7754" w:rsidP="006C5245">
      <w:pPr>
        <w:contextualSpacing/>
        <w:jc w:val="both"/>
        <w:rPr>
          <w:rFonts w:ascii="Verdana" w:eastAsia="Calibri" w:hAnsi="Verdana" w:cs="Arial"/>
          <w:b/>
          <w:bCs/>
          <w:lang w:val="es-ES_tradnl" w:eastAsia="es-ES"/>
        </w:rPr>
      </w:pPr>
      <w:bookmarkStart w:id="0" w:name="_Hlk143780582"/>
      <w:r w:rsidRPr="006C5245">
        <w:rPr>
          <w:rFonts w:ascii="Verdana" w:eastAsia="Calibri" w:hAnsi="Verdana" w:cs="Arial"/>
          <w:b/>
          <w:bCs/>
          <w:lang w:val="es-ES_tradnl" w:eastAsia="es-ES"/>
        </w:rPr>
        <w:t>LEY 1955 DE 2019 – Artículo 229 – Finalidad</w:t>
      </w:r>
    </w:p>
    <w:p w14:paraId="784FC5DD" w14:textId="77777777" w:rsidR="00D720B0" w:rsidRDefault="00D720B0" w:rsidP="006C5245">
      <w:pPr>
        <w:contextualSpacing/>
        <w:jc w:val="both"/>
        <w:rPr>
          <w:rFonts w:ascii="Verdana" w:eastAsia="Calibri" w:hAnsi="Verdana" w:cs="Arial"/>
          <w:b/>
          <w:bCs/>
          <w:lang w:val="es-ES_tradnl" w:eastAsia="es-ES"/>
        </w:rPr>
      </w:pPr>
    </w:p>
    <w:p w14:paraId="276D36EC" w14:textId="23E0B222" w:rsidR="00D720B0" w:rsidRPr="00226D4C" w:rsidRDefault="00D720B0" w:rsidP="00226D4C">
      <w:pPr>
        <w:spacing w:line="240" w:lineRule="auto"/>
        <w:contextualSpacing/>
        <w:jc w:val="both"/>
        <w:rPr>
          <w:rFonts w:ascii="Verdana" w:eastAsia="Calibri" w:hAnsi="Verdana" w:cs="Arial"/>
          <w:b/>
          <w:bCs/>
          <w:sz w:val="20"/>
          <w:szCs w:val="20"/>
          <w:lang w:val="es-ES_tradnl" w:eastAsia="es-ES"/>
        </w:rPr>
      </w:pPr>
      <w:r w:rsidRPr="00226D4C">
        <w:rPr>
          <w:rFonts w:ascii="Verdana" w:eastAsia="Times New Roman" w:hAnsi="Verdana" w:cs="Arial"/>
          <w:sz w:val="20"/>
          <w:szCs w:val="20"/>
          <w:lang w:eastAsia="es-CO"/>
        </w:rPr>
        <w:t>En el mercado de la compra pública se crean incentivos para fomentar el desarrollo de determinado tipo de proveedores, como ocurre con los incentivos a las Mipymes y a los emprendimientos y empresas de mujeres, entre otros. En este sentido, el artículo 229 de la Ley 1955 de 2019, “Por la cual se expide el Plan Nacional de Desarrollo 2018-2022”, dispuso que las entidades públicas descentralizadas del orden nacional y las entidades territoriales, cada vez que requieran productos agropecuarios para atender la demanda en sus programas institucionales, deben asignar puntajes adicionales y estrategias de ponderación que mejoren las calificaciones de los proponentes cuando presenten contratos de proveeduría celebrados con productores nacionales.</w:t>
      </w:r>
    </w:p>
    <w:p w14:paraId="56A6A549" w14:textId="77777777" w:rsidR="00D720B0" w:rsidRPr="006C5245" w:rsidRDefault="00D720B0" w:rsidP="006C5245">
      <w:pPr>
        <w:spacing w:after="0" w:line="240" w:lineRule="auto"/>
        <w:contextualSpacing/>
        <w:jc w:val="both"/>
        <w:rPr>
          <w:rFonts w:ascii="Verdana" w:eastAsia="Calibri" w:hAnsi="Verdana" w:cs="Arial"/>
          <w:b/>
          <w:bCs/>
          <w:lang w:val="es-ES_tradnl" w:eastAsia="es-ES"/>
        </w:rPr>
      </w:pPr>
    </w:p>
    <w:p w14:paraId="3EEC4819" w14:textId="77777777" w:rsidR="006C5245" w:rsidRDefault="000E7754" w:rsidP="006C5245">
      <w:pPr>
        <w:contextualSpacing/>
        <w:jc w:val="both"/>
        <w:rPr>
          <w:rFonts w:ascii="Verdana" w:eastAsia="Calibri" w:hAnsi="Verdana" w:cs="Arial"/>
          <w:b/>
          <w:bCs/>
          <w:lang w:val="es-ES_tradnl" w:eastAsia="es-ES"/>
        </w:rPr>
      </w:pPr>
      <w:r w:rsidRPr="006C5245">
        <w:rPr>
          <w:rFonts w:ascii="Verdana" w:eastAsia="Calibri" w:hAnsi="Verdana" w:cs="Arial"/>
          <w:b/>
          <w:bCs/>
          <w:lang w:val="es-ES_tradnl" w:eastAsia="es-ES"/>
        </w:rPr>
        <w:t>LEY 2046 DE 2020 – Finalidad – Ámbito de aplicación - Compra pública de alimentos</w:t>
      </w:r>
    </w:p>
    <w:p w14:paraId="372EF580" w14:textId="77777777" w:rsidR="00226D4C" w:rsidRDefault="00226D4C" w:rsidP="00226D4C">
      <w:pPr>
        <w:spacing w:after="0" w:line="240" w:lineRule="auto"/>
        <w:contextualSpacing/>
        <w:jc w:val="both"/>
        <w:rPr>
          <w:rFonts w:ascii="Verdana" w:eastAsia="Times New Roman" w:hAnsi="Verdana" w:cs="Arial"/>
          <w:sz w:val="20"/>
          <w:szCs w:val="20"/>
          <w:lang w:eastAsia="es-CO"/>
        </w:rPr>
      </w:pPr>
    </w:p>
    <w:p w14:paraId="43A24CF3" w14:textId="6DD8F4A9" w:rsidR="00226D4C" w:rsidRPr="00226D4C" w:rsidRDefault="00226D4C" w:rsidP="00226D4C">
      <w:pPr>
        <w:spacing w:after="0" w:line="240" w:lineRule="auto"/>
        <w:contextualSpacing/>
        <w:jc w:val="both"/>
        <w:rPr>
          <w:rFonts w:ascii="Verdana" w:eastAsia="Times New Roman" w:hAnsi="Verdana" w:cs="Arial"/>
          <w:sz w:val="20"/>
          <w:szCs w:val="20"/>
          <w:lang w:eastAsia="es-CO"/>
        </w:rPr>
      </w:pPr>
      <w:r w:rsidRPr="00226D4C">
        <w:rPr>
          <w:rFonts w:ascii="Verdana" w:eastAsia="Times New Roman" w:hAnsi="Verdana" w:cs="Arial"/>
          <w:sz w:val="20"/>
          <w:szCs w:val="20"/>
          <w:lang w:eastAsia="es-CO"/>
        </w:rPr>
        <w:t xml:space="preserve">En este contexto, el artículo primero señala que el objeto de la ley “[…] consiste en establecer condiciones e instrumentos de abastecimiento alimentario </w:t>
      </w:r>
      <w:r w:rsidRPr="00226D4C">
        <w:rPr>
          <w:rFonts w:ascii="Verdana" w:eastAsia="Times New Roman" w:hAnsi="Verdana" w:cs="Arial"/>
          <w:i/>
          <w:iCs/>
          <w:sz w:val="20"/>
          <w:szCs w:val="20"/>
          <w:lang w:eastAsia="es-CO"/>
        </w:rPr>
        <w:t>para que todos los programas públicos de suministro y distribución de alimentos</w:t>
      </w:r>
      <w:r w:rsidRPr="00226D4C">
        <w:rPr>
          <w:rFonts w:ascii="Verdana" w:eastAsia="Times New Roman" w:hAnsi="Verdana" w:cs="Arial"/>
          <w:sz w:val="20"/>
          <w:szCs w:val="20"/>
          <w:lang w:eastAsia="es-CO"/>
        </w:rPr>
        <w:t xml:space="preserve"> promuevan la participación de pequeños productores locales y productores locales agropecuarios cuyos sistemas productivos pertenezcan a la Agricultura Campesina, Familiar y Comunitaria, o de sus organizaciones legalmente constituidas” [Énfasis fuera del texto original].</w:t>
      </w:r>
    </w:p>
    <w:p w14:paraId="446EDF24" w14:textId="77777777" w:rsidR="00226D4C" w:rsidRPr="00226D4C" w:rsidRDefault="00226D4C" w:rsidP="00226D4C">
      <w:pPr>
        <w:spacing w:after="0" w:line="240" w:lineRule="auto"/>
        <w:contextualSpacing/>
        <w:jc w:val="both"/>
        <w:rPr>
          <w:rFonts w:ascii="Verdana" w:eastAsia="Times New Roman" w:hAnsi="Verdana" w:cs="Arial"/>
          <w:sz w:val="20"/>
          <w:szCs w:val="20"/>
          <w:lang w:eastAsia="es-CO"/>
        </w:rPr>
      </w:pPr>
      <w:r w:rsidRPr="00226D4C">
        <w:rPr>
          <w:rFonts w:ascii="Verdana" w:eastAsia="Times New Roman" w:hAnsi="Verdana" w:cs="Arial"/>
          <w:sz w:val="20"/>
          <w:szCs w:val="20"/>
          <w:lang w:eastAsia="es-CO"/>
        </w:rPr>
        <w:t xml:space="preserve">En cuanto al campo de aplicación, el artículo 3 señala lo siguiente: “Las disposiciones que aquí se establecen, serán </w:t>
      </w:r>
      <w:r w:rsidRPr="00226D4C">
        <w:rPr>
          <w:rFonts w:ascii="Verdana" w:eastAsia="Times New Roman" w:hAnsi="Verdana" w:cs="Arial"/>
          <w:i/>
          <w:iCs/>
          <w:sz w:val="20"/>
          <w:szCs w:val="20"/>
          <w:lang w:eastAsia="es-CO"/>
        </w:rPr>
        <w:t>obligatorias</w:t>
      </w:r>
      <w:r w:rsidRPr="00226D4C">
        <w:rPr>
          <w:rFonts w:ascii="Verdana" w:eastAsia="Times New Roman" w:hAnsi="Verdana" w:cs="Arial"/>
          <w:sz w:val="20"/>
          <w:szCs w:val="20"/>
          <w:lang w:eastAsia="es-CO"/>
        </w:rPr>
        <w:t xml:space="preserve"> para las entidades públicas del nivel nacional, departamental, distrital, municipal, sociedades de economía mixta, y entidades privadas que manejen recursos públicos y operen en el territorio nacional, que demanden de forma directa o a través de interpuesta persona, alimentos para el abastecimiento y para suministro de productos de origen agropecuario, cumpliendo con los requisitos sanitarios que establezca la normatividad vigente”. </w:t>
      </w:r>
    </w:p>
    <w:p w14:paraId="1F2749DA" w14:textId="77777777" w:rsidR="00226D4C" w:rsidRPr="00226D4C" w:rsidRDefault="00226D4C" w:rsidP="00226D4C">
      <w:pPr>
        <w:spacing w:after="0" w:line="240" w:lineRule="auto"/>
        <w:contextualSpacing/>
        <w:jc w:val="both"/>
        <w:rPr>
          <w:rFonts w:ascii="Verdana" w:eastAsia="Times New Roman" w:hAnsi="Verdana" w:cs="Arial"/>
          <w:sz w:val="20"/>
          <w:szCs w:val="20"/>
          <w:lang w:eastAsia="es-CO"/>
        </w:rPr>
      </w:pPr>
      <w:r w:rsidRPr="00226D4C">
        <w:rPr>
          <w:rFonts w:ascii="Verdana" w:eastAsia="Times New Roman" w:hAnsi="Verdana" w:cs="Arial"/>
          <w:sz w:val="20"/>
          <w:szCs w:val="20"/>
          <w:lang w:eastAsia="es-CO"/>
        </w:rPr>
        <w:t xml:space="preserve">En efecto, según el ámbito de aplicación, las disposiciones de esta Ley son obligatorias para las entidades sometidas al EGCAP. Adicionalmente, no se limita a las entidades sujetas a la Ley 80 de 1993, sino que se extiende a otro tipo de entidades públicas de los distintos órdenes, como es el caso de las sociedades de economía mixta, las entidades privadas que administren recursos públicos, así como los demás sujetos mencionados en la norma. En esta línea, dispone unas reglas que deberán cumplir para garantizar el bienestar y el fomento de la agricultura en el país. </w:t>
      </w:r>
    </w:p>
    <w:p w14:paraId="02E7317F" w14:textId="77777777" w:rsidR="00D720B0" w:rsidRPr="00226D4C" w:rsidRDefault="00D720B0" w:rsidP="00226D4C">
      <w:pPr>
        <w:spacing w:after="0" w:line="240" w:lineRule="auto"/>
        <w:contextualSpacing/>
        <w:jc w:val="both"/>
        <w:rPr>
          <w:rFonts w:ascii="Verdana" w:eastAsia="Calibri" w:hAnsi="Verdana" w:cs="Arial"/>
          <w:b/>
          <w:bCs/>
          <w:sz w:val="20"/>
          <w:szCs w:val="20"/>
          <w:lang w:val="es-ES_tradnl" w:eastAsia="es-ES"/>
        </w:rPr>
      </w:pPr>
    </w:p>
    <w:p w14:paraId="26227E92" w14:textId="77777777" w:rsidR="006C5245" w:rsidRDefault="000E7754" w:rsidP="006C5245">
      <w:pPr>
        <w:contextualSpacing/>
        <w:jc w:val="both"/>
        <w:rPr>
          <w:rFonts w:ascii="Verdana" w:eastAsia="Calibri" w:hAnsi="Verdana" w:cs="Arial"/>
          <w:b/>
          <w:bCs/>
          <w:lang w:val="es-ES_tradnl" w:eastAsia="es-ES"/>
        </w:rPr>
      </w:pPr>
      <w:r w:rsidRPr="006C5245">
        <w:rPr>
          <w:rFonts w:ascii="Verdana" w:eastAsia="Calibri" w:hAnsi="Verdana" w:cs="Arial"/>
          <w:b/>
          <w:bCs/>
          <w:lang w:val="es-ES_tradnl" w:eastAsia="es-ES"/>
        </w:rPr>
        <w:t>LEY 2046 DE 2020 – Artículo 7 – Incentivos contractuales – Puntajes adicionales – Promoción de la compra pública de alimentos</w:t>
      </w:r>
    </w:p>
    <w:p w14:paraId="7EF733EE" w14:textId="77777777" w:rsidR="00226D4C" w:rsidRDefault="00226D4C" w:rsidP="00226D4C">
      <w:pPr>
        <w:spacing w:after="0" w:line="276" w:lineRule="auto"/>
        <w:jc w:val="both"/>
        <w:rPr>
          <w:rFonts w:ascii="Verdana" w:eastAsia="Calibri" w:hAnsi="Verdana" w:cs="Arial"/>
          <w:b/>
          <w:bCs/>
          <w:lang w:val="es-ES_tradnl" w:eastAsia="es-ES"/>
        </w:rPr>
      </w:pPr>
    </w:p>
    <w:p w14:paraId="2B378E23" w14:textId="256D8B77" w:rsidR="00226D4C" w:rsidRPr="00226D4C" w:rsidRDefault="00226D4C" w:rsidP="00226D4C">
      <w:pPr>
        <w:spacing w:after="0" w:line="240" w:lineRule="auto"/>
        <w:contextualSpacing/>
        <w:jc w:val="both"/>
        <w:rPr>
          <w:rFonts w:ascii="Verdana" w:eastAsia="Times New Roman" w:hAnsi="Verdana" w:cs="Arial"/>
          <w:sz w:val="20"/>
          <w:szCs w:val="20"/>
          <w:lang w:eastAsia="es-CO"/>
        </w:rPr>
      </w:pPr>
      <w:r w:rsidRPr="00226D4C">
        <w:rPr>
          <w:rFonts w:ascii="Verdana" w:eastAsia="Times New Roman" w:hAnsi="Verdana" w:cs="Arial"/>
          <w:sz w:val="20"/>
          <w:szCs w:val="20"/>
          <w:lang w:eastAsia="es-CO"/>
        </w:rPr>
        <w:t xml:space="preserve">Sin embargo, la mayor pretensión de esta Ley fue lo regulado en el artículo 7, el cual establece los porcentajes mínimos de compra local a pequeños productores y productores de la agricultura campesina, familiar y comunitaria. En este aspecto, establece las siguientes reglas: i) las entidades que están sujetas al ámbito de aplicación de esta ley tienen la obligación de adquirir alimentos comprados a pequeños productores agropecuarios locales y/o a productores de la Agricultura Campesina, Familiar o Comunitaria locales y sus organizaciones en un porcentaje mínimo del treinta por ciento </w:t>
      </w:r>
      <w:r w:rsidRPr="00226D4C">
        <w:rPr>
          <w:rFonts w:ascii="Verdana" w:eastAsia="Times New Roman" w:hAnsi="Verdana" w:cs="Arial"/>
          <w:sz w:val="20"/>
          <w:szCs w:val="20"/>
          <w:lang w:eastAsia="es-CO"/>
        </w:rPr>
        <w:lastRenderedPageBreak/>
        <w:t>(30%) del valor total de los recursos del presupuesto de cada entidad destinados a la compra de alimentos. En el evento que no se cumpla este porcentaje deben informar a la Mesa Técnica Nacional de Compra Pública de Alimentos, quien certifica y realiza las gestiones para otorgar un listado de pequeños productores;</w:t>
      </w:r>
      <w:r w:rsidRPr="00226D4C">
        <w:rPr>
          <w:rFonts w:ascii="Verdana" w:eastAsia="Times New Roman" w:hAnsi="Verdana" w:cs="Arial"/>
          <w:sz w:val="20"/>
          <w:szCs w:val="20"/>
          <w:lang w:eastAsia="es-CO"/>
        </w:rPr>
        <w:t xml:space="preserve"> </w:t>
      </w:r>
      <w:proofErr w:type="spellStart"/>
      <w:r w:rsidRPr="00226D4C">
        <w:rPr>
          <w:rFonts w:ascii="Verdana" w:eastAsia="Times New Roman" w:hAnsi="Verdana" w:cs="Arial"/>
          <w:sz w:val="20"/>
          <w:szCs w:val="20"/>
          <w:lang w:eastAsia="es-CO"/>
        </w:rPr>
        <w:t>ii</w:t>
      </w:r>
      <w:proofErr w:type="spellEnd"/>
      <w:r w:rsidRPr="00226D4C">
        <w:rPr>
          <w:rFonts w:ascii="Verdana" w:eastAsia="Times New Roman" w:hAnsi="Verdana" w:cs="Arial"/>
          <w:sz w:val="20"/>
          <w:szCs w:val="20"/>
          <w:lang w:eastAsia="es-CO"/>
        </w:rPr>
        <w:t>) También deben establecer en su Pliego de Condiciones un puntaje mínimo del diez por ciento (10%) de los puntos asignables a la calificación de las propuestas, que se asignan proporcionalmente a aquellos proponentes que se obliguen a adquirir productos provenientes de pequeños productores agropecuarios locales y/o a productores de la Agricultura Campesina, Familiar o Comunitaria locales y sus organizaciones, en una proporción mayor al mínimo exigido por la entidad contratante</w:t>
      </w:r>
      <w:r w:rsidRPr="00226D4C">
        <w:rPr>
          <w:rFonts w:ascii="Verdana" w:eastAsia="Times New Roman" w:hAnsi="Verdana" w:cs="Arial"/>
          <w:sz w:val="20"/>
          <w:szCs w:val="20"/>
          <w:lang w:eastAsia="es-CO"/>
        </w:rPr>
        <w:t xml:space="preserve"> […]</w:t>
      </w:r>
    </w:p>
    <w:p w14:paraId="00F43126" w14:textId="77777777" w:rsidR="00226D4C" w:rsidRPr="006C5245" w:rsidRDefault="00226D4C" w:rsidP="006C5245">
      <w:pPr>
        <w:spacing w:after="0" w:line="240" w:lineRule="auto"/>
        <w:contextualSpacing/>
        <w:jc w:val="both"/>
        <w:rPr>
          <w:rFonts w:ascii="Verdana" w:eastAsia="Calibri" w:hAnsi="Verdana" w:cs="Arial"/>
          <w:b/>
          <w:bCs/>
          <w:lang w:val="es-ES_tradnl" w:eastAsia="es-ES"/>
        </w:rPr>
      </w:pPr>
    </w:p>
    <w:p w14:paraId="045C8005" w14:textId="02821560" w:rsidR="000E7754" w:rsidRDefault="000E7754" w:rsidP="006C5245">
      <w:pPr>
        <w:contextualSpacing/>
        <w:jc w:val="both"/>
        <w:rPr>
          <w:rFonts w:ascii="Verdana" w:eastAsia="Calibri" w:hAnsi="Verdana" w:cs="Arial"/>
          <w:b/>
          <w:bCs/>
          <w:lang w:val="es-ES_tradnl" w:eastAsia="es-ES"/>
        </w:rPr>
      </w:pPr>
      <w:r w:rsidRPr="006C5245">
        <w:rPr>
          <w:rFonts w:ascii="Verdana" w:eastAsia="Calibri" w:hAnsi="Verdana" w:cs="Arial"/>
          <w:b/>
          <w:bCs/>
          <w:lang w:val="es-ES_tradnl" w:eastAsia="es-ES"/>
        </w:rPr>
        <w:t>DECRETO 248 DE 2021 –</w:t>
      </w:r>
      <w:r w:rsidR="00226D4C">
        <w:rPr>
          <w:rFonts w:ascii="Verdana" w:eastAsia="Calibri" w:hAnsi="Verdana" w:cs="Arial"/>
          <w:b/>
          <w:bCs/>
          <w:lang w:val="es-ES_tradnl" w:eastAsia="es-ES"/>
        </w:rPr>
        <w:t xml:space="preserve"> Sistema de puntajes </w:t>
      </w:r>
      <w:r w:rsidR="00226D4C" w:rsidRPr="006C5245">
        <w:rPr>
          <w:rFonts w:ascii="Verdana" w:eastAsia="Calibri" w:hAnsi="Verdana" w:cs="Arial"/>
          <w:b/>
          <w:bCs/>
          <w:lang w:val="es-ES_tradnl" w:eastAsia="es-ES"/>
        </w:rPr>
        <w:t>–</w:t>
      </w:r>
      <w:r w:rsidR="00226D4C">
        <w:rPr>
          <w:rFonts w:ascii="Verdana" w:eastAsia="Calibri" w:hAnsi="Verdana" w:cs="Arial"/>
          <w:b/>
          <w:bCs/>
          <w:lang w:val="es-ES_tradnl" w:eastAsia="es-ES"/>
        </w:rPr>
        <w:t xml:space="preserve"> </w:t>
      </w:r>
      <w:r w:rsidR="00226D4C" w:rsidRPr="006C5245">
        <w:rPr>
          <w:rFonts w:ascii="Verdana" w:eastAsia="Calibri" w:hAnsi="Verdana" w:cs="Arial"/>
          <w:b/>
          <w:bCs/>
          <w:lang w:val="es-ES_tradnl" w:eastAsia="es-ES"/>
        </w:rPr>
        <w:t>Ámbito de aplicación</w:t>
      </w:r>
      <w:r w:rsidR="00226D4C">
        <w:rPr>
          <w:rFonts w:ascii="Verdana" w:eastAsia="Calibri" w:hAnsi="Verdana" w:cs="Arial"/>
          <w:b/>
          <w:bCs/>
          <w:lang w:val="es-ES_tradnl" w:eastAsia="es-ES"/>
        </w:rPr>
        <w:t xml:space="preserve"> </w:t>
      </w:r>
      <w:r w:rsidR="00226D4C" w:rsidRPr="006C5245">
        <w:rPr>
          <w:rFonts w:ascii="Verdana" w:eastAsia="Calibri" w:hAnsi="Verdana" w:cs="Arial"/>
          <w:b/>
          <w:bCs/>
          <w:lang w:val="es-ES_tradnl" w:eastAsia="es-ES"/>
        </w:rPr>
        <w:t>–</w:t>
      </w:r>
      <w:r w:rsidR="00226D4C">
        <w:rPr>
          <w:rFonts w:ascii="Verdana" w:eastAsia="Calibri" w:hAnsi="Verdana" w:cs="Arial"/>
          <w:b/>
          <w:bCs/>
          <w:lang w:val="es-ES_tradnl" w:eastAsia="es-ES"/>
        </w:rPr>
        <w:t xml:space="preserve"> PAE</w:t>
      </w:r>
    </w:p>
    <w:p w14:paraId="6C4CF689" w14:textId="77777777" w:rsidR="00226D4C" w:rsidRDefault="00226D4C" w:rsidP="00226D4C">
      <w:pPr>
        <w:spacing w:after="0" w:line="240" w:lineRule="auto"/>
        <w:contextualSpacing/>
        <w:jc w:val="both"/>
        <w:rPr>
          <w:rFonts w:ascii="Verdana" w:eastAsia="Times New Roman" w:hAnsi="Verdana" w:cs="Arial"/>
          <w:sz w:val="20"/>
          <w:szCs w:val="20"/>
          <w:lang w:eastAsia="es-CO"/>
        </w:rPr>
      </w:pPr>
    </w:p>
    <w:p w14:paraId="3F2382A0" w14:textId="73DFD074" w:rsidR="00226D4C" w:rsidRPr="00226D4C" w:rsidRDefault="00226D4C" w:rsidP="00226D4C">
      <w:pPr>
        <w:spacing w:after="0" w:line="240" w:lineRule="auto"/>
        <w:contextualSpacing/>
        <w:jc w:val="both"/>
        <w:rPr>
          <w:rFonts w:ascii="Verdana" w:eastAsia="Times New Roman" w:hAnsi="Verdana" w:cs="Arial"/>
          <w:sz w:val="20"/>
          <w:szCs w:val="20"/>
          <w:lang w:eastAsia="es-CO"/>
        </w:rPr>
      </w:pPr>
      <w:r w:rsidRPr="00226D4C">
        <w:rPr>
          <w:rFonts w:ascii="Verdana" w:eastAsia="Times New Roman" w:hAnsi="Verdana" w:cs="Arial"/>
          <w:sz w:val="20"/>
          <w:szCs w:val="20"/>
          <w:lang w:eastAsia="es-CO"/>
        </w:rPr>
        <w:t xml:space="preserve">Como parte de lo anterior, el Decreto 248 de 2021 adicionó un sistema de puntajes al Decreto 1071 de 2015, los cuales se encuentran establecidos en los artículos 2.20.1.2.1, 2.20.1.2.2 y 2.20.1.2.3. En particular, el </w:t>
      </w:r>
      <w:r w:rsidRPr="00226D4C">
        <w:rPr>
          <w:rFonts w:ascii="Verdana" w:eastAsia="Times New Roman" w:hAnsi="Verdana" w:cs="Arial"/>
          <w:i/>
          <w:iCs/>
          <w:sz w:val="20"/>
          <w:szCs w:val="20"/>
          <w:lang w:eastAsia="es-CO"/>
        </w:rPr>
        <w:t>artículo 2.20.1.2.1.</w:t>
      </w:r>
      <w:r w:rsidRPr="00226D4C">
        <w:rPr>
          <w:rFonts w:ascii="Verdana" w:eastAsia="Times New Roman" w:hAnsi="Verdana" w:cs="Arial"/>
          <w:sz w:val="20"/>
          <w:szCs w:val="20"/>
          <w:lang w:eastAsia="es-CO"/>
        </w:rPr>
        <w:t xml:space="preserve"> establece de manera clara los requisitos que de forma </w:t>
      </w:r>
      <w:r w:rsidRPr="00226D4C">
        <w:rPr>
          <w:rFonts w:ascii="Verdana" w:eastAsia="Times New Roman" w:hAnsi="Verdana" w:cs="Arial"/>
          <w:i/>
          <w:iCs/>
          <w:sz w:val="20"/>
          <w:szCs w:val="20"/>
          <w:u w:val="single"/>
          <w:lang w:eastAsia="es-CO"/>
        </w:rPr>
        <w:t>obligatoria</w:t>
      </w:r>
      <w:r w:rsidRPr="00226D4C">
        <w:rPr>
          <w:rFonts w:ascii="Verdana" w:eastAsia="Times New Roman" w:hAnsi="Verdana" w:cs="Arial"/>
          <w:sz w:val="20"/>
          <w:szCs w:val="20"/>
          <w:lang w:eastAsia="es-CO"/>
        </w:rPr>
        <w:t xml:space="preserve"> deben incluir las entidades públicas descentralizadas del orden nacional y las entidades territoriales en todos los procesos que adelanten en los requieran productos agropecuarios para atender la demanda de los programas institucionales de servicios de alimentación definidos en el dicho decreto. En contraste, el </w:t>
      </w:r>
      <w:r w:rsidRPr="00226D4C">
        <w:rPr>
          <w:rFonts w:ascii="Verdana" w:eastAsia="Times New Roman" w:hAnsi="Verdana" w:cs="Arial"/>
          <w:i/>
          <w:iCs/>
          <w:sz w:val="20"/>
          <w:szCs w:val="20"/>
          <w:lang w:eastAsia="es-CO"/>
        </w:rPr>
        <w:t>artículo 2.20.1.2.2.</w:t>
      </w:r>
      <w:r w:rsidRPr="00226D4C">
        <w:rPr>
          <w:rFonts w:ascii="Verdana" w:eastAsia="Times New Roman" w:hAnsi="Verdana" w:cs="Arial"/>
          <w:b/>
          <w:bCs/>
          <w:sz w:val="20"/>
          <w:szCs w:val="20"/>
          <w:lang w:eastAsia="es-CO"/>
        </w:rPr>
        <w:t> </w:t>
      </w:r>
      <w:r w:rsidRPr="00226D4C">
        <w:rPr>
          <w:rFonts w:ascii="Verdana" w:eastAsia="Times New Roman" w:hAnsi="Verdana" w:cs="Arial"/>
          <w:sz w:val="20"/>
          <w:szCs w:val="20"/>
          <w:lang w:eastAsia="es-CO"/>
        </w:rPr>
        <w:t xml:space="preserve">señala puntajes adicionales que las entidades pueden incluir de manera </w:t>
      </w:r>
      <w:r w:rsidRPr="00226D4C">
        <w:rPr>
          <w:rFonts w:ascii="Verdana" w:eastAsia="Times New Roman" w:hAnsi="Verdana" w:cs="Arial"/>
          <w:i/>
          <w:iCs/>
          <w:sz w:val="20"/>
          <w:szCs w:val="20"/>
          <w:u w:val="single"/>
          <w:lang w:eastAsia="es-CO"/>
        </w:rPr>
        <w:t>facultativa</w:t>
      </w:r>
      <w:r w:rsidRPr="00226D4C">
        <w:rPr>
          <w:rFonts w:ascii="Verdana" w:eastAsia="Times New Roman" w:hAnsi="Verdana" w:cs="Arial"/>
          <w:sz w:val="20"/>
          <w:szCs w:val="20"/>
          <w:lang w:eastAsia="es-CO"/>
        </w:rPr>
        <w:t xml:space="preserve"> en dichos procesos.</w:t>
      </w:r>
    </w:p>
    <w:p w14:paraId="34278C47" w14:textId="77777777" w:rsidR="00226D4C" w:rsidRPr="00226D4C" w:rsidRDefault="00226D4C" w:rsidP="00226D4C">
      <w:pPr>
        <w:spacing w:after="0" w:line="240" w:lineRule="auto"/>
        <w:contextualSpacing/>
        <w:jc w:val="both"/>
        <w:rPr>
          <w:rFonts w:ascii="Verdana" w:eastAsia="Times New Roman" w:hAnsi="Verdana" w:cs="Arial"/>
          <w:sz w:val="20"/>
          <w:szCs w:val="20"/>
          <w:lang w:eastAsia="es-CO"/>
        </w:rPr>
      </w:pPr>
      <w:r w:rsidRPr="00226D4C">
        <w:rPr>
          <w:rFonts w:ascii="Verdana" w:eastAsia="Times New Roman" w:hAnsi="Verdana" w:cs="Arial"/>
          <w:sz w:val="20"/>
          <w:szCs w:val="20"/>
          <w:lang w:eastAsia="es-CO"/>
        </w:rPr>
        <w:t xml:space="preserve">De acuerdo con la redacción de estas normas, dos aspectos son fundamentales para determinar su aplicación: la </w:t>
      </w:r>
      <w:r w:rsidRPr="00226D4C">
        <w:rPr>
          <w:rFonts w:ascii="Verdana" w:eastAsia="Times New Roman" w:hAnsi="Verdana" w:cs="Arial"/>
          <w:i/>
          <w:iCs/>
          <w:sz w:val="20"/>
          <w:szCs w:val="20"/>
          <w:lang w:eastAsia="es-CO"/>
        </w:rPr>
        <w:t>naturaleza</w:t>
      </w:r>
      <w:r w:rsidRPr="00226D4C">
        <w:rPr>
          <w:rFonts w:ascii="Verdana" w:eastAsia="Times New Roman" w:hAnsi="Verdana" w:cs="Arial"/>
          <w:sz w:val="20"/>
          <w:szCs w:val="20"/>
          <w:lang w:eastAsia="es-CO"/>
        </w:rPr>
        <w:t xml:space="preserve"> de las entidades contratantes y el </w:t>
      </w:r>
      <w:r w:rsidRPr="00226D4C">
        <w:rPr>
          <w:rFonts w:ascii="Verdana" w:eastAsia="Times New Roman" w:hAnsi="Verdana" w:cs="Arial"/>
          <w:i/>
          <w:iCs/>
          <w:sz w:val="20"/>
          <w:szCs w:val="20"/>
          <w:lang w:eastAsia="es-CO"/>
        </w:rPr>
        <w:t xml:space="preserve">objeto </w:t>
      </w:r>
      <w:r w:rsidRPr="00226D4C">
        <w:rPr>
          <w:rFonts w:ascii="Verdana" w:eastAsia="Times New Roman" w:hAnsi="Verdana" w:cs="Arial"/>
          <w:sz w:val="20"/>
          <w:szCs w:val="20"/>
          <w:lang w:eastAsia="es-CO"/>
        </w:rPr>
        <w:t xml:space="preserve">del proceso de contratación que adelanten. En este sentido, los incentivos serán aplicables cuando la Entidad Estatal contratante cumpla con tener la naturaleza de una entidad descentralizada del orden nacional o de una entidad territorial. Además, será necesario que el proceso de contratación surja de la necesidad de adquirir productos agropecuarios para la ejecución de los programas institucionales relacionados con la prestación de servicios de alimentación. En consecuencia, los puntajes proceden en los procesos para la adquisición de alimentos para atender los Programas de Alimentación Escolar de las entidades.  </w:t>
      </w:r>
    </w:p>
    <w:p w14:paraId="5B113B79" w14:textId="77777777" w:rsidR="00226D4C" w:rsidRDefault="00226D4C" w:rsidP="006C5245">
      <w:pPr>
        <w:contextualSpacing/>
        <w:jc w:val="both"/>
        <w:rPr>
          <w:rFonts w:ascii="Verdana" w:eastAsia="Calibri" w:hAnsi="Verdana" w:cs="Arial"/>
          <w:b/>
          <w:bCs/>
          <w:lang w:val="es-ES_tradnl" w:eastAsia="es-ES"/>
        </w:rPr>
      </w:pPr>
    </w:p>
    <w:p w14:paraId="39F25311" w14:textId="77777777" w:rsidR="00D720B0" w:rsidRPr="006C5245" w:rsidRDefault="00D720B0" w:rsidP="006C5245">
      <w:pPr>
        <w:spacing w:after="0" w:line="240" w:lineRule="auto"/>
        <w:contextualSpacing/>
        <w:jc w:val="both"/>
        <w:rPr>
          <w:rFonts w:ascii="Verdana" w:eastAsia="Calibri" w:hAnsi="Verdana" w:cs="Arial"/>
          <w:b/>
          <w:bCs/>
          <w:lang w:val="es-ES_tradnl" w:eastAsia="es-ES"/>
        </w:rPr>
      </w:pPr>
    </w:p>
    <w:p w14:paraId="3BFB6645" w14:textId="77777777" w:rsidR="000E7754" w:rsidRDefault="000E7754" w:rsidP="004428D0">
      <w:pPr>
        <w:spacing w:after="0"/>
        <w:rPr>
          <w:rFonts w:ascii="Verdana" w:hAnsi="Verdana"/>
        </w:rPr>
      </w:pPr>
    </w:p>
    <w:p w14:paraId="30533D1E" w14:textId="77777777" w:rsidR="000E7754" w:rsidRDefault="000E7754" w:rsidP="004428D0">
      <w:pPr>
        <w:spacing w:after="0"/>
        <w:rPr>
          <w:rFonts w:ascii="Verdana" w:hAnsi="Verdana"/>
        </w:rPr>
      </w:pPr>
    </w:p>
    <w:p w14:paraId="43DF2AA9" w14:textId="77777777" w:rsidR="00226D4C" w:rsidRDefault="00226D4C" w:rsidP="004428D0">
      <w:pPr>
        <w:spacing w:after="0"/>
        <w:rPr>
          <w:rFonts w:ascii="Verdana" w:hAnsi="Verdana"/>
        </w:rPr>
      </w:pPr>
    </w:p>
    <w:p w14:paraId="027D9DC3" w14:textId="77777777" w:rsidR="00226D4C" w:rsidRDefault="00226D4C" w:rsidP="004428D0">
      <w:pPr>
        <w:spacing w:after="0"/>
        <w:rPr>
          <w:rFonts w:ascii="Verdana" w:hAnsi="Verdana"/>
        </w:rPr>
      </w:pPr>
    </w:p>
    <w:p w14:paraId="04E82CFF" w14:textId="77777777" w:rsidR="00226D4C" w:rsidRDefault="00226D4C" w:rsidP="004428D0">
      <w:pPr>
        <w:spacing w:after="0"/>
        <w:rPr>
          <w:rFonts w:ascii="Verdana" w:hAnsi="Verdana"/>
        </w:rPr>
      </w:pPr>
    </w:p>
    <w:p w14:paraId="1FC85297" w14:textId="77777777" w:rsidR="00226D4C" w:rsidRDefault="00226D4C" w:rsidP="004428D0">
      <w:pPr>
        <w:spacing w:after="0"/>
        <w:rPr>
          <w:rFonts w:ascii="Verdana" w:hAnsi="Verdana"/>
        </w:rPr>
      </w:pPr>
    </w:p>
    <w:p w14:paraId="416978CD" w14:textId="77777777" w:rsidR="00226D4C" w:rsidRDefault="00226D4C" w:rsidP="004428D0">
      <w:pPr>
        <w:spacing w:after="0"/>
        <w:rPr>
          <w:rFonts w:ascii="Verdana" w:hAnsi="Verdana"/>
        </w:rPr>
      </w:pPr>
    </w:p>
    <w:p w14:paraId="3510F8F0" w14:textId="77777777" w:rsidR="00226D4C" w:rsidRDefault="00226D4C" w:rsidP="004428D0">
      <w:pPr>
        <w:spacing w:after="0"/>
        <w:rPr>
          <w:rFonts w:ascii="Verdana" w:hAnsi="Verdana"/>
        </w:rPr>
      </w:pPr>
    </w:p>
    <w:p w14:paraId="75823478" w14:textId="77777777" w:rsidR="00226D4C" w:rsidRDefault="00226D4C" w:rsidP="004428D0">
      <w:pPr>
        <w:spacing w:after="0"/>
        <w:rPr>
          <w:rFonts w:ascii="Verdana" w:hAnsi="Verdana"/>
        </w:rPr>
      </w:pPr>
    </w:p>
    <w:p w14:paraId="528205AD" w14:textId="672AF191" w:rsidR="004428D0" w:rsidRPr="0044528D" w:rsidRDefault="004428D0" w:rsidP="004428D0">
      <w:pPr>
        <w:spacing w:after="0"/>
        <w:rPr>
          <w:rFonts w:ascii="Verdana" w:hAnsi="Verdana"/>
        </w:rPr>
      </w:pPr>
      <w:r w:rsidRPr="0044528D">
        <w:rPr>
          <w:rFonts w:ascii="Verdana" w:hAnsi="Verdana"/>
        </w:rPr>
        <w:lastRenderedPageBreak/>
        <w:t xml:space="preserve">Bogotá D.C., </w:t>
      </w:r>
      <w:r w:rsidR="000E7754">
        <w:rPr>
          <w:rFonts w:ascii="Verdana" w:hAnsi="Verdana"/>
        </w:rPr>
        <w:t>2</w:t>
      </w:r>
      <w:r w:rsidR="00F02880">
        <w:rPr>
          <w:rFonts w:ascii="Verdana" w:hAnsi="Verdana"/>
        </w:rPr>
        <w:t>9</w:t>
      </w:r>
      <w:r w:rsidR="000E7754">
        <w:rPr>
          <w:rFonts w:ascii="Verdana" w:hAnsi="Verdana"/>
        </w:rPr>
        <w:t xml:space="preserve"> Mayo 2025</w:t>
      </w:r>
      <w:r w:rsidRPr="0044528D">
        <w:rPr>
          <w:rFonts w:ascii="Verdana" w:hAnsi="Verdana"/>
        </w:rPr>
        <w:tab/>
      </w:r>
    </w:p>
    <w:p w14:paraId="6120A3F9" w14:textId="70AAFE15" w:rsidR="004428D0" w:rsidRDefault="004428D0" w:rsidP="004428D0">
      <w:pPr>
        <w:spacing w:after="0"/>
        <w:rPr>
          <w:rFonts w:ascii="Verdana" w:hAnsi="Verdana"/>
        </w:rPr>
      </w:pPr>
    </w:p>
    <w:p w14:paraId="3C3F7767" w14:textId="0D2287B7" w:rsidR="004428D0" w:rsidRPr="00FE5A24" w:rsidRDefault="003A799E" w:rsidP="004428D0">
      <w:pPr>
        <w:spacing w:after="0" w:line="240" w:lineRule="auto"/>
        <w:jc w:val="both"/>
        <w:rPr>
          <w:rFonts w:ascii="Verdana" w:eastAsia="Calibri" w:hAnsi="Verdana" w:cs="Arial"/>
          <w:color w:val="000000" w:themeColor="text1"/>
          <w:lang w:val="es-ES" w:eastAsia="es-ES"/>
        </w:rPr>
      </w:pPr>
      <w:r>
        <w:rPr>
          <w:rFonts w:ascii="Verdana" w:eastAsia="Calibri" w:hAnsi="Verdana" w:cs="Arial"/>
          <w:b/>
          <w:bCs/>
          <w:noProof/>
          <w:color w:val="000000" w:themeColor="text1"/>
          <w:lang w:val="en-CO" w:eastAsia="es-ES_tradnl"/>
        </w:rPr>
        <w:drawing>
          <wp:anchor distT="0" distB="0" distL="114300" distR="114300" simplePos="0" relativeHeight="251658240" behindDoc="0" locked="0" layoutInCell="1" allowOverlap="1" wp14:anchorId="1FD842FF" wp14:editId="00BD2292">
            <wp:simplePos x="0" y="0"/>
            <wp:positionH relativeFrom="column">
              <wp:posOffset>2729697</wp:posOffset>
            </wp:positionH>
            <wp:positionV relativeFrom="paragraph">
              <wp:posOffset>36195</wp:posOffset>
            </wp:positionV>
            <wp:extent cx="2799080" cy="743585"/>
            <wp:effectExtent l="0" t="0" r="0" b="5715"/>
            <wp:wrapSquare wrapText="bothSides"/>
            <wp:docPr id="3650760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076059" name="Picture 36507605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99080" cy="743585"/>
                    </a:xfrm>
                    <a:prstGeom prst="rect">
                      <a:avLst/>
                    </a:prstGeom>
                  </pic:spPr>
                </pic:pic>
              </a:graphicData>
            </a:graphic>
            <wp14:sizeRelH relativeFrom="page">
              <wp14:pctWidth>0</wp14:pctWidth>
            </wp14:sizeRelH>
            <wp14:sizeRelV relativeFrom="page">
              <wp14:pctHeight>0</wp14:pctHeight>
            </wp14:sizeRelV>
          </wp:anchor>
        </w:drawing>
      </w:r>
      <w:r w:rsidR="004428D0" w:rsidRPr="00FE5A24">
        <w:rPr>
          <w:rFonts w:ascii="Verdana" w:eastAsia="Calibri" w:hAnsi="Verdana" w:cs="Arial"/>
          <w:color w:val="000000" w:themeColor="text1"/>
          <w:lang w:val="es-ES" w:eastAsia="es-ES"/>
        </w:rPr>
        <w:t>Señor</w:t>
      </w:r>
    </w:p>
    <w:p w14:paraId="69D46C21" w14:textId="773025AE" w:rsidR="004428D0" w:rsidRDefault="004428D0" w:rsidP="004428D0">
      <w:pPr>
        <w:spacing w:after="0" w:line="240" w:lineRule="auto"/>
        <w:rPr>
          <w:rFonts w:ascii="Verdana" w:eastAsia="Calibri" w:hAnsi="Verdana" w:cs="Arial"/>
          <w:b/>
          <w:bCs/>
          <w:color w:val="000000" w:themeColor="text1"/>
          <w:lang w:val="en-CO" w:eastAsia="es-ES_tradnl"/>
        </w:rPr>
      </w:pPr>
      <w:r w:rsidRPr="00626EEE">
        <w:rPr>
          <w:rFonts w:ascii="Verdana" w:eastAsia="Calibri" w:hAnsi="Verdana" w:cs="Arial"/>
          <w:b/>
          <w:bCs/>
          <w:color w:val="000000" w:themeColor="text1"/>
          <w:lang w:val="en-CO" w:eastAsia="es-ES_tradnl"/>
        </w:rPr>
        <w:t xml:space="preserve">Nilton Javier Caicedo Vidal </w:t>
      </w:r>
    </w:p>
    <w:p w14:paraId="1545134B" w14:textId="77777777" w:rsidR="004428D0" w:rsidRPr="00626EEE" w:rsidRDefault="004428D0" w:rsidP="004428D0">
      <w:pPr>
        <w:spacing w:after="0" w:line="240" w:lineRule="auto"/>
        <w:rPr>
          <w:rFonts w:ascii="Verdana" w:eastAsia="Calibri" w:hAnsi="Verdana" w:cs="Arial"/>
          <w:bCs/>
          <w:color w:val="000000" w:themeColor="text1"/>
          <w:lang w:val="en-CO" w:eastAsia="es-ES_tradnl"/>
        </w:rPr>
      </w:pPr>
      <w:r w:rsidRPr="00626EEE">
        <w:rPr>
          <w:rFonts w:ascii="Verdana" w:eastAsia="Calibri" w:hAnsi="Verdana" w:cs="Arial"/>
          <w:bCs/>
          <w:color w:val="000000" w:themeColor="text1"/>
          <w:lang w:val="en-CO" w:eastAsia="es-ES_tradnl"/>
        </w:rPr>
        <w:t>nijacavi@hotmail.com</w:t>
      </w:r>
    </w:p>
    <w:p w14:paraId="1601EDE7" w14:textId="77777777" w:rsidR="004428D0" w:rsidRPr="00DF4023" w:rsidRDefault="004428D0" w:rsidP="004428D0">
      <w:pPr>
        <w:spacing w:after="0" w:line="240" w:lineRule="auto"/>
        <w:rPr>
          <w:rFonts w:ascii="Verdana" w:eastAsia="Calibri" w:hAnsi="Verdana" w:cs="Arial"/>
          <w:bCs/>
          <w:color w:val="000000" w:themeColor="text1"/>
          <w:lang w:eastAsia="es-ES_tradnl"/>
        </w:rPr>
      </w:pPr>
      <w:r>
        <w:rPr>
          <w:rFonts w:ascii="Verdana" w:eastAsia="Calibri" w:hAnsi="Verdana" w:cs="Arial"/>
          <w:color w:val="000000" w:themeColor="text1"/>
          <w:lang w:val="es-ES" w:eastAsia="es-ES"/>
        </w:rPr>
        <w:t>Cali, Valle del Cauca</w:t>
      </w:r>
    </w:p>
    <w:p w14:paraId="63107F99" w14:textId="77777777" w:rsidR="004428D0" w:rsidRPr="00FE5A24" w:rsidRDefault="004428D0" w:rsidP="004428D0">
      <w:pPr>
        <w:spacing w:after="0" w:line="240" w:lineRule="auto"/>
        <w:rPr>
          <w:rFonts w:ascii="Verdana" w:eastAsia="Calibri" w:hAnsi="Verdana" w:cs="Arial"/>
          <w:b/>
          <w:bCs/>
          <w:color w:val="000000" w:themeColor="text1"/>
          <w:lang w:val="es-ES_tradnl" w:eastAsia="es-ES_tradnl"/>
        </w:rPr>
      </w:pPr>
    </w:p>
    <w:p w14:paraId="0AFBF1C5" w14:textId="77777777" w:rsidR="004428D0" w:rsidRPr="00FE5A24" w:rsidRDefault="004428D0" w:rsidP="004428D0">
      <w:pPr>
        <w:spacing w:after="0" w:line="240" w:lineRule="auto"/>
        <w:rPr>
          <w:rFonts w:ascii="Verdana" w:eastAsia="Calibri" w:hAnsi="Verdana" w:cs="Arial"/>
          <w:b/>
          <w:bCs/>
          <w:color w:val="000000" w:themeColor="text1"/>
          <w:lang w:val="es-ES_tradnl" w:eastAsia="es-ES_tradnl"/>
        </w:rPr>
      </w:pPr>
    </w:p>
    <w:tbl>
      <w:tblPr>
        <w:tblStyle w:val="TableGrid"/>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428D0" w:rsidRPr="00FE5A24" w14:paraId="206576E7" w14:textId="77777777" w:rsidTr="009900CB">
        <w:trPr>
          <w:trHeight w:val="304"/>
        </w:trPr>
        <w:tc>
          <w:tcPr>
            <w:tcW w:w="2689" w:type="dxa"/>
          </w:tcPr>
          <w:p w14:paraId="7E76B63B" w14:textId="77777777" w:rsidR="004428D0" w:rsidRPr="00FE5A24" w:rsidRDefault="004428D0" w:rsidP="009900CB">
            <w:pPr>
              <w:jc w:val="both"/>
              <w:rPr>
                <w:rFonts w:ascii="Verdana" w:eastAsia="Calibri" w:hAnsi="Verdana" w:cs="Arial"/>
                <w:b/>
                <w:bCs/>
                <w:color w:val="000000" w:themeColor="text1"/>
                <w:lang w:val="es-ES_tradnl" w:eastAsia="es-ES_tradnl"/>
              </w:rPr>
            </w:pPr>
          </w:p>
        </w:tc>
        <w:tc>
          <w:tcPr>
            <w:tcW w:w="6100" w:type="dxa"/>
          </w:tcPr>
          <w:p w14:paraId="2B39E0F5" w14:textId="77777777" w:rsidR="004428D0" w:rsidRDefault="004428D0" w:rsidP="009900CB">
            <w:pPr>
              <w:jc w:val="both"/>
              <w:rPr>
                <w:rFonts w:ascii="Verdana" w:eastAsia="Calibri" w:hAnsi="Verdana" w:cs="Arial"/>
                <w:b/>
                <w:bCs/>
                <w:color w:val="000000" w:themeColor="text1"/>
                <w:lang w:val="es-ES" w:eastAsia="es-ES"/>
              </w:rPr>
            </w:pPr>
            <w:r w:rsidRPr="00FE5A2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570</w:t>
            </w:r>
            <w:r w:rsidRPr="00FE5A24">
              <w:rPr>
                <w:rFonts w:ascii="Verdana" w:eastAsia="Calibri" w:hAnsi="Verdana" w:cs="Arial"/>
                <w:b/>
                <w:bCs/>
                <w:color w:val="000000" w:themeColor="text1"/>
                <w:lang w:val="es-ES" w:eastAsia="es-ES"/>
              </w:rPr>
              <w:t xml:space="preserve"> de 2025</w:t>
            </w:r>
          </w:p>
          <w:p w14:paraId="6677E3A7" w14:textId="77777777" w:rsidR="004428D0" w:rsidRPr="00FE5A24" w:rsidRDefault="004428D0" w:rsidP="009900CB">
            <w:pPr>
              <w:jc w:val="both"/>
              <w:rPr>
                <w:rFonts w:ascii="Verdana" w:eastAsia="Calibri" w:hAnsi="Verdana" w:cs="Arial"/>
                <w:b/>
                <w:bCs/>
                <w:color w:val="000000" w:themeColor="text1"/>
                <w:lang w:val="es-ES" w:eastAsia="es-ES"/>
              </w:rPr>
            </w:pPr>
          </w:p>
        </w:tc>
      </w:tr>
      <w:tr w:rsidR="004428D0" w:rsidRPr="00FE5A24" w14:paraId="13C68D71" w14:textId="77777777" w:rsidTr="009900CB">
        <w:trPr>
          <w:trHeight w:val="884"/>
        </w:trPr>
        <w:tc>
          <w:tcPr>
            <w:tcW w:w="2689" w:type="dxa"/>
          </w:tcPr>
          <w:p w14:paraId="6F8F51B5" w14:textId="77777777" w:rsidR="004428D0" w:rsidRPr="00FE5A24" w:rsidRDefault="004428D0" w:rsidP="009900CB">
            <w:pPr>
              <w:jc w:val="both"/>
              <w:rPr>
                <w:rFonts w:ascii="Verdana" w:eastAsia="Calibri" w:hAnsi="Verdana" w:cs="Arial"/>
                <w:color w:val="000000" w:themeColor="text1"/>
                <w:lang w:val="es-ES_tradnl" w:eastAsia="es-ES_tradnl"/>
              </w:rPr>
            </w:pPr>
            <w:r>
              <w:rPr>
                <w:rFonts w:ascii="Verdana" w:eastAsia="Calibri" w:hAnsi="Verdana" w:cs="Arial"/>
                <w:b/>
                <w:color w:val="000000" w:themeColor="text1"/>
                <w:lang w:val="es-ES_tradnl" w:eastAsia="es-ES_tradnl"/>
              </w:rPr>
              <w:t>T</w:t>
            </w:r>
            <w:r w:rsidRPr="00FE5A24">
              <w:rPr>
                <w:rFonts w:ascii="Verdana" w:eastAsia="Calibri" w:hAnsi="Verdana" w:cs="Arial"/>
                <w:b/>
                <w:color w:val="000000" w:themeColor="text1"/>
                <w:lang w:val="es-ES_tradnl" w:eastAsia="es-ES_tradnl"/>
              </w:rPr>
              <w:t>emas:</w:t>
            </w:r>
            <w:r w:rsidRPr="00FE5A24">
              <w:rPr>
                <w:rFonts w:ascii="Verdana" w:eastAsia="Calibri" w:hAnsi="Verdana" w:cs="Arial"/>
                <w:color w:val="000000" w:themeColor="text1"/>
                <w:lang w:val="es-ES_tradnl" w:eastAsia="es-ES_tradnl"/>
              </w:rPr>
              <w:t xml:space="preserve">                   </w:t>
            </w:r>
          </w:p>
        </w:tc>
        <w:tc>
          <w:tcPr>
            <w:tcW w:w="6100" w:type="dxa"/>
          </w:tcPr>
          <w:p w14:paraId="683E8C21" w14:textId="7D852C56" w:rsidR="004428D0" w:rsidRDefault="004428D0" w:rsidP="009900CB">
            <w:pPr>
              <w:jc w:val="both"/>
              <w:rPr>
                <w:rFonts w:ascii="Verdana" w:eastAsia="Calibri" w:hAnsi="Verdana" w:cs="Arial"/>
                <w:lang w:val="es-ES_tradnl" w:eastAsia="es-ES"/>
              </w:rPr>
            </w:pPr>
            <w:r w:rsidRPr="00D90E97">
              <w:rPr>
                <w:rFonts w:ascii="Verdana" w:eastAsia="Calibri" w:hAnsi="Verdana" w:cs="Arial"/>
                <w:lang w:val="es-ES_tradnl" w:eastAsia="es-ES"/>
              </w:rPr>
              <w:t xml:space="preserve">LEY 1955 DE 2019 – Artículo 229 – Finalidad / LEY 2046 DE 2020 – Finalidad – Ámbito de aplicación - Compra pública de alimentos / LEY 2046 DE 2020 – Artículo 7 – Incentivos contractuales – Puntajes adicionales – Promoción de la compra pública de alimentos / </w:t>
            </w:r>
            <w:r w:rsidR="00226D4C" w:rsidRPr="00226D4C">
              <w:rPr>
                <w:rFonts w:ascii="Verdana" w:eastAsia="Calibri" w:hAnsi="Verdana" w:cs="Arial"/>
                <w:lang w:val="es-ES_tradnl" w:eastAsia="es-ES"/>
              </w:rPr>
              <w:t>DECRETO 248 DE 2021 – Sistema de puntajes – Ámbito de aplicación – PAE</w:t>
            </w:r>
          </w:p>
          <w:p w14:paraId="4292C619" w14:textId="77777777" w:rsidR="004428D0" w:rsidRPr="002A1163" w:rsidRDefault="004428D0" w:rsidP="009900CB">
            <w:pPr>
              <w:contextualSpacing/>
              <w:jc w:val="both"/>
              <w:rPr>
                <w:rFonts w:ascii="Verdana" w:eastAsia="Calibri" w:hAnsi="Verdana" w:cs="Arial"/>
                <w:color w:val="000000" w:themeColor="text1"/>
                <w:lang w:val="es-ES" w:eastAsia="es-ES"/>
              </w:rPr>
            </w:pPr>
          </w:p>
        </w:tc>
      </w:tr>
      <w:tr w:rsidR="004428D0" w:rsidRPr="00FE5A24" w14:paraId="35E97FDA" w14:textId="77777777" w:rsidTr="009900CB">
        <w:tc>
          <w:tcPr>
            <w:tcW w:w="2689" w:type="dxa"/>
          </w:tcPr>
          <w:p w14:paraId="432CF228" w14:textId="77777777" w:rsidR="004428D0" w:rsidRPr="00FE5A24" w:rsidRDefault="004428D0" w:rsidP="009900CB">
            <w:pPr>
              <w:jc w:val="both"/>
              <w:rPr>
                <w:rFonts w:ascii="Verdana" w:eastAsia="Calibri" w:hAnsi="Verdana" w:cs="Arial"/>
                <w:b/>
                <w:color w:val="000000" w:themeColor="text1"/>
                <w:lang w:val="es-ES_tradnl" w:eastAsia="es-ES_tradnl"/>
              </w:rPr>
            </w:pPr>
            <w:r w:rsidRPr="00FE5A24">
              <w:rPr>
                <w:rFonts w:ascii="Verdana" w:eastAsia="Calibri" w:hAnsi="Verdana" w:cs="Arial"/>
                <w:b/>
                <w:color w:val="000000" w:themeColor="text1"/>
                <w:lang w:val="es-ES_tradnl" w:eastAsia="es-ES_tradnl"/>
              </w:rPr>
              <w:t>Radicación:</w:t>
            </w:r>
            <w:r w:rsidRPr="00FE5A24">
              <w:rPr>
                <w:rFonts w:ascii="Verdana" w:eastAsia="Calibri" w:hAnsi="Verdana" w:cs="Arial"/>
                <w:color w:val="000000" w:themeColor="text1"/>
                <w:lang w:val="es-ES_tradnl" w:eastAsia="es-ES_tradnl"/>
              </w:rPr>
              <w:t xml:space="preserve">               </w:t>
            </w:r>
          </w:p>
        </w:tc>
        <w:tc>
          <w:tcPr>
            <w:tcW w:w="6100" w:type="dxa"/>
          </w:tcPr>
          <w:p w14:paraId="2E52B4A9" w14:textId="77777777" w:rsidR="004428D0" w:rsidRPr="00FE5A24" w:rsidRDefault="004428D0" w:rsidP="009900CB">
            <w:pPr>
              <w:jc w:val="both"/>
              <w:rPr>
                <w:rFonts w:ascii="Verdana" w:eastAsia="Calibri" w:hAnsi="Verdana" w:cs="Arial"/>
                <w:color w:val="000000" w:themeColor="text1"/>
                <w:lang w:val="es-ES_tradnl" w:eastAsia="es-ES_tradnl"/>
              </w:rPr>
            </w:pPr>
            <w:r w:rsidRPr="00FE5A24">
              <w:rPr>
                <w:rFonts w:ascii="Verdana" w:eastAsia="Calibri" w:hAnsi="Verdana" w:cs="Arial"/>
                <w:color w:val="000000" w:themeColor="text1"/>
                <w:lang w:val="es-ES_tradnl" w:eastAsia="es-ES_tradnl"/>
              </w:rPr>
              <w:t>Respuesta a consulta con radicado No.</w:t>
            </w:r>
            <w:r>
              <w:rPr>
                <w:rFonts w:ascii="Verdana" w:eastAsia="Calibri" w:hAnsi="Verdana" w:cs="Arial"/>
                <w:color w:val="000000" w:themeColor="text1"/>
                <w:lang w:val="es-ES_tradnl" w:eastAsia="es-ES_tradnl"/>
              </w:rPr>
              <w:t xml:space="preserve"> </w:t>
            </w:r>
            <w:r w:rsidRPr="00626EEE">
              <w:rPr>
                <w:rFonts w:ascii="Verdana" w:eastAsia="Calibri" w:hAnsi="Verdana" w:cs="Arial"/>
                <w:color w:val="000000" w:themeColor="text1"/>
                <w:lang w:val="es-ES_tradnl" w:eastAsia="es-ES_tradnl"/>
              </w:rPr>
              <w:t>P20250509004459</w:t>
            </w:r>
          </w:p>
        </w:tc>
      </w:tr>
    </w:tbl>
    <w:p w14:paraId="59DA9A79" w14:textId="77777777" w:rsidR="004428D0" w:rsidRPr="00FE5A24" w:rsidRDefault="004428D0" w:rsidP="004428D0">
      <w:pPr>
        <w:spacing w:after="0" w:line="276" w:lineRule="auto"/>
        <w:jc w:val="both"/>
        <w:rPr>
          <w:rFonts w:ascii="Verdana" w:eastAsia="Calibri" w:hAnsi="Verdana" w:cs="Arial"/>
          <w:color w:val="000000" w:themeColor="text1"/>
          <w:lang w:val="es-ES_tradnl" w:eastAsia="es-ES_tradnl"/>
        </w:rPr>
      </w:pPr>
    </w:p>
    <w:p w14:paraId="3264EA5A" w14:textId="77777777" w:rsidR="004428D0" w:rsidRPr="00FE5A24" w:rsidRDefault="004428D0" w:rsidP="004428D0">
      <w:pPr>
        <w:spacing w:after="0" w:line="276" w:lineRule="auto"/>
        <w:jc w:val="both"/>
        <w:rPr>
          <w:rFonts w:ascii="Verdana" w:eastAsia="Calibri" w:hAnsi="Verdana" w:cs="Arial"/>
          <w:color w:val="000000" w:themeColor="text1"/>
          <w:lang w:val="es-ES_tradnl" w:eastAsia="es-ES_tradnl"/>
        </w:rPr>
      </w:pPr>
    </w:p>
    <w:p w14:paraId="647F42BA" w14:textId="77777777" w:rsidR="004428D0" w:rsidRPr="00FE5A24" w:rsidRDefault="004428D0" w:rsidP="004428D0">
      <w:pPr>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FE5A24">
        <w:rPr>
          <w:rFonts w:ascii="Verdana" w:eastAsia="Calibri" w:hAnsi="Verdana" w:cs="Arial"/>
          <w:color w:val="000000" w:themeColor="text1"/>
          <w:lang w:val="es-ES" w:eastAsia="es-ES"/>
        </w:rPr>
        <w:t xml:space="preserve"> señor </w:t>
      </w:r>
      <w:r>
        <w:rPr>
          <w:rFonts w:ascii="Verdana" w:eastAsia="Calibri" w:hAnsi="Verdana" w:cs="Arial"/>
          <w:color w:val="000000" w:themeColor="text1"/>
          <w:lang w:val="es-ES" w:eastAsia="es-ES"/>
        </w:rPr>
        <w:t>Caicedo</w:t>
      </w:r>
      <w:r w:rsidRPr="00FE5A24">
        <w:rPr>
          <w:rFonts w:ascii="Verdana" w:eastAsia="Calibri" w:hAnsi="Verdana" w:cs="Arial"/>
          <w:color w:val="000000" w:themeColor="text1"/>
          <w:lang w:val="es-ES" w:eastAsia="es-ES"/>
        </w:rPr>
        <w:t xml:space="preserve">: </w:t>
      </w:r>
    </w:p>
    <w:p w14:paraId="012FD714" w14:textId="77777777" w:rsidR="004428D0" w:rsidRPr="00FE5A24" w:rsidRDefault="004428D0" w:rsidP="004428D0">
      <w:pPr>
        <w:tabs>
          <w:tab w:val="left" w:pos="3768"/>
        </w:tabs>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ab/>
      </w:r>
    </w:p>
    <w:p w14:paraId="235AD742" w14:textId="77777777" w:rsidR="004428D0" w:rsidRPr="00FE5A24" w:rsidRDefault="004428D0" w:rsidP="004428D0">
      <w:pPr>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En ejercicio de la competencia otorgada por los artículos 3, numeral 5º, y 11, numeral 8º, del Decreto Ley 4170 de 2011,</w:t>
      </w:r>
      <w:r w:rsidRPr="00FE5A24">
        <w:rPr>
          <w:rFonts w:ascii="Verdana" w:eastAsia="Arial MT" w:hAnsi="Verdana" w:cs="Arial MT"/>
          <w:color w:val="000000" w:themeColor="text1"/>
          <w:lang w:val="es-ES" w:eastAsia="es-ES"/>
        </w:rPr>
        <w:t xml:space="preserve"> </w:t>
      </w:r>
      <w:r w:rsidRPr="00FE5A24">
        <w:rPr>
          <w:rFonts w:ascii="Verdana" w:hAnsi="Verdana" w:cs="Arial"/>
          <w:color w:val="000000" w:themeColor="text1"/>
        </w:rPr>
        <w:t xml:space="preserve">así como lo establecido en el artículo 4 de la Resolución 1707 de 2018 expedida por esta Entidad, la Agencia Nacional de Contratación Pública – Colombia Compra Eficiente– responde su solicitud </w:t>
      </w:r>
      <w:r>
        <w:rPr>
          <w:rFonts w:ascii="Verdana" w:hAnsi="Verdana" w:cs="Arial"/>
          <w:color w:val="000000" w:themeColor="text1"/>
        </w:rPr>
        <w:t xml:space="preserve">de consulta </w:t>
      </w:r>
      <w:r w:rsidRPr="00FE5A24">
        <w:rPr>
          <w:rFonts w:ascii="Verdana" w:hAnsi="Verdana" w:cs="Arial"/>
          <w:color w:val="000000" w:themeColor="text1"/>
        </w:rPr>
        <w:t>remitida a esta entidad el</w:t>
      </w:r>
      <w:r>
        <w:rPr>
          <w:rFonts w:ascii="Verdana" w:hAnsi="Verdana" w:cs="Arial"/>
          <w:color w:val="000000" w:themeColor="text1"/>
        </w:rPr>
        <w:t xml:space="preserve"> 9</w:t>
      </w:r>
      <w:r w:rsidRPr="00FE5A24">
        <w:rPr>
          <w:rFonts w:ascii="Verdana" w:hAnsi="Verdana" w:cs="Arial"/>
          <w:color w:val="000000" w:themeColor="text1"/>
        </w:rPr>
        <w:t xml:space="preserve"> de </w:t>
      </w:r>
      <w:r>
        <w:rPr>
          <w:rFonts w:ascii="Verdana" w:hAnsi="Verdana" w:cs="Arial"/>
          <w:color w:val="000000" w:themeColor="text1"/>
        </w:rPr>
        <w:t>mayo</w:t>
      </w:r>
      <w:r w:rsidRPr="00FE5A24">
        <w:rPr>
          <w:rFonts w:ascii="Verdana" w:hAnsi="Verdana" w:cs="Arial"/>
          <w:color w:val="000000" w:themeColor="text1"/>
        </w:rPr>
        <w:t xml:space="preserve"> de 2025, en la cual manifiesta lo siguiente:</w:t>
      </w:r>
      <w:r w:rsidRPr="00FE5A24">
        <w:rPr>
          <w:rFonts w:ascii="Verdana" w:eastAsia="Calibri" w:hAnsi="Verdana" w:cs="Arial"/>
          <w:color w:val="000000" w:themeColor="text1"/>
          <w:lang w:val="es-ES" w:eastAsia="es-ES"/>
        </w:rPr>
        <w:t xml:space="preserve"> </w:t>
      </w:r>
    </w:p>
    <w:p w14:paraId="6F00D345" w14:textId="77777777" w:rsidR="004428D0" w:rsidRPr="00FE5A24" w:rsidRDefault="004428D0" w:rsidP="004428D0">
      <w:pPr>
        <w:spacing w:after="0" w:line="276" w:lineRule="auto"/>
        <w:jc w:val="both"/>
        <w:rPr>
          <w:rFonts w:ascii="Verdana" w:eastAsia="Calibri" w:hAnsi="Verdana" w:cs="Arial"/>
          <w:color w:val="000000" w:themeColor="text1"/>
          <w:lang w:val="es-ES" w:eastAsia="es-ES"/>
        </w:rPr>
      </w:pPr>
    </w:p>
    <w:p w14:paraId="0DB5F0AC" w14:textId="77777777" w:rsidR="004428D0" w:rsidRPr="00FB2811" w:rsidRDefault="004428D0" w:rsidP="004428D0">
      <w:pPr>
        <w:spacing w:after="0"/>
        <w:ind w:left="709" w:right="709"/>
        <w:jc w:val="both"/>
        <w:rPr>
          <w:rFonts w:ascii="Verdana" w:eastAsia="Century Gothic" w:hAnsi="Verdana" w:cs="Century Gothic"/>
          <w:color w:val="000000" w:themeColor="text1"/>
          <w:sz w:val="20"/>
          <w:szCs w:val="20"/>
          <w:lang w:val="en-CO"/>
        </w:rPr>
      </w:pPr>
      <w:bookmarkStart w:id="1" w:name="_Hlk95313578"/>
      <w:r w:rsidRPr="003A7064">
        <w:rPr>
          <w:rFonts w:ascii="Verdana" w:eastAsia="Century Gothic" w:hAnsi="Verdana" w:cs="Century Gothic"/>
          <w:color w:val="000000" w:themeColor="text1"/>
          <w:sz w:val="20"/>
          <w:szCs w:val="20"/>
          <w:lang w:val="es-ES"/>
        </w:rPr>
        <w:t>“[…]</w:t>
      </w:r>
      <w:bookmarkEnd w:id="1"/>
      <w:r>
        <w:rPr>
          <w:rFonts w:ascii="Verdana" w:eastAsia="Century Gothic" w:hAnsi="Verdana" w:cs="Century Gothic"/>
          <w:color w:val="000000" w:themeColor="text1"/>
          <w:sz w:val="20"/>
          <w:szCs w:val="20"/>
          <w:lang w:val="es-ES"/>
        </w:rPr>
        <w:t xml:space="preserve"> </w:t>
      </w:r>
      <w:r w:rsidRPr="00FB2811">
        <w:rPr>
          <w:rFonts w:ascii="Verdana" w:eastAsia="Century Gothic" w:hAnsi="Verdana" w:cs="Century Gothic"/>
          <w:color w:val="000000" w:themeColor="text1"/>
          <w:sz w:val="20"/>
          <w:szCs w:val="20"/>
          <w:lang w:val="en-CO"/>
        </w:rPr>
        <w:t>¿Los puntajes de que tratan los literales a) y b) del artículo 2.20.1.2.1. del Decreto 248 de 2021, son obligatorios o de forzosa aceptación para las entidades públicas a los procesos de selección para contratar el servicio del Plan de Alimentación Escolar - PAE?</w:t>
      </w:r>
      <w:r>
        <w:rPr>
          <w:rFonts w:ascii="Verdana" w:eastAsia="Century Gothic" w:hAnsi="Verdana" w:cs="Century Gothic"/>
          <w:color w:val="000000" w:themeColor="text1"/>
          <w:sz w:val="20"/>
          <w:szCs w:val="20"/>
          <w:lang w:val="en-CO"/>
        </w:rPr>
        <w:t>”</w:t>
      </w:r>
      <w:r w:rsidRPr="00FB2811">
        <w:rPr>
          <w:rFonts w:ascii="Verdana" w:eastAsia="Century Gothic" w:hAnsi="Verdana" w:cs="Century Gothic"/>
          <w:color w:val="000000" w:themeColor="text1"/>
          <w:sz w:val="20"/>
          <w:szCs w:val="20"/>
          <w:lang w:val="en-CO"/>
        </w:rPr>
        <w:t xml:space="preserve"> </w:t>
      </w:r>
    </w:p>
    <w:p w14:paraId="17DEB640" w14:textId="77777777" w:rsidR="004428D0" w:rsidRPr="003A7064" w:rsidRDefault="004428D0" w:rsidP="004428D0">
      <w:pPr>
        <w:spacing w:after="0" w:line="240" w:lineRule="auto"/>
        <w:ind w:right="709"/>
        <w:jc w:val="both"/>
        <w:rPr>
          <w:rFonts w:ascii="Verdana" w:eastAsia="Century Gothic" w:hAnsi="Verdana" w:cs="Century Gothic"/>
          <w:color w:val="000000" w:themeColor="text1"/>
          <w:sz w:val="20"/>
          <w:szCs w:val="20"/>
        </w:rPr>
      </w:pPr>
    </w:p>
    <w:p w14:paraId="56027ED4" w14:textId="77777777" w:rsidR="004428D0" w:rsidRPr="00FE5A24" w:rsidRDefault="004428D0" w:rsidP="004428D0">
      <w:pPr>
        <w:spacing w:after="0" w:line="276" w:lineRule="auto"/>
        <w:ind w:firstLine="709"/>
        <w:contextualSpacing/>
        <w:jc w:val="both"/>
        <w:rPr>
          <w:rFonts w:ascii="Verdana" w:eastAsia="Calibri" w:hAnsi="Verdana" w:cs="Arial"/>
          <w:color w:val="000000" w:themeColor="text1"/>
          <w:szCs w:val="24"/>
          <w:lang w:val="es-ES_tradnl" w:eastAsia="es-ES_tradnl"/>
        </w:rPr>
      </w:pPr>
      <w:r w:rsidRPr="00FE5A2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FE5A24">
        <w:rPr>
          <w:rFonts w:ascii="Verdana" w:eastAsia="Calibri" w:hAnsi="Verdana" w:cs="Arial"/>
          <w:color w:val="000000" w:themeColor="text1"/>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E5A24">
        <w:rPr>
          <w:rFonts w:ascii="Verdana" w:eastAsia="Calibri" w:hAnsi="Verdana" w:cs="Arial"/>
          <w:color w:val="000000" w:themeColor="text1"/>
          <w:szCs w:val="24"/>
          <w:lang w:val="es-ES_tradnl" w:eastAsia="es-ES_tradnl"/>
        </w:rPr>
        <w:tab/>
      </w:r>
    </w:p>
    <w:p w14:paraId="38C87317" w14:textId="77777777" w:rsidR="004428D0" w:rsidRDefault="004428D0" w:rsidP="004428D0">
      <w:pPr>
        <w:spacing w:before="120" w:after="120" w:line="276" w:lineRule="auto"/>
        <w:ind w:firstLine="709"/>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themeColor="text1"/>
          <w:lang w:val="es-ES" w:eastAsia="es-ES"/>
        </w:rPr>
        <w:t>el</w:t>
      </w:r>
      <w:r w:rsidRPr="00FE5A24">
        <w:rPr>
          <w:rFonts w:ascii="Verdana" w:eastAsia="Calibri" w:hAnsi="Verdana" w:cs="Arial"/>
          <w:color w:val="000000" w:themeColor="text1"/>
          <w:lang w:val="es-ES" w:eastAsia="es-ES"/>
        </w:rPr>
        <w:t xml:space="preserve"> problema jurídico de su consulta. </w:t>
      </w:r>
    </w:p>
    <w:p w14:paraId="7CF41EA8" w14:textId="77777777" w:rsidR="004428D0" w:rsidRPr="00FE5A24" w:rsidRDefault="004428D0" w:rsidP="004428D0">
      <w:pPr>
        <w:spacing w:after="0" w:line="276" w:lineRule="auto"/>
        <w:jc w:val="both"/>
        <w:rPr>
          <w:rFonts w:ascii="Verdana" w:eastAsia="Calibri" w:hAnsi="Verdana" w:cs="Arial"/>
          <w:color w:val="000000" w:themeColor="text1"/>
          <w:lang w:val="es-ES" w:eastAsia="es-ES"/>
        </w:rPr>
      </w:pPr>
    </w:p>
    <w:p w14:paraId="3C49030D" w14:textId="77777777" w:rsidR="004428D0" w:rsidRPr="00FE5A24" w:rsidRDefault="004428D0" w:rsidP="004428D0">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Problema planteado:</w:t>
      </w:r>
    </w:p>
    <w:p w14:paraId="5806D27A" w14:textId="77777777" w:rsidR="004428D0" w:rsidRPr="00FE5A24" w:rsidRDefault="004428D0" w:rsidP="004428D0">
      <w:pPr>
        <w:tabs>
          <w:tab w:val="left" w:pos="426"/>
        </w:tabs>
        <w:spacing w:after="0" w:line="276" w:lineRule="auto"/>
        <w:jc w:val="both"/>
        <w:rPr>
          <w:rFonts w:ascii="Verdana" w:eastAsia="Century Gothic" w:hAnsi="Verdana" w:cs="Century Gothic"/>
          <w:color w:val="000000" w:themeColor="text1"/>
          <w:lang w:val="es-ES"/>
        </w:rPr>
      </w:pPr>
    </w:p>
    <w:p w14:paraId="18C57A79" w14:textId="77777777" w:rsidR="004428D0" w:rsidRPr="00FE5A24" w:rsidRDefault="004428D0" w:rsidP="004428D0">
      <w:pPr>
        <w:spacing w:after="0" w:line="276" w:lineRule="auto"/>
        <w:jc w:val="both"/>
        <w:rPr>
          <w:rFonts w:ascii="Verdana" w:eastAsia="Century Gothic" w:hAnsi="Verdana" w:cs="Century Gothic"/>
          <w:color w:val="000000" w:themeColor="text1"/>
        </w:rPr>
      </w:pPr>
      <w:r w:rsidRPr="00FE5A24">
        <w:rPr>
          <w:rFonts w:ascii="Verdana" w:eastAsia="Century Gothic" w:hAnsi="Verdana" w:cs="Century Gothic"/>
          <w:color w:val="000000" w:themeColor="text1"/>
        </w:rPr>
        <w:t>De acuerdo con el contenido de su solicitud, esta Agencia resolverá</w:t>
      </w:r>
      <w:r>
        <w:rPr>
          <w:rFonts w:ascii="Verdana" w:eastAsia="Century Gothic" w:hAnsi="Verdana" w:cs="Century Gothic"/>
          <w:color w:val="000000" w:themeColor="text1"/>
        </w:rPr>
        <w:t xml:space="preserve"> el</w:t>
      </w:r>
      <w:r w:rsidRPr="00FE5A24">
        <w:rPr>
          <w:rFonts w:ascii="Verdana" w:eastAsia="Century Gothic" w:hAnsi="Verdana" w:cs="Century Gothic"/>
          <w:color w:val="000000" w:themeColor="text1"/>
        </w:rPr>
        <w:t xml:space="preserve"> siguiente problema jurídico</w:t>
      </w:r>
      <w:r>
        <w:rPr>
          <w:rFonts w:ascii="Verdana" w:eastAsia="Century Gothic" w:hAnsi="Verdana" w:cs="Century Gothic"/>
          <w:color w:val="000000" w:themeColor="text1"/>
        </w:rPr>
        <w:t xml:space="preserve">: ¿Los puntajes establecidos en el artículo </w:t>
      </w:r>
      <w:r w:rsidRPr="00FB2811">
        <w:rPr>
          <w:rFonts w:ascii="Verdana" w:eastAsia="Century Gothic" w:hAnsi="Verdana" w:cs="Century Gothic"/>
          <w:color w:val="000000" w:themeColor="text1"/>
        </w:rPr>
        <w:t xml:space="preserve">2.20.1.2.1. del Decreto 248 de 2021 son obligatorios en los procesos que adelanten las </w:t>
      </w:r>
      <w:r>
        <w:rPr>
          <w:rFonts w:ascii="Verdana" w:eastAsia="Century Gothic" w:hAnsi="Verdana" w:cs="Century Gothic"/>
          <w:color w:val="000000" w:themeColor="text1"/>
        </w:rPr>
        <w:t>E</w:t>
      </w:r>
      <w:r w:rsidRPr="00FB2811">
        <w:rPr>
          <w:rFonts w:ascii="Verdana" w:eastAsia="Century Gothic" w:hAnsi="Verdana" w:cs="Century Gothic"/>
          <w:color w:val="000000" w:themeColor="text1"/>
        </w:rPr>
        <w:t xml:space="preserve">ntidades </w:t>
      </w:r>
      <w:r>
        <w:rPr>
          <w:rFonts w:ascii="Verdana" w:eastAsia="Century Gothic" w:hAnsi="Verdana" w:cs="Century Gothic"/>
          <w:color w:val="000000" w:themeColor="text1"/>
        </w:rPr>
        <w:t>E</w:t>
      </w:r>
      <w:r w:rsidRPr="00FB2811">
        <w:rPr>
          <w:rFonts w:ascii="Verdana" w:eastAsia="Century Gothic" w:hAnsi="Verdana" w:cs="Century Gothic"/>
          <w:color w:val="000000" w:themeColor="text1"/>
        </w:rPr>
        <w:t>statales para la contratación de</w:t>
      </w:r>
      <w:r>
        <w:rPr>
          <w:rFonts w:ascii="Verdana" w:eastAsia="Century Gothic" w:hAnsi="Verdana" w:cs="Century Gothic"/>
          <w:color w:val="000000" w:themeColor="text1"/>
        </w:rPr>
        <w:t xml:space="preserve"> los</w:t>
      </w:r>
      <w:r w:rsidRPr="00FB2811">
        <w:rPr>
          <w:rFonts w:ascii="Verdana" w:eastAsia="Century Gothic" w:hAnsi="Verdana" w:cs="Century Gothic"/>
          <w:color w:val="000000" w:themeColor="text1"/>
        </w:rPr>
        <w:t xml:space="preserve"> Programas de Alimentación Escolar?</w:t>
      </w:r>
    </w:p>
    <w:p w14:paraId="6AF839DD" w14:textId="77777777" w:rsidR="004428D0" w:rsidRPr="00FE5A24" w:rsidRDefault="004428D0" w:rsidP="004428D0">
      <w:pPr>
        <w:spacing w:after="0" w:line="276" w:lineRule="auto"/>
        <w:jc w:val="both"/>
        <w:rPr>
          <w:rFonts w:ascii="Verdana" w:eastAsia="Calibri" w:hAnsi="Verdana" w:cs="Arial"/>
          <w:color w:val="000000" w:themeColor="text1"/>
          <w:lang w:val="es-ES"/>
        </w:rPr>
      </w:pPr>
    </w:p>
    <w:p w14:paraId="4FD0BF2E" w14:textId="77777777" w:rsidR="004428D0" w:rsidRPr="00FE5A24" w:rsidRDefault="004428D0" w:rsidP="004428D0">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Respuesta:</w:t>
      </w:r>
    </w:p>
    <w:p w14:paraId="16433722" w14:textId="77777777" w:rsidR="004428D0" w:rsidRPr="00FE5A24" w:rsidRDefault="004428D0" w:rsidP="004428D0">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428D0" w:rsidRPr="00FE5A24" w14:paraId="5406D598" w14:textId="77777777" w:rsidTr="009900CB">
        <w:tc>
          <w:tcPr>
            <w:tcW w:w="8828" w:type="dxa"/>
            <w:shd w:val="clear" w:color="auto" w:fill="auto"/>
          </w:tcPr>
          <w:p w14:paraId="2BA6CAA6" w14:textId="77777777" w:rsidR="004428D0" w:rsidRDefault="004428D0" w:rsidP="009900CB">
            <w:pPr>
              <w:spacing w:after="120" w:line="276" w:lineRule="auto"/>
              <w:jc w:val="both"/>
              <w:rPr>
                <w:rFonts w:ascii="Verdana" w:eastAsia="Times New Roman" w:hAnsi="Verdana" w:cs="Arial"/>
                <w:lang w:eastAsia="es-CO"/>
              </w:rPr>
            </w:pPr>
            <w:r>
              <w:rPr>
                <w:rFonts w:ascii="Verdana" w:eastAsia="Times New Roman" w:hAnsi="Verdana" w:cs="Arial"/>
                <w:lang w:eastAsia="es-CO"/>
              </w:rPr>
              <w:t>El Decreto 248 de 2021 adicionó un sistema de puntajes al</w:t>
            </w:r>
            <w:r w:rsidRPr="00D6619D">
              <w:rPr>
                <w:rFonts w:ascii="Verdana" w:eastAsia="Times New Roman" w:hAnsi="Verdana" w:cs="Arial"/>
                <w:lang w:eastAsia="es-CO"/>
              </w:rPr>
              <w:t xml:space="preserve"> </w:t>
            </w:r>
            <w:r w:rsidRPr="00B40B0D">
              <w:rPr>
                <w:rFonts w:ascii="Verdana" w:eastAsia="Times New Roman" w:hAnsi="Verdana" w:cs="Arial"/>
                <w:lang w:eastAsia="es-CO"/>
              </w:rPr>
              <w:t>Decreto 1071 de 2015</w:t>
            </w:r>
            <w:r>
              <w:rPr>
                <w:rFonts w:ascii="Verdana" w:eastAsia="Times New Roman" w:hAnsi="Verdana" w:cs="Arial"/>
                <w:lang w:eastAsia="es-CO"/>
              </w:rPr>
              <w:t xml:space="preserve">, que se encuentra establecido en los </w:t>
            </w:r>
            <w:r w:rsidRPr="00B40B0D">
              <w:rPr>
                <w:rFonts w:ascii="Verdana" w:eastAsia="Times New Roman" w:hAnsi="Verdana" w:cs="Arial"/>
                <w:lang w:eastAsia="es-CO"/>
              </w:rPr>
              <w:t>artículos 2.20.1.2.1</w:t>
            </w:r>
            <w:r>
              <w:rPr>
                <w:rFonts w:ascii="Verdana" w:eastAsia="Times New Roman" w:hAnsi="Verdana" w:cs="Arial"/>
                <w:lang w:eastAsia="es-CO"/>
              </w:rPr>
              <w:t xml:space="preserve"> y</w:t>
            </w:r>
            <w:r w:rsidRPr="00B40B0D">
              <w:rPr>
                <w:rFonts w:ascii="Verdana" w:eastAsia="Times New Roman" w:hAnsi="Verdana" w:cs="Arial"/>
                <w:lang w:eastAsia="es-CO"/>
              </w:rPr>
              <w:t xml:space="preserve"> 2.20.1.2.2</w:t>
            </w:r>
            <w:r>
              <w:rPr>
                <w:rFonts w:ascii="Verdana" w:eastAsia="Times New Roman" w:hAnsi="Verdana" w:cs="Arial"/>
                <w:lang w:eastAsia="es-CO"/>
              </w:rPr>
              <w:t>. En particular, el artículo</w:t>
            </w:r>
            <w:r w:rsidRPr="00ED543E">
              <w:rPr>
                <w:rFonts w:ascii="Verdana" w:eastAsia="Times New Roman" w:hAnsi="Verdana" w:cs="Arial"/>
                <w:lang w:eastAsia="es-CO"/>
              </w:rPr>
              <w:t> 2.20.1.2.1.</w:t>
            </w:r>
            <w:r>
              <w:rPr>
                <w:rFonts w:ascii="Verdana" w:eastAsia="Times New Roman" w:hAnsi="Verdana" w:cs="Arial"/>
                <w:lang w:eastAsia="es-CO"/>
              </w:rPr>
              <w:t xml:space="preserve"> establece de manera clara los</w:t>
            </w:r>
            <w:r w:rsidRPr="00ED543E">
              <w:rPr>
                <w:rFonts w:ascii="Verdana" w:eastAsia="Times New Roman" w:hAnsi="Verdana" w:cs="Arial"/>
                <w:lang w:eastAsia="es-CO"/>
              </w:rPr>
              <w:t xml:space="preserve"> requisitos que de forma </w:t>
            </w:r>
            <w:r w:rsidRPr="00ED543E">
              <w:rPr>
                <w:rFonts w:ascii="Verdana" w:eastAsia="Times New Roman" w:hAnsi="Verdana" w:cs="Arial"/>
                <w:i/>
                <w:iCs/>
                <w:u w:val="single"/>
                <w:lang w:eastAsia="es-CO"/>
              </w:rPr>
              <w:t>obligatoria</w:t>
            </w:r>
            <w:r w:rsidRPr="00ED543E">
              <w:rPr>
                <w:rFonts w:ascii="Verdana" w:eastAsia="Times New Roman" w:hAnsi="Verdana" w:cs="Arial"/>
                <w:lang w:eastAsia="es-CO"/>
              </w:rPr>
              <w:t xml:space="preserve"> deben incluir </w:t>
            </w:r>
            <w:r>
              <w:rPr>
                <w:rFonts w:ascii="Verdana" w:eastAsia="Times New Roman" w:hAnsi="Verdana" w:cs="Arial"/>
                <w:lang w:eastAsia="es-CO"/>
              </w:rPr>
              <w:t>l</w:t>
            </w:r>
            <w:r w:rsidRPr="00ED543E">
              <w:rPr>
                <w:rFonts w:ascii="Verdana" w:eastAsia="Times New Roman" w:hAnsi="Verdana" w:cs="Arial"/>
                <w:lang w:eastAsia="es-CO"/>
              </w:rPr>
              <w:t xml:space="preserve">as entidades públicas descentralizadas del orden nacional y las entidades territoriales en todos los procesos que adelanten </w:t>
            </w:r>
            <w:r>
              <w:rPr>
                <w:rFonts w:ascii="Verdana" w:eastAsia="Times New Roman" w:hAnsi="Verdana" w:cs="Arial"/>
                <w:lang w:eastAsia="es-CO"/>
              </w:rPr>
              <w:t xml:space="preserve">en los que requieran productos agropecuarios para </w:t>
            </w:r>
            <w:r w:rsidRPr="00ED543E">
              <w:rPr>
                <w:rFonts w:ascii="Verdana" w:eastAsia="Times New Roman" w:hAnsi="Verdana" w:cs="Arial"/>
                <w:lang w:eastAsia="es-CO"/>
              </w:rPr>
              <w:t xml:space="preserve">atender la demanda de los programas institucionales de servicios de alimentación definidos en el </w:t>
            </w:r>
            <w:r>
              <w:rPr>
                <w:rFonts w:ascii="Verdana" w:eastAsia="Times New Roman" w:hAnsi="Verdana" w:cs="Arial"/>
                <w:lang w:eastAsia="es-CO"/>
              </w:rPr>
              <w:t>dicho decreto, lo cual incluye a los Programas de Alimentación Escolar.</w:t>
            </w:r>
            <w:r w:rsidRPr="00734474">
              <w:rPr>
                <w:rFonts w:ascii="Verdana" w:eastAsia="Times New Roman" w:hAnsi="Verdana" w:cs="Arial"/>
                <w:lang w:eastAsia="es-CO"/>
              </w:rPr>
              <w:t xml:space="preserve"> </w:t>
            </w:r>
            <w:r>
              <w:rPr>
                <w:rFonts w:ascii="Verdana" w:eastAsia="Times New Roman" w:hAnsi="Verdana" w:cs="Arial"/>
                <w:lang w:eastAsia="es-CO"/>
              </w:rPr>
              <w:t xml:space="preserve">En contraste, el artículo </w:t>
            </w:r>
            <w:r w:rsidRPr="007B7B33">
              <w:rPr>
                <w:rFonts w:ascii="Verdana" w:eastAsia="Times New Roman" w:hAnsi="Verdana" w:cs="Arial"/>
                <w:lang w:eastAsia="es-CO"/>
              </w:rPr>
              <w:t>2.20.1.2.2.</w:t>
            </w:r>
            <w:r w:rsidRPr="007B7B33">
              <w:rPr>
                <w:rFonts w:ascii="Verdana" w:eastAsia="Times New Roman" w:hAnsi="Verdana" w:cs="Arial"/>
                <w:b/>
                <w:bCs/>
                <w:lang w:eastAsia="es-CO"/>
              </w:rPr>
              <w:t> </w:t>
            </w:r>
            <w:r w:rsidRPr="000A1B83">
              <w:rPr>
                <w:rFonts w:ascii="Verdana" w:eastAsia="Times New Roman" w:hAnsi="Verdana" w:cs="Arial"/>
                <w:lang w:eastAsia="es-CO"/>
              </w:rPr>
              <w:t xml:space="preserve">señala puntajes adicionales que las entidades pueden incluir de manera </w:t>
            </w:r>
            <w:r w:rsidRPr="000A1B83">
              <w:rPr>
                <w:rFonts w:ascii="Verdana" w:eastAsia="Times New Roman" w:hAnsi="Verdana" w:cs="Arial"/>
                <w:i/>
                <w:iCs/>
                <w:u w:val="single"/>
                <w:lang w:eastAsia="es-CO"/>
              </w:rPr>
              <w:t>facultativa</w:t>
            </w:r>
            <w:r w:rsidRPr="000A1B83">
              <w:rPr>
                <w:rFonts w:ascii="Verdana" w:eastAsia="Times New Roman" w:hAnsi="Verdana" w:cs="Arial"/>
                <w:lang w:eastAsia="es-CO"/>
              </w:rPr>
              <w:t xml:space="preserve"> en </w:t>
            </w:r>
            <w:r>
              <w:rPr>
                <w:rFonts w:ascii="Verdana" w:eastAsia="Times New Roman" w:hAnsi="Verdana" w:cs="Arial"/>
                <w:lang w:eastAsia="es-CO"/>
              </w:rPr>
              <w:t>dichos procesos.</w:t>
            </w:r>
          </w:p>
          <w:p w14:paraId="38B91E18" w14:textId="77777777" w:rsidR="004428D0" w:rsidRDefault="004428D0" w:rsidP="009900CB">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D</w:t>
            </w:r>
            <w:r w:rsidRPr="00B40B0D">
              <w:rPr>
                <w:rFonts w:ascii="Verdana" w:eastAsia="Times New Roman" w:hAnsi="Verdana" w:cs="Arial"/>
                <w:lang w:eastAsia="es-CO"/>
              </w:rPr>
              <w:t xml:space="preserve">e acuerdo con </w:t>
            </w:r>
            <w:r>
              <w:rPr>
                <w:rFonts w:ascii="Verdana" w:eastAsia="Times New Roman" w:hAnsi="Verdana" w:cs="Arial"/>
                <w:lang w:eastAsia="es-CO"/>
              </w:rPr>
              <w:t xml:space="preserve">la redacción de estas normas, dos aspectos son fundamentales para determinar su aplicación: la naturaleza de las entidades </w:t>
            </w:r>
            <w:r>
              <w:rPr>
                <w:rFonts w:ascii="Verdana" w:eastAsia="Times New Roman" w:hAnsi="Verdana" w:cs="Arial"/>
                <w:lang w:eastAsia="es-CO"/>
              </w:rPr>
              <w:lastRenderedPageBreak/>
              <w:t xml:space="preserve">contratantes y el objeto del proceso de contratación que adelanten. En este sentido, los incentivos serán aplicables cuando la Entidad Estatal cumpla con tener la naturaleza de una entidad descentralizada del orden nacional o de una entidad territorial. Además, será necesario que el proceso de contratación surja de la necesidad de adquirir productos agropecuarios para la ejecución de los programas institucionales relacionados con la prestación de servicios de alimentación. </w:t>
            </w:r>
          </w:p>
          <w:p w14:paraId="30C445C1" w14:textId="77777777" w:rsidR="004428D0" w:rsidRDefault="004428D0" w:rsidP="009900CB">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De esta manera, cuando una entidad descentralizada del orden nacional o una entidad territorial adelante un proceso de contratación para atender la demanda del Programa de Alimentación Escolar con productos agropecuarios, tiene la </w:t>
            </w:r>
            <w:r w:rsidRPr="00117080">
              <w:rPr>
                <w:rFonts w:ascii="Verdana" w:eastAsia="Times New Roman" w:hAnsi="Verdana" w:cs="Arial"/>
                <w:i/>
                <w:iCs/>
                <w:u w:val="single"/>
                <w:lang w:eastAsia="es-CO"/>
              </w:rPr>
              <w:t>obligación</w:t>
            </w:r>
            <w:r>
              <w:rPr>
                <w:rFonts w:ascii="Verdana" w:eastAsia="Times New Roman" w:hAnsi="Verdana" w:cs="Arial"/>
                <w:lang w:eastAsia="es-CO"/>
              </w:rPr>
              <w:t xml:space="preserve"> de incluir los puntajes establecidos en el artículo </w:t>
            </w:r>
            <w:r w:rsidRPr="00B40B0D">
              <w:rPr>
                <w:rFonts w:ascii="Verdana" w:eastAsia="Times New Roman" w:hAnsi="Verdana" w:cs="Arial"/>
                <w:lang w:eastAsia="es-CO"/>
              </w:rPr>
              <w:t>2.20.1.2.1</w:t>
            </w:r>
            <w:r>
              <w:rPr>
                <w:rFonts w:ascii="Verdana" w:eastAsia="Times New Roman" w:hAnsi="Verdana" w:cs="Arial"/>
                <w:lang w:eastAsia="es-CO"/>
              </w:rPr>
              <w:t>, es decir, el establecido en el literal a) que exige asignar e</w:t>
            </w:r>
            <w:r w:rsidRPr="00CA6F80">
              <w:rPr>
                <w:rFonts w:ascii="Verdana" w:eastAsia="Times New Roman" w:hAnsi="Verdana" w:cs="Arial"/>
                <w:lang w:eastAsia="es-CO"/>
              </w:rPr>
              <w:t>l seis por ciento (6%) de los puntos al oferente cuya mayoría de proveedores</w:t>
            </w:r>
            <w:r>
              <w:rPr>
                <w:rFonts w:ascii="Verdana" w:eastAsia="Times New Roman" w:hAnsi="Verdana" w:cs="Arial"/>
                <w:lang w:eastAsia="es-CO"/>
              </w:rPr>
              <w:t xml:space="preserve"> </w:t>
            </w:r>
            <w:r w:rsidRPr="00CA6F80">
              <w:rPr>
                <w:rFonts w:ascii="Verdana" w:eastAsia="Times New Roman" w:hAnsi="Verdana" w:cs="Arial"/>
                <w:lang w:eastAsia="es-CO"/>
              </w:rPr>
              <w:t xml:space="preserve">esté a paz y salvo con el pago de la respectiva cuota parafiscal, </w:t>
            </w:r>
            <w:r>
              <w:rPr>
                <w:rFonts w:ascii="Verdana" w:eastAsia="Times New Roman" w:hAnsi="Verdana" w:cs="Arial"/>
                <w:lang w:eastAsia="es-CO"/>
              </w:rPr>
              <w:t>cuando se trate de</w:t>
            </w:r>
            <w:r w:rsidRPr="00CA6F80">
              <w:rPr>
                <w:rFonts w:ascii="Verdana" w:eastAsia="Times New Roman" w:hAnsi="Verdana" w:cs="Arial"/>
                <w:lang w:eastAsia="es-CO"/>
              </w:rPr>
              <w:t xml:space="preserve"> productos que cuenten con fondo parafiscal</w:t>
            </w:r>
            <w:r>
              <w:rPr>
                <w:rFonts w:ascii="Verdana" w:eastAsia="Times New Roman" w:hAnsi="Verdana" w:cs="Arial"/>
                <w:lang w:eastAsia="es-CO"/>
              </w:rPr>
              <w:t>; así como el referido en el literal b) correspondiente a u</w:t>
            </w:r>
            <w:r w:rsidRPr="00CA6F80">
              <w:rPr>
                <w:rFonts w:ascii="Verdana" w:eastAsia="Times New Roman" w:hAnsi="Verdana" w:cs="Arial"/>
                <w:lang w:eastAsia="es-CO"/>
              </w:rPr>
              <w:t>n</w:t>
            </w:r>
            <w:r>
              <w:rPr>
                <w:rFonts w:ascii="Verdana" w:eastAsia="Times New Roman" w:hAnsi="Verdana" w:cs="Arial"/>
                <w:lang w:eastAsia="es-CO"/>
              </w:rPr>
              <w:t xml:space="preserve"> puntaje de</w:t>
            </w:r>
            <w:r w:rsidRPr="00CA6F80">
              <w:rPr>
                <w:rFonts w:ascii="Verdana" w:eastAsia="Times New Roman" w:hAnsi="Verdana" w:cs="Arial"/>
                <w:lang w:eastAsia="es-CO"/>
              </w:rPr>
              <w:t xml:space="preserve"> seis por ciento (6%) adicional al oferente que también tenga la calidad de pequeño productor y/o productor de la Agricultura Campesina, Familiar Comunitaria y/o sus organizaciones.</w:t>
            </w:r>
          </w:p>
          <w:p w14:paraId="74B4B814" w14:textId="77777777" w:rsidR="004428D0" w:rsidRPr="00117080" w:rsidRDefault="004428D0" w:rsidP="009900CB">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De cualquier modo, cuando las entidades incluyan estos puntajes, </w:t>
            </w:r>
            <w:r w:rsidRPr="00B40B0D">
              <w:rPr>
                <w:rFonts w:ascii="Verdana" w:eastAsia="Times New Roman" w:hAnsi="Verdana" w:cs="Arial"/>
                <w:lang w:eastAsia="es-CO"/>
              </w:rPr>
              <w:t>el interesado deberá acreditar la calidad exigida en cada una de estas normas para beneficiarse del incentivo, pues estas no consagran una equivalencia entre el productor agropecuario local y nacional. En efecto, los puntajes adicionales obligatorios y facultativos aplican a los productores agropecuarios nacionales, los cuales están definidos en el literal d) del artículo 2.20.1.1.1</w:t>
            </w:r>
            <w:r>
              <w:rPr>
                <w:rFonts w:ascii="Verdana" w:eastAsia="Times New Roman" w:hAnsi="Verdana" w:cs="Arial"/>
                <w:lang w:eastAsia="es-CO"/>
              </w:rPr>
              <w:t xml:space="preserve">, entendidos </w:t>
            </w:r>
            <w:r w:rsidRPr="00B40B0D">
              <w:rPr>
                <w:rFonts w:ascii="Verdana" w:eastAsia="Times New Roman" w:hAnsi="Verdana" w:cs="Arial"/>
                <w:lang w:eastAsia="es-CO"/>
              </w:rPr>
              <w:t xml:space="preserve">como las personas cuyo sistema de producción se encuentra ubicado en el territorio nacional. </w:t>
            </w:r>
          </w:p>
        </w:tc>
      </w:tr>
    </w:tbl>
    <w:p w14:paraId="253D0BA7" w14:textId="77777777" w:rsidR="004428D0" w:rsidRPr="00FE5A24" w:rsidRDefault="004428D0" w:rsidP="004428D0">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31F4BA92" w14:textId="77777777" w:rsidR="004428D0" w:rsidRPr="00FE5A24" w:rsidRDefault="004428D0" w:rsidP="004428D0">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Razones de la respuesta:</w:t>
      </w:r>
    </w:p>
    <w:p w14:paraId="14A62FA9" w14:textId="77777777" w:rsidR="004428D0" w:rsidRPr="00FE5A24" w:rsidRDefault="004428D0" w:rsidP="004428D0">
      <w:pPr>
        <w:spacing w:after="0" w:line="276" w:lineRule="auto"/>
        <w:jc w:val="both"/>
        <w:rPr>
          <w:rFonts w:ascii="Verdana" w:eastAsia="Calibri" w:hAnsi="Verdana" w:cs="Arial"/>
          <w:color w:val="000000" w:themeColor="text1"/>
          <w:lang w:val="es-ES"/>
        </w:rPr>
      </w:pPr>
    </w:p>
    <w:p w14:paraId="467F17D9" w14:textId="77777777" w:rsidR="004428D0" w:rsidRDefault="004428D0" w:rsidP="004428D0">
      <w:pPr>
        <w:spacing w:after="0" w:line="276" w:lineRule="auto"/>
        <w:jc w:val="both"/>
        <w:rPr>
          <w:rFonts w:ascii="Verdana" w:eastAsia="Calibri" w:hAnsi="Verdana" w:cs="Arial"/>
          <w:color w:val="000000" w:themeColor="text1"/>
          <w:lang w:val="es-ES"/>
        </w:rPr>
      </w:pPr>
      <w:r w:rsidRPr="00FE5A24">
        <w:rPr>
          <w:rFonts w:ascii="Verdana" w:eastAsia="Calibri" w:hAnsi="Verdana" w:cs="Arial"/>
          <w:color w:val="000000" w:themeColor="text1"/>
          <w:lang w:val="es-ES"/>
        </w:rPr>
        <w:t xml:space="preserve">Lo anterior se sustenta en las siguientes consideraciones: </w:t>
      </w:r>
    </w:p>
    <w:p w14:paraId="14C2B52E" w14:textId="77777777" w:rsidR="004428D0" w:rsidRPr="00FE5A24" w:rsidRDefault="004428D0" w:rsidP="004428D0">
      <w:pPr>
        <w:spacing w:after="0" w:line="276" w:lineRule="auto"/>
        <w:jc w:val="both"/>
        <w:rPr>
          <w:rFonts w:ascii="Verdana" w:eastAsia="Calibri" w:hAnsi="Verdana" w:cs="Arial"/>
          <w:color w:val="000000" w:themeColor="text1"/>
          <w:lang w:val="es-ES"/>
        </w:rPr>
      </w:pPr>
    </w:p>
    <w:p w14:paraId="0CAD54EB" w14:textId="61663331" w:rsidR="004428D0" w:rsidRPr="00285011" w:rsidRDefault="004428D0" w:rsidP="004428D0">
      <w:pPr>
        <w:spacing w:after="120" w:line="276" w:lineRule="auto"/>
        <w:jc w:val="both"/>
        <w:rPr>
          <w:rFonts w:ascii="Verdana" w:eastAsia="Century Gothic" w:hAnsi="Verdana" w:cs="Century Gothic"/>
        </w:rPr>
      </w:pPr>
      <w:bookmarkStart w:id="2" w:name="_Hlk80881612"/>
      <w:r>
        <w:rPr>
          <w:rFonts w:ascii="Verdana" w:eastAsia="Times New Roman" w:hAnsi="Verdana" w:cs="Arial"/>
          <w:lang w:eastAsia="es-CO"/>
        </w:rPr>
        <w:t xml:space="preserve">El </w:t>
      </w:r>
      <w:r w:rsidRPr="00E96F6B">
        <w:rPr>
          <w:rFonts w:ascii="Verdana" w:eastAsia="Times New Roman" w:hAnsi="Verdana" w:cs="Arial"/>
          <w:lang w:eastAsia="es-CO"/>
        </w:rPr>
        <w:t>sistema de compra</w:t>
      </w:r>
      <w:r>
        <w:rPr>
          <w:rFonts w:ascii="Verdana" w:eastAsia="Times New Roman" w:hAnsi="Verdana" w:cs="Arial"/>
          <w:lang w:eastAsia="es-CO"/>
        </w:rPr>
        <w:t>s</w:t>
      </w:r>
      <w:r w:rsidRPr="00E96F6B">
        <w:rPr>
          <w:rFonts w:ascii="Verdana" w:eastAsia="Times New Roman" w:hAnsi="Verdana" w:cs="Arial"/>
          <w:lang w:eastAsia="es-CO"/>
        </w:rPr>
        <w:t xml:space="preserve"> pública</w:t>
      </w:r>
      <w:r>
        <w:rPr>
          <w:rFonts w:ascii="Verdana" w:eastAsia="Times New Roman" w:hAnsi="Verdana" w:cs="Arial"/>
          <w:lang w:eastAsia="es-CO"/>
        </w:rPr>
        <w:t>s</w:t>
      </w:r>
      <w:r w:rsidRPr="00E96F6B">
        <w:rPr>
          <w:rFonts w:ascii="Verdana" w:eastAsia="Times New Roman" w:hAnsi="Verdana" w:cs="Arial"/>
          <w:lang w:eastAsia="es-CO"/>
        </w:rPr>
        <w:t xml:space="preserve"> </w:t>
      </w:r>
      <w:r>
        <w:rPr>
          <w:rFonts w:ascii="Verdana" w:eastAsia="Times New Roman" w:hAnsi="Verdana" w:cs="Arial"/>
          <w:lang w:eastAsia="es-CO"/>
        </w:rPr>
        <w:t xml:space="preserve">constituye un mercado compuesto por </w:t>
      </w:r>
      <w:r w:rsidRPr="00E96F6B">
        <w:rPr>
          <w:rFonts w:ascii="Verdana" w:eastAsia="Times New Roman" w:hAnsi="Verdana" w:cs="Arial"/>
          <w:lang w:eastAsia="es-CO"/>
        </w:rPr>
        <w:t>la oferta de particulares</w:t>
      </w:r>
      <w:r>
        <w:rPr>
          <w:rFonts w:ascii="Verdana" w:eastAsia="Times New Roman" w:hAnsi="Verdana" w:cs="Arial"/>
          <w:lang w:eastAsia="es-CO"/>
        </w:rPr>
        <w:t xml:space="preserve"> </w:t>
      </w:r>
      <w:r w:rsidRPr="00E96F6B">
        <w:rPr>
          <w:rFonts w:ascii="Verdana" w:eastAsia="Times New Roman" w:hAnsi="Verdana" w:cs="Arial"/>
          <w:lang w:eastAsia="es-CO"/>
        </w:rPr>
        <w:t xml:space="preserve">y la demanda de las Entidades </w:t>
      </w:r>
      <w:r>
        <w:rPr>
          <w:rFonts w:ascii="Verdana" w:eastAsia="Times New Roman" w:hAnsi="Verdana" w:cs="Arial"/>
          <w:lang w:eastAsia="es-CO"/>
        </w:rPr>
        <w:t xml:space="preserve">Estatales </w:t>
      </w:r>
      <w:r w:rsidRPr="00E96F6B">
        <w:rPr>
          <w:rFonts w:ascii="Verdana" w:eastAsia="Times New Roman" w:hAnsi="Verdana" w:cs="Arial"/>
          <w:lang w:eastAsia="es-CO"/>
        </w:rPr>
        <w:t>de bienes y servicios</w:t>
      </w:r>
      <w:r>
        <w:rPr>
          <w:rFonts w:ascii="Verdana" w:eastAsia="Times New Roman" w:hAnsi="Verdana" w:cs="Arial"/>
          <w:lang w:eastAsia="es-CO"/>
        </w:rPr>
        <w:t>. Particularmente,</w:t>
      </w:r>
      <w:r w:rsidRPr="00E96F6B">
        <w:rPr>
          <w:rFonts w:ascii="Verdana" w:eastAsia="Times New Roman" w:hAnsi="Verdana" w:cs="Arial"/>
          <w:lang w:eastAsia="es-CO"/>
        </w:rPr>
        <w:t xml:space="preserve"> </w:t>
      </w:r>
      <w:r>
        <w:rPr>
          <w:rFonts w:ascii="Verdana" w:eastAsia="Times New Roman" w:hAnsi="Verdana" w:cs="Arial"/>
          <w:lang w:eastAsia="es-CO"/>
        </w:rPr>
        <w:t xml:space="preserve">la </w:t>
      </w:r>
      <w:r w:rsidRPr="00E96F6B">
        <w:rPr>
          <w:rFonts w:ascii="Verdana" w:eastAsia="Times New Roman" w:hAnsi="Verdana" w:cs="Arial"/>
          <w:lang w:eastAsia="es-CO"/>
        </w:rPr>
        <w:t>compra pública de alimentos</w:t>
      </w:r>
      <w:r>
        <w:rPr>
          <w:rFonts w:ascii="Verdana" w:eastAsia="Times New Roman" w:hAnsi="Verdana" w:cs="Arial"/>
          <w:lang w:eastAsia="es-CO"/>
        </w:rPr>
        <w:t>, a la cual</w:t>
      </w:r>
      <w:r w:rsidRPr="00E96F6B">
        <w:rPr>
          <w:rFonts w:ascii="Verdana" w:eastAsia="Times New Roman" w:hAnsi="Verdana" w:cs="Arial"/>
          <w:lang w:eastAsia="es-CO"/>
        </w:rPr>
        <w:t xml:space="preserve"> se </w:t>
      </w:r>
      <w:r>
        <w:rPr>
          <w:rFonts w:ascii="Verdana" w:eastAsia="Times New Roman" w:hAnsi="Verdana" w:cs="Arial"/>
          <w:lang w:eastAsia="es-CO"/>
        </w:rPr>
        <w:t xml:space="preserve">refiere en su consulta, además de lo dispuesto en el Estatuto General de Contratación de la Administración Pública –en adelante EGCAP–, se </w:t>
      </w:r>
      <w:r w:rsidRPr="00E96F6B">
        <w:rPr>
          <w:rFonts w:ascii="Verdana" w:eastAsia="Times New Roman" w:hAnsi="Verdana" w:cs="Arial"/>
          <w:lang w:eastAsia="es-CO"/>
        </w:rPr>
        <w:t>encuentra regulad</w:t>
      </w:r>
      <w:r>
        <w:rPr>
          <w:rFonts w:ascii="Verdana" w:eastAsia="Times New Roman" w:hAnsi="Verdana" w:cs="Arial"/>
          <w:lang w:eastAsia="es-CO"/>
        </w:rPr>
        <w:t xml:space="preserve">a en </w:t>
      </w:r>
      <w:r w:rsidRPr="00E96F6B">
        <w:rPr>
          <w:rFonts w:ascii="Verdana" w:eastAsia="Century Gothic" w:hAnsi="Verdana" w:cs="Century Gothic"/>
        </w:rPr>
        <w:t xml:space="preserve">la Ley </w:t>
      </w:r>
      <w:r w:rsidRPr="00E96F6B">
        <w:rPr>
          <w:rFonts w:ascii="Verdana" w:eastAsia="Century Gothic" w:hAnsi="Verdana" w:cs="Century Gothic"/>
        </w:rPr>
        <w:lastRenderedPageBreak/>
        <w:t xml:space="preserve">1955 de 2019, </w:t>
      </w:r>
      <w:r>
        <w:rPr>
          <w:rFonts w:ascii="Verdana" w:eastAsia="Century Gothic" w:hAnsi="Verdana" w:cs="Century Gothic"/>
        </w:rPr>
        <w:t xml:space="preserve">la Ley </w:t>
      </w:r>
      <w:r w:rsidRPr="00E96F6B">
        <w:rPr>
          <w:rFonts w:ascii="Verdana" w:eastAsia="Century Gothic" w:hAnsi="Verdana" w:cs="Century Gothic"/>
        </w:rPr>
        <w:t>2046 de 2020 y el Decreto 248 de 2021, que modifica el Decreto 1071 de 2015.</w:t>
      </w:r>
      <w:r>
        <w:rPr>
          <w:rFonts w:ascii="Verdana" w:eastAsia="Century Gothic" w:hAnsi="Verdana" w:cs="Century Gothic"/>
        </w:rPr>
        <w:t xml:space="preserve"> En ese contexto, es importante referirse al </w:t>
      </w:r>
      <w:r w:rsidRPr="00285011">
        <w:rPr>
          <w:rFonts w:ascii="Verdana" w:eastAsia="Century Gothic" w:hAnsi="Verdana" w:cs="Century Gothic"/>
          <w:lang w:val="es-ES"/>
        </w:rPr>
        <w:t>c</w:t>
      </w:r>
      <w:proofErr w:type="spellStart"/>
      <w:r w:rsidRPr="00285011">
        <w:rPr>
          <w:rFonts w:ascii="Verdana" w:eastAsia="Century Gothic" w:hAnsi="Verdana" w:cs="Century Gothic"/>
        </w:rPr>
        <w:t>ontexto</w:t>
      </w:r>
      <w:proofErr w:type="spellEnd"/>
      <w:r w:rsidRPr="00285011">
        <w:rPr>
          <w:rFonts w:ascii="Verdana" w:eastAsia="Century Gothic" w:hAnsi="Verdana" w:cs="Century Gothic"/>
        </w:rPr>
        <w:t xml:space="preserve"> y finalidad de los incentivos y estímulos regulados el artículo 229 de la Ley 1955 de 2019 y en la Ley 2046 de 2020</w:t>
      </w:r>
      <w:r>
        <w:rPr>
          <w:rFonts w:ascii="Verdana" w:eastAsia="Century Gothic" w:hAnsi="Verdana" w:cs="Century Gothic"/>
        </w:rPr>
        <w:t xml:space="preserve">. </w:t>
      </w:r>
    </w:p>
    <w:p w14:paraId="709F7F7A" w14:textId="77777777" w:rsidR="004428D0" w:rsidRPr="00571478" w:rsidRDefault="004428D0" w:rsidP="004428D0">
      <w:pPr>
        <w:spacing w:after="0" w:line="276" w:lineRule="auto"/>
        <w:ind w:firstLine="708"/>
        <w:jc w:val="both"/>
        <w:rPr>
          <w:rFonts w:ascii="Verdana" w:eastAsia="Times New Roman" w:hAnsi="Verdana" w:cs="Arial"/>
          <w:lang w:eastAsia="es-CO"/>
        </w:rPr>
      </w:pPr>
      <w:r>
        <w:rPr>
          <w:rFonts w:ascii="Verdana" w:eastAsia="Times New Roman" w:hAnsi="Verdana" w:cs="Arial"/>
          <w:lang w:eastAsia="es-CO"/>
        </w:rPr>
        <w:t>En el</w:t>
      </w:r>
      <w:r w:rsidRPr="00571478">
        <w:rPr>
          <w:rFonts w:ascii="Verdana" w:eastAsia="Times New Roman" w:hAnsi="Verdana" w:cs="Arial"/>
          <w:lang w:eastAsia="es-CO"/>
        </w:rPr>
        <w:t xml:space="preserve"> mercado de la compra pública se crean incentivos para fomentar el desarrollo de determinado tipo de proveedores, como ocurre con los incentivos a las Mipymes</w:t>
      </w:r>
      <w:r>
        <w:rPr>
          <w:rFonts w:ascii="Verdana" w:eastAsia="Times New Roman" w:hAnsi="Verdana" w:cs="Arial"/>
          <w:lang w:eastAsia="es-CO"/>
        </w:rPr>
        <w:t xml:space="preserve"> y</w:t>
      </w:r>
      <w:r w:rsidRPr="00571478">
        <w:rPr>
          <w:rFonts w:ascii="Verdana" w:eastAsia="Times New Roman" w:hAnsi="Verdana" w:cs="Arial"/>
          <w:lang w:eastAsia="es-CO"/>
        </w:rPr>
        <w:t xml:space="preserve"> a los emprendimientos y empresas de mujeres, entre otros. En e</w:t>
      </w:r>
      <w:r>
        <w:rPr>
          <w:rFonts w:ascii="Verdana" w:eastAsia="Times New Roman" w:hAnsi="Verdana" w:cs="Arial"/>
          <w:lang w:eastAsia="es-CO"/>
        </w:rPr>
        <w:t>ste sentido</w:t>
      </w:r>
      <w:r w:rsidRPr="00571478">
        <w:rPr>
          <w:rFonts w:ascii="Verdana" w:eastAsia="Times New Roman" w:hAnsi="Verdana" w:cs="Arial"/>
          <w:lang w:eastAsia="es-CO"/>
        </w:rPr>
        <w:t xml:space="preserve">, el artículo 229 de la Ley 1955 de 2019, </w:t>
      </w:r>
      <w:r>
        <w:rPr>
          <w:rFonts w:ascii="Verdana" w:eastAsia="Times New Roman" w:hAnsi="Verdana" w:cs="Arial"/>
          <w:lang w:eastAsia="es-CO"/>
        </w:rPr>
        <w:t>“</w:t>
      </w:r>
      <w:r w:rsidRPr="00571478">
        <w:rPr>
          <w:rFonts w:ascii="Verdana" w:eastAsia="Times New Roman" w:hAnsi="Verdana" w:cs="Arial"/>
          <w:lang w:eastAsia="es-CO"/>
        </w:rPr>
        <w:t xml:space="preserve">Por </w:t>
      </w:r>
      <w:r>
        <w:rPr>
          <w:rFonts w:ascii="Verdana" w:eastAsia="Times New Roman" w:hAnsi="Verdana" w:cs="Arial"/>
          <w:lang w:eastAsia="es-CO"/>
        </w:rPr>
        <w:t>la</w:t>
      </w:r>
      <w:r w:rsidRPr="00571478">
        <w:rPr>
          <w:rFonts w:ascii="Verdana" w:eastAsia="Times New Roman" w:hAnsi="Verdana" w:cs="Arial"/>
          <w:lang w:eastAsia="es-CO"/>
        </w:rPr>
        <w:t xml:space="preserve"> cual se expide el Plan Nacional de Desarrollo 2018-2022</w:t>
      </w:r>
      <w:r>
        <w:rPr>
          <w:rFonts w:ascii="Verdana" w:eastAsia="Times New Roman" w:hAnsi="Verdana" w:cs="Arial"/>
          <w:lang w:eastAsia="es-CO"/>
        </w:rPr>
        <w:t>”</w:t>
      </w:r>
      <w:r w:rsidRPr="00571478">
        <w:rPr>
          <w:rFonts w:ascii="Verdana" w:eastAsia="Times New Roman" w:hAnsi="Verdana" w:cs="Arial"/>
          <w:lang w:eastAsia="es-CO"/>
        </w:rPr>
        <w:t>, dispuso que las entidades públicas descentralizadas del orden nacional y las entidades territoriales</w:t>
      </w:r>
      <w:r>
        <w:rPr>
          <w:rFonts w:ascii="Verdana" w:eastAsia="Times New Roman" w:hAnsi="Verdana" w:cs="Arial"/>
          <w:lang w:eastAsia="es-CO"/>
        </w:rPr>
        <w:t>,</w:t>
      </w:r>
      <w:r w:rsidRPr="00571478">
        <w:rPr>
          <w:rFonts w:ascii="Verdana" w:eastAsia="Times New Roman" w:hAnsi="Verdana" w:cs="Arial"/>
          <w:lang w:eastAsia="es-CO"/>
        </w:rPr>
        <w:t xml:space="preserve"> cada vez que requieran productos agropecuarios para atender la demanda en sus programas institucionales, deben asignar puntajes adicionales y estrategias de ponderación que mejoren las calificaciones de los proponentes cuando presenten contratos de proveeduría celebrados con productores nacionales. En lo pertinente, la norma dispone que: </w:t>
      </w:r>
    </w:p>
    <w:p w14:paraId="31EA6FCB" w14:textId="77777777" w:rsidR="004428D0" w:rsidRPr="00B40B0D" w:rsidRDefault="004428D0" w:rsidP="004428D0">
      <w:pPr>
        <w:spacing w:after="0" w:line="276" w:lineRule="auto"/>
        <w:jc w:val="both"/>
        <w:rPr>
          <w:rFonts w:ascii="Verdana" w:eastAsia="Times New Roman" w:hAnsi="Verdana" w:cs="Arial"/>
          <w:lang w:eastAsia="es-CO"/>
        </w:rPr>
      </w:pPr>
    </w:p>
    <w:p w14:paraId="09CF9DFC" w14:textId="77777777" w:rsidR="004428D0" w:rsidRPr="00571478" w:rsidRDefault="004428D0" w:rsidP="004428D0">
      <w:pPr>
        <w:spacing w:after="0" w:line="240" w:lineRule="auto"/>
        <w:ind w:left="709" w:right="709"/>
        <w:jc w:val="both"/>
        <w:rPr>
          <w:rFonts w:ascii="Verdana" w:eastAsia="Times New Roman" w:hAnsi="Verdana" w:cs="Arial"/>
          <w:sz w:val="20"/>
          <w:szCs w:val="20"/>
          <w:lang w:eastAsia="es-CO"/>
        </w:rPr>
      </w:pPr>
      <w:r>
        <w:rPr>
          <w:rFonts w:ascii="Verdana" w:eastAsia="Times New Roman" w:hAnsi="Verdana" w:cs="Arial"/>
          <w:sz w:val="20"/>
          <w:szCs w:val="20"/>
          <w:lang w:eastAsia="es-CO"/>
        </w:rPr>
        <w:t>“</w:t>
      </w:r>
      <w:r w:rsidRPr="00571478">
        <w:rPr>
          <w:rFonts w:ascii="Verdana" w:eastAsia="Times New Roman" w:hAnsi="Verdana" w:cs="Arial"/>
          <w:sz w:val="20"/>
          <w:szCs w:val="20"/>
          <w:lang w:eastAsia="es-CO"/>
        </w:rPr>
        <w:t>Las entidades públicas descentralizadas del orden nacional y las entidades territoriales cada vez que requieran productos de origen agropecuario para atender la demanda de los programas institucionales de servicios de alimentación deberán establecer en sus pliegos de condiciones puntajes adicionales y estrategias de ponderación que mejoren las calificaciones de los proponentes cuando presenten contratos de proveeduría suscritos con productores nacionales. El Gobierno nacional en un plazo máximo de no más de tres (3) meses establecerá el esquema de puntajes adicionales, previo análisis de la Agencia de Contratación Colombia Compra Eficiente.</w:t>
      </w:r>
    </w:p>
    <w:p w14:paraId="7CEC7AD9" w14:textId="77777777" w:rsidR="004428D0" w:rsidRPr="00571478" w:rsidRDefault="004428D0" w:rsidP="004428D0">
      <w:pPr>
        <w:spacing w:after="0" w:line="240" w:lineRule="auto"/>
        <w:ind w:left="709" w:right="709"/>
        <w:jc w:val="both"/>
        <w:rPr>
          <w:rFonts w:ascii="Verdana" w:eastAsia="Times New Roman" w:hAnsi="Verdana" w:cs="Arial"/>
          <w:sz w:val="20"/>
          <w:szCs w:val="20"/>
          <w:lang w:eastAsia="es-CO"/>
        </w:rPr>
      </w:pPr>
    </w:p>
    <w:p w14:paraId="1731E0C7" w14:textId="77777777" w:rsidR="004428D0" w:rsidRPr="00571478" w:rsidRDefault="004428D0" w:rsidP="004428D0">
      <w:pPr>
        <w:spacing w:after="0" w:line="240" w:lineRule="auto"/>
        <w:ind w:left="709" w:right="709"/>
        <w:jc w:val="both"/>
        <w:rPr>
          <w:rFonts w:ascii="Verdana" w:eastAsia="Times New Roman" w:hAnsi="Verdana" w:cs="Arial"/>
          <w:sz w:val="20"/>
          <w:szCs w:val="20"/>
          <w:lang w:eastAsia="es-CO"/>
        </w:rPr>
      </w:pPr>
      <w:r w:rsidRPr="00571478">
        <w:rPr>
          <w:rFonts w:ascii="Verdana" w:eastAsia="Times New Roman" w:hAnsi="Verdana" w:cs="Arial"/>
          <w:sz w:val="20"/>
          <w:szCs w:val="20"/>
          <w:lang w:eastAsia="es-CO"/>
        </w:rPr>
        <w:t>Sin perjuicio de lo anterior, las entidades públicas contratantes deberán adquirir hasta el cuarenta por ciento (40%) de alimentos procesados o sin procesar, en donde los insumos y los productos hayan sido adquiridos de productores agropecuarios locales.</w:t>
      </w:r>
    </w:p>
    <w:p w14:paraId="6F88F534" w14:textId="77777777" w:rsidR="004428D0" w:rsidRPr="00571478" w:rsidRDefault="004428D0" w:rsidP="004428D0">
      <w:pPr>
        <w:spacing w:after="0" w:line="240" w:lineRule="auto"/>
        <w:ind w:left="709" w:right="709"/>
        <w:jc w:val="both"/>
        <w:rPr>
          <w:rFonts w:ascii="Verdana" w:eastAsia="Times New Roman" w:hAnsi="Verdana" w:cs="Arial"/>
          <w:sz w:val="20"/>
          <w:szCs w:val="20"/>
          <w:lang w:eastAsia="es-CO"/>
        </w:rPr>
      </w:pPr>
    </w:p>
    <w:p w14:paraId="7433AD98" w14:textId="77777777" w:rsidR="004428D0" w:rsidRPr="00571478" w:rsidRDefault="004428D0" w:rsidP="004428D0">
      <w:pPr>
        <w:spacing w:after="0" w:line="240" w:lineRule="auto"/>
        <w:ind w:left="709" w:right="709"/>
        <w:jc w:val="both"/>
        <w:rPr>
          <w:rFonts w:ascii="Verdana" w:eastAsia="Times New Roman" w:hAnsi="Verdana" w:cs="Arial"/>
          <w:sz w:val="20"/>
          <w:szCs w:val="20"/>
          <w:lang w:eastAsia="es-CO"/>
        </w:rPr>
      </w:pPr>
      <w:r w:rsidRPr="00571478">
        <w:rPr>
          <w:rFonts w:ascii="Verdana" w:eastAsia="Times New Roman" w:hAnsi="Verdana" w:cs="Arial"/>
          <w:sz w:val="20"/>
          <w:szCs w:val="20"/>
          <w:lang w:eastAsia="es-CO"/>
        </w:rPr>
        <w:t>Adicionalmente, podrá establecerse un diez por ciento (10%) de puntaje adicional, a los proveedores que realicen el suministro que se pretenda contratar vinculando pequeños productores</w:t>
      </w:r>
      <w:r>
        <w:rPr>
          <w:rFonts w:ascii="Verdana" w:eastAsia="Times New Roman" w:hAnsi="Verdana" w:cs="Arial"/>
          <w:sz w:val="20"/>
          <w:szCs w:val="20"/>
          <w:lang w:eastAsia="es-CO"/>
        </w:rPr>
        <w:t xml:space="preserve"> </w:t>
      </w:r>
      <w:r w:rsidRPr="00571478">
        <w:rPr>
          <w:rFonts w:ascii="Verdana" w:eastAsia="Times New Roman" w:hAnsi="Verdana" w:cs="Arial"/>
          <w:sz w:val="20"/>
          <w:szCs w:val="20"/>
          <w:lang w:eastAsia="es-CO"/>
        </w:rPr>
        <w:t>[…]</w:t>
      </w:r>
      <w:r>
        <w:rPr>
          <w:rFonts w:ascii="Verdana" w:eastAsia="Times New Roman" w:hAnsi="Verdana" w:cs="Arial"/>
          <w:sz w:val="20"/>
          <w:szCs w:val="20"/>
          <w:lang w:eastAsia="es-CO"/>
        </w:rPr>
        <w:t xml:space="preserve">”. </w:t>
      </w:r>
    </w:p>
    <w:p w14:paraId="7D979B06" w14:textId="77777777" w:rsidR="004428D0" w:rsidRPr="00B40B0D" w:rsidRDefault="004428D0" w:rsidP="004428D0">
      <w:pPr>
        <w:spacing w:after="0" w:line="276" w:lineRule="auto"/>
        <w:jc w:val="both"/>
        <w:rPr>
          <w:rFonts w:ascii="Verdana" w:eastAsia="Times New Roman" w:hAnsi="Verdana" w:cs="Arial"/>
          <w:lang w:eastAsia="es-CO"/>
        </w:rPr>
      </w:pPr>
    </w:p>
    <w:p w14:paraId="3C232A4B" w14:textId="77777777" w:rsidR="004428D0" w:rsidRDefault="004428D0" w:rsidP="004428D0">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Posteriormente, también se expidió la Ley 2046 del 6 de agosto de 2020, </w:t>
      </w:r>
      <w:r>
        <w:rPr>
          <w:rFonts w:ascii="Verdana" w:eastAsia="Times New Roman" w:hAnsi="Verdana" w:cs="Arial"/>
          <w:lang w:eastAsia="es-CO"/>
        </w:rPr>
        <w:t>“</w:t>
      </w:r>
      <w:r w:rsidRPr="00B40B0D">
        <w:rPr>
          <w:rFonts w:ascii="Verdana" w:eastAsia="Times New Roman" w:hAnsi="Verdana" w:cs="Arial"/>
          <w:lang w:eastAsia="es-CO"/>
        </w:rPr>
        <w:t>Por la cual se establecen mecanismos para promover la participación de pequeños productores locales agropecuarios y de la agricultura campesina, familiar y comunitaria en los mercados de compras públicas de alimentos</w:t>
      </w:r>
      <w:r>
        <w:rPr>
          <w:rFonts w:ascii="Verdana" w:eastAsia="Times New Roman" w:hAnsi="Verdana" w:cs="Arial"/>
          <w:lang w:eastAsia="es-CO"/>
        </w:rPr>
        <w:t>”</w:t>
      </w:r>
      <w:r w:rsidRPr="00B40B0D">
        <w:rPr>
          <w:rFonts w:ascii="Verdana" w:eastAsia="Times New Roman" w:hAnsi="Verdana" w:cs="Arial"/>
          <w:lang w:eastAsia="es-CO"/>
        </w:rPr>
        <w:t>. De acuerdo con el artículo 14</w:t>
      </w:r>
      <w:r>
        <w:rPr>
          <w:rFonts w:ascii="Verdana" w:eastAsia="Times New Roman" w:hAnsi="Verdana" w:cs="Arial"/>
          <w:lang w:eastAsia="es-CO"/>
        </w:rPr>
        <w:t>,</w:t>
      </w:r>
      <w:r w:rsidRPr="00B40B0D">
        <w:rPr>
          <w:rFonts w:ascii="Verdana" w:eastAsia="Times New Roman" w:hAnsi="Verdana" w:cs="Arial"/>
          <w:lang w:eastAsia="es-CO"/>
        </w:rPr>
        <w:t xml:space="preserve"> </w:t>
      </w:r>
      <w:r>
        <w:rPr>
          <w:rFonts w:ascii="Verdana" w:eastAsia="Times New Roman" w:hAnsi="Verdana" w:cs="Arial"/>
          <w:lang w:eastAsia="es-CO"/>
        </w:rPr>
        <w:t>esta ley “</w:t>
      </w:r>
      <w:r w:rsidRPr="00B40B0D">
        <w:rPr>
          <w:rFonts w:ascii="Verdana" w:eastAsia="Times New Roman" w:hAnsi="Verdana" w:cs="Arial"/>
          <w:lang w:eastAsia="es-CO"/>
        </w:rPr>
        <w:t xml:space="preserve">rige a partir de la fecha de publicación y </w:t>
      </w:r>
      <w:r w:rsidRPr="00B40B0D">
        <w:rPr>
          <w:rFonts w:ascii="Verdana" w:eastAsia="Times New Roman" w:hAnsi="Verdana" w:cs="Arial"/>
          <w:lang w:eastAsia="es-CO"/>
        </w:rPr>
        <w:lastRenderedPageBreak/>
        <w:t>deroga todas las disposiciones que le sean contrarias</w:t>
      </w:r>
      <w:r>
        <w:rPr>
          <w:rFonts w:ascii="Verdana" w:eastAsia="Times New Roman" w:hAnsi="Verdana" w:cs="Arial"/>
          <w:lang w:eastAsia="es-CO"/>
        </w:rPr>
        <w:t>”</w:t>
      </w:r>
      <w:r w:rsidRPr="00B40B0D">
        <w:rPr>
          <w:rFonts w:ascii="Verdana" w:eastAsia="Times New Roman" w:hAnsi="Verdana" w:cs="Arial"/>
          <w:lang w:eastAsia="es-CO"/>
        </w:rPr>
        <w:t xml:space="preserve">, lo que significa que es </w:t>
      </w:r>
      <w:r w:rsidRPr="00514610">
        <w:rPr>
          <w:rFonts w:ascii="Verdana" w:eastAsia="Times New Roman" w:hAnsi="Verdana" w:cs="Arial"/>
          <w:i/>
          <w:iCs/>
          <w:lang w:eastAsia="es-CO"/>
        </w:rPr>
        <w:t>obligatoria</w:t>
      </w:r>
      <w:r w:rsidRPr="00B40B0D">
        <w:rPr>
          <w:rFonts w:ascii="Verdana" w:eastAsia="Times New Roman" w:hAnsi="Verdana" w:cs="Arial"/>
          <w:lang w:eastAsia="es-CO"/>
        </w:rPr>
        <w:t xml:space="preserve"> para sus destinatarios desde esa fecha. Esto, sin perjuicio de la posibilidad de que el Gobierno Nacional, en ejercicio de la potestad prevista en el artículo 189.11 de la Constitución Política, expida el decreto correspondiente que permita la cumplida ejecución de </w:t>
      </w:r>
      <w:r>
        <w:rPr>
          <w:rFonts w:ascii="Verdana" w:eastAsia="Times New Roman" w:hAnsi="Verdana" w:cs="Arial"/>
          <w:lang w:eastAsia="es-CO"/>
        </w:rPr>
        <w:t>l</w:t>
      </w:r>
      <w:r w:rsidRPr="00B40B0D">
        <w:rPr>
          <w:rFonts w:ascii="Verdana" w:eastAsia="Times New Roman" w:hAnsi="Verdana" w:cs="Arial"/>
          <w:lang w:eastAsia="es-CO"/>
        </w:rPr>
        <w:t>a ley.</w:t>
      </w:r>
    </w:p>
    <w:p w14:paraId="2C1A557D" w14:textId="77777777" w:rsidR="004428D0" w:rsidRDefault="004428D0" w:rsidP="004428D0">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La exposición de motivos de </w:t>
      </w:r>
      <w:r>
        <w:rPr>
          <w:rFonts w:ascii="Verdana" w:eastAsia="Times New Roman" w:hAnsi="Verdana" w:cs="Arial"/>
          <w:lang w:eastAsia="es-CO"/>
        </w:rPr>
        <w:t>la</w:t>
      </w:r>
      <w:r w:rsidRPr="00B40B0D">
        <w:rPr>
          <w:rFonts w:ascii="Verdana" w:eastAsia="Times New Roman" w:hAnsi="Verdana" w:cs="Arial"/>
          <w:lang w:eastAsia="es-CO"/>
        </w:rPr>
        <w:t xml:space="preserve"> Ley 2046 de 2020</w:t>
      </w:r>
      <w:r>
        <w:rPr>
          <w:rFonts w:ascii="Verdana" w:eastAsia="Times New Roman" w:hAnsi="Verdana" w:cs="Arial"/>
          <w:lang w:eastAsia="es-CO"/>
        </w:rPr>
        <w:t xml:space="preserve"> </w:t>
      </w:r>
      <w:r w:rsidRPr="00B40B0D">
        <w:rPr>
          <w:rFonts w:ascii="Verdana" w:eastAsia="Times New Roman" w:hAnsi="Verdana" w:cs="Arial"/>
          <w:lang w:eastAsia="es-CO"/>
        </w:rPr>
        <w:t xml:space="preserve">explicó, entre otras cosas, lo siguiente: </w:t>
      </w:r>
      <w:r>
        <w:rPr>
          <w:rFonts w:ascii="Verdana" w:eastAsia="Times New Roman" w:hAnsi="Verdana" w:cs="Arial"/>
          <w:lang w:eastAsia="es-CO"/>
        </w:rPr>
        <w:t>“</w:t>
      </w:r>
      <w:r w:rsidRPr="00B40B0D">
        <w:rPr>
          <w:rFonts w:ascii="Verdana" w:eastAsia="Times New Roman" w:hAnsi="Verdana" w:cs="Arial"/>
          <w:lang w:eastAsia="es-CO"/>
        </w:rPr>
        <w:t xml:space="preserve">[…] los parámetros del Estatuto de Contratación, no incluyen, como regla general, la posibilidad de participación de las organizaciones campesinas, indígenas, afros y raizales productoras de alimentos, pues las exigencias técnicas, logísticas y financieras para poder responder a las condiciones contractuales y operativas definidas por las entidades públicas, solo pueden ser satisfechas por empresas intermediarias que llevan bastante tiempo </w:t>
      </w:r>
      <w:r>
        <w:rPr>
          <w:rFonts w:ascii="Verdana" w:eastAsia="Times New Roman" w:hAnsi="Verdana" w:cs="Arial"/>
          <w:lang w:eastAsia="es-CO"/>
        </w:rPr>
        <w:t>e</w:t>
      </w:r>
      <w:r w:rsidRPr="00B40B0D">
        <w:rPr>
          <w:rFonts w:ascii="Verdana" w:eastAsia="Times New Roman" w:hAnsi="Verdana" w:cs="Arial"/>
          <w:lang w:eastAsia="es-CO"/>
        </w:rPr>
        <w:t>n el mercado</w:t>
      </w:r>
      <w:r>
        <w:rPr>
          <w:rFonts w:ascii="Verdana" w:eastAsia="Times New Roman" w:hAnsi="Verdana" w:cs="Arial"/>
          <w:lang w:eastAsia="es-CO"/>
        </w:rPr>
        <w:t>”</w:t>
      </w:r>
      <w:r w:rsidRPr="00B40B0D">
        <w:rPr>
          <w:rFonts w:ascii="Verdana" w:eastAsia="Times New Roman" w:hAnsi="Verdana" w:cs="Arial"/>
          <w:lang w:eastAsia="es-CO"/>
        </w:rPr>
        <w:t xml:space="preserve">. </w:t>
      </w:r>
    </w:p>
    <w:p w14:paraId="094E78E0" w14:textId="77777777" w:rsidR="004428D0" w:rsidRDefault="004428D0" w:rsidP="004428D0">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T</w:t>
      </w:r>
      <w:r w:rsidRPr="00B40B0D">
        <w:rPr>
          <w:rFonts w:ascii="Verdana" w:eastAsia="Times New Roman" w:hAnsi="Verdana" w:cs="Arial"/>
          <w:lang w:eastAsia="es-CO"/>
        </w:rPr>
        <w:t xml:space="preserve">ambién agrega que </w:t>
      </w:r>
      <w:r>
        <w:rPr>
          <w:rFonts w:ascii="Verdana" w:eastAsia="Times New Roman" w:hAnsi="Verdana" w:cs="Arial"/>
          <w:lang w:eastAsia="es-CO"/>
        </w:rPr>
        <w:t>“</w:t>
      </w:r>
      <w:r w:rsidRPr="00B40B0D">
        <w:rPr>
          <w:rFonts w:ascii="Verdana" w:eastAsia="Times New Roman" w:hAnsi="Verdana" w:cs="Arial"/>
          <w:lang w:eastAsia="es-CO"/>
        </w:rPr>
        <w:t>[…] el Juez constitucional ha brindado algunas soluciones de carácter jurisprudencial, que pregonan la evidente necesidad de incluir en los pliegos de condiciones de los distintos procesos de selección, las medidas o acciones afirmativas, que son mandatos con carácter imperativo, tendientes a reequilibrar a aquellas personas, poblaciones o grupos discriminados, que por razones políticas, económicas, culturales o sociales no han tenido las mismas oportunidades que otros sectores de la población</w:t>
      </w:r>
      <w:r>
        <w:rPr>
          <w:rFonts w:ascii="Verdana" w:eastAsia="Times New Roman" w:hAnsi="Verdana" w:cs="Arial"/>
          <w:lang w:eastAsia="es-CO"/>
        </w:rPr>
        <w:t>”</w:t>
      </w:r>
      <w:r w:rsidRPr="00B40B0D">
        <w:rPr>
          <w:rFonts w:ascii="Verdana" w:eastAsia="Times New Roman" w:hAnsi="Verdana" w:cs="Arial"/>
          <w:lang w:eastAsia="es-CO"/>
        </w:rPr>
        <w:t xml:space="preserve">. De este modo, la Ley 2046 de 2020 pretende la creación de incentivos que beneficien a la agricultura en el territorio nacional. </w:t>
      </w:r>
    </w:p>
    <w:p w14:paraId="227FE266" w14:textId="77777777" w:rsidR="004428D0" w:rsidRDefault="004428D0" w:rsidP="004428D0">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 En este contexto, el artículo </w:t>
      </w:r>
      <w:r>
        <w:rPr>
          <w:rFonts w:ascii="Verdana" w:eastAsia="Times New Roman" w:hAnsi="Verdana" w:cs="Arial"/>
          <w:lang w:eastAsia="es-CO"/>
        </w:rPr>
        <w:t>primero señala que</w:t>
      </w:r>
      <w:r w:rsidRPr="00B40B0D">
        <w:rPr>
          <w:rFonts w:ascii="Verdana" w:eastAsia="Times New Roman" w:hAnsi="Verdana" w:cs="Arial"/>
          <w:lang w:eastAsia="es-CO"/>
        </w:rPr>
        <w:t xml:space="preserve"> el objeto de la ley </w:t>
      </w:r>
      <w:r>
        <w:rPr>
          <w:rFonts w:ascii="Verdana" w:eastAsia="Times New Roman" w:hAnsi="Verdana" w:cs="Arial"/>
          <w:lang w:eastAsia="es-CO"/>
        </w:rPr>
        <w:t>“</w:t>
      </w:r>
      <w:r w:rsidRPr="00B40B0D">
        <w:rPr>
          <w:rFonts w:ascii="Verdana" w:eastAsia="Times New Roman" w:hAnsi="Verdana" w:cs="Arial"/>
          <w:lang w:eastAsia="es-CO"/>
        </w:rPr>
        <w:t xml:space="preserve">[…] consiste en establecer condiciones e instrumentos de abastecimiento alimentario </w:t>
      </w:r>
      <w:r w:rsidRPr="002228D5">
        <w:rPr>
          <w:rFonts w:ascii="Verdana" w:eastAsia="Times New Roman" w:hAnsi="Verdana" w:cs="Arial"/>
          <w:i/>
          <w:iCs/>
          <w:lang w:eastAsia="es-CO"/>
        </w:rPr>
        <w:t>para que todos los programas públicos de suministro y distribución de alimentos</w:t>
      </w:r>
      <w:r w:rsidRPr="00B40B0D">
        <w:rPr>
          <w:rFonts w:ascii="Verdana" w:eastAsia="Times New Roman" w:hAnsi="Verdana" w:cs="Arial"/>
          <w:lang w:eastAsia="es-CO"/>
        </w:rPr>
        <w:t xml:space="preserve"> promuevan la participación de pequeños productores locales y productores locales agropecuarios cuyos sistemas productivos pertenezcan a la Agricultura Campesina, Familiar y Comunitaria, o de sus organizaciones legalmente constituidas</w:t>
      </w:r>
      <w:r>
        <w:rPr>
          <w:rFonts w:ascii="Verdana" w:eastAsia="Times New Roman" w:hAnsi="Verdana" w:cs="Arial"/>
          <w:lang w:eastAsia="es-CO"/>
        </w:rPr>
        <w:t>” [Énfasis fuera del texto original].</w:t>
      </w:r>
    </w:p>
    <w:p w14:paraId="1F1D1F4D" w14:textId="77777777" w:rsidR="004428D0" w:rsidRDefault="004428D0" w:rsidP="004428D0">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En cuanto al campo de aplicación, el artículo 3 </w:t>
      </w:r>
      <w:r>
        <w:rPr>
          <w:rFonts w:ascii="Verdana" w:eastAsia="Times New Roman" w:hAnsi="Verdana" w:cs="Arial"/>
          <w:lang w:eastAsia="es-CO"/>
        </w:rPr>
        <w:t>señala</w:t>
      </w:r>
      <w:r w:rsidRPr="00B40B0D">
        <w:rPr>
          <w:rFonts w:ascii="Verdana" w:eastAsia="Times New Roman" w:hAnsi="Verdana" w:cs="Arial"/>
          <w:lang w:eastAsia="es-CO"/>
        </w:rPr>
        <w:t xml:space="preserve"> lo siguiente: </w:t>
      </w:r>
      <w:r>
        <w:rPr>
          <w:rFonts w:ascii="Verdana" w:eastAsia="Times New Roman" w:hAnsi="Verdana" w:cs="Arial"/>
          <w:lang w:eastAsia="es-CO"/>
        </w:rPr>
        <w:t>“</w:t>
      </w:r>
      <w:r w:rsidRPr="00B40B0D">
        <w:rPr>
          <w:rFonts w:ascii="Verdana" w:eastAsia="Times New Roman" w:hAnsi="Verdana" w:cs="Arial"/>
          <w:lang w:eastAsia="es-CO"/>
        </w:rPr>
        <w:t xml:space="preserve">Las disposiciones que aquí se establecen, serán </w:t>
      </w:r>
      <w:r w:rsidRPr="00514610">
        <w:rPr>
          <w:rFonts w:ascii="Verdana" w:eastAsia="Times New Roman" w:hAnsi="Verdana" w:cs="Arial"/>
          <w:i/>
          <w:iCs/>
          <w:lang w:eastAsia="es-CO"/>
        </w:rPr>
        <w:t>obligatorias</w:t>
      </w:r>
      <w:r w:rsidRPr="00B40B0D">
        <w:rPr>
          <w:rFonts w:ascii="Verdana" w:eastAsia="Times New Roman" w:hAnsi="Verdana" w:cs="Arial"/>
          <w:lang w:eastAsia="es-CO"/>
        </w:rPr>
        <w:t xml:space="preserve"> para las entidades públicas del nivel nacional, departamental, distrital, municipal, sociedades de economía mixta, y entidades privadas que manejen recursos públicos y operen en el territorio nacional, que demanden de forma directa o a través de interpuesta persona, alimentos para el abastecimiento y para suministro de </w:t>
      </w:r>
      <w:r w:rsidRPr="00B40B0D">
        <w:rPr>
          <w:rFonts w:ascii="Verdana" w:eastAsia="Times New Roman" w:hAnsi="Verdana" w:cs="Arial"/>
          <w:lang w:eastAsia="es-CO"/>
        </w:rPr>
        <w:lastRenderedPageBreak/>
        <w:t>productos de origen agropecuario, cumpliendo con los requisitos sanitarios que establezca la normatividad vigente</w:t>
      </w:r>
      <w:r>
        <w:rPr>
          <w:rFonts w:ascii="Verdana" w:eastAsia="Times New Roman" w:hAnsi="Verdana" w:cs="Arial"/>
          <w:lang w:eastAsia="es-CO"/>
        </w:rPr>
        <w:t>”</w:t>
      </w:r>
      <w:r w:rsidRPr="00B40B0D">
        <w:rPr>
          <w:rFonts w:ascii="Verdana" w:eastAsia="Times New Roman" w:hAnsi="Verdana" w:cs="Arial"/>
          <w:lang w:eastAsia="es-CO"/>
        </w:rPr>
        <w:t xml:space="preserve">. </w:t>
      </w:r>
    </w:p>
    <w:p w14:paraId="3B4681F3" w14:textId="77777777" w:rsidR="004428D0" w:rsidRDefault="004428D0" w:rsidP="004428D0">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Por lo demás, también dispone en su inciso segundo que </w:t>
      </w:r>
      <w:r>
        <w:rPr>
          <w:rFonts w:ascii="Verdana" w:eastAsia="Times New Roman" w:hAnsi="Verdana" w:cs="Arial"/>
          <w:lang w:eastAsia="es-CO"/>
        </w:rPr>
        <w:t>“</w:t>
      </w:r>
      <w:r w:rsidRPr="00B40B0D">
        <w:rPr>
          <w:rFonts w:ascii="Verdana" w:eastAsia="Times New Roman" w:hAnsi="Verdana" w:cs="Arial"/>
          <w:lang w:eastAsia="es-CO"/>
        </w:rPr>
        <w:t>Las disposiciones contempladas en la presente ley también aplicarán para entidades privadas que suscriban contratos con el Estado y que, en desarrollo de las labores o actividades desplegadas en el marco de aquellos, demanden de forma directa o a través de interpuesta persona alimentos para abastecimiento o para suministro de productos de origen agropecuario</w:t>
      </w:r>
      <w:r>
        <w:rPr>
          <w:rFonts w:ascii="Verdana" w:eastAsia="Times New Roman" w:hAnsi="Verdana" w:cs="Arial"/>
          <w:lang w:eastAsia="es-CO"/>
        </w:rPr>
        <w:t>”</w:t>
      </w:r>
      <w:r w:rsidRPr="00B40B0D">
        <w:rPr>
          <w:rFonts w:ascii="Verdana" w:eastAsia="Times New Roman" w:hAnsi="Verdana" w:cs="Arial"/>
          <w:lang w:eastAsia="es-CO"/>
        </w:rPr>
        <w:t xml:space="preserve">. </w:t>
      </w:r>
    </w:p>
    <w:p w14:paraId="1AF40ADE" w14:textId="77777777" w:rsidR="004428D0" w:rsidRDefault="004428D0" w:rsidP="004428D0">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En efecto, </w:t>
      </w:r>
      <w:r>
        <w:rPr>
          <w:rFonts w:ascii="Verdana" w:eastAsia="Times New Roman" w:hAnsi="Verdana" w:cs="Arial"/>
          <w:lang w:eastAsia="es-CO"/>
        </w:rPr>
        <w:t xml:space="preserve">según el ámbito de aplicación, las disposiciones de esta Ley son obligatorias para las entidades sometidas al EGCAP. Adicionalmente, </w:t>
      </w:r>
      <w:r w:rsidRPr="00B40B0D">
        <w:rPr>
          <w:rFonts w:ascii="Verdana" w:eastAsia="Times New Roman" w:hAnsi="Verdana" w:cs="Arial"/>
          <w:lang w:eastAsia="es-CO"/>
        </w:rPr>
        <w:t xml:space="preserve">no se limita a las entidades sujetas a la Ley 80 de 1993, sino que se extiende a otro tipo de entidades públicas de los distintos órdenes, </w:t>
      </w:r>
      <w:r>
        <w:rPr>
          <w:rFonts w:ascii="Verdana" w:eastAsia="Times New Roman" w:hAnsi="Verdana" w:cs="Arial"/>
          <w:lang w:eastAsia="es-CO"/>
        </w:rPr>
        <w:t xml:space="preserve">como es el caso de </w:t>
      </w:r>
      <w:r w:rsidRPr="00B40B0D">
        <w:rPr>
          <w:rFonts w:ascii="Verdana" w:eastAsia="Times New Roman" w:hAnsi="Verdana" w:cs="Arial"/>
          <w:lang w:eastAsia="es-CO"/>
        </w:rPr>
        <w:t xml:space="preserve">las sociedades de economía mixta, </w:t>
      </w:r>
      <w:r>
        <w:rPr>
          <w:rFonts w:ascii="Verdana" w:eastAsia="Times New Roman" w:hAnsi="Verdana" w:cs="Arial"/>
          <w:lang w:eastAsia="es-CO"/>
        </w:rPr>
        <w:t xml:space="preserve">las </w:t>
      </w:r>
      <w:r w:rsidRPr="00B40B0D">
        <w:rPr>
          <w:rFonts w:ascii="Verdana" w:eastAsia="Times New Roman" w:hAnsi="Verdana" w:cs="Arial"/>
          <w:lang w:eastAsia="es-CO"/>
        </w:rPr>
        <w:t xml:space="preserve">entidades privadas que administren recursos públicos, así como los demás sujetos mencionados en la norma. En esta línea, dispone unas reglas </w:t>
      </w:r>
      <w:r>
        <w:rPr>
          <w:rFonts w:ascii="Verdana" w:eastAsia="Times New Roman" w:hAnsi="Verdana" w:cs="Arial"/>
          <w:lang w:eastAsia="es-CO"/>
        </w:rPr>
        <w:t xml:space="preserve">que deberán cumplir para </w:t>
      </w:r>
      <w:r w:rsidRPr="00B40B0D">
        <w:rPr>
          <w:rFonts w:ascii="Verdana" w:eastAsia="Times New Roman" w:hAnsi="Verdana" w:cs="Arial"/>
          <w:lang w:eastAsia="es-CO"/>
        </w:rPr>
        <w:t xml:space="preserve">garantizar el bienestar y el fomento de la agricultura en el país. </w:t>
      </w:r>
    </w:p>
    <w:p w14:paraId="1F5193FB" w14:textId="77777777" w:rsidR="004428D0" w:rsidRDefault="004428D0" w:rsidP="004428D0">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El artículo 4 de la Ley 2046 de 2020 también define algunos términos y </w:t>
      </w:r>
      <w:r>
        <w:rPr>
          <w:rFonts w:ascii="Verdana" w:eastAsia="Times New Roman" w:hAnsi="Verdana" w:cs="Arial"/>
          <w:lang w:eastAsia="es-CO"/>
        </w:rPr>
        <w:t xml:space="preserve">señala </w:t>
      </w:r>
      <w:r w:rsidRPr="00B40B0D">
        <w:rPr>
          <w:rFonts w:ascii="Verdana" w:eastAsia="Times New Roman" w:hAnsi="Verdana" w:cs="Arial"/>
          <w:lang w:eastAsia="es-CO"/>
        </w:rPr>
        <w:t>unas siglas para el entendimiento e interpretación de las reglas</w:t>
      </w:r>
      <w:r>
        <w:rPr>
          <w:rFonts w:ascii="Verdana" w:eastAsia="Times New Roman" w:hAnsi="Verdana" w:cs="Arial"/>
          <w:lang w:eastAsia="es-CO"/>
        </w:rPr>
        <w:t xml:space="preserve"> allí establecidas</w:t>
      </w:r>
      <w:r w:rsidRPr="00B40B0D">
        <w:rPr>
          <w:rFonts w:ascii="Verdana" w:eastAsia="Times New Roman" w:hAnsi="Verdana" w:cs="Arial"/>
          <w:lang w:eastAsia="es-CO"/>
        </w:rPr>
        <w:t xml:space="preserve">. El artículo 5 crea la Mesa Técnica Nacional de Compras Públicas Locales de Alimentos, y el artículo 6 obliga al Gobierno Nacional a diseñar e implementar planes, programas y acciones pedagógicas y de seguimiento para capacitar alcaldías, gobernaciones y participantes de los espacios territoriales de articulación definidos por Mesa Técnica Nacional de Compras Públicas Locales de Alimentos, así como a pequeños productores y productores de la Agricultura Campesina, Familiar o Comunitaria y organizaciones en los diferentes ejes temáticos indicados en la norma. </w:t>
      </w:r>
    </w:p>
    <w:p w14:paraId="17A6D9E8" w14:textId="77777777" w:rsidR="004428D0" w:rsidRDefault="004428D0" w:rsidP="004428D0">
      <w:pPr>
        <w:spacing w:after="0" w:line="276" w:lineRule="auto"/>
        <w:ind w:firstLine="426"/>
        <w:jc w:val="both"/>
        <w:rPr>
          <w:rFonts w:ascii="Verdana" w:eastAsia="Times New Roman" w:hAnsi="Verdana" w:cs="Arial"/>
          <w:lang w:eastAsia="es-CO"/>
        </w:rPr>
      </w:pPr>
      <w:r w:rsidRPr="00B40B0D">
        <w:rPr>
          <w:rFonts w:ascii="Verdana" w:eastAsia="Times New Roman" w:hAnsi="Verdana" w:cs="Arial"/>
          <w:lang w:eastAsia="es-CO"/>
        </w:rPr>
        <w:t>Sin embargo, la mayor pretensión de esta Ley fue lo regulado en el artículo 7, el cual estable</w:t>
      </w:r>
      <w:r>
        <w:rPr>
          <w:rFonts w:ascii="Verdana" w:eastAsia="Times New Roman" w:hAnsi="Verdana" w:cs="Arial"/>
          <w:lang w:eastAsia="es-CO"/>
        </w:rPr>
        <w:t>ce</w:t>
      </w:r>
      <w:r w:rsidRPr="00B40B0D">
        <w:rPr>
          <w:rFonts w:ascii="Verdana" w:eastAsia="Times New Roman" w:hAnsi="Verdana" w:cs="Arial"/>
          <w:lang w:eastAsia="es-CO"/>
        </w:rPr>
        <w:t xml:space="preserve"> los porcentajes mínimos de compra local a pequeños productores y productores de la agricultura campesina, familiar y comunitaria. En </w:t>
      </w:r>
      <w:r>
        <w:rPr>
          <w:rFonts w:ascii="Verdana" w:eastAsia="Times New Roman" w:hAnsi="Verdana" w:cs="Arial"/>
          <w:lang w:eastAsia="es-CO"/>
        </w:rPr>
        <w:t>este aspecto</w:t>
      </w:r>
      <w:r w:rsidRPr="00B40B0D">
        <w:rPr>
          <w:rFonts w:ascii="Verdana" w:eastAsia="Times New Roman" w:hAnsi="Verdana" w:cs="Arial"/>
          <w:lang w:eastAsia="es-CO"/>
        </w:rPr>
        <w:t xml:space="preserve">, establece las siguientes reglas: </w:t>
      </w:r>
    </w:p>
    <w:p w14:paraId="770244F6" w14:textId="77777777" w:rsidR="004428D0" w:rsidRPr="00285011" w:rsidRDefault="004428D0" w:rsidP="004428D0">
      <w:pPr>
        <w:spacing w:after="0" w:line="276" w:lineRule="auto"/>
        <w:ind w:left="426" w:right="758"/>
        <w:jc w:val="both"/>
        <w:rPr>
          <w:rFonts w:ascii="Verdana" w:eastAsia="Times New Roman" w:hAnsi="Verdana" w:cs="Arial"/>
          <w:lang w:eastAsia="es-CO"/>
        </w:rPr>
      </w:pPr>
    </w:p>
    <w:p w14:paraId="2D1C8D9A" w14:textId="77777777" w:rsidR="004428D0" w:rsidRPr="00571478" w:rsidRDefault="004428D0" w:rsidP="004428D0">
      <w:pPr>
        <w:spacing w:after="0" w:line="240" w:lineRule="auto"/>
        <w:ind w:left="709" w:right="709"/>
        <w:jc w:val="both"/>
        <w:rPr>
          <w:rFonts w:ascii="Verdana" w:eastAsia="Times New Roman" w:hAnsi="Verdana" w:cs="Arial"/>
          <w:sz w:val="20"/>
          <w:szCs w:val="20"/>
          <w:lang w:eastAsia="es-CO"/>
        </w:rPr>
      </w:pPr>
      <w:r>
        <w:rPr>
          <w:rFonts w:ascii="Verdana" w:eastAsia="Times New Roman" w:hAnsi="Verdana" w:cs="Arial"/>
          <w:sz w:val="20"/>
          <w:szCs w:val="20"/>
          <w:lang w:eastAsia="es-CO"/>
        </w:rPr>
        <w:t>“</w:t>
      </w:r>
      <w:r w:rsidRPr="00571478">
        <w:rPr>
          <w:rFonts w:ascii="Verdana" w:eastAsia="Times New Roman" w:hAnsi="Verdana" w:cs="Arial"/>
          <w:sz w:val="20"/>
          <w:szCs w:val="20"/>
          <w:lang w:eastAsia="es-CO"/>
        </w:rPr>
        <w:t xml:space="preserve">i) las entidades que están sujetas al ámbito de aplicación de esta ley tienen la obligación de adquirir alimentos comprados a pequeños productores agropecuarios locales y/o a productores de la Agricultura Campesina, Familiar o Comunitaria locales y sus organizaciones en un porcentaje mínimo del treinta por ciento (30%) del valor total de los recursos del presupuesto de cada entidad destinados a la compra de </w:t>
      </w:r>
      <w:r w:rsidRPr="00571478">
        <w:rPr>
          <w:rFonts w:ascii="Verdana" w:eastAsia="Times New Roman" w:hAnsi="Verdana" w:cs="Arial"/>
          <w:sz w:val="20"/>
          <w:szCs w:val="20"/>
          <w:lang w:eastAsia="es-CO"/>
        </w:rPr>
        <w:lastRenderedPageBreak/>
        <w:t>alimentos. En el evento que no se cumpla este porcentaje deben informar a la Mesa Técnica Nacional de Compra Pública de Alimentos, quien certifica y realiza las gestiones para otorgar un listado de pequeños productores;</w:t>
      </w:r>
    </w:p>
    <w:p w14:paraId="3B7106B7" w14:textId="77777777" w:rsidR="004428D0" w:rsidRPr="00571478" w:rsidRDefault="004428D0" w:rsidP="004428D0">
      <w:pPr>
        <w:spacing w:after="0" w:line="240" w:lineRule="auto"/>
        <w:ind w:left="709" w:right="709"/>
        <w:jc w:val="both"/>
        <w:rPr>
          <w:rFonts w:ascii="Verdana" w:eastAsia="Times New Roman" w:hAnsi="Verdana" w:cs="Arial"/>
          <w:sz w:val="20"/>
          <w:szCs w:val="20"/>
          <w:lang w:eastAsia="es-CO"/>
        </w:rPr>
      </w:pPr>
    </w:p>
    <w:p w14:paraId="7A1B760A" w14:textId="77777777" w:rsidR="004428D0" w:rsidRPr="00571478" w:rsidRDefault="004428D0" w:rsidP="004428D0">
      <w:pPr>
        <w:spacing w:after="0" w:line="240" w:lineRule="auto"/>
        <w:ind w:left="709" w:right="709"/>
        <w:jc w:val="both"/>
        <w:rPr>
          <w:rFonts w:ascii="Verdana" w:eastAsia="Times New Roman" w:hAnsi="Verdana" w:cs="Arial"/>
          <w:sz w:val="20"/>
          <w:szCs w:val="20"/>
          <w:lang w:eastAsia="es-CO"/>
        </w:rPr>
      </w:pPr>
      <w:proofErr w:type="spellStart"/>
      <w:r w:rsidRPr="00571478">
        <w:rPr>
          <w:rFonts w:ascii="Verdana" w:eastAsia="Times New Roman" w:hAnsi="Verdana" w:cs="Arial"/>
          <w:sz w:val="20"/>
          <w:szCs w:val="20"/>
          <w:lang w:eastAsia="es-CO"/>
        </w:rPr>
        <w:t>ii</w:t>
      </w:r>
      <w:proofErr w:type="spellEnd"/>
      <w:r w:rsidRPr="00571478">
        <w:rPr>
          <w:rFonts w:ascii="Verdana" w:eastAsia="Times New Roman" w:hAnsi="Verdana" w:cs="Arial"/>
          <w:sz w:val="20"/>
          <w:szCs w:val="20"/>
          <w:lang w:eastAsia="es-CO"/>
        </w:rPr>
        <w:t xml:space="preserve">) También deben establecer en su Pliego de Condiciones un puntaje mínimo del diez por ciento (10%) de los puntos asignables a la calificación de las propuestas, que se asignan proporcionalmente a aquellos proponentes que se obliguen a adquirir productos provenientes de pequeños productores agropecuarios locales y/o a productores de la Agricultura Campesina, Familiar o Comunitaria locales y sus organizaciones, en una proporción mayor al mínimo exigido por la entidad contratante; </w:t>
      </w:r>
    </w:p>
    <w:p w14:paraId="0A8C5C7D" w14:textId="77777777" w:rsidR="004428D0" w:rsidRDefault="004428D0" w:rsidP="004428D0">
      <w:pPr>
        <w:spacing w:after="0" w:line="240" w:lineRule="auto"/>
        <w:ind w:left="709" w:right="709"/>
        <w:jc w:val="both"/>
        <w:rPr>
          <w:rFonts w:ascii="Verdana" w:eastAsia="Times New Roman" w:hAnsi="Verdana" w:cs="Arial"/>
          <w:sz w:val="20"/>
          <w:szCs w:val="20"/>
          <w:lang w:eastAsia="es-CO"/>
        </w:rPr>
      </w:pPr>
    </w:p>
    <w:p w14:paraId="45C4EED1" w14:textId="77777777" w:rsidR="004428D0" w:rsidRPr="00571478" w:rsidRDefault="004428D0" w:rsidP="004428D0">
      <w:pPr>
        <w:spacing w:after="0" w:line="240" w:lineRule="auto"/>
        <w:ind w:left="709" w:right="709"/>
        <w:jc w:val="both"/>
        <w:rPr>
          <w:rFonts w:ascii="Verdana" w:eastAsia="Times New Roman" w:hAnsi="Verdana" w:cs="Arial"/>
          <w:sz w:val="20"/>
          <w:szCs w:val="20"/>
          <w:lang w:eastAsia="es-CO"/>
        </w:rPr>
      </w:pPr>
      <w:proofErr w:type="spellStart"/>
      <w:r w:rsidRPr="00571478">
        <w:rPr>
          <w:rFonts w:ascii="Verdana" w:eastAsia="Times New Roman" w:hAnsi="Verdana" w:cs="Arial"/>
          <w:sz w:val="20"/>
          <w:szCs w:val="20"/>
          <w:lang w:eastAsia="es-CO"/>
        </w:rPr>
        <w:t>iii</w:t>
      </w:r>
      <w:proofErr w:type="spellEnd"/>
      <w:r w:rsidRPr="00571478">
        <w:rPr>
          <w:rFonts w:ascii="Verdana" w:eastAsia="Times New Roman" w:hAnsi="Verdana" w:cs="Arial"/>
          <w:sz w:val="20"/>
          <w:szCs w:val="20"/>
          <w:lang w:eastAsia="es-CO"/>
        </w:rPr>
        <w:t>) Deben incluir en sus contratos la obligación por parte de sus contratistas que ejecuten u operen los programas institucionales en que se adquieran alimentos, de participar en los espacios de articulación que se definan por parte de la Mesa Técnica Nacional de Compras Públicas Locales de Alimentos y de participar en su rol de compradores de alimentos o de sus materias primas, en las ruedas de negocios que se realicen en virtud de lo establecido en la presente ley;</w:t>
      </w:r>
    </w:p>
    <w:p w14:paraId="2F0AA5BD" w14:textId="77777777" w:rsidR="004428D0" w:rsidRDefault="004428D0" w:rsidP="004428D0">
      <w:pPr>
        <w:spacing w:after="0" w:line="240" w:lineRule="auto"/>
        <w:ind w:left="709" w:right="709"/>
        <w:jc w:val="both"/>
        <w:rPr>
          <w:rFonts w:ascii="Verdana" w:eastAsia="Times New Roman" w:hAnsi="Verdana" w:cs="Arial"/>
          <w:sz w:val="20"/>
          <w:szCs w:val="20"/>
          <w:lang w:eastAsia="es-CO"/>
        </w:rPr>
      </w:pPr>
    </w:p>
    <w:p w14:paraId="46850705" w14:textId="77777777" w:rsidR="004428D0" w:rsidRPr="00571478" w:rsidRDefault="004428D0" w:rsidP="004428D0">
      <w:pPr>
        <w:spacing w:after="0" w:line="240" w:lineRule="auto"/>
        <w:ind w:left="709" w:right="709"/>
        <w:jc w:val="both"/>
        <w:rPr>
          <w:rFonts w:ascii="Verdana" w:eastAsia="Times New Roman" w:hAnsi="Verdana" w:cs="Arial"/>
          <w:sz w:val="20"/>
          <w:szCs w:val="20"/>
          <w:lang w:eastAsia="es-CO"/>
        </w:rPr>
      </w:pPr>
      <w:proofErr w:type="spellStart"/>
      <w:r w:rsidRPr="00571478">
        <w:rPr>
          <w:rFonts w:ascii="Verdana" w:eastAsia="Times New Roman" w:hAnsi="Verdana" w:cs="Arial"/>
          <w:sz w:val="20"/>
          <w:szCs w:val="20"/>
          <w:lang w:eastAsia="es-CO"/>
        </w:rPr>
        <w:t>iv</w:t>
      </w:r>
      <w:proofErr w:type="spellEnd"/>
      <w:r w:rsidRPr="00571478">
        <w:rPr>
          <w:rFonts w:ascii="Verdana" w:eastAsia="Times New Roman" w:hAnsi="Verdana" w:cs="Arial"/>
          <w:sz w:val="20"/>
          <w:szCs w:val="20"/>
          <w:lang w:eastAsia="es-CO"/>
        </w:rPr>
        <w:t xml:space="preserve">) Establecerá en sus estudios previos, la zona geográfica para la compra pública local de alimentos a pequeños productores agropecuarios y/o a productores de la Agricultura Campesina, Familiar o Comunitaria locales o sus organizaciones, con base en una serie de criterios definidos en la norma. </w:t>
      </w:r>
    </w:p>
    <w:p w14:paraId="786B2FF7" w14:textId="77777777" w:rsidR="004428D0" w:rsidRPr="00B40B0D" w:rsidRDefault="004428D0" w:rsidP="004428D0">
      <w:pPr>
        <w:spacing w:after="0" w:line="276" w:lineRule="auto"/>
        <w:jc w:val="both"/>
        <w:rPr>
          <w:rFonts w:ascii="Verdana" w:eastAsia="Times New Roman" w:hAnsi="Verdana" w:cs="Arial"/>
          <w:lang w:eastAsia="es-CO"/>
        </w:rPr>
      </w:pPr>
      <w:r w:rsidRPr="00B40B0D">
        <w:rPr>
          <w:rFonts w:ascii="Verdana" w:eastAsia="Times New Roman" w:hAnsi="Verdana" w:cs="Arial"/>
          <w:lang w:eastAsia="es-CO"/>
        </w:rPr>
        <w:t xml:space="preserve"> </w:t>
      </w:r>
    </w:p>
    <w:p w14:paraId="431C1F2D" w14:textId="77777777" w:rsidR="004428D0" w:rsidRDefault="004428D0" w:rsidP="004428D0">
      <w:pPr>
        <w:spacing w:after="120" w:line="276" w:lineRule="auto"/>
        <w:ind w:firstLine="426"/>
        <w:jc w:val="both"/>
        <w:rPr>
          <w:rFonts w:ascii="Verdana" w:eastAsia="Times New Roman" w:hAnsi="Verdana" w:cs="Arial"/>
          <w:lang w:eastAsia="es-CO"/>
        </w:rPr>
      </w:pPr>
      <w:r w:rsidRPr="00B40B0D">
        <w:rPr>
          <w:rFonts w:ascii="Verdana" w:eastAsia="Times New Roman" w:hAnsi="Verdana" w:cs="Arial"/>
          <w:lang w:eastAsia="es-CO"/>
        </w:rPr>
        <w:t xml:space="preserve">Seguidamente, los demás artículos de la Ley 2046 de 2020 tratan temas varios como: i) </w:t>
      </w:r>
      <w:r>
        <w:rPr>
          <w:rFonts w:ascii="Verdana" w:eastAsia="Times New Roman" w:hAnsi="Verdana" w:cs="Arial"/>
          <w:lang w:eastAsia="es-CO"/>
        </w:rPr>
        <w:t xml:space="preserve">el </w:t>
      </w:r>
      <w:r w:rsidRPr="00B40B0D">
        <w:rPr>
          <w:rFonts w:ascii="Verdana" w:eastAsia="Times New Roman" w:hAnsi="Verdana" w:cs="Arial"/>
          <w:lang w:eastAsia="es-CO"/>
        </w:rPr>
        <w:t>diseño y adecuación de minutas alimentarias y menú –artículo 8–</w:t>
      </w:r>
      <w:r>
        <w:rPr>
          <w:rFonts w:ascii="Verdana" w:eastAsia="Times New Roman" w:hAnsi="Verdana" w:cs="Arial"/>
          <w:lang w:eastAsia="es-CO"/>
        </w:rPr>
        <w:t>;</w:t>
      </w:r>
      <w:r w:rsidRPr="00B40B0D">
        <w:rPr>
          <w:rFonts w:ascii="Verdana" w:eastAsia="Times New Roman" w:hAnsi="Verdana" w:cs="Arial"/>
          <w:lang w:eastAsia="es-CO"/>
        </w:rPr>
        <w:t xml:space="preserve"> </w:t>
      </w:r>
      <w:proofErr w:type="spellStart"/>
      <w:r w:rsidRPr="00B40B0D">
        <w:rPr>
          <w:rFonts w:ascii="Verdana" w:eastAsia="Times New Roman" w:hAnsi="Verdana" w:cs="Arial"/>
          <w:lang w:eastAsia="es-CO"/>
        </w:rPr>
        <w:t>ii</w:t>
      </w:r>
      <w:proofErr w:type="spellEnd"/>
      <w:r w:rsidRPr="00B40B0D">
        <w:rPr>
          <w:rFonts w:ascii="Verdana" w:eastAsia="Times New Roman" w:hAnsi="Verdana" w:cs="Arial"/>
          <w:lang w:eastAsia="es-CO"/>
        </w:rPr>
        <w:t>) especificaciones técnicas de los productos –artículo 9–</w:t>
      </w:r>
      <w:r>
        <w:rPr>
          <w:rFonts w:ascii="Verdana" w:eastAsia="Times New Roman" w:hAnsi="Verdana" w:cs="Arial"/>
          <w:lang w:eastAsia="es-CO"/>
        </w:rPr>
        <w:t>;</w:t>
      </w:r>
      <w:r w:rsidRPr="00B40B0D">
        <w:rPr>
          <w:rFonts w:ascii="Verdana" w:eastAsia="Times New Roman" w:hAnsi="Verdana" w:cs="Arial"/>
          <w:lang w:eastAsia="es-CO"/>
        </w:rPr>
        <w:t xml:space="preserve"> </w:t>
      </w:r>
      <w:proofErr w:type="spellStart"/>
      <w:r w:rsidRPr="00B40B0D">
        <w:rPr>
          <w:rFonts w:ascii="Verdana" w:eastAsia="Times New Roman" w:hAnsi="Verdana" w:cs="Arial"/>
          <w:lang w:eastAsia="es-CO"/>
        </w:rPr>
        <w:t>iii</w:t>
      </w:r>
      <w:proofErr w:type="spellEnd"/>
      <w:r w:rsidRPr="00B40B0D">
        <w:rPr>
          <w:rFonts w:ascii="Verdana" w:eastAsia="Times New Roman" w:hAnsi="Verdana" w:cs="Arial"/>
          <w:lang w:eastAsia="es-CO"/>
        </w:rPr>
        <w:t>) pago de las compras realizadas a productores de la agricultura campesina, familiar y comunitaria –artículo 10–</w:t>
      </w:r>
      <w:r>
        <w:rPr>
          <w:rFonts w:ascii="Verdana" w:eastAsia="Times New Roman" w:hAnsi="Verdana" w:cs="Arial"/>
          <w:lang w:eastAsia="es-CO"/>
        </w:rPr>
        <w:t>;</w:t>
      </w:r>
      <w:r w:rsidRPr="00B40B0D">
        <w:rPr>
          <w:rFonts w:ascii="Verdana" w:eastAsia="Times New Roman" w:hAnsi="Verdana" w:cs="Arial"/>
          <w:lang w:eastAsia="es-CO"/>
        </w:rPr>
        <w:t xml:space="preserve"> </w:t>
      </w:r>
      <w:proofErr w:type="spellStart"/>
      <w:r w:rsidRPr="00B40B0D">
        <w:rPr>
          <w:rFonts w:ascii="Verdana" w:eastAsia="Times New Roman" w:hAnsi="Verdana" w:cs="Arial"/>
          <w:lang w:eastAsia="es-CO"/>
        </w:rPr>
        <w:t>iv</w:t>
      </w:r>
      <w:proofErr w:type="spellEnd"/>
      <w:r w:rsidRPr="00B40B0D">
        <w:rPr>
          <w:rFonts w:ascii="Verdana" w:eastAsia="Times New Roman" w:hAnsi="Verdana" w:cs="Arial"/>
          <w:lang w:eastAsia="es-CO"/>
        </w:rPr>
        <w:t xml:space="preserve">) </w:t>
      </w:r>
      <w:r>
        <w:rPr>
          <w:rFonts w:ascii="Verdana" w:eastAsia="Times New Roman" w:hAnsi="Verdana" w:cs="Arial"/>
          <w:lang w:eastAsia="es-CO"/>
        </w:rPr>
        <w:t xml:space="preserve">el </w:t>
      </w:r>
      <w:r w:rsidRPr="00B40B0D">
        <w:rPr>
          <w:rFonts w:ascii="Verdana" w:eastAsia="Times New Roman" w:hAnsi="Verdana" w:cs="Arial"/>
          <w:lang w:eastAsia="es-CO"/>
        </w:rPr>
        <w:t>sistema público de información alimentaria de pequeños productores locales y de productores de la agricultura campesina, familiar y comunitaria y sus organizaciones –artículo 11–</w:t>
      </w:r>
      <w:r>
        <w:rPr>
          <w:rFonts w:ascii="Verdana" w:eastAsia="Times New Roman" w:hAnsi="Verdana" w:cs="Arial"/>
          <w:lang w:eastAsia="es-CO"/>
        </w:rPr>
        <w:t>;</w:t>
      </w:r>
      <w:r w:rsidRPr="00B40B0D">
        <w:rPr>
          <w:rFonts w:ascii="Verdana" w:eastAsia="Times New Roman" w:hAnsi="Verdana" w:cs="Arial"/>
          <w:lang w:eastAsia="es-CO"/>
        </w:rPr>
        <w:t xml:space="preserve"> v) informes de cumplimiento al Congreso de la República –artículo 12–</w:t>
      </w:r>
      <w:r>
        <w:rPr>
          <w:rFonts w:ascii="Verdana" w:eastAsia="Times New Roman" w:hAnsi="Verdana" w:cs="Arial"/>
          <w:lang w:eastAsia="es-CO"/>
        </w:rPr>
        <w:t>;</w:t>
      </w:r>
      <w:r w:rsidRPr="00B40B0D">
        <w:rPr>
          <w:rFonts w:ascii="Verdana" w:eastAsia="Times New Roman" w:hAnsi="Verdana" w:cs="Arial"/>
          <w:lang w:eastAsia="es-CO"/>
        </w:rPr>
        <w:t xml:space="preserve"> y vi) </w:t>
      </w:r>
      <w:r>
        <w:rPr>
          <w:rFonts w:ascii="Verdana" w:eastAsia="Times New Roman" w:hAnsi="Verdana" w:cs="Arial"/>
          <w:lang w:eastAsia="es-CO"/>
        </w:rPr>
        <w:t xml:space="preserve">los </w:t>
      </w:r>
      <w:r w:rsidRPr="00B40B0D">
        <w:rPr>
          <w:rFonts w:ascii="Verdana" w:eastAsia="Times New Roman" w:hAnsi="Verdana" w:cs="Arial"/>
          <w:lang w:eastAsia="es-CO"/>
        </w:rPr>
        <w:t>mecanismos de monitoreo y vigilancia –artículo 13–.</w:t>
      </w:r>
    </w:p>
    <w:p w14:paraId="28E4D259" w14:textId="77777777" w:rsidR="004428D0" w:rsidRPr="00B40B0D" w:rsidRDefault="004428D0" w:rsidP="004428D0">
      <w:pPr>
        <w:spacing w:after="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En el marco de la </w:t>
      </w:r>
      <w:r w:rsidRPr="00B40B0D">
        <w:rPr>
          <w:rFonts w:ascii="Verdana" w:eastAsia="Times New Roman" w:hAnsi="Verdana" w:cs="Arial"/>
          <w:lang w:eastAsia="es-CO"/>
        </w:rPr>
        <w:t xml:space="preserve">Ley 2046 de 2020, </w:t>
      </w:r>
      <w:r>
        <w:rPr>
          <w:rFonts w:ascii="Verdana" w:eastAsia="Times New Roman" w:hAnsi="Verdana" w:cs="Arial"/>
          <w:lang w:eastAsia="es-CO"/>
        </w:rPr>
        <w:t xml:space="preserve">el gobierno nacional </w:t>
      </w:r>
      <w:r w:rsidRPr="00B40B0D">
        <w:rPr>
          <w:rFonts w:ascii="Verdana" w:eastAsia="Times New Roman" w:hAnsi="Verdana" w:cs="Arial"/>
          <w:lang w:eastAsia="es-CO"/>
        </w:rPr>
        <w:t xml:space="preserve">expidió el Decreto 248 del 9 de marzo de 2021, </w:t>
      </w:r>
      <w:r>
        <w:rPr>
          <w:rFonts w:ascii="Verdana" w:eastAsia="Times New Roman" w:hAnsi="Verdana" w:cs="Arial"/>
          <w:lang w:eastAsia="es-CO"/>
        </w:rPr>
        <w:t>“</w:t>
      </w:r>
      <w:r w:rsidRPr="00B40B0D">
        <w:rPr>
          <w:rFonts w:ascii="Verdana" w:eastAsia="Times New Roman" w:hAnsi="Verdana" w:cs="Arial"/>
          <w:lang w:eastAsia="es-CO"/>
        </w:rPr>
        <w:t>Por el cual se adiciona la Parte 20 al Libro 2 del Decreto 1071 de 2015, Decreto Único Reglamentario del Sector Administrativo Agropecuario, Pesquero y de Desarrollo Rural, relacionado con las compras públicas de alimentos</w:t>
      </w:r>
      <w:r>
        <w:rPr>
          <w:rFonts w:ascii="Verdana" w:eastAsia="Times New Roman" w:hAnsi="Verdana" w:cs="Arial"/>
          <w:lang w:eastAsia="es-CO"/>
        </w:rPr>
        <w:t>”</w:t>
      </w:r>
      <w:r w:rsidRPr="00B40B0D">
        <w:rPr>
          <w:rFonts w:ascii="Verdana" w:eastAsia="Times New Roman" w:hAnsi="Verdana" w:cs="Arial"/>
          <w:lang w:eastAsia="es-CO"/>
        </w:rPr>
        <w:t xml:space="preserve">. En la memoria justificativa de este decreto se expresó: </w:t>
      </w:r>
    </w:p>
    <w:p w14:paraId="6D66615E" w14:textId="77777777" w:rsidR="004428D0" w:rsidRPr="00B40B0D" w:rsidRDefault="004428D0" w:rsidP="004428D0">
      <w:pPr>
        <w:spacing w:after="0" w:line="276" w:lineRule="auto"/>
        <w:jc w:val="both"/>
        <w:rPr>
          <w:rFonts w:ascii="Verdana" w:eastAsia="Times New Roman" w:hAnsi="Verdana" w:cs="Arial"/>
          <w:lang w:eastAsia="es-CO"/>
        </w:rPr>
      </w:pPr>
    </w:p>
    <w:p w14:paraId="0BB24677" w14:textId="77777777" w:rsidR="004428D0" w:rsidRDefault="004428D0" w:rsidP="004428D0">
      <w:pPr>
        <w:spacing w:after="0" w:line="240" w:lineRule="auto"/>
        <w:ind w:left="709" w:right="709"/>
        <w:jc w:val="both"/>
        <w:rPr>
          <w:rFonts w:ascii="Verdana" w:eastAsia="Times New Roman" w:hAnsi="Verdana" w:cs="Arial"/>
          <w:sz w:val="20"/>
          <w:szCs w:val="20"/>
          <w:lang w:eastAsia="es-CO"/>
        </w:rPr>
      </w:pPr>
      <w:r w:rsidRPr="00285011">
        <w:rPr>
          <w:rFonts w:ascii="Verdana" w:eastAsia="Times New Roman" w:hAnsi="Verdana" w:cs="Arial"/>
          <w:sz w:val="20"/>
          <w:szCs w:val="20"/>
          <w:lang w:eastAsia="es-CO"/>
        </w:rPr>
        <w:t xml:space="preserve">“La importancia de las compras públicas locales para el desarrollo territorial fue también resaltada en la Reforma Rural Integral –RRI, planteada en el Acuerdo Final Para la Terminación del Conflicto y Construcción de una Paz Estable y Duradera suscrito entre el Gobierno Nacional y las Fuerzas Armadas Revolucionarias de Colombia –FARC. En la RRI, en su numeral 1.3.3.4. plantea la formulación e implementación del Plan Nacional para la Promoción de la Comercialización de la Producción de la Economía Campesina, Familiar y Comunitaria, que contiene, una seria de medidas para estimular el mercadeo de los productos campesinos, ordenando entre otras, el diseño e implementación progresiva de un mecanismo de compras públicas para atender la demanda de las entidades y programas institucionales, que de manera descentralizada, que fomente la producción local para apoyar la comercialización y absorción de la producción de la economía campesina familiar y comunitaria”. </w:t>
      </w:r>
    </w:p>
    <w:p w14:paraId="51460BAF" w14:textId="77777777" w:rsidR="004428D0" w:rsidRPr="00EA61A7" w:rsidRDefault="004428D0" w:rsidP="004428D0">
      <w:pPr>
        <w:spacing w:after="0" w:line="240" w:lineRule="auto"/>
        <w:ind w:left="709" w:right="709"/>
        <w:jc w:val="both"/>
        <w:rPr>
          <w:rFonts w:ascii="Verdana" w:eastAsia="Times New Roman" w:hAnsi="Verdana" w:cs="Arial"/>
          <w:sz w:val="20"/>
          <w:szCs w:val="20"/>
          <w:lang w:eastAsia="es-CO"/>
        </w:rPr>
      </w:pPr>
    </w:p>
    <w:p w14:paraId="073B2B38" w14:textId="77777777" w:rsidR="004428D0" w:rsidRDefault="004428D0" w:rsidP="004428D0">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Es importante destacar que la exposición de motivos del </w:t>
      </w:r>
      <w:r w:rsidRPr="00285011">
        <w:rPr>
          <w:rFonts w:ascii="Verdana" w:eastAsia="Times New Roman" w:hAnsi="Verdana" w:cs="Arial"/>
          <w:lang w:eastAsia="es-CO"/>
        </w:rPr>
        <w:t>Decreto 248 de 2021</w:t>
      </w:r>
      <w:r>
        <w:rPr>
          <w:rFonts w:ascii="Verdana" w:eastAsia="Times New Roman" w:hAnsi="Verdana" w:cs="Arial"/>
          <w:lang w:eastAsia="es-CO"/>
        </w:rPr>
        <w:t xml:space="preserve"> tuvo en cuenta que</w:t>
      </w:r>
      <w:r w:rsidRPr="00B40B0D">
        <w:rPr>
          <w:rFonts w:ascii="Verdana" w:eastAsia="Times New Roman" w:hAnsi="Verdana" w:cs="Arial"/>
          <w:lang w:eastAsia="es-CO"/>
        </w:rPr>
        <w:t xml:space="preserve"> </w:t>
      </w:r>
      <w:r>
        <w:rPr>
          <w:rFonts w:ascii="Verdana" w:eastAsia="Times New Roman" w:hAnsi="Verdana" w:cs="Arial"/>
          <w:lang w:eastAsia="es-CO"/>
        </w:rPr>
        <w:t>“</w:t>
      </w:r>
      <w:r w:rsidRPr="00B40B0D">
        <w:rPr>
          <w:rFonts w:ascii="Verdana" w:eastAsia="Times New Roman" w:hAnsi="Verdana" w:cs="Arial"/>
          <w:lang w:eastAsia="es-CO"/>
        </w:rPr>
        <w:t>Las experiencias desarrolladas en la región de compras públicas a pequeños productores rurales, han mostrado que cuando los Estados deciden a quienes se les debe comprar los alimentos si los recursos son públicos, el impacto que se genera puede ser significativo. Se promueve el empleo y la generación de ingresos en poblaciones especialmente vulnerables, se impulsa el desarrollo local al lograr insertar a las comunidades en procesos económicos y sociales estables, se contribuye a una redistribución efectiva de la riqueza al generar un flujo continuo de recursos, y a la vez se impacta positivamente las políticas públicas encaminadas a garantizar la seguridad alimentaria y superar la pobreza</w:t>
      </w:r>
      <w:r>
        <w:rPr>
          <w:rFonts w:ascii="Verdana" w:eastAsia="Times New Roman" w:hAnsi="Verdana" w:cs="Arial"/>
          <w:lang w:eastAsia="es-CO"/>
        </w:rPr>
        <w:t>”</w:t>
      </w:r>
      <w:r w:rsidRPr="00B40B0D">
        <w:rPr>
          <w:rFonts w:ascii="Verdana" w:eastAsia="Times New Roman" w:hAnsi="Verdana" w:cs="Arial"/>
          <w:lang w:eastAsia="es-CO"/>
        </w:rPr>
        <w:t>.  En ese contexto, el Gobierno Nacional identificó la necesidad de generar acciones afirmativas que permitieran el fortalecimiento de las capacidades sociales, económicas y políticas de las familias, comunidades y organizaciones de la agricultura campesina, familiar y comunitaria</w:t>
      </w:r>
      <w:r>
        <w:rPr>
          <w:rFonts w:ascii="Verdana" w:eastAsia="Times New Roman" w:hAnsi="Verdana" w:cs="Arial"/>
          <w:lang w:eastAsia="es-CO"/>
        </w:rPr>
        <w:t xml:space="preserve">. </w:t>
      </w:r>
    </w:p>
    <w:p w14:paraId="03F5B360" w14:textId="77777777" w:rsidR="004428D0" w:rsidRDefault="004428D0" w:rsidP="004428D0">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Como parte de lo anterior</w:t>
      </w:r>
      <w:r w:rsidRPr="00B40B0D">
        <w:rPr>
          <w:rFonts w:ascii="Verdana" w:eastAsia="Times New Roman" w:hAnsi="Verdana" w:cs="Arial"/>
          <w:lang w:eastAsia="es-CO"/>
        </w:rPr>
        <w:t xml:space="preserve">, </w:t>
      </w:r>
      <w:r>
        <w:rPr>
          <w:rFonts w:ascii="Verdana" w:eastAsia="Times New Roman" w:hAnsi="Verdana" w:cs="Arial"/>
          <w:lang w:eastAsia="es-CO"/>
        </w:rPr>
        <w:t>el Decreto 248 de 2021 adicionó un sistema de puntajes al</w:t>
      </w:r>
      <w:r w:rsidRPr="00D6619D">
        <w:rPr>
          <w:rFonts w:ascii="Verdana" w:eastAsia="Times New Roman" w:hAnsi="Verdana" w:cs="Arial"/>
          <w:lang w:eastAsia="es-CO"/>
        </w:rPr>
        <w:t xml:space="preserve"> </w:t>
      </w:r>
      <w:r w:rsidRPr="00B40B0D">
        <w:rPr>
          <w:rFonts w:ascii="Verdana" w:eastAsia="Times New Roman" w:hAnsi="Verdana" w:cs="Arial"/>
          <w:lang w:eastAsia="es-CO"/>
        </w:rPr>
        <w:t>Decreto 1071 de 2015</w:t>
      </w:r>
      <w:r>
        <w:rPr>
          <w:rFonts w:ascii="Verdana" w:eastAsia="Times New Roman" w:hAnsi="Verdana" w:cs="Arial"/>
          <w:lang w:eastAsia="es-CO"/>
        </w:rPr>
        <w:t xml:space="preserve">, los cuales se encuentran establecidos en los </w:t>
      </w:r>
      <w:r w:rsidRPr="00B40B0D">
        <w:rPr>
          <w:rFonts w:ascii="Verdana" w:eastAsia="Times New Roman" w:hAnsi="Verdana" w:cs="Arial"/>
          <w:lang w:eastAsia="es-CO"/>
        </w:rPr>
        <w:t>artículos 2.20.1.2.1, 2.20.1.2.2 y 2.20.1.2.3</w:t>
      </w:r>
      <w:r>
        <w:rPr>
          <w:rFonts w:ascii="Verdana" w:eastAsia="Times New Roman" w:hAnsi="Verdana" w:cs="Arial"/>
          <w:lang w:eastAsia="es-CO"/>
        </w:rPr>
        <w:t xml:space="preserve">. En particular, el </w:t>
      </w:r>
      <w:r w:rsidRPr="00EA61A7">
        <w:rPr>
          <w:rFonts w:ascii="Verdana" w:eastAsia="Times New Roman" w:hAnsi="Verdana" w:cs="Arial"/>
          <w:i/>
          <w:iCs/>
          <w:lang w:eastAsia="es-CO"/>
        </w:rPr>
        <w:t>artículo 2.20.1.2.1.</w:t>
      </w:r>
      <w:r>
        <w:rPr>
          <w:rFonts w:ascii="Verdana" w:eastAsia="Times New Roman" w:hAnsi="Verdana" w:cs="Arial"/>
          <w:lang w:eastAsia="es-CO"/>
        </w:rPr>
        <w:t xml:space="preserve"> establece de manera clara los</w:t>
      </w:r>
      <w:r w:rsidRPr="00ED543E">
        <w:rPr>
          <w:rFonts w:ascii="Verdana" w:eastAsia="Times New Roman" w:hAnsi="Verdana" w:cs="Arial"/>
          <w:lang w:eastAsia="es-CO"/>
        </w:rPr>
        <w:t xml:space="preserve"> requisitos que de forma </w:t>
      </w:r>
      <w:r w:rsidRPr="00ED543E">
        <w:rPr>
          <w:rFonts w:ascii="Verdana" w:eastAsia="Times New Roman" w:hAnsi="Verdana" w:cs="Arial"/>
          <w:i/>
          <w:iCs/>
          <w:u w:val="single"/>
          <w:lang w:eastAsia="es-CO"/>
        </w:rPr>
        <w:t>obligatoria</w:t>
      </w:r>
      <w:r w:rsidRPr="00ED543E">
        <w:rPr>
          <w:rFonts w:ascii="Verdana" w:eastAsia="Times New Roman" w:hAnsi="Verdana" w:cs="Arial"/>
          <w:lang w:eastAsia="es-CO"/>
        </w:rPr>
        <w:t xml:space="preserve"> deben incluir </w:t>
      </w:r>
      <w:r>
        <w:rPr>
          <w:rFonts w:ascii="Verdana" w:eastAsia="Times New Roman" w:hAnsi="Verdana" w:cs="Arial"/>
          <w:lang w:eastAsia="es-CO"/>
        </w:rPr>
        <w:t>l</w:t>
      </w:r>
      <w:r w:rsidRPr="00ED543E">
        <w:rPr>
          <w:rFonts w:ascii="Verdana" w:eastAsia="Times New Roman" w:hAnsi="Verdana" w:cs="Arial"/>
          <w:lang w:eastAsia="es-CO"/>
        </w:rPr>
        <w:t xml:space="preserve">as entidades públicas descentralizadas del orden nacional y las entidades territoriales en todos los procesos que adelanten </w:t>
      </w:r>
      <w:r>
        <w:rPr>
          <w:rFonts w:ascii="Verdana" w:eastAsia="Times New Roman" w:hAnsi="Verdana" w:cs="Arial"/>
          <w:lang w:eastAsia="es-CO"/>
        </w:rPr>
        <w:t xml:space="preserve">en los requieran productos agropecuarios para </w:t>
      </w:r>
      <w:r w:rsidRPr="00ED543E">
        <w:rPr>
          <w:rFonts w:ascii="Verdana" w:eastAsia="Times New Roman" w:hAnsi="Verdana" w:cs="Arial"/>
          <w:lang w:eastAsia="es-CO"/>
        </w:rPr>
        <w:t xml:space="preserve">atender la demanda de los programas institucionales de servicios de alimentación definidos en el </w:t>
      </w:r>
      <w:r>
        <w:rPr>
          <w:rFonts w:ascii="Verdana" w:eastAsia="Times New Roman" w:hAnsi="Verdana" w:cs="Arial"/>
          <w:lang w:eastAsia="es-CO"/>
        </w:rPr>
        <w:t>dicho decreto.</w:t>
      </w:r>
      <w:r w:rsidRPr="00734474">
        <w:rPr>
          <w:rFonts w:ascii="Verdana" w:eastAsia="Times New Roman" w:hAnsi="Verdana" w:cs="Arial"/>
          <w:lang w:eastAsia="es-CO"/>
        </w:rPr>
        <w:t xml:space="preserve"> </w:t>
      </w:r>
      <w:r>
        <w:rPr>
          <w:rFonts w:ascii="Verdana" w:eastAsia="Times New Roman" w:hAnsi="Verdana" w:cs="Arial"/>
          <w:lang w:eastAsia="es-CO"/>
        </w:rPr>
        <w:t xml:space="preserve">En </w:t>
      </w:r>
      <w:r>
        <w:rPr>
          <w:rFonts w:ascii="Verdana" w:eastAsia="Times New Roman" w:hAnsi="Verdana" w:cs="Arial"/>
          <w:lang w:eastAsia="es-CO"/>
        </w:rPr>
        <w:lastRenderedPageBreak/>
        <w:t xml:space="preserve">contraste, el </w:t>
      </w:r>
      <w:r w:rsidRPr="00EA61A7">
        <w:rPr>
          <w:rFonts w:ascii="Verdana" w:eastAsia="Times New Roman" w:hAnsi="Verdana" w:cs="Arial"/>
          <w:i/>
          <w:iCs/>
          <w:lang w:eastAsia="es-CO"/>
        </w:rPr>
        <w:t>artículo 2.20.1.2.2.</w:t>
      </w:r>
      <w:r w:rsidRPr="007B7B33">
        <w:rPr>
          <w:rFonts w:ascii="Verdana" w:eastAsia="Times New Roman" w:hAnsi="Verdana" w:cs="Arial"/>
          <w:b/>
          <w:bCs/>
          <w:lang w:eastAsia="es-CO"/>
        </w:rPr>
        <w:t> </w:t>
      </w:r>
      <w:r w:rsidRPr="000A1B83">
        <w:rPr>
          <w:rFonts w:ascii="Verdana" w:eastAsia="Times New Roman" w:hAnsi="Verdana" w:cs="Arial"/>
          <w:lang w:eastAsia="es-CO"/>
        </w:rPr>
        <w:t xml:space="preserve">señala puntajes adicionales que las entidades pueden incluir de manera </w:t>
      </w:r>
      <w:r w:rsidRPr="000A1B83">
        <w:rPr>
          <w:rFonts w:ascii="Verdana" w:eastAsia="Times New Roman" w:hAnsi="Verdana" w:cs="Arial"/>
          <w:i/>
          <w:iCs/>
          <w:u w:val="single"/>
          <w:lang w:eastAsia="es-CO"/>
        </w:rPr>
        <w:t>facultativa</w:t>
      </w:r>
      <w:r w:rsidRPr="000A1B83">
        <w:rPr>
          <w:rFonts w:ascii="Verdana" w:eastAsia="Times New Roman" w:hAnsi="Verdana" w:cs="Arial"/>
          <w:lang w:eastAsia="es-CO"/>
        </w:rPr>
        <w:t xml:space="preserve"> en </w:t>
      </w:r>
      <w:r>
        <w:rPr>
          <w:rFonts w:ascii="Verdana" w:eastAsia="Times New Roman" w:hAnsi="Verdana" w:cs="Arial"/>
          <w:lang w:eastAsia="es-CO"/>
        </w:rPr>
        <w:t>dichos procesos.</w:t>
      </w:r>
    </w:p>
    <w:p w14:paraId="03EF2DEA" w14:textId="77777777" w:rsidR="004428D0" w:rsidRDefault="004428D0" w:rsidP="004428D0">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D</w:t>
      </w:r>
      <w:r w:rsidRPr="00B40B0D">
        <w:rPr>
          <w:rFonts w:ascii="Verdana" w:eastAsia="Times New Roman" w:hAnsi="Verdana" w:cs="Arial"/>
          <w:lang w:eastAsia="es-CO"/>
        </w:rPr>
        <w:t xml:space="preserve">e acuerdo con </w:t>
      </w:r>
      <w:r>
        <w:rPr>
          <w:rFonts w:ascii="Verdana" w:eastAsia="Times New Roman" w:hAnsi="Verdana" w:cs="Arial"/>
          <w:lang w:eastAsia="es-CO"/>
        </w:rPr>
        <w:t xml:space="preserve">la redacción de estas normas, dos aspectos son fundamentales para determinar su aplicación: la </w:t>
      </w:r>
      <w:r w:rsidRPr="004B2CB5">
        <w:rPr>
          <w:rFonts w:ascii="Verdana" w:eastAsia="Times New Roman" w:hAnsi="Verdana" w:cs="Arial"/>
          <w:i/>
          <w:iCs/>
          <w:lang w:eastAsia="es-CO"/>
        </w:rPr>
        <w:t>naturaleza</w:t>
      </w:r>
      <w:r>
        <w:rPr>
          <w:rFonts w:ascii="Verdana" w:eastAsia="Times New Roman" w:hAnsi="Verdana" w:cs="Arial"/>
          <w:lang w:eastAsia="es-CO"/>
        </w:rPr>
        <w:t xml:space="preserve"> de las entidades contratantes y el </w:t>
      </w:r>
      <w:r w:rsidRPr="004B2CB5">
        <w:rPr>
          <w:rFonts w:ascii="Verdana" w:eastAsia="Times New Roman" w:hAnsi="Verdana" w:cs="Arial"/>
          <w:i/>
          <w:iCs/>
          <w:lang w:eastAsia="es-CO"/>
        </w:rPr>
        <w:t xml:space="preserve">objeto </w:t>
      </w:r>
      <w:r>
        <w:rPr>
          <w:rFonts w:ascii="Verdana" w:eastAsia="Times New Roman" w:hAnsi="Verdana" w:cs="Arial"/>
          <w:lang w:eastAsia="es-CO"/>
        </w:rPr>
        <w:t xml:space="preserve">del proceso de contratación que adelanten. En este sentido, los incentivos serán aplicables cuando la Entidad Estatal contratante cumpla con tener la naturaleza de una entidad descentralizada del orden nacional o de una entidad territorial. Además, será necesario que el proceso de contratación surja de la necesidad de adquirir productos agropecuarios para la ejecución de los programas institucionales relacionados con la prestación de servicios de alimentación. En consecuencia, los puntajes proceden en los procesos para la adquisición de alimentos para atender los Programas de Alimentación Escolar de las entidades.  </w:t>
      </w:r>
    </w:p>
    <w:p w14:paraId="09C11ACA" w14:textId="77777777" w:rsidR="004428D0" w:rsidRPr="00B40B0D" w:rsidRDefault="004428D0" w:rsidP="004428D0">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De cualquier modo, cuando las entidades incluyan estos puntajes, </w:t>
      </w:r>
      <w:r w:rsidRPr="00B40B0D">
        <w:rPr>
          <w:rFonts w:ascii="Verdana" w:eastAsia="Times New Roman" w:hAnsi="Verdana" w:cs="Arial"/>
          <w:lang w:eastAsia="es-CO"/>
        </w:rPr>
        <w:t xml:space="preserve">el interesado deberá acreditar la calidad exigida en cada una de estas normas para beneficiarse del incentivo, pues estas no consagran una equivalencia entre el productor agropecuario local y nacional. En efecto, los puntajes adicionales obligatorios y facultativos aplican a los productores agropecuarios </w:t>
      </w:r>
      <w:r w:rsidRPr="00EA61A7">
        <w:rPr>
          <w:rFonts w:ascii="Verdana" w:eastAsia="Times New Roman" w:hAnsi="Verdana" w:cs="Arial"/>
          <w:i/>
          <w:iCs/>
          <w:lang w:eastAsia="es-CO"/>
        </w:rPr>
        <w:t>nacionales</w:t>
      </w:r>
      <w:r w:rsidRPr="00B40B0D">
        <w:rPr>
          <w:rFonts w:ascii="Verdana" w:eastAsia="Times New Roman" w:hAnsi="Verdana" w:cs="Arial"/>
          <w:lang w:eastAsia="es-CO"/>
        </w:rPr>
        <w:t xml:space="preserve">, los cuales están definidos en el literal d) del artículo 2.20.1.1.1 ibidem como las personas cuyo sistema de producción se encuentra ubicado en el territorio nacional. </w:t>
      </w:r>
    </w:p>
    <w:p w14:paraId="502D7460" w14:textId="77777777" w:rsidR="004428D0" w:rsidRDefault="004428D0" w:rsidP="004428D0">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Conforme a los artículos 2.20.1.2.1 y 2.20.1.2.2 del reglamento, estos acreditarán su condición con el </w:t>
      </w:r>
      <w:r>
        <w:rPr>
          <w:rFonts w:ascii="Verdana" w:eastAsia="Times New Roman" w:hAnsi="Verdana" w:cs="Arial"/>
          <w:lang w:eastAsia="es-CO"/>
        </w:rPr>
        <w:t>“</w:t>
      </w:r>
      <w:r w:rsidRPr="00B40B0D">
        <w:rPr>
          <w:rFonts w:ascii="Verdana" w:eastAsia="Times New Roman" w:hAnsi="Verdana" w:cs="Arial"/>
          <w:lang w:eastAsia="es-CO"/>
        </w:rPr>
        <w:t>[…] contrato de arrendamiento o un certificado de tradición y libertad del inmueble, o los recibos de pago de los impuestos, contribuciones y valorizaciones del inmueble, que permita demostrar que los productores tienen la calidad de propietarios, poseedores, o tenedores del predio, en los que se evidencie la vereda, el municipio, el departamento o la región de ubicación donde se encuentra el sistema de producción del proveedor de los productos agropecuarios dentro del territorio nacional</w:t>
      </w:r>
      <w:r>
        <w:rPr>
          <w:rFonts w:ascii="Verdana" w:eastAsia="Times New Roman" w:hAnsi="Verdana" w:cs="Arial"/>
          <w:lang w:eastAsia="es-CO"/>
        </w:rPr>
        <w:t>”</w:t>
      </w:r>
      <w:r w:rsidRPr="00B40B0D">
        <w:rPr>
          <w:rFonts w:ascii="Verdana" w:eastAsia="Times New Roman" w:hAnsi="Verdana" w:cs="Arial"/>
          <w:lang w:eastAsia="es-CO"/>
        </w:rPr>
        <w:t>.</w:t>
      </w:r>
    </w:p>
    <w:p w14:paraId="7AD65B2B" w14:textId="77777777" w:rsidR="004428D0" w:rsidRDefault="004428D0" w:rsidP="004428D0">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Ahora bien</w:t>
      </w:r>
      <w:r w:rsidRPr="00B40B0D">
        <w:rPr>
          <w:rFonts w:ascii="Verdana" w:eastAsia="Times New Roman" w:hAnsi="Verdana" w:cs="Arial"/>
          <w:lang w:eastAsia="es-CO"/>
        </w:rPr>
        <w:t xml:space="preserve">, es importante señalar que el artículo 2.20.1.1.3. del Decreto 1071 de 2015 dispuso que las Entidades Públicas del nivel nacional, departamental, distrital, municipal, sociedades de economía mixta, y entidades privadas que manejen recursos públicos y operen en el territorio nacional, que contraten, bajo cualquier modalidad, con recursos públicos la adquisición, suministro y entrega de alimentos en cualquiera de sus formas de atención, están en el </w:t>
      </w:r>
      <w:r w:rsidRPr="00CF0EC6">
        <w:rPr>
          <w:rFonts w:ascii="Verdana" w:eastAsia="Times New Roman" w:hAnsi="Verdana" w:cs="Arial"/>
          <w:i/>
          <w:iCs/>
          <w:lang w:eastAsia="es-CO"/>
        </w:rPr>
        <w:t>deber</w:t>
      </w:r>
      <w:r w:rsidRPr="00B40B0D">
        <w:rPr>
          <w:rFonts w:ascii="Verdana" w:eastAsia="Times New Roman" w:hAnsi="Verdana" w:cs="Arial"/>
          <w:lang w:eastAsia="es-CO"/>
        </w:rPr>
        <w:t xml:space="preserve"> de adquirir alimentos comprados a pequeños productores </w:t>
      </w:r>
      <w:r w:rsidRPr="00B40B0D">
        <w:rPr>
          <w:rFonts w:ascii="Verdana" w:eastAsia="Times New Roman" w:hAnsi="Verdana" w:cs="Arial"/>
          <w:lang w:eastAsia="es-CO"/>
        </w:rPr>
        <w:lastRenderedPageBreak/>
        <w:t xml:space="preserve">agropecuarios locales y/o a productores de la Agricultura Campesina, Familiar o Comunitaria locales y sus organizaciones, en un porcentaje mínimo del treinta por ciento (30%) del valor total de los recursos del presupuesto de cada entidad destinados a la compra de alimentos. </w:t>
      </w:r>
    </w:p>
    <w:p w14:paraId="0C7467BA" w14:textId="77777777" w:rsidR="004428D0" w:rsidRDefault="004428D0" w:rsidP="004428D0">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Además</w:t>
      </w:r>
      <w:r w:rsidRPr="00B40B0D">
        <w:rPr>
          <w:rFonts w:ascii="Verdana" w:eastAsia="Times New Roman" w:hAnsi="Verdana" w:cs="Arial"/>
          <w:lang w:eastAsia="es-CO"/>
        </w:rPr>
        <w:t>, dispone que</w:t>
      </w:r>
      <w:r>
        <w:rPr>
          <w:rFonts w:ascii="Verdana" w:eastAsia="Times New Roman" w:hAnsi="Verdana" w:cs="Arial"/>
          <w:lang w:eastAsia="es-CO"/>
        </w:rPr>
        <w:t xml:space="preserve">, en el evento de que </w:t>
      </w:r>
      <w:r w:rsidRPr="00B40B0D">
        <w:rPr>
          <w:rFonts w:ascii="Verdana" w:eastAsia="Times New Roman" w:hAnsi="Verdana" w:cs="Arial"/>
          <w:lang w:eastAsia="es-CO"/>
        </w:rPr>
        <w:t>la oferta de alimentos producidos por pequeños productores y/o productores de la Agricultura Campesina, Familiar o Comunitaria local sea inferior al treinta por ciento (30%)</w:t>
      </w:r>
      <w:r>
        <w:rPr>
          <w:rFonts w:ascii="Verdana" w:eastAsia="Times New Roman" w:hAnsi="Verdana" w:cs="Arial"/>
          <w:lang w:eastAsia="es-CO"/>
        </w:rPr>
        <w:t xml:space="preserve"> requerido</w:t>
      </w:r>
      <w:r w:rsidRPr="00B40B0D">
        <w:rPr>
          <w:rFonts w:ascii="Verdana" w:eastAsia="Times New Roman" w:hAnsi="Verdana" w:cs="Arial"/>
          <w:lang w:eastAsia="es-CO"/>
        </w:rPr>
        <w:t>, las entidades deben informar de esta situación a la Secretaría Técnica de la Mesa Técnica Nacional de Compras Públicas Locales en el término máximo de cinco (5) días hábiles siguientes una vez advertida la situación. Recibida la comunicación, la Secretaría Técnica de la Mesa tendrá cinco (5) días hábiles para realizar las gestiones necesarias para otorgar un listado de pequeños productores y/o productores de la Agricultura Campesina, Familiar o Comunitaria no locales a quienes puede acudir para suplir el porcentaje restante.</w:t>
      </w:r>
    </w:p>
    <w:p w14:paraId="68BBFBA5" w14:textId="77777777" w:rsidR="004428D0" w:rsidRPr="00B40B0D" w:rsidRDefault="004428D0" w:rsidP="004428D0">
      <w:pPr>
        <w:spacing w:after="120" w:line="276" w:lineRule="auto"/>
        <w:jc w:val="both"/>
        <w:rPr>
          <w:rFonts w:ascii="Verdana" w:eastAsia="Times New Roman" w:hAnsi="Verdana" w:cs="Arial"/>
          <w:lang w:eastAsia="es-CO"/>
        </w:rPr>
      </w:pPr>
      <w:r w:rsidRPr="00B40B0D">
        <w:rPr>
          <w:rFonts w:ascii="Verdana" w:eastAsia="Times New Roman" w:hAnsi="Verdana" w:cs="Arial"/>
          <w:lang w:eastAsia="es-CO"/>
        </w:rPr>
        <w:tab/>
      </w:r>
      <w:r>
        <w:rPr>
          <w:rFonts w:ascii="Verdana" w:eastAsia="Times New Roman" w:hAnsi="Verdana" w:cs="Arial"/>
          <w:lang w:eastAsia="es-CO"/>
        </w:rPr>
        <w:t>E</w:t>
      </w:r>
      <w:r w:rsidRPr="00B40B0D">
        <w:rPr>
          <w:rFonts w:ascii="Verdana" w:eastAsia="Times New Roman" w:hAnsi="Verdana" w:cs="Arial"/>
          <w:lang w:eastAsia="es-CO"/>
        </w:rPr>
        <w:t xml:space="preserve">l artículo 2.20.1.1.3. </w:t>
      </w:r>
      <w:r w:rsidRPr="00CF0EC6">
        <w:rPr>
          <w:rFonts w:ascii="Verdana" w:eastAsia="Times New Roman" w:hAnsi="Verdana" w:cs="Arial"/>
          <w:iCs/>
          <w:lang w:eastAsia="es-CO"/>
        </w:rPr>
        <w:t>referido</w:t>
      </w:r>
      <w:r>
        <w:rPr>
          <w:rFonts w:ascii="Verdana" w:eastAsia="Times New Roman" w:hAnsi="Verdana" w:cs="Arial"/>
          <w:i/>
          <w:lang w:eastAsia="es-CO"/>
        </w:rPr>
        <w:t xml:space="preserve"> </w:t>
      </w:r>
      <w:r w:rsidRPr="00B40B0D">
        <w:rPr>
          <w:rFonts w:ascii="Verdana" w:eastAsia="Times New Roman" w:hAnsi="Verdana" w:cs="Arial"/>
          <w:lang w:eastAsia="es-CO"/>
        </w:rPr>
        <w:t>debe interpretarse de forma sistemática con la Ley 2046 de 2020, la cual</w:t>
      </w:r>
      <w:r>
        <w:rPr>
          <w:rFonts w:ascii="Verdana" w:eastAsia="Times New Roman" w:hAnsi="Verdana" w:cs="Arial"/>
          <w:lang w:eastAsia="es-CO"/>
        </w:rPr>
        <w:t>,</w:t>
      </w:r>
      <w:r w:rsidRPr="00B40B0D">
        <w:rPr>
          <w:rFonts w:ascii="Verdana" w:eastAsia="Times New Roman" w:hAnsi="Verdana" w:cs="Arial"/>
          <w:lang w:eastAsia="es-CO"/>
        </w:rPr>
        <w:t xml:space="preserve"> como se señaló </w:t>
      </w:r>
      <w:r>
        <w:rPr>
          <w:rFonts w:ascii="Verdana" w:eastAsia="Times New Roman" w:hAnsi="Verdana" w:cs="Arial"/>
          <w:lang w:eastAsia="es-CO"/>
        </w:rPr>
        <w:t>antes</w:t>
      </w:r>
      <w:r w:rsidRPr="00B40B0D">
        <w:rPr>
          <w:rFonts w:ascii="Verdana" w:eastAsia="Times New Roman" w:hAnsi="Verdana" w:cs="Arial"/>
          <w:lang w:eastAsia="es-CO"/>
        </w:rPr>
        <w:t>, busca establecer una serie de instrumentos tendientes a que en todos los programas de adquisición, suministro y distribución de alimentos con cargo a recursos públicos se promueva la participación de pequeños productores locales agropecuarios cuyos sistemas productivos pertenezcan a la Agricultura Campesina, Familiar y Comunitaria, o de sus organizaciones legalmente constituidas</w:t>
      </w:r>
      <w:r>
        <w:rPr>
          <w:rFonts w:ascii="Verdana" w:eastAsia="Times New Roman" w:hAnsi="Verdana" w:cs="Arial"/>
          <w:lang w:eastAsia="es-CO"/>
        </w:rPr>
        <w:t>, así como</w:t>
      </w:r>
      <w:r w:rsidRPr="00B40B0D">
        <w:rPr>
          <w:rFonts w:ascii="Verdana" w:eastAsia="Times New Roman" w:hAnsi="Verdana" w:cs="Arial"/>
          <w:lang w:eastAsia="es-CO"/>
        </w:rPr>
        <w:t xml:space="preserve"> los artículos 64 y 65 de la Constitución Política de Colombia. </w:t>
      </w:r>
    </w:p>
    <w:p w14:paraId="0EB1E82C" w14:textId="77777777" w:rsidR="004428D0" w:rsidRDefault="004428D0" w:rsidP="004428D0">
      <w:pPr>
        <w:spacing w:after="120" w:line="276" w:lineRule="auto"/>
        <w:jc w:val="both"/>
        <w:rPr>
          <w:rFonts w:ascii="Verdana" w:eastAsia="Times New Roman" w:hAnsi="Verdana" w:cs="Arial"/>
          <w:lang w:eastAsia="es-CO"/>
        </w:rPr>
      </w:pPr>
      <w:r w:rsidRPr="00B40B0D">
        <w:rPr>
          <w:rFonts w:ascii="Verdana" w:eastAsia="Times New Roman" w:hAnsi="Verdana" w:cs="Arial"/>
          <w:lang w:eastAsia="es-CO"/>
        </w:rPr>
        <w:tab/>
        <w:t>Ahora bien, teniendo en cuenta esta promoción de compra pública de alimentos, el artículo 2.20.1.1.4. regula el contrato de promesa de proveeduría. La norma</w:t>
      </w:r>
      <w:r>
        <w:rPr>
          <w:rFonts w:ascii="Verdana" w:eastAsia="Times New Roman" w:hAnsi="Verdana" w:cs="Arial"/>
          <w:lang w:eastAsia="es-CO"/>
        </w:rPr>
        <w:t xml:space="preserve"> establece</w:t>
      </w:r>
      <w:r w:rsidRPr="00B40B0D">
        <w:rPr>
          <w:rFonts w:ascii="Verdana" w:eastAsia="Times New Roman" w:hAnsi="Verdana" w:cs="Arial"/>
          <w:lang w:eastAsia="es-CO"/>
        </w:rPr>
        <w:t xml:space="preserve"> que las entidades que contraten con recursos públicos la adquisición, suministro y entrega de alimentos en cualquiera de sus modalidades de atención, </w:t>
      </w:r>
      <w:r w:rsidRPr="0090028C">
        <w:rPr>
          <w:rFonts w:ascii="Verdana" w:eastAsia="Times New Roman" w:hAnsi="Verdana" w:cs="Arial"/>
          <w:i/>
          <w:iCs/>
          <w:lang w:eastAsia="es-CO"/>
        </w:rPr>
        <w:t>deben</w:t>
      </w:r>
      <w:r w:rsidRPr="00B40B0D">
        <w:rPr>
          <w:rFonts w:ascii="Verdana" w:eastAsia="Times New Roman" w:hAnsi="Verdana" w:cs="Arial"/>
          <w:lang w:eastAsia="es-CO"/>
        </w:rPr>
        <w:t xml:space="preserve"> solicitar a los proponentes en el pliego de condiciones una promesa de contrato de proveeduría con los pequeños productores agropecuarios locales y/o productores de la Agricultura Campesina, Familiar y Comunitaria locales y sus organizaciones, que se encuentren en el registro de productores individuales y/u organizaciones de productores consolidado por las secretarías departamentales de agricultura o quien haga sus veces, o en el Sistema Público de Información Alimentaria</w:t>
      </w:r>
      <w:r>
        <w:rPr>
          <w:rFonts w:ascii="Verdana" w:eastAsia="Times New Roman" w:hAnsi="Verdana" w:cs="Arial"/>
          <w:lang w:eastAsia="es-CO"/>
        </w:rPr>
        <w:t>,</w:t>
      </w:r>
      <w:r w:rsidRPr="00B40B0D">
        <w:rPr>
          <w:rFonts w:ascii="Verdana" w:eastAsia="Times New Roman" w:hAnsi="Verdana" w:cs="Arial"/>
          <w:lang w:eastAsia="es-CO"/>
        </w:rPr>
        <w:t xml:space="preserve"> una vez entre en operación. </w:t>
      </w:r>
    </w:p>
    <w:p w14:paraId="5A24A3CB" w14:textId="77777777" w:rsidR="004428D0" w:rsidRDefault="004428D0" w:rsidP="004428D0">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La promesa de contrato de proveeduría debe constar por escrito. En tal sentido, este artículo dispone que cuando se presenta la promesa de contrato de proveeduría, la entidad debe verificar que el contrato de proveeduría se haya </w:t>
      </w:r>
      <w:r w:rsidRPr="00B40B0D">
        <w:rPr>
          <w:rFonts w:ascii="Verdana" w:eastAsia="Times New Roman" w:hAnsi="Verdana" w:cs="Arial"/>
          <w:lang w:eastAsia="es-CO"/>
        </w:rPr>
        <w:lastRenderedPageBreak/>
        <w:t>celebrado con los pequeños productores y/o productores de la Agricultura Campesina, Familiar o Comunitaria locales y sus organizaciones.</w:t>
      </w:r>
      <w:r>
        <w:rPr>
          <w:rFonts w:ascii="Verdana" w:eastAsia="Times New Roman" w:hAnsi="Verdana" w:cs="Arial"/>
          <w:lang w:eastAsia="es-CO"/>
        </w:rPr>
        <w:t xml:space="preserve"> </w:t>
      </w:r>
    </w:p>
    <w:p w14:paraId="4AAC8B58" w14:textId="77777777" w:rsidR="004428D0" w:rsidRPr="00B40B0D" w:rsidRDefault="004428D0" w:rsidP="004428D0">
      <w:pPr>
        <w:spacing w:after="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Este requisito debe ser interpretado de forma sistemática con el </w:t>
      </w:r>
      <w:r w:rsidRPr="00EA61A7">
        <w:rPr>
          <w:rFonts w:ascii="Verdana" w:eastAsia="Times New Roman" w:hAnsi="Verdana" w:cs="Arial"/>
          <w:i/>
          <w:iCs/>
          <w:lang w:eastAsia="es-CO"/>
        </w:rPr>
        <w:t>artículo 2.20.1.2.</w:t>
      </w:r>
      <w:r w:rsidRPr="00B40B0D">
        <w:rPr>
          <w:rFonts w:ascii="Verdana" w:eastAsia="Times New Roman" w:hAnsi="Verdana" w:cs="Arial"/>
          <w:lang w:eastAsia="es-CO"/>
        </w:rPr>
        <w:t xml:space="preserve">3 que establece </w:t>
      </w:r>
      <w:r>
        <w:rPr>
          <w:rFonts w:ascii="Verdana" w:eastAsia="Times New Roman" w:hAnsi="Verdana" w:cs="Arial"/>
          <w:lang w:eastAsia="es-CO"/>
        </w:rPr>
        <w:t xml:space="preserve">el tercer sistema de </w:t>
      </w:r>
      <w:r w:rsidRPr="00B40B0D">
        <w:rPr>
          <w:rFonts w:ascii="Verdana" w:eastAsia="Times New Roman" w:hAnsi="Verdana" w:cs="Arial"/>
          <w:lang w:eastAsia="es-CO"/>
        </w:rPr>
        <w:t>puntajes adicionales que se regulan en e</w:t>
      </w:r>
      <w:r>
        <w:rPr>
          <w:rFonts w:ascii="Verdana" w:eastAsia="Times New Roman" w:hAnsi="Verdana" w:cs="Arial"/>
          <w:lang w:eastAsia="es-CO"/>
        </w:rPr>
        <w:t>l</w:t>
      </w:r>
      <w:r w:rsidRPr="00B40B0D">
        <w:rPr>
          <w:rFonts w:ascii="Verdana" w:eastAsia="Times New Roman" w:hAnsi="Verdana" w:cs="Arial"/>
          <w:lang w:eastAsia="es-CO"/>
        </w:rPr>
        <w:t xml:space="preserve"> Decreto</w:t>
      </w:r>
      <w:r>
        <w:rPr>
          <w:rFonts w:ascii="Verdana" w:eastAsia="Times New Roman" w:hAnsi="Verdana" w:cs="Arial"/>
          <w:lang w:eastAsia="es-CO"/>
        </w:rPr>
        <w:t xml:space="preserve"> 248 de 2021</w:t>
      </w:r>
      <w:r w:rsidRPr="00B40B0D">
        <w:rPr>
          <w:rFonts w:ascii="Verdana" w:eastAsia="Times New Roman" w:hAnsi="Verdana" w:cs="Arial"/>
          <w:lang w:eastAsia="es-CO"/>
        </w:rPr>
        <w:t xml:space="preserve">, cuyo tenor literal prescribe lo siguiente: </w:t>
      </w:r>
    </w:p>
    <w:p w14:paraId="586A9EB0" w14:textId="77777777" w:rsidR="004428D0" w:rsidRPr="00B40B0D" w:rsidRDefault="004428D0" w:rsidP="004428D0">
      <w:pPr>
        <w:spacing w:after="0" w:line="276" w:lineRule="auto"/>
        <w:jc w:val="both"/>
        <w:rPr>
          <w:rFonts w:ascii="Verdana" w:eastAsia="Times New Roman" w:hAnsi="Verdana" w:cs="Arial"/>
          <w:lang w:eastAsia="es-CO"/>
        </w:rPr>
      </w:pPr>
    </w:p>
    <w:p w14:paraId="0D56991C" w14:textId="77777777" w:rsidR="004428D0" w:rsidRPr="00285011" w:rsidRDefault="004428D0" w:rsidP="004428D0">
      <w:pPr>
        <w:spacing w:after="0" w:line="240" w:lineRule="auto"/>
        <w:ind w:left="709" w:right="709"/>
        <w:jc w:val="both"/>
        <w:rPr>
          <w:rFonts w:ascii="Verdana" w:eastAsia="Times New Roman" w:hAnsi="Verdana" w:cs="Arial"/>
          <w:sz w:val="20"/>
          <w:szCs w:val="20"/>
          <w:lang w:eastAsia="es-CO"/>
        </w:rPr>
      </w:pPr>
      <w:r w:rsidRPr="00285011">
        <w:rPr>
          <w:rFonts w:ascii="Verdana" w:eastAsia="Times New Roman" w:hAnsi="Verdana" w:cs="Arial"/>
          <w:sz w:val="20"/>
          <w:szCs w:val="20"/>
          <w:lang w:eastAsia="es-CO"/>
        </w:rPr>
        <w:t xml:space="preserve">“Las entidades públicas del nivel nacional, departamental, distrital, municipal, sociedades de economía mixta, y entidades privadas que manejen recursos públicos y operen en el territorio nacional, que contraten, bajo cualquier modalidad, con recursos públicos la adquisición, suministro y entrega de alimentos en cualquiera de sus formas de atención, asignarán un puntaje mínimo del 10% del total de los puntos, en las modalidades de selección previstas en el artículo 2° de la Ley 1150 de 2007, en las que se otorguen puntajes a los oferentes dentro de sus procedimientos, adicional a los puntajes de los artículos 2.20.1.2.1 y 2.20.1.2.2 del presente Título, los cuales serán asignados proporcionalmente a los oferentes que presenten promesas de contrato de proveeduría comprometiéndose con la entidad a adquirir productos provenientes de pequeños productores locales o productores locales de la Agricultura Campesina, Familiar o Comunitaria y/o sus organizaciones, en una proporción mayor al mínimo exigido por la entidad contratante”. </w:t>
      </w:r>
      <w:r>
        <w:rPr>
          <w:rFonts w:ascii="Verdana" w:eastAsia="Times New Roman" w:hAnsi="Verdana" w:cs="Arial"/>
          <w:sz w:val="20"/>
          <w:szCs w:val="20"/>
          <w:lang w:eastAsia="es-CO"/>
        </w:rPr>
        <w:t>[</w:t>
      </w:r>
      <w:r w:rsidRPr="00285011">
        <w:rPr>
          <w:rFonts w:ascii="Verdana" w:eastAsia="Times New Roman" w:hAnsi="Verdana" w:cs="Arial"/>
          <w:sz w:val="20"/>
          <w:szCs w:val="20"/>
          <w:lang w:eastAsia="es-CO"/>
        </w:rPr>
        <w:t>Énfasis fuera de texto</w:t>
      </w:r>
      <w:r>
        <w:rPr>
          <w:rFonts w:ascii="Verdana" w:eastAsia="Times New Roman" w:hAnsi="Verdana" w:cs="Arial"/>
          <w:sz w:val="20"/>
          <w:szCs w:val="20"/>
          <w:lang w:eastAsia="es-CO"/>
        </w:rPr>
        <w:t>]</w:t>
      </w:r>
    </w:p>
    <w:p w14:paraId="4E3C9279" w14:textId="77777777" w:rsidR="004428D0" w:rsidRPr="00B40B0D" w:rsidRDefault="004428D0" w:rsidP="004428D0">
      <w:pPr>
        <w:spacing w:after="0" w:line="276" w:lineRule="auto"/>
        <w:jc w:val="both"/>
        <w:rPr>
          <w:rFonts w:ascii="Verdana" w:eastAsia="Times New Roman" w:hAnsi="Verdana" w:cs="Arial"/>
          <w:lang w:eastAsia="es-CO"/>
        </w:rPr>
      </w:pPr>
    </w:p>
    <w:p w14:paraId="04CC1ADB" w14:textId="77777777" w:rsidR="004428D0" w:rsidRDefault="004428D0" w:rsidP="004428D0">
      <w:pPr>
        <w:spacing w:after="120" w:line="276" w:lineRule="auto"/>
        <w:jc w:val="both"/>
        <w:rPr>
          <w:rFonts w:ascii="Verdana" w:eastAsia="Times New Roman" w:hAnsi="Verdana" w:cs="Arial"/>
          <w:lang w:eastAsia="es-CO"/>
        </w:rPr>
      </w:pPr>
      <w:r w:rsidRPr="00B40B0D">
        <w:rPr>
          <w:rFonts w:ascii="Verdana" w:eastAsia="Times New Roman" w:hAnsi="Verdana" w:cs="Arial"/>
          <w:lang w:eastAsia="es-CO"/>
        </w:rPr>
        <w:tab/>
        <w:t xml:space="preserve">A partir de la interpretación del Decreto 248 de 2021, que modifica el Decreto 1071 de 2015, se </w:t>
      </w:r>
      <w:r>
        <w:rPr>
          <w:rFonts w:ascii="Verdana" w:eastAsia="Times New Roman" w:hAnsi="Verdana" w:cs="Arial"/>
          <w:lang w:eastAsia="es-CO"/>
        </w:rPr>
        <w:t xml:space="preserve">evidencia </w:t>
      </w:r>
      <w:r w:rsidRPr="00B40B0D">
        <w:rPr>
          <w:rFonts w:ascii="Verdana" w:eastAsia="Times New Roman" w:hAnsi="Verdana" w:cs="Arial"/>
          <w:lang w:eastAsia="es-CO"/>
        </w:rPr>
        <w:t xml:space="preserve">que el contrato de promesa de proveeduría tiene una naturaleza dual, pues no solo es un requisito habilitante en los procesos para la adquisición, suministro y entrega de alimentos, sino que también es documento necesario para acreditar uno de los puntajes adicionales previstos en el reglamento citado. </w:t>
      </w:r>
      <w:r>
        <w:rPr>
          <w:rFonts w:ascii="Verdana" w:eastAsia="Times New Roman" w:hAnsi="Verdana" w:cs="Arial"/>
          <w:lang w:eastAsia="es-CO"/>
        </w:rPr>
        <w:t>D</w:t>
      </w:r>
      <w:r w:rsidRPr="00B40B0D">
        <w:rPr>
          <w:rFonts w:ascii="Verdana" w:eastAsia="Times New Roman" w:hAnsi="Verdana" w:cs="Arial"/>
          <w:lang w:eastAsia="es-CO"/>
        </w:rPr>
        <w:t xml:space="preserve">e acuerdo con el artículo 2.20.1.1.4, la suscripción de este contrato debe solicitarse a los proponentes en el pliego de condiciones, por lo que resulta una exigencia obligatoria del procedimiento de contratación. </w:t>
      </w:r>
    </w:p>
    <w:p w14:paraId="252EF071" w14:textId="77777777" w:rsidR="004428D0" w:rsidRPr="00B40B0D" w:rsidRDefault="004428D0" w:rsidP="004428D0">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Incluso, una vez adjudicado, </w:t>
      </w:r>
      <w:r>
        <w:rPr>
          <w:rFonts w:ascii="Verdana" w:eastAsia="Times New Roman" w:hAnsi="Verdana" w:cs="Arial"/>
          <w:lang w:eastAsia="es-CO"/>
        </w:rPr>
        <w:t>“</w:t>
      </w:r>
      <w:r w:rsidRPr="00B40B0D">
        <w:rPr>
          <w:rFonts w:ascii="Verdana" w:eastAsia="Times New Roman" w:hAnsi="Verdana" w:cs="Arial"/>
          <w:lang w:eastAsia="es-CO"/>
        </w:rPr>
        <w:t>[…] la entidad contratante deberá verificar como requisito de ejecución que el contratista haya celebrado el contrato de proveeduría con los pequeños productores y/o productores de la Agricultura Campesina, Familiar o Comunitaria locales y sus organizaciones</w:t>
      </w:r>
      <w:r>
        <w:rPr>
          <w:rFonts w:ascii="Verdana" w:eastAsia="Times New Roman" w:hAnsi="Verdana" w:cs="Arial"/>
          <w:lang w:eastAsia="es-CO"/>
        </w:rPr>
        <w:t>”</w:t>
      </w:r>
      <w:r w:rsidRPr="00B40B0D">
        <w:rPr>
          <w:rFonts w:ascii="Verdana" w:eastAsia="Times New Roman" w:hAnsi="Verdana" w:cs="Arial"/>
          <w:lang w:eastAsia="es-CO"/>
        </w:rPr>
        <w:t>. Esto es congruente con el artículo 7 de la Ley 2046 de 2021 y el artículo 2.20.1.1.3. del Decreto 1071 de 2015, en la medida que un porcentaje mínimo del treinta por ciento (30%) del valor total de los recursos del presupuesto de cada entidad deben destinarse a la compra de alimentos a los sujetos mencionados.</w:t>
      </w:r>
    </w:p>
    <w:p w14:paraId="14CAF153" w14:textId="77777777" w:rsidR="004428D0" w:rsidRDefault="004428D0" w:rsidP="004428D0">
      <w:pPr>
        <w:spacing w:after="120" w:line="276" w:lineRule="auto"/>
        <w:jc w:val="both"/>
        <w:rPr>
          <w:rFonts w:ascii="Verdana" w:eastAsia="Times New Roman" w:hAnsi="Verdana" w:cs="Arial"/>
          <w:lang w:eastAsia="es-CO"/>
        </w:rPr>
      </w:pPr>
      <w:r>
        <w:rPr>
          <w:rFonts w:ascii="Verdana" w:eastAsia="Times New Roman" w:hAnsi="Verdana" w:cs="Arial"/>
          <w:lang w:eastAsia="es-CO"/>
        </w:rPr>
        <w:lastRenderedPageBreak/>
        <w:tab/>
      </w:r>
      <w:r w:rsidRPr="00B40B0D">
        <w:rPr>
          <w:rFonts w:ascii="Verdana" w:eastAsia="Times New Roman" w:hAnsi="Verdana" w:cs="Arial"/>
          <w:lang w:eastAsia="es-CO"/>
        </w:rPr>
        <w:t xml:space="preserve">Por otra parte, también es documento necesario para acreditar un factor de evaluación. Lo anterior en la medida que el </w:t>
      </w:r>
      <w:r>
        <w:rPr>
          <w:rFonts w:ascii="Verdana" w:eastAsia="Times New Roman" w:hAnsi="Verdana" w:cs="Arial"/>
          <w:lang w:eastAsia="es-CO"/>
        </w:rPr>
        <w:t xml:space="preserve">artículo </w:t>
      </w:r>
      <w:r w:rsidRPr="00B40B0D">
        <w:rPr>
          <w:rFonts w:ascii="Verdana" w:eastAsia="Times New Roman" w:hAnsi="Verdana" w:cs="Arial"/>
          <w:lang w:eastAsia="es-CO"/>
        </w:rPr>
        <w:t>2.20.1.2.3 otorga un puntaje mínimo del diez por ciento (10%) del total de los puntos, los cuales son asignados proporcionalmente a los proveedores que presenten promesas de contrato de proveeduría comprometiéndose con la entidad a adquirir productos provenientes de pequeños productores locales o productores locales de la Agricultura Campesina, Familiar o Comunitaria y/o sus organizaciones, en una proporción mayor al mínimo exigido por la entidad. Esto significa que no podrán beneficiarse de</w:t>
      </w:r>
      <w:r>
        <w:rPr>
          <w:rFonts w:ascii="Verdana" w:eastAsia="Times New Roman" w:hAnsi="Verdana" w:cs="Arial"/>
          <w:lang w:eastAsia="es-CO"/>
        </w:rPr>
        <w:t xml:space="preserve"> este</w:t>
      </w:r>
      <w:r w:rsidRPr="00B40B0D">
        <w:rPr>
          <w:rFonts w:ascii="Verdana" w:eastAsia="Times New Roman" w:hAnsi="Verdana" w:cs="Arial"/>
          <w:lang w:eastAsia="es-CO"/>
        </w:rPr>
        <w:t xml:space="preserve"> puntaje adicional quienes presenten contratos de proveeduría por debajo del mínimo previsto en el pliego de condiciones, de manera que únicamente se asignará a quienes superen la proporción exigida en los documentos del proceso. </w:t>
      </w:r>
    </w:p>
    <w:p w14:paraId="4898C190" w14:textId="77777777" w:rsidR="004428D0" w:rsidRDefault="004428D0" w:rsidP="004428D0">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A diferencia de los otros esquemas de puntajes señalados en los artículos </w:t>
      </w:r>
      <w:r w:rsidRPr="00B40B0D">
        <w:rPr>
          <w:rFonts w:ascii="Verdana" w:eastAsia="Times New Roman" w:hAnsi="Verdana" w:cs="Arial"/>
          <w:lang w:eastAsia="es-CO"/>
        </w:rPr>
        <w:t>2.20.1.2.1 y 2.20.1.2.2</w:t>
      </w:r>
      <w:r>
        <w:rPr>
          <w:rFonts w:ascii="Verdana" w:eastAsia="Times New Roman" w:hAnsi="Verdana" w:cs="Arial"/>
          <w:lang w:eastAsia="es-CO"/>
        </w:rPr>
        <w:t>, e</w:t>
      </w:r>
      <w:r w:rsidRPr="00B40B0D">
        <w:rPr>
          <w:rFonts w:ascii="Verdana" w:eastAsia="Times New Roman" w:hAnsi="Verdana" w:cs="Arial"/>
          <w:lang w:eastAsia="es-CO"/>
        </w:rPr>
        <w:t>l puntaje del artículo 2.20.1.2.3 aplica</w:t>
      </w:r>
      <w:r>
        <w:rPr>
          <w:rFonts w:ascii="Verdana" w:eastAsia="Times New Roman" w:hAnsi="Verdana" w:cs="Arial"/>
          <w:lang w:eastAsia="es-CO"/>
        </w:rPr>
        <w:t xml:space="preserve"> </w:t>
      </w:r>
      <w:r w:rsidRPr="00B40B0D">
        <w:rPr>
          <w:rFonts w:ascii="Verdana" w:eastAsia="Times New Roman" w:hAnsi="Verdana" w:cs="Arial"/>
          <w:lang w:eastAsia="es-CO"/>
        </w:rPr>
        <w:t xml:space="preserve">a los </w:t>
      </w:r>
      <w:r w:rsidRPr="00EA61A7">
        <w:rPr>
          <w:rFonts w:ascii="Verdana" w:eastAsia="Times New Roman" w:hAnsi="Verdana" w:cs="Arial"/>
          <w:i/>
          <w:iCs/>
          <w:lang w:eastAsia="es-CO"/>
        </w:rPr>
        <w:t>pequeños productores</w:t>
      </w:r>
      <w:r w:rsidRPr="00B40B0D">
        <w:rPr>
          <w:rFonts w:ascii="Verdana" w:eastAsia="Times New Roman" w:hAnsi="Verdana" w:cs="Arial"/>
          <w:lang w:eastAsia="es-CO"/>
        </w:rPr>
        <w:t xml:space="preserve"> agropecuarios locales o </w:t>
      </w:r>
      <w:r w:rsidRPr="00EA61A7">
        <w:rPr>
          <w:rFonts w:ascii="Verdana" w:eastAsia="Times New Roman" w:hAnsi="Verdana" w:cs="Arial"/>
          <w:i/>
          <w:iCs/>
          <w:lang w:eastAsia="es-CO"/>
        </w:rPr>
        <w:t>productores locales</w:t>
      </w:r>
      <w:r w:rsidRPr="00B40B0D">
        <w:rPr>
          <w:rFonts w:ascii="Verdana" w:eastAsia="Times New Roman" w:hAnsi="Verdana" w:cs="Arial"/>
          <w:lang w:eastAsia="es-CO"/>
        </w:rPr>
        <w:t xml:space="preserve"> de la Agricultura Campesina, Familiar o Comunitaria Local y/o sus organizaciones. De acuerdo con el artículo 2.1.2.2.8 ibidem, los </w:t>
      </w:r>
      <w:r>
        <w:rPr>
          <w:rFonts w:ascii="Verdana" w:eastAsia="Times New Roman" w:hAnsi="Verdana" w:cs="Arial"/>
          <w:lang w:eastAsia="es-CO"/>
        </w:rPr>
        <w:t>“</w:t>
      </w:r>
      <w:r w:rsidRPr="00B40B0D">
        <w:rPr>
          <w:rFonts w:ascii="Verdana" w:eastAsia="Times New Roman" w:hAnsi="Verdana" w:cs="Arial"/>
          <w:lang w:eastAsia="es-CO"/>
        </w:rPr>
        <w:t>pequeños productores</w:t>
      </w:r>
      <w:r>
        <w:rPr>
          <w:rFonts w:ascii="Verdana" w:eastAsia="Times New Roman" w:hAnsi="Verdana" w:cs="Arial"/>
          <w:lang w:eastAsia="es-CO"/>
        </w:rPr>
        <w:t>”</w:t>
      </w:r>
      <w:r w:rsidRPr="00B40B0D">
        <w:rPr>
          <w:rFonts w:ascii="Verdana" w:eastAsia="Times New Roman" w:hAnsi="Verdana" w:cs="Arial"/>
          <w:lang w:eastAsia="es-CO"/>
        </w:rPr>
        <w:t xml:space="preserve"> son las personas naturales que posean activos totales no superiores a los doscientos ochenta y cuatro (284) SMMLV, en el momento de la respectiva operación de crédito. Por su parte, de acuerdo con el parágrafo 1 del artículo 2.20.1.2.3 del reglamento, los </w:t>
      </w:r>
      <w:r>
        <w:rPr>
          <w:rFonts w:ascii="Verdana" w:eastAsia="Times New Roman" w:hAnsi="Verdana" w:cs="Arial"/>
          <w:lang w:eastAsia="es-CO"/>
        </w:rPr>
        <w:t>“</w:t>
      </w:r>
      <w:r w:rsidRPr="00B40B0D">
        <w:rPr>
          <w:rFonts w:ascii="Verdana" w:eastAsia="Times New Roman" w:hAnsi="Verdana" w:cs="Arial"/>
          <w:lang w:eastAsia="es-CO"/>
        </w:rPr>
        <w:t>productores agropecuarios locales</w:t>
      </w:r>
      <w:r>
        <w:rPr>
          <w:rFonts w:ascii="Verdana" w:eastAsia="Times New Roman" w:hAnsi="Verdana" w:cs="Arial"/>
          <w:lang w:eastAsia="es-CO"/>
        </w:rPr>
        <w:t>”</w:t>
      </w:r>
      <w:r w:rsidRPr="00B40B0D">
        <w:rPr>
          <w:rFonts w:ascii="Verdana" w:eastAsia="Times New Roman" w:hAnsi="Verdana" w:cs="Arial"/>
          <w:lang w:eastAsia="es-CO"/>
        </w:rPr>
        <w:t xml:space="preserve"> son las personas </w:t>
      </w:r>
      <w:r>
        <w:rPr>
          <w:rFonts w:ascii="Verdana" w:eastAsia="Times New Roman" w:hAnsi="Verdana" w:cs="Arial"/>
          <w:lang w:eastAsia="es-CO"/>
        </w:rPr>
        <w:t>“</w:t>
      </w:r>
      <w:r w:rsidRPr="00B40B0D">
        <w:rPr>
          <w:rFonts w:ascii="Verdana" w:eastAsia="Times New Roman" w:hAnsi="Verdana" w:cs="Arial"/>
          <w:lang w:eastAsia="es-CO"/>
        </w:rPr>
        <w:t>cuyo sistema de producción se encuentra ubicado en la vereda, o el municipio, o el departamento o la región en donde la entidad contratante requiere la entrega de los alimentos, esto es donde se van a consumir</w:t>
      </w:r>
      <w:r>
        <w:rPr>
          <w:rFonts w:ascii="Verdana" w:eastAsia="Times New Roman" w:hAnsi="Verdana" w:cs="Arial"/>
          <w:lang w:eastAsia="es-CO"/>
        </w:rPr>
        <w:t>”</w:t>
      </w:r>
      <w:r w:rsidRPr="00B40B0D">
        <w:rPr>
          <w:rFonts w:ascii="Verdana" w:eastAsia="Times New Roman" w:hAnsi="Verdana" w:cs="Arial"/>
          <w:lang w:eastAsia="es-CO"/>
        </w:rPr>
        <w:t>.</w:t>
      </w:r>
    </w:p>
    <w:p w14:paraId="274684EF" w14:textId="77777777" w:rsidR="004428D0" w:rsidRDefault="004428D0" w:rsidP="004428D0">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Igualmente, el artículo 4 de la Ley 2046 de 2020 define la Agricultura Campesina, Familiar y Comunitaria como el </w:t>
      </w:r>
      <w:r>
        <w:rPr>
          <w:rFonts w:ascii="Verdana" w:eastAsia="Times New Roman" w:hAnsi="Verdana" w:cs="Arial"/>
          <w:lang w:eastAsia="es-CO"/>
        </w:rPr>
        <w:t>“</w:t>
      </w:r>
      <w:r w:rsidRPr="00B40B0D">
        <w:rPr>
          <w:rFonts w:ascii="Verdana" w:eastAsia="Times New Roman" w:hAnsi="Verdana" w:cs="Arial"/>
          <w:lang w:eastAsia="es-CO"/>
        </w:rPr>
        <w:t xml:space="preserve">Sistema de producción y organización gestionado y operado por mujeres, hombres, familias, y comunidades campesinas, indígenas, negras, afrodescendientes, raizales y palenqueras que conviven en los territorios rurales del país. En este sistema se desarrollan principalmente actividades de producción, transformación y comercialización de bienes y servicios agrícolas, pecuarios, pesqueros, acuícolas y silvícolas; que suelen complementarse con actividades no agropecuarias. Esta diversificación de actividades y medios de vida se realiza predominantemente mediante la gestión y el trabajo familiar, asociativo o comunitario, aunque también puede emplearse mano de obra contratada. El territorio y los actores que gestionan este sistema están estrechamente vinculados y evolucionan </w:t>
      </w:r>
      <w:r w:rsidRPr="00B40B0D">
        <w:rPr>
          <w:rFonts w:ascii="Verdana" w:eastAsia="Times New Roman" w:hAnsi="Verdana" w:cs="Arial"/>
          <w:lang w:eastAsia="es-CO"/>
        </w:rPr>
        <w:lastRenderedPageBreak/>
        <w:t>conjuntamente, combinando funciones económicas, sociales, ecológicas, políticas y culturales</w:t>
      </w:r>
      <w:r>
        <w:rPr>
          <w:rFonts w:ascii="Verdana" w:eastAsia="Times New Roman" w:hAnsi="Verdana" w:cs="Arial"/>
          <w:lang w:eastAsia="es-CO"/>
        </w:rPr>
        <w:t>”</w:t>
      </w:r>
      <w:r w:rsidRPr="00B40B0D">
        <w:rPr>
          <w:rFonts w:ascii="Verdana" w:eastAsia="Times New Roman" w:hAnsi="Verdana" w:cs="Arial"/>
          <w:lang w:eastAsia="es-CO"/>
        </w:rPr>
        <w:t xml:space="preserve">. </w:t>
      </w:r>
    </w:p>
    <w:p w14:paraId="57669393" w14:textId="77777777" w:rsidR="004428D0" w:rsidRPr="00B40B0D" w:rsidRDefault="004428D0" w:rsidP="004428D0">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Por lo demás, en congruencia con el parágrafo 2 del artículo 2.20.1.2.3 del Decreto 1071 de 2015, el parágrafo 2 del artículo 2.20.1.2.1 ibidem dispone que </w:t>
      </w:r>
      <w:r>
        <w:rPr>
          <w:rFonts w:ascii="Verdana" w:eastAsia="Times New Roman" w:hAnsi="Verdana" w:cs="Arial"/>
          <w:lang w:eastAsia="es-CO"/>
        </w:rPr>
        <w:t>“</w:t>
      </w:r>
      <w:r w:rsidRPr="00B40B0D">
        <w:rPr>
          <w:rFonts w:ascii="Verdana" w:eastAsia="Times New Roman" w:hAnsi="Verdana" w:cs="Arial"/>
          <w:lang w:eastAsia="es-CO"/>
        </w:rPr>
        <w:t>[…] Para acreditar la calidad de productor de la Agricultura, Campesina, Familiar y Comunitaria deberá demostrar que figuran como productor de la ACFC, en el registro general de pequeños productores y productores de la Agricultura Campesina, Familiar y Comunitaria u otros registros oficiales, o en el Sistema de Información Alimentaria una vez entre en operación</w:t>
      </w:r>
      <w:r>
        <w:rPr>
          <w:rFonts w:ascii="Verdana" w:eastAsia="Times New Roman" w:hAnsi="Verdana" w:cs="Arial"/>
          <w:lang w:eastAsia="es-CO"/>
        </w:rPr>
        <w:t>”</w:t>
      </w:r>
      <w:r w:rsidRPr="00B40B0D">
        <w:rPr>
          <w:rFonts w:ascii="Verdana" w:eastAsia="Times New Roman" w:hAnsi="Verdana" w:cs="Arial"/>
          <w:lang w:eastAsia="es-CO"/>
        </w:rPr>
        <w:t>.</w:t>
      </w:r>
    </w:p>
    <w:p w14:paraId="15384493" w14:textId="77777777" w:rsidR="004428D0" w:rsidRPr="00B40B0D" w:rsidRDefault="004428D0" w:rsidP="004428D0">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Tratándose del puntaje adicional para los pequeños productores agropecuarios locales o productores locales de la Agricultura Campesina, Familiar o Comunitaria Local y/o sus organizaciones, el parágrafo 3 del artículo 2.20.1.2.3 del reglamento también dispone que </w:t>
      </w:r>
      <w:r>
        <w:rPr>
          <w:rFonts w:ascii="Verdana" w:eastAsia="Times New Roman" w:hAnsi="Verdana" w:cs="Arial"/>
          <w:lang w:eastAsia="es-CO"/>
        </w:rPr>
        <w:t>“</w:t>
      </w:r>
      <w:r w:rsidRPr="00B40B0D">
        <w:rPr>
          <w:rFonts w:ascii="Verdana" w:eastAsia="Times New Roman" w:hAnsi="Verdana" w:cs="Arial"/>
          <w:lang w:eastAsia="es-CO"/>
        </w:rPr>
        <w:t>Para acreditar la calidad de productor agropecuario local, se deberá allegar contrato de arrendamiento o un certificado de tradición y libertad del inmueble, o los recibos de pago de los impuestos, contribuciones y valorizaciones del inmueble, que permita demostrar que los productores tienen la calidad de propietarios, poseedores, o tenedores del predio, en los que se evidencie la vereda, el municipio, el departamento o la región de ubicación donde se encuentra el sistema de producción del proveedor de los productos agropecuarios</w:t>
      </w:r>
      <w:r>
        <w:rPr>
          <w:rFonts w:ascii="Verdana" w:eastAsia="Times New Roman" w:hAnsi="Verdana" w:cs="Arial"/>
          <w:lang w:eastAsia="es-CO"/>
        </w:rPr>
        <w:t>”</w:t>
      </w:r>
      <w:r w:rsidRPr="00B40B0D">
        <w:rPr>
          <w:rFonts w:ascii="Verdana" w:eastAsia="Times New Roman" w:hAnsi="Verdana" w:cs="Arial"/>
          <w:lang w:eastAsia="es-CO"/>
        </w:rPr>
        <w:t xml:space="preserve">. De lo anterior se desprende que ninguna de las normas citadas establece una equivalencia entre el productor agropecuario </w:t>
      </w:r>
      <w:r w:rsidRPr="00EA61A7">
        <w:rPr>
          <w:rFonts w:ascii="Verdana" w:eastAsia="Times New Roman" w:hAnsi="Verdana" w:cs="Arial"/>
          <w:i/>
          <w:iCs/>
          <w:lang w:eastAsia="es-CO"/>
        </w:rPr>
        <w:t>nacional</w:t>
      </w:r>
      <w:r w:rsidRPr="00B40B0D">
        <w:rPr>
          <w:rFonts w:ascii="Verdana" w:eastAsia="Times New Roman" w:hAnsi="Verdana" w:cs="Arial"/>
          <w:lang w:eastAsia="es-CO"/>
        </w:rPr>
        <w:t xml:space="preserve"> y el </w:t>
      </w:r>
      <w:r w:rsidRPr="00EA61A7">
        <w:rPr>
          <w:rFonts w:ascii="Verdana" w:eastAsia="Times New Roman" w:hAnsi="Verdana" w:cs="Arial"/>
          <w:i/>
          <w:iCs/>
          <w:lang w:eastAsia="es-CO"/>
        </w:rPr>
        <w:t>local,</w:t>
      </w:r>
      <w:r w:rsidRPr="00B40B0D">
        <w:rPr>
          <w:rFonts w:ascii="Verdana" w:eastAsia="Times New Roman" w:hAnsi="Verdana" w:cs="Arial"/>
          <w:lang w:eastAsia="es-CO"/>
        </w:rPr>
        <w:t xml:space="preserve"> pues cada calidad se demuestra conforme al marco normativo previsto en el decreto. </w:t>
      </w:r>
    </w:p>
    <w:bookmarkEnd w:id="2"/>
    <w:p w14:paraId="2AAB6A89" w14:textId="77777777" w:rsidR="004428D0" w:rsidRPr="00122488" w:rsidRDefault="004428D0" w:rsidP="004428D0">
      <w:pPr>
        <w:widowControl w:val="0"/>
        <w:autoSpaceDE w:val="0"/>
        <w:autoSpaceDN w:val="0"/>
        <w:spacing w:after="0" w:line="276" w:lineRule="auto"/>
        <w:jc w:val="both"/>
        <w:rPr>
          <w:rFonts w:ascii="Verdana" w:hAnsi="Verdana"/>
          <w:shd w:val="clear" w:color="auto" w:fill="FFFFFF"/>
        </w:rPr>
      </w:pPr>
    </w:p>
    <w:p w14:paraId="0D22C6EA" w14:textId="77777777" w:rsidR="004428D0" w:rsidRDefault="004428D0" w:rsidP="004428D0">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Referencias normativas, jurisprudenciales y otras fuentes:</w:t>
      </w:r>
    </w:p>
    <w:p w14:paraId="0A35BAE1" w14:textId="77777777" w:rsidR="004428D0" w:rsidRPr="00C64FA8" w:rsidRDefault="004428D0" w:rsidP="004428D0">
      <w:pPr>
        <w:pStyle w:val="ListParagraph"/>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428D0" w:rsidRPr="00FE5A24" w14:paraId="392A8753" w14:textId="77777777" w:rsidTr="009900CB">
        <w:trPr>
          <w:trHeight w:val="870"/>
        </w:trPr>
        <w:tc>
          <w:tcPr>
            <w:tcW w:w="8647" w:type="dxa"/>
          </w:tcPr>
          <w:p w14:paraId="4A4F023C" w14:textId="77777777" w:rsidR="004428D0" w:rsidRPr="00571478" w:rsidRDefault="004428D0" w:rsidP="009900CB">
            <w:pPr>
              <w:pStyle w:val="ListParagraph"/>
              <w:widowControl w:val="0"/>
              <w:numPr>
                <w:ilvl w:val="0"/>
                <w:numId w:val="17"/>
              </w:numPr>
              <w:autoSpaceDE w:val="0"/>
              <w:autoSpaceDN w:val="0"/>
              <w:spacing w:line="276" w:lineRule="auto"/>
              <w:contextualSpacing w:val="0"/>
              <w:jc w:val="both"/>
              <w:rPr>
                <w:rFonts w:ascii="Verdana" w:hAnsi="Verdana" w:cs="Arial"/>
              </w:rPr>
            </w:pPr>
            <w:r w:rsidRPr="00571478">
              <w:rPr>
                <w:rFonts w:ascii="Verdana" w:hAnsi="Verdana" w:cs="Arial"/>
              </w:rPr>
              <w:t>Ley 1955 de 2019</w:t>
            </w:r>
            <w:r w:rsidRPr="00B96F9B">
              <w:rPr>
                <w:rFonts w:ascii="Verdana" w:hAnsi="Verdana" w:cs="Arial"/>
              </w:rPr>
              <w:t>: Artículo</w:t>
            </w:r>
            <w:r w:rsidRPr="00571478">
              <w:rPr>
                <w:rFonts w:ascii="Verdana" w:hAnsi="Verdana" w:cs="Arial"/>
              </w:rPr>
              <w:t xml:space="preserve"> 229 </w:t>
            </w:r>
          </w:p>
          <w:p w14:paraId="54158FFD" w14:textId="77777777" w:rsidR="004428D0" w:rsidRDefault="004428D0" w:rsidP="009900CB">
            <w:pPr>
              <w:pStyle w:val="ListParagraph"/>
              <w:widowControl w:val="0"/>
              <w:numPr>
                <w:ilvl w:val="0"/>
                <w:numId w:val="17"/>
              </w:numPr>
              <w:autoSpaceDE w:val="0"/>
              <w:autoSpaceDN w:val="0"/>
              <w:spacing w:line="276" w:lineRule="auto"/>
              <w:contextualSpacing w:val="0"/>
              <w:jc w:val="both"/>
              <w:rPr>
                <w:rFonts w:ascii="Verdana" w:hAnsi="Verdana" w:cs="Arial"/>
              </w:rPr>
            </w:pPr>
            <w:r w:rsidRPr="00571478">
              <w:rPr>
                <w:rFonts w:ascii="Verdana" w:hAnsi="Verdana" w:cs="Arial"/>
              </w:rPr>
              <w:t>Ley 2046 de 2020</w:t>
            </w:r>
            <w:r w:rsidRPr="00B96F9B">
              <w:rPr>
                <w:rFonts w:ascii="Verdana" w:hAnsi="Verdana" w:cs="Arial"/>
              </w:rPr>
              <w:t>:</w:t>
            </w:r>
            <w:r w:rsidRPr="00571478">
              <w:rPr>
                <w:rFonts w:ascii="Verdana" w:hAnsi="Verdana" w:cs="Arial"/>
              </w:rPr>
              <w:t xml:space="preserve"> </w:t>
            </w:r>
            <w:r>
              <w:rPr>
                <w:rFonts w:ascii="Verdana" w:hAnsi="Verdana" w:cs="Arial"/>
              </w:rPr>
              <w:t>A</w:t>
            </w:r>
            <w:r w:rsidRPr="00571478">
              <w:rPr>
                <w:rFonts w:ascii="Verdana" w:hAnsi="Verdana" w:cs="Arial"/>
              </w:rPr>
              <w:t>rtículo 7</w:t>
            </w:r>
            <w:r>
              <w:rPr>
                <w:rFonts w:ascii="Verdana" w:hAnsi="Verdana" w:cs="Arial"/>
              </w:rPr>
              <w:t>, 8, 9, 10, 11,12 y 13</w:t>
            </w:r>
            <w:r w:rsidRPr="00571478">
              <w:rPr>
                <w:rFonts w:ascii="Verdana" w:hAnsi="Verdana" w:cs="Arial"/>
              </w:rPr>
              <w:t xml:space="preserve"> </w:t>
            </w:r>
          </w:p>
          <w:p w14:paraId="5A41AEBB" w14:textId="77777777" w:rsidR="004428D0" w:rsidRPr="00F337E8" w:rsidRDefault="004428D0" w:rsidP="009900CB">
            <w:pPr>
              <w:pStyle w:val="ListParagraph"/>
              <w:widowControl w:val="0"/>
              <w:numPr>
                <w:ilvl w:val="0"/>
                <w:numId w:val="17"/>
              </w:numPr>
              <w:autoSpaceDE w:val="0"/>
              <w:autoSpaceDN w:val="0"/>
              <w:spacing w:line="276" w:lineRule="auto"/>
              <w:contextualSpacing w:val="0"/>
              <w:jc w:val="both"/>
              <w:rPr>
                <w:rFonts w:ascii="Verdana" w:hAnsi="Verdana" w:cs="Arial"/>
              </w:rPr>
            </w:pPr>
            <w:r w:rsidRPr="00F337E8">
              <w:rPr>
                <w:rFonts w:ascii="Verdana" w:hAnsi="Verdana" w:cs="Arial"/>
              </w:rPr>
              <w:t xml:space="preserve">Decreto 248 de 2021: </w:t>
            </w:r>
            <w:r w:rsidRPr="00F337E8">
              <w:rPr>
                <w:rFonts w:ascii="Verdana" w:eastAsia="Times New Roman" w:hAnsi="Verdana" w:cs="Arial"/>
                <w:lang w:eastAsia="es-CO"/>
              </w:rPr>
              <w:t>Artículo 2.20.1.1.3.</w:t>
            </w:r>
          </w:p>
          <w:p w14:paraId="24D92343" w14:textId="77777777" w:rsidR="004428D0" w:rsidRPr="00FF7E25" w:rsidRDefault="004428D0" w:rsidP="009900CB">
            <w:pPr>
              <w:pStyle w:val="ListParagraph"/>
              <w:widowControl w:val="0"/>
              <w:numPr>
                <w:ilvl w:val="0"/>
                <w:numId w:val="17"/>
              </w:numPr>
              <w:autoSpaceDE w:val="0"/>
              <w:autoSpaceDN w:val="0"/>
              <w:spacing w:after="120" w:line="276" w:lineRule="auto"/>
              <w:jc w:val="both"/>
              <w:rPr>
                <w:rFonts w:ascii="Verdana" w:hAnsi="Verdana" w:cs="Arial"/>
                <w:color w:val="000000" w:themeColor="text1"/>
              </w:rPr>
            </w:pPr>
            <w:r w:rsidRPr="00571478">
              <w:rPr>
                <w:rFonts w:ascii="Verdana" w:hAnsi="Verdana" w:cs="Arial"/>
              </w:rPr>
              <w:t>Decreto 1071 de 2015</w:t>
            </w:r>
            <w:r>
              <w:rPr>
                <w:rFonts w:ascii="Verdana" w:hAnsi="Verdana" w:cs="Arial"/>
              </w:rPr>
              <w:t xml:space="preserve">: </w:t>
            </w:r>
            <w:r>
              <w:rPr>
                <w:rFonts w:ascii="Verdana" w:eastAsia="Times New Roman" w:hAnsi="Verdana" w:cs="Arial"/>
                <w:lang w:eastAsia="es-CO"/>
              </w:rPr>
              <w:t>A</w:t>
            </w:r>
            <w:r w:rsidRPr="00B40B0D">
              <w:rPr>
                <w:rFonts w:ascii="Verdana" w:eastAsia="Times New Roman" w:hAnsi="Verdana" w:cs="Arial"/>
                <w:lang w:eastAsia="es-CO"/>
              </w:rPr>
              <w:t xml:space="preserve">rtículo 2.20.1.1.3. </w:t>
            </w:r>
            <w:r w:rsidRPr="00814408">
              <w:rPr>
                <w:rFonts w:ascii="Verdana" w:hAnsi="Verdana" w:cs="Arial"/>
                <w:lang w:val="es-MX"/>
              </w:rPr>
              <w:t xml:space="preserve"> </w:t>
            </w:r>
          </w:p>
        </w:tc>
      </w:tr>
    </w:tbl>
    <w:p w14:paraId="2F9647A8" w14:textId="77777777" w:rsidR="004428D0" w:rsidRPr="00FE5A24" w:rsidRDefault="004428D0" w:rsidP="004428D0">
      <w:pPr>
        <w:widowControl w:val="0"/>
        <w:autoSpaceDE w:val="0"/>
        <w:autoSpaceDN w:val="0"/>
        <w:spacing w:after="0" w:line="276" w:lineRule="auto"/>
        <w:jc w:val="both"/>
        <w:rPr>
          <w:rFonts w:ascii="Verdana" w:hAnsi="Verdana" w:cs="Arial"/>
          <w:color w:val="000000" w:themeColor="text1"/>
        </w:rPr>
      </w:pPr>
    </w:p>
    <w:p w14:paraId="3347BCF7" w14:textId="77777777" w:rsidR="004428D0" w:rsidRPr="00FE5A24" w:rsidRDefault="004428D0" w:rsidP="004428D0">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Doctrina de la Agencia Nacional de Contratación Pública:</w:t>
      </w:r>
    </w:p>
    <w:p w14:paraId="62292DC4" w14:textId="77777777" w:rsidR="004428D0" w:rsidRPr="00FE5A24" w:rsidRDefault="004428D0" w:rsidP="004428D0">
      <w:pPr>
        <w:widowControl w:val="0"/>
        <w:autoSpaceDE w:val="0"/>
        <w:autoSpaceDN w:val="0"/>
        <w:spacing w:after="0" w:line="276" w:lineRule="auto"/>
        <w:jc w:val="both"/>
        <w:rPr>
          <w:rFonts w:ascii="Verdana" w:hAnsi="Verdana" w:cs="Arial"/>
          <w:color w:val="000000" w:themeColor="text1"/>
        </w:rPr>
      </w:pPr>
    </w:p>
    <w:p w14:paraId="60CD9078" w14:textId="77777777" w:rsidR="004428D0" w:rsidRPr="00F7651F" w:rsidRDefault="004428D0" w:rsidP="004428D0">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F7651F">
        <w:rPr>
          <w:rStyle w:val="normaltextrun"/>
          <w:rFonts w:ascii="Verdana" w:hAnsi="Verdana" w:cs="Arial"/>
          <w:color w:val="000000" w:themeColor="text1"/>
          <w:shd w:val="clear" w:color="auto" w:fill="FFFFFF"/>
          <w:lang w:val="es-ES"/>
        </w:rPr>
        <w:t>La Agencia Nacional de Contratación Pública – Colombia Compra Eficiente ha analizado</w:t>
      </w:r>
      <w:r w:rsidRPr="0051101A">
        <w:rPr>
          <w:rStyle w:val="normaltextrun"/>
          <w:rFonts w:ascii="Verdana" w:hAnsi="Verdana" w:cs="Arial"/>
          <w:shd w:val="clear" w:color="auto" w:fill="FFFFFF"/>
          <w:lang w:val="es-ES"/>
        </w:rPr>
        <w:t xml:space="preserve"> </w:t>
      </w:r>
      <w:r w:rsidRPr="009501C6">
        <w:rPr>
          <w:rStyle w:val="normaltextrun"/>
          <w:rFonts w:ascii="Verdana" w:hAnsi="Verdana" w:cs="Arial"/>
          <w:shd w:val="clear" w:color="auto" w:fill="FFFFFF"/>
          <w:lang w:val="es-ES"/>
        </w:rPr>
        <w:t>la promoción de las compras públicas de alimentos y los incentivos contractuales en los conceptos C-301 de 19 de junio de 2022</w:t>
      </w:r>
      <w:r>
        <w:rPr>
          <w:rStyle w:val="normaltextrun"/>
          <w:rFonts w:ascii="Verdana" w:hAnsi="Verdana" w:cs="Arial"/>
          <w:shd w:val="clear" w:color="auto" w:fill="FFFFFF"/>
          <w:lang w:val="es-ES"/>
        </w:rPr>
        <w:t>,</w:t>
      </w:r>
      <w:r w:rsidRPr="009501C6">
        <w:rPr>
          <w:rStyle w:val="normaltextrun"/>
          <w:rFonts w:ascii="Verdana" w:hAnsi="Verdana" w:cs="Arial"/>
          <w:shd w:val="clear" w:color="auto" w:fill="FFFFFF"/>
          <w:lang w:val="es-ES"/>
        </w:rPr>
        <w:t xml:space="preserve"> C-810 del 25 de </w:t>
      </w:r>
      <w:r w:rsidRPr="009501C6">
        <w:rPr>
          <w:rStyle w:val="normaltextrun"/>
          <w:rFonts w:ascii="Verdana" w:hAnsi="Verdana" w:cs="Arial"/>
          <w:shd w:val="clear" w:color="auto" w:fill="FFFFFF"/>
          <w:lang w:val="es-ES"/>
        </w:rPr>
        <w:lastRenderedPageBreak/>
        <w:t>noviembre de 2022</w:t>
      </w:r>
      <w:r>
        <w:rPr>
          <w:rStyle w:val="normaltextrun"/>
          <w:rFonts w:ascii="Verdana" w:hAnsi="Verdana" w:cs="Arial"/>
          <w:shd w:val="clear" w:color="auto" w:fill="FFFFFF"/>
          <w:lang w:val="es-ES"/>
        </w:rPr>
        <w:t>, C-410 del 6 de octubre de 2023 y C-077 del 26 de abril de 2024</w:t>
      </w:r>
      <w:r>
        <w:rPr>
          <w:rFonts w:ascii="Verdana" w:hAnsi="Verdana" w:cs="Arial"/>
          <w:color w:val="000000" w:themeColor="text1"/>
          <w:shd w:val="clear" w:color="auto" w:fill="FFFFFF"/>
        </w:rPr>
        <w:t xml:space="preserve">, entre otros. </w:t>
      </w:r>
      <w:r w:rsidRPr="00FE5A24">
        <w:rPr>
          <w:rFonts w:ascii="Verdana" w:hAnsi="Verdana" w:cs="Arial"/>
          <w:color w:val="000000" w:themeColor="text1"/>
          <w:shd w:val="clear" w:color="auto" w:fill="FFFFFF"/>
        </w:rPr>
        <w:t xml:space="preserve">Estos </w:t>
      </w:r>
      <w:r w:rsidRPr="00FE5A24">
        <w:rPr>
          <w:rStyle w:val="normaltextrun"/>
          <w:rFonts w:ascii="Verdana" w:hAnsi="Verdana" w:cs="Arial"/>
          <w:color w:val="000000" w:themeColor="text1"/>
          <w:shd w:val="clear" w:color="auto" w:fill="FFFFFF"/>
        </w:rPr>
        <w:t xml:space="preserve">se encuentran disponibles para consulta en el Sistema de relatoría de la Agencia, al cual puede accederse a través del siguiente enlace: </w:t>
      </w:r>
      <w:hyperlink r:id="rId11" w:history="1">
        <w:r w:rsidRPr="00401F64">
          <w:rPr>
            <w:rStyle w:val="Hyperlink"/>
            <w:rFonts w:ascii="Verdana" w:hAnsi="Verdana" w:cs="Arial"/>
            <w:shd w:val="clear" w:color="auto" w:fill="FFFFFF"/>
          </w:rPr>
          <w:t>https://relatoria.colombiacompra.gov.co/busqueda/conceptos</w:t>
        </w:r>
      </w:hyperlink>
      <w:r w:rsidRPr="003A7064">
        <w:rPr>
          <w:rStyle w:val="Hyperlink"/>
          <w:rFonts w:ascii="Verdana" w:hAnsi="Verdana"/>
        </w:rPr>
        <w:t>.</w:t>
      </w:r>
      <w:r w:rsidRPr="00FE5A24">
        <w:rPr>
          <w:rStyle w:val="normaltextrun"/>
          <w:rFonts w:ascii="Verdana" w:hAnsi="Verdana" w:cs="Arial"/>
          <w:color w:val="000000" w:themeColor="text1"/>
          <w:shd w:val="clear" w:color="auto" w:fill="FFFFFF"/>
        </w:rPr>
        <w:t xml:space="preserve"> </w:t>
      </w:r>
      <w:r w:rsidRPr="00FE5A24">
        <w:rPr>
          <w:rStyle w:val="normaltextrun"/>
          <w:rFonts w:ascii="Verdana" w:hAnsi="Verdana" w:cs="Arial"/>
          <w:color w:val="000000" w:themeColor="text1"/>
          <w:shd w:val="clear" w:color="auto" w:fill="FFFFFF"/>
          <w:lang w:val="es-ES"/>
        </w:rPr>
        <w:t xml:space="preserve"> </w:t>
      </w:r>
    </w:p>
    <w:p w14:paraId="492C2462" w14:textId="77777777" w:rsidR="004428D0" w:rsidRDefault="004428D0" w:rsidP="004428D0">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3D7CA6CF" w14:textId="77777777" w:rsidR="004428D0" w:rsidRPr="003E2460" w:rsidRDefault="004428D0" w:rsidP="004428D0">
      <w:pPr>
        <w:spacing w:after="0" w:line="276"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7218198E" w14:textId="77777777" w:rsidR="004428D0" w:rsidRPr="003E2460" w:rsidRDefault="004428D0" w:rsidP="004428D0">
      <w:pPr>
        <w:spacing w:after="0" w:line="276" w:lineRule="auto"/>
        <w:jc w:val="both"/>
        <w:rPr>
          <w:rFonts w:ascii="Verdana" w:hAnsi="Verdana"/>
        </w:rPr>
      </w:pPr>
    </w:p>
    <w:p w14:paraId="21994BEE" w14:textId="77777777" w:rsidR="004428D0" w:rsidRPr="003E2460" w:rsidRDefault="004428D0" w:rsidP="004428D0">
      <w:pPr>
        <w:spacing w:after="0" w:line="276" w:lineRule="auto"/>
        <w:jc w:val="both"/>
        <w:rPr>
          <w:rFonts w:ascii="Verdana" w:hAnsi="Verdana"/>
        </w:rPr>
      </w:pPr>
      <w:r w:rsidRPr="003E2460">
        <w:rPr>
          <w:rFonts w:ascii="Verdana" w:hAnsi="Verdana"/>
        </w:rPr>
        <w:t xml:space="preserve">Twitter: </w:t>
      </w:r>
      <w:r w:rsidRPr="00386BAA">
        <w:rPr>
          <w:rStyle w:val="Hyperlink"/>
          <w:rFonts w:ascii="Verdana" w:hAnsi="Verdana" w:cs="Arial"/>
          <w:shd w:val="clear" w:color="auto" w:fill="FFFFFF"/>
        </w:rPr>
        <w:t>@colombiacompra</w:t>
      </w:r>
      <w:r w:rsidRPr="003E2460">
        <w:rPr>
          <w:rFonts w:ascii="Verdana" w:hAnsi="Verdana"/>
          <w:color w:val="4472C4" w:themeColor="accent1"/>
        </w:rPr>
        <w:t xml:space="preserve"> </w:t>
      </w:r>
    </w:p>
    <w:p w14:paraId="1102C04E" w14:textId="77777777" w:rsidR="004428D0" w:rsidRPr="003E2460" w:rsidRDefault="004428D0" w:rsidP="004428D0">
      <w:pPr>
        <w:spacing w:after="0" w:line="276" w:lineRule="auto"/>
        <w:jc w:val="both"/>
        <w:rPr>
          <w:rFonts w:ascii="Verdana" w:hAnsi="Verdana"/>
        </w:rPr>
      </w:pPr>
      <w:r w:rsidRPr="003E2460">
        <w:rPr>
          <w:rFonts w:ascii="Verdana" w:hAnsi="Verdana"/>
        </w:rPr>
        <w:t xml:space="preserve">Facebook: </w:t>
      </w:r>
      <w:proofErr w:type="spellStart"/>
      <w:r w:rsidRPr="00386BAA">
        <w:rPr>
          <w:rStyle w:val="Hyperlink"/>
          <w:rFonts w:ascii="Verdana" w:hAnsi="Verdana" w:cs="Arial"/>
          <w:shd w:val="clear" w:color="auto" w:fill="FFFFFF"/>
        </w:rPr>
        <w:t>ColombiaCompraEficiente</w:t>
      </w:r>
      <w:proofErr w:type="spellEnd"/>
    </w:p>
    <w:p w14:paraId="319837D2" w14:textId="77777777" w:rsidR="004428D0" w:rsidRPr="003E2460" w:rsidRDefault="004428D0" w:rsidP="004428D0">
      <w:pPr>
        <w:spacing w:after="0" w:line="276" w:lineRule="auto"/>
        <w:jc w:val="both"/>
        <w:rPr>
          <w:rFonts w:ascii="Verdana" w:hAnsi="Verdana"/>
        </w:rPr>
      </w:pPr>
      <w:r w:rsidRPr="003E2460">
        <w:rPr>
          <w:rFonts w:ascii="Verdana" w:hAnsi="Verdana"/>
        </w:rPr>
        <w:t xml:space="preserve">LinkedIn: </w:t>
      </w:r>
      <w:r w:rsidRPr="00386BAA">
        <w:rPr>
          <w:rStyle w:val="Hyperlink"/>
          <w:rFonts w:ascii="Verdana" w:hAnsi="Verdana" w:cs="Arial"/>
          <w:shd w:val="clear" w:color="auto" w:fill="FFFFFF"/>
        </w:rPr>
        <w:t>Agencia Nacional de Contratación Pública - Colombia Compra Eficiente</w:t>
      </w:r>
      <w:r w:rsidRPr="003A7064">
        <w:rPr>
          <w:rStyle w:val="Hyperlink"/>
          <w:rFonts w:ascii="Verdana" w:hAnsi="Verdana" w:cs="Arial"/>
          <w:shd w:val="clear" w:color="auto" w:fill="FFFFFF"/>
        </w:rPr>
        <w:t xml:space="preserve"> </w:t>
      </w:r>
      <w:r w:rsidRPr="003E2460">
        <w:rPr>
          <w:rFonts w:ascii="Verdana" w:hAnsi="Verdana"/>
        </w:rPr>
        <w:t xml:space="preserve">Instagram: </w:t>
      </w:r>
      <w:r w:rsidRPr="00386BAA">
        <w:rPr>
          <w:rStyle w:val="Hyperlink"/>
          <w:rFonts w:ascii="Verdana" w:hAnsi="Verdana" w:cs="Arial"/>
          <w:shd w:val="clear" w:color="auto" w:fill="FFFFFF"/>
        </w:rPr>
        <w:t>@colombiacompraeficiente_cce</w:t>
      </w:r>
    </w:p>
    <w:p w14:paraId="37A231B5" w14:textId="77777777" w:rsidR="004428D0" w:rsidRPr="00FE5A24" w:rsidRDefault="004428D0" w:rsidP="004428D0">
      <w:pPr>
        <w:widowControl w:val="0"/>
        <w:autoSpaceDE w:val="0"/>
        <w:autoSpaceDN w:val="0"/>
        <w:spacing w:after="0" w:line="276" w:lineRule="auto"/>
        <w:jc w:val="both"/>
        <w:rPr>
          <w:rFonts w:ascii="Verdana" w:hAnsi="Verdana" w:cs="Arial"/>
          <w:color w:val="000000" w:themeColor="text1"/>
        </w:rPr>
      </w:pPr>
    </w:p>
    <w:p w14:paraId="6459ABFE" w14:textId="77777777" w:rsidR="004428D0" w:rsidRPr="00FE5A24" w:rsidRDefault="004428D0" w:rsidP="004428D0">
      <w:pPr>
        <w:widowControl w:val="0"/>
        <w:autoSpaceDE w:val="0"/>
        <w:autoSpaceDN w:val="0"/>
        <w:spacing w:after="0" w:line="276" w:lineRule="auto"/>
        <w:jc w:val="both"/>
        <w:rPr>
          <w:rFonts w:ascii="Verdana" w:hAnsi="Verdana" w:cs="Arial"/>
          <w:color w:val="000000" w:themeColor="text1"/>
          <w:lang w:val="es-ES_tradnl"/>
        </w:rPr>
      </w:pPr>
      <w:r w:rsidRPr="00FE5A24">
        <w:rPr>
          <w:rFonts w:ascii="Verdana" w:hAnsi="Verdana" w:cs="Arial"/>
          <w:color w:val="000000" w:themeColor="text1"/>
        </w:rPr>
        <w:t xml:space="preserve">Este concepto tiene el alcance previsto en el artículo 28 del Código de Procedimiento Administrativo y de lo Contencioso Administrativo </w:t>
      </w:r>
      <w:r w:rsidRPr="00FE5A24">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5F2814CD" w14:textId="77777777" w:rsidR="004428D0" w:rsidRPr="00FE5A24" w:rsidRDefault="004428D0" w:rsidP="004428D0">
      <w:pPr>
        <w:widowControl w:val="0"/>
        <w:autoSpaceDE w:val="0"/>
        <w:autoSpaceDN w:val="0"/>
        <w:spacing w:after="0" w:line="276" w:lineRule="auto"/>
        <w:jc w:val="both"/>
        <w:rPr>
          <w:rFonts w:ascii="Verdana" w:hAnsi="Verdana" w:cs="Arial"/>
          <w:color w:val="000000" w:themeColor="text1"/>
        </w:rPr>
      </w:pPr>
    </w:p>
    <w:p w14:paraId="1FB2DB09" w14:textId="77777777" w:rsidR="004428D0" w:rsidRPr="00FE5A24" w:rsidRDefault="004428D0" w:rsidP="004428D0">
      <w:pPr>
        <w:spacing w:after="0" w:line="276" w:lineRule="auto"/>
        <w:rPr>
          <w:rFonts w:ascii="Verdana" w:hAnsi="Verdana" w:cs="Arial"/>
          <w:color w:val="000000" w:themeColor="text1"/>
          <w:lang w:eastAsia="es-CO"/>
        </w:rPr>
      </w:pPr>
      <w:r w:rsidRPr="00FE5A24">
        <w:rPr>
          <w:rFonts w:ascii="Verdana" w:eastAsia="Times New Roman" w:hAnsi="Verdana" w:cs="Arial"/>
          <w:color w:val="000000" w:themeColor="text1"/>
          <w:lang w:eastAsia="es-CO"/>
        </w:rPr>
        <w:t>Atentamente,</w:t>
      </w:r>
      <w:r w:rsidRPr="00FE5A24">
        <w:rPr>
          <w:rFonts w:ascii="Verdana" w:hAnsi="Verdana" w:cs="Arial"/>
          <w:color w:val="000000" w:themeColor="text1"/>
          <w:lang w:eastAsia="es-CO"/>
        </w:rPr>
        <w:t xml:space="preserve"> </w:t>
      </w:r>
    </w:p>
    <w:p w14:paraId="2B89A497" w14:textId="210426D6" w:rsidR="004428D0" w:rsidRPr="00FE5A24" w:rsidRDefault="00C5486C" w:rsidP="004428D0">
      <w:pPr>
        <w:spacing w:line="276" w:lineRule="auto"/>
        <w:jc w:val="center"/>
        <w:rPr>
          <w:rFonts w:ascii="Verdana" w:hAnsi="Verdana" w:cs="Arial"/>
          <w:color w:val="000000" w:themeColor="text1"/>
          <w:lang w:val="es-ES_tradnl" w:eastAsia="es-CO"/>
        </w:rPr>
      </w:pPr>
      <w:r>
        <w:rPr>
          <w:noProof/>
        </w:rPr>
        <w:drawing>
          <wp:inline distT="0" distB="0" distL="0" distR="0" wp14:anchorId="3752A115" wp14:editId="77FA6516">
            <wp:extent cx="3463047" cy="1285525"/>
            <wp:effectExtent l="0" t="0" r="4445" b="0"/>
            <wp:docPr id="107950162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501621" name="Imagen 1" descr="Texto&#10;&#10;Descripción generada automáticamente"/>
                    <pic:cNvPicPr/>
                  </pic:nvPicPr>
                  <pic:blipFill>
                    <a:blip r:embed="rId12"/>
                    <a:stretch>
                      <a:fillRect/>
                    </a:stretch>
                  </pic:blipFill>
                  <pic:spPr>
                    <a:xfrm>
                      <a:off x="0" y="0"/>
                      <a:ext cx="3477010" cy="1290708"/>
                    </a:xfrm>
                    <a:prstGeom prst="rect">
                      <a:avLst/>
                    </a:prstGeom>
                  </pic:spPr>
                </pic:pic>
              </a:graphicData>
            </a:graphic>
          </wp:inline>
        </w:drawing>
      </w: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428D0" w:rsidRPr="003751C7" w14:paraId="56D9942C" w14:textId="77777777" w:rsidTr="009900CB">
        <w:trPr>
          <w:trHeight w:val="315"/>
        </w:trPr>
        <w:tc>
          <w:tcPr>
            <w:tcW w:w="893" w:type="dxa"/>
            <w:vAlign w:val="center"/>
            <w:hideMark/>
          </w:tcPr>
          <w:p w14:paraId="5A7BF0CC" w14:textId="77777777" w:rsidR="004428D0" w:rsidRPr="003751C7" w:rsidRDefault="004428D0" w:rsidP="009900CB">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FD1A7EF" w14:textId="77777777" w:rsidR="004428D0" w:rsidRPr="00FF1EF8" w:rsidRDefault="004428D0" w:rsidP="009900CB">
            <w:pPr>
              <w:contextualSpacing/>
              <w:rPr>
                <w:rFonts w:ascii="Verdana" w:eastAsia="Arial" w:hAnsi="Verdana" w:cs="Arial"/>
                <w:color w:val="000000" w:themeColor="text1"/>
                <w:sz w:val="16"/>
                <w:szCs w:val="16"/>
              </w:rPr>
            </w:pPr>
            <w:r w:rsidRPr="00FF1EF8">
              <w:rPr>
                <w:rFonts w:ascii="Verdana" w:eastAsia="Arial" w:hAnsi="Verdana" w:cs="Arial"/>
                <w:color w:val="000000" w:themeColor="text1"/>
                <w:sz w:val="16"/>
                <w:szCs w:val="16"/>
              </w:rPr>
              <w:t>Anamaría Bonilla Prieto</w:t>
            </w:r>
          </w:p>
          <w:p w14:paraId="09247643" w14:textId="77777777" w:rsidR="004428D0" w:rsidRPr="003751C7" w:rsidRDefault="004428D0" w:rsidP="009900CB">
            <w:pPr>
              <w:contextualSpacing/>
              <w:rPr>
                <w:rFonts w:ascii="Verdana" w:eastAsia="Arial" w:hAnsi="Verdana" w:cs="Arial"/>
                <w:sz w:val="16"/>
                <w:szCs w:val="16"/>
              </w:rPr>
            </w:pPr>
            <w:r w:rsidRPr="00FF1EF8">
              <w:rPr>
                <w:rStyle w:val="normaltextrun"/>
                <w:rFonts w:ascii="Verdana" w:eastAsia="Arial" w:hAnsi="Verdana" w:cs="Arial"/>
                <w:color w:val="000000" w:themeColor="text1"/>
                <w:sz w:val="16"/>
                <w:szCs w:val="16"/>
              </w:rPr>
              <w:t xml:space="preserve">Contratista de la Subdirección </w:t>
            </w:r>
            <w:r w:rsidRPr="003751C7">
              <w:rPr>
                <w:rStyle w:val="normaltextrun"/>
                <w:rFonts w:ascii="Verdana" w:eastAsia="Arial" w:hAnsi="Verdana" w:cs="Arial"/>
                <w:sz w:val="16"/>
                <w:szCs w:val="16"/>
              </w:rPr>
              <w:t>de Gestión Contractual</w:t>
            </w:r>
          </w:p>
        </w:tc>
      </w:tr>
      <w:tr w:rsidR="004428D0" w:rsidRPr="003751C7" w14:paraId="6C3AAB8F" w14:textId="77777777" w:rsidTr="009900CB">
        <w:trPr>
          <w:trHeight w:val="330"/>
        </w:trPr>
        <w:tc>
          <w:tcPr>
            <w:tcW w:w="893" w:type="dxa"/>
            <w:vAlign w:val="center"/>
            <w:hideMark/>
          </w:tcPr>
          <w:p w14:paraId="74163FC9" w14:textId="77777777" w:rsidR="004428D0" w:rsidRPr="003751C7" w:rsidRDefault="004428D0" w:rsidP="009900CB">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49A0020" w14:textId="77777777" w:rsidR="004428D0" w:rsidRPr="00B6469F" w:rsidRDefault="004428D0" w:rsidP="009900CB">
            <w:pPr>
              <w:contextualSpacing/>
              <w:textAlignment w:val="baseline"/>
              <w:rPr>
                <w:rFonts w:ascii="Verdana" w:eastAsia="Times New Roman" w:hAnsi="Verdana" w:cs="Arial"/>
                <w:sz w:val="16"/>
                <w:szCs w:val="16"/>
                <w:lang w:val="es-ES" w:eastAsia="es-ES_tradnl"/>
              </w:rPr>
            </w:pPr>
            <w:r w:rsidRPr="00B6469F">
              <w:rPr>
                <w:rFonts w:ascii="Verdana" w:eastAsia="Times New Roman" w:hAnsi="Verdana" w:cs="Arial"/>
                <w:sz w:val="16"/>
                <w:szCs w:val="16"/>
                <w:lang w:val="es-ES" w:eastAsia="es-ES_tradnl"/>
              </w:rPr>
              <w:t>Alejandro Sarmiento Cantillo</w:t>
            </w:r>
          </w:p>
          <w:p w14:paraId="73039A12" w14:textId="77777777" w:rsidR="004428D0" w:rsidRPr="003751C7" w:rsidRDefault="004428D0" w:rsidP="009900CB">
            <w:pPr>
              <w:pStyle w:val="paragraph"/>
              <w:spacing w:before="0" w:beforeAutospacing="0" w:after="0" w:afterAutospacing="0"/>
              <w:contextualSpacing/>
              <w:textAlignment w:val="baseline"/>
              <w:rPr>
                <w:rFonts w:ascii="Verdana" w:hAnsi="Verdana" w:cs="Segoe UI"/>
                <w:sz w:val="16"/>
                <w:szCs w:val="16"/>
              </w:rPr>
            </w:pPr>
            <w:r w:rsidRPr="00B6469F">
              <w:rPr>
                <w:rFonts w:ascii="Verdana" w:hAnsi="Verdana" w:cs="Arial"/>
                <w:sz w:val="16"/>
                <w:szCs w:val="16"/>
                <w:lang w:val="es-ES"/>
              </w:rPr>
              <w:t xml:space="preserve">Gestor T1 – 15 </w:t>
            </w:r>
            <w:r w:rsidRPr="003751C7">
              <w:rPr>
                <w:rStyle w:val="normaltextrun"/>
                <w:rFonts w:ascii="Verdana" w:hAnsi="Verdana" w:cs="Arial"/>
                <w:sz w:val="16"/>
                <w:szCs w:val="16"/>
                <w:lang w:val="es-ES"/>
              </w:rPr>
              <w:t>de la Subdirección de Gestión Contractual</w:t>
            </w:r>
            <w:r w:rsidRPr="003751C7">
              <w:rPr>
                <w:rStyle w:val="eop"/>
                <w:rFonts w:ascii="Verdana" w:hAnsi="Verdana" w:cs="Arial"/>
                <w:sz w:val="16"/>
                <w:szCs w:val="16"/>
              </w:rPr>
              <w:t> </w:t>
            </w:r>
          </w:p>
        </w:tc>
      </w:tr>
      <w:tr w:rsidR="004428D0" w:rsidRPr="003751C7" w14:paraId="2B48D8D7" w14:textId="77777777" w:rsidTr="009900CB">
        <w:trPr>
          <w:trHeight w:val="300"/>
        </w:trPr>
        <w:tc>
          <w:tcPr>
            <w:tcW w:w="893" w:type="dxa"/>
            <w:vAlign w:val="center"/>
          </w:tcPr>
          <w:p w14:paraId="21D47314" w14:textId="77777777" w:rsidR="004428D0" w:rsidRPr="003751C7" w:rsidRDefault="004428D0" w:rsidP="009900CB">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E4F8FEB" w14:textId="77777777" w:rsidR="004428D0" w:rsidRPr="003751C7" w:rsidRDefault="004428D0" w:rsidP="009900CB">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7D511969" w14:textId="77777777" w:rsidR="004428D0" w:rsidRPr="003751C7" w:rsidRDefault="004428D0" w:rsidP="009900CB">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Contractual ANCP – CCE</w:t>
            </w:r>
          </w:p>
        </w:tc>
      </w:tr>
      <w:bookmarkEnd w:id="0"/>
    </w:tbl>
    <w:p w14:paraId="24B38826" w14:textId="77777777" w:rsidR="004428D0" w:rsidRPr="0044528D" w:rsidRDefault="004428D0" w:rsidP="004428D0">
      <w:pPr>
        <w:spacing w:after="0"/>
        <w:rPr>
          <w:rFonts w:ascii="Verdana" w:hAnsi="Verdana"/>
        </w:rPr>
      </w:pPr>
    </w:p>
    <w:p w14:paraId="3900974D" w14:textId="77777777" w:rsidR="003D5B0D" w:rsidRPr="00153829" w:rsidRDefault="003D5B0D" w:rsidP="00153829"/>
    <w:sectPr w:rsidR="003D5B0D" w:rsidRPr="00153829"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FD4CD0" w14:textId="77777777" w:rsidR="007953D1" w:rsidRDefault="007953D1" w:rsidP="004A1847">
      <w:pPr>
        <w:spacing w:after="0" w:line="240" w:lineRule="auto"/>
      </w:pPr>
      <w:r>
        <w:separator/>
      </w:r>
    </w:p>
  </w:endnote>
  <w:endnote w:type="continuationSeparator" w:id="0">
    <w:p w14:paraId="71BD1128" w14:textId="77777777" w:rsidR="007953D1" w:rsidRDefault="007953D1" w:rsidP="004A1847">
      <w:pPr>
        <w:spacing w:after="0" w:line="240" w:lineRule="auto"/>
      </w:pPr>
      <w:r>
        <w:continuationSeparator/>
      </w:r>
    </w:p>
  </w:endnote>
  <w:endnote w:type="continuationNotice" w:id="1">
    <w:p w14:paraId="53894B37" w14:textId="77777777" w:rsidR="007953D1" w:rsidRDefault="007953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390FEC" w14:textId="77777777" w:rsidR="007953D1" w:rsidRDefault="007953D1" w:rsidP="004A1847">
      <w:pPr>
        <w:spacing w:after="0" w:line="240" w:lineRule="auto"/>
      </w:pPr>
      <w:r>
        <w:separator/>
      </w:r>
    </w:p>
  </w:footnote>
  <w:footnote w:type="continuationSeparator" w:id="0">
    <w:p w14:paraId="3EA4C492" w14:textId="77777777" w:rsidR="007953D1" w:rsidRDefault="007953D1" w:rsidP="004A1847">
      <w:pPr>
        <w:spacing w:after="0" w:line="240" w:lineRule="auto"/>
      </w:pPr>
      <w:r>
        <w:continuationSeparator/>
      </w:r>
    </w:p>
  </w:footnote>
  <w:footnote w:type="continuationNotice" w:id="1">
    <w:p w14:paraId="302EEBC1" w14:textId="77777777" w:rsidR="007953D1" w:rsidRDefault="007953D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Header"/>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Header"/>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11.35pt;height:11.3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8"/>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E7754"/>
    <w:rsid w:val="000F6486"/>
    <w:rsid w:val="00125105"/>
    <w:rsid w:val="00127233"/>
    <w:rsid w:val="001511A0"/>
    <w:rsid w:val="00153829"/>
    <w:rsid w:val="001D5190"/>
    <w:rsid w:val="001D6D38"/>
    <w:rsid w:val="001E4177"/>
    <w:rsid w:val="001F7DC6"/>
    <w:rsid w:val="00226D4C"/>
    <w:rsid w:val="002421BB"/>
    <w:rsid w:val="0025796E"/>
    <w:rsid w:val="00257C54"/>
    <w:rsid w:val="002707A2"/>
    <w:rsid w:val="002951A0"/>
    <w:rsid w:val="002962BC"/>
    <w:rsid w:val="002A093D"/>
    <w:rsid w:val="002A0DD0"/>
    <w:rsid w:val="002A49AC"/>
    <w:rsid w:val="002A64FD"/>
    <w:rsid w:val="002C7A84"/>
    <w:rsid w:val="002E1D5D"/>
    <w:rsid w:val="002E4FD9"/>
    <w:rsid w:val="00322A85"/>
    <w:rsid w:val="00324168"/>
    <w:rsid w:val="003448F4"/>
    <w:rsid w:val="00374F5E"/>
    <w:rsid w:val="00377E3E"/>
    <w:rsid w:val="003A779E"/>
    <w:rsid w:val="003A799E"/>
    <w:rsid w:val="003D0F4D"/>
    <w:rsid w:val="003D5B0D"/>
    <w:rsid w:val="003E0499"/>
    <w:rsid w:val="003F3941"/>
    <w:rsid w:val="00406575"/>
    <w:rsid w:val="00414C74"/>
    <w:rsid w:val="0042722E"/>
    <w:rsid w:val="004428D0"/>
    <w:rsid w:val="0044528D"/>
    <w:rsid w:val="004A1847"/>
    <w:rsid w:val="004A305D"/>
    <w:rsid w:val="004F21C4"/>
    <w:rsid w:val="004F685F"/>
    <w:rsid w:val="00555896"/>
    <w:rsid w:val="005566E8"/>
    <w:rsid w:val="00574867"/>
    <w:rsid w:val="00591460"/>
    <w:rsid w:val="005B3816"/>
    <w:rsid w:val="005C3777"/>
    <w:rsid w:val="005C5CDC"/>
    <w:rsid w:val="005D476C"/>
    <w:rsid w:val="006219F8"/>
    <w:rsid w:val="00665D70"/>
    <w:rsid w:val="006900D9"/>
    <w:rsid w:val="006A12A0"/>
    <w:rsid w:val="006C5245"/>
    <w:rsid w:val="00706C16"/>
    <w:rsid w:val="00756841"/>
    <w:rsid w:val="007649AB"/>
    <w:rsid w:val="00771D0C"/>
    <w:rsid w:val="007833AC"/>
    <w:rsid w:val="007953D1"/>
    <w:rsid w:val="007B268C"/>
    <w:rsid w:val="007B7171"/>
    <w:rsid w:val="007C0C0F"/>
    <w:rsid w:val="007C3DC2"/>
    <w:rsid w:val="007E5497"/>
    <w:rsid w:val="00806F5F"/>
    <w:rsid w:val="00820278"/>
    <w:rsid w:val="00867F95"/>
    <w:rsid w:val="008843B6"/>
    <w:rsid w:val="00891928"/>
    <w:rsid w:val="008A446D"/>
    <w:rsid w:val="008D180B"/>
    <w:rsid w:val="008F0EA7"/>
    <w:rsid w:val="00900B9F"/>
    <w:rsid w:val="00923EEF"/>
    <w:rsid w:val="009419F9"/>
    <w:rsid w:val="0095685E"/>
    <w:rsid w:val="00961B09"/>
    <w:rsid w:val="00965334"/>
    <w:rsid w:val="0097093E"/>
    <w:rsid w:val="00986AC5"/>
    <w:rsid w:val="009A0DFA"/>
    <w:rsid w:val="009B2D26"/>
    <w:rsid w:val="009C71FA"/>
    <w:rsid w:val="009C72E7"/>
    <w:rsid w:val="009D3058"/>
    <w:rsid w:val="009F3A13"/>
    <w:rsid w:val="00A122D3"/>
    <w:rsid w:val="00A17F13"/>
    <w:rsid w:val="00A20739"/>
    <w:rsid w:val="00A33C78"/>
    <w:rsid w:val="00A62993"/>
    <w:rsid w:val="00AB0ADB"/>
    <w:rsid w:val="00AC4898"/>
    <w:rsid w:val="00AD7F73"/>
    <w:rsid w:val="00B01B1A"/>
    <w:rsid w:val="00B66319"/>
    <w:rsid w:val="00B72CD3"/>
    <w:rsid w:val="00B72FFF"/>
    <w:rsid w:val="00BC3D36"/>
    <w:rsid w:val="00BD7F72"/>
    <w:rsid w:val="00C04FB3"/>
    <w:rsid w:val="00C330EB"/>
    <w:rsid w:val="00C41061"/>
    <w:rsid w:val="00C5486C"/>
    <w:rsid w:val="00C754BE"/>
    <w:rsid w:val="00C76B1C"/>
    <w:rsid w:val="00CB6357"/>
    <w:rsid w:val="00CC1B26"/>
    <w:rsid w:val="00D423A2"/>
    <w:rsid w:val="00D520D8"/>
    <w:rsid w:val="00D63AC2"/>
    <w:rsid w:val="00D720B0"/>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B5C93"/>
    <w:rsid w:val="00EC38A7"/>
    <w:rsid w:val="00ED7384"/>
    <w:rsid w:val="00EE1AA8"/>
    <w:rsid w:val="00F02880"/>
    <w:rsid w:val="00F2234C"/>
    <w:rsid w:val="00F31EDC"/>
    <w:rsid w:val="00F32E70"/>
    <w:rsid w:val="00F462B3"/>
    <w:rsid w:val="00F5664F"/>
    <w:rsid w:val="00F666C4"/>
    <w:rsid w:val="00F76AFC"/>
    <w:rsid w:val="00FA47C0"/>
    <w:rsid w:val="00FB5DD1"/>
    <w:rsid w:val="00FC2B5D"/>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
    <w:basedOn w:val="DefaultParagraphFont"/>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4428D0"/>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f2aded54591a7fd7c71e00322775124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8225e9d864fb3b86d94084293229f75"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750A31-B1C6-455A-913D-2742F710A2F1}"/>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c086ebc9-8fd5-442b-abc4-722db14db030"/>
    <ds:schemaRef ds:uri="8ae15d26-076e-464e-81a7-6f76a0fb3917"/>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16</Pages>
  <Words>5762</Words>
  <Characters>32848</Characters>
  <Application>Microsoft Office Word</Application>
  <DocSecurity>0</DocSecurity>
  <Lines>273</Lines>
  <Paragraphs>77</Paragraphs>
  <ScaleCrop>false</ScaleCrop>
  <Company/>
  <LinksUpToDate>false</LinksUpToDate>
  <CharactersWithSpaces>38533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Anamaría Bonilla</cp:lastModifiedBy>
  <cp:revision>9</cp:revision>
  <cp:lastPrinted>2023-01-10T21:18:00Z</cp:lastPrinted>
  <dcterms:created xsi:type="dcterms:W3CDTF">2025-05-30T17:27:00Z</dcterms:created>
  <dcterms:modified xsi:type="dcterms:W3CDTF">2025-05-30T17:42:00Z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