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D43891" w14:textId="281EB134" w:rsidR="007C2899" w:rsidRPr="007C2899" w:rsidRDefault="007C2899" w:rsidP="007C2899">
      <w:pPr>
        <w:spacing w:after="0" w:line="240" w:lineRule="auto"/>
        <w:jc w:val="both"/>
        <w:rPr>
          <w:rFonts w:ascii="Verdana" w:hAnsi="Verdana"/>
          <w:b/>
          <w:bCs/>
          <w:sz w:val="20"/>
          <w:szCs w:val="20"/>
        </w:rPr>
      </w:pPr>
      <w:bookmarkStart w:id="0" w:name="_Hlk197462763"/>
      <w:bookmarkStart w:id="1" w:name="_Hlk197529996"/>
      <w:bookmarkStart w:id="2" w:name="_Hlk143780582"/>
      <w:r w:rsidRPr="007C2899">
        <w:rPr>
          <w:rFonts w:ascii="Verdana" w:hAnsi="Verdana"/>
          <w:b/>
          <w:bCs/>
          <w:sz w:val="20"/>
          <w:szCs w:val="20"/>
        </w:rPr>
        <w:t xml:space="preserve">CONTRATO DE DONACIÓN – Concepto </w:t>
      </w:r>
    </w:p>
    <w:p w14:paraId="364E2C91" w14:textId="77777777" w:rsidR="007C2899" w:rsidRPr="007C2899" w:rsidRDefault="007C2899" w:rsidP="007C2899">
      <w:pPr>
        <w:spacing w:after="0" w:line="240" w:lineRule="auto"/>
        <w:jc w:val="both"/>
        <w:rPr>
          <w:rFonts w:ascii="Verdana" w:hAnsi="Verdana"/>
          <w:sz w:val="20"/>
          <w:szCs w:val="20"/>
        </w:rPr>
      </w:pPr>
    </w:p>
    <w:p w14:paraId="0397F06D" w14:textId="003C0519" w:rsidR="007C2899" w:rsidRDefault="007C2899" w:rsidP="007C2899">
      <w:pPr>
        <w:autoSpaceDE w:val="0"/>
        <w:autoSpaceDN w:val="0"/>
        <w:adjustRightInd w:val="0"/>
        <w:spacing w:after="0" w:line="240" w:lineRule="auto"/>
        <w:jc w:val="both"/>
        <w:rPr>
          <w:rFonts w:ascii="Verdana" w:hAnsi="Verdana" w:cs="Arial"/>
          <w:sz w:val="20"/>
          <w:szCs w:val="20"/>
        </w:rPr>
      </w:pPr>
      <w:r w:rsidRPr="007C2899">
        <w:rPr>
          <w:rFonts w:ascii="Verdana" w:hAnsi="Verdana" w:cs="Arial"/>
          <w:sz w:val="20"/>
          <w:szCs w:val="20"/>
          <w:lang w:val="es-MX"/>
        </w:rPr>
        <w:t>El</w:t>
      </w:r>
      <w:r w:rsidRPr="007C2899">
        <w:rPr>
          <w:rFonts w:ascii="Verdana" w:hAnsi="Verdana" w:cs="Arial"/>
          <w:sz w:val="20"/>
          <w:szCs w:val="20"/>
        </w:rPr>
        <w:t xml:space="preserve"> contrato de donación está definido en el Código Civil como “un acto por el cual una persona transfiere, gratuita e irrevocablemente, una parte de sus bienes a otra persona que la acepta”. El Consejo de Estado sostuvo respecto de la definición de la donación del Código Civil, que era naturalmente imprecisa toda vez que la donación es un verdadero «contrato» y no solo un acto, lo anterior porque para el perfeccionamiento del «contrato» concurre i) la voluntad dispositiva de la persona que pretende entregar parte de su patrimonio – donante – y </w:t>
      </w:r>
      <w:proofErr w:type="spellStart"/>
      <w:r w:rsidRPr="007C2899">
        <w:rPr>
          <w:rFonts w:ascii="Verdana" w:hAnsi="Verdana" w:cs="Arial"/>
          <w:sz w:val="20"/>
          <w:szCs w:val="20"/>
        </w:rPr>
        <w:t>ii</w:t>
      </w:r>
      <w:proofErr w:type="spellEnd"/>
      <w:r w:rsidRPr="007C2899">
        <w:rPr>
          <w:rFonts w:ascii="Verdana" w:hAnsi="Verdana" w:cs="Arial"/>
          <w:sz w:val="20"/>
          <w:szCs w:val="20"/>
        </w:rPr>
        <w:t xml:space="preserve">) la aceptación de quién recibirá el beneficio económico – donatario –. Conforme a lo anterior, la celebración de un contrato de donación se constituye como un verdadero acto traslaticio del dominio. </w:t>
      </w:r>
    </w:p>
    <w:p w14:paraId="3479E370" w14:textId="77777777" w:rsidR="007C2899" w:rsidRDefault="007C2899" w:rsidP="007C2899">
      <w:pPr>
        <w:autoSpaceDE w:val="0"/>
        <w:autoSpaceDN w:val="0"/>
        <w:adjustRightInd w:val="0"/>
        <w:spacing w:after="0" w:line="240" w:lineRule="auto"/>
        <w:jc w:val="both"/>
        <w:rPr>
          <w:rFonts w:ascii="Verdana" w:hAnsi="Verdana" w:cs="Arial"/>
          <w:sz w:val="20"/>
          <w:szCs w:val="20"/>
        </w:rPr>
      </w:pPr>
    </w:p>
    <w:p w14:paraId="685DA029" w14:textId="0FA0FADC" w:rsidR="007C2899" w:rsidRPr="007C2899" w:rsidRDefault="007C2899" w:rsidP="007C2899">
      <w:pPr>
        <w:autoSpaceDE w:val="0"/>
        <w:autoSpaceDN w:val="0"/>
        <w:adjustRightInd w:val="0"/>
        <w:spacing w:after="0" w:line="240" w:lineRule="auto"/>
        <w:jc w:val="both"/>
        <w:rPr>
          <w:rFonts w:ascii="Verdana" w:hAnsi="Verdana" w:cs="Arial"/>
          <w:b/>
          <w:bCs/>
          <w:sz w:val="20"/>
          <w:szCs w:val="20"/>
        </w:rPr>
      </w:pPr>
      <w:r w:rsidRPr="007C2899">
        <w:rPr>
          <w:rFonts w:ascii="Verdana" w:hAnsi="Verdana" w:cs="Arial"/>
          <w:b/>
          <w:bCs/>
          <w:sz w:val="20"/>
          <w:szCs w:val="20"/>
        </w:rPr>
        <w:t xml:space="preserve">CONTRATO ESTATAL – Criterio orgánico </w:t>
      </w:r>
      <w:r>
        <w:rPr>
          <w:rFonts w:ascii="Verdana" w:hAnsi="Verdana" w:cs="Arial"/>
          <w:b/>
          <w:bCs/>
          <w:sz w:val="20"/>
          <w:szCs w:val="20"/>
        </w:rPr>
        <w:t xml:space="preserve">– Entidad estatal </w:t>
      </w:r>
    </w:p>
    <w:p w14:paraId="7313AA74" w14:textId="77777777" w:rsidR="007C2899" w:rsidRDefault="007C2899" w:rsidP="007C2899">
      <w:pPr>
        <w:spacing w:after="0" w:line="240" w:lineRule="auto"/>
        <w:jc w:val="both"/>
        <w:rPr>
          <w:rFonts w:ascii="Verdana" w:hAnsi="Verdana" w:cs="Arial"/>
          <w:sz w:val="20"/>
          <w:szCs w:val="20"/>
        </w:rPr>
      </w:pPr>
    </w:p>
    <w:p w14:paraId="776D12BD" w14:textId="2DC48FAE" w:rsidR="007C2899" w:rsidRDefault="007C2899" w:rsidP="007C2899">
      <w:pPr>
        <w:jc w:val="both"/>
        <w:rPr>
          <w:rFonts w:ascii="Verdana" w:hAnsi="Verdana" w:cs="Arial"/>
          <w:sz w:val="20"/>
          <w:szCs w:val="20"/>
        </w:rPr>
      </w:pPr>
      <w:r w:rsidRPr="007C2899">
        <w:rPr>
          <w:rFonts w:ascii="Verdana" w:hAnsi="Verdana" w:cs="Arial"/>
          <w:sz w:val="20"/>
          <w:szCs w:val="20"/>
        </w:rPr>
        <w:t xml:space="preserve">Por otra parte, el ordenamiento jurídico colombiano ha adoptado un criterio orgánico para determinar cuándo un contrato tiene la calidad de estatal. Según este criterio, todo contrato será estatal cuando al menos una de sus partes sea una entidad estatal, al margen del régimen aplicable al contrato, según lo establecido por el artículo 32 de la Ley 80 de 1993. </w:t>
      </w:r>
    </w:p>
    <w:p w14:paraId="7DE63D47" w14:textId="37EFC8E2" w:rsidR="007C2899" w:rsidRPr="007C2899" w:rsidRDefault="007C2899" w:rsidP="007C2899">
      <w:pPr>
        <w:jc w:val="both"/>
        <w:rPr>
          <w:rFonts w:ascii="Verdana" w:hAnsi="Verdana" w:cs="Arial"/>
          <w:b/>
          <w:bCs/>
          <w:sz w:val="20"/>
          <w:szCs w:val="20"/>
        </w:rPr>
      </w:pPr>
      <w:r w:rsidRPr="007C2899">
        <w:rPr>
          <w:rFonts w:ascii="Verdana" w:hAnsi="Verdana" w:cs="Arial"/>
          <w:b/>
          <w:bCs/>
          <w:sz w:val="20"/>
          <w:szCs w:val="20"/>
        </w:rPr>
        <w:t xml:space="preserve">CONTRATO DE DONACIÓN – Contrato estatal – ESTUDIOS PREVIOS </w:t>
      </w:r>
      <w:r>
        <w:rPr>
          <w:rFonts w:ascii="Verdana" w:hAnsi="Verdana" w:cs="Arial"/>
          <w:b/>
          <w:bCs/>
          <w:sz w:val="20"/>
          <w:szCs w:val="20"/>
        </w:rPr>
        <w:t xml:space="preserve">– Obligatoriedad de la entidad estatal </w:t>
      </w:r>
    </w:p>
    <w:p w14:paraId="47903D99" w14:textId="2336D2A9" w:rsidR="007C2899" w:rsidRDefault="007C2899" w:rsidP="009E40F5">
      <w:pPr>
        <w:spacing w:after="0" w:line="240" w:lineRule="auto"/>
        <w:jc w:val="both"/>
        <w:rPr>
          <w:rFonts w:ascii="Verdana" w:hAnsi="Verdana"/>
          <w:sz w:val="20"/>
          <w:szCs w:val="20"/>
          <w:lang w:val="es-ES"/>
        </w:rPr>
      </w:pPr>
      <w:r>
        <w:rPr>
          <w:rFonts w:ascii="Verdana" w:hAnsi="Verdana"/>
          <w:sz w:val="20"/>
          <w:szCs w:val="20"/>
          <w:lang w:val="es-ES"/>
        </w:rPr>
        <w:t>L</w:t>
      </w:r>
      <w:r w:rsidRPr="007C2899">
        <w:rPr>
          <w:rFonts w:ascii="Verdana" w:hAnsi="Verdana"/>
          <w:sz w:val="20"/>
          <w:szCs w:val="20"/>
          <w:lang w:val="es-ES"/>
        </w:rPr>
        <w:t>a aceptación de la entidad estatal donataria debe estar precedida de los estudios y análisis que requiere una decisión en tal sentido, no sólo porque cualquier manifestación de la voluntad de las entidades estatales debe estar debidamente motivada, sino porque el deber de diligencia y cuidado que demanda la administración de los recursos del Estado exige que, incluso, la aceptación de una donación sea producto de una evaluación de los diferentes efectos que se pueden derivar de dicha decisión.</w:t>
      </w:r>
    </w:p>
    <w:p w14:paraId="6C83CF53" w14:textId="77777777" w:rsidR="007C2899" w:rsidRDefault="007C2899" w:rsidP="009E40F5">
      <w:pPr>
        <w:spacing w:after="0" w:line="240" w:lineRule="auto"/>
        <w:jc w:val="both"/>
        <w:rPr>
          <w:rFonts w:ascii="Verdana" w:hAnsi="Verdana"/>
          <w:sz w:val="20"/>
          <w:szCs w:val="20"/>
          <w:lang w:val="es-ES"/>
        </w:rPr>
      </w:pPr>
    </w:p>
    <w:p w14:paraId="2C0125FC" w14:textId="4DBAB254" w:rsidR="007C2899" w:rsidRDefault="007C2899" w:rsidP="009E40F5">
      <w:pPr>
        <w:spacing w:after="0" w:line="240" w:lineRule="auto"/>
        <w:jc w:val="both"/>
        <w:rPr>
          <w:rFonts w:ascii="Verdana" w:hAnsi="Verdana"/>
          <w:b/>
          <w:bCs/>
          <w:sz w:val="20"/>
          <w:szCs w:val="20"/>
          <w:lang w:val="es-ES_tradnl"/>
        </w:rPr>
      </w:pPr>
      <w:r w:rsidRPr="007C2899">
        <w:rPr>
          <w:rFonts w:ascii="Verdana" w:hAnsi="Verdana"/>
          <w:b/>
          <w:bCs/>
          <w:sz w:val="20"/>
          <w:szCs w:val="20"/>
          <w:lang w:val="es-ES_tradnl"/>
        </w:rPr>
        <w:t>RÉGIMEN DE INHABILIDADES E INCOMPATIBILIDADES – Concepto – Principio de legalidad – Interpretación restrictiva</w:t>
      </w:r>
    </w:p>
    <w:p w14:paraId="64C708ED" w14:textId="77777777" w:rsidR="007C2899" w:rsidRDefault="007C2899" w:rsidP="009E40F5">
      <w:pPr>
        <w:spacing w:after="0" w:line="240" w:lineRule="auto"/>
        <w:jc w:val="both"/>
        <w:rPr>
          <w:rFonts w:ascii="Verdana" w:hAnsi="Verdana"/>
          <w:b/>
          <w:bCs/>
          <w:sz w:val="20"/>
          <w:szCs w:val="20"/>
          <w:lang w:val="es-ES_tradnl"/>
        </w:rPr>
      </w:pPr>
    </w:p>
    <w:p w14:paraId="376C83EE" w14:textId="6E92E533" w:rsidR="007C2899" w:rsidRPr="00821123" w:rsidRDefault="00821123" w:rsidP="009E40F5">
      <w:pPr>
        <w:spacing w:after="0" w:line="240" w:lineRule="auto"/>
        <w:jc w:val="both"/>
        <w:rPr>
          <w:rFonts w:ascii="Verdana" w:hAnsi="Verdana"/>
          <w:sz w:val="20"/>
          <w:szCs w:val="20"/>
          <w:lang w:val="es-ES"/>
        </w:rPr>
      </w:pPr>
      <w:r>
        <w:rPr>
          <w:rFonts w:ascii="Verdana" w:hAnsi="Verdana"/>
          <w:sz w:val="20"/>
          <w:szCs w:val="20"/>
          <w:lang w:val="es-ES"/>
        </w:rPr>
        <w:t>L</w:t>
      </w:r>
      <w:r w:rsidRPr="00821123">
        <w:rPr>
          <w:rFonts w:ascii="Verdana" w:hAnsi="Verdana"/>
          <w:sz w:val="20"/>
          <w:szCs w:val="20"/>
          <w:lang w:val="es-ES"/>
        </w:rPr>
        <w:t xml:space="preserve">as inhabilidades e incompatibilidades son circunstancias establecidas por la Constitución Política o por la ley que impiden que personas naturales o jurídicas sean elegidas o designadas en un cargo público o celebren contratos con el Estado. Su objetivo no es otro que garantizar la idoneidad, imparcialidad, probidad, transparencia y moralidad de la función pública, garantizando el interés general.   </w:t>
      </w:r>
    </w:p>
    <w:p w14:paraId="612AFD75" w14:textId="77777777" w:rsidR="007C2899" w:rsidRDefault="007C2899" w:rsidP="009E40F5">
      <w:pPr>
        <w:spacing w:after="0" w:line="240" w:lineRule="auto"/>
        <w:jc w:val="both"/>
        <w:rPr>
          <w:rFonts w:ascii="Verdana" w:hAnsi="Verdana"/>
        </w:rPr>
      </w:pPr>
    </w:p>
    <w:p w14:paraId="42A67BBA" w14:textId="1E9A39B3" w:rsidR="007C2899" w:rsidRDefault="00821123" w:rsidP="009E40F5">
      <w:pPr>
        <w:spacing w:after="0" w:line="240" w:lineRule="auto"/>
        <w:jc w:val="both"/>
        <w:rPr>
          <w:rFonts w:ascii="Verdana" w:hAnsi="Verdana" w:cs="Arial"/>
          <w:sz w:val="20"/>
          <w:szCs w:val="20"/>
          <w:lang w:val="es-ES"/>
        </w:rPr>
      </w:pPr>
      <w:r w:rsidRPr="00821123">
        <w:rPr>
          <w:rFonts w:ascii="Verdana" w:hAnsi="Verdana" w:cs="Arial"/>
          <w:sz w:val="20"/>
          <w:szCs w:val="20"/>
          <w:lang w:val="es-ES"/>
        </w:rPr>
        <w:t xml:space="preserve">De este modo, el régimen de inhabilidades para contratar con el Estado es el conjunto de restricciones establecidas por el constituyente o por el legislador que afectan directamente la capacidad de las personas para establecer relaciones contractuales con el Estado, las cuales pueden derivarse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w:t>
      </w:r>
      <w:r w:rsidRPr="00821123">
        <w:rPr>
          <w:rFonts w:ascii="Verdana" w:hAnsi="Verdana" w:cs="Arial"/>
          <w:sz w:val="20"/>
          <w:szCs w:val="20"/>
          <w:lang w:val="es-ES"/>
        </w:rPr>
        <w:lastRenderedPageBreak/>
        <w:t>calidad o requisito en el sujeto incapacitado quien por esta razón no podrá hacer parte de una relación contractua</w:t>
      </w:r>
      <w:r w:rsidRPr="00821123">
        <w:rPr>
          <w:rFonts w:ascii="Verdana" w:hAnsi="Verdana" w:cs="Arial"/>
          <w:sz w:val="20"/>
          <w:szCs w:val="20"/>
          <w:lang w:val="es-ES"/>
        </w:rPr>
        <w:t xml:space="preserve">l. </w:t>
      </w:r>
    </w:p>
    <w:p w14:paraId="49E3534C" w14:textId="4E8CDAAB" w:rsidR="00821123" w:rsidRDefault="00821123" w:rsidP="009E40F5">
      <w:pPr>
        <w:spacing w:after="0" w:line="240" w:lineRule="auto"/>
        <w:jc w:val="both"/>
        <w:rPr>
          <w:rFonts w:ascii="Verdana" w:hAnsi="Verdana" w:cs="Arial"/>
          <w:sz w:val="20"/>
          <w:szCs w:val="20"/>
          <w:lang w:val="es-ES"/>
        </w:rPr>
      </w:pPr>
    </w:p>
    <w:p w14:paraId="7D4BF24E" w14:textId="2C8CD0CB" w:rsidR="00821123" w:rsidRDefault="00821123" w:rsidP="009E40F5">
      <w:pPr>
        <w:spacing w:after="0" w:line="240" w:lineRule="auto"/>
        <w:jc w:val="both"/>
        <w:rPr>
          <w:rFonts w:ascii="Verdana" w:hAnsi="Verdana" w:cs="Arial"/>
          <w:b/>
          <w:bCs/>
          <w:sz w:val="20"/>
          <w:szCs w:val="20"/>
          <w:lang w:val="es-ES"/>
        </w:rPr>
      </w:pPr>
      <w:r w:rsidRPr="00821123">
        <w:rPr>
          <w:rFonts w:ascii="Verdana" w:hAnsi="Verdana" w:cs="Arial"/>
          <w:b/>
          <w:bCs/>
          <w:sz w:val="20"/>
          <w:szCs w:val="20"/>
          <w:lang w:val="es-ES"/>
        </w:rPr>
        <w:t xml:space="preserve">FUENTE DE LAS INHABILIDADES – Inhabilidades – sanción – Inhabilidades </w:t>
      </w:r>
      <w:r>
        <w:rPr>
          <w:rFonts w:ascii="Verdana" w:hAnsi="Verdana" w:cs="Arial"/>
          <w:b/>
          <w:bCs/>
          <w:sz w:val="20"/>
          <w:szCs w:val="20"/>
          <w:lang w:val="es-ES"/>
        </w:rPr>
        <w:t>–</w:t>
      </w:r>
      <w:r w:rsidRPr="00821123">
        <w:rPr>
          <w:rFonts w:ascii="Verdana" w:hAnsi="Verdana" w:cs="Arial"/>
          <w:b/>
          <w:bCs/>
          <w:sz w:val="20"/>
          <w:szCs w:val="20"/>
          <w:lang w:val="es-ES"/>
        </w:rPr>
        <w:t xml:space="preserve"> requisito</w:t>
      </w:r>
    </w:p>
    <w:p w14:paraId="62210F4B" w14:textId="77777777" w:rsidR="00821123" w:rsidRDefault="00821123" w:rsidP="009E40F5">
      <w:pPr>
        <w:spacing w:after="0" w:line="240" w:lineRule="auto"/>
        <w:jc w:val="both"/>
        <w:rPr>
          <w:rFonts w:ascii="Verdana" w:hAnsi="Verdana" w:cs="Arial"/>
          <w:b/>
          <w:bCs/>
          <w:sz w:val="20"/>
          <w:szCs w:val="20"/>
          <w:lang w:val="es-ES"/>
        </w:rPr>
      </w:pPr>
    </w:p>
    <w:p w14:paraId="2CEC019D" w14:textId="2D2CFE3A" w:rsidR="00821123" w:rsidRDefault="00821123" w:rsidP="009E40F5">
      <w:pPr>
        <w:spacing w:after="0" w:line="240" w:lineRule="auto"/>
        <w:jc w:val="both"/>
        <w:rPr>
          <w:rFonts w:ascii="Verdana" w:hAnsi="Verdana" w:cs="Arial"/>
          <w:sz w:val="20"/>
          <w:szCs w:val="20"/>
          <w:lang w:val="es-ES"/>
        </w:rPr>
      </w:pPr>
      <w:r w:rsidRPr="00821123">
        <w:rPr>
          <w:rFonts w:ascii="Verdana" w:hAnsi="Verdana" w:cs="Arial"/>
          <w:sz w:val="20"/>
          <w:szCs w:val="20"/>
          <w:lang w:val="es-ES"/>
        </w:rPr>
        <w:t xml:space="preserve">Conviene también distinguir las fuentes de las inhabilidades, las cuales han sido clasificadas en dos (2) grupos: i) inhabilidades-sanción y </w:t>
      </w:r>
      <w:proofErr w:type="spellStart"/>
      <w:r w:rsidRPr="00821123">
        <w:rPr>
          <w:rFonts w:ascii="Verdana" w:hAnsi="Verdana" w:cs="Arial"/>
          <w:sz w:val="20"/>
          <w:szCs w:val="20"/>
          <w:lang w:val="es-ES"/>
        </w:rPr>
        <w:t>ii</w:t>
      </w:r>
      <w:proofErr w:type="spellEnd"/>
      <w:r w:rsidRPr="00821123">
        <w:rPr>
          <w:rFonts w:ascii="Verdana" w:hAnsi="Verdana" w:cs="Arial"/>
          <w:sz w:val="20"/>
          <w:szCs w:val="20"/>
          <w:lang w:val="es-ES"/>
        </w:rPr>
        <w:t>) inhabilidades-requisito. En el primer grupo se encuentran las inhabilidades que surgen como consecuencia de un proceso sancionatorio, en los ámbitos penal, disciplinario, contravencional o de pérdida de investidura. En el segundo grupo están aquellas condiciones propias de la persona y garantizan la moralidad, la imparcialidad, la eficacia y la transparencia</w:t>
      </w:r>
      <w:r>
        <w:rPr>
          <w:rFonts w:ascii="Verdana" w:hAnsi="Verdana" w:cs="Arial"/>
          <w:sz w:val="20"/>
          <w:szCs w:val="20"/>
          <w:lang w:val="es-ES"/>
        </w:rPr>
        <w:t>.</w:t>
      </w:r>
    </w:p>
    <w:p w14:paraId="51E31FA8" w14:textId="77777777" w:rsidR="00821123" w:rsidRDefault="00821123" w:rsidP="009E40F5">
      <w:pPr>
        <w:spacing w:after="0" w:line="240" w:lineRule="auto"/>
        <w:jc w:val="both"/>
        <w:rPr>
          <w:rFonts w:ascii="Verdana" w:hAnsi="Verdana" w:cs="Arial"/>
          <w:sz w:val="20"/>
          <w:szCs w:val="20"/>
          <w:lang w:val="es-ES"/>
        </w:rPr>
      </w:pPr>
    </w:p>
    <w:p w14:paraId="7559F517" w14:textId="77777777" w:rsidR="00BC637A" w:rsidRDefault="00BC637A" w:rsidP="009E40F5">
      <w:pPr>
        <w:spacing w:after="0" w:line="240" w:lineRule="auto"/>
        <w:jc w:val="both"/>
        <w:rPr>
          <w:rFonts w:ascii="Verdana" w:hAnsi="Verdana" w:cs="Arial"/>
          <w:b/>
          <w:bCs/>
          <w:sz w:val="20"/>
          <w:szCs w:val="20"/>
          <w:lang w:val="es-ES"/>
        </w:rPr>
      </w:pPr>
      <w:r>
        <w:rPr>
          <w:rFonts w:ascii="Verdana" w:hAnsi="Verdana" w:cs="Arial"/>
          <w:b/>
          <w:bCs/>
          <w:sz w:val="20"/>
          <w:szCs w:val="20"/>
          <w:lang w:val="es-ES"/>
        </w:rPr>
        <w:t xml:space="preserve">RÉGIMEN DE INHABILIDADES E INCOMPATIBILIDADES – Carácter restrictivo </w:t>
      </w:r>
    </w:p>
    <w:p w14:paraId="35AD332F" w14:textId="77777777" w:rsidR="00BC637A" w:rsidRDefault="00BC637A" w:rsidP="009E40F5">
      <w:pPr>
        <w:spacing w:after="0" w:line="240" w:lineRule="auto"/>
        <w:jc w:val="both"/>
        <w:rPr>
          <w:rFonts w:ascii="Verdana" w:hAnsi="Verdana" w:cs="Arial"/>
          <w:b/>
          <w:bCs/>
          <w:sz w:val="20"/>
          <w:szCs w:val="20"/>
          <w:lang w:val="es-ES"/>
        </w:rPr>
      </w:pPr>
    </w:p>
    <w:p w14:paraId="509170A2" w14:textId="68A04630" w:rsidR="00BC637A" w:rsidRDefault="00BC637A" w:rsidP="00BC637A">
      <w:pPr>
        <w:spacing w:after="0" w:line="240" w:lineRule="auto"/>
        <w:jc w:val="both"/>
        <w:rPr>
          <w:rFonts w:ascii="Verdana" w:eastAsia="Calibri" w:hAnsi="Verdana" w:cs="Arial"/>
          <w:sz w:val="20"/>
          <w:szCs w:val="20"/>
          <w:lang w:val="es-ES"/>
        </w:rPr>
      </w:pPr>
      <w:r w:rsidRPr="00BC637A">
        <w:rPr>
          <w:rFonts w:ascii="Verdana" w:eastAsia="Calibri" w:hAnsi="Verdana" w:cs="Arial"/>
          <w:sz w:val="20"/>
          <w:szCs w:val="20"/>
          <w:lang w:val="es-ES"/>
        </w:rPr>
        <w:t xml:space="preserve">Ahora bien, las inhabilidades e incompatibilidades al ser restricciones o límites especiales a la capacidad para presentar ofertas y celebrar contratos estatales, sólo pueden tipificarse en la ley, es decir, deben satisfacer el principio de legalidad, y su interpretación debe ser </w:t>
      </w:r>
      <w:r w:rsidRPr="00BC637A">
        <w:rPr>
          <w:rFonts w:ascii="Verdana" w:eastAsia="Calibri" w:hAnsi="Verdana" w:cs="Arial"/>
          <w:i/>
          <w:iCs/>
          <w:sz w:val="20"/>
          <w:szCs w:val="20"/>
          <w:lang w:val="es-ES"/>
        </w:rPr>
        <w:t>restrictiva</w:t>
      </w:r>
      <w:r w:rsidRPr="00BC637A">
        <w:rPr>
          <w:rFonts w:ascii="Verdana" w:eastAsia="Calibri" w:hAnsi="Verdana" w:cs="Arial"/>
          <w:sz w:val="20"/>
          <w:szCs w:val="20"/>
          <w:lang w:val="es-ES"/>
        </w:rPr>
        <w:t xml:space="preserve">. En efecto,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libre concurrencia y el ejercicio de la profesión u oficio. Esta ha sido la postura de la jurisprudencia, tanto de la Corte Constitucional como de la Sección Tercera del Consejo de Estado. </w:t>
      </w:r>
    </w:p>
    <w:p w14:paraId="33391951" w14:textId="77777777" w:rsidR="00F71D8D" w:rsidRDefault="00F71D8D" w:rsidP="00BC637A">
      <w:pPr>
        <w:spacing w:after="0" w:line="240" w:lineRule="auto"/>
        <w:jc w:val="both"/>
        <w:rPr>
          <w:rFonts w:ascii="Verdana" w:eastAsia="Calibri" w:hAnsi="Verdana" w:cs="Arial"/>
          <w:sz w:val="20"/>
          <w:szCs w:val="20"/>
          <w:lang w:val="es-ES"/>
        </w:rPr>
      </w:pPr>
    </w:p>
    <w:p w14:paraId="2B005A8C" w14:textId="5789CDF7" w:rsidR="00F71D8D" w:rsidRPr="00F71D8D" w:rsidRDefault="00F71D8D" w:rsidP="00BC637A">
      <w:pPr>
        <w:spacing w:after="0" w:line="240" w:lineRule="auto"/>
        <w:jc w:val="both"/>
        <w:rPr>
          <w:rFonts w:ascii="Verdana" w:eastAsia="Calibri" w:hAnsi="Verdana" w:cs="Arial"/>
          <w:b/>
          <w:bCs/>
          <w:sz w:val="20"/>
          <w:szCs w:val="20"/>
          <w:lang w:val="es-ES"/>
        </w:rPr>
      </w:pPr>
      <w:r w:rsidRPr="00F71D8D">
        <w:rPr>
          <w:rFonts w:ascii="Verdana" w:eastAsia="Calibri" w:hAnsi="Verdana" w:cs="Arial"/>
          <w:b/>
          <w:bCs/>
          <w:sz w:val="20"/>
          <w:szCs w:val="20"/>
          <w:lang w:val="es-ES"/>
        </w:rPr>
        <w:t>DONACIÓN DE DISEÑOS – No es una inhabilidad e incompatibilidad – Excepción – Contratos interadministrativos</w:t>
      </w:r>
      <w:r>
        <w:rPr>
          <w:rFonts w:ascii="Verdana" w:eastAsia="Calibri" w:hAnsi="Verdana" w:cs="Arial"/>
          <w:b/>
          <w:bCs/>
          <w:sz w:val="20"/>
          <w:szCs w:val="20"/>
          <w:lang w:val="es-ES"/>
        </w:rPr>
        <w:t xml:space="preserve"> – Subcontratación – Participación de personas en elaboración de estudios y diseños </w:t>
      </w:r>
      <w:r w:rsidRPr="00F71D8D">
        <w:rPr>
          <w:rFonts w:ascii="Verdana" w:eastAsia="Calibri" w:hAnsi="Verdana" w:cs="Arial"/>
          <w:b/>
          <w:bCs/>
          <w:sz w:val="20"/>
          <w:szCs w:val="20"/>
          <w:lang w:val="es-ES"/>
        </w:rPr>
        <w:t xml:space="preserve"> </w:t>
      </w:r>
    </w:p>
    <w:p w14:paraId="58E02EA9" w14:textId="77777777" w:rsidR="00F71D8D" w:rsidRPr="00F71D8D" w:rsidRDefault="00F71D8D" w:rsidP="00F71D8D">
      <w:pPr>
        <w:spacing w:after="0" w:line="240" w:lineRule="auto"/>
        <w:jc w:val="both"/>
        <w:rPr>
          <w:rFonts w:ascii="Verdana" w:eastAsia="Calibri" w:hAnsi="Verdana" w:cs="Arial"/>
          <w:sz w:val="20"/>
          <w:szCs w:val="20"/>
          <w:lang w:val="es-ES"/>
        </w:rPr>
      </w:pPr>
    </w:p>
    <w:p w14:paraId="2EC41769" w14:textId="77777777" w:rsidR="00F71D8D" w:rsidRPr="00F71D8D" w:rsidRDefault="00F71D8D" w:rsidP="00F71D8D">
      <w:pPr>
        <w:spacing w:after="0" w:line="240" w:lineRule="auto"/>
        <w:jc w:val="both"/>
        <w:rPr>
          <w:rFonts w:ascii="Verdana" w:hAnsi="Verdana" w:cs="Arial"/>
          <w:bCs/>
          <w:color w:val="000000" w:themeColor="text1"/>
          <w:sz w:val="20"/>
          <w:szCs w:val="20"/>
          <w:lang w:val="es-ES_tradnl"/>
        </w:rPr>
      </w:pPr>
      <w:r w:rsidRPr="00F71D8D">
        <w:rPr>
          <w:rFonts w:ascii="Verdana" w:hAnsi="Verdana" w:cs="Arial"/>
          <w:bCs/>
          <w:color w:val="000000" w:themeColor="text1"/>
          <w:sz w:val="20"/>
          <w:szCs w:val="20"/>
          <w:lang w:val="es-ES_tradnl"/>
        </w:rPr>
        <w:t>Revisadas las causales de inhabilidad e incompatibilidad previstas en el artículo 8 de la Ley 80 de 1993, dicho supuesto no constituye una limitante de la capacidad legal. En principio, dado que dichas causales son taxativas y de interpretación restrictiva, el supuesto mencionado no genera inhabilidad o incompatibilidad para contratar con el Estado.</w:t>
      </w:r>
    </w:p>
    <w:p w14:paraId="0823F8A2" w14:textId="77777777" w:rsidR="00F71D8D" w:rsidRDefault="00F71D8D" w:rsidP="00F71D8D">
      <w:pPr>
        <w:spacing w:after="0" w:line="240" w:lineRule="auto"/>
        <w:jc w:val="both"/>
        <w:rPr>
          <w:rFonts w:ascii="Verdana" w:hAnsi="Verdana" w:cs="Arial"/>
          <w:color w:val="000000" w:themeColor="text1"/>
          <w:sz w:val="20"/>
          <w:szCs w:val="20"/>
          <w:lang w:val="es-ES"/>
        </w:rPr>
      </w:pPr>
    </w:p>
    <w:p w14:paraId="33C2EEF6" w14:textId="7401E7BB" w:rsidR="00F71D8D" w:rsidRDefault="00F71D8D" w:rsidP="00F71D8D">
      <w:pPr>
        <w:spacing w:after="0" w:line="240" w:lineRule="auto"/>
        <w:jc w:val="both"/>
        <w:rPr>
          <w:rFonts w:ascii="Verdana" w:hAnsi="Verdana" w:cs="Arial"/>
          <w:color w:val="000000" w:themeColor="text1"/>
          <w:sz w:val="20"/>
          <w:szCs w:val="20"/>
          <w:lang w:val="es-ES"/>
        </w:rPr>
      </w:pPr>
      <w:r w:rsidRPr="00F71D8D">
        <w:rPr>
          <w:rFonts w:ascii="Verdana" w:hAnsi="Verdana" w:cs="Arial"/>
          <w:color w:val="000000" w:themeColor="text1"/>
          <w:sz w:val="20"/>
          <w:szCs w:val="20"/>
          <w:lang w:val="es-ES"/>
        </w:rPr>
        <w:t>Esta circunstancia solo está prohibida en los contratos interadministrativos, ya que la Ley 1150 de 2007, en el artículo 2, numeral 4º, literal c), en el cuarto inciso, establece: «En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 Pero esta prohibición no puede extenderse a los otros casos de celebración de contratos de obra, porque, como se anotó, las causales de inhabilidad e incompatibilidad no admiten una interpretación amplia o teleológica.</w:t>
      </w:r>
    </w:p>
    <w:p w14:paraId="5172E45A" w14:textId="77777777" w:rsidR="00F71D8D" w:rsidRDefault="00F71D8D" w:rsidP="00F71D8D">
      <w:pPr>
        <w:spacing w:after="0" w:line="240" w:lineRule="auto"/>
        <w:jc w:val="both"/>
        <w:rPr>
          <w:rFonts w:ascii="Verdana" w:hAnsi="Verdana" w:cs="Arial"/>
          <w:color w:val="000000" w:themeColor="text1"/>
          <w:sz w:val="20"/>
          <w:szCs w:val="20"/>
          <w:lang w:val="es-ES"/>
        </w:rPr>
      </w:pPr>
    </w:p>
    <w:p w14:paraId="52CA6401" w14:textId="4894838F" w:rsidR="00F71D8D" w:rsidRPr="00F71D8D" w:rsidRDefault="00F71D8D" w:rsidP="00F71D8D">
      <w:pPr>
        <w:spacing w:after="0" w:line="240" w:lineRule="auto"/>
        <w:jc w:val="both"/>
        <w:rPr>
          <w:rFonts w:ascii="Verdana" w:hAnsi="Verdana" w:cs="Arial"/>
          <w:b/>
          <w:bCs/>
          <w:color w:val="000000" w:themeColor="text1"/>
          <w:sz w:val="20"/>
          <w:szCs w:val="20"/>
          <w:lang w:val="es-ES"/>
        </w:rPr>
      </w:pPr>
      <w:r w:rsidRPr="00F71D8D">
        <w:rPr>
          <w:rFonts w:ascii="Verdana" w:hAnsi="Verdana" w:cs="Arial"/>
          <w:b/>
          <w:bCs/>
          <w:color w:val="000000" w:themeColor="text1"/>
          <w:sz w:val="20"/>
          <w:szCs w:val="20"/>
          <w:lang w:val="es-ES"/>
        </w:rPr>
        <w:lastRenderedPageBreak/>
        <w:t xml:space="preserve">LEY 842 DE 2023 – Ejercicio de la ingeniería – Profesiones afines – Prohibiciones – Artículo 44 literal a – Asesores </w:t>
      </w:r>
    </w:p>
    <w:p w14:paraId="67CBE691" w14:textId="77777777" w:rsidR="00F71D8D" w:rsidRDefault="00F71D8D" w:rsidP="00F71D8D">
      <w:pPr>
        <w:spacing w:after="0" w:line="240" w:lineRule="auto"/>
        <w:jc w:val="both"/>
        <w:rPr>
          <w:rFonts w:ascii="Verdana" w:hAnsi="Verdana" w:cs="Arial"/>
          <w:color w:val="000000" w:themeColor="text1"/>
          <w:sz w:val="20"/>
          <w:szCs w:val="20"/>
          <w:lang w:val="es-ES"/>
        </w:rPr>
      </w:pPr>
    </w:p>
    <w:p w14:paraId="145931BA" w14:textId="0A3F510A" w:rsidR="00F71D8D" w:rsidRPr="00F71D8D" w:rsidRDefault="00F71D8D" w:rsidP="00F71D8D">
      <w:pPr>
        <w:spacing w:after="0" w:line="240" w:lineRule="auto"/>
        <w:jc w:val="both"/>
        <w:rPr>
          <w:rFonts w:ascii="Verdana" w:hAnsi="Verdana" w:cs="Arial"/>
          <w:bCs/>
          <w:color w:val="000000" w:themeColor="text1"/>
          <w:sz w:val="20"/>
          <w:szCs w:val="20"/>
          <w:lang w:val="es-ES_tradnl"/>
        </w:rPr>
      </w:pPr>
      <w:r>
        <w:rPr>
          <w:rFonts w:ascii="Verdana" w:hAnsi="Verdana" w:cs="Arial"/>
          <w:bCs/>
          <w:color w:val="000000" w:themeColor="text1"/>
          <w:sz w:val="20"/>
          <w:szCs w:val="20"/>
          <w:lang w:val="es-ES_tradnl"/>
        </w:rPr>
        <w:t>C</w:t>
      </w:r>
      <w:r w:rsidRPr="00F71D8D">
        <w:rPr>
          <w:rFonts w:ascii="Verdana" w:hAnsi="Verdana" w:cs="Arial"/>
          <w:bCs/>
          <w:color w:val="000000" w:themeColor="text1"/>
          <w:sz w:val="20"/>
          <w:szCs w:val="20"/>
          <w:lang w:val="es-ES_tradnl"/>
        </w:rPr>
        <w:t xml:space="preserve">onviene referirse, de manera especial, a la prohibición prevista en el literal a) del artículo 44 de dicha Ley, según la cual: “Los </w:t>
      </w:r>
      <w:r w:rsidRPr="00F71D8D">
        <w:rPr>
          <w:rFonts w:ascii="Verdana" w:hAnsi="Verdana" w:cs="Arial"/>
          <w:bCs/>
          <w:i/>
          <w:iCs/>
          <w:color w:val="000000" w:themeColor="text1"/>
          <w:sz w:val="20"/>
          <w:szCs w:val="20"/>
          <w:lang w:val="es-ES_tradnl"/>
        </w:rPr>
        <w:t>profesionales</w:t>
      </w:r>
      <w:r w:rsidRPr="00F71D8D">
        <w:rPr>
          <w:rFonts w:ascii="Verdana" w:hAnsi="Verdana" w:cs="Arial"/>
          <w:bCs/>
          <w:color w:val="000000" w:themeColor="text1"/>
          <w:sz w:val="20"/>
          <w:szCs w:val="20"/>
          <w:lang w:val="es-ES_tradnl"/>
        </w:rPr>
        <w:t xml:space="preserve"> que hayan actuado como asesores de la parte contratante en un concurso o licitación deberán abstenerse de intervenir directa o indirectamente en las tareas profesionales requeridas para el desarrollo del trabajo que dio lugar al mismo, salvo que su intervención estuviese establecida en las bases del concurso o licitación” (cursiva fuera de texto).</w:t>
      </w:r>
    </w:p>
    <w:p w14:paraId="5ED04C76" w14:textId="77777777" w:rsidR="00F71D8D" w:rsidRDefault="00F71D8D" w:rsidP="00F71D8D">
      <w:pPr>
        <w:spacing w:after="0" w:line="240" w:lineRule="auto"/>
        <w:jc w:val="both"/>
        <w:rPr>
          <w:rFonts w:ascii="Verdana" w:hAnsi="Verdana" w:cs="Arial"/>
          <w:bCs/>
          <w:color w:val="000000" w:themeColor="text1"/>
          <w:sz w:val="20"/>
          <w:szCs w:val="20"/>
          <w:lang w:val="es-ES_tradnl"/>
        </w:rPr>
      </w:pPr>
    </w:p>
    <w:p w14:paraId="3CD5795F" w14:textId="5BBF7004" w:rsidR="00F71D8D" w:rsidRDefault="00F71D8D" w:rsidP="00F71D8D">
      <w:pPr>
        <w:spacing w:after="0" w:line="240" w:lineRule="auto"/>
        <w:jc w:val="both"/>
        <w:rPr>
          <w:rFonts w:ascii="Verdana" w:hAnsi="Verdana" w:cs="Arial"/>
          <w:bCs/>
          <w:color w:val="000000" w:themeColor="text1"/>
          <w:sz w:val="20"/>
          <w:szCs w:val="20"/>
          <w:lang w:val="es-ES_tradnl"/>
        </w:rPr>
      </w:pPr>
      <w:r w:rsidRPr="00F71D8D">
        <w:rPr>
          <w:rFonts w:ascii="Verdana" w:hAnsi="Verdana" w:cs="Arial"/>
          <w:bCs/>
          <w:color w:val="000000" w:themeColor="text1"/>
          <w:sz w:val="20"/>
          <w:szCs w:val="20"/>
          <w:lang w:val="es-ES_tradnl"/>
        </w:rPr>
        <w:t xml:space="preserve">Como se observa, esta norma prohíbe que el profesional que ha actuado como </w:t>
      </w:r>
      <w:r w:rsidRPr="00F71D8D">
        <w:rPr>
          <w:rFonts w:ascii="Verdana" w:hAnsi="Verdana" w:cs="Arial"/>
          <w:bCs/>
          <w:i/>
          <w:iCs/>
          <w:color w:val="000000" w:themeColor="text1"/>
          <w:sz w:val="20"/>
          <w:szCs w:val="20"/>
          <w:lang w:val="es-ES_tradnl"/>
        </w:rPr>
        <w:t>asesor</w:t>
      </w:r>
      <w:r w:rsidRPr="00F71D8D">
        <w:rPr>
          <w:rFonts w:ascii="Verdana" w:hAnsi="Verdana" w:cs="Arial"/>
          <w:bCs/>
          <w:color w:val="000000" w:themeColor="text1"/>
          <w:sz w:val="20"/>
          <w:szCs w:val="20"/>
          <w:lang w:val="es-ES_tradnl"/>
        </w:rPr>
        <w:t xml:space="preserve"> de quien está interesado en contratar un servicio participe en las actividades que serán contratadas, salvo que así lo permitan las condiciones de la convocatoria. </w:t>
      </w:r>
      <w:r>
        <w:rPr>
          <w:rFonts w:ascii="Verdana" w:hAnsi="Verdana" w:cs="Arial"/>
          <w:bCs/>
          <w:color w:val="000000" w:themeColor="text1"/>
          <w:sz w:val="20"/>
          <w:szCs w:val="20"/>
          <w:lang w:val="es-ES_tradnl"/>
        </w:rPr>
        <w:t xml:space="preserve">[…] </w:t>
      </w:r>
      <w:r w:rsidRPr="00F71D8D">
        <w:rPr>
          <w:rFonts w:ascii="Verdana" w:hAnsi="Verdana" w:cs="Arial"/>
          <w:bCs/>
          <w:color w:val="000000" w:themeColor="text1"/>
          <w:sz w:val="20"/>
          <w:szCs w:val="20"/>
          <w:lang w:val="es-ES_tradnl"/>
        </w:rPr>
        <w:t>no todo el que celebra un contrato de consultoría con una entidad estatal lo hace para asesorarla, ya que, normativamente, el objeto de esta tipología contractual incluye actividades diversas, como los estudios y diseños, los estudios para la ejecución de proyectos de inversión, los estudios de diagnóstico, la interventoría, la gerencia de obra o de proyectos y la asesoría, entre otras.</w:t>
      </w:r>
    </w:p>
    <w:p w14:paraId="5CF289EF" w14:textId="77777777" w:rsidR="00F71D8D" w:rsidRDefault="00F71D8D" w:rsidP="00F71D8D">
      <w:pPr>
        <w:spacing w:after="0" w:line="240" w:lineRule="auto"/>
        <w:jc w:val="both"/>
        <w:rPr>
          <w:rFonts w:ascii="Verdana" w:hAnsi="Verdana" w:cs="Arial"/>
          <w:bCs/>
          <w:color w:val="000000" w:themeColor="text1"/>
          <w:sz w:val="20"/>
          <w:szCs w:val="20"/>
          <w:lang w:val="es-ES_tradnl"/>
        </w:rPr>
      </w:pPr>
    </w:p>
    <w:p w14:paraId="4B256A8C" w14:textId="36A8B8B8" w:rsidR="00F71D8D" w:rsidRPr="00F71D8D" w:rsidRDefault="00F71D8D" w:rsidP="00F71D8D">
      <w:pPr>
        <w:tabs>
          <w:tab w:val="left" w:pos="426"/>
        </w:tabs>
        <w:spacing w:after="0" w:line="240" w:lineRule="auto"/>
        <w:jc w:val="both"/>
        <w:rPr>
          <w:rFonts w:ascii="Verdana" w:hAnsi="Verdana" w:cs="Arial"/>
          <w:bCs/>
          <w:color w:val="000000" w:themeColor="text1"/>
          <w:sz w:val="20"/>
          <w:szCs w:val="20"/>
          <w:lang w:val="es-ES_tradnl"/>
        </w:rPr>
      </w:pPr>
      <w:r w:rsidRPr="00F71D8D">
        <w:rPr>
          <w:rFonts w:ascii="Verdana" w:hAnsi="Verdana" w:cs="Arial"/>
          <w:bCs/>
          <w:color w:val="000000" w:themeColor="text1"/>
          <w:sz w:val="20"/>
          <w:szCs w:val="20"/>
          <w:lang w:val="es-ES_tradnl"/>
        </w:rPr>
        <w:t xml:space="preserve">En esta medida lo que prohíbe es que los profesionales que asesoraron a la entidad contratante en el correspondiente procedimiento de selección participen luego en la ejecución de las labores que motivaron la realización de la convocatoria. Por ejemplo, que quien actuó como asesor en un concurso de méritos de arquitectura, trabaje posteriormente en la elaboración del diseño arquitectónico. Pero la norma no proscribe que quien donó los diseños a una entidad contratante, posteriormente no pueda laborar a través de un contrato de trabajo para el contratista que ejecute la obra. </w:t>
      </w:r>
    </w:p>
    <w:p w14:paraId="74FEC5CC" w14:textId="77777777" w:rsidR="00F71D8D" w:rsidRDefault="00F71D8D" w:rsidP="00F71D8D">
      <w:pPr>
        <w:spacing w:after="0" w:line="240" w:lineRule="auto"/>
        <w:jc w:val="both"/>
        <w:rPr>
          <w:rFonts w:ascii="Verdana" w:hAnsi="Verdana" w:cs="Arial"/>
          <w:bCs/>
          <w:color w:val="000000" w:themeColor="text1"/>
          <w:sz w:val="20"/>
          <w:szCs w:val="20"/>
          <w:lang w:val="es-ES_tradnl"/>
        </w:rPr>
      </w:pPr>
    </w:p>
    <w:p w14:paraId="5D1FE503" w14:textId="01FAC251" w:rsidR="00F71D8D" w:rsidRPr="00F71D8D" w:rsidRDefault="00F71D8D" w:rsidP="00F71D8D">
      <w:pPr>
        <w:spacing w:after="0" w:line="240" w:lineRule="auto"/>
        <w:jc w:val="both"/>
        <w:rPr>
          <w:rFonts w:ascii="Verdana" w:hAnsi="Verdana" w:cs="Arial"/>
          <w:b/>
          <w:color w:val="000000" w:themeColor="text1"/>
          <w:sz w:val="20"/>
          <w:szCs w:val="20"/>
          <w:lang w:val="es-ES_tradnl"/>
        </w:rPr>
      </w:pPr>
      <w:r w:rsidRPr="00F71D8D">
        <w:rPr>
          <w:rFonts w:ascii="Verdana" w:hAnsi="Verdana" w:cs="Arial"/>
          <w:b/>
          <w:color w:val="000000" w:themeColor="text1"/>
          <w:sz w:val="20"/>
          <w:szCs w:val="20"/>
          <w:lang w:val="es-ES_tradnl"/>
        </w:rPr>
        <w:t xml:space="preserve">CONFLICTO DE INTERESES – Concepto </w:t>
      </w:r>
      <w:r>
        <w:rPr>
          <w:rFonts w:ascii="Verdana" w:hAnsi="Verdana" w:cs="Arial"/>
          <w:b/>
          <w:color w:val="000000" w:themeColor="text1"/>
          <w:sz w:val="20"/>
          <w:szCs w:val="20"/>
          <w:lang w:val="es-ES_tradnl"/>
        </w:rPr>
        <w:t xml:space="preserve">– Servidores públicos </w:t>
      </w:r>
    </w:p>
    <w:p w14:paraId="79AA1616" w14:textId="77777777" w:rsidR="00F71D8D" w:rsidRDefault="00F71D8D" w:rsidP="00F71D8D">
      <w:pPr>
        <w:spacing w:after="0" w:line="240" w:lineRule="auto"/>
        <w:jc w:val="both"/>
        <w:rPr>
          <w:rFonts w:ascii="Verdana" w:hAnsi="Verdana" w:cs="Arial"/>
          <w:bCs/>
          <w:color w:val="000000" w:themeColor="text1"/>
          <w:sz w:val="20"/>
          <w:szCs w:val="20"/>
          <w:lang w:val="es-ES_tradnl"/>
        </w:rPr>
      </w:pPr>
    </w:p>
    <w:p w14:paraId="5BC10C8D" w14:textId="4B1F8749" w:rsidR="00F71D8D" w:rsidRDefault="00F71D8D" w:rsidP="00F71D8D">
      <w:pPr>
        <w:spacing w:after="0" w:line="240" w:lineRule="auto"/>
        <w:jc w:val="both"/>
        <w:rPr>
          <w:rFonts w:ascii="Verdana" w:eastAsia="Calibri" w:hAnsi="Verdana" w:cs="Arial"/>
          <w:color w:val="000000" w:themeColor="text1"/>
          <w:sz w:val="20"/>
          <w:szCs w:val="20"/>
          <w:lang w:val="es-ES_tradnl"/>
        </w:rPr>
      </w:pPr>
      <w:r>
        <w:rPr>
          <w:rFonts w:ascii="Verdana" w:eastAsia="Calibri" w:hAnsi="Verdana" w:cs="Arial"/>
          <w:color w:val="000000" w:themeColor="text1"/>
          <w:sz w:val="20"/>
          <w:szCs w:val="20"/>
          <w:lang w:val="es-ES_tradnl"/>
        </w:rPr>
        <w:t>E</w:t>
      </w:r>
      <w:r w:rsidRPr="00F71D8D">
        <w:rPr>
          <w:rFonts w:ascii="Verdana" w:eastAsia="Calibri" w:hAnsi="Verdana" w:cs="Arial"/>
          <w:color w:val="000000" w:themeColor="text1"/>
          <w:sz w:val="20"/>
          <w:szCs w:val="20"/>
          <w:lang w:val="es-ES_tradnl"/>
        </w:rPr>
        <w:t xml:space="preserve">l régimen de los </w:t>
      </w:r>
      <w:r w:rsidRPr="00F71D8D">
        <w:rPr>
          <w:rFonts w:ascii="Verdana" w:eastAsia="Calibri" w:hAnsi="Verdana" w:cs="Arial"/>
          <w:i/>
          <w:color w:val="000000" w:themeColor="text1"/>
          <w:sz w:val="20"/>
          <w:szCs w:val="20"/>
          <w:lang w:val="es-ES_tradnl"/>
        </w:rPr>
        <w:t xml:space="preserve">conflictos de interés </w:t>
      </w:r>
      <w:r w:rsidRPr="00F71D8D">
        <w:rPr>
          <w:rFonts w:ascii="Verdana" w:eastAsia="Calibri" w:hAnsi="Verdana" w:cs="Arial"/>
          <w:color w:val="000000" w:themeColor="text1"/>
          <w:sz w:val="20"/>
          <w:szCs w:val="20"/>
          <w:lang w:val="es-ES_tradnl"/>
        </w:rPr>
        <w:t>tiene como objetivo la prevalencia del bien común sobre el particular, razón por la cual se configuran cuando los servidores públicos actúan influenciados por consideraciones personales que colisionan con el deber de preservar su independencia e imparcialidad. En este sentido, se definen como la ocurrencia de intereses antagónicos que afectan la transparencia de las decisiones, al implicar –en detrimento del interés general– el aprovechamiento personal, familiar o particular</w:t>
      </w:r>
      <w:r w:rsidR="00D6658B">
        <w:rPr>
          <w:rFonts w:ascii="Verdana" w:eastAsia="Calibri" w:hAnsi="Verdana" w:cs="Arial"/>
          <w:color w:val="000000" w:themeColor="text1"/>
          <w:sz w:val="20"/>
          <w:szCs w:val="20"/>
          <w:lang w:val="es-ES_tradnl"/>
        </w:rPr>
        <w:t>.</w:t>
      </w:r>
    </w:p>
    <w:p w14:paraId="75F05E8C" w14:textId="77777777" w:rsidR="00D6658B" w:rsidRDefault="00D6658B" w:rsidP="00F71D8D">
      <w:pPr>
        <w:spacing w:after="0" w:line="240" w:lineRule="auto"/>
        <w:jc w:val="both"/>
        <w:rPr>
          <w:rFonts w:ascii="Verdana" w:eastAsia="Calibri" w:hAnsi="Verdana" w:cs="Arial"/>
          <w:color w:val="000000" w:themeColor="text1"/>
          <w:sz w:val="20"/>
          <w:szCs w:val="20"/>
          <w:lang w:val="es-ES_tradnl"/>
        </w:rPr>
      </w:pPr>
    </w:p>
    <w:p w14:paraId="32F452B2" w14:textId="68BC3190" w:rsidR="00D6658B" w:rsidRPr="00D6658B" w:rsidRDefault="00D6658B" w:rsidP="00F71D8D">
      <w:pPr>
        <w:spacing w:after="0" w:line="240" w:lineRule="auto"/>
        <w:jc w:val="both"/>
        <w:rPr>
          <w:rFonts w:ascii="Verdana" w:hAnsi="Verdana" w:cs="Arial"/>
          <w:b/>
          <w:color w:val="000000" w:themeColor="text1"/>
          <w:sz w:val="20"/>
          <w:szCs w:val="20"/>
          <w:lang w:val="es-ES_tradnl"/>
        </w:rPr>
      </w:pPr>
      <w:r w:rsidRPr="00D6658B">
        <w:rPr>
          <w:rFonts w:ascii="Verdana" w:hAnsi="Verdana" w:cs="Arial"/>
          <w:b/>
          <w:color w:val="000000" w:themeColor="text1"/>
          <w:sz w:val="20"/>
          <w:szCs w:val="20"/>
          <w:lang w:val="es-ES_tradnl"/>
        </w:rPr>
        <w:t xml:space="preserve">CONFLICTO DE INTERESES – Normatividad </w:t>
      </w:r>
    </w:p>
    <w:p w14:paraId="4E2E54F6" w14:textId="77777777" w:rsidR="00D6658B" w:rsidRDefault="00D6658B" w:rsidP="00F71D8D">
      <w:pPr>
        <w:spacing w:after="0" w:line="240" w:lineRule="auto"/>
        <w:jc w:val="both"/>
        <w:rPr>
          <w:rFonts w:ascii="Verdana" w:hAnsi="Verdana" w:cs="Arial"/>
          <w:bCs/>
          <w:color w:val="000000" w:themeColor="text1"/>
          <w:sz w:val="20"/>
          <w:szCs w:val="20"/>
          <w:lang w:val="es-ES_tradnl"/>
        </w:rPr>
      </w:pPr>
    </w:p>
    <w:p w14:paraId="7780FF22" w14:textId="104286DC" w:rsidR="00D6658B" w:rsidRDefault="00D6658B" w:rsidP="00D6658B">
      <w:pPr>
        <w:spacing w:after="0" w:line="240" w:lineRule="auto"/>
        <w:jc w:val="both"/>
        <w:rPr>
          <w:rFonts w:ascii="Verdana" w:eastAsia="Calibri" w:hAnsi="Verdana" w:cs="Arial"/>
          <w:color w:val="000000" w:themeColor="text1"/>
          <w:sz w:val="20"/>
          <w:szCs w:val="20"/>
          <w:lang w:val="es-ES_tradnl"/>
        </w:rPr>
      </w:pPr>
      <w:r>
        <w:rPr>
          <w:rFonts w:ascii="Verdana" w:eastAsia="Calibri" w:hAnsi="Verdana" w:cs="Arial"/>
          <w:color w:val="000000" w:themeColor="text1"/>
          <w:sz w:val="20"/>
          <w:szCs w:val="20"/>
          <w:lang w:val="es-ES_tradnl"/>
        </w:rPr>
        <w:t>[…] e</w:t>
      </w:r>
      <w:r w:rsidRPr="00D6658B">
        <w:rPr>
          <w:rFonts w:ascii="Verdana" w:eastAsia="Calibri" w:hAnsi="Verdana" w:cs="Arial"/>
          <w:color w:val="000000" w:themeColor="text1"/>
          <w:sz w:val="20"/>
          <w:szCs w:val="20"/>
          <w:lang w:val="es-ES_tradnl"/>
        </w:rPr>
        <w:t xml:space="preserve">l EGCAP no establece una noción o causales particulares de conflictos de interés aplicables a los proponentes o contratistas del Estado. En efecto, además de las disposiciones brevemente enunciadas en el párrafo precedente, la Ley 1437 de 2011 establece un régimen de “conflictos de interés  y causales de impedimento y recusación” –artículos 11 y 12–, que si bien aplican en los procedimientos administrativos, en general, incluyendo los de selección de contratistas del Estado, están dirigidos a los servidores públicos que adelantan estas actuaciones en desarrollo de la actividad contractual de la entidad estatal de la cual hacen parte. Por lo anterior, sus destinatarios no son los proponentes o contratistas particulares que participan en el procedimiento de </w:t>
      </w:r>
      <w:r w:rsidRPr="00D6658B">
        <w:rPr>
          <w:rFonts w:ascii="Verdana" w:eastAsia="Calibri" w:hAnsi="Verdana" w:cs="Arial"/>
          <w:color w:val="000000" w:themeColor="text1"/>
          <w:sz w:val="20"/>
          <w:szCs w:val="20"/>
          <w:lang w:val="es-ES_tradnl"/>
        </w:rPr>
        <w:lastRenderedPageBreak/>
        <w:t>selección o celebran el contrato con la entidad estatal, sino los servidores mencionados. En este sentido, en caso de presentarse alguna de las causales establecidas en el artículo 11 del Código de Procedimiento Administrativo o de lo Contencioso Administrativo –en adelante CPACA–, corresponde aplicar el trámite establecido en el artículo 12 de la misma ley.</w:t>
      </w:r>
    </w:p>
    <w:p w14:paraId="201E65A0" w14:textId="1E41B7B6" w:rsidR="00D6658B" w:rsidRDefault="00D6658B" w:rsidP="00D6658B">
      <w:pPr>
        <w:spacing w:after="0" w:line="240" w:lineRule="auto"/>
        <w:jc w:val="both"/>
        <w:rPr>
          <w:rFonts w:ascii="Verdana" w:eastAsia="Calibri" w:hAnsi="Verdana" w:cs="Arial"/>
          <w:color w:val="000000" w:themeColor="text1"/>
          <w:sz w:val="20"/>
          <w:szCs w:val="20"/>
          <w:lang w:val="es-ES_tradnl"/>
        </w:rPr>
      </w:pPr>
    </w:p>
    <w:p w14:paraId="3B4C3A9A" w14:textId="0A158035" w:rsidR="00D6658B" w:rsidRDefault="00D6658B" w:rsidP="00D6658B">
      <w:pPr>
        <w:spacing w:after="0" w:line="240" w:lineRule="auto"/>
        <w:jc w:val="both"/>
        <w:rPr>
          <w:rFonts w:ascii="Verdana" w:eastAsia="Calibri" w:hAnsi="Verdana" w:cs="Arial"/>
          <w:b/>
          <w:bCs/>
          <w:color w:val="000000" w:themeColor="text1"/>
          <w:sz w:val="20"/>
          <w:szCs w:val="20"/>
          <w:lang w:val="es-ES_tradnl"/>
        </w:rPr>
      </w:pPr>
      <w:r w:rsidRPr="00D6658B">
        <w:rPr>
          <w:rFonts w:ascii="Verdana" w:eastAsia="Calibri" w:hAnsi="Verdana" w:cs="Arial"/>
          <w:b/>
          <w:bCs/>
          <w:color w:val="000000" w:themeColor="text1"/>
          <w:sz w:val="20"/>
          <w:szCs w:val="20"/>
          <w:lang w:val="es-ES_tradnl"/>
        </w:rPr>
        <w:t xml:space="preserve">CONFLICTO DE INTERESES – Inclusión en pliego de condiciones </w:t>
      </w:r>
      <w:r>
        <w:rPr>
          <w:rFonts w:ascii="Verdana" w:eastAsia="Calibri" w:hAnsi="Verdana" w:cs="Arial"/>
          <w:b/>
          <w:bCs/>
          <w:color w:val="000000" w:themeColor="text1"/>
          <w:sz w:val="20"/>
          <w:szCs w:val="20"/>
          <w:lang w:val="es-ES_tradnl"/>
        </w:rPr>
        <w:t xml:space="preserve">– Autonomía para las entidades estatales – Criterios de tipicidad y objetividad </w:t>
      </w:r>
    </w:p>
    <w:p w14:paraId="51374D19" w14:textId="77777777" w:rsidR="00D6658B" w:rsidRDefault="00D6658B" w:rsidP="00D6658B">
      <w:pPr>
        <w:spacing w:after="0" w:line="240" w:lineRule="auto"/>
        <w:jc w:val="both"/>
        <w:rPr>
          <w:rFonts w:ascii="Verdana" w:eastAsia="Calibri" w:hAnsi="Verdana" w:cs="Arial"/>
          <w:b/>
          <w:bCs/>
          <w:color w:val="000000" w:themeColor="text1"/>
          <w:sz w:val="20"/>
          <w:szCs w:val="20"/>
          <w:lang w:val="es-ES_tradnl"/>
        </w:rPr>
      </w:pPr>
    </w:p>
    <w:p w14:paraId="33F84496" w14:textId="02DD40A3" w:rsidR="00D6658B" w:rsidRDefault="00D6658B" w:rsidP="00D6658B">
      <w:pPr>
        <w:spacing w:after="0" w:line="240" w:lineRule="auto"/>
        <w:jc w:val="both"/>
        <w:rPr>
          <w:rFonts w:ascii="Verdana" w:eastAsia="Calibri" w:hAnsi="Verdana" w:cs="Arial"/>
          <w:color w:val="000000" w:themeColor="text1"/>
          <w:sz w:val="20"/>
          <w:szCs w:val="20"/>
          <w:lang w:val="es-ES_tradnl"/>
        </w:rPr>
      </w:pPr>
      <w:r w:rsidRPr="00D6658B">
        <w:rPr>
          <w:rFonts w:ascii="Verdana" w:eastAsia="Calibri" w:hAnsi="Verdana" w:cs="Arial"/>
          <w:color w:val="000000" w:themeColor="text1"/>
          <w:sz w:val="20"/>
          <w:szCs w:val="20"/>
          <w:lang w:val="es-ES_tradnl"/>
        </w:rPr>
        <w:t xml:space="preserve">[…] </w:t>
      </w:r>
      <w:r w:rsidRPr="00D6658B">
        <w:rPr>
          <w:rFonts w:ascii="Verdana" w:eastAsia="Calibri" w:hAnsi="Verdana" w:cs="Arial"/>
          <w:color w:val="000000" w:themeColor="text1"/>
          <w:sz w:val="20"/>
          <w:szCs w:val="20"/>
          <w:lang w:val="es-ES_tradnl"/>
        </w:rPr>
        <w:t xml:space="preserve">la Sala de Consulta y Servicio Civil del Consejo de Estado, han reconocido la posibilidad que tienen las entidades estatales de establecer conflictos de interés en sus pliegos de condiciones, diferenciando dichas causales y su regulación de las inhabilidades e incompatibilidades consagradas en el Estatuto General de Contratación de la Administración Pública y demás normas complementarias. En tal sentido, se han establecido algunos requisitos y exigencias que deben cumplir dichas causales de conflicto de interés y sus consecuencias en los procedimientos de selección de contratistas o para la celebración de contratos, precisándose sus consecuencias. </w:t>
      </w:r>
    </w:p>
    <w:p w14:paraId="4F4D5B27" w14:textId="77777777" w:rsidR="00D6658B" w:rsidRDefault="00D6658B" w:rsidP="00D6658B">
      <w:pPr>
        <w:spacing w:after="0" w:line="240" w:lineRule="auto"/>
        <w:jc w:val="both"/>
        <w:rPr>
          <w:rFonts w:ascii="Verdana" w:eastAsia="Calibri" w:hAnsi="Verdana" w:cs="Arial"/>
          <w:color w:val="000000" w:themeColor="text1"/>
          <w:sz w:val="20"/>
          <w:szCs w:val="20"/>
          <w:lang w:val="es-ES_tradnl"/>
        </w:rPr>
      </w:pPr>
    </w:p>
    <w:p w14:paraId="7B158812" w14:textId="4043732B" w:rsidR="00D6658B" w:rsidRPr="00D6658B" w:rsidRDefault="00D6658B" w:rsidP="00D6658B">
      <w:pPr>
        <w:spacing w:after="0" w:line="240" w:lineRule="auto"/>
        <w:jc w:val="both"/>
        <w:rPr>
          <w:rFonts w:ascii="Verdana" w:eastAsia="Calibri" w:hAnsi="Verdana" w:cs="Arial"/>
          <w:color w:val="000000" w:themeColor="text1"/>
          <w:sz w:val="20"/>
          <w:szCs w:val="20"/>
          <w:lang w:val="es-ES_tradnl"/>
        </w:rPr>
      </w:pPr>
      <w:r w:rsidRPr="00D6658B">
        <w:rPr>
          <w:rFonts w:ascii="Verdana" w:eastAsia="Calibri" w:hAnsi="Verdana" w:cs="Arial"/>
          <w:color w:val="000000" w:themeColor="text1"/>
          <w:sz w:val="20"/>
          <w:szCs w:val="20"/>
          <w:lang w:val="es-ES_tradnl"/>
        </w:rPr>
        <w:t>[…]</w:t>
      </w:r>
      <w:r w:rsidRPr="00D6658B">
        <w:rPr>
          <w:rFonts w:ascii="Verdana" w:eastAsia="Calibri" w:hAnsi="Verdana" w:cs="Arial"/>
          <w:sz w:val="20"/>
          <w:szCs w:val="20"/>
          <w:lang w:val="es-ES_tradnl"/>
        </w:rPr>
        <w:t xml:space="preserve"> </w:t>
      </w:r>
      <w:r w:rsidRPr="00D6658B">
        <w:rPr>
          <w:rFonts w:ascii="Verdana" w:eastAsia="Calibri" w:hAnsi="Verdana" w:cs="Arial"/>
          <w:sz w:val="20"/>
          <w:szCs w:val="20"/>
          <w:lang w:val="es-ES_tradnl"/>
        </w:rPr>
        <w:t xml:space="preserve">la Sala de Consulta y Servicio Civil del Consejo de Estado claramente ha admitido la inclusión de causales de conflicto de interés en los pliegos de condiciones o en los contratos de las entidades estatales, siempre y cuando estas satisfagan, entre otros requisitos, los criterios de </w:t>
      </w:r>
      <w:r w:rsidRPr="00D6658B">
        <w:rPr>
          <w:rFonts w:ascii="Verdana" w:eastAsia="Calibri" w:hAnsi="Verdana" w:cs="Arial"/>
          <w:i/>
          <w:iCs/>
          <w:sz w:val="20"/>
          <w:szCs w:val="20"/>
          <w:lang w:val="es-ES_tradnl"/>
        </w:rPr>
        <w:t xml:space="preserve">tipicidad </w:t>
      </w:r>
      <w:r w:rsidRPr="00D6658B">
        <w:rPr>
          <w:rFonts w:ascii="Verdana" w:eastAsia="Calibri" w:hAnsi="Verdana" w:cs="Arial"/>
          <w:sz w:val="20"/>
          <w:szCs w:val="20"/>
          <w:lang w:val="es-ES_tradnl"/>
        </w:rPr>
        <w:t xml:space="preserve">y </w:t>
      </w:r>
      <w:r w:rsidRPr="00D6658B">
        <w:rPr>
          <w:rFonts w:ascii="Verdana" w:eastAsia="Calibri" w:hAnsi="Verdana" w:cs="Arial"/>
          <w:i/>
          <w:iCs/>
          <w:sz w:val="20"/>
          <w:szCs w:val="20"/>
          <w:lang w:val="es-ES_tradnl"/>
        </w:rPr>
        <w:t>objetividad</w:t>
      </w:r>
      <w:r>
        <w:rPr>
          <w:rFonts w:ascii="Verdana" w:eastAsia="Calibri" w:hAnsi="Verdana" w:cs="Arial"/>
          <w:i/>
          <w:iCs/>
          <w:sz w:val="20"/>
          <w:szCs w:val="20"/>
          <w:lang w:val="es-ES_tradnl"/>
        </w:rPr>
        <w:t xml:space="preserve">. </w:t>
      </w:r>
    </w:p>
    <w:p w14:paraId="74508248" w14:textId="77777777" w:rsidR="00D6658B" w:rsidRPr="00D6658B" w:rsidRDefault="00D6658B" w:rsidP="00D6658B">
      <w:pPr>
        <w:spacing w:after="0" w:line="240" w:lineRule="auto"/>
        <w:jc w:val="both"/>
        <w:rPr>
          <w:rFonts w:ascii="Verdana" w:eastAsia="Calibri" w:hAnsi="Verdana" w:cs="Arial"/>
          <w:b/>
          <w:bCs/>
          <w:color w:val="000000" w:themeColor="text1"/>
          <w:sz w:val="20"/>
          <w:szCs w:val="20"/>
          <w:lang w:val="es-ES_tradnl"/>
        </w:rPr>
      </w:pPr>
    </w:p>
    <w:p w14:paraId="0E7E9C7B" w14:textId="77777777" w:rsidR="00D6658B" w:rsidRPr="00D6658B" w:rsidRDefault="00D6658B" w:rsidP="00D6658B">
      <w:pPr>
        <w:spacing w:after="0" w:line="240" w:lineRule="auto"/>
        <w:jc w:val="both"/>
        <w:rPr>
          <w:rFonts w:ascii="Verdana" w:eastAsia="Cambria" w:hAnsi="Verdana" w:cs="Arial"/>
          <w:bCs/>
          <w:sz w:val="20"/>
          <w:szCs w:val="20"/>
        </w:rPr>
      </w:pPr>
    </w:p>
    <w:p w14:paraId="655B9B9C" w14:textId="77777777" w:rsidR="00F71D8D" w:rsidRPr="00D6658B" w:rsidRDefault="00F71D8D" w:rsidP="00F71D8D">
      <w:pPr>
        <w:spacing w:after="0" w:line="240" w:lineRule="auto"/>
        <w:jc w:val="both"/>
        <w:rPr>
          <w:rFonts w:ascii="Verdana" w:hAnsi="Verdana" w:cs="Arial"/>
          <w:bCs/>
          <w:color w:val="000000" w:themeColor="text1"/>
          <w:sz w:val="20"/>
          <w:szCs w:val="20"/>
        </w:rPr>
      </w:pPr>
    </w:p>
    <w:p w14:paraId="6EC4B57B" w14:textId="77777777" w:rsidR="00F71D8D" w:rsidRPr="00F71D8D" w:rsidRDefault="00F71D8D" w:rsidP="00F71D8D">
      <w:pPr>
        <w:spacing w:after="0" w:line="240" w:lineRule="auto"/>
        <w:jc w:val="both"/>
        <w:rPr>
          <w:rFonts w:ascii="Verdana" w:hAnsi="Verdana" w:cs="Arial"/>
          <w:bCs/>
          <w:color w:val="000000" w:themeColor="text1"/>
          <w:sz w:val="20"/>
          <w:szCs w:val="20"/>
          <w:lang w:val="es-ES_tradnl"/>
        </w:rPr>
      </w:pPr>
    </w:p>
    <w:p w14:paraId="3ED17200" w14:textId="396B6343" w:rsidR="00F71D8D" w:rsidRPr="00F71D8D" w:rsidRDefault="00F71D8D" w:rsidP="00F71D8D">
      <w:pPr>
        <w:spacing w:after="0" w:line="240" w:lineRule="auto"/>
        <w:jc w:val="both"/>
        <w:rPr>
          <w:rFonts w:ascii="Verdana" w:hAnsi="Verdana" w:cs="Arial"/>
          <w:color w:val="000000" w:themeColor="text1"/>
          <w:sz w:val="20"/>
          <w:szCs w:val="20"/>
          <w:lang w:val="es-ES"/>
        </w:rPr>
      </w:pPr>
      <w:r>
        <w:rPr>
          <w:rFonts w:ascii="Verdana" w:hAnsi="Verdana" w:cs="Arial"/>
          <w:color w:val="000000" w:themeColor="text1"/>
          <w:sz w:val="20"/>
          <w:szCs w:val="20"/>
          <w:lang w:val="es-ES"/>
        </w:rPr>
        <w:t xml:space="preserve"> </w:t>
      </w:r>
    </w:p>
    <w:p w14:paraId="3F06A1AF" w14:textId="77777777" w:rsidR="00F71D8D" w:rsidRPr="00BC637A" w:rsidRDefault="00F71D8D" w:rsidP="00BC637A">
      <w:pPr>
        <w:spacing w:after="0" w:line="240" w:lineRule="auto"/>
        <w:jc w:val="both"/>
        <w:rPr>
          <w:rFonts w:ascii="Verdana" w:eastAsia="Calibri" w:hAnsi="Verdana" w:cs="Arial"/>
          <w:sz w:val="20"/>
          <w:szCs w:val="20"/>
          <w:lang w:val="es-ES"/>
        </w:rPr>
      </w:pPr>
    </w:p>
    <w:p w14:paraId="3ABEF7A7" w14:textId="171C59C9" w:rsidR="00821123" w:rsidRPr="00821123" w:rsidRDefault="00BC637A" w:rsidP="009E40F5">
      <w:pPr>
        <w:spacing w:after="0" w:line="240" w:lineRule="auto"/>
        <w:jc w:val="both"/>
        <w:rPr>
          <w:rFonts w:ascii="Verdana" w:hAnsi="Verdana" w:cs="Arial"/>
          <w:b/>
          <w:bCs/>
          <w:sz w:val="20"/>
          <w:szCs w:val="20"/>
          <w:lang w:val="es-ES"/>
        </w:rPr>
      </w:pPr>
      <w:r>
        <w:rPr>
          <w:rFonts w:ascii="Verdana" w:hAnsi="Verdana" w:cs="Arial"/>
          <w:b/>
          <w:bCs/>
          <w:sz w:val="20"/>
          <w:szCs w:val="20"/>
          <w:lang w:val="es-ES"/>
        </w:rPr>
        <w:t xml:space="preserve"> </w:t>
      </w:r>
    </w:p>
    <w:p w14:paraId="041F255A" w14:textId="77777777" w:rsidR="00821123" w:rsidRPr="00821123" w:rsidRDefault="00821123" w:rsidP="009E40F5">
      <w:pPr>
        <w:spacing w:after="0" w:line="240" w:lineRule="auto"/>
        <w:jc w:val="both"/>
        <w:rPr>
          <w:rFonts w:ascii="Verdana" w:hAnsi="Verdana" w:cs="Arial"/>
          <w:b/>
          <w:bCs/>
          <w:sz w:val="20"/>
          <w:szCs w:val="20"/>
          <w:lang w:val="es-ES"/>
        </w:rPr>
      </w:pPr>
    </w:p>
    <w:p w14:paraId="45513E92" w14:textId="77777777" w:rsidR="00821123" w:rsidRDefault="00821123" w:rsidP="009E40F5">
      <w:pPr>
        <w:spacing w:after="0" w:line="240" w:lineRule="auto"/>
        <w:jc w:val="both"/>
        <w:rPr>
          <w:rFonts w:ascii="Verdana" w:hAnsi="Verdana"/>
        </w:rPr>
      </w:pPr>
    </w:p>
    <w:p w14:paraId="5984288B" w14:textId="77777777" w:rsidR="00D6658B" w:rsidRDefault="00D6658B" w:rsidP="009E40F5">
      <w:pPr>
        <w:spacing w:after="0" w:line="240" w:lineRule="auto"/>
        <w:jc w:val="both"/>
        <w:rPr>
          <w:rFonts w:ascii="Verdana" w:hAnsi="Verdana"/>
        </w:rPr>
      </w:pPr>
    </w:p>
    <w:p w14:paraId="27F6D89B" w14:textId="77777777" w:rsidR="00D6658B" w:rsidRDefault="00D6658B" w:rsidP="009E40F5">
      <w:pPr>
        <w:spacing w:after="0" w:line="240" w:lineRule="auto"/>
        <w:jc w:val="both"/>
        <w:rPr>
          <w:rFonts w:ascii="Verdana" w:hAnsi="Verdana"/>
        </w:rPr>
      </w:pPr>
    </w:p>
    <w:p w14:paraId="16C9B25C" w14:textId="77777777" w:rsidR="00D6658B" w:rsidRDefault="00D6658B" w:rsidP="009E40F5">
      <w:pPr>
        <w:spacing w:after="0" w:line="240" w:lineRule="auto"/>
        <w:jc w:val="both"/>
        <w:rPr>
          <w:rFonts w:ascii="Verdana" w:hAnsi="Verdana"/>
        </w:rPr>
      </w:pPr>
    </w:p>
    <w:p w14:paraId="00D9EABE" w14:textId="77777777" w:rsidR="00D6658B" w:rsidRDefault="00D6658B" w:rsidP="009E40F5">
      <w:pPr>
        <w:spacing w:after="0" w:line="240" w:lineRule="auto"/>
        <w:jc w:val="both"/>
        <w:rPr>
          <w:rFonts w:ascii="Verdana" w:hAnsi="Verdana"/>
        </w:rPr>
      </w:pPr>
    </w:p>
    <w:p w14:paraId="38AB73D9" w14:textId="77777777" w:rsidR="00D6658B" w:rsidRDefault="00D6658B" w:rsidP="009E40F5">
      <w:pPr>
        <w:spacing w:after="0" w:line="240" w:lineRule="auto"/>
        <w:jc w:val="both"/>
        <w:rPr>
          <w:rFonts w:ascii="Verdana" w:hAnsi="Verdana"/>
        </w:rPr>
      </w:pPr>
    </w:p>
    <w:p w14:paraId="126293F7" w14:textId="77777777" w:rsidR="00D6658B" w:rsidRDefault="00D6658B" w:rsidP="009E40F5">
      <w:pPr>
        <w:spacing w:after="0" w:line="240" w:lineRule="auto"/>
        <w:jc w:val="both"/>
        <w:rPr>
          <w:rFonts w:ascii="Verdana" w:hAnsi="Verdana"/>
        </w:rPr>
      </w:pPr>
    </w:p>
    <w:p w14:paraId="435CA4D8" w14:textId="77777777" w:rsidR="00D6658B" w:rsidRDefault="00D6658B" w:rsidP="009E40F5">
      <w:pPr>
        <w:spacing w:after="0" w:line="240" w:lineRule="auto"/>
        <w:jc w:val="both"/>
        <w:rPr>
          <w:rFonts w:ascii="Verdana" w:hAnsi="Verdana"/>
        </w:rPr>
      </w:pPr>
    </w:p>
    <w:p w14:paraId="55C38314" w14:textId="77777777" w:rsidR="00D6658B" w:rsidRDefault="00D6658B" w:rsidP="009E40F5">
      <w:pPr>
        <w:spacing w:after="0" w:line="240" w:lineRule="auto"/>
        <w:jc w:val="both"/>
        <w:rPr>
          <w:rFonts w:ascii="Verdana" w:hAnsi="Verdana"/>
        </w:rPr>
      </w:pPr>
    </w:p>
    <w:p w14:paraId="34C3132C" w14:textId="77777777" w:rsidR="00D6658B" w:rsidRDefault="00D6658B" w:rsidP="009E40F5">
      <w:pPr>
        <w:spacing w:after="0" w:line="240" w:lineRule="auto"/>
        <w:jc w:val="both"/>
        <w:rPr>
          <w:rFonts w:ascii="Verdana" w:hAnsi="Verdana"/>
        </w:rPr>
      </w:pPr>
    </w:p>
    <w:p w14:paraId="718FBB34" w14:textId="77777777" w:rsidR="00D6658B" w:rsidRDefault="00D6658B" w:rsidP="009E40F5">
      <w:pPr>
        <w:spacing w:after="0" w:line="240" w:lineRule="auto"/>
        <w:jc w:val="both"/>
        <w:rPr>
          <w:rFonts w:ascii="Verdana" w:hAnsi="Verdana"/>
        </w:rPr>
      </w:pPr>
    </w:p>
    <w:p w14:paraId="51C61231" w14:textId="77777777" w:rsidR="00D6658B" w:rsidRDefault="00D6658B" w:rsidP="009E40F5">
      <w:pPr>
        <w:spacing w:after="0" w:line="240" w:lineRule="auto"/>
        <w:jc w:val="both"/>
        <w:rPr>
          <w:rFonts w:ascii="Verdana" w:hAnsi="Verdana"/>
        </w:rPr>
      </w:pPr>
    </w:p>
    <w:p w14:paraId="4FCE65E5" w14:textId="77777777" w:rsidR="00D6658B" w:rsidRDefault="00D6658B" w:rsidP="009E40F5">
      <w:pPr>
        <w:spacing w:after="0" w:line="240" w:lineRule="auto"/>
        <w:jc w:val="both"/>
        <w:rPr>
          <w:rFonts w:ascii="Verdana" w:hAnsi="Verdana"/>
        </w:rPr>
      </w:pPr>
    </w:p>
    <w:p w14:paraId="608FCC4F" w14:textId="77777777" w:rsidR="00D6658B" w:rsidRDefault="00D6658B" w:rsidP="009E40F5">
      <w:pPr>
        <w:spacing w:after="0" w:line="240" w:lineRule="auto"/>
        <w:jc w:val="both"/>
        <w:rPr>
          <w:rFonts w:ascii="Verdana" w:hAnsi="Verdana"/>
        </w:rPr>
      </w:pPr>
    </w:p>
    <w:p w14:paraId="4E491E72" w14:textId="77777777" w:rsidR="00D6658B" w:rsidRDefault="00D6658B" w:rsidP="009E40F5">
      <w:pPr>
        <w:spacing w:after="0" w:line="240" w:lineRule="auto"/>
        <w:jc w:val="both"/>
        <w:rPr>
          <w:rFonts w:ascii="Verdana" w:hAnsi="Verdana"/>
        </w:rPr>
      </w:pPr>
    </w:p>
    <w:p w14:paraId="07953EA9" w14:textId="494A4E31" w:rsidR="009E40F5" w:rsidRDefault="009742FC" w:rsidP="009E40F5">
      <w:pPr>
        <w:spacing w:after="0" w:line="240" w:lineRule="auto"/>
        <w:jc w:val="both"/>
        <w:rPr>
          <w:rFonts w:ascii="Verdana" w:hAnsi="Verdana"/>
        </w:rPr>
      </w:pPr>
      <w:r>
        <w:rPr>
          <w:rFonts w:ascii="Verdana" w:hAnsi="Verdana"/>
        </w:rPr>
        <w:lastRenderedPageBreak/>
        <w:t xml:space="preserve">Bogotá D.C., </w:t>
      </w:r>
      <w:r w:rsidR="00775D0D">
        <w:rPr>
          <w:rFonts w:ascii="Verdana" w:hAnsi="Verdana"/>
        </w:rPr>
        <w:t>0</w:t>
      </w:r>
      <w:r>
        <w:rPr>
          <w:rFonts w:ascii="Verdana" w:hAnsi="Verdana"/>
        </w:rPr>
        <w:t xml:space="preserve">5 de junio de 2025 </w:t>
      </w:r>
    </w:p>
    <w:p w14:paraId="7EBF3B2D" w14:textId="77777777" w:rsidR="009742FC" w:rsidRDefault="009742FC" w:rsidP="009E40F5">
      <w:pPr>
        <w:spacing w:after="0" w:line="240" w:lineRule="auto"/>
        <w:jc w:val="both"/>
        <w:rPr>
          <w:rFonts w:ascii="Verdana" w:eastAsia="Calibri" w:hAnsi="Verdana" w:cs="Arial"/>
          <w:lang w:val="es-ES" w:eastAsia="es-ES"/>
        </w:rPr>
      </w:pPr>
    </w:p>
    <w:p w14:paraId="639287F2" w14:textId="338E99E7" w:rsidR="008958FB" w:rsidRDefault="008958FB" w:rsidP="008958FB">
      <w:pPr>
        <w:spacing w:after="0" w:line="240" w:lineRule="auto"/>
        <w:jc w:val="right"/>
        <w:rPr>
          <w:rFonts w:ascii="Verdana" w:eastAsia="Calibri" w:hAnsi="Verdana" w:cs="Arial"/>
          <w:lang w:val="es-ES" w:eastAsia="es-ES"/>
        </w:rPr>
      </w:pPr>
      <w:r w:rsidRPr="008958FB">
        <w:rPr>
          <w:rFonts w:ascii="Verdana" w:eastAsia="Calibri" w:hAnsi="Verdana" w:cs="Arial"/>
          <w:lang w:val="es-ES" w:eastAsia="es-ES"/>
        </w:rPr>
        <w:drawing>
          <wp:inline distT="0" distB="0" distL="0" distR="0" wp14:anchorId="00B3118E" wp14:editId="7550B1F1">
            <wp:extent cx="2940050" cy="913700"/>
            <wp:effectExtent l="0" t="0" r="0" b="1270"/>
            <wp:docPr id="2080513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51366" name=""/>
                    <pic:cNvPicPr/>
                  </pic:nvPicPr>
                  <pic:blipFill>
                    <a:blip r:embed="rId10"/>
                    <a:stretch>
                      <a:fillRect/>
                    </a:stretch>
                  </pic:blipFill>
                  <pic:spPr>
                    <a:xfrm>
                      <a:off x="0" y="0"/>
                      <a:ext cx="2960608" cy="920089"/>
                    </a:xfrm>
                    <a:prstGeom prst="rect">
                      <a:avLst/>
                    </a:prstGeom>
                  </pic:spPr>
                </pic:pic>
              </a:graphicData>
            </a:graphic>
          </wp:inline>
        </w:drawing>
      </w:r>
    </w:p>
    <w:p w14:paraId="0391933E" w14:textId="77777777" w:rsidR="009E40F5" w:rsidRPr="009831C2" w:rsidRDefault="009E40F5" w:rsidP="009E40F5">
      <w:pPr>
        <w:spacing w:after="0" w:line="240" w:lineRule="auto"/>
        <w:jc w:val="both"/>
        <w:rPr>
          <w:rFonts w:ascii="Verdana" w:eastAsia="Calibri" w:hAnsi="Verdana" w:cs="Arial"/>
          <w:lang w:eastAsia="es-ES"/>
        </w:rPr>
      </w:pPr>
      <w:r w:rsidRPr="009831C2">
        <w:rPr>
          <w:rFonts w:ascii="Verdana" w:eastAsia="Calibri" w:hAnsi="Verdana" w:cs="Arial"/>
          <w:lang w:eastAsia="es-ES"/>
        </w:rPr>
        <w:t>Señor</w:t>
      </w:r>
    </w:p>
    <w:p w14:paraId="02CA6DB2" w14:textId="77777777" w:rsidR="009E40F5" w:rsidRDefault="009E40F5" w:rsidP="009E40F5">
      <w:pPr>
        <w:spacing w:after="0" w:line="240" w:lineRule="auto"/>
        <w:rPr>
          <w:rFonts w:ascii="Verdana" w:eastAsia="Calibri" w:hAnsi="Verdana" w:cs="Arial"/>
          <w:b/>
          <w:lang w:eastAsia="es-ES_tradnl"/>
        </w:rPr>
      </w:pPr>
      <w:proofErr w:type="spellStart"/>
      <w:r w:rsidRPr="00ED0808">
        <w:rPr>
          <w:rFonts w:ascii="Verdana" w:eastAsia="Calibri" w:hAnsi="Verdana" w:cs="Arial"/>
          <w:b/>
          <w:lang w:eastAsia="es-ES_tradnl"/>
        </w:rPr>
        <w:t>Richar</w:t>
      </w:r>
      <w:proofErr w:type="spellEnd"/>
      <w:r w:rsidRPr="00ED0808">
        <w:rPr>
          <w:rFonts w:ascii="Verdana" w:eastAsia="Calibri" w:hAnsi="Verdana" w:cs="Arial"/>
          <w:b/>
          <w:lang w:eastAsia="es-ES_tradnl"/>
        </w:rPr>
        <w:t xml:space="preserve"> Alexander Ramírez Garrido</w:t>
      </w:r>
    </w:p>
    <w:p w14:paraId="2ADEF3AC" w14:textId="77777777" w:rsidR="009E40F5" w:rsidRDefault="009E40F5" w:rsidP="009E40F5">
      <w:pPr>
        <w:spacing w:after="0" w:line="240" w:lineRule="auto"/>
        <w:rPr>
          <w:rFonts w:ascii="Verdana" w:eastAsia="Calibri" w:hAnsi="Verdana" w:cs="Arial"/>
          <w:b/>
          <w:lang w:eastAsia="es-ES_tradnl"/>
        </w:rPr>
      </w:pPr>
      <w:hyperlink r:id="rId11" w:history="1">
        <w:r w:rsidRPr="007F5043">
          <w:rPr>
            <w:rStyle w:val="Hipervnculo"/>
            <w:rFonts w:ascii="Verdana" w:eastAsia="Calibri" w:hAnsi="Verdana" w:cs="Arial"/>
            <w:b/>
            <w:lang w:eastAsia="es-ES_tradnl"/>
          </w:rPr>
          <w:t>abgprocesos@gmail.com</w:t>
        </w:r>
      </w:hyperlink>
    </w:p>
    <w:p w14:paraId="4636D531" w14:textId="77777777" w:rsidR="009E40F5" w:rsidRPr="009831C2" w:rsidRDefault="009E40F5" w:rsidP="009E40F5">
      <w:pPr>
        <w:spacing w:after="0" w:line="240" w:lineRule="auto"/>
        <w:rPr>
          <w:rFonts w:ascii="Verdana" w:eastAsia="Calibri" w:hAnsi="Verdana" w:cs="Arial"/>
          <w:bCs/>
          <w:lang w:eastAsia="es-ES_tradnl"/>
        </w:rPr>
      </w:pPr>
      <w:r>
        <w:rPr>
          <w:rFonts w:ascii="Verdana" w:eastAsia="Calibri" w:hAnsi="Verdana" w:cs="Arial"/>
          <w:b/>
          <w:lang w:eastAsia="es-ES_tradnl"/>
        </w:rPr>
        <w:t xml:space="preserve">Arauca – Arauca </w:t>
      </w:r>
    </w:p>
    <w:p w14:paraId="409DA320" w14:textId="77777777" w:rsidR="009E40F5" w:rsidRPr="009831C2" w:rsidRDefault="009E40F5" w:rsidP="009E40F5">
      <w:pPr>
        <w:spacing w:after="0" w:line="240" w:lineRule="auto"/>
        <w:rPr>
          <w:rFonts w:ascii="Verdana" w:eastAsia="Calibri" w:hAnsi="Verdana" w:cs="Arial"/>
          <w:b/>
          <w:lang w:eastAsia="es-ES_tradnl"/>
        </w:rPr>
      </w:pPr>
    </w:p>
    <w:p w14:paraId="7A87D2CC" w14:textId="77777777" w:rsidR="009E40F5" w:rsidRPr="009831C2" w:rsidRDefault="009E40F5" w:rsidP="009E40F5">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E40F5" w:rsidRPr="00F71A6A" w14:paraId="7FB4F7A2" w14:textId="77777777" w:rsidTr="00272B58">
        <w:trPr>
          <w:trHeight w:val="162"/>
        </w:trPr>
        <w:tc>
          <w:tcPr>
            <w:tcW w:w="2689" w:type="dxa"/>
          </w:tcPr>
          <w:p w14:paraId="47AEC396" w14:textId="77777777" w:rsidR="009E40F5" w:rsidRPr="009831C2" w:rsidRDefault="009E40F5" w:rsidP="00272B58">
            <w:pPr>
              <w:jc w:val="both"/>
              <w:rPr>
                <w:rFonts w:ascii="Verdana" w:eastAsia="Calibri" w:hAnsi="Verdana" w:cs="Arial"/>
                <w:b/>
                <w:bCs/>
                <w:color w:val="7030A0"/>
                <w:lang w:eastAsia="es-ES_tradnl"/>
              </w:rPr>
            </w:pPr>
          </w:p>
        </w:tc>
        <w:tc>
          <w:tcPr>
            <w:tcW w:w="6100" w:type="dxa"/>
            <w:shd w:val="clear" w:color="auto" w:fill="auto"/>
          </w:tcPr>
          <w:p w14:paraId="1692257D" w14:textId="77777777" w:rsidR="009E40F5" w:rsidRPr="003C7BF7" w:rsidRDefault="009E40F5" w:rsidP="00272B58">
            <w:pPr>
              <w:jc w:val="both"/>
              <w:rPr>
                <w:rFonts w:ascii="Verdana" w:eastAsia="Calibri" w:hAnsi="Verdana" w:cs="Arial"/>
                <w:b/>
                <w:bCs/>
                <w:color w:val="7030A0"/>
                <w:lang w:val="es-ES" w:eastAsia="es-ES"/>
              </w:rPr>
            </w:pPr>
            <w:r>
              <w:rPr>
                <w:rFonts w:ascii="Verdana" w:eastAsia="Calibri" w:hAnsi="Verdana" w:cs="Arial"/>
                <w:b/>
                <w:bCs/>
                <w:lang w:val="es-ES" w:eastAsia="es-ES"/>
              </w:rPr>
              <w:t xml:space="preserve">Concepto </w:t>
            </w:r>
            <w:r w:rsidRPr="006E593D">
              <w:rPr>
                <w:rFonts w:ascii="Verdana" w:eastAsia="Calibri" w:hAnsi="Verdana" w:cs="Arial"/>
                <w:b/>
                <w:bCs/>
                <w:lang w:val="es-ES" w:eastAsia="es-ES"/>
              </w:rPr>
              <w:t xml:space="preserve">C- </w:t>
            </w:r>
            <w:r>
              <w:rPr>
                <w:rFonts w:ascii="Verdana" w:eastAsia="Calibri" w:hAnsi="Verdana" w:cs="Arial"/>
                <w:b/>
                <w:bCs/>
                <w:lang w:val="es-ES" w:eastAsia="es-ES"/>
              </w:rPr>
              <w:t xml:space="preserve">513 </w:t>
            </w:r>
            <w:r w:rsidRPr="006E593D">
              <w:rPr>
                <w:rFonts w:ascii="Verdana" w:eastAsia="Calibri" w:hAnsi="Verdana" w:cs="Arial"/>
                <w:b/>
                <w:bCs/>
                <w:lang w:val="es-ES" w:eastAsia="es-ES"/>
              </w:rPr>
              <w:t>de 2025</w:t>
            </w:r>
          </w:p>
        </w:tc>
      </w:tr>
      <w:tr w:rsidR="009E40F5" w:rsidRPr="00F71A6A" w14:paraId="026485E3" w14:textId="77777777" w:rsidTr="00272B58">
        <w:trPr>
          <w:trHeight w:val="884"/>
        </w:trPr>
        <w:tc>
          <w:tcPr>
            <w:tcW w:w="2689" w:type="dxa"/>
          </w:tcPr>
          <w:p w14:paraId="5C8D1024" w14:textId="77777777" w:rsidR="009E40F5" w:rsidRPr="00F71A6A" w:rsidRDefault="009E40F5" w:rsidP="00272B58">
            <w:pPr>
              <w:jc w:val="both"/>
              <w:rPr>
                <w:rFonts w:ascii="Verdana" w:eastAsia="Calibri" w:hAnsi="Verdana" w:cs="Arial"/>
                <w:color w:val="000000"/>
                <w:lang w:val="es-ES_tradnl" w:eastAsia="es-ES_tradnl"/>
              </w:rPr>
            </w:pPr>
            <w:r w:rsidRPr="00F71A6A">
              <w:rPr>
                <w:rFonts w:ascii="Verdana" w:eastAsia="Calibri" w:hAnsi="Verdana" w:cs="Arial"/>
                <w:b/>
                <w:color w:val="000000"/>
                <w:lang w:val="es-ES_tradnl" w:eastAsia="es-ES_tradnl"/>
              </w:rPr>
              <w:t>Temas:</w:t>
            </w:r>
            <w:r w:rsidRPr="00F71A6A">
              <w:rPr>
                <w:rFonts w:ascii="Verdana" w:eastAsia="Calibri" w:hAnsi="Verdana" w:cs="Arial"/>
                <w:color w:val="000000"/>
                <w:lang w:val="es-ES_tradnl" w:eastAsia="es-ES_tradnl"/>
              </w:rPr>
              <w:t xml:space="preserve">                   </w:t>
            </w:r>
          </w:p>
        </w:tc>
        <w:tc>
          <w:tcPr>
            <w:tcW w:w="6100" w:type="dxa"/>
            <w:shd w:val="clear" w:color="auto" w:fill="auto"/>
          </w:tcPr>
          <w:p w14:paraId="2AB10C85" w14:textId="77777777" w:rsidR="009E40F5" w:rsidRDefault="009E40F5" w:rsidP="00272B58">
            <w:pPr>
              <w:spacing w:line="276" w:lineRule="auto"/>
              <w:jc w:val="both"/>
              <w:rPr>
                <w:rFonts w:ascii="Verdana" w:eastAsia="Calibri" w:hAnsi="Verdana" w:cs="Arial"/>
                <w:lang w:val="es-ES" w:eastAsia="es-ES"/>
              </w:rPr>
            </w:pPr>
            <w:r w:rsidRPr="009D426D">
              <w:rPr>
                <w:rFonts w:ascii="Verdana" w:eastAsia="Calibri" w:hAnsi="Verdana" w:cs="Arial"/>
                <w:lang w:eastAsia="es-ES"/>
              </w:rPr>
              <w:t>CONTRATO DE DONACIÓN / Definición / CONTRATOS ESTATALES – Contrato de donación</w:t>
            </w:r>
            <w:r>
              <w:rPr>
                <w:rFonts w:ascii="Verdana" w:eastAsia="Calibri" w:hAnsi="Verdana" w:cs="Arial"/>
                <w:lang w:eastAsia="es-ES"/>
              </w:rPr>
              <w:t xml:space="preserve"> </w:t>
            </w:r>
            <w:r w:rsidRPr="009D426D">
              <w:rPr>
                <w:rFonts w:ascii="Verdana" w:eastAsia="Calibri" w:hAnsi="Verdana" w:cs="Arial"/>
                <w:lang w:eastAsia="es-ES"/>
              </w:rPr>
              <w:t>/</w:t>
            </w:r>
            <w:r>
              <w:rPr>
                <w:rFonts w:ascii="Verdana" w:eastAsia="Calibri" w:hAnsi="Verdana" w:cs="Arial"/>
                <w:lang w:eastAsia="es-ES"/>
              </w:rPr>
              <w:t xml:space="preserve"> </w:t>
            </w:r>
            <w:r w:rsidRPr="009D426D">
              <w:rPr>
                <w:rFonts w:ascii="Verdana" w:eastAsia="Calibri" w:hAnsi="Verdana" w:cs="Arial"/>
                <w:lang w:eastAsia="es-ES"/>
              </w:rPr>
              <w:t>R</w:t>
            </w:r>
            <w:r w:rsidRPr="009D426D">
              <w:rPr>
                <w:rFonts w:ascii="Verdana" w:eastAsia="Calibri" w:hAnsi="Verdana" w:cs="Arial"/>
              </w:rPr>
              <w:t xml:space="preserve">ÉGIMEN DE INHABILIDADES – Definición – Limitación a capacidad / </w:t>
            </w:r>
            <w:r w:rsidRPr="009D426D">
              <w:rPr>
                <w:rFonts w:ascii="Verdana" w:eastAsia="Calibri" w:hAnsi="Verdana" w:cs="Arial"/>
                <w:lang w:val="es-ES"/>
              </w:rPr>
              <w:t>INHABILIDADES – Taxatividad – Principio de legalidad – Interpretación restrictiva / INHABILIDADES – Clasificación</w:t>
            </w:r>
            <w:r>
              <w:rPr>
                <w:rFonts w:ascii="Verdana" w:eastAsia="Calibri" w:hAnsi="Verdana" w:cs="Arial"/>
                <w:lang w:val="es-ES"/>
              </w:rPr>
              <w:t xml:space="preserve"> / LEY 842 DE 2003 – Prohibiciones – Inhabilidades / </w:t>
            </w:r>
            <w:r w:rsidRPr="002D4766">
              <w:rPr>
                <w:rFonts w:ascii="Verdana" w:eastAsia="Times New Roman" w:hAnsi="Verdana" w:cs="Arial"/>
                <w:lang w:eastAsia="es-ES_tradnl"/>
              </w:rPr>
              <w:t>CONFLICTOS DE INTERÉS – Régimen – Objetivo</w:t>
            </w:r>
            <w:r>
              <w:rPr>
                <w:rFonts w:ascii="Verdana" w:eastAsia="Times New Roman" w:hAnsi="Verdana" w:cs="Arial"/>
                <w:lang w:eastAsia="es-ES_tradnl"/>
              </w:rPr>
              <w:t xml:space="preserve"> / </w:t>
            </w:r>
            <w:r w:rsidRPr="002D4766">
              <w:rPr>
                <w:rFonts w:ascii="Verdana" w:eastAsia="Times New Roman" w:hAnsi="Verdana" w:cs="Arial"/>
                <w:lang w:eastAsia="es-ES_tradnl"/>
              </w:rPr>
              <w:t>CONFLICTOS DE INTERÉS</w:t>
            </w:r>
            <w:r>
              <w:rPr>
                <w:rFonts w:ascii="Verdana" w:eastAsia="Times New Roman" w:hAnsi="Verdana" w:cs="Arial"/>
                <w:lang w:eastAsia="es-ES_tradnl"/>
              </w:rPr>
              <w:t xml:space="preserve"> – Tipicidad</w:t>
            </w:r>
          </w:p>
          <w:p w14:paraId="653A232E" w14:textId="77777777" w:rsidR="009E40F5" w:rsidRPr="009D426D" w:rsidRDefault="009E40F5" w:rsidP="00272B58">
            <w:pPr>
              <w:jc w:val="both"/>
              <w:rPr>
                <w:rFonts w:ascii="Verdana" w:eastAsia="Calibri" w:hAnsi="Verdana" w:cs="Arial"/>
                <w:lang w:eastAsia="es-ES"/>
              </w:rPr>
            </w:pPr>
          </w:p>
        </w:tc>
      </w:tr>
      <w:tr w:rsidR="009E40F5" w:rsidRPr="00F71A6A" w14:paraId="582DE08C" w14:textId="77777777" w:rsidTr="00272B58">
        <w:tc>
          <w:tcPr>
            <w:tcW w:w="2689" w:type="dxa"/>
          </w:tcPr>
          <w:p w14:paraId="657117B3" w14:textId="77777777" w:rsidR="009E40F5" w:rsidRPr="00F71A6A" w:rsidRDefault="009E40F5" w:rsidP="00272B58">
            <w:pPr>
              <w:jc w:val="both"/>
              <w:rPr>
                <w:rFonts w:ascii="Verdana" w:eastAsia="Calibri" w:hAnsi="Verdana" w:cs="Arial"/>
                <w:b/>
                <w:lang w:val="es-ES_tradnl" w:eastAsia="es-ES_tradnl"/>
              </w:rPr>
            </w:pPr>
            <w:r w:rsidRPr="00F71A6A">
              <w:rPr>
                <w:rFonts w:ascii="Verdana" w:eastAsia="Calibri" w:hAnsi="Verdana" w:cs="Arial"/>
                <w:b/>
                <w:lang w:val="es-ES_tradnl" w:eastAsia="es-ES_tradnl"/>
              </w:rPr>
              <w:t>Radicación:</w:t>
            </w:r>
            <w:r w:rsidRPr="00F71A6A">
              <w:rPr>
                <w:rFonts w:ascii="Verdana" w:eastAsia="Calibri" w:hAnsi="Verdana" w:cs="Arial"/>
                <w:lang w:val="es-ES_tradnl" w:eastAsia="es-ES_tradnl"/>
              </w:rPr>
              <w:t xml:space="preserve">               </w:t>
            </w:r>
          </w:p>
        </w:tc>
        <w:tc>
          <w:tcPr>
            <w:tcW w:w="6100" w:type="dxa"/>
          </w:tcPr>
          <w:p w14:paraId="3EA71DC0" w14:textId="4D1E089D" w:rsidR="009E40F5" w:rsidRDefault="009E40F5" w:rsidP="00272B58">
            <w:pPr>
              <w:jc w:val="both"/>
              <w:rPr>
                <w:rFonts w:ascii="Verdana" w:eastAsia="Calibri" w:hAnsi="Verdana" w:cs="Arial"/>
                <w:lang w:val="es-ES_tradnl" w:eastAsia="es-ES_tradnl"/>
              </w:rPr>
            </w:pPr>
            <w:r w:rsidRPr="00581526">
              <w:rPr>
                <w:rFonts w:ascii="Verdana" w:eastAsia="Calibri" w:hAnsi="Verdana" w:cs="Arial"/>
                <w:lang w:val="es-ES_tradnl" w:eastAsia="es-ES_tradnl"/>
              </w:rPr>
              <w:t>Respuesta a consulta con radicado</w:t>
            </w:r>
            <w:r>
              <w:rPr>
                <w:rFonts w:ascii="Verdana" w:eastAsia="Calibri" w:hAnsi="Verdana" w:cs="Arial"/>
                <w:lang w:val="es-ES_tradnl" w:eastAsia="es-ES_tradnl"/>
              </w:rPr>
              <w:t>s</w:t>
            </w:r>
            <w:r w:rsidRPr="00581526">
              <w:rPr>
                <w:rFonts w:ascii="Verdana" w:eastAsia="Calibri" w:hAnsi="Verdana" w:cs="Arial"/>
                <w:lang w:val="es-ES_tradnl" w:eastAsia="es-ES_tradnl"/>
              </w:rPr>
              <w:t xml:space="preserve"> No. </w:t>
            </w:r>
            <w:r>
              <w:t xml:space="preserve"> </w:t>
            </w:r>
            <w:r w:rsidRPr="000D6F32">
              <w:rPr>
                <w:rFonts w:ascii="Verdana" w:eastAsia="Calibri" w:hAnsi="Verdana" w:cs="Arial"/>
                <w:lang w:val="es-ES_tradnl" w:eastAsia="es-ES_tradnl"/>
              </w:rPr>
              <w:t>P20250425003951</w:t>
            </w:r>
          </w:p>
          <w:p w14:paraId="2C2D1290" w14:textId="77777777" w:rsidR="009E40F5" w:rsidRPr="00581526" w:rsidRDefault="009E40F5" w:rsidP="00272B58">
            <w:pPr>
              <w:jc w:val="both"/>
              <w:rPr>
                <w:rFonts w:ascii="Verdana" w:eastAsia="Calibri" w:hAnsi="Verdana" w:cs="Arial"/>
                <w:lang w:val="es-ES_tradnl" w:eastAsia="es-ES_tradnl"/>
              </w:rPr>
            </w:pPr>
          </w:p>
        </w:tc>
      </w:tr>
    </w:tbl>
    <w:p w14:paraId="730C4A93" w14:textId="77777777" w:rsidR="009E40F5" w:rsidRDefault="009E40F5" w:rsidP="009E40F5">
      <w:pPr>
        <w:spacing w:after="0" w:line="276" w:lineRule="auto"/>
        <w:jc w:val="both"/>
        <w:rPr>
          <w:rFonts w:ascii="Verdana" w:eastAsia="Calibri" w:hAnsi="Verdana" w:cs="Arial"/>
          <w:lang w:val="es-ES" w:eastAsia="es-ES"/>
        </w:rPr>
      </w:pPr>
    </w:p>
    <w:p w14:paraId="3995E2F0" w14:textId="77777777" w:rsidR="009E40F5" w:rsidRPr="00F71A6A" w:rsidRDefault="009E40F5" w:rsidP="009E40F5">
      <w:pPr>
        <w:spacing w:after="0" w:line="276" w:lineRule="auto"/>
        <w:jc w:val="both"/>
        <w:rPr>
          <w:rFonts w:ascii="Verdana" w:eastAsia="Calibri" w:hAnsi="Verdana" w:cs="Arial"/>
          <w:lang w:val="es-ES" w:eastAsia="es-ES"/>
        </w:rPr>
      </w:pPr>
      <w:r w:rsidRPr="00F71A6A">
        <w:rPr>
          <w:rFonts w:ascii="Verdana" w:eastAsia="Calibri" w:hAnsi="Verdana" w:cs="Arial"/>
          <w:lang w:val="es-ES" w:eastAsia="es-ES"/>
        </w:rPr>
        <w:t>Estima</w:t>
      </w:r>
      <w:r>
        <w:rPr>
          <w:rFonts w:ascii="Verdana" w:eastAsia="Calibri" w:hAnsi="Verdana" w:cs="Arial"/>
          <w:lang w:val="es-ES" w:eastAsia="es-ES"/>
        </w:rPr>
        <w:t>do señor Ramírez:</w:t>
      </w:r>
      <w:r w:rsidRPr="00F71A6A">
        <w:rPr>
          <w:rFonts w:ascii="Verdana" w:eastAsia="Calibri" w:hAnsi="Verdana" w:cs="Arial"/>
          <w:lang w:val="es-ES" w:eastAsia="es-ES"/>
        </w:rPr>
        <w:t xml:space="preserve"> </w:t>
      </w:r>
    </w:p>
    <w:p w14:paraId="462FDCA4" w14:textId="77777777" w:rsidR="009E40F5" w:rsidRPr="00F71A6A" w:rsidRDefault="009E40F5" w:rsidP="009E40F5">
      <w:pPr>
        <w:tabs>
          <w:tab w:val="left" w:pos="3768"/>
        </w:tabs>
        <w:spacing w:after="0" w:line="276" w:lineRule="auto"/>
        <w:jc w:val="both"/>
        <w:rPr>
          <w:rFonts w:ascii="Verdana" w:eastAsia="Calibri" w:hAnsi="Verdana" w:cs="Arial"/>
          <w:lang w:val="es-ES" w:eastAsia="es-ES"/>
        </w:rPr>
      </w:pPr>
      <w:r w:rsidRPr="00F71A6A">
        <w:rPr>
          <w:rFonts w:ascii="Verdana" w:eastAsia="Calibri" w:hAnsi="Verdana" w:cs="Arial"/>
          <w:lang w:val="es-ES" w:eastAsia="es-ES"/>
        </w:rPr>
        <w:tab/>
      </w:r>
    </w:p>
    <w:p w14:paraId="3530560C" w14:textId="77777777" w:rsidR="009E40F5" w:rsidRPr="00F71A6A" w:rsidRDefault="009E40F5" w:rsidP="009E40F5">
      <w:pPr>
        <w:spacing w:after="0" w:line="276" w:lineRule="auto"/>
        <w:jc w:val="both"/>
        <w:rPr>
          <w:rFonts w:ascii="Verdana" w:eastAsia="Calibri" w:hAnsi="Verdana" w:cs="Arial"/>
          <w:lang w:val="es-ES" w:eastAsia="es-ES"/>
        </w:rPr>
      </w:pPr>
      <w:r w:rsidRPr="00F71A6A">
        <w:rPr>
          <w:rFonts w:ascii="Verdana" w:eastAsia="Calibri" w:hAnsi="Verdana" w:cs="Arial"/>
          <w:color w:val="000000" w:themeColor="text1"/>
          <w:lang w:val="es-ES" w:eastAsia="es-ES"/>
        </w:rPr>
        <w:t>En ejercicio de la competencia otorgada por los artículos 3, numeral 5º, y 11, numeral 8º, del Decreto Ley 4170 de 2011,</w:t>
      </w:r>
      <w:r w:rsidRPr="00F71A6A">
        <w:rPr>
          <w:rFonts w:ascii="Verdana" w:eastAsia="Arial MT" w:hAnsi="Verdana" w:cs="Arial MT"/>
          <w:lang w:val="es-ES" w:eastAsia="es-ES"/>
        </w:rPr>
        <w:t xml:space="preserve"> </w:t>
      </w:r>
      <w:r w:rsidRPr="00F71A6A">
        <w:rPr>
          <w:rFonts w:ascii="Verdana" w:hAnsi="Verdana" w:cs="Arial"/>
        </w:rPr>
        <w:t xml:space="preserve">así como lo establecido en el artículo 4 de la Resolución 1707 de 2018 expedida por esta Entidad, </w:t>
      </w:r>
      <w:r w:rsidRPr="00F71A6A">
        <w:rPr>
          <w:rFonts w:ascii="Verdana" w:eastAsia="Calibri" w:hAnsi="Verdana" w:cs="Arial"/>
          <w:color w:val="000000" w:themeColor="text1"/>
          <w:lang w:val="es-ES" w:eastAsia="es-ES"/>
        </w:rPr>
        <w:t xml:space="preserve">la Agencia Nacional de Contratación </w:t>
      </w:r>
      <w:r w:rsidRPr="00F71A6A">
        <w:rPr>
          <w:rFonts w:ascii="Verdana" w:eastAsia="Calibri" w:hAnsi="Verdana" w:cs="Arial"/>
          <w:lang w:val="es-ES" w:eastAsia="es-ES"/>
        </w:rPr>
        <w:t xml:space="preserve">Pública – Colombia Compra Eficiente– responde su solicitud de consulta de fecha </w:t>
      </w:r>
      <w:r>
        <w:rPr>
          <w:rFonts w:ascii="Verdana" w:eastAsia="Calibri" w:hAnsi="Verdana" w:cs="Arial"/>
          <w:lang w:val="es-ES" w:eastAsia="es-ES"/>
        </w:rPr>
        <w:t>25 de abril de 2025</w:t>
      </w:r>
      <w:r w:rsidRPr="00F71A6A">
        <w:rPr>
          <w:rFonts w:ascii="Verdana" w:eastAsia="Calibri" w:hAnsi="Verdana" w:cs="Arial"/>
          <w:lang w:val="es-ES" w:eastAsia="es-ES"/>
        </w:rPr>
        <w:t>,</w:t>
      </w:r>
      <w:r>
        <w:rPr>
          <w:rFonts w:ascii="Verdana" w:eastAsia="Calibri" w:hAnsi="Verdana" w:cs="Arial"/>
          <w:lang w:val="es-ES" w:eastAsia="es-ES"/>
        </w:rPr>
        <w:t xml:space="preserve"> </w:t>
      </w:r>
      <w:r w:rsidRPr="00F71A6A">
        <w:rPr>
          <w:rFonts w:ascii="Verdana" w:eastAsia="Calibri" w:hAnsi="Verdana" w:cs="Arial"/>
          <w:lang w:val="es-ES" w:eastAsia="es-ES"/>
        </w:rPr>
        <w:t xml:space="preserve">en la cual manifiesta lo siguiente: </w:t>
      </w:r>
    </w:p>
    <w:p w14:paraId="1A61D55D" w14:textId="77777777" w:rsidR="009E40F5" w:rsidRPr="000643DA" w:rsidRDefault="009E40F5" w:rsidP="009E40F5">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364323CE" w14:textId="77777777" w:rsidR="009E40F5" w:rsidRDefault="009E40F5" w:rsidP="009E40F5">
      <w:pPr>
        <w:spacing w:after="0" w:line="240" w:lineRule="auto"/>
        <w:ind w:left="709" w:right="902"/>
        <w:jc w:val="both"/>
        <w:rPr>
          <w:rFonts w:ascii="Verdana" w:eastAsia="Century Gothic" w:hAnsi="Verdana" w:cs="Century Gothic"/>
          <w:sz w:val="20"/>
          <w:szCs w:val="20"/>
        </w:rPr>
      </w:pPr>
      <w:bookmarkStart w:id="3" w:name="_Hlk192699624"/>
      <w:r w:rsidRPr="00835A24">
        <w:rPr>
          <w:rFonts w:ascii="Verdana" w:eastAsia="Century Gothic" w:hAnsi="Verdana" w:cs="Century Gothic"/>
          <w:sz w:val="20"/>
          <w:szCs w:val="20"/>
        </w:rPr>
        <w:t xml:space="preserve">“(…) </w:t>
      </w:r>
      <w:r w:rsidRPr="00ED0808">
        <w:rPr>
          <w:rFonts w:ascii="Verdana" w:hAnsi="Verdana"/>
          <w:sz w:val="20"/>
          <w:szCs w:val="20"/>
        </w:rPr>
        <w:t xml:space="preserve">De acuerdo con lo establecido en el régimen general de inhabilidades e incompatibilidades establecido en la Ley 80 de 1993, Ley 1474 de 2011 o lo especialmente establecido en los articulo 44 y 45 de la Ley 842 de 2003 o cualquier otra norma. ¿Existe alguna inhabilidad, incompatibilidad o conflicto de interés para el profesional de ingeniería </w:t>
      </w:r>
      <w:r w:rsidRPr="00ED0808">
        <w:rPr>
          <w:rFonts w:ascii="Verdana" w:hAnsi="Verdana"/>
          <w:sz w:val="20"/>
          <w:szCs w:val="20"/>
        </w:rPr>
        <w:lastRenderedPageBreak/>
        <w:t xml:space="preserve">que dentro del proceso de formulación de un proyecto de inversión haya donado a la entidad contratante alguno de los diseños necesarios para la aprobación </w:t>
      </w:r>
      <w:proofErr w:type="gramStart"/>
      <w:r w:rsidRPr="00ED0808">
        <w:rPr>
          <w:rFonts w:ascii="Verdana" w:hAnsi="Verdana"/>
          <w:sz w:val="20"/>
          <w:szCs w:val="20"/>
        </w:rPr>
        <w:t>del mismo</w:t>
      </w:r>
      <w:proofErr w:type="gramEnd"/>
      <w:r w:rsidRPr="00ED0808">
        <w:rPr>
          <w:rFonts w:ascii="Verdana" w:hAnsi="Verdana"/>
          <w:sz w:val="20"/>
          <w:szCs w:val="20"/>
        </w:rPr>
        <w:t xml:space="preserve"> y que posteriormente durante la etapa de ejecución del proyecto sea contratado mediante contrato de trabajo por el constructor? Lo anterior teniendo en cuenta que en caso de que se cuestionen los diseños por parte el contratista.</w:t>
      </w:r>
      <w:r w:rsidRPr="009831C2">
        <w:rPr>
          <w:rFonts w:ascii="Verdana" w:hAnsi="Verdana"/>
          <w:sz w:val="20"/>
          <w:szCs w:val="20"/>
        </w:rPr>
        <w:t xml:space="preserve"> </w:t>
      </w:r>
      <w:r w:rsidRPr="00835A24">
        <w:rPr>
          <w:rFonts w:ascii="Verdana" w:eastAsia="Century Gothic" w:hAnsi="Verdana" w:cs="Century Gothic"/>
          <w:sz w:val="20"/>
          <w:szCs w:val="20"/>
        </w:rPr>
        <w:t>(…)”.</w:t>
      </w:r>
      <w:bookmarkEnd w:id="3"/>
    </w:p>
    <w:p w14:paraId="035D2B0A" w14:textId="77777777" w:rsidR="008958FB" w:rsidRPr="000C1A52" w:rsidRDefault="008958FB" w:rsidP="009E40F5">
      <w:pPr>
        <w:spacing w:after="0" w:line="240" w:lineRule="auto"/>
        <w:ind w:left="709" w:right="902"/>
        <w:jc w:val="both"/>
        <w:rPr>
          <w:rFonts w:ascii="Verdana" w:eastAsia="Century Gothic" w:hAnsi="Verdana" w:cs="Century Gothic"/>
          <w:sz w:val="20"/>
          <w:szCs w:val="20"/>
        </w:rPr>
      </w:pPr>
    </w:p>
    <w:p w14:paraId="48C17991" w14:textId="77777777" w:rsidR="009E40F5" w:rsidRPr="00995CAD" w:rsidRDefault="009E40F5" w:rsidP="009E40F5">
      <w:pPr>
        <w:spacing w:after="120" w:line="276" w:lineRule="auto"/>
        <w:ind w:firstLine="709"/>
        <w:jc w:val="both"/>
        <w:rPr>
          <w:rFonts w:ascii="Verdana" w:eastAsia="Calibri" w:hAnsi="Verdana" w:cs="Arial"/>
          <w:color w:val="000000"/>
          <w:szCs w:val="24"/>
          <w:lang w:val="es-ES_tradnl" w:eastAsia="es-ES_tradnl"/>
        </w:rPr>
      </w:pPr>
      <w:r w:rsidRPr="00995CA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95CAD">
        <w:rPr>
          <w:rFonts w:ascii="Verdana" w:eastAsia="Calibri" w:hAnsi="Verdana" w:cs="Arial"/>
          <w:color w:val="000000"/>
          <w:szCs w:val="24"/>
          <w:lang w:val="es-ES_tradnl" w:eastAsia="es-ES_tradnl"/>
        </w:rPr>
        <w:tab/>
      </w:r>
    </w:p>
    <w:p w14:paraId="41618073" w14:textId="77777777" w:rsidR="009E40F5" w:rsidRPr="00995CAD" w:rsidRDefault="009E40F5" w:rsidP="009E40F5">
      <w:pPr>
        <w:spacing w:after="0" w:line="276" w:lineRule="auto"/>
        <w:ind w:firstLine="709"/>
        <w:jc w:val="both"/>
        <w:rPr>
          <w:rFonts w:ascii="Verdana" w:eastAsia="Calibri" w:hAnsi="Verdana" w:cs="Arial"/>
          <w:color w:val="000000"/>
          <w:lang w:val="es-ES" w:eastAsia="es-ES"/>
        </w:rPr>
      </w:pPr>
      <w:r w:rsidRPr="00995CAD">
        <w:rPr>
          <w:rFonts w:ascii="Verdana" w:eastAsia="Calibri" w:hAnsi="Verdana" w:cs="Arial"/>
          <w:color w:val="000000"/>
          <w:lang w:val="es-ES" w:eastAsia="es-ES"/>
        </w:rPr>
        <w:t xml:space="preserve">Conforme lo expuesto, en aras de garantizar el derecho fundamental de petición, se resolverá su petición dentro de los límites de la referida competencia consultiva, esto es, haciendo </w:t>
      </w:r>
      <w:r>
        <w:rPr>
          <w:rFonts w:ascii="Verdana" w:eastAsia="Calibri" w:hAnsi="Verdana" w:cs="Arial"/>
          <w:color w:val="000000"/>
          <w:lang w:val="es-ES" w:eastAsia="es-ES"/>
        </w:rPr>
        <w:t>abstracción del caso particular y concreto señalado en su petición, pero señalando</w:t>
      </w:r>
      <w:r w:rsidRPr="00995CAD">
        <w:rPr>
          <w:rFonts w:ascii="Verdana" w:eastAsia="Calibri" w:hAnsi="Verdana" w:cs="Arial"/>
          <w:color w:val="000000"/>
          <w:lang w:val="es-ES" w:eastAsia="es-ES"/>
        </w:rPr>
        <w:t xml:space="preserve"> </w:t>
      </w:r>
      <w:r>
        <w:rPr>
          <w:rFonts w:ascii="Verdana" w:eastAsia="Calibri" w:hAnsi="Verdana" w:cs="Arial"/>
          <w:color w:val="000000"/>
          <w:lang w:val="es-ES" w:eastAsia="es-ES"/>
        </w:rPr>
        <w:t>alg</w:t>
      </w:r>
      <w:r w:rsidRPr="00995CAD">
        <w:rPr>
          <w:rFonts w:ascii="Verdana" w:eastAsia="Calibri" w:hAnsi="Verdana" w:cs="Arial"/>
          <w:color w:val="000000"/>
          <w:lang w:val="es-ES" w:eastAsia="es-ES"/>
        </w:rPr>
        <w:t>unas consideraciones sobre las normas generales relacionadas con el</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problema</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jurídico</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 xml:space="preserve">de su consulta.  </w:t>
      </w:r>
    </w:p>
    <w:p w14:paraId="54898E46" w14:textId="77777777" w:rsidR="009E40F5" w:rsidRPr="00F71A6A" w:rsidRDefault="009E40F5" w:rsidP="009E40F5">
      <w:pPr>
        <w:spacing w:after="0" w:line="276" w:lineRule="auto"/>
        <w:ind w:firstLine="709"/>
        <w:jc w:val="both"/>
        <w:rPr>
          <w:rFonts w:ascii="Verdana" w:eastAsia="Calibri" w:hAnsi="Verdana" w:cs="Arial"/>
          <w:color w:val="000000"/>
          <w:lang w:val="es-ES" w:eastAsia="es-ES"/>
        </w:rPr>
      </w:pPr>
    </w:p>
    <w:p w14:paraId="3C23ECBF" w14:textId="77777777" w:rsidR="009E40F5" w:rsidRPr="00F71A6A" w:rsidRDefault="009E40F5" w:rsidP="009E40F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71A6A">
        <w:rPr>
          <w:rFonts w:ascii="Verdana" w:eastAsia="Century Gothic" w:hAnsi="Verdana" w:cs="Century Gothic"/>
          <w:b/>
          <w:bCs/>
        </w:rPr>
        <w:t>Problema planteado:</w:t>
      </w:r>
    </w:p>
    <w:p w14:paraId="493E22A5" w14:textId="77777777" w:rsidR="009E40F5" w:rsidRPr="00F71A6A" w:rsidRDefault="009E40F5" w:rsidP="008D5C11">
      <w:pPr>
        <w:tabs>
          <w:tab w:val="left" w:pos="426"/>
        </w:tabs>
        <w:spacing w:after="0" w:line="240" w:lineRule="auto"/>
        <w:jc w:val="both"/>
        <w:rPr>
          <w:rFonts w:ascii="Verdana" w:eastAsia="Century Gothic" w:hAnsi="Verdana" w:cs="Century Gothic"/>
          <w:lang w:val="es-ES"/>
        </w:rPr>
      </w:pPr>
    </w:p>
    <w:p w14:paraId="6FC3E3D0" w14:textId="77777777" w:rsidR="009E40F5" w:rsidRDefault="009E40F5" w:rsidP="009E40F5">
      <w:pPr>
        <w:spacing w:after="0" w:line="276" w:lineRule="auto"/>
        <w:jc w:val="both"/>
        <w:rPr>
          <w:rFonts w:ascii="Verdana" w:eastAsia="Century Gothic" w:hAnsi="Verdana" w:cs="Century Gothic"/>
        </w:rPr>
      </w:pPr>
      <w:r w:rsidRPr="007A4C25">
        <w:rPr>
          <w:rFonts w:ascii="Verdana" w:eastAsia="Century Gothic" w:hAnsi="Verdana" w:cs="Century Gothic"/>
        </w:rPr>
        <w:t xml:space="preserve">De acuerdo con el contenido de su solicitud, esta Agencia resolverá los siguientes problemas jurídicos: i) ¿un profesional de ingeniería puede donar diseños a una entidad pública para que sean utilizados en un proceso de contratación? </w:t>
      </w:r>
      <w:proofErr w:type="spellStart"/>
      <w:r w:rsidRPr="007A4C25">
        <w:rPr>
          <w:rFonts w:ascii="Verdana" w:eastAsia="Century Gothic" w:hAnsi="Verdana" w:cs="Century Gothic"/>
        </w:rPr>
        <w:t>ii</w:t>
      </w:r>
      <w:proofErr w:type="spellEnd"/>
      <w:r w:rsidRPr="007A4C25">
        <w:rPr>
          <w:rFonts w:ascii="Verdana" w:eastAsia="Century Gothic" w:hAnsi="Verdana" w:cs="Century Gothic"/>
        </w:rPr>
        <w:t>) ¿se evidencia alguna inhabilidad, incompatibilidad o conflicto de intereses</w:t>
      </w:r>
      <w:r>
        <w:rPr>
          <w:rFonts w:ascii="Verdana" w:eastAsia="Century Gothic" w:hAnsi="Verdana" w:cs="Century Gothic"/>
        </w:rPr>
        <w:t xml:space="preserve"> cuando el ingeniero que donó los diseños sea contratado con posterioridad por parte del contratista adjudicatario de la obra?  </w:t>
      </w:r>
    </w:p>
    <w:p w14:paraId="49079487" w14:textId="77777777" w:rsidR="009E40F5" w:rsidRPr="00445C41" w:rsidRDefault="009E40F5" w:rsidP="009E40F5">
      <w:pPr>
        <w:spacing w:after="0" w:line="276" w:lineRule="auto"/>
        <w:jc w:val="both"/>
        <w:rPr>
          <w:rFonts w:ascii="Verdana" w:eastAsia="Century Gothic" w:hAnsi="Verdana" w:cs="Century Gothic"/>
        </w:rPr>
      </w:pPr>
    </w:p>
    <w:p w14:paraId="42D9E386" w14:textId="77777777" w:rsidR="009E40F5" w:rsidRPr="00E42343" w:rsidRDefault="009E40F5" w:rsidP="009E40F5">
      <w:pPr>
        <w:spacing w:after="0" w:line="276" w:lineRule="auto"/>
        <w:jc w:val="both"/>
        <w:rPr>
          <w:rFonts w:ascii="Verdana" w:eastAsia="Century Gothic" w:hAnsi="Verdana" w:cs="Century Gothic"/>
          <w:b/>
          <w:bCs/>
        </w:rPr>
      </w:pPr>
      <w:r>
        <w:rPr>
          <w:rFonts w:ascii="Verdana" w:eastAsia="Century Gothic" w:hAnsi="Verdana" w:cs="Century Gothic"/>
          <w:b/>
          <w:bCs/>
        </w:rPr>
        <w:t xml:space="preserve">3. </w:t>
      </w:r>
      <w:r w:rsidRPr="00E42343">
        <w:rPr>
          <w:rFonts w:ascii="Verdana" w:eastAsia="Century Gothic" w:hAnsi="Verdana" w:cs="Century Gothic"/>
          <w:b/>
          <w:bCs/>
        </w:rPr>
        <w:t>Respuesta:</w:t>
      </w:r>
    </w:p>
    <w:p w14:paraId="3BFA5569" w14:textId="77777777" w:rsidR="009E40F5" w:rsidRPr="00F71A6A" w:rsidRDefault="009E40F5" w:rsidP="009E40F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Look w:val="04A0" w:firstRow="1" w:lastRow="0" w:firstColumn="1" w:lastColumn="0" w:noHBand="0" w:noVBand="1"/>
      </w:tblPr>
      <w:tblGrid>
        <w:gridCol w:w="8828"/>
      </w:tblGrid>
      <w:tr w:rsidR="009E40F5" w:rsidRPr="00F71A6A" w14:paraId="2E438271" w14:textId="77777777" w:rsidTr="00272B58">
        <w:tc>
          <w:tcPr>
            <w:tcW w:w="8828" w:type="dxa"/>
            <w:shd w:val="clear" w:color="auto" w:fill="auto"/>
          </w:tcPr>
          <w:p w14:paraId="0DAB6CCC" w14:textId="77777777" w:rsidR="009E40F5" w:rsidRDefault="009E40F5" w:rsidP="00272B58">
            <w:pPr>
              <w:spacing w:before="120" w:line="276" w:lineRule="auto"/>
              <w:ind w:firstLine="708"/>
              <w:jc w:val="both"/>
              <w:rPr>
                <w:rFonts w:ascii="Verdana" w:hAnsi="Verdana" w:cs="Arial"/>
              </w:rPr>
            </w:pPr>
            <w:r>
              <w:rPr>
                <w:rFonts w:ascii="Verdana" w:hAnsi="Verdana" w:cs="Arial"/>
                <w:lang w:val="es-MX"/>
              </w:rPr>
              <w:t>i) E</w:t>
            </w:r>
            <w:r w:rsidRPr="00B930C4">
              <w:rPr>
                <w:rFonts w:ascii="Verdana" w:hAnsi="Verdana" w:cs="Arial"/>
              </w:rPr>
              <w:t xml:space="preserve">l contrato de donación </w:t>
            </w:r>
            <w:r>
              <w:rPr>
                <w:rFonts w:ascii="Verdana" w:hAnsi="Verdana" w:cs="Arial"/>
              </w:rPr>
              <w:t xml:space="preserve">está </w:t>
            </w:r>
            <w:r w:rsidRPr="00B930C4">
              <w:rPr>
                <w:rFonts w:ascii="Verdana" w:hAnsi="Verdana" w:cs="Arial"/>
              </w:rPr>
              <w:t xml:space="preserve">definido en el Código Civil como </w:t>
            </w:r>
            <w:r>
              <w:rPr>
                <w:rFonts w:ascii="Verdana" w:hAnsi="Verdana" w:cs="Arial"/>
              </w:rPr>
              <w:t>“</w:t>
            </w:r>
            <w:r w:rsidRPr="00B930C4">
              <w:rPr>
                <w:rFonts w:ascii="Verdana" w:hAnsi="Verdana" w:cs="Arial"/>
              </w:rPr>
              <w:t xml:space="preserve">un acto por el cual una persona transfiere, gratuita e irrevocablemente, una parte de </w:t>
            </w:r>
            <w:r w:rsidRPr="00B930C4">
              <w:rPr>
                <w:rFonts w:ascii="Verdana" w:hAnsi="Verdana" w:cs="Arial"/>
              </w:rPr>
              <w:lastRenderedPageBreak/>
              <w:t>sus bienes a otra persona que la acepta</w:t>
            </w:r>
            <w:r>
              <w:rPr>
                <w:rFonts w:ascii="Verdana" w:hAnsi="Verdana" w:cs="Arial"/>
              </w:rPr>
              <w:t>”</w:t>
            </w:r>
            <w:r w:rsidRPr="00B930C4">
              <w:rPr>
                <w:rFonts w:ascii="Verdana" w:hAnsi="Verdana" w:cs="Arial"/>
              </w:rPr>
              <w:t xml:space="preserve">. El Consejo de Estado sostuvo respecto de la definición de la donación del Código Civil, que era naturalmente imprecisa toda vez que la donación es un verdadero «contrato» y no solo un acto, lo anterior porque para el perfeccionamiento del «contrato» concurre i) la voluntad dispositiva de la persona que pretende entregar parte de su patrimonio – donante – y </w:t>
            </w:r>
            <w:proofErr w:type="spellStart"/>
            <w:r w:rsidRPr="00B930C4">
              <w:rPr>
                <w:rFonts w:ascii="Verdana" w:hAnsi="Verdana" w:cs="Arial"/>
              </w:rPr>
              <w:t>ii</w:t>
            </w:r>
            <w:proofErr w:type="spellEnd"/>
            <w:r w:rsidRPr="00B930C4">
              <w:rPr>
                <w:rFonts w:ascii="Verdana" w:hAnsi="Verdana" w:cs="Arial"/>
              </w:rPr>
              <w:t>) la aceptación de quién recibirá el beneficio económico – donatario –. Conforme a lo anterior, la celebración de un contrato de donación se constituye como un verdadero acto traslaticio del dominio.</w:t>
            </w:r>
          </w:p>
          <w:p w14:paraId="047984D0" w14:textId="77777777" w:rsidR="009E40F5" w:rsidRDefault="009E40F5" w:rsidP="00272B58">
            <w:pPr>
              <w:spacing w:before="120" w:line="276" w:lineRule="auto"/>
              <w:ind w:firstLine="708"/>
              <w:jc w:val="both"/>
              <w:rPr>
                <w:rFonts w:ascii="Verdana" w:hAnsi="Verdana" w:cs="Arial"/>
                <w:lang w:val="es-ES"/>
              </w:rPr>
            </w:pPr>
            <w:r>
              <w:rPr>
                <w:rFonts w:ascii="Verdana" w:hAnsi="Verdana" w:cs="Arial"/>
                <w:lang w:val="es-ES"/>
              </w:rPr>
              <w:t>L</w:t>
            </w:r>
            <w:r w:rsidRPr="00BA7A0E">
              <w:rPr>
                <w:rFonts w:ascii="Verdana" w:hAnsi="Verdana" w:cs="Arial"/>
                <w:lang w:val="es-ES"/>
              </w:rPr>
              <w:t>a aceptación de la entidad estatal donataria debe estar precedida de los estudios y análisis que requiere una decisión en tal sentido, no sólo porque cualquier manifestación de la voluntad de las entidades estatales debe estar debidamente motivada, sino porque el deber de diligencia y cuidado que demanda la administración de los recursos del Estado exige que, incluso, la aceptación de una donación sea producto de una evaluación de los diferentes efectos que se pueden derivar de dicha decisión.</w:t>
            </w:r>
          </w:p>
          <w:p w14:paraId="44E8C39A" w14:textId="77777777" w:rsidR="009E40F5" w:rsidRPr="00BA7A0E" w:rsidRDefault="009E40F5" w:rsidP="00272B58">
            <w:pPr>
              <w:spacing w:before="120" w:line="276" w:lineRule="auto"/>
              <w:ind w:firstLine="708"/>
              <w:jc w:val="both"/>
              <w:rPr>
                <w:rFonts w:ascii="Verdana" w:hAnsi="Verdana" w:cs="Arial"/>
                <w:lang w:val="es-ES"/>
              </w:rPr>
            </w:pPr>
            <w:r w:rsidRPr="00524A6F">
              <w:rPr>
                <w:rFonts w:ascii="Verdana" w:hAnsi="Verdana" w:cs="Arial"/>
                <w:lang w:val="es-ES"/>
              </w:rPr>
              <w:t>Por un lado, si la entidad estatal es la que propone al particular realizar la donación, se deberán exponer en los estudios previos los motivos y criterios para la selección del donante, como también la necesidad de obtener el o los bienes donados y el beneficio que obtendrá la entidad estatal en relación con sus propios fines, junto con los demás requisitos establecidos en el artículo 2.2.1.1.2.1.1 del Decreto 1082 de 2015.</w:t>
            </w:r>
          </w:p>
          <w:p w14:paraId="30A4D2F2" w14:textId="77777777" w:rsidR="009E40F5" w:rsidRDefault="009E40F5" w:rsidP="00272B58">
            <w:pPr>
              <w:spacing w:before="120" w:line="276" w:lineRule="auto"/>
              <w:ind w:firstLine="708"/>
              <w:jc w:val="both"/>
              <w:rPr>
                <w:rFonts w:ascii="Verdana" w:hAnsi="Verdana" w:cs="Arial"/>
                <w:lang w:val="es-ES"/>
              </w:rPr>
            </w:pPr>
            <w:r>
              <w:rPr>
                <w:rFonts w:ascii="Verdana" w:hAnsi="Verdana" w:cs="Arial"/>
                <w:lang w:val="es-ES"/>
              </w:rPr>
              <w:t>Por el contrario, s</w:t>
            </w:r>
            <w:r w:rsidRPr="00BA7A0E">
              <w:rPr>
                <w:rFonts w:ascii="Verdana" w:hAnsi="Verdana" w:cs="Arial"/>
                <w:lang w:val="es-ES"/>
              </w:rPr>
              <w:t>i el particular donante es quien ofrece voluntariamente la donación a la entidad donataria, los estudios previos no deberán fijar criterios para la selección del contratista entre varios proponentes, debido a que el mismo será recibido a título gratuito por decisión autónoma del donante. No obstante, lo anterior, la entidad estatal deberá adelantar los estudios pertinentes sobre los antecedentes del donante, a fin de verificar que la fuente de sus recursos proceda de actividades lícitas, que el contratista no se encuentra incurso en causales de inhabilidad, incompatibilidad o conflictos de interés, entre otros.</w:t>
            </w:r>
          </w:p>
          <w:p w14:paraId="3E3D6C40" w14:textId="77777777" w:rsidR="009E40F5" w:rsidRDefault="009E40F5" w:rsidP="00272B58">
            <w:pPr>
              <w:pStyle w:val="Sinespaciado"/>
              <w:spacing w:before="120" w:after="120" w:line="276" w:lineRule="auto"/>
              <w:ind w:firstLine="708"/>
              <w:jc w:val="both"/>
              <w:rPr>
                <w:rFonts w:ascii="Verdana" w:hAnsi="Verdana" w:cs="Arial"/>
                <w:sz w:val="22"/>
                <w:lang w:val="es-ES"/>
              </w:rPr>
            </w:pPr>
            <w:proofErr w:type="spellStart"/>
            <w:r>
              <w:rPr>
                <w:rFonts w:ascii="Verdana" w:hAnsi="Verdana" w:cs="Arial"/>
                <w:sz w:val="22"/>
                <w:lang w:val="es-ES"/>
              </w:rPr>
              <w:t>ii</w:t>
            </w:r>
            <w:proofErr w:type="spellEnd"/>
            <w:r>
              <w:rPr>
                <w:rFonts w:ascii="Verdana" w:hAnsi="Verdana" w:cs="Arial"/>
                <w:sz w:val="22"/>
                <w:lang w:val="es-ES"/>
              </w:rPr>
              <w:t>) Por su parte, l</w:t>
            </w:r>
            <w:r w:rsidRPr="00405602">
              <w:rPr>
                <w:rFonts w:ascii="Verdana" w:hAnsi="Verdana" w:cs="Arial"/>
                <w:sz w:val="22"/>
                <w:lang w:val="es-ES"/>
              </w:rPr>
              <w:t xml:space="preserve">as inhabilidades e incompatibilidades son circunstancias establecidas por la Constitución Política o por la ley que impiden que personas naturales o jurídicas sean elegidas o designadas en un cargo público o celebren contratos con el Estado. Su objetivo no es otro que garantizar la idoneidad, </w:t>
            </w:r>
            <w:r w:rsidRPr="00405602">
              <w:rPr>
                <w:rFonts w:ascii="Verdana" w:hAnsi="Verdana" w:cs="Arial"/>
                <w:sz w:val="22"/>
                <w:lang w:val="es-ES"/>
              </w:rPr>
              <w:lastRenderedPageBreak/>
              <w:t xml:space="preserve">imparcialidad, probidad, transparencia y moralidad de la función pública, garantizando el interés general.   </w:t>
            </w:r>
          </w:p>
          <w:p w14:paraId="556EA106" w14:textId="77777777" w:rsidR="009E40F5" w:rsidRDefault="009E40F5" w:rsidP="00272B58">
            <w:pPr>
              <w:spacing w:after="120" w:line="276" w:lineRule="auto"/>
              <w:ind w:firstLine="709"/>
              <w:jc w:val="both"/>
              <w:rPr>
                <w:rFonts w:ascii="Verdana" w:hAnsi="Verdana" w:cs="Arial"/>
                <w:lang w:val="es-ES"/>
              </w:rPr>
            </w:pPr>
            <w:r w:rsidRPr="009668DA">
              <w:rPr>
                <w:rFonts w:ascii="Verdana" w:hAnsi="Verdana" w:cs="Arial"/>
                <w:lang w:val="es-ES"/>
              </w:rPr>
              <w:t xml:space="preserve">Conviene también distinguir las fuentes de las inhabilidades, las cuales han sido clasificadas en dos (2) grupos: i) inhabilidades-sanción y </w:t>
            </w:r>
            <w:proofErr w:type="spellStart"/>
            <w:r w:rsidRPr="009668DA">
              <w:rPr>
                <w:rFonts w:ascii="Verdana" w:hAnsi="Verdana" w:cs="Arial"/>
                <w:lang w:val="es-ES"/>
              </w:rPr>
              <w:t>ii</w:t>
            </w:r>
            <w:proofErr w:type="spellEnd"/>
            <w:r w:rsidRPr="009668DA">
              <w:rPr>
                <w:rFonts w:ascii="Verdana" w:hAnsi="Verdana" w:cs="Arial"/>
                <w:lang w:val="es-ES"/>
              </w:rPr>
              <w:t>) inhabilidades-requisito. En el primer grupo se encuentran las inhabilidades que surgen como consecuencia de un proceso sancionatorio, en los ámbitos penal, disciplinario, contravencional o de pérdida de investidura. En el segundo grupo están aquellas condiciones propias de la persona y garantizan la moralidad, la imparcialidad, la eficacia y la transparencia.</w:t>
            </w:r>
          </w:p>
          <w:p w14:paraId="102451DA" w14:textId="77777777" w:rsidR="009E40F5" w:rsidRDefault="009E40F5" w:rsidP="00272B58">
            <w:pPr>
              <w:spacing w:after="120" w:line="276" w:lineRule="auto"/>
              <w:ind w:firstLine="709"/>
              <w:jc w:val="both"/>
              <w:rPr>
                <w:rFonts w:ascii="Verdana" w:eastAsia="Calibri" w:hAnsi="Verdana" w:cs="Arial"/>
                <w:lang w:val="es-ES"/>
              </w:rPr>
            </w:pPr>
            <w:r w:rsidRPr="009668DA">
              <w:rPr>
                <w:rFonts w:ascii="Verdana" w:eastAsia="Calibri" w:hAnsi="Verdana" w:cs="Arial"/>
                <w:lang w:val="es-ES"/>
              </w:rPr>
              <w:t xml:space="preserve">Ahora bien, las inhabilidades e incompatibilidades al ser restricciones o límites especiales a la capacidad para presentar ofertas y celebrar contratos estatales, sólo pueden tipificarse en la ley, es decir, deben satisfacer el principio de legalidad, y su interpretación debe ser </w:t>
            </w:r>
            <w:r w:rsidRPr="009668DA">
              <w:rPr>
                <w:rFonts w:ascii="Verdana" w:eastAsia="Calibri" w:hAnsi="Verdana" w:cs="Arial"/>
                <w:i/>
                <w:iCs/>
                <w:lang w:val="es-ES"/>
              </w:rPr>
              <w:t>restrictiva</w:t>
            </w:r>
            <w:r w:rsidRPr="009668DA">
              <w:rPr>
                <w:rFonts w:ascii="Verdana" w:eastAsia="Calibri" w:hAnsi="Verdana" w:cs="Arial"/>
                <w:lang w:val="es-ES"/>
              </w:rPr>
              <w:t>.</w:t>
            </w:r>
          </w:p>
          <w:p w14:paraId="5C64D689" w14:textId="77777777" w:rsidR="009E40F5" w:rsidRDefault="009E40F5" w:rsidP="00272B58">
            <w:pPr>
              <w:spacing w:after="120" w:line="276" w:lineRule="auto"/>
              <w:ind w:firstLine="709"/>
              <w:jc w:val="both"/>
              <w:rPr>
                <w:rFonts w:ascii="Verdana" w:hAnsi="Verdana" w:cs="Arial"/>
                <w:color w:val="000000" w:themeColor="text1"/>
                <w:lang w:val="es-ES"/>
              </w:rPr>
            </w:pPr>
            <w:r w:rsidRPr="009668DA">
              <w:rPr>
                <w:rFonts w:ascii="Verdana" w:hAnsi="Verdana" w:cs="Arial"/>
                <w:color w:val="000000" w:themeColor="text1"/>
                <w:lang w:val="es-ES"/>
              </w:rPr>
              <w:t>De otro lado, si bien la Ley 842 de 2003</w:t>
            </w:r>
            <w:r>
              <w:rPr>
                <w:rFonts w:ascii="Verdana" w:hAnsi="Verdana" w:cs="Arial"/>
                <w:color w:val="000000" w:themeColor="text1"/>
                <w:lang w:val="es-ES"/>
              </w:rPr>
              <w:t xml:space="preserve"> […] </w:t>
            </w:r>
            <w:r w:rsidRPr="009668DA">
              <w:rPr>
                <w:rFonts w:ascii="Verdana" w:hAnsi="Verdana" w:cs="Arial"/>
                <w:color w:val="000000" w:themeColor="text1"/>
                <w:lang w:val="es-ES"/>
              </w:rPr>
              <w:t xml:space="preserve">establece un conjunto de prohibiciones para los profesionales de la ingeniería, algunas de las cuales se aplican en los procedimientos de selección de los contratistas del Estado, se trata de prohibiciones dirigidas a los </w:t>
            </w:r>
            <w:r w:rsidRPr="009668DA">
              <w:rPr>
                <w:rFonts w:ascii="Verdana" w:hAnsi="Verdana" w:cs="Arial"/>
                <w:i/>
                <w:iCs/>
                <w:color w:val="000000" w:themeColor="text1"/>
                <w:lang w:val="es-ES"/>
              </w:rPr>
              <w:t>profesionales</w:t>
            </w:r>
            <w:r w:rsidRPr="009668DA">
              <w:rPr>
                <w:rFonts w:ascii="Verdana" w:hAnsi="Verdana" w:cs="Arial"/>
                <w:color w:val="000000" w:themeColor="text1"/>
                <w:lang w:val="es-ES"/>
              </w:rPr>
              <w:t xml:space="preserve">, no necesariamente a los </w:t>
            </w:r>
            <w:r w:rsidRPr="009668DA">
              <w:rPr>
                <w:rFonts w:ascii="Verdana" w:hAnsi="Verdana" w:cs="Arial"/>
                <w:i/>
                <w:iCs/>
                <w:color w:val="000000" w:themeColor="text1"/>
                <w:lang w:val="es-ES"/>
              </w:rPr>
              <w:t>proponentes</w:t>
            </w:r>
            <w:r w:rsidRPr="009668DA">
              <w:rPr>
                <w:rFonts w:ascii="Verdana" w:hAnsi="Verdana" w:cs="Arial"/>
                <w:color w:val="000000" w:themeColor="text1"/>
                <w:lang w:val="es-ES"/>
              </w:rPr>
              <w:t>.</w:t>
            </w:r>
            <w:r>
              <w:rPr>
                <w:rFonts w:ascii="Verdana" w:hAnsi="Verdana" w:cs="Arial"/>
                <w:color w:val="000000" w:themeColor="text1"/>
                <w:lang w:val="es-ES"/>
              </w:rPr>
              <w:t xml:space="preserve"> </w:t>
            </w:r>
          </w:p>
          <w:p w14:paraId="23872468" w14:textId="77777777" w:rsidR="009E40F5" w:rsidRPr="009668DA" w:rsidRDefault="009E40F5" w:rsidP="00272B58">
            <w:pPr>
              <w:spacing w:after="120" w:line="276" w:lineRule="auto"/>
              <w:ind w:firstLine="709"/>
              <w:jc w:val="both"/>
              <w:rPr>
                <w:rFonts w:ascii="Verdana" w:hAnsi="Verdana" w:cs="Arial"/>
                <w:bCs/>
                <w:color w:val="000000" w:themeColor="text1"/>
                <w:lang w:val="es-ES_tradnl"/>
              </w:rPr>
            </w:pPr>
            <w:r w:rsidRPr="009668DA">
              <w:rPr>
                <w:rFonts w:ascii="Verdana" w:hAnsi="Verdana" w:cs="Arial"/>
                <w:bCs/>
                <w:color w:val="000000" w:themeColor="text1"/>
                <w:lang w:val="es-ES_tradnl"/>
              </w:rPr>
              <w:t xml:space="preserve">La palabra </w:t>
            </w:r>
            <w:r w:rsidRPr="009668DA">
              <w:rPr>
                <w:rFonts w:ascii="Verdana" w:hAnsi="Verdana" w:cs="Arial"/>
                <w:bCs/>
                <w:i/>
                <w:iCs/>
                <w:color w:val="000000" w:themeColor="text1"/>
                <w:lang w:val="es-ES_tradnl"/>
              </w:rPr>
              <w:t>asesor</w:t>
            </w:r>
            <w:r w:rsidRPr="009668DA">
              <w:rPr>
                <w:rFonts w:ascii="Verdana" w:hAnsi="Verdana" w:cs="Arial"/>
                <w:bCs/>
                <w:color w:val="000000" w:themeColor="text1"/>
                <w:lang w:val="es-ES_tradnl"/>
              </w:rPr>
              <w:t xml:space="preserve"> en el artículo 44 de la Ley 842 de 2003 debe interpretarse restrictivamente y en armonía con el artículo 32, numeral 2º de la Ley 80 de 1993, que define el objeto de los contratos de consultoría</w:t>
            </w:r>
            <w:r>
              <w:rPr>
                <w:rFonts w:ascii="Verdana" w:hAnsi="Verdana" w:cs="Arial"/>
                <w:bCs/>
                <w:color w:val="000000" w:themeColor="text1"/>
                <w:lang w:val="es-ES_tradnl"/>
              </w:rPr>
              <w:t xml:space="preserve">. </w:t>
            </w:r>
            <w:r w:rsidRPr="009668DA">
              <w:rPr>
                <w:rFonts w:ascii="Verdana" w:hAnsi="Verdana" w:cs="Arial"/>
                <w:bCs/>
                <w:color w:val="000000" w:themeColor="text1"/>
                <w:lang w:val="es-ES_tradnl"/>
              </w:rPr>
              <w:t xml:space="preserve">En consecuencia, no todo el que celebra un contrato de consultoría con una entidad estatal lo hace para asesorarla, ya que, normativamente, el objeto de esta tipología contractual incluye actividades diversas, como los estudios y diseños, los estudios para la ejecución de proyectos de inversión, los estudios de diagnóstico, la interventoría, la gerencia de obra o de proyectos y </w:t>
            </w:r>
            <w:r w:rsidRPr="009668DA">
              <w:rPr>
                <w:rFonts w:ascii="Verdana" w:hAnsi="Verdana" w:cs="Arial"/>
                <w:bCs/>
                <w:i/>
                <w:iCs/>
                <w:color w:val="000000" w:themeColor="text1"/>
                <w:lang w:val="es-ES_tradnl"/>
              </w:rPr>
              <w:t>la asesoría</w:t>
            </w:r>
            <w:r w:rsidRPr="009668DA">
              <w:rPr>
                <w:rFonts w:ascii="Verdana" w:hAnsi="Verdana" w:cs="Arial"/>
                <w:bCs/>
                <w:color w:val="000000" w:themeColor="text1"/>
                <w:lang w:val="es-ES_tradnl"/>
              </w:rPr>
              <w:t>, entre otras.</w:t>
            </w:r>
          </w:p>
          <w:p w14:paraId="128C6D12" w14:textId="77777777" w:rsidR="009E40F5" w:rsidRDefault="009E40F5" w:rsidP="00272B58">
            <w:pPr>
              <w:tabs>
                <w:tab w:val="left" w:pos="426"/>
              </w:tabs>
              <w:spacing w:after="120" w:line="276" w:lineRule="auto"/>
              <w:jc w:val="both"/>
              <w:rPr>
                <w:rFonts w:ascii="Verdana" w:hAnsi="Verdana" w:cs="Arial"/>
                <w:bCs/>
                <w:color w:val="000000" w:themeColor="text1"/>
                <w:lang w:val="es-ES_tradnl"/>
              </w:rPr>
            </w:pPr>
            <w:r w:rsidRPr="009668DA">
              <w:rPr>
                <w:rFonts w:ascii="Verdana" w:hAnsi="Verdana" w:cs="Arial"/>
                <w:bCs/>
                <w:color w:val="000000" w:themeColor="text1"/>
                <w:lang w:val="es-ES_tradnl"/>
              </w:rPr>
              <w:tab/>
            </w:r>
            <w:r w:rsidRPr="009668DA">
              <w:rPr>
                <w:rFonts w:ascii="Verdana" w:hAnsi="Verdana" w:cs="Arial"/>
                <w:bCs/>
                <w:color w:val="000000" w:themeColor="text1"/>
                <w:lang w:val="es-ES_tradnl"/>
              </w:rPr>
              <w:tab/>
              <w:t xml:space="preserve">Partiendo de esta precisión conceptual y guiados por el criterio de interpretación restrictiva que gobierna tanto las inhabilidades e incompatibilidades como, en general, las prohibiciones, debe indicarse que cuando el artículo 44 de la mencionada Ley 842 establece que «Los </w:t>
            </w:r>
            <w:r w:rsidRPr="009668DA">
              <w:rPr>
                <w:rFonts w:ascii="Verdana" w:hAnsi="Verdana" w:cs="Arial"/>
                <w:bCs/>
                <w:i/>
                <w:iCs/>
                <w:color w:val="000000" w:themeColor="text1"/>
                <w:lang w:val="es-ES_tradnl"/>
              </w:rPr>
              <w:t>profesionales</w:t>
            </w:r>
            <w:r w:rsidRPr="009668DA">
              <w:rPr>
                <w:rFonts w:ascii="Verdana" w:hAnsi="Verdana" w:cs="Arial"/>
                <w:bCs/>
                <w:color w:val="000000" w:themeColor="text1"/>
                <w:lang w:val="es-ES_tradnl"/>
              </w:rPr>
              <w:t xml:space="preserve"> que hayan actuado como </w:t>
            </w:r>
            <w:r w:rsidRPr="009668DA">
              <w:rPr>
                <w:rFonts w:ascii="Verdana" w:hAnsi="Verdana" w:cs="Arial"/>
                <w:bCs/>
                <w:i/>
                <w:iCs/>
                <w:color w:val="000000" w:themeColor="text1"/>
                <w:lang w:val="es-ES_tradnl"/>
              </w:rPr>
              <w:t>asesores</w:t>
            </w:r>
            <w:r w:rsidRPr="009668DA">
              <w:rPr>
                <w:rFonts w:ascii="Verdana" w:hAnsi="Verdana" w:cs="Arial"/>
                <w:bCs/>
                <w:color w:val="000000" w:themeColor="text1"/>
                <w:lang w:val="es-ES_tradnl"/>
              </w:rPr>
              <w:t xml:space="preserve"> de la parte contratante en un concurso o licitación deberán abstenerse de intervenir directa o indirectamente en las tareas profesionales requeridas para el desarrollo del trabajo que dio lugar al mismo, salvo que su intervención estuviese establecida en las bases </w:t>
            </w:r>
            <w:r w:rsidRPr="009668DA">
              <w:rPr>
                <w:rFonts w:ascii="Verdana" w:hAnsi="Verdana" w:cs="Arial"/>
                <w:bCs/>
                <w:color w:val="000000" w:themeColor="text1"/>
                <w:lang w:val="es-ES_tradnl"/>
              </w:rPr>
              <w:lastRenderedPageBreak/>
              <w:t>del concurso o licitación»</w:t>
            </w:r>
            <w:r>
              <w:rPr>
                <w:rFonts w:ascii="Verdana" w:hAnsi="Verdana" w:cs="Arial"/>
                <w:bCs/>
                <w:color w:val="000000" w:themeColor="text1"/>
                <w:lang w:val="es-ES_tradnl"/>
              </w:rPr>
              <w:t xml:space="preserve">. </w:t>
            </w:r>
            <w:r w:rsidRPr="009668DA">
              <w:rPr>
                <w:rFonts w:ascii="Verdana" w:hAnsi="Verdana" w:cs="Arial"/>
                <w:bCs/>
                <w:color w:val="000000" w:themeColor="text1"/>
                <w:lang w:val="es-ES_tradnl"/>
              </w:rPr>
              <w:t xml:space="preserve">En esta medida lo que prohíbe es que los profesionales que asesoraron a la entidad contratante en el correspondiente procedimiento de selección participen luego en la ejecución de las labores que motivaron la realización de la convocatoria. Por ejemplo, que quien actuó como asesor en un concurso de méritos de arquitectura, trabaje posteriormente en la elaboración del diseño arquitectónico. Pero la norma no proscribe que quien </w:t>
            </w:r>
            <w:r w:rsidRPr="00125DCF">
              <w:rPr>
                <w:rFonts w:ascii="Verdana" w:hAnsi="Verdana" w:cs="Arial"/>
                <w:bCs/>
                <w:color w:val="000000" w:themeColor="text1"/>
                <w:lang w:val="es-ES_tradnl"/>
              </w:rPr>
              <w:t xml:space="preserve">donó los diseños </w:t>
            </w:r>
            <w:r>
              <w:rPr>
                <w:rFonts w:ascii="Verdana" w:hAnsi="Verdana" w:cs="Arial"/>
                <w:bCs/>
                <w:color w:val="000000" w:themeColor="text1"/>
                <w:lang w:val="es-ES_tradnl"/>
              </w:rPr>
              <w:t xml:space="preserve">a una entidad contratante, posteriormente no pueda laborar a través de un contrato de trabajo para el contratista que ejecute la obra. </w:t>
            </w:r>
          </w:p>
          <w:p w14:paraId="3041035D" w14:textId="77777777" w:rsidR="009E40F5" w:rsidRDefault="009E40F5" w:rsidP="00272B58">
            <w:pPr>
              <w:spacing w:before="120" w:line="276" w:lineRule="auto"/>
              <w:ind w:firstLine="360"/>
              <w:jc w:val="both"/>
              <w:rPr>
                <w:rFonts w:ascii="Verdana" w:eastAsia="Cambria" w:hAnsi="Verdana" w:cs="Arial"/>
                <w:szCs w:val="20"/>
              </w:rPr>
            </w:pPr>
            <w:r w:rsidRPr="00347504">
              <w:rPr>
                <w:rFonts w:ascii="Verdana" w:eastAsia="Cambria" w:hAnsi="Verdana" w:cs="Arial"/>
                <w:szCs w:val="20"/>
              </w:rPr>
              <w:t xml:space="preserve">La institución jurídica de los conflictos de interés no está definida con carácter general en el ordenamiento jurídico y tampoco de forma precisa en las normas que regulan la contratación estatal, por lo que es un asunto ausente en el EGCAP. Sin embargo, existen disposiciones especiales como el régimen de los congresistas, de los concejales o el régimen disciplinario de los servidores públicos, donde se define causales de conflictos de interés. En todo caso, la satisfacción del principio de moralidad y el </w:t>
            </w:r>
            <w:r>
              <w:rPr>
                <w:rFonts w:ascii="Verdana" w:eastAsia="Cambria" w:hAnsi="Verdana" w:cs="Arial"/>
                <w:szCs w:val="20"/>
              </w:rPr>
              <w:t>d</w:t>
            </w:r>
            <w:r w:rsidRPr="00347504">
              <w:rPr>
                <w:rFonts w:ascii="Verdana" w:eastAsia="Cambria" w:hAnsi="Verdana" w:cs="Arial"/>
                <w:szCs w:val="20"/>
              </w:rPr>
              <w:t xml:space="preserve">eber de probidad también se exige a los contratistas. </w:t>
            </w:r>
          </w:p>
          <w:p w14:paraId="492AC6A0" w14:textId="77777777" w:rsidR="009E40F5" w:rsidRDefault="009E40F5" w:rsidP="00272B58">
            <w:pPr>
              <w:spacing w:before="120" w:line="276" w:lineRule="auto"/>
              <w:ind w:firstLine="360"/>
              <w:jc w:val="both"/>
              <w:rPr>
                <w:lang w:val="es-ES_tradnl"/>
              </w:rPr>
            </w:pPr>
            <w:r>
              <w:rPr>
                <w:rFonts w:ascii="Verdana" w:eastAsia="Calibri" w:hAnsi="Verdana" w:cs="Arial"/>
                <w:lang w:val="es-ES"/>
              </w:rPr>
              <w:t xml:space="preserve">[…] </w:t>
            </w:r>
            <w:r w:rsidRPr="00B0169E">
              <w:rPr>
                <w:rFonts w:ascii="Verdana" w:eastAsia="Calibri" w:hAnsi="Verdana" w:cs="Arial"/>
                <w:lang w:val="es-ES"/>
              </w:rPr>
              <w:t xml:space="preserve">es posible extraer las siguientes conclusiones en relación con la regulación de los conflictos de intereses en la contratación estatal: i) es posible que los pliegos de condiciones establezcan, si bien de forma restrictiva, conflictos de interés; </w:t>
            </w:r>
            <w:proofErr w:type="spellStart"/>
            <w:r w:rsidRPr="00B0169E">
              <w:rPr>
                <w:rFonts w:ascii="Verdana" w:eastAsia="Calibri" w:hAnsi="Verdana" w:cs="Arial"/>
                <w:lang w:val="es-ES"/>
              </w:rPr>
              <w:t>ii</w:t>
            </w:r>
            <w:proofErr w:type="spellEnd"/>
            <w:r w:rsidRPr="00B0169E">
              <w:rPr>
                <w:rFonts w:ascii="Verdana" w:eastAsia="Calibri" w:hAnsi="Verdana" w:cs="Arial"/>
                <w:lang w:val="es-ES"/>
              </w:rPr>
              <w:t xml:space="preserve">) estos deben </w:t>
            </w:r>
            <w:r w:rsidRPr="00B0169E">
              <w:rPr>
                <w:rFonts w:ascii="Verdana" w:eastAsia="Calibri" w:hAnsi="Verdana" w:cs="Arial"/>
                <w:i/>
                <w:iCs/>
                <w:lang w:val="es-ES"/>
              </w:rPr>
              <w:t>tipificarse</w:t>
            </w:r>
            <w:r w:rsidRPr="00B0169E">
              <w:rPr>
                <w:rFonts w:ascii="Verdana" w:eastAsia="Calibri" w:hAnsi="Verdana" w:cs="Arial"/>
                <w:lang w:val="es-ES"/>
              </w:rPr>
              <w:t xml:space="preserve">, esto es, establecerse de forma expresa y concreta en los pliegos de condiciones; </w:t>
            </w:r>
            <w:proofErr w:type="spellStart"/>
            <w:r w:rsidRPr="00B0169E">
              <w:rPr>
                <w:rFonts w:ascii="Verdana" w:eastAsia="Calibri" w:hAnsi="Verdana" w:cs="Arial"/>
                <w:lang w:val="es-ES"/>
              </w:rPr>
              <w:t>iii</w:t>
            </w:r>
            <w:proofErr w:type="spellEnd"/>
            <w:r w:rsidRPr="00B0169E">
              <w:rPr>
                <w:rFonts w:ascii="Verdana" w:eastAsia="Calibri" w:hAnsi="Verdana" w:cs="Arial"/>
                <w:lang w:val="es-ES"/>
              </w:rPr>
              <w:t xml:space="preserve">) las causales deben ser </w:t>
            </w:r>
            <w:r w:rsidRPr="00B0169E">
              <w:rPr>
                <w:rFonts w:ascii="Verdana" w:eastAsia="Calibri" w:hAnsi="Verdana" w:cs="Arial"/>
                <w:i/>
                <w:iCs/>
                <w:lang w:val="es-ES"/>
              </w:rPr>
              <w:t>objetivas</w:t>
            </w:r>
            <w:r w:rsidRPr="00B0169E">
              <w:rPr>
                <w:rFonts w:ascii="Verdana" w:eastAsia="Calibri" w:hAnsi="Verdana" w:cs="Arial"/>
                <w:lang w:val="es-ES"/>
              </w:rPr>
              <w:t xml:space="preserve">, esto es, que se describan con claridad, de manera que no resulten ambiguos dando lugar a que los intérpretes extraigan consecuencias diferentes; </w:t>
            </w:r>
            <w:proofErr w:type="spellStart"/>
            <w:r w:rsidRPr="00B0169E">
              <w:rPr>
                <w:rFonts w:ascii="Verdana" w:eastAsia="Calibri" w:hAnsi="Verdana" w:cs="Arial"/>
                <w:lang w:val="es-ES"/>
              </w:rPr>
              <w:t>iv</w:t>
            </w:r>
            <w:proofErr w:type="spellEnd"/>
            <w:r w:rsidRPr="00B0169E">
              <w:rPr>
                <w:rFonts w:ascii="Verdana" w:eastAsia="Calibri" w:hAnsi="Verdana" w:cs="Arial"/>
                <w:lang w:val="es-ES"/>
              </w:rPr>
              <w:t>) las causales no pueden ser caprichosas, por lo que su inclusión debe justificarse en salvaguardar principios superiores, como la igualdad, la imparcialidad, la transparencia, la moralidad o la selección objetiva; v) su interpretación, al igual que las causales de inhabilidad o incompatibilidad, debe ser estricta o restrictiva; vi) solo se pueden aplicar los conflictos de interés tipificados en el pliego de condiciones, en la Constitución o en la ley, de manera que su ausencia da lugar a que se parta del principio general de la capacidad contractual del proponente o contratista, de manera que la entidad no puede crear o aplicar causales que no incluyó en el pliego de condiciones</w:t>
            </w:r>
            <w:r>
              <w:rPr>
                <w:lang w:val="es-ES_tradnl"/>
              </w:rPr>
              <w:t>.</w:t>
            </w:r>
          </w:p>
          <w:p w14:paraId="0912B8AD" w14:textId="77777777" w:rsidR="009E40F5" w:rsidRPr="00686EAB" w:rsidRDefault="009E40F5" w:rsidP="00272B58">
            <w:pPr>
              <w:spacing w:before="120" w:line="276" w:lineRule="auto"/>
              <w:ind w:firstLine="360"/>
              <w:jc w:val="both"/>
              <w:rPr>
                <w:rFonts w:ascii="Verdana" w:eastAsia="Cambria" w:hAnsi="Verdana" w:cs="Arial"/>
                <w:szCs w:val="20"/>
              </w:rPr>
            </w:pPr>
            <w:r w:rsidRPr="002E6096">
              <w:rPr>
                <w:rFonts w:ascii="Verdana" w:hAnsi="Verdana" w:cs="Arial"/>
                <w:bCs/>
                <w:color w:val="000000" w:themeColor="text1"/>
                <w:lang w:val="es-MX"/>
              </w:rPr>
              <w:t xml:space="preserve">Bajo estas consideraciones, corresponde a cada Entidad Pública, en ejercicio de su competencia y previa valoración de los elementos fácticos y jurídicos, determinar si se está incurso en alguna causal de inhabilidad o incompatibilidad o si se configura un conflicto de intereses. </w:t>
            </w:r>
          </w:p>
        </w:tc>
      </w:tr>
    </w:tbl>
    <w:p w14:paraId="04B22449" w14:textId="42FBFC7A" w:rsidR="009E40F5" w:rsidRDefault="008D5C11" w:rsidP="008D5C1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Pr>
          <w:rFonts w:ascii="Verdana" w:eastAsia="Century Gothic" w:hAnsi="Verdana" w:cs="Century Gothic"/>
          <w:b/>
          <w:bCs/>
        </w:rPr>
        <w:lastRenderedPageBreak/>
        <w:t xml:space="preserve">2. </w:t>
      </w:r>
      <w:r w:rsidR="009E40F5" w:rsidRPr="00F71A6A">
        <w:rPr>
          <w:rFonts w:ascii="Verdana" w:eastAsia="Century Gothic" w:hAnsi="Verdana" w:cs="Century Gothic"/>
          <w:b/>
          <w:bCs/>
        </w:rPr>
        <w:t xml:space="preserve">Razones de la </w:t>
      </w:r>
      <w:r w:rsidR="009E40F5">
        <w:rPr>
          <w:rFonts w:ascii="Verdana" w:eastAsia="Century Gothic" w:hAnsi="Verdana" w:cs="Century Gothic"/>
          <w:b/>
          <w:bCs/>
        </w:rPr>
        <w:t>respuesta:</w:t>
      </w:r>
      <w:bookmarkStart w:id="4" w:name="_Hlk192104360"/>
    </w:p>
    <w:p w14:paraId="4126B898" w14:textId="77777777" w:rsidR="009E40F5" w:rsidRPr="00835CDC" w:rsidRDefault="009E40F5" w:rsidP="009E40F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5848247" w14:textId="77777777" w:rsidR="009E40F5" w:rsidRDefault="009E40F5" w:rsidP="009E40F5">
      <w:pPr>
        <w:autoSpaceDE w:val="0"/>
        <w:autoSpaceDN w:val="0"/>
        <w:adjustRightInd w:val="0"/>
        <w:spacing w:line="276" w:lineRule="auto"/>
        <w:ind w:firstLine="709"/>
        <w:jc w:val="both"/>
        <w:rPr>
          <w:rFonts w:ascii="Verdana" w:hAnsi="Verdana" w:cs="Arial"/>
        </w:rPr>
      </w:pPr>
      <w:r>
        <w:rPr>
          <w:rFonts w:ascii="Verdana" w:hAnsi="Verdana" w:cs="Arial"/>
          <w:lang w:val="es-MX"/>
        </w:rPr>
        <w:t>i) El</w:t>
      </w:r>
      <w:r w:rsidRPr="00B930C4">
        <w:rPr>
          <w:rFonts w:ascii="Verdana" w:hAnsi="Verdana" w:cs="Arial"/>
        </w:rPr>
        <w:t xml:space="preserve"> contrato de donación </w:t>
      </w:r>
      <w:r>
        <w:rPr>
          <w:rFonts w:ascii="Verdana" w:hAnsi="Verdana" w:cs="Arial"/>
        </w:rPr>
        <w:t xml:space="preserve">está </w:t>
      </w:r>
      <w:r w:rsidRPr="00B930C4">
        <w:rPr>
          <w:rFonts w:ascii="Verdana" w:hAnsi="Verdana" w:cs="Arial"/>
        </w:rPr>
        <w:t xml:space="preserve">definido en el Código Civil como </w:t>
      </w:r>
      <w:r>
        <w:rPr>
          <w:rFonts w:ascii="Verdana" w:hAnsi="Verdana" w:cs="Arial"/>
        </w:rPr>
        <w:t>“</w:t>
      </w:r>
      <w:r w:rsidRPr="00B930C4">
        <w:rPr>
          <w:rFonts w:ascii="Verdana" w:hAnsi="Verdana" w:cs="Arial"/>
        </w:rPr>
        <w:t>un acto por el cual una persona transfiere, gratuita e irrevocablemente, una parte de sus bienes a otra persona que la acepta</w:t>
      </w:r>
      <w:r>
        <w:rPr>
          <w:rFonts w:ascii="Verdana" w:hAnsi="Verdana" w:cs="Arial"/>
        </w:rPr>
        <w:t>”</w:t>
      </w:r>
      <w:r w:rsidRPr="00B930C4">
        <w:rPr>
          <w:rFonts w:ascii="Verdana" w:hAnsi="Verdana" w:cs="Arial"/>
        </w:rPr>
        <w:t>. El Consejo de Estado</w:t>
      </w:r>
      <w:r>
        <w:rPr>
          <w:rStyle w:val="Refdenotaalpie"/>
          <w:rFonts w:ascii="Verdana" w:hAnsi="Verdana" w:cs="Arial"/>
        </w:rPr>
        <w:footnoteReference w:id="1"/>
      </w:r>
      <w:r w:rsidRPr="00B930C4">
        <w:rPr>
          <w:rFonts w:ascii="Verdana" w:hAnsi="Verdana" w:cs="Arial"/>
        </w:rPr>
        <w:t xml:space="preserve"> sostuvo respecto de la definición de la donación del Código Civil, que era naturalmente imprecisa toda vez que la donación es un verdadero «contrato» y no solo un acto, lo anterior porque para el perfeccionamiento del «contrato» concurre i) la voluntad dispositiva de la persona que pretende entregar parte de su patrimonio – donante – y </w:t>
      </w:r>
      <w:proofErr w:type="spellStart"/>
      <w:r w:rsidRPr="00B930C4">
        <w:rPr>
          <w:rFonts w:ascii="Verdana" w:hAnsi="Verdana" w:cs="Arial"/>
        </w:rPr>
        <w:t>ii</w:t>
      </w:r>
      <w:proofErr w:type="spellEnd"/>
      <w:r w:rsidRPr="00B930C4">
        <w:rPr>
          <w:rFonts w:ascii="Verdana" w:hAnsi="Verdana" w:cs="Arial"/>
        </w:rPr>
        <w:t xml:space="preserve">) la aceptación de quién recibirá el beneficio económico – donatario –. Conforme a lo anterior, la celebración de un contrato de donación se constituye como un verdadero acto traslaticio del dominio. </w:t>
      </w:r>
    </w:p>
    <w:p w14:paraId="47869637" w14:textId="77777777" w:rsidR="009E40F5" w:rsidRDefault="009E40F5" w:rsidP="009E40F5">
      <w:pPr>
        <w:autoSpaceDE w:val="0"/>
        <w:autoSpaceDN w:val="0"/>
        <w:adjustRightInd w:val="0"/>
        <w:spacing w:line="276" w:lineRule="auto"/>
        <w:ind w:firstLine="709"/>
        <w:jc w:val="both"/>
        <w:rPr>
          <w:rFonts w:ascii="Verdana" w:hAnsi="Verdana" w:cs="Arial"/>
        </w:rPr>
      </w:pPr>
      <w:r w:rsidRPr="00B930C4">
        <w:rPr>
          <w:rFonts w:ascii="Verdana" w:hAnsi="Verdana" w:cs="Arial"/>
        </w:rPr>
        <w:t>Por otra parte, el ordenamiento jurídico colombiano ha adoptado un criterio orgánico para determinar cuándo un contrato tiene la calidad de estatal. Según este criterio, todo contrato será estatal cuando al menos una de sus partes sea una entidad estatal, al margen del régimen aplicable al contrato, según lo establecido por el artículo 32 de la Ley 80 de 1993. Para una mejor comprensión del planteamiento anterior, es necesario remitirse al artículo 2° de la Ley 80 de 1993</w:t>
      </w:r>
      <w:r>
        <w:rPr>
          <w:rStyle w:val="Refdenotaalpie"/>
          <w:rFonts w:ascii="Verdana" w:hAnsi="Verdana" w:cs="Arial"/>
        </w:rPr>
        <w:footnoteReference w:id="2"/>
      </w:r>
      <w:r w:rsidRPr="00B930C4">
        <w:rPr>
          <w:rFonts w:ascii="Verdana" w:hAnsi="Verdana" w:cs="Arial"/>
        </w:rPr>
        <w:t xml:space="preserve">, el cual define qué es una entidad estatal en los siguientes términos: </w:t>
      </w:r>
    </w:p>
    <w:p w14:paraId="113D8D35" w14:textId="77777777" w:rsidR="009E40F5" w:rsidRDefault="009E40F5" w:rsidP="009E40F5">
      <w:pPr>
        <w:autoSpaceDE w:val="0"/>
        <w:autoSpaceDN w:val="0"/>
        <w:adjustRightInd w:val="0"/>
        <w:spacing w:after="0" w:line="240" w:lineRule="auto"/>
        <w:ind w:left="709" w:right="618"/>
        <w:jc w:val="both"/>
        <w:rPr>
          <w:rFonts w:ascii="Verdana" w:hAnsi="Verdana" w:cs="Arial"/>
          <w:sz w:val="20"/>
          <w:szCs w:val="20"/>
        </w:rPr>
      </w:pPr>
      <w:r w:rsidRPr="00FB532C">
        <w:rPr>
          <w:rFonts w:ascii="Verdana" w:hAnsi="Verdana" w:cs="Arial"/>
          <w:sz w:val="20"/>
          <w:szCs w:val="20"/>
        </w:rPr>
        <w:t>Artículo 2°. De la definición de entidades, servidores y servidores públicos. Para los solos efectos de esta ley.</w:t>
      </w:r>
      <w:r>
        <w:rPr>
          <w:rFonts w:ascii="Verdana" w:hAnsi="Verdana" w:cs="Arial"/>
          <w:sz w:val="20"/>
          <w:szCs w:val="20"/>
        </w:rPr>
        <w:t xml:space="preserve"> </w:t>
      </w:r>
    </w:p>
    <w:p w14:paraId="015ED9D6" w14:textId="77777777" w:rsidR="009E40F5" w:rsidRDefault="009E40F5" w:rsidP="009E40F5">
      <w:pPr>
        <w:autoSpaceDE w:val="0"/>
        <w:autoSpaceDN w:val="0"/>
        <w:adjustRightInd w:val="0"/>
        <w:spacing w:after="0" w:line="240" w:lineRule="auto"/>
        <w:ind w:left="709" w:right="618"/>
        <w:jc w:val="both"/>
        <w:rPr>
          <w:rFonts w:ascii="Verdana" w:hAnsi="Verdana" w:cs="Arial"/>
          <w:sz w:val="20"/>
          <w:szCs w:val="20"/>
        </w:rPr>
      </w:pPr>
    </w:p>
    <w:p w14:paraId="2ED7A755" w14:textId="77777777" w:rsidR="009E40F5" w:rsidRDefault="009E40F5" w:rsidP="009E40F5">
      <w:pPr>
        <w:autoSpaceDE w:val="0"/>
        <w:autoSpaceDN w:val="0"/>
        <w:adjustRightInd w:val="0"/>
        <w:spacing w:after="0" w:line="240" w:lineRule="auto"/>
        <w:ind w:left="709" w:right="618"/>
        <w:jc w:val="both"/>
        <w:rPr>
          <w:rFonts w:ascii="Verdana" w:hAnsi="Verdana" w:cs="Arial"/>
          <w:sz w:val="20"/>
          <w:szCs w:val="20"/>
        </w:rPr>
      </w:pPr>
      <w:r w:rsidRPr="00FB532C">
        <w:rPr>
          <w:rFonts w:ascii="Verdana" w:hAnsi="Verdana" w:cs="Arial"/>
          <w:sz w:val="20"/>
          <w:szCs w:val="20"/>
        </w:rPr>
        <w:t xml:space="preserve">1o. Se denominan entidades estatales: </w:t>
      </w:r>
    </w:p>
    <w:p w14:paraId="223B3163" w14:textId="77777777" w:rsidR="009E40F5" w:rsidRDefault="009E40F5" w:rsidP="009E40F5">
      <w:pPr>
        <w:autoSpaceDE w:val="0"/>
        <w:autoSpaceDN w:val="0"/>
        <w:adjustRightInd w:val="0"/>
        <w:spacing w:after="0" w:line="240" w:lineRule="auto"/>
        <w:ind w:left="709" w:right="618"/>
        <w:jc w:val="both"/>
        <w:rPr>
          <w:rFonts w:ascii="Verdana" w:hAnsi="Verdana" w:cs="Arial"/>
          <w:sz w:val="20"/>
          <w:szCs w:val="20"/>
        </w:rPr>
      </w:pPr>
    </w:p>
    <w:p w14:paraId="2FEB0E54" w14:textId="74128E5B" w:rsidR="009E40F5" w:rsidRPr="008D5C11" w:rsidRDefault="009E40F5" w:rsidP="008D5C11">
      <w:pPr>
        <w:autoSpaceDE w:val="0"/>
        <w:autoSpaceDN w:val="0"/>
        <w:adjustRightInd w:val="0"/>
        <w:spacing w:after="0" w:line="240" w:lineRule="auto"/>
        <w:ind w:left="709" w:right="618"/>
        <w:jc w:val="both"/>
        <w:rPr>
          <w:rFonts w:ascii="Verdana" w:hAnsi="Verdana" w:cs="Arial"/>
          <w:sz w:val="20"/>
          <w:szCs w:val="20"/>
          <w:lang w:val="es-MX"/>
        </w:rPr>
      </w:pPr>
      <w:r w:rsidRPr="00FB532C">
        <w:rPr>
          <w:rFonts w:ascii="Verdana" w:hAnsi="Verdana" w:cs="Arial"/>
          <w:sz w:val="20"/>
          <w:szCs w:val="20"/>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6791763E" w14:textId="77777777" w:rsidR="009E40F5" w:rsidRDefault="009E40F5" w:rsidP="009E40F5">
      <w:pPr>
        <w:pStyle w:val="Sinespaciado"/>
        <w:spacing w:before="120" w:after="120" w:line="276" w:lineRule="auto"/>
        <w:ind w:firstLine="708"/>
        <w:jc w:val="both"/>
        <w:rPr>
          <w:rFonts w:ascii="Verdana" w:hAnsi="Verdana" w:cs="Arial"/>
          <w:sz w:val="22"/>
          <w:lang w:val="es-CO"/>
        </w:rPr>
      </w:pPr>
      <w:r w:rsidRPr="00FB532C">
        <w:rPr>
          <w:rFonts w:ascii="Verdana" w:hAnsi="Verdana" w:cs="Arial"/>
          <w:sz w:val="22"/>
          <w:lang w:val="es-CO"/>
        </w:rPr>
        <w:lastRenderedPageBreak/>
        <w:t xml:space="preserve">Con base en lo anterior, se debe concluir que todo contrato, independientemente de su tipología y régimen jurídico, tiene la naturaleza de contrato estatal cuando alguna de sus partes es una entidad estatal, conforme lo expuesto en el párrafo transcrito anteriormente. Ahora bien, cuando una entidad estatal celebra un contrato de donación, ya sea que la entidad estatal participe como donante o como donataria, estaremos frente a un contrato estatal. Por esta condición, ese negocio jurídico estará sujeto a todos los principios y reglas aplicables a los contratos estatales. </w:t>
      </w:r>
    </w:p>
    <w:p w14:paraId="52721E89" w14:textId="77777777" w:rsidR="009E40F5" w:rsidRDefault="009E40F5" w:rsidP="009E40F5">
      <w:pPr>
        <w:pStyle w:val="Sinespaciado"/>
        <w:spacing w:after="120" w:line="276" w:lineRule="auto"/>
        <w:ind w:firstLine="708"/>
        <w:jc w:val="both"/>
        <w:rPr>
          <w:rFonts w:ascii="Verdana" w:hAnsi="Verdana" w:cs="Arial"/>
          <w:sz w:val="22"/>
          <w:lang w:val="es-ES"/>
        </w:rPr>
      </w:pPr>
      <w:r w:rsidRPr="00BA7A0E">
        <w:rPr>
          <w:rFonts w:ascii="Verdana" w:hAnsi="Verdana" w:cs="Arial"/>
          <w:sz w:val="22"/>
          <w:lang w:val="es-ES"/>
        </w:rPr>
        <w:t xml:space="preserve">Así las cosas, la aceptación de la entidad estatal donataria debe estar precedida de los estudios y análisis que requiere una decisión en tal sentido, no sólo porque cualquier manifestación de la voluntad de las entidades estatales debe estar debidamente motivada, sino porque el deber de diligencia y cuidado que demanda la administración de los recursos del Estado exige que, incluso, la aceptación de una donación sea producto de una evaluación de los diferentes efectos que se pueden derivar de dicha decisión. </w:t>
      </w:r>
    </w:p>
    <w:p w14:paraId="7F0A4AD4" w14:textId="77777777" w:rsidR="009E40F5" w:rsidRPr="00BA7A0E" w:rsidRDefault="009E40F5" w:rsidP="009E40F5">
      <w:pPr>
        <w:pStyle w:val="Sinespaciado"/>
        <w:spacing w:after="120" w:line="276" w:lineRule="auto"/>
        <w:ind w:firstLine="708"/>
        <w:jc w:val="both"/>
        <w:rPr>
          <w:rFonts w:ascii="Verdana" w:hAnsi="Verdana" w:cs="Arial"/>
          <w:sz w:val="22"/>
          <w:lang w:val="es-ES"/>
        </w:rPr>
      </w:pPr>
      <w:r w:rsidRPr="00524A6F">
        <w:rPr>
          <w:rFonts w:ascii="Verdana" w:hAnsi="Verdana" w:cs="Arial"/>
          <w:sz w:val="22"/>
          <w:lang w:val="es-ES"/>
        </w:rPr>
        <w:t>Por un lado, si la entidad estatal es la que propone al particular realizar la donación, se deberán exponer en los estudios previos los motivos y criterios para la selección del donante, como también la necesidad de obtener el o los bienes donados y el beneficio que obtendrá la entidad estatal en relación con sus propios fines, junto con los demás requisitos establecidos en el artículo 2.2.1.1.2.1.1 del Decreto 1082 de 2015.</w:t>
      </w:r>
    </w:p>
    <w:p w14:paraId="48E597C8" w14:textId="77777777" w:rsidR="009E40F5" w:rsidRDefault="009E40F5" w:rsidP="009E40F5">
      <w:pPr>
        <w:pStyle w:val="Sinespaciado"/>
        <w:spacing w:after="120" w:line="276" w:lineRule="auto"/>
        <w:ind w:firstLine="708"/>
        <w:jc w:val="both"/>
        <w:rPr>
          <w:rFonts w:ascii="Verdana" w:hAnsi="Verdana" w:cs="Arial"/>
          <w:sz w:val="22"/>
          <w:lang w:val="es-ES"/>
        </w:rPr>
      </w:pPr>
      <w:r>
        <w:rPr>
          <w:rFonts w:ascii="Verdana" w:hAnsi="Verdana" w:cs="Arial"/>
          <w:sz w:val="22"/>
          <w:lang w:val="es-ES"/>
        </w:rPr>
        <w:t>Por el contrario, s</w:t>
      </w:r>
      <w:r w:rsidRPr="00BA7A0E">
        <w:rPr>
          <w:rFonts w:ascii="Verdana" w:hAnsi="Verdana" w:cs="Arial"/>
          <w:sz w:val="22"/>
          <w:lang w:val="es-ES"/>
        </w:rPr>
        <w:t xml:space="preserve">i el particular donante es quien ofrece voluntariamente la donación a la entidad donataria, los estudios previos no deberán fijar criterios para la selección del contratista entre varios proponentes, debido a que el mismo será recibido a título gratuito por decisión autónoma del donante. No obstante, lo anterior, la entidad estatal deberá adelantar los estudios pertinentes sobre los antecedentes del donante, a fin de verificar que la fuente de sus recursos proceda de actividades lícitas, que el contratista no se encuentra incurso en causales de inhabilidad, incompatibilidad o conflictos de interés, entre otros. Y esto es así, pues el contrato de donación no se puede prestar para que el Estado reciba bienes obtenidos a través de actividades ilícitas o que la legalidad de los fondos con que fueron adquiridos no pueda ser válidamente demostrados por el donante, como tampoco puede servir de excusa para permitir las prohibiciones, inhabilidades e incompatibilidades establecidas en la ley para celebrar contratos con el Estado, pues la moralidad y la transparencia, como principios rectores de </w:t>
      </w:r>
      <w:r w:rsidRPr="00BA7A0E">
        <w:rPr>
          <w:rFonts w:ascii="Verdana" w:hAnsi="Verdana" w:cs="Arial"/>
          <w:sz w:val="22"/>
          <w:lang w:val="es-ES"/>
        </w:rPr>
        <w:lastRenderedPageBreak/>
        <w:t xml:space="preserve">la función pública, deben estar presentes en todas y cada una de las actuaciones que la entidades estatales adelantan. </w:t>
      </w:r>
    </w:p>
    <w:p w14:paraId="2AFCBBBC" w14:textId="77777777" w:rsidR="009E40F5" w:rsidRDefault="009E40F5" w:rsidP="009E40F5">
      <w:pPr>
        <w:pStyle w:val="Sinespaciado"/>
        <w:spacing w:after="120" w:line="276" w:lineRule="auto"/>
        <w:ind w:firstLine="708"/>
        <w:jc w:val="both"/>
        <w:rPr>
          <w:rFonts w:ascii="Verdana" w:hAnsi="Verdana" w:cs="Arial"/>
          <w:sz w:val="22"/>
          <w:lang w:val="es-ES"/>
        </w:rPr>
      </w:pPr>
      <w:r w:rsidRPr="00BA7A0E">
        <w:rPr>
          <w:rFonts w:ascii="Verdana" w:hAnsi="Verdana" w:cs="Arial"/>
          <w:sz w:val="22"/>
          <w:lang w:val="es-ES"/>
        </w:rPr>
        <w:t>Adicionalmente, es preciso que la entidad estatal realice un análisis sobre las implicaciones y riesgos que puede tener la donación, para verificar si su aceptación conlleva gastos no previstos por la entidad. Por ejemplo, tributos o gravámenes derivados de la donación que no se encuentren presupuestados o que impliquen una carga económica que la entidad no está en condiciones de asumir. En este análisis también se deberá determinar el origen del o los bienes donados, con el fin de corroborar que no se trate de objetos de origen ilícito que no podrían ser aceptados por la entidad. Así mismo, en el análisis se deberá explicar el beneficio que se derivará de la aceptación de la donación y su conexión con los fines propios de la entidad.</w:t>
      </w:r>
    </w:p>
    <w:p w14:paraId="3CBADA3D" w14:textId="77777777" w:rsidR="009E40F5" w:rsidRDefault="009E40F5" w:rsidP="009E40F5">
      <w:pPr>
        <w:pStyle w:val="Sinespaciado"/>
        <w:spacing w:after="120" w:line="276" w:lineRule="auto"/>
        <w:ind w:firstLine="708"/>
        <w:jc w:val="both"/>
        <w:rPr>
          <w:rFonts w:ascii="Verdana" w:hAnsi="Verdana" w:cs="Arial"/>
          <w:sz w:val="22"/>
          <w:lang w:val="es-ES"/>
        </w:rPr>
      </w:pPr>
      <w:r w:rsidRPr="00835CDC">
        <w:rPr>
          <w:rFonts w:ascii="Verdana" w:hAnsi="Verdana" w:cs="Arial"/>
          <w:sz w:val="22"/>
          <w:lang w:val="es-ES"/>
        </w:rPr>
        <w:t>En todo caso, la Entidad Estatal podrá disponer, en ejercicio de la autonomía de la voluntad, las condiciones que considere convenientes para recibir bienes en virtud de un contrato de donación, siempre que no contraríen los parámetros normativos y los principios de la actividad contractual.</w:t>
      </w:r>
    </w:p>
    <w:p w14:paraId="67531FD0" w14:textId="77777777" w:rsidR="009E40F5" w:rsidRDefault="009E40F5" w:rsidP="009E40F5">
      <w:pPr>
        <w:pStyle w:val="Sinespaciado"/>
        <w:spacing w:before="120" w:after="120" w:line="276" w:lineRule="auto"/>
        <w:ind w:firstLine="708"/>
        <w:jc w:val="both"/>
        <w:rPr>
          <w:rFonts w:ascii="Verdana" w:hAnsi="Verdana" w:cs="Arial"/>
          <w:sz w:val="22"/>
          <w:lang w:val="es-ES"/>
        </w:rPr>
      </w:pPr>
      <w:proofErr w:type="spellStart"/>
      <w:r>
        <w:rPr>
          <w:rFonts w:ascii="Verdana" w:hAnsi="Verdana" w:cs="Arial"/>
          <w:sz w:val="22"/>
          <w:lang w:val="es-ES"/>
        </w:rPr>
        <w:t>ii</w:t>
      </w:r>
      <w:proofErr w:type="spellEnd"/>
      <w:r>
        <w:rPr>
          <w:rFonts w:ascii="Verdana" w:hAnsi="Verdana" w:cs="Arial"/>
          <w:sz w:val="22"/>
          <w:lang w:val="es-ES"/>
        </w:rPr>
        <w:t>) Por su parte, l</w:t>
      </w:r>
      <w:r w:rsidRPr="00405602">
        <w:rPr>
          <w:rFonts w:ascii="Verdana" w:hAnsi="Verdana" w:cs="Arial"/>
          <w:sz w:val="22"/>
          <w:lang w:val="es-ES"/>
        </w:rPr>
        <w:t xml:space="preserve">as inhabilidades e incompatibilidades son circunstancias establecidas por la Constitución Política o por la ley que impiden que personas naturales o jurídicas sean elegidas o designadas en un cargo público o celebren contratos con el Estado. Su objetivo no es otro que garantizar la idoneidad, imparcialidad, probidad, transparencia y moralidad de la función pública, garantizando el interés general.   </w:t>
      </w:r>
    </w:p>
    <w:p w14:paraId="7AF85D9A" w14:textId="77777777" w:rsidR="009E40F5" w:rsidRPr="009668DA" w:rsidRDefault="009E40F5" w:rsidP="009E40F5">
      <w:pPr>
        <w:pStyle w:val="Sinespaciado"/>
        <w:spacing w:before="120" w:after="120" w:line="276" w:lineRule="auto"/>
        <w:ind w:firstLine="708"/>
        <w:jc w:val="both"/>
        <w:rPr>
          <w:rFonts w:ascii="Verdana" w:hAnsi="Verdana" w:cs="Arial"/>
          <w:sz w:val="22"/>
          <w:lang w:val="es-ES"/>
        </w:rPr>
      </w:pPr>
      <w:r w:rsidRPr="009668DA">
        <w:rPr>
          <w:rFonts w:ascii="Verdana" w:hAnsi="Verdana" w:cs="Arial"/>
          <w:sz w:val="22"/>
          <w:lang w:val="es-ES"/>
        </w:rPr>
        <w:t>De este modo, el régimen de inhabilidades para contratar con el Estado es el conjunto de restricciones establecidas por el constituyente o por el legislador que afectan directamente la capacidad de las personas para establecer relaciones contractuales con el Estado, las cuales pueden derivarse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9668DA">
        <w:rPr>
          <w:rFonts w:ascii="Verdana" w:hAnsi="Verdana" w:cs="Arial"/>
          <w:sz w:val="22"/>
          <w:vertAlign w:val="superscript"/>
          <w:lang w:val="es-ES"/>
        </w:rPr>
        <w:footnoteReference w:id="3"/>
      </w:r>
      <w:r w:rsidRPr="009668DA">
        <w:rPr>
          <w:rFonts w:ascii="Verdana" w:hAnsi="Verdana" w:cs="Arial"/>
          <w:sz w:val="22"/>
          <w:lang w:val="es-ES"/>
        </w:rPr>
        <w:t xml:space="preserve">. </w:t>
      </w:r>
    </w:p>
    <w:p w14:paraId="252BE47E" w14:textId="77777777" w:rsidR="009E40F5" w:rsidRPr="009668DA" w:rsidRDefault="009E40F5" w:rsidP="009E40F5">
      <w:pPr>
        <w:pStyle w:val="Sinespaciado"/>
        <w:spacing w:before="120" w:line="276" w:lineRule="auto"/>
        <w:ind w:firstLine="709"/>
        <w:jc w:val="both"/>
        <w:rPr>
          <w:rFonts w:ascii="Verdana" w:hAnsi="Verdana" w:cs="Arial"/>
          <w:sz w:val="22"/>
          <w:lang w:val="es-ES"/>
        </w:rPr>
      </w:pPr>
      <w:r w:rsidRPr="009668DA">
        <w:rPr>
          <w:rFonts w:ascii="Verdana" w:hAnsi="Verdana" w:cs="Arial"/>
          <w:sz w:val="22"/>
          <w:lang w:val="es-ES"/>
        </w:rPr>
        <w:lastRenderedPageBreak/>
        <w:t xml:space="preserve">Las limitaciones que afectan la capacidad jurídica para contratar desarrollan los principios de la función administrativa consagrados en el artículo 209 de la Constitución Política, con especial énfasis en la moralidad administrativa. Así lo ha entendido el Consejo de Estado, quien se ha pronunciado al respecto en los siguientes términos: </w:t>
      </w:r>
    </w:p>
    <w:p w14:paraId="1FE97FE1" w14:textId="77777777" w:rsidR="009E40F5" w:rsidRPr="009668DA" w:rsidRDefault="009E40F5" w:rsidP="009E40F5">
      <w:pPr>
        <w:pStyle w:val="Sinespaciado"/>
        <w:spacing w:line="276" w:lineRule="auto"/>
        <w:jc w:val="both"/>
        <w:rPr>
          <w:rFonts w:ascii="Verdana" w:hAnsi="Verdana" w:cs="Arial"/>
          <w:sz w:val="22"/>
          <w:lang w:val="es-ES"/>
        </w:rPr>
      </w:pPr>
    </w:p>
    <w:p w14:paraId="5BDBA6DD" w14:textId="77777777" w:rsidR="009E40F5" w:rsidRPr="00405602" w:rsidRDefault="009E40F5" w:rsidP="009E40F5">
      <w:pPr>
        <w:pStyle w:val="NormalWeb"/>
        <w:shd w:val="clear" w:color="auto" w:fill="FFFFFF"/>
        <w:spacing w:before="0" w:beforeAutospacing="0" w:after="0" w:afterAutospacing="0"/>
        <w:ind w:left="709" w:right="709"/>
        <w:jc w:val="both"/>
        <w:rPr>
          <w:rFonts w:ascii="Verdana" w:eastAsiaTheme="minorHAnsi" w:hAnsi="Verdana" w:cs="Arial"/>
          <w:sz w:val="20"/>
          <w:szCs w:val="20"/>
          <w:lang w:val="es-ES" w:eastAsia="en-US"/>
        </w:rPr>
      </w:pPr>
      <w:r w:rsidRPr="00405602">
        <w:rPr>
          <w:rFonts w:ascii="Verdana" w:hAnsi="Verdana" w:cs="Arial"/>
          <w:sz w:val="20"/>
          <w:szCs w:val="20"/>
          <w:lang w:val="es-ES"/>
        </w:rPr>
        <w:t>”</w:t>
      </w:r>
      <w:r w:rsidRPr="00405602">
        <w:rPr>
          <w:rFonts w:ascii="Verdana" w:eastAsiaTheme="minorHAnsi" w:hAnsi="Verdana" w:cs="Arial"/>
          <w:sz w:val="20"/>
          <w:szCs w:val="20"/>
          <w:lang w:val="es-ES" w:eastAsia="en-U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149D5B1B" w14:textId="77777777" w:rsidR="009E40F5" w:rsidRDefault="009E40F5" w:rsidP="009E40F5">
      <w:pPr>
        <w:pStyle w:val="NormalWeb"/>
        <w:shd w:val="clear" w:color="auto" w:fill="FFFFFF"/>
        <w:spacing w:before="0" w:beforeAutospacing="0" w:after="0" w:afterAutospacing="0"/>
        <w:ind w:left="709" w:right="709"/>
        <w:jc w:val="both"/>
        <w:rPr>
          <w:rFonts w:ascii="Verdana" w:eastAsiaTheme="minorHAnsi" w:hAnsi="Verdana" w:cs="Arial"/>
          <w:sz w:val="20"/>
          <w:szCs w:val="20"/>
          <w:lang w:val="es-ES" w:eastAsia="en-US"/>
        </w:rPr>
      </w:pPr>
    </w:p>
    <w:p w14:paraId="73BCE715" w14:textId="77777777" w:rsidR="009E40F5" w:rsidRPr="00405602" w:rsidRDefault="009E40F5" w:rsidP="009E40F5">
      <w:pPr>
        <w:pStyle w:val="NormalWeb"/>
        <w:shd w:val="clear" w:color="auto" w:fill="FFFFFF"/>
        <w:spacing w:before="0" w:beforeAutospacing="0" w:after="0" w:afterAutospacing="0"/>
        <w:ind w:left="709" w:right="709"/>
        <w:jc w:val="both"/>
        <w:rPr>
          <w:rFonts w:ascii="Verdana" w:eastAsiaTheme="minorHAnsi" w:hAnsi="Verdana" w:cs="Arial"/>
          <w:sz w:val="20"/>
          <w:szCs w:val="20"/>
          <w:lang w:val="es-ES" w:eastAsia="en-US"/>
        </w:rPr>
      </w:pPr>
      <w:r w:rsidRPr="00405602">
        <w:rPr>
          <w:rFonts w:ascii="Verdana" w:eastAsiaTheme="minorHAnsi" w:hAnsi="Verdana" w:cs="Arial"/>
          <w:sz w:val="20"/>
          <w:szCs w:val="20"/>
          <w:lang w:val="es-ES" w:eastAsia="en-U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Pr>
          <w:rFonts w:ascii="Verdana" w:eastAsiaTheme="minorHAnsi" w:hAnsi="Verdana" w:cs="Arial"/>
          <w:sz w:val="20"/>
          <w:szCs w:val="20"/>
          <w:lang w:val="es-ES" w:eastAsia="en-US"/>
        </w:rPr>
        <w:t>”</w:t>
      </w:r>
      <w:r w:rsidRPr="00405602">
        <w:rPr>
          <w:rStyle w:val="Refdenotaalpie"/>
          <w:rFonts w:ascii="Verdana" w:eastAsiaTheme="minorHAnsi" w:hAnsi="Verdana" w:cs="Arial"/>
          <w:sz w:val="20"/>
          <w:szCs w:val="20"/>
          <w:lang w:val="es-ES" w:eastAsia="en-US"/>
        </w:rPr>
        <w:footnoteReference w:id="4"/>
      </w:r>
      <w:r>
        <w:rPr>
          <w:rFonts w:ascii="Verdana" w:eastAsiaTheme="minorHAnsi" w:hAnsi="Verdana" w:cs="Arial"/>
          <w:sz w:val="20"/>
          <w:szCs w:val="20"/>
          <w:lang w:val="es-ES" w:eastAsia="en-US"/>
        </w:rPr>
        <w:t>.</w:t>
      </w:r>
      <w:r w:rsidRPr="00405602">
        <w:rPr>
          <w:rFonts w:ascii="Verdana" w:eastAsiaTheme="minorHAnsi" w:hAnsi="Verdana" w:cs="Arial"/>
          <w:sz w:val="20"/>
          <w:szCs w:val="20"/>
          <w:lang w:val="es-ES" w:eastAsia="en-US"/>
        </w:rPr>
        <w:t xml:space="preserve"> </w:t>
      </w:r>
    </w:p>
    <w:p w14:paraId="30FA0D63" w14:textId="77777777" w:rsidR="009E40F5" w:rsidRPr="009668DA" w:rsidRDefault="009E40F5" w:rsidP="009E40F5">
      <w:pPr>
        <w:pStyle w:val="Sinespaciado"/>
        <w:spacing w:line="276" w:lineRule="auto"/>
        <w:jc w:val="both"/>
        <w:rPr>
          <w:rFonts w:ascii="Verdana" w:hAnsi="Verdana" w:cs="Arial"/>
          <w:sz w:val="22"/>
          <w:lang w:val="es-ES"/>
        </w:rPr>
      </w:pPr>
    </w:p>
    <w:p w14:paraId="03E05314" w14:textId="77777777" w:rsidR="009E40F5" w:rsidRPr="009668DA" w:rsidRDefault="009E40F5" w:rsidP="009E40F5">
      <w:pPr>
        <w:spacing w:after="120" w:line="276" w:lineRule="auto"/>
        <w:ind w:firstLine="709"/>
        <w:jc w:val="both"/>
        <w:rPr>
          <w:rFonts w:ascii="Verdana" w:hAnsi="Verdana" w:cs="Arial"/>
          <w:shd w:val="clear" w:color="auto" w:fill="FFFFFF"/>
          <w:lang w:val="es-ES" w:eastAsia="es-ES_tradnl"/>
        </w:rPr>
      </w:pPr>
      <w:r w:rsidRPr="009668DA">
        <w:rPr>
          <w:rFonts w:ascii="Verdana" w:hAnsi="Verdana" w:cs="Arial"/>
          <w:lang w:val="es-ES"/>
        </w:rPr>
        <w:t>De la jurisprudencia citada se desprende que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estar justificadas en la protección del interés general y que su lectura e interpretación es taxativa y restrictiva</w:t>
      </w:r>
      <w:r w:rsidRPr="009668DA">
        <w:rPr>
          <w:rStyle w:val="Refdenotaalpie"/>
          <w:rFonts w:ascii="Verdana" w:hAnsi="Verdana" w:cs="Arial"/>
          <w:lang w:val="es-ES"/>
        </w:rPr>
        <w:footnoteReference w:id="5"/>
      </w:r>
      <w:r w:rsidRPr="009668DA">
        <w:rPr>
          <w:rFonts w:ascii="Verdana" w:hAnsi="Verdana"/>
          <w:lang w:val="es-ES"/>
        </w:rPr>
        <w:t>.</w:t>
      </w:r>
      <w:r w:rsidRPr="009668DA">
        <w:rPr>
          <w:rFonts w:ascii="Verdana" w:hAnsi="Verdana" w:cs="Arial"/>
          <w:lang w:val="es-ES"/>
        </w:rPr>
        <w:t xml:space="preserve"> Además, la Corte </w:t>
      </w:r>
      <w:r w:rsidRPr="009668DA">
        <w:rPr>
          <w:rFonts w:ascii="Verdana" w:hAnsi="Verdana" w:cs="Arial"/>
          <w:lang w:val="es-ES"/>
        </w:rPr>
        <w:lastRenderedPageBreak/>
        <w:t>Constitucional ha explicado que el legislador tiene la competencia para determinar qué hechos o situaciones generan inhabilidad para contratar, pues este régimen es un aspecto propio del Estatuto General de Contratación de la Administración Pública, cuya expedición compete al Congreso de la República de conformidad con el artículo 150 de la Constitución Política, y que en esta materia rige el principio de legalidad</w:t>
      </w:r>
      <w:r w:rsidRPr="009668DA">
        <w:rPr>
          <w:rStyle w:val="Refdenotaalpie"/>
          <w:rFonts w:ascii="Verdana" w:hAnsi="Verdana" w:cs="Arial"/>
          <w:lang w:val="es-ES"/>
        </w:rPr>
        <w:footnoteReference w:id="6"/>
      </w:r>
      <w:r w:rsidRPr="009668DA">
        <w:rPr>
          <w:rFonts w:ascii="Verdana" w:hAnsi="Verdana" w:cs="Arial"/>
          <w:lang w:val="es-ES"/>
        </w:rPr>
        <w:t>.</w:t>
      </w:r>
    </w:p>
    <w:p w14:paraId="4FDFDE03" w14:textId="77777777" w:rsidR="009E40F5" w:rsidRPr="009668DA" w:rsidRDefault="009E40F5" w:rsidP="009E40F5">
      <w:pPr>
        <w:spacing w:after="120" w:line="276" w:lineRule="auto"/>
        <w:ind w:firstLine="709"/>
        <w:jc w:val="both"/>
        <w:rPr>
          <w:rFonts w:ascii="Verdana" w:hAnsi="Verdana" w:cs="Arial"/>
          <w:lang w:val="es-ES"/>
        </w:rPr>
      </w:pPr>
      <w:r w:rsidRPr="009668DA">
        <w:rPr>
          <w:rFonts w:ascii="Verdana" w:hAnsi="Verdana" w:cs="Arial"/>
          <w:lang w:val="es-ES"/>
        </w:rPr>
        <w:t xml:space="preserve">Conviene también distinguir las fuentes de las inhabilidades, las cuales han sido clasificadas en dos (2) grupos: i) inhabilidades-sanción y </w:t>
      </w:r>
      <w:proofErr w:type="spellStart"/>
      <w:r w:rsidRPr="009668DA">
        <w:rPr>
          <w:rFonts w:ascii="Verdana" w:hAnsi="Verdana" w:cs="Arial"/>
          <w:lang w:val="es-ES"/>
        </w:rPr>
        <w:t>ii</w:t>
      </w:r>
      <w:proofErr w:type="spellEnd"/>
      <w:r w:rsidRPr="009668DA">
        <w:rPr>
          <w:rFonts w:ascii="Verdana" w:hAnsi="Verdana" w:cs="Arial"/>
          <w:lang w:val="es-ES"/>
        </w:rPr>
        <w:t>) inhabilidades-requisito. En el primer grupo se encuentran las inhabilidades que surgen como consecuencia de un proceso sancionatorio, en los ámbitos penal, disciplinario, contravencional o de pérdida de investidura. En el segundo grupo están aquellas condiciones propias de la persona y garantizan la moralidad, la imparcialidad, la eficacia y la transparencia</w:t>
      </w:r>
      <w:r w:rsidRPr="009668DA">
        <w:rPr>
          <w:rStyle w:val="Refdenotaalpie"/>
          <w:rFonts w:ascii="Verdana" w:hAnsi="Verdana" w:cs="Arial"/>
          <w:lang w:val="es-ES"/>
        </w:rPr>
        <w:footnoteReference w:id="7"/>
      </w:r>
      <w:r w:rsidRPr="009668DA">
        <w:rPr>
          <w:rFonts w:ascii="Verdana" w:hAnsi="Verdana" w:cs="Arial"/>
          <w:lang w:val="es-ES"/>
        </w:rPr>
        <w:t xml:space="preserve">. </w:t>
      </w:r>
    </w:p>
    <w:p w14:paraId="5A54F853" w14:textId="77777777" w:rsidR="009E40F5" w:rsidRPr="009668DA" w:rsidRDefault="009E40F5" w:rsidP="009E40F5">
      <w:pPr>
        <w:spacing w:before="120" w:after="120" w:line="276" w:lineRule="auto"/>
        <w:ind w:firstLine="708"/>
        <w:jc w:val="both"/>
        <w:rPr>
          <w:rFonts w:ascii="Verdana" w:hAnsi="Verdana" w:cs="Arial"/>
          <w:lang w:val="es-ES"/>
        </w:rPr>
      </w:pPr>
      <w:r w:rsidRPr="009668DA">
        <w:rPr>
          <w:rFonts w:ascii="Verdana" w:hAnsi="Verdana" w:cs="Arial"/>
          <w:lang w:val="es-ES"/>
        </w:rPr>
        <w:t>A manera de ejemplo, en materia contractual, los literales c), d) y j) del numeral 1 del artículo 8 de la Ley 80 de 1993</w:t>
      </w:r>
      <w:r w:rsidRPr="009668DA">
        <w:rPr>
          <w:rFonts w:ascii="Verdana" w:hAnsi="Verdana" w:cs="Arial"/>
          <w:vertAlign w:val="superscript"/>
          <w:lang w:val="es-ES"/>
        </w:rPr>
        <w:footnoteReference w:id="8"/>
      </w:r>
      <w:r w:rsidRPr="009668DA">
        <w:rPr>
          <w:rFonts w:ascii="Verdana" w:hAnsi="Verdana" w:cs="Arial"/>
          <w:lang w:val="es-ES"/>
        </w:rPr>
        <w:t xml:space="preserve"> establecen inhabilidades-sanción, </w:t>
      </w:r>
      <w:r w:rsidRPr="009668DA">
        <w:rPr>
          <w:rFonts w:ascii="Verdana" w:hAnsi="Verdana" w:cs="Arial"/>
          <w:lang w:val="es-ES"/>
        </w:rPr>
        <w:lastRenderedPageBreak/>
        <w:t xml:space="preserve">porque la prohibición para contratar con el Estado en esos eventos es una consecuencia de una declaratoria de responsabilidad que surge luego de un proceso sancionatorio –administrativo, disciplinario o penal–. Por su parte, las inhabilidades de los literales f), g) y h) del numeral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p>
    <w:p w14:paraId="08C75CD3" w14:textId="77777777" w:rsidR="009E40F5" w:rsidRPr="009668DA" w:rsidRDefault="009E40F5" w:rsidP="009E40F5">
      <w:pPr>
        <w:spacing w:before="120" w:line="276" w:lineRule="auto"/>
        <w:ind w:firstLine="709"/>
        <w:jc w:val="both"/>
        <w:rPr>
          <w:rFonts w:ascii="Verdana" w:hAnsi="Verdana" w:cs="Arial"/>
          <w:lang w:val="es-ES"/>
        </w:rPr>
      </w:pPr>
      <w:bookmarkStart w:id="5" w:name="_Hlk40976328"/>
      <w:r w:rsidRPr="009668DA">
        <w:rPr>
          <w:rFonts w:ascii="Verdana" w:hAnsi="Verdana" w:cs="Arial"/>
          <w:lang w:val="es-ES"/>
        </w:rPr>
        <w:lastRenderedPageBreak/>
        <w:t>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que recae sobre la persona natural o jurídica que presentó propuesta.</w:t>
      </w:r>
      <w:bookmarkEnd w:id="5"/>
    </w:p>
    <w:p w14:paraId="6340C7DE" w14:textId="77777777" w:rsidR="009E40F5" w:rsidRPr="009668DA" w:rsidRDefault="009E40F5" w:rsidP="009E40F5">
      <w:pPr>
        <w:spacing w:line="276" w:lineRule="auto"/>
        <w:ind w:firstLine="709"/>
        <w:jc w:val="both"/>
        <w:rPr>
          <w:rFonts w:ascii="Verdana" w:eastAsia="Calibri" w:hAnsi="Verdana" w:cs="Arial"/>
          <w:lang w:val="es-ES"/>
        </w:rPr>
      </w:pPr>
      <w:r w:rsidRPr="009668DA">
        <w:rPr>
          <w:rFonts w:ascii="Verdana" w:eastAsia="Calibri" w:hAnsi="Verdana" w:cs="Arial"/>
          <w:lang w:val="es-ES"/>
        </w:rPr>
        <w:t>El régimen de inhabilidades e incompatibilidades en la contratación estatal responde a la tendencia, vigente desde hace varias décadas en nuestro país, pero que se ha reforzado en los últimos años, de asegurar que la actividad de provisión de los bienes y servicios por parte de las entidades estatales se efectúe cumpliendo con los principios de la función administrativa y de la gestión fiscal, especialmente con probidad y transparencia.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474078D9" w14:textId="77777777" w:rsidR="009E40F5" w:rsidRPr="009668DA" w:rsidRDefault="009E40F5" w:rsidP="009E40F5">
      <w:pPr>
        <w:spacing w:before="120" w:after="120" w:line="276" w:lineRule="auto"/>
        <w:ind w:firstLine="709"/>
        <w:jc w:val="both"/>
        <w:rPr>
          <w:rFonts w:ascii="Verdana" w:eastAsia="Calibri" w:hAnsi="Verdana" w:cs="Arial"/>
          <w:lang w:val="es-ES"/>
        </w:rPr>
      </w:pPr>
      <w:r w:rsidRPr="009668DA">
        <w:rPr>
          <w:rFonts w:ascii="Verdana" w:eastAsia="Calibri" w:hAnsi="Verdana" w:cs="Arial"/>
          <w:lang w:val="es-ES"/>
        </w:rPr>
        <w:t xml:space="preserve">Ahora bien, las inhabilidades e incompatibilidades al ser restricciones o límites especiales a la capacidad para presentar ofertas y celebrar contratos estatales, sólo pueden tipificarse en la ley, es decir, deben satisfacer el principio de legalidad, y su interpretación debe ser </w:t>
      </w:r>
      <w:r w:rsidRPr="009668DA">
        <w:rPr>
          <w:rFonts w:ascii="Verdana" w:eastAsia="Calibri" w:hAnsi="Verdana" w:cs="Arial"/>
          <w:i/>
          <w:iCs/>
          <w:lang w:val="es-ES"/>
        </w:rPr>
        <w:t>restrictiva</w:t>
      </w:r>
      <w:r w:rsidRPr="009668DA">
        <w:rPr>
          <w:rFonts w:ascii="Verdana" w:eastAsia="Calibri" w:hAnsi="Verdana" w:cs="Arial"/>
          <w:vertAlign w:val="superscript"/>
          <w:lang w:val="es-ES"/>
        </w:rPr>
        <w:footnoteReference w:id="9"/>
      </w:r>
      <w:r w:rsidRPr="009668DA">
        <w:rPr>
          <w:rFonts w:ascii="Verdana" w:eastAsia="Calibri" w:hAnsi="Verdana" w:cs="Arial"/>
          <w:lang w:val="es-ES"/>
        </w:rPr>
        <w:t xml:space="preserve">. En efecto,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libre concurrencia y el ejercicio de la profesión u oficio. Esta ha sido la postura de la jurisprudencia, tanto de la Corte Constitucional como de la Sección Tercera del Consejo de Estado. </w:t>
      </w:r>
    </w:p>
    <w:p w14:paraId="0F68F793" w14:textId="77777777" w:rsidR="009E40F5" w:rsidRPr="009668DA" w:rsidRDefault="009E40F5" w:rsidP="009E40F5">
      <w:pPr>
        <w:spacing w:line="276" w:lineRule="auto"/>
        <w:ind w:firstLine="709"/>
        <w:jc w:val="both"/>
        <w:rPr>
          <w:rFonts w:ascii="Verdana" w:eastAsia="Calibri" w:hAnsi="Verdana" w:cs="Arial"/>
          <w:lang w:val="es-ES"/>
        </w:rPr>
      </w:pPr>
      <w:r w:rsidRPr="009668DA">
        <w:rPr>
          <w:rFonts w:ascii="Verdana" w:eastAsia="Calibri" w:hAnsi="Verdana" w:cs="Arial"/>
          <w:lang w:val="es-ES"/>
        </w:rPr>
        <w:t xml:space="preserve">En efecto, el máximo tribunal constitucional ha indicado que, al tratar de precisar el sentido de este tipo de normas, </w:t>
      </w:r>
      <w:r>
        <w:rPr>
          <w:rFonts w:ascii="Verdana" w:eastAsia="Calibri" w:hAnsi="Verdana" w:cs="Arial"/>
          <w:lang w:val="es-ES"/>
        </w:rPr>
        <w:t>“</w:t>
      </w:r>
      <w:r w:rsidRPr="009668DA">
        <w:rPr>
          <w:rFonts w:ascii="Verdana" w:eastAsia="Calibri" w:hAnsi="Verdana" w:cs="Arial"/>
          <w:lang w:val="es-ES"/>
        </w:rPr>
        <w:t xml:space="preserve">[…] el intérprete de las disposiciones legislativas en la materia ha de ceñirse en la mayor medida posible al tenor literal y gramatical de los enunciados normativos, sin que pueda acudir prima facie a criterios interpretativos tales como la analogía, la interpretación </w:t>
      </w:r>
      <w:r w:rsidRPr="009668DA">
        <w:rPr>
          <w:rFonts w:ascii="Verdana" w:eastAsia="Calibri" w:hAnsi="Verdana" w:cs="Arial"/>
          <w:lang w:val="es-ES"/>
        </w:rPr>
        <w:lastRenderedPageBreak/>
        <w:t>extensiva para ampliar el alcance de las causales legalmente fijadas</w:t>
      </w:r>
      <w:r>
        <w:rPr>
          <w:rFonts w:ascii="Verdana" w:eastAsia="Calibri" w:hAnsi="Verdana" w:cs="Arial"/>
          <w:lang w:val="es-ES"/>
        </w:rPr>
        <w:t>”</w:t>
      </w:r>
      <w:r w:rsidRPr="009668DA">
        <w:rPr>
          <w:rFonts w:ascii="Verdana" w:eastAsia="Calibri" w:hAnsi="Verdana" w:cs="Arial"/>
          <w:vertAlign w:val="superscript"/>
          <w:lang w:val="es-ES"/>
        </w:rPr>
        <w:footnoteReference w:id="10"/>
      </w:r>
      <w:r w:rsidRPr="009668DA">
        <w:rPr>
          <w:rFonts w:ascii="Verdana" w:eastAsia="Calibri" w:hAnsi="Verdana" w:cs="Arial"/>
          <w:lang w:val="es-ES"/>
        </w:rPr>
        <w:t xml:space="preserve">. Por su parte, el Consejo de Estado ha acogido también este criterio, considerando –como expresa la Sala de Consulta y Servicio Civil–, que </w:t>
      </w:r>
      <w:r>
        <w:rPr>
          <w:rFonts w:ascii="Verdana" w:eastAsia="Calibri" w:hAnsi="Verdana" w:cs="Arial"/>
          <w:lang w:val="es-ES"/>
        </w:rPr>
        <w:t>“</w:t>
      </w:r>
      <w:r w:rsidRPr="009668DA">
        <w:rPr>
          <w:rFonts w:ascii="Verdana" w:eastAsia="Calibri" w:hAnsi="Verdana" w:cs="Arial"/>
          <w:lang w:val="es-ES"/>
        </w:rPr>
        <w:t xml:space="preserve">La interpretación restrictiva de las normas que establecen inhabilidades constituye una aplicación del principio del Estado de Derecho previsto en el artículo 6º de la Constitución, según el cual </w:t>
      </w:r>
      <w:r>
        <w:rPr>
          <w:rFonts w:ascii="Verdana" w:eastAsia="Calibri" w:hAnsi="Verdana" w:cs="Arial"/>
          <w:lang w:val="es-ES"/>
        </w:rPr>
        <w:t>L</w:t>
      </w:r>
      <w:r w:rsidRPr="009668DA">
        <w:rPr>
          <w:rFonts w:ascii="Verdana" w:eastAsia="Calibri" w:hAnsi="Verdana" w:cs="Arial"/>
          <w:lang w:val="es-ES"/>
        </w:rPr>
        <w:t>os particulares sólo son responsables ante las autoridades por infringir la Constitución y las leyes lo que se traduce en que pueden hacer todo aquello que no les esté expresamente prohibido</w:t>
      </w:r>
      <w:r>
        <w:rPr>
          <w:rFonts w:ascii="Verdana" w:eastAsia="Calibri" w:hAnsi="Verdana" w:cs="Arial"/>
          <w:lang w:val="es-ES"/>
        </w:rPr>
        <w:t>”</w:t>
      </w:r>
      <w:r w:rsidRPr="009668DA">
        <w:rPr>
          <w:rFonts w:ascii="Verdana" w:eastAsia="Calibri" w:hAnsi="Verdana" w:cs="Arial"/>
          <w:vertAlign w:val="superscript"/>
          <w:lang w:val="es-ES"/>
        </w:rPr>
        <w:footnoteReference w:id="11"/>
      </w:r>
      <w:r w:rsidRPr="009668DA">
        <w:rPr>
          <w:rFonts w:ascii="Verdana" w:eastAsia="Calibri" w:hAnsi="Verdana" w:cs="Arial"/>
          <w:lang w:val="es-ES"/>
        </w:rPr>
        <w:t>. En tal sentido, la Sección Tercera ha señalado que:</w:t>
      </w:r>
    </w:p>
    <w:p w14:paraId="48EE749B" w14:textId="77777777" w:rsidR="009E40F5" w:rsidRPr="00A32447" w:rsidRDefault="009E40F5" w:rsidP="009E40F5">
      <w:pPr>
        <w:spacing w:after="0" w:line="240" w:lineRule="auto"/>
        <w:ind w:left="709" w:right="709"/>
        <w:jc w:val="both"/>
        <w:rPr>
          <w:rFonts w:ascii="Verdana" w:hAnsi="Verdana" w:cs="Arial"/>
          <w:sz w:val="20"/>
          <w:szCs w:val="20"/>
          <w:lang w:val="es-ES"/>
        </w:rPr>
      </w:pPr>
      <w:r>
        <w:rPr>
          <w:rFonts w:ascii="Verdana" w:eastAsia="Calibri" w:hAnsi="Verdana" w:cs="Arial"/>
          <w:sz w:val="20"/>
          <w:szCs w:val="20"/>
          <w:lang w:val="es-ES"/>
        </w:rPr>
        <w:t>“[</w:t>
      </w:r>
      <w:r w:rsidRPr="00A32447">
        <w:rPr>
          <w:rFonts w:ascii="Verdana" w:hAnsi="Verdana" w:cs="Arial"/>
          <w:sz w:val="20"/>
          <w:szCs w:val="20"/>
          <w:lang w:val="es-ES"/>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A32447">
        <w:rPr>
          <w:rFonts w:ascii="Verdana" w:hAnsi="Verdana" w:cs="Arial"/>
          <w:sz w:val="20"/>
          <w:szCs w:val="20"/>
          <w:vertAlign w:val="superscript"/>
          <w:lang w:val="es-ES"/>
        </w:rPr>
        <w:footnoteReference w:id="12"/>
      </w:r>
      <w:r w:rsidRPr="00A32447">
        <w:rPr>
          <w:rFonts w:ascii="Verdana" w:hAnsi="Verdana" w:cs="Arial"/>
          <w:sz w:val="20"/>
          <w:szCs w:val="20"/>
          <w:lang w:val="es-ES"/>
        </w:rPr>
        <w:t>.</w:t>
      </w:r>
      <w:r w:rsidRPr="00A32447">
        <w:rPr>
          <w:rFonts w:ascii="Verdana" w:eastAsia="Calibri" w:hAnsi="Verdana" w:cs="Arial"/>
          <w:sz w:val="20"/>
          <w:szCs w:val="20"/>
          <w:lang w:val="es-ES"/>
        </w:rPr>
        <w:t>»</w:t>
      </w:r>
    </w:p>
    <w:p w14:paraId="7EFC2C9B" w14:textId="77777777" w:rsidR="009E40F5" w:rsidRDefault="009E40F5" w:rsidP="009E40F5">
      <w:pPr>
        <w:spacing w:after="0" w:line="240" w:lineRule="auto"/>
        <w:ind w:firstLine="709"/>
        <w:jc w:val="both"/>
        <w:rPr>
          <w:rFonts w:ascii="Verdana" w:eastAsia="Calibri" w:hAnsi="Verdana" w:cs="Arial"/>
          <w:sz w:val="20"/>
          <w:szCs w:val="20"/>
          <w:lang w:val="es-ES"/>
        </w:rPr>
      </w:pPr>
      <w:r w:rsidRPr="00A32447">
        <w:rPr>
          <w:rFonts w:ascii="Verdana" w:eastAsia="Calibri" w:hAnsi="Verdana" w:cs="Arial"/>
          <w:sz w:val="20"/>
          <w:szCs w:val="20"/>
          <w:lang w:val="es-ES"/>
        </w:rPr>
        <w:t>También ha sostenido que:</w:t>
      </w:r>
    </w:p>
    <w:p w14:paraId="2B482F65" w14:textId="77777777" w:rsidR="009E40F5" w:rsidRPr="00A32447" w:rsidRDefault="009E40F5" w:rsidP="009E40F5">
      <w:pPr>
        <w:spacing w:after="0" w:line="240" w:lineRule="auto"/>
        <w:ind w:firstLine="709"/>
        <w:jc w:val="both"/>
        <w:rPr>
          <w:rFonts w:ascii="Verdana" w:eastAsia="Calibri" w:hAnsi="Verdana" w:cs="Arial"/>
          <w:sz w:val="20"/>
          <w:szCs w:val="20"/>
          <w:lang w:val="es-ES"/>
        </w:rPr>
      </w:pPr>
    </w:p>
    <w:p w14:paraId="0B4EFD8D" w14:textId="77777777" w:rsidR="009E40F5" w:rsidRPr="00A32447" w:rsidRDefault="009E40F5" w:rsidP="009E40F5">
      <w:pPr>
        <w:spacing w:after="0" w:line="240" w:lineRule="auto"/>
        <w:ind w:left="709" w:right="709"/>
        <w:jc w:val="both"/>
        <w:rPr>
          <w:rFonts w:ascii="Verdana" w:hAnsi="Verdana" w:cs="Arial"/>
          <w:sz w:val="20"/>
          <w:szCs w:val="20"/>
          <w:lang w:val="es-ES"/>
        </w:rPr>
      </w:pPr>
      <w:r w:rsidRPr="00A32447">
        <w:rPr>
          <w:rFonts w:ascii="Verdana" w:eastAsia="Calibri" w:hAnsi="Verdana" w:cs="Arial"/>
          <w:sz w:val="20"/>
          <w:szCs w:val="20"/>
          <w:lang w:val="es-ES"/>
        </w:rPr>
        <w:t>«</w:t>
      </w:r>
      <w:r w:rsidRPr="00A32447">
        <w:rPr>
          <w:rFonts w:ascii="Verdana" w:hAnsi="Verdana" w:cs="Arial"/>
          <w:sz w:val="20"/>
          <w:szCs w:val="20"/>
          <w:lang w:val="es-ES"/>
        </w:rPr>
        <w:t xml:space="preserve">[…] la aplicación de estos preceptos exige una interpretación restrictiva, dado que según el principio hermenéutico </w:t>
      </w:r>
      <w:r w:rsidRPr="00A32447">
        <w:rPr>
          <w:rFonts w:ascii="Verdana" w:hAnsi="Verdana" w:cs="Arial"/>
          <w:i/>
          <w:iCs/>
          <w:sz w:val="20"/>
          <w:szCs w:val="20"/>
          <w:lang w:val="es-ES"/>
        </w:rPr>
        <w:t xml:space="preserve">pro </w:t>
      </w:r>
      <w:proofErr w:type="spellStart"/>
      <w:r w:rsidRPr="00A32447">
        <w:rPr>
          <w:rFonts w:ascii="Verdana" w:hAnsi="Verdana" w:cs="Arial"/>
          <w:i/>
          <w:iCs/>
          <w:sz w:val="20"/>
          <w:szCs w:val="20"/>
          <w:lang w:val="es-ES"/>
        </w:rPr>
        <w:t>libertate</w:t>
      </w:r>
      <w:proofErr w:type="spellEnd"/>
      <w:r w:rsidRPr="00A32447">
        <w:rPr>
          <w:rFonts w:ascii="Verdana" w:hAnsi="Verdana" w:cs="Arial"/>
          <w:sz w:val="20"/>
          <w:szCs w:val="20"/>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Pr>
          <w:rFonts w:ascii="Verdana" w:hAnsi="Verdana" w:cs="Arial"/>
          <w:sz w:val="20"/>
          <w:szCs w:val="20"/>
          <w:lang w:val="es-ES"/>
        </w:rPr>
        <w:t>”</w:t>
      </w:r>
      <w:r w:rsidRPr="00A32447">
        <w:rPr>
          <w:rFonts w:ascii="Verdana" w:hAnsi="Verdana" w:cs="Arial"/>
          <w:sz w:val="20"/>
          <w:szCs w:val="20"/>
          <w:vertAlign w:val="superscript"/>
          <w:lang w:val="es-ES"/>
        </w:rPr>
        <w:footnoteReference w:id="13"/>
      </w:r>
      <w:r w:rsidRPr="00A32447">
        <w:rPr>
          <w:rFonts w:ascii="Verdana" w:hAnsi="Verdana" w:cs="Arial"/>
          <w:sz w:val="20"/>
          <w:szCs w:val="20"/>
          <w:lang w:val="es-ES"/>
        </w:rPr>
        <w:t>.</w:t>
      </w:r>
    </w:p>
    <w:p w14:paraId="7061C51D" w14:textId="77777777" w:rsidR="009E40F5" w:rsidRDefault="009E40F5" w:rsidP="009E40F5">
      <w:pPr>
        <w:spacing w:after="0" w:line="240" w:lineRule="auto"/>
        <w:ind w:firstLine="709"/>
        <w:jc w:val="both"/>
        <w:rPr>
          <w:rFonts w:ascii="Verdana" w:eastAsia="Calibri" w:hAnsi="Verdana" w:cs="Arial"/>
          <w:lang w:val="es-ES"/>
        </w:rPr>
      </w:pPr>
    </w:p>
    <w:p w14:paraId="71D3E0E5" w14:textId="77777777" w:rsidR="009E40F5" w:rsidRPr="009668DA" w:rsidRDefault="009E40F5" w:rsidP="009E40F5">
      <w:pPr>
        <w:spacing w:line="276" w:lineRule="auto"/>
        <w:ind w:firstLine="708"/>
        <w:jc w:val="both"/>
        <w:rPr>
          <w:rFonts w:ascii="Verdana" w:eastAsia="Calibri" w:hAnsi="Verdana" w:cs="Arial"/>
          <w:lang w:val="es-ES"/>
        </w:rPr>
      </w:pPr>
      <w:r w:rsidRPr="009668DA">
        <w:rPr>
          <w:rFonts w:ascii="Verdana" w:eastAsia="Calibri" w:hAnsi="Verdana" w:cs="Arial"/>
          <w:lang w:val="es-ES"/>
        </w:rPr>
        <w:t xml:space="preserve">Como se aprecia, el principio </w:t>
      </w:r>
      <w:r w:rsidRPr="009668DA">
        <w:rPr>
          <w:rFonts w:ascii="Verdana" w:eastAsia="Calibri" w:hAnsi="Verdana" w:cs="Arial"/>
          <w:i/>
          <w:iCs/>
          <w:lang w:val="es-ES"/>
        </w:rPr>
        <w:t xml:space="preserve">pro </w:t>
      </w:r>
      <w:proofErr w:type="spellStart"/>
      <w:r w:rsidRPr="009668DA">
        <w:rPr>
          <w:rFonts w:ascii="Verdana" w:eastAsia="Calibri" w:hAnsi="Verdana" w:cs="Arial"/>
          <w:i/>
          <w:iCs/>
          <w:lang w:val="es-ES"/>
        </w:rPr>
        <w:t>libertate</w:t>
      </w:r>
      <w:proofErr w:type="spellEnd"/>
      <w:r w:rsidRPr="009668DA">
        <w:rPr>
          <w:rFonts w:ascii="Verdana" w:eastAsia="Calibri" w:hAnsi="Verdana" w:cs="Arial"/>
          <w:lang w:val="es-ES"/>
        </w:rPr>
        <w:t xml:space="preserve"> dirige la interpretación de las disposiciones que consagran restricciones de derechos, como sucede con las causales de inhabilidad e incompatibilidad en la contratación estatal. El carácter reconocidamente taxativo y restrictivo de régimen de inhabilidades obedece a la necesidad de salvaguardar el interés general inherente en la contratación </w:t>
      </w:r>
      <w:r w:rsidRPr="009668DA">
        <w:rPr>
          <w:rFonts w:ascii="Verdana" w:eastAsia="Calibri" w:hAnsi="Verdana" w:cs="Arial"/>
          <w:lang w:val="es-ES"/>
        </w:rPr>
        <w:lastRenderedPageBreak/>
        <w:t>pública, de forma que implique el menor sacrificio posible al derecho de igualdad y de reconocimiento de la personalidad jurídica de quienes aspiran a contratar con el Estado.</w:t>
      </w:r>
    </w:p>
    <w:p w14:paraId="686798AA" w14:textId="77777777" w:rsidR="009E40F5" w:rsidRPr="009668DA" w:rsidRDefault="009E40F5" w:rsidP="009E40F5">
      <w:pPr>
        <w:spacing w:after="120" w:line="276" w:lineRule="auto"/>
        <w:ind w:firstLine="709"/>
        <w:jc w:val="both"/>
        <w:rPr>
          <w:rFonts w:ascii="Verdana" w:hAnsi="Verdana" w:cs="Arial"/>
          <w:bCs/>
          <w:color w:val="000000" w:themeColor="text1"/>
          <w:lang w:val="es-ES_tradnl"/>
        </w:rPr>
      </w:pPr>
      <w:r w:rsidRPr="009668DA">
        <w:rPr>
          <w:rFonts w:ascii="Verdana" w:hAnsi="Verdana" w:cs="Arial"/>
          <w:bCs/>
          <w:color w:val="000000" w:themeColor="text1"/>
          <w:lang w:val="es-ES_tradnl"/>
        </w:rPr>
        <w:t>Previo a la apertura de un procedimiento de licitación pública para la contratación de una obra, la entidad estatal debe contar con los estudios y diseños que permitan establecer la viabilidad del proyecto y su impacto social, económico y ambiental, en los términos del numeral 12 del artículo 25 de la Ley 80 de 1993, modificado por el artículo 87 de la Ley 1474 de 2011. De esta manera, la falta o insuficiencia de estos estudios atenta contra el principio de planeación y puede generar responsabilidad, tanto para la entidad como para los servidores públicos a cargo del procedimiento, de conformidad con el numeral 3 del artículo 26 de la Ley 80 de 1993</w:t>
      </w:r>
      <w:r w:rsidRPr="009668DA">
        <w:rPr>
          <w:rStyle w:val="Refdenotaalpie"/>
          <w:rFonts w:ascii="Verdana" w:hAnsi="Verdana" w:cs="Arial"/>
          <w:bCs/>
          <w:color w:val="000000" w:themeColor="text1"/>
          <w:lang w:val="es-ES_tradnl"/>
        </w:rPr>
        <w:footnoteReference w:id="14"/>
      </w:r>
      <w:r w:rsidRPr="009668DA">
        <w:rPr>
          <w:rFonts w:ascii="Verdana" w:hAnsi="Verdana" w:cs="Arial"/>
          <w:bCs/>
          <w:color w:val="000000" w:themeColor="text1"/>
          <w:lang w:val="es-ES_tradnl"/>
        </w:rPr>
        <w:t>.</w:t>
      </w:r>
    </w:p>
    <w:p w14:paraId="6958AC1D" w14:textId="77777777" w:rsidR="009E40F5" w:rsidRPr="009668DA" w:rsidRDefault="009E40F5" w:rsidP="009E40F5">
      <w:pPr>
        <w:spacing w:after="120" w:line="276" w:lineRule="auto"/>
        <w:ind w:firstLine="709"/>
        <w:jc w:val="both"/>
        <w:rPr>
          <w:rFonts w:ascii="Verdana" w:hAnsi="Verdana" w:cs="Arial"/>
          <w:color w:val="000000" w:themeColor="text1"/>
          <w:lang w:val="es-ES"/>
        </w:rPr>
      </w:pPr>
      <w:r w:rsidRPr="009668DA">
        <w:rPr>
          <w:rFonts w:ascii="Verdana" w:hAnsi="Verdana" w:cs="Arial"/>
          <w:color w:val="000000" w:themeColor="text1"/>
          <w:lang w:val="es-ES"/>
        </w:rPr>
        <w:t>Los estudios y diseños de la obra pueden elaborarse de manera previa, mediante la celebración de un contrato de consultoría</w:t>
      </w:r>
      <w:r w:rsidRPr="009668DA">
        <w:rPr>
          <w:rStyle w:val="Refdenotaalpie"/>
          <w:rFonts w:ascii="Verdana" w:hAnsi="Verdana" w:cs="Arial"/>
          <w:color w:val="000000" w:themeColor="text1"/>
          <w:lang w:val="es-ES"/>
        </w:rPr>
        <w:footnoteReference w:id="15"/>
      </w:r>
      <w:r w:rsidRPr="009668DA">
        <w:rPr>
          <w:rFonts w:ascii="Verdana" w:hAnsi="Verdana" w:cs="Arial"/>
          <w:color w:val="000000" w:themeColor="text1"/>
          <w:lang w:val="es-ES"/>
        </w:rPr>
        <w:t xml:space="preserve">, que es un contrato independiente al de obra y cuyo objeto puede ser el encargo de la realización de los referidos estudios a un tercero, para que los haga de manera idónea y autónoma. De otra parte, los estudios y diseños de la obra pueden contratarse </w:t>
      </w:r>
      <w:proofErr w:type="gramStart"/>
      <w:r w:rsidRPr="009668DA">
        <w:rPr>
          <w:rFonts w:ascii="Verdana" w:hAnsi="Verdana" w:cs="Arial"/>
          <w:color w:val="000000" w:themeColor="text1"/>
          <w:lang w:val="es-ES"/>
        </w:rPr>
        <w:t>conjuntamente con</w:t>
      </w:r>
      <w:proofErr w:type="gramEnd"/>
      <w:r w:rsidRPr="009668DA">
        <w:rPr>
          <w:rFonts w:ascii="Verdana" w:hAnsi="Verdana" w:cs="Arial"/>
          <w:color w:val="000000" w:themeColor="text1"/>
          <w:lang w:val="es-ES"/>
        </w:rPr>
        <w:t xml:space="preserve"> la construcción de la obra.</w:t>
      </w:r>
    </w:p>
    <w:p w14:paraId="09CFC621" w14:textId="77777777" w:rsidR="009E40F5" w:rsidRPr="009668DA" w:rsidRDefault="009E40F5" w:rsidP="009E40F5">
      <w:pPr>
        <w:spacing w:after="120" w:line="276" w:lineRule="auto"/>
        <w:ind w:firstLine="709"/>
        <w:jc w:val="both"/>
        <w:rPr>
          <w:rFonts w:ascii="Verdana" w:hAnsi="Verdana" w:cs="Arial"/>
          <w:bCs/>
          <w:color w:val="000000" w:themeColor="text1"/>
          <w:lang w:val="es-ES_tradnl"/>
        </w:rPr>
      </w:pPr>
      <w:r w:rsidRPr="009668DA">
        <w:rPr>
          <w:rFonts w:ascii="Verdana" w:hAnsi="Verdana" w:cs="Arial"/>
          <w:bCs/>
          <w:color w:val="000000" w:themeColor="text1"/>
          <w:lang w:val="es-ES_tradnl"/>
        </w:rPr>
        <w:t>Sin perjuicio de lo anterior, cabe preguntarse si una persona que</w:t>
      </w:r>
      <w:r>
        <w:rPr>
          <w:rFonts w:ascii="Verdana" w:hAnsi="Verdana" w:cs="Arial"/>
          <w:bCs/>
          <w:color w:val="000000" w:themeColor="text1"/>
          <w:lang w:val="es-ES_tradnl"/>
        </w:rPr>
        <w:t xml:space="preserve"> donó</w:t>
      </w:r>
      <w:r w:rsidRPr="009668DA">
        <w:rPr>
          <w:rFonts w:ascii="Verdana" w:hAnsi="Verdana" w:cs="Arial"/>
          <w:bCs/>
          <w:color w:val="000000" w:themeColor="text1"/>
          <w:lang w:val="es-ES_tradnl"/>
        </w:rPr>
        <w:t xml:space="preserve"> </w:t>
      </w:r>
      <w:r>
        <w:rPr>
          <w:rFonts w:ascii="Verdana" w:hAnsi="Verdana" w:cs="Arial"/>
          <w:bCs/>
          <w:color w:val="000000" w:themeColor="text1"/>
          <w:lang w:val="es-ES_tradnl"/>
        </w:rPr>
        <w:t>unos</w:t>
      </w:r>
      <w:r w:rsidRPr="009668DA">
        <w:rPr>
          <w:rFonts w:ascii="Verdana" w:hAnsi="Verdana" w:cs="Arial"/>
          <w:bCs/>
          <w:color w:val="000000" w:themeColor="text1"/>
          <w:lang w:val="es-ES_tradnl"/>
        </w:rPr>
        <w:t xml:space="preserve"> diseños puede, </w:t>
      </w:r>
      <w:r>
        <w:rPr>
          <w:rFonts w:ascii="Verdana" w:hAnsi="Verdana" w:cs="Arial"/>
          <w:bCs/>
          <w:color w:val="000000" w:themeColor="text1"/>
          <w:lang w:val="es-ES_tradnl"/>
        </w:rPr>
        <w:t>posteriormente</w:t>
      </w:r>
      <w:r w:rsidRPr="009668DA">
        <w:rPr>
          <w:rFonts w:ascii="Verdana" w:hAnsi="Verdana" w:cs="Arial"/>
          <w:bCs/>
          <w:color w:val="000000" w:themeColor="text1"/>
          <w:lang w:val="es-ES_tradnl"/>
        </w:rPr>
        <w:t xml:space="preserve"> </w:t>
      </w:r>
      <w:r>
        <w:rPr>
          <w:rFonts w:ascii="Verdana" w:hAnsi="Verdana" w:cs="Arial"/>
          <w:bCs/>
          <w:color w:val="000000" w:themeColor="text1"/>
          <w:lang w:val="es-ES_tradnl"/>
        </w:rPr>
        <w:t>laborar para el contratista que ejecuta</w:t>
      </w:r>
      <w:r w:rsidRPr="009668DA">
        <w:rPr>
          <w:rFonts w:ascii="Verdana" w:hAnsi="Verdana" w:cs="Arial"/>
          <w:bCs/>
          <w:color w:val="000000" w:themeColor="text1"/>
          <w:lang w:val="es-ES_tradnl"/>
        </w:rPr>
        <w:t xml:space="preserve"> la obra o si, por el contrario, dicha circunstan</w:t>
      </w:r>
      <w:r>
        <w:rPr>
          <w:rFonts w:ascii="Verdana" w:hAnsi="Verdana" w:cs="Arial"/>
          <w:bCs/>
          <w:color w:val="000000" w:themeColor="text1"/>
          <w:lang w:val="es-ES_tradnl"/>
        </w:rPr>
        <w:t xml:space="preserve">cia resulta ser una inhabilidad o incompatibilidad o constituye un conflicto de intereses. </w:t>
      </w:r>
    </w:p>
    <w:p w14:paraId="02F0A18E" w14:textId="77777777" w:rsidR="009E40F5" w:rsidRPr="009668DA" w:rsidRDefault="009E40F5" w:rsidP="009E40F5">
      <w:pPr>
        <w:spacing w:after="120" w:line="276" w:lineRule="auto"/>
        <w:ind w:firstLine="709"/>
        <w:jc w:val="both"/>
        <w:rPr>
          <w:rFonts w:ascii="Verdana" w:hAnsi="Verdana" w:cs="Arial"/>
          <w:bCs/>
          <w:color w:val="000000" w:themeColor="text1"/>
          <w:lang w:val="es-ES_tradnl"/>
        </w:rPr>
      </w:pPr>
      <w:r w:rsidRPr="009668DA">
        <w:rPr>
          <w:rFonts w:ascii="Verdana" w:hAnsi="Verdana" w:cs="Arial"/>
          <w:bCs/>
          <w:color w:val="000000" w:themeColor="text1"/>
          <w:lang w:val="es-ES_tradnl"/>
        </w:rPr>
        <w:t>Revisadas las causales de inhabilidad e incompatibilidad previstas en el artículo 8 de la Ley 80 de 1993, dicho supuesto no constituye una limitante de la capacidad legal. En principio, dado que dichas causales son taxativas y de interpretación restrictiva, el supuesto mencionado no genera inhabilidad o incompatibilidad para contratar con el Estado.</w:t>
      </w:r>
    </w:p>
    <w:p w14:paraId="64727596" w14:textId="77777777" w:rsidR="009E40F5" w:rsidRPr="009668DA" w:rsidRDefault="009E40F5" w:rsidP="009E40F5">
      <w:pPr>
        <w:spacing w:after="120" w:line="276" w:lineRule="auto"/>
        <w:ind w:firstLine="709"/>
        <w:jc w:val="both"/>
        <w:rPr>
          <w:rFonts w:ascii="Verdana" w:hAnsi="Verdana" w:cs="Arial"/>
          <w:color w:val="000000" w:themeColor="text1"/>
          <w:lang w:val="es-ES"/>
        </w:rPr>
      </w:pPr>
      <w:r w:rsidRPr="009668DA">
        <w:rPr>
          <w:rFonts w:ascii="Verdana" w:hAnsi="Verdana" w:cs="Arial"/>
          <w:color w:val="000000" w:themeColor="text1"/>
          <w:lang w:val="es-ES"/>
        </w:rPr>
        <w:lastRenderedPageBreak/>
        <w:t>Esta circunstancia solo está prohibida en los contratos interadministrativos, ya que la Ley 1150 de 2007, en el artículo 2, numeral 4º, literal c), en el cuarto inciso, establece: «En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 Pero esta prohibición no puede extenderse a los otros casos de celebración de contratos de obra, porque, como se anotó, las causales de inhabilidad e incompatibilidad no admiten una interpretación amplia o teleológica.</w:t>
      </w:r>
    </w:p>
    <w:p w14:paraId="1615F3C2" w14:textId="77777777" w:rsidR="009E40F5" w:rsidRPr="009668DA" w:rsidRDefault="009E40F5" w:rsidP="009E40F5">
      <w:pPr>
        <w:spacing w:after="120" w:line="276" w:lineRule="auto"/>
        <w:ind w:firstLine="709"/>
        <w:jc w:val="both"/>
        <w:rPr>
          <w:rFonts w:ascii="Verdana" w:hAnsi="Verdana" w:cs="Arial"/>
          <w:bCs/>
          <w:color w:val="000000" w:themeColor="text1"/>
          <w:lang w:val="es-ES_tradnl"/>
        </w:rPr>
      </w:pPr>
      <w:r w:rsidRPr="009668DA">
        <w:rPr>
          <w:rFonts w:ascii="Verdana" w:hAnsi="Verdana" w:cs="Arial"/>
          <w:bCs/>
          <w:color w:val="000000" w:themeColor="text1"/>
          <w:lang w:val="es-ES_tradnl"/>
        </w:rPr>
        <w:t>Ni siquiera una prohibición de tal naturaleza puede incluirse en el pliego de condiciones, pues las inhabilidades e incompatibilidades solo pueden crearlas el legislador formal, es decir, se rigen por el principio de tipicidad estricta. Además, el pliego de condiciones es un acto administrativo general –ni siquiera un reglamento– y, por lo tanto, no puede abrogarse la regulación de situaciones que gozan de reserva de ley, como el establecimiento de causales de inhabilidad o de incompatibilidad para participar en el correspondiente procedimiento de selección.</w:t>
      </w:r>
    </w:p>
    <w:p w14:paraId="6335120C" w14:textId="77777777" w:rsidR="009E40F5" w:rsidRPr="009668DA" w:rsidRDefault="009E40F5" w:rsidP="009E40F5">
      <w:pPr>
        <w:spacing w:after="120" w:line="276" w:lineRule="auto"/>
        <w:ind w:firstLine="709"/>
        <w:jc w:val="both"/>
        <w:rPr>
          <w:rFonts w:ascii="Verdana" w:hAnsi="Verdana" w:cs="Arial"/>
          <w:color w:val="000000" w:themeColor="text1"/>
          <w:lang w:val="es-ES"/>
        </w:rPr>
      </w:pPr>
      <w:r w:rsidRPr="009668DA">
        <w:rPr>
          <w:rFonts w:ascii="Verdana" w:hAnsi="Verdana" w:cs="Arial"/>
          <w:color w:val="000000" w:themeColor="text1"/>
          <w:lang w:val="es-ES"/>
        </w:rPr>
        <w:t xml:space="preserve">De otro lado, si bien la Ley 842 de 2003 –«Por la cual se modifica la reglamentación del ejercicio de la ingeniería, de sus profesiones afines y de sus profesiones auxiliares, se adopta el Código de Ética Profesional y se dictan otras disposiciones»– establece un conjunto de prohibiciones para los profesionales de la ingeniería, algunas de las cuales se aplican en los procedimientos de selección de los contratistas del Estado, se trata de prohibiciones dirigidas a los </w:t>
      </w:r>
      <w:r w:rsidRPr="009668DA">
        <w:rPr>
          <w:rFonts w:ascii="Verdana" w:hAnsi="Verdana" w:cs="Arial"/>
          <w:i/>
          <w:iCs/>
          <w:color w:val="000000" w:themeColor="text1"/>
          <w:lang w:val="es-ES"/>
        </w:rPr>
        <w:t>profesionales</w:t>
      </w:r>
      <w:r w:rsidRPr="009668DA">
        <w:rPr>
          <w:rFonts w:ascii="Verdana" w:hAnsi="Verdana" w:cs="Arial"/>
          <w:color w:val="000000" w:themeColor="text1"/>
          <w:lang w:val="es-ES"/>
        </w:rPr>
        <w:t xml:space="preserve">, no necesariamente a los </w:t>
      </w:r>
      <w:r w:rsidRPr="009668DA">
        <w:rPr>
          <w:rFonts w:ascii="Verdana" w:hAnsi="Verdana" w:cs="Arial"/>
          <w:i/>
          <w:iCs/>
          <w:color w:val="000000" w:themeColor="text1"/>
          <w:lang w:val="es-ES"/>
        </w:rPr>
        <w:t>proponentes</w:t>
      </w:r>
      <w:r w:rsidRPr="009668DA">
        <w:rPr>
          <w:rFonts w:ascii="Verdana" w:hAnsi="Verdana" w:cs="Arial"/>
          <w:color w:val="000000" w:themeColor="text1"/>
          <w:lang w:val="es-ES"/>
        </w:rPr>
        <w:t xml:space="preserve">. Así se infiere del artículo 30 de la mencionada Ley, que prevé lo siguiente: «Los ingenieros, sus profesionales afines y sus profesionales auxiliares, para todos los efectos del Código de Ética Profesional y su Régimen Disciplinario contemplados en esta ley, se denominarán "Los profesionales"».  </w:t>
      </w:r>
    </w:p>
    <w:p w14:paraId="06023586" w14:textId="77777777" w:rsidR="009E40F5" w:rsidRPr="009668DA" w:rsidRDefault="009E40F5" w:rsidP="009E40F5">
      <w:pPr>
        <w:spacing w:after="120" w:line="276" w:lineRule="auto"/>
        <w:ind w:firstLine="709"/>
        <w:jc w:val="both"/>
        <w:rPr>
          <w:rFonts w:ascii="Verdana" w:hAnsi="Verdana" w:cs="Arial"/>
          <w:bCs/>
          <w:color w:val="000000" w:themeColor="text1"/>
          <w:lang w:val="es-ES_tradnl"/>
        </w:rPr>
      </w:pPr>
      <w:r w:rsidRPr="009668DA">
        <w:rPr>
          <w:rFonts w:ascii="Verdana" w:hAnsi="Verdana" w:cs="Arial"/>
          <w:bCs/>
          <w:color w:val="000000" w:themeColor="text1"/>
          <w:lang w:val="es-ES_tradnl"/>
        </w:rPr>
        <w:t xml:space="preserve">En tal sentido, conviene referirse, de manera especial, a la prohibición prevista en el literal a) del artículo 44 de dicha Ley, según la cual: </w:t>
      </w:r>
      <w:r>
        <w:rPr>
          <w:rFonts w:ascii="Verdana" w:hAnsi="Verdana" w:cs="Arial"/>
          <w:bCs/>
          <w:color w:val="000000" w:themeColor="text1"/>
          <w:lang w:val="es-ES_tradnl"/>
        </w:rPr>
        <w:t>“</w:t>
      </w:r>
      <w:r w:rsidRPr="009668DA">
        <w:rPr>
          <w:rFonts w:ascii="Verdana" w:hAnsi="Verdana" w:cs="Arial"/>
          <w:bCs/>
          <w:color w:val="000000" w:themeColor="text1"/>
          <w:lang w:val="es-ES_tradnl"/>
        </w:rPr>
        <w:t xml:space="preserve">Los </w:t>
      </w:r>
      <w:r w:rsidRPr="009668DA">
        <w:rPr>
          <w:rFonts w:ascii="Verdana" w:hAnsi="Verdana" w:cs="Arial"/>
          <w:bCs/>
          <w:i/>
          <w:iCs/>
          <w:color w:val="000000" w:themeColor="text1"/>
          <w:lang w:val="es-ES_tradnl"/>
        </w:rPr>
        <w:t>profesionales</w:t>
      </w:r>
      <w:r w:rsidRPr="009668DA">
        <w:rPr>
          <w:rFonts w:ascii="Verdana" w:hAnsi="Verdana" w:cs="Arial"/>
          <w:bCs/>
          <w:color w:val="000000" w:themeColor="text1"/>
          <w:lang w:val="es-ES_tradnl"/>
        </w:rPr>
        <w:t xml:space="preserve"> que hayan actuado como asesores de la parte contratante en un concurso o licitación deberán abstenerse de intervenir directa o indirectamente en las tareas profesionales requeridas para el desarrollo del trabajo que dio lugar </w:t>
      </w:r>
      <w:r w:rsidRPr="009668DA">
        <w:rPr>
          <w:rFonts w:ascii="Verdana" w:hAnsi="Verdana" w:cs="Arial"/>
          <w:bCs/>
          <w:color w:val="000000" w:themeColor="text1"/>
          <w:lang w:val="es-ES_tradnl"/>
        </w:rPr>
        <w:lastRenderedPageBreak/>
        <w:t>al mismo, salvo que su intervención estuviese establecida en las bases del concurso o licitación</w:t>
      </w:r>
      <w:r>
        <w:rPr>
          <w:rFonts w:ascii="Verdana" w:hAnsi="Verdana" w:cs="Arial"/>
          <w:bCs/>
          <w:color w:val="000000" w:themeColor="text1"/>
          <w:lang w:val="es-ES_tradnl"/>
        </w:rPr>
        <w:t>”</w:t>
      </w:r>
      <w:r w:rsidRPr="009668DA">
        <w:rPr>
          <w:rFonts w:ascii="Verdana" w:hAnsi="Verdana" w:cs="Arial"/>
          <w:bCs/>
          <w:color w:val="000000" w:themeColor="text1"/>
          <w:lang w:val="es-ES_tradnl"/>
        </w:rPr>
        <w:t xml:space="preserve"> (cursiva fuera de texto).</w:t>
      </w:r>
    </w:p>
    <w:p w14:paraId="1DCBFD05" w14:textId="77777777" w:rsidR="009E40F5" w:rsidRPr="009668DA" w:rsidRDefault="009E40F5" w:rsidP="009E40F5">
      <w:pPr>
        <w:spacing w:after="120" w:line="276" w:lineRule="auto"/>
        <w:ind w:firstLine="709"/>
        <w:jc w:val="both"/>
        <w:rPr>
          <w:rFonts w:ascii="Verdana" w:hAnsi="Verdana" w:cs="Arial"/>
          <w:bCs/>
          <w:color w:val="000000" w:themeColor="text1"/>
          <w:lang w:val="es-ES_tradnl"/>
        </w:rPr>
      </w:pPr>
      <w:r w:rsidRPr="009668DA">
        <w:rPr>
          <w:rFonts w:ascii="Verdana" w:hAnsi="Verdana" w:cs="Arial"/>
          <w:bCs/>
          <w:color w:val="000000" w:themeColor="text1"/>
          <w:lang w:val="es-ES_tradnl"/>
        </w:rPr>
        <w:t xml:space="preserve">Como se observa, esta norma prohíbe que el profesional que ha actuado como </w:t>
      </w:r>
      <w:r w:rsidRPr="009668DA">
        <w:rPr>
          <w:rFonts w:ascii="Verdana" w:hAnsi="Verdana" w:cs="Arial"/>
          <w:bCs/>
          <w:i/>
          <w:iCs/>
          <w:color w:val="000000" w:themeColor="text1"/>
          <w:lang w:val="es-ES_tradnl"/>
        </w:rPr>
        <w:t>asesor</w:t>
      </w:r>
      <w:r w:rsidRPr="009668DA">
        <w:rPr>
          <w:rFonts w:ascii="Verdana" w:hAnsi="Verdana" w:cs="Arial"/>
          <w:bCs/>
          <w:color w:val="000000" w:themeColor="text1"/>
          <w:lang w:val="es-ES_tradnl"/>
        </w:rPr>
        <w:t xml:space="preserve"> de quien está interesado en contratar un servicio participe en las actividades que serán contratadas, salvo que así lo permitan las condiciones de la convocatoria. </w:t>
      </w:r>
    </w:p>
    <w:p w14:paraId="35B66A28" w14:textId="77777777" w:rsidR="009E40F5" w:rsidRPr="009668DA" w:rsidRDefault="009E40F5" w:rsidP="009E40F5">
      <w:pPr>
        <w:spacing w:after="120" w:line="276" w:lineRule="auto"/>
        <w:ind w:firstLine="709"/>
        <w:jc w:val="both"/>
        <w:rPr>
          <w:rFonts w:ascii="Verdana" w:hAnsi="Verdana" w:cs="Arial"/>
          <w:bCs/>
          <w:color w:val="000000" w:themeColor="text1"/>
          <w:lang w:val="es-ES_tradnl"/>
        </w:rPr>
      </w:pPr>
      <w:r w:rsidRPr="009668DA">
        <w:rPr>
          <w:rFonts w:ascii="Verdana" w:hAnsi="Verdana" w:cs="Arial"/>
          <w:bCs/>
          <w:color w:val="000000" w:themeColor="text1"/>
          <w:lang w:val="es-ES_tradnl"/>
        </w:rPr>
        <w:t xml:space="preserve">La palabra </w:t>
      </w:r>
      <w:r w:rsidRPr="009668DA">
        <w:rPr>
          <w:rFonts w:ascii="Verdana" w:hAnsi="Verdana" w:cs="Arial"/>
          <w:bCs/>
          <w:i/>
          <w:iCs/>
          <w:color w:val="000000" w:themeColor="text1"/>
          <w:lang w:val="es-ES_tradnl"/>
        </w:rPr>
        <w:t>asesor</w:t>
      </w:r>
      <w:r w:rsidRPr="009668DA">
        <w:rPr>
          <w:rFonts w:ascii="Verdana" w:hAnsi="Verdana" w:cs="Arial"/>
          <w:bCs/>
          <w:color w:val="000000" w:themeColor="text1"/>
          <w:lang w:val="es-ES_tradnl"/>
        </w:rPr>
        <w:t xml:space="preserve"> en el artículo 44 de la Ley 842 de 2003 debe interpretarse restrictivamente y en armonía con el artículo 32, numeral 2º de la Ley 80 de 1993, que define el objeto de los contratos de consultoría, </w:t>
      </w:r>
      <w:r w:rsidRPr="009668DA">
        <w:rPr>
          <w:rStyle w:val="normaltextrun"/>
          <w:rFonts w:ascii="Verdana" w:hAnsi="Verdana" w:cs="Arial"/>
          <w:color w:val="000000"/>
          <w:shd w:val="clear" w:color="auto" w:fill="FFFFFF"/>
        </w:rPr>
        <w:t>disponiendo que la </w:t>
      </w:r>
      <w:r w:rsidRPr="009668DA">
        <w:rPr>
          <w:rStyle w:val="normaltextrun"/>
          <w:rFonts w:ascii="Verdana" w:hAnsi="Verdana" w:cs="Arial"/>
          <w:i/>
          <w:iCs/>
          <w:color w:val="000000"/>
          <w:shd w:val="clear" w:color="auto" w:fill="FFFFFF"/>
        </w:rPr>
        <w:t>asesoría</w:t>
      </w:r>
      <w:r w:rsidRPr="009668DA">
        <w:rPr>
          <w:rStyle w:val="normaltextrun"/>
          <w:rFonts w:ascii="Verdana" w:hAnsi="Verdana" w:cs="Arial"/>
          <w:color w:val="000000"/>
          <w:shd w:val="clear" w:color="auto" w:fill="FFFFFF"/>
        </w:rPr>
        <w:t> es una actividad diferente a la </w:t>
      </w:r>
      <w:r w:rsidRPr="009668DA">
        <w:rPr>
          <w:rStyle w:val="normaltextrun"/>
          <w:rFonts w:ascii="Verdana" w:hAnsi="Verdana" w:cs="Arial"/>
          <w:i/>
          <w:iCs/>
          <w:color w:val="000000"/>
          <w:shd w:val="clear" w:color="auto" w:fill="FFFFFF"/>
        </w:rPr>
        <w:t>elaboración de los estudios y diseños</w:t>
      </w:r>
      <w:r w:rsidRPr="009668DA">
        <w:rPr>
          <w:rStyle w:val="Refdenotaalpie"/>
          <w:rFonts w:ascii="Verdana" w:hAnsi="Verdana" w:cs="Arial"/>
          <w:bCs/>
          <w:color w:val="000000" w:themeColor="text1"/>
          <w:lang w:val="es-ES_tradnl"/>
        </w:rPr>
        <w:footnoteReference w:id="16"/>
      </w:r>
      <w:r w:rsidRPr="009668DA">
        <w:rPr>
          <w:rFonts w:ascii="Verdana" w:hAnsi="Verdana" w:cs="Arial"/>
          <w:bCs/>
          <w:color w:val="000000" w:themeColor="text1"/>
          <w:lang w:val="es-ES_tradnl"/>
        </w:rPr>
        <w:t xml:space="preserve">. En consecuencia, no todo el que celebra un contrato de consultoría con una entidad estatal lo hace para asesorarla, ya que, normativamente, el objeto de esta tipología contractual incluye actividades diversas, como los estudios y diseños, los estudios para la ejecución de proyectos de inversión, los estudios de diagnóstico, la interventoría, la gerencia de obra o de proyectos y </w:t>
      </w:r>
      <w:r w:rsidRPr="009668DA">
        <w:rPr>
          <w:rFonts w:ascii="Verdana" w:hAnsi="Verdana" w:cs="Arial"/>
          <w:bCs/>
          <w:i/>
          <w:iCs/>
          <w:color w:val="000000" w:themeColor="text1"/>
          <w:lang w:val="es-ES_tradnl"/>
        </w:rPr>
        <w:t>la asesoría</w:t>
      </w:r>
      <w:r w:rsidRPr="009668DA">
        <w:rPr>
          <w:rFonts w:ascii="Verdana" w:hAnsi="Verdana" w:cs="Arial"/>
          <w:bCs/>
          <w:color w:val="000000" w:themeColor="text1"/>
          <w:lang w:val="es-ES_tradnl"/>
        </w:rPr>
        <w:t>, entre otras.</w:t>
      </w:r>
    </w:p>
    <w:p w14:paraId="321342FE" w14:textId="77777777" w:rsidR="009E40F5" w:rsidRPr="009668DA" w:rsidRDefault="009E40F5" w:rsidP="009E40F5">
      <w:pPr>
        <w:tabs>
          <w:tab w:val="left" w:pos="426"/>
        </w:tabs>
        <w:spacing w:after="120" w:line="276" w:lineRule="auto"/>
        <w:jc w:val="both"/>
        <w:rPr>
          <w:rFonts w:ascii="Verdana" w:hAnsi="Verdana" w:cs="Arial"/>
          <w:bCs/>
          <w:color w:val="000000" w:themeColor="text1"/>
          <w:lang w:val="es-ES_tradnl"/>
        </w:rPr>
      </w:pPr>
      <w:r w:rsidRPr="009668DA">
        <w:rPr>
          <w:rFonts w:ascii="Verdana" w:hAnsi="Verdana" w:cs="Arial"/>
          <w:bCs/>
          <w:color w:val="000000" w:themeColor="text1"/>
          <w:lang w:val="es-ES_tradnl"/>
        </w:rPr>
        <w:tab/>
      </w:r>
      <w:r w:rsidRPr="009668DA">
        <w:rPr>
          <w:rFonts w:ascii="Verdana" w:hAnsi="Verdana" w:cs="Arial"/>
          <w:bCs/>
          <w:color w:val="000000" w:themeColor="text1"/>
          <w:lang w:val="es-ES_tradnl"/>
        </w:rPr>
        <w:tab/>
        <w:t xml:space="preserve">Partiendo de esta precisión conceptual y guiados por el criterio de interpretación restrictiva que gobierna tanto las inhabilidades e incompatibilidades como, en general, las prohibiciones, debe indicarse que cuando el artículo 44 de la mencionada Ley 842 establece que «Los </w:t>
      </w:r>
      <w:r w:rsidRPr="009668DA">
        <w:rPr>
          <w:rFonts w:ascii="Verdana" w:hAnsi="Verdana" w:cs="Arial"/>
          <w:bCs/>
          <w:i/>
          <w:iCs/>
          <w:color w:val="000000" w:themeColor="text1"/>
          <w:lang w:val="es-ES_tradnl"/>
        </w:rPr>
        <w:t>profesionales</w:t>
      </w:r>
      <w:r w:rsidRPr="009668DA">
        <w:rPr>
          <w:rFonts w:ascii="Verdana" w:hAnsi="Verdana" w:cs="Arial"/>
          <w:bCs/>
          <w:color w:val="000000" w:themeColor="text1"/>
          <w:lang w:val="es-ES_tradnl"/>
        </w:rPr>
        <w:t xml:space="preserve"> que hayan actuado como </w:t>
      </w:r>
      <w:r w:rsidRPr="009668DA">
        <w:rPr>
          <w:rFonts w:ascii="Verdana" w:hAnsi="Verdana" w:cs="Arial"/>
          <w:bCs/>
          <w:i/>
          <w:iCs/>
          <w:color w:val="000000" w:themeColor="text1"/>
          <w:lang w:val="es-ES_tradnl"/>
        </w:rPr>
        <w:t>asesores</w:t>
      </w:r>
      <w:r w:rsidRPr="009668DA">
        <w:rPr>
          <w:rFonts w:ascii="Verdana" w:hAnsi="Verdana" w:cs="Arial"/>
          <w:bCs/>
          <w:color w:val="000000" w:themeColor="text1"/>
          <w:lang w:val="es-ES_tradnl"/>
        </w:rPr>
        <w:t xml:space="preserve"> de la parte contratante en un concurso o licitación deberán abstenerse de intervenir directa o indirectamente en las tareas profesionales requeridas para el desarrollo del trabajo que dio lugar al mismo, salvo que su intervención estuviese establecida en las bases del concurso o licitación» (cursiva fuera de texto). En esta medida lo que prohíbe es que los profesionales que asesoraron a la entidad contratante en el correspondiente procedimiento de selección participen luego en la ejecución de las labores que motivaron la realización de la convocatoria. Por ejemplo, que quien actuó como asesor en un concurso de méritos de arquitectura, trabaje posteriormente en la </w:t>
      </w:r>
      <w:r w:rsidRPr="009668DA">
        <w:rPr>
          <w:rFonts w:ascii="Verdana" w:hAnsi="Verdana" w:cs="Arial"/>
          <w:bCs/>
          <w:color w:val="000000" w:themeColor="text1"/>
          <w:lang w:val="es-ES_tradnl"/>
        </w:rPr>
        <w:lastRenderedPageBreak/>
        <w:t>elaboración del diseño arquitectónico</w:t>
      </w:r>
      <w:r w:rsidRPr="009668DA">
        <w:rPr>
          <w:rStyle w:val="Refdenotaalpie"/>
          <w:rFonts w:ascii="Verdana" w:hAnsi="Verdana" w:cs="Arial"/>
          <w:bCs/>
          <w:color w:val="000000" w:themeColor="text1"/>
          <w:lang w:val="es-ES_tradnl"/>
        </w:rPr>
        <w:footnoteReference w:id="17"/>
      </w:r>
      <w:r w:rsidRPr="009668DA">
        <w:rPr>
          <w:rFonts w:ascii="Verdana" w:hAnsi="Verdana" w:cs="Arial"/>
          <w:bCs/>
          <w:color w:val="000000" w:themeColor="text1"/>
          <w:lang w:val="es-ES_tradnl"/>
        </w:rPr>
        <w:t xml:space="preserve">. Pero la norma no proscribe que quien </w:t>
      </w:r>
      <w:r w:rsidRPr="00125DCF">
        <w:rPr>
          <w:rFonts w:ascii="Verdana" w:hAnsi="Verdana" w:cs="Arial"/>
          <w:bCs/>
          <w:color w:val="000000" w:themeColor="text1"/>
          <w:lang w:val="es-ES_tradnl"/>
        </w:rPr>
        <w:t xml:space="preserve">donó los diseños </w:t>
      </w:r>
      <w:r>
        <w:rPr>
          <w:rFonts w:ascii="Verdana" w:hAnsi="Verdana" w:cs="Arial"/>
          <w:bCs/>
          <w:color w:val="000000" w:themeColor="text1"/>
          <w:lang w:val="es-ES_tradnl"/>
        </w:rPr>
        <w:t xml:space="preserve">a una entidad contratante, posteriormente no pueda laborar a través de un contrato de trabajo para el contratista que ejecute la obra. </w:t>
      </w:r>
    </w:p>
    <w:p w14:paraId="27FDE889" w14:textId="77777777" w:rsidR="009E40F5" w:rsidRDefault="009E40F5" w:rsidP="009E40F5">
      <w:pPr>
        <w:tabs>
          <w:tab w:val="left" w:pos="426"/>
        </w:tabs>
        <w:spacing w:line="276" w:lineRule="auto"/>
        <w:jc w:val="both"/>
        <w:rPr>
          <w:rFonts w:ascii="Verdana" w:hAnsi="Verdana" w:cs="Arial"/>
          <w:bCs/>
          <w:color w:val="000000" w:themeColor="text1"/>
          <w:lang w:val="es-ES_tradnl"/>
        </w:rPr>
      </w:pPr>
      <w:r w:rsidRPr="009668DA">
        <w:rPr>
          <w:rFonts w:ascii="Verdana" w:hAnsi="Verdana" w:cs="Arial"/>
          <w:bCs/>
          <w:color w:val="000000" w:themeColor="text1"/>
          <w:lang w:val="es-ES_tradnl"/>
        </w:rPr>
        <w:tab/>
      </w:r>
      <w:r>
        <w:rPr>
          <w:rFonts w:ascii="Verdana" w:hAnsi="Verdana" w:cs="Arial"/>
          <w:bCs/>
          <w:color w:val="000000" w:themeColor="text1"/>
          <w:lang w:val="es-ES_tradnl"/>
        </w:rPr>
        <w:t xml:space="preserve">Ahora bien, el artículo 45 de la Ley 802 de 2003 describe el régimen de inhabilidades e incompatibilidades que afectan el ejercicio de la profesión. Indica el mencionado artículo lo siguiente: </w:t>
      </w:r>
    </w:p>
    <w:p w14:paraId="52CE9693" w14:textId="77777777" w:rsidR="009E40F5" w:rsidRPr="00125DCF" w:rsidRDefault="009E40F5" w:rsidP="009E40F5">
      <w:pPr>
        <w:tabs>
          <w:tab w:val="left" w:pos="426"/>
        </w:tabs>
        <w:spacing w:after="0" w:line="240" w:lineRule="auto"/>
        <w:ind w:left="567" w:right="618"/>
        <w:jc w:val="both"/>
        <w:rPr>
          <w:rFonts w:ascii="Verdana" w:hAnsi="Verdana" w:cs="Arial"/>
          <w:bCs/>
          <w:color w:val="000000" w:themeColor="text1"/>
          <w:sz w:val="20"/>
          <w:szCs w:val="20"/>
        </w:rPr>
      </w:pPr>
      <w:r w:rsidRPr="00125DCF">
        <w:rPr>
          <w:rFonts w:ascii="Verdana" w:hAnsi="Verdana" w:cs="Arial"/>
          <w:b/>
          <w:bCs/>
          <w:color w:val="000000" w:themeColor="text1"/>
          <w:sz w:val="20"/>
          <w:szCs w:val="20"/>
        </w:rPr>
        <w:t>ARTÍCULO 45. </w:t>
      </w:r>
      <w:r w:rsidRPr="00125DCF">
        <w:rPr>
          <w:rFonts w:ascii="Verdana" w:hAnsi="Verdana" w:cs="Arial"/>
          <w:bCs/>
          <w:color w:val="000000" w:themeColor="text1"/>
          <w:sz w:val="20"/>
          <w:szCs w:val="20"/>
        </w:rPr>
        <w:t>RÉGIMEN DE INHABILIDADES E INCOMPATIBILIDADES QUE AFECTAN EL EJERCICIO. Incurrirán en faltas al régimen de inhabilidades e incompatibilidades y por lo tanto se les podrán imponer las sanciones a que se refiere la presente ley:</w:t>
      </w:r>
    </w:p>
    <w:p w14:paraId="5A737831" w14:textId="77777777" w:rsidR="009E40F5" w:rsidRDefault="009E40F5" w:rsidP="009E40F5">
      <w:pPr>
        <w:tabs>
          <w:tab w:val="left" w:pos="426"/>
        </w:tabs>
        <w:spacing w:after="0" w:line="240" w:lineRule="auto"/>
        <w:ind w:left="567" w:right="618"/>
        <w:jc w:val="both"/>
        <w:rPr>
          <w:rFonts w:ascii="Verdana" w:hAnsi="Verdana" w:cs="Arial"/>
          <w:bCs/>
          <w:color w:val="000000" w:themeColor="text1"/>
          <w:sz w:val="20"/>
          <w:szCs w:val="20"/>
        </w:rPr>
      </w:pPr>
    </w:p>
    <w:p w14:paraId="1AD6D422" w14:textId="77777777" w:rsidR="009E40F5" w:rsidRPr="00125DCF" w:rsidRDefault="009E40F5" w:rsidP="009E40F5">
      <w:pPr>
        <w:tabs>
          <w:tab w:val="left" w:pos="426"/>
        </w:tabs>
        <w:spacing w:after="0" w:line="240" w:lineRule="auto"/>
        <w:ind w:left="567" w:right="618"/>
        <w:jc w:val="both"/>
        <w:rPr>
          <w:rFonts w:ascii="Verdana" w:hAnsi="Verdana" w:cs="Arial"/>
          <w:bCs/>
          <w:color w:val="000000" w:themeColor="text1"/>
          <w:sz w:val="20"/>
          <w:szCs w:val="20"/>
        </w:rPr>
      </w:pPr>
      <w:r w:rsidRPr="00125DCF">
        <w:rPr>
          <w:rFonts w:ascii="Verdana" w:hAnsi="Verdana" w:cs="Arial"/>
          <w:bCs/>
          <w:color w:val="000000" w:themeColor="text1"/>
          <w:sz w:val="20"/>
          <w:szCs w:val="20"/>
        </w:rPr>
        <w:t xml:space="preserve">a) Los profesionales que actúen simultáneamente como representantes técnicos o asesores de más de una empresa que desarrolle idénticas actividades y en un mismo tema, sin expreso consentimiento y autorización de </w:t>
      </w:r>
      <w:proofErr w:type="gramStart"/>
      <w:r w:rsidRPr="00125DCF">
        <w:rPr>
          <w:rFonts w:ascii="Verdana" w:hAnsi="Verdana" w:cs="Arial"/>
          <w:bCs/>
          <w:color w:val="000000" w:themeColor="text1"/>
          <w:sz w:val="20"/>
          <w:szCs w:val="20"/>
        </w:rPr>
        <w:t>las mismas</w:t>
      </w:r>
      <w:proofErr w:type="gramEnd"/>
      <w:r w:rsidRPr="00125DCF">
        <w:rPr>
          <w:rFonts w:ascii="Verdana" w:hAnsi="Verdana" w:cs="Arial"/>
          <w:bCs/>
          <w:color w:val="000000" w:themeColor="text1"/>
          <w:sz w:val="20"/>
          <w:szCs w:val="20"/>
        </w:rPr>
        <w:t xml:space="preserve"> para tal actuación;</w:t>
      </w:r>
    </w:p>
    <w:p w14:paraId="3E94D825" w14:textId="77777777" w:rsidR="009E40F5" w:rsidRDefault="009E40F5" w:rsidP="009E40F5">
      <w:pPr>
        <w:tabs>
          <w:tab w:val="left" w:pos="426"/>
        </w:tabs>
        <w:spacing w:after="0" w:line="240" w:lineRule="auto"/>
        <w:ind w:left="567" w:right="618"/>
        <w:jc w:val="both"/>
        <w:rPr>
          <w:rFonts w:ascii="Verdana" w:hAnsi="Verdana" w:cs="Arial"/>
          <w:bCs/>
          <w:color w:val="000000" w:themeColor="text1"/>
          <w:sz w:val="20"/>
          <w:szCs w:val="20"/>
        </w:rPr>
      </w:pPr>
    </w:p>
    <w:p w14:paraId="6F34DB54" w14:textId="77777777" w:rsidR="009E40F5" w:rsidRPr="00125DCF" w:rsidRDefault="009E40F5" w:rsidP="009E40F5">
      <w:pPr>
        <w:tabs>
          <w:tab w:val="left" w:pos="426"/>
        </w:tabs>
        <w:spacing w:after="0" w:line="240" w:lineRule="auto"/>
        <w:ind w:left="567" w:right="618"/>
        <w:jc w:val="both"/>
        <w:rPr>
          <w:rFonts w:ascii="Verdana" w:hAnsi="Verdana" w:cs="Arial"/>
          <w:bCs/>
          <w:color w:val="000000" w:themeColor="text1"/>
          <w:sz w:val="20"/>
          <w:szCs w:val="20"/>
        </w:rPr>
      </w:pPr>
      <w:r w:rsidRPr="00125DCF">
        <w:rPr>
          <w:rFonts w:ascii="Verdana" w:hAnsi="Verdana" w:cs="Arial"/>
          <w:bCs/>
          <w:color w:val="000000" w:themeColor="text1"/>
          <w:sz w:val="20"/>
          <w:szCs w:val="20"/>
        </w:rPr>
        <w:t>b) Los profesionales que en ejercicio de sus actividades públicas o privadas hubiesen intervenido en determinado asunto, no podrán luego actuar o asesorar directa o indirectamente a la parte contraria en la misma cuestión;</w:t>
      </w:r>
    </w:p>
    <w:p w14:paraId="59CF2830" w14:textId="77777777" w:rsidR="009E40F5" w:rsidRDefault="009E40F5" w:rsidP="009E40F5">
      <w:pPr>
        <w:tabs>
          <w:tab w:val="left" w:pos="426"/>
        </w:tabs>
        <w:spacing w:after="0" w:line="240" w:lineRule="auto"/>
        <w:ind w:left="567" w:right="618"/>
        <w:jc w:val="both"/>
        <w:rPr>
          <w:rFonts w:ascii="Verdana" w:hAnsi="Verdana" w:cs="Arial"/>
          <w:bCs/>
          <w:color w:val="000000" w:themeColor="text1"/>
          <w:sz w:val="20"/>
          <w:szCs w:val="20"/>
        </w:rPr>
      </w:pPr>
    </w:p>
    <w:p w14:paraId="7B45B13F" w14:textId="77777777" w:rsidR="009E40F5" w:rsidRPr="00125DCF" w:rsidRDefault="009E40F5" w:rsidP="009E40F5">
      <w:pPr>
        <w:tabs>
          <w:tab w:val="left" w:pos="426"/>
        </w:tabs>
        <w:spacing w:after="0" w:line="240" w:lineRule="auto"/>
        <w:ind w:left="567" w:right="618"/>
        <w:jc w:val="both"/>
        <w:rPr>
          <w:rFonts w:ascii="Verdana" w:hAnsi="Verdana" w:cs="Arial"/>
          <w:bCs/>
          <w:color w:val="000000" w:themeColor="text1"/>
          <w:sz w:val="20"/>
          <w:szCs w:val="20"/>
        </w:rPr>
      </w:pPr>
      <w:r w:rsidRPr="00125DCF">
        <w:rPr>
          <w:rFonts w:ascii="Verdana" w:hAnsi="Verdana" w:cs="Arial"/>
          <w:bCs/>
          <w:color w:val="000000" w:themeColor="text1"/>
          <w:sz w:val="20"/>
          <w:szCs w:val="20"/>
        </w:rPr>
        <w:t>c) Los profesionales no deben intervenir como peritos o actuar en cuestiones que comprendan las inhabilidades e incompatibilidades generales de ley.</w:t>
      </w:r>
    </w:p>
    <w:p w14:paraId="3BADA8BC" w14:textId="77777777" w:rsidR="009E40F5" w:rsidRDefault="009E40F5" w:rsidP="009E40F5">
      <w:pPr>
        <w:tabs>
          <w:tab w:val="left" w:pos="426"/>
        </w:tabs>
        <w:spacing w:after="0" w:line="240" w:lineRule="auto"/>
        <w:ind w:firstLine="425"/>
        <w:jc w:val="both"/>
        <w:rPr>
          <w:rFonts w:ascii="Verdana" w:hAnsi="Verdana" w:cs="Arial"/>
          <w:bCs/>
          <w:color w:val="000000" w:themeColor="text1"/>
          <w:lang w:val="es-ES_tradnl"/>
        </w:rPr>
      </w:pPr>
    </w:p>
    <w:p w14:paraId="102F0F0A" w14:textId="77777777" w:rsidR="009E40F5" w:rsidRDefault="009E40F5" w:rsidP="009E40F5">
      <w:pPr>
        <w:tabs>
          <w:tab w:val="left" w:pos="426"/>
        </w:tabs>
        <w:spacing w:line="276" w:lineRule="auto"/>
        <w:ind w:firstLine="425"/>
        <w:jc w:val="both"/>
        <w:rPr>
          <w:rFonts w:ascii="Verdana" w:hAnsi="Verdana" w:cs="Arial"/>
          <w:bCs/>
          <w:color w:val="000000" w:themeColor="text1"/>
          <w:lang w:val="es-ES_tradnl"/>
        </w:rPr>
      </w:pPr>
      <w:r>
        <w:rPr>
          <w:rFonts w:ascii="Verdana" w:hAnsi="Verdana" w:cs="Arial"/>
          <w:bCs/>
          <w:color w:val="000000" w:themeColor="text1"/>
          <w:lang w:val="es-ES_tradnl"/>
        </w:rPr>
        <w:t xml:space="preserve">En atención a que las inhabilidades resultan ser taxativas y con fundamento en la consulta elevada, no se observa que tal hipótesis se configure en alguno de los supuestos descritos en el artículo 45 de la Ley 802 de 2003. </w:t>
      </w:r>
    </w:p>
    <w:p w14:paraId="7860A4D5" w14:textId="77777777" w:rsidR="009E40F5" w:rsidRPr="00347504" w:rsidRDefault="009E40F5" w:rsidP="009E40F5">
      <w:pPr>
        <w:spacing w:after="0" w:line="276" w:lineRule="auto"/>
        <w:ind w:firstLine="708"/>
        <w:jc w:val="both"/>
        <w:rPr>
          <w:rFonts w:ascii="Verdana" w:eastAsia="Calibri" w:hAnsi="Verdana" w:cs="Arial"/>
          <w:color w:val="000000" w:themeColor="text1"/>
          <w:lang w:val="es-ES_tradnl"/>
        </w:rPr>
      </w:pPr>
      <w:r>
        <w:rPr>
          <w:rFonts w:ascii="Verdana" w:hAnsi="Verdana" w:cs="Arial"/>
          <w:bCs/>
          <w:color w:val="000000" w:themeColor="text1"/>
          <w:lang w:val="es-ES_tradnl"/>
        </w:rPr>
        <w:t>Por otro lado, s</w:t>
      </w:r>
      <w:r w:rsidRPr="00347504">
        <w:rPr>
          <w:rFonts w:ascii="Verdana" w:eastAsia="Cambria" w:hAnsi="Verdana" w:cs="Arial"/>
          <w:szCs w:val="20"/>
        </w:rPr>
        <w:t>obre el régimen de los conflictos de interés en la contratación estatal</w:t>
      </w:r>
      <w:r>
        <w:rPr>
          <w:rFonts w:ascii="Verdana" w:eastAsia="Cambria" w:hAnsi="Verdana" w:cs="Arial"/>
          <w:bCs/>
          <w:szCs w:val="20"/>
        </w:rPr>
        <w:t xml:space="preserve"> se ha pronunciado esta Agencia en distintas ocasiones</w:t>
      </w:r>
      <w:r w:rsidRPr="00347504">
        <w:rPr>
          <w:rFonts w:ascii="Verdana" w:eastAsia="Cambria" w:hAnsi="Verdana" w:cs="Arial"/>
          <w:szCs w:val="20"/>
        </w:rPr>
        <w:t>,</w:t>
      </w:r>
      <w:r>
        <w:rPr>
          <w:rFonts w:ascii="Verdana" w:eastAsia="Cambria" w:hAnsi="Verdana" w:cs="Arial"/>
          <w:bCs/>
          <w:szCs w:val="20"/>
        </w:rPr>
        <w:t xml:space="preserve"> en los términos que en seguida se explican</w:t>
      </w:r>
      <w:r w:rsidRPr="00662E37">
        <w:rPr>
          <w:rFonts w:eastAsia="Calibri"/>
          <w:color w:val="000000" w:themeColor="text1"/>
          <w:vertAlign w:val="superscript"/>
          <w:lang w:val="es-ES_tradnl"/>
        </w:rPr>
        <w:footnoteReference w:id="18"/>
      </w:r>
      <w:r w:rsidRPr="00B0169E">
        <w:rPr>
          <w:rFonts w:ascii="Verdana" w:eastAsia="Calibri" w:hAnsi="Verdana" w:cs="Arial"/>
          <w:color w:val="000000" w:themeColor="text1"/>
          <w:lang w:val="es-ES_tradnl"/>
        </w:rPr>
        <w:t>.</w:t>
      </w:r>
      <w:r w:rsidRPr="00347504">
        <w:rPr>
          <w:rFonts w:ascii="Verdana" w:eastAsia="Calibri" w:hAnsi="Verdana" w:cs="Arial"/>
          <w:color w:val="000000" w:themeColor="text1"/>
          <w:lang w:val="es-ES_tradnl"/>
        </w:rPr>
        <w:t xml:space="preserve"> De acuerdo con el artículo 209 de la Constitución Política de 1991, la función administrativa debe desarrollarse conforme al principio de moralidad, mandato que se concreta en la idea de que </w:t>
      </w:r>
      <w:r w:rsidRPr="00B0169E">
        <w:rPr>
          <w:rFonts w:ascii="Verdana" w:eastAsia="Calibri" w:hAnsi="Verdana" w:cs="Arial"/>
          <w:i/>
          <w:color w:val="000000" w:themeColor="text1"/>
          <w:lang w:val="es-ES_tradnl"/>
        </w:rPr>
        <w:t>“[…] todas las personas y los servidores públicos están obligados a actuar con rectitud, lealtad y honestidad en las actuaciones administrativas […]”</w:t>
      </w:r>
      <w:r w:rsidRPr="00347504">
        <w:rPr>
          <w:rFonts w:ascii="Verdana" w:eastAsia="Calibri" w:hAnsi="Verdana" w:cs="Arial"/>
          <w:color w:val="000000" w:themeColor="text1"/>
          <w:lang w:val="es-ES_tradnl"/>
        </w:rPr>
        <w:t xml:space="preserve"> –numeral </w:t>
      </w:r>
      <w:r w:rsidRPr="00347504">
        <w:rPr>
          <w:rFonts w:ascii="Verdana" w:eastAsia="Calibri" w:hAnsi="Verdana" w:cs="Arial"/>
          <w:color w:val="000000" w:themeColor="text1"/>
          <w:lang w:val="es-ES_tradnl"/>
        </w:rPr>
        <w:lastRenderedPageBreak/>
        <w:t xml:space="preserve">5 del artículo 3 de la Ley 1437 de 2011–. En desarrollo de esta directriz, el régimen de los </w:t>
      </w:r>
      <w:r w:rsidRPr="00347504">
        <w:rPr>
          <w:rFonts w:ascii="Verdana" w:eastAsia="Calibri" w:hAnsi="Verdana" w:cs="Arial"/>
          <w:i/>
          <w:color w:val="000000" w:themeColor="text1"/>
          <w:lang w:val="es-ES_tradnl"/>
        </w:rPr>
        <w:t xml:space="preserve">conflictos de interés </w:t>
      </w:r>
      <w:r w:rsidRPr="00347504">
        <w:rPr>
          <w:rFonts w:ascii="Verdana" w:eastAsia="Calibri" w:hAnsi="Verdana" w:cs="Arial"/>
          <w:color w:val="000000" w:themeColor="text1"/>
          <w:lang w:val="es-ES_tradnl"/>
        </w:rPr>
        <w:t>tiene como objetivo la prevalencia del bien común sobre el particular, razón por la cual se configuran cuando los servidores públicos actúan influenciados por consideraciones personales que colisionan con el deber de preservar su independencia e imparcialidad. En este sentido, se definen como la ocurrencia de intereses antagónicos que afectan la transparencia de las decisiones, al implicar –en detrimento del interés general– el aprovechamiento personal, familiar o particular</w:t>
      </w:r>
      <w:r w:rsidRPr="00662E37">
        <w:rPr>
          <w:rFonts w:eastAsia="Calibri"/>
          <w:color w:val="000000" w:themeColor="text1"/>
          <w:vertAlign w:val="superscript"/>
          <w:lang w:val="es-ES_tradnl"/>
        </w:rPr>
        <w:footnoteReference w:id="19"/>
      </w:r>
      <w:r w:rsidRPr="00347504">
        <w:rPr>
          <w:rFonts w:ascii="Verdana" w:eastAsia="Calibri" w:hAnsi="Verdana" w:cs="Arial"/>
          <w:color w:val="000000" w:themeColor="text1"/>
          <w:lang w:val="es-ES_tradnl"/>
        </w:rPr>
        <w:t>.</w:t>
      </w:r>
    </w:p>
    <w:p w14:paraId="2EA0740B" w14:textId="77777777" w:rsidR="009E40F5" w:rsidRPr="00347504" w:rsidRDefault="009E40F5" w:rsidP="009E40F5">
      <w:pPr>
        <w:spacing w:before="120" w:after="0" w:line="276" w:lineRule="auto"/>
        <w:ind w:firstLine="360"/>
        <w:jc w:val="both"/>
        <w:rPr>
          <w:rFonts w:ascii="Verdana" w:eastAsia="Cambria" w:hAnsi="Verdana" w:cs="Arial"/>
          <w:szCs w:val="20"/>
        </w:rPr>
      </w:pPr>
      <w:r>
        <w:rPr>
          <w:rFonts w:ascii="Verdana" w:eastAsia="Calibri" w:hAnsi="Verdana" w:cs="Arial"/>
          <w:color w:val="000000" w:themeColor="text1"/>
          <w:lang w:val="es-ES_tradnl"/>
        </w:rPr>
        <w:tab/>
      </w:r>
      <w:r w:rsidRPr="00347504">
        <w:rPr>
          <w:rFonts w:ascii="Verdana" w:eastAsia="Cambria" w:hAnsi="Verdana" w:cs="Arial"/>
          <w:szCs w:val="20"/>
        </w:rPr>
        <w:t xml:space="preserve">La institución jurídica de los conflictos de interés no está definida con carácter general en el ordenamiento jurídico y tampoco de forma precisa en las normas que regulan la contratación estatal, por lo que es un asunto ausente en el EGCAP. Sin embargo, existen disposiciones especiales como el régimen de los congresistas, de los concejales o el régimen disciplinario de los servidores públicos, donde se define causales de conflictos de interés. En todo caso, la satisfacción del principio de moralidad y el </w:t>
      </w:r>
      <w:r>
        <w:rPr>
          <w:rFonts w:ascii="Verdana" w:eastAsia="Cambria" w:hAnsi="Verdana" w:cs="Arial"/>
          <w:szCs w:val="20"/>
        </w:rPr>
        <w:t>d</w:t>
      </w:r>
      <w:r w:rsidRPr="00347504">
        <w:rPr>
          <w:rFonts w:ascii="Verdana" w:eastAsia="Cambria" w:hAnsi="Verdana" w:cs="Arial"/>
          <w:szCs w:val="20"/>
        </w:rPr>
        <w:t xml:space="preserve">eber de probidad también se exige a los contratistas. </w:t>
      </w:r>
    </w:p>
    <w:p w14:paraId="5C909CCA" w14:textId="77777777" w:rsidR="009E40F5" w:rsidRPr="007909D3" w:rsidRDefault="009E40F5" w:rsidP="009E40F5">
      <w:pPr>
        <w:spacing w:before="120" w:after="0" w:line="276" w:lineRule="auto"/>
        <w:ind w:firstLine="708"/>
        <w:jc w:val="both"/>
        <w:rPr>
          <w:rFonts w:ascii="Verdana" w:eastAsia="Cambria" w:hAnsi="Verdana" w:cs="Arial"/>
          <w:bCs/>
          <w:szCs w:val="20"/>
        </w:rPr>
      </w:pPr>
      <w:r w:rsidRPr="00347504">
        <w:rPr>
          <w:rFonts w:ascii="Verdana" w:eastAsia="Cambria" w:hAnsi="Verdana" w:cs="Arial"/>
          <w:szCs w:val="20"/>
        </w:rPr>
        <w:t xml:space="preserve">Sobre el particular, el artículo 3 de la Ley 80 de 1993 dispone que la actividad contractual del Estado se dirige tanto al cumplimiento de los fines estatales como a la continua y eficiente prestación de los servicios públicos, precisando que </w:t>
      </w:r>
      <w:r w:rsidRPr="00B0169E">
        <w:rPr>
          <w:rFonts w:ascii="Verdana" w:eastAsia="Cambria" w:hAnsi="Verdana" w:cs="Arial"/>
          <w:i/>
          <w:szCs w:val="20"/>
        </w:rPr>
        <w:t>“Los particulares, por su parte, tendrán en cuenta al celebrar y ejecutar contratos con las entidades estatales que colaboran con ellas en el logro de sus fines y cumplen una función social que, como tal, implica obligaciones”.</w:t>
      </w:r>
      <w:r w:rsidRPr="00347504">
        <w:rPr>
          <w:rFonts w:ascii="Verdana" w:eastAsia="Cambria" w:hAnsi="Verdana" w:cs="Arial"/>
          <w:szCs w:val="20"/>
        </w:rPr>
        <w:t xml:space="preserve"> De ahí que, el numeral 2 del artículo 5 del EGCAP dispone que estos obrarán con lealtad y buena fe en las distintas etapas contractuales.</w:t>
      </w:r>
    </w:p>
    <w:p w14:paraId="32DBE692" w14:textId="77777777" w:rsidR="009E40F5" w:rsidRPr="00B0169E" w:rsidRDefault="009E40F5" w:rsidP="009E40F5">
      <w:pPr>
        <w:spacing w:before="120" w:after="120" w:line="276" w:lineRule="auto"/>
        <w:ind w:firstLine="709"/>
        <w:jc w:val="both"/>
        <w:rPr>
          <w:rFonts w:ascii="Verdana" w:eastAsia="Cambria" w:hAnsi="Verdana" w:cs="Arial"/>
          <w:bCs/>
          <w:szCs w:val="20"/>
        </w:rPr>
      </w:pPr>
      <w:r w:rsidRPr="00B0169E">
        <w:rPr>
          <w:rFonts w:ascii="Verdana" w:eastAsia="Calibri" w:hAnsi="Verdana" w:cs="Arial"/>
          <w:color w:val="000000" w:themeColor="text1"/>
          <w:lang w:val="es-ES_tradnl"/>
        </w:rPr>
        <w:t xml:space="preserve">Sin perjuicio de lo anterior, el EGCAP no establece una noción o causales particulares de conflictos de interés aplicables a los proponentes o contratistas del Estado. En efecto, además de las disposiciones brevemente enunciadas en el párrafo precedente, la Ley 1437 de 2011 establece un régimen de </w:t>
      </w:r>
      <w:r>
        <w:rPr>
          <w:rFonts w:ascii="Verdana" w:eastAsia="Calibri" w:hAnsi="Verdana" w:cs="Arial"/>
          <w:color w:val="000000" w:themeColor="text1"/>
          <w:lang w:val="es-ES_tradnl"/>
        </w:rPr>
        <w:t>“</w:t>
      </w:r>
      <w:r w:rsidRPr="00B0169E">
        <w:rPr>
          <w:rFonts w:ascii="Verdana" w:eastAsia="Calibri" w:hAnsi="Verdana" w:cs="Arial"/>
          <w:color w:val="000000" w:themeColor="text1"/>
          <w:lang w:val="es-ES_tradnl"/>
        </w:rPr>
        <w:t>conflictos de interés  y causales de impedimento y recusación</w:t>
      </w:r>
      <w:r>
        <w:rPr>
          <w:rFonts w:ascii="Verdana" w:eastAsia="Calibri" w:hAnsi="Verdana" w:cs="Arial"/>
          <w:color w:val="000000" w:themeColor="text1"/>
          <w:lang w:val="es-ES_tradnl"/>
        </w:rPr>
        <w:t>”</w:t>
      </w:r>
      <w:r w:rsidRPr="00B0169E">
        <w:rPr>
          <w:rFonts w:ascii="Verdana" w:eastAsia="Calibri" w:hAnsi="Verdana" w:cs="Arial"/>
          <w:color w:val="000000" w:themeColor="text1"/>
          <w:lang w:val="es-ES_tradnl"/>
        </w:rPr>
        <w:t xml:space="preserve"> –artículos 11 y 12–, que si bien aplican en los procedimientos administrativos, en general, incluyendo los de selección de contratistas del Estado, están dirigidos a los servidores públicos que adelantan estas actuaciones en desarrollo de la actividad contractual de la entidad estatal de la cual hacen parte. Por lo anterior, sus destinatarios no son </w:t>
      </w:r>
      <w:r w:rsidRPr="00B0169E">
        <w:rPr>
          <w:rFonts w:ascii="Verdana" w:eastAsia="Calibri" w:hAnsi="Verdana" w:cs="Arial"/>
          <w:color w:val="000000" w:themeColor="text1"/>
          <w:lang w:val="es-ES_tradnl"/>
        </w:rPr>
        <w:lastRenderedPageBreak/>
        <w:t>los proponentes o contratistas particulares que participan en el procedimiento de selección o celebran el contrato con la entidad estatal, sino los servidores mencionados. En este sentido, en caso de presentarse alguna de las causales establecidas en el artículo 11 del Código de Procedimiento Administrativo o de lo Contencioso Administrativo –en adelante CPACA–, corresponde aplicar el trámite establecido en el artículo 12 de la misma ley.</w:t>
      </w:r>
    </w:p>
    <w:p w14:paraId="39294C2D" w14:textId="77777777" w:rsidR="009E40F5" w:rsidRPr="00B0169E" w:rsidRDefault="009E40F5" w:rsidP="009E40F5">
      <w:pPr>
        <w:spacing w:after="120" w:line="276" w:lineRule="auto"/>
        <w:ind w:firstLine="709"/>
        <w:jc w:val="both"/>
        <w:rPr>
          <w:rFonts w:ascii="Verdana" w:eastAsia="Calibri" w:hAnsi="Verdana" w:cs="Arial"/>
          <w:color w:val="000000" w:themeColor="text1"/>
          <w:sz w:val="20"/>
          <w:szCs w:val="20"/>
          <w:lang w:val="es-ES_tradnl"/>
        </w:rPr>
      </w:pPr>
      <w:r w:rsidRPr="00B0169E">
        <w:rPr>
          <w:rFonts w:ascii="Verdana" w:eastAsia="Calibri" w:hAnsi="Verdana" w:cs="Arial"/>
          <w:color w:val="000000" w:themeColor="text1"/>
          <w:lang w:val="es-ES_tradnl"/>
        </w:rPr>
        <w:t>Sobre este tema la doctrina</w:t>
      </w:r>
      <w:r w:rsidRPr="00B0169E">
        <w:rPr>
          <w:rStyle w:val="Refdenotaalpie"/>
          <w:rFonts w:ascii="Verdana" w:eastAsia="Calibri" w:hAnsi="Verdana" w:cs="Arial"/>
          <w:color w:val="000000" w:themeColor="text1"/>
          <w:lang w:val="es-ES_tradnl"/>
        </w:rPr>
        <w:footnoteReference w:id="20"/>
      </w:r>
      <w:r w:rsidRPr="00B0169E">
        <w:rPr>
          <w:rFonts w:ascii="Verdana" w:eastAsia="Calibri" w:hAnsi="Verdana" w:cs="Arial"/>
          <w:color w:val="000000" w:themeColor="text1"/>
          <w:lang w:val="es-ES_tradnl"/>
        </w:rPr>
        <w:t xml:space="preserve"> y de forma particular la Sala de Consulta y Servicio Civil del Consejo de Estado</w:t>
      </w:r>
      <w:r w:rsidRPr="00B0169E">
        <w:rPr>
          <w:rStyle w:val="Refdenotaalpie"/>
          <w:rFonts w:ascii="Verdana" w:eastAsia="Calibri" w:hAnsi="Verdana" w:cs="Arial"/>
          <w:color w:val="000000" w:themeColor="text1"/>
          <w:lang w:val="es-ES_tradnl"/>
        </w:rPr>
        <w:footnoteReference w:id="21"/>
      </w:r>
      <w:r w:rsidRPr="00B0169E">
        <w:rPr>
          <w:rFonts w:ascii="Verdana" w:eastAsia="Calibri" w:hAnsi="Verdana" w:cs="Arial"/>
          <w:color w:val="000000" w:themeColor="text1"/>
          <w:lang w:val="es-ES_tradnl"/>
        </w:rPr>
        <w:t xml:space="preserve">, han reconocido la posibilidad que tienen las entidades estatales de establecer conflictos de interés en sus pliegos de condiciones, diferenciando dichas causales y su regulación de las inhabilidades e incompatibilidades consagradas en el Estatuto General de Contratación de la Administración Pública y demás normas complementarias. En tal sentido, se han establecido algunos requisitos y exigencias que deben cumplir dichas causales de conflicto de interés y sus consecuencias en los procedimientos de selección de contratistas o para la celebración de contratos, precisándose sus consecuencias. </w:t>
      </w:r>
    </w:p>
    <w:p w14:paraId="005C2BB9" w14:textId="77777777" w:rsidR="009E40F5" w:rsidRPr="00B0169E" w:rsidRDefault="009E40F5" w:rsidP="009E40F5">
      <w:pPr>
        <w:widowControl w:val="0"/>
        <w:autoSpaceDE w:val="0"/>
        <w:autoSpaceDN w:val="0"/>
        <w:spacing w:after="120" w:line="276" w:lineRule="auto"/>
        <w:ind w:firstLine="708"/>
        <w:jc w:val="both"/>
        <w:rPr>
          <w:rFonts w:ascii="Verdana" w:eastAsia="Calibri" w:hAnsi="Verdana" w:cs="Arial"/>
          <w:lang w:val="es-ES"/>
        </w:rPr>
      </w:pPr>
      <w:r w:rsidRPr="71CDC54B">
        <w:rPr>
          <w:rFonts w:ascii="Verdana" w:eastAsia="Calibri" w:hAnsi="Verdana" w:cs="Arial"/>
          <w:lang w:val="es-ES"/>
        </w:rPr>
        <w:t>E</w:t>
      </w:r>
      <w:r w:rsidRPr="00B0169E">
        <w:rPr>
          <w:rFonts w:ascii="Verdana" w:eastAsia="Calibri" w:hAnsi="Verdana" w:cs="Arial"/>
          <w:lang w:val="es-ES"/>
        </w:rPr>
        <w:t>l fundamento axiológico para la existencia de los conflictos de interés se encuentra en la garantía del interés público, que podría comprometerse en los supuestos en que determinado contratista pudiera actuar movido por intereses personales, que le impedirían actuar con imparcialidad y probidad en la ejecución de determinado contrato estatal.</w:t>
      </w:r>
      <w:r w:rsidRPr="71CDC54B">
        <w:rPr>
          <w:rFonts w:ascii="Verdana" w:eastAsia="Calibri" w:hAnsi="Verdana" w:cs="Arial"/>
          <w:lang w:val="es-ES"/>
        </w:rPr>
        <w:t xml:space="preserve"> </w:t>
      </w:r>
      <w:r w:rsidRPr="00B0169E">
        <w:rPr>
          <w:rFonts w:ascii="Verdana" w:eastAsia="Calibri" w:hAnsi="Verdana" w:cs="Arial"/>
          <w:lang w:val="es-ES"/>
        </w:rPr>
        <w:t xml:space="preserve">De esta manera, si bien el legislador establece las casuales de inhabilidad e incompatibilidad de forma general para celebrar contratos con cualquier entidad estatal o con alguna entidad estatal en particular, los conflictos de interés suelen establecerse frente a sujetos en particular que en razón a la ejecución de una actividad anterior podrían tener una posición privilegiada en determinado procedimiento de selección. A modo </w:t>
      </w:r>
      <w:r w:rsidRPr="00B0169E">
        <w:rPr>
          <w:rFonts w:ascii="Verdana" w:eastAsia="Calibri" w:hAnsi="Verdana" w:cs="Arial"/>
          <w:lang w:val="es-ES"/>
        </w:rPr>
        <w:lastRenderedPageBreak/>
        <w:t xml:space="preserve">de ejemplo se pueden enunciar las siguientes situaciones: i) por participar en la estructuración del mismo procedimiento de selección o proyecto que se va a ejecutar, de manera que se impida su participación para garantizar el principio de igualdad; </w:t>
      </w:r>
      <w:proofErr w:type="spellStart"/>
      <w:r w:rsidRPr="00B0169E">
        <w:rPr>
          <w:rFonts w:ascii="Verdana" w:eastAsia="Calibri" w:hAnsi="Verdana" w:cs="Arial"/>
          <w:lang w:val="es-ES"/>
        </w:rPr>
        <w:t>ii</w:t>
      </w:r>
      <w:proofErr w:type="spellEnd"/>
      <w:r w:rsidRPr="00B0169E">
        <w:rPr>
          <w:rFonts w:ascii="Verdana" w:eastAsia="Calibri" w:hAnsi="Verdana" w:cs="Arial"/>
          <w:lang w:val="es-ES"/>
        </w:rPr>
        <w:t xml:space="preserve">) cuando la ejecución de un contrato posterior pueda incidir eventualmente frente a la responsabilidad de un contrato ejecutado previamente; o </w:t>
      </w:r>
      <w:proofErr w:type="spellStart"/>
      <w:r w:rsidRPr="00B0169E">
        <w:rPr>
          <w:rFonts w:ascii="Verdana" w:eastAsia="Calibri" w:hAnsi="Verdana" w:cs="Arial"/>
          <w:lang w:val="es-ES"/>
        </w:rPr>
        <w:t>iii</w:t>
      </w:r>
      <w:proofErr w:type="spellEnd"/>
      <w:r w:rsidRPr="00B0169E">
        <w:rPr>
          <w:rFonts w:ascii="Verdana" w:eastAsia="Calibri" w:hAnsi="Verdana" w:cs="Arial"/>
          <w:lang w:val="es-ES"/>
        </w:rPr>
        <w:t>) cuando entre ambos negocios jurídicos exista alguna relación que conduzca a esta consecuencia. De otro lado, los conflictos de interés se establecen con la finalidad de evitar alguna relación particular que tengan dos contratistas, quienes estarían vinculados por intereses comunes que podrían dar lugar a algún favorecimiento, en detrimento de la adecuada ejecución del contrato. Si bien los fundamentos anteriores no son exhaustivos ni taxativos, constituyen ejemplos que podrían servir de fundamento para la inclusión de algún conflicto de interés en un pliego de condiciones.</w:t>
      </w:r>
    </w:p>
    <w:p w14:paraId="6B0615B9" w14:textId="77777777" w:rsidR="009E40F5" w:rsidRPr="00B0169E" w:rsidRDefault="009E40F5" w:rsidP="009E40F5">
      <w:pPr>
        <w:widowControl w:val="0"/>
        <w:autoSpaceDE w:val="0"/>
        <w:autoSpaceDN w:val="0"/>
        <w:spacing w:after="0" w:line="276" w:lineRule="auto"/>
        <w:ind w:firstLine="709"/>
        <w:jc w:val="both"/>
        <w:rPr>
          <w:rFonts w:ascii="Verdana" w:eastAsia="Calibri" w:hAnsi="Verdana" w:cs="Arial"/>
          <w:lang w:val="es-ES"/>
        </w:rPr>
      </w:pPr>
      <w:r w:rsidRPr="6FAA2E87">
        <w:rPr>
          <w:rFonts w:ascii="Verdana" w:eastAsia="Calibri" w:hAnsi="Verdana" w:cs="Arial"/>
          <w:lang w:val="es-ES"/>
        </w:rPr>
        <w:t>Ahora bien, con los fundamentos anteriores no se pretende justificar la inclusión de cualquier conflicto de interés en un pliego de condiciones, máxime cuando su utilización debe ser excepcional, y su legalidad, en todo caso, corresponde decidirla al juez del contrato. Con lo anterior, simplemente se pretenden señalar algunas de las razones que dan lugar a su inclusión y su vinculación con principios como la igualdad, la imparcialidad y la prevalencia del interés general sobre el particular. Por ello, la doctrina ha precisado algunos fundamentos concretos que dan lugar a la inclusión de estas causales de conflicto de interés:</w:t>
      </w:r>
    </w:p>
    <w:p w14:paraId="637C38EB" w14:textId="77777777" w:rsidR="009E40F5" w:rsidRPr="00E33B8D" w:rsidRDefault="009E40F5" w:rsidP="009E40F5">
      <w:pPr>
        <w:widowControl w:val="0"/>
        <w:autoSpaceDE w:val="0"/>
        <w:autoSpaceDN w:val="0"/>
        <w:spacing w:after="0" w:line="276" w:lineRule="auto"/>
        <w:ind w:firstLine="709"/>
        <w:jc w:val="both"/>
        <w:rPr>
          <w:rFonts w:ascii="Arial" w:eastAsia="Calibri" w:hAnsi="Arial" w:cs="Arial"/>
          <w:sz w:val="21"/>
          <w:szCs w:val="21"/>
          <w:lang w:val="es-ES_tradnl"/>
        </w:rPr>
      </w:pPr>
    </w:p>
    <w:p w14:paraId="2FA06803" w14:textId="77777777" w:rsidR="009E40F5" w:rsidRPr="001308A6" w:rsidRDefault="009E40F5" w:rsidP="009E40F5">
      <w:pPr>
        <w:widowControl w:val="0"/>
        <w:autoSpaceDE w:val="0"/>
        <w:autoSpaceDN w:val="0"/>
        <w:spacing w:after="0" w:line="240" w:lineRule="auto"/>
        <w:ind w:left="709" w:right="709"/>
        <w:jc w:val="both"/>
        <w:rPr>
          <w:rFonts w:ascii="Verdana" w:eastAsia="Calibri" w:hAnsi="Verdana" w:cs="Arial"/>
          <w:sz w:val="20"/>
          <w:szCs w:val="20"/>
          <w:lang w:val="es-ES_tradnl"/>
        </w:rPr>
      </w:pPr>
      <w:r w:rsidRPr="001308A6">
        <w:rPr>
          <w:rFonts w:ascii="Verdana" w:hAnsi="Verdana" w:cs="Arial"/>
          <w:sz w:val="20"/>
          <w:szCs w:val="20"/>
        </w:rPr>
        <w:t>“</w:t>
      </w:r>
      <w:r w:rsidRPr="001308A6">
        <w:rPr>
          <w:rFonts w:ascii="Verdana" w:eastAsia="Calibri" w:hAnsi="Verdana" w:cs="Arial"/>
          <w:sz w:val="20"/>
          <w:szCs w:val="20"/>
          <w:lang w:val="es-ES_tradnl"/>
        </w:rPr>
        <w:t xml:space="preserve">[…] en el plano de los procesos de selección, esta figura busca garantizar la objetividad y el principio de igualdad mediante la prohibición para participar y concursar respecto de personas que por alguna razón conocieron con antelación elementos esenciales del proceso o del contrato que les otorgan una ventaja en el concurso respecto de los demás y con ello la ruptura del principio inmaculado de la igualdad. </w:t>
      </w:r>
    </w:p>
    <w:p w14:paraId="37C3105C" w14:textId="77777777" w:rsidR="009E40F5" w:rsidRDefault="009E40F5" w:rsidP="009E40F5">
      <w:pPr>
        <w:widowControl w:val="0"/>
        <w:autoSpaceDE w:val="0"/>
        <w:autoSpaceDN w:val="0"/>
        <w:spacing w:after="0" w:line="240" w:lineRule="auto"/>
        <w:ind w:left="709" w:right="709"/>
        <w:jc w:val="both"/>
        <w:rPr>
          <w:rFonts w:ascii="Verdana" w:eastAsia="Calibri" w:hAnsi="Verdana" w:cs="Arial"/>
          <w:sz w:val="20"/>
          <w:szCs w:val="20"/>
          <w:lang w:val="es-ES_tradnl"/>
        </w:rPr>
      </w:pPr>
    </w:p>
    <w:p w14:paraId="213E766A" w14:textId="06EC29E8" w:rsidR="009E40F5" w:rsidRPr="008D5C11" w:rsidRDefault="009E40F5" w:rsidP="008D5C11">
      <w:pPr>
        <w:widowControl w:val="0"/>
        <w:autoSpaceDE w:val="0"/>
        <w:autoSpaceDN w:val="0"/>
        <w:spacing w:after="0" w:line="240" w:lineRule="auto"/>
        <w:ind w:left="709" w:right="709"/>
        <w:jc w:val="both"/>
        <w:rPr>
          <w:rFonts w:ascii="Verdana" w:eastAsia="Calibri" w:hAnsi="Verdana" w:cs="Arial"/>
          <w:sz w:val="20"/>
          <w:szCs w:val="20"/>
          <w:lang w:val="es-ES_tradnl"/>
        </w:rPr>
      </w:pPr>
      <w:r w:rsidRPr="001308A6">
        <w:rPr>
          <w:rFonts w:ascii="Verdana" w:eastAsia="Calibri" w:hAnsi="Verdana" w:cs="Arial"/>
          <w:sz w:val="20"/>
          <w:szCs w:val="20"/>
          <w:lang w:val="es-ES_tradnl"/>
        </w:rPr>
        <w:t>[…] el aserto antedicho se predica en relación con la mayoría de los contratos y en donde no (sic) existe nexo entre dos o más negocios jurídicos. Ello traduce que cuando se presenta un claro vínculo entre dos contratos, si se quiere relacionados íntimamente y donde el uno depende en gran medida de los realizado por uno anterior, resulta comprensible estatuir que no puede haber ningún tipo de vínculo entre los dos contratistas o que no pueda participar en el segundo, el contratista del primero en cuanto generador de información fundamental para el segundo”</w:t>
      </w:r>
      <w:r w:rsidRPr="001308A6">
        <w:rPr>
          <w:rStyle w:val="Refdenotaalpie"/>
          <w:rFonts w:ascii="Verdana" w:eastAsia="Calibri" w:hAnsi="Verdana" w:cs="Arial"/>
          <w:sz w:val="20"/>
          <w:szCs w:val="20"/>
          <w:lang w:val="es-ES_tradnl"/>
        </w:rPr>
        <w:footnoteReference w:id="22"/>
      </w:r>
      <w:r w:rsidRPr="001308A6">
        <w:rPr>
          <w:rFonts w:ascii="Verdana" w:eastAsia="Calibri" w:hAnsi="Verdana" w:cs="Arial"/>
          <w:sz w:val="20"/>
          <w:szCs w:val="20"/>
          <w:lang w:val="es-ES_tradnl"/>
        </w:rPr>
        <w:t>.</w:t>
      </w:r>
    </w:p>
    <w:p w14:paraId="745177E1" w14:textId="77777777" w:rsidR="009E40F5" w:rsidRPr="00B0169E" w:rsidRDefault="009E40F5" w:rsidP="009E40F5">
      <w:pPr>
        <w:widowControl w:val="0"/>
        <w:autoSpaceDE w:val="0"/>
        <w:autoSpaceDN w:val="0"/>
        <w:spacing w:line="276" w:lineRule="auto"/>
        <w:jc w:val="both"/>
        <w:rPr>
          <w:rFonts w:ascii="Verdana" w:eastAsia="Calibri" w:hAnsi="Verdana" w:cs="Arial"/>
          <w:lang w:val="es-ES_tradnl"/>
        </w:rPr>
      </w:pPr>
      <w:r w:rsidRPr="00B0169E">
        <w:rPr>
          <w:rFonts w:ascii="Verdana" w:eastAsia="Calibri" w:hAnsi="Verdana" w:cs="Arial"/>
          <w:lang w:val="es-ES_tradnl"/>
        </w:rPr>
        <w:lastRenderedPageBreak/>
        <w:tab/>
        <w:t xml:space="preserve">Como se esbozó con anterioridad, la Sala de Consulta y Servicio Civil del Consejo de Estado claramente ha admitido la inclusión de causales de conflicto de interés en los pliegos de condiciones o en los contratos de las entidades estatales, siempre y cuando estas satisfagan, entre otros requisitos, los criterios de </w:t>
      </w:r>
      <w:r w:rsidRPr="00B0169E">
        <w:rPr>
          <w:rFonts w:ascii="Verdana" w:eastAsia="Calibri" w:hAnsi="Verdana" w:cs="Arial"/>
          <w:i/>
          <w:iCs/>
          <w:lang w:val="es-ES_tradnl"/>
        </w:rPr>
        <w:t xml:space="preserve">tipicidad </w:t>
      </w:r>
      <w:r w:rsidRPr="00B0169E">
        <w:rPr>
          <w:rFonts w:ascii="Verdana" w:eastAsia="Calibri" w:hAnsi="Verdana" w:cs="Arial"/>
          <w:lang w:val="es-ES_tradnl"/>
        </w:rPr>
        <w:t xml:space="preserve">y </w:t>
      </w:r>
      <w:r w:rsidRPr="00B0169E">
        <w:rPr>
          <w:rFonts w:ascii="Verdana" w:eastAsia="Calibri" w:hAnsi="Verdana" w:cs="Arial"/>
          <w:i/>
          <w:iCs/>
          <w:lang w:val="es-ES_tradnl"/>
        </w:rPr>
        <w:t xml:space="preserve">objetividad. </w:t>
      </w:r>
      <w:r w:rsidRPr="00B0169E">
        <w:rPr>
          <w:rFonts w:ascii="Verdana" w:eastAsia="Calibri" w:hAnsi="Verdana" w:cs="Arial"/>
          <w:lang w:val="es-ES_tradnl"/>
        </w:rPr>
        <w:t xml:space="preserve">En efecto, en el concepto 1.767 del 10 de agosto de 2006, con fundamento en la estipulación de una causal de conflicto de interés en un contrato, se respondió una consulta confirmando que en el caso puesto a consideración de la Sala efectivamente se presentaba un conflicto de interés por lo que </w:t>
      </w:r>
      <w:r w:rsidRPr="00B0169E">
        <w:rPr>
          <w:rFonts w:ascii="Verdana" w:eastAsia="Calibri" w:hAnsi="Verdana" w:cs="Arial"/>
          <w:i/>
          <w:iCs/>
          <w:lang w:val="es-ES_tradnl"/>
        </w:rPr>
        <w:t>“[…] el Consultor en quien se presenta, debió separarse inmediatamente del procedimiento de licitación”</w:t>
      </w:r>
      <w:r w:rsidRPr="00B0169E">
        <w:rPr>
          <w:rFonts w:ascii="Verdana" w:eastAsia="Calibri" w:hAnsi="Verdana" w:cs="Arial"/>
          <w:lang w:val="es-ES_tradnl"/>
        </w:rPr>
        <w:t>. En dicho Concepto se señaló, en relación con los conflictos de interés, lo siguiente, teniendo en cuenta la causal incluida en el contrato relacionado con la consulta realizada al Consejo de Estado:</w:t>
      </w:r>
    </w:p>
    <w:p w14:paraId="7470D57E" w14:textId="77777777" w:rsidR="009E40F5" w:rsidRPr="001308A6" w:rsidRDefault="009E40F5" w:rsidP="009E40F5">
      <w:pPr>
        <w:widowControl w:val="0"/>
        <w:autoSpaceDE w:val="0"/>
        <w:autoSpaceDN w:val="0"/>
        <w:spacing w:after="0" w:line="240" w:lineRule="auto"/>
        <w:ind w:left="709" w:right="709"/>
        <w:jc w:val="both"/>
        <w:rPr>
          <w:rFonts w:ascii="Verdana" w:eastAsia="Calibri" w:hAnsi="Verdana" w:cs="Arial"/>
          <w:sz w:val="20"/>
          <w:szCs w:val="20"/>
          <w:lang w:val="es-ES"/>
        </w:rPr>
      </w:pPr>
      <w:r w:rsidRPr="001308A6">
        <w:rPr>
          <w:rFonts w:ascii="Verdana" w:hAnsi="Verdana" w:cs="Arial"/>
          <w:sz w:val="20"/>
          <w:szCs w:val="20"/>
          <w:lang w:val="es-ES"/>
        </w:rPr>
        <w:t>“</w:t>
      </w:r>
      <w:r w:rsidRPr="001308A6">
        <w:rPr>
          <w:rFonts w:ascii="Verdana" w:eastAsia="Calibri" w:hAnsi="Verdana" w:cs="Arial"/>
          <w:sz w:val="20"/>
          <w:szCs w:val="20"/>
          <w:lang w:val="es-ES"/>
        </w:rPr>
        <w:t xml:space="preserve">La Sala destaca que el señalamiento contractual de la existencia de conflicto de intereses a partir de la identificación de actividades incompatibles con las tareas que le han sido contractualmente asignadas al </w:t>
      </w:r>
      <w:proofErr w:type="gramStart"/>
      <w:r w:rsidRPr="001308A6">
        <w:rPr>
          <w:rFonts w:ascii="Verdana" w:eastAsia="Calibri" w:hAnsi="Verdana" w:cs="Arial"/>
          <w:sz w:val="20"/>
          <w:szCs w:val="20"/>
          <w:lang w:val="es-ES"/>
        </w:rPr>
        <w:t>Consultor,</w:t>
      </w:r>
      <w:proofErr w:type="gramEnd"/>
      <w:r w:rsidRPr="001308A6">
        <w:rPr>
          <w:rFonts w:ascii="Verdana" w:eastAsia="Calibri" w:hAnsi="Verdana" w:cs="Arial"/>
          <w:sz w:val="20"/>
          <w:szCs w:val="20"/>
          <w:lang w:val="es-ES"/>
        </w:rPr>
        <w:t xml:space="preserve"> comporta una evaluación estrictamente objetiva, pues el comportamiento de conducta que da origen al conflicto, se presenta abstracción hecha de cualquier significado axiológico de la misma.</w:t>
      </w:r>
    </w:p>
    <w:p w14:paraId="27BB2C33" w14:textId="77777777" w:rsidR="009E40F5" w:rsidRDefault="009E40F5" w:rsidP="009E40F5">
      <w:pPr>
        <w:widowControl w:val="0"/>
        <w:autoSpaceDE w:val="0"/>
        <w:autoSpaceDN w:val="0"/>
        <w:spacing w:after="0" w:line="240" w:lineRule="auto"/>
        <w:ind w:left="709" w:right="709"/>
        <w:jc w:val="both"/>
        <w:rPr>
          <w:rFonts w:ascii="Verdana" w:eastAsia="Calibri" w:hAnsi="Verdana" w:cs="Arial"/>
          <w:sz w:val="20"/>
          <w:szCs w:val="20"/>
          <w:lang w:val="es-ES_tradnl"/>
        </w:rPr>
      </w:pPr>
    </w:p>
    <w:p w14:paraId="529B69E2" w14:textId="77777777" w:rsidR="009E40F5" w:rsidRPr="001308A6" w:rsidRDefault="009E40F5" w:rsidP="009E40F5">
      <w:pPr>
        <w:widowControl w:val="0"/>
        <w:autoSpaceDE w:val="0"/>
        <w:autoSpaceDN w:val="0"/>
        <w:spacing w:after="0" w:line="240" w:lineRule="auto"/>
        <w:ind w:left="709" w:right="709"/>
        <w:jc w:val="both"/>
        <w:rPr>
          <w:rFonts w:ascii="Verdana" w:eastAsia="Calibri" w:hAnsi="Verdana" w:cs="Arial"/>
          <w:sz w:val="20"/>
          <w:szCs w:val="20"/>
          <w:lang w:val="es-ES_tradnl"/>
        </w:rPr>
      </w:pPr>
      <w:r w:rsidRPr="001308A6">
        <w:rPr>
          <w:rFonts w:ascii="Verdana" w:eastAsia="Calibri" w:hAnsi="Verdana" w:cs="Arial"/>
          <w:sz w:val="20"/>
          <w:szCs w:val="20"/>
          <w:lang w:val="es-ES_tradnl"/>
        </w:rPr>
        <w:t>El postulado ético ínsito en las cláusulas sobre conflictos lleva a significar que el propósito de las partes contratantes es el de amparar en grado extremo los principios de transparencia, igualdad y moralidad administrativas, prohibiendo determinadas conductas, sin consideración de los resultados dañinos o inocuos de las mismas en relación con el proceso de licitación.</w:t>
      </w:r>
    </w:p>
    <w:p w14:paraId="2F39D646" w14:textId="77777777" w:rsidR="009E40F5" w:rsidRDefault="009E40F5" w:rsidP="009E40F5">
      <w:pPr>
        <w:widowControl w:val="0"/>
        <w:autoSpaceDE w:val="0"/>
        <w:autoSpaceDN w:val="0"/>
        <w:spacing w:after="0" w:line="240" w:lineRule="auto"/>
        <w:ind w:left="709" w:right="709"/>
        <w:jc w:val="both"/>
        <w:rPr>
          <w:rFonts w:ascii="Verdana" w:eastAsia="Calibri" w:hAnsi="Verdana" w:cs="Arial"/>
          <w:sz w:val="20"/>
          <w:szCs w:val="20"/>
          <w:lang w:val="es-ES_tradnl"/>
        </w:rPr>
      </w:pPr>
    </w:p>
    <w:p w14:paraId="58DE06BB" w14:textId="77777777" w:rsidR="009E40F5" w:rsidRPr="001308A6" w:rsidRDefault="009E40F5" w:rsidP="009E40F5">
      <w:pPr>
        <w:widowControl w:val="0"/>
        <w:autoSpaceDE w:val="0"/>
        <w:autoSpaceDN w:val="0"/>
        <w:spacing w:after="0" w:line="240" w:lineRule="auto"/>
        <w:ind w:left="709" w:right="709"/>
        <w:jc w:val="both"/>
        <w:rPr>
          <w:rFonts w:ascii="Verdana" w:eastAsia="Calibri" w:hAnsi="Verdana" w:cs="Arial"/>
          <w:sz w:val="20"/>
          <w:szCs w:val="20"/>
          <w:lang w:val="es-ES_tradnl"/>
        </w:rPr>
      </w:pPr>
      <w:r w:rsidRPr="001308A6">
        <w:rPr>
          <w:rFonts w:ascii="Verdana" w:eastAsia="Calibri" w:hAnsi="Verdana" w:cs="Arial"/>
          <w:sz w:val="20"/>
          <w:szCs w:val="20"/>
          <w:lang w:val="es-ES_tradnl"/>
        </w:rPr>
        <w:t xml:space="preserve">Así las cosas, para la Sala es claro que el consultor o cualquiera de los miembros que integran la Unión Temporal, se encuentra incurso en conflicto de intereses, cuando, independientemente de la intencionalidad y de los resultados,  desarrolla una actividad incompatible con alguna de aquellas que contractualmente le han sido asignadas, como por ejemplo, participar en el análisis, discusión o evaluación de la oferta de un  proponente cuyo asesor posee relaciones comerciales o profesionales con el consultor. </w:t>
      </w:r>
    </w:p>
    <w:p w14:paraId="58B522D4" w14:textId="77777777" w:rsidR="009E40F5" w:rsidRDefault="009E40F5" w:rsidP="009E40F5">
      <w:pPr>
        <w:widowControl w:val="0"/>
        <w:autoSpaceDE w:val="0"/>
        <w:autoSpaceDN w:val="0"/>
        <w:spacing w:after="0" w:line="240" w:lineRule="auto"/>
        <w:ind w:left="709" w:right="709"/>
        <w:jc w:val="both"/>
        <w:rPr>
          <w:rFonts w:ascii="Verdana" w:eastAsia="Calibri" w:hAnsi="Verdana" w:cs="Arial"/>
          <w:sz w:val="20"/>
          <w:szCs w:val="20"/>
          <w:lang w:val="es-ES"/>
        </w:rPr>
      </w:pPr>
    </w:p>
    <w:p w14:paraId="3805F243" w14:textId="77777777" w:rsidR="009E40F5" w:rsidRPr="001308A6" w:rsidRDefault="009E40F5" w:rsidP="009E40F5">
      <w:pPr>
        <w:widowControl w:val="0"/>
        <w:autoSpaceDE w:val="0"/>
        <w:autoSpaceDN w:val="0"/>
        <w:spacing w:after="0" w:line="240" w:lineRule="auto"/>
        <w:ind w:left="709" w:right="709"/>
        <w:jc w:val="both"/>
        <w:rPr>
          <w:rFonts w:ascii="Verdana" w:eastAsia="Calibri" w:hAnsi="Verdana" w:cs="Arial"/>
          <w:sz w:val="20"/>
          <w:szCs w:val="20"/>
          <w:lang w:val="es-ES"/>
        </w:rPr>
      </w:pPr>
      <w:r w:rsidRPr="001308A6">
        <w:rPr>
          <w:rFonts w:ascii="Verdana" w:eastAsia="Calibri" w:hAnsi="Verdana" w:cs="Arial"/>
          <w:sz w:val="20"/>
          <w:szCs w:val="20"/>
          <w:lang w:val="es-ES"/>
        </w:rPr>
        <w:t xml:space="preserve">Concretamente, lo que el contrato prohíbe en el presente caso, es que el consultor ejerza sus funciones dentro del proceso licitatorio cuando una persona con quien él tiene relaciones comerciales o profesionales vigentes es la asesora jurídica de uno de los proponentes. Es incompatible que el consultor atienda su relación comercial o profesional con esa persona y simultáneamente estudie, conceptúe o recomiende decisiones a la administración dentro de un proceso licitatorio en el cual esa persona presta asesoría legal a uno de los proponentes. Para el contrato, la </w:t>
      </w:r>
      <w:r w:rsidRPr="001308A6">
        <w:rPr>
          <w:rFonts w:ascii="Verdana" w:eastAsia="Calibri" w:hAnsi="Verdana" w:cs="Arial"/>
          <w:sz w:val="20"/>
          <w:szCs w:val="20"/>
          <w:lang w:val="es-ES"/>
        </w:rPr>
        <w:lastRenderedPageBreak/>
        <w:t>situación descrita genera necesariamente un conflicto de intereses que se materializa en el momento en el que se conozca de la existencia de la incompatibilidad”.</w:t>
      </w:r>
      <w:r w:rsidRPr="001308A6">
        <w:rPr>
          <w:rStyle w:val="Refdenotaalpie"/>
          <w:rFonts w:ascii="Verdana" w:eastAsia="Calibri" w:hAnsi="Verdana" w:cs="Arial"/>
          <w:sz w:val="20"/>
          <w:szCs w:val="20"/>
          <w:lang w:val="es-ES"/>
        </w:rPr>
        <w:footnoteReference w:id="23"/>
      </w:r>
    </w:p>
    <w:p w14:paraId="572BC69C" w14:textId="77777777" w:rsidR="009E40F5" w:rsidRPr="00B0169E" w:rsidRDefault="009E40F5" w:rsidP="009E40F5">
      <w:pPr>
        <w:widowControl w:val="0"/>
        <w:autoSpaceDE w:val="0"/>
        <w:autoSpaceDN w:val="0"/>
        <w:spacing w:after="0" w:line="276" w:lineRule="auto"/>
        <w:ind w:firstLine="709"/>
        <w:jc w:val="both"/>
        <w:rPr>
          <w:rFonts w:ascii="Verdana" w:eastAsia="Calibri" w:hAnsi="Verdana" w:cs="Arial"/>
          <w:lang w:val="es-ES_tradnl"/>
        </w:rPr>
      </w:pPr>
    </w:p>
    <w:p w14:paraId="456F3972" w14:textId="77777777" w:rsidR="009E40F5" w:rsidRPr="00B0169E" w:rsidRDefault="009E40F5" w:rsidP="009E40F5">
      <w:pPr>
        <w:widowControl w:val="0"/>
        <w:autoSpaceDE w:val="0"/>
        <w:autoSpaceDN w:val="0"/>
        <w:spacing w:line="276" w:lineRule="auto"/>
        <w:ind w:firstLine="709"/>
        <w:jc w:val="both"/>
        <w:rPr>
          <w:rFonts w:ascii="Verdana" w:eastAsia="Calibri" w:hAnsi="Verdana" w:cs="Arial"/>
          <w:i/>
          <w:iCs/>
          <w:lang w:val="es-ES"/>
        </w:rPr>
      </w:pPr>
      <w:r w:rsidRPr="00B0169E">
        <w:rPr>
          <w:rFonts w:ascii="Verdana" w:eastAsia="Calibri" w:hAnsi="Verdana" w:cs="Arial"/>
          <w:lang w:val="es-ES"/>
        </w:rPr>
        <w:t xml:space="preserve">Retomando la línea del concepto anterior, la Sala de Consulta y Servicio Civil del Consejo de Estado, en concepto del 23 de marzo de 2011, admitiendo la posibilidad de establecer conflictos de interés en los pliegos de condiciones, señaló que en su inclusión se deben cumplir con los requisitos de tipicidad y objetividad. Por la relevancia de las consideraciones de dicho concepto, estas se transcriben </w:t>
      </w:r>
      <w:proofErr w:type="gramStart"/>
      <w:r w:rsidRPr="00B0169E">
        <w:rPr>
          <w:rFonts w:ascii="Verdana" w:eastAsia="Calibri" w:hAnsi="Verdana" w:cs="Arial"/>
          <w:i/>
          <w:iCs/>
          <w:lang w:val="es-ES"/>
        </w:rPr>
        <w:t>in extenso</w:t>
      </w:r>
      <w:proofErr w:type="gramEnd"/>
      <w:r w:rsidRPr="00B0169E">
        <w:rPr>
          <w:rFonts w:ascii="Verdana" w:eastAsia="Calibri" w:hAnsi="Verdana" w:cs="Arial"/>
          <w:i/>
          <w:iCs/>
          <w:lang w:val="es-ES"/>
        </w:rPr>
        <w:t>:</w:t>
      </w:r>
    </w:p>
    <w:p w14:paraId="56FB9E08" w14:textId="77777777" w:rsidR="009E40F5" w:rsidRPr="001308A6" w:rsidRDefault="009E40F5" w:rsidP="009E40F5">
      <w:pPr>
        <w:widowControl w:val="0"/>
        <w:autoSpaceDE w:val="0"/>
        <w:autoSpaceDN w:val="0"/>
        <w:spacing w:after="0" w:line="240" w:lineRule="auto"/>
        <w:ind w:left="709" w:right="709"/>
        <w:jc w:val="both"/>
        <w:rPr>
          <w:rFonts w:ascii="Verdana" w:eastAsia="Calibri" w:hAnsi="Verdana" w:cs="Arial"/>
          <w:sz w:val="20"/>
          <w:szCs w:val="20"/>
          <w:lang w:val="es-ES_tradnl"/>
        </w:rPr>
      </w:pPr>
      <w:r w:rsidRPr="001308A6">
        <w:rPr>
          <w:rFonts w:ascii="Verdana" w:hAnsi="Verdana" w:cs="Arial"/>
          <w:sz w:val="20"/>
          <w:szCs w:val="20"/>
          <w:lang w:val="es-ES_tradnl"/>
        </w:rPr>
        <w:t>“</w:t>
      </w:r>
      <w:r w:rsidRPr="001308A6">
        <w:rPr>
          <w:rFonts w:ascii="Verdana" w:eastAsia="Calibri" w:hAnsi="Verdana" w:cs="Arial"/>
          <w:sz w:val="20"/>
          <w:szCs w:val="20"/>
          <w:lang w:val="es-ES_tradnl"/>
        </w:rPr>
        <w:t xml:space="preserve">Para efectos del concepto que ahora se rinde, la Sala resalta dos elementos contenidos en el texto transcrito, a saber: </w:t>
      </w:r>
      <w:r w:rsidRPr="001308A6">
        <w:rPr>
          <w:rFonts w:ascii="Verdana" w:eastAsia="Calibri" w:hAnsi="Verdana" w:cs="Arial"/>
          <w:i/>
          <w:iCs/>
          <w:sz w:val="20"/>
          <w:szCs w:val="20"/>
          <w:lang w:val="es-ES_tradnl"/>
        </w:rPr>
        <w:t>la «tipicidad» y la «objetividad»,</w:t>
      </w:r>
      <w:r w:rsidRPr="001308A6">
        <w:rPr>
          <w:rFonts w:ascii="Verdana" w:eastAsia="Calibri" w:hAnsi="Verdana" w:cs="Arial"/>
          <w:sz w:val="20"/>
          <w:szCs w:val="20"/>
          <w:lang w:val="es-ES_tradnl"/>
        </w:rPr>
        <w:t xml:space="preserve"> que deben predicarse de las causales que se establezcan en cada caso particular, para preservar y hacer eficaz la selección objetiva del contratista, como se explica a continuación.</w:t>
      </w:r>
    </w:p>
    <w:p w14:paraId="0DEA8E06" w14:textId="77777777" w:rsidR="009E40F5" w:rsidRDefault="009E40F5" w:rsidP="009E40F5">
      <w:pPr>
        <w:widowControl w:val="0"/>
        <w:autoSpaceDE w:val="0"/>
        <w:autoSpaceDN w:val="0"/>
        <w:spacing w:after="0" w:line="240" w:lineRule="auto"/>
        <w:ind w:left="709" w:right="709"/>
        <w:jc w:val="both"/>
        <w:rPr>
          <w:rFonts w:ascii="Verdana" w:eastAsia="Calibri" w:hAnsi="Verdana" w:cs="Arial"/>
          <w:sz w:val="20"/>
          <w:szCs w:val="20"/>
          <w:lang w:val="es-ES_tradnl"/>
        </w:rPr>
      </w:pPr>
    </w:p>
    <w:p w14:paraId="7A572BFB" w14:textId="77777777" w:rsidR="009E40F5" w:rsidRPr="001308A6" w:rsidRDefault="009E40F5" w:rsidP="009E40F5">
      <w:pPr>
        <w:widowControl w:val="0"/>
        <w:autoSpaceDE w:val="0"/>
        <w:autoSpaceDN w:val="0"/>
        <w:spacing w:after="0" w:line="240" w:lineRule="auto"/>
        <w:ind w:left="709" w:right="709"/>
        <w:jc w:val="both"/>
        <w:rPr>
          <w:rFonts w:ascii="Verdana" w:eastAsia="Calibri" w:hAnsi="Verdana" w:cs="Arial"/>
          <w:sz w:val="20"/>
          <w:szCs w:val="20"/>
          <w:lang w:val="es-ES_tradnl"/>
        </w:rPr>
      </w:pPr>
      <w:r w:rsidRPr="001308A6">
        <w:rPr>
          <w:rFonts w:ascii="Verdana" w:eastAsia="Calibri" w:hAnsi="Verdana" w:cs="Arial"/>
          <w:sz w:val="20"/>
          <w:szCs w:val="20"/>
          <w:lang w:val="es-ES_tradnl"/>
        </w:rPr>
        <w:t xml:space="preserve">La «identificación de actividades incompatibles» con las obligaciones del contratista, significa jurídicamente, </w:t>
      </w:r>
      <w:r w:rsidRPr="001308A6">
        <w:rPr>
          <w:rFonts w:ascii="Verdana" w:eastAsia="Calibri" w:hAnsi="Verdana" w:cs="Arial"/>
          <w:i/>
          <w:iCs/>
          <w:sz w:val="20"/>
          <w:szCs w:val="20"/>
          <w:lang w:val="es-ES_tradnl"/>
        </w:rPr>
        <w:t>«tipificarlas», esto es, definirlas de manera concreta para derivar de ellas una consecuencia que, en el caso en estudio, tiene una naturaleza restrictiva, prohibitiva o sancionatoria</w:t>
      </w:r>
      <w:r w:rsidRPr="001308A6">
        <w:rPr>
          <w:rFonts w:ascii="Verdana" w:eastAsia="Calibri" w:hAnsi="Verdana" w:cs="Arial"/>
          <w:sz w:val="20"/>
          <w:szCs w:val="20"/>
          <w:lang w:val="es-ES_tradnl"/>
        </w:rPr>
        <w:t>.</w:t>
      </w:r>
    </w:p>
    <w:p w14:paraId="7D3F3809" w14:textId="77777777" w:rsidR="009E40F5" w:rsidRPr="001308A6" w:rsidRDefault="009E40F5" w:rsidP="009E40F5">
      <w:pPr>
        <w:widowControl w:val="0"/>
        <w:autoSpaceDE w:val="0"/>
        <w:autoSpaceDN w:val="0"/>
        <w:spacing w:after="0" w:line="240" w:lineRule="auto"/>
        <w:ind w:left="709" w:right="709"/>
        <w:jc w:val="both"/>
        <w:rPr>
          <w:rFonts w:ascii="Verdana" w:eastAsia="Calibri" w:hAnsi="Verdana" w:cs="Arial"/>
          <w:sz w:val="20"/>
          <w:szCs w:val="20"/>
          <w:lang w:val="es-ES_tradnl"/>
        </w:rPr>
      </w:pPr>
      <w:r w:rsidRPr="001308A6">
        <w:rPr>
          <w:rFonts w:ascii="Verdana" w:eastAsia="Calibri" w:hAnsi="Verdana" w:cs="Arial"/>
          <w:sz w:val="20"/>
          <w:szCs w:val="20"/>
          <w:lang w:val="es-ES_tradnl"/>
        </w:rPr>
        <w:t>La «evaluación estrictamente objetiva» que debe garantizarse con las causales que se definan en un proceso contractual dado, exige, por supuesto, la «objetividad» en la determinación de las causales que se adopten.</w:t>
      </w:r>
    </w:p>
    <w:p w14:paraId="7D55BB36" w14:textId="77777777" w:rsidR="009E40F5" w:rsidRDefault="009E40F5" w:rsidP="009E40F5">
      <w:pPr>
        <w:widowControl w:val="0"/>
        <w:autoSpaceDE w:val="0"/>
        <w:autoSpaceDN w:val="0"/>
        <w:spacing w:after="0" w:line="240" w:lineRule="auto"/>
        <w:ind w:left="709" w:right="709"/>
        <w:jc w:val="both"/>
        <w:rPr>
          <w:rFonts w:ascii="Verdana" w:eastAsia="Calibri" w:hAnsi="Verdana" w:cs="Arial"/>
          <w:sz w:val="20"/>
          <w:szCs w:val="20"/>
          <w:lang w:val="es-ES_tradnl"/>
        </w:rPr>
      </w:pPr>
    </w:p>
    <w:p w14:paraId="5CFBEFE4" w14:textId="77777777" w:rsidR="009E40F5" w:rsidRPr="001308A6" w:rsidRDefault="009E40F5" w:rsidP="009E40F5">
      <w:pPr>
        <w:widowControl w:val="0"/>
        <w:autoSpaceDE w:val="0"/>
        <w:autoSpaceDN w:val="0"/>
        <w:spacing w:after="0" w:line="240" w:lineRule="auto"/>
        <w:ind w:left="709" w:right="709"/>
        <w:jc w:val="both"/>
        <w:rPr>
          <w:rFonts w:ascii="Verdana" w:eastAsia="Calibri" w:hAnsi="Verdana" w:cs="Arial"/>
          <w:sz w:val="20"/>
          <w:szCs w:val="20"/>
          <w:lang w:val="es-ES_tradnl"/>
        </w:rPr>
      </w:pPr>
      <w:r w:rsidRPr="001308A6">
        <w:rPr>
          <w:rFonts w:ascii="Verdana" w:eastAsia="Calibri" w:hAnsi="Verdana" w:cs="Arial"/>
          <w:sz w:val="20"/>
          <w:szCs w:val="20"/>
          <w:lang w:val="es-ES_tradnl"/>
        </w:rPr>
        <w:t>En términos gramaticales, el vocablo «objetivo» tiene, entre sus acepciones, las de «perteneciente o relativo al objeto en sí mismo, con independencia de la propia manera de pensar o de sentir» y «que existe realmente, fuera del sujeto que lo conoce». En tanto que la palabra «subjetivo» se define como «perteneciente o relativo al sujeto, considerado en oposición al mundo externo» y «perteneciente o relativo a nuestro modo de pensar o de sentir, y no al objeto en sí mismo.</w:t>
      </w:r>
      <w:bookmarkStart w:id="6" w:name="_ftnref18"/>
      <w:r w:rsidRPr="001308A6">
        <w:rPr>
          <w:rFonts w:ascii="Verdana" w:eastAsia="Calibri" w:hAnsi="Verdana" w:cs="Arial"/>
          <w:sz w:val="20"/>
          <w:szCs w:val="20"/>
          <w:lang w:val="es-ES_tradnl"/>
        </w:rPr>
        <w:t>»</w:t>
      </w:r>
      <w:bookmarkEnd w:id="6"/>
      <w:r w:rsidRPr="001308A6">
        <w:rPr>
          <w:rFonts w:ascii="Verdana" w:eastAsia="Calibri" w:hAnsi="Verdana" w:cs="Arial"/>
          <w:sz w:val="20"/>
          <w:szCs w:val="20"/>
          <w:lang w:val="es-ES_tradnl"/>
        </w:rPr>
        <w:t xml:space="preserve"> </w:t>
      </w:r>
    </w:p>
    <w:p w14:paraId="482EDF9C" w14:textId="77777777" w:rsidR="009E40F5" w:rsidRDefault="009E40F5" w:rsidP="009E40F5">
      <w:pPr>
        <w:widowControl w:val="0"/>
        <w:autoSpaceDE w:val="0"/>
        <w:autoSpaceDN w:val="0"/>
        <w:spacing w:after="0" w:line="240" w:lineRule="auto"/>
        <w:ind w:left="709" w:right="709"/>
        <w:jc w:val="both"/>
        <w:rPr>
          <w:rFonts w:ascii="Verdana" w:eastAsia="Calibri" w:hAnsi="Verdana" w:cs="Arial"/>
          <w:sz w:val="20"/>
          <w:szCs w:val="20"/>
          <w:lang w:val="es-ES"/>
        </w:rPr>
      </w:pPr>
    </w:p>
    <w:p w14:paraId="49453F16" w14:textId="77777777" w:rsidR="009E40F5" w:rsidRPr="001308A6" w:rsidRDefault="009E40F5" w:rsidP="009E40F5">
      <w:pPr>
        <w:widowControl w:val="0"/>
        <w:autoSpaceDE w:val="0"/>
        <w:autoSpaceDN w:val="0"/>
        <w:spacing w:after="0" w:line="240" w:lineRule="auto"/>
        <w:ind w:left="709" w:right="709"/>
        <w:jc w:val="both"/>
        <w:rPr>
          <w:rFonts w:ascii="Verdana" w:eastAsia="Calibri" w:hAnsi="Verdana" w:cs="Arial"/>
          <w:i/>
          <w:iCs/>
          <w:sz w:val="20"/>
          <w:szCs w:val="20"/>
          <w:lang w:val="es-ES"/>
        </w:rPr>
      </w:pPr>
      <w:r w:rsidRPr="001308A6">
        <w:rPr>
          <w:rFonts w:ascii="Verdana" w:eastAsia="Calibri" w:hAnsi="Verdana" w:cs="Arial"/>
          <w:sz w:val="20"/>
          <w:szCs w:val="20"/>
          <w:lang w:val="es-ES"/>
        </w:rPr>
        <w:t xml:space="preserve">Siguiendo el significado gramatical de los citados términos y la exigencia legal de la objetividad en la selección de contratistas, las cláusulas o reglas que se incorporen en los pliegos de condiciones y en los contratos para regular el conflicto de intereses deben tipificar las acciones u omisiones que lo generen, en forma tal que </w:t>
      </w:r>
      <w:r w:rsidRPr="001308A6">
        <w:rPr>
          <w:rFonts w:ascii="Verdana" w:eastAsia="Calibri" w:hAnsi="Verdana" w:cs="Arial"/>
          <w:i/>
          <w:iCs/>
          <w:sz w:val="20"/>
          <w:szCs w:val="20"/>
          <w:lang w:val="es-ES"/>
        </w:rPr>
        <w:t xml:space="preserve">los hechos o situaciones que se invoquen como causales del conflicto puedan ser evaluados en sí mismos, esto es, objetivamente, y no queden sujetos al criterio, opinión o juicio de las personas que, por distintas razones, pueden o deben intervenir en el proceso de que se trate. A lo cual ha de agregarse que esas cualidades de </w:t>
      </w:r>
      <w:r w:rsidRPr="001308A6">
        <w:rPr>
          <w:rFonts w:ascii="Verdana" w:eastAsia="Calibri" w:hAnsi="Verdana" w:cs="Arial"/>
          <w:i/>
          <w:iCs/>
          <w:sz w:val="20"/>
          <w:szCs w:val="20"/>
          <w:lang w:val="es-ES"/>
        </w:rPr>
        <w:lastRenderedPageBreak/>
        <w:t>la regla permitirán que, desde el inicio del proceso contractual, los interesados estén en condiciones de decidir libremente su participación.</w:t>
      </w:r>
    </w:p>
    <w:p w14:paraId="0091F98D" w14:textId="77777777" w:rsidR="009E40F5" w:rsidRDefault="009E40F5" w:rsidP="009E40F5">
      <w:pPr>
        <w:widowControl w:val="0"/>
        <w:autoSpaceDE w:val="0"/>
        <w:autoSpaceDN w:val="0"/>
        <w:spacing w:after="0" w:line="240" w:lineRule="auto"/>
        <w:ind w:left="709" w:right="709"/>
        <w:jc w:val="both"/>
        <w:rPr>
          <w:rFonts w:ascii="Verdana" w:eastAsia="Calibri" w:hAnsi="Verdana" w:cs="Arial"/>
          <w:sz w:val="20"/>
          <w:szCs w:val="20"/>
        </w:rPr>
      </w:pPr>
    </w:p>
    <w:p w14:paraId="7B1F3F6E" w14:textId="77777777" w:rsidR="009E40F5" w:rsidRPr="001308A6" w:rsidRDefault="009E40F5" w:rsidP="009E40F5">
      <w:pPr>
        <w:widowControl w:val="0"/>
        <w:autoSpaceDE w:val="0"/>
        <w:autoSpaceDN w:val="0"/>
        <w:spacing w:after="0" w:line="240" w:lineRule="auto"/>
        <w:ind w:left="709" w:right="709"/>
        <w:jc w:val="both"/>
        <w:rPr>
          <w:rFonts w:ascii="Verdana" w:eastAsia="Calibri" w:hAnsi="Verdana" w:cs="Arial"/>
          <w:sz w:val="20"/>
          <w:szCs w:val="20"/>
        </w:rPr>
      </w:pPr>
      <w:r w:rsidRPr="001308A6">
        <w:rPr>
          <w:rFonts w:ascii="Verdana" w:eastAsia="Calibri" w:hAnsi="Verdana" w:cs="Arial"/>
          <w:sz w:val="20"/>
          <w:szCs w:val="20"/>
        </w:rPr>
        <w:t xml:space="preserve">Aplicando los anteriores criterios a la regulación del conflicto de intereses en los pliegos que rijan un determinado proceso de selección, resulta evidente la necesidad de señalar, de manera clara y precisa, las acciones u omisiones a las que se dé como efecto prohibir la participación de una persona en el proceso de que se trate. Es </w:t>
      </w:r>
      <w:proofErr w:type="gramStart"/>
      <w:r w:rsidRPr="001308A6">
        <w:rPr>
          <w:rFonts w:ascii="Verdana" w:eastAsia="Calibri" w:hAnsi="Verdana" w:cs="Arial"/>
          <w:sz w:val="20"/>
          <w:szCs w:val="20"/>
        </w:rPr>
        <w:t>en razón de</w:t>
      </w:r>
      <w:proofErr w:type="gramEnd"/>
      <w:r w:rsidRPr="001308A6">
        <w:rPr>
          <w:rFonts w:ascii="Verdana" w:eastAsia="Calibri" w:hAnsi="Verdana" w:cs="Arial"/>
          <w:sz w:val="20"/>
          <w:szCs w:val="20"/>
        </w:rPr>
        <w:t xml:space="preserve"> este efecto </w:t>
      </w:r>
      <w:r w:rsidRPr="001308A6">
        <w:rPr>
          <w:rFonts w:ascii="Verdana" w:eastAsia="Calibri" w:hAnsi="Verdana" w:cs="Arial"/>
          <w:i/>
          <w:iCs/>
          <w:sz w:val="20"/>
          <w:szCs w:val="20"/>
        </w:rPr>
        <w:t>que el conflicto de intereses no puede cimentarse en definiciones ambiguas, abstractas o que permitan un margen de subjetividad en su examen”.</w:t>
      </w:r>
      <w:r w:rsidRPr="001308A6">
        <w:rPr>
          <w:rStyle w:val="Refdenotaalpie"/>
          <w:rFonts w:ascii="Verdana" w:eastAsia="Calibri" w:hAnsi="Verdana" w:cs="Arial"/>
          <w:i/>
          <w:iCs/>
          <w:sz w:val="20"/>
          <w:szCs w:val="20"/>
          <w:lang w:val="es-ES_tradnl"/>
        </w:rPr>
        <w:footnoteReference w:id="24"/>
      </w:r>
      <w:r w:rsidRPr="001308A6">
        <w:rPr>
          <w:rFonts w:ascii="Verdana" w:eastAsia="Calibri" w:hAnsi="Verdana" w:cs="Arial"/>
          <w:sz w:val="20"/>
          <w:szCs w:val="20"/>
        </w:rPr>
        <w:t xml:space="preserve"> (Cursiva fuera del original).</w:t>
      </w:r>
    </w:p>
    <w:p w14:paraId="78D15B6A" w14:textId="77777777" w:rsidR="009E40F5" w:rsidRPr="00DD176C" w:rsidRDefault="009E40F5" w:rsidP="009E40F5">
      <w:pPr>
        <w:widowControl w:val="0"/>
        <w:autoSpaceDE w:val="0"/>
        <w:autoSpaceDN w:val="0"/>
        <w:spacing w:after="0" w:line="240" w:lineRule="auto"/>
        <w:jc w:val="both"/>
        <w:rPr>
          <w:rFonts w:ascii="Arial" w:eastAsia="Calibri" w:hAnsi="Arial" w:cs="Arial"/>
          <w:lang w:val="es-ES_tradnl"/>
        </w:rPr>
      </w:pPr>
    </w:p>
    <w:p w14:paraId="12ACF203" w14:textId="77777777" w:rsidR="009E40F5" w:rsidRPr="00686EAB" w:rsidRDefault="009E40F5" w:rsidP="009E40F5">
      <w:pPr>
        <w:widowControl w:val="0"/>
        <w:autoSpaceDE w:val="0"/>
        <w:autoSpaceDN w:val="0"/>
        <w:spacing w:after="120" w:line="276" w:lineRule="auto"/>
        <w:ind w:firstLine="709"/>
        <w:jc w:val="both"/>
        <w:rPr>
          <w:rFonts w:ascii="Verdana" w:eastAsia="Calibri" w:hAnsi="Verdana" w:cs="Arial"/>
          <w:lang w:val="es-ES"/>
        </w:rPr>
      </w:pPr>
      <w:r w:rsidRPr="00B0169E">
        <w:rPr>
          <w:rFonts w:ascii="Verdana" w:eastAsia="Calibri" w:hAnsi="Verdana" w:cs="Arial"/>
          <w:lang w:val="es-ES"/>
        </w:rPr>
        <w:t xml:space="preserve">De conformidad con los anteriores pronunciamientos de la Sala de Consulta y Servicio Civil del Consejo de Estado, es posible extraer las siguientes conclusiones en relación con la regulación de los conflictos de intereses en la contratación estatal: i) es posible que los pliegos de condiciones establezcan, si bien de forma restrictiva, conflictos de interés; </w:t>
      </w:r>
      <w:proofErr w:type="spellStart"/>
      <w:r w:rsidRPr="00B0169E">
        <w:rPr>
          <w:rFonts w:ascii="Verdana" w:eastAsia="Calibri" w:hAnsi="Verdana" w:cs="Arial"/>
          <w:lang w:val="es-ES"/>
        </w:rPr>
        <w:t>ii</w:t>
      </w:r>
      <w:proofErr w:type="spellEnd"/>
      <w:r w:rsidRPr="00B0169E">
        <w:rPr>
          <w:rFonts w:ascii="Verdana" w:eastAsia="Calibri" w:hAnsi="Verdana" w:cs="Arial"/>
          <w:lang w:val="es-ES"/>
        </w:rPr>
        <w:t xml:space="preserve">) estos deben </w:t>
      </w:r>
      <w:r w:rsidRPr="00B0169E">
        <w:rPr>
          <w:rFonts w:ascii="Verdana" w:eastAsia="Calibri" w:hAnsi="Verdana" w:cs="Arial"/>
          <w:i/>
          <w:iCs/>
          <w:lang w:val="es-ES"/>
        </w:rPr>
        <w:t>tipificarse</w:t>
      </w:r>
      <w:r w:rsidRPr="00B0169E">
        <w:rPr>
          <w:rFonts w:ascii="Verdana" w:eastAsia="Calibri" w:hAnsi="Verdana" w:cs="Arial"/>
          <w:lang w:val="es-ES"/>
        </w:rPr>
        <w:t xml:space="preserve">, esto es, establecerse de forma expresa y concreta en los pliegos de condiciones; </w:t>
      </w:r>
      <w:proofErr w:type="spellStart"/>
      <w:r w:rsidRPr="00B0169E">
        <w:rPr>
          <w:rFonts w:ascii="Verdana" w:eastAsia="Calibri" w:hAnsi="Verdana" w:cs="Arial"/>
          <w:lang w:val="es-ES"/>
        </w:rPr>
        <w:t>iii</w:t>
      </w:r>
      <w:proofErr w:type="spellEnd"/>
      <w:r w:rsidRPr="00B0169E">
        <w:rPr>
          <w:rFonts w:ascii="Verdana" w:eastAsia="Calibri" w:hAnsi="Verdana" w:cs="Arial"/>
          <w:lang w:val="es-ES"/>
        </w:rPr>
        <w:t xml:space="preserve">) las causales deben ser </w:t>
      </w:r>
      <w:r w:rsidRPr="00B0169E">
        <w:rPr>
          <w:rFonts w:ascii="Verdana" w:eastAsia="Calibri" w:hAnsi="Verdana" w:cs="Arial"/>
          <w:i/>
          <w:iCs/>
          <w:lang w:val="es-ES"/>
        </w:rPr>
        <w:t>objetivas</w:t>
      </w:r>
      <w:r w:rsidRPr="00B0169E">
        <w:rPr>
          <w:rFonts w:ascii="Verdana" w:eastAsia="Calibri" w:hAnsi="Verdana" w:cs="Arial"/>
          <w:lang w:val="es-ES"/>
        </w:rPr>
        <w:t xml:space="preserve">, esto es, que se describan con claridad, de manera que no resulten ambiguos dando lugar a que los intérpretes extraigan consecuencias diferentes; </w:t>
      </w:r>
      <w:proofErr w:type="spellStart"/>
      <w:r w:rsidRPr="00B0169E">
        <w:rPr>
          <w:rFonts w:ascii="Verdana" w:eastAsia="Calibri" w:hAnsi="Verdana" w:cs="Arial"/>
          <w:lang w:val="es-ES"/>
        </w:rPr>
        <w:t>iv</w:t>
      </w:r>
      <w:proofErr w:type="spellEnd"/>
      <w:r w:rsidRPr="00B0169E">
        <w:rPr>
          <w:rFonts w:ascii="Verdana" w:eastAsia="Calibri" w:hAnsi="Verdana" w:cs="Arial"/>
          <w:lang w:val="es-ES"/>
        </w:rPr>
        <w:t>) las causales no pueden ser caprichosas, por lo que su inclusión debe justificarse en salvaguardar principios superiores, como la igualdad, la imparcialidad, la transparencia, la moralidad o la selección objetiva; v) su interpretación, al igual que las causales de inhabilidad o incompatibilidad, debe ser estricta o restrictiva; vi) solo se pueden aplicar los conflictos de interés tipificados en el pliego de condiciones, en la Constitución o en la ley, de manera que su ausencia da lugar a que se parta del principio general de la capacidad contractual del proponente o contratista, de manera que la entidad no puede crear o aplicar causales que no incluyó en el pliego de condiciones</w:t>
      </w:r>
      <w:r w:rsidRPr="00B0169E">
        <w:rPr>
          <w:rStyle w:val="Refdenotaalpie"/>
          <w:rFonts w:ascii="Verdana" w:eastAsia="Calibri" w:hAnsi="Verdana" w:cs="Arial"/>
          <w:lang w:val="es-ES_tradnl"/>
        </w:rPr>
        <w:footnoteReference w:id="25"/>
      </w:r>
      <w:r w:rsidRPr="00B0169E">
        <w:rPr>
          <w:rFonts w:ascii="Verdana" w:eastAsia="Calibri" w:hAnsi="Verdana" w:cs="Arial"/>
          <w:lang w:val="es-ES"/>
        </w:rPr>
        <w:t>.</w:t>
      </w:r>
    </w:p>
    <w:p w14:paraId="0FCD245A" w14:textId="77777777" w:rsidR="009E40F5" w:rsidRPr="002E6096" w:rsidRDefault="009E40F5" w:rsidP="009E40F5">
      <w:pPr>
        <w:tabs>
          <w:tab w:val="left" w:pos="426"/>
        </w:tabs>
        <w:spacing w:line="276" w:lineRule="auto"/>
        <w:ind w:firstLine="425"/>
        <w:jc w:val="both"/>
        <w:rPr>
          <w:rFonts w:ascii="Verdana" w:hAnsi="Verdana" w:cs="Arial"/>
          <w:bCs/>
          <w:color w:val="000000" w:themeColor="text1"/>
          <w:lang w:val="es-ES_tradnl" w:bidi="es-ES"/>
        </w:rPr>
      </w:pPr>
      <w:r w:rsidRPr="002E6096">
        <w:rPr>
          <w:rFonts w:ascii="Verdana" w:hAnsi="Verdana" w:cs="Arial"/>
          <w:bCs/>
          <w:color w:val="000000" w:themeColor="text1"/>
          <w:lang w:val="es-MX"/>
        </w:rPr>
        <w:t xml:space="preserve">Bajo estas consideraciones, corresponde a cada Entidad Pública, en ejercicio de su competencia y previa valoración de los elementos fácticos y jurídicos, determinar si se está incurso en alguna causal de inhabilidad o incompatibilidad o si se configura un conflicto de intereses. </w:t>
      </w:r>
    </w:p>
    <w:bookmarkEnd w:id="4"/>
    <w:p w14:paraId="4BF83A35" w14:textId="77777777" w:rsidR="009E40F5" w:rsidRPr="00ED7249" w:rsidRDefault="009E40F5" w:rsidP="009E40F5">
      <w:pPr>
        <w:spacing w:after="0" w:line="276" w:lineRule="auto"/>
        <w:jc w:val="both"/>
        <w:rPr>
          <w:rFonts w:ascii="Verdana" w:eastAsia="Century Gothic" w:hAnsi="Verdana" w:cs="Century Gothic"/>
          <w:b/>
          <w:bCs/>
        </w:rPr>
      </w:pPr>
      <w:r>
        <w:rPr>
          <w:rFonts w:ascii="Verdana" w:eastAsia="Century Gothic" w:hAnsi="Verdana" w:cs="Century Gothic"/>
          <w:b/>
          <w:bCs/>
        </w:rPr>
        <w:lastRenderedPageBreak/>
        <w:t xml:space="preserve">4. </w:t>
      </w:r>
      <w:r w:rsidRPr="00F71A6A">
        <w:rPr>
          <w:rFonts w:ascii="Verdana" w:eastAsia="Century Gothic" w:hAnsi="Verdana" w:cs="Century Gothic"/>
          <w:b/>
          <w:bCs/>
        </w:rPr>
        <w:t>Referencias normativas, jurisprudenciales y otras fuentes:</w:t>
      </w:r>
    </w:p>
    <w:p w14:paraId="0CDDCEDC" w14:textId="77777777" w:rsidR="009E40F5" w:rsidRPr="000074D5" w:rsidRDefault="009E40F5" w:rsidP="009E40F5">
      <w:pPr>
        <w:spacing w:after="0" w:line="276" w:lineRule="auto"/>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E40F5" w:rsidRPr="00F72403" w14:paraId="0D72CF47" w14:textId="77777777" w:rsidTr="00272B58">
        <w:trPr>
          <w:trHeight w:val="632"/>
        </w:trPr>
        <w:tc>
          <w:tcPr>
            <w:tcW w:w="8647" w:type="dxa"/>
          </w:tcPr>
          <w:p w14:paraId="34558BF7" w14:textId="77777777" w:rsidR="009E40F5" w:rsidRPr="000A5763" w:rsidRDefault="009E40F5" w:rsidP="009E40F5">
            <w:pPr>
              <w:pStyle w:val="Prrafodelista"/>
              <w:numPr>
                <w:ilvl w:val="0"/>
                <w:numId w:val="17"/>
              </w:numPr>
              <w:spacing w:line="276" w:lineRule="auto"/>
              <w:jc w:val="both"/>
              <w:rPr>
                <w:rFonts w:ascii="Verdana" w:hAnsi="Verdana"/>
              </w:rPr>
            </w:pPr>
            <w:r w:rsidRPr="000A5763">
              <w:rPr>
                <w:rFonts w:ascii="Verdana" w:hAnsi="Verdana"/>
              </w:rPr>
              <w:t>Constitución Política. Artículo 6</w:t>
            </w:r>
            <w:r>
              <w:rPr>
                <w:rFonts w:ascii="Verdana" w:hAnsi="Verdana"/>
              </w:rPr>
              <w:t>, 209</w:t>
            </w:r>
            <w:r w:rsidRPr="000A5763">
              <w:rPr>
                <w:rFonts w:ascii="Verdana" w:hAnsi="Verdana"/>
              </w:rPr>
              <w:t xml:space="preserve">. </w:t>
            </w:r>
          </w:p>
          <w:p w14:paraId="50E7457E" w14:textId="77777777" w:rsidR="009E40F5" w:rsidRDefault="009E40F5" w:rsidP="009E40F5">
            <w:pPr>
              <w:pStyle w:val="Prrafodelista"/>
              <w:numPr>
                <w:ilvl w:val="0"/>
                <w:numId w:val="17"/>
              </w:numPr>
              <w:spacing w:line="276" w:lineRule="auto"/>
              <w:jc w:val="both"/>
              <w:rPr>
                <w:rFonts w:ascii="Verdana" w:hAnsi="Verdana"/>
              </w:rPr>
            </w:pPr>
            <w:r>
              <w:rPr>
                <w:rFonts w:ascii="Verdana" w:hAnsi="Verdana"/>
              </w:rPr>
              <w:t xml:space="preserve">Ley 80 de 1993. Artículos 2,3, 8, 25, 26, 32. </w:t>
            </w:r>
          </w:p>
          <w:p w14:paraId="5361C68B" w14:textId="77777777" w:rsidR="009E40F5" w:rsidRDefault="009E40F5" w:rsidP="009E40F5">
            <w:pPr>
              <w:pStyle w:val="Prrafodelista"/>
              <w:numPr>
                <w:ilvl w:val="0"/>
                <w:numId w:val="17"/>
              </w:numPr>
              <w:spacing w:line="276" w:lineRule="auto"/>
              <w:jc w:val="both"/>
              <w:rPr>
                <w:rFonts w:ascii="Verdana" w:hAnsi="Verdana"/>
              </w:rPr>
            </w:pPr>
            <w:r>
              <w:rPr>
                <w:rFonts w:ascii="Verdana" w:hAnsi="Verdana"/>
              </w:rPr>
              <w:t xml:space="preserve">Ley 1150 de 2007. Artículo 2. </w:t>
            </w:r>
          </w:p>
          <w:p w14:paraId="690A9F2E" w14:textId="77777777" w:rsidR="009E40F5" w:rsidRDefault="009E40F5" w:rsidP="009E40F5">
            <w:pPr>
              <w:pStyle w:val="Prrafodelista"/>
              <w:numPr>
                <w:ilvl w:val="0"/>
                <w:numId w:val="17"/>
              </w:numPr>
              <w:spacing w:line="276" w:lineRule="auto"/>
              <w:jc w:val="both"/>
              <w:rPr>
                <w:rFonts w:ascii="Verdana" w:hAnsi="Verdana"/>
              </w:rPr>
            </w:pPr>
            <w:r>
              <w:rPr>
                <w:rFonts w:ascii="Verdana" w:hAnsi="Verdana"/>
              </w:rPr>
              <w:t xml:space="preserve">Ley 1437 de 2011. Artículos 3, 11, 12.  </w:t>
            </w:r>
          </w:p>
          <w:p w14:paraId="57899C00" w14:textId="77777777" w:rsidR="009E40F5" w:rsidRDefault="009E40F5" w:rsidP="009E40F5">
            <w:pPr>
              <w:pStyle w:val="Prrafodelista"/>
              <w:numPr>
                <w:ilvl w:val="0"/>
                <w:numId w:val="17"/>
              </w:numPr>
              <w:spacing w:line="276" w:lineRule="auto"/>
              <w:jc w:val="both"/>
              <w:rPr>
                <w:rFonts w:ascii="Verdana" w:hAnsi="Verdana"/>
              </w:rPr>
            </w:pPr>
            <w:r>
              <w:rPr>
                <w:rFonts w:ascii="Verdana" w:hAnsi="Verdana"/>
              </w:rPr>
              <w:t xml:space="preserve">Ley 1474 de 2011. Artículo 87. </w:t>
            </w:r>
          </w:p>
          <w:p w14:paraId="5532823E" w14:textId="77777777" w:rsidR="009E40F5" w:rsidRPr="000A5763" w:rsidRDefault="009E40F5" w:rsidP="009E40F5">
            <w:pPr>
              <w:pStyle w:val="Prrafodelista"/>
              <w:numPr>
                <w:ilvl w:val="0"/>
                <w:numId w:val="17"/>
              </w:numPr>
              <w:spacing w:line="276" w:lineRule="auto"/>
              <w:jc w:val="both"/>
              <w:rPr>
                <w:rFonts w:ascii="Verdana" w:hAnsi="Verdana"/>
              </w:rPr>
            </w:pPr>
            <w:r w:rsidRPr="00524A6F">
              <w:rPr>
                <w:rFonts w:ascii="Verdana" w:hAnsi="Verdana" w:cs="Arial"/>
              </w:rPr>
              <w:t>Decreto 1082 de 2015</w:t>
            </w:r>
            <w:r>
              <w:rPr>
                <w:rFonts w:ascii="Verdana" w:hAnsi="Verdana" w:cs="Arial"/>
              </w:rPr>
              <w:t xml:space="preserve">. Artículo </w:t>
            </w:r>
            <w:r w:rsidRPr="00524A6F">
              <w:rPr>
                <w:rFonts w:ascii="Verdana" w:hAnsi="Verdana" w:cs="Arial"/>
              </w:rPr>
              <w:t>2.2.1.1.2.1.1</w:t>
            </w:r>
            <w:r>
              <w:rPr>
                <w:rFonts w:ascii="Verdana" w:hAnsi="Verdana" w:cs="Arial"/>
              </w:rPr>
              <w:t xml:space="preserve">., </w:t>
            </w:r>
            <w:r w:rsidRPr="000A5763">
              <w:rPr>
                <w:rFonts w:ascii="Verdana" w:hAnsi="Verdana" w:cs="Arial"/>
              </w:rPr>
              <w:t>2.2.1.2.1.3.9</w:t>
            </w:r>
            <w:r>
              <w:rPr>
                <w:rFonts w:ascii="Verdana" w:hAnsi="Verdana" w:cs="Arial"/>
              </w:rPr>
              <w:t>.</w:t>
            </w:r>
          </w:p>
          <w:p w14:paraId="0DBB60FD" w14:textId="77777777" w:rsidR="009E40F5" w:rsidRDefault="009E40F5" w:rsidP="009E40F5">
            <w:pPr>
              <w:pStyle w:val="Prrafodelista"/>
              <w:numPr>
                <w:ilvl w:val="0"/>
                <w:numId w:val="17"/>
              </w:numPr>
              <w:spacing w:line="276" w:lineRule="auto"/>
              <w:jc w:val="both"/>
              <w:rPr>
                <w:rFonts w:ascii="Verdana" w:hAnsi="Verdana"/>
              </w:rPr>
            </w:pPr>
            <w:r>
              <w:rPr>
                <w:rFonts w:ascii="Verdana" w:hAnsi="Verdana" w:cs="Arial"/>
              </w:rPr>
              <w:t xml:space="preserve">Ley 842 de 2003. Artículos 44, 45. </w:t>
            </w:r>
          </w:p>
          <w:p w14:paraId="688482EE" w14:textId="77777777" w:rsidR="009E40F5" w:rsidRDefault="009E40F5" w:rsidP="009E40F5">
            <w:pPr>
              <w:pStyle w:val="Prrafodelista"/>
              <w:numPr>
                <w:ilvl w:val="0"/>
                <w:numId w:val="17"/>
              </w:numPr>
              <w:spacing w:line="276" w:lineRule="auto"/>
              <w:jc w:val="both"/>
              <w:rPr>
                <w:rFonts w:ascii="Verdana" w:hAnsi="Verdana"/>
              </w:rPr>
            </w:pPr>
            <w:r w:rsidRPr="000C1A52">
              <w:rPr>
                <w:rFonts w:ascii="Verdana" w:hAnsi="Verdana"/>
              </w:rPr>
              <w:t>Consejo de Estado. Sala de lo Contencioso Administrativo. Sección Tercera, Sentencia del 25 de mayo de 2016. M.P. Hernán Andrade Rincón.</w:t>
            </w:r>
          </w:p>
          <w:p w14:paraId="3E9FC711" w14:textId="77777777" w:rsidR="009E40F5" w:rsidRDefault="009E40F5" w:rsidP="009E40F5">
            <w:pPr>
              <w:pStyle w:val="Prrafodelista"/>
              <w:numPr>
                <w:ilvl w:val="0"/>
                <w:numId w:val="17"/>
              </w:numPr>
              <w:jc w:val="both"/>
              <w:rPr>
                <w:rFonts w:ascii="Verdana" w:hAnsi="Verdana"/>
              </w:rPr>
            </w:pPr>
            <w:r w:rsidRPr="000C1A52">
              <w:rPr>
                <w:rFonts w:ascii="Verdana" w:hAnsi="Verdana"/>
              </w:rPr>
              <w:t xml:space="preserve">Consejo de Estado. Sala de lo Contencioso Administrativo. Sección Tercera. Subsección A. Sentencia del 13 de noviembre de 2013. Rad. 25.646. C.P. Mauricio Fajardo Gómez.  </w:t>
            </w:r>
          </w:p>
          <w:p w14:paraId="12A4B284" w14:textId="77777777" w:rsidR="009E40F5" w:rsidRDefault="009E40F5" w:rsidP="009E40F5">
            <w:pPr>
              <w:pStyle w:val="Prrafodelista"/>
              <w:numPr>
                <w:ilvl w:val="0"/>
                <w:numId w:val="17"/>
              </w:numPr>
              <w:jc w:val="both"/>
              <w:rPr>
                <w:rFonts w:ascii="Verdana" w:hAnsi="Verdana"/>
              </w:rPr>
            </w:pPr>
            <w:r w:rsidRPr="000A5763">
              <w:rPr>
                <w:rFonts w:ascii="Verdana" w:hAnsi="Verdana"/>
              </w:rPr>
              <w:t xml:space="preserve">Consejo de Estado. Sala de Consulta y Servicio Civil. Concepto del 30 de abril de 2015. </w:t>
            </w:r>
            <w:proofErr w:type="spellStart"/>
            <w:r w:rsidRPr="000A5763">
              <w:rPr>
                <w:rFonts w:ascii="Verdana" w:hAnsi="Verdana"/>
              </w:rPr>
              <w:t>Exp</w:t>
            </w:r>
            <w:proofErr w:type="spellEnd"/>
            <w:r w:rsidRPr="000A5763">
              <w:rPr>
                <w:rFonts w:ascii="Verdana" w:hAnsi="Verdana"/>
              </w:rPr>
              <w:t xml:space="preserve">. 2251. </w:t>
            </w:r>
            <w:proofErr w:type="gramStart"/>
            <w:r w:rsidRPr="000A5763">
              <w:rPr>
                <w:rFonts w:ascii="Verdana" w:hAnsi="Verdana"/>
              </w:rPr>
              <w:t>Consejero</w:t>
            </w:r>
            <w:proofErr w:type="gramEnd"/>
            <w:r w:rsidRPr="000A5763">
              <w:rPr>
                <w:rFonts w:ascii="Verdana" w:hAnsi="Verdana"/>
              </w:rPr>
              <w:t xml:space="preserve"> Ponente: Álvaro </w:t>
            </w:r>
            <w:proofErr w:type="spellStart"/>
            <w:r w:rsidRPr="000A5763">
              <w:rPr>
                <w:rFonts w:ascii="Verdana" w:hAnsi="Verdana"/>
              </w:rPr>
              <w:t>Namén</w:t>
            </w:r>
            <w:proofErr w:type="spellEnd"/>
            <w:r w:rsidRPr="000A5763">
              <w:rPr>
                <w:rFonts w:ascii="Verdana" w:hAnsi="Verdana"/>
              </w:rPr>
              <w:t xml:space="preserve"> Vargas.</w:t>
            </w:r>
          </w:p>
          <w:p w14:paraId="5361358A" w14:textId="77777777" w:rsidR="009E40F5" w:rsidRPr="000A5763" w:rsidRDefault="009E40F5" w:rsidP="009E40F5">
            <w:pPr>
              <w:pStyle w:val="Prrafodelista"/>
              <w:numPr>
                <w:ilvl w:val="0"/>
                <w:numId w:val="17"/>
              </w:numPr>
              <w:jc w:val="both"/>
              <w:rPr>
                <w:rFonts w:ascii="Verdana" w:hAnsi="Verdana"/>
              </w:rPr>
            </w:pPr>
            <w:r w:rsidRPr="000A5763">
              <w:rPr>
                <w:rFonts w:ascii="Verdana" w:hAnsi="Verdana"/>
              </w:rPr>
              <w:t>Consejo de Estado. Sala de lo Contencioso Administrativo. Sección Tercera. Subsección A. Sentencia del 24 de junio de 2015. Rad. 40.635. Consejero Ponente: Hernán Andrade Rincón (E).</w:t>
            </w:r>
          </w:p>
          <w:p w14:paraId="534FC2D4" w14:textId="6CD436A8" w:rsidR="009E40F5" w:rsidRDefault="009E40F5" w:rsidP="009E40F5">
            <w:pPr>
              <w:pStyle w:val="Prrafodelista"/>
              <w:numPr>
                <w:ilvl w:val="0"/>
                <w:numId w:val="17"/>
              </w:numPr>
              <w:jc w:val="both"/>
              <w:rPr>
                <w:rFonts w:ascii="Verdana" w:hAnsi="Verdana"/>
              </w:rPr>
            </w:pPr>
            <w:r w:rsidRPr="000A5763">
              <w:rPr>
                <w:rFonts w:ascii="Verdana" w:hAnsi="Verdana"/>
              </w:rPr>
              <w:t xml:space="preserve">Consejo de Estado. Sala de lo Contencioso Administrativo. Sección Tercera. Subsección C. Sentencia del 22 de mayo de 2013. Rad. 24.057. Consejera Ponente: Olga Mélida Valle De </w:t>
            </w:r>
            <w:proofErr w:type="spellStart"/>
            <w:r w:rsidRPr="000A5763">
              <w:rPr>
                <w:rFonts w:ascii="Verdana" w:hAnsi="Verdana"/>
              </w:rPr>
              <w:t>De</w:t>
            </w:r>
            <w:proofErr w:type="spellEnd"/>
            <w:r w:rsidRPr="000A5763">
              <w:rPr>
                <w:rFonts w:ascii="Verdana" w:hAnsi="Verdana"/>
              </w:rPr>
              <w:t xml:space="preserve"> La Hoz.</w:t>
            </w:r>
          </w:p>
          <w:p w14:paraId="35F214BC" w14:textId="77777777" w:rsidR="009E40F5" w:rsidRDefault="009E40F5" w:rsidP="009E40F5">
            <w:pPr>
              <w:pStyle w:val="Prrafodelista"/>
              <w:numPr>
                <w:ilvl w:val="0"/>
                <w:numId w:val="17"/>
              </w:numPr>
              <w:jc w:val="both"/>
              <w:rPr>
                <w:rFonts w:ascii="Verdana" w:hAnsi="Verdana"/>
              </w:rPr>
            </w:pPr>
            <w:r w:rsidRPr="002666B6">
              <w:rPr>
                <w:rFonts w:ascii="Verdana" w:hAnsi="Verdana"/>
              </w:rPr>
              <w:t>Consejo de Estado. Sala de Consulta y de Servicio Civil. Concepto del 23 de marzo de 2011. Rad. 2.045. C.P. Enrique José Arboleda Perdomo.</w:t>
            </w:r>
          </w:p>
          <w:p w14:paraId="23124258" w14:textId="77777777" w:rsidR="009E40F5" w:rsidRPr="002666B6" w:rsidRDefault="009E40F5" w:rsidP="009E40F5">
            <w:pPr>
              <w:pStyle w:val="Prrafodelista"/>
              <w:numPr>
                <w:ilvl w:val="0"/>
                <w:numId w:val="17"/>
              </w:numPr>
              <w:jc w:val="both"/>
              <w:rPr>
                <w:rFonts w:ascii="Verdana" w:hAnsi="Verdana"/>
              </w:rPr>
            </w:pPr>
            <w:r w:rsidRPr="002666B6">
              <w:rPr>
                <w:rFonts w:ascii="Verdana" w:hAnsi="Verdana"/>
              </w:rPr>
              <w:t xml:space="preserve">Consejo de Estado. Sala de Consulta y de Servicio Civil. Concepto del 10 de agosto de 2006. </w:t>
            </w:r>
            <w:proofErr w:type="spellStart"/>
            <w:r w:rsidRPr="002666B6">
              <w:rPr>
                <w:rFonts w:ascii="Verdana" w:hAnsi="Verdana"/>
              </w:rPr>
              <w:t>Exp</w:t>
            </w:r>
            <w:proofErr w:type="spellEnd"/>
            <w:r w:rsidRPr="002666B6">
              <w:rPr>
                <w:rFonts w:ascii="Verdana" w:hAnsi="Verdana"/>
              </w:rPr>
              <w:t>. 1.767 –C.P. Luis Fernando Álvarez Jaramillo</w:t>
            </w:r>
            <w:r>
              <w:rPr>
                <w:rFonts w:ascii="Verdana" w:hAnsi="Verdana"/>
              </w:rPr>
              <w:t>.</w:t>
            </w:r>
          </w:p>
          <w:p w14:paraId="0E87FFD7" w14:textId="77777777" w:rsidR="009E40F5" w:rsidRPr="000A5763" w:rsidRDefault="009E40F5" w:rsidP="009E40F5">
            <w:pPr>
              <w:pStyle w:val="Prrafodelista"/>
              <w:numPr>
                <w:ilvl w:val="0"/>
                <w:numId w:val="17"/>
              </w:numPr>
              <w:jc w:val="both"/>
              <w:rPr>
                <w:rFonts w:ascii="Verdana" w:hAnsi="Verdana"/>
              </w:rPr>
            </w:pPr>
            <w:r w:rsidRPr="000C1A52">
              <w:rPr>
                <w:rFonts w:ascii="Verdana" w:hAnsi="Verdana"/>
              </w:rPr>
              <w:t xml:space="preserve">Corte Constitucional. Sentencia C-1016 de 2012. M.P. Jorge Iván Palacio. </w:t>
            </w:r>
          </w:p>
          <w:p w14:paraId="126E94BA" w14:textId="77777777" w:rsidR="009E40F5" w:rsidRDefault="009E40F5" w:rsidP="009E40F5">
            <w:pPr>
              <w:pStyle w:val="Prrafodelista"/>
              <w:numPr>
                <w:ilvl w:val="0"/>
                <w:numId w:val="17"/>
              </w:numPr>
              <w:spacing w:line="276" w:lineRule="auto"/>
              <w:jc w:val="both"/>
              <w:rPr>
                <w:rFonts w:ascii="Verdana" w:hAnsi="Verdana"/>
              </w:rPr>
            </w:pPr>
            <w:r w:rsidRPr="000C1A52">
              <w:rPr>
                <w:rFonts w:ascii="Verdana" w:hAnsi="Verdana"/>
              </w:rPr>
              <w:t>Corte Constitucional. Sentencia C-415 de 1994. M.P. Eduardo Cifuentes Muñoz</w:t>
            </w:r>
            <w:r>
              <w:rPr>
                <w:rFonts w:ascii="Verdana" w:hAnsi="Verdana"/>
              </w:rPr>
              <w:t>.</w:t>
            </w:r>
          </w:p>
          <w:p w14:paraId="374C7132" w14:textId="77777777" w:rsidR="009E40F5" w:rsidRPr="009E40F5" w:rsidRDefault="009E40F5" w:rsidP="009E40F5">
            <w:pPr>
              <w:pStyle w:val="Prrafodelista"/>
              <w:numPr>
                <w:ilvl w:val="0"/>
                <w:numId w:val="17"/>
              </w:numPr>
              <w:spacing w:line="276" w:lineRule="auto"/>
              <w:jc w:val="both"/>
              <w:rPr>
                <w:rFonts w:ascii="Verdana" w:hAnsi="Verdana"/>
                <w:lang w:val="it-CH"/>
              </w:rPr>
            </w:pPr>
            <w:r w:rsidRPr="000C1A52">
              <w:rPr>
                <w:rFonts w:ascii="Verdana" w:hAnsi="Verdana"/>
              </w:rPr>
              <w:t xml:space="preserve">Corte Constitucional. Sentencia T-1039 de 2006. </w:t>
            </w:r>
            <w:r w:rsidRPr="009E40F5">
              <w:rPr>
                <w:rFonts w:ascii="Verdana" w:hAnsi="Verdana"/>
                <w:lang w:val="it-CH"/>
              </w:rPr>
              <w:t xml:space="preserve">M.P. Humberto Sierra Porto. </w:t>
            </w:r>
          </w:p>
          <w:p w14:paraId="0A9F6BE6" w14:textId="77777777" w:rsidR="009E40F5" w:rsidRDefault="009E40F5" w:rsidP="009E40F5">
            <w:pPr>
              <w:pStyle w:val="Prrafodelista"/>
              <w:numPr>
                <w:ilvl w:val="0"/>
                <w:numId w:val="17"/>
              </w:numPr>
              <w:spacing w:line="276" w:lineRule="auto"/>
              <w:jc w:val="both"/>
              <w:rPr>
                <w:rFonts w:ascii="Verdana" w:hAnsi="Verdana"/>
              </w:rPr>
            </w:pPr>
            <w:r>
              <w:rPr>
                <w:rFonts w:ascii="Verdana" w:hAnsi="Verdana"/>
                <w:lang w:val="es-CO"/>
              </w:rPr>
              <w:t xml:space="preserve">Corte Constitucional. Sentencia </w:t>
            </w:r>
            <w:r w:rsidRPr="000C1A52">
              <w:rPr>
                <w:rFonts w:ascii="Verdana" w:hAnsi="Verdana"/>
              </w:rPr>
              <w:t>C-903 de 2008. M.P. Jaime Araujo Rentería</w:t>
            </w:r>
            <w:r>
              <w:rPr>
                <w:rFonts w:ascii="Verdana" w:hAnsi="Verdana"/>
              </w:rPr>
              <w:t>.</w:t>
            </w:r>
          </w:p>
          <w:p w14:paraId="20FB1D24" w14:textId="77777777" w:rsidR="009E40F5" w:rsidRDefault="009E40F5" w:rsidP="009E40F5">
            <w:pPr>
              <w:pStyle w:val="Prrafodelista"/>
              <w:numPr>
                <w:ilvl w:val="0"/>
                <w:numId w:val="17"/>
              </w:numPr>
              <w:spacing w:line="276" w:lineRule="auto"/>
              <w:jc w:val="both"/>
              <w:rPr>
                <w:rFonts w:ascii="Verdana" w:hAnsi="Verdana"/>
              </w:rPr>
            </w:pPr>
            <w:r>
              <w:rPr>
                <w:rFonts w:ascii="Verdana" w:hAnsi="Verdana"/>
              </w:rPr>
              <w:t xml:space="preserve">Corte Constitucional. Sentencia </w:t>
            </w:r>
            <w:r w:rsidRPr="000C1A52">
              <w:rPr>
                <w:rFonts w:ascii="Verdana" w:hAnsi="Verdana"/>
              </w:rPr>
              <w:t>C-101 de 2018. M.P. Gloria Stella Ortiz Delgado</w:t>
            </w:r>
            <w:r>
              <w:rPr>
                <w:rFonts w:ascii="Verdana" w:hAnsi="Verdana"/>
              </w:rPr>
              <w:t>.</w:t>
            </w:r>
          </w:p>
          <w:p w14:paraId="5C99A599" w14:textId="77777777" w:rsidR="009E40F5" w:rsidRPr="000C1A52" w:rsidRDefault="009E40F5" w:rsidP="009E40F5">
            <w:pPr>
              <w:pStyle w:val="Prrafodelista"/>
              <w:numPr>
                <w:ilvl w:val="0"/>
                <w:numId w:val="17"/>
              </w:numPr>
              <w:spacing w:line="276" w:lineRule="auto"/>
              <w:jc w:val="both"/>
              <w:rPr>
                <w:rFonts w:ascii="Verdana" w:hAnsi="Verdana"/>
              </w:rPr>
            </w:pPr>
            <w:r w:rsidRPr="000C1A52">
              <w:rPr>
                <w:rFonts w:ascii="Verdana" w:hAnsi="Verdana"/>
              </w:rPr>
              <w:lastRenderedPageBreak/>
              <w:t>DÁVILA VINUEZA, Luis Guillermo. Régimen Jurídico De La Contratación Estatal. Recuperado de https://xperta.legis.co, Capítulo VI Inhabilidades e Incompatibilidades, Sección 2 Interpretación Restrictiva.</w:t>
            </w:r>
          </w:p>
        </w:tc>
      </w:tr>
    </w:tbl>
    <w:p w14:paraId="08869177" w14:textId="77777777" w:rsidR="009E40F5" w:rsidRPr="00F72403" w:rsidRDefault="009E40F5" w:rsidP="009E40F5">
      <w:pPr>
        <w:pStyle w:val="Prrafodelista"/>
        <w:tabs>
          <w:tab w:val="left" w:pos="142"/>
          <w:tab w:val="left" w:pos="284"/>
        </w:tabs>
        <w:spacing w:after="0" w:line="276" w:lineRule="auto"/>
        <w:ind w:left="0"/>
        <w:contextualSpacing w:val="0"/>
        <w:jc w:val="both"/>
        <w:rPr>
          <w:rFonts w:ascii="Verdana" w:eastAsia="Century Gothic" w:hAnsi="Verdana" w:cs="Century Gothic"/>
          <w:b/>
          <w:bCs/>
          <w:highlight w:val="yellow"/>
          <w:lang w:val="es-CO"/>
        </w:rPr>
      </w:pPr>
    </w:p>
    <w:p w14:paraId="2D873E53" w14:textId="77777777" w:rsidR="009E40F5" w:rsidRPr="00436E82" w:rsidRDefault="009E40F5" w:rsidP="009E40F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436E82">
        <w:rPr>
          <w:rFonts w:ascii="Verdana" w:eastAsia="Century Gothic" w:hAnsi="Verdana" w:cs="Century Gothic"/>
          <w:b/>
          <w:bCs/>
          <w:lang w:val="es-CO"/>
        </w:rPr>
        <w:t xml:space="preserve">5. </w:t>
      </w:r>
      <w:r w:rsidRPr="00436E82">
        <w:rPr>
          <w:rFonts w:ascii="Verdana" w:eastAsia="Century Gothic" w:hAnsi="Verdana" w:cs="Century Gothic"/>
          <w:b/>
          <w:bCs/>
        </w:rPr>
        <w:t>Doctrina de la Agencia Nacional de Contratación Pública:</w:t>
      </w:r>
    </w:p>
    <w:p w14:paraId="386EC38E" w14:textId="77777777" w:rsidR="009E40F5" w:rsidRPr="00F72403" w:rsidRDefault="009E40F5" w:rsidP="009E40F5">
      <w:pPr>
        <w:spacing w:after="0" w:line="276" w:lineRule="auto"/>
        <w:jc w:val="both"/>
        <w:rPr>
          <w:rFonts w:ascii="Verdana" w:eastAsia="Calibri" w:hAnsi="Verdana" w:cs="Arial"/>
          <w:highlight w:val="yellow"/>
          <w:lang w:eastAsia="es-ES_tradnl"/>
        </w:rPr>
      </w:pPr>
    </w:p>
    <w:p w14:paraId="0C50EA6B" w14:textId="77777777" w:rsidR="009E40F5" w:rsidRDefault="009E40F5" w:rsidP="009E40F5">
      <w:pPr>
        <w:spacing w:after="0" w:line="276" w:lineRule="auto"/>
        <w:jc w:val="both"/>
        <w:rPr>
          <w:rFonts w:ascii="Verdana" w:eastAsia="Calibri" w:hAnsi="Verdana" w:cs="Arial"/>
          <w:shd w:val="clear" w:color="auto" w:fill="FFFFFF"/>
        </w:rPr>
      </w:pPr>
      <w:r w:rsidRPr="00F41FCA">
        <w:rPr>
          <w:rFonts w:ascii="Verdana" w:eastAsia="Calibri" w:hAnsi="Verdana" w:cs="Arial"/>
          <w:shd w:val="clear" w:color="auto" w:fill="FFFFFF"/>
        </w:rPr>
        <w:t xml:space="preserve">La Agencia Nacional de Contratación Pública – Colombia Compra Eficiente se pronunció sobre </w:t>
      </w:r>
      <w:r>
        <w:rPr>
          <w:rFonts w:ascii="Verdana" w:eastAsia="Calibri" w:hAnsi="Verdana" w:cs="Arial"/>
          <w:shd w:val="clear" w:color="auto" w:fill="FFFFFF"/>
        </w:rPr>
        <w:t xml:space="preserve">el contrato de donación en los conceptos </w:t>
      </w:r>
      <w:r w:rsidRPr="00BF31CF">
        <w:rPr>
          <w:rFonts w:ascii="Verdana" w:eastAsia="Calibri" w:hAnsi="Verdana" w:cs="Arial"/>
          <w:shd w:val="clear" w:color="auto" w:fill="FFFFFF"/>
        </w:rPr>
        <w:t>del 17 de octubre de 2019 – radicado No. 4201913000006036, C- 661 del 17 de noviembre de 2020, C-763 del 15 de noviembre de 2022</w:t>
      </w:r>
      <w:r>
        <w:rPr>
          <w:rFonts w:ascii="Verdana" w:eastAsia="Calibri" w:hAnsi="Verdana" w:cs="Arial"/>
          <w:shd w:val="clear" w:color="auto" w:fill="FFFFFF"/>
        </w:rPr>
        <w:t xml:space="preserve">, </w:t>
      </w:r>
      <w:r w:rsidRPr="00BF31CF">
        <w:rPr>
          <w:rFonts w:ascii="Verdana" w:eastAsia="Calibri" w:hAnsi="Verdana" w:cs="Arial"/>
          <w:shd w:val="clear" w:color="auto" w:fill="FFFFFF"/>
        </w:rPr>
        <w:t>C-921 del 26 de diciembre de 2022</w:t>
      </w:r>
      <w:r>
        <w:rPr>
          <w:rFonts w:ascii="Verdana" w:eastAsia="Calibri" w:hAnsi="Verdana" w:cs="Arial"/>
          <w:shd w:val="clear" w:color="auto" w:fill="FFFFFF"/>
        </w:rPr>
        <w:t xml:space="preserve">, C-947 del 12 de diciembre de 2022, </w:t>
      </w:r>
      <w:r w:rsidRPr="00BF31CF">
        <w:rPr>
          <w:rFonts w:ascii="Verdana" w:eastAsia="Calibri" w:hAnsi="Verdana" w:cs="Arial"/>
          <w:shd w:val="clear" w:color="auto" w:fill="FFFFFF"/>
        </w:rPr>
        <w:t>P20221212012159</w:t>
      </w:r>
      <w:r>
        <w:rPr>
          <w:rFonts w:ascii="Verdana" w:eastAsia="Calibri" w:hAnsi="Verdana" w:cs="Arial"/>
          <w:shd w:val="clear" w:color="auto" w:fill="FFFFFF"/>
        </w:rPr>
        <w:t xml:space="preserve"> del 24 de enero de 2023, entre otros. </w:t>
      </w:r>
    </w:p>
    <w:p w14:paraId="173DB775" w14:textId="77777777" w:rsidR="009E40F5" w:rsidRDefault="009E40F5" w:rsidP="009E40F5">
      <w:pPr>
        <w:spacing w:after="0" w:line="240" w:lineRule="auto"/>
        <w:jc w:val="both"/>
        <w:rPr>
          <w:rFonts w:ascii="Verdana" w:eastAsia="Calibri" w:hAnsi="Verdana" w:cs="Arial"/>
          <w:shd w:val="clear" w:color="auto" w:fill="FFFFFF"/>
        </w:rPr>
      </w:pPr>
    </w:p>
    <w:p w14:paraId="35B3B9E7" w14:textId="77777777" w:rsidR="009E40F5" w:rsidRDefault="009E40F5" w:rsidP="009E40F5">
      <w:pPr>
        <w:spacing w:after="0" w:line="276" w:lineRule="auto"/>
        <w:jc w:val="both"/>
        <w:rPr>
          <w:rFonts w:ascii="Verdana" w:eastAsia="Calibri" w:hAnsi="Verdana" w:cs="Arial"/>
        </w:rPr>
      </w:pPr>
      <w:r>
        <w:rPr>
          <w:rFonts w:ascii="Verdana" w:eastAsia="Calibri" w:hAnsi="Verdana" w:cs="Arial"/>
          <w:shd w:val="clear" w:color="auto" w:fill="FFFFFF"/>
        </w:rPr>
        <w:t xml:space="preserve">Por otro lado, la Subdirección se ha pronunciado sobre el </w:t>
      </w:r>
      <w:r w:rsidRPr="00F41FCA">
        <w:rPr>
          <w:rFonts w:ascii="Verdana" w:eastAsia="Calibri" w:hAnsi="Verdana" w:cs="Arial"/>
          <w:shd w:val="clear" w:color="auto" w:fill="FFFFFF"/>
        </w:rPr>
        <w:t xml:space="preserve">régimen de inhabilidades e incompatibilidades en los conceptos </w:t>
      </w:r>
      <w:r w:rsidRPr="00F41FCA">
        <w:rPr>
          <w:rFonts w:ascii="Verdana" w:eastAsia="Calibri" w:hAnsi="Verdana" w:cs="Arial"/>
        </w:rPr>
        <w:t>No. 4201912000004765 de 29 de agosto de 2019, 4201913000005694 del 3 de octubre de 2019, 4201912000006288 del 7 de septiembre de 2019, 4201912000006259 del 13 de noviembre de 2019, 4201913000006917</w:t>
      </w:r>
      <w:r w:rsidRPr="006A09D6">
        <w:rPr>
          <w:rFonts w:ascii="Verdana" w:eastAsia="Calibri" w:hAnsi="Verdana" w:cs="Arial"/>
        </w:rPr>
        <w:t xml:space="preserve"> del 21 de noviembre de 2019, 4201912000006978 del 25 de noviembre de 2019, 4201912000007291 del 3 de diciembre de 2019, 4201912000007281 del 5 de diciembre de 2019, 4201912000007060 del 11 de diciembre de 2019, 4201912000007512 del 16  diciembre de 2019, </w:t>
      </w:r>
      <w:r>
        <w:rPr>
          <w:rFonts w:ascii="Verdana" w:eastAsia="Calibri" w:hAnsi="Verdana" w:cs="Arial"/>
        </w:rPr>
        <w:t xml:space="preserve">C-007 del 14 de febrero de 2020, </w:t>
      </w:r>
      <w:r w:rsidRPr="006A09D6">
        <w:rPr>
          <w:rFonts w:ascii="Verdana" w:eastAsia="Calibri" w:hAnsi="Verdana" w:cs="Arial"/>
        </w:rPr>
        <w:t xml:space="preserve">4201912000008460 del 14 de febrero de 2020, C−032 del 19 de febrero de 2020,  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w:t>
      </w:r>
      <w:r w:rsidRPr="006A09D6">
        <w:rPr>
          <w:rFonts w:ascii="Verdana" w:eastAsia="Calibri" w:hAnsi="Verdana" w:cs="Arial"/>
        </w:rPr>
        <w:lastRenderedPageBreak/>
        <w:t>2023, C−234 del 5 de julio de 2023, C−010 del 31 de enero de 2024</w:t>
      </w:r>
      <w:r>
        <w:rPr>
          <w:rFonts w:ascii="Verdana" w:eastAsia="Calibri" w:hAnsi="Verdana" w:cs="Arial"/>
        </w:rPr>
        <w:t>,</w:t>
      </w:r>
      <w:r w:rsidRPr="006A09D6">
        <w:rPr>
          <w:rFonts w:ascii="Verdana" w:eastAsia="Calibri" w:hAnsi="Verdana" w:cs="Arial"/>
        </w:rPr>
        <w:t xml:space="preserve"> C-039 del 23 de abril de 2024</w:t>
      </w:r>
      <w:r>
        <w:rPr>
          <w:rFonts w:ascii="Verdana" w:eastAsia="Calibri" w:hAnsi="Verdana" w:cs="Arial"/>
        </w:rPr>
        <w:t xml:space="preserve">, C-435 del 14 de mayo de 2025, entre otros. </w:t>
      </w:r>
    </w:p>
    <w:p w14:paraId="4AEFA7D0" w14:textId="77777777" w:rsidR="009E40F5" w:rsidRDefault="009E40F5" w:rsidP="009E40F5">
      <w:pPr>
        <w:spacing w:after="0" w:line="276" w:lineRule="auto"/>
        <w:jc w:val="both"/>
        <w:rPr>
          <w:rFonts w:ascii="Verdana" w:eastAsia="Calibri" w:hAnsi="Verdana" w:cs="Arial"/>
        </w:rPr>
      </w:pPr>
    </w:p>
    <w:p w14:paraId="6705A8AF" w14:textId="77777777" w:rsidR="009E40F5" w:rsidRPr="00BF31CF" w:rsidRDefault="009E40F5" w:rsidP="009E40F5">
      <w:pPr>
        <w:spacing w:after="0" w:line="276" w:lineRule="auto"/>
        <w:jc w:val="both"/>
        <w:rPr>
          <w:rFonts w:ascii="Verdana" w:hAnsi="Verdana" w:cs="Arial"/>
          <w:shd w:val="clear" w:color="auto" w:fill="FFFFFF"/>
          <w:lang w:val="es-ES"/>
        </w:rPr>
      </w:pPr>
      <w:r w:rsidRPr="006A09D6">
        <w:rPr>
          <w:rFonts w:ascii="Verdana" w:hAnsi="Verdana" w:cs="Arial"/>
        </w:rPr>
        <w:t>También se ha pronunciado sobre el conflicto de interés en los conceptos C-229</w:t>
      </w:r>
      <w:r w:rsidRPr="003C21F0">
        <w:rPr>
          <w:rFonts w:ascii="Verdana" w:hAnsi="Verdana" w:cs="Arial"/>
          <w:shd w:val="clear" w:color="auto" w:fill="FFFFFF"/>
          <w:lang w:val="es-ES"/>
        </w:rPr>
        <w:t xml:space="preserve"> del 16 de abril de 2020, C-815 del 18 de febrero de 2021, C-449 del 31 de agosto de 2021, C-288 del 14 de julio de 2023</w:t>
      </w:r>
      <w:r>
        <w:rPr>
          <w:rFonts w:ascii="Verdana" w:hAnsi="Verdana" w:cs="Arial"/>
          <w:shd w:val="clear" w:color="auto" w:fill="FFFFFF"/>
          <w:lang w:val="es-ES"/>
        </w:rPr>
        <w:t xml:space="preserve">, </w:t>
      </w:r>
      <w:r w:rsidRPr="003C21F0">
        <w:rPr>
          <w:rFonts w:ascii="Verdana" w:hAnsi="Verdana" w:cs="Arial"/>
          <w:shd w:val="clear" w:color="auto" w:fill="FFFFFF"/>
          <w:lang w:val="es-ES"/>
        </w:rPr>
        <w:t>C-294 del 14 de agosto de 2024</w:t>
      </w:r>
      <w:r>
        <w:rPr>
          <w:rFonts w:ascii="Verdana" w:hAnsi="Verdana" w:cs="Arial"/>
          <w:shd w:val="clear" w:color="auto" w:fill="FFFFFF"/>
          <w:lang w:val="es-ES"/>
        </w:rPr>
        <w:t xml:space="preserve">, C-560 del 27 de septiembre de 2024, C-795 del 13 de noviembre de 2024, entre otros. </w:t>
      </w:r>
      <w:r w:rsidRPr="00B93241">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B93241">
          <w:rPr>
            <w:rStyle w:val="Hipervnculo"/>
            <w:rFonts w:ascii="Verdana" w:hAnsi="Verdana" w:cs="Arial"/>
            <w:shd w:val="clear" w:color="auto" w:fill="FFFFFF"/>
          </w:rPr>
          <w:t>https://relatoria.colombiacompra.gov.co/</w:t>
        </w:r>
      </w:hyperlink>
      <w:r w:rsidRPr="00B93241">
        <w:rPr>
          <w:rFonts w:ascii="Verdana" w:hAnsi="Verdana" w:cs="Arial"/>
          <w:shd w:val="clear" w:color="auto" w:fill="FFFFFF"/>
        </w:rPr>
        <w:t>.</w:t>
      </w:r>
    </w:p>
    <w:p w14:paraId="5F251E69" w14:textId="77777777" w:rsidR="009E40F5" w:rsidRPr="000074D5" w:rsidRDefault="009E40F5" w:rsidP="009E40F5">
      <w:pPr>
        <w:spacing w:after="0" w:line="240" w:lineRule="auto"/>
        <w:jc w:val="both"/>
        <w:rPr>
          <w:rFonts w:ascii="Verdana" w:hAnsi="Verdana" w:cs="Arial"/>
          <w:shd w:val="clear" w:color="auto" w:fill="FFFFFF"/>
        </w:rPr>
      </w:pPr>
    </w:p>
    <w:p w14:paraId="2E0C7E02" w14:textId="77777777" w:rsidR="009E40F5" w:rsidRPr="00542EFB" w:rsidRDefault="009E40F5" w:rsidP="009E40F5">
      <w:pPr>
        <w:widowControl w:val="0"/>
        <w:autoSpaceDE w:val="0"/>
        <w:autoSpaceDN w:val="0"/>
        <w:spacing w:after="0" w:line="276" w:lineRule="auto"/>
        <w:jc w:val="both"/>
        <w:rPr>
          <w:rFonts w:ascii="Verdana" w:hAnsi="Verdana" w:cs="Arial"/>
          <w:color w:val="4472C4" w:themeColor="accent1"/>
          <w:shd w:val="clear" w:color="auto" w:fill="FFFFFF"/>
          <w:lang w:val="es-ES"/>
        </w:rPr>
      </w:pPr>
      <w:r w:rsidRPr="00B679E6">
        <w:rPr>
          <w:rStyle w:val="normaltextrun"/>
          <w:rFonts w:ascii="Verdana" w:hAnsi="Verdana" w:cs="Arial"/>
          <w:color w:val="000000" w:themeColor="text1"/>
          <w:shd w:val="clear" w:color="auto" w:fill="FFFFFF"/>
          <w:lang w:val="es-ES"/>
        </w:rPr>
        <w:t>Te informamos que ya se encuentra disponible la Cartilla para incentivar y fortalecer el acceso a las compras y contratación pública de los pueblos y comunidades étnicas en Colombia.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w:t>
      </w:r>
      <w:r w:rsidRPr="00B679E6">
        <w:rPr>
          <w:rFonts w:ascii="Verdana" w:hAnsi="Verdana"/>
        </w:rPr>
        <w:t xml:space="preserve"> enlace: </w:t>
      </w:r>
      <w:hyperlink r:id="rId13" w:tgtFrame="_blank" w:tooltip="Dirección URL original: https://www.colombiacompra.gov.co/manuales-guias-y-pliegos-tipo/manuales-y-guias/cartilla-para-incentivar-y-fortalecer-el-acceso-las. Haga clic o pulse si confía en este vínculo." w:history="1">
        <w:r w:rsidRPr="00B679E6">
          <w:rPr>
            <w:rStyle w:val="Hipervnculo"/>
            <w:rFonts w:ascii="Verdana" w:hAnsi="Verdana"/>
          </w:rPr>
          <w:t>Cartilla para incentivar y fortalecer el acceso a las compras y contratación pública de los pueblos y comunidades étnicas en Colombia | Colombia Compra Eficiente | Agencia Nacional de Contratación Pública</w:t>
        </w:r>
      </w:hyperlink>
    </w:p>
    <w:p w14:paraId="304AE0BA" w14:textId="77777777" w:rsidR="009E40F5" w:rsidRDefault="009E40F5" w:rsidP="009E40F5">
      <w:pPr>
        <w:spacing w:after="0" w:line="240" w:lineRule="auto"/>
        <w:jc w:val="both"/>
        <w:rPr>
          <w:rFonts w:ascii="Verdana" w:hAnsi="Verdana"/>
        </w:rPr>
      </w:pPr>
    </w:p>
    <w:p w14:paraId="0EDEA266" w14:textId="77777777" w:rsidR="009E40F5" w:rsidRDefault="009E40F5" w:rsidP="009E40F5">
      <w:pPr>
        <w:spacing w:after="0" w:line="276" w:lineRule="auto"/>
        <w:jc w:val="both"/>
      </w:pPr>
      <w:r w:rsidRPr="00B679E6">
        <w:rPr>
          <w:rFonts w:ascii="Verdana" w:hAnsi="Verdana"/>
        </w:rPr>
        <w:t>También, te contamos que ya publicamos </w:t>
      </w:r>
      <w:r w:rsidRPr="00B679E6">
        <w:rPr>
          <w:rFonts w:ascii="Verdana" w:hAnsi="Verdana"/>
          <w:b/>
          <w:bCs/>
        </w:rPr>
        <w:t>la nueva Guía de Contratación Pública Sostenible y Socialmente Responsable</w:t>
      </w:r>
      <w:r w:rsidRPr="00B679E6">
        <w:rPr>
          <w:rFonts w:ascii="Verdana" w:hAnsi="Verdana"/>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B679E6">
          <w:rPr>
            <w:rStyle w:val="Hipervnculo"/>
            <w:rFonts w:ascii="Verdana" w:hAnsi="Verdana"/>
          </w:rPr>
          <w:t>Guía de Contratación Pública Sostenible y Socialmente Responsable | Colombia Compra Eficiente | Agencia Nacional de Contratación Pública</w:t>
        </w:r>
      </w:hyperlink>
    </w:p>
    <w:p w14:paraId="04E42807" w14:textId="77777777" w:rsidR="009E40F5" w:rsidRPr="002B4863" w:rsidRDefault="009E40F5" w:rsidP="009E40F5">
      <w:pPr>
        <w:spacing w:after="0" w:line="276" w:lineRule="auto"/>
        <w:jc w:val="both"/>
        <w:rPr>
          <w:rFonts w:ascii="Verdana" w:hAnsi="Verdana"/>
        </w:rPr>
      </w:pPr>
      <w:r>
        <w:rPr>
          <w:rFonts w:ascii="Verdana" w:hAnsi="Verdana"/>
        </w:rPr>
        <w:t>Así mismo, t</w:t>
      </w:r>
      <w:r w:rsidRPr="002B4863">
        <w:rPr>
          <w:rFonts w:ascii="Verdana" w:hAnsi="Verdana"/>
        </w:rPr>
        <w:t xml:space="preserve">e informamos que ya se encuentran disponibles los borradores de las nuevas versiones de documentos tipo del sector infraestructura social (Subsectores: institucional, vivienda, salud, educación, cultura y deporte) en las modalidades de licitación pública, selección abreviada de menor cuantía y </w:t>
      </w:r>
      <w:r w:rsidRPr="002B4863">
        <w:rPr>
          <w:rFonts w:ascii="Verdana" w:hAnsi="Verdana"/>
        </w:rPr>
        <w:lastRenderedPageBreak/>
        <w:t>mínima cuantía para comentarios. Dichos documentos estarán publicados hasta el próximo 16 de mayo de 2025.  Puede</w:t>
      </w:r>
      <w:r>
        <w:rPr>
          <w:rFonts w:ascii="Verdana" w:hAnsi="Verdana"/>
        </w:rPr>
        <w:t>s</w:t>
      </w:r>
      <w:r w:rsidRPr="002B4863">
        <w:rPr>
          <w:rFonts w:ascii="Verdana" w:hAnsi="Verdana"/>
        </w:rPr>
        <w:t xml:space="preserve"> consultar la información en el siguiente enlace:</w:t>
      </w:r>
      <w:r w:rsidRPr="002B4863">
        <w:rPr>
          <w:rFonts w:ascii="Verdana" w:hAnsi="Verdana"/>
          <w:b/>
          <w:bCs/>
        </w:rPr>
        <w:t> </w:t>
      </w:r>
      <w:hyperlink r:id="rId15" w:tgtFrame="_blank" w:tooltip="Dirección URL original: https://www.colombiacompra.gov.co/normativa-y-relatoria/documentos-tipo. Haga clic o pulse si confía en este vínculo." w:history="1">
        <w:r w:rsidRPr="002B4863">
          <w:rPr>
            <w:rStyle w:val="Hipervnculo"/>
            <w:rFonts w:ascii="Verdana" w:hAnsi="Verdana"/>
          </w:rPr>
          <w:t>Documentos Tipo – ANCP Colombia Compra Eficiente</w:t>
        </w:r>
      </w:hyperlink>
      <w:r w:rsidRPr="002B4863">
        <w:rPr>
          <w:rFonts w:ascii="Verdana" w:hAnsi="Verdana"/>
          <w:u w:val="single"/>
        </w:rPr>
        <w:t> </w:t>
      </w:r>
    </w:p>
    <w:p w14:paraId="3FE05A00" w14:textId="77777777" w:rsidR="009E40F5" w:rsidRDefault="009E40F5" w:rsidP="009E40F5">
      <w:pPr>
        <w:spacing w:after="0" w:line="240" w:lineRule="auto"/>
        <w:jc w:val="both"/>
        <w:rPr>
          <w:rFonts w:ascii="Verdana" w:hAnsi="Verdana"/>
        </w:rPr>
      </w:pPr>
    </w:p>
    <w:p w14:paraId="1CE99A74" w14:textId="77777777" w:rsidR="009E40F5" w:rsidRPr="00F71A6A" w:rsidRDefault="009E40F5" w:rsidP="009E40F5">
      <w:pPr>
        <w:spacing w:after="0" w:line="276" w:lineRule="auto"/>
        <w:jc w:val="both"/>
        <w:rPr>
          <w:rFonts w:ascii="Verdana" w:hAnsi="Verdana"/>
        </w:rPr>
      </w:pPr>
      <w:r w:rsidRPr="00F71A6A">
        <w:rPr>
          <w:rFonts w:ascii="Verdana" w:hAnsi="Verdana"/>
        </w:rPr>
        <w:t xml:space="preserve">Por último, </w:t>
      </w:r>
      <w:r>
        <w:rPr>
          <w:rFonts w:ascii="Verdana" w:hAnsi="Verdana"/>
        </w:rPr>
        <w:t xml:space="preserve">te invitamos </w:t>
      </w:r>
      <w:r w:rsidRPr="00F71A6A">
        <w:rPr>
          <w:rFonts w:ascii="Verdana" w:hAnsi="Verdana"/>
        </w:rPr>
        <w:t xml:space="preserve">a seguirnos en las redes sociales en las cuales se difunde información institucional: </w:t>
      </w:r>
    </w:p>
    <w:p w14:paraId="48D70F8F" w14:textId="77777777" w:rsidR="009E40F5" w:rsidRPr="00F71A6A" w:rsidRDefault="009E40F5" w:rsidP="009E40F5">
      <w:pPr>
        <w:spacing w:after="0" w:line="276" w:lineRule="auto"/>
        <w:jc w:val="both"/>
        <w:rPr>
          <w:rFonts w:ascii="Verdana" w:hAnsi="Verdana"/>
        </w:rPr>
      </w:pPr>
    </w:p>
    <w:p w14:paraId="7D7CBC5C" w14:textId="77777777" w:rsidR="009E40F5" w:rsidRPr="00F71A6A" w:rsidRDefault="009E40F5" w:rsidP="009E40F5">
      <w:pPr>
        <w:spacing w:after="0" w:line="276" w:lineRule="auto"/>
        <w:jc w:val="both"/>
        <w:rPr>
          <w:rFonts w:ascii="Verdana" w:hAnsi="Verdana"/>
        </w:rPr>
      </w:pPr>
      <w:r w:rsidRPr="00F71A6A">
        <w:rPr>
          <w:rFonts w:ascii="Verdana" w:hAnsi="Verdana"/>
        </w:rPr>
        <w:t xml:space="preserve">Twitter: </w:t>
      </w:r>
      <w:r w:rsidRPr="00F71A6A">
        <w:rPr>
          <w:rStyle w:val="Hipervnculo"/>
          <w:rFonts w:ascii="Verdana" w:hAnsi="Verdana"/>
          <w:color w:val="4472C4" w:themeColor="accent1"/>
        </w:rPr>
        <w:t>@colombiacompra</w:t>
      </w:r>
      <w:r w:rsidRPr="00F71A6A">
        <w:rPr>
          <w:rFonts w:ascii="Verdana" w:hAnsi="Verdana"/>
          <w:color w:val="4472C4" w:themeColor="accent1"/>
        </w:rPr>
        <w:t xml:space="preserve"> </w:t>
      </w:r>
    </w:p>
    <w:p w14:paraId="35530657" w14:textId="77777777" w:rsidR="009E40F5" w:rsidRPr="00F71A6A" w:rsidRDefault="009E40F5" w:rsidP="009E40F5">
      <w:pPr>
        <w:spacing w:after="0" w:line="276" w:lineRule="auto"/>
        <w:jc w:val="both"/>
        <w:rPr>
          <w:rFonts w:ascii="Verdana" w:hAnsi="Verdana"/>
        </w:rPr>
      </w:pPr>
      <w:r w:rsidRPr="00F71A6A">
        <w:rPr>
          <w:rFonts w:ascii="Verdana" w:hAnsi="Verdana"/>
        </w:rPr>
        <w:t xml:space="preserve">Facebook: </w:t>
      </w:r>
      <w:proofErr w:type="spellStart"/>
      <w:r w:rsidRPr="00F71A6A">
        <w:rPr>
          <w:rStyle w:val="Hipervnculo"/>
          <w:rFonts w:ascii="Verdana" w:hAnsi="Verdana"/>
          <w:color w:val="4472C4" w:themeColor="accent1"/>
        </w:rPr>
        <w:t>ColombiaCompraEficiente</w:t>
      </w:r>
      <w:proofErr w:type="spellEnd"/>
    </w:p>
    <w:p w14:paraId="4D270741" w14:textId="77777777" w:rsidR="009E40F5" w:rsidRDefault="009E40F5" w:rsidP="009E40F5">
      <w:pPr>
        <w:spacing w:after="0" w:line="276" w:lineRule="auto"/>
        <w:jc w:val="both"/>
        <w:rPr>
          <w:rStyle w:val="Hipervnculo"/>
          <w:rFonts w:ascii="Verdana" w:hAnsi="Verdana"/>
          <w:color w:val="4472C4" w:themeColor="accent1"/>
        </w:rPr>
      </w:pPr>
      <w:r w:rsidRPr="00F71A6A">
        <w:rPr>
          <w:rFonts w:ascii="Verdana" w:hAnsi="Verdana"/>
        </w:rPr>
        <w:t xml:space="preserve">LinkedIn: </w:t>
      </w:r>
      <w:r w:rsidRPr="00F71A6A">
        <w:rPr>
          <w:rStyle w:val="Hipervnculo"/>
          <w:rFonts w:ascii="Verdana" w:hAnsi="Verdana"/>
          <w:color w:val="4472C4" w:themeColor="accent1"/>
        </w:rPr>
        <w:t>Agencia Nacional de Contratación Pública - Colombia Compra Eficiente</w:t>
      </w:r>
      <w:r w:rsidRPr="00F71A6A">
        <w:rPr>
          <w:rFonts w:ascii="Verdana" w:hAnsi="Verdana"/>
          <w:color w:val="4472C4" w:themeColor="accent1"/>
        </w:rPr>
        <w:t xml:space="preserve"> </w:t>
      </w:r>
      <w:r w:rsidRPr="00F71A6A">
        <w:rPr>
          <w:rFonts w:ascii="Verdana" w:hAnsi="Verdana"/>
        </w:rPr>
        <w:t xml:space="preserve">Instagram: </w:t>
      </w:r>
      <w:r w:rsidRPr="00F71A6A">
        <w:rPr>
          <w:rStyle w:val="Hipervnculo"/>
          <w:rFonts w:ascii="Verdana" w:hAnsi="Verdana"/>
          <w:color w:val="4472C4" w:themeColor="accent1"/>
        </w:rPr>
        <w:t>@colombiacompraeficiente_cce</w:t>
      </w:r>
    </w:p>
    <w:p w14:paraId="6D4E25AC" w14:textId="77777777" w:rsidR="009E40F5" w:rsidRDefault="009E40F5" w:rsidP="009E40F5">
      <w:pPr>
        <w:widowControl w:val="0"/>
        <w:autoSpaceDE w:val="0"/>
        <w:autoSpaceDN w:val="0"/>
        <w:spacing w:after="0" w:line="276" w:lineRule="auto"/>
        <w:jc w:val="both"/>
        <w:rPr>
          <w:rFonts w:ascii="Verdana" w:hAnsi="Verdana" w:cs="Arial"/>
        </w:rPr>
      </w:pPr>
    </w:p>
    <w:p w14:paraId="6A082840" w14:textId="77777777" w:rsidR="009E40F5" w:rsidRPr="00F71A6A" w:rsidRDefault="009E40F5" w:rsidP="009E40F5">
      <w:pPr>
        <w:widowControl w:val="0"/>
        <w:autoSpaceDE w:val="0"/>
        <w:autoSpaceDN w:val="0"/>
        <w:spacing w:after="0" w:line="276" w:lineRule="auto"/>
        <w:jc w:val="both"/>
        <w:rPr>
          <w:rFonts w:ascii="Verdana" w:hAnsi="Verdana" w:cs="Arial"/>
          <w:lang w:val="es-ES_tradnl"/>
        </w:rPr>
      </w:pPr>
      <w:r w:rsidRPr="00F71A6A">
        <w:rPr>
          <w:rFonts w:ascii="Verdana" w:hAnsi="Verdana" w:cs="Arial"/>
        </w:rPr>
        <w:t xml:space="preserve">Este concepto tiene el alcance previsto en el artículo 28 del Código de Procedimiento Administrativo y de lo Contencioso Administrativo </w:t>
      </w:r>
      <w:r w:rsidRPr="00F71A6A">
        <w:rPr>
          <w:rFonts w:ascii="Verdana" w:hAnsi="Verdana" w:cs="Arial"/>
          <w:lang w:val="es-ES_tradnl"/>
        </w:rPr>
        <w:t>y las expresiones aquí utilizadas con mayúscula inicial deben ser entendidas con el significado que les otorga el artículo 2.2.1.1.1.3.1. del Decreto 1082 de 2015.</w:t>
      </w:r>
    </w:p>
    <w:p w14:paraId="55FD0753" w14:textId="77777777" w:rsidR="009E40F5" w:rsidRPr="006F2228" w:rsidRDefault="009E40F5" w:rsidP="009E40F5">
      <w:pPr>
        <w:widowControl w:val="0"/>
        <w:autoSpaceDE w:val="0"/>
        <w:autoSpaceDN w:val="0"/>
        <w:spacing w:after="0" w:line="276" w:lineRule="auto"/>
        <w:jc w:val="both"/>
        <w:rPr>
          <w:rFonts w:ascii="Verdana" w:hAnsi="Verdana" w:cs="Arial"/>
          <w:lang w:val="es-ES_tradnl"/>
        </w:rPr>
      </w:pPr>
    </w:p>
    <w:p w14:paraId="40C5B229" w14:textId="24725F16" w:rsidR="009E40F5" w:rsidRPr="009E40F5" w:rsidRDefault="009E40F5" w:rsidP="009E40F5">
      <w:pPr>
        <w:spacing w:after="0" w:line="276" w:lineRule="auto"/>
        <w:rPr>
          <w:rFonts w:ascii="Verdana" w:hAnsi="Verdana" w:cs="Arial"/>
          <w:lang w:eastAsia="es-CO"/>
        </w:rPr>
      </w:pPr>
      <w:r w:rsidRPr="00F71A6A">
        <w:rPr>
          <w:rFonts w:ascii="Verdana" w:eastAsia="Times New Roman" w:hAnsi="Verdana" w:cs="Arial"/>
          <w:lang w:eastAsia="es-CO"/>
        </w:rPr>
        <w:t>Atentamente,</w:t>
      </w:r>
      <w:r w:rsidRPr="00F71A6A">
        <w:rPr>
          <w:rFonts w:ascii="Verdana" w:hAnsi="Verdana" w:cs="Arial"/>
          <w:lang w:eastAsia="es-CO"/>
        </w:rPr>
        <w:t xml:space="preserve"> </w:t>
      </w:r>
    </w:p>
    <w:p w14:paraId="5DD3C395" w14:textId="2848DEEC" w:rsidR="009E40F5" w:rsidRPr="008958FB" w:rsidRDefault="00775D0D" w:rsidP="008958FB">
      <w:pPr>
        <w:spacing w:after="0" w:line="240" w:lineRule="auto"/>
        <w:jc w:val="center"/>
        <w:rPr>
          <w:noProof/>
        </w:rPr>
      </w:pPr>
      <w:r>
        <w:rPr>
          <w:noProof/>
        </w:rPr>
        <w:drawing>
          <wp:inline distT="0" distB="0" distL="0" distR="0" wp14:anchorId="662E7927" wp14:editId="1FEAC6EE">
            <wp:extent cx="3962400" cy="1866900"/>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a:picLocks noChangeAspect="1"/>
                    </pic:cNvPicPr>
                  </pic:nvPicPr>
                  <pic:blipFill>
                    <a:blip r:embed="rId16"/>
                    <a:stretch>
                      <a:fillRect/>
                    </a:stretch>
                  </pic:blipFill>
                  <pic:spPr>
                    <a:xfrm>
                      <a:off x="0" y="0"/>
                      <a:ext cx="3962400" cy="186690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E40F5" w:rsidRPr="00156969" w14:paraId="6E8CB1AD" w14:textId="77777777" w:rsidTr="00272B58">
        <w:trPr>
          <w:trHeight w:val="315"/>
        </w:trPr>
        <w:tc>
          <w:tcPr>
            <w:tcW w:w="893" w:type="dxa"/>
            <w:vAlign w:val="center"/>
            <w:hideMark/>
          </w:tcPr>
          <w:p w14:paraId="20031B99" w14:textId="77777777" w:rsidR="009E40F5" w:rsidRPr="00156969" w:rsidRDefault="009E40F5" w:rsidP="00272B58">
            <w:pPr>
              <w:contextualSpacing/>
              <w:rPr>
                <w:rFonts w:ascii="Verdana" w:hAnsi="Verdana" w:cs="Arial"/>
                <w:sz w:val="16"/>
                <w:szCs w:val="16"/>
                <w:lang w:val="es-ES" w:eastAsia="es-ES"/>
              </w:rPr>
            </w:pPr>
            <w:r w:rsidRPr="0015696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24688B6" w14:textId="77777777" w:rsidR="009E40F5" w:rsidRPr="00156969" w:rsidRDefault="009E40F5" w:rsidP="00272B58">
            <w:pPr>
              <w:contextualSpacing/>
              <w:rPr>
                <w:rStyle w:val="normaltextrun"/>
                <w:rFonts w:ascii="Verdana" w:hAnsi="Verdana"/>
                <w:sz w:val="16"/>
                <w:szCs w:val="16"/>
              </w:rPr>
            </w:pPr>
            <w:r w:rsidRPr="00156969">
              <w:rPr>
                <w:rStyle w:val="normaltextrun"/>
                <w:rFonts w:ascii="Verdana" w:hAnsi="Verdana"/>
                <w:sz w:val="16"/>
                <w:szCs w:val="16"/>
              </w:rPr>
              <w:t xml:space="preserve">Esperanza Contreras P </w:t>
            </w:r>
          </w:p>
          <w:p w14:paraId="56F77692" w14:textId="77777777" w:rsidR="009E40F5" w:rsidRPr="00156969" w:rsidRDefault="009E40F5" w:rsidP="00272B58">
            <w:pPr>
              <w:contextualSpacing/>
              <w:rPr>
                <w:rFonts w:ascii="Verdana" w:eastAsia="Arial" w:hAnsi="Verdana" w:cs="Arial"/>
                <w:sz w:val="16"/>
                <w:szCs w:val="16"/>
              </w:rPr>
            </w:pPr>
            <w:r w:rsidRPr="00156969">
              <w:rPr>
                <w:rStyle w:val="normaltextrun"/>
                <w:rFonts w:ascii="Verdana" w:hAnsi="Verdana" w:cs="Arial"/>
                <w:sz w:val="16"/>
                <w:szCs w:val="16"/>
                <w:lang w:val="es-ES"/>
              </w:rPr>
              <w:t>Contratista de la Subdirección de Gestión Contractual</w:t>
            </w:r>
            <w:r w:rsidRPr="00156969">
              <w:rPr>
                <w:rStyle w:val="eop"/>
                <w:rFonts w:ascii="Verdana" w:hAnsi="Verdana" w:cs="Arial"/>
                <w:sz w:val="16"/>
                <w:szCs w:val="16"/>
              </w:rPr>
              <w:t> </w:t>
            </w:r>
          </w:p>
        </w:tc>
      </w:tr>
      <w:tr w:rsidR="009E40F5" w:rsidRPr="00156969" w14:paraId="177C866C" w14:textId="77777777" w:rsidTr="00272B58">
        <w:trPr>
          <w:trHeight w:val="330"/>
        </w:trPr>
        <w:tc>
          <w:tcPr>
            <w:tcW w:w="893" w:type="dxa"/>
            <w:vAlign w:val="center"/>
            <w:hideMark/>
          </w:tcPr>
          <w:p w14:paraId="2689369B" w14:textId="77777777" w:rsidR="009E40F5" w:rsidRPr="00156969" w:rsidRDefault="009E40F5" w:rsidP="00272B58">
            <w:pPr>
              <w:contextualSpacing/>
              <w:rPr>
                <w:rFonts w:ascii="Verdana" w:hAnsi="Verdana" w:cs="Arial"/>
                <w:sz w:val="16"/>
                <w:szCs w:val="16"/>
                <w:lang w:val="es-ES" w:eastAsia="es-ES"/>
              </w:rPr>
            </w:pPr>
            <w:r w:rsidRPr="0015696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9009C6A" w14:textId="77777777" w:rsidR="009E40F5" w:rsidRPr="009831C2" w:rsidRDefault="009E40F5" w:rsidP="00272B58">
            <w:pPr>
              <w:pStyle w:val="paragraph"/>
              <w:spacing w:before="0" w:beforeAutospacing="0" w:after="0" w:afterAutospacing="0"/>
              <w:contextualSpacing/>
              <w:textAlignment w:val="baseline"/>
              <w:rPr>
                <w:rStyle w:val="normaltextrun"/>
                <w:rFonts w:ascii="Verdana Pro" w:hAnsi="Verdana Pro"/>
                <w:sz w:val="16"/>
                <w:szCs w:val="16"/>
                <w:lang w:val="es-ES"/>
              </w:rPr>
            </w:pPr>
            <w:r>
              <w:rPr>
                <w:rStyle w:val="normaltextrun"/>
                <w:rFonts w:ascii="Verdana Pro" w:hAnsi="Verdana Pro"/>
                <w:sz w:val="16"/>
                <w:szCs w:val="16"/>
                <w:lang w:val="es-ES"/>
              </w:rPr>
              <w:t>Alejandro Sarmiento Cantillo</w:t>
            </w:r>
            <w:r w:rsidRPr="009831C2">
              <w:rPr>
                <w:rStyle w:val="normaltextrun"/>
                <w:rFonts w:ascii="Verdana Pro" w:hAnsi="Verdana Pro"/>
                <w:sz w:val="16"/>
                <w:szCs w:val="16"/>
              </w:rPr>
              <w:t xml:space="preserve"> </w:t>
            </w:r>
          </w:p>
          <w:p w14:paraId="277D92FC" w14:textId="77777777" w:rsidR="009E40F5" w:rsidRPr="00C666EA" w:rsidRDefault="009E40F5" w:rsidP="00272B58">
            <w:pPr>
              <w:pStyle w:val="paragraph"/>
              <w:spacing w:before="0" w:beforeAutospacing="0" w:after="0" w:afterAutospacing="0"/>
              <w:contextualSpacing/>
              <w:textAlignment w:val="baseline"/>
              <w:rPr>
                <w:rFonts w:ascii="Verdana" w:hAnsi="Verdana" w:cs="Segoe UI"/>
                <w:sz w:val="16"/>
                <w:szCs w:val="16"/>
              </w:rPr>
            </w:pPr>
            <w:r w:rsidRPr="002B4863">
              <w:rPr>
                <w:rFonts w:ascii="Verdana" w:hAnsi="Verdana" w:cs="Segoe UI"/>
                <w:sz w:val="16"/>
                <w:szCs w:val="16"/>
              </w:rPr>
              <w:t>Gestor T1 -15 de la Subdirección de Gestión Contractual</w:t>
            </w:r>
          </w:p>
        </w:tc>
      </w:tr>
      <w:tr w:rsidR="009E40F5" w:rsidRPr="00F71A6A" w14:paraId="75DFA129" w14:textId="77777777" w:rsidTr="00272B58">
        <w:trPr>
          <w:trHeight w:val="300"/>
        </w:trPr>
        <w:tc>
          <w:tcPr>
            <w:tcW w:w="893" w:type="dxa"/>
            <w:vAlign w:val="center"/>
          </w:tcPr>
          <w:p w14:paraId="1F3D8B8B" w14:textId="77777777" w:rsidR="009E40F5" w:rsidRPr="00156969" w:rsidRDefault="009E40F5" w:rsidP="00272B58">
            <w:pPr>
              <w:contextualSpacing/>
              <w:rPr>
                <w:rFonts w:ascii="Verdana" w:hAnsi="Verdana" w:cs="Arial"/>
                <w:sz w:val="16"/>
                <w:szCs w:val="16"/>
                <w:lang w:val="es-ES" w:eastAsia="es-ES"/>
              </w:rPr>
            </w:pPr>
            <w:r w:rsidRPr="0015696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71F10B7" w14:textId="77777777" w:rsidR="009E40F5" w:rsidRPr="00156969" w:rsidRDefault="009E40F5" w:rsidP="00272B58">
            <w:pPr>
              <w:contextualSpacing/>
              <w:rPr>
                <w:rFonts w:ascii="Verdana" w:eastAsia="Calibri" w:hAnsi="Verdana" w:cs="Arial"/>
                <w:sz w:val="16"/>
                <w:szCs w:val="16"/>
                <w:lang w:val="pt-BR" w:eastAsia="es-ES"/>
              </w:rPr>
            </w:pPr>
            <w:r w:rsidRPr="00156969">
              <w:rPr>
                <w:rFonts w:ascii="Verdana" w:eastAsia="Calibri" w:hAnsi="Verdana" w:cs="Arial"/>
                <w:sz w:val="16"/>
                <w:szCs w:val="16"/>
                <w:lang w:val="pt-BR" w:eastAsia="es-ES"/>
              </w:rPr>
              <w:t xml:space="preserve">Carolina Quintero </w:t>
            </w:r>
            <w:proofErr w:type="spellStart"/>
            <w:r w:rsidRPr="00156969">
              <w:rPr>
                <w:rFonts w:ascii="Verdana" w:eastAsia="Calibri" w:hAnsi="Verdana" w:cs="Arial"/>
                <w:sz w:val="16"/>
                <w:szCs w:val="16"/>
                <w:lang w:val="pt-BR" w:eastAsia="es-ES"/>
              </w:rPr>
              <w:t>Gacharná</w:t>
            </w:r>
            <w:proofErr w:type="spellEnd"/>
          </w:p>
          <w:p w14:paraId="1DD0FF52" w14:textId="77777777" w:rsidR="009E40F5" w:rsidRPr="00F71A6A" w:rsidRDefault="009E40F5" w:rsidP="00272B58">
            <w:pPr>
              <w:contextualSpacing/>
              <w:rPr>
                <w:rFonts w:ascii="Verdana" w:eastAsia="Calibri" w:hAnsi="Verdana" w:cs="Arial"/>
                <w:sz w:val="16"/>
                <w:szCs w:val="16"/>
                <w:lang w:val="pt-BR" w:eastAsia="es-ES"/>
              </w:rPr>
            </w:pPr>
            <w:r w:rsidRPr="00156969">
              <w:rPr>
                <w:rFonts w:ascii="Verdana" w:eastAsia="Calibri" w:hAnsi="Verdana" w:cs="Arial"/>
                <w:sz w:val="16"/>
                <w:szCs w:val="16"/>
                <w:lang w:eastAsia="es-ES"/>
              </w:rPr>
              <w:t>Subdirectora</w:t>
            </w:r>
            <w:r w:rsidRPr="00156969">
              <w:rPr>
                <w:rFonts w:ascii="Verdana" w:eastAsia="Calibri" w:hAnsi="Verdana" w:cs="Arial"/>
                <w:sz w:val="16"/>
                <w:szCs w:val="16"/>
                <w:lang w:val="pt-BR" w:eastAsia="es-ES"/>
              </w:rPr>
              <w:t xml:space="preserve"> de Gestión </w:t>
            </w:r>
            <w:proofErr w:type="spellStart"/>
            <w:r w:rsidRPr="00156969">
              <w:rPr>
                <w:rFonts w:ascii="Verdana" w:eastAsia="Calibri" w:hAnsi="Verdana" w:cs="Arial"/>
                <w:sz w:val="16"/>
                <w:szCs w:val="16"/>
                <w:lang w:val="pt-BR" w:eastAsia="es-ES"/>
              </w:rPr>
              <w:t>Contractual</w:t>
            </w:r>
            <w:proofErr w:type="spellEnd"/>
            <w:r w:rsidRPr="00156969">
              <w:rPr>
                <w:rFonts w:ascii="Verdana" w:eastAsia="Calibri" w:hAnsi="Verdana" w:cs="Arial"/>
                <w:sz w:val="16"/>
                <w:szCs w:val="16"/>
                <w:lang w:val="pt-BR" w:eastAsia="es-ES"/>
              </w:rPr>
              <w:t xml:space="preserve"> ANCP – CCE</w:t>
            </w:r>
          </w:p>
        </w:tc>
      </w:tr>
      <w:bookmarkEnd w:id="0"/>
      <w:bookmarkEnd w:id="1"/>
      <w:bookmarkEnd w:id="2"/>
    </w:tbl>
    <w:p w14:paraId="3900974D" w14:textId="77777777" w:rsidR="003D5B0D" w:rsidRPr="009E40F5" w:rsidRDefault="003D5B0D" w:rsidP="00C76B1C">
      <w:pPr>
        <w:spacing w:after="0" w:line="240" w:lineRule="auto"/>
        <w:textAlignment w:val="baseline"/>
        <w:rPr>
          <w:rFonts w:ascii="Verdana" w:eastAsia="Times New Roman" w:hAnsi="Verdana" w:cs="Segoe UI"/>
          <w:b/>
          <w:bCs/>
          <w:color w:val="46589C"/>
          <w:lang w:eastAsia="es-CO"/>
        </w:rPr>
      </w:pPr>
    </w:p>
    <w:sectPr w:rsidR="003D5B0D" w:rsidRPr="009E40F5"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282F68" w14:textId="77777777" w:rsidR="008316D3" w:rsidRDefault="008316D3" w:rsidP="004A1847">
      <w:pPr>
        <w:spacing w:after="0" w:line="240" w:lineRule="auto"/>
      </w:pPr>
      <w:r>
        <w:separator/>
      </w:r>
    </w:p>
  </w:endnote>
  <w:endnote w:type="continuationSeparator" w:id="0">
    <w:p w14:paraId="341620BA" w14:textId="77777777" w:rsidR="008316D3" w:rsidRDefault="008316D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Verdana Pro">
    <w:charset w:val="00"/>
    <w:family w:val="swiss"/>
    <w:pitch w:val="variable"/>
    <w:sig w:usb0="80000287" w:usb1="00000043"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3B5C6F" w14:textId="77777777" w:rsidR="008316D3" w:rsidRDefault="008316D3" w:rsidP="004A1847">
      <w:pPr>
        <w:spacing w:after="0" w:line="240" w:lineRule="auto"/>
      </w:pPr>
      <w:r>
        <w:separator/>
      </w:r>
    </w:p>
  </w:footnote>
  <w:footnote w:type="continuationSeparator" w:id="0">
    <w:p w14:paraId="11905241" w14:textId="77777777" w:rsidR="008316D3" w:rsidRDefault="008316D3" w:rsidP="004A1847">
      <w:pPr>
        <w:spacing w:after="0" w:line="240" w:lineRule="auto"/>
      </w:pPr>
      <w:r>
        <w:continuationSeparator/>
      </w:r>
    </w:p>
  </w:footnote>
  <w:footnote w:id="1">
    <w:p w14:paraId="0BF86E6D" w14:textId="77777777" w:rsidR="009E40F5" w:rsidRDefault="009E40F5" w:rsidP="009E40F5">
      <w:pPr>
        <w:pStyle w:val="Textonotapie"/>
        <w:ind w:firstLine="709"/>
        <w:rPr>
          <w:rFonts w:ascii="Verdana" w:hAnsi="Verdana"/>
          <w:sz w:val="14"/>
          <w:szCs w:val="14"/>
          <w:lang w:val="es-CO"/>
        </w:rPr>
      </w:pPr>
      <w:r w:rsidRPr="00044489">
        <w:rPr>
          <w:rStyle w:val="Refdenotaalpie"/>
          <w:rFonts w:ascii="Verdana" w:hAnsi="Verdana"/>
          <w:sz w:val="14"/>
          <w:szCs w:val="14"/>
        </w:rPr>
        <w:footnoteRef/>
      </w:r>
      <w:r w:rsidRPr="00044489">
        <w:rPr>
          <w:rFonts w:ascii="Verdana" w:hAnsi="Verdana"/>
          <w:sz w:val="14"/>
          <w:szCs w:val="14"/>
        </w:rPr>
        <w:t xml:space="preserve"> </w:t>
      </w:r>
      <w:r w:rsidRPr="00044489">
        <w:rPr>
          <w:rFonts w:ascii="Verdana" w:hAnsi="Verdana"/>
          <w:sz w:val="14"/>
          <w:szCs w:val="14"/>
          <w:lang w:val="es-CO"/>
        </w:rPr>
        <w:t>Consejo de Estado</w:t>
      </w:r>
      <w:r>
        <w:rPr>
          <w:rFonts w:ascii="Verdana" w:hAnsi="Verdana"/>
          <w:sz w:val="14"/>
          <w:szCs w:val="14"/>
          <w:lang w:val="es-CO"/>
        </w:rPr>
        <w:t xml:space="preserve">. Sala de lo Contencioso Administrativo. </w:t>
      </w:r>
      <w:r w:rsidRPr="00044489">
        <w:rPr>
          <w:rFonts w:ascii="Verdana" w:hAnsi="Verdana"/>
          <w:sz w:val="14"/>
          <w:szCs w:val="14"/>
          <w:lang w:val="es-CO"/>
        </w:rPr>
        <w:t>Sección Tercera, Sentencia del 25 de mayo de 2016. M.P. Hernán Andrade Rincón</w:t>
      </w:r>
      <w:r>
        <w:rPr>
          <w:rFonts w:ascii="Verdana" w:hAnsi="Verdana"/>
          <w:sz w:val="14"/>
          <w:szCs w:val="14"/>
          <w:lang w:val="es-CO"/>
        </w:rPr>
        <w:t>.</w:t>
      </w:r>
    </w:p>
    <w:p w14:paraId="54B1073D" w14:textId="77777777" w:rsidR="009E40F5" w:rsidRPr="00044489" w:rsidRDefault="009E40F5" w:rsidP="009E40F5">
      <w:pPr>
        <w:pStyle w:val="Textonotapie"/>
        <w:ind w:firstLine="709"/>
        <w:rPr>
          <w:rFonts w:ascii="Verdana" w:hAnsi="Verdana"/>
          <w:sz w:val="14"/>
          <w:szCs w:val="14"/>
          <w:lang w:val="es-ES"/>
        </w:rPr>
      </w:pPr>
    </w:p>
  </w:footnote>
  <w:footnote w:id="2">
    <w:p w14:paraId="266F9F7B" w14:textId="77777777" w:rsidR="009E40F5" w:rsidRPr="00FB532C" w:rsidRDefault="009E40F5" w:rsidP="009E40F5">
      <w:pPr>
        <w:pStyle w:val="Textonotapie"/>
        <w:ind w:firstLine="709"/>
        <w:jc w:val="both"/>
        <w:rPr>
          <w:rFonts w:ascii="Verdana" w:hAnsi="Verdana"/>
          <w:sz w:val="14"/>
          <w:szCs w:val="14"/>
          <w:lang w:val="es-ES"/>
        </w:rPr>
      </w:pPr>
      <w:r w:rsidRPr="00FB532C">
        <w:rPr>
          <w:rStyle w:val="Refdenotaalpie"/>
          <w:rFonts w:ascii="Verdana" w:hAnsi="Verdana"/>
          <w:sz w:val="14"/>
          <w:szCs w:val="14"/>
        </w:rPr>
        <w:footnoteRef/>
      </w:r>
      <w:r w:rsidRPr="00FB532C">
        <w:rPr>
          <w:rFonts w:ascii="Verdana" w:hAnsi="Verdana"/>
          <w:sz w:val="14"/>
          <w:szCs w:val="14"/>
        </w:rPr>
        <w:t xml:space="preserve"> </w:t>
      </w:r>
      <w:r w:rsidRPr="00FB532C">
        <w:rPr>
          <w:rFonts w:ascii="Verdana" w:hAnsi="Verdana"/>
          <w:sz w:val="14"/>
          <w:szCs w:val="14"/>
          <w:lang w:val="es-CO"/>
        </w:rPr>
        <w:t>Ley 80 de 1993: «Artículo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footnote>
  <w:footnote w:id="3">
    <w:p w14:paraId="2345EFE0" w14:textId="77777777" w:rsidR="009E40F5" w:rsidRPr="00011600" w:rsidRDefault="009E40F5" w:rsidP="009E40F5">
      <w:pPr>
        <w:pStyle w:val="Textonotapie"/>
        <w:ind w:firstLine="709"/>
        <w:jc w:val="both"/>
        <w:rPr>
          <w:rFonts w:ascii="Verdana" w:hAnsi="Verdana" w:cs="Arial"/>
          <w:sz w:val="14"/>
          <w:szCs w:val="14"/>
        </w:rPr>
      </w:pPr>
      <w:r w:rsidRPr="00011600">
        <w:rPr>
          <w:rStyle w:val="Refdenotaalpie"/>
          <w:rFonts w:ascii="Verdana" w:hAnsi="Verdana" w:cs="Arial"/>
          <w:sz w:val="14"/>
          <w:szCs w:val="14"/>
        </w:rPr>
        <w:footnoteRef/>
      </w:r>
      <w:r w:rsidRPr="00011600">
        <w:rPr>
          <w:rFonts w:ascii="Verdana" w:hAnsi="Verdana" w:cs="Arial"/>
          <w:sz w:val="14"/>
          <w:szCs w:val="14"/>
        </w:rPr>
        <w:t xml:space="preserve"> Corte Constitucional. Sentencia C-1016 de 2012. M.P. Jorge Iván Palacio. </w:t>
      </w:r>
    </w:p>
    <w:p w14:paraId="4D103513" w14:textId="77777777" w:rsidR="009E40F5" w:rsidRPr="00011600" w:rsidRDefault="009E40F5" w:rsidP="009E40F5">
      <w:pPr>
        <w:pStyle w:val="Textonotapie"/>
        <w:ind w:firstLine="709"/>
        <w:jc w:val="both"/>
        <w:rPr>
          <w:rFonts w:ascii="Verdana" w:hAnsi="Verdana" w:cs="Arial"/>
          <w:sz w:val="14"/>
          <w:szCs w:val="14"/>
        </w:rPr>
      </w:pPr>
    </w:p>
  </w:footnote>
  <w:footnote w:id="4">
    <w:p w14:paraId="01D0E56F" w14:textId="77777777" w:rsidR="009E40F5" w:rsidRPr="00011600" w:rsidRDefault="009E40F5" w:rsidP="009E40F5">
      <w:pPr>
        <w:pStyle w:val="Textonotapie"/>
        <w:ind w:firstLine="709"/>
        <w:jc w:val="both"/>
        <w:rPr>
          <w:rFonts w:ascii="Verdana" w:hAnsi="Verdana" w:cs="Arial"/>
          <w:sz w:val="14"/>
          <w:szCs w:val="14"/>
        </w:rPr>
      </w:pPr>
      <w:r w:rsidRPr="00011600">
        <w:rPr>
          <w:rStyle w:val="Refdenotaalpie"/>
          <w:rFonts w:ascii="Verdana" w:hAnsi="Verdana" w:cs="Arial"/>
          <w:sz w:val="14"/>
          <w:szCs w:val="14"/>
        </w:rPr>
        <w:footnoteRef/>
      </w:r>
      <w:r w:rsidRPr="00011600">
        <w:rPr>
          <w:rFonts w:ascii="Verdana" w:hAnsi="Verdana" w:cs="Arial"/>
          <w:sz w:val="14"/>
          <w:szCs w:val="14"/>
        </w:rPr>
        <w:t xml:space="preserve"> Consejo de Estado. Sala de lo Contencioso Administrativo. Sección Tercera. Subsección A. Sentencia del 13 de noviembre de 2013. Rad. 25.646. C.P. Mauricio Fajardo Gómez.  </w:t>
      </w:r>
    </w:p>
    <w:p w14:paraId="45FE8A65" w14:textId="77777777" w:rsidR="009E40F5" w:rsidRPr="00011600" w:rsidRDefault="009E40F5" w:rsidP="009E40F5">
      <w:pPr>
        <w:pStyle w:val="Textonotapie"/>
        <w:ind w:firstLine="709"/>
        <w:jc w:val="both"/>
        <w:rPr>
          <w:rFonts w:ascii="Verdana" w:hAnsi="Verdana" w:cs="Arial"/>
          <w:sz w:val="14"/>
          <w:szCs w:val="14"/>
        </w:rPr>
      </w:pPr>
    </w:p>
  </w:footnote>
  <w:footnote w:id="5">
    <w:p w14:paraId="511031F0" w14:textId="77777777" w:rsidR="009E40F5" w:rsidRPr="00011600" w:rsidRDefault="009E40F5" w:rsidP="009E40F5">
      <w:pPr>
        <w:pStyle w:val="Textonotapie"/>
        <w:ind w:firstLine="709"/>
        <w:jc w:val="both"/>
        <w:rPr>
          <w:rFonts w:ascii="Verdana" w:hAnsi="Verdana" w:cs="Arial"/>
          <w:sz w:val="14"/>
          <w:szCs w:val="14"/>
        </w:rPr>
      </w:pPr>
      <w:r w:rsidRPr="00011600">
        <w:rPr>
          <w:rFonts w:ascii="Verdana" w:hAnsi="Verdana" w:cs="Arial"/>
          <w:sz w:val="14"/>
          <w:szCs w:val="14"/>
          <w:vertAlign w:val="superscript"/>
        </w:rPr>
        <w:footnoteRef/>
      </w:r>
      <w:r w:rsidRPr="00011600">
        <w:rPr>
          <w:rFonts w:ascii="Verdana" w:hAnsi="Verdana" w:cs="Arial"/>
          <w:sz w:val="14"/>
          <w:szCs w:val="14"/>
        </w:rPr>
        <w:t xml:space="preserve"> Corte Constitucional. Sentencia C-415 de 1994. M.P. Eduardo Cifuentes Muñoz. </w:t>
      </w:r>
    </w:p>
    <w:p w14:paraId="7558AE95" w14:textId="77777777" w:rsidR="009E40F5" w:rsidRPr="00327E28" w:rsidRDefault="009E40F5" w:rsidP="009E40F5">
      <w:pPr>
        <w:pStyle w:val="Textonotapie"/>
        <w:ind w:firstLine="709"/>
        <w:jc w:val="both"/>
        <w:rPr>
          <w:rFonts w:ascii="Arial" w:hAnsi="Arial" w:cs="Arial"/>
          <w:sz w:val="14"/>
          <w:szCs w:val="14"/>
        </w:rPr>
      </w:pPr>
    </w:p>
  </w:footnote>
  <w:footnote w:id="6">
    <w:p w14:paraId="662E87A2" w14:textId="77777777" w:rsidR="009E40F5" w:rsidRPr="00011600" w:rsidRDefault="009E40F5" w:rsidP="009E40F5">
      <w:pPr>
        <w:pStyle w:val="Textonotapie"/>
        <w:ind w:firstLine="709"/>
        <w:jc w:val="both"/>
        <w:rPr>
          <w:rFonts w:ascii="Verdana" w:hAnsi="Verdana" w:cs="Arial"/>
          <w:sz w:val="14"/>
          <w:szCs w:val="14"/>
        </w:rPr>
      </w:pPr>
      <w:r w:rsidRPr="00011600">
        <w:rPr>
          <w:rStyle w:val="Refdenotaalpie"/>
          <w:rFonts w:ascii="Verdana" w:hAnsi="Verdana" w:cs="Arial"/>
          <w:sz w:val="14"/>
          <w:szCs w:val="14"/>
        </w:rPr>
        <w:footnoteRef/>
      </w:r>
      <w:r w:rsidRPr="00011600">
        <w:rPr>
          <w:rFonts w:ascii="Verdana" w:hAnsi="Verdana" w:cs="Arial"/>
          <w:sz w:val="14"/>
          <w:szCs w:val="14"/>
        </w:rPr>
        <w:t xml:space="preserve"> </w:t>
      </w:r>
      <w:proofErr w:type="spellStart"/>
      <w:r w:rsidRPr="00011600">
        <w:rPr>
          <w:rFonts w:ascii="Verdana" w:hAnsi="Verdana" w:cs="Arial"/>
          <w:i/>
          <w:iCs/>
          <w:sz w:val="14"/>
          <w:szCs w:val="14"/>
        </w:rPr>
        <w:t>Ibídem</w:t>
      </w:r>
      <w:proofErr w:type="spellEnd"/>
      <w:r w:rsidRPr="00011600">
        <w:rPr>
          <w:rFonts w:ascii="Verdana" w:hAnsi="Verdana" w:cs="Arial"/>
          <w:sz w:val="14"/>
          <w:szCs w:val="14"/>
        </w:rPr>
        <w:t xml:space="preserve">. </w:t>
      </w:r>
    </w:p>
    <w:p w14:paraId="22163549" w14:textId="77777777" w:rsidR="009E40F5" w:rsidRPr="00011600" w:rsidRDefault="009E40F5" w:rsidP="009E40F5">
      <w:pPr>
        <w:pStyle w:val="Textonotapie"/>
        <w:ind w:firstLine="709"/>
        <w:jc w:val="both"/>
        <w:rPr>
          <w:rFonts w:ascii="Verdana" w:hAnsi="Verdana" w:cs="Arial"/>
          <w:sz w:val="14"/>
          <w:szCs w:val="14"/>
        </w:rPr>
      </w:pPr>
    </w:p>
  </w:footnote>
  <w:footnote w:id="7">
    <w:p w14:paraId="4906E66B" w14:textId="77777777" w:rsidR="009E40F5" w:rsidRPr="00011600" w:rsidRDefault="009E40F5" w:rsidP="009E40F5">
      <w:pPr>
        <w:pStyle w:val="Textonotapie"/>
        <w:ind w:firstLine="709"/>
        <w:jc w:val="both"/>
        <w:rPr>
          <w:rFonts w:ascii="Verdana" w:hAnsi="Verdana" w:cs="Arial"/>
          <w:sz w:val="14"/>
          <w:szCs w:val="14"/>
        </w:rPr>
      </w:pPr>
      <w:r w:rsidRPr="00011600">
        <w:rPr>
          <w:rStyle w:val="Refdenotaalpie"/>
          <w:rFonts w:ascii="Verdana" w:hAnsi="Verdana" w:cs="Arial"/>
          <w:sz w:val="14"/>
          <w:szCs w:val="14"/>
        </w:rPr>
        <w:footnoteRef/>
      </w:r>
      <w:r w:rsidRPr="00011600">
        <w:rPr>
          <w:rFonts w:ascii="Verdana" w:hAnsi="Verdana" w:cs="Arial"/>
          <w:sz w:val="14"/>
          <w:szCs w:val="14"/>
        </w:rPr>
        <w:t xml:space="preserve"> </w:t>
      </w:r>
      <w:proofErr w:type="spellStart"/>
      <w:r w:rsidRPr="00011600">
        <w:rPr>
          <w:rFonts w:ascii="Verdana" w:hAnsi="Verdana" w:cs="Arial"/>
          <w:sz w:val="14"/>
          <w:szCs w:val="14"/>
        </w:rPr>
        <w:t>Cotr</w:t>
      </w:r>
      <w:proofErr w:type="spellEnd"/>
      <w:r w:rsidRPr="00011600">
        <w:rPr>
          <w:rFonts w:ascii="Verdana" w:hAnsi="Verdana" w:cs="Arial"/>
          <w:sz w:val="14"/>
          <w:szCs w:val="14"/>
        </w:rPr>
        <w:t xml:space="preserve"> Constitucional. Sentencia C-780 de 2001. M.P. Jaime Córdoba Triviño. </w:t>
      </w:r>
    </w:p>
    <w:p w14:paraId="28C279DA" w14:textId="77777777" w:rsidR="009E40F5" w:rsidRPr="00011600" w:rsidRDefault="009E40F5" w:rsidP="009E40F5">
      <w:pPr>
        <w:pStyle w:val="Textonotapie"/>
        <w:ind w:firstLine="709"/>
        <w:jc w:val="both"/>
        <w:rPr>
          <w:rFonts w:ascii="Verdana" w:hAnsi="Verdana" w:cs="Arial"/>
          <w:sz w:val="14"/>
          <w:szCs w:val="14"/>
        </w:rPr>
      </w:pPr>
    </w:p>
  </w:footnote>
  <w:footnote w:id="8">
    <w:p w14:paraId="47C97803" w14:textId="77777777" w:rsidR="009E40F5" w:rsidRPr="00011600" w:rsidRDefault="009E40F5" w:rsidP="009E40F5">
      <w:pPr>
        <w:pStyle w:val="NormalWeb"/>
        <w:spacing w:before="0" w:beforeAutospacing="0" w:after="0" w:afterAutospacing="0"/>
        <w:ind w:firstLine="709"/>
        <w:jc w:val="both"/>
        <w:rPr>
          <w:rFonts w:ascii="Verdana" w:eastAsiaTheme="minorHAnsi" w:hAnsi="Verdana" w:cs="Arial"/>
          <w:sz w:val="14"/>
          <w:szCs w:val="14"/>
          <w:lang w:val="es-ES" w:eastAsia="en-US"/>
        </w:rPr>
      </w:pPr>
      <w:r w:rsidRPr="00011600">
        <w:rPr>
          <w:rStyle w:val="Refdenotaalpie"/>
          <w:rFonts w:ascii="Verdana" w:hAnsi="Verdana" w:cs="Arial"/>
          <w:sz w:val="14"/>
          <w:szCs w:val="14"/>
        </w:rPr>
        <w:footnoteRef/>
      </w:r>
      <w:r w:rsidRPr="00011600">
        <w:rPr>
          <w:rFonts w:ascii="Verdana" w:hAnsi="Verdana" w:cs="Arial"/>
          <w:sz w:val="14"/>
          <w:szCs w:val="14"/>
        </w:rPr>
        <w:t xml:space="preserve"> </w:t>
      </w:r>
      <w:r w:rsidRPr="00011600">
        <w:rPr>
          <w:rFonts w:ascii="Verdana" w:eastAsiaTheme="minorHAnsi" w:hAnsi="Verdana" w:cs="Arial"/>
          <w:sz w:val="14"/>
          <w:szCs w:val="14"/>
          <w:lang w:val="es-ES" w:eastAsia="en-US"/>
        </w:rPr>
        <w:t>Ley 80 de 1993: «Artículo 8: 1o. Son inhábiles para participar en licitaciones o concursos y para celebrar contratos con las entidades estatales: </w:t>
      </w:r>
    </w:p>
    <w:p w14:paraId="170DE070" w14:textId="77777777" w:rsidR="009E40F5" w:rsidRPr="00011600" w:rsidRDefault="009E40F5" w:rsidP="009E40F5">
      <w:pPr>
        <w:pStyle w:val="NormalWeb"/>
        <w:spacing w:before="0" w:beforeAutospacing="0" w:after="0" w:afterAutospacing="0"/>
        <w:ind w:firstLine="709"/>
        <w:jc w:val="both"/>
        <w:rPr>
          <w:rFonts w:ascii="Verdana" w:eastAsiaTheme="minorHAnsi" w:hAnsi="Verdana" w:cs="Arial"/>
          <w:sz w:val="14"/>
          <w:szCs w:val="14"/>
          <w:lang w:val="es-ES" w:eastAsia="en-US"/>
        </w:rPr>
      </w:pPr>
      <w:proofErr w:type="gramStart"/>
      <w:r w:rsidRPr="00011600">
        <w:rPr>
          <w:rFonts w:ascii="Verdana" w:eastAsiaTheme="minorHAnsi" w:hAnsi="Verdana" w:cs="Arial"/>
          <w:sz w:val="14"/>
          <w:szCs w:val="14"/>
          <w:lang w:val="es-ES" w:eastAsia="en-US"/>
        </w:rPr>
        <w:t>»a</w:t>
      </w:r>
      <w:proofErr w:type="gramEnd"/>
      <w:r w:rsidRPr="00011600">
        <w:rPr>
          <w:rFonts w:ascii="Verdana" w:eastAsiaTheme="minorHAnsi" w:hAnsi="Verdana" w:cs="Arial"/>
          <w:sz w:val="14"/>
          <w:szCs w:val="14"/>
          <w:lang w:val="es-ES" w:eastAsia="en-US"/>
        </w:rPr>
        <w:t>) Las personas que se hallen inhabilitadas para contratar por la Constitución y las leyes. </w:t>
      </w:r>
    </w:p>
    <w:p w14:paraId="0A67D7E5" w14:textId="77777777" w:rsidR="009E40F5" w:rsidRPr="00011600" w:rsidRDefault="009E40F5" w:rsidP="009E40F5">
      <w:pPr>
        <w:pStyle w:val="NormalWeb"/>
        <w:spacing w:before="0" w:beforeAutospacing="0" w:after="0" w:afterAutospacing="0"/>
        <w:ind w:firstLine="709"/>
        <w:jc w:val="both"/>
        <w:rPr>
          <w:rFonts w:ascii="Verdana" w:eastAsiaTheme="minorHAnsi" w:hAnsi="Verdana" w:cs="Arial"/>
          <w:sz w:val="14"/>
          <w:szCs w:val="14"/>
          <w:lang w:val="es-ES" w:eastAsia="en-US"/>
        </w:rPr>
      </w:pPr>
      <w:proofErr w:type="gramStart"/>
      <w:r w:rsidRPr="00011600">
        <w:rPr>
          <w:rFonts w:ascii="Verdana" w:eastAsiaTheme="minorHAnsi" w:hAnsi="Verdana" w:cs="Arial"/>
          <w:sz w:val="14"/>
          <w:szCs w:val="14"/>
          <w:lang w:val="es-ES" w:eastAsia="en-US"/>
        </w:rPr>
        <w:t>»b</w:t>
      </w:r>
      <w:proofErr w:type="gramEnd"/>
      <w:r w:rsidRPr="00011600">
        <w:rPr>
          <w:rFonts w:ascii="Verdana" w:eastAsiaTheme="minorHAnsi" w:hAnsi="Verdana" w:cs="Arial"/>
          <w:sz w:val="14"/>
          <w:szCs w:val="14"/>
          <w:lang w:val="es-ES" w:eastAsia="en-US"/>
        </w:rPr>
        <w:t>) Quienes participaron en las licitaciones o celebraron los contratos de que trata el literal anterior estando inhabilitados. </w:t>
      </w:r>
    </w:p>
    <w:p w14:paraId="4CD2304D" w14:textId="77777777" w:rsidR="009E40F5" w:rsidRPr="00011600" w:rsidRDefault="009E40F5" w:rsidP="009E40F5">
      <w:pPr>
        <w:pStyle w:val="NormalWeb"/>
        <w:spacing w:before="0" w:beforeAutospacing="0" w:after="0" w:afterAutospacing="0"/>
        <w:ind w:firstLine="709"/>
        <w:jc w:val="both"/>
        <w:rPr>
          <w:rFonts w:ascii="Verdana" w:eastAsiaTheme="minorHAnsi" w:hAnsi="Verdana" w:cs="Arial"/>
          <w:sz w:val="14"/>
          <w:szCs w:val="14"/>
          <w:lang w:val="es-ES" w:eastAsia="en-US"/>
        </w:rPr>
      </w:pPr>
      <w:r w:rsidRPr="00011600">
        <w:rPr>
          <w:rFonts w:ascii="Verdana" w:eastAsiaTheme="minorHAnsi" w:hAnsi="Verdana" w:cs="Arial"/>
          <w:sz w:val="14"/>
          <w:szCs w:val="14"/>
          <w:lang w:val="es-ES" w:eastAsia="en-US"/>
        </w:rPr>
        <w:t>»c) Quienes dieron lugar a la declaratoria de caducidad. </w:t>
      </w:r>
    </w:p>
    <w:p w14:paraId="3693D815" w14:textId="77777777" w:rsidR="009E40F5" w:rsidRPr="00011600" w:rsidRDefault="009E40F5" w:rsidP="009E40F5">
      <w:pPr>
        <w:pStyle w:val="NormalWeb"/>
        <w:spacing w:before="0" w:beforeAutospacing="0" w:after="0" w:afterAutospacing="0"/>
        <w:ind w:firstLine="709"/>
        <w:jc w:val="both"/>
        <w:rPr>
          <w:rFonts w:ascii="Verdana" w:eastAsiaTheme="minorHAnsi" w:hAnsi="Verdana" w:cs="Arial"/>
          <w:sz w:val="14"/>
          <w:szCs w:val="14"/>
          <w:lang w:val="es-ES" w:eastAsia="en-US"/>
        </w:rPr>
      </w:pPr>
      <w:proofErr w:type="gramStart"/>
      <w:r w:rsidRPr="00011600">
        <w:rPr>
          <w:rFonts w:ascii="Verdana" w:eastAsiaTheme="minorHAnsi" w:hAnsi="Verdana" w:cs="Arial"/>
          <w:sz w:val="14"/>
          <w:szCs w:val="14"/>
          <w:lang w:val="es-ES" w:eastAsia="en-US"/>
        </w:rPr>
        <w:t>»d</w:t>
      </w:r>
      <w:proofErr w:type="gramEnd"/>
      <w:r w:rsidRPr="00011600">
        <w:rPr>
          <w:rFonts w:ascii="Verdana" w:eastAsiaTheme="minorHAnsi" w:hAnsi="Verdana" w:cs="Arial"/>
          <w:sz w:val="14"/>
          <w:szCs w:val="14"/>
          <w:lang w:val="es-ES" w:eastAsia="en-US"/>
        </w:rPr>
        <w:t>) Quienes en sentencia judicial hayan sido condenados a la pena accesoria de interdicción de derechos y funciones públicas y quienes hayan sido sancionados disciplinariamente con destitución. </w:t>
      </w:r>
    </w:p>
    <w:p w14:paraId="60D57CDC" w14:textId="77777777" w:rsidR="009E40F5" w:rsidRPr="00011600" w:rsidRDefault="009E40F5" w:rsidP="009E40F5">
      <w:pPr>
        <w:pStyle w:val="NormalWeb"/>
        <w:spacing w:before="0" w:beforeAutospacing="0" w:after="0" w:afterAutospacing="0"/>
        <w:ind w:firstLine="709"/>
        <w:jc w:val="both"/>
        <w:rPr>
          <w:rFonts w:ascii="Verdana" w:eastAsiaTheme="minorHAnsi" w:hAnsi="Verdana" w:cs="Arial"/>
          <w:sz w:val="14"/>
          <w:szCs w:val="14"/>
          <w:lang w:val="es-ES" w:eastAsia="en-US"/>
        </w:rPr>
      </w:pPr>
      <w:proofErr w:type="gramStart"/>
      <w:r w:rsidRPr="00011600">
        <w:rPr>
          <w:rFonts w:ascii="Verdana" w:eastAsiaTheme="minorHAnsi" w:hAnsi="Verdana" w:cs="Arial"/>
          <w:sz w:val="14"/>
          <w:szCs w:val="14"/>
          <w:lang w:val="es-ES" w:eastAsia="en-US"/>
        </w:rPr>
        <w:t>»e</w:t>
      </w:r>
      <w:proofErr w:type="gramEnd"/>
      <w:r w:rsidRPr="00011600">
        <w:rPr>
          <w:rFonts w:ascii="Verdana" w:eastAsiaTheme="minorHAnsi" w:hAnsi="Verdana" w:cs="Arial"/>
          <w:sz w:val="14"/>
          <w:szCs w:val="14"/>
          <w:lang w:val="es-ES" w:eastAsia="en-US"/>
        </w:rPr>
        <w:t>) Quienes sin justa causa se abstengan de suscribir el contrato estatal adjudicado. </w:t>
      </w:r>
    </w:p>
    <w:p w14:paraId="7923FEF3" w14:textId="77777777" w:rsidR="009E40F5" w:rsidRPr="00011600" w:rsidRDefault="009E40F5" w:rsidP="009E40F5">
      <w:pPr>
        <w:pStyle w:val="NormalWeb"/>
        <w:spacing w:before="0" w:beforeAutospacing="0" w:after="0" w:afterAutospacing="0"/>
        <w:ind w:firstLine="709"/>
        <w:jc w:val="both"/>
        <w:rPr>
          <w:rFonts w:ascii="Verdana" w:eastAsiaTheme="minorHAnsi" w:hAnsi="Verdana" w:cs="Arial"/>
          <w:sz w:val="14"/>
          <w:szCs w:val="14"/>
          <w:lang w:val="es-ES" w:eastAsia="en-US"/>
        </w:rPr>
      </w:pPr>
      <w:proofErr w:type="gramStart"/>
      <w:r w:rsidRPr="00011600">
        <w:rPr>
          <w:rFonts w:ascii="Verdana" w:eastAsiaTheme="minorHAnsi" w:hAnsi="Verdana" w:cs="Arial"/>
          <w:sz w:val="14"/>
          <w:szCs w:val="14"/>
          <w:lang w:val="es-ES" w:eastAsia="en-US"/>
        </w:rPr>
        <w:t>»f</w:t>
      </w:r>
      <w:proofErr w:type="gramEnd"/>
      <w:r w:rsidRPr="00011600">
        <w:rPr>
          <w:rFonts w:ascii="Verdana" w:eastAsiaTheme="minorHAnsi" w:hAnsi="Verdana" w:cs="Arial"/>
          <w:sz w:val="14"/>
          <w:szCs w:val="14"/>
          <w:lang w:val="es-ES" w:eastAsia="en-US"/>
        </w:rPr>
        <w:t>) Los servidores públicos. </w:t>
      </w:r>
    </w:p>
    <w:p w14:paraId="74F8BA38" w14:textId="77777777" w:rsidR="009E40F5" w:rsidRPr="00011600" w:rsidRDefault="009E40F5" w:rsidP="009E40F5">
      <w:pPr>
        <w:pStyle w:val="NormalWeb"/>
        <w:spacing w:before="0" w:beforeAutospacing="0" w:after="0" w:afterAutospacing="0"/>
        <w:ind w:firstLine="709"/>
        <w:jc w:val="both"/>
        <w:rPr>
          <w:rFonts w:ascii="Verdana" w:eastAsiaTheme="minorHAnsi" w:hAnsi="Verdana" w:cs="Arial"/>
          <w:sz w:val="14"/>
          <w:szCs w:val="14"/>
          <w:lang w:val="es-ES" w:eastAsia="en-US"/>
        </w:rPr>
      </w:pPr>
      <w:proofErr w:type="gramStart"/>
      <w:r w:rsidRPr="00011600">
        <w:rPr>
          <w:rFonts w:ascii="Verdana" w:eastAsiaTheme="minorHAnsi" w:hAnsi="Verdana" w:cs="Arial"/>
          <w:sz w:val="14"/>
          <w:szCs w:val="14"/>
          <w:lang w:val="es-ES" w:eastAsia="en-US"/>
        </w:rPr>
        <w:t>»g</w:t>
      </w:r>
      <w:proofErr w:type="gramEnd"/>
      <w:r w:rsidRPr="00011600">
        <w:rPr>
          <w:rFonts w:ascii="Verdana" w:eastAsiaTheme="minorHAnsi" w:hAnsi="Verdana" w:cs="Arial"/>
          <w:sz w:val="14"/>
          <w:szCs w:val="14"/>
          <w:lang w:val="es-ES" w:eastAsia="en-US"/>
        </w:rPr>
        <w:t>) Quienes sean cónyuges o compañeros permanentes y quienes se encuentren dentro del segundo grado de consanguinidad o segundo de afinidad con cualquier otra persona que formalmente haya presentado propuesta para una misma licitación. </w:t>
      </w:r>
    </w:p>
    <w:p w14:paraId="050CDF9F" w14:textId="77777777" w:rsidR="009E40F5" w:rsidRPr="00011600" w:rsidRDefault="009E40F5" w:rsidP="009E40F5">
      <w:pPr>
        <w:pStyle w:val="NormalWeb"/>
        <w:spacing w:before="0" w:beforeAutospacing="0" w:after="0" w:afterAutospacing="0"/>
        <w:ind w:firstLine="709"/>
        <w:jc w:val="both"/>
        <w:rPr>
          <w:rFonts w:ascii="Verdana" w:eastAsiaTheme="minorHAnsi" w:hAnsi="Verdana" w:cs="Arial"/>
          <w:sz w:val="14"/>
          <w:szCs w:val="14"/>
          <w:lang w:val="es-ES" w:eastAsia="en-US"/>
        </w:rPr>
      </w:pPr>
      <w:r w:rsidRPr="00011600">
        <w:rPr>
          <w:rFonts w:ascii="Verdana" w:eastAsiaTheme="minorHAnsi" w:hAnsi="Verdana" w:cs="Arial"/>
          <w:sz w:val="14"/>
          <w:szCs w:val="14"/>
          <w:lang w:val="es-ES" w:eastAsia="en-US"/>
        </w:rPr>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w:t>
      </w:r>
    </w:p>
    <w:p w14:paraId="59EB922E" w14:textId="77777777" w:rsidR="009E40F5" w:rsidRPr="00011600" w:rsidRDefault="009E40F5" w:rsidP="009E40F5">
      <w:pPr>
        <w:pStyle w:val="NormalWeb"/>
        <w:spacing w:before="0" w:beforeAutospacing="0" w:after="0" w:afterAutospacing="0"/>
        <w:ind w:firstLine="709"/>
        <w:jc w:val="both"/>
        <w:rPr>
          <w:rFonts w:ascii="Verdana" w:eastAsiaTheme="minorHAnsi" w:hAnsi="Verdana" w:cs="Arial"/>
          <w:sz w:val="14"/>
          <w:szCs w:val="14"/>
          <w:lang w:val="es-ES" w:eastAsia="en-US"/>
        </w:rPr>
      </w:pPr>
      <w:proofErr w:type="gramStart"/>
      <w:r w:rsidRPr="00011600">
        <w:rPr>
          <w:rFonts w:ascii="Verdana" w:eastAsiaTheme="minorHAnsi" w:hAnsi="Verdana" w:cs="Arial"/>
          <w:sz w:val="14"/>
          <w:szCs w:val="14"/>
          <w:lang w:val="es-ES" w:eastAsia="en-US"/>
        </w:rPr>
        <w:t>»i</w:t>
      </w:r>
      <w:proofErr w:type="gramEnd"/>
      <w:r w:rsidRPr="00011600">
        <w:rPr>
          <w:rFonts w:ascii="Verdana" w:eastAsiaTheme="minorHAnsi" w:hAnsi="Verdana" w:cs="Arial"/>
          <w:sz w:val="14"/>
          <w:szCs w:val="14"/>
          <w:lang w:val="es-ES" w:eastAsia="en-US"/>
        </w:rPr>
        <w:t>) Los socios de sociedades de personas a las cuales se haya declarado la caducidad, así como las sociedades de personas de las que aquellos formen parte con posterioridad a dicha declaratoria. </w:t>
      </w:r>
    </w:p>
    <w:p w14:paraId="3D53CA20" w14:textId="77777777" w:rsidR="009E40F5" w:rsidRPr="00011600" w:rsidRDefault="009E40F5" w:rsidP="009E40F5">
      <w:pPr>
        <w:pStyle w:val="NormalWeb"/>
        <w:spacing w:before="0" w:beforeAutospacing="0" w:after="0" w:afterAutospacing="0"/>
        <w:ind w:firstLine="709"/>
        <w:jc w:val="both"/>
        <w:rPr>
          <w:rFonts w:ascii="Verdana" w:eastAsiaTheme="minorHAnsi" w:hAnsi="Verdana" w:cs="Arial"/>
          <w:sz w:val="14"/>
          <w:szCs w:val="14"/>
          <w:lang w:val="es-ES" w:eastAsia="en-US"/>
        </w:rPr>
      </w:pPr>
      <w:r w:rsidRPr="00011600">
        <w:rPr>
          <w:rFonts w:ascii="Verdana" w:eastAsiaTheme="minorHAnsi" w:hAnsi="Verdana" w:cs="Arial"/>
          <w:sz w:val="14"/>
          <w:szCs w:val="14"/>
          <w:lang w:val="es-ES" w:eastAsia="en-US"/>
        </w:rPr>
        <w:t>»Las inhabilidades a que se refieren los literales c), d) e i) se extenderán por un término de cinco (5) años contado a partir de la fecha de ejecutoria del acto que declaró la caducidad, o de la sentencia que impuso la pena, o del acto que dispuso la destitución; las previstas en los literales b) y e), se extenderán por un término de cinco (5) años contado a partir de la fecha de ocurrencia del hecho de la participación en la licitación, o de la de celebración del contrato, o de la de expiración del plazo para su firma. </w:t>
      </w:r>
    </w:p>
    <w:p w14:paraId="527DF82E" w14:textId="77777777" w:rsidR="009E40F5" w:rsidRPr="00011600" w:rsidRDefault="009E40F5" w:rsidP="009E40F5">
      <w:pPr>
        <w:pStyle w:val="NormalWeb"/>
        <w:spacing w:before="0" w:beforeAutospacing="0" w:after="0" w:afterAutospacing="0"/>
        <w:ind w:firstLine="709"/>
        <w:jc w:val="both"/>
        <w:rPr>
          <w:rFonts w:ascii="Verdana" w:eastAsiaTheme="minorHAnsi" w:hAnsi="Verdana" w:cs="Arial"/>
          <w:sz w:val="14"/>
          <w:szCs w:val="14"/>
          <w:lang w:val="es-ES" w:eastAsia="en-US"/>
        </w:rPr>
      </w:pPr>
      <w:r w:rsidRPr="00011600">
        <w:rPr>
          <w:rFonts w:ascii="Verdana" w:eastAsiaTheme="minorHAnsi" w:hAnsi="Verdana" w:cs="Arial"/>
          <w:sz w:val="14"/>
          <w:szCs w:val="14"/>
          <w:lang w:val="es-ES" w:eastAsia="en-US"/>
        </w:rPr>
        <w:t>»j)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w:t>
      </w:r>
    </w:p>
    <w:p w14:paraId="45A6CC49" w14:textId="77777777" w:rsidR="009E40F5" w:rsidRPr="00011600" w:rsidRDefault="009E40F5" w:rsidP="009E40F5">
      <w:pPr>
        <w:pStyle w:val="NormalWeb"/>
        <w:spacing w:before="0" w:beforeAutospacing="0" w:after="0" w:afterAutospacing="0"/>
        <w:ind w:firstLine="709"/>
        <w:jc w:val="both"/>
        <w:rPr>
          <w:rFonts w:ascii="Verdana" w:eastAsiaTheme="minorHAnsi" w:hAnsi="Verdana" w:cs="Arial"/>
          <w:sz w:val="14"/>
          <w:szCs w:val="14"/>
          <w:lang w:val="es-ES" w:eastAsia="en-US"/>
        </w:rPr>
      </w:pPr>
      <w:proofErr w:type="gramStart"/>
      <w:r w:rsidRPr="00011600">
        <w:rPr>
          <w:rFonts w:ascii="Verdana" w:eastAsiaTheme="minorHAnsi" w:hAnsi="Verdana" w:cs="Arial"/>
          <w:sz w:val="14"/>
          <w:szCs w:val="14"/>
          <w:lang w:val="es-ES" w:eastAsia="en-US"/>
        </w:rPr>
        <w:t>»Esta</w:t>
      </w:r>
      <w:proofErr w:type="gramEnd"/>
      <w:r w:rsidRPr="00011600">
        <w:rPr>
          <w:rFonts w:ascii="Verdana" w:eastAsiaTheme="minorHAnsi" w:hAnsi="Verdana" w:cs="Arial"/>
          <w:sz w:val="14"/>
          <w:szCs w:val="14"/>
          <w:lang w:val="es-ES" w:eastAsia="en-US"/>
        </w:rPr>
        <w:t xml:space="preserve"> inhabilidad procederá preventivamente aún en los casos en los que esté pendiente la decisión sobre la impugnación de la sentencia condenatoria. Asimismo, la inhabilidad se extenderá a las sociedades de las que hagan parte dichas personas en calidad de administradores, represen</w:t>
      </w:r>
      <w:r w:rsidRPr="00011600">
        <w:rPr>
          <w:rFonts w:ascii="Verdana" w:eastAsiaTheme="minorHAnsi" w:hAnsi="Verdana" w:cs="Arial"/>
          <w:sz w:val="14"/>
          <w:szCs w:val="14"/>
          <w:lang w:val="es-ES" w:eastAsia="en-US"/>
        </w:rPr>
        <w:softHyphen/>
        <w:t xml:space="preserve">tantes legales, miembros de junta directiva o de socios controlantes, a sus matrices y a sus subordinadas, a los grupos empresariales a los que estas pertenezcan cuando la conducta delictiva haya sido parte de una política del grupo y a las sucursales de sociedades extranjeras. </w:t>
      </w:r>
    </w:p>
    <w:p w14:paraId="2AF7E29D" w14:textId="77777777" w:rsidR="009E40F5" w:rsidRPr="00011600" w:rsidRDefault="009E40F5" w:rsidP="009E40F5">
      <w:pPr>
        <w:pStyle w:val="NormalWeb"/>
        <w:spacing w:before="0" w:beforeAutospacing="0" w:after="0" w:afterAutospacing="0"/>
        <w:ind w:firstLine="709"/>
        <w:jc w:val="both"/>
        <w:rPr>
          <w:rFonts w:ascii="Verdana" w:eastAsiaTheme="minorHAnsi" w:hAnsi="Verdana" w:cs="Arial"/>
          <w:sz w:val="14"/>
          <w:szCs w:val="14"/>
          <w:lang w:val="es-ES" w:eastAsia="en-US"/>
        </w:rPr>
      </w:pPr>
      <w:r w:rsidRPr="00011600">
        <w:rPr>
          <w:rFonts w:ascii="Verdana" w:eastAsiaTheme="minorHAnsi" w:hAnsi="Verdana" w:cs="Arial"/>
          <w:sz w:val="14"/>
          <w:szCs w:val="14"/>
          <w:lang w:val="es-ES" w:eastAsia="en-US"/>
        </w:rPr>
        <w:t>También se considerarán inhabilitadas para contratar, las personas jurídicas sobre las cuales se haya ordenado la suspensión de la perso</w:t>
      </w:r>
      <w:r w:rsidRPr="00011600">
        <w:rPr>
          <w:rFonts w:ascii="Verdana" w:eastAsiaTheme="minorHAnsi" w:hAnsi="Verdana" w:cs="Arial"/>
          <w:sz w:val="14"/>
          <w:szCs w:val="14"/>
          <w:lang w:val="es-ES" w:eastAsia="en-US"/>
        </w:rPr>
        <w:softHyphen/>
        <w:t>nería jurídica en los términos de ley, o cuyos representantes legales, ad</w:t>
      </w:r>
      <w:r w:rsidRPr="00011600">
        <w:rPr>
          <w:rFonts w:ascii="Verdana" w:eastAsiaTheme="minorHAnsi" w:hAnsi="Verdana" w:cs="Arial"/>
          <w:sz w:val="14"/>
          <w:szCs w:val="14"/>
          <w:lang w:val="es-ES" w:eastAsia="en-US"/>
        </w:rPr>
        <w:softHyphen/>
        <w:t>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  </w:t>
      </w:r>
    </w:p>
    <w:p w14:paraId="02BD6F90" w14:textId="77777777" w:rsidR="009E40F5" w:rsidRPr="00011600" w:rsidRDefault="009E40F5" w:rsidP="009E40F5">
      <w:pPr>
        <w:pStyle w:val="NormalWeb"/>
        <w:spacing w:before="0" w:beforeAutospacing="0" w:after="0" w:afterAutospacing="0"/>
        <w:ind w:firstLine="709"/>
        <w:jc w:val="both"/>
        <w:rPr>
          <w:rFonts w:ascii="Verdana" w:eastAsiaTheme="minorHAnsi" w:hAnsi="Verdana" w:cs="Arial"/>
          <w:sz w:val="14"/>
          <w:szCs w:val="14"/>
          <w:lang w:val="es-ES" w:eastAsia="en-US"/>
        </w:rPr>
      </w:pPr>
      <w:r w:rsidRPr="00011600">
        <w:rPr>
          <w:rFonts w:ascii="Verdana" w:eastAsiaTheme="minorHAnsi" w:hAnsi="Verdana" w:cs="Arial"/>
          <w:sz w:val="14"/>
          <w:szCs w:val="14"/>
          <w:lang w:val="es-ES" w:eastAsia="en-US"/>
        </w:rPr>
        <w:t>La inhabilidad prevista en este literal se extenderá de forma perma</w:t>
      </w:r>
      <w:r w:rsidRPr="00011600">
        <w:rPr>
          <w:rFonts w:ascii="Verdana" w:eastAsiaTheme="minorHAnsi" w:hAnsi="Verdana" w:cs="Arial"/>
          <w:sz w:val="14"/>
          <w:szCs w:val="14"/>
          <w:lang w:val="es-ES" w:eastAsia="en-US"/>
        </w:rPr>
        <w:softHyphen/>
        <w:t>nente a las sociedades de las que hagan parte dichas personas en las calidades presentadas en los incisos anteriores, y se aplicará de igual forma a las personas naturales que hayan sido declaradas responsables judicialmente por la comisión de delitos mencionados en este literal. </w:t>
      </w:r>
    </w:p>
    <w:p w14:paraId="386DA893" w14:textId="77777777" w:rsidR="009E40F5" w:rsidRPr="00011600" w:rsidRDefault="009E40F5" w:rsidP="009E40F5">
      <w:pPr>
        <w:pStyle w:val="NormalWeb"/>
        <w:spacing w:before="0" w:beforeAutospacing="0" w:after="0" w:afterAutospacing="0"/>
        <w:ind w:firstLine="709"/>
        <w:jc w:val="both"/>
        <w:rPr>
          <w:rFonts w:ascii="Verdana" w:hAnsi="Verdana" w:cs="Arial"/>
          <w:sz w:val="14"/>
          <w:szCs w:val="14"/>
        </w:rPr>
      </w:pPr>
      <w:r w:rsidRPr="00011600">
        <w:rPr>
          <w:rFonts w:ascii="Verdana" w:hAnsi="Verdana" w:cs="Arial"/>
          <w:sz w:val="14"/>
          <w:szCs w:val="14"/>
        </w:rPr>
        <w:t>k)  Las personas naturales o jurídicas que hayan financiado campañas políticas a la Presidencia de la República, a las gobernaciones, a las alcaldías o al Congreso de la República, con aportes superiores al dos por ciento (2.0%)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w:t>
      </w:r>
    </w:p>
    <w:p w14:paraId="61E8F142" w14:textId="77777777" w:rsidR="009E40F5" w:rsidRPr="00011600" w:rsidRDefault="009E40F5" w:rsidP="009E40F5">
      <w:pPr>
        <w:pStyle w:val="NormalWeb"/>
        <w:spacing w:before="0" w:beforeAutospacing="0" w:after="0" w:afterAutospacing="0"/>
        <w:ind w:firstLine="709"/>
        <w:jc w:val="both"/>
        <w:rPr>
          <w:rFonts w:ascii="Verdana" w:hAnsi="Verdana" w:cs="Arial"/>
          <w:sz w:val="14"/>
          <w:szCs w:val="14"/>
        </w:rPr>
      </w:pPr>
      <w:r w:rsidRPr="00011600">
        <w:rPr>
          <w:rFonts w:ascii="Verdana" w:hAnsi="Verdana" w:cs="Arial"/>
          <w:sz w:val="14"/>
          <w:szCs w:val="14"/>
        </w:rPr>
        <w:t>La inhabilidad se extenderá por todo el período para el cual el candidato fue elegido. Esta causal también operará para las personas que se encuentren dentro del segundo grado de consanguinidad, segundo de afinidad, o primero civil de la persona que ha financiado la campaña política.</w:t>
      </w:r>
    </w:p>
    <w:p w14:paraId="407C6A5C" w14:textId="77777777" w:rsidR="009E40F5" w:rsidRPr="00011600" w:rsidRDefault="009E40F5" w:rsidP="009E40F5">
      <w:pPr>
        <w:pStyle w:val="NormalWeb"/>
        <w:spacing w:before="0" w:beforeAutospacing="0" w:after="0" w:afterAutospacing="0"/>
        <w:ind w:firstLine="709"/>
        <w:jc w:val="both"/>
        <w:rPr>
          <w:rFonts w:ascii="Verdana" w:hAnsi="Verdana" w:cs="Arial"/>
          <w:sz w:val="14"/>
          <w:szCs w:val="14"/>
        </w:rPr>
      </w:pPr>
      <w:r w:rsidRPr="00011600">
        <w:rPr>
          <w:rFonts w:ascii="Verdana" w:hAnsi="Verdana" w:cs="Arial"/>
          <w:sz w:val="14"/>
          <w:szCs w:val="14"/>
        </w:rPr>
        <w:t>Esta inhabilidad comprenderá también a las personas jurídicas en las cuales el representante legal, los miembros de junta directiva o cualquiera de sus socios controlantes hayan financiado directamente o por interpuesta persona campañas políticas a la Presidencia de la República, a las gobernaciones, las alcaldías o al Congreso de la República.</w:t>
      </w:r>
    </w:p>
    <w:p w14:paraId="00092F28" w14:textId="77777777" w:rsidR="009E40F5" w:rsidRPr="00011600" w:rsidRDefault="009E40F5" w:rsidP="009E40F5">
      <w:pPr>
        <w:pStyle w:val="NormalWeb"/>
        <w:spacing w:before="0" w:beforeAutospacing="0" w:after="0" w:afterAutospacing="0"/>
        <w:ind w:firstLine="709"/>
        <w:jc w:val="both"/>
        <w:rPr>
          <w:rFonts w:ascii="Verdana" w:hAnsi="Verdana" w:cs="Arial"/>
          <w:sz w:val="14"/>
          <w:szCs w:val="14"/>
        </w:rPr>
      </w:pPr>
      <w:r w:rsidRPr="00011600">
        <w:rPr>
          <w:rFonts w:ascii="Verdana" w:hAnsi="Verdana" w:cs="Arial"/>
          <w:sz w:val="14"/>
          <w:szCs w:val="14"/>
        </w:rPr>
        <w:t>La inhabilidad contemplada en esta norma no se aplicará respecto de los contratos de prestación de servicios profesionales.</w:t>
      </w:r>
    </w:p>
    <w:p w14:paraId="7B62BBF0" w14:textId="77777777" w:rsidR="009E40F5" w:rsidRPr="00011600" w:rsidRDefault="009E40F5" w:rsidP="009E40F5">
      <w:pPr>
        <w:pStyle w:val="NormalWeb"/>
        <w:spacing w:before="0" w:beforeAutospacing="0" w:after="0" w:afterAutospacing="0"/>
        <w:jc w:val="both"/>
        <w:rPr>
          <w:rFonts w:ascii="Verdana" w:hAnsi="Verdana" w:cs="Arial"/>
          <w:sz w:val="14"/>
          <w:szCs w:val="14"/>
        </w:rPr>
      </w:pPr>
      <w:r w:rsidRPr="00011600">
        <w:rPr>
          <w:rFonts w:ascii="Verdana" w:hAnsi="Verdana" w:cs="Arial"/>
          <w:sz w:val="14"/>
          <w:szCs w:val="14"/>
        </w:rPr>
        <w:t>k) &lt;sic&gt; &lt;Literal CONDICIONALMENTE exequible. Literal adicionado por el parágrafo 2o. del artículo </w:t>
      </w:r>
      <w:hyperlink r:id="rId1" w:anchor="84" w:history="1">
        <w:r w:rsidRPr="00011600">
          <w:rPr>
            <w:rStyle w:val="Hipervnculo"/>
            <w:rFonts w:ascii="Verdana" w:hAnsi="Verdana" w:cs="Arial"/>
            <w:color w:val="000000" w:themeColor="text1"/>
            <w:sz w:val="14"/>
            <w:szCs w:val="14"/>
            <w:u w:val="none"/>
          </w:rPr>
          <w:t>84</w:t>
        </w:r>
      </w:hyperlink>
      <w:r w:rsidRPr="00011600">
        <w:rPr>
          <w:rFonts w:ascii="Verdana" w:hAnsi="Verdana" w:cs="Arial"/>
          <w:color w:val="000000" w:themeColor="text1"/>
          <w:sz w:val="14"/>
          <w:szCs w:val="14"/>
        </w:rPr>
        <w:t> </w:t>
      </w:r>
      <w:r w:rsidRPr="00011600">
        <w:rPr>
          <w:rFonts w:ascii="Verdana" w:hAnsi="Verdana" w:cs="Arial"/>
          <w:sz w:val="14"/>
          <w:szCs w:val="14"/>
        </w:rPr>
        <w:t>de la Ley 1474 de 2011. El nuevo texto es el siguiente:&gt;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w:t>
      </w:r>
    </w:p>
    <w:p w14:paraId="15D0DF0D" w14:textId="77777777" w:rsidR="009E40F5" w:rsidRPr="00011600" w:rsidRDefault="009E40F5" w:rsidP="009E40F5">
      <w:pPr>
        <w:pStyle w:val="NormalWeb"/>
        <w:spacing w:before="0" w:beforeAutospacing="0" w:after="0" w:afterAutospacing="0"/>
        <w:ind w:firstLine="709"/>
        <w:jc w:val="both"/>
        <w:rPr>
          <w:rFonts w:ascii="Verdana" w:hAnsi="Verdana" w:cs="Arial"/>
          <w:sz w:val="14"/>
          <w:szCs w:val="14"/>
        </w:rPr>
      </w:pPr>
      <w:r w:rsidRPr="00011600">
        <w:rPr>
          <w:rFonts w:ascii="Verdana" w:hAnsi="Verdana" w:cs="Arial"/>
          <w:sz w:val="14"/>
          <w:szCs w:val="14"/>
        </w:rPr>
        <w:t>Esta inhabilidad se extenderá por un término de cinco (5) años, contados a partir de la ejecutoria del acto administrativo que así lo declare, previa la actuación administrativa correspondiente.</w:t>
      </w:r>
    </w:p>
    <w:p w14:paraId="0909B664" w14:textId="77777777" w:rsidR="009E40F5" w:rsidRPr="00011600" w:rsidRDefault="009E40F5" w:rsidP="009E40F5">
      <w:pPr>
        <w:pStyle w:val="NormalWeb"/>
        <w:spacing w:before="0" w:beforeAutospacing="0" w:after="0" w:afterAutospacing="0"/>
        <w:ind w:firstLine="709"/>
        <w:jc w:val="both"/>
        <w:rPr>
          <w:rFonts w:ascii="Verdana" w:eastAsiaTheme="minorHAnsi" w:hAnsi="Verdana" w:cs="Arial"/>
          <w:sz w:val="14"/>
          <w:szCs w:val="14"/>
          <w:lang w:val="es-ES" w:eastAsia="en-US"/>
        </w:rPr>
      </w:pPr>
      <w:proofErr w:type="gramStart"/>
      <w:r w:rsidRPr="00011600">
        <w:rPr>
          <w:rFonts w:ascii="Verdana" w:eastAsiaTheme="minorHAnsi" w:hAnsi="Verdana" w:cs="Arial"/>
          <w:sz w:val="14"/>
          <w:szCs w:val="14"/>
          <w:lang w:val="es-ES" w:eastAsia="en-US"/>
        </w:rPr>
        <w:t>»2o.</w:t>
      </w:r>
      <w:proofErr w:type="gramEnd"/>
      <w:r w:rsidRPr="00011600">
        <w:rPr>
          <w:rFonts w:ascii="Verdana" w:eastAsiaTheme="minorHAnsi" w:hAnsi="Verdana" w:cs="Arial"/>
          <w:sz w:val="14"/>
          <w:szCs w:val="14"/>
          <w:lang w:val="es-ES" w:eastAsia="en-US"/>
        </w:rPr>
        <w:t xml:space="preserve"> Tampoco podrán participar en licitaciones ni celebrar contratos estatales con la entidad respectiva: </w:t>
      </w:r>
    </w:p>
    <w:p w14:paraId="54A6C470" w14:textId="77777777" w:rsidR="009E40F5" w:rsidRPr="00011600" w:rsidRDefault="009E40F5" w:rsidP="009E40F5">
      <w:pPr>
        <w:pStyle w:val="NormalWeb"/>
        <w:spacing w:before="0" w:beforeAutospacing="0" w:after="0" w:afterAutospacing="0"/>
        <w:ind w:firstLine="709"/>
        <w:jc w:val="both"/>
        <w:rPr>
          <w:rFonts w:ascii="Verdana" w:eastAsiaTheme="minorHAnsi" w:hAnsi="Verdana" w:cs="Arial"/>
          <w:sz w:val="14"/>
          <w:szCs w:val="14"/>
          <w:lang w:val="es-ES" w:eastAsia="en-US"/>
        </w:rPr>
      </w:pPr>
      <w:proofErr w:type="gramStart"/>
      <w:r w:rsidRPr="00011600">
        <w:rPr>
          <w:rFonts w:ascii="Verdana" w:eastAsiaTheme="minorHAnsi" w:hAnsi="Verdana" w:cs="Arial"/>
          <w:sz w:val="14"/>
          <w:szCs w:val="14"/>
          <w:lang w:val="es-ES" w:eastAsia="en-US"/>
        </w:rPr>
        <w:t>»a</w:t>
      </w:r>
      <w:proofErr w:type="gramEnd"/>
      <w:r w:rsidRPr="00011600">
        <w:rPr>
          <w:rFonts w:ascii="Verdana" w:eastAsiaTheme="minorHAnsi" w:hAnsi="Verdana" w:cs="Arial"/>
          <w:sz w:val="14"/>
          <w:szCs w:val="14"/>
          <w:lang w:val="es-ES" w:eastAsia="en-US"/>
        </w:rPr>
        <w:t>) Quienes fueron miembros de la junta o consejo directivo o servidores públicos de la entidad contratante. Esta incompatibilidad solo comprende a quienes desempeñaron funciones en los niveles directivo, asesor o ejecutivo y se extiende por el término de un (1) año, contado a partir de la fecha del retiro. </w:t>
      </w:r>
    </w:p>
    <w:p w14:paraId="1CCAD9AD" w14:textId="77777777" w:rsidR="009E40F5" w:rsidRPr="00011600" w:rsidRDefault="009E40F5" w:rsidP="009E40F5">
      <w:pPr>
        <w:pStyle w:val="NormalWeb"/>
        <w:spacing w:before="0" w:beforeAutospacing="0" w:after="0" w:afterAutospacing="0"/>
        <w:ind w:firstLine="709"/>
        <w:jc w:val="both"/>
        <w:rPr>
          <w:rFonts w:ascii="Verdana" w:eastAsiaTheme="minorHAnsi" w:hAnsi="Verdana" w:cs="Arial"/>
          <w:sz w:val="14"/>
          <w:szCs w:val="14"/>
          <w:lang w:val="es-ES" w:eastAsia="en-US"/>
        </w:rPr>
      </w:pPr>
      <w:proofErr w:type="gramStart"/>
      <w:r w:rsidRPr="00011600">
        <w:rPr>
          <w:rFonts w:ascii="Verdana" w:eastAsiaTheme="minorHAnsi" w:hAnsi="Verdana" w:cs="Arial"/>
          <w:sz w:val="14"/>
          <w:szCs w:val="14"/>
          <w:lang w:val="es-ES" w:eastAsia="en-US"/>
        </w:rPr>
        <w:t>»b</w:t>
      </w:r>
      <w:proofErr w:type="gramEnd"/>
      <w:r w:rsidRPr="00011600">
        <w:rPr>
          <w:rFonts w:ascii="Verdana" w:eastAsiaTheme="minorHAnsi" w:hAnsi="Verdana" w:cs="Arial"/>
          <w:sz w:val="14"/>
          <w:szCs w:val="14"/>
          <w:lang w:val="es-ES" w:eastAsia="en-US"/>
        </w:rPr>
        <w:t>)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p>
    <w:p w14:paraId="2D0D8549" w14:textId="77777777" w:rsidR="009E40F5" w:rsidRPr="00011600" w:rsidRDefault="009E40F5" w:rsidP="009E40F5">
      <w:pPr>
        <w:pStyle w:val="NormalWeb"/>
        <w:spacing w:before="0" w:beforeAutospacing="0" w:after="0" w:afterAutospacing="0"/>
        <w:ind w:firstLine="709"/>
        <w:jc w:val="both"/>
        <w:rPr>
          <w:rFonts w:ascii="Verdana" w:eastAsiaTheme="minorHAnsi" w:hAnsi="Verdana" w:cs="Arial"/>
          <w:sz w:val="14"/>
          <w:szCs w:val="14"/>
          <w:lang w:val="es-ES" w:eastAsia="en-US"/>
        </w:rPr>
      </w:pPr>
      <w:r w:rsidRPr="00011600">
        <w:rPr>
          <w:rFonts w:ascii="Verdana" w:eastAsiaTheme="minorHAnsi" w:hAnsi="Verdana" w:cs="Arial"/>
          <w:sz w:val="14"/>
          <w:szCs w:val="14"/>
          <w:lang w:val="es-ES" w:eastAsia="en-US"/>
        </w:rPr>
        <w:t>»c) El cónyuge, compañero o compañera permanente del servidor público en los niveles directivo, asesor, ejecutivo, o de un miembro de la junta o consejo directivo, o de quien ejerza funciones de control interno o de control fiscal. </w:t>
      </w:r>
    </w:p>
    <w:p w14:paraId="7ABF0746" w14:textId="77777777" w:rsidR="009E40F5" w:rsidRPr="00011600" w:rsidRDefault="009E40F5" w:rsidP="009E40F5">
      <w:pPr>
        <w:pStyle w:val="NormalWeb"/>
        <w:spacing w:before="0" w:beforeAutospacing="0" w:after="0" w:afterAutospacing="0"/>
        <w:ind w:firstLine="709"/>
        <w:jc w:val="both"/>
        <w:rPr>
          <w:rFonts w:ascii="Verdana" w:eastAsiaTheme="minorHAnsi" w:hAnsi="Verdana" w:cs="Arial"/>
          <w:sz w:val="14"/>
          <w:szCs w:val="14"/>
          <w:lang w:val="es-ES" w:eastAsia="en-US"/>
        </w:rPr>
      </w:pPr>
      <w:r w:rsidRPr="00011600">
        <w:rPr>
          <w:rFonts w:ascii="Verdana" w:eastAsiaTheme="minorHAnsi" w:hAnsi="Verdana" w:cs="Arial"/>
          <w:sz w:val="14"/>
          <w:szCs w:val="14"/>
          <w:lang w:val="es-ES" w:eastAsia="en-US"/>
        </w:rPr>
        <w:t>»d)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w:t>
      </w:r>
    </w:p>
    <w:p w14:paraId="0D870CC2" w14:textId="77777777" w:rsidR="009E40F5" w:rsidRPr="00011600" w:rsidRDefault="009E40F5" w:rsidP="009E40F5">
      <w:pPr>
        <w:pStyle w:val="NormalWeb"/>
        <w:spacing w:before="0" w:beforeAutospacing="0" w:after="0" w:afterAutospacing="0"/>
        <w:ind w:firstLine="709"/>
        <w:jc w:val="both"/>
        <w:rPr>
          <w:rFonts w:ascii="Verdana" w:eastAsiaTheme="minorHAnsi" w:hAnsi="Verdana" w:cs="Arial"/>
          <w:sz w:val="14"/>
          <w:szCs w:val="14"/>
          <w:lang w:val="es-ES" w:eastAsia="en-US"/>
        </w:rPr>
      </w:pPr>
      <w:proofErr w:type="gramStart"/>
      <w:r w:rsidRPr="00011600">
        <w:rPr>
          <w:rFonts w:ascii="Verdana" w:eastAsiaTheme="minorHAnsi" w:hAnsi="Verdana" w:cs="Arial"/>
          <w:sz w:val="14"/>
          <w:szCs w:val="14"/>
          <w:lang w:val="es-ES" w:eastAsia="en-US"/>
        </w:rPr>
        <w:t>»e</w:t>
      </w:r>
      <w:proofErr w:type="gramEnd"/>
      <w:r w:rsidRPr="00011600">
        <w:rPr>
          <w:rFonts w:ascii="Verdana" w:eastAsiaTheme="minorHAnsi" w:hAnsi="Verdana" w:cs="Arial"/>
          <w:sz w:val="14"/>
          <w:szCs w:val="14"/>
          <w:lang w:val="es-ES" w:eastAsia="en-US"/>
        </w:rPr>
        <w:t>) Los miembros de las juntas o consejos directivos. Esta incompatibilidad sólo se predica respecto de la entidad a la cual prestan sus servicios y de las del sector administrativo al que la misma esté adscrita o vinculada. </w:t>
      </w:r>
    </w:p>
    <w:p w14:paraId="11011990" w14:textId="77777777" w:rsidR="009E40F5" w:rsidRPr="00011600" w:rsidRDefault="009E40F5" w:rsidP="009E40F5">
      <w:pPr>
        <w:pStyle w:val="NormalWeb"/>
        <w:spacing w:before="0" w:beforeAutospacing="0" w:after="0" w:afterAutospacing="0"/>
        <w:ind w:firstLine="709"/>
        <w:jc w:val="both"/>
        <w:rPr>
          <w:rFonts w:ascii="Verdana" w:eastAsiaTheme="minorHAnsi" w:hAnsi="Verdana" w:cs="Arial"/>
          <w:sz w:val="14"/>
          <w:szCs w:val="14"/>
          <w:lang w:val="es-ES" w:eastAsia="en-US"/>
        </w:rPr>
      </w:pPr>
      <w:proofErr w:type="gramStart"/>
      <w:r w:rsidRPr="00011600">
        <w:rPr>
          <w:rFonts w:ascii="Verdana" w:eastAsiaTheme="minorHAnsi" w:hAnsi="Verdana" w:cs="Arial"/>
          <w:sz w:val="14"/>
          <w:szCs w:val="14"/>
          <w:lang w:val="es-ES" w:eastAsia="en-US"/>
        </w:rPr>
        <w:t>»f</w:t>
      </w:r>
      <w:proofErr w:type="gramEnd"/>
      <w:r w:rsidRPr="00011600">
        <w:rPr>
          <w:rFonts w:ascii="Verdana" w:eastAsiaTheme="minorHAnsi" w:hAnsi="Verdana" w:cs="Arial"/>
          <w:sz w:val="14"/>
          <w:szCs w:val="14"/>
          <w:lang w:val="es-ES" w:eastAsia="en-US"/>
        </w:rPr>
        <w:t xml:space="preserve">)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Esta incompatibilidad también operará para las personas que se encuentren dentro del primer grado de consanguinidad, primero de afinidad, o primero civil del </w:t>
      </w:r>
      <w:proofErr w:type="gramStart"/>
      <w:r w:rsidRPr="00011600">
        <w:rPr>
          <w:rFonts w:ascii="Verdana" w:eastAsiaTheme="minorHAnsi" w:hAnsi="Verdana" w:cs="Arial"/>
          <w:sz w:val="14"/>
          <w:szCs w:val="14"/>
          <w:lang w:val="es-ES" w:eastAsia="en-US"/>
        </w:rPr>
        <w:t>ex empleado</w:t>
      </w:r>
      <w:proofErr w:type="gramEnd"/>
      <w:r w:rsidRPr="00011600">
        <w:rPr>
          <w:rFonts w:ascii="Verdana" w:eastAsiaTheme="minorHAnsi" w:hAnsi="Verdana" w:cs="Arial"/>
          <w:sz w:val="14"/>
          <w:szCs w:val="14"/>
          <w:lang w:val="es-ES" w:eastAsia="en-US"/>
        </w:rPr>
        <w:t xml:space="preserve"> público.</w:t>
      </w:r>
    </w:p>
    <w:p w14:paraId="723E6DCB" w14:textId="77777777" w:rsidR="009E40F5" w:rsidRPr="00AB29F3" w:rsidRDefault="009E40F5" w:rsidP="009E40F5">
      <w:pPr>
        <w:pStyle w:val="NormalWeb"/>
        <w:spacing w:before="0" w:beforeAutospacing="0" w:after="0" w:afterAutospacing="0"/>
        <w:ind w:firstLine="709"/>
        <w:jc w:val="both"/>
        <w:rPr>
          <w:rFonts w:ascii="Arial" w:eastAsiaTheme="minorHAnsi" w:hAnsi="Arial" w:cs="Arial"/>
          <w:sz w:val="19"/>
          <w:szCs w:val="19"/>
          <w:lang w:val="es-ES" w:eastAsia="en-US"/>
        </w:rPr>
      </w:pPr>
      <w:r w:rsidRPr="00011600">
        <w:rPr>
          <w:rFonts w:ascii="Arial" w:eastAsiaTheme="minorHAnsi" w:hAnsi="Arial" w:cs="Arial"/>
          <w:sz w:val="14"/>
          <w:szCs w:val="14"/>
          <w:lang w:val="es-ES" w:eastAsia="en-US"/>
        </w:rPr>
        <w:t>[…]».</w:t>
      </w:r>
      <w:r w:rsidRPr="00AB29F3">
        <w:rPr>
          <w:rFonts w:ascii="Arial" w:eastAsiaTheme="minorHAnsi" w:hAnsi="Arial" w:cs="Arial"/>
          <w:sz w:val="19"/>
          <w:szCs w:val="19"/>
          <w:lang w:val="es-ES" w:eastAsia="en-US"/>
        </w:rPr>
        <w:t xml:space="preserve"> </w:t>
      </w:r>
    </w:p>
  </w:footnote>
  <w:footnote w:id="9">
    <w:p w14:paraId="600705B2" w14:textId="77777777" w:rsidR="009E40F5" w:rsidRPr="00011600" w:rsidRDefault="009E40F5" w:rsidP="009E40F5">
      <w:pPr>
        <w:pStyle w:val="Textonotapie"/>
        <w:ind w:firstLine="709"/>
        <w:jc w:val="both"/>
        <w:rPr>
          <w:rFonts w:ascii="Verdana" w:hAnsi="Verdana" w:cs="Arial"/>
          <w:sz w:val="14"/>
          <w:szCs w:val="14"/>
          <w:lang w:val="es-ES"/>
        </w:rPr>
      </w:pPr>
      <w:r w:rsidRPr="00011600">
        <w:rPr>
          <w:rStyle w:val="Refdenotaalpie"/>
          <w:rFonts w:ascii="Verdana" w:hAnsi="Verdana" w:cs="Arial"/>
          <w:sz w:val="14"/>
          <w:szCs w:val="14"/>
        </w:rPr>
        <w:footnoteRef/>
      </w:r>
      <w:r w:rsidRPr="00011600">
        <w:rPr>
          <w:rFonts w:ascii="Verdana" w:hAnsi="Verdana" w:cs="Arial"/>
          <w:sz w:val="14"/>
          <w:szCs w:val="14"/>
        </w:rPr>
        <w:t xml:space="preserve"> DÁVILA VINUEZA, Luis Guillermo. </w:t>
      </w:r>
      <w:r w:rsidRPr="00011600">
        <w:rPr>
          <w:rFonts w:ascii="Verdana" w:hAnsi="Verdana" w:cs="Arial"/>
          <w:sz w:val="14"/>
          <w:szCs w:val="14"/>
          <w:lang w:val="es-ES"/>
        </w:rPr>
        <w:t xml:space="preserve">Régimen Jurídico De La Contratación Estatal. Recuperado de https://xperta.legis.co, Capítulo VI Inhabilidades e Incompatibilidades, Sección 2 Interpretación Restrictiva. </w:t>
      </w:r>
    </w:p>
    <w:p w14:paraId="08726EBC" w14:textId="77777777" w:rsidR="009E40F5" w:rsidRPr="00011600" w:rsidRDefault="009E40F5" w:rsidP="009E40F5">
      <w:pPr>
        <w:pStyle w:val="Textonotapie"/>
        <w:ind w:firstLine="709"/>
        <w:jc w:val="both"/>
        <w:rPr>
          <w:rFonts w:ascii="Verdana" w:hAnsi="Verdana" w:cs="Arial"/>
          <w:sz w:val="14"/>
          <w:szCs w:val="14"/>
          <w:lang w:val="es-ES"/>
        </w:rPr>
      </w:pPr>
    </w:p>
  </w:footnote>
  <w:footnote w:id="10">
    <w:p w14:paraId="290ED972" w14:textId="77777777" w:rsidR="009E40F5" w:rsidRPr="00011600" w:rsidRDefault="009E40F5" w:rsidP="009E40F5">
      <w:pPr>
        <w:pStyle w:val="Textonotapie"/>
        <w:ind w:firstLine="709"/>
        <w:jc w:val="both"/>
        <w:rPr>
          <w:rFonts w:ascii="Verdana" w:hAnsi="Verdana" w:cs="Arial"/>
          <w:sz w:val="14"/>
          <w:szCs w:val="14"/>
          <w:lang w:val="es-ES"/>
        </w:rPr>
      </w:pPr>
      <w:r w:rsidRPr="00011600">
        <w:rPr>
          <w:rStyle w:val="Refdenotaalpie"/>
          <w:rFonts w:ascii="Verdana" w:hAnsi="Verdana" w:cs="Arial"/>
          <w:sz w:val="14"/>
          <w:szCs w:val="14"/>
        </w:rPr>
        <w:footnoteRef/>
      </w:r>
      <w:r w:rsidRPr="00011600">
        <w:rPr>
          <w:rFonts w:ascii="Verdana" w:hAnsi="Verdana" w:cs="Arial"/>
          <w:sz w:val="14"/>
          <w:szCs w:val="14"/>
        </w:rPr>
        <w:t xml:space="preserve"> </w:t>
      </w:r>
      <w:r>
        <w:rPr>
          <w:rFonts w:ascii="Verdana" w:hAnsi="Verdana" w:cs="Arial"/>
          <w:sz w:val="14"/>
          <w:szCs w:val="14"/>
          <w:lang w:val="es-ES"/>
        </w:rPr>
        <w:t>Corte Constitucional</w:t>
      </w:r>
      <w:r w:rsidRPr="00011600">
        <w:rPr>
          <w:rFonts w:ascii="Verdana" w:hAnsi="Verdana" w:cs="Arial"/>
          <w:sz w:val="14"/>
          <w:szCs w:val="14"/>
          <w:lang w:val="es-ES"/>
        </w:rPr>
        <w:t xml:space="preserve">. Sentencia T-1039 de 2006. </w:t>
      </w:r>
      <w:r w:rsidRPr="00011600">
        <w:rPr>
          <w:rFonts w:ascii="Verdana" w:hAnsi="Verdana" w:cs="Arial"/>
          <w:sz w:val="14"/>
          <w:szCs w:val="14"/>
          <w:lang w:val="it-IT"/>
        </w:rPr>
        <w:t xml:space="preserve">M.P. Humberto Sierra Porto. </w:t>
      </w:r>
      <w:r w:rsidRPr="00011600">
        <w:rPr>
          <w:rFonts w:ascii="Verdana" w:hAnsi="Verdana" w:cs="Arial"/>
          <w:sz w:val="14"/>
          <w:szCs w:val="14"/>
          <w:lang w:val="es-ES"/>
        </w:rPr>
        <w:t xml:space="preserve">La Corte Constitucional ha mantenido este criterio en las sentencias: C-903 de 2008. M.P. Jaime Araujo Rentería; C-101 de 2018. M.P. Gloria Stella Ortiz Delgado; entre otras. </w:t>
      </w:r>
    </w:p>
    <w:p w14:paraId="39B8B844" w14:textId="77777777" w:rsidR="009E40F5" w:rsidRPr="00011600" w:rsidRDefault="009E40F5" w:rsidP="009E40F5">
      <w:pPr>
        <w:pStyle w:val="Textonotapie"/>
        <w:ind w:firstLine="709"/>
        <w:jc w:val="both"/>
        <w:rPr>
          <w:rFonts w:ascii="Verdana" w:hAnsi="Verdana" w:cs="Arial"/>
          <w:sz w:val="14"/>
          <w:szCs w:val="14"/>
          <w:lang w:val="es-ES"/>
        </w:rPr>
      </w:pPr>
    </w:p>
  </w:footnote>
  <w:footnote w:id="11">
    <w:p w14:paraId="7E81D7F9" w14:textId="77777777" w:rsidR="009E40F5" w:rsidRPr="00011600" w:rsidRDefault="009E40F5" w:rsidP="009E40F5">
      <w:pPr>
        <w:pStyle w:val="Textonotapie"/>
        <w:ind w:firstLine="709"/>
        <w:jc w:val="both"/>
        <w:rPr>
          <w:rFonts w:ascii="Verdana" w:hAnsi="Verdana" w:cs="Arial"/>
          <w:sz w:val="14"/>
          <w:szCs w:val="14"/>
          <w:lang w:val="es-ES"/>
        </w:rPr>
      </w:pPr>
      <w:r w:rsidRPr="00011600">
        <w:rPr>
          <w:rStyle w:val="Refdenotaalpie"/>
          <w:rFonts w:ascii="Verdana" w:hAnsi="Verdana" w:cs="Arial"/>
          <w:sz w:val="14"/>
          <w:szCs w:val="14"/>
        </w:rPr>
        <w:footnoteRef/>
      </w:r>
      <w:r w:rsidRPr="00011600">
        <w:rPr>
          <w:rFonts w:ascii="Verdana" w:hAnsi="Verdana" w:cs="Arial"/>
          <w:sz w:val="14"/>
          <w:szCs w:val="14"/>
        </w:rPr>
        <w:t xml:space="preserve"> </w:t>
      </w:r>
      <w:r>
        <w:rPr>
          <w:rFonts w:ascii="Verdana" w:hAnsi="Verdana" w:cs="Arial"/>
          <w:sz w:val="14"/>
          <w:szCs w:val="14"/>
          <w:lang w:val="es-ES"/>
        </w:rPr>
        <w:t>Consejo de Estado</w:t>
      </w:r>
      <w:r w:rsidRPr="00011600">
        <w:rPr>
          <w:rFonts w:ascii="Verdana" w:hAnsi="Verdana" w:cs="Arial"/>
          <w:sz w:val="14"/>
          <w:szCs w:val="14"/>
          <w:lang w:val="es-ES"/>
        </w:rPr>
        <w:t xml:space="preserve">. Sala de Consulta y Servicio Civil. Concepto del 30 de abril de 2015. </w:t>
      </w:r>
      <w:proofErr w:type="spellStart"/>
      <w:r w:rsidRPr="00011600">
        <w:rPr>
          <w:rFonts w:ascii="Verdana" w:hAnsi="Verdana" w:cs="Arial"/>
          <w:sz w:val="14"/>
          <w:szCs w:val="14"/>
          <w:lang w:val="es-ES"/>
        </w:rPr>
        <w:t>Exp</w:t>
      </w:r>
      <w:proofErr w:type="spellEnd"/>
      <w:r w:rsidRPr="00011600">
        <w:rPr>
          <w:rFonts w:ascii="Verdana" w:hAnsi="Verdana" w:cs="Arial"/>
          <w:sz w:val="14"/>
          <w:szCs w:val="14"/>
          <w:lang w:val="es-ES"/>
        </w:rPr>
        <w:t xml:space="preserve">. 2251. </w:t>
      </w:r>
      <w:proofErr w:type="gramStart"/>
      <w:r w:rsidRPr="00011600">
        <w:rPr>
          <w:rFonts w:ascii="Verdana" w:hAnsi="Verdana" w:cs="Arial"/>
          <w:sz w:val="14"/>
          <w:szCs w:val="14"/>
          <w:lang w:val="es-ES"/>
        </w:rPr>
        <w:t>Consejero</w:t>
      </w:r>
      <w:proofErr w:type="gramEnd"/>
      <w:r w:rsidRPr="00011600">
        <w:rPr>
          <w:rFonts w:ascii="Verdana" w:hAnsi="Verdana" w:cs="Arial"/>
          <w:sz w:val="14"/>
          <w:szCs w:val="14"/>
          <w:lang w:val="es-ES"/>
        </w:rPr>
        <w:t xml:space="preserve"> Ponente: Álvaro </w:t>
      </w:r>
      <w:proofErr w:type="spellStart"/>
      <w:r w:rsidRPr="00011600">
        <w:rPr>
          <w:rFonts w:ascii="Verdana" w:hAnsi="Verdana" w:cs="Arial"/>
          <w:sz w:val="14"/>
          <w:szCs w:val="14"/>
          <w:lang w:val="es-ES"/>
        </w:rPr>
        <w:t>Namén</w:t>
      </w:r>
      <w:proofErr w:type="spellEnd"/>
      <w:r w:rsidRPr="00011600">
        <w:rPr>
          <w:rFonts w:ascii="Verdana" w:hAnsi="Verdana" w:cs="Arial"/>
          <w:sz w:val="14"/>
          <w:szCs w:val="14"/>
          <w:lang w:val="es-ES"/>
        </w:rPr>
        <w:t xml:space="preserve"> Vargas.</w:t>
      </w:r>
    </w:p>
    <w:p w14:paraId="56477267" w14:textId="77777777" w:rsidR="009E40F5" w:rsidRPr="00AB29F3" w:rsidRDefault="009E40F5" w:rsidP="009E40F5">
      <w:pPr>
        <w:pStyle w:val="Textonotapie"/>
        <w:ind w:firstLine="709"/>
        <w:jc w:val="both"/>
        <w:rPr>
          <w:rFonts w:ascii="Arial" w:hAnsi="Arial" w:cs="Arial"/>
          <w:sz w:val="19"/>
          <w:szCs w:val="19"/>
          <w:lang w:val="es-ES"/>
        </w:rPr>
      </w:pPr>
    </w:p>
  </w:footnote>
  <w:footnote w:id="12">
    <w:p w14:paraId="0DFCB881" w14:textId="77777777" w:rsidR="009E40F5" w:rsidRPr="00B320F5" w:rsidRDefault="009E40F5" w:rsidP="009E40F5">
      <w:pPr>
        <w:pStyle w:val="Textonotapie"/>
        <w:ind w:firstLine="709"/>
        <w:jc w:val="both"/>
        <w:rPr>
          <w:rFonts w:ascii="Verdana" w:hAnsi="Verdana" w:cs="Arial"/>
          <w:sz w:val="14"/>
          <w:szCs w:val="14"/>
        </w:rPr>
      </w:pPr>
      <w:r w:rsidRPr="00B320F5">
        <w:rPr>
          <w:rStyle w:val="Refdenotaalpie"/>
          <w:rFonts w:ascii="Verdana" w:hAnsi="Verdana" w:cs="Arial"/>
          <w:sz w:val="14"/>
          <w:szCs w:val="14"/>
        </w:rPr>
        <w:footnoteRef/>
      </w:r>
      <w:r w:rsidRPr="00B320F5">
        <w:rPr>
          <w:rFonts w:ascii="Verdana" w:hAnsi="Verdana" w:cs="Arial"/>
          <w:sz w:val="14"/>
          <w:szCs w:val="14"/>
        </w:rPr>
        <w:t xml:space="preserve"> C</w:t>
      </w:r>
      <w:r>
        <w:rPr>
          <w:rFonts w:ascii="Verdana" w:hAnsi="Verdana" w:cs="Arial"/>
          <w:sz w:val="14"/>
          <w:szCs w:val="14"/>
        </w:rPr>
        <w:t>onsejo de Estado</w:t>
      </w:r>
      <w:r w:rsidRPr="00B320F5">
        <w:rPr>
          <w:rFonts w:ascii="Verdana" w:hAnsi="Verdana" w:cs="Arial"/>
          <w:sz w:val="14"/>
          <w:szCs w:val="14"/>
        </w:rPr>
        <w:t>.</w:t>
      </w:r>
      <w:r>
        <w:rPr>
          <w:rFonts w:ascii="Verdana" w:hAnsi="Verdana" w:cs="Arial"/>
          <w:sz w:val="14"/>
          <w:szCs w:val="14"/>
        </w:rPr>
        <w:t xml:space="preserve"> Sala de lo Contencioso Administrativo.</w:t>
      </w:r>
      <w:r w:rsidRPr="00B320F5">
        <w:rPr>
          <w:rFonts w:ascii="Verdana" w:hAnsi="Verdana" w:cs="Arial"/>
          <w:sz w:val="14"/>
          <w:szCs w:val="14"/>
        </w:rPr>
        <w:t xml:space="preserve"> Sección Tercera. Subsección A. Sentencia del 24 de junio de 2015. Rad. 40.635. Consejero Ponente: Hernán Andrade Rincón (E).</w:t>
      </w:r>
    </w:p>
    <w:p w14:paraId="333EF399" w14:textId="77777777" w:rsidR="009E40F5" w:rsidRPr="00B320F5" w:rsidRDefault="009E40F5" w:rsidP="009E40F5">
      <w:pPr>
        <w:pStyle w:val="Textonotapie"/>
        <w:ind w:firstLine="709"/>
        <w:jc w:val="both"/>
        <w:rPr>
          <w:rFonts w:ascii="Verdana" w:hAnsi="Verdana" w:cs="Arial"/>
          <w:sz w:val="14"/>
          <w:szCs w:val="14"/>
        </w:rPr>
      </w:pPr>
    </w:p>
  </w:footnote>
  <w:footnote w:id="13">
    <w:p w14:paraId="1113FA0B" w14:textId="77777777" w:rsidR="009E40F5" w:rsidRPr="00B320F5" w:rsidRDefault="009E40F5" w:rsidP="009E40F5">
      <w:pPr>
        <w:pStyle w:val="Textonotapie"/>
        <w:ind w:firstLine="709"/>
        <w:jc w:val="both"/>
        <w:rPr>
          <w:rFonts w:ascii="Verdana" w:hAnsi="Verdana" w:cs="Arial"/>
          <w:sz w:val="14"/>
          <w:szCs w:val="14"/>
        </w:rPr>
      </w:pPr>
      <w:r w:rsidRPr="00B320F5">
        <w:rPr>
          <w:rStyle w:val="Refdenotaalpie"/>
          <w:rFonts w:ascii="Verdana" w:hAnsi="Verdana" w:cs="Arial"/>
          <w:sz w:val="14"/>
          <w:szCs w:val="14"/>
        </w:rPr>
        <w:footnoteRef/>
      </w:r>
      <w:r w:rsidRPr="00B320F5">
        <w:rPr>
          <w:rFonts w:ascii="Verdana" w:hAnsi="Verdana" w:cs="Arial"/>
          <w:sz w:val="14"/>
          <w:szCs w:val="14"/>
        </w:rPr>
        <w:t xml:space="preserve"> C</w:t>
      </w:r>
      <w:r>
        <w:rPr>
          <w:rFonts w:ascii="Verdana" w:hAnsi="Verdana" w:cs="Arial"/>
          <w:sz w:val="14"/>
          <w:szCs w:val="14"/>
        </w:rPr>
        <w:t>onsejo de Estado</w:t>
      </w:r>
      <w:r w:rsidRPr="00B320F5">
        <w:rPr>
          <w:rFonts w:ascii="Verdana" w:hAnsi="Verdana" w:cs="Arial"/>
          <w:sz w:val="14"/>
          <w:szCs w:val="14"/>
        </w:rPr>
        <w:t>.</w:t>
      </w:r>
      <w:r>
        <w:rPr>
          <w:rFonts w:ascii="Verdana" w:hAnsi="Verdana" w:cs="Arial"/>
          <w:sz w:val="14"/>
          <w:szCs w:val="14"/>
        </w:rPr>
        <w:t xml:space="preserve"> Sala de lo Contencioso Administrativo</w:t>
      </w:r>
      <w:r w:rsidRPr="00B320F5">
        <w:rPr>
          <w:rFonts w:ascii="Verdana" w:hAnsi="Verdana" w:cs="Arial"/>
          <w:sz w:val="14"/>
          <w:szCs w:val="14"/>
        </w:rPr>
        <w:t xml:space="preserve">. Sección Tercera. Subsección C. Sentencia del 22 de mayo de 2013. Rad. 24.057. Consejera Ponente: Olga </w:t>
      </w:r>
      <w:proofErr w:type="spellStart"/>
      <w:r w:rsidRPr="00B320F5">
        <w:rPr>
          <w:rFonts w:ascii="Verdana" w:hAnsi="Verdana" w:cs="Arial"/>
          <w:sz w:val="14"/>
          <w:szCs w:val="14"/>
        </w:rPr>
        <w:t>Melida</w:t>
      </w:r>
      <w:proofErr w:type="spellEnd"/>
      <w:r w:rsidRPr="00B320F5">
        <w:rPr>
          <w:rFonts w:ascii="Verdana" w:hAnsi="Verdana" w:cs="Arial"/>
          <w:sz w:val="14"/>
          <w:szCs w:val="14"/>
        </w:rPr>
        <w:t xml:space="preserve"> Valle De </w:t>
      </w:r>
      <w:proofErr w:type="spellStart"/>
      <w:r w:rsidRPr="00B320F5">
        <w:rPr>
          <w:rFonts w:ascii="Verdana" w:hAnsi="Verdana" w:cs="Arial"/>
          <w:sz w:val="14"/>
          <w:szCs w:val="14"/>
        </w:rPr>
        <w:t>De</w:t>
      </w:r>
      <w:proofErr w:type="spellEnd"/>
      <w:r w:rsidRPr="00B320F5">
        <w:rPr>
          <w:rFonts w:ascii="Verdana" w:hAnsi="Verdana" w:cs="Arial"/>
          <w:sz w:val="14"/>
          <w:szCs w:val="14"/>
        </w:rPr>
        <w:t xml:space="preserve"> La Hoz.</w:t>
      </w:r>
    </w:p>
    <w:p w14:paraId="466C3A15" w14:textId="77777777" w:rsidR="009E40F5" w:rsidRPr="00B320F5" w:rsidRDefault="009E40F5" w:rsidP="009E40F5">
      <w:pPr>
        <w:pStyle w:val="Textonotapie"/>
        <w:ind w:firstLine="709"/>
        <w:jc w:val="both"/>
        <w:rPr>
          <w:rFonts w:ascii="Verdana" w:hAnsi="Verdana" w:cs="Arial"/>
          <w:sz w:val="14"/>
          <w:szCs w:val="14"/>
        </w:rPr>
      </w:pPr>
    </w:p>
  </w:footnote>
  <w:footnote w:id="14">
    <w:p w14:paraId="40FD1969" w14:textId="77777777" w:rsidR="009E40F5" w:rsidRPr="00B320F5" w:rsidRDefault="009E40F5" w:rsidP="009E40F5">
      <w:pPr>
        <w:pStyle w:val="Textonotapie"/>
        <w:ind w:firstLine="709"/>
        <w:jc w:val="both"/>
        <w:rPr>
          <w:rFonts w:ascii="Verdana" w:hAnsi="Verdana" w:cs="Arial"/>
          <w:color w:val="000000" w:themeColor="text1"/>
          <w:sz w:val="14"/>
          <w:szCs w:val="14"/>
          <w:lang w:val="es-ES"/>
        </w:rPr>
      </w:pPr>
      <w:r w:rsidRPr="00B320F5">
        <w:rPr>
          <w:rStyle w:val="Refdenotaalpie"/>
          <w:rFonts w:ascii="Verdana" w:hAnsi="Verdana" w:cs="Arial"/>
          <w:color w:val="000000" w:themeColor="text1"/>
          <w:sz w:val="14"/>
          <w:szCs w:val="14"/>
        </w:rPr>
        <w:footnoteRef/>
      </w:r>
      <w:r w:rsidRPr="00B320F5">
        <w:rPr>
          <w:rFonts w:ascii="Verdana" w:hAnsi="Verdana" w:cs="Arial"/>
          <w:color w:val="000000" w:themeColor="text1"/>
          <w:sz w:val="14"/>
          <w:szCs w:val="14"/>
        </w:rPr>
        <w:t xml:space="preserve"> </w:t>
      </w:r>
      <w:r w:rsidRPr="00B320F5">
        <w:rPr>
          <w:rFonts w:ascii="Verdana" w:hAnsi="Verdana" w:cs="Arial"/>
          <w:color w:val="000000" w:themeColor="text1"/>
          <w:sz w:val="14"/>
          <w:szCs w:val="14"/>
          <w:lang w:val="es-ES"/>
        </w:rPr>
        <w:t xml:space="preserve">«Las entidades y los servidores </w:t>
      </w:r>
      <w:proofErr w:type="gramStart"/>
      <w:r w:rsidRPr="00B320F5">
        <w:rPr>
          <w:rFonts w:ascii="Verdana" w:hAnsi="Verdana" w:cs="Arial"/>
          <w:color w:val="000000" w:themeColor="text1"/>
          <w:sz w:val="14"/>
          <w:szCs w:val="14"/>
          <w:lang w:val="es-ES"/>
        </w:rPr>
        <w:t>públicos,</w:t>
      </w:r>
      <w:proofErr w:type="gramEnd"/>
      <w:r w:rsidRPr="00B320F5">
        <w:rPr>
          <w:rFonts w:ascii="Verdana" w:hAnsi="Verdana" w:cs="Arial"/>
          <w:color w:val="000000" w:themeColor="text1"/>
          <w:sz w:val="14"/>
          <w:szCs w:val="14"/>
          <w:lang w:val="es-ES"/>
        </w:rPr>
        <w:t xml:space="preserve"> responderán cuando hubieren abierto licitaciones sin haber elaborado previamente los correspondientes pliegos de condiciones, diseños, estudios, planos y evaluaciones que fueren necesarios, o cuando los pliegos de condiciones hayan sido elaborados en forma incompleta, ambigua o confusa que conduzcan a interpretaciones o decisiones de carácter subjetivo por parte de aquellos».</w:t>
      </w:r>
    </w:p>
    <w:p w14:paraId="48C4AC8F" w14:textId="77777777" w:rsidR="009E40F5" w:rsidRPr="00B320F5" w:rsidRDefault="009E40F5" w:rsidP="009E40F5">
      <w:pPr>
        <w:pStyle w:val="Textonotapie"/>
        <w:ind w:firstLine="709"/>
        <w:jc w:val="both"/>
        <w:rPr>
          <w:rFonts w:ascii="Verdana" w:hAnsi="Verdana" w:cs="Arial"/>
          <w:color w:val="000000" w:themeColor="text1"/>
          <w:sz w:val="14"/>
          <w:szCs w:val="14"/>
          <w:lang w:val="es-ES"/>
        </w:rPr>
      </w:pPr>
    </w:p>
  </w:footnote>
  <w:footnote w:id="15">
    <w:p w14:paraId="3C1CB481" w14:textId="77777777" w:rsidR="009E40F5" w:rsidRPr="00B320F5" w:rsidRDefault="009E40F5" w:rsidP="009E40F5">
      <w:pPr>
        <w:pStyle w:val="Textonotapie"/>
        <w:ind w:firstLine="709"/>
        <w:jc w:val="both"/>
        <w:rPr>
          <w:rFonts w:ascii="Verdana" w:hAnsi="Verdana" w:cs="Arial"/>
          <w:color w:val="000000" w:themeColor="text1"/>
          <w:sz w:val="14"/>
          <w:szCs w:val="14"/>
        </w:rPr>
      </w:pPr>
      <w:r w:rsidRPr="00B320F5">
        <w:rPr>
          <w:rStyle w:val="Refdenotaalpie"/>
          <w:rFonts w:ascii="Verdana" w:hAnsi="Verdana" w:cs="Arial"/>
          <w:color w:val="000000" w:themeColor="text1"/>
          <w:sz w:val="14"/>
          <w:szCs w:val="14"/>
        </w:rPr>
        <w:footnoteRef/>
      </w:r>
      <w:r w:rsidRPr="00B320F5">
        <w:rPr>
          <w:rFonts w:ascii="Verdana" w:hAnsi="Verdana" w:cs="Arial"/>
          <w:color w:val="000000" w:themeColor="text1"/>
          <w:sz w:val="14"/>
          <w:szCs w:val="14"/>
        </w:rPr>
        <w:t xml:space="preserve"> Este tipo contractual se define en el artículo 32, numeral 2º de la Ley 80 de 1993 de la siguiente manera: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34458870" w14:textId="77777777" w:rsidR="009E40F5" w:rsidRPr="00B320F5" w:rsidRDefault="009E40F5" w:rsidP="009E40F5">
      <w:pPr>
        <w:pStyle w:val="Textonotapie"/>
        <w:ind w:firstLine="709"/>
        <w:jc w:val="both"/>
        <w:rPr>
          <w:rFonts w:ascii="Verdana" w:hAnsi="Verdana" w:cs="Arial"/>
          <w:color w:val="000000" w:themeColor="text1"/>
          <w:sz w:val="14"/>
          <w:szCs w:val="14"/>
        </w:rPr>
      </w:pPr>
      <w:proofErr w:type="gramStart"/>
      <w:r w:rsidRPr="00B320F5">
        <w:rPr>
          <w:rFonts w:ascii="Verdana" w:hAnsi="Verdana" w:cs="Arial"/>
          <w:color w:val="000000" w:themeColor="text1"/>
          <w:sz w:val="14"/>
          <w:szCs w:val="14"/>
        </w:rPr>
        <w:t>»Son</w:t>
      </w:r>
      <w:proofErr w:type="gramEnd"/>
      <w:r w:rsidRPr="00B320F5">
        <w:rPr>
          <w:rFonts w:ascii="Verdana" w:hAnsi="Verdana" w:cs="Arial"/>
          <w:color w:val="000000" w:themeColor="text1"/>
          <w:sz w:val="14"/>
          <w:szCs w:val="14"/>
        </w:rPr>
        <w:t xml:space="preserve"> también contratos de consultoría los que tienen por objeto la interventoría, asesoría, gerencia de obra o de proyectos, dirección, programación y la ejecución de diseños, planos, anteproyectos y proyectos». </w:t>
      </w:r>
    </w:p>
    <w:p w14:paraId="6A9006C7" w14:textId="77777777" w:rsidR="009E40F5" w:rsidRPr="00B320F5" w:rsidRDefault="009E40F5" w:rsidP="009E40F5">
      <w:pPr>
        <w:pStyle w:val="Textonotapie"/>
        <w:ind w:firstLine="709"/>
        <w:jc w:val="both"/>
        <w:rPr>
          <w:rFonts w:ascii="Verdana" w:hAnsi="Verdana" w:cs="Arial"/>
          <w:color w:val="000000" w:themeColor="text1"/>
          <w:sz w:val="14"/>
          <w:szCs w:val="14"/>
        </w:rPr>
      </w:pPr>
    </w:p>
  </w:footnote>
  <w:footnote w:id="16">
    <w:p w14:paraId="3260F52F" w14:textId="77777777" w:rsidR="009E40F5" w:rsidRPr="00686EAB" w:rsidRDefault="009E40F5" w:rsidP="009E40F5">
      <w:pPr>
        <w:pStyle w:val="Textonotapie"/>
        <w:ind w:firstLine="709"/>
        <w:jc w:val="both"/>
        <w:rPr>
          <w:rFonts w:ascii="Verdana" w:hAnsi="Verdana" w:cs="Arial"/>
          <w:color w:val="000000" w:themeColor="text1"/>
          <w:sz w:val="14"/>
          <w:szCs w:val="14"/>
          <w:lang w:val="es-ES"/>
        </w:rPr>
      </w:pPr>
      <w:r w:rsidRPr="00686EAB">
        <w:rPr>
          <w:rStyle w:val="Refdenotaalpie"/>
          <w:rFonts w:ascii="Verdana" w:hAnsi="Verdana" w:cs="Arial"/>
          <w:color w:val="000000" w:themeColor="text1"/>
          <w:sz w:val="14"/>
          <w:szCs w:val="14"/>
        </w:rPr>
        <w:footnoteRef/>
      </w:r>
      <w:r w:rsidRPr="00686EAB">
        <w:rPr>
          <w:rFonts w:ascii="Verdana" w:hAnsi="Verdana" w:cs="Arial"/>
          <w:color w:val="000000" w:themeColor="text1"/>
          <w:sz w:val="14"/>
          <w:szCs w:val="14"/>
        </w:rPr>
        <w:t xml:space="preserve"> </w:t>
      </w:r>
      <w:r w:rsidRPr="00686EAB">
        <w:rPr>
          <w:rFonts w:ascii="Verdana" w:hAnsi="Verdana" w:cs="Arial"/>
          <w:color w:val="000000" w:themeColor="text1"/>
          <w:sz w:val="14"/>
          <w:szCs w:val="14"/>
          <w:lang w:val="es-ES"/>
        </w:rPr>
        <w:t>Dicho numeral establece: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4CAACD56" w14:textId="77777777" w:rsidR="009E40F5" w:rsidRPr="00686EAB" w:rsidRDefault="009E40F5" w:rsidP="009E40F5">
      <w:pPr>
        <w:pStyle w:val="Textonotapie"/>
        <w:ind w:firstLine="709"/>
        <w:jc w:val="both"/>
        <w:rPr>
          <w:rFonts w:ascii="Verdana" w:hAnsi="Verdana" w:cs="Arial"/>
          <w:color w:val="000000" w:themeColor="text1"/>
          <w:sz w:val="14"/>
          <w:szCs w:val="14"/>
          <w:lang w:val="es-ES"/>
        </w:rPr>
      </w:pPr>
      <w:proofErr w:type="gramStart"/>
      <w:r w:rsidRPr="00686EAB">
        <w:rPr>
          <w:rFonts w:ascii="Verdana" w:hAnsi="Verdana" w:cs="Arial"/>
          <w:color w:val="000000" w:themeColor="text1"/>
          <w:sz w:val="14"/>
          <w:szCs w:val="14"/>
          <w:lang w:val="es-ES"/>
        </w:rPr>
        <w:t>»Son</w:t>
      </w:r>
      <w:proofErr w:type="gramEnd"/>
      <w:r w:rsidRPr="00686EAB">
        <w:rPr>
          <w:rFonts w:ascii="Verdana" w:hAnsi="Verdana" w:cs="Arial"/>
          <w:color w:val="000000" w:themeColor="text1"/>
          <w:sz w:val="14"/>
          <w:szCs w:val="14"/>
          <w:lang w:val="es-ES"/>
        </w:rPr>
        <w:t xml:space="preserve"> también contratos de consultoría los que tienen por objeto la interventoría, asesoría, gerencia de obra o de proyectos, dirección, programación y la ejecución de diseños, planos, anteproyectos y proyectos.</w:t>
      </w:r>
    </w:p>
    <w:p w14:paraId="4F943E19" w14:textId="77777777" w:rsidR="009E40F5" w:rsidRPr="00686EAB" w:rsidRDefault="009E40F5" w:rsidP="009E40F5">
      <w:pPr>
        <w:pStyle w:val="Textonotapie"/>
        <w:ind w:firstLine="709"/>
        <w:jc w:val="both"/>
        <w:rPr>
          <w:rFonts w:ascii="Verdana" w:hAnsi="Verdana" w:cs="Arial"/>
          <w:color w:val="000000" w:themeColor="text1"/>
          <w:sz w:val="14"/>
          <w:szCs w:val="14"/>
          <w:lang w:val="es-ES"/>
        </w:rPr>
      </w:pPr>
      <w:proofErr w:type="gramStart"/>
      <w:r w:rsidRPr="00686EAB">
        <w:rPr>
          <w:rFonts w:ascii="Verdana" w:hAnsi="Verdana" w:cs="Arial"/>
          <w:color w:val="000000" w:themeColor="text1"/>
          <w:sz w:val="14"/>
          <w:szCs w:val="14"/>
          <w:lang w:val="es-ES"/>
        </w:rPr>
        <w:t>»Ninguna</w:t>
      </w:r>
      <w:proofErr w:type="gramEnd"/>
      <w:r w:rsidRPr="00686EAB">
        <w:rPr>
          <w:rFonts w:ascii="Verdana" w:hAnsi="Verdana" w:cs="Arial"/>
          <w:color w:val="000000" w:themeColor="text1"/>
          <w:sz w:val="14"/>
          <w:szCs w:val="14"/>
          <w:lang w:val="es-ES"/>
        </w:rPr>
        <w:t xml:space="preserve"> orden del interventor de una obra podrá darse verbalmente. Es obligatorio para el interventor entregar por escrito sus órdenes o sugerencias y ellas deben </w:t>
      </w:r>
      <w:proofErr w:type="gramStart"/>
      <w:r w:rsidRPr="00686EAB">
        <w:rPr>
          <w:rFonts w:ascii="Verdana" w:hAnsi="Verdana" w:cs="Arial"/>
          <w:color w:val="000000" w:themeColor="text1"/>
          <w:sz w:val="14"/>
          <w:szCs w:val="14"/>
          <w:lang w:val="es-ES"/>
        </w:rPr>
        <w:t>enmarcarse dentro de</w:t>
      </w:r>
      <w:proofErr w:type="gramEnd"/>
      <w:r w:rsidRPr="00686EAB">
        <w:rPr>
          <w:rFonts w:ascii="Verdana" w:hAnsi="Verdana" w:cs="Arial"/>
          <w:color w:val="000000" w:themeColor="text1"/>
          <w:sz w:val="14"/>
          <w:szCs w:val="14"/>
          <w:lang w:val="es-ES"/>
        </w:rPr>
        <w:t xml:space="preserve"> los términos del respectivo contrato».</w:t>
      </w:r>
    </w:p>
    <w:p w14:paraId="051F2778" w14:textId="77777777" w:rsidR="009E40F5" w:rsidRPr="00686EAB" w:rsidRDefault="009E40F5" w:rsidP="009E40F5">
      <w:pPr>
        <w:pStyle w:val="Textonotapie"/>
        <w:ind w:firstLine="709"/>
        <w:jc w:val="both"/>
        <w:rPr>
          <w:rFonts w:ascii="Verdana" w:hAnsi="Verdana" w:cs="Arial"/>
          <w:color w:val="000000" w:themeColor="text1"/>
          <w:sz w:val="14"/>
          <w:szCs w:val="14"/>
          <w:lang w:val="es-CO"/>
        </w:rPr>
      </w:pPr>
    </w:p>
  </w:footnote>
  <w:footnote w:id="17">
    <w:p w14:paraId="1739C6AA" w14:textId="77777777" w:rsidR="009E40F5" w:rsidRPr="00686EAB" w:rsidRDefault="009E40F5" w:rsidP="009E40F5">
      <w:pPr>
        <w:ind w:firstLine="709"/>
        <w:jc w:val="both"/>
        <w:rPr>
          <w:rFonts w:ascii="Verdana" w:hAnsi="Verdana" w:cs="Arial"/>
          <w:color w:val="000000" w:themeColor="text1"/>
          <w:sz w:val="14"/>
          <w:szCs w:val="14"/>
        </w:rPr>
      </w:pPr>
      <w:r w:rsidRPr="00686EAB">
        <w:rPr>
          <w:rStyle w:val="Refdenotaalpie"/>
          <w:rFonts w:ascii="Verdana" w:hAnsi="Verdana" w:cs="Arial"/>
          <w:color w:val="000000" w:themeColor="text1"/>
          <w:sz w:val="14"/>
          <w:szCs w:val="14"/>
        </w:rPr>
        <w:footnoteRef/>
      </w:r>
      <w:r w:rsidRPr="00686EAB">
        <w:rPr>
          <w:rFonts w:ascii="Verdana" w:hAnsi="Verdana" w:cs="Arial"/>
          <w:color w:val="000000" w:themeColor="text1"/>
          <w:sz w:val="14"/>
          <w:szCs w:val="14"/>
        </w:rPr>
        <w:t xml:space="preserve"> El artículo 2.2.1.2.1.3.9., numeral 2º, del Decreto 1082 de 2015 establece que el organismo asesor en el concurso de arquitectura «Es el ente idóneo en la materia de arquitectura que organiza y diseña los aspectos técnicos del concurso de arquitectura y, actúa como coordinador entre la Entidad Estatal promotora y el jurado calificador, y entre éstos con los proponentes».</w:t>
      </w:r>
    </w:p>
    <w:p w14:paraId="1E8737B5" w14:textId="77777777" w:rsidR="009E40F5" w:rsidRPr="00AB29F3" w:rsidRDefault="009E40F5" w:rsidP="009E40F5">
      <w:pPr>
        <w:pStyle w:val="Textonotapie"/>
        <w:ind w:firstLine="709"/>
        <w:jc w:val="both"/>
        <w:rPr>
          <w:rFonts w:ascii="Arial" w:hAnsi="Arial" w:cs="Arial"/>
          <w:color w:val="000000" w:themeColor="text1"/>
          <w:sz w:val="19"/>
          <w:szCs w:val="19"/>
          <w:lang w:val="es-CO"/>
        </w:rPr>
      </w:pPr>
    </w:p>
  </w:footnote>
  <w:footnote w:id="18">
    <w:p w14:paraId="4470ED53" w14:textId="77777777" w:rsidR="009E40F5" w:rsidRPr="002766B3" w:rsidRDefault="009E40F5" w:rsidP="009E40F5">
      <w:pPr>
        <w:pStyle w:val="Textonotapie"/>
        <w:ind w:firstLine="708"/>
        <w:jc w:val="both"/>
        <w:rPr>
          <w:rFonts w:ascii="Verdana" w:hAnsi="Verdana" w:cs="Arial"/>
          <w:color w:val="000000" w:themeColor="text1"/>
          <w:sz w:val="14"/>
          <w:szCs w:val="14"/>
        </w:rPr>
      </w:pPr>
      <w:r w:rsidRPr="002766B3">
        <w:rPr>
          <w:rStyle w:val="Refdenotaalpie"/>
          <w:rFonts w:ascii="Verdana" w:hAnsi="Verdana" w:cs="Arial"/>
          <w:color w:val="000000" w:themeColor="text1"/>
          <w:sz w:val="14"/>
          <w:szCs w:val="14"/>
        </w:rPr>
        <w:footnoteRef/>
      </w:r>
      <w:r w:rsidRPr="002766B3">
        <w:rPr>
          <w:rFonts w:ascii="Verdana" w:hAnsi="Verdana" w:cs="Arial"/>
          <w:color w:val="000000" w:themeColor="text1"/>
          <w:sz w:val="14"/>
          <w:szCs w:val="14"/>
        </w:rPr>
        <w:t xml:space="preserve"> Cfr. Conceptos: C-229 del 16 de abril de 2020, C-815 del 18 de febrero de 2021 y C-449 del 31 de agosto de 2021.</w:t>
      </w:r>
    </w:p>
    <w:p w14:paraId="3B4D6970" w14:textId="77777777" w:rsidR="009E40F5" w:rsidRPr="002766B3" w:rsidRDefault="009E40F5" w:rsidP="009E40F5">
      <w:pPr>
        <w:pStyle w:val="Textonotapie"/>
        <w:ind w:firstLine="708"/>
        <w:jc w:val="both"/>
        <w:rPr>
          <w:rFonts w:ascii="Verdana" w:hAnsi="Verdana" w:cs="Arial"/>
          <w:color w:val="000000" w:themeColor="text1"/>
          <w:sz w:val="14"/>
          <w:szCs w:val="14"/>
          <w:lang w:val="es-CO"/>
        </w:rPr>
      </w:pPr>
    </w:p>
  </w:footnote>
  <w:footnote w:id="19">
    <w:p w14:paraId="23D2B0D3" w14:textId="77777777" w:rsidR="009E40F5" w:rsidRPr="002766B3" w:rsidRDefault="009E40F5" w:rsidP="009E40F5">
      <w:pPr>
        <w:pStyle w:val="Textonotapie"/>
        <w:ind w:firstLine="708"/>
        <w:jc w:val="both"/>
        <w:rPr>
          <w:rFonts w:ascii="Verdana" w:hAnsi="Verdana" w:cs="Arial"/>
          <w:color w:val="000000" w:themeColor="text1"/>
          <w:sz w:val="14"/>
          <w:szCs w:val="14"/>
        </w:rPr>
      </w:pPr>
      <w:r w:rsidRPr="002766B3">
        <w:rPr>
          <w:rStyle w:val="Refdenotaalpie"/>
          <w:rFonts w:ascii="Verdana" w:hAnsi="Verdana" w:cs="Arial"/>
          <w:color w:val="000000" w:themeColor="text1"/>
          <w:sz w:val="14"/>
          <w:szCs w:val="14"/>
        </w:rPr>
        <w:footnoteRef/>
      </w:r>
      <w:r w:rsidRPr="002766B3">
        <w:rPr>
          <w:rFonts w:ascii="Verdana" w:hAnsi="Verdana" w:cs="Arial"/>
          <w:color w:val="000000" w:themeColor="text1"/>
          <w:sz w:val="14"/>
          <w:szCs w:val="14"/>
        </w:rPr>
        <w:t xml:space="preserve"> C</w:t>
      </w:r>
      <w:r>
        <w:rPr>
          <w:rFonts w:ascii="Verdana" w:hAnsi="Verdana" w:cs="Arial"/>
          <w:color w:val="000000" w:themeColor="text1"/>
          <w:sz w:val="14"/>
          <w:szCs w:val="14"/>
        </w:rPr>
        <w:t>onsejo de Estado</w:t>
      </w:r>
      <w:r w:rsidRPr="002766B3">
        <w:rPr>
          <w:rFonts w:ascii="Verdana" w:hAnsi="Verdana" w:cs="Arial"/>
          <w:color w:val="000000" w:themeColor="text1"/>
          <w:sz w:val="14"/>
          <w:szCs w:val="14"/>
        </w:rPr>
        <w:t>. Sala de Consulta y de Servicio Civil. Concepto del 23 de marzo de 2011. Rad. 2.045. C.P. Enrique José Arboleda Perdomo.</w:t>
      </w:r>
    </w:p>
    <w:p w14:paraId="64D65EE6" w14:textId="77777777" w:rsidR="009E40F5" w:rsidRPr="002766B3" w:rsidRDefault="009E40F5" w:rsidP="009E40F5">
      <w:pPr>
        <w:pStyle w:val="Textonotapie"/>
        <w:ind w:firstLine="708"/>
        <w:jc w:val="both"/>
        <w:rPr>
          <w:rFonts w:ascii="Verdana" w:hAnsi="Verdana" w:cs="Arial"/>
          <w:color w:val="000000" w:themeColor="text1"/>
          <w:sz w:val="14"/>
          <w:szCs w:val="14"/>
        </w:rPr>
      </w:pPr>
    </w:p>
  </w:footnote>
  <w:footnote w:id="20">
    <w:p w14:paraId="0F038C01" w14:textId="77777777" w:rsidR="009E40F5" w:rsidRPr="001308A6" w:rsidRDefault="009E40F5" w:rsidP="009E40F5">
      <w:pPr>
        <w:spacing w:after="0" w:line="240" w:lineRule="auto"/>
        <w:ind w:firstLine="709"/>
        <w:jc w:val="both"/>
        <w:rPr>
          <w:rFonts w:ascii="Verdana" w:hAnsi="Verdana" w:cs="Arial"/>
          <w:color w:val="000000" w:themeColor="text1"/>
          <w:sz w:val="14"/>
          <w:szCs w:val="14"/>
        </w:rPr>
      </w:pPr>
      <w:r w:rsidRPr="001308A6">
        <w:rPr>
          <w:rStyle w:val="Refdenotaalpie"/>
          <w:rFonts w:ascii="Verdana" w:hAnsi="Verdana" w:cs="Arial"/>
          <w:color w:val="000000" w:themeColor="text1"/>
          <w:sz w:val="14"/>
          <w:szCs w:val="14"/>
        </w:rPr>
        <w:footnoteRef/>
      </w:r>
      <w:r w:rsidRPr="001308A6">
        <w:rPr>
          <w:rFonts w:ascii="Verdana" w:hAnsi="Verdana" w:cs="Arial"/>
          <w:color w:val="000000" w:themeColor="text1"/>
          <w:sz w:val="14"/>
          <w:szCs w:val="14"/>
        </w:rPr>
        <w:t xml:space="preserve"> </w:t>
      </w:r>
      <w:r w:rsidRPr="001308A6">
        <w:rPr>
          <w:rFonts w:ascii="Verdana" w:eastAsia="Calibri" w:hAnsi="Verdana" w:cs="Arial"/>
          <w:color w:val="000000" w:themeColor="text1"/>
          <w:sz w:val="14"/>
          <w:szCs w:val="14"/>
        </w:rPr>
        <w:t>L</w:t>
      </w:r>
      <w:r w:rsidRPr="001308A6">
        <w:rPr>
          <w:rFonts w:ascii="Verdana" w:eastAsia="Calibri" w:hAnsi="Verdana" w:cs="Arial"/>
          <w:color w:val="000000" w:themeColor="text1"/>
          <w:sz w:val="14"/>
          <w:szCs w:val="14"/>
          <w:lang w:val="es-ES_tradnl"/>
        </w:rPr>
        <w:t>a doctrina ha definido e identificado el origen de los conflictos de interés en los contratos estatales de la siguiente manera:</w:t>
      </w:r>
      <w:r w:rsidRPr="001308A6">
        <w:rPr>
          <w:rFonts w:ascii="Verdana" w:hAnsi="Verdana" w:cs="Arial"/>
          <w:sz w:val="14"/>
          <w:szCs w:val="14"/>
        </w:rPr>
        <w:t>“</w:t>
      </w:r>
      <w:r w:rsidRPr="001308A6">
        <w:rPr>
          <w:rFonts w:ascii="Verdana" w:eastAsia="Calibri" w:hAnsi="Verdana" w:cs="Arial"/>
          <w:sz w:val="14"/>
          <w:szCs w:val="14"/>
          <w:lang w:val="es-ES_tradnl"/>
        </w:rPr>
        <w:t xml:space="preserve">He sido de la tesis que la entidad no puede «inventarse» prohibiciones en los pliegos de condiciones habida consideración que su consagración es eminentemente legal; sin embargo, de tiempo atrás y a raíz de la instauración legal del Conflicto de Interés en el artículo 40 de la Ley 734 de 2002, contentiva del Código Disciplinario Único, se ha venido regulando en los pliegos de condiciones esta figura con el fin de evitar la selección de oferentes que por alguna circunstancia pueda poner en riesgo el adecuado cumplimiento del contrato dadas las relaciones que podría existir con personas directamente involucradas en la actividad concerniente al objeto del contrato. Así mismo las entidades estatales que están por fuera del Estatuto General de Contratación, han consagrado en sus Estatutos Internos de Contratación disposiciones que regulan la materia </w:t>
      </w:r>
      <w:proofErr w:type="gramStart"/>
      <w:r w:rsidRPr="001308A6">
        <w:rPr>
          <w:rFonts w:ascii="Verdana" w:eastAsia="Calibri" w:hAnsi="Verdana" w:cs="Arial"/>
          <w:sz w:val="14"/>
          <w:szCs w:val="14"/>
          <w:lang w:val="es-ES_tradnl"/>
        </w:rPr>
        <w:t>que</w:t>
      </w:r>
      <w:proofErr w:type="gramEnd"/>
      <w:r w:rsidRPr="001308A6">
        <w:rPr>
          <w:rFonts w:ascii="Verdana" w:eastAsia="Calibri" w:hAnsi="Verdana" w:cs="Arial"/>
          <w:sz w:val="14"/>
          <w:szCs w:val="14"/>
          <w:lang w:val="es-ES_tradnl"/>
        </w:rPr>
        <w:t xml:space="preserve"> por supuesto resultan aplicables a sus procesos de selección, así en los pliegos de condiciones nada se diga. De manera general, habría que decir que se interpreta el conflicto de intereses como la concurrencia de intereses antagónicos, por lo que puede afectarse la transparencia de las decisiones que le competen y lo pueden llevar a adoptar determinaciones de aprovechamiento personal, familiar o particular, en detrimento del interés público”. </w:t>
      </w:r>
      <w:r w:rsidRPr="001308A6">
        <w:rPr>
          <w:rFonts w:ascii="Verdana" w:hAnsi="Verdana" w:cs="Arial"/>
          <w:color w:val="000000" w:themeColor="text1"/>
          <w:sz w:val="14"/>
          <w:szCs w:val="14"/>
        </w:rPr>
        <w:t xml:space="preserve">DÁVILA VINUEZA, Luis Guillermo. </w:t>
      </w:r>
      <w:proofErr w:type="spellStart"/>
      <w:r w:rsidRPr="001308A6">
        <w:rPr>
          <w:rFonts w:ascii="Verdana" w:hAnsi="Verdana" w:cs="Arial"/>
          <w:color w:val="000000" w:themeColor="text1"/>
          <w:sz w:val="14"/>
          <w:szCs w:val="14"/>
        </w:rPr>
        <w:t>Op</w:t>
      </w:r>
      <w:proofErr w:type="spellEnd"/>
      <w:r w:rsidRPr="001308A6">
        <w:rPr>
          <w:rFonts w:ascii="Verdana" w:hAnsi="Verdana" w:cs="Arial"/>
          <w:color w:val="000000" w:themeColor="text1"/>
          <w:sz w:val="14"/>
          <w:szCs w:val="14"/>
        </w:rPr>
        <w:t>. Cit., pp. 149-153.</w:t>
      </w:r>
    </w:p>
    <w:p w14:paraId="161EABCD" w14:textId="77777777" w:rsidR="009E40F5" w:rsidRPr="001308A6" w:rsidRDefault="009E40F5" w:rsidP="009E40F5">
      <w:pPr>
        <w:pStyle w:val="Textonotapie"/>
        <w:ind w:firstLine="708"/>
        <w:jc w:val="both"/>
        <w:rPr>
          <w:rFonts w:ascii="Verdana" w:hAnsi="Verdana" w:cs="Arial"/>
          <w:color w:val="000000" w:themeColor="text1"/>
          <w:sz w:val="14"/>
          <w:szCs w:val="14"/>
          <w:lang w:val="es-CO"/>
        </w:rPr>
      </w:pPr>
    </w:p>
  </w:footnote>
  <w:footnote w:id="21">
    <w:p w14:paraId="31B19C1C" w14:textId="77777777" w:rsidR="009E40F5" w:rsidRPr="001308A6" w:rsidRDefault="009E40F5" w:rsidP="009E40F5">
      <w:pPr>
        <w:pStyle w:val="Textonotapie"/>
        <w:ind w:firstLine="708"/>
        <w:jc w:val="both"/>
        <w:rPr>
          <w:rFonts w:ascii="Verdana" w:hAnsi="Verdana" w:cs="Arial"/>
          <w:color w:val="000000" w:themeColor="text1"/>
          <w:sz w:val="14"/>
          <w:szCs w:val="14"/>
          <w:lang w:val="es-CO"/>
        </w:rPr>
      </w:pPr>
      <w:r w:rsidRPr="001308A6">
        <w:rPr>
          <w:rStyle w:val="Refdenotaalpie"/>
          <w:rFonts w:ascii="Verdana" w:hAnsi="Verdana" w:cs="Arial"/>
          <w:color w:val="000000" w:themeColor="text1"/>
          <w:sz w:val="14"/>
          <w:szCs w:val="14"/>
        </w:rPr>
        <w:footnoteRef/>
      </w:r>
      <w:r w:rsidRPr="001308A6">
        <w:rPr>
          <w:rFonts w:ascii="Verdana" w:hAnsi="Verdana" w:cs="Arial"/>
          <w:color w:val="000000" w:themeColor="text1"/>
          <w:sz w:val="14"/>
          <w:szCs w:val="14"/>
        </w:rPr>
        <w:t xml:space="preserve"> Siendo los pronunciamientos más relevantes el Concepto del 10 de agosto de 2006. </w:t>
      </w:r>
      <w:proofErr w:type="spellStart"/>
      <w:r w:rsidRPr="001308A6">
        <w:rPr>
          <w:rFonts w:ascii="Verdana" w:hAnsi="Verdana" w:cs="Arial"/>
          <w:color w:val="000000" w:themeColor="text1"/>
          <w:sz w:val="14"/>
          <w:szCs w:val="14"/>
        </w:rPr>
        <w:t>Exp</w:t>
      </w:r>
      <w:proofErr w:type="spellEnd"/>
      <w:r w:rsidRPr="001308A6">
        <w:rPr>
          <w:rFonts w:ascii="Verdana" w:hAnsi="Verdana" w:cs="Arial"/>
          <w:color w:val="000000" w:themeColor="text1"/>
          <w:sz w:val="14"/>
          <w:szCs w:val="14"/>
        </w:rPr>
        <w:t>. 1.767 –C.P. Luis Fernando Álvarez Jaramillo–, reiterado y complementado en el Concepto del 23 de marzo de 2011. Rad. 2.045 –C.P. Enrique José Arboleda Perdomo–.</w:t>
      </w:r>
    </w:p>
  </w:footnote>
  <w:footnote w:id="22">
    <w:p w14:paraId="05BEA056" w14:textId="77777777" w:rsidR="009E40F5" w:rsidRPr="001308A6" w:rsidRDefault="009E40F5" w:rsidP="009E40F5">
      <w:pPr>
        <w:pStyle w:val="Textonotapie"/>
        <w:ind w:firstLine="708"/>
        <w:jc w:val="both"/>
        <w:rPr>
          <w:rFonts w:ascii="Verdana" w:hAnsi="Verdana" w:cs="Arial"/>
          <w:color w:val="000000" w:themeColor="text1"/>
          <w:sz w:val="14"/>
          <w:szCs w:val="14"/>
          <w:lang w:val="es-CO"/>
        </w:rPr>
      </w:pPr>
      <w:r w:rsidRPr="001308A6">
        <w:rPr>
          <w:rStyle w:val="Refdenotaalpie"/>
          <w:rFonts w:ascii="Verdana" w:hAnsi="Verdana" w:cs="Arial"/>
          <w:color w:val="000000" w:themeColor="text1"/>
          <w:sz w:val="14"/>
          <w:szCs w:val="14"/>
        </w:rPr>
        <w:footnoteRef/>
      </w:r>
      <w:r w:rsidRPr="001308A6">
        <w:rPr>
          <w:rFonts w:ascii="Verdana" w:hAnsi="Verdana" w:cs="Arial"/>
          <w:color w:val="000000" w:themeColor="text1"/>
          <w:sz w:val="14"/>
          <w:szCs w:val="14"/>
        </w:rPr>
        <w:t xml:space="preserve"> DÁVILA VINUEZA, Luis Guillermo. </w:t>
      </w:r>
      <w:proofErr w:type="spellStart"/>
      <w:r w:rsidRPr="001308A6">
        <w:rPr>
          <w:rFonts w:ascii="Verdana" w:hAnsi="Verdana" w:cs="Arial"/>
          <w:color w:val="000000" w:themeColor="text1"/>
          <w:sz w:val="14"/>
          <w:szCs w:val="14"/>
        </w:rPr>
        <w:t>Op</w:t>
      </w:r>
      <w:proofErr w:type="spellEnd"/>
      <w:r w:rsidRPr="001308A6">
        <w:rPr>
          <w:rFonts w:ascii="Verdana" w:hAnsi="Verdana" w:cs="Arial"/>
          <w:color w:val="000000" w:themeColor="text1"/>
          <w:sz w:val="14"/>
          <w:szCs w:val="14"/>
        </w:rPr>
        <w:t>. Cit., pp. 150-152.</w:t>
      </w:r>
    </w:p>
  </w:footnote>
  <w:footnote w:id="23">
    <w:p w14:paraId="7D19C5A0" w14:textId="77777777" w:rsidR="009E40F5" w:rsidRPr="001308A6" w:rsidRDefault="009E40F5" w:rsidP="009E40F5">
      <w:pPr>
        <w:pStyle w:val="Textonotapie"/>
        <w:ind w:firstLine="708"/>
        <w:jc w:val="both"/>
        <w:rPr>
          <w:rFonts w:ascii="Verdana" w:hAnsi="Verdana" w:cs="Arial"/>
          <w:sz w:val="14"/>
          <w:szCs w:val="14"/>
          <w:lang w:val="es-CO"/>
        </w:rPr>
      </w:pPr>
      <w:r w:rsidRPr="001308A6">
        <w:rPr>
          <w:rStyle w:val="Refdenotaalpie"/>
          <w:rFonts w:ascii="Verdana" w:hAnsi="Verdana" w:cs="Arial"/>
          <w:sz w:val="14"/>
          <w:szCs w:val="14"/>
        </w:rPr>
        <w:footnoteRef/>
      </w:r>
      <w:r w:rsidRPr="001308A6">
        <w:rPr>
          <w:rFonts w:ascii="Verdana" w:hAnsi="Verdana" w:cs="Arial"/>
          <w:sz w:val="14"/>
          <w:szCs w:val="14"/>
        </w:rPr>
        <w:t xml:space="preserve"> </w:t>
      </w:r>
      <w:r>
        <w:rPr>
          <w:rFonts w:ascii="Verdana" w:hAnsi="Verdana" w:cs="Arial"/>
          <w:sz w:val="14"/>
          <w:szCs w:val="14"/>
        </w:rPr>
        <w:t>Consejo de Estado</w:t>
      </w:r>
      <w:r w:rsidRPr="001308A6">
        <w:rPr>
          <w:rFonts w:ascii="Verdana" w:hAnsi="Verdana" w:cs="Arial"/>
          <w:sz w:val="14"/>
          <w:szCs w:val="14"/>
        </w:rPr>
        <w:t xml:space="preserve">. Sala de Consulta y Servicio Civil. </w:t>
      </w:r>
      <w:r w:rsidRPr="001308A6">
        <w:rPr>
          <w:rFonts w:ascii="Verdana" w:hAnsi="Verdana" w:cs="Arial"/>
          <w:color w:val="000000" w:themeColor="text1"/>
          <w:sz w:val="14"/>
          <w:szCs w:val="14"/>
        </w:rPr>
        <w:t>Concepto del 23 de marzo de 2011. Rad. 2.045. C.P. Enrique José Arboleda Perdomo.</w:t>
      </w:r>
    </w:p>
  </w:footnote>
  <w:footnote w:id="24">
    <w:p w14:paraId="60BF88C7" w14:textId="77777777" w:rsidR="009E40F5" w:rsidRPr="001308A6" w:rsidRDefault="009E40F5" w:rsidP="009E40F5">
      <w:pPr>
        <w:pStyle w:val="Textonotapie"/>
        <w:ind w:firstLine="708"/>
        <w:jc w:val="both"/>
        <w:rPr>
          <w:rFonts w:ascii="Verdana" w:hAnsi="Verdana" w:cs="Arial"/>
          <w:color w:val="000000" w:themeColor="text1"/>
          <w:sz w:val="14"/>
          <w:szCs w:val="14"/>
        </w:rPr>
      </w:pPr>
      <w:r w:rsidRPr="001308A6">
        <w:rPr>
          <w:rStyle w:val="Refdenotaalpie"/>
          <w:rFonts w:ascii="Verdana" w:hAnsi="Verdana" w:cs="Arial"/>
          <w:sz w:val="14"/>
          <w:szCs w:val="14"/>
        </w:rPr>
        <w:footnoteRef/>
      </w:r>
      <w:r w:rsidRPr="001308A6">
        <w:rPr>
          <w:rFonts w:ascii="Verdana" w:hAnsi="Verdana" w:cs="Arial"/>
          <w:sz w:val="14"/>
          <w:szCs w:val="14"/>
        </w:rPr>
        <w:t xml:space="preserve"> C</w:t>
      </w:r>
      <w:r>
        <w:rPr>
          <w:rFonts w:ascii="Verdana" w:hAnsi="Verdana" w:cs="Arial"/>
          <w:sz w:val="14"/>
          <w:szCs w:val="14"/>
        </w:rPr>
        <w:t>onsejo de Estado</w:t>
      </w:r>
      <w:r w:rsidRPr="001308A6">
        <w:rPr>
          <w:rFonts w:ascii="Verdana" w:hAnsi="Verdana" w:cs="Arial"/>
          <w:sz w:val="14"/>
          <w:szCs w:val="14"/>
        </w:rPr>
        <w:t xml:space="preserve">. Sala de Consulta y Servicio Civil. Concepto del </w:t>
      </w:r>
      <w:r w:rsidRPr="001308A6">
        <w:rPr>
          <w:rFonts w:ascii="Verdana" w:hAnsi="Verdana" w:cs="Arial"/>
          <w:color w:val="000000" w:themeColor="text1"/>
          <w:sz w:val="14"/>
          <w:szCs w:val="14"/>
        </w:rPr>
        <w:t xml:space="preserve">10 de agosto de 2006. </w:t>
      </w:r>
      <w:proofErr w:type="spellStart"/>
      <w:r w:rsidRPr="001308A6">
        <w:rPr>
          <w:rFonts w:ascii="Verdana" w:hAnsi="Verdana" w:cs="Arial"/>
          <w:color w:val="000000" w:themeColor="text1"/>
          <w:sz w:val="14"/>
          <w:szCs w:val="14"/>
        </w:rPr>
        <w:t>Exp</w:t>
      </w:r>
      <w:proofErr w:type="spellEnd"/>
      <w:r w:rsidRPr="001308A6">
        <w:rPr>
          <w:rFonts w:ascii="Verdana" w:hAnsi="Verdana" w:cs="Arial"/>
          <w:color w:val="000000" w:themeColor="text1"/>
          <w:sz w:val="14"/>
          <w:szCs w:val="14"/>
        </w:rPr>
        <w:t>. 1.767. C.P. Luis Fernando Álvarez Jaramillo.</w:t>
      </w:r>
    </w:p>
    <w:p w14:paraId="2EEF2BA9" w14:textId="77777777" w:rsidR="009E40F5" w:rsidRPr="001308A6" w:rsidRDefault="009E40F5" w:rsidP="009E40F5">
      <w:pPr>
        <w:pStyle w:val="Textonotapie"/>
        <w:ind w:firstLine="708"/>
        <w:jc w:val="both"/>
        <w:rPr>
          <w:rFonts w:ascii="Verdana" w:hAnsi="Verdana" w:cs="Arial"/>
          <w:sz w:val="14"/>
          <w:szCs w:val="14"/>
          <w:lang w:val="es-CO"/>
        </w:rPr>
      </w:pPr>
    </w:p>
  </w:footnote>
  <w:footnote w:id="25">
    <w:p w14:paraId="286AC56B" w14:textId="77777777" w:rsidR="009E40F5" w:rsidRPr="001308A6" w:rsidRDefault="009E40F5" w:rsidP="009E40F5">
      <w:pPr>
        <w:pStyle w:val="Textonotapie"/>
        <w:ind w:firstLine="708"/>
        <w:jc w:val="both"/>
        <w:rPr>
          <w:rFonts w:ascii="Verdana" w:eastAsia="Calibri" w:hAnsi="Verdana" w:cs="Arial"/>
          <w:sz w:val="14"/>
          <w:szCs w:val="14"/>
          <w:lang w:val="es-CO"/>
        </w:rPr>
      </w:pPr>
      <w:r w:rsidRPr="001308A6">
        <w:rPr>
          <w:rStyle w:val="Refdenotaalpie"/>
          <w:rFonts w:ascii="Verdana" w:hAnsi="Verdana" w:cs="Arial"/>
          <w:sz w:val="14"/>
          <w:szCs w:val="14"/>
        </w:rPr>
        <w:footnoteRef/>
      </w:r>
      <w:r w:rsidRPr="001308A6">
        <w:rPr>
          <w:rFonts w:ascii="Verdana" w:hAnsi="Verdana" w:cs="Arial"/>
          <w:sz w:val="14"/>
          <w:szCs w:val="14"/>
        </w:rPr>
        <w:t xml:space="preserve"> Como expresa DÁVILA: «[…] </w:t>
      </w:r>
      <w:r w:rsidRPr="001308A6">
        <w:rPr>
          <w:rFonts w:ascii="Verdana" w:eastAsia="Calibri" w:hAnsi="Verdana" w:cs="Arial"/>
          <w:sz w:val="14"/>
          <w:szCs w:val="14"/>
          <w:lang w:val="es-CO"/>
        </w:rPr>
        <w:t xml:space="preserve">la entidad estatal en la etapa previa o de planeación debe advertir situaciones concretas y reales que puedan implicar un conflicto de interés. Una vez hecho, debe tipificarlas de manera objetiva, clara y completa en el pliego de condiciones y consecuentemente aplicarlas de manera restrictiva y taxativa al momento de evaluar y adjudicar el contrato, no pudiéndose, so pena de violar la ley, diseñarse, crearse o inventarse alguna nueva» (DÁVILA VINUEZA, Luis Guillermo. </w:t>
      </w:r>
      <w:proofErr w:type="spellStart"/>
      <w:r w:rsidRPr="001308A6">
        <w:rPr>
          <w:rFonts w:ascii="Verdana" w:eastAsia="Calibri" w:hAnsi="Verdana" w:cs="Arial"/>
          <w:sz w:val="14"/>
          <w:szCs w:val="14"/>
          <w:lang w:val="es-CO"/>
        </w:rPr>
        <w:t>Op</w:t>
      </w:r>
      <w:proofErr w:type="spellEnd"/>
      <w:r w:rsidRPr="001308A6">
        <w:rPr>
          <w:rFonts w:ascii="Verdana" w:eastAsia="Calibri" w:hAnsi="Verdana" w:cs="Arial"/>
          <w:sz w:val="14"/>
          <w:szCs w:val="14"/>
          <w:lang w:val="es-CO"/>
        </w:rPr>
        <w:t>. Cit., p. 151.</w:t>
      </w:r>
    </w:p>
    <w:p w14:paraId="2324573D" w14:textId="77777777" w:rsidR="009E40F5" w:rsidRPr="001308A6" w:rsidRDefault="009E40F5" w:rsidP="009E40F5">
      <w:pPr>
        <w:pStyle w:val="Textonotapie"/>
        <w:ind w:firstLine="708"/>
        <w:jc w:val="both"/>
        <w:rPr>
          <w:rFonts w:ascii="Verdana" w:hAnsi="Verdana" w:cs="Arial"/>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0787296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821933814" o:spid="_x0000_i1025" type="#_x0000_t75" style="width:11.25pt;height:11.25pt;visibility:visible;mso-wrap-style:square">
            <v:imagedata r:id="rId1" o:title=""/>
          </v:shape>
        </w:pict>
      </mc:Choice>
      <mc:Fallback>
        <w:drawing>
          <wp:inline distT="0" distB="0" distL="0" distR="0" wp14:anchorId="0B91E6ED" wp14:editId="7754D5D4">
            <wp:extent cx="142875" cy="142875"/>
            <wp:effectExtent l="0" t="0" r="0" b="0"/>
            <wp:docPr id="1821933814" name="Imagen 1821933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03C561D"/>
    <w:multiLevelType w:val="hybridMultilevel"/>
    <w:tmpl w:val="AD5641F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6537291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0537"/>
    <w:rsid w:val="00082362"/>
    <w:rsid w:val="000A099A"/>
    <w:rsid w:val="000A683E"/>
    <w:rsid w:val="000B19B9"/>
    <w:rsid w:val="000C420D"/>
    <w:rsid w:val="000D0334"/>
    <w:rsid w:val="000F6486"/>
    <w:rsid w:val="00125105"/>
    <w:rsid w:val="00127233"/>
    <w:rsid w:val="001511A0"/>
    <w:rsid w:val="0017321D"/>
    <w:rsid w:val="001E4177"/>
    <w:rsid w:val="001F7DC6"/>
    <w:rsid w:val="002421BB"/>
    <w:rsid w:val="0025796E"/>
    <w:rsid w:val="002707A2"/>
    <w:rsid w:val="00282CDC"/>
    <w:rsid w:val="002951A0"/>
    <w:rsid w:val="002962BC"/>
    <w:rsid w:val="002A093D"/>
    <w:rsid w:val="002A0DD0"/>
    <w:rsid w:val="002A49AC"/>
    <w:rsid w:val="002A64FD"/>
    <w:rsid w:val="002C7A84"/>
    <w:rsid w:val="002E4FD9"/>
    <w:rsid w:val="00322A85"/>
    <w:rsid w:val="00324168"/>
    <w:rsid w:val="003448F4"/>
    <w:rsid w:val="00364A0E"/>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22327"/>
    <w:rsid w:val="005566E8"/>
    <w:rsid w:val="00574867"/>
    <w:rsid w:val="00591460"/>
    <w:rsid w:val="005B3816"/>
    <w:rsid w:val="005C3777"/>
    <w:rsid w:val="005C5CDC"/>
    <w:rsid w:val="005D476C"/>
    <w:rsid w:val="006219F8"/>
    <w:rsid w:val="00665D70"/>
    <w:rsid w:val="006900D9"/>
    <w:rsid w:val="006D1B56"/>
    <w:rsid w:val="00706C16"/>
    <w:rsid w:val="00756841"/>
    <w:rsid w:val="007649AB"/>
    <w:rsid w:val="00771D0C"/>
    <w:rsid w:val="00775D0D"/>
    <w:rsid w:val="007833AC"/>
    <w:rsid w:val="007B268C"/>
    <w:rsid w:val="007B7171"/>
    <w:rsid w:val="007C0C0F"/>
    <w:rsid w:val="007C2899"/>
    <w:rsid w:val="007C3DC2"/>
    <w:rsid w:val="007E5497"/>
    <w:rsid w:val="00806F5F"/>
    <w:rsid w:val="00820278"/>
    <w:rsid w:val="00821123"/>
    <w:rsid w:val="0082266B"/>
    <w:rsid w:val="008316D3"/>
    <w:rsid w:val="008532EF"/>
    <w:rsid w:val="00867F95"/>
    <w:rsid w:val="008843B6"/>
    <w:rsid w:val="00891928"/>
    <w:rsid w:val="008958FB"/>
    <w:rsid w:val="008A446D"/>
    <w:rsid w:val="008D180B"/>
    <w:rsid w:val="008D5C11"/>
    <w:rsid w:val="008F0EA7"/>
    <w:rsid w:val="00923EEF"/>
    <w:rsid w:val="009419F9"/>
    <w:rsid w:val="0095685E"/>
    <w:rsid w:val="00961B09"/>
    <w:rsid w:val="00965334"/>
    <w:rsid w:val="0097093E"/>
    <w:rsid w:val="009742FC"/>
    <w:rsid w:val="00986AC5"/>
    <w:rsid w:val="009A0DFA"/>
    <w:rsid w:val="009B2D26"/>
    <w:rsid w:val="009C71FA"/>
    <w:rsid w:val="009C72E7"/>
    <w:rsid w:val="009D3058"/>
    <w:rsid w:val="009E40F5"/>
    <w:rsid w:val="009F3A13"/>
    <w:rsid w:val="00A122D3"/>
    <w:rsid w:val="00A17F13"/>
    <w:rsid w:val="00A20739"/>
    <w:rsid w:val="00A33C78"/>
    <w:rsid w:val="00AB0ADB"/>
    <w:rsid w:val="00B01B1A"/>
    <w:rsid w:val="00B66319"/>
    <w:rsid w:val="00B72CD3"/>
    <w:rsid w:val="00B72FFF"/>
    <w:rsid w:val="00BC3D36"/>
    <w:rsid w:val="00BC637A"/>
    <w:rsid w:val="00BD7F72"/>
    <w:rsid w:val="00C04FB3"/>
    <w:rsid w:val="00C21F0B"/>
    <w:rsid w:val="00C330EB"/>
    <w:rsid w:val="00C41061"/>
    <w:rsid w:val="00C73915"/>
    <w:rsid w:val="00C754BE"/>
    <w:rsid w:val="00C76B1C"/>
    <w:rsid w:val="00CB6357"/>
    <w:rsid w:val="00CC1B26"/>
    <w:rsid w:val="00D423A2"/>
    <w:rsid w:val="00D520D8"/>
    <w:rsid w:val="00D63AC2"/>
    <w:rsid w:val="00D6658B"/>
    <w:rsid w:val="00D7383B"/>
    <w:rsid w:val="00DA22DD"/>
    <w:rsid w:val="00DA231B"/>
    <w:rsid w:val="00DC39FC"/>
    <w:rsid w:val="00DF5254"/>
    <w:rsid w:val="00E16408"/>
    <w:rsid w:val="00E20894"/>
    <w:rsid w:val="00E245AB"/>
    <w:rsid w:val="00E27015"/>
    <w:rsid w:val="00E2764C"/>
    <w:rsid w:val="00E27F2E"/>
    <w:rsid w:val="00E50AFE"/>
    <w:rsid w:val="00E75C92"/>
    <w:rsid w:val="00E771DC"/>
    <w:rsid w:val="00E8772A"/>
    <w:rsid w:val="00E90F6B"/>
    <w:rsid w:val="00E92C27"/>
    <w:rsid w:val="00EA0E3D"/>
    <w:rsid w:val="00EC38A7"/>
    <w:rsid w:val="00ED7384"/>
    <w:rsid w:val="00EE1AA8"/>
    <w:rsid w:val="00F31EDC"/>
    <w:rsid w:val="00F462B3"/>
    <w:rsid w:val="00F5664F"/>
    <w:rsid w:val="00F666C4"/>
    <w:rsid w:val="00F71D8D"/>
    <w:rsid w:val="00F76AFC"/>
    <w:rsid w:val="00FA47C0"/>
    <w:rsid w:val="00FB5DD1"/>
    <w:rsid w:val="00FC2B5D"/>
    <w:rsid w:val="00FF1449"/>
    <w:rsid w:val="165E9519"/>
    <w:rsid w:val="2C68C867"/>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E40F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E40F5"/>
    <w:rPr>
      <w:rFonts w:ascii="Geomanist Light" w:hAnsi="Geomanist Light"/>
      <w:lang w:val="es-ES"/>
    </w:rPr>
  </w:style>
  <w:style w:type="character" w:customStyle="1" w:styleId="NormalWebCar">
    <w:name w:val="Normal (Web) Car"/>
    <w:link w:val="NormalWeb"/>
    <w:uiPriority w:val="99"/>
    <w:rsid w:val="009E40F5"/>
    <w:rPr>
      <w:rFonts w:ascii="Times New Roman" w:eastAsia="Times New Roman" w:hAnsi="Times New Roman" w:cs="Times New Roman"/>
      <w:sz w:val="24"/>
      <w:szCs w:val="24"/>
      <w:lang w:eastAsia="es-CO"/>
    </w:rPr>
  </w:style>
  <w:style w:type="paragraph" w:styleId="Sinespaciado">
    <w:name w:val="No Spacing"/>
    <w:aliases w:val="No Indent"/>
    <w:uiPriority w:val="3"/>
    <w:qFormat/>
    <w:rsid w:val="009E40F5"/>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cartilla-para-incentivar-y-fortalecer-el-acceso-las&amp;data=05%7C02%7Cesperanza.contreras%40colombiacompra.gov.co%7Ceb0fd05604104aa4d3bc08dd4c4ad35e%7C7b09041e245149d08cb179d5e3d8c1be%7C0%7C0%7C638750606446508016%7CUnknown%7CTWFpbGZsb3d8eyJFbXB0eU1hcGkiOnRydWUsIlYiOiIwLjAuMDAwMCIsIlAiOiJXaW4zMiIsIkFOIjoiTWFpbCIsIldUIjoyfQ%3D%3D%7C0%7C%7C%7C&amp;sdata=w5yEy%2F7g7%2F%2FIXj5TgaBe1Ucg3Eiuadk9fm7CybX%2F5Gw%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bgprocesos@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normativa-y-relatoria%2Fdocumentos-tipo&amp;data=05%7C02%7Cesperanza.contreras%40colombiacompra.gov.co%7C603e1a9f513d4811571608dd8e333a73%7C7b09041e245149d08cb179d5e3d8c1be%7C0%7C0%7C638823072859412950%7CUnknown%7CTWFpbGZsb3d8eyJFbXB0eU1hcGkiOnRydWUsIlYiOiIwLjAuMDAwMCIsIlAiOiJXaW4zMiIsIkFOIjoiTWFpbCIsIldUIjoyfQ%3D%3D%7C0%7C%7C%7C&amp;sdata=pax5WaTXSmJp207uV%2Bljy57%2BO5OonaHXbA7K0km6ryM%3D&amp;reserved=0"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esperanza.contreras%40colombiacompra.gov.co%7Ceb0fd05604104aa4d3bc08dd4c4ad35e%7C7b09041e245149d08cb179d5e3d8c1be%7C0%7C0%7C638750606446533879%7CUnknown%7CTWFpbGZsb3d8eyJFbXB0eU1hcGkiOnRydWUsIlYiOiIwLjAuMDAwMCIsIlAiOiJXaW4zMiIsIkFOIjoiTWFpbCIsIldUIjoyfQ%3D%3D%7C0%7C%7C%7C&amp;sdata=L0pIxKODuvqdJdlvvPzHiozW8YtzgU8R4%2F%2Btbs%2BwOF4%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1474_2011_pr001.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2F634863-9E76-4C5B-AC83-8A3BAD08BDF5}"/>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c086ebc9-8fd5-442b-abc4-722db14db030"/>
    <ds:schemaRef ds:uri="8ae15d26-076e-464e-81a7-6f76a0fb3917"/>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31</Pages>
  <Words>11017</Words>
  <Characters>60596</Characters>
  <Application>Microsoft Office Word</Application>
  <DocSecurity>0</DocSecurity>
  <Lines>504</Lines>
  <Paragraphs>142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9</cp:revision>
  <cp:lastPrinted>2023-01-10T21:18:00Z</cp:lastPrinted>
  <dcterms:created xsi:type="dcterms:W3CDTF">2025-06-06T03:08:00Z</dcterms:created>
  <dcterms:modified xsi:type="dcterms:W3CDTF">2025-06-06T12:59:00Z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