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15631" w14:textId="0A36CC17" w:rsidR="00775B98" w:rsidRPr="00144C62" w:rsidRDefault="00775B98" w:rsidP="00144C62">
      <w:pPr>
        <w:pStyle w:val="TableParagraph"/>
        <w:spacing w:before="43" w:line="276" w:lineRule="auto"/>
        <w:ind w:left="0" w:right="48"/>
        <w:jc w:val="both"/>
        <w:rPr>
          <w:rFonts w:ascii="Verdana" w:hAnsi="Verdana"/>
          <w:b/>
          <w:bCs/>
        </w:rPr>
      </w:pPr>
      <w:bookmarkStart w:id="0" w:name="_Hlk143780582"/>
      <w:r w:rsidRPr="008F584A">
        <w:rPr>
          <w:rFonts w:ascii="Verdana" w:hAnsi="Verdana"/>
          <w:b/>
          <w:bCs/>
        </w:rPr>
        <w:t>ANÁLISIS</w:t>
      </w:r>
      <w:r w:rsidRPr="008F584A">
        <w:rPr>
          <w:rFonts w:ascii="Verdana" w:hAnsi="Verdana"/>
          <w:b/>
          <w:bCs/>
          <w:spacing w:val="39"/>
        </w:rPr>
        <w:t xml:space="preserve"> </w:t>
      </w:r>
      <w:r w:rsidRPr="008F584A">
        <w:rPr>
          <w:rFonts w:ascii="Verdana" w:hAnsi="Verdana"/>
          <w:b/>
          <w:bCs/>
        </w:rPr>
        <w:t>DEL</w:t>
      </w:r>
      <w:r w:rsidRPr="008F584A">
        <w:rPr>
          <w:rFonts w:ascii="Verdana" w:hAnsi="Verdana"/>
          <w:b/>
          <w:bCs/>
          <w:spacing w:val="45"/>
        </w:rPr>
        <w:t xml:space="preserve"> </w:t>
      </w:r>
      <w:r w:rsidRPr="008F584A">
        <w:rPr>
          <w:rFonts w:ascii="Verdana" w:hAnsi="Verdana"/>
          <w:b/>
          <w:bCs/>
        </w:rPr>
        <w:t xml:space="preserve">SECTOR </w:t>
      </w:r>
      <w:proofErr w:type="gramStart"/>
      <w:r w:rsidRPr="008F584A">
        <w:rPr>
          <w:rFonts w:ascii="Verdana" w:hAnsi="Verdana"/>
          <w:b/>
          <w:bCs/>
        </w:rPr>
        <w:t xml:space="preserve">- </w:t>
      </w:r>
      <w:r w:rsidRPr="008F584A">
        <w:rPr>
          <w:rFonts w:ascii="Verdana" w:hAnsi="Verdana"/>
          <w:b/>
          <w:bCs/>
          <w:spacing w:val="46"/>
          <w:w w:val="150"/>
        </w:rPr>
        <w:t xml:space="preserve"> </w:t>
      </w:r>
      <w:r w:rsidRPr="008F584A">
        <w:rPr>
          <w:rFonts w:ascii="Verdana" w:hAnsi="Verdana"/>
          <w:b/>
          <w:bCs/>
        </w:rPr>
        <w:t>SIN</w:t>
      </w:r>
      <w:proofErr w:type="gramEnd"/>
      <w:r w:rsidRPr="008F584A">
        <w:rPr>
          <w:rFonts w:ascii="Verdana" w:hAnsi="Verdana"/>
          <w:b/>
          <w:bCs/>
          <w:spacing w:val="47"/>
          <w:w w:val="150"/>
        </w:rPr>
        <w:t xml:space="preserve">  </w:t>
      </w:r>
      <w:proofErr w:type="gramStart"/>
      <w:r w:rsidRPr="008F584A">
        <w:rPr>
          <w:rFonts w:ascii="Verdana" w:hAnsi="Verdana"/>
          <w:b/>
          <w:bCs/>
        </w:rPr>
        <w:t>EROGACIÓN</w:t>
      </w:r>
      <w:r w:rsidRPr="008F584A">
        <w:rPr>
          <w:rFonts w:ascii="Verdana" w:hAnsi="Verdana"/>
          <w:b/>
          <w:bCs/>
          <w:spacing w:val="46"/>
          <w:w w:val="150"/>
        </w:rPr>
        <w:t xml:space="preserve">  </w:t>
      </w:r>
      <w:r w:rsidRPr="008F584A">
        <w:rPr>
          <w:rFonts w:ascii="Verdana" w:hAnsi="Verdana"/>
          <w:b/>
          <w:bCs/>
        </w:rPr>
        <w:t>PRESUPUESTAL</w:t>
      </w:r>
      <w:proofErr w:type="gramEnd"/>
      <w:r w:rsidRPr="008F584A">
        <w:rPr>
          <w:rFonts w:ascii="Verdana" w:hAnsi="Verdana"/>
          <w:b/>
          <w:bCs/>
          <w:spacing w:val="-10"/>
        </w:rPr>
        <w:t xml:space="preserve">– </w:t>
      </w:r>
      <w:r w:rsidRPr="008F584A">
        <w:rPr>
          <w:rFonts w:ascii="Verdana" w:hAnsi="Verdana"/>
          <w:b/>
          <w:bCs/>
        </w:rPr>
        <w:t>presupuesto</w:t>
      </w:r>
      <w:r w:rsidRPr="008F584A">
        <w:rPr>
          <w:rFonts w:ascii="Verdana" w:hAnsi="Verdana"/>
          <w:b/>
          <w:bCs/>
          <w:spacing w:val="-16"/>
        </w:rPr>
        <w:t xml:space="preserve"> </w:t>
      </w:r>
      <w:r w:rsidRPr="008F584A">
        <w:rPr>
          <w:rFonts w:ascii="Verdana" w:hAnsi="Verdana"/>
          <w:b/>
          <w:bCs/>
          <w:spacing w:val="-4"/>
        </w:rPr>
        <w:t>cero.</w:t>
      </w:r>
    </w:p>
    <w:p w14:paraId="298E72C4" w14:textId="4D5D4A2F" w:rsidR="00775B98" w:rsidRDefault="00775B98" w:rsidP="00775B98">
      <w:pPr>
        <w:spacing w:after="120" w:line="276" w:lineRule="auto"/>
        <w:jc w:val="both"/>
        <w:rPr>
          <w:rFonts w:ascii="Verdana" w:eastAsia="Arial MT" w:hAnsi="Verdana" w:cs="Arial"/>
          <w:lang w:val="es-ES"/>
        </w:rPr>
      </w:pPr>
      <w:r>
        <w:rPr>
          <w:rFonts w:ascii="Verdana" w:eastAsia="Arial MT" w:hAnsi="Verdana" w:cs="Arial"/>
          <w:lang w:val="es-ES"/>
        </w:rPr>
        <w:t>El estudio del sector es la manifestación por excelencia del deber de la entidad estatal de conocer el entorno en el que pretende adquirir un bien, obra o servicio. Su propósito, conforme a la normativa expuesta, es realizar un análisis estratégico entendiendo la oferta disponible, las capacidades del mercado, las innovaciones, las variables técnicas y comerciales e identificar los riesgos que puedan afectar la ejecución contractual; Y en segundo lugar poder realizar un análisis económico que sirva como insumo para calcular el presupuesto oficial y el valor estimado del contrato garantizando de esta forma que el precio a pagar sea acorde a las condiciones del mercado y que se cumpla con el principio de economía. Así el componente económico es un eje central de este documento pues justifica la asignación de recursos públicos y soporta el certificado de disponibilidad presupuestal (CDP), que ampara el proceso. Sin embargo y entrando a desarrollar el planteamiento objeto de esta consulta, cuándo una entidad pública piensa celebrar un negocio jurídico como un convenio de colaboración o un convenio marco el cual tiene un presupuesto en cero, por no implicar una transferencia de recursos de una entidad a otra, se desdibuja en principio la finalidad económica del estudio del sector, pues no hay un precio del mercado a determinar ni a presupuestar.</w:t>
      </w:r>
    </w:p>
    <w:p w14:paraId="557112F6" w14:textId="73404068" w:rsidR="00775B98" w:rsidRPr="008F584A" w:rsidRDefault="00775B98" w:rsidP="00144C62">
      <w:pPr>
        <w:spacing w:after="120" w:line="276" w:lineRule="auto"/>
        <w:jc w:val="both"/>
        <w:rPr>
          <w:rFonts w:ascii="Verdana" w:eastAsia="Arial MT" w:hAnsi="Verdana" w:cs="Arial"/>
          <w:lang w:val="es-ES"/>
        </w:rPr>
      </w:pPr>
      <w:r>
        <w:rPr>
          <w:rFonts w:ascii="Verdana" w:eastAsia="Arial MT" w:hAnsi="Verdana" w:cs="Arial"/>
          <w:lang w:val="es-ES"/>
        </w:rPr>
        <w:t xml:space="preserve">No obstante, el principio de planeación cómo pilar fundamental de la contratación, consagrado en el EGP y desarrollado por la Ley 1150 de 2007, impone el deber de qué la entidad cree un documento análogo en el cual se describa la naturaleza del acto jurídico que piensa celebrar por lo que la ausencia de erogación, o presupuesto, no exime a la entidad del deber de analizar, justificar y soportar la conveniencia, oportunidad e idoneidad del convenio o contrato que piensa celebrar. </w:t>
      </w:r>
      <w:r w:rsidRPr="00775B98">
        <w:rPr>
          <w:rFonts w:ascii="Verdana" w:hAnsi="Verdana"/>
        </w:rPr>
        <w:t>Para el caso en particular, El estudio del sector, o el documento equivalente</w:t>
      </w:r>
      <w:r w:rsidRPr="00775B98">
        <w:rPr>
          <w:rFonts w:ascii="Verdana" w:hAnsi="Verdana"/>
          <w:spacing w:val="-12"/>
        </w:rPr>
        <w:t xml:space="preserve"> </w:t>
      </w:r>
      <w:r w:rsidRPr="00775B98">
        <w:rPr>
          <w:rFonts w:ascii="Verdana" w:hAnsi="Verdana"/>
        </w:rPr>
        <w:t>que</w:t>
      </w:r>
      <w:r w:rsidRPr="00775B98">
        <w:rPr>
          <w:rFonts w:ascii="Verdana" w:hAnsi="Verdana"/>
          <w:spacing w:val="-12"/>
        </w:rPr>
        <w:t xml:space="preserve"> </w:t>
      </w:r>
      <w:r w:rsidRPr="00775B98">
        <w:rPr>
          <w:rFonts w:ascii="Verdana" w:hAnsi="Verdana"/>
        </w:rPr>
        <w:t>haga</w:t>
      </w:r>
      <w:r w:rsidRPr="00775B98">
        <w:rPr>
          <w:rFonts w:ascii="Verdana" w:hAnsi="Verdana"/>
          <w:spacing w:val="-13"/>
        </w:rPr>
        <w:t xml:space="preserve"> </w:t>
      </w:r>
      <w:r w:rsidRPr="00775B98">
        <w:rPr>
          <w:rFonts w:ascii="Verdana" w:hAnsi="Verdana"/>
        </w:rPr>
        <w:t>sus</w:t>
      </w:r>
      <w:r w:rsidRPr="00775B98">
        <w:rPr>
          <w:rFonts w:ascii="Verdana" w:hAnsi="Verdana"/>
          <w:spacing w:val="-11"/>
        </w:rPr>
        <w:t xml:space="preserve"> </w:t>
      </w:r>
      <w:r w:rsidRPr="00775B98">
        <w:rPr>
          <w:rFonts w:ascii="Verdana" w:hAnsi="Verdana"/>
        </w:rPr>
        <w:t>veces,</w:t>
      </w:r>
      <w:r w:rsidRPr="00775B98">
        <w:rPr>
          <w:rFonts w:ascii="Verdana" w:hAnsi="Verdana"/>
          <w:spacing w:val="-11"/>
        </w:rPr>
        <w:t xml:space="preserve"> </w:t>
      </w:r>
      <w:r w:rsidRPr="00775B98">
        <w:rPr>
          <w:rFonts w:ascii="Verdana" w:hAnsi="Verdana"/>
        </w:rPr>
        <w:t>materializa</w:t>
      </w:r>
      <w:r w:rsidRPr="00775B98">
        <w:rPr>
          <w:rFonts w:ascii="Verdana" w:hAnsi="Verdana"/>
          <w:spacing w:val="-14"/>
        </w:rPr>
        <w:t xml:space="preserve"> </w:t>
      </w:r>
      <w:r w:rsidRPr="00775B98">
        <w:rPr>
          <w:rFonts w:ascii="Verdana" w:hAnsi="Verdana"/>
        </w:rPr>
        <w:t>el</w:t>
      </w:r>
      <w:r w:rsidRPr="00775B98">
        <w:rPr>
          <w:rFonts w:ascii="Verdana" w:hAnsi="Verdana"/>
          <w:spacing w:val="-11"/>
        </w:rPr>
        <w:t xml:space="preserve"> </w:t>
      </w:r>
      <w:r w:rsidRPr="00775B98">
        <w:rPr>
          <w:rFonts w:ascii="Verdana" w:hAnsi="Verdana"/>
        </w:rPr>
        <w:t>principio</w:t>
      </w:r>
      <w:r w:rsidRPr="00775B98">
        <w:rPr>
          <w:rFonts w:ascii="Verdana" w:hAnsi="Verdana"/>
          <w:spacing w:val="-11"/>
        </w:rPr>
        <w:t xml:space="preserve"> </w:t>
      </w:r>
      <w:r w:rsidRPr="00775B98">
        <w:rPr>
          <w:rFonts w:ascii="Verdana" w:hAnsi="Verdana"/>
        </w:rPr>
        <w:t>de</w:t>
      </w:r>
      <w:r w:rsidRPr="00775B98">
        <w:rPr>
          <w:rFonts w:ascii="Verdana" w:hAnsi="Verdana"/>
          <w:spacing w:val="-12"/>
        </w:rPr>
        <w:t xml:space="preserve"> </w:t>
      </w:r>
      <w:r w:rsidRPr="00775B98">
        <w:rPr>
          <w:rFonts w:ascii="Verdana" w:hAnsi="Verdana"/>
        </w:rPr>
        <w:t>planeación</w:t>
      </w:r>
      <w:r w:rsidRPr="00775B98">
        <w:rPr>
          <w:rFonts w:ascii="Verdana" w:hAnsi="Verdana"/>
          <w:spacing w:val="-11"/>
        </w:rPr>
        <w:t xml:space="preserve"> </w:t>
      </w:r>
      <w:r w:rsidRPr="00775B98">
        <w:rPr>
          <w:rFonts w:ascii="Verdana" w:hAnsi="Verdana"/>
        </w:rPr>
        <w:t>ineludible en toda la contratación estatal, adaptando su enfoque según si el negocio jurídico implica o no una erogación de recursos. Para la adquisición de bienes, obras o servicios con presupuesto asignado, este análisis cumple una doble función: un análisis estratégico del mercado para comprender la oferta y sus riesgos, y un análisis económico para justificar el valor</w:t>
      </w:r>
      <w:r w:rsidRPr="00775B98">
        <w:rPr>
          <w:rFonts w:ascii="Verdana" w:hAnsi="Verdana"/>
          <w:spacing w:val="30"/>
        </w:rPr>
        <w:t xml:space="preserve"> </w:t>
      </w:r>
      <w:r w:rsidRPr="00775B98">
        <w:rPr>
          <w:rFonts w:ascii="Verdana" w:hAnsi="Verdana"/>
        </w:rPr>
        <w:t>del contrato y soportar el respectivo Certificado de Disponibilidad Presupuestal CDP.</w:t>
      </w:r>
      <w:r>
        <w:rPr>
          <w:rFonts w:ascii="Verdana" w:hAnsi="Verdana"/>
        </w:rPr>
        <w:t xml:space="preserve"> </w:t>
      </w:r>
      <w:r w:rsidRPr="00775B98">
        <w:rPr>
          <w:rFonts w:ascii="Verdana" w:hAnsi="Verdana"/>
        </w:rPr>
        <w:t>Sin embargo, cuando se trata de negocios con presupuesto cero, como los</w:t>
      </w:r>
      <w:r w:rsidRPr="00775B98">
        <w:rPr>
          <w:rFonts w:ascii="Verdana" w:hAnsi="Verdana"/>
          <w:spacing w:val="-2"/>
        </w:rPr>
        <w:t xml:space="preserve"> </w:t>
      </w:r>
      <w:r w:rsidRPr="00775B98">
        <w:rPr>
          <w:rFonts w:ascii="Verdana" w:hAnsi="Verdana"/>
        </w:rPr>
        <w:lastRenderedPageBreak/>
        <w:t>convenios</w:t>
      </w:r>
      <w:r w:rsidRPr="00775B98">
        <w:rPr>
          <w:rFonts w:ascii="Verdana" w:hAnsi="Verdana"/>
          <w:spacing w:val="-6"/>
        </w:rPr>
        <w:t xml:space="preserve"> </w:t>
      </w:r>
      <w:r w:rsidRPr="00775B98">
        <w:rPr>
          <w:rFonts w:ascii="Verdana" w:hAnsi="Verdana"/>
        </w:rPr>
        <w:t>de</w:t>
      </w:r>
      <w:r w:rsidRPr="00775B98">
        <w:rPr>
          <w:rFonts w:ascii="Verdana" w:hAnsi="Verdana"/>
          <w:spacing w:val="-2"/>
        </w:rPr>
        <w:t xml:space="preserve"> </w:t>
      </w:r>
      <w:r w:rsidRPr="00775B98">
        <w:rPr>
          <w:rFonts w:ascii="Verdana" w:hAnsi="Verdana"/>
        </w:rPr>
        <w:t>colaboración</w:t>
      </w:r>
      <w:r w:rsidRPr="00775B98">
        <w:rPr>
          <w:rFonts w:ascii="Verdana" w:hAnsi="Verdana"/>
          <w:spacing w:val="-6"/>
        </w:rPr>
        <w:t xml:space="preserve"> </w:t>
      </w:r>
      <w:r w:rsidRPr="00775B98">
        <w:rPr>
          <w:rFonts w:ascii="Verdana" w:hAnsi="Verdana"/>
        </w:rPr>
        <w:t>o</w:t>
      </w:r>
      <w:r w:rsidRPr="00775B98">
        <w:rPr>
          <w:rFonts w:ascii="Verdana" w:hAnsi="Verdana"/>
          <w:spacing w:val="-5"/>
        </w:rPr>
        <w:t xml:space="preserve"> </w:t>
      </w:r>
      <w:r w:rsidRPr="00775B98">
        <w:rPr>
          <w:rFonts w:ascii="Verdana" w:hAnsi="Verdana"/>
        </w:rPr>
        <w:t>asociación,</w:t>
      </w:r>
      <w:r w:rsidRPr="00775B98">
        <w:rPr>
          <w:rFonts w:ascii="Verdana" w:hAnsi="Verdana"/>
          <w:spacing w:val="-6"/>
        </w:rPr>
        <w:t xml:space="preserve"> </w:t>
      </w:r>
      <w:r w:rsidRPr="00775B98">
        <w:rPr>
          <w:rFonts w:ascii="Verdana" w:hAnsi="Verdana"/>
        </w:rPr>
        <w:t>la</w:t>
      </w:r>
      <w:r w:rsidRPr="00775B98">
        <w:rPr>
          <w:rFonts w:ascii="Verdana" w:hAnsi="Verdana"/>
          <w:spacing w:val="-3"/>
        </w:rPr>
        <w:t xml:space="preserve"> </w:t>
      </w:r>
      <w:r w:rsidRPr="00775B98">
        <w:rPr>
          <w:rFonts w:ascii="Verdana" w:hAnsi="Verdana"/>
        </w:rPr>
        <w:t>ausencia</w:t>
      </w:r>
      <w:r w:rsidRPr="00775B98">
        <w:rPr>
          <w:rFonts w:ascii="Verdana" w:hAnsi="Verdana"/>
          <w:spacing w:val="-3"/>
        </w:rPr>
        <w:t xml:space="preserve"> </w:t>
      </w:r>
      <w:r w:rsidRPr="00775B98">
        <w:rPr>
          <w:rFonts w:ascii="Verdana" w:hAnsi="Verdana"/>
        </w:rPr>
        <w:t>de</w:t>
      </w:r>
      <w:r w:rsidRPr="00775B98">
        <w:rPr>
          <w:rFonts w:ascii="Verdana" w:hAnsi="Verdana"/>
          <w:spacing w:val="-2"/>
        </w:rPr>
        <w:t xml:space="preserve"> </w:t>
      </w:r>
      <w:r w:rsidRPr="00775B98">
        <w:rPr>
          <w:rFonts w:ascii="Verdana" w:hAnsi="Verdana"/>
        </w:rPr>
        <w:t>un</w:t>
      </w:r>
      <w:r w:rsidRPr="00775B98">
        <w:rPr>
          <w:rFonts w:ascii="Verdana" w:hAnsi="Verdana"/>
          <w:spacing w:val="-6"/>
        </w:rPr>
        <w:t xml:space="preserve"> </w:t>
      </w:r>
      <w:r w:rsidRPr="00775B98">
        <w:rPr>
          <w:rFonts w:ascii="Verdana" w:hAnsi="Verdana"/>
        </w:rPr>
        <w:t>precio</w:t>
      </w:r>
      <w:r w:rsidRPr="00775B98">
        <w:rPr>
          <w:rFonts w:ascii="Verdana" w:hAnsi="Verdana"/>
          <w:spacing w:val="-4"/>
        </w:rPr>
        <w:t xml:space="preserve"> </w:t>
      </w:r>
      <w:r w:rsidRPr="00775B98">
        <w:rPr>
          <w:rFonts w:ascii="Verdana" w:hAnsi="Verdana"/>
        </w:rPr>
        <w:t>no</w:t>
      </w:r>
      <w:r w:rsidRPr="00775B98">
        <w:rPr>
          <w:rFonts w:ascii="Verdana" w:hAnsi="Verdana"/>
          <w:spacing w:val="-5"/>
        </w:rPr>
        <w:t xml:space="preserve"> </w:t>
      </w:r>
      <w:r w:rsidRPr="00775B98">
        <w:rPr>
          <w:rFonts w:ascii="Verdana" w:hAnsi="Verdana"/>
        </w:rPr>
        <w:t>exime</w:t>
      </w:r>
      <w:r w:rsidRPr="00775B98">
        <w:rPr>
          <w:rFonts w:ascii="Verdana" w:hAnsi="Verdana"/>
          <w:spacing w:val="-8"/>
        </w:rPr>
        <w:t xml:space="preserve"> </w:t>
      </w:r>
      <w:r w:rsidRPr="00775B98">
        <w:rPr>
          <w:rFonts w:ascii="Verdana" w:hAnsi="Verdana"/>
        </w:rPr>
        <w:t>a la entidad de su deber de planeación. En estos casos, se debe elaborar un documento</w:t>
      </w:r>
      <w:r w:rsidRPr="00775B98">
        <w:rPr>
          <w:rFonts w:ascii="Verdana" w:hAnsi="Verdana"/>
          <w:spacing w:val="-13"/>
        </w:rPr>
        <w:t xml:space="preserve"> </w:t>
      </w:r>
      <w:r w:rsidRPr="00775B98">
        <w:rPr>
          <w:rFonts w:ascii="Verdana" w:hAnsi="Verdana"/>
        </w:rPr>
        <w:t>análogo</w:t>
      </w:r>
      <w:r w:rsidRPr="00775B98">
        <w:rPr>
          <w:rFonts w:ascii="Verdana" w:hAnsi="Verdana"/>
          <w:spacing w:val="-13"/>
        </w:rPr>
        <w:t xml:space="preserve"> </w:t>
      </w:r>
      <w:r w:rsidRPr="00775B98">
        <w:rPr>
          <w:rFonts w:ascii="Verdana" w:hAnsi="Verdana"/>
        </w:rPr>
        <w:t>que,</w:t>
      </w:r>
      <w:r w:rsidRPr="00775B98">
        <w:rPr>
          <w:rFonts w:ascii="Verdana" w:hAnsi="Verdana"/>
          <w:spacing w:val="-14"/>
        </w:rPr>
        <w:t xml:space="preserve"> </w:t>
      </w:r>
      <w:r w:rsidRPr="00775B98">
        <w:rPr>
          <w:rFonts w:ascii="Verdana" w:hAnsi="Verdana"/>
        </w:rPr>
        <w:t>en</w:t>
      </w:r>
      <w:r w:rsidRPr="00775B98">
        <w:rPr>
          <w:rFonts w:ascii="Verdana" w:hAnsi="Verdana"/>
          <w:spacing w:val="-18"/>
        </w:rPr>
        <w:t xml:space="preserve"> </w:t>
      </w:r>
      <w:r w:rsidRPr="00775B98">
        <w:rPr>
          <w:rFonts w:ascii="Verdana" w:hAnsi="Verdana"/>
        </w:rPr>
        <w:t>lugar</w:t>
      </w:r>
      <w:r w:rsidRPr="00775B98">
        <w:rPr>
          <w:rFonts w:ascii="Verdana" w:hAnsi="Verdana"/>
          <w:spacing w:val="-13"/>
        </w:rPr>
        <w:t xml:space="preserve"> </w:t>
      </w:r>
      <w:r w:rsidRPr="00775B98">
        <w:rPr>
          <w:rFonts w:ascii="Verdana" w:hAnsi="Verdana"/>
        </w:rPr>
        <w:t>de</w:t>
      </w:r>
      <w:r w:rsidRPr="00775B98">
        <w:rPr>
          <w:rFonts w:ascii="Verdana" w:hAnsi="Verdana"/>
          <w:spacing w:val="-4"/>
        </w:rPr>
        <w:t xml:space="preserve"> </w:t>
      </w:r>
      <w:r w:rsidRPr="00775B98">
        <w:rPr>
          <w:rFonts w:ascii="Verdana" w:hAnsi="Verdana"/>
        </w:rPr>
        <w:t>analizar</w:t>
      </w:r>
      <w:r w:rsidRPr="00775B98">
        <w:rPr>
          <w:rFonts w:ascii="Verdana" w:hAnsi="Verdana"/>
          <w:spacing w:val="-13"/>
        </w:rPr>
        <w:t xml:space="preserve"> </w:t>
      </w:r>
      <w:r w:rsidRPr="00775B98">
        <w:rPr>
          <w:rFonts w:ascii="Verdana" w:hAnsi="Verdana"/>
        </w:rPr>
        <w:t>un</w:t>
      </w:r>
      <w:r w:rsidRPr="00775B98">
        <w:rPr>
          <w:rFonts w:ascii="Verdana" w:hAnsi="Verdana"/>
          <w:spacing w:val="-14"/>
        </w:rPr>
        <w:t xml:space="preserve"> </w:t>
      </w:r>
      <w:r w:rsidRPr="00775B98">
        <w:rPr>
          <w:rFonts w:ascii="Verdana" w:hAnsi="Verdana"/>
        </w:rPr>
        <w:t>mercado,</w:t>
      </w:r>
      <w:r w:rsidRPr="00775B98">
        <w:rPr>
          <w:rFonts w:ascii="Verdana" w:hAnsi="Verdana"/>
          <w:spacing w:val="-14"/>
        </w:rPr>
        <w:t xml:space="preserve"> </w:t>
      </w:r>
      <w:r w:rsidRPr="00775B98">
        <w:rPr>
          <w:rFonts w:ascii="Verdana" w:hAnsi="Verdana"/>
        </w:rPr>
        <w:t>se</w:t>
      </w:r>
      <w:r w:rsidRPr="00775B98">
        <w:rPr>
          <w:rFonts w:ascii="Verdana" w:hAnsi="Verdana"/>
          <w:spacing w:val="-20"/>
        </w:rPr>
        <w:t xml:space="preserve"> </w:t>
      </w:r>
      <w:r w:rsidRPr="00775B98">
        <w:rPr>
          <w:rFonts w:ascii="Verdana" w:hAnsi="Verdana"/>
        </w:rPr>
        <w:t>centra</w:t>
      </w:r>
      <w:r w:rsidRPr="00775B98">
        <w:rPr>
          <w:rFonts w:ascii="Verdana" w:hAnsi="Verdana"/>
          <w:spacing w:val="-15"/>
        </w:rPr>
        <w:t xml:space="preserve"> </w:t>
      </w:r>
      <w:r w:rsidRPr="00775B98">
        <w:rPr>
          <w:rFonts w:ascii="Verdana" w:hAnsi="Verdana"/>
        </w:rPr>
        <w:t>en</w:t>
      </w:r>
      <w:r w:rsidRPr="00775B98">
        <w:rPr>
          <w:rFonts w:ascii="Verdana" w:hAnsi="Verdana"/>
          <w:spacing w:val="-14"/>
        </w:rPr>
        <w:t xml:space="preserve"> </w:t>
      </w:r>
      <w:r w:rsidRPr="00775B98">
        <w:rPr>
          <w:rFonts w:ascii="Verdana" w:hAnsi="Verdana"/>
        </w:rPr>
        <w:t>justificar rigurosamente la conveniencia, oportunidad y necesidad del acuerdo. Este análisis debe, de forma obligatoria, acreditar la idoneidad del colaborador seleccionado,</w:t>
      </w:r>
      <w:r w:rsidRPr="00775B98">
        <w:rPr>
          <w:rFonts w:ascii="Verdana" w:hAnsi="Verdana"/>
          <w:spacing w:val="-20"/>
        </w:rPr>
        <w:t xml:space="preserve"> </w:t>
      </w:r>
      <w:r w:rsidRPr="00775B98">
        <w:rPr>
          <w:rFonts w:ascii="Verdana" w:hAnsi="Verdana"/>
        </w:rPr>
        <w:t>verificando</w:t>
      </w:r>
      <w:r w:rsidRPr="00775B98">
        <w:rPr>
          <w:rFonts w:ascii="Verdana" w:hAnsi="Verdana"/>
          <w:spacing w:val="-19"/>
        </w:rPr>
        <w:t xml:space="preserve"> </w:t>
      </w:r>
      <w:r w:rsidRPr="00775B98">
        <w:rPr>
          <w:rFonts w:ascii="Verdana" w:hAnsi="Verdana"/>
        </w:rPr>
        <w:t>su</w:t>
      </w:r>
      <w:r w:rsidRPr="00775B98">
        <w:rPr>
          <w:rFonts w:ascii="Verdana" w:hAnsi="Verdana"/>
          <w:spacing w:val="-19"/>
        </w:rPr>
        <w:t xml:space="preserve"> </w:t>
      </w:r>
      <w:r w:rsidRPr="00775B98">
        <w:rPr>
          <w:rFonts w:ascii="Verdana" w:hAnsi="Verdana"/>
        </w:rPr>
        <w:t>capacidad</w:t>
      </w:r>
      <w:r w:rsidRPr="00775B98">
        <w:rPr>
          <w:rFonts w:ascii="Verdana" w:hAnsi="Verdana"/>
          <w:spacing w:val="-20"/>
        </w:rPr>
        <w:t xml:space="preserve"> </w:t>
      </w:r>
      <w:r w:rsidRPr="00775B98">
        <w:rPr>
          <w:rFonts w:ascii="Verdana" w:hAnsi="Verdana"/>
        </w:rPr>
        <w:t>técnica,</w:t>
      </w:r>
      <w:r w:rsidRPr="00775B98">
        <w:rPr>
          <w:rFonts w:ascii="Verdana" w:hAnsi="Verdana"/>
          <w:spacing w:val="-19"/>
        </w:rPr>
        <w:t xml:space="preserve"> </w:t>
      </w:r>
      <w:r w:rsidRPr="00775B98">
        <w:rPr>
          <w:rFonts w:ascii="Verdana" w:hAnsi="Verdana"/>
        </w:rPr>
        <w:t>experiencia</w:t>
      </w:r>
      <w:r w:rsidRPr="00775B98">
        <w:rPr>
          <w:rFonts w:ascii="Verdana" w:hAnsi="Verdana"/>
          <w:spacing w:val="-20"/>
        </w:rPr>
        <w:t xml:space="preserve"> </w:t>
      </w:r>
      <w:r w:rsidRPr="00775B98">
        <w:rPr>
          <w:rFonts w:ascii="Verdana" w:hAnsi="Verdana"/>
        </w:rPr>
        <w:t>y</w:t>
      </w:r>
      <w:r w:rsidRPr="00775B98">
        <w:rPr>
          <w:rFonts w:ascii="Verdana" w:hAnsi="Verdana"/>
          <w:spacing w:val="-19"/>
        </w:rPr>
        <w:t xml:space="preserve"> </w:t>
      </w:r>
      <w:r w:rsidRPr="00775B98">
        <w:rPr>
          <w:rFonts w:ascii="Verdana" w:hAnsi="Verdana"/>
        </w:rPr>
        <w:t>naturaleza</w:t>
      </w:r>
      <w:r w:rsidRPr="00775B98">
        <w:rPr>
          <w:rFonts w:ascii="Verdana" w:hAnsi="Verdana"/>
          <w:spacing w:val="-19"/>
        </w:rPr>
        <w:t xml:space="preserve"> </w:t>
      </w:r>
      <w:r w:rsidRPr="00775B98">
        <w:rPr>
          <w:rFonts w:ascii="Verdana" w:hAnsi="Verdana"/>
        </w:rPr>
        <w:t>jurídica. Adicionalmente, debe incluir un análisis de valor que describa los beneficios y ahorros</w:t>
      </w:r>
      <w:r w:rsidRPr="00775B98">
        <w:rPr>
          <w:rFonts w:ascii="Verdana" w:hAnsi="Verdana"/>
          <w:spacing w:val="-7"/>
        </w:rPr>
        <w:t xml:space="preserve"> </w:t>
      </w:r>
      <w:r w:rsidRPr="00775B98">
        <w:rPr>
          <w:rFonts w:ascii="Verdana" w:hAnsi="Verdana"/>
        </w:rPr>
        <w:t>obtenidos,</w:t>
      </w:r>
      <w:r w:rsidRPr="00775B98">
        <w:rPr>
          <w:rFonts w:ascii="Verdana" w:hAnsi="Verdana"/>
          <w:spacing w:val="-3"/>
        </w:rPr>
        <w:t xml:space="preserve"> </w:t>
      </w:r>
      <w:r w:rsidRPr="00775B98">
        <w:rPr>
          <w:rFonts w:ascii="Verdana" w:hAnsi="Verdana"/>
        </w:rPr>
        <w:t>una</w:t>
      </w:r>
      <w:r w:rsidRPr="00775B98">
        <w:rPr>
          <w:rFonts w:ascii="Verdana" w:hAnsi="Verdana"/>
          <w:spacing w:val="-5"/>
        </w:rPr>
        <w:t xml:space="preserve"> </w:t>
      </w:r>
      <w:r w:rsidRPr="00775B98">
        <w:rPr>
          <w:rFonts w:ascii="Verdana" w:hAnsi="Verdana"/>
        </w:rPr>
        <w:t>matriz</w:t>
      </w:r>
      <w:r w:rsidRPr="00775B98">
        <w:rPr>
          <w:rFonts w:ascii="Verdana" w:hAnsi="Verdana"/>
          <w:spacing w:val="-4"/>
        </w:rPr>
        <w:t xml:space="preserve"> </w:t>
      </w:r>
      <w:r w:rsidRPr="00775B98">
        <w:rPr>
          <w:rFonts w:ascii="Verdana" w:hAnsi="Verdana"/>
        </w:rPr>
        <w:t>que</w:t>
      </w:r>
      <w:r w:rsidRPr="00775B98">
        <w:rPr>
          <w:rFonts w:ascii="Verdana" w:hAnsi="Verdana"/>
          <w:spacing w:val="-4"/>
        </w:rPr>
        <w:t xml:space="preserve"> </w:t>
      </w:r>
      <w:r w:rsidRPr="00775B98">
        <w:rPr>
          <w:rFonts w:ascii="Verdana" w:hAnsi="Verdana"/>
        </w:rPr>
        <w:t>identifique los</w:t>
      </w:r>
      <w:r w:rsidRPr="00775B98">
        <w:rPr>
          <w:rFonts w:ascii="Verdana" w:hAnsi="Verdana"/>
          <w:spacing w:val="-3"/>
        </w:rPr>
        <w:t xml:space="preserve"> </w:t>
      </w:r>
      <w:r w:rsidRPr="00775B98">
        <w:rPr>
          <w:rFonts w:ascii="Verdana" w:hAnsi="Verdana"/>
        </w:rPr>
        <w:t>riesgos</w:t>
      </w:r>
      <w:r w:rsidRPr="00775B98">
        <w:rPr>
          <w:rFonts w:ascii="Verdana" w:hAnsi="Verdana"/>
          <w:spacing w:val="-7"/>
        </w:rPr>
        <w:t xml:space="preserve"> </w:t>
      </w:r>
      <w:r w:rsidRPr="00775B98">
        <w:rPr>
          <w:rFonts w:ascii="Verdana" w:hAnsi="Verdana"/>
        </w:rPr>
        <w:t>operativos</w:t>
      </w:r>
      <w:r w:rsidRPr="00775B98">
        <w:rPr>
          <w:rFonts w:ascii="Verdana" w:hAnsi="Verdana"/>
          <w:spacing w:val="-3"/>
        </w:rPr>
        <w:t xml:space="preserve"> </w:t>
      </w:r>
      <w:r w:rsidRPr="00775B98">
        <w:rPr>
          <w:rFonts w:ascii="Verdana" w:hAnsi="Verdana"/>
        </w:rPr>
        <w:t>y</w:t>
      </w:r>
      <w:r w:rsidRPr="00775B98">
        <w:rPr>
          <w:rFonts w:ascii="Verdana" w:hAnsi="Verdana"/>
          <w:spacing w:val="-4"/>
        </w:rPr>
        <w:t xml:space="preserve"> </w:t>
      </w:r>
      <w:r w:rsidRPr="00775B98">
        <w:rPr>
          <w:rFonts w:ascii="Verdana" w:hAnsi="Verdana"/>
        </w:rPr>
        <w:t>jurídicos, y</w:t>
      </w:r>
      <w:r w:rsidRPr="00775B98">
        <w:rPr>
          <w:rFonts w:ascii="Verdana" w:hAnsi="Verdana"/>
          <w:spacing w:val="-20"/>
        </w:rPr>
        <w:t xml:space="preserve"> </w:t>
      </w:r>
      <w:r w:rsidRPr="00775B98">
        <w:rPr>
          <w:rFonts w:ascii="Verdana" w:hAnsi="Verdana"/>
        </w:rPr>
        <w:t>un detalle preciso de la distribución de aportes y obligaciones de cada parte para asegurar el equilibrio.</w:t>
      </w:r>
    </w:p>
    <w:p w14:paraId="5D146345" w14:textId="32D65955" w:rsidR="00775B98" w:rsidRPr="00775B98" w:rsidRDefault="00775B98" w:rsidP="008F584A">
      <w:pPr>
        <w:pStyle w:val="Textoindependiente"/>
        <w:spacing w:before="163" w:line="273" w:lineRule="auto"/>
        <w:ind w:right="284"/>
        <w:jc w:val="both"/>
        <w:rPr>
          <w:rFonts w:ascii="Verdana" w:hAnsi="Verdana"/>
        </w:rPr>
      </w:pPr>
      <w:r w:rsidRPr="00775B98">
        <w:rPr>
          <w:rFonts w:ascii="Verdana" w:hAnsi="Verdana"/>
        </w:rPr>
        <w:t>En suma, este documento se convierte en el soporte documental clave ante los órganos de control para demostrar que la selección no fue arbitraria, sino</w:t>
      </w:r>
      <w:r w:rsidRPr="00775B98">
        <w:rPr>
          <w:rFonts w:ascii="Verdana" w:hAnsi="Verdana"/>
          <w:spacing w:val="17"/>
        </w:rPr>
        <w:t xml:space="preserve"> </w:t>
      </w:r>
      <w:r w:rsidRPr="00775B98">
        <w:rPr>
          <w:rFonts w:ascii="Verdana" w:hAnsi="Verdana"/>
        </w:rPr>
        <w:t>el resultado</w:t>
      </w:r>
      <w:r w:rsidRPr="00775B98">
        <w:rPr>
          <w:rFonts w:ascii="Verdana" w:hAnsi="Verdana"/>
          <w:spacing w:val="17"/>
        </w:rPr>
        <w:t xml:space="preserve"> </w:t>
      </w:r>
      <w:r w:rsidRPr="00775B98">
        <w:rPr>
          <w:rFonts w:ascii="Verdana" w:hAnsi="Verdana"/>
        </w:rPr>
        <w:t>de</w:t>
      </w:r>
      <w:r w:rsidRPr="00775B98">
        <w:rPr>
          <w:rFonts w:ascii="Verdana" w:hAnsi="Verdana"/>
          <w:spacing w:val="15"/>
        </w:rPr>
        <w:t xml:space="preserve"> </w:t>
      </w:r>
      <w:r w:rsidRPr="00775B98">
        <w:rPr>
          <w:rFonts w:ascii="Verdana" w:hAnsi="Verdana"/>
        </w:rPr>
        <w:t>un</w:t>
      </w:r>
      <w:r w:rsidRPr="00775B98">
        <w:rPr>
          <w:rFonts w:ascii="Verdana" w:hAnsi="Verdana"/>
          <w:spacing w:val="16"/>
        </w:rPr>
        <w:t xml:space="preserve"> </w:t>
      </w:r>
      <w:r w:rsidRPr="00775B98">
        <w:rPr>
          <w:rFonts w:ascii="Verdana" w:hAnsi="Verdana"/>
        </w:rPr>
        <w:t>análisis</w:t>
      </w:r>
      <w:r w:rsidRPr="00775B98">
        <w:rPr>
          <w:rFonts w:ascii="Verdana" w:hAnsi="Verdana"/>
          <w:spacing w:val="16"/>
        </w:rPr>
        <w:t xml:space="preserve"> </w:t>
      </w:r>
      <w:r w:rsidRPr="00775B98">
        <w:rPr>
          <w:rFonts w:ascii="Verdana" w:hAnsi="Verdana"/>
        </w:rPr>
        <w:t>diligente</w:t>
      </w:r>
      <w:r w:rsidRPr="00775B98">
        <w:rPr>
          <w:rFonts w:ascii="Verdana" w:hAnsi="Verdana"/>
          <w:spacing w:val="15"/>
        </w:rPr>
        <w:t xml:space="preserve"> </w:t>
      </w:r>
      <w:r w:rsidRPr="00775B98">
        <w:rPr>
          <w:rFonts w:ascii="Verdana" w:hAnsi="Verdana"/>
        </w:rPr>
        <w:t>que</w:t>
      </w:r>
      <w:r w:rsidRPr="00775B98">
        <w:rPr>
          <w:rFonts w:ascii="Verdana" w:hAnsi="Verdana"/>
          <w:spacing w:val="19"/>
        </w:rPr>
        <w:t xml:space="preserve"> </w:t>
      </w:r>
      <w:r w:rsidRPr="00775B98">
        <w:rPr>
          <w:rFonts w:ascii="Verdana" w:hAnsi="Verdana"/>
        </w:rPr>
        <w:t>buscó</w:t>
      </w:r>
      <w:r w:rsidRPr="00775B98">
        <w:rPr>
          <w:rFonts w:ascii="Verdana" w:hAnsi="Verdana"/>
          <w:spacing w:val="17"/>
        </w:rPr>
        <w:t xml:space="preserve"> </w:t>
      </w:r>
      <w:r w:rsidRPr="00775B98">
        <w:rPr>
          <w:rFonts w:ascii="Verdana" w:hAnsi="Verdana"/>
        </w:rPr>
        <w:t>la máxima eficiencia en</w:t>
      </w:r>
      <w:r w:rsidRPr="00775B98">
        <w:rPr>
          <w:rFonts w:ascii="Verdana" w:hAnsi="Verdana"/>
          <w:spacing w:val="16"/>
        </w:rPr>
        <w:t xml:space="preserve"> </w:t>
      </w:r>
      <w:r w:rsidRPr="00775B98">
        <w:rPr>
          <w:rFonts w:ascii="Verdana" w:hAnsi="Verdana"/>
        </w:rPr>
        <w:t xml:space="preserve">el cumplimiento de los fines estatales, con independencia de la existencia de un </w:t>
      </w:r>
      <w:r w:rsidRPr="00775B98">
        <w:rPr>
          <w:rFonts w:ascii="Verdana" w:hAnsi="Verdana"/>
          <w:spacing w:val="-2"/>
        </w:rPr>
        <w:t>presupuesto.</w:t>
      </w:r>
      <w:r>
        <w:rPr>
          <w:rFonts w:ascii="Verdana" w:hAnsi="Verdana"/>
        </w:rPr>
        <w:t xml:space="preserve"> </w:t>
      </w:r>
      <w:r w:rsidRPr="00775B98">
        <w:rPr>
          <w:rFonts w:ascii="Verdana" w:hAnsi="Verdana"/>
        </w:rPr>
        <w:t>De otro lado, es importante manifestar que las Entidades Estales son autónomas para establecer en su Manual de Contratación la metodología para elaborar el Estudio del Sector (o su documento equivalente en el caso que no haya</w:t>
      </w:r>
      <w:r w:rsidRPr="00775B98">
        <w:rPr>
          <w:rFonts w:ascii="Verdana" w:hAnsi="Verdana"/>
          <w:spacing w:val="-10"/>
        </w:rPr>
        <w:t xml:space="preserve"> </w:t>
      </w:r>
      <w:r w:rsidRPr="00775B98">
        <w:rPr>
          <w:rFonts w:ascii="Verdana" w:hAnsi="Verdana"/>
        </w:rPr>
        <w:t>erogaciones),</w:t>
      </w:r>
      <w:r w:rsidRPr="00775B98">
        <w:rPr>
          <w:rFonts w:ascii="Verdana" w:hAnsi="Verdana"/>
          <w:spacing w:val="-7"/>
        </w:rPr>
        <w:t xml:space="preserve"> </w:t>
      </w:r>
      <w:r w:rsidRPr="00775B98">
        <w:rPr>
          <w:rFonts w:ascii="Verdana" w:hAnsi="Verdana"/>
        </w:rPr>
        <w:t>siempre</w:t>
      </w:r>
      <w:r w:rsidRPr="00775B98">
        <w:rPr>
          <w:rFonts w:ascii="Verdana" w:hAnsi="Verdana"/>
          <w:spacing w:val="-8"/>
        </w:rPr>
        <w:t xml:space="preserve"> </w:t>
      </w:r>
      <w:r w:rsidRPr="00775B98">
        <w:rPr>
          <w:rFonts w:ascii="Verdana" w:hAnsi="Verdana"/>
        </w:rPr>
        <w:t>y</w:t>
      </w:r>
      <w:r w:rsidRPr="00775B98">
        <w:rPr>
          <w:rFonts w:ascii="Verdana" w:hAnsi="Verdana"/>
          <w:spacing w:val="-7"/>
        </w:rPr>
        <w:t xml:space="preserve"> </w:t>
      </w:r>
      <w:r w:rsidRPr="00775B98">
        <w:rPr>
          <w:rFonts w:ascii="Verdana" w:hAnsi="Verdana"/>
        </w:rPr>
        <w:t>cuando</w:t>
      </w:r>
      <w:r w:rsidRPr="00775B98">
        <w:rPr>
          <w:rFonts w:ascii="Verdana" w:hAnsi="Verdana"/>
          <w:spacing w:val="-5"/>
        </w:rPr>
        <w:t xml:space="preserve"> </w:t>
      </w:r>
      <w:r w:rsidRPr="00775B98">
        <w:rPr>
          <w:rFonts w:ascii="Verdana" w:hAnsi="Verdana"/>
        </w:rPr>
        <w:t>se</w:t>
      </w:r>
      <w:r w:rsidRPr="00775B98">
        <w:rPr>
          <w:rFonts w:ascii="Verdana" w:hAnsi="Verdana"/>
          <w:spacing w:val="-8"/>
        </w:rPr>
        <w:t xml:space="preserve"> </w:t>
      </w:r>
      <w:r w:rsidRPr="00775B98">
        <w:rPr>
          <w:rFonts w:ascii="Verdana" w:hAnsi="Verdana"/>
        </w:rPr>
        <w:t>acate</w:t>
      </w:r>
      <w:r w:rsidRPr="00775B98">
        <w:rPr>
          <w:rFonts w:ascii="Verdana" w:hAnsi="Verdana"/>
          <w:spacing w:val="-8"/>
        </w:rPr>
        <w:t xml:space="preserve"> </w:t>
      </w:r>
      <w:r w:rsidRPr="00775B98">
        <w:rPr>
          <w:rFonts w:ascii="Verdana" w:hAnsi="Verdana"/>
        </w:rPr>
        <w:t>la</w:t>
      </w:r>
      <w:r w:rsidRPr="00775B98">
        <w:rPr>
          <w:rFonts w:ascii="Verdana" w:hAnsi="Verdana"/>
          <w:spacing w:val="-9"/>
        </w:rPr>
        <w:t xml:space="preserve"> </w:t>
      </w:r>
      <w:r w:rsidRPr="00775B98">
        <w:rPr>
          <w:rFonts w:ascii="Verdana" w:hAnsi="Verdana"/>
        </w:rPr>
        <w:t>Ley</w:t>
      </w:r>
      <w:r w:rsidRPr="00775B98">
        <w:rPr>
          <w:rFonts w:ascii="Verdana" w:hAnsi="Verdana"/>
          <w:spacing w:val="-12"/>
        </w:rPr>
        <w:t xml:space="preserve"> </w:t>
      </w:r>
      <w:r w:rsidRPr="00775B98">
        <w:rPr>
          <w:rFonts w:ascii="Verdana" w:hAnsi="Verdana"/>
        </w:rPr>
        <w:t>1150</w:t>
      </w:r>
      <w:r w:rsidRPr="00775B98">
        <w:rPr>
          <w:rFonts w:ascii="Verdana" w:hAnsi="Verdana"/>
          <w:spacing w:val="-7"/>
        </w:rPr>
        <w:t xml:space="preserve"> </w:t>
      </w:r>
      <w:r w:rsidRPr="00775B98">
        <w:rPr>
          <w:rFonts w:ascii="Verdana" w:hAnsi="Verdana"/>
        </w:rPr>
        <w:t>de</w:t>
      </w:r>
      <w:r w:rsidRPr="00775B98">
        <w:rPr>
          <w:rFonts w:ascii="Verdana" w:hAnsi="Verdana"/>
          <w:spacing w:val="-8"/>
        </w:rPr>
        <w:t xml:space="preserve"> </w:t>
      </w:r>
      <w:r w:rsidRPr="00775B98">
        <w:rPr>
          <w:rFonts w:ascii="Verdana" w:hAnsi="Verdana"/>
        </w:rPr>
        <w:t>2007</w:t>
      </w:r>
      <w:r w:rsidRPr="00775B98">
        <w:rPr>
          <w:rFonts w:ascii="Verdana" w:hAnsi="Verdana"/>
          <w:spacing w:val="-12"/>
        </w:rPr>
        <w:t xml:space="preserve"> </w:t>
      </w:r>
      <w:r w:rsidRPr="00775B98">
        <w:rPr>
          <w:rFonts w:ascii="Verdana" w:hAnsi="Verdana"/>
        </w:rPr>
        <w:t>y</w:t>
      </w:r>
      <w:r w:rsidRPr="00775B98">
        <w:rPr>
          <w:rFonts w:ascii="Verdana" w:hAnsi="Verdana"/>
          <w:spacing w:val="-12"/>
        </w:rPr>
        <w:t xml:space="preserve"> </w:t>
      </w:r>
      <w:r w:rsidRPr="00775B98">
        <w:rPr>
          <w:rFonts w:ascii="Verdana" w:hAnsi="Verdana"/>
        </w:rPr>
        <w:t>el</w:t>
      </w:r>
      <w:r w:rsidRPr="00775B98">
        <w:rPr>
          <w:rFonts w:ascii="Verdana" w:hAnsi="Verdana"/>
          <w:spacing w:val="-7"/>
        </w:rPr>
        <w:t xml:space="preserve"> </w:t>
      </w:r>
      <w:r w:rsidRPr="00775B98">
        <w:rPr>
          <w:rFonts w:ascii="Verdana" w:hAnsi="Verdana"/>
        </w:rPr>
        <w:t>Decreto 1082 de 2015 frente a esta materia.</w:t>
      </w:r>
    </w:p>
    <w:p w14:paraId="372680DB" w14:textId="77777777" w:rsidR="00775B98" w:rsidRDefault="00775B98" w:rsidP="00775B98">
      <w:pPr>
        <w:pStyle w:val="Textoindependiente"/>
        <w:spacing w:before="168"/>
        <w:rPr>
          <w:rFonts w:ascii="Verdana" w:hAnsi="Verdana"/>
        </w:rPr>
      </w:pPr>
    </w:p>
    <w:p w14:paraId="7920B8A2" w14:textId="77777777" w:rsidR="00775B98" w:rsidRDefault="00775B98" w:rsidP="00775B98">
      <w:pPr>
        <w:pStyle w:val="Textoindependiente"/>
        <w:spacing w:before="168"/>
        <w:rPr>
          <w:rFonts w:ascii="Verdana" w:hAnsi="Verdana"/>
        </w:rPr>
      </w:pPr>
    </w:p>
    <w:p w14:paraId="08BAE423" w14:textId="77777777" w:rsidR="00775B98" w:rsidRDefault="00775B98" w:rsidP="00775B98">
      <w:pPr>
        <w:pStyle w:val="Textoindependiente"/>
        <w:spacing w:before="168"/>
        <w:rPr>
          <w:rFonts w:ascii="Verdana" w:hAnsi="Verdana"/>
        </w:rPr>
      </w:pPr>
    </w:p>
    <w:p w14:paraId="092373AB" w14:textId="77777777" w:rsidR="00775B98" w:rsidRDefault="00775B98" w:rsidP="00775B98">
      <w:pPr>
        <w:pStyle w:val="Textoindependiente"/>
        <w:spacing w:before="168"/>
        <w:rPr>
          <w:rFonts w:ascii="Verdana" w:hAnsi="Verdana"/>
        </w:rPr>
      </w:pPr>
    </w:p>
    <w:p w14:paraId="6702C380" w14:textId="77777777" w:rsidR="008F584A" w:rsidRDefault="008F584A" w:rsidP="00775B98">
      <w:pPr>
        <w:pStyle w:val="Textoindependiente"/>
        <w:spacing w:before="168"/>
        <w:rPr>
          <w:rFonts w:ascii="Verdana" w:hAnsi="Verdana"/>
        </w:rPr>
      </w:pPr>
    </w:p>
    <w:p w14:paraId="22563884" w14:textId="77777777" w:rsidR="008F584A" w:rsidRDefault="008F584A" w:rsidP="00775B98">
      <w:pPr>
        <w:pStyle w:val="Textoindependiente"/>
        <w:spacing w:before="168"/>
        <w:rPr>
          <w:rFonts w:ascii="Verdana" w:hAnsi="Verdana"/>
        </w:rPr>
      </w:pPr>
    </w:p>
    <w:p w14:paraId="30C80B82" w14:textId="77777777" w:rsidR="008F584A" w:rsidRDefault="008F584A" w:rsidP="00775B98">
      <w:pPr>
        <w:pStyle w:val="Textoindependiente"/>
        <w:spacing w:before="168"/>
        <w:rPr>
          <w:rFonts w:ascii="Verdana" w:hAnsi="Verdana"/>
        </w:rPr>
      </w:pPr>
    </w:p>
    <w:p w14:paraId="739EED3A" w14:textId="77777777" w:rsidR="008F584A" w:rsidRDefault="008F584A" w:rsidP="00775B98">
      <w:pPr>
        <w:pStyle w:val="Textoindependiente"/>
        <w:spacing w:before="168"/>
        <w:rPr>
          <w:rFonts w:ascii="Verdana" w:hAnsi="Verdana"/>
        </w:rPr>
      </w:pPr>
    </w:p>
    <w:p w14:paraId="16C9962B" w14:textId="77777777" w:rsidR="008F584A" w:rsidRDefault="008F584A" w:rsidP="00775B98">
      <w:pPr>
        <w:pStyle w:val="Textoindependiente"/>
        <w:spacing w:before="168"/>
        <w:rPr>
          <w:rFonts w:ascii="Verdana" w:hAnsi="Verdana"/>
        </w:rPr>
      </w:pPr>
    </w:p>
    <w:p w14:paraId="69E9AEDD" w14:textId="77777777" w:rsidR="008F584A" w:rsidRDefault="008F584A" w:rsidP="00775B98">
      <w:pPr>
        <w:pStyle w:val="Textoindependiente"/>
        <w:spacing w:before="168"/>
        <w:rPr>
          <w:rFonts w:ascii="Verdana" w:hAnsi="Verdana"/>
        </w:rPr>
      </w:pPr>
    </w:p>
    <w:p w14:paraId="5074165A" w14:textId="77777777" w:rsidR="00775B98" w:rsidRDefault="00775B98" w:rsidP="00775B98">
      <w:pPr>
        <w:pStyle w:val="Textoindependiente"/>
        <w:spacing w:before="168"/>
        <w:rPr>
          <w:rFonts w:ascii="Verdana" w:hAnsi="Verdana"/>
        </w:rPr>
      </w:pPr>
    </w:p>
    <w:p w14:paraId="7D0A6540" w14:textId="71C4E28A" w:rsidR="00775B98" w:rsidRPr="00775B98" w:rsidRDefault="00775B98" w:rsidP="00775B98">
      <w:pPr>
        <w:pStyle w:val="Textoindependiente"/>
        <w:spacing w:before="168"/>
        <w:rPr>
          <w:rFonts w:ascii="Verdana" w:hAnsi="Verdana"/>
        </w:rPr>
      </w:pPr>
      <w:r w:rsidRPr="00775B98">
        <w:rPr>
          <w:rFonts w:ascii="Verdana" w:hAnsi="Verdana"/>
          <w:noProof/>
        </w:rPr>
        <w:lastRenderedPageBreak/>
        <w:drawing>
          <wp:anchor distT="0" distB="0" distL="0" distR="0" simplePos="0" relativeHeight="251659264" behindDoc="0" locked="0" layoutInCell="1" allowOverlap="1" wp14:anchorId="01B6990C" wp14:editId="551A0D6B">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775B98">
        <w:rPr>
          <w:rFonts w:ascii="Verdana" w:hAnsi="Verdana"/>
        </w:rPr>
        <w:t>Bogotá</w:t>
      </w:r>
      <w:r w:rsidRPr="00775B98">
        <w:rPr>
          <w:rFonts w:ascii="Verdana" w:hAnsi="Verdana"/>
          <w:spacing w:val="-6"/>
        </w:rPr>
        <w:t xml:space="preserve"> </w:t>
      </w:r>
      <w:r w:rsidRPr="00775B98">
        <w:rPr>
          <w:rFonts w:ascii="Verdana" w:hAnsi="Verdana"/>
        </w:rPr>
        <w:t>D.C.,</w:t>
      </w:r>
      <w:r w:rsidRPr="00775B98">
        <w:rPr>
          <w:rFonts w:ascii="Verdana" w:hAnsi="Verdana"/>
          <w:spacing w:val="2"/>
        </w:rPr>
        <w:t xml:space="preserve"> </w:t>
      </w:r>
      <w:r w:rsidRPr="00775B98">
        <w:rPr>
          <w:rFonts w:ascii="Verdana" w:hAnsi="Verdana"/>
        </w:rPr>
        <w:t>06</w:t>
      </w:r>
      <w:r w:rsidRPr="00775B98">
        <w:rPr>
          <w:rFonts w:ascii="Verdana" w:hAnsi="Verdana"/>
          <w:spacing w:val="-2"/>
        </w:rPr>
        <w:t xml:space="preserve"> </w:t>
      </w:r>
      <w:r w:rsidRPr="00775B98">
        <w:rPr>
          <w:rFonts w:ascii="Verdana" w:hAnsi="Verdana"/>
        </w:rPr>
        <w:t xml:space="preserve">Junio </w:t>
      </w:r>
      <w:r w:rsidRPr="00775B98">
        <w:rPr>
          <w:rFonts w:ascii="Verdana" w:hAnsi="Verdana"/>
          <w:spacing w:val="-4"/>
        </w:rPr>
        <w:t>2025</w:t>
      </w:r>
    </w:p>
    <w:p w14:paraId="0DA138BD" w14:textId="77777777" w:rsidR="00775B98" w:rsidRDefault="00775B98" w:rsidP="00BB3C39">
      <w:pPr>
        <w:spacing w:after="0" w:line="240" w:lineRule="auto"/>
        <w:jc w:val="both"/>
        <w:rPr>
          <w:rFonts w:ascii="Verdana" w:eastAsia="Calibri" w:hAnsi="Verdana" w:cs="Arial"/>
          <w:lang w:val="es-ES" w:eastAsia="es-ES"/>
        </w:rPr>
      </w:pPr>
    </w:p>
    <w:p w14:paraId="202CFFAB" w14:textId="699B8098" w:rsidR="00BB3C39" w:rsidRPr="00B96799" w:rsidRDefault="00BB3C39" w:rsidP="00BB3C3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795900C9" w14:textId="77777777" w:rsidR="00BB3C39" w:rsidRPr="00B96799" w:rsidRDefault="00BB3C39" w:rsidP="00BB3C39">
      <w:pPr>
        <w:spacing w:after="0" w:line="240" w:lineRule="auto"/>
        <w:rPr>
          <w:rFonts w:ascii="Verdana" w:eastAsia="Calibri" w:hAnsi="Verdana" w:cs="Arial"/>
          <w:b/>
          <w:lang w:val="es-ES_tradnl" w:eastAsia="es-ES_tradnl"/>
        </w:rPr>
      </w:pPr>
      <w:r w:rsidRPr="00B96799">
        <w:rPr>
          <w:rFonts w:ascii="Verdana" w:eastAsia="Calibri" w:hAnsi="Verdana" w:cs="Arial"/>
          <w:b/>
          <w:lang w:val="es-ES_tradnl" w:eastAsia="es-ES_tradnl"/>
        </w:rPr>
        <w:t xml:space="preserve">Juan </w:t>
      </w:r>
      <w:r>
        <w:rPr>
          <w:rFonts w:ascii="Verdana" w:eastAsia="Calibri" w:hAnsi="Verdana" w:cs="Arial"/>
          <w:b/>
          <w:lang w:val="es-ES_tradnl" w:eastAsia="es-ES_tradnl"/>
        </w:rPr>
        <w:t xml:space="preserve">Sebastián Olaya Perdomo </w:t>
      </w:r>
    </w:p>
    <w:p w14:paraId="66800BAA" w14:textId="77777777" w:rsidR="00BB3C39" w:rsidRPr="00B96799" w:rsidRDefault="00BB3C39" w:rsidP="00BB3C39">
      <w:pPr>
        <w:spacing w:after="0" w:line="240" w:lineRule="auto"/>
        <w:rPr>
          <w:rFonts w:ascii="Verdana" w:eastAsia="Calibri" w:hAnsi="Verdana" w:cs="Arial"/>
          <w:u w:val="single"/>
          <w:lang w:val="es-ES" w:eastAsia="es-ES"/>
        </w:rPr>
      </w:pPr>
      <w:hyperlink r:id="rId12" w:history="1">
        <w:r w:rsidRPr="008A1E1A">
          <w:rPr>
            <w:rStyle w:val="Hipervnculo"/>
            <w:rFonts w:ascii="Verdana" w:eastAsia="Calibri" w:hAnsi="Verdana" w:cs="Arial"/>
            <w:lang w:val="es-ES" w:eastAsia="es-ES"/>
          </w:rPr>
          <w:t>juanseolaya@gmail.com</w:t>
        </w:r>
      </w:hyperlink>
      <w:r>
        <w:rPr>
          <w:rFonts w:ascii="Verdana" w:eastAsia="Calibri" w:hAnsi="Verdana" w:cs="Arial"/>
          <w:u w:val="single"/>
          <w:lang w:val="es-ES" w:eastAsia="es-ES"/>
        </w:rPr>
        <w:t xml:space="preserve"> </w:t>
      </w:r>
    </w:p>
    <w:p w14:paraId="594C6122" w14:textId="77777777" w:rsidR="00BB3C39" w:rsidRPr="00B96799" w:rsidRDefault="00BB3C39" w:rsidP="00BB3C39">
      <w:pPr>
        <w:spacing w:after="0" w:line="240" w:lineRule="auto"/>
        <w:rPr>
          <w:rFonts w:ascii="Verdana" w:eastAsia="Calibri" w:hAnsi="Verdana" w:cs="Arial"/>
          <w:b/>
          <w:bCs/>
          <w:lang w:val="es-ES" w:eastAsia="es-ES"/>
        </w:rPr>
      </w:pPr>
      <w:r w:rsidRPr="00B96799">
        <w:rPr>
          <w:rFonts w:ascii="Verdana" w:eastAsia="Calibri" w:hAnsi="Verdana" w:cs="Arial"/>
          <w:lang w:val="es-ES" w:eastAsia="es-ES"/>
        </w:rPr>
        <w:t>C</w:t>
      </w:r>
      <w:r>
        <w:rPr>
          <w:rFonts w:ascii="Verdana" w:eastAsia="Calibri" w:hAnsi="Verdana" w:cs="Arial"/>
          <w:lang w:val="es-ES" w:eastAsia="es-ES"/>
        </w:rPr>
        <w:t>ali</w:t>
      </w:r>
      <w:r w:rsidRPr="00B96799">
        <w:rPr>
          <w:rFonts w:ascii="Verdana" w:eastAsia="Calibri" w:hAnsi="Verdana" w:cs="Arial"/>
          <w:lang w:val="es-ES" w:eastAsia="es-ES"/>
        </w:rPr>
        <w:t xml:space="preserve">, </w:t>
      </w:r>
      <w:r>
        <w:rPr>
          <w:rFonts w:ascii="Verdana" w:eastAsia="Calibri" w:hAnsi="Verdana" w:cs="Arial"/>
          <w:lang w:val="es-ES" w:eastAsia="es-ES"/>
        </w:rPr>
        <w:t>Valle del Cauca</w:t>
      </w:r>
    </w:p>
    <w:p w14:paraId="6237302A" w14:textId="77777777" w:rsidR="00BB3C39" w:rsidRPr="00593A5F" w:rsidRDefault="00BB3C39" w:rsidP="00BB3C39">
      <w:pPr>
        <w:spacing w:after="0" w:line="240" w:lineRule="auto"/>
        <w:rPr>
          <w:rFonts w:ascii="Verdana" w:eastAsia="Calibri" w:hAnsi="Verdana" w:cs="Arial"/>
          <w:b/>
          <w:bCs/>
          <w:color w:val="000000"/>
          <w:lang w:val="es-ES_tradnl" w:eastAsia="es-ES_tradnl"/>
        </w:rPr>
      </w:pPr>
    </w:p>
    <w:p w14:paraId="7A3F9ACA" w14:textId="77777777" w:rsidR="00BB3C39" w:rsidRPr="00593A5F" w:rsidRDefault="00BB3C39" w:rsidP="00BB3C3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B3C39" w:rsidRPr="00593A5F" w14:paraId="70297C92" w14:textId="77777777" w:rsidTr="00121D45">
        <w:trPr>
          <w:trHeight w:val="884"/>
        </w:trPr>
        <w:tc>
          <w:tcPr>
            <w:tcW w:w="2689" w:type="dxa"/>
          </w:tcPr>
          <w:p w14:paraId="752227EC" w14:textId="77777777" w:rsidR="00BB3C39" w:rsidRPr="00C00976" w:rsidRDefault="00BB3C39" w:rsidP="00121D45">
            <w:pPr>
              <w:jc w:val="both"/>
              <w:rPr>
                <w:rFonts w:ascii="Verdana" w:eastAsia="Calibri" w:hAnsi="Verdana" w:cs="Arial"/>
                <w:b/>
                <w:bCs/>
                <w:color w:val="7030A0"/>
                <w:lang w:val="es-ES_tradnl" w:eastAsia="es-ES_tradnl"/>
              </w:rPr>
            </w:pPr>
          </w:p>
        </w:tc>
        <w:tc>
          <w:tcPr>
            <w:tcW w:w="6100" w:type="dxa"/>
          </w:tcPr>
          <w:p w14:paraId="3A628232" w14:textId="77777777" w:rsidR="00BB3C39" w:rsidRPr="00C00976" w:rsidRDefault="00BB3C39" w:rsidP="00121D45">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515</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Pr>
                <w:rFonts w:ascii="Verdana" w:eastAsia="Calibri" w:hAnsi="Verdana" w:cs="Arial"/>
                <w:b/>
                <w:bCs/>
                <w:lang w:val="es-ES" w:eastAsia="es-ES"/>
              </w:rPr>
              <w:t xml:space="preserve"> 2025</w:t>
            </w:r>
          </w:p>
        </w:tc>
      </w:tr>
      <w:tr w:rsidR="00BB3C39" w:rsidRPr="00540D06" w14:paraId="5CF263FC" w14:textId="77777777" w:rsidTr="00121D45">
        <w:trPr>
          <w:trHeight w:val="884"/>
        </w:trPr>
        <w:tc>
          <w:tcPr>
            <w:tcW w:w="2689" w:type="dxa"/>
          </w:tcPr>
          <w:p w14:paraId="029CE707" w14:textId="77777777" w:rsidR="00BB3C39" w:rsidRPr="00540D06" w:rsidRDefault="00BB3C39" w:rsidP="00121D45">
            <w:pPr>
              <w:jc w:val="both"/>
              <w:rPr>
                <w:rFonts w:ascii="Verdana" w:eastAsia="Calibri" w:hAnsi="Verdana" w:cs="Arial"/>
                <w:color w:val="000000"/>
                <w:lang w:val="es-ES_tradnl" w:eastAsia="es-ES_tradnl"/>
              </w:rPr>
            </w:pPr>
            <w:r w:rsidRPr="00540D06">
              <w:rPr>
                <w:rFonts w:ascii="Verdana" w:eastAsia="Calibri" w:hAnsi="Verdana" w:cs="Arial"/>
                <w:b/>
                <w:color w:val="000000"/>
                <w:lang w:val="es-ES_tradnl" w:eastAsia="es-ES_tradnl"/>
              </w:rPr>
              <w:t>Temas:</w:t>
            </w:r>
            <w:r w:rsidRPr="00540D06">
              <w:rPr>
                <w:rFonts w:ascii="Verdana" w:eastAsia="Calibri" w:hAnsi="Verdana" w:cs="Arial"/>
                <w:color w:val="000000"/>
                <w:lang w:val="es-ES_tradnl" w:eastAsia="es-ES_tradnl"/>
              </w:rPr>
              <w:t xml:space="preserve">                   </w:t>
            </w:r>
          </w:p>
        </w:tc>
        <w:tc>
          <w:tcPr>
            <w:tcW w:w="6100" w:type="dxa"/>
          </w:tcPr>
          <w:p w14:paraId="58579FEE" w14:textId="77777777" w:rsidR="00BB3C39" w:rsidRDefault="00BB3C39" w:rsidP="00121D45">
            <w:pPr>
              <w:spacing w:line="276" w:lineRule="auto"/>
              <w:jc w:val="both"/>
              <w:rPr>
                <w:rFonts w:ascii="Verdana" w:eastAsia="Calibri" w:hAnsi="Verdana" w:cs="Arial"/>
                <w:lang w:val="es-ES" w:eastAsia="es-ES"/>
              </w:rPr>
            </w:pPr>
            <w:r w:rsidRPr="00522D5F">
              <w:rPr>
                <w:rFonts w:ascii="Verdana" w:eastAsia="Calibri" w:hAnsi="Verdana" w:cs="Arial"/>
                <w:lang w:val="es-ES" w:eastAsia="es-ES"/>
              </w:rPr>
              <w:t>ANÁLISIS DEL SECTOR – Definición / ESTUDIOS DE MERCADO – Finalidad - Recomendaciones – Colombia compra eficiente – Guía de elaboración de estudios del sector</w:t>
            </w:r>
            <w:r>
              <w:rPr>
                <w:rFonts w:ascii="Verdana" w:eastAsia="Calibri" w:hAnsi="Verdana" w:cs="Arial"/>
                <w:lang w:val="es-ES" w:eastAsia="es-ES"/>
              </w:rPr>
              <w:t xml:space="preserve"> </w:t>
            </w:r>
            <w:r w:rsidRPr="00522D5F">
              <w:rPr>
                <w:rFonts w:ascii="Verdana" w:eastAsia="Calibri" w:hAnsi="Verdana" w:cs="Arial"/>
                <w:lang w:val="es-ES" w:eastAsia="es-ES"/>
              </w:rPr>
              <w:t>/</w:t>
            </w:r>
            <w:r>
              <w:rPr>
                <w:rFonts w:ascii="Verdana" w:eastAsia="Calibri" w:hAnsi="Verdana" w:cs="Arial"/>
                <w:lang w:val="es-ES" w:eastAsia="es-ES"/>
              </w:rPr>
              <w:t xml:space="preserve"> SIN EROGACIÓN PRESUPUESTAL – presupuesto cero. </w:t>
            </w:r>
          </w:p>
          <w:p w14:paraId="349F43A2" w14:textId="77777777" w:rsidR="00BB3C39" w:rsidRPr="00540D06" w:rsidRDefault="00BB3C39" w:rsidP="00121D45">
            <w:pPr>
              <w:spacing w:line="276" w:lineRule="auto"/>
              <w:jc w:val="both"/>
              <w:rPr>
                <w:rFonts w:ascii="Verdana" w:eastAsia="Calibri" w:hAnsi="Verdana" w:cs="Arial"/>
                <w:lang w:val="es-ES" w:eastAsia="es-ES"/>
              </w:rPr>
            </w:pPr>
          </w:p>
        </w:tc>
      </w:tr>
      <w:tr w:rsidR="00BB3C39" w:rsidRPr="00540D06" w14:paraId="23E874BB" w14:textId="77777777" w:rsidTr="00121D45">
        <w:tc>
          <w:tcPr>
            <w:tcW w:w="2689" w:type="dxa"/>
          </w:tcPr>
          <w:p w14:paraId="59F294FC" w14:textId="77777777" w:rsidR="00BB3C39" w:rsidRPr="00540D06" w:rsidRDefault="00BB3C39" w:rsidP="00121D45">
            <w:pPr>
              <w:jc w:val="both"/>
              <w:rPr>
                <w:rFonts w:ascii="Verdana" w:eastAsia="Calibri" w:hAnsi="Verdana" w:cs="Arial"/>
                <w:b/>
                <w:color w:val="000000" w:themeColor="text1"/>
                <w:lang w:val="es-ES_tradnl" w:eastAsia="es-ES_tradnl"/>
              </w:rPr>
            </w:pPr>
            <w:r w:rsidRPr="00540D06">
              <w:rPr>
                <w:rFonts w:ascii="Verdana" w:eastAsia="Calibri" w:hAnsi="Verdana" w:cs="Arial"/>
                <w:b/>
                <w:color w:val="000000" w:themeColor="text1"/>
                <w:lang w:val="es-ES_tradnl" w:eastAsia="es-ES_tradnl"/>
              </w:rPr>
              <w:t>Radicación:</w:t>
            </w:r>
            <w:r w:rsidRPr="00540D06">
              <w:rPr>
                <w:rFonts w:ascii="Verdana" w:eastAsia="Calibri" w:hAnsi="Verdana" w:cs="Arial"/>
                <w:color w:val="000000" w:themeColor="text1"/>
                <w:lang w:val="es-ES_tradnl" w:eastAsia="es-ES_tradnl"/>
              </w:rPr>
              <w:t xml:space="preserve">               </w:t>
            </w:r>
          </w:p>
        </w:tc>
        <w:tc>
          <w:tcPr>
            <w:tcW w:w="6100" w:type="dxa"/>
          </w:tcPr>
          <w:p w14:paraId="4A4A6A9A" w14:textId="77777777" w:rsidR="00BB3C39" w:rsidRPr="00540D06" w:rsidRDefault="00BB3C39" w:rsidP="00121D45">
            <w:pPr>
              <w:jc w:val="both"/>
              <w:rPr>
                <w:rFonts w:ascii="Verdana" w:eastAsia="Calibri" w:hAnsi="Verdana" w:cs="Arial"/>
                <w:color w:val="000000" w:themeColor="text1"/>
                <w:lang w:val="es-ES_tradnl" w:eastAsia="es-ES_tradnl"/>
              </w:rPr>
            </w:pPr>
            <w:r w:rsidRPr="00540D06">
              <w:rPr>
                <w:rFonts w:ascii="Verdana" w:eastAsia="Calibri" w:hAnsi="Verdana" w:cs="Arial"/>
                <w:color w:val="000000" w:themeColor="text1"/>
                <w:lang w:val="es-ES_tradnl" w:eastAsia="es-ES_tradnl"/>
              </w:rPr>
              <w:t xml:space="preserve">Respuesta a consulta con radicado No. </w:t>
            </w:r>
            <w:r w:rsidRPr="00540D06">
              <w:rPr>
                <w:rFonts w:ascii="Verdana" w:hAnsi="Verdana"/>
                <w:color w:val="000000" w:themeColor="text1"/>
                <w:shd w:val="clear" w:color="auto" w:fill="F5F5F5"/>
              </w:rPr>
              <w:t>P20250425003958</w:t>
            </w:r>
          </w:p>
        </w:tc>
      </w:tr>
    </w:tbl>
    <w:p w14:paraId="27D2FB28" w14:textId="77777777" w:rsidR="00BB3C39" w:rsidRPr="00593A5F" w:rsidRDefault="00BB3C39" w:rsidP="00BB3C39">
      <w:pPr>
        <w:spacing w:after="0" w:line="240" w:lineRule="auto"/>
        <w:jc w:val="both"/>
        <w:rPr>
          <w:rFonts w:ascii="Verdana" w:eastAsia="Calibri" w:hAnsi="Verdana" w:cs="Arial"/>
          <w:color w:val="000000"/>
          <w:lang w:val="es-ES_tradnl" w:eastAsia="es-ES_tradnl"/>
        </w:rPr>
      </w:pPr>
    </w:p>
    <w:p w14:paraId="63FA0379" w14:textId="77777777" w:rsidR="00BB3C39" w:rsidRPr="00593A5F" w:rsidRDefault="00BB3C39" w:rsidP="00BB3C39">
      <w:pPr>
        <w:spacing w:after="0" w:line="240" w:lineRule="auto"/>
        <w:jc w:val="both"/>
        <w:rPr>
          <w:rFonts w:ascii="Verdana" w:eastAsia="Calibri" w:hAnsi="Verdana" w:cs="Arial"/>
          <w:color w:val="000000"/>
          <w:lang w:val="es-ES_tradnl" w:eastAsia="es-ES_tradnl"/>
        </w:rPr>
      </w:pPr>
    </w:p>
    <w:p w14:paraId="09641FEA" w14:textId="77777777" w:rsidR="00BB3C39" w:rsidRDefault="00BB3C39" w:rsidP="00BB3C3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Estimado seño</w:t>
      </w:r>
      <w:r>
        <w:rPr>
          <w:rFonts w:ascii="Verdana" w:eastAsia="Calibri" w:hAnsi="Verdana" w:cs="Arial"/>
          <w:color w:val="000000" w:themeColor="text1"/>
          <w:lang w:val="es-ES" w:eastAsia="es-ES"/>
        </w:rPr>
        <w:t>r Olaya:</w:t>
      </w:r>
      <w:r w:rsidRPr="00593A5F">
        <w:rPr>
          <w:rFonts w:ascii="Verdana" w:eastAsia="Calibri" w:hAnsi="Verdana" w:cs="Arial"/>
          <w:color w:val="000000" w:themeColor="text1"/>
          <w:lang w:val="es-ES" w:eastAsia="es-ES"/>
        </w:rPr>
        <w:t xml:space="preserve"> </w:t>
      </w:r>
    </w:p>
    <w:p w14:paraId="6128F726" w14:textId="77777777" w:rsidR="00BB3C39" w:rsidRDefault="00BB3C39" w:rsidP="00BB3C3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B9E4DE9" w14:textId="77777777" w:rsidR="00BB3C39" w:rsidRPr="00540D06" w:rsidRDefault="00BB3C39" w:rsidP="00BB3C3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w:t>
      </w:r>
      <w:r w:rsidRPr="00540D06">
        <w:rPr>
          <w:rFonts w:ascii="Verdana" w:eastAsia="Calibri" w:hAnsi="Verdana" w:cs="Arial"/>
          <w:color w:val="000000" w:themeColor="text1"/>
          <w:lang w:val="es-ES" w:eastAsia="es-ES"/>
        </w:rPr>
        <w:t xml:space="preserve">Colombia Compra Eficiente– responde su solicitud de consulta de fecha 25 de abril de 2025, en la cual manifiesta lo siguiente: </w:t>
      </w:r>
    </w:p>
    <w:p w14:paraId="031FCD13" w14:textId="77777777" w:rsidR="00BB3C39" w:rsidRPr="00540D06" w:rsidRDefault="00BB3C39" w:rsidP="00BB3C3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760AF4E4" w14:textId="77777777" w:rsidR="00BB3C39" w:rsidRPr="00540D06" w:rsidRDefault="00BB3C39" w:rsidP="00BB3C39">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540D06">
        <w:rPr>
          <w:rFonts w:ascii="Verdana" w:eastAsia="Century Gothic" w:hAnsi="Verdana" w:cs="Century Gothic"/>
          <w:color w:val="000000" w:themeColor="text1"/>
          <w:sz w:val="20"/>
          <w:szCs w:val="20"/>
          <w:lang w:val="es-ES"/>
        </w:rPr>
        <w:t xml:space="preserve">“Solicito amablemente me den un concepto al momento de estructurar procesos como convenios marco, convenios interadministrativos, entre otros. En el cual el presupuesto es cero y no hay erogaciones presupuestales ¿es necesario realizar la estructuración del documento estudio del </w:t>
      </w:r>
      <w:proofErr w:type="gramStart"/>
      <w:r w:rsidRPr="00540D06">
        <w:rPr>
          <w:rFonts w:ascii="Verdana" w:eastAsia="Century Gothic" w:hAnsi="Verdana" w:cs="Century Gothic"/>
          <w:color w:val="000000" w:themeColor="text1"/>
          <w:sz w:val="20"/>
          <w:szCs w:val="20"/>
          <w:lang w:val="es-ES"/>
        </w:rPr>
        <w:t>sector?.</w:t>
      </w:r>
      <w:proofErr w:type="gramEnd"/>
      <w:r w:rsidRPr="00540D06">
        <w:rPr>
          <w:rFonts w:ascii="Verdana" w:eastAsia="Century Gothic" w:hAnsi="Verdana" w:cs="Century Gothic"/>
          <w:color w:val="000000" w:themeColor="text1"/>
          <w:sz w:val="20"/>
          <w:szCs w:val="20"/>
          <w:lang w:val="es-ES"/>
        </w:rPr>
        <w:t>”</w:t>
      </w:r>
      <w:bookmarkEnd w:id="1"/>
      <w:r w:rsidRPr="00540D06">
        <w:rPr>
          <w:rFonts w:ascii="Verdana" w:eastAsia="Century Gothic" w:hAnsi="Verdana" w:cs="Century Gothic"/>
          <w:color w:val="000000" w:themeColor="text1"/>
          <w:sz w:val="20"/>
          <w:szCs w:val="20"/>
          <w:lang w:val="es-ES"/>
        </w:rPr>
        <w:t xml:space="preserve"> </w:t>
      </w:r>
    </w:p>
    <w:p w14:paraId="1D61C85E" w14:textId="77777777" w:rsidR="00BB3C39" w:rsidRPr="00593A5F" w:rsidRDefault="00BB3C39" w:rsidP="00BB3C39">
      <w:pPr>
        <w:pStyle w:val="Prrafodelista"/>
        <w:tabs>
          <w:tab w:val="left" w:pos="142"/>
          <w:tab w:val="left" w:pos="284"/>
        </w:tabs>
        <w:spacing w:line="276" w:lineRule="auto"/>
        <w:ind w:left="0"/>
        <w:jc w:val="both"/>
        <w:rPr>
          <w:rFonts w:ascii="Verdana" w:eastAsia="Century Gothic" w:hAnsi="Verdana" w:cs="Century Gothic"/>
          <w:b/>
          <w:bCs/>
          <w:lang w:val="es-ES"/>
        </w:rPr>
      </w:pPr>
    </w:p>
    <w:p w14:paraId="4B507A04" w14:textId="77777777" w:rsidR="00BB3C39" w:rsidRDefault="00BB3C39" w:rsidP="00BB3C3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965CA4F" w14:textId="77777777" w:rsidR="00BB3C39" w:rsidRDefault="00BB3C39" w:rsidP="00BB3C3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010F3742" w14:textId="77777777" w:rsidR="00BB3C39" w:rsidRPr="00593A5F" w:rsidRDefault="00BB3C39" w:rsidP="00BB3C39">
      <w:pPr>
        <w:spacing w:after="0" w:line="276" w:lineRule="auto"/>
        <w:ind w:firstLine="709"/>
        <w:jc w:val="both"/>
        <w:rPr>
          <w:rFonts w:ascii="Verdana" w:eastAsia="Calibri" w:hAnsi="Verdana" w:cs="Arial"/>
          <w:color w:val="000000"/>
          <w:lang w:val="es-ES" w:eastAsia="es-ES"/>
        </w:rPr>
      </w:pPr>
    </w:p>
    <w:p w14:paraId="3FC78A6F" w14:textId="77777777" w:rsidR="00BB3C39" w:rsidRPr="00593A5F" w:rsidRDefault="00BB3C39" w:rsidP="00BB3C3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516ABA6" w14:textId="77777777" w:rsidR="00BB3C39" w:rsidRPr="00593A5F" w:rsidRDefault="00BB3C39" w:rsidP="00BB3C39">
      <w:pPr>
        <w:tabs>
          <w:tab w:val="left" w:pos="426"/>
        </w:tabs>
        <w:spacing w:after="0" w:line="276" w:lineRule="auto"/>
        <w:jc w:val="both"/>
        <w:rPr>
          <w:rFonts w:ascii="Verdana" w:eastAsia="Century Gothic" w:hAnsi="Verdana" w:cs="Century Gothic"/>
          <w:lang w:val="es-ES"/>
        </w:rPr>
      </w:pPr>
    </w:p>
    <w:p w14:paraId="31C3F71E" w14:textId="77777777" w:rsidR="00BB3C39" w:rsidRPr="00CB5D17" w:rsidRDefault="00BB3C39" w:rsidP="00BB3C39">
      <w:pPr>
        <w:spacing w:after="0" w:line="276" w:lineRule="auto"/>
        <w:jc w:val="both"/>
        <w:rPr>
          <w:rFonts w:ascii="Verdana" w:eastAsia="Century Gothic" w:hAnsi="Verdana" w:cs="Century Gothic"/>
        </w:rPr>
      </w:pPr>
      <w:r w:rsidRPr="00CB5D17">
        <w:rPr>
          <w:rFonts w:ascii="Verdana" w:eastAsia="Century Gothic" w:hAnsi="Verdana" w:cs="Century Gothic"/>
        </w:rPr>
        <w:t>De acuerdo con el contenido de su solicitud, esta Agencia resolverá el  siguiente problemas jurídico: ¿</w:t>
      </w:r>
      <w:r w:rsidRPr="00CB5D17">
        <w:rPr>
          <w:rFonts w:ascii="Verdana" w:hAnsi="Verdana"/>
        </w:rPr>
        <w:t>D</w:t>
      </w:r>
      <w:r w:rsidRPr="00CB5D17">
        <w:rPr>
          <w:rStyle w:val="citation-86"/>
          <w:rFonts w:ascii="Verdana" w:hAnsi="Verdana"/>
        </w:rPr>
        <w:t>e qué manera pueden las Entidades Estatales satisfacer el deber general de planeación</w:t>
      </w:r>
      <w:r>
        <w:rPr>
          <w:rStyle w:val="citation-86"/>
          <w:rFonts w:ascii="Verdana" w:hAnsi="Verdana"/>
        </w:rPr>
        <w:t xml:space="preserve"> a través de los estudios del sector</w:t>
      </w:r>
      <w:r w:rsidRPr="00CB5D17">
        <w:rPr>
          <w:rStyle w:val="citation-86"/>
          <w:rFonts w:ascii="Verdana" w:hAnsi="Verdana"/>
        </w:rPr>
        <w:t xml:space="preserve">, cuando el componente económico, </w:t>
      </w:r>
      <w:r w:rsidRPr="00CB5D17">
        <w:rPr>
          <w:rFonts w:ascii="Verdana" w:hAnsi="Verdana"/>
        </w:rPr>
        <w:t>resulta inaplicable</w:t>
      </w:r>
      <w:r>
        <w:rPr>
          <w:rFonts w:ascii="Verdana" w:hAnsi="Verdana"/>
        </w:rPr>
        <w:t xml:space="preserve"> por no tener erogación presupuestal</w:t>
      </w:r>
      <w:r w:rsidRPr="00CB5D17">
        <w:rPr>
          <w:rFonts w:ascii="Verdana" w:hAnsi="Verdana"/>
        </w:rPr>
        <w:t>?</w:t>
      </w:r>
    </w:p>
    <w:p w14:paraId="45EBFE62" w14:textId="77777777" w:rsidR="00BB3C39" w:rsidRPr="00593A5F" w:rsidRDefault="00BB3C39" w:rsidP="00BB3C39">
      <w:pPr>
        <w:spacing w:after="0" w:line="276" w:lineRule="auto"/>
        <w:jc w:val="both"/>
        <w:rPr>
          <w:rFonts w:ascii="Verdana" w:eastAsia="Calibri" w:hAnsi="Verdana" w:cs="Arial"/>
          <w:color w:val="7030A0"/>
          <w:lang w:val="es-ES"/>
        </w:rPr>
      </w:pPr>
    </w:p>
    <w:p w14:paraId="098AD032" w14:textId="77777777" w:rsidR="00BB3C39" w:rsidRPr="00593A5F" w:rsidRDefault="00BB3C39" w:rsidP="00BB3C3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R</w:t>
      </w:r>
      <w:r w:rsidRPr="00593A5F">
        <w:rPr>
          <w:rFonts w:ascii="Verdana" w:eastAsia="Century Gothic" w:hAnsi="Verdana" w:cs="Century Gothic"/>
          <w:b/>
          <w:bCs/>
          <w:lang w:val="es-ES"/>
        </w:rPr>
        <w:t>espuesta:</w:t>
      </w:r>
    </w:p>
    <w:p w14:paraId="2D61B26E" w14:textId="77777777" w:rsidR="00BB3C39" w:rsidRPr="00593A5F" w:rsidRDefault="00BB3C39" w:rsidP="00BB3C3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B3C39" w:rsidRPr="00593A5F" w14:paraId="03941D40" w14:textId="77777777" w:rsidTr="00121D45">
        <w:tc>
          <w:tcPr>
            <w:tcW w:w="8828" w:type="dxa"/>
          </w:tcPr>
          <w:p w14:paraId="35012424" w14:textId="77777777" w:rsidR="00D02457" w:rsidRDefault="00096848" w:rsidP="00096848">
            <w:pPr>
              <w:spacing w:after="120" w:line="276" w:lineRule="auto"/>
              <w:ind w:firstLine="709"/>
              <w:jc w:val="both"/>
              <w:rPr>
                <w:rFonts w:ascii="Verdana" w:hAnsi="Verdana"/>
              </w:rPr>
            </w:pPr>
            <w:r w:rsidRPr="00096848">
              <w:rPr>
                <w:rFonts w:ascii="Verdana" w:hAnsi="Verdana"/>
              </w:rPr>
              <w:t xml:space="preserve">El estudio del sector, o el documento equivalente que haga sus veces, materializa el principio de planeación ineludible en toda la contratación estatal, adaptando su enfoque según si el negocio jurídico implica o no una erogación de recursos. Para la adquisición de bienes, obras o servicios con presupuesto asignado, este análisis cumple una doble función: un análisis estratégico del mercado para comprender la oferta y sus riesgos, y un análisis económico para justificar el valor del contrato y soportar el respectivo Certificado de Disponibilidad Presupuestal CDP. </w:t>
            </w:r>
          </w:p>
          <w:p w14:paraId="7DCB72A2" w14:textId="5B17A426"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Sin embargo, cuando se trata de negocios con presupuesto cero, como los convenios de colaboración o asociación, la ausencia de un precio no exime </w:t>
            </w:r>
            <w:r w:rsidRPr="00096848">
              <w:rPr>
                <w:rFonts w:ascii="Verdana" w:hAnsi="Verdana"/>
              </w:rPr>
              <w:lastRenderedPageBreak/>
              <w:t>a la entidad de su deber de planeación. En estos casos, se debe elaborar un documento análogo que, en lugar de analizar un mercado, se centra en justificar rigurosamente la conveniencia, oportunidad y necesidad del acuerdo.</w:t>
            </w:r>
          </w:p>
          <w:p w14:paraId="05551FE9"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Este análisis debe, de forma obligatoria, acreditar la idoneidad del colaborador seleccionado, verificando su capacidad técnica, experiencia y naturaleza jurídica. Adicionalmente, debe incluir un análisis de valor que describa los beneficios y ahorros obtenidos, una matriz que identifique los riesgos operativos y jurídicos, y un detalle preciso de la distribución de aportes y obligaciones de cada parte para asegurar el equilibrio. </w:t>
            </w:r>
          </w:p>
          <w:p w14:paraId="3422EF9A"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En suma, este documento se convierte en el soporte documental clave ante los órganos de control para demostrar que la selección no fue arbitraria, sino el resultado de un análisis diligente que buscó la máxima eficiencia en el cumplimiento de los fines estatales, con independencia de la existencia de un presupuesto. </w:t>
            </w:r>
          </w:p>
          <w:p w14:paraId="561D2E13"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De otro lado, es importante manifestar que las Entidades Estales son autónomas para establecer en su Manual de Contratación la metodología para elaborar el Estudio del Sector (o su documento equivalente en el caso que no haya erogaciones), siempre y cuando se acate la Ley 1150 de 2007 y el Decreto 1082 de 2015 frente a esta materia. </w:t>
            </w:r>
          </w:p>
          <w:p w14:paraId="5041B39B" w14:textId="19ECB40D" w:rsidR="00BB3C39" w:rsidRPr="00775B98" w:rsidRDefault="00096848" w:rsidP="00096848">
            <w:pPr>
              <w:spacing w:after="120" w:line="276" w:lineRule="auto"/>
              <w:ind w:firstLine="709"/>
              <w:jc w:val="both"/>
              <w:rPr>
                <w:rFonts w:ascii="Verdana" w:hAnsi="Verdana"/>
              </w:rPr>
            </w:pPr>
            <w:r w:rsidRPr="00096848">
              <w:rPr>
                <w:rFonts w:ascii="Verdana" w:hAnsi="Verdana"/>
              </w:rPr>
              <w:t>Finalmente, la “Guía de Elaboración del Estudio del Sector”, de esta Agencia de Contratación Pública Colombia Compra Eficiente, en la sección 2.1, Resulta indispensable, puesto que se enfoca en los elementos a tener en cuenta cuando se trata de los convenios de asociación o interadministrativos, que se tramitan mediante la modalidad de contratación directa, donde el precio no es el factor determinante, ya que el estudio debe sustentar de manera estructurada la decisión de elegir esa modalidad y, crucialmente, la elección de ese proveedor o colaborador en particular, basándose en sus condiciones de idoneidad y experiencia.</w:t>
            </w:r>
          </w:p>
        </w:tc>
      </w:tr>
    </w:tbl>
    <w:p w14:paraId="6432CEDB" w14:textId="77777777" w:rsidR="00BB3C39" w:rsidRPr="00593A5F" w:rsidRDefault="00BB3C39" w:rsidP="00BB3C39">
      <w:pPr>
        <w:tabs>
          <w:tab w:val="left" w:pos="142"/>
          <w:tab w:val="left" w:pos="284"/>
        </w:tabs>
        <w:spacing w:after="0" w:line="276" w:lineRule="auto"/>
        <w:jc w:val="both"/>
        <w:rPr>
          <w:rFonts w:ascii="Verdana" w:eastAsia="Century Gothic" w:hAnsi="Verdana" w:cs="Century Gothic"/>
          <w:b/>
          <w:bCs/>
          <w:lang w:val="es-ES"/>
        </w:rPr>
      </w:pPr>
    </w:p>
    <w:p w14:paraId="0C3680A7" w14:textId="77777777" w:rsidR="00BB3C39" w:rsidRPr="00593A5F" w:rsidRDefault="00BB3C39" w:rsidP="00BB3C3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21F23906" w14:textId="77777777" w:rsidR="00BB3C39" w:rsidRDefault="00BB3C39" w:rsidP="00BB3C39">
      <w:pPr>
        <w:spacing w:after="0" w:line="276" w:lineRule="auto"/>
        <w:jc w:val="both"/>
        <w:rPr>
          <w:rFonts w:ascii="Verdana" w:eastAsia="Calibri" w:hAnsi="Verdana" w:cs="Arial"/>
          <w:color w:val="7030A0"/>
          <w:lang w:val="es-ES"/>
        </w:rPr>
      </w:pPr>
    </w:p>
    <w:p w14:paraId="6482510D" w14:textId="77777777" w:rsidR="00BB3C39" w:rsidRPr="00B7290B" w:rsidRDefault="00BB3C39" w:rsidP="00BB3C39">
      <w:pPr>
        <w:spacing w:after="0" w:line="276" w:lineRule="auto"/>
        <w:jc w:val="both"/>
        <w:rPr>
          <w:rFonts w:ascii="Verdana" w:eastAsia="Calibri" w:hAnsi="Verdana" w:cs="Arial"/>
          <w:lang w:val="es-ES"/>
        </w:rPr>
      </w:pPr>
      <w:r w:rsidRPr="00B7290B">
        <w:rPr>
          <w:rFonts w:ascii="Verdana" w:eastAsia="Calibri" w:hAnsi="Verdana" w:cs="Arial"/>
          <w:lang w:val="es-ES"/>
        </w:rPr>
        <w:t xml:space="preserve">Lo anterior se sustenta en las siguientes consideraciones: </w:t>
      </w:r>
    </w:p>
    <w:p w14:paraId="766C5090" w14:textId="77777777" w:rsidR="00BB3C39" w:rsidRPr="00B7290B" w:rsidRDefault="00BB3C39" w:rsidP="00BB3C39">
      <w:pPr>
        <w:spacing w:after="0" w:line="276" w:lineRule="auto"/>
        <w:jc w:val="both"/>
        <w:rPr>
          <w:rFonts w:ascii="Verdana" w:eastAsia="Calibri" w:hAnsi="Verdana" w:cs="Arial"/>
          <w:color w:val="7030A0"/>
          <w:lang w:val="es-ES"/>
        </w:rPr>
      </w:pPr>
    </w:p>
    <w:p w14:paraId="345B9348" w14:textId="77777777" w:rsidR="00BB3C39" w:rsidRPr="00CC6878" w:rsidRDefault="00BB3C39" w:rsidP="00BB3C39">
      <w:pPr>
        <w:spacing w:after="120" w:line="276" w:lineRule="auto"/>
        <w:jc w:val="both"/>
        <w:rPr>
          <w:rFonts w:ascii="Verdana" w:eastAsia="Times New Roman" w:hAnsi="Verdana" w:cs="Arial"/>
          <w:lang w:val="es-ES_tradnl" w:eastAsia="es-MX"/>
        </w:rPr>
      </w:pPr>
      <w:bookmarkStart w:id="2" w:name="_Hlk54011258"/>
      <w:r w:rsidRPr="00CC6878">
        <w:rPr>
          <w:rFonts w:ascii="Verdana" w:eastAsia="Calibri" w:hAnsi="Verdana" w:cs="Arial"/>
          <w:bCs/>
          <w:lang w:val="es-ES_tradnl" w:eastAsia="es-MX"/>
        </w:rPr>
        <w:lastRenderedPageBreak/>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2"/>
      <w:r w:rsidRPr="00CC6878">
        <w:rPr>
          <w:rFonts w:ascii="Verdana" w:eastAsia="Calibri" w:hAnsi="Verdana" w:cs="Arial"/>
          <w:bCs/>
          <w:lang w:val="es-ES_tradnl" w:eastAsia="es-MX"/>
        </w:rPr>
        <w:t>.</w:t>
      </w:r>
    </w:p>
    <w:p w14:paraId="382E0B72" w14:textId="77777777" w:rsidR="00BB3C39" w:rsidRPr="00B7290B" w:rsidRDefault="00BB3C39" w:rsidP="00BB3C39">
      <w:pPr>
        <w:widowControl w:val="0"/>
        <w:autoSpaceDE w:val="0"/>
        <w:autoSpaceDN w:val="0"/>
        <w:spacing w:after="0" w:line="276" w:lineRule="auto"/>
        <w:ind w:firstLine="708"/>
        <w:jc w:val="both"/>
        <w:rPr>
          <w:rFonts w:ascii="Verdana" w:eastAsia="Calibri" w:hAnsi="Verdana" w:cs="Arial"/>
          <w:bCs/>
          <w:lang w:val="es-MX"/>
        </w:rPr>
      </w:pPr>
      <w:r w:rsidRPr="00B7290B">
        <w:rPr>
          <w:rFonts w:ascii="Verdana" w:eastAsia="Calibri" w:hAnsi="Verdana" w:cs="Arial"/>
          <w:bCs/>
          <w:lang w:val="es-MX"/>
        </w:rPr>
        <w:t xml:space="preserve">El Estatuto General de Contratación de la Administración Pública – en adelante EGCAP –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w:t>
      </w:r>
      <w:r>
        <w:rPr>
          <w:rFonts w:ascii="Verdana" w:eastAsia="Calibri" w:hAnsi="Verdana" w:cs="Arial"/>
          <w:bCs/>
          <w:lang w:val="es-MX"/>
        </w:rPr>
        <w:t xml:space="preserve">En relación con el valor del futuro contrato, </w:t>
      </w:r>
      <w:r w:rsidRPr="00B7290B">
        <w:rPr>
          <w:rFonts w:ascii="Verdana" w:eastAsia="Calibri" w:hAnsi="Verdana" w:cs="Arial"/>
          <w:bCs/>
          <w:lang w:val="es-MX"/>
        </w:rPr>
        <w:t>se encuentra el artículo 25 de la Ley 80 de 1993 que dispone en virtud del principio de economía, entre otros que:</w:t>
      </w:r>
    </w:p>
    <w:p w14:paraId="5979E988" w14:textId="77777777" w:rsidR="00BB3C39" w:rsidRPr="00B7290B" w:rsidRDefault="00BB3C39" w:rsidP="00BB3C39">
      <w:pPr>
        <w:widowControl w:val="0"/>
        <w:autoSpaceDE w:val="0"/>
        <w:autoSpaceDN w:val="0"/>
        <w:spacing w:after="0" w:line="276" w:lineRule="auto"/>
        <w:jc w:val="both"/>
        <w:rPr>
          <w:rFonts w:ascii="Verdana" w:eastAsia="Calibri" w:hAnsi="Verdana" w:cs="Arial"/>
          <w:bCs/>
          <w:lang w:val="es-MX"/>
        </w:rPr>
      </w:pPr>
    </w:p>
    <w:p w14:paraId="3500ED6F" w14:textId="77777777" w:rsidR="00BB3C39" w:rsidRPr="004F47F3" w:rsidRDefault="00BB3C39" w:rsidP="00BB3C39">
      <w:pPr>
        <w:widowControl w:val="0"/>
        <w:autoSpaceDE w:val="0"/>
        <w:autoSpaceDN w:val="0"/>
        <w:spacing w:after="0" w:line="240" w:lineRule="auto"/>
        <w:ind w:left="708"/>
        <w:jc w:val="both"/>
        <w:rPr>
          <w:rFonts w:ascii="Verdana" w:eastAsia="Calibri" w:hAnsi="Verdana" w:cs="Arial"/>
          <w:bCs/>
          <w:sz w:val="20"/>
          <w:szCs w:val="20"/>
          <w:lang w:val="es-MX"/>
        </w:rPr>
      </w:pPr>
      <w:r>
        <w:rPr>
          <w:rFonts w:ascii="Verdana" w:eastAsia="Calibri" w:hAnsi="Verdana" w:cs="Arial"/>
          <w:bCs/>
          <w:sz w:val="20"/>
          <w:szCs w:val="20"/>
          <w:lang w:val="es-MX"/>
        </w:rPr>
        <w:t>“</w:t>
      </w:r>
      <w:r w:rsidRPr="004F47F3">
        <w:rPr>
          <w:rFonts w:ascii="Verdana" w:eastAsia="Calibri" w:hAnsi="Verdana" w:cs="Arial"/>
          <w:bCs/>
          <w:sz w:val="20"/>
          <w:szCs w:val="20"/>
          <w:lang w:val="es-MX"/>
        </w:rPr>
        <w:t>[…]</w:t>
      </w:r>
    </w:p>
    <w:p w14:paraId="7FA18BCB" w14:textId="77777777" w:rsidR="00BB3C39" w:rsidRPr="004F47F3" w:rsidRDefault="00BB3C39" w:rsidP="00BB3C39">
      <w:pPr>
        <w:widowControl w:val="0"/>
        <w:autoSpaceDE w:val="0"/>
        <w:autoSpaceDN w:val="0"/>
        <w:spacing w:after="0" w:line="240" w:lineRule="auto"/>
        <w:ind w:left="708"/>
        <w:jc w:val="both"/>
        <w:rPr>
          <w:rFonts w:ascii="Verdana" w:hAnsi="Verdana" w:cs="Open Sans"/>
          <w:sz w:val="20"/>
          <w:szCs w:val="20"/>
        </w:rPr>
      </w:pPr>
      <w:r w:rsidRPr="004F47F3">
        <w:rPr>
          <w:rFonts w:ascii="Verdana" w:eastAsia="Calibri" w:hAnsi="Verdana" w:cs="Arial"/>
          <w:bCs/>
          <w:sz w:val="20"/>
          <w:szCs w:val="20"/>
          <w:lang w:val="es-MX"/>
        </w:rPr>
        <w:t xml:space="preserve">12. </w:t>
      </w:r>
      <w:r w:rsidRPr="004F47F3">
        <w:rPr>
          <w:rFonts w:ascii="Verdana" w:hAnsi="Verdana" w:cs="Open Sans"/>
          <w:sz w:val="20"/>
          <w:szCs w:val="20"/>
        </w:rPr>
        <w:t xml:space="preserve">Previo a la apertura de un proceso de selección, o a la firma del contrato en el caso en que la modalidad de selección sea contratación directa, deberán elaborarse los estudios, diseños y proyectos requeridos, y los pliegos de condiciones, según corresponda. </w:t>
      </w:r>
      <w:r w:rsidRPr="00010771">
        <w:rPr>
          <w:rFonts w:ascii="Verdana" w:hAnsi="Verdana" w:cs="Open Sans"/>
          <w:sz w:val="20"/>
          <w:szCs w:val="20"/>
        </w:rPr>
        <w:t>[…]</w:t>
      </w:r>
      <w:r>
        <w:rPr>
          <w:rFonts w:ascii="Verdana" w:hAnsi="Verdana" w:cs="Open Sans"/>
          <w:sz w:val="20"/>
          <w:szCs w:val="20"/>
        </w:rPr>
        <w:t>”</w:t>
      </w:r>
    </w:p>
    <w:p w14:paraId="737CEE18" w14:textId="77777777" w:rsidR="00BB3C39" w:rsidRPr="00B7290B" w:rsidRDefault="00BB3C39" w:rsidP="00BB3C39">
      <w:pPr>
        <w:widowControl w:val="0"/>
        <w:autoSpaceDE w:val="0"/>
        <w:autoSpaceDN w:val="0"/>
        <w:spacing w:after="0" w:line="276" w:lineRule="auto"/>
        <w:jc w:val="both"/>
        <w:rPr>
          <w:rFonts w:ascii="Verdana" w:eastAsia="Calibri" w:hAnsi="Verdana" w:cs="Arial"/>
          <w:bCs/>
          <w:lang w:val="es-MX"/>
        </w:rPr>
      </w:pPr>
    </w:p>
    <w:p w14:paraId="1AC6F898" w14:textId="77777777" w:rsidR="00BB3C39" w:rsidRDefault="00BB3C39" w:rsidP="00BB3C39">
      <w:pPr>
        <w:spacing w:after="120" w:line="276" w:lineRule="auto"/>
        <w:ind w:firstLine="709"/>
        <w:jc w:val="both"/>
        <w:rPr>
          <w:rFonts w:ascii="Verdana" w:hAnsi="Verdana" w:cs="Arial"/>
        </w:rPr>
      </w:pPr>
      <w:r w:rsidRPr="007A2CB0">
        <w:rPr>
          <w:rFonts w:ascii="Verdana" w:hAnsi="Verdana" w:cs="Arial"/>
        </w:rPr>
        <w:t>Lo anterior le permitirá a la Entidad Estatal identificar</w:t>
      </w:r>
      <w:r>
        <w:rPr>
          <w:rFonts w:ascii="Verdana" w:hAnsi="Verdana" w:cs="Arial"/>
        </w:rPr>
        <w:t>,</w:t>
      </w:r>
      <w:r w:rsidRPr="007A2CB0">
        <w:rPr>
          <w:rFonts w:ascii="Verdana" w:hAnsi="Verdana" w:cs="Arial"/>
        </w:rPr>
        <w:t xml:space="preserve"> desde el punto de vista técnico y financiero</w:t>
      </w:r>
      <w:r>
        <w:rPr>
          <w:rFonts w:ascii="Verdana" w:hAnsi="Verdana" w:cs="Arial"/>
        </w:rPr>
        <w:t>,</w:t>
      </w:r>
      <w:r w:rsidRPr="007A2CB0">
        <w:rPr>
          <w:rFonts w:ascii="Verdana" w:hAnsi="Verdana" w:cs="Arial"/>
        </w:rPr>
        <w:t xml:space="preserve"> el objeto del contrato, las particularidades de su ejecución, los potenciales proponentes, </w:t>
      </w:r>
      <w:r>
        <w:rPr>
          <w:rFonts w:ascii="Verdana" w:hAnsi="Verdana" w:cs="Arial"/>
        </w:rPr>
        <w:t xml:space="preserve">los </w:t>
      </w:r>
      <w:r w:rsidRPr="007A2CB0">
        <w:rPr>
          <w:rFonts w:ascii="Verdana" w:hAnsi="Verdana" w:cs="Arial"/>
        </w:rPr>
        <w:t xml:space="preserve">requisitos mínimos para evaluar la idoneidad del contratista, así como analizar todas las variables que puedan afectar el procedimiento de selección, celebración y ejecución del contrato. Tal es la importancia de los estudios y documentos previos que su deficiencia o ausencia, </w:t>
      </w:r>
      <w:r>
        <w:rPr>
          <w:rFonts w:ascii="Verdana" w:hAnsi="Verdana" w:cs="Arial"/>
        </w:rPr>
        <w:t>“</w:t>
      </w:r>
      <w:r w:rsidRPr="007A2CB0">
        <w:rPr>
          <w:rFonts w:ascii="Verdana" w:hAnsi="Verdana" w:cs="Arial"/>
        </w:rPr>
        <w:t xml:space="preserve">genera prácticas indebidas, revocatoria de actos administrativos de apertura, declaratorias de desierta de procesos de selección, comisión de faltas </w:t>
      </w:r>
      <w:r w:rsidRPr="007A2CB0">
        <w:rPr>
          <w:rFonts w:ascii="Verdana" w:hAnsi="Verdana" w:cs="Arial"/>
        </w:rPr>
        <w:lastRenderedPageBreak/>
        <w:t>disciplinarias, mayores costos o mayor permanencia de la obra y, en general, el fracaso en la ejecución de contratos estatales</w:t>
      </w:r>
      <w:r>
        <w:rPr>
          <w:rFonts w:ascii="Verdana" w:hAnsi="Verdana" w:cs="Arial"/>
        </w:rPr>
        <w:t>”</w:t>
      </w:r>
      <w:r w:rsidRPr="007A2CB0">
        <w:rPr>
          <w:rFonts w:ascii="Verdana" w:hAnsi="Verdana" w:cs="Arial"/>
          <w:vertAlign w:val="superscript"/>
        </w:rPr>
        <w:footnoteReference w:id="2"/>
      </w:r>
      <w:r w:rsidRPr="007A2CB0">
        <w:rPr>
          <w:rFonts w:ascii="Verdana" w:hAnsi="Verdana" w:cs="Arial"/>
        </w:rPr>
        <w:t xml:space="preserve">. </w:t>
      </w:r>
    </w:p>
    <w:p w14:paraId="5E3BAC05" w14:textId="77777777" w:rsidR="00BB3C39" w:rsidRPr="00B7290B" w:rsidRDefault="00BB3C39" w:rsidP="00BB3C39">
      <w:pPr>
        <w:spacing w:after="0" w:line="276" w:lineRule="auto"/>
        <w:ind w:firstLine="709"/>
        <w:jc w:val="both"/>
        <w:rPr>
          <w:rFonts w:ascii="Verdana" w:hAnsi="Verdana" w:cs="Arial"/>
        </w:rPr>
      </w:pPr>
      <w:r w:rsidRPr="00B7290B">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32431CA0" w14:textId="77777777" w:rsidR="00BB3C39" w:rsidRPr="00B7290B" w:rsidRDefault="00BB3C39" w:rsidP="00BB3C39">
      <w:pPr>
        <w:widowControl w:val="0"/>
        <w:autoSpaceDE w:val="0"/>
        <w:autoSpaceDN w:val="0"/>
        <w:spacing w:after="0" w:line="276" w:lineRule="auto"/>
        <w:jc w:val="both"/>
        <w:rPr>
          <w:rFonts w:ascii="Verdana" w:eastAsia="Calibri" w:hAnsi="Verdana" w:cs="Arial"/>
          <w:bCs/>
          <w:lang w:val="es-MX"/>
        </w:rPr>
      </w:pPr>
    </w:p>
    <w:p w14:paraId="53ADF3AD"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536A0D9C" w14:textId="77777777" w:rsidR="00BB3C39" w:rsidRPr="004F47F3" w:rsidRDefault="00BB3C39" w:rsidP="00BB3C39">
      <w:pPr>
        <w:spacing w:after="0" w:line="240" w:lineRule="auto"/>
        <w:ind w:left="709" w:right="709"/>
        <w:jc w:val="both"/>
        <w:rPr>
          <w:rFonts w:ascii="Verdana" w:hAnsi="Verdana" w:cs="Arial"/>
          <w:sz w:val="20"/>
          <w:szCs w:val="20"/>
        </w:rPr>
      </w:pPr>
    </w:p>
    <w:p w14:paraId="26990ABE"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1. La descripción de la necesidad que la Entidad Estatal pretende satisfacer con el Proceso de Contratación. </w:t>
      </w:r>
      <w:r w:rsidRPr="004F47F3">
        <w:rPr>
          <w:rFonts w:ascii="Arial" w:hAnsi="Arial" w:cs="Arial"/>
          <w:sz w:val="20"/>
          <w:szCs w:val="20"/>
        </w:rPr>
        <w:t>​</w:t>
      </w:r>
    </w:p>
    <w:p w14:paraId="583DD22B" w14:textId="77777777" w:rsidR="00BB3C39" w:rsidRPr="004F47F3" w:rsidRDefault="00BB3C39" w:rsidP="00BB3C39">
      <w:pPr>
        <w:spacing w:after="0" w:line="240" w:lineRule="auto"/>
        <w:ind w:left="709" w:right="709"/>
        <w:jc w:val="both"/>
        <w:rPr>
          <w:rFonts w:ascii="Verdana" w:hAnsi="Verdana" w:cs="Arial"/>
          <w:sz w:val="20"/>
          <w:szCs w:val="20"/>
        </w:rPr>
      </w:pPr>
    </w:p>
    <w:p w14:paraId="56B4AFD5"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6CCA7404" w14:textId="77777777" w:rsidR="00BB3C39" w:rsidRPr="004F47F3" w:rsidRDefault="00BB3C39" w:rsidP="00BB3C39">
      <w:pPr>
        <w:spacing w:after="0" w:line="240" w:lineRule="auto"/>
        <w:ind w:left="709" w:right="709"/>
        <w:jc w:val="both"/>
        <w:rPr>
          <w:rFonts w:ascii="Verdana" w:hAnsi="Verdana" w:cs="Arial"/>
          <w:sz w:val="20"/>
          <w:szCs w:val="20"/>
        </w:rPr>
      </w:pPr>
    </w:p>
    <w:p w14:paraId="2DD19E0A"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3. La modalidad de selección del contratista y su justificación, incluyendo los fundamentos jurídicos. </w:t>
      </w:r>
    </w:p>
    <w:p w14:paraId="5DA89E5A" w14:textId="77777777" w:rsidR="00BB3C39" w:rsidRPr="004F47F3" w:rsidRDefault="00BB3C39" w:rsidP="00BB3C39">
      <w:pPr>
        <w:spacing w:after="0" w:line="240" w:lineRule="auto"/>
        <w:ind w:left="709" w:right="709"/>
        <w:jc w:val="both"/>
        <w:rPr>
          <w:rFonts w:ascii="Verdana" w:hAnsi="Verdana" w:cs="Arial"/>
          <w:sz w:val="20"/>
          <w:szCs w:val="20"/>
        </w:rPr>
      </w:pPr>
    </w:p>
    <w:p w14:paraId="28CFCFCB"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4. </w:t>
      </w:r>
      <w:r w:rsidRPr="004F47F3">
        <w:rPr>
          <w:rFonts w:ascii="Verdana" w:hAnsi="Verdana" w:cs="Arial"/>
          <w:i/>
          <w:iCs/>
          <w:sz w:val="20"/>
          <w:szCs w:val="20"/>
        </w:rPr>
        <w:t>El valor estimado del contrato y la justificación del mismo</w:t>
      </w:r>
      <w:r w:rsidRPr="004F47F3">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7636434" w14:textId="77777777" w:rsidR="00BB3C39" w:rsidRPr="004F47F3" w:rsidRDefault="00BB3C39" w:rsidP="00BB3C39">
      <w:pPr>
        <w:spacing w:after="0" w:line="240" w:lineRule="auto"/>
        <w:ind w:left="709" w:right="709"/>
        <w:jc w:val="both"/>
        <w:rPr>
          <w:rFonts w:ascii="Verdana" w:hAnsi="Verdana" w:cs="Arial"/>
          <w:sz w:val="20"/>
          <w:szCs w:val="20"/>
        </w:rPr>
      </w:pPr>
    </w:p>
    <w:p w14:paraId="4B080757"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5. Los criterios para seleccionar la oferta más favorable. </w:t>
      </w:r>
    </w:p>
    <w:p w14:paraId="0E0E7664" w14:textId="77777777" w:rsidR="00BB3C39" w:rsidRPr="004F47F3" w:rsidRDefault="00BB3C39" w:rsidP="00BB3C39">
      <w:pPr>
        <w:spacing w:after="0" w:line="240" w:lineRule="auto"/>
        <w:ind w:left="709" w:right="709"/>
        <w:jc w:val="both"/>
        <w:rPr>
          <w:rFonts w:ascii="Verdana" w:hAnsi="Verdana" w:cs="Arial"/>
          <w:sz w:val="20"/>
          <w:szCs w:val="20"/>
        </w:rPr>
      </w:pPr>
    </w:p>
    <w:p w14:paraId="5BE08F60"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6. El análisis de Riesgo y la forma de mitigarlo. </w:t>
      </w:r>
    </w:p>
    <w:p w14:paraId="50E946CB" w14:textId="77777777" w:rsidR="00BB3C39" w:rsidRPr="004F47F3" w:rsidRDefault="00BB3C39" w:rsidP="00BB3C39">
      <w:pPr>
        <w:spacing w:after="0" w:line="240" w:lineRule="auto"/>
        <w:ind w:left="709" w:right="709"/>
        <w:jc w:val="both"/>
        <w:rPr>
          <w:rFonts w:ascii="Verdana" w:hAnsi="Verdana" w:cs="Arial"/>
          <w:sz w:val="20"/>
          <w:szCs w:val="20"/>
        </w:rPr>
      </w:pPr>
    </w:p>
    <w:p w14:paraId="204DA952"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7. Las garantías que la Entidad Estatal contempla exigir en el proceso de contratación. </w:t>
      </w:r>
    </w:p>
    <w:p w14:paraId="5E6584E1" w14:textId="77777777" w:rsidR="00BB3C39" w:rsidRPr="004F47F3" w:rsidRDefault="00BB3C39" w:rsidP="00BB3C39">
      <w:pPr>
        <w:spacing w:after="0" w:line="240" w:lineRule="auto"/>
        <w:ind w:left="709" w:right="709"/>
        <w:jc w:val="both"/>
        <w:rPr>
          <w:rFonts w:ascii="Verdana" w:hAnsi="Verdana" w:cs="Arial"/>
          <w:sz w:val="20"/>
          <w:szCs w:val="20"/>
        </w:rPr>
      </w:pPr>
    </w:p>
    <w:p w14:paraId="77A7A0A0"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lastRenderedPageBreak/>
        <w:t xml:space="preserve">8. La indicación de si el proceso de contratación está cobijado por un acuerdo comercial. </w:t>
      </w:r>
    </w:p>
    <w:p w14:paraId="74CA01BF" w14:textId="77777777" w:rsidR="00BB3C39" w:rsidRPr="004F47F3" w:rsidRDefault="00BB3C39" w:rsidP="00BB3C39">
      <w:pPr>
        <w:spacing w:after="0" w:line="240" w:lineRule="auto"/>
        <w:ind w:left="709" w:right="709"/>
        <w:jc w:val="both"/>
        <w:rPr>
          <w:rFonts w:ascii="Verdana" w:hAnsi="Verdana" w:cs="Arial"/>
          <w:sz w:val="20"/>
          <w:szCs w:val="20"/>
        </w:rPr>
      </w:pPr>
    </w:p>
    <w:p w14:paraId="04B204AF" w14:textId="77777777" w:rsidR="00BB3C39" w:rsidRPr="004F47F3" w:rsidRDefault="00BB3C39" w:rsidP="00BB3C39">
      <w:pPr>
        <w:spacing w:after="0" w:line="240" w:lineRule="auto"/>
        <w:ind w:left="709" w:right="709"/>
        <w:jc w:val="both"/>
        <w:rPr>
          <w:rFonts w:ascii="Verdana" w:hAnsi="Verdana" w:cs="Arial"/>
          <w:sz w:val="20"/>
          <w:szCs w:val="20"/>
        </w:rPr>
      </w:pPr>
      <w:r w:rsidRPr="004F47F3">
        <w:rPr>
          <w:rFonts w:ascii="Verdana" w:hAnsi="Verdana" w:cs="Arial"/>
          <w:sz w:val="20"/>
          <w:szCs w:val="20"/>
        </w:rPr>
        <w:t>El presente artículo no es aplicable a la contratación por mínima cuantía.” (Énfasis por fuera de texto)</w:t>
      </w:r>
    </w:p>
    <w:p w14:paraId="3C6A70A3" w14:textId="77777777" w:rsidR="00BB3C39" w:rsidRPr="00B7290B" w:rsidRDefault="00BB3C39" w:rsidP="00BB3C39">
      <w:pPr>
        <w:widowControl w:val="0"/>
        <w:autoSpaceDE w:val="0"/>
        <w:autoSpaceDN w:val="0"/>
        <w:spacing w:after="0" w:line="276" w:lineRule="auto"/>
        <w:jc w:val="both"/>
        <w:rPr>
          <w:rFonts w:ascii="Verdana" w:eastAsia="Calibri" w:hAnsi="Verdana" w:cs="Arial"/>
          <w:bCs/>
          <w:lang w:val="es-MX"/>
        </w:rPr>
      </w:pPr>
    </w:p>
    <w:p w14:paraId="5A6FE67E" w14:textId="77777777" w:rsidR="00BB3C39" w:rsidRDefault="00BB3C39" w:rsidP="00BB3C39">
      <w:pPr>
        <w:spacing w:after="0" w:line="276" w:lineRule="auto"/>
        <w:ind w:firstLine="708"/>
        <w:jc w:val="both"/>
        <w:rPr>
          <w:rFonts w:ascii="Verdana" w:eastAsia="Calibri" w:hAnsi="Verdana" w:cs="Arial"/>
          <w:bCs/>
          <w:lang w:val="es-ES_tradnl"/>
        </w:rPr>
      </w:pPr>
      <w:r w:rsidRPr="00B7290B">
        <w:rPr>
          <w:rFonts w:ascii="Verdana" w:eastAsia="Calibri" w:hAnsi="Verdana" w:cs="Arial"/>
          <w:bCs/>
          <w:lang w:val="es-MX"/>
        </w:rPr>
        <w:t xml:space="preserve">Adicionalmente, en </w:t>
      </w:r>
      <w:r w:rsidRPr="00B7290B">
        <w:rPr>
          <w:rFonts w:ascii="Verdana" w:eastAsia="Calibri" w:hAnsi="Verdana" w:cs="Arial"/>
          <w:bCs/>
          <w:lang w:val="es-ES_tradnl"/>
        </w:rPr>
        <w:t xml:space="preserve">el artículo </w:t>
      </w:r>
      <w:bookmarkStart w:id="3" w:name="_Hlk36117416"/>
      <w:r w:rsidRPr="00B7290B">
        <w:rPr>
          <w:rFonts w:ascii="Verdana" w:eastAsia="Calibri" w:hAnsi="Verdana" w:cs="Arial"/>
          <w:bCs/>
          <w:lang w:val="es-ES_tradnl"/>
        </w:rPr>
        <w:t>2.2.1.1.1.6.1 del Decreto 1082 de 2015</w:t>
      </w:r>
      <w:bookmarkEnd w:id="3"/>
      <w:r w:rsidRPr="00B7290B">
        <w:rPr>
          <w:rFonts w:ascii="Verdana" w:eastAsia="Calibri" w:hAnsi="Verdana" w:cs="Arial"/>
          <w:bCs/>
          <w:lang w:val="es-ES_tradnl"/>
        </w:rPr>
        <w:t xml:space="preserve"> se dispone que:</w:t>
      </w:r>
    </w:p>
    <w:p w14:paraId="11EA6258" w14:textId="77777777" w:rsidR="00BB3C39" w:rsidRPr="004F47F3" w:rsidRDefault="00BB3C39" w:rsidP="00BB3C39">
      <w:pPr>
        <w:spacing w:after="0" w:line="276" w:lineRule="auto"/>
        <w:ind w:firstLine="708"/>
        <w:jc w:val="both"/>
        <w:rPr>
          <w:rFonts w:ascii="Verdana" w:eastAsia="Calibri" w:hAnsi="Verdana" w:cs="Arial"/>
          <w:bCs/>
          <w:sz w:val="20"/>
          <w:szCs w:val="20"/>
          <w:lang w:val="es-ES_tradnl"/>
        </w:rPr>
      </w:pPr>
    </w:p>
    <w:p w14:paraId="67CB7307" w14:textId="77777777" w:rsidR="00BB3C39" w:rsidRDefault="00BB3C39" w:rsidP="00BB3C39">
      <w:pPr>
        <w:spacing w:after="0" w:line="240" w:lineRule="auto"/>
        <w:ind w:left="708" w:right="709"/>
        <w:jc w:val="both"/>
        <w:rPr>
          <w:rFonts w:ascii="Verdana" w:eastAsia="Calibri" w:hAnsi="Verdana" w:cs="Arial"/>
          <w:bCs/>
          <w:sz w:val="20"/>
          <w:szCs w:val="20"/>
          <w:lang w:val="es-ES_tradnl"/>
        </w:rPr>
      </w:pPr>
      <w:r w:rsidRPr="004F47F3">
        <w:rPr>
          <w:rFonts w:ascii="Verdana" w:eastAsia="Calibri" w:hAnsi="Verdana" w:cs="Arial"/>
          <w:bCs/>
          <w:sz w:val="20"/>
          <w:szCs w:val="20"/>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0308C211" w14:textId="77777777" w:rsidR="00BB3C39" w:rsidRPr="00ED1CA5" w:rsidRDefault="00BB3C39" w:rsidP="00BB3C39">
      <w:pPr>
        <w:spacing w:after="0" w:line="276" w:lineRule="auto"/>
        <w:ind w:left="708" w:right="709"/>
        <w:jc w:val="both"/>
        <w:rPr>
          <w:rFonts w:ascii="Verdana" w:eastAsia="Calibri" w:hAnsi="Verdana" w:cs="Arial"/>
          <w:bCs/>
          <w:lang w:val="es-ES_tradnl"/>
        </w:rPr>
      </w:pPr>
    </w:p>
    <w:p w14:paraId="0209B695" w14:textId="77777777" w:rsidR="00BB3C39" w:rsidRPr="007E492A" w:rsidRDefault="00BB3C39" w:rsidP="00BB3C39">
      <w:pPr>
        <w:spacing w:after="120" w:line="276" w:lineRule="auto"/>
        <w:ind w:firstLine="709"/>
        <w:jc w:val="both"/>
        <w:rPr>
          <w:rFonts w:ascii="Verdana" w:eastAsia="Calibri" w:hAnsi="Verdana" w:cs="Arial"/>
          <w:bCs/>
          <w:lang w:val="es-ES_tradnl"/>
        </w:rPr>
      </w:pPr>
      <w:r w:rsidRPr="002F6699">
        <w:rPr>
          <w:rFonts w:ascii="Verdana" w:eastAsia="Times New Roman" w:hAnsi="Verdana" w:cs="Arial"/>
          <w:lang w:val="es-ES_tradnl" w:eastAsia="es-MX"/>
        </w:rPr>
        <w:t>Tal es la importancia de los estudios y documentos previos que su deficiencia o ausencia,</w:t>
      </w:r>
      <w:r>
        <w:rPr>
          <w:rFonts w:ascii="Verdana" w:eastAsia="Times New Roman" w:hAnsi="Verdana" w:cs="Arial"/>
          <w:lang w:val="es-ES_tradnl" w:eastAsia="es-MX"/>
        </w:rPr>
        <w:t xml:space="preserve"> como ya fue mencionado</w:t>
      </w:r>
      <w:r w:rsidRPr="002F6699">
        <w:rPr>
          <w:rFonts w:ascii="Verdana" w:eastAsia="Times New Roman" w:hAnsi="Verdana" w:cs="Arial"/>
          <w:lang w:val="es-ES_tradnl" w:eastAsia="es-MX"/>
        </w:rPr>
        <w:t xml:space="preserve"> “genera prácticas indebidas, revocatoria de actos administrativos de apertura, declaratorias de desierta de procesos de selección, comisión </w:t>
      </w:r>
      <w:r w:rsidRPr="007E492A">
        <w:rPr>
          <w:rFonts w:ascii="Verdana" w:eastAsia="Calibri" w:hAnsi="Verdana" w:cs="Arial"/>
          <w:bCs/>
          <w:lang w:val="es-ES_tradnl"/>
        </w:rPr>
        <w:t>de faltas disciplinarias, mayores costos o mayor permanencia de la obra y, en general, el fracaso en la ejecución de contratos estatales”</w:t>
      </w:r>
      <w:r w:rsidRPr="00D9531E">
        <w:rPr>
          <w:rFonts w:ascii="Verdana" w:eastAsia="Calibri" w:hAnsi="Verdana" w:cs="Arial"/>
          <w:bCs/>
          <w:vertAlign w:val="superscript"/>
          <w:lang w:val="es-ES_tradnl"/>
        </w:rPr>
        <w:footnoteReference w:id="3"/>
      </w:r>
      <w:r w:rsidRPr="00D9531E">
        <w:rPr>
          <w:rFonts w:ascii="Verdana" w:eastAsia="Calibri" w:hAnsi="Verdana" w:cs="Arial"/>
          <w:bCs/>
          <w:vertAlign w:val="superscript"/>
          <w:lang w:val="es-ES_tradnl"/>
        </w:rPr>
        <w:t>.</w:t>
      </w:r>
      <w:r w:rsidRPr="007E492A">
        <w:rPr>
          <w:rFonts w:ascii="Verdana" w:eastAsia="Calibri" w:hAnsi="Verdana" w:cs="Arial"/>
          <w:bCs/>
          <w:lang w:val="es-ES_tradnl"/>
        </w:rPr>
        <w:t xml:space="preserve"> </w:t>
      </w:r>
    </w:p>
    <w:p w14:paraId="49AE32A5" w14:textId="77777777" w:rsidR="00BB3C39" w:rsidRPr="00B7290B" w:rsidRDefault="00BB3C39" w:rsidP="00BB3C39">
      <w:pPr>
        <w:spacing w:after="120" w:line="276" w:lineRule="auto"/>
        <w:ind w:firstLine="709"/>
        <w:jc w:val="both"/>
        <w:rPr>
          <w:rFonts w:ascii="Verdana" w:eastAsia="Calibri" w:hAnsi="Verdana" w:cs="Arial"/>
          <w:bCs/>
          <w:lang w:val="es-ES_tradnl"/>
        </w:rPr>
      </w:pPr>
      <w:r w:rsidRPr="007E492A">
        <w:rPr>
          <w:rFonts w:ascii="Verdana" w:eastAsia="Calibri" w:hAnsi="Verdana" w:cs="Arial"/>
          <w:bCs/>
          <w:lang w:val="es-ES_tradnl"/>
        </w:rPr>
        <w:t>De ac</w:t>
      </w:r>
      <w:proofErr w:type="spellStart"/>
      <w:r w:rsidRPr="00B7290B">
        <w:rPr>
          <w:rFonts w:ascii="Verdana" w:eastAsia="Calibri" w:hAnsi="Verdana" w:cs="Arial"/>
          <w:lang w:val="es-ES"/>
        </w:rPr>
        <w:t>uerdo</w:t>
      </w:r>
      <w:proofErr w:type="spellEnd"/>
      <w:r w:rsidRPr="00B7290B">
        <w:rPr>
          <w:rFonts w:ascii="Verdana" w:eastAsia="Calibri" w:hAnsi="Verdana" w:cs="Arial"/>
          <w:lang w:val="es-ES"/>
        </w:rPr>
        <w:t xml:space="preserve"> con las normas citadas, e</w:t>
      </w:r>
      <w:r w:rsidRPr="00B7290B">
        <w:rPr>
          <w:rFonts w:ascii="Verdana" w:eastAsia="Calibri" w:hAnsi="Verdana" w:cs="Arial"/>
          <w:bCs/>
          <w:lang w:val="es-ES_tradnl"/>
        </w:rPr>
        <w:t>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3AD9BD7A" w14:textId="77777777" w:rsidR="00BB3C39" w:rsidRPr="00B7290B" w:rsidRDefault="00BB3C39" w:rsidP="00BB3C39">
      <w:pPr>
        <w:spacing w:after="120" w:line="276" w:lineRule="auto"/>
        <w:ind w:firstLine="709"/>
        <w:jc w:val="both"/>
        <w:rPr>
          <w:rFonts w:ascii="Verdana" w:eastAsia="Calibri" w:hAnsi="Verdana" w:cs="Arial"/>
          <w:lang w:val="es-ES"/>
        </w:rPr>
      </w:pPr>
      <w:r w:rsidRPr="00B7290B">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w:t>
      </w:r>
      <w:r w:rsidRPr="00B7290B">
        <w:rPr>
          <w:rFonts w:ascii="Verdana" w:eastAsia="Calibri" w:hAnsi="Verdana" w:cs="Arial"/>
          <w:lang w:val="es-ES"/>
        </w:rPr>
        <w:lastRenderedPageBreak/>
        <w:t xml:space="preserve">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4E46C5D7" w14:textId="77777777" w:rsidR="00BB3C39" w:rsidRDefault="00BB3C39" w:rsidP="00BB3C39">
      <w:pPr>
        <w:spacing w:after="120" w:line="276" w:lineRule="auto"/>
        <w:ind w:firstLine="709"/>
        <w:jc w:val="both"/>
        <w:rPr>
          <w:rFonts w:ascii="Verdana" w:hAnsi="Verdana" w:cs="Arial"/>
          <w:bCs/>
          <w:lang w:val="es-ES_tradnl"/>
        </w:rPr>
      </w:pPr>
      <w:r w:rsidRPr="00B7290B">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B7290B">
        <w:rPr>
          <w:rFonts w:ascii="Verdana" w:hAnsi="Verdana" w:cs="Arial"/>
          <w:lang w:eastAsia="es-CO"/>
        </w:rPr>
        <w:t xml:space="preserve">son autónomas para estructurarlo, para lo cual deberán cumplir lo dispuesto en el artículo </w:t>
      </w:r>
      <w:r w:rsidRPr="00B7290B">
        <w:rPr>
          <w:rFonts w:ascii="Verdana" w:eastAsia="Calibri" w:hAnsi="Verdana" w:cs="Arial"/>
          <w:bCs/>
          <w:lang w:val="es-ES_tradnl"/>
        </w:rPr>
        <w:t xml:space="preserve">2.2.1.1.1.6.1 del Decreto 1082 de 2015 y realizar un análisis integral de planeación que </w:t>
      </w:r>
      <w:r w:rsidRPr="00B7290B">
        <w:rPr>
          <w:rFonts w:ascii="Verdana" w:hAnsi="Verdana" w:cs="Arial"/>
        </w:rPr>
        <w:t xml:space="preserve">sirva de sustento a la decisión de </w:t>
      </w:r>
      <w:r w:rsidRPr="00B7290B">
        <w:rPr>
          <w:rFonts w:ascii="Verdana" w:hAnsi="Verdana" w:cs="Arial"/>
          <w:bCs/>
          <w:lang w:val="es-ES_tradnl"/>
        </w:rPr>
        <w:t>realizar un proceso de contratación.</w:t>
      </w:r>
    </w:p>
    <w:p w14:paraId="0C209EC1" w14:textId="77777777" w:rsidR="00BB3C39" w:rsidRPr="00531CDD" w:rsidRDefault="00BB3C39" w:rsidP="00BB3C39">
      <w:pPr>
        <w:spacing w:after="120" w:line="276" w:lineRule="auto"/>
        <w:ind w:firstLine="708"/>
        <w:jc w:val="both"/>
        <w:rPr>
          <w:rFonts w:ascii="Verdana" w:hAnsi="Verdana" w:cs="Arial"/>
          <w:bCs/>
        </w:rPr>
      </w:pPr>
      <w:r>
        <w:rPr>
          <w:rFonts w:ascii="Verdana" w:eastAsia="Calibri" w:hAnsi="Verdana" w:cs="Arial"/>
          <w:bCs/>
          <w:lang w:val="es-ES_tradnl"/>
        </w:rPr>
        <w:t>A</w:t>
      </w:r>
      <w:r w:rsidRPr="003767C8">
        <w:rPr>
          <w:rFonts w:ascii="Verdana" w:eastAsia="Calibri" w:hAnsi="Verdana" w:cs="Arial"/>
          <w:bCs/>
          <w:lang w:val="es-ES_tradnl"/>
        </w:rPr>
        <w:t xml:space="preserve">sí </w:t>
      </w:r>
      <w:r>
        <w:rPr>
          <w:rFonts w:ascii="Verdana" w:eastAsia="Calibri" w:hAnsi="Verdana" w:cs="Arial"/>
          <w:bCs/>
          <w:lang w:val="es-ES_tradnl"/>
        </w:rPr>
        <w:t xml:space="preserve">mismo, </w:t>
      </w:r>
      <w:r w:rsidRPr="003767C8">
        <w:rPr>
          <w:rFonts w:ascii="Verdana" w:eastAsia="Calibri" w:hAnsi="Verdana" w:cs="Arial"/>
          <w:bCs/>
          <w:lang w:val="es-ES_tradnl"/>
        </w:rPr>
        <w:t xml:space="preserve">tampoco </w:t>
      </w:r>
      <w:r>
        <w:rPr>
          <w:rFonts w:ascii="Verdana" w:eastAsia="Calibri" w:hAnsi="Verdana" w:cs="Arial"/>
          <w:bCs/>
          <w:lang w:val="es-ES_tradnl"/>
        </w:rPr>
        <w:t>existe un</w:t>
      </w:r>
      <w:r w:rsidRPr="003767C8">
        <w:rPr>
          <w:rFonts w:ascii="Verdana" w:eastAsia="Calibri" w:hAnsi="Verdana" w:cs="Arial"/>
          <w:bCs/>
          <w:lang w:val="es-ES_tradnl"/>
        </w:rPr>
        <w:t xml:space="preserve"> numero estándar de cotizaciones</w:t>
      </w:r>
      <w:r w:rsidRPr="00531CDD">
        <w:rPr>
          <w:rFonts w:ascii="Verdana" w:hAnsi="Verdana" w:cs="Arial"/>
          <w:bCs/>
        </w:rPr>
        <w:t xml:space="preserve"> </w:t>
      </w:r>
      <w:r>
        <w:rPr>
          <w:rFonts w:ascii="Verdana" w:hAnsi="Verdana" w:cs="Arial"/>
          <w:bCs/>
        </w:rPr>
        <w:t>para adelantar el estudio de mercado, no obstante, c</w:t>
      </w:r>
      <w:r w:rsidRPr="00531CDD">
        <w:rPr>
          <w:rFonts w:ascii="Verdana" w:hAnsi="Verdana" w:cs="Arial"/>
          <w:bCs/>
        </w:rPr>
        <w:t xml:space="preserve">uando se dispone de una cantidad suficiente de información, </w:t>
      </w:r>
      <w:r>
        <w:rPr>
          <w:rFonts w:ascii="Verdana" w:hAnsi="Verdana" w:cs="Arial"/>
          <w:bCs/>
        </w:rPr>
        <w:t>se puede</w:t>
      </w:r>
      <w:r w:rsidRPr="00531CDD">
        <w:rPr>
          <w:rFonts w:ascii="Verdana" w:hAnsi="Verdana" w:cs="Arial"/>
          <w:bCs/>
        </w:rPr>
        <w:t xml:space="preserve"> realizar análisis numérico y gráfico para interpretar y visualizar</w:t>
      </w:r>
      <w:r>
        <w:rPr>
          <w:rFonts w:ascii="Verdana" w:hAnsi="Verdana" w:cs="Arial"/>
          <w:bCs/>
        </w:rPr>
        <w:t xml:space="preserve"> mejor</w:t>
      </w:r>
      <w:r w:rsidRPr="00531CDD">
        <w:rPr>
          <w:rFonts w:ascii="Verdana" w:hAnsi="Verdana" w:cs="Arial"/>
          <w:bCs/>
        </w:rPr>
        <w:t xml:space="preserve"> </w:t>
      </w:r>
      <w:r>
        <w:rPr>
          <w:rFonts w:ascii="Verdana" w:hAnsi="Verdana" w:cs="Arial"/>
          <w:bCs/>
        </w:rPr>
        <w:t>el comportamiento del mercado</w:t>
      </w:r>
      <w:r w:rsidRPr="00531CDD">
        <w:rPr>
          <w:rFonts w:ascii="Verdana" w:hAnsi="Verdana" w:cs="Arial"/>
          <w:bCs/>
        </w:rPr>
        <w:t>. La calidad del análisis y la fiabilidad de las conclusiones del estudio están directamente relacionadas con el tamaño de la muestra y la cantidad de datos analizados. A mayor volumen de información considerada, mayor será la precisión del estudio y la confianza en los resultados obtenidos.</w:t>
      </w:r>
    </w:p>
    <w:p w14:paraId="5A76F6D4" w14:textId="77777777" w:rsidR="00BB3C39" w:rsidRPr="00775B98" w:rsidRDefault="00BB3C39" w:rsidP="00BB3C39">
      <w:pPr>
        <w:spacing w:after="120" w:line="276" w:lineRule="auto"/>
        <w:ind w:firstLine="709"/>
        <w:jc w:val="both"/>
        <w:rPr>
          <w:rFonts w:ascii="Verdana" w:eastAsia="Calibri" w:hAnsi="Verdana" w:cs="Arial"/>
          <w:bCs/>
          <w:lang w:val="es-ES"/>
        </w:rPr>
      </w:pPr>
      <w:r w:rsidRPr="00775B98">
        <w:rPr>
          <w:rFonts w:ascii="Verdana" w:eastAsia="Calibri" w:hAnsi="Verdana" w:cs="Arial"/>
          <w:bCs/>
          <w:lang w:val="es-ES_tradnl"/>
        </w:rPr>
        <w:t>La Agencia Nacional de Contratación Pública - Colombia Compra Eficiente dispone de la “Guía de Elaboración del Estudio del Sector”,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775B98">
        <w:rPr>
          <w:rFonts w:ascii="Verdana" w:eastAsia="Calibri" w:hAnsi="Verdana" w:cs="Arial"/>
          <w:bCs/>
          <w:vertAlign w:val="superscript"/>
          <w:lang w:val="es-ES_tradnl"/>
        </w:rPr>
        <w:footnoteReference w:id="4"/>
      </w:r>
      <w:r w:rsidRPr="00775B98">
        <w:rPr>
          <w:rFonts w:ascii="Verdana" w:eastAsia="Calibri" w:hAnsi="Verdana" w:cs="Arial"/>
          <w:bCs/>
          <w:lang w:val="es-ES_tradnl"/>
        </w:rPr>
        <w:t>. Esta Guía es un insumo para realizar el estudio del sector relativo al Proceso de Contratación, ya que comprende pautas sobre los aspectos generales del mercado, el análisis de la demanda y de la oferta y constituye un instrumento de orientación, por lo que –</w:t>
      </w:r>
      <w:r w:rsidRPr="00775B98">
        <w:rPr>
          <w:rFonts w:ascii="Verdana" w:eastAsia="Calibri" w:hAnsi="Verdana" w:cs="Arial"/>
          <w:bCs/>
          <w:lang w:val="es-ES_tradnl"/>
        </w:rPr>
        <w:lastRenderedPageBreak/>
        <w:t>al carecer de fuerza vinculante– su aplicación no exime a las entidades de acatar las normas vigentes. De este modo, la Guía contiene</w:t>
      </w:r>
      <w:r w:rsidRPr="00775B98">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20E7FD02" w14:textId="77777777" w:rsidR="00BB3C39" w:rsidRPr="00775B98" w:rsidRDefault="00BB3C39" w:rsidP="00BB3C39">
      <w:pPr>
        <w:spacing w:after="120" w:line="276" w:lineRule="auto"/>
        <w:ind w:firstLine="709"/>
        <w:jc w:val="both"/>
        <w:rPr>
          <w:rFonts w:ascii="Verdana" w:eastAsia="Calibri" w:hAnsi="Verdana" w:cs="Arial"/>
          <w:bCs/>
          <w:lang w:val="es-ES_tradnl"/>
        </w:rPr>
      </w:pPr>
      <w:r w:rsidRPr="00775B98">
        <w:rPr>
          <w:rFonts w:ascii="Verdana" w:eastAsia="Calibri" w:hAnsi="Verdana" w:cs="Arial"/>
          <w:bCs/>
          <w:lang w:val="es-ES_tradnl"/>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375D75EE" w14:textId="77777777" w:rsidR="00096848" w:rsidRPr="00096848" w:rsidRDefault="00775B98" w:rsidP="00096848">
      <w:pPr>
        <w:spacing w:after="120" w:line="276" w:lineRule="auto"/>
        <w:ind w:firstLine="709"/>
        <w:jc w:val="both"/>
        <w:rPr>
          <w:rFonts w:ascii="Verdana" w:hAnsi="Verdana"/>
        </w:rPr>
      </w:pPr>
      <w:r w:rsidRPr="00775B98">
        <w:rPr>
          <w:rFonts w:ascii="Verdana" w:hAnsi="Verdana"/>
        </w:rPr>
        <w:t xml:space="preserve">Para el caso en particular, </w:t>
      </w:r>
      <w:r w:rsidR="00096848" w:rsidRPr="00096848">
        <w:rPr>
          <w:rFonts w:ascii="Verdana" w:hAnsi="Verdana"/>
        </w:rPr>
        <w:t>El estudio del sector, o el documento equivalente que haga sus veces, materializa el principio de planeación ineludible en toda la contratación estatal, adaptando su enfoque según si el negocio jurídico implica o no una erogación de recursos. Para la adquisición de bienes, obras o servicios con presupuesto asignado, este análisis cumple una doble función: un análisis estratégico del mercado para comprender la oferta y sus riesgos, y un análisis económico para justificar el valor del contrato y soportar el respectivo Certificado de Disponibilidad Presupuestal CDP. Sin embargo, cuando se trata de negocios con presupuesto cero, como los convenios de colaboración o asociación, la ausencia de un precio no exime a la entidad de su deber de planeación. En estos casos, se debe elaborar un documento análogo que, en lugar de analizar un mercado, se centra en justificar rigurosamente la conveniencia, oportunidad y necesidad del acuerdo.</w:t>
      </w:r>
    </w:p>
    <w:p w14:paraId="17820215"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Este análisis debe, de forma obligatoria, acreditar la idoneidad del colaborador seleccionado, verificando su capacidad técnica, experiencia y naturaleza jurídica. Adicionalmente, debe incluir un análisis de valor que describa los beneficios y ahorros obtenidos, una matriz que identifique los riesgos operativos y jurídicos, y un detalle preciso de la distribución de aportes y obligaciones de cada parte para asegurar el equilibrio. </w:t>
      </w:r>
    </w:p>
    <w:p w14:paraId="71969234"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En suma, este documento se convierte en el soporte documental clave ante los órganos de control para demostrar que la selección no fue arbitraria, sino el resultado de un análisis diligente que buscó la máxima eficiencia en el </w:t>
      </w:r>
      <w:r w:rsidRPr="00096848">
        <w:rPr>
          <w:rFonts w:ascii="Verdana" w:hAnsi="Verdana"/>
        </w:rPr>
        <w:lastRenderedPageBreak/>
        <w:t xml:space="preserve">cumplimiento de los fines estatales, con independencia de la existencia de un presupuesto. </w:t>
      </w:r>
    </w:p>
    <w:p w14:paraId="3873C608" w14:textId="77777777" w:rsidR="00096848" w:rsidRPr="00096848" w:rsidRDefault="00096848" w:rsidP="00096848">
      <w:pPr>
        <w:spacing w:after="120" w:line="276" w:lineRule="auto"/>
        <w:ind w:firstLine="709"/>
        <w:jc w:val="both"/>
        <w:rPr>
          <w:rFonts w:ascii="Verdana" w:hAnsi="Verdana"/>
        </w:rPr>
      </w:pPr>
      <w:r w:rsidRPr="00096848">
        <w:rPr>
          <w:rFonts w:ascii="Verdana" w:hAnsi="Verdana"/>
        </w:rPr>
        <w:t xml:space="preserve">De otro lado, es importante manifestar que las Entidades Estales son autónomas para establecer en su Manual de Contratación la metodología para elaborar el Estudio del Sector (o su documento equivalente en el caso que no haya erogaciones), siempre y cuando se acate la Ley 1150 de 2007 y el Decreto 1082 de 2015 frente a esta materia. </w:t>
      </w:r>
    </w:p>
    <w:p w14:paraId="5FED17F7" w14:textId="0CB870B3" w:rsidR="00BB3C39" w:rsidRPr="00775B98" w:rsidRDefault="00096848" w:rsidP="00096848">
      <w:pPr>
        <w:pStyle w:val="Textoindependiente"/>
        <w:spacing w:before="119" w:line="276" w:lineRule="auto"/>
        <w:ind w:left="260" w:right="256" w:firstLine="710"/>
        <w:jc w:val="both"/>
        <w:rPr>
          <w:rFonts w:ascii="Verdana" w:hAnsi="Verdana"/>
        </w:rPr>
      </w:pPr>
      <w:r w:rsidRPr="00096848">
        <w:rPr>
          <w:rFonts w:ascii="Verdana" w:hAnsi="Verdana"/>
        </w:rPr>
        <w:t>Finalmente, la “Guía de Elaboración del Estudio del Sector”, de esta Agencia de Contratación Pública Colombia Compra Eficiente, en la sección 2.1, Resulta indispensable, puesto que se enfoca en los elementos a tener en cuenta cuando se trata de los convenios de asociación o interadministrativos, que se tramitan mediante la modalidad de contratación directa, donde el precio no es el factor determinante, ya que el estudio debe sustentar de manera estructurada la decisión de elegir esa modalidad y, crucialmente, la elección de ese proveedor o colaborador en particular, basándose en sus condiciones de idoneidad y experiencia.</w:t>
      </w:r>
    </w:p>
    <w:p w14:paraId="25BD3B58" w14:textId="77777777" w:rsidR="00BB3C39" w:rsidRPr="00593A5F" w:rsidRDefault="00BB3C39" w:rsidP="00BB3C3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679A65EC" w14:textId="77777777" w:rsidR="00BB3C39" w:rsidRPr="00593A5F" w:rsidRDefault="00BB3C39" w:rsidP="00BB3C3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B3C39" w:rsidRPr="00593A5F" w14:paraId="1F1DF438" w14:textId="77777777" w:rsidTr="00121D45">
        <w:trPr>
          <w:trHeight w:val="870"/>
        </w:trPr>
        <w:tc>
          <w:tcPr>
            <w:tcW w:w="8647" w:type="dxa"/>
          </w:tcPr>
          <w:p w14:paraId="29450F76" w14:textId="77777777" w:rsidR="00BB3C39" w:rsidRPr="008F38E8" w:rsidRDefault="00BB3C39" w:rsidP="00BB3C39">
            <w:pPr>
              <w:widowControl w:val="0"/>
              <w:numPr>
                <w:ilvl w:val="0"/>
                <w:numId w:val="8"/>
              </w:numPr>
              <w:autoSpaceDE w:val="0"/>
              <w:autoSpaceDN w:val="0"/>
              <w:spacing w:line="276" w:lineRule="auto"/>
              <w:jc w:val="both"/>
              <w:rPr>
                <w:rFonts w:ascii="Verdana" w:eastAsia="Calibri" w:hAnsi="Verdana" w:cs="Arial"/>
                <w:lang w:val="es-ES"/>
              </w:rPr>
            </w:pPr>
            <w:r w:rsidRPr="008F38E8">
              <w:rPr>
                <w:rFonts w:ascii="Verdana" w:eastAsia="Calibri" w:hAnsi="Verdana" w:cs="Arial"/>
                <w:lang w:val="es-ES"/>
              </w:rPr>
              <w:t>Ley 80 de 1993: Artículo 25</w:t>
            </w:r>
          </w:p>
          <w:p w14:paraId="596EFDF4" w14:textId="77777777" w:rsidR="00BB3C39" w:rsidRPr="008F38E8" w:rsidRDefault="00BB3C39" w:rsidP="00BB3C39">
            <w:pPr>
              <w:widowControl w:val="0"/>
              <w:numPr>
                <w:ilvl w:val="0"/>
                <w:numId w:val="8"/>
              </w:numPr>
              <w:autoSpaceDE w:val="0"/>
              <w:autoSpaceDN w:val="0"/>
              <w:spacing w:line="276" w:lineRule="auto"/>
              <w:jc w:val="both"/>
              <w:rPr>
                <w:rFonts w:ascii="Verdana" w:eastAsia="Calibri" w:hAnsi="Verdana" w:cs="Arial"/>
                <w:lang w:val="es-ES"/>
              </w:rPr>
            </w:pPr>
            <w:r w:rsidRPr="008F38E8">
              <w:rPr>
                <w:rFonts w:ascii="Verdana" w:eastAsia="Calibri" w:hAnsi="Verdana" w:cs="Arial"/>
                <w:lang w:val="es-ES"/>
              </w:rPr>
              <w:t xml:space="preserve">Decreto 1082 de 2015:  Artículos </w:t>
            </w:r>
            <w:r w:rsidRPr="008F38E8">
              <w:rPr>
                <w:rFonts w:ascii="Verdana" w:hAnsi="Verdana" w:cs="Arial"/>
              </w:rPr>
              <w:t xml:space="preserve">2.2.1.1.2.1.1 y </w:t>
            </w:r>
            <w:r w:rsidRPr="008F38E8">
              <w:rPr>
                <w:rFonts w:ascii="Verdana" w:eastAsia="Calibri" w:hAnsi="Verdana" w:cs="Arial"/>
                <w:bCs/>
                <w:lang w:val="es-ES_tradnl"/>
              </w:rPr>
              <w:t>2.2.1.1.1.6.1</w:t>
            </w:r>
            <w:r w:rsidRPr="008F38E8">
              <w:rPr>
                <w:rFonts w:ascii="Verdana" w:eastAsia="Calibri" w:hAnsi="Verdana" w:cs="Arial"/>
                <w:lang w:val="es-ES"/>
              </w:rPr>
              <w:t>\</w:t>
            </w:r>
          </w:p>
          <w:p w14:paraId="12115C8D" w14:textId="77777777" w:rsidR="00BB3C39" w:rsidRPr="008F38E8" w:rsidRDefault="00BB3C39" w:rsidP="00BB3C39">
            <w:pPr>
              <w:widowControl w:val="0"/>
              <w:numPr>
                <w:ilvl w:val="0"/>
                <w:numId w:val="8"/>
              </w:numPr>
              <w:autoSpaceDE w:val="0"/>
              <w:autoSpaceDN w:val="0"/>
              <w:spacing w:line="276" w:lineRule="auto"/>
              <w:jc w:val="both"/>
              <w:rPr>
                <w:rFonts w:ascii="Verdana" w:eastAsia="Calibri" w:hAnsi="Verdana" w:cs="Arial"/>
                <w:lang w:val="es-ES"/>
              </w:rPr>
            </w:pPr>
            <w:r w:rsidRPr="008F38E8">
              <w:rPr>
                <w:rFonts w:ascii="Verdana" w:eastAsia="Calibri" w:hAnsi="Verdana" w:cs="Arial"/>
                <w:lang w:val="es-ES"/>
              </w:rPr>
              <w:t xml:space="preserve">Agencia Nacional de Contratación Pública – Colombia Compra Eficiente. </w:t>
            </w:r>
            <w:r w:rsidRPr="008F38E8">
              <w:rPr>
                <w:rFonts w:ascii="Verdana" w:eastAsia="Calibri" w:hAnsi="Verdana" w:cs="Arial"/>
                <w:bCs/>
                <w:lang w:val="es-ES_tradnl"/>
              </w:rPr>
              <w:t>Guía de Elaboración del Estudio del Sector</w:t>
            </w:r>
            <w:r w:rsidRPr="008F38E8">
              <w:rPr>
                <w:rFonts w:ascii="Verdana" w:eastAsia="Calibri" w:hAnsi="Verdana" w:cs="Arial"/>
                <w:lang w:val="es-ES"/>
              </w:rPr>
              <w:t xml:space="preserve"> </w:t>
            </w:r>
            <w:hyperlink r:id="rId13" w:history="1">
              <w:r w:rsidRPr="008F38E8">
                <w:rPr>
                  <w:rStyle w:val="Hipervnculo"/>
                  <w:rFonts w:ascii="Verdana" w:hAnsi="Verdana" w:cs="Arial"/>
                  <w:color w:val="000000" w:themeColor="text1"/>
                </w:rPr>
                <w:t>https://colombiacompra.gov.co/sites/cce_public/files/cce_documentos/cce-eicp-gi-18._gees_v.2_2.pdf</w:t>
              </w:r>
            </w:hyperlink>
            <w:r w:rsidRPr="008F38E8">
              <w:rPr>
                <w:rFonts w:ascii="Verdana" w:hAnsi="Verdana" w:cs="Arial"/>
                <w:color w:val="000000" w:themeColor="text1"/>
              </w:rPr>
              <w:t xml:space="preserve">  </w:t>
            </w:r>
          </w:p>
          <w:p w14:paraId="3F1837B5" w14:textId="77777777" w:rsidR="00BB3C39" w:rsidRPr="008F38E8" w:rsidRDefault="00BB3C39" w:rsidP="00BB3C39">
            <w:pPr>
              <w:widowControl w:val="0"/>
              <w:numPr>
                <w:ilvl w:val="0"/>
                <w:numId w:val="8"/>
              </w:numPr>
              <w:autoSpaceDE w:val="0"/>
              <w:autoSpaceDN w:val="0"/>
              <w:spacing w:line="276" w:lineRule="auto"/>
              <w:jc w:val="both"/>
              <w:rPr>
                <w:rFonts w:ascii="Verdana" w:eastAsia="Calibri" w:hAnsi="Verdana" w:cs="Arial"/>
                <w:lang w:val="es-ES"/>
              </w:rPr>
            </w:pPr>
            <w:r w:rsidRPr="008F38E8">
              <w:rPr>
                <w:rFonts w:ascii="Verdana" w:hAnsi="Verdana" w:cs="Arial"/>
              </w:rPr>
              <w:t>DEIK ACOSTAMADIEDO, Carolina, Guía de Contratación Estatal: Deber de planeación y modalidades de selección, Buenos Aires, 2015, p. 59.</w:t>
            </w:r>
          </w:p>
        </w:tc>
      </w:tr>
    </w:tbl>
    <w:p w14:paraId="5B2EDD89" w14:textId="77777777" w:rsidR="00BB3C39" w:rsidRPr="00593A5F" w:rsidRDefault="00BB3C39" w:rsidP="00BB3C39">
      <w:pPr>
        <w:widowControl w:val="0"/>
        <w:autoSpaceDE w:val="0"/>
        <w:autoSpaceDN w:val="0"/>
        <w:spacing w:after="0" w:line="276" w:lineRule="auto"/>
        <w:jc w:val="both"/>
        <w:rPr>
          <w:rFonts w:ascii="Verdana" w:hAnsi="Verdana" w:cs="Arial"/>
        </w:rPr>
      </w:pPr>
    </w:p>
    <w:p w14:paraId="2FF5BEC4" w14:textId="77777777" w:rsidR="00BB3C39" w:rsidRPr="00593A5F" w:rsidRDefault="00BB3C39" w:rsidP="00BB3C3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01A4318F" w14:textId="77777777" w:rsidR="00BB3C39" w:rsidRPr="00593A5F" w:rsidRDefault="00BB3C39" w:rsidP="00BB3C39">
      <w:pPr>
        <w:widowControl w:val="0"/>
        <w:autoSpaceDE w:val="0"/>
        <w:autoSpaceDN w:val="0"/>
        <w:spacing w:after="0" w:line="276" w:lineRule="auto"/>
        <w:jc w:val="both"/>
        <w:rPr>
          <w:rFonts w:ascii="Verdana" w:hAnsi="Verdana" w:cs="Arial"/>
        </w:rPr>
      </w:pPr>
    </w:p>
    <w:p w14:paraId="130DF1F3" w14:textId="77777777" w:rsidR="00BB3C39" w:rsidRPr="006D034C" w:rsidRDefault="00BB3C39" w:rsidP="00BB3C3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6D034C">
        <w:rPr>
          <w:rStyle w:val="normaltextrun"/>
          <w:rFonts w:ascii="Verdana" w:hAnsi="Verdana" w:cs="Arial"/>
          <w:shd w:val="clear" w:color="auto" w:fill="FFFFFF"/>
          <w:lang w:val="es-ES"/>
        </w:rPr>
        <w:t>Sobre la elaboración de análisis del sector en procesos de contratación se pronunció esta Subdirección en los conceptos</w:t>
      </w:r>
      <w:r w:rsidRPr="006D034C">
        <w:rPr>
          <w:rStyle w:val="normaltextrun"/>
          <w:rFonts w:ascii="Verdana" w:hAnsi="Verdana" w:cs="Calibri"/>
          <w:shd w:val="clear" w:color="auto" w:fill="FFFFFF"/>
        </w:rPr>
        <w:t xml:space="preserve"> </w:t>
      </w:r>
      <w:r w:rsidRPr="006D034C">
        <w:rPr>
          <w:rFonts w:ascii="Verdana" w:eastAsia="Aptos" w:hAnsi="Verdana" w:cs="Arial"/>
          <w:shd w:val="clear" w:color="auto" w:fill="FFFFFF"/>
          <w:lang w:val="es-ES"/>
        </w:rPr>
        <w:t xml:space="preserve">2202013000000037 del 7 de enero de 2020, C-223 del 29 de abril de 2020 y C-148 de 2021, C-856 del 13 de diciembre de 2022, C-235 del 5 de julio de 2023, C-124 del 24 de julio de 2024, C-168 del 25 de julio 2024, C-258 del 12 de agosto de 2024, C-255 del </w:t>
      </w:r>
      <w:r w:rsidRPr="006D034C">
        <w:rPr>
          <w:rFonts w:ascii="Verdana" w:eastAsia="Aptos" w:hAnsi="Verdana" w:cs="Arial"/>
          <w:shd w:val="clear" w:color="auto" w:fill="FFFFFF"/>
          <w:lang w:val="es-ES"/>
        </w:rPr>
        <w:lastRenderedPageBreak/>
        <w:t>14 de agosto de 2024, C-297 del 11 de septiembre de 2024 C-101 del 5 de marzo de 2025, C-154 del 18 de marzo de 2025, C-256 del 4 de abril de 2025 y C-357 del 30 de abril de 2025</w:t>
      </w:r>
      <w:r>
        <w:rPr>
          <w:rFonts w:ascii="Verdana" w:hAnsi="Verdana" w:cs="Arial"/>
          <w:color w:val="000000" w:themeColor="text1"/>
          <w:shd w:val="clear" w:color="auto" w:fill="FFFFFF"/>
          <w:lang w:val="es-ES"/>
        </w:rPr>
        <w:t>, C- 505 del 3 de junio de 2025.</w:t>
      </w:r>
      <w:r w:rsidRPr="006D034C">
        <w:rPr>
          <w:rStyle w:val="normaltextrun"/>
          <w:rFonts w:ascii="Verdana" w:hAnsi="Verdana" w:cs="Arial"/>
          <w:color w:val="7030A0"/>
          <w:shd w:val="clear" w:color="auto" w:fill="FFFFFF"/>
          <w:lang w:val="es-ES"/>
        </w:rPr>
        <w:t xml:space="preserve"> </w:t>
      </w:r>
      <w:r w:rsidRPr="006D034C">
        <w:rPr>
          <w:rStyle w:val="normaltextrun"/>
          <w:rFonts w:ascii="Verdana" w:hAnsi="Verdana" w:cs="Arial"/>
          <w:shd w:val="clear" w:color="auto" w:fill="FFFFFF"/>
          <w:lang w:val="es-ES"/>
        </w:rPr>
        <w:t>Es</w:t>
      </w:r>
      <w:r w:rsidRPr="006D034C">
        <w:rPr>
          <w:rFonts w:ascii="Verdana" w:hAnsi="Verdana"/>
        </w:rPr>
        <w:t>tos y otros conceptos se encuentran disponibles para consulta en el Sistema de relatoría de la Agencia, al cual se puede acceder a través del siguiente enlace:</w:t>
      </w:r>
      <w:r w:rsidRPr="006D034C">
        <w:rPr>
          <w:rStyle w:val="normaltextrun"/>
          <w:rFonts w:ascii="Verdana" w:hAnsi="Verdana" w:cs="Arial"/>
          <w:shd w:val="clear" w:color="auto" w:fill="FFFFFF"/>
          <w:lang w:val="es-ES"/>
        </w:rPr>
        <w:t xml:space="preserve"> </w:t>
      </w:r>
      <w:hyperlink r:id="rId14" w:history="1">
        <w:r w:rsidRPr="006D034C">
          <w:rPr>
            <w:rStyle w:val="Hipervnculo"/>
            <w:rFonts w:ascii="Verdana" w:hAnsi="Verdana" w:cs="Arial"/>
            <w:shd w:val="clear" w:color="auto" w:fill="FFFFFF"/>
            <w:lang w:val="es-ES"/>
          </w:rPr>
          <w:t>https://relatoria.colombiacompra.gov.co/busqueda/conceptos</w:t>
        </w:r>
      </w:hyperlink>
      <w:r w:rsidRPr="006D034C">
        <w:rPr>
          <w:rStyle w:val="normaltextrun"/>
          <w:rFonts w:ascii="Verdana" w:hAnsi="Verdana" w:cs="Arial"/>
          <w:color w:val="FF0000"/>
          <w:shd w:val="clear" w:color="auto" w:fill="FFFFFF"/>
          <w:lang w:val="es-ES"/>
        </w:rPr>
        <w:t xml:space="preserve">. </w:t>
      </w:r>
    </w:p>
    <w:p w14:paraId="1907B732" w14:textId="77777777" w:rsidR="00BB3C39" w:rsidRPr="006D034C" w:rsidRDefault="00BB3C39" w:rsidP="00BB3C3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80BB5D1" w14:textId="77777777" w:rsidR="00BB3C39" w:rsidRPr="006926C4" w:rsidRDefault="00BB3C39" w:rsidP="00BB3C39">
      <w:pPr>
        <w:jc w:val="both"/>
        <w:rPr>
          <w:rFonts w:ascii="Verdana" w:hAnsi="Verdana" w:cs="Arial"/>
          <w:color w:val="000000" w:themeColor="text1"/>
          <w:shd w:val="clear" w:color="auto" w:fill="FFFFFF"/>
        </w:rPr>
      </w:pPr>
      <w:r w:rsidRPr="006926C4">
        <w:rPr>
          <w:rFonts w:ascii="Verdana" w:hAnsi="Verdana" w:cs="Arial"/>
          <w:color w:val="000000" w:themeColor="text1"/>
          <w:shd w:val="clear" w:color="auto" w:fill="FFFFFF"/>
        </w:rPr>
        <w:t>Nos complace informarle que ya están disponibles las nuevas versiones de los Documentos Tipo para Infraestructura de Transporte, recuerda que es de obligatoria observancia por TODAS las entidades sometidas al EGCAP y entidades de régimen especial, con las excepciones de ley:</w:t>
      </w:r>
    </w:p>
    <w:p w14:paraId="544B0168" w14:textId="77777777" w:rsidR="00BB3C39" w:rsidRPr="006926C4" w:rsidRDefault="00BB3C39" w:rsidP="00BB3C39">
      <w:pPr>
        <w:numPr>
          <w:ilvl w:val="0"/>
          <w:numId w:val="9"/>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5" w:tgtFrame="_blank" w:tooltip="Dirección URL original: https://www.colombiacompra.gov.co/content/03-documentos-tipo-para-los-procesos-de-seleccion-de-interventoria-de-obra-publica-de. Haga clic o pulse si confía en este vínculo." w:history="1">
        <w:r w:rsidRPr="006926C4">
          <w:rPr>
            <w:rStyle w:val="Hipervnculo"/>
            <w:rFonts w:ascii="Verdana" w:hAnsi="Verdana" w:cs="Arial"/>
            <w:color w:val="4472C4" w:themeColor="accent1"/>
            <w:shd w:val="clear" w:color="auto" w:fill="FFFFFF"/>
          </w:rPr>
          <w:t>03. Documentos tipo para los procesos de selección de interventoría de obra pública de infraestructura de transporte – versión 3 | Colombia Compra Eficiente | Agencia Nacional de Contratación Pública</w:t>
        </w:r>
      </w:hyperlink>
    </w:p>
    <w:p w14:paraId="5C81D948" w14:textId="77777777" w:rsidR="00BB3C39" w:rsidRPr="006926C4" w:rsidRDefault="00BB3C39" w:rsidP="00BB3C39">
      <w:pPr>
        <w:jc w:val="both"/>
        <w:rPr>
          <w:rFonts w:ascii="Verdana" w:hAnsi="Verdana" w:cs="Arial"/>
          <w:color w:val="000000" w:themeColor="text1"/>
          <w:shd w:val="clear" w:color="auto" w:fill="FFFFFF"/>
        </w:rPr>
      </w:pPr>
    </w:p>
    <w:p w14:paraId="7C798B93" w14:textId="77777777" w:rsidR="00BB3C39" w:rsidRPr="006926C4" w:rsidRDefault="00BB3C39" w:rsidP="00BB3C39">
      <w:pPr>
        <w:numPr>
          <w:ilvl w:val="0"/>
          <w:numId w:val="9"/>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6926C4">
        <w:rPr>
          <w:rFonts w:ascii="Verdana" w:hAnsi="Verdana" w:cs="Arial"/>
          <w:color w:val="000000" w:themeColor="text1"/>
          <w:shd w:val="clear" w:color="auto" w:fill="FFFFFF"/>
        </w:rPr>
        <w:t> </w:t>
      </w:r>
      <w:hyperlink r:id="rId16" w:tgtFrame="_blank" w:tooltip="Dirección URL original: https://www.colombiacompra.gov.co/content/02-documentos-tipo-para-los-procesos-de-seleccion-de-consultoria-de-obra-publica-de. Haga clic o pulse si confía en este vínculo." w:history="1">
        <w:r w:rsidRPr="006926C4">
          <w:rPr>
            <w:rStyle w:val="Hipervnculo"/>
            <w:rFonts w:ascii="Verdana" w:hAnsi="Verdana" w:cs="Arial"/>
            <w:color w:val="4472C4" w:themeColor="accent1"/>
            <w:shd w:val="clear" w:color="auto" w:fill="FFFFFF"/>
          </w:rPr>
          <w:t>02. Documentos tipo para los procesos de selección de consultoría de obra pública de infraestructura de transporte – versión 2. | Colombia Compra Eficiente | Agencia Nacional de Contratación Pública</w:t>
        </w:r>
      </w:hyperlink>
    </w:p>
    <w:p w14:paraId="5DEC803C" w14:textId="77777777" w:rsidR="00BB3C39" w:rsidRPr="006926C4" w:rsidRDefault="00BB3C39" w:rsidP="00BB3C39">
      <w:pPr>
        <w:jc w:val="both"/>
        <w:rPr>
          <w:rFonts w:ascii="Verdana" w:hAnsi="Verdana" w:cs="Arial"/>
          <w:color w:val="000000" w:themeColor="text1"/>
          <w:shd w:val="clear" w:color="auto" w:fill="FFFFFF"/>
        </w:rPr>
      </w:pPr>
    </w:p>
    <w:p w14:paraId="550064F9" w14:textId="77777777" w:rsidR="00BB3C39" w:rsidRPr="00475A36" w:rsidRDefault="00BB3C39" w:rsidP="00BB3C39">
      <w:pPr>
        <w:jc w:val="both"/>
        <w:rPr>
          <w:rFonts w:ascii="Verdana" w:hAnsi="Verdana"/>
        </w:rPr>
      </w:pPr>
      <w:r w:rsidRPr="006926C4">
        <w:rPr>
          <w:rFonts w:ascii="Verdana" w:hAnsi="Verdana" w:cs="Arial"/>
          <w:color w:val="000000" w:themeColor="text1"/>
          <w:shd w:val="clear" w:color="auto" w:fill="FFFFFF"/>
        </w:rPr>
        <w:t>También, le contamos que ya publicamos </w:t>
      </w:r>
      <w:r w:rsidRPr="006926C4">
        <w:rPr>
          <w:rFonts w:ascii="Verdana" w:hAnsi="Verdana" w:cs="Arial"/>
          <w:b/>
          <w:bCs/>
          <w:color w:val="000000" w:themeColor="text1"/>
          <w:shd w:val="clear" w:color="auto" w:fill="FFFFFF"/>
        </w:rPr>
        <w:t>la nueva Guía de Contratación Pública Sostenible y Socialmente Responsable</w:t>
      </w:r>
      <w:r w:rsidRPr="006926C4">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6926C4">
          <w:rPr>
            <w:rStyle w:val="Hipervnculo"/>
            <w:rFonts w:ascii="Verdana" w:hAnsi="Verdana" w:cs="Arial"/>
            <w:color w:val="4472C4" w:themeColor="accent1"/>
            <w:shd w:val="clear" w:color="auto" w:fill="FFFFFF"/>
          </w:rPr>
          <w:t>Guía de Contratación Pública Sostenible y Socialmente Responsable | Colombia Compra Eficiente | Agencia Nacional de Contratación Pública</w:t>
        </w:r>
      </w:hyperlink>
    </w:p>
    <w:p w14:paraId="0B2E82DF" w14:textId="77777777" w:rsidR="00BB3C39" w:rsidRPr="006926C4" w:rsidRDefault="00BB3C39" w:rsidP="00BB3C39">
      <w:pPr>
        <w:jc w:val="both"/>
        <w:rPr>
          <w:rFonts w:ascii="Verdana" w:hAnsi="Verdana"/>
        </w:rPr>
      </w:pPr>
      <w:r w:rsidRPr="006926C4">
        <w:rPr>
          <w:rFonts w:ascii="Verdana" w:hAnsi="Verdana"/>
        </w:rPr>
        <w:t xml:space="preserve">Por último, lo invitamos a seguirnos en las redes sociales en las cuales se difunde información institucional: </w:t>
      </w:r>
    </w:p>
    <w:p w14:paraId="125F5365" w14:textId="77777777" w:rsidR="00BB3C39" w:rsidRPr="006926C4" w:rsidRDefault="00BB3C39" w:rsidP="00BB3C39">
      <w:pPr>
        <w:spacing w:line="240" w:lineRule="auto"/>
        <w:jc w:val="both"/>
        <w:rPr>
          <w:rFonts w:ascii="Verdana" w:hAnsi="Verdana"/>
        </w:rPr>
      </w:pPr>
      <w:r w:rsidRPr="006926C4">
        <w:rPr>
          <w:rFonts w:ascii="Verdana" w:hAnsi="Verdana"/>
        </w:rPr>
        <w:t xml:space="preserve">Twitter: </w:t>
      </w:r>
      <w:r w:rsidRPr="006926C4">
        <w:rPr>
          <w:rStyle w:val="Hipervnculo"/>
          <w:rFonts w:ascii="Verdana" w:hAnsi="Verdana"/>
          <w:color w:val="4472C4" w:themeColor="accent1"/>
        </w:rPr>
        <w:t>@colombiacompra</w:t>
      </w:r>
      <w:r w:rsidRPr="006926C4">
        <w:rPr>
          <w:rFonts w:ascii="Verdana" w:hAnsi="Verdana"/>
          <w:color w:val="4472C4" w:themeColor="accent1"/>
        </w:rPr>
        <w:t xml:space="preserve"> </w:t>
      </w:r>
    </w:p>
    <w:p w14:paraId="6E0F0DE0" w14:textId="77777777" w:rsidR="00BB3C39" w:rsidRPr="006926C4" w:rsidRDefault="00BB3C39" w:rsidP="00BB3C39">
      <w:pPr>
        <w:spacing w:line="240" w:lineRule="auto"/>
        <w:jc w:val="both"/>
        <w:rPr>
          <w:rFonts w:ascii="Verdana" w:hAnsi="Verdana"/>
        </w:rPr>
      </w:pPr>
      <w:r w:rsidRPr="006926C4">
        <w:rPr>
          <w:rFonts w:ascii="Verdana" w:hAnsi="Verdana"/>
        </w:rPr>
        <w:t xml:space="preserve">Facebook: </w:t>
      </w:r>
      <w:proofErr w:type="spellStart"/>
      <w:r w:rsidRPr="006926C4">
        <w:rPr>
          <w:rStyle w:val="Hipervnculo"/>
          <w:rFonts w:ascii="Verdana" w:hAnsi="Verdana"/>
          <w:color w:val="4472C4" w:themeColor="accent1"/>
        </w:rPr>
        <w:t>ColombiaCompraEficiente</w:t>
      </w:r>
      <w:proofErr w:type="spellEnd"/>
    </w:p>
    <w:p w14:paraId="52942F74" w14:textId="77777777" w:rsidR="00BB3C39" w:rsidRPr="00475A36" w:rsidRDefault="00BB3C39" w:rsidP="00BB3C39">
      <w:pPr>
        <w:spacing w:line="240" w:lineRule="auto"/>
        <w:jc w:val="both"/>
        <w:rPr>
          <w:rFonts w:ascii="Verdana" w:hAnsi="Verdana"/>
        </w:rPr>
      </w:pPr>
      <w:r w:rsidRPr="006926C4">
        <w:rPr>
          <w:rFonts w:ascii="Verdana" w:hAnsi="Verdana"/>
        </w:rPr>
        <w:lastRenderedPageBreak/>
        <w:t xml:space="preserve">LinkedIn: </w:t>
      </w:r>
      <w:r w:rsidRPr="006926C4">
        <w:rPr>
          <w:rStyle w:val="Hipervnculo"/>
          <w:rFonts w:ascii="Verdana" w:hAnsi="Verdana"/>
          <w:color w:val="4472C4" w:themeColor="accent1"/>
        </w:rPr>
        <w:t>Agencia Nacional de Contratación Pública - Colombia Compra Eficiente</w:t>
      </w:r>
      <w:r w:rsidRPr="006926C4">
        <w:rPr>
          <w:rFonts w:ascii="Verdana" w:hAnsi="Verdana"/>
          <w:color w:val="4472C4" w:themeColor="accent1"/>
        </w:rPr>
        <w:t xml:space="preserve"> </w:t>
      </w:r>
      <w:r w:rsidRPr="006926C4">
        <w:rPr>
          <w:rFonts w:ascii="Verdana" w:hAnsi="Verdana"/>
        </w:rPr>
        <w:t xml:space="preserve">Instagram: </w:t>
      </w:r>
      <w:r w:rsidRPr="006926C4">
        <w:rPr>
          <w:rStyle w:val="Hipervnculo"/>
          <w:rFonts w:ascii="Verdana" w:hAnsi="Verdana"/>
          <w:color w:val="4472C4" w:themeColor="accent1"/>
        </w:rPr>
        <w:t>@colombiacompraeficiente_cce</w:t>
      </w:r>
    </w:p>
    <w:p w14:paraId="19ED5055" w14:textId="77777777" w:rsidR="00BB3C39" w:rsidRPr="006926C4" w:rsidRDefault="00BB3C39" w:rsidP="00BB3C39">
      <w:pPr>
        <w:widowControl w:val="0"/>
        <w:autoSpaceDE w:val="0"/>
        <w:autoSpaceDN w:val="0"/>
        <w:spacing w:line="276" w:lineRule="auto"/>
        <w:jc w:val="both"/>
        <w:rPr>
          <w:rFonts w:ascii="Verdana" w:hAnsi="Verdana" w:cs="Arial"/>
          <w:lang w:val="es-ES_tradnl"/>
        </w:rPr>
      </w:pPr>
      <w:r w:rsidRPr="006926C4">
        <w:rPr>
          <w:rFonts w:ascii="Verdana" w:hAnsi="Verdana" w:cs="Arial"/>
        </w:rPr>
        <w:t xml:space="preserve">Este concepto tiene el alcance previsto en el artículo 28 del Código de Procedimiento Administrativo y de lo Contencioso Administrativo </w:t>
      </w:r>
      <w:r w:rsidRPr="006926C4">
        <w:rPr>
          <w:rFonts w:ascii="Verdana" w:hAnsi="Verdana" w:cs="Arial"/>
          <w:lang w:val="es-ES_tradnl"/>
        </w:rPr>
        <w:t>y las expresiones aquí utilizadas con mayúscula inicial deben ser entendidas con el significado que les otorga el artículo 2.2.1.1.1.3.1. del Decreto 1082 de 2015.</w:t>
      </w:r>
    </w:p>
    <w:p w14:paraId="402F8287" w14:textId="77777777" w:rsidR="00BB3C39" w:rsidRPr="005D083D" w:rsidRDefault="00BB3C39" w:rsidP="00BB3C39">
      <w:pPr>
        <w:widowControl w:val="0"/>
        <w:autoSpaceDE w:val="0"/>
        <w:autoSpaceDN w:val="0"/>
        <w:spacing w:after="0" w:line="276" w:lineRule="auto"/>
        <w:jc w:val="both"/>
        <w:rPr>
          <w:rFonts w:ascii="Verdana" w:hAnsi="Verdana" w:cs="Arial"/>
          <w:color w:val="FF0000"/>
          <w:shd w:val="clear" w:color="auto" w:fill="FFFFFF"/>
          <w:lang w:val="es-ES"/>
        </w:rPr>
      </w:pPr>
    </w:p>
    <w:p w14:paraId="79AF50FA" w14:textId="77777777" w:rsidR="00BB3C39" w:rsidRPr="00593A5F" w:rsidRDefault="00BB3C39" w:rsidP="00BB3C3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5C28227" w14:textId="60F4B0C2" w:rsidR="00BB3C39" w:rsidRPr="00593A5F" w:rsidRDefault="008F584A" w:rsidP="00BB3C39">
      <w:pPr>
        <w:spacing w:line="276" w:lineRule="auto"/>
        <w:jc w:val="center"/>
        <w:rPr>
          <w:rFonts w:ascii="Verdana" w:hAnsi="Verdana" w:cs="Arial"/>
          <w:color w:val="000000"/>
          <w:lang w:val="es-ES_tradnl" w:eastAsia="es-CO"/>
        </w:rPr>
      </w:pPr>
      <w:r>
        <w:rPr>
          <w:rFonts w:cs="Arial"/>
          <w:noProof/>
          <w:color w:val="000000"/>
          <w:lang w:val="es-ES_tradnl"/>
        </w:rPr>
        <w:drawing>
          <wp:inline distT="0" distB="0" distL="0" distR="0" wp14:anchorId="262DD9FF" wp14:editId="4810C51B">
            <wp:extent cx="3768725" cy="1399540"/>
            <wp:effectExtent l="0" t="0" r="3175" b="0"/>
            <wp:docPr id="2005225357" name="Imagen 2005225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eNormal"/>
        <w:tblW w:w="0" w:type="auto"/>
        <w:tblInd w:w="328" w:type="dxa"/>
        <w:tblLayout w:type="fixed"/>
        <w:tblLook w:val="01E0" w:firstRow="1" w:lastRow="1" w:firstColumn="1" w:lastColumn="1" w:noHBand="0" w:noVBand="0"/>
      </w:tblPr>
      <w:tblGrid>
        <w:gridCol w:w="915"/>
        <w:gridCol w:w="5548"/>
      </w:tblGrid>
      <w:tr w:rsidR="00BB3C39" w:rsidRPr="00733A47" w14:paraId="2D61459D" w14:textId="77777777" w:rsidTr="00121D45">
        <w:trPr>
          <w:trHeight w:val="435"/>
        </w:trPr>
        <w:tc>
          <w:tcPr>
            <w:tcW w:w="915" w:type="dxa"/>
          </w:tcPr>
          <w:p w14:paraId="2207EB43" w14:textId="77777777" w:rsidR="00BB3C39" w:rsidRPr="00733A47" w:rsidRDefault="00BB3C39" w:rsidP="00121D45">
            <w:pPr>
              <w:pStyle w:val="TableParagraph"/>
              <w:spacing w:before="110"/>
              <w:ind w:right="53"/>
              <w:jc w:val="center"/>
              <w:rPr>
                <w:rFonts w:ascii="Verdana" w:hAnsi="Verdana"/>
                <w:sz w:val="16"/>
                <w:szCs w:val="16"/>
              </w:rPr>
            </w:pPr>
            <w:r w:rsidRPr="00733A47">
              <w:rPr>
                <w:rFonts w:ascii="Verdana" w:hAnsi="Verdana"/>
                <w:spacing w:val="-2"/>
                <w:sz w:val="16"/>
                <w:szCs w:val="16"/>
              </w:rPr>
              <w:t>Elaboró:</w:t>
            </w:r>
          </w:p>
        </w:tc>
        <w:tc>
          <w:tcPr>
            <w:tcW w:w="5548" w:type="dxa"/>
            <w:tcBorders>
              <w:bottom w:val="dotted" w:sz="4" w:space="0" w:color="919191"/>
            </w:tcBorders>
          </w:tcPr>
          <w:p w14:paraId="24D91BB2" w14:textId="77777777" w:rsidR="00BB3C39" w:rsidRPr="00733A47" w:rsidRDefault="00BB3C39" w:rsidP="00121D45">
            <w:pPr>
              <w:pStyle w:val="TableParagraph"/>
              <w:spacing w:line="217" w:lineRule="exact"/>
              <w:ind w:left="110"/>
              <w:rPr>
                <w:rFonts w:ascii="Verdana" w:hAnsi="Verdana"/>
                <w:sz w:val="16"/>
                <w:szCs w:val="16"/>
              </w:rPr>
            </w:pPr>
            <w:r w:rsidRPr="00733A47">
              <w:rPr>
                <w:rFonts w:ascii="Verdana" w:hAnsi="Verdana"/>
                <w:sz w:val="16"/>
                <w:szCs w:val="16"/>
              </w:rPr>
              <w:t>Andrea</w:t>
            </w:r>
            <w:r w:rsidRPr="00733A47">
              <w:rPr>
                <w:rFonts w:ascii="Verdana" w:hAnsi="Verdana"/>
                <w:spacing w:val="-4"/>
                <w:sz w:val="16"/>
                <w:szCs w:val="16"/>
              </w:rPr>
              <w:t xml:space="preserve"> </w:t>
            </w:r>
            <w:r w:rsidRPr="00733A47">
              <w:rPr>
                <w:rFonts w:ascii="Verdana" w:hAnsi="Verdana"/>
                <w:sz w:val="16"/>
                <w:szCs w:val="16"/>
              </w:rPr>
              <w:t>del</w:t>
            </w:r>
            <w:r w:rsidRPr="00733A47">
              <w:rPr>
                <w:rFonts w:ascii="Verdana" w:hAnsi="Verdana"/>
                <w:spacing w:val="-4"/>
                <w:sz w:val="16"/>
                <w:szCs w:val="16"/>
              </w:rPr>
              <w:t xml:space="preserve"> </w:t>
            </w:r>
            <w:r w:rsidRPr="00733A47">
              <w:rPr>
                <w:rFonts w:ascii="Verdana" w:hAnsi="Verdana"/>
                <w:sz w:val="16"/>
                <w:szCs w:val="16"/>
              </w:rPr>
              <w:t>Pilar</w:t>
            </w:r>
            <w:r w:rsidRPr="00733A47">
              <w:rPr>
                <w:rFonts w:ascii="Verdana" w:hAnsi="Verdana"/>
                <w:spacing w:val="-6"/>
                <w:sz w:val="16"/>
                <w:szCs w:val="16"/>
              </w:rPr>
              <w:t xml:space="preserve"> </w:t>
            </w:r>
            <w:r w:rsidRPr="00733A47">
              <w:rPr>
                <w:rFonts w:ascii="Verdana" w:hAnsi="Verdana"/>
                <w:sz w:val="16"/>
                <w:szCs w:val="16"/>
              </w:rPr>
              <w:t>Garzón</w:t>
            </w:r>
            <w:r w:rsidRPr="00733A47">
              <w:rPr>
                <w:rFonts w:ascii="Verdana" w:hAnsi="Verdana"/>
                <w:spacing w:val="-9"/>
                <w:sz w:val="16"/>
                <w:szCs w:val="16"/>
              </w:rPr>
              <w:t xml:space="preserve"> </w:t>
            </w:r>
            <w:r w:rsidRPr="00733A47">
              <w:rPr>
                <w:rFonts w:ascii="Verdana" w:hAnsi="Verdana"/>
                <w:spacing w:val="-2"/>
                <w:sz w:val="16"/>
                <w:szCs w:val="16"/>
              </w:rPr>
              <w:t>Sánchez</w:t>
            </w:r>
          </w:p>
          <w:p w14:paraId="3808318A" w14:textId="77777777" w:rsidR="00BB3C39" w:rsidRPr="00733A47" w:rsidRDefault="00BB3C39" w:rsidP="00121D45">
            <w:pPr>
              <w:pStyle w:val="TableParagraph"/>
              <w:spacing w:line="199" w:lineRule="exact"/>
              <w:ind w:left="110"/>
              <w:rPr>
                <w:rFonts w:ascii="Verdana" w:hAnsi="Verdana"/>
                <w:sz w:val="16"/>
                <w:szCs w:val="16"/>
              </w:rPr>
            </w:pPr>
            <w:r w:rsidRPr="00733A47">
              <w:rPr>
                <w:rFonts w:ascii="Verdana" w:hAnsi="Verdana"/>
                <w:sz w:val="16"/>
                <w:szCs w:val="16"/>
              </w:rPr>
              <w:t>Contratista</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la</w:t>
            </w:r>
            <w:r w:rsidRPr="00733A47">
              <w:rPr>
                <w:rFonts w:ascii="Verdana" w:hAnsi="Verdana"/>
                <w:spacing w:val="-5"/>
                <w:sz w:val="16"/>
                <w:szCs w:val="16"/>
              </w:rPr>
              <w:t xml:space="preserve"> </w:t>
            </w:r>
            <w:r w:rsidRPr="00733A47">
              <w:rPr>
                <w:rFonts w:ascii="Verdana" w:hAnsi="Verdana"/>
                <w:sz w:val="16"/>
                <w:szCs w:val="16"/>
              </w:rPr>
              <w:t>Subdirección</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Gestión</w:t>
            </w:r>
            <w:r w:rsidRPr="00733A47">
              <w:rPr>
                <w:rFonts w:ascii="Verdana" w:hAnsi="Verdana"/>
                <w:spacing w:val="-5"/>
                <w:sz w:val="16"/>
                <w:szCs w:val="16"/>
              </w:rPr>
              <w:t xml:space="preserve"> </w:t>
            </w:r>
            <w:r w:rsidRPr="00733A47">
              <w:rPr>
                <w:rFonts w:ascii="Verdana" w:hAnsi="Verdana"/>
                <w:spacing w:val="-2"/>
                <w:sz w:val="16"/>
                <w:szCs w:val="16"/>
              </w:rPr>
              <w:t>Contractual</w:t>
            </w:r>
          </w:p>
        </w:tc>
      </w:tr>
      <w:tr w:rsidR="00BB3C39" w:rsidRPr="00733A47" w14:paraId="7ACE6656" w14:textId="77777777" w:rsidTr="00121D45">
        <w:trPr>
          <w:trHeight w:val="440"/>
        </w:trPr>
        <w:tc>
          <w:tcPr>
            <w:tcW w:w="915" w:type="dxa"/>
          </w:tcPr>
          <w:p w14:paraId="07B860A5" w14:textId="77777777" w:rsidR="00BB3C39" w:rsidRPr="00733A47" w:rsidRDefault="00BB3C39" w:rsidP="00121D45">
            <w:pPr>
              <w:pStyle w:val="TableParagraph"/>
              <w:spacing w:before="109"/>
              <w:ind w:right="142"/>
              <w:jc w:val="center"/>
              <w:rPr>
                <w:rFonts w:ascii="Verdana" w:hAnsi="Verdana"/>
                <w:sz w:val="16"/>
                <w:szCs w:val="16"/>
              </w:rPr>
            </w:pPr>
            <w:r w:rsidRPr="00733A47">
              <w:rPr>
                <w:rFonts w:ascii="Verdana" w:hAnsi="Verdana"/>
                <w:spacing w:val="-2"/>
                <w:sz w:val="16"/>
                <w:szCs w:val="16"/>
              </w:rPr>
              <w:t>Revisó:</w:t>
            </w:r>
          </w:p>
        </w:tc>
        <w:tc>
          <w:tcPr>
            <w:tcW w:w="5548" w:type="dxa"/>
            <w:tcBorders>
              <w:top w:val="dotted" w:sz="4" w:space="0" w:color="919191"/>
              <w:bottom w:val="dotted" w:sz="4" w:space="0" w:color="919191"/>
            </w:tcBorders>
          </w:tcPr>
          <w:p w14:paraId="47604DCB" w14:textId="77777777" w:rsidR="00BB3C39" w:rsidRPr="00733A47" w:rsidRDefault="00BB3C39" w:rsidP="00121D45">
            <w:pPr>
              <w:pStyle w:val="TableParagraph"/>
              <w:spacing w:line="218" w:lineRule="exact"/>
              <w:ind w:left="110"/>
              <w:rPr>
                <w:rFonts w:ascii="Verdana" w:hAnsi="Verdana"/>
                <w:sz w:val="16"/>
                <w:szCs w:val="16"/>
              </w:rPr>
            </w:pPr>
            <w:r w:rsidRPr="00733A47">
              <w:rPr>
                <w:rFonts w:ascii="Verdana" w:hAnsi="Verdana"/>
                <w:sz w:val="16"/>
                <w:szCs w:val="16"/>
              </w:rPr>
              <w:t>Juan</w:t>
            </w:r>
            <w:r w:rsidRPr="00733A47">
              <w:rPr>
                <w:rFonts w:ascii="Verdana" w:hAnsi="Verdana"/>
                <w:spacing w:val="-5"/>
                <w:sz w:val="16"/>
                <w:szCs w:val="16"/>
              </w:rPr>
              <w:t xml:space="preserve"> </w:t>
            </w:r>
            <w:r w:rsidRPr="00733A47">
              <w:rPr>
                <w:rFonts w:ascii="Verdana" w:hAnsi="Verdana"/>
                <w:sz w:val="16"/>
                <w:szCs w:val="16"/>
              </w:rPr>
              <w:t>Carlos</w:t>
            </w:r>
            <w:r w:rsidRPr="00733A47">
              <w:rPr>
                <w:rFonts w:ascii="Verdana" w:hAnsi="Verdana"/>
                <w:spacing w:val="-9"/>
                <w:sz w:val="16"/>
                <w:szCs w:val="16"/>
              </w:rPr>
              <w:t xml:space="preserve"> </w:t>
            </w:r>
            <w:r w:rsidRPr="00733A47">
              <w:rPr>
                <w:rFonts w:ascii="Verdana" w:hAnsi="Verdana"/>
                <w:sz w:val="16"/>
                <w:szCs w:val="16"/>
              </w:rPr>
              <w:t>Gonzáles</w:t>
            </w:r>
            <w:r w:rsidRPr="00733A47">
              <w:rPr>
                <w:rFonts w:ascii="Verdana" w:hAnsi="Verdana"/>
                <w:spacing w:val="-4"/>
                <w:sz w:val="16"/>
                <w:szCs w:val="16"/>
              </w:rPr>
              <w:t xml:space="preserve"> </w:t>
            </w:r>
            <w:r w:rsidRPr="00733A47">
              <w:rPr>
                <w:rFonts w:ascii="Verdana" w:hAnsi="Verdana"/>
                <w:spacing w:val="-2"/>
                <w:sz w:val="16"/>
                <w:szCs w:val="16"/>
              </w:rPr>
              <w:t>Vásquez</w:t>
            </w:r>
          </w:p>
          <w:p w14:paraId="549532E5" w14:textId="77777777" w:rsidR="00BB3C39" w:rsidRPr="00733A47" w:rsidRDefault="00BB3C39" w:rsidP="00121D45">
            <w:pPr>
              <w:pStyle w:val="TableParagraph"/>
              <w:spacing w:before="1" w:line="201" w:lineRule="exact"/>
              <w:ind w:left="110"/>
              <w:rPr>
                <w:rFonts w:ascii="Verdana" w:hAnsi="Verdana"/>
                <w:sz w:val="16"/>
                <w:szCs w:val="16"/>
              </w:rPr>
            </w:pPr>
            <w:r w:rsidRPr="00733A47">
              <w:rPr>
                <w:rFonts w:ascii="Verdana" w:hAnsi="Verdana"/>
                <w:sz w:val="16"/>
                <w:szCs w:val="16"/>
              </w:rPr>
              <w:t>Contratista</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la</w:t>
            </w:r>
            <w:r w:rsidRPr="00733A47">
              <w:rPr>
                <w:rFonts w:ascii="Verdana" w:hAnsi="Verdana"/>
                <w:spacing w:val="-5"/>
                <w:sz w:val="16"/>
                <w:szCs w:val="16"/>
              </w:rPr>
              <w:t xml:space="preserve"> </w:t>
            </w:r>
            <w:r w:rsidRPr="00733A47">
              <w:rPr>
                <w:rFonts w:ascii="Verdana" w:hAnsi="Verdana"/>
                <w:sz w:val="16"/>
                <w:szCs w:val="16"/>
              </w:rPr>
              <w:t>Subdirección</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Gestión</w:t>
            </w:r>
            <w:r w:rsidRPr="00733A47">
              <w:rPr>
                <w:rFonts w:ascii="Verdana" w:hAnsi="Verdana"/>
                <w:spacing w:val="-5"/>
                <w:sz w:val="16"/>
                <w:szCs w:val="16"/>
              </w:rPr>
              <w:t xml:space="preserve"> </w:t>
            </w:r>
            <w:r w:rsidRPr="00733A47">
              <w:rPr>
                <w:rFonts w:ascii="Verdana" w:hAnsi="Verdana"/>
                <w:spacing w:val="-2"/>
                <w:sz w:val="16"/>
                <w:szCs w:val="16"/>
              </w:rPr>
              <w:t>Contractual</w:t>
            </w:r>
          </w:p>
        </w:tc>
      </w:tr>
      <w:tr w:rsidR="00BB3C39" w:rsidRPr="00733A47" w14:paraId="3566B25C" w14:textId="77777777" w:rsidTr="00121D45">
        <w:trPr>
          <w:trHeight w:val="432"/>
        </w:trPr>
        <w:tc>
          <w:tcPr>
            <w:tcW w:w="915" w:type="dxa"/>
          </w:tcPr>
          <w:p w14:paraId="5B38E7B4" w14:textId="77777777" w:rsidR="00BB3C39" w:rsidRPr="00733A47" w:rsidRDefault="00BB3C39" w:rsidP="00121D45">
            <w:pPr>
              <w:pStyle w:val="TableParagraph"/>
              <w:spacing w:before="109"/>
              <w:ind w:right="93"/>
              <w:jc w:val="center"/>
              <w:rPr>
                <w:rFonts w:ascii="Verdana" w:hAnsi="Verdana"/>
                <w:sz w:val="16"/>
                <w:szCs w:val="16"/>
              </w:rPr>
            </w:pPr>
            <w:r w:rsidRPr="00733A47">
              <w:rPr>
                <w:rFonts w:ascii="Verdana" w:hAnsi="Verdana"/>
                <w:spacing w:val="-2"/>
                <w:sz w:val="16"/>
                <w:szCs w:val="16"/>
              </w:rPr>
              <w:t>Aprobó:</w:t>
            </w:r>
          </w:p>
        </w:tc>
        <w:tc>
          <w:tcPr>
            <w:tcW w:w="5548" w:type="dxa"/>
            <w:tcBorders>
              <w:top w:val="dotted" w:sz="4" w:space="0" w:color="919191"/>
            </w:tcBorders>
          </w:tcPr>
          <w:p w14:paraId="311DC4F9" w14:textId="77777777" w:rsidR="00BB3C39" w:rsidRPr="00733A47" w:rsidRDefault="00BB3C39" w:rsidP="00121D45">
            <w:pPr>
              <w:pStyle w:val="TableParagraph"/>
              <w:spacing w:line="216" w:lineRule="exact"/>
              <w:ind w:left="110"/>
              <w:rPr>
                <w:rFonts w:ascii="Verdana" w:hAnsi="Verdana"/>
                <w:sz w:val="16"/>
                <w:szCs w:val="16"/>
              </w:rPr>
            </w:pPr>
            <w:r w:rsidRPr="00733A47">
              <w:rPr>
                <w:rFonts w:ascii="Verdana" w:hAnsi="Verdana"/>
                <w:sz w:val="16"/>
                <w:szCs w:val="16"/>
              </w:rPr>
              <w:t>Carolina</w:t>
            </w:r>
            <w:r w:rsidRPr="00733A47">
              <w:rPr>
                <w:rFonts w:ascii="Verdana" w:hAnsi="Verdana"/>
                <w:spacing w:val="-6"/>
                <w:sz w:val="16"/>
                <w:szCs w:val="16"/>
              </w:rPr>
              <w:t xml:space="preserve"> </w:t>
            </w:r>
            <w:r w:rsidRPr="00733A47">
              <w:rPr>
                <w:rFonts w:ascii="Verdana" w:hAnsi="Verdana"/>
                <w:sz w:val="16"/>
                <w:szCs w:val="16"/>
              </w:rPr>
              <w:t>Quintero</w:t>
            </w:r>
            <w:r w:rsidRPr="00733A47">
              <w:rPr>
                <w:rFonts w:ascii="Verdana" w:hAnsi="Verdana"/>
                <w:spacing w:val="-6"/>
                <w:sz w:val="16"/>
                <w:szCs w:val="16"/>
              </w:rPr>
              <w:t xml:space="preserve"> </w:t>
            </w:r>
            <w:proofErr w:type="spellStart"/>
            <w:r w:rsidRPr="00733A47">
              <w:rPr>
                <w:rFonts w:ascii="Verdana" w:hAnsi="Verdana"/>
                <w:spacing w:val="-2"/>
                <w:sz w:val="16"/>
                <w:szCs w:val="16"/>
              </w:rPr>
              <w:t>Gacharná</w:t>
            </w:r>
            <w:proofErr w:type="spellEnd"/>
          </w:p>
          <w:p w14:paraId="5E1A6377" w14:textId="77777777" w:rsidR="00BB3C39" w:rsidRPr="00733A47" w:rsidRDefault="00BB3C39" w:rsidP="00121D45">
            <w:pPr>
              <w:pStyle w:val="TableParagraph"/>
              <w:tabs>
                <w:tab w:val="left" w:pos="5547"/>
              </w:tabs>
              <w:spacing w:line="197" w:lineRule="exact"/>
              <w:ind w:left="-15"/>
              <w:rPr>
                <w:rFonts w:ascii="Verdana" w:hAnsi="Verdana"/>
                <w:sz w:val="16"/>
                <w:szCs w:val="16"/>
              </w:rPr>
            </w:pPr>
            <w:r w:rsidRPr="00733A47">
              <w:rPr>
                <w:rFonts w:ascii="Verdana" w:hAnsi="Verdana"/>
                <w:spacing w:val="68"/>
                <w:sz w:val="16"/>
                <w:szCs w:val="16"/>
                <w:u w:val="dotted" w:color="919191"/>
              </w:rPr>
              <w:t xml:space="preserve"> </w:t>
            </w:r>
            <w:r w:rsidRPr="00733A47">
              <w:rPr>
                <w:rFonts w:ascii="Verdana" w:hAnsi="Verdana"/>
                <w:sz w:val="16"/>
                <w:szCs w:val="16"/>
                <w:u w:val="dotted" w:color="919191"/>
              </w:rPr>
              <w:t>Subdirectora</w:t>
            </w:r>
            <w:r w:rsidRPr="00733A47">
              <w:rPr>
                <w:rFonts w:ascii="Verdana" w:hAnsi="Verdana"/>
                <w:spacing w:val="2"/>
                <w:sz w:val="16"/>
                <w:szCs w:val="16"/>
                <w:u w:val="dotted" w:color="919191"/>
              </w:rPr>
              <w:t xml:space="preserve"> </w:t>
            </w:r>
            <w:r w:rsidRPr="00733A47">
              <w:rPr>
                <w:rFonts w:ascii="Verdana" w:hAnsi="Verdana"/>
                <w:sz w:val="16"/>
                <w:szCs w:val="16"/>
                <w:u w:val="dotted" w:color="919191"/>
              </w:rPr>
              <w:t>de</w:t>
            </w:r>
            <w:r w:rsidRPr="00733A47">
              <w:rPr>
                <w:rFonts w:ascii="Verdana" w:hAnsi="Verdana"/>
                <w:spacing w:val="-6"/>
                <w:sz w:val="16"/>
                <w:szCs w:val="16"/>
                <w:u w:val="dotted" w:color="919191"/>
              </w:rPr>
              <w:t xml:space="preserve"> </w:t>
            </w:r>
            <w:r w:rsidRPr="00733A47">
              <w:rPr>
                <w:rFonts w:ascii="Verdana" w:hAnsi="Verdana"/>
                <w:sz w:val="16"/>
                <w:szCs w:val="16"/>
                <w:u w:val="dotted" w:color="919191"/>
              </w:rPr>
              <w:t>Gestión</w:t>
            </w:r>
            <w:r w:rsidRPr="00733A47">
              <w:rPr>
                <w:rFonts w:ascii="Verdana" w:hAnsi="Verdana"/>
                <w:spacing w:val="-3"/>
                <w:sz w:val="16"/>
                <w:szCs w:val="16"/>
                <w:u w:val="dotted" w:color="919191"/>
              </w:rPr>
              <w:t xml:space="preserve"> </w:t>
            </w:r>
            <w:r w:rsidRPr="00733A47">
              <w:rPr>
                <w:rFonts w:ascii="Verdana" w:hAnsi="Verdana"/>
                <w:sz w:val="16"/>
                <w:szCs w:val="16"/>
                <w:u w:val="dotted" w:color="919191"/>
              </w:rPr>
              <w:t>Contractual</w:t>
            </w:r>
            <w:r w:rsidRPr="00733A47">
              <w:rPr>
                <w:rFonts w:ascii="Verdana" w:hAnsi="Verdana"/>
                <w:spacing w:val="-3"/>
                <w:sz w:val="16"/>
                <w:szCs w:val="16"/>
                <w:u w:val="dotted" w:color="919191"/>
              </w:rPr>
              <w:t xml:space="preserve"> </w:t>
            </w:r>
            <w:r w:rsidRPr="00733A47">
              <w:rPr>
                <w:rFonts w:ascii="Verdana" w:hAnsi="Verdana"/>
                <w:sz w:val="16"/>
                <w:szCs w:val="16"/>
                <w:u w:val="dotted" w:color="919191"/>
              </w:rPr>
              <w:t>ANCP</w:t>
            </w:r>
            <w:r w:rsidRPr="00733A47">
              <w:rPr>
                <w:rFonts w:ascii="Verdana" w:hAnsi="Verdana"/>
                <w:spacing w:val="1"/>
                <w:sz w:val="16"/>
                <w:szCs w:val="16"/>
                <w:u w:val="dotted" w:color="919191"/>
              </w:rPr>
              <w:t xml:space="preserve"> </w:t>
            </w:r>
            <w:r w:rsidRPr="00733A47">
              <w:rPr>
                <w:rFonts w:ascii="Verdana" w:hAnsi="Verdana"/>
                <w:sz w:val="16"/>
                <w:szCs w:val="16"/>
                <w:u w:val="dotted" w:color="919191"/>
              </w:rPr>
              <w:t>–</w:t>
            </w:r>
            <w:r w:rsidRPr="00733A47">
              <w:rPr>
                <w:rFonts w:ascii="Verdana" w:hAnsi="Verdana"/>
                <w:spacing w:val="-3"/>
                <w:sz w:val="16"/>
                <w:szCs w:val="16"/>
                <w:u w:val="dotted" w:color="919191"/>
              </w:rPr>
              <w:t xml:space="preserve"> </w:t>
            </w:r>
            <w:r w:rsidRPr="00733A47">
              <w:rPr>
                <w:rFonts w:ascii="Verdana" w:hAnsi="Verdana"/>
                <w:spacing w:val="-5"/>
                <w:sz w:val="16"/>
                <w:szCs w:val="16"/>
                <w:u w:val="dotted" w:color="919191"/>
              </w:rPr>
              <w:t>CCE</w:t>
            </w:r>
            <w:r w:rsidRPr="00733A47">
              <w:rPr>
                <w:rFonts w:ascii="Verdana" w:hAnsi="Verdana"/>
                <w:sz w:val="16"/>
                <w:szCs w:val="16"/>
                <w:u w:val="dotted" w:color="919191"/>
              </w:rPr>
              <w:tab/>
            </w:r>
          </w:p>
        </w:tc>
      </w:tr>
    </w:tbl>
    <w:p w14:paraId="3FD53D00" w14:textId="77777777" w:rsidR="00BB3C39" w:rsidRPr="00593A5F" w:rsidRDefault="00BB3C39" w:rsidP="00BB3C39">
      <w:pPr>
        <w:spacing w:after="0" w:line="240" w:lineRule="auto"/>
        <w:rPr>
          <w:rFonts w:ascii="Verdana" w:eastAsia="Times New Roman" w:hAnsi="Verdana" w:cs="Arial"/>
          <w:sz w:val="24"/>
          <w:szCs w:val="24"/>
          <w:lang w:eastAsia="es-ES"/>
        </w:rPr>
      </w:pPr>
    </w:p>
    <w:p w14:paraId="72921113" w14:textId="77777777" w:rsidR="00BB3C39" w:rsidRPr="00871B59" w:rsidRDefault="00BB3C39" w:rsidP="00BB3C39"/>
    <w:p w14:paraId="68A5EB34" w14:textId="77777777" w:rsidR="00BB3C39" w:rsidRPr="0044528D" w:rsidRDefault="00BB3C39" w:rsidP="00BB3C39">
      <w:pPr>
        <w:spacing w:after="0"/>
        <w:jc w:val="both"/>
        <w:rPr>
          <w:rStyle w:val="Hipervnculo"/>
          <w:rFonts w:ascii="Verdana" w:hAnsi="Verdana"/>
        </w:rPr>
      </w:pPr>
    </w:p>
    <w:p w14:paraId="403D19E9" w14:textId="77777777" w:rsidR="00BB3C39" w:rsidRPr="0044528D" w:rsidRDefault="00BB3C39" w:rsidP="00BB3C39">
      <w:pPr>
        <w:spacing w:after="0"/>
        <w:jc w:val="both"/>
        <w:rPr>
          <w:rStyle w:val="Hipervnculo"/>
          <w:rFonts w:ascii="Verdana" w:hAnsi="Verdana"/>
        </w:rPr>
      </w:pPr>
    </w:p>
    <w:p w14:paraId="0317C854" w14:textId="77777777" w:rsidR="00BB3C39" w:rsidRPr="0044528D" w:rsidRDefault="00BB3C39" w:rsidP="00BB3C39">
      <w:pPr>
        <w:spacing w:after="0"/>
        <w:jc w:val="both"/>
        <w:rPr>
          <w:rStyle w:val="Hipervnculo"/>
          <w:rFonts w:ascii="Verdana" w:hAnsi="Verdana"/>
        </w:rPr>
      </w:pPr>
    </w:p>
    <w:p w14:paraId="426CF956" w14:textId="77777777" w:rsidR="00BB3C39" w:rsidRPr="0044528D" w:rsidRDefault="00BB3C39" w:rsidP="00BB3C39">
      <w:pPr>
        <w:spacing w:after="0"/>
        <w:jc w:val="both"/>
        <w:rPr>
          <w:rStyle w:val="Hipervnculo"/>
          <w:rFonts w:ascii="Verdana" w:hAnsi="Verdana"/>
        </w:rPr>
      </w:pPr>
    </w:p>
    <w:bookmarkEnd w:id="0"/>
    <w:p w14:paraId="69A62245" w14:textId="77777777" w:rsidR="00BB3C39" w:rsidRPr="0044528D" w:rsidRDefault="00BB3C39" w:rsidP="00BB3C39">
      <w:pPr>
        <w:spacing w:after="0" w:line="240" w:lineRule="auto"/>
        <w:textAlignment w:val="baseline"/>
        <w:rPr>
          <w:rFonts w:ascii="Verdana" w:eastAsia="Times New Roman" w:hAnsi="Verdana" w:cs="Segoe UI"/>
          <w:b/>
          <w:bCs/>
          <w:color w:val="46589C"/>
          <w:lang w:val="es-ES" w:eastAsia="es-CO"/>
        </w:rPr>
      </w:pPr>
    </w:p>
    <w:p w14:paraId="61854546" w14:textId="77777777" w:rsidR="5D8505AD" w:rsidRPr="00BB3C39" w:rsidRDefault="5D8505AD" w:rsidP="00BB3C39">
      <w:pPr>
        <w:rPr>
          <w:lang w:val="es-ES"/>
        </w:rPr>
      </w:pPr>
    </w:p>
    <w:sectPr w:rsidR="5D8505AD" w:rsidRPr="00BB3C39" w:rsidSect="00E45F4B">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69C74" w14:textId="77777777" w:rsidR="00E07A7F" w:rsidRDefault="00E07A7F" w:rsidP="00B30448">
      <w:pPr>
        <w:spacing w:after="0" w:line="240" w:lineRule="auto"/>
      </w:pPr>
      <w:r>
        <w:separator/>
      </w:r>
    </w:p>
  </w:endnote>
  <w:endnote w:type="continuationSeparator" w:id="0">
    <w:p w14:paraId="6BDF4EAE" w14:textId="77777777" w:rsidR="00E07A7F" w:rsidRDefault="00E07A7F" w:rsidP="00B30448">
      <w:pPr>
        <w:spacing w:after="0" w:line="240" w:lineRule="auto"/>
      </w:pPr>
      <w:r>
        <w:continuationSeparator/>
      </w:r>
    </w:p>
  </w:endnote>
  <w:endnote w:type="continuationNotice" w:id="1">
    <w:p w14:paraId="0264A35D" w14:textId="77777777" w:rsidR="00E07A7F" w:rsidRDefault="00E07A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0B847" w14:textId="77777777" w:rsidR="000849D5" w:rsidRDefault="000849D5" w:rsidP="000849D5">
    <w:pPr>
      <w:spacing w:after="0"/>
      <w:rPr>
        <w:rFonts w:ascii="Verdana" w:hAnsi="Verdana"/>
        <w:b/>
        <w:bCs/>
        <w:sz w:val="20"/>
        <w:szCs w:val="20"/>
      </w:rPr>
    </w:pPr>
  </w:p>
  <w:p w14:paraId="7C5A515C"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FF020E5"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2A2ACF61"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47627C14"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283EDBD1" w14:textId="77777777" w:rsidR="000849D5" w:rsidRPr="007D04B2" w:rsidRDefault="000849D5" w:rsidP="000849D5">
    <w:pPr>
      <w:pStyle w:val="Piedepgina"/>
    </w:pPr>
  </w:p>
  <w:p w14:paraId="0E839E85"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62AE4" w14:textId="77777777" w:rsidR="00E07A7F" w:rsidRDefault="00E07A7F" w:rsidP="00B30448">
      <w:pPr>
        <w:spacing w:after="0" w:line="240" w:lineRule="auto"/>
      </w:pPr>
      <w:r>
        <w:separator/>
      </w:r>
    </w:p>
  </w:footnote>
  <w:footnote w:type="continuationSeparator" w:id="0">
    <w:p w14:paraId="60A01597" w14:textId="77777777" w:rsidR="00E07A7F" w:rsidRDefault="00E07A7F" w:rsidP="00B30448">
      <w:pPr>
        <w:spacing w:after="0" w:line="240" w:lineRule="auto"/>
      </w:pPr>
      <w:r>
        <w:continuationSeparator/>
      </w:r>
    </w:p>
  </w:footnote>
  <w:footnote w:type="continuationNotice" w:id="1">
    <w:p w14:paraId="7740A054" w14:textId="77777777" w:rsidR="00E07A7F" w:rsidRDefault="00E07A7F">
      <w:pPr>
        <w:spacing w:after="0" w:line="240" w:lineRule="auto"/>
      </w:pPr>
    </w:p>
  </w:footnote>
  <w:footnote w:id="2">
    <w:p w14:paraId="07667FAA" w14:textId="77777777" w:rsidR="00BB3C39" w:rsidRPr="003A2C10" w:rsidRDefault="00BB3C39" w:rsidP="00BB3C39">
      <w:pPr>
        <w:spacing w:after="0" w:line="240" w:lineRule="auto"/>
        <w:ind w:firstLine="708"/>
        <w:jc w:val="both"/>
        <w:rPr>
          <w:rFonts w:ascii="Verdana" w:hAnsi="Verdana" w:cs="Arial"/>
          <w:sz w:val="16"/>
          <w:szCs w:val="16"/>
        </w:rPr>
      </w:pPr>
      <w:r w:rsidRPr="003A2C10">
        <w:rPr>
          <w:rStyle w:val="Refdenotaalpie"/>
          <w:rFonts w:ascii="Verdana" w:hAnsi="Verdana" w:cs="Arial"/>
          <w:sz w:val="16"/>
          <w:szCs w:val="16"/>
        </w:rPr>
        <w:footnoteRef/>
      </w:r>
      <w:r w:rsidRPr="003A2C10">
        <w:rPr>
          <w:rFonts w:ascii="Verdana" w:hAnsi="Verdana" w:cs="Arial"/>
          <w:position w:val="6"/>
          <w:sz w:val="16"/>
          <w:szCs w:val="16"/>
        </w:rPr>
        <w:t xml:space="preserve"> </w:t>
      </w:r>
      <w:r w:rsidRPr="003A2C10">
        <w:rPr>
          <w:rFonts w:ascii="Verdana" w:hAnsi="Verdana" w:cs="Arial"/>
          <w:sz w:val="16"/>
          <w:szCs w:val="16"/>
        </w:rPr>
        <w:t>DEIK ACOSTAMADIEDO, Carolina, Guía de Contratación Estatal: Deber de planeación y modalidades de selección, Buenos Aires, 2015, p. 59.</w:t>
      </w:r>
    </w:p>
    <w:p w14:paraId="023C503D" w14:textId="77777777" w:rsidR="00BB3C39" w:rsidRPr="003A2C10" w:rsidRDefault="00BB3C39" w:rsidP="00BB3C39">
      <w:pPr>
        <w:pStyle w:val="Textonotapie"/>
        <w:jc w:val="both"/>
        <w:rPr>
          <w:rFonts w:ascii="Verdana" w:hAnsi="Verdana" w:cs="Arial"/>
          <w:sz w:val="16"/>
          <w:szCs w:val="16"/>
        </w:rPr>
      </w:pPr>
    </w:p>
  </w:footnote>
  <w:footnote w:id="3">
    <w:p w14:paraId="5EDEDF78" w14:textId="77777777" w:rsidR="00BB3C39" w:rsidRPr="007C130F" w:rsidRDefault="00BB3C39" w:rsidP="00BB3C39">
      <w:pPr>
        <w:spacing w:after="0" w:line="240" w:lineRule="auto"/>
        <w:ind w:firstLine="707"/>
        <w:contextualSpacing/>
        <w:jc w:val="both"/>
        <w:rPr>
          <w:rFonts w:ascii="Arial" w:hAnsi="Arial" w:cs="Arial"/>
          <w:sz w:val="14"/>
          <w:szCs w:val="14"/>
        </w:rPr>
      </w:pPr>
      <w:r w:rsidRPr="007C130F">
        <w:rPr>
          <w:rStyle w:val="Refdenotaalpie"/>
          <w:rFonts w:ascii="Arial" w:hAnsi="Arial" w:cs="Arial"/>
          <w:sz w:val="14"/>
          <w:szCs w:val="14"/>
        </w:rPr>
        <w:footnoteRef/>
      </w:r>
      <w:r w:rsidRPr="007C130F">
        <w:rPr>
          <w:rFonts w:ascii="Arial" w:hAnsi="Arial" w:cs="Arial"/>
          <w:position w:val="6"/>
          <w:sz w:val="14"/>
          <w:szCs w:val="14"/>
        </w:rPr>
        <w:t xml:space="preserve"> </w:t>
      </w:r>
      <w:r w:rsidRPr="007C130F">
        <w:rPr>
          <w:rFonts w:ascii="Arial" w:hAnsi="Arial" w:cs="Arial"/>
          <w:sz w:val="14"/>
          <w:szCs w:val="14"/>
        </w:rPr>
        <w:t>DEIK ACOSTAMADIEDO, Carolina, Guía de Contratación Estatal: Deber de planeación y modalidades de selección, Buenos Aires, 2015, p. 59.</w:t>
      </w:r>
    </w:p>
    <w:p w14:paraId="272FD7FD" w14:textId="77777777" w:rsidR="00BB3C39" w:rsidRPr="007C130F" w:rsidRDefault="00BB3C39" w:rsidP="00BB3C39">
      <w:pPr>
        <w:pStyle w:val="Textonotapie"/>
        <w:contextualSpacing/>
        <w:jc w:val="both"/>
        <w:rPr>
          <w:rFonts w:ascii="Arial" w:hAnsi="Arial" w:cs="Arial"/>
          <w:sz w:val="14"/>
          <w:szCs w:val="14"/>
        </w:rPr>
      </w:pPr>
    </w:p>
  </w:footnote>
  <w:footnote w:id="4">
    <w:p w14:paraId="717DC3C6" w14:textId="77777777" w:rsidR="00BB3C39" w:rsidRPr="00797430" w:rsidRDefault="00BB3C39" w:rsidP="00BB3C39">
      <w:pPr>
        <w:pStyle w:val="Textonotapie"/>
        <w:ind w:firstLine="709"/>
        <w:jc w:val="both"/>
        <w:rPr>
          <w:rFonts w:ascii="Verdana" w:hAnsi="Verdana" w:cs="Arial"/>
          <w:color w:val="000000" w:themeColor="text1"/>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w:t>
      </w:r>
      <w:r w:rsidRPr="00797430">
        <w:rPr>
          <w:rFonts w:ascii="Verdana" w:hAnsi="Verdana" w:cs="Arial"/>
          <w:sz w:val="14"/>
          <w:szCs w:val="14"/>
          <w:lang w:val="es-CO"/>
        </w:rPr>
        <w:t xml:space="preserve">La Versión 02 de esta Guía fue adoptada el 24 de junio de 2022. Disponible en </w:t>
      </w:r>
      <w:hyperlink r:id="rId1" w:history="1">
        <w:r w:rsidRPr="00797430">
          <w:rPr>
            <w:rStyle w:val="Hipervnculo"/>
            <w:rFonts w:ascii="Verdana" w:hAnsi="Verdana" w:cs="Arial"/>
            <w:color w:val="000000" w:themeColor="text1"/>
            <w:sz w:val="14"/>
            <w:szCs w:val="14"/>
          </w:rPr>
          <w:t>https://colombiacompra.gov.co/sites/cce_public/files/cce_documentos/cce-eicp-gi-18._gees_v.2_2.pdf</w:t>
        </w:r>
      </w:hyperlink>
      <w:r w:rsidRPr="00797430">
        <w:rPr>
          <w:rFonts w:ascii="Verdana" w:hAnsi="Verdana" w:cs="Arial"/>
          <w:color w:val="000000" w:themeColor="text1"/>
          <w:sz w:val="14"/>
          <w:szCs w:val="14"/>
        </w:rPr>
        <w:t xml:space="preserve">  </w:t>
      </w:r>
    </w:p>
    <w:p w14:paraId="00CC6BFC" w14:textId="77777777" w:rsidR="00BB3C39" w:rsidRPr="00797430" w:rsidRDefault="00BB3C39" w:rsidP="00BB3C39">
      <w:pPr>
        <w:pStyle w:val="Textonotapie"/>
        <w:ind w:firstLine="709"/>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BEDDF"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4CD2E4FC" wp14:editId="51A77A9A">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211744BB" wp14:editId="14B48B2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8C1511D" w14:textId="77777777" w:rsidR="00515FB5" w:rsidRDefault="00515FB5" w:rsidP="00515FB5">
    <w:pPr>
      <w:pStyle w:val="Encabezado"/>
    </w:pPr>
  </w:p>
  <w:p w14:paraId="35471E63" w14:textId="77777777" w:rsidR="00515FB5" w:rsidRPr="00AB7B56" w:rsidRDefault="00515FB5" w:rsidP="00515FB5">
    <w:pPr>
      <w:pStyle w:val="Encabezado"/>
    </w:pPr>
  </w:p>
  <w:p w14:paraId="04659EF3"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6CA6EB2"/>
    <w:multiLevelType w:val="multilevel"/>
    <w:tmpl w:val="CFE4E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32324137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D06"/>
    <w:rsid w:val="000016F3"/>
    <w:rsid w:val="000037AE"/>
    <w:rsid w:val="00005BB0"/>
    <w:rsid w:val="0001025F"/>
    <w:rsid w:val="0001222D"/>
    <w:rsid w:val="000135EB"/>
    <w:rsid w:val="00015D2B"/>
    <w:rsid w:val="00031584"/>
    <w:rsid w:val="00032A0E"/>
    <w:rsid w:val="00037347"/>
    <w:rsid w:val="000442CC"/>
    <w:rsid w:val="000556D4"/>
    <w:rsid w:val="00065522"/>
    <w:rsid w:val="000716AB"/>
    <w:rsid w:val="00082E4C"/>
    <w:rsid w:val="000849D5"/>
    <w:rsid w:val="0008528F"/>
    <w:rsid w:val="00096848"/>
    <w:rsid w:val="000A6E0C"/>
    <w:rsid w:val="000A7A56"/>
    <w:rsid w:val="000B1FF7"/>
    <w:rsid w:val="000B2513"/>
    <w:rsid w:val="000B4024"/>
    <w:rsid w:val="000C3C51"/>
    <w:rsid w:val="000C7262"/>
    <w:rsid w:val="000D2A7F"/>
    <w:rsid w:val="000D4FCE"/>
    <w:rsid w:val="0011037E"/>
    <w:rsid w:val="001363C7"/>
    <w:rsid w:val="00141AC5"/>
    <w:rsid w:val="00144C62"/>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4A36"/>
    <w:rsid w:val="001D62FF"/>
    <w:rsid w:val="001F3F48"/>
    <w:rsid w:val="002000AA"/>
    <w:rsid w:val="00204109"/>
    <w:rsid w:val="00211E6E"/>
    <w:rsid w:val="00212A46"/>
    <w:rsid w:val="0021401D"/>
    <w:rsid w:val="002146B8"/>
    <w:rsid w:val="00215516"/>
    <w:rsid w:val="0021576B"/>
    <w:rsid w:val="002527C2"/>
    <w:rsid w:val="00270443"/>
    <w:rsid w:val="00270EE2"/>
    <w:rsid w:val="00272972"/>
    <w:rsid w:val="00273C63"/>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1BD9"/>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0D06"/>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5B98"/>
    <w:rsid w:val="00777666"/>
    <w:rsid w:val="0078159B"/>
    <w:rsid w:val="00782E10"/>
    <w:rsid w:val="0078706B"/>
    <w:rsid w:val="00790836"/>
    <w:rsid w:val="00797131"/>
    <w:rsid w:val="007A3C1D"/>
    <w:rsid w:val="007A6E31"/>
    <w:rsid w:val="007B285D"/>
    <w:rsid w:val="007C6BC6"/>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38E8"/>
    <w:rsid w:val="008F584A"/>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1820"/>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2B14"/>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B3C39"/>
    <w:rsid w:val="00BC7632"/>
    <w:rsid w:val="00BD48A9"/>
    <w:rsid w:val="00BD630F"/>
    <w:rsid w:val="00BD7EC6"/>
    <w:rsid w:val="00BE73FA"/>
    <w:rsid w:val="00BF6B4B"/>
    <w:rsid w:val="00C0174E"/>
    <w:rsid w:val="00C0245C"/>
    <w:rsid w:val="00C0511C"/>
    <w:rsid w:val="00C20ACF"/>
    <w:rsid w:val="00C22307"/>
    <w:rsid w:val="00C23469"/>
    <w:rsid w:val="00C23EDA"/>
    <w:rsid w:val="00C30C62"/>
    <w:rsid w:val="00C371DF"/>
    <w:rsid w:val="00C42055"/>
    <w:rsid w:val="00C44B4C"/>
    <w:rsid w:val="00C46734"/>
    <w:rsid w:val="00C47A86"/>
    <w:rsid w:val="00C50441"/>
    <w:rsid w:val="00C53220"/>
    <w:rsid w:val="00CA3347"/>
    <w:rsid w:val="00CC299A"/>
    <w:rsid w:val="00CD03E3"/>
    <w:rsid w:val="00CE6BDA"/>
    <w:rsid w:val="00CF1E56"/>
    <w:rsid w:val="00D02457"/>
    <w:rsid w:val="00D03DBE"/>
    <w:rsid w:val="00D072C0"/>
    <w:rsid w:val="00D34C82"/>
    <w:rsid w:val="00D3757A"/>
    <w:rsid w:val="00D504A9"/>
    <w:rsid w:val="00D5206D"/>
    <w:rsid w:val="00D7177D"/>
    <w:rsid w:val="00D81311"/>
    <w:rsid w:val="00D925BB"/>
    <w:rsid w:val="00DB201E"/>
    <w:rsid w:val="00DC0E68"/>
    <w:rsid w:val="00DD25ED"/>
    <w:rsid w:val="00DE0D6E"/>
    <w:rsid w:val="00E07A7F"/>
    <w:rsid w:val="00E1610C"/>
    <w:rsid w:val="00E16D73"/>
    <w:rsid w:val="00E23E9E"/>
    <w:rsid w:val="00E25722"/>
    <w:rsid w:val="00E27F0A"/>
    <w:rsid w:val="00E341EF"/>
    <w:rsid w:val="00E4231E"/>
    <w:rsid w:val="00E4302C"/>
    <w:rsid w:val="00E44AC7"/>
    <w:rsid w:val="00E45F4B"/>
    <w:rsid w:val="00E60A16"/>
    <w:rsid w:val="00E72D20"/>
    <w:rsid w:val="00E82B6E"/>
    <w:rsid w:val="00E85E49"/>
    <w:rsid w:val="00E94258"/>
    <w:rsid w:val="00E96C18"/>
    <w:rsid w:val="00EA2E61"/>
    <w:rsid w:val="00EA7D7F"/>
    <w:rsid w:val="00EB02F4"/>
    <w:rsid w:val="00EB2FA2"/>
    <w:rsid w:val="00EB769A"/>
    <w:rsid w:val="00EC1117"/>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0637"/>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8C9D7E"/>
  <w15:docId w15:val="{B9335856-5E9F-FF4E-88AF-93D02C484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C39"/>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citation-86">
    <w:name w:val="citation-86"/>
    <w:basedOn w:val="Fuentedeprrafopredeter"/>
    <w:rsid w:val="00BB3C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os/cce-eicp-gi-18._gees_v.2_2.pdf"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uanseolaya@gmail.com"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4249</Words>
  <Characters>23373</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Andreina Cerpa Muñoz</cp:lastModifiedBy>
  <cp:revision>4</cp:revision>
  <dcterms:created xsi:type="dcterms:W3CDTF">2025-06-11T18:56:00Z</dcterms:created>
  <dcterms:modified xsi:type="dcterms:W3CDTF">2025-10-10T16:25:00Z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