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79B5A0" w14:textId="77777777" w:rsidR="00EA6F8B" w:rsidRPr="0023684A" w:rsidRDefault="00EA6F8B" w:rsidP="00EA6F8B">
      <w:pPr>
        <w:spacing w:after="0" w:line="240" w:lineRule="auto"/>
        <w:jc w:val="both"/>
        <w:rPr>
          <w:rFonts w:ascii="Verdana" w:eastAsia="Aptos" w:hAnsi="Verdana" w:cs="Times New Roman"/>
          <w:sz w:val="20"/>
          <w:szCs w:val="20"/>
          <w:highlight w:val="yellow"/>
        </w:rPr>
      </w:pPr>
      <w:bookmarkStart w:id="0" w:name="_Hlk181166130"/>
      <w:bookmarkStart w:id="1" w:name="_Hlk143780582"/>
    </w:p>
    <w:p w14:paraId="5D390129" w14:textId="7D41CBCC" w:rsidR="00072912" w:rsidRPr="00072912" w:rsidRDefault="00072912" w:rsidP="00072912">
      <w:pPr>
        <w:spacing w:after="0"/>
        <w:jc w:val="both"/>
        <w:rPr>
          <w:rFonts w:ascii="Verdana" w:hAnsi="Verdana"/>
        </w:rPr>
      </w:pPr>
      <w:r w:rsidRPr="00072912">
        <w:rPr>
          <w:rFonts w:ascii="Verdana" w:hAnsi="Verdana"/>
          <w:b/>
          <w:bCs/>
        </w:rPr>
        <w:t>PRINCIPIO DE SELECCIÓN OBJETIVA – Fundamento – Alcance – Beneficios</w:t>
      </w:r>
      <w:r>
        <w:rPr>
          <w:rFonts w:ascii="Verdana" w:hAnsi="Verdana"/>
          <w:b/>
          <w:bCs/>
        </w:rPr>
        <w:t>.</w:t>
      </w:r>
    </w:p>
    <w:p w14:paraId="6EEE779B" w14:textId="77777777" w:rsidR="00072912" w:rsidRPr="00072912" w:rsidRDefault="00072912" w:rsidP="00072912">
      <w:pPr>
        <w:spacing w:after="0"/>
        <w:jc w:val="both"/>
        <w:rPr>
          <w:rFonts w:ascii="Verdana" w:hAnsi="Verdana"/>
          <w:sz w:val="20"/>
          <w:szCs w:val="20"/>
        </w:rPr>
      </w:pPr>
    </w:p>
    <w:p w14:paraId="4D6F5CDC" w14:textId="77777777" w:rsidR="00072912" w:rsidRPr="00072912" w:rsidRDefault="00072912" w:rsidP="00072912">
      <w:pPr>
        <w:spacing w:after="0"/>
        <w:jc w:val="both"/>
        <w:rPr>
          <w:rFonts w:ascii="Verdana" w:hAnsi="Verdana"/>
          <w:sz w:val="20"/>
          <w:szCs w:val="20"/>
        </w:rPr>
      </w:pPr>
      <w:r w:rsidRPr="00072912">
        <w:rPr>
          <w:rFonts w:ascii="Verdana" w:hAnsi="Verdana"/>
          <w:sz w:val="20"/>
          <w:szCs w:val="20"/>
        </w:rPr>
        <w:t>El principio de selección objetiva es un postulado que debe orientar la escogencia del futuro contratista del Estado en los procedimientos de selección adelantados por las entidades públicas, que se traduce en la exigencia de que la elección no esté basada en apreciaciones o factores subjetivos, sino en criterios objetivos, de carácter técnico, jurídico y financiero. En tal sentido, se trata de un principio que se deriva, en el ordenamiento jurídico colombiano, de principios como la igualdad (art. 13, C.P.) y la buena fe –manifestada en la confianza legítima– (art. 83 C.P.), así como de los principios de la función administrativa y de la gestión fiscal (arts. 209 y 267 C.P.). Dicho principio rector de los procedimientos de selección, además, encuentra fundamentación legal expresa e importancia para la transparencia, en disposiciones como el artículo 24, numeral 5º, literal a) de la Ley 80 de 1993, que regula el principio de transparencia, y que exige incorporar requisitos objetivos en los pliegos de condiciones; el artículo 24, numeral 5º, literal b) de la misma Ley, que manda que en el pliego se definan “reglas objetivas, justas, claras y completas que permitan la confección de ofrecimientos de la misma índole, aseguren una escogencia objetiva y eviten la declaratoria de desierta de la licitación”; y, de forma más clara profunda y clara, el artículo 5º de la Ley 1150 de 2007, cuyo primer inciso dispone que “Es objetiva la selección en la cual la escogencia se haga al ofrecimiento más favorable a la entidad y a los fines que ella busca, sin tener en consideración factores de afecto o de interés y, en general, cualquier clase de motivación subjetiva”.</w:t>
      </w:r>
    </w:p>
    <w:p w14:paraId="444A3EF6" w14:textId="77777777" w:rsidR="00072912" w:rsidRPr="00072912" w:rsidRDefault="00072912" w:rsidP="00072912">
      <w:pPr>
        <w:spacing w:after="0"/>
        <w:jc w:val="both"/>
        <w:rPr>
          <w:rFonts w:ascii="Verdana" w:hAnsi="Verdana"/>
          <w:sz w:val="20"/>
          <w:szCs w:val="20"/>
        </w:rPr>
      </w:pPr>
    </w:p>
    <w:p w14:paraId="6F5E3171" w14:textId="77777777" w:rsidR="00072912" w:rsidRPr="00072912" w:rsidRDefault="00072912" w:rsidP="00072912">
      <w:pPr>
        <w:spacing w:after="0"/>
        <w:jc w:val="both"/>
        <w:rPr>
          <w:rFonts w:ascii="Verdana" w:hAnsi="Verdana"/>
          <w:sz w:val="20"/>
          <w:szCs w:val="20"/>
        </w:rPr>
      </w:pPr>
      <w:r w:rsidRPr="00072912">
        <w:rPr>
          <w:rFonts w:ascii="Verdana" w:hAnsi="Verdana"/>
          <w:sz w:val="20"/>
          <w:szCs w:val="20"/>
        </w:rPr>
        <w:t>Respecto de los beneficios del principio de selección objetiva, para las entidades estatales se debe tener en cuenta que este principio está ligado a la determinación del ofrecimiento más favorable, cuyo contenido debe ser precisado a partir de las diferentes alternativas del artículo 5 de la Ley 1150 de 2007, reglamentado por el artículo 2.2.1.1.2.2.2 del Decreto 1082 de 2015; en ese sentido se asegura que la entidad obtenga la mejor oferta para satisfacer su necesidad. Los beneficios para los proponentes radican en que, para garantizar el principio de selección objetiva, también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permitir la subsanación de los requisitos de participación, bajo las condiciones indicadas en la ley, antes de tomar la decisión de rechazar las propuestas que hayan omitido la observancia de los requisitos habilitantes.</w:t>
      </w:r>
    </w:p>
    <w:p w14:paraId="2EB1C550" w14:textId="77777777" w:rsidR="00EA6F8B" w:rsidRDefault="00EA6F8B" w:rsidP="00EA6F8B">
      <w:pPr>
        <w:spacing w:after="0" w:line="240" w:lineRule="auto"/>
        <w:jc w:val="both"/>
        <w:rPr>
          <w:rFonts w:ascii="Verdana" w:eastAsia="Aptos" w:hAnsi="Verdana" w:cs="Times New Roman"/>
          <w:sz w:val="20"/>
          <w:szCs w:val="20"/>
        </w:rPr>
      </w:pPr>
    </w:p>
    <w:p w14:paraId="74EB5205" w14:textId="77777777" w:rsidR="00EA6F8B" w:rsidRDefault="00EA6F8B" w:rsidP="00EA6F8B">
      <w:pPr>
        <w:spacing w:after="0" w:line="240" w:lineRule="auto"/>
        <w:jc w:val="both"/>
        <w:rPr>
          <w:rFonts w:ascii="Verdana" w:eastAsia="Aptos" w:hAnsi="Verdana" w:cs="Times New Roman"/>
          <w:sz w:val="20"/>
          <w:szCs w:val="20"/>
        </w:rPr>
      </w:pPr>
    </w:p>
    <w:p w14:paraId="5D485C08" w14:textId="55373955" w:rsidR="00072912" w:rsidRPr="002C379A" w:rsidRDefault="00072912" w:rsidP="00072912">
      <w:pPr>
        <w:spacing w:after="0" w:line="240" w:lineRule="auto"/>
        <w:jc w:val="both"/>
        <w:rPr>
          <w:rFonts w:ascii="Verdana" w:hAnsi="Verdana" w:cs="Arial"/>
          <w:b/>
          <w:bCs/>
          <w:lang w:val="es-ES" w:eastAsia="es-ES"/>
        </w:rPr>
      </w:pPr>
      <w:r w:rsidRPr="00C052F8">
        <w:rPr>
          <w:rFonts w:ascii="Verdana" w:hAnsi="Verdana" w:cs="Arial"/>
          <w:b/>
          <w:bCs/>
          <w:lang w:val="es-ES" w:eastAsia="es-ES"/>
        </w:rPr>
        <w:t>ACUERDOS MARCO DE PRECIOS – Obligatoriedad –Bienes y servicios de características uniformes y común utilización –Bienes y servicios no uniformes de común utilización</w:t>
      </w:r>
      <w:r>
        <w:rPr>
          <w:rFonts w:ascii="Verdana" w:hAnsi="Verdana" w:cs="Arial"/>
          <w:b/>
          <w:bCs/>
          <w:lang w:val="es-ES" w:eastAsia="es-ES"/>
        </w:rPr>
        <w:t>.</w:t>
      </w:r>
      <w:r w:rsidRPr="00C052F8">
        <w:rPr>
          <w:rFonts w:ascii="Verdana" w:hAnsi="Verdana" w:cs="Arial"/>
          <w:b/>
          <w:bCs/>
          <w:lang w:val="es-ES" w:eastAsia="es-ES"/>
        </w:rPr>
        <w:t xml:space="preserve"> </w:t>
      </w:r>
    </w:p>
    <w:p w14:paraId="3BFF78AC" w14:textId="77777777" w:rsidR="00072912" w:rsidRDefault="00072912" w:rsidP="00072912">
      <w:pPr>
        <w:spacing w:after="0" w:line="240" w:lineRule="auto"/>
        <w:jc w:val="both"/>
        <w:rPr>
          <w:rFonts w:ascii="Verdana" w:eastAsia="Calibri" w:hAnsi="Verdana" w:cs="Arial"/>
          <w:bCs/>
          <w:color w:val="000000" w:themeColor="text1"/>
          <w:sz w:val="20"/>
          <w:szCs w:val="20"/>
        </w:rPr>
      </w:pPr>
    </w:p>
    <w:p w14:paraId="52C52930" w14:textId="77777777" w:rsidR="00072912" w:rsidRPr="00C052F8" w:rsidRDefault="00072912" w:rsidP="00072912">
      <w:pPr>
        <w:spacing w:after="0" w:line="240" w:lineRule="auto"/>
        <w:jc w:val="both"/>
        <w:rPr>
          <w:rFonts w:ascii="Verdana" w:eastAsia="Calibri" w:hAnsi="Verdana" w:cs="Arial"/>
          <w:bCs/>
          <w:color w:val="000000" w:themeColor="text1"/>
          <w:sz w:val="20"/>
          <w:szCs w:val="20"/>
        </w:rPr>
      </w:pPr>
      <w:r w:rsidRPr="00C052F8">
        <w:rPr>
          <w:rFonts w:ascii="Verdana" w:eastAsia="Calibri" w:hAnsi="Verdana" w:cs="Arial"/>
          <w:bCs/>
          <w:color w:val="000000" w:themeColor="text1"/>
          <w:sz w:val="20"/>
          <w:szCs w:val="20"/>
          <w:lang w:val="es-ES"/>
        </w:rPr>
        <w:lastRenderedPageBreak/>
        <w:t xml:space="preserve">Se precisa pues, que los Acuerdos Marco de Precios como instrumentos de agregación de demanda se aplican de forma obligatoria </w:t>
      </w:r>
      <w:proofErr w:type="gramStart"/>
      <w:r w:rsidRPr="00C052F8">
        <w:rPr>
          <w:rFonts w:ascii="Verdana" w:eastAsia="Calibri" w:hAnsi="Verdana" w:cs="Arial"/>
          <w:bCs/>
          <w:color w:val="000000" w:themeColor="text1"/>
          <w:sz w:val="20"/>
          <w:szCs w:val="20"/>
          <w:lang w:val="es-ES"/>
        </w:rPr>
        <w:t>con la condición que</w:t>
      </w:r>
      <w:proofErr w:type="gramEnd"/>
      <w:r w:rsidRPr="00C052F8">
        <w:rPr>
          <w:rFonts w:ascii="Verdana" w:eastAsia="Calibri" w:hAnsi="Verdana" w:cs="Arial"/>
          <w:bCs/>
          <w:color w:val="000000" w:themeColor="text1"/>
          <w:sz w:val="20"/>
          <w:szCs w:val="20"/>
          <w:lang w:val="es-ES"/>
        </w:rPr>
        <w:t xml:space="preserve"> esté un acuerdo marco vigente para la adquisición de bienes y servicios de características uniformes y servicios no uniformes de común utilización, de conformidad con lo dispuesto en el artículo </w:t>
      </w:r>
      <w:r w:rsidRPr="00C052F8">
        <w:rPr>
          <w:rFonts w:ascii="Verdana" w:eastAsia="Calibri" w:hAnsi="Verdana" w:cs="Arial"/>
          <w:bCs/>
          <w:color w:val="000000" w:themeColor="text1"/>
          <w:sz w:val="20"/>
          <w:szCs w:val="20"/>
        </w:rPr>
        <w:t>2.2.1.2.1.2.7. del Decreto 1082 de 2015. En tal sentido, el artículo 2.2.1.2.1.2.9. del Decreto 1082 de 2015 dispone: “[…] Colombia Compra Eficiente debe publicar el Catálogo para Acuerdos Marco de Precios, y la Entidad Estatal en la etapa de planeación del Proceso de Contratación está obligada a verificar si existe un Acuerdo Marco de Precios vigente con el cual la Entidad Estatal pueda satisfacer la necesidad identificada […]”.</w:t>
      </w:r>
    </w:p>
    <w:p w14:paraId="70C9F3F2" w14:textId="77777777" w:rsidR="00072912" w:rsidRDefault="00072912" w:rsidP="00072912">
      <w:pPr>
        <w:spacing w:after="0" w:line="240" w:lineRule="auto"/>
        <w:jc w:val="both"/>
        <w:rPr>
          <w:rFonts w:ascii="Verdana" w:eastAsia="Calibri" w:hAnsi="Verdana" w:cs="Arial"/>
          <w:bCs/>
          <w:color w:val="000000" w:themeColor="text1"/>
          <w:sz w:val="20"/>
          <w:szCs w:val="20"/>
          <w:lang w:val="es-ES"/>
        </w:rPr>
      </w:pPr>
    </w:p>
    <w:p w14:paraId="0EA07F22" w14:textId="2B9FFE17" w:rsidR="00072912" w:rsidRPr="00A104A4" w:rsidRDefault="00072912" w:rsidP="00072912">
      <w:pPr>
        <w:spacing w:after="0" w:line="240" w:lineRule="auto"/>
        <w:jc w:val="both"/>
        <w:rPr>
          <w:rFonts w:ascii="Verdana" w:eastAsia="Calibri" w:hAnsi="Verdana" w:cs="Arial"/>
          <w:b/>
          <w:bCs/>
          <w:color w:val="000000" w:themeColor="text1"/>
          <w:lang w:val="es-ES"/>
        </w:rPr>
      </w:pPr>
      <w:r w:rsidRPr="00A104A4">
        <w:rPr>
          <w:rFonts w:ascii="Verdana" w:eastAsia="Calibri" w:hAnsi="Verdana" w:cs="Arial"/>
          <w:b/>
          <w:bCs/>
          <w:color w:val="000000" w:themeColor="text1"/>
          <w:lang w:val="es-ES"/>
        </w:rPr>
        <w:t>ACUERDOS MARCO DE PRECIOS – Vigencia – Aplicación de las demás modalidades de selecci</w:t>
      </w:r>
      <w:r>
        <w:rPr>
          <w:rFonts w:ascii="Verdana" w:eastAsia="Calibri" w:hAnsi="Verdana" w:cs="Arial"/>
          <w:b/>
          <w:bCs/>
          <w:color w:val="000000" w:themeColor="text1"/>
          <w:lang w:val="es-ES"/>
        </w:rPr>
        <w:t>ón</w:t>
      </w:r>
      <w:r w:rsidRPr="00A104A4">
        <w:rPr>
          <w:rFonts w:ascii="Verdana" w:eastAsia="Calibri" w:hAnsi="Verdana" w:cs="Arial"/>
          <w:b/>
          <w:bCs/>
          <w:color w:val="000000" w:themeColor="text1"/>
          <w:lang w:val="es-ES"/>
        </w:rPr>
        <w:t xml:space="preserve"> </w:t>
      </w:r>
      <w:r>
        <w:rPr>
          <w:rFonts w:ascii="Verdana" w:eastAsia="Calibri" w:hAnsi="Verdana" w:cs="Arial"/>
          <w:b/>
          <w:bCs/>
          <w:color w:val="000000" w:themeColor="text1"/>
          <w:lang w:val="es-ES"/>
        </w:rPr>
        <w:t xml:space="preserve">- </w:t>
      </w:r>
      <w:r w:rsidRPr="00072912">
        <w:rPr>
          <w:rFonts w:ascii="Verdana" w:eastAsia="Calibri" w:hAnsi="Verdana" w:cs="Arial"/>
          <w:b/>
          <w:bCs/>
          <w:color w:val="000000" w:themeColor="text1"/>
          <w:lang w:val="es-ES"/>
        </w:rPr>
        <w:t>contratación servicio de internet</w:t>
      </w:r>
      <w:r>
        <w:rPr>
          <w:rFonts w:ascii="Verdana" w:eastAsia="Calibri" w:hAnsi="Verdana" w:cs="Arial"/>
          <w:b/>
          <w:bCs/>
          <w:color w:val="000000" w:themeColor="text1"/>
          <w:lang w:val="es-ES"/>
        </w:rPr>
        <w:t>-</w:t>
      </w:r>
      <w:r w:rsidRPr="00072912">
        <w:rPr>
          <w:rFonts w:ascii="Verdana" w:eastAsia="Calibri" w:hAnsi="Verdana" w:cs="Arial"/>
          <w:b/>
          <w:bCs/>
          <w:color w:val="000000" w:themeColor="text1"/>
          <w:lang w:val="es-ES"/>
        </w:rPr>
        <w:t>Guía general de los Acuerdos Marco de Precios</w:t>
      </w:r>
      <w:r>
        <w:rPr>
          <w:rFonts w:ascii="Verdana" w:eastAsia="Calibri" w:hAnsi="Verdana" w:cs="Arial"/>
          <w:b/>
          <w:bCs/>
          <w:color w:val="000000" w:themeColor="text1"/>
          <w:lang w:val="es-ES"/>
        </w:rPr>
        <w:t>-</w:t>
      </w:r>
      <w:r w:rsidRPr="00072912">
        <w:rPr>
          <w:rFonts w:ascii="Verdana" w:eastAsia="Calibri" w:hAnsi="Verdana" w:cs="Arial"/>
          <w:b/>
          <w:bCs/>
          <w:color w:val="000000" w:themeColor="text1"/>
          <w:lang w:val="es-ES"/>
        </w:rPr>
        <w:t xml:space="preserve">  </w:t>
      </w:r>
    </w:p>
    <w:p w14:paraId="3E39E456" w14:textId="77777777" w:rsidR="00072912" w:rsidRDefault="00072912" w:rsidP="00072912">
      <w:pPr>
        <w:spacing w:after="0" w:line="240" w:lineRule="auto"/>
        <w:jc w:val="both"/>
        <w:rPr>
          <w:rFonts w:ascii="Verdana" w:eastAsia="Calibri" w:hAnsi="Verdana" w:cs="Arial"/>
          <w:bCs/>
          <w:color w:val="000000" w:themeColor="text1"/>
          <w:sz w:val="20"/>
          <w:szCs w:val="20"/>
          <w:lang w:val="es-ES"/>
        </w:rPr>
      </w:pPr>
    </w:p>
    <w:p w14:paraId="4DF99ECB" w14:textId="77777777" w:rsidR="00072912" w:rsidRPr="00106EF9" w:rsidRDefault="00072912" w:rsidP="00072912">
      <w:pPr>
        <w:spacing w:after="0" w:line="240" w:lineRule="auto"/>
        <w:jc w:val="both"/>
        <w:rPr>
          <w:rFonts w:ascii="Verdana" w:eastAsia="Calibri" w:hAnsi="Verdana" w:cs="Arial"/>
          <w:bCs/>
          <w:color w:val="000000" w:themeColor="text1"/>
          <w:sz w:val="20"/>
          <w:szCs w:val="20"/>
        </w:rPr>
      </w:pPr>
      <w:r w:rsidRPr="00106EF9">
        <w:rPr>
          <w:rFonts w:ascii="Verdana" w:eastAsia="Calibri" w:hAnsi="Verdana" w:cs="Arial"/>
          <w:bCs/>
          <w:color w:val="000000" w:themeColor="text1"/>
          <w:sz w:val="20"/>
          <w:szCs w:val="20"/>
          <w:lang w:val="es-ES"/>
        </w:rPr>
        <w:t xml:space="preserve">En los eventos que no exista un Acuerdo Marco de Precios vigente debe acudirse a la modalidad de selección abreviada mediante subasta inversa o de procedimientos de adquisición en bolsa de productos, de acuerdo a lo dispuesto por el Decreto 1082 de 2015, cuando sea para la adquisición de bienes y servicios de características uniformes y común utilización; y de licitación pública por regla general o en su defecto selección abreviada </w:t>
      </w:r>
      <w:r w:rsidRPr="00106EF9">
        <w:rPr>
          <w:rFonts w:ascii="Verdana" w:eastAsia="Calibri" w:hAnsi="Verdana" w:cs="Arial"/>
          <w:bCs/>
          <w:color w:val="000000" w:themeColor="text1"/>
          <w:sz w:val="20"/>
          <w:szCs w:val="20"/>
        </w:rPr>
        <w:t xml:space="preserve">de menor cuantía cuando se requiera contratar bienes o servicios no uniformes de común utilización por valores que se ubiquen dentro de la menor cuantía de la respectiva Entidad Estatal, teniendo en cuenta los rangos establecidos en el literal b) del numeral 2 del artículo 2 de la Ley 1150 de 2007. En la modalidad de selección abreviada de menor cuantía al igual que en la licitación, la oferta más favorable se determina de acuerdo con lo establecido en el numeral 2 del artículo 5 de la Ley 1150 de 2007, esto es, en atención a la mejor relación calidad-precio. </w:t>
      </w:r>
    </w:p>
    <w:p w14:paraId="02B6805B" w14:textId="77777777" w:rsidR="00EA6F8B" w:rsidRDefault="00EA6F8B" w:rsidP="00EA6F8B">
      <w:pPr>
        <w:spacing w:after="0" w:line="240" w:lineRule="auto"/>
        <w:jc w:val="both"/>
        <w:rPr>
          <w:rFonts w:ascii="Verdana" w:eastAsia="Aptos" w:hAnsi="Verdana" w:cs="Times New Roman"/>
          <w:sz w:val="20"/>
          <w:szCs w:val="20"/>
        </w:rPr>
      </w:pPr>
    </w:p>
    <w:p w14:paraId="30C95654" w14:textId="2D7EB237" w:rsidR="00EA6F8B" w:rsidRDefault="00072912" w:rsidP="00EA6F8B">
      <w:pPr>
        <w:spacing w:after="0" w:line="240" w:lineRule="auto"/>
        <w:jc w:val="both"/>
        <w:rPr>
          <w:rFonts w:ascii="Verdana" w:eastAsia="Aptos" w:hAnsi="Verdana" w:cs="Times New Roman"/>
          <w:sz w:val="20"/>
          <w:szCs w:val="20"/>
        </w:rPr>
      </w:pPr>
      <w:r>
        <w:rPr>
          <w:rFonts w:ascii="Verdana" w:eastAsia="Aptos" w:hAnsi="Verdana" w:cs="Times New Roman"/>
          <w:sz w:val="20"/>
          <w:szCs w:val="20"/>
        </w:rPr>
        <w:t>P</w:t>
      </w:r>
      <w:r w:rsidRPr="00072912">
        <w:rPr>
          <w:rFonts w:ascii="Verdana" w:eastAsia="Aptos" w:hAnsi="Verdana" w:cs="Times New Roman"/>
          <w:sz w:val="20"/>
          <w:szCs w:val="20"/>
        </w:rPr>
        <w:t>ara contratar el servicio de Internet</w:t>
      </w:r>
      <w:r>
        <w:rPr>
          <w:rFonts w:ascii="Verdana" w:eastAsia="Aptos" w:hAnsi="Verdana" w:cs="Times New Roman"/>
          <w:sz w:val="20"/>
          <w:szCs w:val="20"/>
        </w:rPr>
        <w:t xml:space="preserve"> se</w:t>
      </w:r>
      <w:r w:rsidRPr="00072912">
        <w:rPr>
          <w:rFonts w:ascii="Verdana" w:eastAsia="Aptos" w:hAnsi="Verdana" w:cs="Times New Roman"/>
          <w:sz w:val="20"/>
          <w:szCs w:val="20"/>
        </w:rPr>
        <w:t xml:space="preserve"> debe seguir el procedimiento ordinario previsto en la normativa general de contratación, verificar previamente si existe un Acuerdo Marco de Precios vigente en la Tienda Virtual del Estado Colombiano (TVEC), y solo podrá acudir a la contratación directa si se configura una causal legal específica, como la exclusividad.</w:t>
      </w:r>
    </w:p>
    <w:p w14:paraId="1AC857B2" w14:textId="77777777" w:rsidR="00EA6F8B" w:rsidRDefault="00EA6F8B" w:rsidP="00EA6F8B">
      <w:pPr>
        <w:spacing w:after="0" w:line="240" w:lineRule="auto"/>
        <w:jc w:val="both"/>
        <w:rPr>
          <w:rFonts w:ascii="Verdana" w:eastAsia="Aptos" w:hAnsi="Verdana" w:cs="Times New Roman"/>
          <w:sz w:val="20"/>
          <w:szCs w:val="20"/>
        </w:rPr>
      </w:pPr>
    </w:p>
    <w:p w14:paraId="2BF045AE" w14:textId="089B9108" w:rsidR="00EA6F8B" w:rsidRDefault="00072912" w:rsidP="00EA6F8B">
      <w:pPr>
        <w:spacing w:after="0" w:line="240" w:lineRule="auto"/>
        <w:jc w:val="both"/>
        <w:rPr>
          <w:rFonts w:ascii="Verdana" w:eastAsia="Aptos" w:hAnsi="Verdana" w:cs="Times New Roman"/>
          <w:sz w:val="20"/>
          <w:szCs w:val="20"/>
        </w:rPr>
      </w:pPr>
      <w:r w:rsidRPr="00072912">
        <w:rPr>
          <w:rFonts w:ascii="Verdana" w:eastAsia="Aptos" w:hAnsi="Verdana" w:cs="Times New Roman"/>
          <w:sz w:val="20"/>
          <w:szCs w:val="20"/>
        </w:rPr>
        <w:t xml:space="preserve">De igual manera, se recomienda consultar la “Guía general de los Acuerdos Marco de </w:t>
      </w:r>
      <w:proofErr w:type="gramStart"/>
      <w:r w:rsidRPr="00072912">
        <w:rPr>
          <w:rFonts w:ascii="Verdana" w:eastAsia="Aptos" w:hAnsi="Verdana" w:cs="Times New Roman"/>
          <w:sz w:val="20"/>
          <w:szCs w:val="20"/>
        </w:rPr>
        <w:t>Precios”  publicada</w:t>
      </w:r>
      <w:proofErr w:type="gramEnd"/>
      <w:r w:rsidRPr="00072912">
        <w:rPr>
          <w:rFonts w:ascii="Verdana" w:eastAsia="Aptos" w:hAnsi="Verdana" w:cs="Times New Roman"/>
          <w:sz w:val="20"/>
          <w:szCs w:val="20"/>
        </w:rPr>
        <w:t xml:space="preserve"> por Colombia Compra Eficiente por medio de la cual se recomienda orientar a las Entidades Estatales en los procesos de compra, en los diferentes Acuerdos Marco de precio (AMP) o Instrumentos de Agregación de Demanda (IAD).</w:t>
      </w:r>
    </w:p>
    <w:p w14:paraId="1937F598" w14:textId="77777777" w:rsidR="00EA6F8B" w:rsidRDefault="00EA6F8B" w:rsidP="00EA6F8B">
      <w:pPr>
        <w:spacing w:after="0" w:line="240" w:lineRule="auto"/>
        <w:jc w:val="both"/>
        <w:rPr>
          <w:rFonts w:ascii="Verdana" w:eastAsia="Aptos" w:hAnsi="Verdana" w:cs="Times New Roman"/>
          <w:sz w:val="20"/>
          <w:szCs w:val="20"/>
        </w:rPr>
      </w:pPr>
    </w:p>
    <w:p w14:paraId="2233B622" w14:textId="77777777" w:rsidR="00EA6F8B" w:rsidRDefault="00EA6F8B" w:rsidP="00EA6F8B">
      <w:pPr>
        <w:spacing w:after="0" w:line="240" w:lineRule="auto"/>
        <w:jc w:val="both"/>
        <w:rPr>
          <w:rFonts w:ascii="Verdana" w:eastAsia="Aptos" w:hAnsi="Verdana" w:cs="Times New Roman"/>
          <w:sz w:val="20"/>
          <w:szCs w:val="20"/>
        </w:rPr>
      </w:pPr>
    </w:p>
    <w:p w14:paraId="686C6849" w14:textId="77777777" w:rsidR="00EA6F8B" w:rsidRDefault="00EA6F8B" w:rsidP="00EA6F8B">
      <w:pPr>
        <w:spacing w:after="0" w:line="240" w:lineRule="auto"/>
        <w:jc w:val="both"/>
        <w:rPr>
          <w:rFonts w:ascii="Verdana" w:eastAsia="Aptos" w:hAnsi="Verdana" w:cs="Times New Roman"/>
          <w:sz w:val="20"/>
          <w:szCs w:val="20"/>
        </w:rPr>
      </w:pPr>
    </w:p>
    <w:p w14:paraId="370191E2" w14:textId="77777777" w:rsidR="00EA6F8B" w:rsidRDefault="00EA6F8B" w:rsidP="00EA6F8B">
      <w:pPr>
        <w:spacing w:after="0" w:line="240" w:lineRule="auto"/>
        <w:jc w:val="both"/>
        <w:rPr>
          <w:rFonts w:ascii="Verdana" w:eastAsia="Aptos" w:hAnsi="Verdana" w:cs="Times New Roman"/>
          <w:sz w:val="20"/>
          <w:szCs w:val="20"/>
        </w:rPr>
      </w:pPr>
    </w:p>
    <w:p w14:paraId="52465BE0" w14:textId="77777777" w:rsidR="00EA6F8B" w:rsidRDefault="00EA6F8B" w:rsidP="00EA6F8B">
      <w:pPr>
        <w:spacing w:after="0" w:line="240" w:lineRule="auto"/>
        <w:jc w:val="both"/>
        <w:rPr>
          <w:rFonts w:ascii="Verdana" w:eastAsia="Aptos" w:hAnsi="Verdana" w:cs="Times New Roman"/>
          <w:sz w:val="20"/>
          <w:szCs w:val="20"/>
        </w:rPr>
      </w:pPr>
    </w:p>
    <w:p w14:paraId="703F72DE" w14:textId="77777777" w:rsidR="00EA6F8B" w:rsidRDefault="00EA6F8B" w:rsidP="00EA6F8B">
      <w:pPr>
        <w:spacing w:after="0" w:line="240" w:lineRule="auto"/>
        <w:jc w:val="both"/>
        <w:rPr>
          <w:rFonts w:ascii="Verdana" w:eastAsia="Aptos" w:hAnsi="Verdana" w:cs="Times New Roman"/>
          <w:sz w:val="20"/>
          <w:szCs w:val="20"/>
        </w:rPr>
      </w:pPr>
    </w:p>
    <w:p w14:paraId="2080E632" w14:textId="77777777" w:rsidR="00072912" w:rsidRDefault="00072912" w:rsidP="00EA6F8B">
      <w:pPr>
        <w:spacing w:after="0" w:line="240" w:lineRule="auto"/>
        <w:jc w:val="both"/>
        <w:rPr>
          <w:rFonts w:ascii="Verdana" w:eastAsia="Aptos" w:hAnsi="Verdana" w:cs="Times New Roman"/>
          <w:sz w:val="20"/>
          <w:szCs w:val="20"/>
        </w:rPr>
      </w:pPr>
    </w:p>
    <w:p w14:paraId="3B7E7456" w14:textId="77777777" w:rsidR="00072912" w:rsidRDefault="00072912" w:rsidP="00EA6F8B">
      <w:pPr>
        <w:spacing w:after="0" w:line="240" w:lineRule="auto"/>
        <w:jc w:val="both"/>
        <w:rPr>
          <w:rFonts w:ascii="Verdana" w:eastAsia="Aptos" w:hAnsi="Verdana" w:cs="Times New Roman"/>
          <w:sz w:val="20"/>
          <w:szCs w:val="20"/>
        </w:rPr>
      </w:pPr>
    </w:p>
    <w:p w14:paraId="4D26AE53" w14:textId="77777777" w:rsidR="00EA6F8B" w:rsidRDefault="00EA6F8B" w:rsidP="00EA6F8B">
      <w:pPr>
        <w:spacing w:after="0" w:line="240" w:lineRule="auto"/>
        <w:jc w:val="both"/>
        <w:rPr>
          <w:rFonts w:ascii="Verdana" w:eastAsia="Aptos" w:hAnsi="Verdana" w:cs="Times New Roman"/>
          <w:sz w:val="20"/>
          <w:szCs w:val="20"/>
        </w:rPr>
      </w:pPr>
    </w:p>
    <w:p w14:paraId="5FFA93C5" w14:textId="77777777" w:rsidR="00EA6F8B" w:rsidRDefault="00EA6F8B" w:rsidP="00EA6F8B">
      <w:pPr>
        <w:spacing w:after="0" w:line="240" w:lineRule="auto"/>
        <w:jc w:val="both"/>
        <w:rPr>
          <w:rFonts w:ascii="Verdana" w:eastAsia="Aptos" w:hAnsi="Verdana" w:cs="Times New Roman"/>
          <w:sz w:val="20"/>
          <w:szCs w:val="20"/>
        </w:rPr>
      </w:pPr>
    </w:p>
    <w:p w14:paraId="2B03E2CE" w14:textId="77777777" w:rsidR="00EA6F8B" w:rsidRDefault="00EA6F8B" w:rsidP="00EA6F8B">
      <w:pPr>
        <w:spacing w:after="0" w:line="240" w:lineRule="auto"/>
        <w:jc w:val="both"/>
        <w:rPr>
          <w:rFonts w:ascii="Verdana" w:eastAsia="Aptos" w:hAnsi="Verdana" w:cs="Times New Roman"/>
          <w:sz w:val="20"/>
          <w:szCs w:val="20"/>
        </w:rPr>
      </w:pPr>
    </w:p>
    <w:p w14:paraId="4F20C470" w14:textId="77777777" w:rsidR="00EA6F8B" w:rsidRDefault="00EA6F8B" w:rsidP="00EA6F8B">
      <w:pPr>
        <w:spacing w:after="0" w:line="240" w:lineRule="auto"/>
        <w:jc w:val="both"/>
        <w:rPr>
          <w:rFonts w:ascii="Verdana" w:eastAsia="Aptos" w:hAnsi="Verdana" w:cs="Times New Roman"/>
          <w:sz w:val="20"/>
          <w:szCs w:val="20"/>
        </w:rPr>
      </w:pPr>
    </w:p>
    <w:p w14:paraId="371CE118" w14:textId="77777777" w:rsidR="00EA6F8B" w:rsidRDefault="00EA6F8B" w:rsidP="00EA6F8B">
      <w:pPr>
        <w:spacing w:after="0"/>
        <w:rPr>
          <w:rFonts w:ascii="Verdana" w:hAnsi="Verdana"/>
        </w:rPr>
      </w:pPr>
      <w:r>
        <w:rPr>
          <w:rFonts w:ascii="Verdana" w:hAnsi="Verdana"/>
        </w:rPr>
        <w:t>B</w:t>
      </w:r>
      <w:r w:rsidRPr="0044528D">
        <w:rPr>
          <w:rFonts w:ascii="Verdana" w:hAnsi="Verdana"/>
        </w:rPr>
        <w:t xml:space="preserve">ogotá D.C., </w:t>
      </w:r>
      <w:r w:rsidRPr="00887676">
        <w:rPr>
          <w:rFonts w:ascii="Verdana" w:hAnsi="Verdana"/>
        </w:rPr>
        <w:t>[Día] [Mes.NombreCapitalizado] [Año]</w:t>
      </w:r>
    </w:p>
    <w:p w14:paraId="69F4187A" w14:textId="77777777" w:rsidR="00EA6F8B" w:rsidRDefault="00EA6F8B" w:rsidP="00EA6F8B">
      <w:pPr>
        <w:spacing w:after="0"/>
        <w:rPr>
          <w:rFonts w:ascii="Verdana" w:hAnsi="Verdana"/>
        </w:rPr>
      </w:pPr>
      <w:bookmarkStart w:id="2" w:name="_Hlk180638295"/>
      <w:bookmarkEnd w:id="0"/>
    </w:p>
    <w:p w14:paraId="545BFA74" w14:textId="14589834" w:rsidR="00EA6F8B" w:rsidRDefault="00EA6F8B" w:rsidP="00F96312">
      <w:pPr>
        <w:spacing w:after="0"/>
        <w:jc w:val="right"/>
        <w:rPr>
          <w:rFonts w:ascii="Verdana" w:hAnsi="Verdana"/>
        </w:rPr>
      </w:pPr>
    </w:p>
    <w:p w14:paraId="5111584A" w14:textId="21C2F101" w:rsidR="00F96312" w:rsidRDefault="00B1370B" w:rsidP="00EA6F8B">
      <w:pPr>
        <w:spacing w:after="0"/>
        <w:rPr>
          <w:rFonts w:ascii="Verdana" w:hAnsi="Verdana"/>
        </w:rPr>
      </w:pPr>
      <w:r>
        <w:rPr>
          <w:noProof/>
        </w:rPr>
        <w:drawing>
          <wp:anchor distT="0" distB="0" distL="0" distR="0" simplePos="0" relativeHeight="251658240" behindDoc="0" locked="0" layoutInCell="1" allowOverlap="1" wp14:anchorId="0190F5D8" wp14:editId="36862DD4">
            <wp:simplePos x="0" y="0"/>
            <wp:positionH relativeFrom="page">
              <wp:posOffset>5117297</wp:posOffset>
            </wp:positionH>
            <wp:positionV relativeFrom="paragraph">
              <wp:posOffset>1726</wp:posOffset>
            </wp:positionV>
            <wp:extent cx="2400300" cy="615950"/>
            <wp:effectExtent l="0" t="0" r="0" b="0"/>
            <wp:wrapNone/>
            <wp:docPr id="8" name="Image 8" descr="Texto&#10;&#10;El contenido generado por IA puede ser incorrec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Texto&#10;&#10;El contenido generado por IA puede ser incorrecto."/>
                    <pic:cNvPicPr/>
                  </pic:nvPicPr>
                  <pic:blipFill>
                    <a:blip r:embed="rId11" cstate="print"/>
                    <a:stretch>
                      <a:fillRect/>
                    </a:stretch>
                  </pic:blipFill>
                  <pic:spPr>
                    <a:xfrm>
                      <a:off x="0" y="0"/>
                      <a:ext cx="2400300" cy="615950"/>
                    </a:xfrm>
                    <a:prstGeom prst="rect">
                      <a:avLst/>
                    </a:prstGeom>
                  </pic:spPr>
                </pic:pic>
              </a:graphicData>
            </a:graphic>
          </wp:anchor>
        </w:drawing>
      </w:r>
    </w:p>
    <w:p w14:paraId="02607C9D" w14:textId="77777777" w:rsidR="00F96312" w:rsidRDefault="00F96312" w:rsidP="00EA6F8B">
      <w:pPr>
        <w:spacing w:after="0"/>
        <w:rPr>
          <w:rFonts w:ascii="Verdana" w:hAnsi="Verdana"/>
        </w:rPr>
      </w:pPr>
    </w:p>
    <w:p w14:paraId="67A410D3" w14:textId="7DDE55D2" w:rsidR="00EA6F8B" w:rsidRDefault="00EA6F8B" w:rsidP="00EA6F8B">
      <w:pPr>
        <w:spacing w:after="0" w:line="240" w:lineRule="auto"/>
        <w:jc w:val="both"/>
        <w:rPr>
          <w:rFonts w:ascii="Verdana" w:eastAsia="Calibri" w:hAnsi="Verdana" w:cs="Arial"/>
          <w:lang w:eastAsia="es-ES"/>
        </w:rPr>
      </w:pPr>
      <w:bookmarkStart w:id="3" w:name="_Hlk181166167"/>
      <w:r w:rsidRPr="005E62E2">
        <w:rPr>
          <w:rFonts w:ascii="Verdana" w:eastAsia="Calibri" w:hAnsi="Verdana" w:cs="Arial"/>
          <w:lang w:eastAsia="es-ES"/>
        </w:rPr>
        <w:t>Señor</w:t>
      </w:r>
      <w:r w:rsidRPr="005E62E2">
        <w:rPr>
          <w:rFonts w:ascii="Verdana" w:eastAsia="Calibri" w:hAnsi="Verdana" w:cs="Arial"/>
          <w:lang w:eastAsia="es-ES"/>
        </w:rPr>
        <w:tab/>
      </w:r>
    </w:p>
    <w:p w14:paraId="23BF52F5" w14:textId="77777777" w:rsidR="0023684A" w:rsidRDefault="0023684A" w:rsidP="00EA6F8B">
      <w:pPr>
        <w:spacing w:after="0" w:line="240" w:lineRule="auto"/>
        <w:rPr>
          <w:rFonts w:ascii="Verdana" w:eastAsia="Calibri" w:hAnsi="Verdana" w:cs="Arial"/>
          <w:b/>
          <w:bCs/>
          <w:lang w:eastAsia="es-ES"/>
        </w:rPr>
      </w:pPr>
      <w:r w:rsidRPr="0023684A">
        <w:rPr>
          <w:rFonts w:ascii="Verdana" w:eastAsia="Calibri" w:hAnsi="Verdana" w:cs="Arial"/>
          <w:b/>
          <w:bCs/>
          <w:lang w:eastAsia="es-ES"/>
        </w:rPr>
        <w:t>JAVIER HORACIO AMAYA GUTÉRREZ</w:t>
      </w:r>
    </w:p>
    <w:p w14:paraId="07AE8DCC" w14:textId="33A81DE3" w:rsidR="00EA6F8B" w:rsidRPr="0023684A" w:rsidRDefault="0023684A" w:rsidP="00EA6F8B">
      <w:pPr>
        <w:spacing w:after="0" w:line="240" w:lineRule="auto"/>
        <w:rPr>
          <w:rFonts w:ascii="Verdana" w:hAnsi="Verdana"/>
        </w:rPr>
      </w:pPr>
      <w:hyperlink r:id="rId12" w:history="1">
        <w:r w:rsidRPr="0023684A">
          <w:rPr>
            <w:rStyle w:val="Hipervnculo"/>
            <w:rFonts w:ascii="Verdana" w:hAnsi="Verdana"/>
          </w:rPr>
          <w:t>ingenieroamaya@gmail.com</w:t>
        </w:r>
      </w:hyperlink>
      <w:r w:rsidRPr="0023684A">
        <w:rPr>
          <w:rFonts w:ascii="Verdana" w:hAnsi="Verdana"/>
        </w:rPr>
        <w:t xml:space="preserve"> </w:t>
      </w:r>
    </w:p>
    <w:p w14:paraId="4E828135" w14:textId="77777777" w:rsidR="00EA6F8B" w:rsidRDefault="00EA6F8B" w:rsidP="00EA6F8B">
      <w:pPr>
        <w:spacing w:after="0" w:line="240" w:lineRule="auto"/>
        <w:rPr>
          <w:rFonts w:ascii="Verdana" w:eastAsia="Calibri" w:hAnsi="Verdana" w:cs="Arial"/>
          <w:color w:val="000000"/>
          <w:lang w:val="es-ES_tradnl" w:eastAsia="es-ES_tradnl"/>
        </w:rPr>
      </w:pPr>
      <w:r w:rsidRPr="00FE3DEC">
        <w:rPr>
          <w:rFonts w:ascii="Verdana" w:eastAsia="Calibri" w:hAnsi="Verdana" w:cs="Arial"/>
          <w:color w:val="000000"/>
          <w:lang w:val="es-ES_tradnl" w:eastAsia="es-ES_tradnl"/>
        </w:rPr>
        <w:t>Bogotá D.C.</w:t>
      </w:r>
    </w:p>
    <w:p w14:paraId="7FA3ADA2" w14:textId="77777777" w:rsidR="00EA6F8B" w:rsidRPr="00FE3DEC" w:rsidRDefault="00EA6F8B" w:rsidP="00EA6F8B">
      <w:pPr>
        <w:spacing w:after="0" w:line="240" w:lineRule="auto"/>
        <w:rPr>
          <w:rFonts w:ascii="Verdana" w:eastAsia="Calibri" w:hAnsi="Verdana" w:cs="Arial"/>
          <w:color w:val="000000"/>
          <w:lang w:val="es-ES_tradnl" w:eastAsia="es-ES_tradnl"/>
        </w:rPr>
      </w:pPr>
    </w:p>
    <w:tbl>
      <w:tblPr>
        <w:tblStyle w:val="Tablaconcuadrcula"/>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468"/>
        <w:gridCol w:w="336"/>
      </w:tblGrid>
      <w:tr w:rsidR="00EA6F8B" w:rsidRPr="00593A5F" w14:paraId="4F897313" w14:textId="77777777" w:rsidTr="00CB1744">
        <w:trPr>
          <w:trHeight w:val="884"/>
        </w:trPr>
        <w:tc>
          <w:tcPr>
            <w:tcW w:w="2410" w:type="dxa"/>
          </w:tcPr>
          <w:p w14:paraId="454928D2" w14:textId="77777777" w:rsidR="00EA6F8B" w:rsidRPr="00E5644F" w:rsidRDefault="00EA6F8B" w:rsidP="00CB1744">
            <w:pPr>
              <w:jc w:val="both"/>
              <w:rPr>
                <w:rFonts w:ascii="Verdana" w:eastAsia="Calibri" w:hAnsi="Verdana" w:cs="Arial"/>
                <w:b/>
                <w:bCs/>
                <w:color w:val="7030A0"/>
                <w:lang w:val="es-ES_tradnl" w:eastAsia="es-ES_tradnl"/>
              </w:rPr>
            </w:pPr>
          </w:p>
        </w:tc>
        <w:tc>
          <w:tcPr>
            <w:tcW w:w="6804" w:type="dxa"/>
            <w:gridSpan w:val="2"/>
          </w:tcPr>
          <w:p w14:paraId="22AFDBA1" w14:textId="24C87361" w:rsidR="00EA6F8B" w:rsidRPr="00E5644F" w:rsidRDefault="00EA6F8B" w:rsidP="00CB1744">
            <w:pPr>
              <w:jc w:val="both"/>
              <w:rPr>
                <w:rFonts w:ascii="Verdana" w:eastAsia="Calibri" w:hAnsi="Verdana" w:cs="Arial"/>
                <w:b/>
                <w:bCs/>
                <w:color w:val="7030A0"/>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5</w:t>
            </w:r>
            <w:r w:rsidR="00090F95">
              <w:rPr>
                <w:rFonts w:ascii="Verdana" w:eastAsia="Calibri" w:hAnsi="Verdana" w:cs="Arial"/>
                <w:b/>
                <w:bCs/>
                <w:lang w:val="es-ES" w:eastAsia="es-ES"/>
              </w:rPr>
              <w:t>29</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tc>
      </w:tr>
      <w:tr w:rsidR="00EA6F8B" w:rsidRPr="00A52DE7" w14:paraId="2D01086E" w14:textId="77777777" w:rsidTr="00CB1744">
        <w:trPr>
          <w:trHeight w:val="884"/>
        </w:trPr>
        <w:tc>
          <w:tcPr>
            <w:tcW w:w="2410" w:type="dxa"/>
          </w:tcPr>
          <w:p w14:paraId="67107398" w14:textId="77777777" w:rsidR="00EA6F8B" w:rsidRPr="00593A5F" w:rsidRDefault="00EA6F8B" w:rsidP="00CB1744">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gridSpan w:val="2"/>
          </w:tcPr>
          <w:p w14:paraId="23D97E05" w14:textId="320B38A4" w:rsidR="00EA6F8B" w:rsidRDefault="00072912" w:rsidP="00CB1744">
            <w:pPr>
              <w:jc w:val="both"/>
              <w:rPr>
                <w:rFonts w:ascii="Verdana" w:eastAsia="Calibri" w:hAnsi="Verdana" w:cs="Arial"/>
                <w:color w:val="000000"/>
                <w:lang w:val="es-ES_tradnl"/>
              </w:rPr>
            </w:pPr>
            <w:r w:rsidRPr="00072912">
              <w:rPr>
                <w:rFonts w:ascii="Verdana" w:eastAsia="Aptos" w:hAnsi="Verdana" w:cs="Times New Roman"/>
              </w:rPr>
              <w:t>PRINCIPIO DE SELECCIÓN OBJETIVA – Fundamento – Alcance – Beneficios</w:t>
            </w:r>
            <w:r>
              <w:rPr>
                <w:rFonts w:ascii="Verdana" w:eastAsia="Aptos" w:hAnsi="Verdana" w:cs="Times New Roman"/>
              </w:rPr>
              <w:t>-</w:t>
            </w:r>
            <w:r>
              <w:t xml:space="preserve"> </w:t>
            </w:r>
            <w:r w:rsidRPr="00072912">
              <w:rPr>
                <w:rFonts w:ascii="Verdana" w:eastAsia="Aptos" w:hAnsi="Verdana" w:cs="Times New Roman"/>
              </w:rPr>
              <w:t>ACUERDOS MARCO DE PRECIOS – Obligatoriedad –Bienes y servicios de características uniformes y común utilización –Bienes y servicios no uniformes de común utilización</w:t>
            </w:r>
            <w:r>
              <w:rPr>
                <w:rFonts w:ascii="Verdana" w:eastAsia="Aptos" w:hAnsi="Verdana" w:cs="Times New Roman"/>
              </w:rPr>
              <w:t>-</w:t>
            </w:r>
            <w:r>
              <w:t xml:space="preserve"> </w:t>
            </w:r>
            <w:r w:rsidRPr="00072912">
              <w:rPr>
                <w:rFonts w:ascii="Verdana" w:eastAsia="Aptos" w:hAnsi="Verdana" w:cs="Times New Roman"/>
              </w:rPr>
              <w:t xml:space="preserve">ACUERDOS MARCO DE PRECIOS – Vigencia – Aplicación de las demás modalidades de selección - contratación servicio de internet-Guía general de los Acuerdos Marco de Precios-  </w:t>
            </w:r>
          </w:p>
          <w:p w14:paraId="69C45BC2" w14:textId="77777777" w:rsidR="00EA6F8B" w:rsidRPr="00A52DE7" w:rsidRDefault="00EA6F8B" w:rsidP="00CB1744">
            <w:pPr>
              <w:jc w:val="both"/>
              <w:rPr>
                <w:rFonts w:ascii="Verdana" w:eastAsia="Calibri" w:hAnsi="Verdana" w:cs="Arial"/>
                <w:b/>
                <w:highlight w:val="yellow"/>
                <w:lang w:val="es-ES" w:eastAsia="es-ES"/>
              </w:rPr>
            </w:pPr>
          </w:p>
        </w:tc>
      </w:tr>
      <w:tr w:rsidR="00EA6F8B" w:rsidRPr="00593A5F" w14:paraId="2C773FAB" w14:textId="77777777" w:rsidTr="00CB1744">
        <w:tc>
          <w:tcPr>
            <w:tcW w:w="2410" w:type="dxa"/>
          </w:tcPr>
          <w:p w14:paraId="1BAD2D78" w14:textId="77777777" w:rsidR="00EA6F8B" w:rsidRPr="006730E9" w:rsidRDefault="00EA6F8B" w:rsidP="00CB174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gridSpan w:val="2"/>
          </w:tcPr>
          <w:p w14:paraId="5DB60F56" w14:textId="13B3DCEB" w:rsidR="00EA6F8B" w:rsidRPr="006730E9" w:rsidRDefault="00EA6F8B" w:rsidP="00CB174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090F95" w:rsidRPr="00090F95">
              <w:rPr>
                <w:rFonts w:ascii="Verdana" w:eastAsia="Calibri" w:hAnsi="Verdana" w:cs="Arial"/>
                <w:lang w:val="es-ES_tradnl" w:eastAsia="es-ES_tradnl"/>
              </w:rPr>
              <w:t>P20250430004110</w:t>
            </w:r>
            <w:r>
              <w:rPr>
                <w:rFonts w:ascii="Verdana" w:eastAsia="Calibri" w:hAnsi="Verdana" w:cs="Arial"/>
                <w:lang w:val="es-ES_tradnl" w:eastAsia="es-ES_tradnl"/>
              </w:rPr>
              <w:t>.</w:t>
            </w:r>
          </w:p>
        </w:tc>
      </w:tr>
      <w:tr w:rsidR="00EA6F8B" w:rsidRPr="00DB23D2" w14:paraId="1FC9D79F" w14:textId="77777777" w:rsidTr="00CB1744">
        <w:trPr>
          <w:gridAfter w:val="1"/>
          <w:wAfter w:w="336" w:type="dxa"/>
          <w:trHeight w:val="233"/>
        </w:trPr>
        <w:tc>
          <w:tcPr>
            <w:tcW w:w="8878" w:type="dxa"/>
            <w:gridSpan w:val="2"/>
          </w:tcPr>
          <w:p w14:paraId="75D24C66" w14:textId="77777777" w:rsidR="00EA6F8B" w:rsidRPr="00DB23D2" w:rsidRDefault="00EA6F8B" w:rsidP="00CB1744">
            <w:pPr>
              <w:spacing w:after="120" w:line="276" w:lineRule="auto"/>
              <w:jc w:val="both"/>
              <w:rPr>
                <w:rFonts w:ascii="Verdana" w:eastAsia="Calibri" w:hAnsi="Verdana" w:cs="Arial"/>
                <w:lang w:val="es-ES_tradnl" w:eastAsia="es-ES"/>
              </w:rPr>
            </w:pPr>
          </w:p>
        </w:tc>
      </w:tr>
    </w:tbl>
    <w:p w14:paraId="1D61BE43" w14:textId="3D4EC865" w:rsidR="00EA6F8B" w:rsidRPr="006730E9" w:rsidRDefault="00EA6F8B" w:rsidP="00EA6F8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sidR="0023684A">
        <w:rPr>
          <w:rFonts w:ascii="Verdana" w:eastAsia="Calibri" w:hAnsi="Verdana" w:cs="Arial"/>
          <w:lang w:val="es-ES" w:eastAsia="es-ES"/>
        </w:rPr>
        <w:t>o</w:t>
      </w:r>
      <w:r>
        <w:rPr>
          <w:rFonts w:ascii="Verdana" w:eastAsia="Calibri" w:hAnsi="Verdana" w:cs="Arial"/>
          <w:lang w:val="es-ES" w:eastAsia="es-ES"/>
        </w:rPr>
        <w:t xml:space="preserve">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0023684A">
        <w:rPr>
          <w:rFonts w:ascii="Verdana" w:eastAsia="Calibri" w:hAnsi="Verdana" w:cs="Arial"/>
          <w:lang w:val="es-ES" w:eastAsia="es-ES"/>
        </w:rPr>
        <w:t>Amaya</w:t>
      </w:r>
      <w:r>
        <w:rPr>
          <w:rFonts w:ascii="Verdana" w:eastAsia="Calibri" w:hAnsi="Verdana" w:cs="Arial"/>
          <w:lang w:val="es-ES" w:eastAsia="es-ES"/>
        </w:rPr>
        <w:t>;</w:t>
      </w:r>
    </w:p>
    <w:p w14:paraId="49CCDF77" w14:textId="77777777" w:rsidR="00EA6F8B" w:rsidRDefault="00EA6F8B" w:rsidP="00EA6F8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3A5AAE0" w14:textId="014DCC72" w:rsidR="00EA6F8B" w:rsidRPr="006730E9" w:rsidRDefault="00EA6F8B" w:rsidP="00EA6F8B">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w:t>
      </w:r>
      <w:r w:rsidR="0023684A">
        <w:rPr>
          <w:rFonts w:ascii="Verdana" w:eastAsia="Calibri" w:hAnsi="Verdana" w:cs="Arial"/>
          <w:lang w:val="es-ES" w:eastAsia="es-ES"/>
        </w:rPr>
        <w:t xml:space="preserve">trasladada por competencia por el Departamento Administrativo de la Función </w:t>
      </w:r>
      <w:proofErr w:type="spellStart"/>
      <w:r w:rsidR="0023684A">
        <w:rPr>
          <w:rFonts w:ascii="Verdana" w:eastAsia="Calibri" w:hAnsi="Verdana" w:cs="Arial"/>
          <w:lang w:val="es-ES" w:eastAsia="es-ES"/>
        </w:rPr>
        <w:t>Publica</w:t>
      </w:r>
      <w:proofErr w:type="spellEnd"/>
      <w:r w:rsidR="0023684A">
        <w:rPr>
          <w:rFonts w:ascii="Verdana" w:eastAsia="Calibri" w:hAnsi="Verdana" w:cs="Arial"/>
          <w:lang w:val="es-ES" w:eastAsia="es-ES"/>
        </w:rPr>
        <w:t xml:space="preserve"> y </w:t>
      </w:r>
      <w:r>
        <w:rPr>
          <w:rFonts w:ascii="Verdana" w:eastAsia="Calibri" w:hAnsi="Verdana" w:cs="Arial"/>
          <w:lang w:val="es-ES" w:eastAsia="es-ES"/>
        </w:rPr>
        <w:t xml:space="preserve">radicada en esta entidad </w:t>
      </w:r>
      <w:r w:rsidRPr="00E5644F">
        <w:rPr>
          <w:rFonts w:ascii="Verdana" w:eastAsia="Calibri" w:hAnsi="Verdana" w:cs="Arial"/>
          <w:lang w:val="es-ES" w:eastAsia="es-ES"/>
        </w:rPr>
        <w:t xml:space="preserve">el </w:t>
      </w:r>
      <w:r>
        <w:rPr>
          <w:rFonts w:ascii="Verdana" w:eastAsia="Calibri" w:hAnsi="Verdana" w:cs="Arial"/>
          <w:lang w:val="es-ES" w:eastAsia="es-ES"/>
        </w:rPr>
        <w:t xml:space="preserve">28 </w:t>
      </w:r>
      <w:r w:rsidRPr="00E5644F">
        <w:rPr>
          <w:rFonts w:ascii="Verdana" w:eastAsia="Calibri" w:hAnsi="Verdana" w:cs="Arial"/>
          <w:lang w:val="es-ES" w:eastAsia="es-ES"/>
        </w:rPr>
        <w:t xml:space="preserve">de </w:t>
      </w:r>
      <w:r>
        <w:rPr>
          <w:rFonts w:ascii="Verdana" w:eastAsia="Calibri" w:hAnsi="Verdana" w:cs="Arial"/>
          <w:lang w:val="es-ES" w:eastAsia="es-ES"/>
        </w:rPr>
        <w:t>abril</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15993AA1" w14:textId="77777777" w:rsidR="00EA6F8B" w:rsidRPr="00326382" w:rsidRDefault="00EA6F8B" w:rsidP="00EA6F8B">
      <w:pPr>
        <w:spacing w:after="0" w:line="240" w:lineRule="auto"/>
        <w:ind w:left="709" w:right="474"/>
        <w:jc w:val="both"/>
        <w:rPr>
          <w:rFonts w:ascii="Verdana" w:hAnsi="Verdana" w:cs="Arial"/>
          <w:sz w:val="20"/>
          <w:szCs w:val="20"/>
          <w:shd w:val="clear" w:color="auto" w:fill="FFFFFF"/>
        </w:rPr>
      </w:pPr>
      <w:bookmarkStart w:id="4" w:name="_Hlk95313578"/>
    </w:p>
    <w:bookmarkEnd w:id="4"/>
    <w:p w14:paraId="326AF181" w14:textId="77777777" w:rsidR="00EA6F8B" w:rsidRPr="001712F7" w:rsidRDefault="00EA6F8B" w:rsidP="00EA6F8B">
      <w:pPr>
        <w:tabs>
          <w:tab w:val="left" w:pos="142"/>
          <w:tab w:val="left" w:pos="567"/>
        </w:tabs>
        <w:ind w:right="709"/>
        <w:jc w:val="both"/>
        <w:rPr>
          <w:rFonts w:ascii="Verdana" w:eastAsia="Century Gothic" w:hAnsi="Verdana" w:cs="Century Gothic"/>
          <w:i/>
          <w:iCs/>
        </w:rPr>
      </w:pPr>
      <w:r>
        <w:rPr>
          <w:rFonts w:ascii="Verdana" w:eastAsia="Century Gothic" w:hAnsi="Verdana" w:cs="Century Gothic"/>
          <w:i/>
          <w:iCs/>
        </w:rPr>
        <w:t xml:space="preserve">       </w:t>
      </w:r>
      <w:r w:rsidRPr="001712F7">
        <w:rPr>
          <w:rFonts w:ascii="Verdana" w:eastAsia="Century Gothic" w:hAnsi="Verdana" w:cs="Century Gothic"/>
          <w:i/>
          <w:iCs/>
        </w:rPr>
        <w:t xml:space="preserve"> “(…) </w:t>
      </w:r>
    </w:p>
    <w:p w14:paraId="2C9B1442" w14:textId="4010C05D" w:rsidR="00050FC6" w:rsidRPr="00050FC6" w:rsidRDefault="00050FC6" w:rsidP="00050FC6">
      <w:pPr>
        <w:tabs>
          <w:tab w:val="left" w:pos="142"/>
          <w:tab w:val="left" w:pos="567"/>
        </w:tabs>
        <w:ind w:left="567" w:right="709"/>
        <w:jc w:val="both"/>
        <w:rPr>
          <w:rFonts w:ascii="Verdana" w:eastAsia="Century Gothic" w:hAnsi="Verdana" w:cs="Century Gothic"/>
          <w:i/>
          <w:iCs/>
        </w:rPr>
      </w:pPr>
      <w:r w:rsidRPr="00050FC6">
        <w:rPr>
          <w:rFonts w:ascii="Verdana" w:eastAsia="Century Gothic" w:hAnsi="Verdana" w:cs="Century Gothic"/>
          <w:i/>
          <w:iCs/>
        </w:rPr>
        <w:t>1. ¿Es posible que el municipio celebre un contrato directamente con nuestra empresa, sin necesidad de realizar un</w:t>
      </w:r>
      <w:r>
        <w:rPr>
          <w:rFonts w:ascii="Verdana" w:eastAsia="Century Gothic" w:hAnsi="Verdana" w:cs="Century Gothic"/>
          <w:i/>
          <w:iCs/>
        </w:rPr>
        <w:t xml:space="preserve"> </w:t>
      </w:r>
      <w:r w:rsidRPr="00050FC6">
        <w:rPr>
          <w:rFonts w:ascii="Verdana" w:eastAsia="Century Gothic" w:hAnsi="Verdana" w:cs="Century Gothic"/>
          <w:i/>
          <w:iCs/>
        </w:rPr>
        <w:t>proceso contractual abierto a otros oferentes, como una licitación o selección abreviada?</w:t>
      </w:r>
    </w:p>
    <w:p w14:paraId="401516D8" w14:textId="5549B714" w:rsidR="00050FC6" w:rsidRPr="00050FC6" w:rsidRDefault="00050FC6" w:rsidP="00050FC6">
      <w:pPr>
        <w:tabs>
          <w:tab w:val="left" w:pos="142"/>
          <w:tab w:val="left" w:pos="567"/>
        </w:tabs>
        <w:ind w:left="567" w:right="709"/>
        <w:jc w:val="both"/>
        <w:rPr>
          <w:rFonts w:ascii="Verdana" w:eastAsia="Century Gothic" w:hAnsi="Verdana" w:cs="Century Gothic"/>
          <w:i/>
          <w:iCs/>
        </w:rPr>
      </w:pPr>
      <w:r w:rsidRPr="00050FC6">
        <w:rPr>
          <w:rFonts w:ascii="Verdana" w:eastAsia="Century Gothic" w:hAnsi="Verdana" w:cs="Century Gothic"/>
          <w:i/>
          <w:iCs/>
        </w:rPr>
        <w:lastRenderedPageBreak/>
        <w:t>2. ¿El municipio puede contratar el servicio de Internet bajo las mismas condiciones que aplica para los demás</w:t>
      </w:r>
      <w:r>
        <w:rPr>
          <w:rFonts w:ascii="Verdana" w:eastAsia="Century Gothic" w:hAnsi="Verdana" w:cs="Century Gothic"/>
          <w:i/>
          <w:iCs/>
        </w:rPr>
        <w:t xml:space="preserve"> </w:t>
      </w:r>
      <w:r w:rsidRPr="00050FC6">
        <w:rPr>
          <w:rFonts w:ascii="Verdana" w:eastAsia="Century Gothic" w:hAnsi="Verdana" w:cs="Century Gothic"/>
          <w:i/>
          <w:iCs/>
        </w:rPr>
        <w:t>servicios públicos domiciliarios, como el agua, la energía o el aseo?</w:t>
      </w:r>
    </w:p>
    <w:p w14:paraId="798EA9CE" w14:textId="34C82FB5" w:rsidR="00050FC6" w:rsidRPr="00050FC6" w:rsidRDefault="00050FC6" w:rsidP="00050FC6">
      <w:pPr>
        <w:tabs>
          <w:tab w:val="left" w:pos="142"/>
          <w:tab w:val="left" w:pos="567"/>
        </w:tabs>
        <w:ind w:left="567" w:right="709"/>
        <w:jc w:val="both"/>
        <w:rPr>
          <w:rFonts w:ascii="Verdana" w:eastAsia="Century Gothic" w:hAnsi="Verdana" w:cs="Century Gothic"/>
          <w:i/>
          <w:iCs/>
        </w:rPr>
      </w:pPr>
      <w:r w:rsidRPr="00050FC6">
        <w:rPr>
          <w:rFonts w:ascii="Verdana" w:eastAsia="Century Gothic" w:hAnsi="Verdana" w:cs="Century Gothic"/>
          <w:i/>
          <w:iCs/>
        </w:rPr>
        <w:t>3. ¿Está obligado el municipio a contratar el servicio de Internet bajo la modalidad prevista en la Ley 80 de 1993</w:t>
      </w:r>
      <w:r>
        <w:rPr>
          <w:rFonts w:ascii="Verdana" w:eastAsia="Century Gothic" w:hAnsi="Verdana" w:cs="Century Gothic"/>
          <w:i/>
          <w:iCs/>
        </w:rPr>
        <w:t xml:space="preserve"> </w:t>
      </w:r>
      <w:r w:rsidRPr="00050FC6">
        <w:rPr>
          <w:rFonts w:ascii="Verdana" w:eastAsia="Century Gothic" w:hAnsi="Verdana" w:cs="Century Gothic"/>
          <w:i/>
          <w:iCs/>
        </w:rPr>
        <w:t>(Estatuto General de Contratación de la Administración Pública), o existen otras formas legales de contratación</w:t>
      </w:r>
    </w:p>
    <w:p w14:paraId="71152DDB" w14:textId="77777777" w:rsidR="00050FC6" w:rsidRPr="00050FC6" w:rsidRDefault="00050FC6" w:rsidP="00050FC6">
      <w:pPr>
        <w:tabs>
          <w:tab w:val="left" w:pos="142"/>
          <w:tab w:val="left" w:pos="567"/>
        </w:tabs>
        <w:ind w:left="567" w:right="709"/>
        <w:jc w:val="both"/>
        <w:rPr>
          <w:rFonts w:ascii="Verdana" w:eastAsia="Century Gothic" w:hAnsi="Verdana" w:cs="Century Gothic"/>
          <w:i/>
          <w:iCs/>
        </w:rPr>
      </w:pPr>
      <w:r w:rsidRPr="00050FC6">
        <w:rPr>
          <w:rFonts w:ascii="Verdana" w:eastAsia="Century Gothic" w:hAnsi="Verdana" w:cs="Century Gothic"/>
          <w:i/>
          <w:iCs/>
        </w:rPr>
        <w:t>válidas?</w:t>
      </w:r>
    </w:p>
    <w:p w14:paraId="142F29F9" w14:textId="335F81D3" w:rsidR="00EA6F8B" w:rsidRPr="00022742" w:rsidRDefault="00050FC6" w:rsidP="00050FC6">
      <w:pPr>
        <w:tabs>
          <w:tab w:val="left" w:pos="142"/>
          <w:tab w:val="left" w:pos="567"/>
        </w:tabs>
        <w:ind w:left="567" w:right="709"/>
        <w:jc w:val="both"/>
        <w:rPr>
          <w:rFonts w:ascii="Verdana" w:eastAsia="Century Gothic" w:hAnsi="Verdana" w:cs="Century Gothic"/>
          <w:i/>
          <w:iCs/>
        </w:rPr>
      </w:pPr>
      <w:r w:rsidRPr="00050FC6">
        <w:rPr>
          <w:rFonts w:ascii="Verdana" w:eastAsia="Century Gothic" w:hAnsi="Verdana" w:cs="Century Gothic"/>
          <w:i/>
          <w:iCs/>
        </w:rPr>
        <w:t>4. ¿Cuáles son las modalidades contractuales que la legislación colombiana permite para la prestación del servicio de</w:t>
      </w:r>
      <w:r>
        <w:rPr>
          <w:rFonts w:ascii="Verdana" w:eastAsia="Century Gothic" w:hAnsi="Verdana" w:cs="Century Gothic"/>
          <w:i/>
          <w:iCs/>
        </w:rPr>
        <w:t xml:space="preserve"> </w:t>
      </w:r>
      <w:r w:rsidRPr="00050FC6">
        <w:rPr>
          <w:rFonts w:ascii="Verdana" w:eastAsia="Century Gothic" w:hAnsi="Verdana" w:cs="Century Gothic"/>
          <w:i/>
          <w:iCs/>
        </w:rPr>
        <w:t>Internet entre una empresa privada y un municipio?</w:t>
      </w:r>
      <w:r w:rsidR="00EA6F8B" w:rsidRPr="000D596E">
        <w:rPr>
          <w:rFonts w:ascii="Verdana" w:eastAsia="Century Gothic" w:hAnsi="Verdana" w:cs="Century Gothic"/>
          <w:i/>
          <w:iCs/>
        </w:rPr>
        <w:t xml:space="preserve"> </w:t>
      </w:r>
    </w:p>
    <w:p w14:paraId="7069F0A6" w14:textId="77777777" w:rsidR="00EA6F8B" w:rsidRPr="00022742" w:rsidRDefault="00EA6F8B" w:rsidP="00EA6F8B">
      <w:pPr>
        <w:tabs>
          <w:tab w:val="left" w:pos="142"/>
          <w:tab w:val="left" w:pos="567"/>
        </w:tabs>
        <w:ind w:left="567" w:right="709"/>
        <w:jc w:val="both"/>
        <w:rPr>
          <w:rFonts w:ascii="Verdana" w:eastAsia="Century Gothic" w:hAnsi="Verdana" w:cs="Century Gothic"/>
          <w:i/>
          <w:iCs/>
        </w:rPr>
      </w:pPr>
      <w:r w:rsidRPr="00022742">
        <w:rPr>
          <w:rFonts w:ascii="Verdana" w:eastAsia="Century Gothic" w:hAnsi="Verdana" w:cs="Century Gothic"/>
          <w:i/>
          <w:iCs/>
        </w:rPr>
        <w:t xml:space="preserve">(…)” </w:t>
      </w:r>
    </w:p>
    <w:p w14:paraId="2B41FD2D" w14:textId="77777777" w:rsidR="00EA6F8B" w:rsidRPr="00AA3B9F" w:rsidRDefault="00EA6F8B" w:rsidP="00EA6F8B">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D9A7E58" w14:textId="77777777" w:rsidR="00EA6F8B" w:rsidRPr="00AA3B9F" w:rsidRDefault="00EA6F8B" w:rsidP="00EA6F8B">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w:t>
      </w:r>
      <w:r w:rsidRPr="00E21BD1">
        <w:t xml:space="preserve"> </w:t>
      </w:r>
    </w:p>
    <w:p w14:paraId="4AEDA506" w14:textId="77777777" w:rsidR="00EA6F8B" w:rsidRDefault="00EA6F8B" w:rsidP="00EA6F8B">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19E0B3B8" w14:textId="77777777" w:rsidR="00EA6F8B" w:rsidRDefault="00EA6F8B" w:rsidP="00EA6F8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5C5B59D5" w14:textId="77777777" w:rsidR="00EA6F8B" w:rsidRDefault="00EA6F8B" w:rsidP="00EA6F8B">
      <w:pPr>
        <w:pStyle w:val="Prrafodelista"/>
        <w:tabs>
          <w:tab w:val="left" w:pos="142"/>
          <w:tab w:val="left" w:pos="284"/>
        </w:tabs>
        <w:spacing w:after="0" w:line="276" w:lineRule="auto"/>
        <w:ind w:left="0"/>
        <w:jc w:val="both"/>
        <w:rPr>
          <w:rFonts w:ascii="Verdana" w:eastAsia="Century Gothic" w:hAnsi="Verdana" w:cs="Century Gothic"/>
          <w:b/>
          <w:bCs/>
        </w:rPr>
      </w:pPr>
    </w:p>
    <w:p w14:paraId="2921A629" w14:textId="76D7E207" w:rsidR="004F6584" w:rsidRDefault="00EA6F8B" w:rsidP="00EA6F8B">
      <w:pPr>
        <w:pStyle w:val="Prrafodelista"/>
        <w:tabs>
          <w:tab w:val="left" w:pos="142"/>
          <w:tab w:val="left" w:pos="284"/>
        </w:tabs>
        <w:spacing w:after="0" w:line="276" w:lineRule="auto"/>
        <w:ind w:left="0"/>
        <w:jc w:val="both"/>
        <w:rPr>
          <w:rFonts w:ascii="Verdana" w:eastAsia="Calibri" w:hAnsi="Verdana" w:cs="Arial"/>
          <w:lang w:val="es-CO"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r>
        <w:rPr>
          <w:rFonts w:ascii="Verdana" w:eastAsia="Calibri" w:hAnsi="Verdana" w:cs="Arial"/>
          <w:lang w:eastAsia="es-ES"/>
        </w:rPr>
        <w:t xml:space="preserve"> </w:t>
      </w:r>
      <w:bookmarkStart w:id="5" w:name="_Hlk196737317"/>
      <w:r w:rsidR="00631945">
        <w:rPr>
          <w:rFonts w:ascii="Verdana" w:eastAsia="Calibri" w:hAnsi="Verdana" w:cs="Arial"/>
          <w:lang w:val="es-CO" w:eastAsia="es-ES"/>
        </w:rPr>
        <w:t xml:space="preserve">¿Cuál es el régimen legal aplicable para la contratación de servicios de internet por parte de </w:t>
      </w:r>
      <w:r w:rsidR="00631945" w:rsidRPr="00631945">
        <w:rPr>
          <w:rFonts w:ascii="Verdana" w:eastAsia="Calibri" w:hAnsi="Verdana" w:cs="Arial"/>
          <w:lang w:val="es-CO" w:eastAsia="es-ES"/>
        </w:rPr>
        <w:t>un</w:t>
      </w:r>
      <w:r w:rsidR="00631945">
        <w:rPr>
          <w:rFonts w:ascii="Verdana" w:eastAsia="Calibri" w:hAnsi="Verdana" w:cs="Arial"/>
          <w:lang w:val="es-CO" w:eastAsia="es-ES"/>
        </w:rPr>
        <w:t xml:space="preserve">a entidad </w:t>
      </w:r>
      <w:r w:rsidR="001E3B47">
        <w:rPr>
          <w:rFonts w:ascii="Verdana" w:eastAsia="Calibri" w:hAnsi="Verdana" w:cs="Arial"/>
          <w:lang w:val="es-CO" w:eastAsia="es-ES"/>
        </w:rPr>
        <w:t>pública</w:t>
      </w:r>
      <w:r w:rsidR="001E3B47" w:rsidRPr="00631945">
        <w:rPr>
          <w:rFonts w:ascii="Verdana" w:eastAsia="Calibri" w:hAnsi="Verdana" w:cs="Arial"/>
          <w:lang w:val="es-CO" w:eastAsia="es-ES"/>
        </w:rPr>
        <w:t>?</w:t>
      </w:r>
    </w:p>
    <w:p w14:paraId="20BCD0A2" w14:textId="77777777" w:rsidR="004F6584" w:rsidRDefault="004F6584" w:rsidP="00EA6F8B">
      <w:pPr>
        <w:pStyle w:val="Prrafodelista"/>
        <w:tabs>
          <w:tab w:val="left" w:pos="142"/>
          <w:tab w:val="left" w:pos="284"/>
        </w:tabs>
        <w:spacing w:after="0" w:line="276" w:lineRule="auto"/>
        <w:ind w:left="0"/>
        <w:jc w:val="both"/>
        <w:rPr>
          <w:rFonts w:ascii="Verdana" w:eastAsia="Calibri" w:hAnsi="Verdana" w:cs="Arial"/>
          <w:lang w:val="es-CO" w:eastAsia="es-ES"/>
        </w:rPr>
      </w:pPr>
    </w:p>
    <w:bookmarkEnd w:id="5"/>
    <w:p w14:paraId="7BB6DFFE" w14:textId="77777777" w:rsidR="00EA6F8B" w:rsidRPr="00593A5F" w:rsidRDefault="00EA6F8B" w:rsidP="00EA6F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lastRenderedPageBreak/>
        <w:t>Respuesta:</w:t>
      </w:r>
    </w:p>
    <w:p w14:paraId="31BC2011" w14:textId="77777777" w:rsidR="00EA6F8B" w:rsidRPr="00593A5F" w:rsidRDefault="00EA6F8B" w:rsidP="00EA6F8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A6F8B" w:rsidRPr="00593A5F" w14:paraId="5EDD5CE9" w14:textId="77777777" w:rsidTr="00CB1744">
        <w:tc>
          <w:tcPr>
            <w:tcW w:w="8828" w:type="dxa"/>
            <w:shd w:val="clear" w:color="auto" w:fill="auto"/>
          </w:tcPr>
          <w:p w14:paraId="1BD38EDC" w14:textId="77777777" w:rsidR="005600EE" w:rsidRDefault="005600EE" w:rsidP="00CB1744">
            <w:pPr>
              <w:spacing w:line="276" w:lineRule="auto"/>
              <w:ind w:firstLine="360"/>
              <w:contextualSpacing/>
              <w:jc w:val="both"/>
              <w:rPr>
                <w:rFonts w:ascii="Verdana" w:eastAsia="Calibri" w:hAnsi="Verdana" w:cs="Arial"/>
                <w:bCs/>
                <w:color w:val="000000" w:themeColor="text1"/>
              </w:rPr>
            </w:pPr>
          </w:p>
          <w:p w14:paraId="356A08BE" w14:textId="30EB6CD8" w:rsidR="001E3B47" w:rsidRDefault="001E3B47" w:rsidP="00CB1744">
            <w:pPr>
              <w:spacing w:line="276" w:lineRule="auto"/>
              <w:ind w:firstLine="360"/>
              <w:contextualSpacing/>
              <w:jc w:val="both"/>
              <w:rPr>
                <w:rFonts w:ascii="Verdana" w:eastAsia="Calibri" w:hAnsi="Verdana" w:cs="Arial"/>
                <w:bCs/>
                <w:color w:val="000000" w:themeColor="text1"/>
              </w:rPr>
            </w:pPr>
            <w:r>
              <w:rPr>
                <w:rFonts w:ascii="Verdana" w:eastAsia="Calibri" w:hAnsi="Verdana" w:cs="Arial"/>
                <w:bCs/>
                <w:color w:val="000000" w:themeColor="text1"/>
              </w:rPr>
              <w:t>De manera preliminar es pertinente indicar que e</w:t>
            </w:r>
            <w:r w:rsidRPr="001E3B47">
              <w:rPr>
                <w:rFonts w:ascii="Verdana" w:eastAsia="Calibri" w:hAnsi="Verdana" w:cs="Arial"/>
                <w:bCs/>
                <w:color w:val="000000" w:themeColor="text1"/>
              </w:rPr>
              <w:t xml:space="preserve">l servicio de </w:t>
            </w:r>
            <w:r>
              <w:rPr>
                <w:rFonts w:ascii="Verdana" w:eastAsia="Calibri" w:hAnsi="Verdana" w:cs="Arial"/>
                <w:bCs/>
                <w:color w:val="000000" w:themeColor="text1"/>
              </w:rPr>
              <w:t>i</w:t>
            </w:r>
            <w:r w:rsidRPr="001E3B47">
              <w:rPr>
                <w:rFonts w:ascii="Verdana" w:eastAsia="Calibri" w:hAnsi="Verdana" w:cs="Arial"/>
                <w:bCs/>
                <w:color w:val="000000" w:themeColor="text1"/>
              </w:rPr>
              <w:t xml:space="preserve">nternet, </w:t>
            </w:r>
            <w:r w:rsidR="00E91A24">
              <w:rPr>
                <w:rFonts w:ascii="Verdana" w:eastAsia="Calibri" w:hAnsi="Verdana" w:cs="Arial"/>
                <w:bCs/>
                <w:color w:val="000000" w:themeColor="text1"/>
              </w:rPr>
              <w:t>a pesar de ser considerado</w:t>
            </w:r>
            <w:r w:rsidRPr="001E3B47">
              <w:rPr>
                <w:rFonts w:ascii="Verdana" w:eastAsia="Calibri" w:hAnsi="Verdana" w:cs="Arial"/>
                <w:bCs/>
                <w:color w:val="000000" w:themeColor="text1"/>
              </w:rPr>
              <w:t xml:space="preserve"> esencial por la Ley 2108 de 2021, no es considerado un servicio público domiciliario </w:t>
            </w:r>
            <w:r>
              <w:rPr>
                <w:rFonts w:ascii="Verdana" w:eastAsia="Calibri" w:hAnsi="Verdana" w:cs="Arial"/>
                <w:bCs/>
                <w:color w:val="000000" w:themeColor="text1"/>
              </w:rPr>
              <w:t>en los termino previstos por</w:t>
            </w:r>
            <w:r w:rsidRPr="001E3B47">
              <w:rPr>
                <w:rFonts w:ascii="Verdana" w:eastAsia="Calibri" w:hAnsi="Verdana" w:cs="Arial"/>
                <w:bCs/>
                <w:color w:val="000000" w:themeColor="text1"/>
              </w:rPr>
              <w:t xml:space="preserve"> la Ley 142 de 1994. Por tanto, su contratación por parte de entidades públicas, como los municipios, debe regirse por el régimen general de la contratación estatal previsto en la Ley 80 de 1993 y la Ley 1150 de 2007</w:t>
            </w:r>
            <w:r>
              <w:rPr>
                <w:rFonts w:ascii="Verdana" w:eastAsia="Calibri" w:hAnsi="Verdana" w:cs="Arial"/>
                <w:bCs/>
                <w:color w:val="000000" w:themeColor="text1"/>
              </w:rPr>
              <w:t>.</w:t>
            </w:r>
          </w:p>
          <w:p w14:paraId="67878776" w14:textId="77777777" w:rsidR="001E3B47" w:rsidRDefault="001E3B47" w:rsidP="00CB1744">
            <w:pPr>
              <w:spacing w:line="276" w:lineRule="auto"/>
              <w:ind w:firstLine="360"/>
              <w:contextualSpacing/>
              <w:jc w:val="both"/>
              <w:rPr>
                <w:rFonts w:ascii="Verdana" w:eastAsia="Calibri" w:hAnsi="Verdana" w:cs="Arial"/>
                <w:bCs/>
                <w:color w:val="000000" w:themeColor="text1"/>
              </w:rPr>
            </w:pPr>
          </w:p>
          <w:p w14:paraId="785E8AAA" w14:textId="52BB76EE" w:rsidR="005600EE" w:rsidRDefault="001E3B47" w:rsidP="001E3B47">
            <w:pPr>
              <w:spacing w:line="276" w:lineRule="auto"/>
              <w:contextualSpacing/>
              <w:jc w:val="both"/>
              <w:rPr>
                <w:rFonts w:ascii="Verdana" w:eastAsia="Calibri" w:hAnsi="Verdana" w:cs="Arial"/>
                <w:bCs/>
                <w:color w:val="000000" w:themeColor="text1"/>
              </w:rPr>
            </w:pPr>
            <w:r>
              <w:rPr>
                <w:rFonts w:ascii="Verdana" w:eastAsia="Calibri" w:hAnsi="Verdana" w:cs="Arial"/>
                <w:bCs/>
                <w:color w:val="000000" w:themeColor="text1"/>
              </w:rPr>
              <w:t>Ahora bien</w:t>
            </w:r>
            <w:r w:rsidR="002948BE">
              <w:rPr>
                <w:rFonts w:ascii="Verdana" w:eastAsia="Calibri" w:hAnsi="Verdana" w:cs="Arial"/>
                <w:bCs/>
                <w:color w:val="000000" w:themeColor="text1"/>
              </w:rPr>
              <w:t>,</w:t>
            </w:r>
            <w:r>
              <w:rPr>
                <w:rFonts w:ascii="Verdana" w:eastAsia="Calibri" w:hAnsi="Verdana" w:cs="Arial"/>
                <w:bCs/>
                <w:color w:val="000000" w:themeColor="text1"/>
              </w:rPr>
              <w:t xml:space="preserve"> en atención a su consulta l</w:t>
            </w:r>
            <w:r w:rsidR="005600EE" w:rsidRPr="005600EE">
              <w:rPr>
                <w:rFonts w:ascii="Verdana" w:eastAsia="Calibri" w:hAnsi="Verdana" w:cs="Arial"/>
                <w:bCs/>
                <w:color w:val="000000" w:themeColor="text1"/>
              </w:rPr>
              <w:t xml:space="preserve">a contratación directa del servicio de </w:t>
            </w:r>
            <w:r w:rsidR="005600EE">
              <w:rPr>
                <w:rFonts w:ascii="Verdana" w:eastAsia="Calibri" w:hAnsi="Verdana" w:cs="Arial"/>
                <w:bCs/>
                <w:color w:val="000000" w:themeColor="text1"/>
              </w:rPr>
              <w:t>i</w:t>
            </w:r>
            <w:r w:rsidR="005600EE" w:rsidRPr="005600EE">
              <w:rPr>
                <w:rFonts w:ascii="Verdana" w:eastAsia="Calibri" w:hAnsi="Verdana" w:cs="Arial"/>
                <w:bCs/>
                <w:color w:val="000000" w:themeColor="text1"/>
              </w:rPr>
              <w:t xml:space="preserve">nternet por parte de un municipio solo es jurídicamente viable cuando se configure alguna de las causales de contratación directa previstas en el artículo 2, numeral 4, de la Ley 1150 de 2007, reglamentado por el artículo 2.2.1.2.1.4.1 del Decreto 1082 de 2015. Una de estas causales es la de exclusividad, la cual permite prescindir de un proceso competitivo únicamente cuando el contratista sea el único proveedor disponible en el mercado que pueda ofrecer el bien o servicio requerido, sin sustitutos razonables, y siempre que dicha condición esté </w:t>
            </w:r>
            <w:r w:rsidR="005600EE">
              <w:rPr>
                <w:rFonts w:ascii="Verdana" w:eastAsia="Calibri" w:hAnsi="Verdana" w:cs="Arial"/>
                <w:bCs/>
                <w:color w:val="000000" w:themeColor="text1"/>
              </w:rPr>
              <w:t>debidamente</w:t>
            </w:r>
            <w:r w:rsidR="005600EE" w:rsidRPr="005600EE">
              <w:rPr>
                <w:rFonts w:ascii="Verdana" w:eastAsia="Calibri" w:hAnsi="Verdana" w:cs="Arial"/>
                <w:bCs/>
                <w:color w:val="000000" w:themeColor="text1"/>
              </w:rPr>
              <w:t xml:space="preserve"> acreditada</w:t>
            </w:r>
            <w:r w:rsidR="00E91A24">
              <w:rPr>
                <w:rFonts w:ascii="Verdana" w:eastAsia="Calibri" w:hAnsi="Verdana" w:cs="Arial"/>
                <w:bCs/>
                <w:color w:val="000000" w:themeColor="text1"/>
              </w:rPr>
              <w:t>.</w:t>
            </w:r>
            <w:r w:rsidR="005600EE" w:rsidRPr="005600EE">
              <w:rPr>
                <w:rFonts w:ascii="Verdana" w:eastAsia="Calibri" w:hAnsi="Verdana" w:cs="Arial"/>
                <w:bCs/>
                <w:color w:val="000000" w:themeColor="text1"/>
              </w:rPr>
              <w:t xml:space="preserve"> </w:t>
            </w:r>
          </w:p>
          <w:p w14:paraId="73B3AD4C" w14:textId="77777777" w:rsidR="005600EE" w:rsidRDefault="005600EE" w:rsidP="00CB1744">
            <w:pPr>
              <w:spacing w:line="276" w:lineRule="auto"/>
              <w:ind w:firstLine="360"/>
              <w:contextualSpacing/>
              <w:jc w:val="both"/>
              <w:rPr>
                <w:rFonts w:ascii="Verdana" w:eastAsia="Calibri" w:hAnsi="Verdana" w:cs="Arial"/>
                <w:bCs/>
                <w:color w:val="000000" w:themeColor="text1"/>
              </w:rPr>
            </w:pPr>
          </w:p>
          <w:p w14:paraId="3ED6F8CE" w14:textId="2809B36C" w:rsidR="006B4A7A" w:rsidRDefault="006B4A7A" w:rsidP="001E3B47">
            <w:pPr>
              <w:spacing w:line="276" w:lineRule="auto"/>
              <w:contextualSpacing/>
              <w:jc w:val="both"/>
            </w:pPr>
            <w:r>
              <w:rPr>
                <w:rFonts w:ascii="Verdana" w:eastAsia="Calibri" w:hAnsi="Verdana" w:cs="Arial"/>
                <w:bCs/>
                <w:color w:val="000000" w:themeColor="text1"/>
              </w:rPr>
              <w:t>Así las cosas,</w:t>
            </w:r>
            <w:r w:rsidR="005600EE">
              <w:rPr>
                <w:rFonts w:ascii="Verdana" w:eastAsia="Calibri" w:hAnsi="Verdana" w:cs="Arial"/>
                <w:bCs/>
                <w:color w:val="000000" w:themeColor="text1"/>
              </w:rPr>
              <w:t xml:space="preserve"> </w:t>
            </w:r>
            <w:r w:rsidR="005600EE" w:rsidRPr="005600EE">
              <w:rPr>
                <w:rFonts w:ascii="Verdana" w:eastAsia="Calibri" w:hAnsi="Verdana" w:cs="Arial"/>
                <w:bCs/>
                <w:color w:val="000000" w:themeColor="text1"/>
              </w:rPr>
              <w:t>para que proceda esta modalidad excepcional, se requiere verificar que el servicio de Internet no esté comprendido dentro de un Acuerdo Marco de Precios vigente en la Tienda Virtual del Estado Colombiano (TVEC), herramienta que obliga a las entidades estatales a adquirir servicios cubiertos por ella mediante órdenes de compra directas. En consecuencia, cualquier proceso de contratación directa debe estar debidamente motivado, soportado con estudios previos y documentos técnicos que acrediten la imposibilidad de adelantar un proceso competitivo</w:t>
            </w:r>
            <w:r w:rsidR="005600EE">
              <w:rPr>
                <w:rFonts w:ascii="Verdana" w:eastAsia="Calibri" w:hAnsi="Verdana" w:cs="Arial"/>
                <w:bCs/>
                <w:color w:val="000000" w:themeColor="text1"/>
              </w:rPr>
              <w:t>.</w:t>
            </w:r>
            <w:r w:rsidRPr="006B4A7A">
              <w:t xml:space="preserve"> </w:t>
            </w:r>
          </w:p>
          <w:p w14:paraId="09CF1ED1" w14:textId="77777777" w:rsidR="006B4A7A" w:rsidRDefault="006B4A7A" w:rsidP="001E3B47">
            <w:pPr>
              <w:spacing w:line="276" w:lineRule="auto"/>
              <w:contextualSpacing/>
              <w:jc w:val="both"/>
            </w:pPr>
          </w:p>
          <w:p w14:paraId="75D6B7F6" w14:textId="6624C626" w:rsidR="00CC6155" w:rsidRDefault="006B4A7A" w:rsidP="001E3B47">
            <w:pPr>
              <w:spacing w:line="276" w:lineRule="auto"/>
              <w:contextualSpacing/>
              <w:jc w:val="both"/>
              <w:rPr>
                <w:rFonts w:ascii="Times New Roman" w:eastAsia="Times New Roman" w:hAnsi="Times New Roman" w:cs="Times New Roman"/>
                <w:sz w:val="24"/>
                <w:szCs w:val="24"/>
                <w:lang w:eastAsia="es-CO"/>
              </w:rPr>
            </w:pPr>
            <w:r>
              <w:rPr>
                <w:rFonts w:ascii="Verdana" w:eastAsia="Calibri" w:hAnsi="Verdana" w:cs="Arial"/>
                <w:bCs/>
                <w:color w:val="000000" w:themeColor="text1"/>
              </w:rPr>
              <w:t>D</w:t>
            </w:r>
            <w:r w:rsidRPr="006B4A7A">
              <w:rPr>
                <w:rFonts w:ascii="Verdana" w:eastAsia="Calibri" w:hAnsi="Verdana" w:cs="Arial"/>
                <w:bCs/>
                <w:color w:val="000000" w:themeColor="text1"/>
              </w:rPr>
              <w:t>e</w:t>
            </w:r>
            <w:r>
              <w:rPr>
                <w:rFonts w:ascii="Verdana" w:eastAsia="Calibri" w:hAnsi="Verdana" w:cs="Arial"/>
                <w:bCs/>
                <w:color w:val="000000" w:themeColor="text1"/>
              </w:rPr>
              <w:t xml:space="preserve"> igual manera, se </w:t>
            </w:r>
            <w:r w:rsidRPr="006B4A7A">
              <w:rPr>
                <w:rFonts w:ascii="Verdana" w:eastAsia="Calibri" w:hAnsi="Verdana" w:cs="Arial"/>
                <w:bCs/>
                <w:color w:val="000000" w:themeColor="text1"/>
              </w:rPr>
              <w:t xml:space="preserve">recomienda consultar la </w:t>
            </w:r>
            <w:r>
              <w:rPr>
                <w:rFonts w:ascii="Verdana" w:eastAsia="Calibri" w:hAnsi="Verdana" w:cs="Arial"/>
                <w:bCs/>
                <w:i/>
                <w:iCs/>
                <w:color w:val="000000" w:themeColor="text1"/>
              </w:rPr>
              <w:t>“</w:t>
            </w:r>
            <w:r w:rsidRPr="006B4A7A">
              <w:rPr>
                <w:rFonts w:ascii="Verdana" w:eastAsia="Calibri" w:hAnsi="Verdana" w:cs="Arial"/>
                <w:bCs/>
                <w:i/>
                <w:iCs/>
                <w:color w:val="000000" w:themeColor="text1"/>
              </w:rPr>
              <w:t>Guía general de los Acuerdos Marco de Precios</w:t>
            </w:r>
            <w:r>
              <w:rPr>
                <w:rFonts w:ascii="Verdana" w:eastAsia="Calibri" w:hAnsi="Verdana" w:cs="Arial"/>
                <w:bCs/>
                <w:i/>
                <w:iCs/>
                <w:color w:val="000000" w:themeColor="text1"/>
              </w:rPr>
              <w:t>”</w:t>
            </w:r>
            <w:r>
              <w:rPr>
                <w:rStyle w:val="Refdenotaalpie"/>
                <w:rFonts w:ascii="Verdana" w:eastAsia="Calibri" w:hAnsi="Verdana" w:cs="Arial"/>
                <w:bCs/>
                <w:i/>
                <w:iCs/>
                <w:color w:val="000000" w:themeColor="text1"/>
              </w:rPr>
              <w:footnoteReference w:id="1"/>
            </w:r>
            <w:r w:rsidRPr="006B4A7A">
              <w:rPr>
                <w:rFonts w:ascii="Verdana" w:eastAsia="Calibri" w:hAnsi="Verdana" w:cs="Arial"/>
                <w:bCs/>
                <w:color w:val="000000" w:themeColor="text1"/>
              </w:rPr>
              <w:t xml:space="preserve"> publicada por Colombia Compra Eficiente</w:t>
            </w:r>
            <w:r>
              <w:rPr>
                <w:rFonts w:ascii="Verdana" w:eastAsia="Calibri" w:hAnsi="Verdana" w:cs="Arial"/>
                <w:bCs/>
                <w:color w:val="000000" w:themeColor="text1"/>
              </w:rPr>
              <w:t xml:space="preserve"> por medio de la cual se recomienda </w:t>
            </w:r>
            <w:r w:rsidRPr="006B4A7A">
              <w:rPr>
                <w:rFonts w:ascii="Verdana" w:eastAsia="Calibri" w:hAnsi="Verdana" w:cs="Arial"/>
                <w:bCs/>
                <w:color w:val="000000" w:themeColor="text1"/>
              </w:rPr>
              <w:t xml:space="preserve">orientar a las Entidades Estatales en </w:t>
            </w:r>
            <w:r>
              <w:rPr>
                <w:rFonts w:ascii="Verdana" w:eastAsia="Calibri" w:hAnsi="Verdana" w:cs="Arial"/>
                <w:bCs/>
                <w:color w:val="000000" w:themeColor="text1"/>
              </w:rPr>
              <w:t>los</w:t>
            </w:r>
            <w:r w:rsidRPr="006B4A7A">
              <w:rPr>
                <w:rFonts w:ascii="Verdana" w:eastAsia="Calibri" w:hAnsi="Verdana" w:cs="Arial"/>
                <w:bCs/>
                <w:color w:val="000000" w:themeColor="text1"/>
              </w:rPr>
              <w:t xml:space="preserve"> proceso</w:t>
            </w:r>
            <w:r>
              <w:rPr>
                <w:rFonts w:ascii="Verdana" w:eastAsia="Calibri" w:hAnsi="Verdana" w:cs="Arial"/>
                <w:bCs/>
                <w:color w:val="000000" w:themeColor="text1"/>
              </w:rPr>
              <w:t>s</w:t>
            </w:r>
            <w:r w:rsidRPr="006B4A7A">
              <w:rPr>
                <w:rFonts w:ascii="Verdana" w:eastAsia="Calibri" w:hAnsi="Verdana" w:cs="Arial"/>
                <w:bCs/>
                <w:color w:val="000000" w:themeColor="text1"/>
              </w:rPr>
              <w:t xml:space="preserve"> de compra, en los diferentes Acuerdos Marco de precio (AMP) o Instrumentos de Agregación de Demanda (IAD</w:t>
            </w:r>
            <w:r>
              <w:rPr>
                <w:rFonts w:ascii="Verdana" w:eastAsia="Calibri" w:hAnsi="Verdana" w:cs="Arial"/>
                <w:bCs/>
                <w:color w:val="000000" w:themeColor="text1"/>
              </w:rPr>
              <w:t>).</w:t>
            </w:r>
            <w:r w:rsidR="00CC6155" w:rsidRPr="00CC6155">
              <w:rPr>
                <w:rFonts w:ascii="Times New Roman" w:eastAsia="Times New Roman" w:hAnsi="Times New Roman" w:cs="Times New Roman"/>
                <w:sz w:val="24"/>
                <w:szCs w:val="24"/>
                <w:lang w:eastAsia="es-CO"/>
              </w:rPr>
              <w:t xml:space="preserve"> </w:t>
            </w:r>
          </w:p>
          <w:p w14:paraId="730A1576" w14:textId="77777777" w:rsidR="00CC6155" w:rsidRDefault="00CC6155" w:rsidP="00CC6155">
            <w:pPr>
              <w:spacing w:line="276" w:lineRule="auto"/>
              <w:ind w:firstLine="360"/>
              <w:contextualSpacing/>
              <w:jc w:val="both"/>
              <w:rPr>
                <w:rFonts w:ascii="Times New Roman" w:eastAsia="Times New Roman" w:hAnsi="Times New Roman" w:cs="Times New Roman"/>
                <w:sz w:val="24"/>
                <w:szCs w:val="24"/>
                <w:lang w:eastAsia="es-CO"/>
              </w:rPr>
            </w:pPr>
          </w:p>
          <w:p w14:paraId="3B6A6C04" w14:textId="7165A7B8" w:rsidR="00EA6F8B" w:rsidRPr="00DB4737" w:rsidRDefault="00EA6F8B" w:rsidP="001E3B47">
            <w:pPr>
              <w:spacing w:line="276" w:lineRule="auto"/>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w:t>
            </w:r>
            <w:r w:rsidRPr="00DB4737">
              <w:rPr>
                <w:rFonts w:ascii="Verdana" w:eastAsia="Calibri" w:hAnsi="Verdana" w:cs="Times New Roman"/>
                <w:lang w:val="es-ES"/>
              </w:rPr>
              <w:lastRenderedPageBreak/>
              <w:t>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7CBEA7A5" w14:textId="77777777" w:rsidR="00EA6F8B" w:rsidRPr="00DB4737" w:rsidRDefault="00EA6F8B" w:rsidP="00CB1744">
            <w:pPr>
              <w:ind w:left="720"/>
              <w:contextualSpacing/>
              <w:rPr>
                <w:rFonts w:ascii="Verdana" w:eastAsia="Calibri" w:hAnsi="Verdana" w:cs="Times New Roman"/>
                <w:lang w:val="es-ES"/>
              </w:rPr>
            </w:pPr>
          </w:p>
          <w:p w14:paraId="39326F1C" w14:textId="1F3AFFEE" w:rsidR="00EA6F8B" w:rsidRPr="00831CDD" w:rsidRDefault="00EA6F8B" w:rsidP="001E3B47">
            <w:pPr>
              <w:spacing w:line="276" w:lineRule="auto"/>
              <w:contextualSpacing/>
              <w:jc w:val="both"/>
              <w:rPr>
                <w:rFonts w:ascii="Verdana" w:hAnsi="Verdana" w:cs="Arial"/>
                <w:bCs/>
                <w:color w:val="000000" w:themeColor="text1"/>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EA6F8B" w:rsidRPr="00593A5F" w14:paraId="2352C84B" w14:textId="77777777" w:rsidTr="00CB1744">
        <w:tc>
          <w:tcPr>
            <w:tcW w:w="8828" w:type="dxa"/>
            <w:shd w:val="clear" w:color="auto" w:fill="auto"/>
          </w:tcPr>
          <w:p w14:paraId="6D424B61" w14:textId="77777777" w:rsidR="00EA6F8B" w:rsidRPr="002973E9" w:rsidRDefault="00EA6F8B" w:rsidP="00CB1744">
            <w:pPr>
              <w:spacing w:line="276" w:lineRule="auto"/>
              <w:jc w:val="both"/>
              <w:rPr>
                <w:rFonts w:ascii="Verdana" w:eastAsia="Calibri" w:hAnsi="Verdana" w:cs="Arial"/>
                <w:lang w:val="es-ES"/>
              </w:rPr>
            </w:pPr>
          </w:p>
        </w:tc>
      </w:tr>
    </w:tbl>
    <w:p w14:paraId="39DAA90F" w14:textId="77777777" w:rsidR="00EA6F8B" w:rsidRDefault="00EA6F8B" w:rsidP="00EA6F8B">
      <w:pPr>
        <w:tabs>
          <w:tab w:val="left" w:pos="142"/>
          <w:tab w:val="left" w:pos="284"/>
        </w:tabs>
        <w:spacing w:after="0" w:line="276" w:lineRule="auto"/>
        <w:jc w:val="both"/>
        <w:rPr>
          <w:rFonts w:ascii="Verdana" w:eastAsia="Century Gothic" w:hAnsi="Verdana" w:cs="Century Gothic"/>
          <w:b/>
          <w:bCs/>
          <w:lang w:val="es-ES"/>
        </w:rPr>
      </w:pPr>
    </w:p>
    <w:p w14:paraId="1C34374B" w14:textId="77777777" w:rsidR="00EA6F8B" w:rsidRPr="00593A5F" w:rsidRDefault="00EA6F8B" w:rsidP="00EA6F8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85BD0E8" w14:textId="77777777" w:rsidR="009D6901" w:rsidRDefault="009D6901" w:rsidP="009D6901">
      <w:pPr>
        <w:spacing w:after="0" w:line="276" w:lineRule="auto"/>
        <w:ind w:firstLine="708"/>
        <w:jc w:val="both"/>
        <w:rPr>
          <w:rFonts w:ascii="Verdana" w:eastAsia="Calibri" w:hAnsi="Verdana" w:cs="Arial"/>
        </w:rPr>
      </w:pPr>
    </w:p>
    <w:p w14:paraId="16AD343B" w14:textId="77777777" w:rsidR="009D6901" w:rsidRPr="0098292D" w:rsidRDefault="009D6901" w:rsidP="009D6901">
      <w:pPr>
        <w:spacing w:after="0" w:line="276" w:lineRule="auto"/>
        <w:jc w:val="both"/>
        <w:rPr>
          <w:rFonts w:ascii="Verdana" w:eastAsia="Calibri" w:hAnsi="Verdana" w:cs="Arial"/>
          <w:lang w:val="es-ES"/>
        </w:rPr>
      </w:pPr>
      <w:r w:rsidRPr="0098292D">
        <w:rPr>
          <w:rFonts w:ascii="Verdana" w:eastAsia="Calibri" w:hAnsi="Verdana" w:cs="Arial"/>
          <w:lang w:val="es-ES"/>
        </w:rPr>
        <w:t xml:space="preserve">Lo anterior se sustenta en las siguientes consideraciones: </w:t>
      </w:r>
    </w:p>
    <w:p w14:paraId="0DB989D0" w14:textId="77777777" w:rsidR="009D6901" w:rsidRPr="0098292D" w:rsidRDefault="009D6901" w:rsidP="009D6901">
      <w:pPr>
        <w:spacing w:after="0" w:line="276" w:lineRule="auto"/>
        <w:jc w:val="both"/>
        <w:rPr>
          <w:rFonts w:ascii="Verdana" w:eastAsia="Calibri" w:hAnsi="Verdana" w:cs="Arial"/>
          <w:color w:val="7030A0"/>
          <w:lang w:val="es-ES"/>
        </w:rPr>
      </w:pPr>
    </w:p>
    <w:p w14:paraId="74E4258F" w14:textId="77777777" w:rsidR="009D6901" w:rsidRPr="0098292D" w:rsidRDefault="009D6901" w:rsidP="009D6901">
      <w:pPr>
        <w:spacing w:after="0" w:line="276" w:lineRule="auto"/>
        <w:ind w:firstLine="708"/>
        <w:contextualSpacing/>
        <w:jc w:val="both"/>
        <w:rPr>
          <w:rFonts w:ascii="Verdana" w:eastAsia="Calibri" w:hAnsi="Verdana" w:cs="Arial"/>
          <w:color w:val="000000" w:themeColor="text1"/>
          <w:lang w:val="es-ES"/>
        </w:rPr>
      </w:pPr>
      <w:r w:rsidRPr="0098292D">
        <w:rPr>
          <w:rFonts w:ascii="Verdana" w:eastAsia="Calibri" w:hAnsi="Verdana" w:cs="Arial"/>
          <w:color w:val="000000" w:themeColor="text1"/>
          <w:lang w:val="es-ES"/>
        </w:rPr>
        <w:t xml:space="preserve">El principio de selección objetiva es un postulado que debe orientar la escogencia del futuro contratista del Estado en los procedimientos de selección adelantados por las entidades públicas, que se traduce en la exigencia de que la elección no esté basada en apreciaciones o factores subjetivos, sino en criterios objetivos, de carácter técnico, jurídico y financiero. En tal sentido, se trata de un principio que se deriva, en el ordenamiento jurídico colombiano, de principios como la igualdad (art. 13, C.P.) y la buena fe –manifestada en la confianza legítima– (art. 83 C.P.), así como de los principios de la función administrativa y de la gestión fiscal (arts. 209 y 267 C.P.). Dicho principio rector de los procedimientos de selección, además, encuentra fundamentación legal expresa e importancia para la transparencia, en disposiciones como el artículo 24, numeral 5º, literal a) de la Ley 80 de 1993, que regula el principio de transparencia, y que exige incorporar requisitos objetivos en los pliegos de condiciones; el artículo 24, numeral 5º, literal b) de la misma Ley, que manda que en el pliego se definan “reglas objetivas, justas, claras y completas que permitan la confección de ofrecimientos de la misma índole, aseguren una escogencia objetiva y eviten la declaratoria de desierta de la licitación”; y, de forma más clara profunda y clara, el artículo 5º de la Ley 1150 de 2007, cuyo </w:t>
      </w:r>
      <w:r w:rsidRPr="0098292D">
        <w:rPr>
          <w:rFonts w:ascii="Verdana" w:eastAsia="Calibri" w:hAnsi="Verdana" w:cs="Arial"/>
          <w:color w:val="000000" w:themeColor="text1"/>
          <w:lang w:val="es-ES"/>
        </w:rPr>
        <w:lastRenderedPageBreak/>
        <w:t>primer inciso dispone que “Es objetiva la selección en la cual la escogencia se haga al ofrecimiento más favorable a la entidad y a los fines que ella busca, sin tener en consideración factores de afecto o de interés y, en general, cualquier clase de motivación subjetiva”.</w:t>
      </w:r>
    </w:p>
    <w:p w14:paraId="6F81E6F1" w14:textId="77777777" w:rsidR="009D6901" w:rsidRPr="0098292D" w:rsidRDefault="009D6901" w:rsidP="009D6901">
      <w:pPr>
        <w:spacing w:after="0" w:line="276" w:lineRule="auto"/>
        <w:ind w:left="720"/>
        <w:contextualSpacing/>
        <w:jc w:val="both"/>
        <w:rPr>
          <w:rFonts w:ascii="Verdana" w:eastAsia="Calibri" w:hAnsi="Verdana" w:cs="Arial"/>
          <w:color w:val="000000" w:themeColor="text1"/>
          <w:lang w:val="es-ES"/>
        </w:rPr>
      </w:pPr>
    </w:p>
    <w:p w14:paraId="65859F76" w14:textId="2FECA49F" w:rsidR="009D6901" w:rsidRPr="0098292D" w:rsidRDefault="009D6901" w:rsidP="009D6901">
      <w:pPr>
        <w:spacing w:after="0" w:line="276" w:lineRule="auto"/>
        <w:ind w:firstLine="708"/>
        <w:contextualSpacing/>
        <w:jc w:val="both"/>
        <w:rPr>
          <w:rFonts w:ascii="Verdana" w:eastAsia="Calibri" w:hAnsi="Verdana" w:cs="Arial"/>
          <w:color w:val="000000" w:themeColor="text1"/>
          <w:lang w:val="es-ES"/>
        </w:rPr>
      </w:pPr>
      <w:r w:rsidRPr="0098292D">
        <w:rPr>
          <w:rFonts w:ascii="Verdana" w:eastAsia="Calibri" w:hAnsi="Verdana" w:cs="Arial"/>
          <w:color w:val="000000" w:themeColor="text1"/>
          <w:lang w:val="es-ES"/>
        </w:rPr>
        <w:t>Respecto de los beneficios del principio de selección objetiva, para las entidades estatales se debe tener en cuenta que este principio está ligado a la determinación del ofrecimiento más favorable, cuyo contenido debe ser precisado a partir de las diferentes alternativas del artículo 5 de la Ley 1150 de 2007, reglamentado por el artículo 2.2.1.1.2.2.2 del Decreto 1082 de 2015; en ese sentido se asegura que la entidad obtenga la mejor oferta para satisfacer su necesidad. Los beneficios para los proponentes radican en que, para garantizar el principio de selección objetiva, también es necesario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permitir la subsanación de los requisitos de participación, bajo las condiciones indicadas en la ley, antes de tomar la decisión de rechazar las propuestas que hayan omitido la observancia de los requisitos habilitantes.</w:t>
      </w:r>
    </w:p>
    <w:p w14:paraId="531C8817" w14:textId="77777777" w:rsidR="009D6901" w:rsidRDefault="009D6901" w:rsidP="009D6901">
      <w:pPr>
        <w:spacing w:after="0" w:line="276" w:lineRule="auto"/>
        <w:ind w:firstLine="708"/>
        <w:jc w:val="both"/>
        <w:rPr>
          <w:rFonts w:ascii="Verdana" w:eastAsia="Calibri" w:hAnsi="Verdana" w:cs="Arial"/>
        </w:rPr>
      </w:pPr>
    </w:p>
    <w:p w14:paraId="338BD3DB" w14:textId="12560E50" w:rsidR="002948BE" w:rsidRPr="002948BE" w:rsidRDefault="002948BE" w:rsidP="002948BE">
      <w:pPr>
        <w:spacing w:after="0" w:line="276" w:lineRule="auto"/>
        <w:ind w:firstLine="708"/>
        <w:jc w:val="both"/>
        <w:rPr>
          <w:rFonts w:ascii="Verdana" w:eastAsia="Calibri" w:hAnsi="Verdana" w:cs="Arial"/>
        </w:rPr>
      </w:pPr>
      <w:r>
        <w:rPr>
          <w:rFonts w:ascii="Verdana" w:eastAsia="Calibri" w:hAnsi="Verdana" w:cs="Arial"/>
        </w:rPr>
        <w:t>Ahora bien</w:t>
      </w:r>
      <w:r w:rsidRPr="002948BE">
        <w:rPr>
          <w:rFonts w:ascii="Verdana" w:eastAsia="Calibri" w:hAnsi="Verdana" w:cs="Arial"/>
        </w:rPr>
        <w:t xml:space="preserve">, </w:t>
      </w:r>
      <w:r>
        <w:rPr>
          <w:rFonts w:ascii="Verdana" w:eastAsia="Calibri" w:hAnsi="Verdana" w:cs="Arial"/>
        </w:rPr>
        <w:t xml:space="preserve">en atención a su consulta, </w:t>
      </w:r>
      <w:r w:rsidRPr="002948BE">
        <w:rPr>
          <w:rFonts w:ascii="Verdana" w:eastAsia="Calibri" w:hAnsi="Verdana" w:cs="Arial"/>
        </w:rPr>
        <w:t>es importante señalar que el servicio de internet fue reconocido como un servicio público esencial y universal mediante la Ley 2108 de 2021</w:t>
      </w:r>
      <w:r w:rsidR="00534E85">
        <w:rPr>
          <w:rStyle w:val="Refdenotaalpie"/>
          <w:rFonts w:ascii="Verdana" w:eastAsia="Calibri" w:hAnsi="Verdana" w:cs="Arial"/>
        </w:rPr>
        <w:footnoteReference w:id="2"/>
      </w:r>
      <w:r w:rsidRPr="002948BE">
        <w:rPr>
          <w:rFonts w:ascii="Verdana" w:eastAsia="Calibri" w:hAnsi="Verdana" w:cs="Arial"/>
        </w:rPr>
        <w:t xml:space="preserve">, la cual </w:t>
      </w:r>
      <w:r>
        <w:rPr>
          <w:rFonts w:ascii="Verdana" w:eastAsia="Calibri" w:hAnsi="Verdana" w:cs="Arial"/>
        </w:rPr>
        <w:t xml:space="preserve">en su artículo 68 </w:t>
      </w:r>
      <w:r w:rsidRPr="002948BE">
        <w:rPr>
          <w:rFonts w:ascii="Verdana" w:eastAsia="Calibri" w:hAnsi="Verdana" w:cs="Arial"/>
        </w:rPr>
        <w:t>dispuso:</w:t>
      </w:r>
    </w:p>
    <w:p w14:paraId="164B45BD" w14:textId="77777777" w:rsidR="002948BE" w:rsidRPr="002948BE" w:rsidRDefault="002948BE" w:rsidP="002948BE">
      <w:pPr>
        <w:spacing w:after="0" w:line="276" w:lineRule="auto"/>
        <w:ind w:firstLine="708"/>
        <w:jc w:val="both"/>
        <w:rPr>
          <w:rFonts w:ascii="Verdana" w:eastAsia="Calibri" w:hAnsi="Verdana" w:cs="Arial"/>
        </w:rPr>
      </w:pPr>
    </w:p>
    <w:p w14:paraId="667C098B" w14:textId="57028B23" w:rsidR="002948BE" w:rsidRPr="002948BE" w:rsidRDefault="002948BE" w:rsidP="002948BE">
      <w:pPr>
        <w:spacing w:after="0" w:line="276" w:lineRule="auto"/>
        <w:ind w:left="709" w:right="758"/>
        <w:jc w:val="both"/>
        <w:rPr>
          <w:rFonts w:ascii="Verdana" w:eastAsia="Calibri" w:hAnsi="Verdana" w:cs="Arial"/>
          <w:sz w:val="20"/>
          <w:szCs w:val="20"/>
        </w:rPr>
      </w:pPr>
      <w:r w:rsidRPr="002948BE">
        <w:rPr>
          <w:rFonts w:ascii="Verdana" w:eastAsia="Calibri" w:hAnsi="Verdana" w:cs="Arial"/>
          <w:b/>
          <w:bCs/>
          <w:sz w:val="20"/>
          <w:szCs w:val="20"/>
        </w:rPr>
        <w:t>Artículo 4°.</w:t>
      </w:r>
      <w:r w:rsidRPr="002948BE">
        <w:rPr>
          <w:rFonts w:ascii="Verdana" w:eastAsia="Calibri" w:hAnsi="Verdana" w:cs="Arial"/>
          <w:sz w:val="20"/>
          <w:szCs w:val="20"/>
        </w:rPr>
        <w:t xml:space="preserve"> Adiciónese un parágrafo nuevo al artículo 10 de la Ley 1341 </w:t>
      </w:r>
      <w:proofErr w:type="gramStart"/>
      <w:r w:rsidRPr="002948BE">
        <w:rPr>
          <w:rFonts w:ascii="Verdana" w:eastAsia="Calibri" w:hAnsi="Verdana" w:cs="Arial"/>
          <w:sz w:val="20"/>
          <w:szCs w:val="20"/>
        </w:rPr>
        <w:t xml:space="preserve">de </w:t>
      </w:r>
      <w:r>
        <w:rPr>
          <w:rFonts w:ascii="Verdana" w:eastAsia="Calibri" w:hAnsi="Verdana" w:cs="Arial"/>
          <w:sz w:val="20"/>
          <w:szCs w:val="20"/>
        </w:rPr>
        <w:t xml:space="preserve"> </w:t>
      </w:r>
      <w:r w:rsidRPr="002948BE">
        <w:rPr>
          <w:rFonts w:ascii="Verdana" w:eastAsia="Calibri" w:hAnsi="Verdana" w:cs="Arial"/>
          <w:sz w:val="20"/>
          <w:szCs w:val="20"/>
        </w:rPr>
        <w:t>2009</w:t>
      </w:r>
      <w:proofErr w:type="gramEnd"/>
      <w:r w:rsidRPr="002948BE">
        <w:rPr>
          <w:rFonts w:ascii="Verdana" w:eastAsia="Calibri" w:hAnsi="Verdana" w:cs="Arial"/>
          <w:sz w:val="20"/>
          <w:szCs w:val="20"/>
        </w:rPr>
        <w:t>, el cual quedará así:  </w:t>
      </w:r>
    </w:p>
    <w:p w14:paraId="3F8719B3" w14:textId="77777777" w:rsidR="002948BE" w:rsidRPr="002948BE" w:rsidRDefault="002948BE" w:rsidP="002948BE">
      <w:pPr>
        <w:spacing w:after="0" w:line="276" w:lineRule="auto"/>
        <w:ind w:left="709" w:right="758"/>
        <w:jc w:val="both"/>
        <w:rPr>
          <w:rFonts w:ascii="Verdana" w:eastAsia="Calibri" w:hAnsi="Verdana" w:cs="Arial"/>
          <w:sz w:val="20"/>
          <w:szCs w:val="20"/>
        </w:rPr>
      </w:pPr>
      <w:r w:rsidRPr="002948BE">
        <w:rPr>
          <w:rFonts w:ascii="Verdana" w:eastAsia="Calibri" w:hAnsi="Verdana" w:cs="Arial"/>
          <w:sz w:val="20"/>
          <w:szCs w:val="20"/>
        </w:rPr>
        <w:t>Artículo 10. Habilitación general  </w:t>
      </w:r>
    </w:p>
    <w:p w14:paraId="3CF1B9B3" w14:textId="77777777" w:rsidR="002948BE" w:rsidRPr="002948BE" w:rsidRDefault="002948BE" w:rsidP="002948BE">
      <w:pPr>
        <w:spacing w:after="0" w:line="276" w:lineRule="auto"/>
        <w:ind w:left="709" w:right="758"/>
        <w:jc w:val="both"/>
        <w:rPr>
          <w:rFonts w:ascii="Verdana" w:eastAsia="Calibri" w:hAnsi="Verdana" w:cs="Arial"/>
          <w:sz w:val="20"/>
          <w:szCs w:val="20"/>
        </w:rPr>
      </w:pPr>
      <w:r w:rsidRPr="002948BE">
        <w:rPr>
          <w:rFonts w:ascii="Verdana" w:eastAsia="Calibri" w:hAnsi="Verdana" w:cs="Arial"/>
          <w:sz w:val="20"/>
          <w:szCs w:val="20"/>
        </w:rPr>
        <w:t>(...)  </w:t>
      </w:r>
    </w:p>
    <w:p w14:paraId="206DE16B" w14:textId="77777777" w:rsidR="002948BE" w:rsidRPr="002948BE" w:rsidRDefault="002948BE" w:rsidP="002948BE">
      <w:pPr>
        <w:spacing w:after="0" w:line="276" w:lineRule="auto"/>
        <w:ind w:left="709" w:right="758"/>
        <w:jc w:val="both"/>
        <w:rPr>
          <w:rFonts w:ascii="Verdana" w:eastAsia="Calibri" w:hAnsi="Verdana" w:cs="Arial"/>
          <w:sz w:val="20"/>
          <w:szCs w:val="20"/>
        </w:rPr>
      </w:pPr>
      <w:r w:rsidRPr="002948BE">
        <w:rPr>
          <w:rFonts w:ascii="Verdana" w:eastAsia="Calibri" w:hAnsi="Verdana" w:cs="Arial"/>
          <w:sz w:val="20"/>
          <w:szCs w:val="20"/>
        </w:rPr>
        <w:t>Parágrafo 4°. El acceso a Internet es un servicio público esencial. Por tanto, los proveedores de redes y servicios de telecomunicaciones no podrán suspender las labores de instalación, mantenimiento y adecuación de las redes requeridas para la operación de este servicio público esencial, y garantizarán la continua provisión del servicio. Lo anterior, sin perjuicio del cumplimiento de los deberes y obligaciones a cargo de los suscriptores y usuarios del servicio, conforme a la regulación de la Comisión de Regulación de Comunicaciones.  </w:t>
      </w:r>
    </w:p>
    <w:p w14:paraId="1E6BA571" w14:textId="48E93127" w:rsidR="002948BE" w:rsidRPr="002948BE" w:rsidRDefault="002948BE" w:rsidP="002948BE">
      <w:pPr>
        <w:spacing w:after="0" w:line="276" w:lineRule="auto"/>
        <w:ind w:firstLine="708"/>
        <w:jc w:val="both"/>
        <w:rPr>
          <w:rFonts w:ascii="Verdana" w:eastAsia="Calibri" w:hAnsi="Verdana" w:cs="Arial"/>
        </w:rPr>
      </w:pPr>
      <w:r w:rsidRPr="002948BE">
        <w:rPr>
          <w:rFonts w:ascii="Verdana" w:eastAsia="Calibri" w:hAnsi="Verdana" w:cs="Arial"/>
          <w:sz w:val="20"/>
          <w:szCs w:val="20"/>
        </w:rPr>
        <w:lastRenderedPageBreak/>
        <w:t> </w:t>
      </w:r>
    </w:p>
    <w:p w14:paraId="22B69554" w14:textId="455B4974" w:rsidR="002948BE" w:rsidRPr="002948BE" w:rsidRDefault="002948BE" w:rsidP="002948BE">
      <w:pPr>
        <w:spacing w:after="0" w:line="276" w:lineRule="auto"/>
        <w:ind w:firstLine="708"/>
        <w:jc w:val="both"/>
        <w:rPr>
          <w:rFonts w:ascii="Verdana" w:eastAsia="Calibri" w:hAnsi="Verdana" w:cs="Arial"/>
        </w:rPr>
      </w:pPr>
      <w:r w:rsidRPr="002948BE">
        <w:rPr>
          <w:rFonts w:ascii="Verdana" w:eastAsia="Calibri" w:hAnsi="Verdana" w:cs="Arial"/>
        </w:rPr>
        <w:t>No obstante, este reconocimiento no implica su clasificación como servicio público domiciliario, según la definición establecida por la Ley 142 de 1994</w:t>
      </w:r>
      <w:r w:rsidR="00534E85">
        <w:rPr>
          <w:rStyle w:val="Refdenotaalpie"/>
          <w:rFonts w:ascii="Verdana" w:eastAsia="Calibri" w:hAnsi="Verdana" w:cs="Arial"/>
        </w:rPr>
        <w:footnoteReference w:id="3"/>
      </w:r>
      <w:r w:rsidRPr="002948BE">
        <w:rPr>
          <w:rFonts w:ascii="Verdana" w:eastAsia="Calibri" w:hAnsi="Verdana" w:cs="Arial"/>
        </w:rPr>
        <w:t xml:space="preserve">, que </w:t>
      </w:r>
      <w:r w:rsidR="00534E85">
        <w:rPr>
          <w:rFonts w:ascii="Verdana" w:eastAsia="Calibri" w:hAnsi="Verdana" w:cs="Arial"/>
        </w:rPr>
        <w:t>en su artículo 1</w:t>
      </w:r>
      <w:r w:rsidR="00072912">
        <w:rPr>
          <w:rFonts w:ascii="Verdana" w:eastAsia="Calibri" w:hAnsi="Verdana" w:cs="Arial"/>
        </w:rPr>
        <w:t>4.21</w:t>
      </w:r>
      <w:r w:rsidR="00534E85">
        <w:rPr>
          <w:rFonts w:ascii="Verdana" w:eastAsia="Calibri" w:hAnsi="Verdana" w:cs="Arial"/>
        </w:rPr>
        <w:t xml:space="preserve"> </w:t>
      </w:r>
      <w:r w:rsidRPr="002948BE">
        <w:rPr>
          <w:rFonts w:ascii="Verdana" w:eastAsia="Calibri" w:hAnsi="Verdana" w:cs="Arial"/>
        </w:rPr>
        <w:t>establece:</w:t>
      </w:r>
    </w:p>
    <w:p w14:paraId="35A2A54A" w14:textId="77777777" w:rsidR="00901FDB" w:rsidRDefault="00901FDB" w:rsidP="002948BE">
      <w:pPr>
        <w:spacing w:after="0" w:line="276" w:lineRule="auto"/>
        <w:ind w:left="709" w:right="900"/>
        <w:jc w:val="both"/>
        <w:rPr>
          <w:rFonts w:ascii="Verdana" w:eastAsia="Calibri" w:hAnsi="Verdana" w:cs="Arial"/>
          <w:b/>
          <w:bCs/>
          <w:sz w:val="20"/>
          <w:szCs w:val="20"/>
        </w:rPr>
      </w:pPr>
    </w:p>
    <w:p w14:paraId="05A25F33" w14:textId="258930CD" w:rsidR="00901FDB" w:rsidRDefault="00901FDB" w:rsidP="002948BE">
      <w:pPr>
        <w:spacing w:after="0" w:line="276" w:lineRule="auto"/>
        <w:ind w:left="709" w:right="900"/>
        <w:jc w:val="both"/>
        <w:rPr>
          <w:rFonts w:ascii="Verdana" w:eastAsia="Calibri" w:hAnsi="Verdana" w:cs="Arial"/>
          <w:sz w:val="20"/>
          <w:szCs w:val="20"/>
        </w:rPr>
      </w:pPr>
      <w:r>
        <w:rPr>
          <w:rFonts w:ascii="Verdana" w:eastAsia="Calibri" w:hAnsi="Verdana" w:cs="Arial"/>
          <w:b/>
          <w:bCs/>
          <w:sz w:val="20"/>
          <w:szCs w:val="20"/>
        </w:rPr>
        <w:t>“</w:t>
      </w:r>
      <w:r w:rsidRPr="00901FDB">
        <w:rPr>
          <w:rFonts w:ascii="Verdana" w:eastAsia="Calibri" w:hAnsi="Verdana" w:cs="Arial"/>
          <w:b/>
          <w:bCs/>
          <w:sz w:val="20"/>
          <w:szCs w:val="20"/>
        </w:rPr>
        <w:t>Artículo 14. Definiciones.</w:t>
      </w:r>
      <w:r w:rsidRPr="00901FDB">
        <w:rPr>
          <w:rFonts w:ascii="Verdana" w:eastAsia="Calibri" w:hAnsi="Verdana" w:cs="Arial"/>
          <w:sz w:val="20"/>
          <w:szCs w:val="20"/>
        </w:rPr>
        <w:t> Para interpretar y aplicar esta Ley se tendrán en cuenta las siguientes definiciones</w:t>
      </w:r>
      <w:r>
        <w:rPr>
          <w:rFonts w:ascii="Verdana" w:eastAsia="Calibri" w:hAnsi="Verdana" w:cs="Arial"/>
          <w:sz w:val="20"/>
          <w:szCs w:val="20"/>
        </w:rPr>
        <w:t>:</w:t>
      </w:r>
    </w:p>
    <w:p w14:paraId="35D71847" w14:textId="77777777" w:rsidR="00901FDB" w:rsidRDefault="00901FDB" w:rsidP="002948BE">
      <w:pPr>
        <w:spacing w:after="0" w:line="276" w:lineRule="auto"/>
        <w:ind w:left="709" w:right="900"/>
        <w:jc w:val="both"/>
        <w:rPr>
          <w:rFonts w:ascii="Verdana" w:eastAsia="Calibri" w:hAnsi="Verdana" w:cs="Arial"/>
          <w:sz w:val="20"/>
          <w:szCs w:val="20"/>
        </w:rPr>
      </w:pPr>
    </w:p>
    <w:p w14:paraId="65C7A835" w14:textId="4FF5D6D3" w:rsidR="00901FDB" w:rsidRDefault="00901FDB" w:rsidP="002948BE">
      <w:pPr>
        <w:spacing w:after="0" w:line="276" w:lineRule="auto"/>
        <w:ind w:left="709" w:right="900"/>
        <w:jc w:val="both"/>
        <w:rPr>
          <w:rFonts w:ascii="Verdana" w:eastAsia="Calibri" w:hAnsi="Verdana" w:cs="Arial"/>
          <w:sz w:val="20"/>
          <w:szCs w:val="20"/>
        </w:rPr>
      </w:pPr>
      <w:r>
        <w:rPr>
          <w:rFonts w:ascii="Verdana" w:eastAsia="Calibri" w:hAnsi="Verdana" w:cs="Arial"/>
          <w:sz w:val="20"/>
          <w:szCs w:val="20"/>
        </w:rPr>
        <w:t>(…)</w:t>
      </w:r>
    </w:p>
    <w:p w14:paraId="07CC3269" w14:textId="77777777" w:rsidR="00901FDB" w:rsidRDefault="00901FDB" w:rsidP="002948BE">
      <w:pPr>
        <w:spacing w:after="0" w:line="276" w:lineRule="auto"/>
        <w:ind w:left="709" w:right="900"/>
        <w:jc w:val="both"/>
        <w:rPr>
          <w:rFonts w:ascii="Verdana" w:eastAsia="Calibri" w:hAnsi="Verdana" w:cs="Arial"/>
          <w:sz w:val="20"/>
          <w:szCs w:val="20"/>
        </w:rPr>
      </w:pPr>
    </w:p>
    <w:p w14:paraId="6D3AA51D" w14:textId="1105725F" w:rsidR="00534E85" w:rsidRDefault="00901FDB" w:rsidP="002948BE">
      <w:pPr>
        <w:spacing w:after="0" w:line="276" w:lineRule="auto"/>
        <w:ind w:left="709" w:right="900"/>
        <w:jc w:val="both"/>
        <w:rPr>
          <w:rFonts w:ascii="Verdana" w:eastAsia="Calibri" w:hAnsi="Verdana" w:cs="Arial"/>
          <w:sz w:val="20"/>
          <w:szCs w:val="20"/>
        </w:rPr>
      </w:pPr>
      <w:r w:rsidRPr="00901FDB">
        <w:rPr>
          <w:rFonts w:ascii="Verdana" w:eastAsia="Calibri" w:hAnsi="Verdana" w:cs="Arial"/>
          <w:sz w:val="20"/>
          <w:szCs w:val="20"/>
        </w:rPr>
        <w:t>14.21. Servicios públicos domiciliarios. Son los servicios de acueducto, alcantarillado, aseo, energía eléctrica, telefonía pública básica conmutada, telefonía móvil rural, y distribución de gas combustible, tal como se definen en este capítulo</w:t>
      </w:r>
      <w:r>
        <w:rPr>
          <w:rFonts w:ascii="Verdana" w:eastAsia="Calibri" w:hAnsi="Verdana" w:cs="Arial"/>
          <w:sz w:val="20"/>
          <w:szCs w:val="20"/>
        </w:rPr>
        <w:t>”</w:t>
      </w:r>
      <w:r w:rsidRPr="00901FDB">
        <w:rPr>
          <w:rFonts w:ascii="Verdana" w:eastAsia="Calibri" w:hAnsi="Verdana" w:cs="Arial"/>
          <w:sz w:val="20"/>
          <w:szCs w:val="20"/>
        </w:rPr>
        <w:t>. </w:t>
      </w:r>
    </w:p>
    <w:p w14:paraId="2D76C894" w14:textId="77777777" w:rsidR="00534E85" w:rsidRDefault="00534E85" w:rsidP="002948BE">
      <w:pPr>
        <w:spacing w:after="0" w:line="276" w:lineRule="auto"/>
        <w:ind w:left="709" w:right="900"/>
        <w:jc w:val="both"/>
        <w:rPr>
          <w:rFonts w:ascii="Verdana" w:eastAsia="Calibri" w:hAnsi="Verdana" w:cs="Arial"/>
          <w:sz w:val="20"/>
          <w:szCs w:val="20"/>
        </w:rPr>
      </w:pPr>
    </w:p>
    <w:p w14:paraId="683241C4" w14:textId="77777777" w:rsidR="002948BE" w:rsidRPr="002948BE" w:rsidRDefault="002948BE" w:rsidP="002948BE">
      <w:pPr>
        <w:spacing w:after="0" w:line="276" w:lineRule="auto"/>
        <w:ind w:firstLine="708"/>
        <w:jc w:val="both"/>
        <w:rPr>
          <w:rFonts w:ascii="Verdana" w:eastAsia="Calibri" w:hAnsi="Verdana" w:cs="Arial"/>
        </w:rPr>
      </w:pPr>
      <w:r w:rsidRPr="002948BE">
        <w:rPr>
          <w:rFonts w:ascii="Verdana" w:eastAsia="Calibri" w:hAnsi="Verdana" w:cs="Arial"/>
        </w:rPr>
        <w:t>Dado que el servicio de Internet no está incluido en esta lista, no le son aplicables las reglas especiales de contratación de la Ley 142 de 1994. Por tanto, su adquisición por parte de entidades estatales, como los municipios, debe regirse por el régimen general de contratación pública, contenido en la Ley 80 de 1993 y la Ley 1150 de 2007.</w:t>
      </w:r>
    </w:p>
    <w:p w14:paraId="6B11F2BD" w14:textId="77777777" w:rsidR="002948BE" w:rsidRPr="002948BE" w:rsidRDefault="002948BE" w:rsidP="002948BE">
      <w:pPr>
        <w:spacing w:after="0" w:line="276" w:lineRule="auto"/>
        <w:ind w:firstLine="708"/>
        <w:jc w:val="both"/>
        <w:rPr>
          <w:rFonts w:ascii="Verdana" w:eastAsia="Calibri" w:hAnsi="Verdana" w:cs="Arial"/>
        </w:rPr>
      </w:pPr>
    </w:p>
    <w:p w14:paraId="7DBF3610" w14:textId="77645DD7" w:rsidR="002948BE" w:rsidRPr="002948BE" w:rsidRDefault="00901FDB" w:rsidP="005E4A9B">
      <w:pPr>
        <w:spacing w:after="0" w:line="276" w:lineRule="auto"/>
        <w:ind w:firstLine="708"/>
        <w:jc w:val="both"/>
        <w:rPr>
          <w:rFonts w:ascii="Verdana" w:eastAsia="Calibri" w:hAnsi="Verdana" w:cs="Arial"/>
        </w:rPr>
      </w:pPr>
      <w:r>
        <w:rPr>
          <w:rFonts w:ascii="Verdana" w:eastAsia="Calibri" w:hAnsi="Verdana" w:cs="Arial"/>
        </w:rPr>
        <w:t xml:space="preserve">En este orden de ideas </w:t>
      </w:r>
      <w:r w:rsidR="002948BE" w:rsidRPr="002948BE">
        <w:rPr>
          <w:rFonts w:ascii="Verdana" w:eastAsia="Calibri" w:hAnsi="Verdana" w:cs="Arial"/>
        </w:rPr>
        <w:t>el artículo 2° de la Ley 1150 de 2007 determina las modalidades de selección que deben aplicar las entidades estatales para la celebración de contratos</w:t>
      </w:r>
      <w:r w:rsidR="005E4A9B">
        <w:rPr>
          <w:rFonts w:ascii="Verdana" w:eastAsia="Calibri" w:hAnsi="Verdana" w:cs="Arial"/>
        </w:rPr>
        <w:t xml:space="preserve"> son la </w:t>
      </w:r>
      <w:r w:rsidR="002948BE" w:rsidRPr="002948BE">
        <w:rPr>
          <w:rFonts w:ascii="Verdana" w:eastAsia="Calibri" w:hAnsi="Verdana" w:cs="Arial"/>
        </w:rPr>
        <w:t>(i) licitación pública, (</w:t>
      </w:r>
      <w:proofErr w:type="spellStart"/>
      <w:r w:rsidR="002948BE" w:rsidRPr="002948BE">
        <w:rPr>
          <w:rFonts w:ascii="Verdana" w:eastAsia="Calibri" w:hAnsi="Verdana" w:cs="Arial"/>
        </w:rPr>
        <w:t>ii</w:t>
      </w:r>
      <w:proofErr w:type="spellEnd"/>
      <w:r w:rsidR="002948BE" w:rsidRPr="002948BE">
        <w:rPr>
          <w:rFonts w:ascii="Verdana" w:eastAsia="Calibri" w:hAnsi="Verdana" w:cs="Arial"/>
        </w:rPr>
        <w:t>) selección abreviada, (</w:t>
      </w:r>
      <w:proofErr w:type="spellStart"/>
      <w:r w:rsidR="002948BE" w:rsidRPr="002948BE">
        <w:rPr>
          <w:rFonts w:ascii="Verdana" w:eastAsia="Calibri" w:hAnsi="Verdana" w:cs="Arial"/>
        </w:rPr>
        <w:t>iii</w:t>
      </w:r>
      <w:proofErr w:type="spellEnd"/>
      <w:r w:rsidR="002948BE" w:rsidRPr="002948BE">
        <w:rPr>
          <w:rFonts w:ascii="Verdana" w:eastAsia="Calibri" w:hAnsi="Verdana" w:cs="Arial"/>
        </w:rPr>
        <w:t>) concurso de méritos, (</w:t>
      </w:r>
      <w:proofErr w:type="spellStart"/>
      <w:r w:rsidR="002948BE" w:rsidRPr="002948BE">
        <w:rPr>
          <w:rFonts w:ascii="Verdana" w:eastAsia="Calibri" w:hAnsi="Verdana" w:cs="Arial"/>
        </w:rPr>
        <w:t>iv</w:t>
      </w:r>
      <w:proofErr w:type="spellEnd"/>
      <w:r w:rsidR="002948BE" w:rsidRPr="002948BE">
        <w:rPr>
          <w:rFonts w:ascii="Verdana" w:eastAsia="Calibri" w:hAnsi="Verdana" w:cs="Arial"/>
        </w:rPr>
        <w:t>) contratación directa, y (v) mínima cuantía.</w:t>
      </w:r>
      <w:r w:rsidR="005E4A9B">
        <w:rPr>
          <w:rFonts w:ascii="Verdana" w:eastAsia="Calibri" w:hAnsi="Verdana" w:cs="Arial"/>
        </w:rPr>
        <w:t xml:space="preserve"> </w:t>
      </w:r>
      <w:r w:rsidR="002948BE" w:rsidRPr="002948BE">
        <w:rPr>
          <w:rFonts w:ascii="Verdana" w:eastAsia="Calibri" w:hAnsi="Verdana" w:cs="Arial"/>
        </w:rPr>
        <w:t>Y agrega que la contratación directa es de carácter excepcional, limitada a los casos expresamente previstos en la ley.</w:t>
      </w:r>
    </w:p>
    <w:p w14:paraId="6704AB35" w14:textId="77777777" w:rsidR="005E4A9B" w:rsidRDefault="005E4A9B" w:rsidP="002948BE">
      <w:pPr>
        <w:spacing w:after="0" w:line="276" w:lineRule="auto"/>
        <w:ind w:firstLine="708"/>
        <w:jc w:val="both"/>
        <w:rPr>
          <w:rFonts w:ascii="Verdana" w:eastAsia="Calibri" w:hAnsi="Verdana" w:cs="Arial"/>
        </w:rPr>
      </w:pPr>
    </w:p>
    <w:p w14:paraId="66D7A109" w14:textId="4DD7CEA2" w:rsidR="002948BE" w:rsidRPr="002948BE" w:rsidRDefault="002948BE" w:rsidP="002948BE">
      <w:pPr>
        <w:spacing w:after="0" w:line="276" w:lineRule="auto"/>
        <w:ind w:firstLine="708"/>
        <w:jc w:val="both"/>
        <w:rPr>
          <w:rFonts w:ascii="Verdana" w:eastAsia="Calibri" w:hAnsi="Verdana" w:cs="Arial"/>
        </w:rPr>
      </w:pPr>
      <w:r w:rsidRPr="002948BE">
        <w:rPr>
          <w:rFonts w:ascii="Verdana" w:eastAsia="Calibri" w:hAnsi="Verdana" w:cs="Arial"/>
        </w:rPr>
        <w:t xml:space="preserve">Adicionalmente, el </w:t>
      </w:r>
      <w:r w:rsidR="005E4A9B" w:rsidRPr="002948BE">
        <w:rPr>
          <w:rFonts w:ascii="Verdana" w:eastAsia="Calibri" w:hAnsi="Verdana" w:cs="Arial"/>
        </w:rPr>
        <w:t xml:space="preserve">artículo </w:t>
      </w:r>
      <w:r w:rsidR="005E4A9B" w:rsidRPr="005E4A9B">
        <w:rPr>
          <w:rFonts w:ascii="Verdana" w:eastAsia="Calibri" w:hAnsi="Verdana" w:cs="Arial"/>
        </w:rPr>
        <w:t>2.2.1.2.1.2.7</w:t>
      </w:r>
      <w:r w:rsidR="005E4A9B">
        <w:rPr>
          <w:rFonts w:ascii="Verdana" w:eastAsia="Calibri" w:hAnsi="Verdana" w:cs="Arial"/>
        </w:rPr>
        <w:t xml:space="preserve"> del </w:t>
      </w:r>
      <w:r w:rsidRPr="002948BE">
        <w:rPr>
          <w:rFonts w:ascii="Verdana" w:eastAsia="Calibri" w:hAnsi="Verdana" w:cs="Arial"/>
        </w:rPr>
        <w:t xml:space="preserve">Decreto 1082 de 2015, </w:t>
      </w:r>
      <w:r w:rsidR="005E4A9B">
        <w:rPr>
          <w:rFonts w:ascii="Verdana" w:eastAsia="Calibri" w:hAnsi="Verdana" w:cs="Arial"/>
        </w:rPr>
        <w:t>modificado por el artículo 1º del Decreto 310 de 2021 señala</w:t>
      </w:r>
      <w:r w:rsidRPr="002948BE">
        <w:rPr>
          <w:rFonts w:ascii="Verdana" w:eastAsia="Calibri" w:hAnsi="Verdana" w:cs="Arial"/>
        </w:rPr>
        <w:t>:</w:t>
      </w:r>
    </w:p>
    <w:p w14:paraId="7949C503" w14:textId="77777777" w:rsidR="002948BE" w:rsidRPr="002948BE" w:rsidRDefault="002948BE" w:rsidP="002948BE">
      <w:pPr>
        <w:spacing w:after="0" w:line="276" w:lineRule="auto"/>
        <w:ind w:firstLine="708"/>
        <w:jc w:val="both"/>
        <w:rPr>
          <w:rFonts w:ascii="Verdana" w:eastAsia="Calibri" w:hAnsi="Verdana" w:cs="Arial"/>
        </w:rPr>
      </w:pPr>
    </w:p>
    <w:p w14:paraId="1E17EFC4" w14:textId="58D0FC61" w:rsidR="002948BE" w:rsidRPr="005E4A9B" w:rsidRDefault="002948BE" w:rsidP="005E4A9B">
      <w:pPr>
        <w:spacing w:after="0" w:line="276" w:lineRule="auto"/>
        <w:ind w:left="709" w:right="900"/>
        <w:jc w:val="both"/>
        <w:rPr>
          <w:rFonts w:ascii="Verdana" w:eastAsia="Calibri" w:hAnsi="Verdana" w:cs="Arial"/>
          <w:sz w:val="20"/>
          <w:szCs w:val="20"/>
        </w:rPr>
      </w:pPr>
      <w:r w:rsidRPr="005E4A9B">
        <w:rPr>
          <w:rFonts w:ascii="Verdana" w:eastAsia="Calibri" w:hAnsi="Verdana" w:cs="Arial"/>
          <w:sz w:val="20"/>
          <w:szCs w:val="20"/>
        </w:rPr>
        <w:t>“</w:t>
      </w:r>
      <w:r w:rsidR="005E4A9B" w:rsidRPr="005E4A9B">
        <w:rPr>
          <w:rFonts w:ascii="Verdana" w:eastAsia="Calibri" w:hAnsi="Verdana" w:cs="Arial"/>
          <w:b/>
          <w:bCs/>
          <w:sz w:val="20"/>
          <w:szCs w:val="20"/>
        </w:rPr>
        <w:t>ARTÍCULO </w:t>
      </w:r>
      <w:bookmarkStart w:id="6" w:name="2.2.1.2.1.2.7"/>
      <w:bookmarkEnd w:id="6"/>
      <w:r w:rsidR="005E4A9B" w:rsidRPr="005E4A9B">
        <w:rPr>
          <w:rFonts w:ascii="Verdana" w:eastAsia="Calibri" w:hAnsi="Verdana" w:cs="Arial"/>
          <w:b/>
          <w:bCs/>
          <w:sz w:val="20"/>
          <w:szCs w:val="20"/>
        </w:rPr>
        <w:t>2.2.1.2.1.2.7. Procedencia del Acuerdo Marco de Precios. </w:t>
      </w:r>
      <w:r w:rsidR="005E4A9B" w:rsidRPr="005E4A9B">
        <w:rPr>
          <w:rFonts w:ascii="Verdana" w:eastAsia="Calibri" w:hAnsi="Verdana" w:cs="Arial"/>
          <w:sz w:val="20"/>
          <w:szCs w:val="20"/>
        </w:rPr>
        <w:t>Las entidades estatales sometidas al Estatuto General de Contratación de la administración pública están obligadas a adquirir Bienes y Servicios Uniformes y No Uniformes de Común Utilización, a través de los Acuerdos Marco de Precios previamente justificados, diseñados, organizados y celebrados por la Agencia Nacional de Contratación Pública - Colombia Compra Eficiente</w:t>
      </w:r>
      <w:r w:rsidRPr="005E4A9B">
        <w:rPr>
          <w:rFonts w:ascii="Verdana" w:eastAsia="Calibri" w:hAnsi="Verdana" w:cs="Arial"/>
          <w:sz w:val="20"/>
          <w:szCs w:val="20"/>
        </w:rPr>
        <w:t>.”</w:t>
      </w:r>
    </w:p>
    <w:p w14:paraId="1755E66E" w14:textId="77777777" w:rsidR="002948BE" w:rsidRDefault="002948BE" w:rsidP="002948BE">
      <w:pPr>
        <w:spacing w:after="0" w:line="276" w:lineRule="auto"/>
        <w:ind w:firstLine="708"/>
        <w:jc w:val="both"/>
        <w:rPr>
          <w:rFonts w:ascii="Verdana" w:eastAsia="Calibri" w:hAnsi="Verdana" w:cs="Arial"/>
        </w:rPr>
      </w:pPr>
    </w:p>
    <w:p w14:paraId="687FB369" w14:textId="57A88389" w:rsidR="005E4A9B" w:rsidRDefault="005E4A9B" w:rsidP="002948BE">
      <w:pPr>
        <w:spacing w:after="0" w:line="276" w:lineRule="auto"/>
        <w:ind w:firstLine="708"/>
        <w:jc w:val="both"/>
        <w:rPr>
          <w:rFonts w:ascii="Verdana" w:eastAsia="Calibri" w:hAnsi="Verdana" w:cs="Arial"/>
        </w:rPr>
      </w:pPr>
      <w:r>
        <w:rPr>
          <w:rFonts w:ascii="Verdana" w:eastAsia="Calibri" w:hAnsi="Verdana" w:cs="Arial"/>
        </w:rPr>
        <w:lastRenderedPageBreak/>
        <w:t>Adicionalmente l</w:t>
      </w:r>
      <w:r w:rsidRPr="005E4A9B">
        <w:rPr>
          <w:rFonts w:ascii="Verdana" w:eastAsia="Calibri" w:hAnsi="Verdana" w:cs="Arial"/>
        </w:rPr>
        <w:t>a Circular Externa No. 004 de 2021 de Colombia Compra Eficiente (CCE) ref</w:t>
      </w:r>
      <w:r>
        <w:rPr>
          <w:rFonts w:ascii="Verdana" w:eastAsia="Calibri" w:hAnsi="Verdana" w:cs="Arial"/>
        </w:rPr>
        <w:t>uerza</w:t>
      </w:r>
      <w:r w:rsidRPr="005E4A9B">
        <w:rPr>
          <w:rFonts w:ascii="Verdana" w:eastAsia="Calibri" w:hAnsi="Verdana" w:cs="Arial"/>
        </w:rPr>
        <w:t xml:space="preserve"> la aplicación de la Ley 1150 de 2007 y el Decreto 1082 de 2015, en especial lo referente a la obligatoriedad de las entidades estatales de adquirir bienes y servicios de características técnicas uniformes y de común utilización a través de los AMP cuando estos existan.</w:t>
      </w:r>
    </w:p>
    <w:p w14:paraId="13903C0C" w14:textId="77777777" w:rsidR="005E4A9B" w:rsidRDefault="005E4A9B" w:rsidP="002948BE">
      <w:pPr>
        <w:spacing w:after="0" w:line="276" w:lineRule="auto"/>
        <w:ind w:firstLine="708"/>
        <w:jc w:val="both"/>
        <w:rPr>
          <w:rFonts w:ascii="Verdana" w:eastAsia="Calibri" w:hAnsi="Verdana" w:cs="Arial"/>
        </w:rPr>
      </w:pPr>
    </w:p>
    <w:p w14:paraId="49DF772A" w14:textId="190420B9" w:rsidR="005E4A9B" w:rsidRDefault="005E4A9B" w:rsidP="00627ABB">
      <w:pPr>
        <w:spacing w:line="276" w:lineRule="auto"/>
        <w:ind w:firstLine="708"/>
        <w:contextualSpacing/>
        <w:jc w:val="both"/>
        <w:rPr>
          <w:rFonts w:ascii="Verdana" w:eastAsia="Calibri" w:hAnsi="Verdana" w:cs="Arial"/>
          <w:bCs/>
          <w:color w:val="000000" w:themeColor="text1"/>
        </w:rPr>
      </w:pPr>
      <w:r>
        <w:rPr>
          <w:rFonts w:ascii="Verdana" w:eastAsia="Calibri" w:hAnsi="Verdana" w:cs="Arial"/>
          <w:bCs/>
          <w:color w:val="000000" w:themeColor="text1"/>
        </w:rPr>
        <w:t>Así las cosas y en atención a su consulta, l</w:t>
      </w:r>
      <w:r w:rsidRPr="005600EE">
        <w:rPr>
          <w:rFonts w:ascii="Verdana" w:eastAsia="Calibri" w:hAnsi="Verdana" w:cs="Arial"/>
          <w:bCs/>
          <w:color w:val="000000" w:themeColor="text1"/>
        </w:rPr>
        <w:t xml:space="preserve">a contratación directa del servicio de </w:t>
      </w:r>
      <w:r>
        <w:rPr>
          <w:rFonts w:ascii="Verdana" w:eastAsia="Calibri" w:hAnsi="Verdana" w:cs="Arial"/>
          <w:bCs/>
          <w:color w:val="000000" w:themeColor="text1"/>
        </w:rPr>
        <w:t>i</w:t>
      </w:r>
      <w:r w:rsidRPr="005600EE">
        <w:rPr>
          <w:rFonts w:ascii="Verdana" w:eastAsia="Calibri" w:hAnsi="Verdana" w:cs="Arial"/>
          <w:bCs/>
          <w:color w:val="000000" w:themeColor="text1"/>
        </w:rPr>
        <w:t xml:space="preserve">nternet por parte de un municipio solo es jurídicamente viable cuando se configure alguna de las causales de contratación directa previstas en el artículo 2, numeral 4, de la Ley 1150 de 2007, reglamentado por el artículo 2.2.1.2.1.4.1 del Decreto 1082 de 2015. Una de estas causales es la de exclusividad, la cual permite prescindir de un proceso competitivo únicamente cuando el contratista sea el único proveedor disponible en el mercado que pueda ofrecer el bien o servicio requerido, sin sustitutos razonables, y siempre que dicha condición esté </w:t>
      </w:r>
      <w:r>
        <w:rPr>
          <w:rFonts w:ascii="Verdana" w:eastAsia="Calibri" w:hAnsi="Verdana" w:cs="Arial"/>
          <w:bCs/>
          <w:color w:val="000000" w:themeColor="text1"/>
        </w:rPr>
        <w:t>debidamente</w:t>
      </w:r>
      <w:r w:rsidRPr="005600EE">
        <w:rPr>
          <w:rFonts w:ascii="Verdana" w:eastAsia="Calibri" w:hAnsi="Verdana" w:cs="Arial"/>
          <w:bCs/>
          <w:color w:val="000000" w:themeColor="text1"/>
        </w:rPr>
        <w:t xml:space="preserve"> acreditada </w:t>
      </w:r>
    </w:p>
    <w:p w14:paraId="1CEB57B5" w14:textId="77777777" w:rsidR="005E4A9B" w:rsidRDefault="005E4A9B" w:rsidP="005E4A9B">
      <w:pPr>
        <w:spacing w:line="276" w:lineRule="auto"/>
        <w:ind w:firstLine="360"/>
        <w:contextualSpacing/>
        <w:jc w:val="both"/>
        <w:rPr>
          <w:rFonts w:ascii="Verdana" w:eastAsia="Calibri" w:hAnsi="Verdana" w:cs="Arial"/>
          <w:bCs/>
          <w:color w:val="000000" w:themeColor="text1"/>
        </w:rPr>
      </w:pPr>
    </w:p>
    <w:p w14:paraId="0B907F3E" w14:textId="42D2196B" w:rsidR="005E4A9B" w:rsidRDefault="00627ABB" w:rsidP="00627ABB">
      <w:pPr>
        <w:spacing w:line="276" w:lineRule="auto"/>
        <w:ind w:firstLine="708"/>
        <w:contextualSpacing/>
        <w:jc w:val="both"/>
      </w:pPr>
      <w:r>
        <w:rPr>
          <w:rFonts w:ascii="Verdana" w:eastAsia="Calibri" w:hAnsi="Verdana" w:cs="Arial"/>
          <w:bCs/>
          <w:color w:val="000000" w:themeColor="text1"/>
        </w:rPr>
        <w:t>De esta manera</w:t>
      </w:r>
      <w:r w:rsidR="005E4A9B">
        <w:rPr>
          <w:rFonts w:ascii="Verdana" w:eastAsia="Calibri" w:hAnsi="Verdana" w:cs="Arial"/>
          <w:bCs/>
          <w:color w:val="000000" w:themeColor="text1"/>
        </w:rPr>
        <w:t xml:space="preserve">, </w:t>
      </w:r>
      <w:r w:rsidR="005E4A9B" w:rsidRPr="005600EE">
        <w:rPr>
          <w:rFonts w:ascii="Verdana" w:eastAsia="Calibri" w:hAnsi="Verdana" w:cs="Arial"/>
          <w:bCs/>
          <w:color w:val="000000" w:themeColor="text1"/>
        </w:rPr>
        <w:t>para que proceda esta modalidad excepcional, se requiere verificar que el servicio de Internet no esté comprendido dentro de un Acuerdo Marco de Precios vigente en la Tienda Virtual del Estado Colombiano (TVEC), herramienta que obliga a las entidades estatales a adquirir servicios cubiertos por ella mediante órdenes de compra directas. En consecuencia, cualquier proceso de contratación directa debe estar debidamente motivado, soportado con estudios previos y documentos técnicos que acrediten la imposibilidad de adelantar un proceso competitivo</w:t>
      </w:r>
      <w:r w:rsidR="005E4A9B">
        <w:rPr>
          <w:rFonts w:ascii="Verdana" w:eastAsia="Calibri" w:hAnsi="Verdana" w:cs="Arial"/>
          <w:bCs/>
          <w:color w:val="000000" w:themeColor="text1"/>
        </w:rPr>
        <w:t>.</w:t>
      </w:r>
      <w:r w:rsidR="005E4A9B" w:rsidRPr="006B4A7A">
        <w:t xml:space="preserve"> </w:t>
      </w:r>
    </w:p>
    <w:p w14:paraId="416E21C0" w14:textId="77777777" w:rsidR="005E4A9B" w:rsidRDefault="005E4A9B" w:rsidP="005E4A9B">
      <w:pPr>
        <w:spacing w:line="276" w:lineRule="auto"/>
        <w:contextualSpacing/>
        <w:jc w:val="both"/>
      </w:pPr>
    </w:p>
    <w:p w14:paraId="39118D61" w14:textId="77777777" w:rsidR="005E4A9B" w:rsidRDefault="005E4A9B" w:rsidP="00627ABB">
      <w:pPr>
        <w:spacing w:line="276" w:lineRule="auto"/>
        <w:ind w:firstLine="708"/>
        <w:contextualSpacing/>
        <w:jc w:val="both"/>
        <w:rPr>
          <w:rFonts w:ascii="Times New Roman" w:eastAsia="Times New Roman" w:hAnsi="Times New Roman" w:cs="Times New Roman"/>
          <w:sz w:val="24"/>
          <w:szCs w:val="24"/>
          <w:lang w:eastAsia="es-CO"/>
        </w:rPr>
      </w:pPr>
      <w:r>
        <w:rPr>
          <w:rFonts w:ascii="Verdana" w:eastAsia="Calibri" w:hAnsi="Verdana" w:cs="Arial"/>
          <w:bCs/>
          <w:color w:val="000000" w:themeColor="text1"/>
        </w:rPr>
        <w:t>D</w:t>
      </w:r>
      <w:r w:rsidRPr="006B4A7A">
        <w:rPr>
          <w:rFonts w:ascii="Verdana" w:eastAsia="Calibri" w:hAnsi="Verdana" w:cs="Arial"/>
          <w:bCs/>
          <w:color w:val="000000" w:themeColor="text1"/>
        </w:rPr>
        <w:t>e</w:t>
      </w:r>
      <w:r>
        <w:rPr>
          <w:rFonts w:ascii="Verdana" w:eastAsia="Calibri" w:hAnsi="Verdana" w:cs="Arial"/>
          <w:bCs/>
          <w:color w:val="000000" w:themeColor="text1"/>
        </w:rPr>
        <w:t xml:space="preserve"> igual manera, se </w:t>
      </w:r>
      <w:r w:rsidRPr="006B4A7A">
        <w:rPr>
          <w:rFonts w:ascii="Verdana" w:eastAsia="Calibri" w:hAnsi="Verdana" w:cs="Arial"/>
          <w:bCs/>
          <w:color w:val="000000" w:themeColor="text1"/>
        </w:rPr>
        <w:t xml:space="preserve">recomienda consultar la </w:t>
      </w:r>
      <w:r>
        <w:rPr>
          <w:rFonts w:ascii="Verdana" w:eastAsia="Calibri" w:hAnsi="Verdana" w:cs="Arial"/>
          <w:bCs/>
          <w:i/>
          <w:iCs/>
          <w:color w:val="000000" w:themeColor="text1"/>
        </w:rPr>
        <w:t>“</w:t>
      </w:r>
      <w:r w:rsidRPr="006B4A7A">
        <w:rPr>
          <w:rFonts w:ascii="Verdana" w:eastAsia="Calibri" w:hAnsi="Verdana" w:cs="Arial"/>
          <w:bCs/>
          <w:i/>
          <w:iCs/>
          <w:color w:val="000000" w:themeColor="text1"/>
        </w:rPr>
        <w:t>Guía general de los Acuerdos Marco de Precios</w:t>
      </w:r>
      <w:r>
        <w:rPr>
          <w:rFonts w:ascii="Verdana" w:eastAsia="Calibri" w:hAnsi="Verdana" w:cs="Arial"/>
          <w:bCs/>
          <w:i/>
          <w:iCs/>
          <w:color w:val="000000" w:themeColor="text1"/>
        </w:rPr>
        <w:t>”</w:t>
      </w:r>
      <w:r>
        <w:rPr>
          <w:rStyle w:val="Refdenotaalpie"/>
          <w:rFonts w:ascii="Verdana" w:eastAsia="Calibri" w:hAnsi="Verdana" w:cs="Arial"/>
          <w:bCs/>
          <w:i/>
          <w:iCs/>
          <w:color w:val="000000" w:themeColor="text1"/>
        </w:rPr>
        <w:footnoteReference w:id="4"/>
      </w:r>
      <w:r w:rsidRPr="006B4A7A">
        <w:rPr>
          <w:rFonts w:ascii="Verdana" w:eastAsia="Calibri" w:hAnsi="Verdana" w:cs="Arial"/>
          <w:bCs/>
          <w:color w:val="000000" w:themeColor="text1"/>
        </w:rPr>
        <w:t xml:space="preserve"> publicada por Colombia Compra Eficiente</w:t>
      </w:r>
      <w:r>
        <w:rPr>
          <w:rFonts w:ascii="Verdana" w:eastAsia="Calibri" w:hAnsi="Verdana" w:cs="Arial"/>
          <w:bCs/>
          <w:color w:val="000000" w:themeColor="text1"/>
        </w:rPr>
        <w:t xml:space="preserve"> por medio de la cual se recomienda </w:t>
      </w:r>
      <w:r w:rsidRPr="006B4A7A">
        <w:rPr>
          <w:rFonts w:ascii="Verdana" w:eastAsia="Calibri" w:hAnsi="Verdana" w:cs="Arial"/>
          <w:bCs/>
          <w:color w:val="000000" w:themeColor="text1"/>
        </w:rPr>
        <w:t xml:space="preserve">orientar a las Entidades Estatales en </w:t>
      </w:r>
      <w:r>
        <w:rPr>
          <w:rFonts w:ascii="Verdana" w:eastAsia="Calibri" w:hAnsi="Verdana" w:cs="Arial"/>
          <w:bCs/>
          <w:color w:val="000000" w:themeColor="text1"/>
        </w:rPr>
        <w:t>los</w:t>
      </w:r>
      <w:r w:rsidRPr="006B4A7A">
        <w:rPr>
          <w:rFonts w:ascii="Verdana" w:eastAsia="Calibri" w:hAnsi="Verdana" w:cs="Arial"/>
          <w:bCs/>
          <w:color w:val="000000" w:themeColor="text1"/>
        </w:rPr>
        <w:t xml:space="preserve"> proceso</w:t>
      </w:r>
      <w:r>
        <w:rPr>
          <w:rFonts w:ascii="Verdana" w:eastAsia="Calibri" w:hAnsi="Verdana" w:cs="Arial"/>
          <w:bCs/>
          <w:color w:val="000000" w:themeColor="text1"/>
        </w:rPr>
        <w:t>s</w:t>
      </w:r>
      <w:r w:rsidRPr="006B4A7A">
        <w:rPr>
          <w:rFonts w:ascii="Verdana" w:eastAsia="Calibri" w:hAnsi="Verdana" w:cs="Arial"/>
          <w:bCs/>
          <w:color w:val="000000" w:themeColor="text1"/>
        </w:rPr>
        <w:t xml:space="preserve"> de compra, en los diferentes Acuerdos Marco de precio (AMP) o Instrumentos de Agregación de Demanda (IAD</w:t>
      </w:r>
      <w:r>
        <w:rPr>
          <w:rFonts w:ascii="Verdana" w:eastAsia="Calibri" w:hAnsi="Verdana" w:cs="Arial"/>
          <w:bCs/>
          <w:color w:val="000000" w:themeColor="text1"/>
        </w:rPr>
        <w:t>).</w:t>
      </w:r>
      <w:r w:rsidRPr="00CC6155">
        <w:rPr>
          <w:rFonts w:ascii="Times New Roman" w:eastAsia="Times New Roman" w:hAnsi="Times New Roman" w:cs="Times New Roman"/>
          <w:sz w:val="24"/>
          <w:szCs w:val="24"/>
          <w:lang w:eastAsia="es-CO"/>
        </w:rPr>
        <w:t xml:space="preserve"> </w:t>
      </w:r>
    </w:p>
    <w:p w14:paraId="2722CE90" w14:textId="77777777" w:rsidR="005E4A9B" w:rsidRDefault="005E4A9B" w:rsidP="002948BE">
      <w:pPr>
        <w:spacing w:after="0" w:line="276" w:lineRule="auto"/>
        <w:ind w:firstLine="708"/>
        <w:jc w:val="both"/>
        <w:rPr>
          <w:rFonts w:ascii="Verdana" w:eastAsia="Calibri" w:hAnsi="Verdana" w:cs="Arial"/>
        </w:rPr>
      </w:pPr>
    </w:p>
    <w:p w14:paraId="283B8FA0" w14:textId="380B4D8C" w:rsidR="009D6901" w:rsidRDefault="002948BE" w:rsidP="002948BE">
      <w:pPr>
        <w:spacing w:after="0" w:line="276" w:lineRule="auto"/>
        <w:ind w:firstLine="708"/>
        <w:jc w:val="both"/>
        <w:rPr>
          <w:rFonts w:ascii="Verdana" w:eastAsia="Calibri" w:hAnsi="Verdana" w:cs="Arial"/>
        </w:rPr>
      </w:pPr>
      <w:r w:rsidRPr="004A1AB7">
        <w:rPr>
          <w:rFonts w:ascii="Verdana" w:eastAsia="Calibri" w:hAnsi="Verdana" w:cs="Arial"/>
        </w:rPr>
        <w:t>En consecuencia, para contratar el servicio de Internet, el municipio debe seguir el procedimiento ordinario previsto en la normativa general de contratación, verificar previamente si existe un Acuerdo Marco de Precios vigente en la Tienda Virtual del Estado Colombiano (TVEC), y solo podrá acudir a la contratación directa si se configura una causal legal específica, como la exclusividad</w:t>
      </w:r>
      <w:r w:rsidR="00627ABB" w:rsidRPr="004A1AB7">
        <w:rPr>
          <w:rFonts w:ascii="Verdana" w:eastAsia="Calibri" w:hAnsi="Verdana" w:cs="Arial"/>
        </w:rPr>
        <w:t>.</w:t>
      </w:r>
    </w:p>
    <w:p w14:paraId="6DA085F9" w14:textId="77777777" w:rsidR="009D6901" w:rsidRDefault="009D6901" w:rsidP="009D6901">
      <w:pPr>
        <w:spacing w:after="0" w:line="276" w:lineRule="auto"/>
        <w:ind w:firstLine="708"/>
        <w:jc w:val="both"/>
        <w:rPr>
          <w:rFonts w:ascii="Verdana" w:eastAsia="Times New Roman" w:hAnsi="Verdana" w:cs="Times New Roman"/>
          <w:lang w:eastAsia="es-CO"/>
        </w:rPr>
      </w:pPr>
    </w:p>
    <w:p w14:paraId="10051CE3" w14:textId="77777777" w:rsidR="00EA6F8B" w:rsidRPr="00AE7E03" w:rsidRDefault="00EA6F8B" w:rsidP="00EA6F8B">
      <w:pPr>
        <w:spacing w:after="0" w:line="276" w:lineRule="auto"/>
        <w:ind w:firstLine="708"/>
        <w:contextualSpacing/>
        <w:jc w:val="both"/>
        <w:rPr>
          <w:rFonts w:ascii="Verdana" w:eastAsia="Calibri" w:hAnsi="Verdana" w:cs="Times New Roman"/>
          <w:lang w:val="es-ES"/>
        </w:rPr>
      </w:pPr>
      <w:r>
        <w:rPr>
          <w:rFonts w:ascii="Verdana" w:eastAsia="Calibri" w:hAnsi="Verdana" w:cs="Arial"/>
          <w:bCs/>
          <w:color w:val="000000" w:themeColor="text1"/>
        </w:rPr>
        <w:t>Finalmente</w:t>
      </w:r>
      <w:r>
        <w:rPr>
          <w:rFonts w:ascii="Verdana" w:eastAsia="Calibri" w:hAnsi="Verdana" w:cs="Times New Roman"/>
          <w:lang w:val="es-ES"/>
        </w:rPr>
        <w:t>,</w:t>
      </w:r>
      <w:r w:rsidRPr="00DB4737">
        <w:rPr>
          <w:rFonts w:ascii="Verdana" w:eastAsia="Calibri" w:hAnsi="Verdana" w:cs="Times New Roman"/>
          <w:lang w:val="es-ES"/>
        </w:rPr>
        <w:t xml:space="preserve"> debe advertirse que el análisis para resolver problemas en torno </w:t>
      </w:r>
      <w:r>
        <w:rPr>
          <w:rFonts w:ascii="Verdana" w:eastAsia="Calibri" w:hAnsi="Verdana" w:cs="Times New Roman"/>
          <w:lang w:val="es-ES"/>
        </w:rPr>
        <w:t>a un proceso de contratación especifico debe</w:t>
      </w:r>
      <w:r w:rsidRPr="0012388D">
        <w:rPr>
          <w:rFonts w:ascii="Verdana" w:eastAsia="Calibri" w:hAnsi="Verdana" w:cs="Times New Roman"/>
          <w:lang w:val="es-ES"/>
        </w:rPr>
        <w:t xml:space="preserve"> ser realizado por quienes tengan interés en ello.</w:t>
      </w:r>
      <w:r w:rsidRPr="00DB4737">
        <w:rPr>
          <w:rFonts w:ascii="Verdana" w:eastAsia="Calibri" w:hAnsi="Verdana" w:cs="Times New Roman"/>
          <w:lang w:val="es-ES"/>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CD211E">
        <w:rPr>
          <w:rFonts w:ascii="Verdana" w:eastAsia="Calibri" w:hAnsi="Verdana" w:cs="Times New Roman"/>
          <w:lang w:val="es-ES"/>
        </w:rPr>
        <w:t>.</w:t>
      </w:r>
    </w:p>
    <w:p w14:paraId="2F31ED02" w14:textId="77777777" w:rsidR="00EA6F8B" w:rsidRPr="00601CDD" w:rsidRDefault="00EA6F8B" w:rsidP="00EA6F8B">
      <w:pPr>
        <w:spacing w:before="120" w:after="0" w:line="276" w:lineRule="auto"/>
        <w:ind w:firstLine="708"/>
        <w:jc w:val="both"/>
        <w:rPr>
          <w:rFonts w:ascii="Verdana" w:eastAsia="Calibri" w:hAnsi="Verdana" w:cs="Arial"/>
        </w:rPr>
      </w:pPr>
      <w:r w:rsidRPr="00AE7E03">
        <w:rPr>
          <w:rFonts w:ascii="Verdana" w:eastAsia="Calibri" w:hAnsi="Verdana" w:cs="Times New Roman"/>
          <w:lang w:val="es-ES"/>
        </w:rPr>
        <w:t xml:space="preserve"> 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295E3693" w14:textId="77777777" w:rsidR="00EA6F8B" w:rsidRDefault="00EA6F8B" w:rsidP="00EA6F8B">
      <w:pPr>
        <w:spacing w:after="0" w:line="276" w:lineRule="auto"/>
        <w:jc w:val="both"/>
        <w:rPr>
          <w:rFonts w:ascii="Verdana" w:eastAsia="Calibri" w:hAnsi="Verdana" w:cs="Arial"/>
          <w:lang w:val="es-ES"/>
        </w:rPr>
      </w:pPr>
    </w:p>
    <w:p w14:paraId="1E607EDE" w14:textId="5814E1B7" w:rsidR="00EA6F8B" w:rsidRPr="0060676F" w:rsidRDefault="00EA6F8B" w:rsidP="0060676F">
      <w:pPr>
        <w:pStyle w:val="Prrafodelista"/>
        <w:numPr>
          <w:ilvl w:val="0"/>
          <w:numId w:val="16"/>
        </w:numPr>
        <w:spacing w:after="12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6EFDFD7" w14:textId="77777777" w:rsidR="00EA6F8B" w:rsidRPr="00593A5F" w:rsidRDefault="00EA6F8B" w:rsidP="00EA6F8B">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A6F8B" w:rsidRPr="00593A5F" w14:paraId="38226ED2" w14:textId="77777777" w:rsidTr="00CB1744">
        <w:trPr>
          <w:trHeight w:val="870"/>
        </w:trPr>
        <w:tc>
          <w:tcPr>
            <w:tcW w:w="8647" w:type="dxa"/>
          </w:tcPr>
          <w:p w14:paraId="48A638D8" w14:textId="77777777" w:rsidR="0060676F" w:rsidRPr="00072912" w:rsidRDefault="0060676F" w:rsidP="0060676F">
            <w:pPr>
              <w:pStyle w:val="Prrafodelista"/>
              <w:widowControl w:val="0"/>
              <w:numPr>
                <w:ilvl w:val="0"/>
                <w:numId w:val="25"/>
              </w:numPr>
              <w:autoSpaceDE w:val="0"/>
              <w:autoSpaceDN w:val="0"/>
              <w:spacing w:after="120"/>
              <w:ind w:left="714" w:hanging="357"/>
              <w:contextualSpacing w:val="0"/>
              <w:jc w:val="both"/>
              <w:rPr>
                <w:rFonts w:ascii="Verdana" w:hAnsi="Verdana" w:cs="Arial"/>
              </w:rPr>
            </w:pPr>
            <w:r w:rsidRPr="00072912">
              <w:rPr>
                <w:rFonts w:ascii="Verdana" w:hAnsi="Verdana" w:cs="Arial"/>
              </w:rPr>
              <w:t xml:space="preserve">Ley 1150 de 2007, artículo 2. </w:t>
            </w:r>
          </w:p>
          <w:p w14:paraId="102B0D79" w14:textId="6CF1F7D9" w:rsidR="00072912" w:rsidRPr="00072912" w:rsidRDefault="00072912" w:rsidP="00072912">
            <w:pPr>
              <w:pStyle w:val="Prrafodelista"/>
              <w:widowControl w:val="0"/>
              <w:numPr>
                <w:ilvl w:val="0"/>
                <w:numId w:val="25"/>
              </w:numPr>
              <w:autoSpaceDE w:val="0"/>
              <w:autoSpaceDN w:val="0"/>
              <w:spacing w:after="120"/>
              <w:ind w:left="714" w:hanging="357"/>
              <w:contextualSpacing w:val="0"/>
              <w:jc w:val="both"/>
              <w:rPr>
                <w:rFonts w:ascii="Verdana" w:hAnsi="Verdana" w:cs="Arial"/>
              </w:rPr>
            </w:pPr>
            <w:r w:rsidRPr="00072912">
              <w:rPr>
                <w:rFonts w:ascii="Verdana" w:eastAsia="Calibri" w:hAnsi="Verdana" w:cs="Arial"/>
              </w:rPr>
              <w:t>Ley 2108 de 2021</w:t>
            </w:r>
            <w:r w:rsidR="0060676F" w:rsidRPr="00072912">
              <w:rPr>
                <w:rFonts w:ascii="Verdana" w:hAnsi="Verdana" w:cs="Arial"/>
              </w:rPr>
              <w:t xml:space="preserve">. </w:t>
            </w:r>
            <w:r w:rsidRPr="00072912">
              <w:rPr>
                <w:rFonts w:ascii="Verdana" w:hAnsi="Verdana" w:cs="Arial"/>
              </w:rPr>
              <w:t xml:space="preserve">artículo 4. </w:t>
            </w:r>
          </w:p>
          <w:p w14:paraId="2BDF8E70" w14:textId="15F38D31" w:rsidR="0060676F" w:rsidRPr="00072912" w:rsidRDefault="00072912" w:rsidP="0060676F">
            <w:pPr>
              <w:pStyle w:val="Prrafodelista"/>
              <w:widowControl w:val="0"/>
              <w:numPr>
                <w:ilvl w:val="0"/>
                <w:numId w:val="25"/>
              </w:numPr>
              <w:autoSpaceDE w:val="0"/>
              <w:autoSpaceDN w:val="0"/>
              <w:spacing w:after="120"/>
              <w:ind w:left="714" w:hanging="357"/>
              <w:contextualSpacing w:val="0"/>
              <w:jc w:val="both"/>
              <w:rPr>
                <w:rFonts w:ascii="Verdana" w:hAnsi="Verdana" w:cs="Arial"/>
              </w:rPr>
            </w:pPr>
            <w:r w:rsidRPr="00072912">
              <w:rPr>
                <w:rFonts w:ascii="Verdana" w:eastAsia="Calibri" w:hAnsi="Verdana" w:cs="Arial"/>
              </w:rPr>
              <w:t xml:space="preserve">Ley 142 de 1994 </w:t>
            </w:r>
            <w:r w:rsidRPr="00072912">
              <w:rPr>
                <w:rFonts w:ascii="Verdana" w:hAnsi="Verdana" w:cs="Arial"/>
              </w:rPr>
              <w:t>artículo 14,21</w:t>
            </w:r>
          </w:p>
          <w:p w14:paraId="52C7D1FB" w14:textId="3C70FE10" w:rsidR="00072912" w:rsidRPr="00072912" w:rsidRDefault="00072912" w:rsidP="0060676F">
            <w:pPr>
              <w:pStyle w:val="Prrafodelista"/>
              <w:widowControl w:val="0"/>
              <w:numPr>
                <w:ilvl w:val="0"/>
                <w:numId w:val="25"/>
              </w:numPr>
              <w:autoSpaceDE w:val="0"/>
              <w:autoSpaceDN w:val="0"/>
              <w:spacing w:after="120"/>
              <w:ind w:left="714" w:hanging="357"/>
              <w:contextualSpacing w:val="0"/>
              <w:jc w:val="both"/>
              <w:rPr>
                <w:rFonts w:ascii="Verdana" w:hAnsi="Verdana" w:cs="Arial"/>
              </w:rPr>
            </w:pPr>
            <w:r w:rsidRPr="00072912">
              <w:rPr>
                <w:rFonts w:ascii="Verdana" w:eastAsia="Calibri" w:hAnsi="Verdana" w:cs="Arial"/>
              </w:rPr>
              <w:t>Decreto 310 de 2021 artículo 1º.</w:t>
            </w:r>
          </w:p>
          <w:p w14:paraId="3A681B9B" w14:textId="77777777" w:rsidR="0060676F" w:rsidRPr="00072912" w:rsidRDefault="0060676F" w:rsidP="0060676F">
            <w:pPr>
              <w:pStyle w:val="Prrafodelista"/>
              <w:widowControl w:val="0"/>
              <w:numPr>
                <w:ilvl w:val="0"/>
                <w:numId w:val="25"/>
              </w:numPr>
              <w:autoSpaceDE w:val="0"/>
              <w:autoSpaceDN w:val="0"/>
              <w:spacing w:after="120"/>
              <w:ind w:left="714" w:hanging="357"/>
              <w:contextualSpacing w:val="0"/>
              <w:jc w:val="both"/>
              <w:rPr>
                <w:rFonts w:ascii="Verdana" w:hAnsi="Verdana" w:cs="Arial"/>
              </w:rPr>
            </w:pPr>
            <w:r w:rsidRPr="00072912">
              <w:rPr>
                <w:rFonts w:ascii="Verdana" w:hAnsi="Verdana" w:cs="Arial"/>
              </w:rPr>
              <w:t xml:space="preserve">Decreto 1082 de 2015, artículos 2.2.2.1.1.1.3.1, </w:t>
            </w:r>
            <w:r w:rsidRPr="00072912">
              <w:rPr>
                <w:rFonts w:ascii="Verdana" w:eastAsia="Calibri" w:hAnsi="Verdana" w:cs="Arial"/>
                <w:bCs/>
                <w:color w:val="000000" w:themeColor="text1"/>
              </w:rPr>
              <w:t xml:space="preserve">2.2.1.1.2.2.2, </w:t>
            </w:r>
            <w:r w:rsidRPr="00072912">
              <w:rPr>
                <w:rFonts w:ascii="Verdana" w:eastAsia="Calibri" w:hAnsi="Verdana" w:cs="Arial"/>
                <w:bCs/>
                <w:color w:val="000000" w:themeColor="text1"/>
                <w:lang w:val="es-CO"/>
              </w:rPr>
              <w:t xml:space="preserve">2.2.1.2.1.2.7. 2.2.1.2.1.2.8., 2.2.1.2.1.2.9. </w:t>
            </w:r>
          </w:p>
          <w:p w14:paraId="14B67E92" w14:textId="76C39EB9" w:rsidR="00EA6F8B" w:rsidRPr="00332677" w:rsidRDefault="00072912" w:rsidP="00072912">
            <w:pPr>
              <w:pStyle w:val="Prrafodelista"/>
              <w:widowControl w:val="0"/>
              <w:numPr>
                <w:ilvl w:val="0"/>
                <w:numId w:val="25"/>
              </w:numPr>
              <w:autoSpaceDE w:val="0"/>
              <w:autoSpaceDN w:val="0"/>
              <w:spacing w:after="120"/>
              <w:ind w:left="714" w:hanging="357"/>
              <w:contextualSpacing w:val="0"/>
              <w:jc w:val="both"/>
              <w:rPr>
                <w:rFonts w:ascii="Verdana" w:hAnsi="Verdana" w:cs="Arial"/>
              </w:rPr>
            </w:pPr>
            <w:r w:rsidRPr="00072912">
              <w:rPr>
                <w:rFonts w:ascii="Verdana" w:eastAsia="Calibri" w:hAnsi="Verdana" w:cs="Arial"/>
              </w:rPr>
              <w:t>Circular Externa CCE No. 004 de 2021</w:t>
            </w:r>
            <w:r>
              <w:rPr>
                <w:rFonts w:ascii="Verdana" w:eastAsia="Calibri" w:hAnsi="Verdana" w:cs="Arial"/>
              </w:rPr>
              <w:t>.</w:t>
            </w:r>
          </w:p>
        </w:tc>
      </w:tr>
    </w:tbl>
    <w:p w14:paraId="0A71BF98" w14:textId="77777777" w:rsidR="0060676F" w:rsidRDefault="0060676F" w:rsidP="0060676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EA72AE3" w14:textId="1CCFF9F3" w:rsidR="00EA6F8B" w:rsidRDefault="00EA6F8B" w:rsidP="0060676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86B8465" w14:textId="77777777" w:rsidR="0060676F" w:rsidRPr="00593A5F" w:rsidRDefault="0060676F" w:rsidP="0060676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D8F4D76" w14:textId="6461D977" w:rsidR="00EA6F8B" w:rsidRPr="00AE7E03" w:rsidRDefault="00627ABB" w:rsidP="00EA6F8B">
      <w:pPr>
        <w:widowControl w:val="0"/>
        <w:autoSpaceDE w:val="0"/>
        <w:autoSpaceDN w:val="0"/>
        <w:spacing w:after="0" w:line="276" w:lineRule="auto"/>
        <w:jc w:val="both"/>
        <w:rPr>
          <w:rFonts w:ascii="Verdana" w:eastAsia="Arial" w:hAnsi="Verdana" w:cs="Arial"/>
          <w:lang w:val="es-MX" w:eastAsia="es-ES_tradnl"/>
        </w:rPr>
      </w:pPr>
      <w:r w:rsidRPr="00185EE9">
        <w:rPr>
          <w:rStyle w:val="normaltextrun"/>
          <w:rFonts w:ascii="Verdana" w:hAnsi="Verdana" w:cs="Arial"/>
          <w:shd w:val="clear" w:color="auto" w:fill="FFFFFF"/>
          <w:lang w:val="es-ES"/>
        </w:rPr>
        <w:t xml:space="preserve">Esta Subdirección se ha pronunciado sobre varios de los temas objeto de la solicitud. </w:t>
      </w:r>
      <w:r w:rsidRPr="00185EE9">
        <w:rPr>
          <w:rFonts w:ascii="Verdana" w:eastAsia="Calibri" w:hAnsi="Verdana" w:cs="Times New Roman"/>
        </w:rPr>
        <w:t>Estos y otros conceptos</w:t>
      </w:r>
      <w:r>
        <w:rPr>
          <w:rFonts w:ascii="Verdana" w:eastAsia="Calibri" w:hAnsi="Verdana" w:cs="Times New Roman"/>
        </w:rPr>
        <w:t>, tales como: C-108 de 2025, C-977 de 2024, C-597 de 2024, C-101 de 2023, entre otros</w:t>
      </w:r>
      <w:r w:rsidR="00EA6F8B">
        <w:rPr>
          <w:rFonts w:ascii="Verdana" w:eastAsia="Calibri" w:hAnsi="Verdana" w:cs="Arial"/>
          <w:lang w:val="es-ES" w:eastAsia="es-ES_tradnl"/>
        </w:rPr>
        <w:t>;</w:t>
      </w:r>
      <w:r w:rsidR="00EA6F8B" w:rsidRPr="00185EE9">
        <w:rPr>
          <w:rFonts w:ascii="Verdana" w:eastAsia="Calibri" w:hAnsi="Verdana" w:cs="Times New Roman"/>
        </w:rPr>
        <w:t xml:space="preserve"> </w:t>
      </w:r>
      <w:r w:rsidR="00EA6F8B">
        <w:rPr>
          <w:rFonts w:ascii="Verdana" w:eastAsia="Calibri" w:hAnsi="Verdana" w:cs="Times New Roman"/>
        </w:rPr>
        <w:t xml:space="preserve">estos </w:t>
      </w:r>
      <w:r w:rsidR="00EA6F8B"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D9B84DB" w14:textId="77777777" w:rsidR="00EA6F8B" w:rsidRPr="0065720B" w:rsidRDefault="00EA6F8B" w:rsidP="00EA6F8B">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Pr="00191357">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w:t>
      </w:r>
    </w:p>
    <w:p w14:paraId="124488FF" w14:textId="77777777" w:rsidR="00EA6F8B" w:rsidRDefault="00EA6F8B" w:rsidP="00EA6F8B">
      <w:pPr>
        <w:widowControl w:val="0"/>
        <w:autoSpaceDE w:val="0"/>
        <w:autoSpaceDN w:val="0"/>
        <w:spacing w:after="0" w:line="276" w:lineRule="auto"/>
        <w:jc w:val="both"/>
        <w:rPr>
          <w:rStyle w:val="normaltextrun"/>
          <w:rFonts w:ascii="Verdana" w:hAnsi="Verdana" w:cs="Arial"/>
          <w:shd w:val="clear" w:color="auto" w:fill="FFFFFF"/>
          <w:lang w:val="es-ES"/>
        </w:rPr>
      </w:pPr>
    </w:p>
    <w:p w14:paraId="6A486465" w14:textId="77777777" w:rsidR="00EA6F8B" w:rsidRDefault="00EA6F8B" w:rsidP="00EA6F8B">
      <w:pPr>
        <w:widowControl w:val="0"/>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764054A6" w14:textId="77777777" w:rsidR="00EA6F8B" w:rsidRPr="00505CD6" w:rsidRDefault="00EA6F8B" w:rsidP="00EA6F8B">
      <w:pPr>
        <w:widowControl w:val="0"/>
        <w:autoSpaceDE w:val="0"/>
        <w:autoSpaceDN w:val="0"/>
        <w:spacing w:after="0" w:line="276" w:lineRule="auto"/>
        <w:jc w:val="both"/>
        <w:rPr>
          <w:rFonts w:ascii="Verdana" w:hAnsi="Verdana" w:cs="Arial"/>
          <w:color w:val="000000" w:themeColor="text1"/>
          <w:shd w:val="clear" w:color="auto" w:fill="FFFFFF"/>
        </w:rPr>
      </w:pPr>
    </w:p>
    <w:p w14:paraId="1CFC5BF8" w14:textId="77777777" w:rsidR="00EA6F8B" w:rsidRPr="00505CD6" w:rsidRDefault="00EA6F8B" w:rsidP="00EA6F8B">
      <w:pPr>
        <w:widowControl w:val="0"/>
        <w:numPr>
          <w:ilvl w:val="0"/>
          <w:numId w:val="17"/>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4" w:tgtFrame="_blank" w:tooltip="Dirección URL original: https://www.colombiacompra.gov.co/content/03-documentos-tipo-para-los-procesos-de-seleccion-de-interventoria-de-obra-publica-de. Haga clic o pulse si confía en este vínculo." w:history="1">
        <w:r w:rsidRPr="00505CD6">
          <w:rPr>
            <w:rFonts w:ascii="Verdana" w:hAnsi="Verdana" w:cs="Arial"/>
            <w:color w:val="0563C1" w:themeColor="hyperlink"/>
            <w:u w:val="single"/>
            <w:shd w:val="clear" w:color="auto" w:fill="FFFFFF"/>
          </w:rPr>
          <w:t>03. Documentos tipo para los procesos de selección de interventoría de obra pública de infraestructura de transporte – versión 3 | Colombia Compra Eficiente | Agencia Nacional de Contratación Pública</w:t>
        </w:r>
      </w:hyperlink>
    </w:p>
    <w:p w14:paraId="1860EFB8" w14:textId="77777777" w:rsidR="00EA6F8B" w:rsidRPr="00505CD6" w:rsidRDefault="00EA6F8B" w:rsidP="00EA6F8B">
      <w:pPr>
        <w:widowControl w:val="0"/>
        <w:numPr>
          <w:ilvl w:val="0"/>
          <w:numId w:val="17"/>
        </w:numPr>
        <w:autoSpaceDE w:val="0"/>
        <w:autoSpaceDN w:val="0"/>
        <w:spacing w:after="0" w:line="276" w:lineRule="auto"/>
        <w:jc w:val="both"/>
        <w:rPr>
          <w:rFonts w:ascii="Verdana" w:hAnsi="Verdana" w:cs="Arial"/>
          <w:color w:val="000000" w:themeColor="text1"/>
          <w:shd w:val="clear" w:color="auto" w:fill="FFFFFF"/>
        </w:rPr>
      </w:pPr>
      <w:r w:rsidRPr="00505CD6">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505CD6">
        <w:rPr>
          <w:rFonts w:ascii="Verdana" w:hAnsi="Verdana" w:cs="Arial"/>
          <w:color w:val="000000" w:themeColor="text1"/>
          <w:shd w:val="clear" w:color="auto" w:fill="FFFFFF"/>
        </w:rPr>
        <w:t> </w:t>
      </w:r>
      <w:hyperlink r:id="rId15" w:tgtFrame="_blank" w:tooltip="Dirección URL original: https://www.colombiacompra.gov.co/content/02-documentos-tipo-para-los-procesos-de-seleccion-de-consultoria-de-obra-publica-de. Haga clic o pulse si confía en este vínculo." w:history="1">
        <w:r w:rsidRPr="00505CD6">
          <w:rPr>
            <w:rFonts w:ascii="Verdana" w:hAnsi="Verdana" w:cs="Arial"/>
            <w:color w:val="0563C1" w:themeColor="hyperlink"/>
            <w:u w:val="single"/>
            <w:shd w:val="clear" w:color="auto" w:fill="FFFFFF"/>
          </w:rPr>
          <w:t>02. Documentos tipo para los procesos de selección de consultoría de obra pública de infraestructura de transporte – versión 2. | Colombia Compra Eficiente | Agencia Nacional de Contratación Pública</w:t>
        </w:r>
      </w:hyperlink>
    </w:p>
    <w:p w14:paraId="59D92947" w14:textId="77777777" w:rsidR="00EA6F8B" w:rsidRPr="00505CD6" w:rsidRDefault="00EA6F8B" w:rsidP="00EA6F8B">
      <w:pPr>
        <w:widowControl w:val="0"/>
        <w:autoSpaceDE w:val="0"/>
        <w:autoSpaceDN w:val="0"/>
        <w:spacing w:after="0" w:line="276" w:lineRule="auto"/>
        <w:jc w:val="both"/>
        <w:rPr>
          <w:rFonts w:ascii="Verdana" w:hAnsi="Verdana" w:cs="Arial"/>
          <w:color w:val="000000" w:themeColor="text1"/>
          <w:shd w:val="clear" w:color="auto" w:fill="FFFFFF"/>
        </w:rPr>
      </w:pPr>
    </w:p>
    <w:p w14:paraId="7B1174E9" w14:textId="77777777" w:rsidR="00EA6F8B" w:rsidRDefault="00EA6F8B" w:rsidP="00EA6F8B">
      <w:pPr>
        <w:widowControl w:val="0"/>
        <w:autoSpaceDE w:val="0"/>
        <w:autoSpaceDN w:val="0"/>
        <w:spacing w:after="0" w:line="276" w:lineRule="auto"/>
        <w:jc w:val="both"/>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t>.</w:t>
      </w:r>
    </w:p>
    <w:p w14:paraId="67BF12F7" w14:textId="77777777" w:rsidR="00EA6F8B" w:rsidRDefault="00EA6F8B" w:rsidP="00EA6F8B">
      <w:pPr>
        <w:widowControl w:val="0"/>
        <w:autoSpaceDE w:val="0"/>
        <w:autoSpaceDN w:val="0"/>
        <w:spacing w:after="0" w:line="276" w:lineRule="auto"/>
        <w:jc w:val="both"/>
      </w:pPr>
    </w:p>
    <w:p w14:paraId="2847858B" w14:textId="77777777" w:rsidR="00EA6F8B" w:rsidRPr="00505CD6" w:rsidRDefault="00EA6F8B" w:rsidP="00EA6F8B">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5ADAE9FB" w14:textId="77777777" w:rsidR="00EA6F8B" w:rsidRPr="00505CD6" w:rsidRDefault="00EA6F8B" w:rsidP="00EA6F8B">
      <w:pPr>
        <w:widowControl w:val="0"/>
        <w:autoSpaceDE w:val="0"/>
        <w:autoSpaceDN w:val="0"/>
        <w:spacing w:after="0" w:line="276" w:lineRule="auto"/>
        <w:jc w:val="both"/>
        <w:rPr>
          <w:rFonts w:ascii="Verdana" w:hAnsi="Verdana" w:cs="Arial"/>
        </w:rPr>
      </w:pPr>
    </w:p>
    <w:p w14:paraId="1B4F1CC6" w14:textId="77777777" w:rsidR="00EA6F8B" w:rsidRPr="00505CD6" w:rsidRDefault="00EA6F8B" w:rsidP="00EA6F8B">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450FA28F" w14:textId="77777777" w:rsidR="00EA6F8B" w:rsidRDefault="00EA6F8B" w:rsidP="00EA6F8B">
      <w:pPr>
        <w:spacing w:line="276" w:lineRule="auto"/>
        <w:jc w:val="center"/>
        <w:rPr>
          <w:rFonts w:ascii="Verdana" w:hAnsi="Verdana"/>
          <w:noProof/>
        </w:rPr>
      </w:pPr>
    </w:p>
    <w:p w14:paraId="03DC1E7F" w14:textId="082B9A37" w:rsidR="00EA6F8B" w:rsidRDefault="00C6727F" w:rsidP="00EA6F8B">
      <w:pPr>
        <w:spacing w:line="276" w:lineRule="auto"/>
        <w:jc w:val="center"/>
        <w:rPr>
          <w:rFonts w:ascii="Verdana" w:hAnsi="Verdana"/>
          <w:noProof/>
          <w:color w:val="000000"/>
        </w:rPr>
      </w:pPr>
      <w:r w:rsidRPr="002C3AD6">
        <w:rPr>
          <w:rFonts w:ascii="Century Gothic" w:hAnsi="Century Gothic"/>
          <w:noProof/>
        </w:rPr>
        <w:lastRenderedPageBreak/>
        <w:drawing>
          <wp:inline distT="0" distB="0" distL="0" distR="0" wp14:anchorId="0BC7E974" wp14:editId="0F53C6D5">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A6F8B" w:rsidRPr="00593A5F" w14:paraId="433F2660" w14:textId="77777777" w:rsidTr="00CB1744">
        <w:trPr>
          <w:trHeight w:val="315"/>
        </w:trPr>
        <w:tc>
          <w:tcPr>
            <w:tcW w:w="893" w:type="dxa"/>
            <w:vAlign w:val="center"/>
            <w:hideMark/>
          </w:tcPr>
          <w:p w14:paraId="2E8A99BF" w14:textId="77777777" w:rsidR="00EA6F8B" w:rsidRPr="003751C7" w:rsidRDefault="00EA6F8B" w:rsidP="00CB174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639034A" w14:textId="2903FF2E" w:rsidR="00EA6F8B" w:rsidRPr="00E24803" w:rsidRDefault="00627ABB" w:rsidP="00CB1744">
            <w:pPr>
              <w:spacing w:line="276" w:lineRule="auto"/>
              <w:contextualSpacing/>
              <w:jc w:val="both"/>
              <w:rPr>
                <w:rFonts w:ascii="Verdana" w:hAnsi="Verdana"/>
                <w:sz w:val="16"/>
                <w:szCs w:val="16"/>
              </w:rPr>
            </w:pPr>
            <w:r>
              <w:rPr>
                <w:rFonts w:ascii="Verdana" w:hAnsi="Verdana"/>
                <w:sz w:val="16"/>
                <w:szCs w:val="16"/>
              </w:rPr>
              <w:t>Daniel Eduardo Rojas</w:t>
            </w:r>
          </w:p>
          <w:p w14:paraId="243FEBA0" w14:textId="77777777" w:rsidR="00EA6F8B" w:rsidRPr="000015E6" w:rsidRDefault="00EA6F8B" w:rsidP="00CB1744">
            <w:pPr>
              <w:contextualSpacing/>
              <w:rPr>
                <w:rFonts w:ascii="Verdana" w:eastAsia="Arial" w:hAnsi="Verdana" w:cs="Arial"/>
                <w:sz w:val="16"/>
                <w:szCs w:val="16"/>
              </w:rPr>
            </w:pPr>
            <w:r w:rsidRPr="00E24803">
              <w:rPr>
                <w:rFonts w:ascii="Verdana" w:hAnsi="Verdana"/>
                <w:sz w:val="16"/>
                <w:szCs w:val="16"/>
              </w:rPr>
              <w:t>Contratista de la Subdirección de Gestión Contractual</w:t>
            </w:r>
          </w:p>
        </w:tc>
      </w:tr>
      <w:tr w:rsidR="00EA6F8B" w:rsidRPr="00593A5F" w14:paraId="1D40F55D" w14:textId="77777777" w:rsidTr="00CB1744">
        <w:trPr>
          <w:trHeight w:val="330"/>
        </w:trPr>
        <w:tc>
          <w:tcPr>
            <w:tcW w:w="893" w:type="dxa"/>
            <w:vAlign w:val="center"/>
            <w:hideMark/>
          </w:tcPr>
          <w:p w14:paraId="68B01520" w14:textId="77777777" w:rsidR="00EA6F8B" w:rsidRPr="003751C7" w:rsidRDefault="00EA6F8B" w:rsidP="00CB174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276E2D" w14:textId="05C3EF99" w:rsidR="00EA6F8B" w:rsidRPr="00E24803" w:rsidRDefault="00627ABB" w:rsidP="00CB1744">
            <w:pPr>
              <w:spacing w:line="276" w:lineRule="auto"/>
              <w:contextualSpacing/>
              <w:jc w:val="both"/>
              <w:rPr>
                <w:rFonts w:ascii="Verdana" w:hAnsi="Verdana"/>
                <w:sz w:val="16"/>
                <w:szCs w:val="16"/>
              </w:rPr>
            </w:pPr>
            <w:r>
              <w:rPr>
                <w:rFonts w:ascii="Verdana" w:hAnsi="Verdana"/>
                <w:sz w:val="16"/>
                <w:szCs w:val="16"/>
              </w:rPr>
              <w:t>Alejandro Sarmiento</w:t>
            </w:r>
          </w:p>
          <w:p w14:paraId="71BA905B" w14:textId="77777777" w:rsidR="00EA6F8B" w:rsidRPr="00EF40D2" w:rsidRDefault="00EA6F8B" w:rsidP="00CB1744">
            <w:pPr>
              <w:pStyle w:val="paragraph"/>
              <w:spacing w:before="0" w:beforeAutospacing="0" w:after="0" w:afterAutospacing="0"/>
              <w:contextualSpacing/>
              <w:textAlignment w:val="baseline"/>
              <w:rPr>
                <w:rFonts w:ascii="Verdana" w:hAnsi="Verdana" w:cstheme="minorHAnsi"/>
                <w:sz w:val="16"/>
                <w:szCs w:val="16"/>
              </w:rPr>
            </w:pPr>
            <w:r>
              <w:rPr>
                <w:rStyle w:val="normaltextrun"/>
                <w:rFonts w:ascii="Verdana" w:eastAsia="Arial" w:hAnsi="Verdana" w:cs="Arial"/>
                <w:sz w:val="16"/>
                <w:szCs w:val="16"/>
              </w:rPr>
              <w:t xml:space="preserve">Contratista </w:t>
            </w:r>
            <w:r w:rsidRPr="000015E6">
              <w:rPr>
                <w:rStyle w:val="normaltextrun"/>
                <w:rFonts w:ascii="Verdana" w:eastAsia="Arial" w:hAnsi="Verdana" w:cs="Arial"/>
                <w:sz w:val="16"/>
                <w:szCs w:val="16"/>
              </w:rPr>
              <w:t>Subdirección de Gestión Contractual</w:t>
            </w:r>
          </w:p>
        </w:tc>
      </w:tr>
      <w:tr w:rsidR="00EA6F8B" w:rsidRPr="00593A5F" w14:paraId="32FEBBEF" w14:textId="77777777" w:rsidTr="00CB1744">
        <w:trPr>
          <w:trHeight w:val="300"/>
        </w:trPr>
        <w:tc>
          <w:tcPr>
            <w:tcW w:w="893" w:type="dxa"/>
            <w:vAlign w:val="center"/>
          </w:tcPr>
          <w:p w14:paraId="60119F77" w14:textId="77777777" w:rsidR="00EA6F8B" w:rsidRPr="003751C7" w:rsidRDefault="00EA6F8B" w:rsidP="00CB174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1F784A" w14:textId="77777777" w:rsidR="00EA6F8B" w:rsidRPr="000015E6" w:rsidRDefault="00EA6F8B" w:rsidP="00CB1744">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p>
          <w:p w14:paraId="1556837B" w14:textId="77777777" w:rsidR="00EA6F8B" w:rsidRPr="000015E6" w:rsidRDefault="00EA6F8B" w:rsidP="00CB1744">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bookmarkEnd w:id="1"/>
      <w:bookmarkEnd w:id="2"/>
      <w:bookmarkEnd w:id="3"/>
    </w:tbl>
    <w:p w14:paraId="717C86C7" w14:textId="77777777" w:rsidR="00EA6F8B" w:rsidRPr="0044528D" w:rsidRDefault="00EA6F8B" w:rsidP="00EA6F8B">
      <w:pPr>
        <w:spacing w:after="0"/>
        <w:rPr>
          <w:rFonts w:ascii="Verdana" w:hAnsi="Verdana"/>
        </w:rPr>
      </w:pPr>
    </w:p>
    <w:p w14:paraId="3900974D" w14:textId="77777777" w:rsidR="003D5B0D" w:rsidRPr="00EA6F8B" w:rsidRDefault="003D5B0D" w:rsidP="00EA6F8B"/>
    <w:sectPr w:rsidR="003D5B0D" w:rsidRPr="00EA6F8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B6533" w14:textId="77777777" w:rsidR="00936AFE" w:rsidRDefault="00936AFE" w:rsidP="004A1847">
      <w:pPr>
        <w:spacing w:after="0" w:line="240" w:lineRule="auto"/>
      </w:pPr>
      <w:r>
        <w:separator/>
      </w:r>
    </w:p>
  </w:endnote>
  <w:endnote w:type="continuationSeparator" w:id="0">
    <w:p w14:paraId="29894EBD" w14:textId="77777777" w:rsidR="00936AFE" w:rsidRDefault="00936AF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981EA" w14:textId="77777777" w:rsidR="00936AFE" w:rsidRDefault="00936AFE" w:rsidP="004A1847">
      <w:pPr>
        <w:spacing w:after="0" w:line="240" w:lineRule="auto"/>
      </w:pPr>
      <w:r>
        <w:separator/>
      </w:r>
    </w:p>
  </w:footnote>
  <w:footnote w:type="continuationSeparator" w:id="0">
    <w:p w14:paraId="42AA50B1" w14:textId="77777777" w:rsidR="00936AFE" w:rsidRDefault="00936AFE" w:rsidP="004A1847">
      <w:pPr>
        <w:spacing w:after="0" w:line="240" w:lineRule="auto"/>
      </w:pPr>
      <w:r>
        <w:continuationSeparator/>
      </w:r>
    </w:p>
  </w:footnote>
  <w:footnote w:id="1">
    <w:p w14:paraId="42C8F56B" w14:textId="08FBC973" w:rsidR="006B4A7A" w:rsidRPr="006B4A7A" w:rsidRDefault="006B4A7A">
      <w:pPr>
        <w:pStyle w:val="Textonotapie"/>
        <w:rPr>
          <w:rFonts w:ascii="Verdana" w:hAnsi="Verdana"/>
          <w:sz w:val="16"/>
          <w:szCs w:val="16"/>
          <w:lang w:val="es-ES"/>
        </w:rPr>
      </w:pPr>
      <w:r w:rsidRPr="006B4A7A">
        <w:rPr>
          <w:rStyle w:val="Refdenotaalpie"/>
          <w:rFonts w:ascii="Verdana" w:hAnsi="Verdana"/>
          <w:sz w:val="16"/>
          <w:szCs w:val="16"/>
        </w:rPr>
        <w:footnoteRef/>
      </w:r>
      <w:r w:rsidRPr="006B4A7A">
        <w:rPr>
          <w:rFonts w:ascii="Verdana" w:hAnsi="Verdana"/>
          <w:sz w:val="16"/>
          <w:szCs w:val="16"/>
        </w:rPr>
        <w:t xml:space="preserve"> https://www.colombiacompra.gov.co/secop/tvec/que-es-la-tienda-virtual/guia-general-de-los-acuerdos-marco-de-precio</w:t>
      </w:r>
    </w:p>
  </w:footnote>
  <w:footnote w:id="2">
    <w:p w14:paraId="0A6FCFAF" w14:textId="4361B59C" w:rsidR="00534E85" w:rsidRPr="00534E85" w:rsidRDefault="00534E85">
      <w:pPr>
        <w:pStyle w:val="Textonotapie"/>
        <w:rPr>
          <w:rFonts w:ascii="Verdana" w:hAnsi="Verdana"/>
          <w:sz w:val="16"/>
          <w:szCs w:val="16"/>
          <w:lang w:val="es-ES"/>
        </w:rPr>
      </w:pPr>
      <w:r w:rsidRPr="00534E85">
        <w:rPr>
          <w:rStyle w:val="Refdenotaalpie"/>
          <w:rFonts w:ascii="Verdana" w:hAnsi="Verdana"/>
          <w:sz w:val="16"/>
          <w:szCs w:val="16"/>
        </w:rPr>
        <w:footnoteRef/>
      </w:r>
      <w:r w:rsidRPr="00534E85">
        <w:rPr>
          <w:rFonts w:ascii="Verdana" w:hAnsi="Verdana"/>
          <w:sz w:val="16"/>
          <w:szCs w:val="16"/>
        </w:rPr>
        <w:t xml:space="preserve"> Ley de Internet como servicio público esencial y universal o por medio de la cual se modifica la Ley 1341 de 2009 y se dictan otras disposiciones.</w:t>
      </w:r>
    </w:p>
  </w:footnote>
  <w:footnote w:id="3">
    <w:p w14:paraId="7B41C777" w14:textId="6810A3ED" w:rsidR="00534E85" w:rsidRPr="00534E85" w:rsidRDefault="00534E85">
      <w:pPr>
        <w:pStyle w:val="Textonotapie"/>
        <w:rPr>
          <w:lang w:val="es-ES"/>
        </w:rPr>
      </w:pPr>
      <w:r>
        <w:rPr>
          <w:rStyle w:val="Refdenotaalpie"/>
        </w:rPr>
        <w:footnoteRef/>
      </w:r>
      <w:r>
        <w:t xml:space="preserve"> </w:t>
      </w:r>
      <w:r>
        <w:rPr>
          <w:rFonts w:ascii="Verdana" w:hAnsi="Verdana"/>
          <w:sz w:val="16"/>
          <w:szCs w:val="16"/>
        </w:rPr>
        <w:t>P</w:t>
      </w:r>
      <w:r w:rsidRPr="00534E85">
        <w:rPr>
          <w:rFonts w:ascii="Verdana" w:hAnsi="Verdana"/>
          <w:sz w:val="16"/>
          <w:szCs w:val="16"/>
        </w:rPr>
        <w:t xml:space="preserve">or la cual se establece el régimen de los servicios públicos domiciliarios y se dictan otras disposiciones. </w:t>
      </w:r>
    </w:p>
  </w:footnote>
  <w:footnote w:id="4">
    <w:p w14:paraId="716998C7" w14:textId="77777777" w:rsidR="005E4A9B" w:rsidRPr="006B4A7A" w:rsidRDefault="005E4A9B" w:rsidP="005E4A9B">
      <w:pPr>
        <w:pStyle w:val="Textonotapie"/>
        <w:rPr>
          <w:rFonts w:ascii="Verdana" w:hAnsi="Verdana"/>
          <w:sz w:val="16"/>
          <w:szCs w:val="16"/>
          <w:lang w:val="es-ES"/>
        </w:rPr>
      </w:pPr>
      <w:r w:rsidRPr="006B4A7A">
        <w:rPr>
          <w:rStyle w:val="Refdenotaalpie"/>
          <w:rFonts w:ascii="Verdana" w:hAnsi="Verdana"/>
          <w:sz w:val="16"/>
          <w:szCs w:val="16"/>
        </w:rPr>
        <w:footnoteRef/>
      </w:r>
      <w:r w:rsidRPr="006B4A7A">
        <w:rPr>
          <w:rFonts w:ascii="Verdana" w:hAnsi="Verdana"/>
          <w:sz w:val="16"/>
          <w:szCs w:val="16"/>
        </w:rPr>
        <w:t xml:space="preserve"> https://www.colombiacompra.gov.co/secop/tvec/que-es-la-tienda-virtual/guia-general-de-los-acuerdos-marco-de-precio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EF769C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082441427" o:spid="_x0000_i1025" type="#_x0000_t75" style="width:11.25pt;height:11.25pt;visibility:visible;mso-wrap-style:square">
            <v:imagedata r:id="rId1" o:title=""/>
          </v:shape>
        </w:pict>
      </mc:Choice>
      <mc:Fallback>
        <w:drawing>
          <wp:inline distT="0" distB="0" distL="0" distR="0" wp14:anchorId="4CC3776A" wp14:editId="01C9025E">
            <wp:extent cx="142875" cy="142875"/>
            <wp:effectExtent l="0" t="0" r="0" b="0"/>
            <wp:docPr id="2082441427" name="Imagen 2082441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55F70BE"/>
    <w:multiLevelType w:val="hybridMultilevel"/>
    <w:tmpl w:val="DDC6B8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9E447ED"/>
    <w:multiLevelType w:val="hybridMultilevel"/>
    <w:tmpl w:val="0D9EA20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34D3366"/>
    <w:multiLevelType w:val="hybridMultilevel"/>
    <w:tmpl w:val="57CCBBD0"/>
    <w:lvl w:ilvl="0" w:tplc="0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14" w15:restartNumberingAfterBreak="0">
    <w:nsid w:val="4EA56657"/>
    <w:multiLevelType w:val="hybridMultilevel"/>
    <w:tmpl w:val="993AE28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588A691A"/>
    <w:multiLevelType w:val="multilevel"/>
    <w:tmpl w:val="C2946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6880547"/>
    <w:multiLevelType w:val="hybridMultilevel"/>
    <w:tmpl w:val="2772A2D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48779781">
    <w:abstractNumId w:val="9"/>
  </w:num>
  <w:num w:numId="2" w16cid:durableId="19822139">
    <w:abstractNumId w:val="2"/>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9"/>
  </w:num>
  <w:num w:numId="7" w16cid:durableId="1946422806">
    <w:abstractNumId w:val="8"/>
  </w:num>
  <w:num w:numId="8" w16cid:durableId="152644682">
    <w:abstractNumId w:val="18"/>
  </w:num>
  <w:num w:numId="9" w16cid:durableId="1317221377">
    <w:abstractNumId w:val="10"/>
  </w:num>
  <w:num w:numId="10" w16cid:durableId="1471245386">
    <w:abstractNumId w:val="17"/>
  </w:num>
  <w:num w:numId="11" w16cid:durableId="289172385">
    <w:abstractNumId w:val="11"/>
  </w:num>
  <w:num w:numId="12" w16cid:durableId="1470781324">
    <w:abstractNumId w:val="1"/>
  </w:num>
  <w:num w:numId="13" w16cid:durableId="1512908409">
    <w:abstractNumId w:val="3"/>
  </w:num>
  <w:num w:numId="14" w16cid:durableId="895897244">
    <w:abstractNumId w:val="20"/>
  </w:num>
  <w:num w:numId="15" w16cid:durableId="390349800">
    <w:abstractNumId w:val="16"/>
  </w:num>
  <w:num w:numId="16" w16cid:durableId="1380713882">
    <w:abstractNumId w:val="0"/>
  </w:num>
  <w:num w:numId="17" w16cid:durableId="1982299905">
    <w:abstractNumId w:val="22"/>
  </w:num>
  <w:num w:numId="18" w16cid:durableId="1312443995">
    <w:abstractNumId w:val="13"/>
  </w:num>
  <w:num w:numId="19" w16cid:durableId="1090270099">
    <w:abstractNumId w:val="4"/>
  </w:num>
  <w:num w:numId="20" w16cid:durableId="1339229775">
    <w:abstractNumId w:val="5"/>
  </w:num>
  <w:num w:numId="21" w16cid:durableId="2063366378">
    <w:abstractNumId w:val="21"/>
  </w:num>
  <w:num w:numId="22" w16cid:durableId="344594084">
    <w:abstractNumId w:val="15"/>
  </w:num>
  <w:num w:numId="23" w16cid:durableId="116262960">
    <w:abstractNumId w:val="14"/>
  </w:num>
  <w:num w:numId="24" w16cid:durableId="1492209491">
    <w:abstractNumId w:val="7"/>
  </w:num>
  <w:num w:numId="25" w16cid:durableId="69180239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50FC6"/>
    <w:rsid w:val="00061B2A"/>
    <w:rsid w:val="00072912"/>
    <w:rsid w:val="00077D69"/>
    <w:rsid w:val="00082362"/>
    <w:rsid w:val="00090F95"/>
    <w:rsid w:val="000A683E"/>
    <w:rsid w:val="000B19B9"/>
    <w:rsid w:val="000C4E77"/>
    <w:rsid w:val="000D0334"/>
    <w:rsid w:val="000F6486"/>
    <w:rsid w:val="001036C7"/>
    <w:rsid w:val="00125105"/>
    <w:rsid w:val="00127233"/>
    <w:rsid w:val="001511A0"/>
    <w:rsid w:val="001855B9"/>
    <w:rsid w:val="001E3B47"/>
    <w:rsid w:val="001E4177"/>
    <w:rsid w:val="001F7DC6"/>
    <w:rsid w:val="0021322E"/>
    <w:rsid w:val="0023684A"/>
    <w:rsid w:val="002421BB"/>
    <w:rsid w:val="00247470"/>
    <w:rsid w:val="0025796E"/>
    <w:rsid w:val="002707A2"/>
    <w:rsid w:val="002948BE"/>
    <w:rsid w:val="002951A0"/>
    <w:rsid w:val="002962BC"/>
    <w:rsid w:val="002A093D"/>
    <w:rsid w:val="002A0DD0"/>
    <w:rsid w:val="002A49AC"/>
    <w:rsid w:val="002A64FD"/>
    <w:rsid w:val="002C7A84"/>
    <w:rsid w:val="002E4FD9"/>
    <w:rsid w:val="00314F4D"/>
    <w:rsid w:val="00322A85"/>
    <w:rsid w:val="00324168"/>
    <w:rsid w:val="003448F4"/>
    <w:rsid w:val="00374F5E"/>
    <w:rsid w:val="00377E3E"/>
    <w:rsid w:val="003A779E"/>
    <w:rsid w:val="003B5924"/>
    <w:rsid w:val="003B63AC"/>
    <w:rsid w:val="003D0F4D"/>
    <w:rsid w:val="003D5B0D"/>
    <w:rsid w:val="003E0499"/>
    <w:rsid w:val="003F3941"/>
    <w:rsid w:val="00406575"/>
    <w:rsid w:val="00414C74"/>
    <w:rsid w:val="0042722E"/>
    <w:rsid w:val="0044528D"/>
    <w:rsid w:val="004A1847"/>
    <w:rsid w:val="004A1AB7"/>
    <w:rsid w:val="004A305D"/>
    <w:rsid w:val="004B4B15"/>
    <w:rsid w:val="004F21C4"/>
    <w:rsid w:val="004F6584"/>
    <w:rsid w:val="004F685F"/>
    <w:rsid w:val="005262D8"/>
    <w:rsid w:val="00534E85"/>
    <w:rsid w:val="005566E8"/>
    <w:rsid w:val="005600EE"/>
    <w:rsid w:val="00574867"/>
    <w:rsid w:val="00591460"/>
    <w:rsid w:val="00593B7F"/>
    <w:rsid w:val="005B3816"/>
    <w:rsid w:val="005C2D6C"/>
    <w:rsid w:val="005C3777"/>
    <w:rsid w:val="005C5CDC"/>
    <w:rsid w:val="005D476C"/>
    <w:rsid w:val="005E4A9B"/>
    <w:rsid w:val="0060176C"/>
    <w:rsid w:val="0060676F"/>
    <w:rsid w:val="006219F8"/>
    <w:rsid w:val="00627ABB"/>
    <w:rsid w:val="00631945"/>
    <w:rsid w:val="00665D70"/>
    <w:rsid w:val="006900D9"/>
    <w:rsid w:val="006B4A7A"/>
    <w:rsid w:val="00706C16"/>
    <w:rsid w:val="00756841"/>
    <w:rsid w:val="007649AB"/>
    <w:rsid w:val="00771D0C"/>
    <w:rsid w:val="007833AC"/>
    <w:rsid w:val="007B268C"/>
    <w:rsid w:val="007B7171"/>
    <w:rsid w:val="007C0C0F"/>
    <w:rsid w:val="007C3DC2"/>
    <w:rsid w:val="007E5497"/>
    <w:rsid w:val="00806F5F"/>
    <w:rsid w:val="00820278"/>
    <w:rsid w:val="008433C8"/>
    <w:rsid w:val="00865288"/>
    <w:rsid w:val="00867F95"/>
    <w:rsid w:val="008843B6"/>
    <w:rsid w:val="00891928"/>
    <w:rsid w:val="008A446D"/>
    <w:rsid w:val="008D0800"/>
    <w:rsid w:val="008D180B"/>
    <w:rsid w:val="008F0EA7"/>
    <w:rsid w:val="00901FDB"/>
    <w:rsid w:val="00923EEF"/>
    <w:rsid w:val="00936AFE"/>
    <w:rsid w:val="009419F9"/>
    <w:rsid w:val="0095685E"/>
    <w:rsid w:val="00956B47"/>
    <w:rsid w:val="00961B09"/>
    <w:rsid w:val="009642E6"/>
    <w:rsid w:val="009643EB"/>
    <w:rsid w:val="00965334"/>
    <w:rsid w:val="0097093E"/>
    <w:rsid w:val="00986AC5"/>
    <w:rsid w:val="009A0DFA"/>
    <w:rsid w:val="009B2D26"/>
    <w:rsid w:val="009C71FA"/>
    <w:rsid w:val="009C72E7"/>
    <w:rsid w:val="009D3058"/>
    <w:rsid w:val="009D6901"/>
    <w:rsid w:val="009F3A13"/>
    <w:rsid w:val="00A122D3"/>
    <w:rsid w:val="00A17F13"/>
    <w:rsid w:val="00A20739"/>
    <w:rsid w:val="00A33C78"/>
    <w:rsid w:val="00A50C95"/>
    <w:rsid w:val="00AA43E6"/>
    <w:rsid w:val="00AB0ADB"/>
    <w:rsid w:val="00B01B1A"/>
    <w:rsid w:val="00B06BA4"/>
    <w:rsid w:val="00B1370B"/>
    <w:rsid w:val="00B66319"/>
    <w:rsid w:val="00B72CD3"/>
    <w:rsid w:val="00B72FFF"/>
    <w:rsid w:val="00B87D05"/>
    <w:rsid w:val="00B943DB"/>
    <w:rsid w:val="00BC3D36"/>
    <w:rsid w:val="00BD7F72"/>
    <w:rsid w:val="00BF0D25"/>
    <w:rsid w:val="00C04FB3"/>
    <w:rsid w:val="00C330EB"/>
    <w:rsid w:val="00C41061"/>
    <w:rsid w:val="00C6727F"/>
    <w:rsid w:val="00C754BE"/>
    <w:rsid w:val="00C76B1C"/>
    <w:rsid w:val="00CB6357"/>
    <w:rsid w:val="00CC1B26"/>
    <w:rsid w:val="00CC6155"/>
    <w:rsid w:val="00CD4DA8"/>
    <w:rsid w:val="00D13F39"/>
    <w:rsid w:val="00D35275"/>
    <w:rsid w:val="00D423A2"/>
    <w:rsid w:val="00D520D8"/>
    <w:rsid w:val="00D63AC2"/>
    <w:rsid w:val="00D7383B"/>
    <w:rsid w:val="00DA231B"/>
    <w:rsid w:val="00DC39FC"/>
    <w:rsid w:val="00DF5254"/>
    <w:rsid w:val="00E16408"/>
    <w:rsid w:val="00E20894"/>
    <w:rsid w:val="00E245AB"/>
    <w:rsid w:val="00E2764C"/>
    <w:rsid w:val="00E27F2E"/>
    <w:rsid w:val="00E31CD8"/>
    <w:rsid w:val="00E50AFE"/>
    <w:rsid w:val="00E72E52"/>
    <w:rsid w:val="00E75C92"/>
    <w:rsid w:val="00E771DC"/>
    <w:rsid w:val="00E8772A"/>
    <w:rsid w:val="00E90F6B"/>
    <w:rsid w:val="00E91A24"/>
    <w:rsid w:val="00E92C27"/>
    <w:rsid w:val="00EA0E3D"/>
    <w:rsid w:val="00EA3BF7"/>
    <w:rsid w:val="00EA6F8B"/>
    <w:rsid w:val="00EC38A7"/>
    <w:rsid w:val="00ED02FB"/>
    <w:rsid w:val="00ED7384"/>
    <w:rsid w:val="00EE1AA8"/>
    <w:rsid w:val="00EE55E2"/>
    <w:rsid w:val="00F17BBF"/>
    <w:rsid w:val="00F2742E"/>
    <w:rsid w:val="00F31EDC"/>
    <w:rsid w:val="00F4252F"/>
    <w:rsid w:val="00F462B3"/>
    <w:rsid w:val="00F5664F"/>
    <w:rsid w:val="00F666C4"/>
    <w:rsid w:val="00F76AFC"/>
    <w:rsid w:val="00F96312"/>
    <w:rsid w:val="00FA47C0"/>
    <w:rsid w:val="00FB5DD1"/>
    <w:rsid w:val="00FC2B5D"/>
    <w:rsid w:val="00FF1449"/>
    <w:rsid w:val="165E9519"/>
    <w:rsid w:val="237943A4"/>
    <w:rsid w:val="247EFD6A"/>
    <w:rsid w:val="382536D9"/>
    <w:rsid w:val="49FCED5E"/>
    <w:rsid w:val="4CD01A1E"/>
    <w:rsid w:val="4E49A9A8"/>
    <w:rsid w:val="4EEEA6BC"/>
    <w:rsid w:val="500681BA"/>
    <w:rsid w:val="5008949F"/>
    <w:rsid w:val="51B1CBF4"/>
    <w:rsid w:val="52A677C3"/>
    <w:rsid w:val="59561B80"/>
    <w:rsid w:val="63E24D13"/>
    <w:rsid w:val="6BBEA208"/>
    <w:rsid w:val="6C5B0772"/>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A6F8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A6F8B"/>
    <w:rPr>
      <w:rFonts w:ascii="Geomanist Light" w:hAnsi="Geomanist Light"/>
      <w:lang w:val="es-ES"/>
    </w:rPr>
  </w:style>
  <w:style w:type="paragraph" w:styleId="Textocomentario">
    <w:name w:val="annotation text"/>
    <w:basedOn w:val="Normal"/>
    <w:link w:val="TextocomentarioCar"/>
    <w:uiPriority w:val="99"/>
    <w:semiHidden/>
    <w:unhideWhenUsed/>
    <w:rsid w:val="003B5924"/>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B5924"/>
    <w:rPr>
      <w:sz w:val="20"/>
      <w:szCs w:val="20"/>
    </w:rPr>
  </w:style>
  <w:style w:type="character" w:styleId="Refdecomentario">
    <w:name w:val="annotation reference"/>
    <w:basedOn w:val="Fuentedeprrafopredeter"/>
    <w:uiPriority w:val="99"/>
    <w:semiHidden/>
    <w:unhideWhenUsed/>
    <w:rsid w:val="003B592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3086834">
      <w:bodyDiv w:val="1"/>
      <w:marLeft w:val="0"/>
      <w:marRight w:val="0"/>
      <w:marTop w:val="0"/>
      <w:marBottom w:val="0"/>
      <w:divBdr>
        <w:top w:val="none" w:sz="0" w:space="0" w:color="auto"/>
        <w:left w:val="none" w:sz="0" w:space="0" w:color="auto"/>
        <w:bottom w:val="none" w:sz="0" w:space="0" w:color="auto"/>
        <w:right w:val="none" w:sz="0" w:space="0" w:color="auto"/>
      </w:divBdr>
      <w:divsChild>
        <w:div w:id="6886066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39385249">
          <w:blockQuote w:val="1"/>
          <w:marLeft w:val="720"/>
          <w:marRight w:val="720"/>
          <w:marTop w:val="100"/>
          <w:marBottom w:val="100"/>
          <w:divBdr>
            <w:top w:val="none" w:sz="0" w:space="0" w:color="auto"/>
            <w:left w:val="none" w:sz="0" w:space="0" w:color="auto"/>
            <w:bottom w:val="none" w:sz="0" w:space="0" w:color="auto"/>
            <w:right w:val="none" w:sz="0" w:space="0" w:color="auto"/>
          </w:divBdr>
        </w:div>
        <w:div w:id="2004510123">
          <w:blockQuote w:val="1"/>
          <w:marLeft w:val="720"/>
          <w:marRight w:val="720"/>
          <w:marTop w:val="100"/>
          <w:marBottom w:val="100"/>
          <w:divBdr>
            <w:top w:val="none" w:sz="0" w:space="0" w:color="auto"/>
            <w:left w:val="none" w:sz="0" w:space="0" w:color="auto"/>
            <w:bottom w:val="none" w:sz="0" w:space="0" w:color="auto"/>
            <w:right w:val="none" w:sz="0" w:space="0" w:color="auto"/>
          </w:divBdr>
        </w:div>
        <w:div w:id="1890845805">
          <w:blockQuote w:val="1"/>
          <w:marLeft w:val="720"/>
          <w:marRight w:val="720"/>
          <w:marTop w:val="100"/>
          <w:marBottom w:val="100"/>
          <w:divBdr>
            <w:top w:val="none" w:sz="0" w:space="0" w:color="auto"/>
            <w:left w:val="none" w:sz="0" w:space="0" w:color="auto"/>
            <w:bottom w:val="none" w:sz="0" w:space="0" w:color="auto"/>
            <w:right w:val="none" w:sz="0" w:space="0" w:color="auto"/>
          </w:divBdr>
        </w:div>
        <w:div w:id="14180172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32993783">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51957622">
      <w:bodyDiv w:val="1"/>
      <w:marLeft w:val="0"/>
      <w:marRight w:val="0"/>
      <w:marTop w:val="0"/>
      <w:marBottom w:val="0"/>
      <w:divBdr>
        <w:top w:val="none" w:sz="0" w:space="0" w:color="auto"/>
        <w:left w:val="none" w:sz="0" w:space="0" w:color="auto"/>
        <w:bottom w:val="none" w:sz="0" w:space="0" w:color="auto"/>
        <w:right w:val="none" w:sz="0" w:space="0" w:color="auto"/>
      </w:divBdr>
    </w:div>
    <w:div w:id="1456364308">
      <w:bodyDiv w:val="1"/>
      <w:marLeft w:val="0"/>
      <w:marRight w:val="0"/>
      <w:marTop w:val="0"/>
      <w:marBottom w:val="0"/>
      <w:divBdr>
        <w:top w:val="none" w:sz="0" w:space="0" w:color="auto"/>
        <w:left w:val="none" w:sz="0" w:space="0" w:color="auto"/>
        <w:bottom w:val="none" w:sz="0" w:space="0" w:color="auto"/>
        <w:right w:val="none" w:sz="0" w:space="0" w:color="auto"/>
      </w:divBdr>
    </w:div>
    <w:div w:id="1543784455">
      <w:bodyDiv w:val="1"/>
      <w:marLeft w:val="0"/>
      <w:marRight w:val="0"/>
      <w:marTop w:val="0"/>
      <w:marBottom w:val="0"/>
      <w:divBdr>
        <w:top w:val="none" w:sz="0" w:space="0" w:color="auto"/>
        <w:left w:val="none" w:sz="0" w:space="0" w:color="auto"/>
        <w:bottom w:val="none" w:sz="0" w:space="0" w:color="auto"/>
        <w:right w:val="none" w:sz="0" w:space="0" w:color="auto"/>
      </w:divBdr>
    </w:div>
    <w:div w:id="1707873382">
      <w:bodyDiv w:val="1"/>
      <w:marLeft w:val="0"/>
      <w:marRight w:val="0"/>
      <w:marTop w:val="0"/>
      <w:marBottom w:val="0"/>
      <w:divBdr>
        <w:top w:val="none" w:sz="0" w:space="0" w:color="auto"/>
        <w:left w:val="none" w:sz="0" w:space="0" w:color="auto"/>
        <w:bottom w:val="none" w:sz="0" w:space="0" w:color="auto"/>
        <w:right w:val="none" w:sz="0" w:space="0" w:color="auto"/>
      </w:divBdr>
    </w:div>
    <w:div w:id="1713115253">
      <w:bodyDiv w:val="1"/>
      <w:marLeft w:val="0"/>
      <w:marRight w:val="0"/>
      <w:marTop w:val="0"/>
      <w:marBottom w:val="0"/>
      <w:divBdr>
        <w:top w:val="none" w:sz="0" w:space="0" w:color="auto"/>
        <w:left w:val="none" w:sz="0" w:space="0" w:color="auto"/>
        <w:bottom w:val="none" w:sz="0" w:space="0" w:color="auto"/>
        <w:right w:val="none" w:sz="0" w:space="0" w:color="auto"/>
      </w:divBdr>
    </w:div>
    <w:div w:id="1896351136">
      <w:bodyDiv w:val="1"/>
      <w:marLeft w:val="0"/>
      <w:marRight w:val="0"/>
      <w:marTop w:val="0"/>
      <w:marBottom w:val="0"/>
      <w:divBdr>
        <w:top w:val="none" w:sz="0" w:space="0" w:color="auto"/>
        <w:left w:val="none" w:sz="0" w:space="0" w:color="auto"/>
        <w:bottom w:val="none" w:sz="0" w:space="0" w:color="auto"/>
        <w:right w:val="none" w:sz="0" w:space="0" w:color="auto"/>
      </w:divBdr>
      <w:divsChild>
        <w:div w:id="682631772">
          <w:blockQuote w:val="1"/>
          <w:marLeft w:val="720"/>
          <w:marRight w:val="720"/>
          <w:marTop w:val="100"/>
          <w:marBottom w:val="100"/>
          <w:divBdr>
            <w:top w:val="none" w:sz="0" w:space="0" w:color="auto"/>
            <w:left w:val="none" w:sz="0" w:space="0" w:color="auto"/>
            <w:bottom w:val="none" w:sz="0" w:space="0" w:color="auto"/>
            <w:right w:val="none" w:sz="0" w:space="0" w:color="auto"/>
          </w:divBdr>
        </w:div>
        <w:div w:id="1179009455">
          <w:blockQuote w:val="1"/>
          <w:marLeft w:val="720"/>
          <w:marRight w:val="720"/>
          <w:marTop w:val="100"/>
          <w:marBottom w:val="100"/>
          <w:divBdr>
            <w:top w:val="none" w:sz="0" w:space="0" w:color="auto"/>
            <w:left w:val="none" w:sz="0" w:space="0" w:color="auto"/>
            <w:bottom w:val="none" w:sz="0" w:space="0" w:color="auto"/>
            <w:right w:val="none" w:sz="0" w:space="0" w:color="auto"/>
          </w:divBdr>
        </w:div>
        <w:div w:id="880816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46794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9332039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10593132">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 w:id="214434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genieroamaya@gmail.com"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8119095-42A1-47BF-AF92-6CC90BA1F010}">
  <ds:schemaRefs>
    <ds:schemaRef ds:uri="http://schemas.openxmlformats.org/officeDocument/2006/bibliography"/>
  </ds:schemaRefs>
</ds:datastoreItem>
</file>

<file path=customXml/itemProps3.xml><?xml version="1.0" encoding="utf-8"?>
<ds:datastoreItem xmlns:ds="http://schemas.openxmlformats.org/officeDocument/2006/customXml" ds:itemID="{D0AF0AE0-DBF5-4830-8D1E-4CCDA45CDE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infopath/2007/PartnerControls"/>
    <ds:schemaRef ds:uri="a6cb9e4b-f1d1-4245-83ec-6cad768d538a"/>
    <ds:schemaRef ds:uri="http://www.w3.org/XML/1998/namespace"/>
    <ds:schemaRef ds:uri="http://schemas.microsoft.com/office/2006/documentManagement/types"/>
    <ds:schemaRef ds:uri="http://purl.org/dc/terms/"/>
    <ds:schemaRef ds:uri="http://schemas.openxmlformats.org/package/2006/metadata/core-properties"/>
    <ds:schemaRef ds:uri="http://schemas.microsoft.com/office/2006/metadata/properties"/>
    <ds:schemaRef ds:uri="http://purl.org/dc/elements/1.1/"/>
    <ds:schemaRef ds:uri="9d85dbaf-23eb-4e57-a637-93dcacc8b1a1"/>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404</TotalTime>
  <Pages>12</Pages>
  <Words>4179</Words>
  <Characters>22989</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27114</CharactersWithSpaces>
  <SharedDoc>false</SharedDoc>
  <HLinks>
    <vt:vector size="30" baseType="variant">
      <vt:variant>
        <vt:i4>7733357</vt:i4>
      </vt:variant>
      <vt:variant>
        <vt:i4>12</vt:i4>
      </vt:variant>
      <vt:variant>
        <vt:i4>0</vt:i4>
      </vt:variant>
      <vt:variant>
        <vt:i4>5</vt:i4>
      </vt:variant>
      <vt:variant>
        <vt:lpwstr>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vt:lpwstr>
      </vt:variant>
      <vt:variant>
        <vt:lpwstr/>
      </vt:variant>
      <vt:variant>
        <vt:i4>7929906</vt:i4>
      </vt:variant>
      <vt:variant>
        <vt:i4>9</vt:i4>
      </vt:variant>
      <vt:variant>
        <vt:i4>0</vt:i4>
      </vt:variant>
      <vt:variant>
        <vt:i4>5</vt:i4>
      </vt:variant>
      <vt:variant>
        <vt:lpwstr>https://nam02.safelinks.protection.outlook.com/?url=https%3A%2F%2Fwww.colombiacompra.gov.co%2Fcontent%2F02-documentos-tipo-para-los-procesos-de-seleccion-de-consultoria-de-obra-publica-de&amp;data=05%7C02%7Ctatiana.baquero%40colombiacompra.gov.co%7Cb18b651bca3a4eb8eab008dd269b400d%7C7b09041e245149d08cb179d5e3d8c1be%7C0%7C0%7C638709170413412866%7CUnknown%7CTWFpbGZsb3d8eyJFbXB0eU1hcGkiOnRydWUsIlYiOiIwLjAuMDAwMCIsIlAiOiJXaW4zMiIsIkFOIjoiTWFpbCIsIldUIjoyfQ%3D%3D%7C0%7C%7C%7C&amp;sdata=PAnHKU3mzjh606XwuurlqFiVuXeZ%2Fam6YwLEN4IyFu0%3D&amp;reserved=0</vt:lpwstr>
      </vt:variant>
      <vt:variant>
        <vt:lpwstr/>
      </vt:variant>
      <vt:variant>
        <vt:i4>6881331</vt:i4>
      </vt:variant>
      <vt:variant>
        <vt:i4>6</vt:i4>
      </vt:variant>
      <vt:variant>
        <vt:i4>0</vt:i4>
      </vt:variant>
      <vt:variant>
        <vt:i4>5</vt:i4>
      </vt:variant>
      <vt:variant>
        <vt:lpwstr>https://nam02.safelinks.protection.outlook.com/?url=https%3A%2F%2Fwww.colombiacompra.gov.co%2Fcontent%2F03-documentos-tipo-para-los-procesos-de-seleccion-de-interventoria-de-obra-publica-de&amp;data=05%7C02%7Ctatiana.baquero%40colombiacompra.gov.co%7Cb18b651bca3a4eb8eab008dd269b400d%7C7b09041e245149d08cb179d5e3d8c1be%7C0%7C0%7C638709170413398117%7CUnknown%7CTWFpbGZsb3d8eyJFbXB0eU1hcGkiOnRydWUsIlYiOiIwLjAuMDAwMCIsIlAiOiJXaW4zMiIsIkFOIjoiTWFpbCIsIldUIjoyfQ%3D%3D%7C0%7C%7C%7C&amp;sdata=H%2Bi4oqFOijFnEd25YmVyIY5nqS9u05elRgoH8ytBTRc%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1638450</vt:i4>
      </vt:variant>
      <vt:variant>
        <vt:i4>0</vt:i4>
      </vt:variant>
      <vt:variant>
        <vt:i4>0</vt:i4>
      </vt:variant>
      <vt:variant>
        <vt:i4>5</vt:i4>
      </vt:variant>
      <vt:variant>
        <vt:lpwstr>mailto:ingenieroamaya@gmail.com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Nicolas Andres Guzman Padilla</cp:lastModifiedBy>
  <cp:revision>20</cp:revision>
  <cp:lastPrinted>2023-01-10T21:18:00Z</cp:lastPrinted>
  <dcterms:created xsi:type="dcterms:W3CDTF">2025-06-05T10:12:00Z</dcterms:created>
  <dcterms:modified xsi:type="dcterms:W3CDTF">2025-06-16T16:34:00Z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