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CBF6C" w14:textId="6580B219" w:rsidR="00903934" w:rsidRPr="00C35401" w:rsidRDefault="00903934" w:rsidP="00C35401">
      <w:pPr>
        <w:spacing w:after="0" w:line="240" w:lineRule="auto"/>
        <w:jc w:val="both"/>
        <w:rPr>
          <w:rFonts w:ascii="Verdana" w:hAnsi="Verdana"/>
          <w:b/>
          <w:bCs/>
          <w:sz w:val="20"/>
          <w:szCs w:val="20"/>
        </w:rPr>
      </w:pPr>
      <w:bookmarkStart w:id="0" w:name="_Hlk197462763"/>
      <w:bookmarkStart w:id="1" w:name="_Hlk197529996"/>
      <w:bookmarkStart w:id="2" w:name="_Hlk199345483"/>
      <w:bookmarkStart w:id="3" w:name="_Hlk143780582"/>
      <w:r w:rsidRPr="00C35401">
        <w:rPr>
          <w:rFonts w:ascii="Verdana" w:hAnsi="Verdana"/>
          <w:b/>
          <w:bCs/>
          <w:sz w:val="20"/>
          <w:szCs w:val="20"/>
        </w:rPr>
        <w:t xml:space="preserve">REQUISITOS DE PERFECCIONAMIENTO DE LOS CONTRATOS ESTATALES – Celebración del contrato estatal – ELEMENTOS DEL CONTRATO – Elementos de la esencia – ELEMENTOS DEL CONTRATO – Elementos de la naturaleza – ELEMENTOS DEL CONTRATO – Elementos accidentales </w:t>
      </w:r>
    </w:p>
    <w:p w14:paraId="6E2E1C03" w14:textId="77777777" w:rsidR="00903934" w:rsidRPr="00C35401" w:rsidRDefault="00903934" w:rsidP="00C35401">
      <w:pPr>
        <w:spacing w:after="0" w:line="240" w:lineRule="auto"/>
        <w:rPr>
          <w:rFonts w:ascii="Verdana" w:hAnsi="Verdana"/>
          <w:sz w:val="20"/>
          <w:szCs w:val="20"/>
        </w:rPr>
      </w:pPr>
    </w:p>
    <w:p w14:paraId="61BED0C6" w14:textId="77777777" w:rsidR="00903934" w:rsidRDefault="00903934" w:rsidP="1952E7C8">
      <w:pPr>
        <w:spacing w:after="0" w:line="240" w:lineRule="auto"/>
        <w:jc w:val="both"/>
        <w:rPr>
          <w:rFonts w:ascii="Verdana" w:eastAsia="Calibri" w:hAnsi="Verdana" w:cs="Arial"/>
          <w:sz w:val="20"/>
          <w:szCs w:val="20"/>
          <w:lang w:val="es-ES"/>
        </w:rPr>
      </w:pPr>
      <w:r w:rsidRPr="1952E7C8">
        <w:rPr>
          <w:rFonts w:ascii="Verdana" w:eastAsia="Calibri" w:hAnsi="Verdana" w:cs="Arial"/>
          <w:sz w:val="20"/>
          <w:szCs w:val="20"/>
          <w:lang w:val="es-ES"/>
        </w:rPr>
        <w:t xml:space="preserve">Los </w:t>
      </w:r>
      <w:r w:rsidRPr="1952E7C8">
        <w:rPr>
          <w:rFonts w:ascii="Verdana" w:eastAsia="Calibri" w:hAnsi="Verdana" w:cs="Arial"/>
          <w:i/>
          <w:iCs/>
          <w:sz w:val="20"/>
          <w:szCs w:val="20"/>
          <w:lang w:val="es-ES"/>
        </w:rPr>
        <w:t>requisitos de perfeccionamiento</w:t>
      </w:r>
      <w:r w:rsidRPr="1952E7C8">
        <w:rPr>
          <w:rFonts w:ascii="Verdana" w:eastAsia="Calibri" w:hAnsi="Verdana" w:cs="Arial"/>
          <w:sz w:val="20"/>
          <w:szCs w:val="20"/>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715C29D5" w14:textId="77777777" w:rsidR="00C35401" w:rsidRPr="00C35401" w:rsidRDefault="00C35401" w:rsidP="00C35401">
      <w:pPr>
        <w:spacing w:after="0" w:line="240" w:lineRule="auto"/>
        <w:jc w:val="both"/>
        <w:rPr>
          <w:rFonts w:ascii="Verdana" w:eastAsia="Calibri" w:hAnsi="Verdana" w:cs="Arial"/>
          <w:sz w:val="20"/>
          <w:szCs w:val="20"/>
          <w:lang w:val="es-ES_tradnl"/>
        </w:rPr>
      </w:pPr>
    </w:p>
    <w:p w14:paraId="705C28CC" w14:textId="492B038B" w:rsidR="00903934" w:rsidRDefault="00903934" w:rsidP="00C35401">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 xml:space="preserve">Los de la </w:t>
      </w:r>
      <w:r w:rsidRPr="00C35401">
        <w:rPr>
          <w:rFonts w:ascii="Verdana" w:eastAsia="Calibri" w:hAnsi="Verdana" w:cs="Arial"/>
          <w:i/>
          <w:iCs/>
          <w:sz w:val="20"/>
          <w:szCs w:val="20"/>
          <w:lang w:val="es-ES_tradnl"/>
        </w:rPr>
        <w:t>esencia</w:t>
      </w:r>
      <w:r w:rsidRPr="00C35401">
        <w:rPr>
          <w:rFonts w:ascii="Verdana" w:eastAsia="Calibri" w:hAnsi="Verdana" w:cs="Arial"/>
          <w:sz w:val="20"/>
          <w:szCs w:val="20"/>
          <w:lang w:val="es-ES_tradnl"/>
        </w:rPr>
        <w:t xml:space="preserve"> son aquellos que, al cumplirse, marcan la existencia del contrato y le otorgan su identidad o tipología, permitiendo que no se confunda con otro contrato. Los de la </w:t>
      </w:r>
      <w:r w:rsidRPr="00C35401">
        <w:rPr>
          <w:rFonts w:ascii="Verdana" w:eastAsia="Calibri" w:hAnsi="Verdana" w:cs="Arial"/>
          <w:i/>
          <w:iCs/>
          <w:sz w:val="20"/>
          <w:szCs w:val="20"/>
          <w:lang w:val="es-ES_tradnl"/>
        </w:rPr>
        <w:t>naturaleza</w:t>
      </w:r>
      <w:r w:rsidRPr="00C35401">
        <w:rPr>
          <w:rFonts w:ascii="Verdana" w:eastAsia="Calibri" w:hAnsi="Verdana" w:cs="Arial"/>
          <w:sz w:val="20"/>
          <w:szCs w:val="20"/>
          <w:lang w:val="es-ES_tradnl"/>
        </w:rPr>
        <w:t xml:space="preserve"> son aquellos que, no siendo esenciales al contrato, se entienden incorporados por ministerio de la ley, aun ante el silencio de las partes. Y los </w:t>
      </w:r>
      <w:r w:rsidRPr="00C35401">
        <w:rPr>
          <w:rFonts w:ascii="Verdana" w:eastAsia="Calibri" w:hAnsi="Verdana" w:cs="Arial"/>
          <w:i/>
          <w:iCs/>
          <w:sz w:val="20"/>
          <w:szCs w:val="20"/>
          <w:lang w:val="es-ES_tradnl"/>
        </w:rPr>
        <w:t>accidentales</w:t>
      </w:r>
      <w:r w:rsidRPr="00C35401">
        <w:rPr>
          <w:rFonts w:ascii="Verdana" w:eastAsia="Calibri" w:hAnsi="Verdana" w:cs="Arial"/>
          <w:sz w:val="20"/>
          <w:szCs w:val="20"/>
          <w:lang w:val="es-ES_tradnl"/>
        </w:rPr>
        <w:t xml:space="preserve"> son los que las partes agregan en ejercicio de su autonomía de la voluntad, ya que no son ni esenciales, ni de la naturaleza del contrato. Los requisitos de perfeccionamiento del contrato estatal ingresan dentro de los elementos de la esencia.</w:t>
      </w:r>
    </w:p>
    <w:p w14:paraId="481A3453" w14:textId="77777777" w:rsidR="00C35401" w:rsidRPr="00C35401" w:rsidRDefault="00C35401" w:rsidP="00C35401">
      <w:pPr>
        <w:spacing w:after="0" w:line="240" w:lineRule="auto"/>
        <w:jc w:val="both"/>
        <w:rPr>
          <w:rFonts w:ascii="Verdana" w:eastAsia="Calibri" w:hAnsi="Verdana" w:cs="Arial"/>
          <w:sz w:val="20"/>
          <w:szCs w:val="20"/>
          <w:lang w:val="es-ES_tradnl"/>
        </w:rPr>
      </w:pPr>
    </w:p>
    <w:p w14:paraId="668B0CE5" w14:textId="1DDDCCA9" w:rsidR="00903934" w:rsidRDefault="00903934" w:rsidP="00C35401">
      <w:pPr>
        <w:spacing w:after="0" w:line="240" w:lineRule="auto"/>
        <w:jc w:val="both"/>
        <w:rPr>
          <w:rFonts w:ascii="Verdana" w:eastAsia="Calibri" w:hAnsi="Verdana" w:cs="Arial"/>
          <w:b/>
          <w:bCs/>
          <w:sz w:val="20"/>
          <w:szCs w:val="20"/>
          <w:lang w:val="es-ES_tradnl"/>
        </w:rPr>
      </w:pPr>
      <w:r w:rsidRPr="00C35401">
        <w:rPr>
          <w:rFonts w:ascii="Verdana" w:eastAsia="Calibri" w:hAnsi="Verdana" w:cs="Arial"/>
          <w:b/>
          <w:bCs/>
          <w:sz w:val="20"/>
          <w:szCs w:val="20"/>
          <w:lang w:val="es-ES_tradnl"/>
        </w:rPr>
        <w:t xml:space="preserve">CARACTERÍSTICAS DE LOS CONTRATOS ESTATALES – Contratos consensuales – Contratos reales – Contratos solemnes – CONTRATOS ESTATALES – Generalmente son contratos </w:t>
      </w:r>
      <w:r w:rsidR="00C35401" w:rsidRPr="00C35401">
        <w:rPr>
          <w:rFonts w:ascii="Verdana" w:eastAsia="Calibri" w:hAnsi="Verdana" w:cs="Arial"/>
          <w:b/>
          <w:bCs/>
          <w:sz w:val="20"/>
          <w:szCs w:val="20"/>
          <w:lang w:val="es-ES_tradnl"/>
        </w:rPr>
        <w:t>solemnes</w:t>
      </w:r>
    </w:p>
    <w:p w14:paraId="7482C2B4" w14:textId="77777777" w:rsidR="00C35401" w:rsidRPr="00C35401" w:rsidRDefault="00C35401" w:rsidP="00C35401">
      <w:pPr>
        <w:spacing w:after="0" w:line="240" w:lineRule="auto"/>
        <w:jc w:val="both"/>
        <w:rPr>
          <w:rFonts w:ascii="Verdana" w:eastAsia="Calibri" w:hAnsi="Verdana" w:cs="Arial"/>
          <w:b/>
          <w:bCs/>
          <w:sz w:val="20"/>
          <w:szCs w:val="20"/>
          <w:lang w:val="es-ES_tradnl"/>
        </w:rPr>
      </w:pPr>
    </w:p>
    <w:p w14:paraId="1A961764" w14:textId="577D5A1D" w:rsidR="00903934" w:rsidRPr="00C35401" w:rsidRDefault="00903934" w:rsidP="00C35401">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 xml:space="preserve">Además, los contratos –en términos generales– pueden ser: consensuales, reales o solemnes. Son </w:t>
      </w:r>
      <w:r w:rsidRPr="00C35401">
        <w:rPr>
          <w:rFonts w:ascii="Verdana" w:eastAsia="Calibri" w:hAnsi="Verdana" w:cs="Arial"/>
          <w:i/>
          <w:iCs/>
          <w:sz w:val="20"/>
          <w:szCs w:val="20"/>
          <w:lang w:val="es-ES_tradnl"/>
        </w:rPr>
        <w:t>consensuales</w:t>
      </w:r>
      <w:r w:rsidRPr="00C35401">
        <w:rPr>
          <w:rFonts w:ascii="Verdana" w:eastAsia="Calibri" w:hAnsi="Verdana" w:cs="Arial"/>
          <w:sz w:val="20"/>
          <w:szCs w:val="20"/>
          <w:lang w:val="es-ES_tradnl"/>
        </w:rPr>
        <w:t xml:space="preserve"> los que se perfeccionan con el consentimiento informal, pues no requieren de formalidades especiales. Son </w:t>
      </w:r>
      <w:r w:rsidRPr="00C35401">
        <w:rPr>
          <w:rFonts w:ascii="Verdana" w:eastAsia="Calibri" w:hAnsi="Verdana" w:cs="Arial"/>
          <w:i/>
          <w:iCs/>
          <w:sz w:val="20"/>
          <w:szCs w:val="20"/>
          <w:lang w:val="es-ES_tradnl"/>
        </w:rPr>
        <w:t>reales</w:t>
      </w:r>
      <w:r w:rsidRPr="00C35401">
        <w:rPr>
          <w:rFonts w:ascii="Verdana" w:eastAsia="Calibri" w:hAnsi="Verdana" w:cs="Arial"/>
          <w:sz w:val="20"/>
          <w:szCs w:val="20"/>
          <w:lang w:val="es-ES_tradnl"/>
        </w:rPr>
        <w:t xml:space="preserve"> aquellos que existen solo con la tradición o entrega de una cosa. Por su parte, son </w:t>
      </w:r>
      <w:r w:rsidRPr="00C35401">
        <w:rPr>
          <w:rFonts w:ascii="Verdana" w:eastAsia="Calibri" w:hAnsi="Verdana" w:cs="Arial"/>
          <w:i/>
          <w:iCs/>
          <w:sz w:val="20"/>
          <w:szCs w:val="20"/>
          <w:lang w:val="es-ES_tradnl"/>
        </w:rPr>
        <w:t>solemnes</w:t>
      </w:r>
      <w:r w:rsidRPr="00C35401">
        <w:rPr>
          <w:rFonts w:ascii="Verdana" w:eastAsia="Calibri" w:hAnsi="Verdana" w:cs="Arial"/>
          <w:sz w:val="20"/>
          <w:szCs w:val="20"/>
          <w:lang w:val="es-ES_tradnl"/>
        </w:rPr>
        <w:t xml:space="preserve"> aquellos contratos cuyo perfeccionamiento está revestido del cumplimiento de exigencias formales o ritualidades específicas. Pues bien, los contratos estatales regulados por el EGCAP, por regla general, son solemnes, ya que solo se entienden celebrados si se cumplen ciertas formalidades. </w:t>
      </w:r>
    </w:p>
    <w:p w14:paraId="0B0C25C8" w14:textId="60116F24" w:rsidR="00903934" w:rsidRDefault="00903934" w:rsidP="00C35401">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En efecto, el primer inciso del artículo 41 de la Ley 80 de 1993 establece que “</w:t>
      </w:r>
      <w:r w:rsidRPr="00C35401">
        <w:rPr>
          <w:rFonts w:ascii="Verdana" w:eastAsia="Calibri" w:hAnsi="Verdana" w:cs="Arial"/>
          <w:i/>
          <w:iCs/>
          <w:sz w:val="20"/>
          <w:szCs w:val="20"/>
          <w:lang w:val="es-ES_tradnl"/>
        </w:rPr>
        <w:t>Los contratos del Estado se perfeccionan cuando se logre acuerdo sobre el objeto y la contraprestación y éste se eleve a escrito</w:t>
      </w:r>
      <w:r w:rsidRPr="00C35401">
        <w:rPr>
          <w:rFonts w:ascii="Verdana" w:eastAsia="Calibri" w:hAnsi="Verdana" w:cs="Arial"/>
          <w:sz w:val="20"/>
          <w:szCs w:val="20"/>
          <w:lang w:val="es-ES_tradnl"/>
        </w:rPr>
        <w:t xml:space="preserve">”. </w:t>
      </w:r>
    </w:p>
    <w:p w14:paraId="0527A53A" w14:textId="77777777" w:rsidR="00C35401" w:rsidRPr="00C35401" w:rsidRDefault="00C35401" w:rsidP="00C35401">
      <w:pPr>
        <w:spacing w:after="0" w:line="240" w:lineRule="auto"/>
        <w:jc w:val="both"/>
        <w:rPr>
          <w:rFonts w:ascii="Verdana" w:eastAsia="Calibri" w:hAnsi="Verdana" w:cs="Arial"/>
          <w:sz w:val="20"/>
          <w:szCs w:val="20"/>
          <w:lang w:val="es-ES_tradnl"/>
        </w:rPr>
      </w:pPr>
    </w:p>
    <w:p w14:paraId="67D0DDDA" w14:textId="4B10F4F3" w:rsidR="00903934" w:rsidRPr="00C35401" w:rsidRDefault="00903934" w:rsidP="00C35401">
      <w:pPr>
        <w:spacing w:after="0" w:line="240" w:lineRule="auto"/>
        <w:jc w:val="both"/>
        <w:rPr>
          <w:rFonts w:ascii="Verdana" w:eastAsia="Calibri" w:hAnsi="Verdana" w:cs="Arial"/>
          <w:b/>
          <w:bCs/>
          <w:sz w:val="20"/>
          <w:szCs w:val="20"/>
          <w:lang w:val="es-ES_tradnl"/>
        </w:rPr>
      </w:pPr>
      <w:r w:rsidRPr="00C35401">
        <w:rPr>
          <w:rFonts w:ascii="Verdana" w:eastAsia="Calibri" w:hAnsi="Verdana" w:cs="Arial"/>
          <w:b/>
          <w:bCs/>
          <w:sz w:val="20"/>
          <w:szCs w:val="20"/>
          <w:lang w:val="es-ES_tradnl"/>
        </w:rPr>
        <w:t xml:space="preserve">REQUISITOS DE EJECUCIÓN DEL CONTRATO ESTATAL – Realización de las actividades pactadas </w:t>
      </w:r>
      <w:r w:rsidR="00C35401" w:rsidRPr="00C35401">
        <w:rPr>
          <w:rFonts w:ascii="Verdana" w:eastAsia="Calibri" w:hAnsi="Verdana" w:cs="Arial"/>
          <w:b/>
          <w:bCs/>
          <w:sz w:val="20"/>
          <w:szCs w:val="20"/>
          <w:lang w:val="es-ES_tradnl"/>
        </w:rPr>
        <w:t>- REQUISITOS</w:t>
      </w:r>
      <w:r w:rsidRPr="00C35401">
        <w:rPr>
          <w:rFonts w:ascii="Verdana" w:eastAsia="Calibri" w:hAnsi="Verdana" w:cs="Arial"/>
          <w:b/>
          <w:bCs/>
          <w:sz w:val="20"/>
          <w:szCs w:val="20"/>
          <w:lang w:val="es-ES_tradnl"/>
        </w:rPr>
        <w:t xml:space="preserve"> DE EJECUCIÓN DEL CONTRATO ESTATAL – Legales – Convencionales </w:t>
      </w:r>
    </w:p>
    <w:p w14:paraId="7161F451" w14:textId="77777777" w:rsidR="00903934" w:rsidRPr="00C35401" w:rsidRDefault="00903934" w:rsidP="00C35401">
      <w:pPr>
        <w:spacing w:after="0" w:line="240" w:lineRule="auto"/>
        <w:jc w:val="both"/>
        <w:rPr>
          <w:rFonts w:ascii="Verdana" w:eastAsia="Calibri" w:hAnsi="Verdana" w:cs="Arial"/>
          <w:sz w:val="20"/>
          <w:szCs w:val="20"/>
          <w:lang w:val="es-ES_tradnl"/>
        </w:rPr>
      </w:pPr>
    </w:p>
    <w:p w14:paraId="6073BF96" w14:textId="44992710" w:rsidR="00903934" w:rsidRPr="00C35401" w:rsidRDefault="00903934" w:rsidP="00C35401">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 xml:space="preserve">Ahora bien, en relación con los </w:t>
      </w:r>
      <w:r w:rsidRPr="00C35401">
        <w:rPr>
          <w:rFonts w:ascii="Verdana" w:eastAsia="Calibri" w:hAnsi="Verdana" w:cs="Arial"/>
          <w:i/>
          <w:iCs/>
          <w:sz w:val="20"/>
          <w:szCs w:val="20"/>
          <w:lang w:val="es-ES_tradnl"/>
        </w:rPr>
        <w:t>requisitos de ejecución</w:t>
      </w:r>
      <w:r w:rsidRPr="00C35401">
        <w:rPr>
          <w:rFonts w:ascii="Verdana" w:eastAsia="Calibri" w:hAnsi="Verdana" w:cs="Arial"/>
          <w:sz w:val="20"/>
          <w:szCs w:val="20"/>
          <w:lang w:val="es-ES_tradnl"/>
        </w:rPr>
        <w:t xml:space="preserve"> debe señalarse que, estos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 </w:t>
      </w:r>
    </w:p>
    <w:p w14:paraId="5389BDED" w14:textId="77777777" w:rsidR="00903934" w:rsidRPr="00C35401" w:rsidRDefault="00903934" w:rsidP="00C35401">
      <w:pPr>
        <w:spacing w:after="0" w:line="240" w:lineRule="auto"/>
        <w:ind w:left="708"/>
        <w:jc w:val="both"/>
        <w:rPr>
          <w:rFonts w:ascii="Verdana" w:eastAsia="Calibri" w:hAnsi="Verdana" w:cs="Arial"/>
          <w:sz w:val="20"/>
          <w:szCs w:val="20"/>
        </w:rPr>
      </w:pPr>
    </w:p>
    <w:p w14:paraId="03860D25" w14:textId="3835CD34" w:rsidR="00903934" w:rsidRDefault="00903934" w:rsidP="00C35401">
      <w:pPr>
        <w:spacing w:after="0" w:line="240" w:lineRule="auto"/>
        <w:jc w:val="both"/>
        <w:rPr>
          <w:sz w:val="20"/>
          <w:szCs w:val="20"/>
        </w:rPr>
      </w:pPr>
      <w:r w:rsidRPr="00C35401">
        <w:rPr>
          <w:rFonts w:ascii="Verdana" w:eastAsia="Calibri" w:hAnsi="Verdana" w:cs="Arial"/>
          <w:sz w:val="20"/>
          <w:szCs w:val="20"/>
          <w:lang w:val="es-ES"/>
        </w:rPr>
        <w:t xml:space="preserve">En ese orden, los requisitos de ejecución de los contratos estatales pueden ser “legales” o “convencionales”. Los primeros son aquellos que se encuentran previstos en la ley. Los segundos son estipulados por las partes. En otros términos, los requisitos </w:t>
      </w:r>
      <w:r w:rsidRPr="00C35401">
        <w:rPr>
          <w:rFonts w:ascii="Verdana" w:eastAsia="Calibri" w:hAnsi="Verdana" w:cs="Arial"/>
          <w:i/>
          <w:iCs/>
          <w:sz w:val="20"/>
          <w:szCs w:val="20"/>
          <w:lang w:val="es-ES"/>
        </w:rPr>
        <w:t>legales</w:t>
      </w:r>
      <w:r w:rsidRPr="00C35401">
        <w:rPr>
          <w:rFonts w:ascii="Verdana" w:eastAsia="Calibri" w:hAnsi="Verdana" w:cs="Arial"/>
          <w:sz w:val="20"/>
          <w:szCs w:val="20"/>
          <w:lang w:val="es-ES"/>
        </w:rPr>
        <w:t xml:space="preserve"> de </w:t>
      </w:r>
      <w:r w:rsidRPr="00C35401">
        <w:rPr>
          <w:rFonts w:ascii="Verdana" w:eastAsia="Calibri" w:hAnsi="Verdana" w:cs="Arial"/>
          <w:sz w:val="20"/>
          <w:szCs w:val="20"/>
          <w:lang w:val="es-ES"/>
        </w:rPr>
        <w:lastRenderedPageBreak/>
        <w:t xml:space="preserve">ejecución son elementos de la </w:t>
      </w:r>
      <w:r w:rsidRPr="00C35401">
        <w:rPr>
          <w:rFonts w:ascii="Verdana" w:eastAsia="Calibri" w:hAnsi="Verdana" w:cs="Arial"/>
          <w:i/>
          <w:iCs/>
          <w:sz w:val="20"/>
          <w:szCs w:val="20"/>
          <w:lang w:val="es-ES"/>
        </w:rPr>
        <w:t>naturaleza</w:t>
      </w:r>
      <w:r w:rsidRPr="00C35401">
        <w:rPr>
          <w:rFonts w:ascii="Verdana" w:eastAsia="Calibri" w:hAnsi="Verdana" w:cs="Arial"/>
          <w:sz w:val="20"/>
          <w:szCs w:val="20"/>
          <w:lang w:val="es-ES"/>
        </w:rPr>
        <w:t xml:space="preserve">, mientras que los requisitos </w:t>
      </w:r>
      <w:r w:rsidRPr="00C35401">
        <w:rPr>
          <w:rFonts w:ascii="Verdana" w:eastAsia="Calibri" w:hAnsi="Verdana" w:cs="Arial"/>
          <w:i/>
          <w:iCs/>
          <w:sz w:val="20"/>
          <w:szCs w:val="20"/>
          <w:lang w:val="es-ES"/>
        </w:rPr>
        <w:t>convencionales</w:t>
      </w:r>
      <w:r w:rsidRPr="00C35401">
        <w:rPr>
          <w:rFonts w:ascii="Verdana" w:eastAsia="Calibri" w:hAnsi="Verdana" w:cs="Arial"/>
          <w:sz w:val="20"/>
          <w:szCs w:val="20"/>
          <w:lang w:val="es-ES"/>
        </w:rPr>
        <w:t xml:space="preserve"> de ejecución son elementos </w:t>
      </w:r>
      <w:r w:rsidRPr="00C35401">
        <w:rPr>
          <w:rFonts w:ascii="Verdana" w:eastAsia="Calibri" w:hAnsi="Verdana" w:cs="Arial"/>
          <w:i/>
          <w:iCs/>
          <w:sz w:val="20"/>
          <w:szCs w:val="20"/>
          <w:lang w:val="es-ES"/>
        </w:rPr>
        <w:t>accidentales</w:t>
      </w:r>
      <w:r w:rsidRPr="00C35401">
        <w:rPr>
          <w:rFonts w:ascii="Verdana" w:eastAsia="Calibri" w:hAnsi="Verdana" w:cs="Arial"/>
          <w:sz w:val="20"/>
          <w:szCs w:val="20"/>
          <w:lang w:val="es-ES"/>
        </w:rPr>
        <w:t xml:space="preserve"> […] los requisitos </w:t>
      </w:r>
      <w:r w:rsidRPr="00C35401">
        <w:rPr>
          <w:rFonts w:ascii="Verdana" w:eastAsia="Calibri" w:hAnsi="Verdana" w:cs="Arial"/>
          <w:i/>
          <w:iCs/>
          <w:sz w:val="20"/>
          <w:szCs w:val="20"/>
          <w:lang w:val="es-ES"/>
        </w:rPr>
        <w:t>legales</w:t>
      </w:r>
      <w:r w:rsidRPr="00C35401">
        <w:rPr>
          <w:rFonts w:ascii="Verdana" w:eastAsia="Calibri" w:hAnsi="Verdana" w:cs="Arial"/>
          <w:sz w:val="20"/>
          <w:szCs w:val="20"/>
          <w:lang w:val="es-ES"/>
        </w:rPr>
        <w:t xml:space="preserve"> de ejecución son: (i) la aprobación de las garantías exigidas en el contrato, (</w:t>
      </w:r>
      <w:proofErr w:type="spellStart"/>
      <w:r w:rsidRPr="00C35401">
        <w:rPr>
          <w:rFonts w:ascii="Verdana" w:eastAsia="Calibri" w:hAnsi="Verdana" w:cs="Arial"/>
          <w:sz w:val="20"/>
          <w:szCs w:val="20"/>
          <w:lang w:val="es-ES"/>
        </w:rPr>
        <w:t>ii</w:t>
      </w:r>
      <w:proofErr w:type="spellEnd"/>
      <w:r w:rsidRPr="00C35401">
        <w:rPr>
          <w:rFonts w:ascii="Verdana" w:eastAsia="Calibri" w:hAnsi="Verdana" w:cs="Arial"/>
          <w:sz w:val="20"/>
          <w:szCs w:val="20"/>
          <w:lang w:val="es-ES"/>
        </w:rPr>
        <w:t>) la existencia de la apropiación presupuestal correspondiente y (</w:t>
      </w:r>
      <w:proofErr w:type="spellStart"/>
      <w:r w:rsidRPr="00C35401">
        <w:rPr>
          <w:rFonts w:ascii="Verdana" w:eastAsia="Calibri" w:hAnsi="Verdana" w:cs="Arial"/>
          <w:sz w:val="20"/>
          <w:szCs w:val="20"/>
          <w:lang w:val="es-ES"/>
        </w:rPr>
        <w:t>iii</w:t>
      </w:r>
      <w:proofErr w:type="spellEnd"/>
      <w:r w:rsidRPr="00C35401">
        <w:rPr>
          <w:rFonts w:ascii="Verdana" w:eastAsia="Calibri" w:hAnsi="Verdana" w:cs="Arial"/>
          <w:sz w:val="20"/>
          <w:szCs w:val="20"/>
          <w:lang w:val="es-ES"/>
        </w:rPr>
        <w:t xml:space="preserve">) la acreditación del cumplimiento de las obligaciones con el Sistema de Seguridad Social Integral. </w:t>
      </w:r>
      <w:r w:rsidRPr="00C35401">
        <w:rPr>
          <w:sz w:val="20"/>
          <w:szCs w:val="20"/>
        </w:rPr>
        <w:tab/>
      </w:r>
    </w:p>
    <w:p w14:paraId="4CF87EBB" w14:textId="77777777" w:rsidR="00C35401" w:rsidRPr="00C35401" w:rsidRDefault="00C35401" w:rsidP="00C35401">
      <w:pPr>
        <w:spacing w:after="0" w:line="240" w:lineRule="auto"/>
        <w:jc w:val="both"/>
        <w:rPr>
          <w:rFonts w:ascii="Verdana" w:eastAsia="Calibri" w:hAnsi="Verdana" w:cs="Arial"/>
          <w:sz w:val="20"/>
          <w:szCs w:val="20"/>
          <w:lang w:val="es-ES"/>
        </w:rPr>
      </w:pPr>
    </w:p>
    <w:p w14:paraId="48B2E39D" w14:textId="77777777" w:rsidR="00903934" w:rsidRDefault="00903934" w:rsidP="00C35401">
      <w:pPr>
        <w:spacing w:after="0" w:line="240" w:lineRule="auto"/>
        <w:jc w:val="both"/>
        <w:rPr>
          <w:rFonts w:ascii="Verdana" w:eastAsia="Calibri" w:hAnsi="Verdana" w:cs="Arial"/>
          <w:sz w:val="20"/>
          <w:szCs w:val="20"/>
          <w:lang w:val="es-ES"/>
        </w:rPr>
      </w:pPr>
      <w:r w:rsidRPr="00C35401">
        <w:rPr>
          <w:rFonts w:ascii="Verdana" w:eastAsia="Calibri" w:hAnsi="Verdana" w:cs="Arial"/>
          <w:sz w:val="20"/>
          <w:szCs w:val="20"/>
          <w:lang w:val="es-ES"/>
        </w:rPr>
        <w:t xml:space="preserve">Por su parte, serán requisitos </w:t>
      </w:r>
      <w:r w:rsidRPr="00C35401">
        <w:rPr>
          <w:rFonts w:ascii="Verdana" w:eastAsia="Calibri" w:hAnsi="Verdana" w:cs="Arial"/>
          <w:i/>
          <w:iCs/>
          <w:sz w:val="20"/>
          <w:szCs w:val="20"/>
          <w:lang w:val="es-ES"/>
        </w:rPr>
        <w:t xml:space="preserve">convencionales </w:t>
      </w:r>
      <w:r w:rsidRPr="00C35401">
        <w:rPr>
          <w:rFonts w:ascii="Verdana" w:eastAsia="Calibri" w:hAnsi="Verdana" w:cs="Arial"/>
          <w:sz w:val="20"/>
          <w:szCs w:val="20"/>
          <w:lang w:val="es-ES"/>
        </w:rPr>
        <w:t>aquellos que no se encuentran consagrados en la ley, sino que se pactan en la minuta del contrato o que el contratista acepta al momento de adherirse al clausulado del pliego de condiciones o documento equivalente.</w:t>
      </w:r>
    </w:p>
    <w:p w14:paraId="726655C5" w14:textId="77777777" w:rsidR="00C35401" w:rsidRPr="00C35401" w:rsidRDefault="00C35401" w:rsidP="00C35401">
      <w:pPr>
        <w:spacing w:after="0" w:line="240" w:lineRule="auto"/>
        <w:jc w:val="both"/>
        <w:rPr>
          <w:rFonts w:ascii="Verdana" w:eastAsia="Calibri" w:hAnsi="Verdana" w:cs="Arial"/>
          <w:sz w:val="20"/>
          <w:szCs w:val="20"/>
          <w:lang w:val="es-ES"/>
        </w:rPr>
      </w:pPr>
    </w:p>
    <w:p w14:paraId="54D601AB" w14:textId="3134F486" w:rsidR="00903934" w:rsidRDefault="00903934" w:rsidP="00C35401">
      <w:pPr>
        <w:spacing w:after="0" w:line="240" w:lineRule="auto"/>
        <w:jc w:val="both"/>
        <w:rPr>
          <w:rFonts w:ascii="Verdana" w:eastAsia="Calibri" w:hAnsi="Verdana" w:cs="Arial"/>
          <w:b/>
          <w:bCs/>
          <w:sz w:val="20"/>
          <w:szCs w:val="20"/>
          <w:lang w:val="es-ES_tradnl"/>
        </w:rPr>
      </w:pPr>
      <w:r w:rsidRPr="00C35401">
        <w:rPr>
          <w:rFonts w:ascii="Verdana" w:eastAsia="Calibri" w:hAnsi="Verdana" w:cs="Arial"/>
          <w:b/>
          <w:bCs/>
          <w:sz w:val="20"/>
          <w:szCs w:val="20"/>
          <w:lang w:val="es-ES_tradnl"/>
        </w:rPr>
        <w:t xml:space="preserve">REGISTRO PRESUPUESTAL – Requisito de ejecución legal – Momento en que se expide </w:t>
      </w:r>
    </w:p>
    <w:p w14:paraId="0FD10F38" w14:textId="77777777" w:rsidR="00C35401" w:rsidRPr="00C35401" w:rsidRDefault="00C35401" w:rsidP="00C35401">
      <w:pPr>
        <w:spacing w:after="0" w:line="240" w:lineRule="auto"/>
        <w:jc w:val="both"/>
        <w:rPr>
          <w:rFonts w:ascii="Verdana" w:eastAsia="Calibri" w:hAnsi="Verdana" w:cs="Arial"/>
          <w:b/>
          <w:bCs/>
          <w:sz w:val="20"/>
          <w:szCs w:val="20"/>
          <w:lang w:val="es-ES_tradnl"/>
        </w:rPr>
      </w:pPr>
    </w:p>
    <w:p w14:paraId="2E0ADA65" w14:textId="5AD4F9E0" w:rsidR="00903934" w:rsidRDefault="00903934" w:rsidP="00C35401">
      <w:pPr>
        <w:spacing w:after="0" w:line="240" w:lineRule="auto"/>
        <w:jc w:val="both"/>
        <w:rPr>
          <w:rFonts w:ascii="Verdana" w:eastAsia="Times New Roman" w:hAnsi="Verdana" w:cs="Arial"/>
          <w:color w:val="1A1A1A" w:themeColor="background1" w:themeShade="1A"/>
          <w:sz w:val="20"/>
          <w:szCs w:val="20"/>
          <w:lang w:eastAsia="es-ES_tradnl"/>
        </w:rPr>
      </w:pPr>
      <w:r w:rsidRPr="00C35401">
        <w:rPr>
          <w:rFonts w:ascii="Verdana" w:eastAsia="Calibri" w:hAnsi="Verdana" w:cs="Arial"/>
          <w:sz w:val="20"/>
          <w:szCs w:val="20"/>
          <w:lang w:val="es-ES_tradnl"/>
        </w:rPr>
        <w:t xml:space="preserve">Ahora bien, </w:t>
      </w:r>
      <w:r w:rsidRPr="00C35401">
        <w:rPr>
          <w:rFonts w:ascii="Verdana" w:eastAsia="Times New Roman" w:hAnsi="Verdana" w:cs="Arial"/>
          <w:color w:val="1A1A1A" w:themeColor="background1" w:themeShade="1A"/>
          <w:sz w:val="20"/>
          <w:szCs w:val="20"/>
          <w:lang w:eastAsia="es-ES_tradnl"/>
        </w:rPr>
        <w:t>conforme al artículo 41 de la Ley 80 de 1993, el Registro Presupuestal es necesario para iniciar la ejecución del contrato, una vez se tenga definido el valor y el plazo. En consecuencia, el Registro Presupuestal, al ser un requisito de ejecución del contrato, normalmente se expide después de celebrado el contrato, tal como se desprende de lo establecido en el inciso segundo del artículo 41 de la Ley 80 de 1993. En todo caso, esta Agencia considera que lo importante es que se hubiere expedido antes del inicio de la ejecución contractual, por lo que su expedición previa no afecta la validez del contrato estatal.</w:t>
      </w:r>
    </w:p>
    <w:p w14:paraId="07520DA5" w14:textId="77777777" w:rsidR="00C35401" w:rsidRPr="00C35401" w:rsidRDefault="00C35401" w:rsidP="00C35401">
      <w:pPr>
        <w:spacing w:after="0" w:line="240" w:lineRule="auto"/>
        <w:jc w:val="both"/>
        <w:rPr>
          <w:rFonts w:ascii="Verdana" w:eastAsia="Times New Roman" w:hAnsi="Verdana" w:cs="Arial"/>
          <w:color w:val="000000" w:themeColor="text1"/>
          <w:sz w:val="20"/>
          <w:szCs w:val="20"/>
          <w:lang w:eastAsia="es-ES_tradnl"/>
        </w:rPr>
      </w:pPr>
    </w:p>
    <w:p w14:paraId="02F97A74" w14:textId="39E4872C" w:rsidR="00C35401" w:rsidRDefault="00C35401" w:rsidP="00C35401">
      <w:pPr>
        <w:widowControl w:val="0"/>
        <w:autoSpaceDE w:val="0"/>
        <w:autoSpaceDN w:val="0"/>
        <w:spacing w:after="0" w:line="240" w:lineRule="auto"/>
        <w:jc w:val="both"/>
        <w:rPr>
          <w:rFonts w:ascii="Verdana" w:eastAsia="Times New Roman" w:hAnsi="Verdana" w:cs="Arial"/>
          <w:b/>
          <w:bCs/>
          <w:color w:val="1A1A1A" w:themeColor="background1" w:themeShade="1A"/>
          <w:sz w:val="20"/>
          <w:szCs w:val="20"/>
          <w:lang w:eastAsia="es-ES_tradnl"/>
        </w:rPr>
      </w:pPr>
      <w:r w:rsidRPr="00C35401">
        <w:rPr>
          <w:rFonts w:ascii="Verdana" w:eastAsia="Times New Roman" w:hAnsi="Verdana" w:cs="Arial"/>
          <w:b/>
          <w:bCs/>
          <w:color w:val="1A1A1A" w:themeColor="background1" w:themeShade="1A"/>
          <w:sz w:val="20"/>
          <w:szCs w:val="20"/>
          <w:lang w:eastAsia="es-ES_tradnl"/>
        </w:rPr>
        <w:t xml:space="preserve">ACTA DE INICIO – Requisito convencional </w:t>
      </w:r>
    </w:p>
    <w:p w14:paraId="4D9517D5" w14:textId="77777777" w:rsidR="00C35401" w:rsidRPr="00C35401" w:rsidRDefault="00C35401" w:rsidP="00C35401">
      <w:pPr>
        <w:widowControl w:val="0"/>
        <w:autoSpaceDE w:val="0"/>
        <w:autoSpaceDN w:val="0"/>
        <w:spacing w:after="0" w:line="240" w:lineRule="auto"/>
        <w:jc w:val="both"/>
        <w:rPr>
          <w:rFonts w:ascii="Verdana" w:eastAsia="Times New Roman" w:hAnsi="Verdana" w:cs="Arial"/>
          <w:b/>
          <w:bCs/>
          <w:color w:val="1A1A1A" w:themeColor="background1" w:themeShade="1A"/>
          <w:sz w:val="20"/>
          <w:szCs w:val="20"/>
          <w:lang w:eastAsia="es-ES_tradnl"/>
        </w:rPr>
      </w:pPr>
    </w:p>
    <w:p w14:paraId="68B28587" w14:textId="54762F49" w:rsidR="00903934" w:rsidRDefault="00903934" w:rsidP="00C35401">
      <w:pPr>
        <w:widowControl w:val="0"/>
        <w:autoSpaceDE w:val="0"/>
        <w:autoSpaceDN w:val="0"/>
        <w:spacing w:after="0" w:line="240" w:lineRule="auto"/>
        <w:jc w:val="both"/>
        <w:rPr>
          <w:rFonts w:ascii="Verdana" w:eastAsia="Calibri" w:hAnsi="Verdana" w:cs="Arial"/>
          <w:sz w:val="20"/>
          <w:szCs w:val="20"/>
          <w:lang w:val="es-ES"/>
        </w:rPr>
      </w:pPr>
      <w:r w:rsidRPr="00C35401">
        <w:rPr>
          <w:rFonts w:ascii="Verdana" w:eastAsia="Times New Roman" w:hAnsi="Verdana" w:cs="Arial"/>
          <w:color w:val="1A1A1A" w:themeColor="background1" w:themeShade="1A"/>
          <w:sz w:val="20"/>
          <w:szCs w:val="20"/>
          <w:lang w:eastAsia="es-ES_tradnl"/>
        </w:rPr>
        <w:t xml:space="preserve">Se advierte, por último, que </w:t>
      </w:r>
      <w:r w:rsidRPr="00C35401">
        <w:rPr>
          <w:rFonts w:ascii="Verdana" w:eastAsia="Calibri" w:hAnsi="Verdana" w:cs="Arial"/>
          <w:sz w:val="20"/>
          <w:szCs w:val="20"/>
          <w:lang w:val="es-ES"/>
        </w:rPr>
        <w:t xml:space="preserve">el acta de inicio constituye un requisito de ejecución convencional, que se pacta en la minuta del contrato o que el contratista acepta, adhiriéndose al clausulado del pliego de condiciones o documento equivalente. </w:t>
      </w:r>
      <w:r w:rsidR="00C35401" w:rsidRPr="00C35401">
        <w:rPr>
          <w:rFonts w:ascii="Verdana" w:eastAsia="Calibri" w:hAnsi="Verdana" w:cs="Arial"/>
          <w:sz w:val="20"/>
          <w:szCs w:val="20"/>
          <w:lang w:val="es-ES"/>
        </w:rPr>
        <w:t>[…]</w:t>
      </w:r>
      <w:r w:rsidRPr="00C35401">
        <w:rPr>
          <w:rFonts w:ascii="Verdana" w:eastAsia="Calibri" w:hAnsi="Verdana" w:cs="Arial"/>
          <w:sz w:val="20"/>
          <w:szCs w:val="20"/>
          <w:lang w:val="es-ES"/>
        </w:rPr>
        <w:t xml:space="preserve"> Por tanto, si bien no la exige la ley ni el reglamento, obedece a una buena práctica contractual, ya que brinda certeza acerca del inicio de la ejecución del contrato. Es por ello </w:t>
      </w:r>
      <w:proofErr w:type="gramStart"/>
      <w:r w:rsidRPr="00C35401">
        <w:rPr>
          <w:rFonts w:ascii="Verdana" w:eastAsia="Calibri" w:hAnsi="Verdana" w:cs="Arial"/>
          <w:sz w:val="20"/>
          <w:szCs w:val="20"/>
          <w:lang w:val="es-ES"/>
        </w:rPr>
        <w:t>que</w:t>
      </w:r>
      <w:proofErr w:type="gramEnd"/>
      <w:r w:rsidRPr="00C35401">
        <w:rPr>
          <w:rFonts w:ascii="Verdana" w:eastAsia="Calibri" w:hAnsi="Verdana" w:cs="Arial"/>
          <w:sz w:val="20"/>
          <w:szCs w:val="20"/>
          <w:lang w:val="es-ES"/>
        </w:rPr>
        <w:t xml:space="preserv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 </w:t>
      </w:r>
    </w:p>
    <w:p w14:paraId="44088855" w14:textId="77777777" w:rsidR="00C35401" w:rsidRPr="00C35401" w:rsidRDefault="00C35401" w:rsidP="00C35401">
      <w:pPr>
        <w:widowControl w:val="0"/>
        <w:autoSpaceDE w:val="0"/>
        <w:autoSpaceDN w:val="0"/>
        <w:spacing w:after="0" w:line="240" w:lineRule="auto"/>
        <w:jc w:val="both"/>
        <w:rPr>
          <w:rFonts w:ascii="Verdana" w:eastAsia="Calibri" w:hAnsi="Verdana" w:cs="Arial"/>
          <w:sz w:val="20"/>
          <w:szCs w:val="20"/>
          <w:lang w:val="es-ES"/>
        </w:rPr>
      </w:pPr>
    </w:p>
    <w:p w14:paraId="23B97DDC" w14:textId="77777777" w:rsidR="00903934" w:rsidRPr="00C35401" w:rsidRDefault="00903934" w:rsidP="00C35401">
      <w:pPr>
        <w:widowControl w:val="0"/>
        <w:autoSpaceDE w:val="0"/>
        <w:autoSpaceDN w:val="0"/>
        <w:spacing w:after="0" w:line="240" w:lineRule="auto"/>
        <w:jc w:val="both"/>
        <w:rPr>
          <w:rFonts w:ascii="Verdana" w:eastAsia="Calibri" w:hAnsi="Verdana" w:cs="Arial"/>
          <w:sz w:val="20"/>
          <w:szCs w:val="20"/>
          <w:lang w:val="es-ES"/>
        </w:rPr>
      </w:pPr>
      <w:r w:rsidRPr="00C35401">
        <w:rPr>
          <w:rFonts w:ascii="Verdana" w:eastAsia="Calibri" w:hAnsi="Verdana" w:cs="Arial"/>
          <w:sz w:val="20"/>
          <w:szCs w:val="20"/>
          <w:lang w:val="es-ES"/>
        </w:rPr>
        <w:t xml:space="preserve">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 </w:t>
      </w:r>
    </w:p>
    <w:p w14:paraId="09EBF407" w14:textId="77777777" w:rsidR="00903934" w:rsidRPr="00C35401" w:rsidRDefault="00903934" w:rsidP="00C35401">
      <w:pPr>
        <w:spacing w:after="0" w:line="240" w:lineRule="auto"/>
        <w:rPr>
          <w:rFonts w:ascii="Verdana" w:eastAsia="Calibri" w:hAnsi="Verdana" w:cs="Arial"/>
          <w:sz w:val="20"/>
          <w:szCs w:val="20"/>
          <w:lang w:val="es-ES"/>
        </w:rPr>
      </w:pPr>
    </w:p>
    <w:p w14:paraId="1EEAF091" w14:textId="77777777" w:rsidR="00C35401" w:rsidRDefault="00C35401" w:rsidP="00E6785E">
      <w:pPr>
        <w:spacing w:after="0"/>
        <w:rPr>
          <w:rFonts w:ascii="Verdana" w:eastAsia="Calibri" w:hAnsi="Verdana" w:cs="Arial"/>
          <w:lang w:val="es-ES"/>
        </w:rPr>
      </w:pPr>
    </w:p>
    <w:p w14:paraId="60F8BD03" w14:textId="77777777" w:rsidR="00C35401" w:rsidRDefault="00C35401" w:rsidP="00E6785E">
      <w:pPr>
        <w:spacing w:after="0"/>
        <w:rPr>
          <w:rFonts w:ascii="Verdana" w:eastAsia="Calibri" w:hAnsi="Verdana" w:cs="Arial"/>
          <w:lang w:val="es-ES"/>
        </w:rPr>
      </w:pPr>
    </w:p>
    <w:p w14:paraId="3691EA0D" w14:textId="77777777" w:rsidR="00C35401" w:rsidRDefault="00C35401" w:rsidP="00E6785E">
      <w:pPr>
        <w:spacing w:after="0"/>
        <w:rPr>
          <w:rFonts w:ascii="Verdana" w:eastAsia="Calibri" w:hAnsi="Verdana" w:cs="Arial"/>
          <w:lang w:val="es-ES"/>
        </w:rPr>
      </w:pPr>
    </w:p>
    <w:p w14:paraId="4790B957" w14:textId="77777777" w:rsidR="00C35401" w:rsidRDefault="00C35401" w:rsidP="00E6785E">
      <w:pPr>
        <w:spacing w:after="0"/>
        <w:rPr>
          <w:rFonts w:ascii="Verdana" w:eastAsia="Calibri" w:hAnsi="Verdana" w:cs="Arial"/>
          <w:lang w:val="es-ES"/>
        </w:rPr>
      </w:pPr>
    </w:p>
    <w:p w14:paraId="71900AF5" w14:textId="77777777" w:rsidR="00C35401" w:rsidRDefault="00C35401" w:rsidP="00E6785E">
      <w:pPr>
        <w:spacing w:after="0"/>
        <w:rPr>
          <w:rFonts w:ascii="Verdana" w:eastAsia="Calibri" w:hAnsi="Verdana" w:cs="Arial"/>
          <w:lang w:val="es-ES"/>
        </w:rPr>
      </w:pPr>
    </w:p>
    <w:p w14:paraId="08FB109B" w14:textId="16631101" w:rsidR="00E6785E" w:rsidRDefault="00E6785E" w:rsidP="00E6785E">
      <w:pPr>
        <w:spacing w:after="0"/>
        <w:rPr>
          <w:rFonts w:ascii="Verdana" w:hAnsi="Verdana"/>
        </w:rPr>
      </w:pPr>
      <w:r w:rsidRPr="0044528D">
        <w:rPr>
          <w:rFonts w:ascii="Verdana" w:hAnsi="Verdana"/>
        </w:rPr>
        <w:lastRenderedPageBreak/>
        <w:t xml:space="preserve">Bogotá D.C., </w:t>
      </w:r>
      <w:r w:rsidR="00903934">
        <w:rPr>
          <w:rFonts w:ascii="Verdana" w:hAnsi="Verdana"/>
        </w:rPr>
        <w:t xml:space="preserve">11 de junio de 2025 </w:t>
      </w:r>
    </w:p>
    <w:p w14:paraId="0B7CC70D" w14:textId="77777777" w:rsidR="00903934" w:rsidRDefault="00903934" w:rsidP="00E6785E">
      <w:pPr>
        <w:spacing w:after="0"/>
        <w:rPr>
          <w:rFonts w:ascii="Verdana" w:hAnsi="Verdana"/>
        </w:rPr>
      </w:pPr>
    </w:p>
    <w:p w14:paraId="39EAF7D2" w14:textId="77B43A4B" w:rsidR="00903934" w:rsidRPr="0044528D" w:rsidRDefault="00903934" w:rsidP="00903934">
      <w:pPr>
        <w:spacing w:after="0"/>
        <w:jc w:val="right"/>
        <w:rPr>
          <w:rFonts w:ascii="Verdana" w:hAnsi="Verdana"/>
        </w:rPr>
      </w:pPr>
      <w:r w:rsidRPr="00903934">
        <w:rPr>
          <w:rFonts w:ascii="Verdana" w:hAnsi="Verdana"/>
          <w:noProof/>
        </w:rPr>
        <w:drawing>
          <wp:inline distT="0" distB="0" distL="0" distR="0" wp14:anchorId="582D3CA4" wp14:editId="1E5622BA">
            <wp:extent cx="3067050" cy="917033"/>
            <wp:effectExtent l="0" t="0" r="0" b="0"/>
            <wp:docPr id="9272259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225918" name=""/>
                    <pic:cNvPicPr/>
                  </pic:nvPicPr>
                  <pic:blipFill>
                    <a:blip r:embed="rId10"/>
                    <a:stretch>
                      <a:fillRect/>
                    </a:stretch>
                  </pic:blipFill>
                  <pic:spPr>
                    <a:xfrm>
                      <a:off x="0" y="0"/>
                      <a:ext cx="3075395" cy="919528"/>
                    </a:xfrm>
                    <a:prstGeom prst="rect">
                      <a:avLst/>
                    </a:prstGeom>
                  </pic:spPr>
                </pic:pic>
              </a:graphicData>
            </a:graphic>
          </wp:inline>
        </w:drawing>
      </w:r>
    </w:p>
    <w:p w14:paraId="22B8B492" w14:textId="77777777" w:rsidR="00E6785E" w:rsidRDefault="00E6785E" w:rsidP="00E6785E">
      <w:pPr>
        <w:spacing w:after="0" w:line="240" w:lineRule="auto"/>
        <w:jc w:val="both"/>
        <w:rPr>
          <w:rFonts w:ascii="Verdana" w:eastAsia="Calibri" w:hAnsi="Verdana" w:cs="Arial"/>
          <w:lang w:val="es-ES" w:eastAsia="es-ES"/>
        </w:rPr>
      </w:pPr>
    </w:p>
    <w:p w14:paraId="22F4099A" w14:textId="77777777" w:rsidR="00E6785E" w:rsidRPr="009831C2" w:rsidRDefault="00E6785E" w:rsidP="00E6785E">
      <w:pPr>
        <w:spacing w:after="0" w:line="240" w:lineRule="auto"/>
        <w:jc w:val="both"/>
        <w:rPr>
          <w:rFonts w:ascii="Verdana" w:eastAsia="Calibri" w:hAnsi="Verdana" w:cs="Arial"/>
          <w:lang w:eastAsia="es-ES"/>
        </w:rPr>
      </w:pPr>
      <w:r w:rsidRPr="009831C2">
        <w:rPr>
          <w:rFonts w:ascii="Verdana" w:eastAsia="Calibri" w:hAnsi="Verdana" w:cs="Arial"/>
          <w:lang w:eastAsia="es-ES"/>
        </w:rPr>
        <w:t>Señor</w:t>
      </w:r>
      <w:r>
        <w:rPr>
          <w:rFonts w:ascii="Verdana" w:eastAsia="Calibri" w:hAnsi="Verdana" w:cs="Arial"/>
          <w:lang w:eastAsia="es-ES"/>
        </w:rPr>
        <w:t>a</w:t>
      </w:r>
    </w:p>
    <w:p w14:paraId="07211424" w14:textId="77777777" w:rsidR="00E6785E" w:rsidRDefault="00E6785E" w:rsidP="00E6785E">
      <w:pPr>
        <w:spacing w:after="0" w:line="240" w:lineRule="auto"/>
        <w:rPr>
          <w:rFonts w:ascii="Verdana" w:eastAsia="Calibri" w:hAnsi="Verdana" w:cs="Arial"/>
          <w:b/>
          <w:lang w:eastAsia="es-ES_tradnl"/>
        </w:rPr>
      </w:pPr>
      <w:r>
        <w:rPr>
          <w:rFonts w:ascii="Verdana" w:eastAsia="Calibri" w:hAnsi="Verdana" w:cs="Arial"/>
          <w:b/>
          <w:lang w:eastAsia="es-ES_tradnl"/>
        </w:rPr>
        <w:t>Nidia Trinidad Loaiza Muñoz</w:t>
      </w:r>
    </w:p>
    <w:p w14:paraId="1B0E6F97" w14:textId="77777777" w:rsidR="00E6785E" w:rsidRDefault="00E6785E" w:rsidP="00E6785E">
      <w:pPr>
        <w:spacing w:after="0" w:line="240" w:lineRule="auto"/>
        <w:rPr>
          <w:rFonts w:ascii="Verdana" w:eastAsia="Calibri" w:hAnsi="Verdana" w:cs="Arial"/>
          <w:bCs/>
          <w:lang w:eastAsia="es-ES_tradnl"/>
        </w:rPr>
      </w:pPr>
      <w:r w:rsidRPr="00D91D20">
        <w:rPr>
          <w:rFonts w:ascii="Verdana" w:eastAsia="Calibri" w:hAnsi="Verdana" w:cs="Arial"/>
          <w:bCs/>
          <w:lang w:eastAsia="es-ES_tradnl"/>
        </w:rPr>
        <w:t>Secretaria de Hacienda con funciones en Salud </w:t>
      </w:r>
    </w:p>
    <w:p w14:paraId="13DBA469" w14:textId="77777777" w:rsidR="00E6785E" w:rsidRPr="00D91D20" w:rsidRDefault="00E6785E" w:rsidP="00E6785E">
      <w:pPr>
        <w:spacing w:after="0" w:line="240" w:lineRule="auto"/>
        <w:rPr>
          <w:rFonts w:ascii="Verdana" w:eastAsia="Calibri" w:hAnsi="Verdana" w:cs="Arial"/>
          <w:bCs/>
          <w:lang w:eastAsia="es-ES_tradnl"/>
        </w:rPr>
      </w:pPr>
      <w:r w:rsidRPr="00D91D20">
        <w:rPr>
          <w:rFonts w:ascii="Verdana" w:eastAsia="Calibri" w:hAnsi="Verdana" w:cs="Arial"/>
          <w:bCs/>
          <w:lang w:eastAsia="es-ES_tradnl"/>
        </w:rPr>
        <w:t>Municipio de Armenia</w:t>
      </w:r>
    </w:p>
    <w:p w14:paraId="6C3F1E98" w14:textId="77777777" w:rsidR="00E6785E" w:rsidRDefault="00E6785E" w:rsidP="00E6785E">
      <w:pPr>
        <w:spacing w:after="0" w:line="240" w:lineRule="auto"/>
        <w:rPr>
          <w:rFonts w:ascii="Verdana" w:eastAsia="Calibri" w:hAnsi="Verdana" w:cs="Arial"/>
          <w:b/>
          <w:lang w:eastAsia="es-ES_tradnl"/>
        </w:rPr>
      </w:pPr>
      <w:hyperlink r:id="rId11" w:history="1">
        <w:r w:rsidRPr="00A022AF">
          <w:rPr>
            <w:rStyle w:val="Hipervnculo"/>
            <w:rFonts w:ascii="Verdana" w:eastAsia="Calibri" w:hAnsi="Verdana" w:cs="Arial"/>
            <w:b/>
            <w:lang w:eastAsia="es-ES_tradnl"/>
          </w:rPr>
          <w:t>tesoreria@armenia-antioquia.gov.co</w:t>
        </w:r>
      </w:hyperlink>
    </w:p>
    <w:p w14:paraId="4C858DE0" w14:textId="77777777" w:rsidR="00E6785E" w:rsidRPr="009831C2" w:rsidRDefault="00E6785E" w:rsidP="00E6785E">
      <w:pPr>
        <w:spacing w:after="0" w:line="240" w:lineRule="auto"/>
        <w:rPr>
          <w:rFonts w:ascii="Verdana" w:eastAsia="Calibri" w:hAnsi="Verdana" w:cs="Arial"/>
          <w:bCs/>
          <w:lang w:eastAsia="es-ES_tradnl"/>
        </w:rPr>
      </w:pPr>
      <w:r>
        <w:rPr>
          <w:rFonts w:ascii="Verdana" w:eastAsia="Calibri" w:hAnsi="Verdana" w:cs="Arial"/>
          <w:b/>
          <w:lang w:eastAsia="es-ES_tradnl"/>
        </w:rPr>
        <w:t xml:space="preserve">Armenia – Antioquia </w:t>
      </w:r>
    </w:p>
    <w:p w14:paraId="3AA0B081" w14:textId="77777777" w:rsidR="00E6785E" w:rsidRPr="009831C2" w:rsidRDefault="00E6785E" w:rsidP="00E6785E">
      <w:pPr>
        <w:spacing w:after="0" w:line="240" w:lineRule="auto"/>
        <w:rPr>
          <w:rFonts w:ascii="Verdana" w:eastAsia="Calibri" w:hAnsi="Verdana" w:cs="Arial"/>
          <w:b/>
          <w:lang w:eastAsia="es-ES_tradnl"/>
        </w:rPr>
      </w:pPr>
    </w:p>
    <w:p w14:paraId="41A00E71" w14:textId="77777777" w:rsidR="00E6785E" w:rsidRPr="009831C2" w:rsidRDefault="00E6785E" w:rsidP="00E6785E">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6785E" w:rsidRPr="00F71A6A" w14:paraId="28F6791E" w14:textId="77777777" w:rsidTr="00E87349">
        <w:trPr>
          <w:trHeight w:val="162"/>
        </w:trPr>
        <w:tc>
          <w:tcPr>
            <w:tcW w:w="2689" w:type="dxa"/>
          </w:tcPr>
          <w:p w14:paraId="3456ED21" w14:textId="77777777" w:rsidR="00E6785E" w:rsidRPr="009831C2" w:rsidRDefault="00E6785E" w:rsidP="00E87349">
            <w:pPr>
              <w:jc w:val="both"/>
              <w:rPr>
                <w:rFonts w:ascii="Verdana" w:eastAsia="Calibri" w:hAnsi="Verdana" w:cs="Arial"/>
                <w:b/>
                <w:bCs/>
                <w:color w:val="7030A0"/>
                <w:lang w:eastAsia="es-ES_tradnl"/>
              </w:rPr>
            </w:pPr>
          </w:p>
        </w:tc>
        <w:tc>
          <w:tcPr>
            <w:tcW w:w="6100" w:type="dxa"/>
          </w:tcPr>
          <w:p w14:paraId="05D3C9EF" w14:textId="77777777" w:rsidR="00E6785E" w:rsidRPr="003C7BF7" w:rsidRDefault="00E6785E" w:rsidP="00E87349">
            <w:pPr>
              <w:jc w:val="both"/>
              <w:rPr>
                <w:rFonts w:ascii="Verdana" w:eastAsia="Calibri" w:hAnsi="Verdana" w:cs="Arial"/>
                <w:b/>
                <w:bCs/>
                <w:color w:val="7030A0"/>
                <w:lang w:val="es-ES" w:eastAsia="es-ES"/>
              </w:rPr>
            </w:pPr>
            <w:r>
              <w:rPr>
                <w:rFonts w:ascii="Verdana" w:eastAsia="Calibri" w:hAnsi="Verdana" w:cs="Arial"/>
                <w:b/>
                <w:bCs/>
                <w:lang w:val="es-ES" w:eastAsia="es-ES"/>
              </w:rPr>
              <w:t xml:space="preserve">Concepto </w:t>
            </w:r>
            <w:r w:rsidRPr="006E593D">
              <w:rPr>
                <w:rFonts w:ascii="Verdana" w:eastAsia="Calibri" w:hAnsi="Verdana" w:cs="Arial"/>
                <w:b/>
                <w:bCs/>
                <w:lang w:val="es-ES" w:eastAsia="es-ES"/>
              </w:rPr>
              <w:t xml:space="preserve">C- </w:t>
            </w:r>
            <w:r>
              <w:rPr>
                <w:rFonts w:ascii="Verdana" w:eastAsia="Calibri" w:hAnsi="Verdana" w:cs="Arial"/>
                <w:b/>
                <w:bCs/>
                <w:lang w:val="es-ES" w:eastAsia="es-ES"/>
              </w:rPr>
              <w:t>5</w:t>
            </w:r>
            <w:r>
              <w:rPr>
                <w:rFonts w:ascii="Verdana" w:eastAsia="Calibri" w:hAnsi="Verdana" w:cs="Arial"/>
                <w:b/>
                <w:bCs/>
                <w:lang w:eastAsia="es-ES"/>
              </w:rPr>
              <w:t>36</w:t>
            </w:r>
            <w:r>
              <w:rPr>
                <w:rFonts w:ascii="Verdana" w:eastAsia="Calibri" w:hAnsi="Verdana" w:cs="Arial"/>
                <w:b/>
                <w:bCs/>
                <w:lang w:val="es-ES" w:eastAsia="es-ES"/>
              </w:rPr>
              <w:t xml:space="preserve"> </w:t>
            </w:r>
            <w:r w:rsidRPr="006E593D">
              <w:rPr>
                <w:rFonts w:ascii="Verdana" w:eastAsia="Calibri" w:hAnsi="Verdana" w:cs="Arial"/>
                <w:b/>
                <w:bCs/>
                <w:lang w:val="es-ES" w:eastAsia="es-ES"/>
              </w:rPr>
              <w:t>de 2025</w:t>
            </w:r>
          </w:p>
        </w:tc>
      </w:tr>
      <w:tr w:rsidR="00E6785E" w:rsidRPr="00F71A6A" w14:paraId="3C55664F" w14:textId="77777777" w:rsidTr="00E87349">
        <w:trPr>
          <w:trHeight w:val="884"/>
        </w:trPr>
        <w:tc>
          <w:tcPr>
            <w:tcW w:w="2689" w:type="dxa"/>
          </w:tcPr>
          <w:p w14:paraId="12913C95" w14:textId="77777777" w:rsidR="00E6785E" w:rsidRPr="00F71A6A" w:rsidRDefault="00E6785E" w:rsidP="00E87349">
            <w:pPr>
              <w:jc w:val="both"/>
              <w:rPr>
                <w:rFonts w:ascii="Verdana" w:eastAsia="Calibri" w:hAnsi="Verdana" w:cs="Arial"/>
                <w:color w:val="000000"/>
                <w:lang w:val="es-ES_tradnl" w:eastAsia="es-ES_tradnl"/>
              </w:rPr>
            </w:pPr>
            <w:r w:rsidRPr="00F71A6A">
              <w:rPr>
                <w:rFonts w:ascii="Verdana" w:eastAsia="Calibri" w:hAnsi="Verdana" w:cs="Arial"/>
                <w:b/>
                <w:color w:val="000000"/>
                <w:lang w:val="es-ES_tradnl" w:eastAsia="es-ES_tradnl"/>
              </w:rPr>
              <w:t>Temas:</w:t>
            </w:r>
            <w:r w:rsidRPr="00F71A6A">
              <w:rPr>
                <w:rFonts w:ascii="Verdana" w:eastAsia="Calibri" w:hAnsi="Verdana" w:cs="Arial"/>
                <w:color w:val="000000"/>
                <w:lang w:val="es-ES_tradnl" w:eastAsia="es-ES_tradnl"/>
              </w:rPr>
              <w:t xml:space="preserve">                   </w:t>
            </w:r>
          </w:p>
        </w:tc>
        <w:tc>
          <w:tcPr>
            <w:tcW w:w="6100" w:type="dxa"/>
          </w:tcPr>
          <w:p w14:paraId="68CDDAF2" w14:textId="77777777" w:rsidR="00E6785E" w:rsidRPr="009D426D" w:rsidRDefault="00E6785E" w:rsidP="00E87349">
            <w:pPr>
              <w:spacing w:line="276" w:lineRule="auto"/>
              <w:jc w:val="both"/>
              <w:rPr>
                <w:rFonts w:ascii="Verdana" w:eastAsia="Calibri" w:hAnsi="Verdana" w:cs="Arial"/>
                <w:lang w:eastAsia="es-ES"/>
              </w:rPr>
            </w:pPr>
            <w:r w:rsidRPr="00515AC9">
              <w:rPr>
                <w:rFonts w:ascii="Verdana" w:eastAsia="Calibri" w:hAnsi="Verdana" w:cs="Arial"/>
                <w:lang w:val="es-MX"/>
              </w:rPr>
              <w:t xml:space="preserve">REQUISITOS DE EJECUCIÓN – Diferencias entre requisitos de perfeccionamiento y ejecución – Requisitos de ejecución legales y convencionales </w:t>
            </w:r>
            <w:r w:rsidRPr="00023D7E">
              <w:rPr>
                <w:rFonts w:ascii="Verdana" w:eastAsia="Calibri" w:hAnsi="Verdana" w:cs="Arial"/>
                <w:lang w:val="es-ES" w:eastAsia="es-ES"/>
              </w:rPr>
              <w:t xml:space="preserve">/ REGISTRO PRESUPUESTAL – Expedición – Oportunidad – Requisito de ejecución </w:t>
            </w:r>
            <w:r>
              <w:rPr>
                <w:rFonts w:ascii="Verdana" w:eastAsia="Calibri" w:hAnsi="Verdana" w:cs="Arial"/>
                <w:lang w:val="es-ES" w:eastAsia="es-ES"/>
              </w:rPr>
              <w:t>/</w:t>
            </w:r>
            <w:r w:rsidRPr="000E1704">
              <w:rPr>
                <w:rFonts w:ascii="Verdana" w:eastAsia="Calibri" w:hAnsi="Verdana" w:cs="Arial"/>
                <w:lang w:val="es-MX"/>
              </w:rPr>
              <w:t>ACTA DE INICIO – Definición – Marco normativo</w:t>
            </w:r>
          </w:p>
        </w:tc>
      </w:tr>
      <w:tr w:rsidR="00E6785E" w:rsidRPr="00F71A6A" w14:paraId="52F3DF67" w14:textId="77777777" w:rsidTr="00E87349">
        <w:tc>
          <w:tcPr>
            <w:tcW w:w="2689" w:type="dxa"/>
          </w:tcPr>
          <w:p w14:paraId="3342A9DC" w14:textId="77777777" w:rsidR="00E6785E" w:rsidRPr="00F71A6A" w:rsidRDefault="00E6785E" w:rsidP="00E87349">
            <w:pPr>
              <w:jc w:val="both"/>
              <w:rPr>
                <w:rFonts w:ascii="Verdana" w:eastAsia="Calibri" w:hAnsi="Verdana" w:cs="Arial"/>
                <w:b/>
                <w:lang w:val="es-ES_tradnl" w:eastAsia="es-ES_tradnl"/>
              </w:rPr>
            </w:pPr>
            <w:r w:rsidRPr="00F71A6A">
              <w:rPr>
                <w:rFonts w:ascii="Verdana" w:eastAsia="Calibri" w:hAnsi="Verdana" w:cs="Arial"/>
                <w:b/>
                <w:lang w:val="es-ES_tradnl" w:eastAsia="es-ES_tradnl"/>
              </w:rPr>
              <w:t>Radicación:</w:t>
            </w:r>
            <w:r w:rsidRPr="00F71A6A">
              <w:rPr>
                <w:rFonts w:ascii="Verdana" w:eastAsia="Calibri" w:hAnsi="Verdana" w:cs="Arial"/>
                <w:lang w:val="es-ES_tradnl" w:eastAsia="es-ES_tradnl"/>
              </w:rPr>
              <w:t xml:space="preserve">               </w:t>
            </w:r>
          </w:p>
        </w:tc>
        <w:tc>
          <w:tcPr>
            <w:tcW w:w="6100" w:type="dxa"/>
          </w:tcPr>
          <w:p w14:paraId="1F7B2980" w14:textId="77777777" w:rsidR="00E6785E" w:rsidRPr="00D91D20" w:rsidRDefault="00E6785E" w:rsidP="00E87349">
            <w:pPr>
              <w:jc w:val="both"/>
              <w:rPr>
                <w:rFonts w:ascii="Verdana" w:eastAsia="Calibri" w:hAnsi="Verdana" w:cs="Arial"/>
                <w:lang w:val="es-ES_tradnl" w:eastAsia="es-ES_tradnl"/>
              </w:rPr>
            </w:pPr>
            <w:r w:rsidRPr="00D91D20">
              <w:rPr>
                <w:rFonts w:ascii="Verdana" w:eastAsia="Calibri" w:hAnsi="Verdana" w:cs="Arial"/>
                <w:lang w:val="es-ES_tradnl" w:eastAsia="es-ES_tradnl"/>
              </w:rPr>
              <w:t xml:space="preserve">Respuesta a consulta con radicados No. </w:t>
            </w:r>
            <w:r w:rsidRPr="00D91D20">
              <w:rPr>
                <w:rFonts w:ascii="Verdana" w:hAnsi="Verdana"/>
              </w:rPr>
              <w:t xml:space="preserve"> P20250502004150</w:t>
            </w:r>
          </w:p>
        </w:tc>
      </w:tr>
    </w:tbl>
    <w:p w14:paraId="70CE4C54" w14:textId="77777777" w:rsidR="00E6785E" w:rsidRDefault="00E6785E" w:rsidP="00E6785E">
      <w:pPr>
        <w:spacing w:after="0" w:line="276" w:lineRule="auto"/>
        <w:jc w:val="both"/>
        <w:rPr>
          <w:rFonts w:ascii="Verdana" w:eastAsia="Calibri" w:hAnsi="Verdana" w:cs="Arial"/>
          <w:lang w:val="es-ES" w:eastAsia="es-ES"/>
        </w:rPr>
      </w:pPr>
    </w:p>
    <w:p w14:paraId="35533185" w14:textId="77777777" w:rsidR="00E6785E" w:rsidRPr="00F71A6A" w:rsidRDefault="00E6785E" w:rsidP="00E6785E">
      <w:pPr>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Estima</w:t>
      </w:r>
      <w:r>
        <w:rPr>
          <w:rFonts w:ascii="Verdana" w:eastAsia="Calibri" w:hAnsi="Verdana" w:cs="Arial"/>
          <w:lang w:val="es-ES" w:eastAsia="es-ES"/>
        </w:rPr>
        <w:t>da señora Nidia Trinidad:</w:t>
      </w:r>
      <w:r w:rsidRPr="00F71A6A">
        <w:rPr>
          <w:rFonts w:ascii="Verdana" w:eastAsia="Calibri" w:hAnsi="Verdana" w:cs="Arial"/>
          <w:lang w:val="es-ES" w:eastAsia="es-ES"/>
        </w:rPr>
        <w:t xml:space="preserve"> </w:t>
      </w:r>
    </w:p>
    <w:p w14:paraId="539F90A9" w14:textId="77777777" w:rsidR="00E6785E" w:rsidRPr="00F71A6A" w:rsidRDefault="00E6785E" w:rsidP="00E6785E">
      <w:pPr>
        <w:tabs>
          <w:tab w:val="left" w:pos="3768"/>
        </w:tabs>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ab/>
      </w:r>
    </w:p>
    <w:p w14:paraId="2B7D78F7" w14:textId="77777777" w:rsidR="00E6785E" w:rsidRPr="00F71A6A" w:rsidRDefault="00E6785E" w:rsidP="00E6785E">
      <w:pPr>
        <w:spacing w:after="0" w:line="276" w:lineRule="auto"/>
        <w:jc w:val="both"/>
        <w:rPr>
          <w:rFonts w:ascii="Verdana" w:eastAsia="Calibri" w:hAnsi="Verdana" w:cs="Arial"/>
          <w:lang w:val="es-ES" w:eastAsia="es-ES"/>
        </w:rPr>
      </w:pPr>
      <w:r w:rsidRPr="00F71A6A">
        <w:rPr>
          <w:rFonts w:ascii="Verdana" w:eastAsia="Calibri" w:hAnsi="Verdana" w:cs="Arial"/>
          <w:color w:val="000000" w:themeColor="text1"/>
          <w:lang w:val="es-ES" w:eastAsia="es-ES"/>
        </w:rPr>
        <w:t>En ejercicio de la competencia otorgada por los artículos 3, numeral 5º, y 11, numeral 8º, del Decreto Ley 4170 de 2011,</w:t>
      </w:r>
      <w:r w:rsidRPr="00F71A6A">
        <w:rPr>
          <w:rFonts w:ascii="Verdana" w:eastAsia="Arial MT" w:hAnsi="Verdana" w:cs="Arial MT"/>
          <w:lang w:val="es-ES" w:eastAsia="es-ES"/>
        </w:rPr>
        <w:t xml:space="preserve"> </w:t>
      </w:r>
      <w:r w:rsidRPr="00F71A6A">
        <w:rPr>
          <w:rFonts w:ascii="Verdana" w:hAnsi="Verdana" w:cs="Arial"/>
        </w:rPr>
        <w:t xml:space="preserve">así como lo establecido en el artículo 4 de la Resolución 1707 de 2018 expedida por esta Entidad, </w:t>
      </w:r>
      <w:r w:rsidRPr="00F71A6A">
        <w:rPr>
          <w:rFonts w:ascii="Verdana" w:eastAsia="Calibri" w:hAnsi="Verdana" w:cs="Arial"/>
          <w:color w:val="000000" w:themeColor="text1"/>
          <w:lang w:val="es-ES" w:eastAsia="es-ES"/>
        </w:rPr>
        <w:t xml:space="preserve">la Agencia Nacional de Contratación </w:t>
      </w:r>
      <w:r w:rsidRPr="00F71A6A">
        <w:rPr>
          <w:rFonts w:ascii="Verdana" w:eastAsia="Calibri" w:hAnsi="Verdana" w:cs="Arial"/>
          <w:lang w:val="es-ES" w:eastAsia="es-ES"/>
        </w:rPr>
        <w:t xml:space="preserve">Pública – Colombia Compra Eficiente– responde su solicitud de consulta de fecha </w:t>
      </w:r>
      <w:r>
        <w:rPr>
          <w:rFonts w:ascii="Verdana" w:eastAsia="Calibri" w:hAnsi="Verdana" w:cs="Arial"/>
          <w:lang w:val="es-ES" w:eastAsia="es-ES"/>
        </w:rPr>
        <w:t>24 de 2025</w:t>
      </w:r>
      <w:r w:rsidRPr="00F71A6A">
        <w:rPr>
          <w:rFonts w:ascii="Verdana" w:eastAsia="Calibri" w:hAnsi="Verdana" w:cs="Arial"/>
          <w:lang w:val="es-ES" w:eastAsia="es-ES"/>
        </w:rPr>
        <w:t>,</w:t>
      </w:r>
      <w:r>
        <w:rPr>
          <w:rFonts w:ascii="Verdana" w:eastAsia="Calibri" w:hAnsi="Verdana" w:cs="Arial"/>
          <w:lang w:val="es-ES" w:eastAsia="es-ES"/>
        </w:rPr>
        <w:t xml:space="preserve"> </w:t>
      </w:r>
      <w:r w:rsidRPr="00D91D20">
        <w:rPr>
          <w:rFonts w:ascii="Verdana" w:eastAsia="Calibri" w:hAnsi="Verdana" w:cs="Arial"/>
          <w:lang w:eastAsia="es-ES"/>
        </w:rPr>
        <w:t>remitida previamente por</w:t>
      </w:r>
      <w:r>
        <w:rPr>
          <w:rFonts w:ascii="Verdana" w:eastAsia="Calibri" w:hAnsi="Verdana" w:cs="Arial"/>
          <w:lang w:eastAsia="es-ES"/>
        </w:rPr>
        <w:t xml:space="preserve"> la Contraloría General de Antioquia el 30 de abril de 2025 </w:t>
      </w:r>
      <w:r w:rsidRPr="00F71A6A">
        <w:rPr>
          <w:rFonts w:ascii="Verdana" w:eastAsia="Calibri" w:hAnsi="Verdana" w:cs="Arial"/>
          <w:lang w:val="es-ES" w:eastAsia="es-ES"/>
        </w:rPr>
        <w:t xml:space="preserve">en la cual manifiesta lo siguiente: </w:t>
      </w:r>
    </w:p>
    <w:p w14:paraId="07965FD8" w14:textId="77777777" w:rsidR="00E6785E" w:rsidRPr="000643DA" w:rsidRDefault="00E6785E" w:rsidP="00E6785E">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2EE79937" w14:textId="77777777" w:rsidR="00E6785E" w:rsidRDefault="00E6785E" w:rsidP="00E6785E">
      <w:pPr>
        <w:spacing w:after="0" w:line="240" w:lineRule="auto"/>
        <w:ind w:left="709" w:right="902"/>
        <w:jc w:val="both"/>
        <w:rPr>
          <w:rFonts w:ascii="Verdana" w:hAnsi="Verdana"/>
          <w:sz w:val="20"/>
          <w:szCs w:val="20"/>
        </w:rPr>
      </w:pPr>
      <w:bookmarkStart w:id="4" w:name="_Hlk192699624"/>
      <w:r w:rsidRPr="00835A24">
        <w:rPr>
          <w:rFonts w:ascii="Verdana" w:eastAsia="Century Gothic" w:hAnsi="Verdana" w:cs="Century Gothic"/>
          <w:sz w:val="20"/>
          <w:szCs w:val="20"/>
        </w:rPr>
        <w:t xml:space="preserve">“(…) </w:t>
      </w:r>
      <w:r w:rsidRPr="00D91D20">
        <w:rPr>
          <w:rFonts w:ascii="Verdana" w:hAnsi="Verdana"/>
          <w:sz w:val="20"/>
          <w:szCs w:val="20"/>
        </w:rPr>
        <w:t>Por medio de la presente solicito concepto sobre la expedición del Registro Presupuestal</w:t>
      </w:r>
      <w:r>
        <w:rPr>
          <w:rFonts w:ascii="Verdana" w:hAnsi="Verdana"/>
          <w:sz w:val="20"/>
          <w:szCs w:val="20"/>
        </w:rPr>
        <w:t>.</w:t>
      </w:r>
    </w:p>
    <w:p w14:paraId="05EDB238" w14:textId="77777777" w:rsidR="00E6785E" w:rsidRDefault="00E6785E" w:rsidP="00E6785E">
      <w:pPr>
        <w:spacing w:after="0" w:line="240" w:lineRule="auto"/>
        <w:ind w:left="709" w:right="902"/>
        <w:jc w:val="both"/>
        <w:rPr>
          <w:rFonts w:ascii="Verdana" w:hAnsi="Verdana"/>
          <w:sz w:val="20"/>
          <w:szCs w:val="20"/>
        </w:rPr>
      </w:pPr>
    </w:p>
    <w:p w14:paraId="0ADABCA7" w14:textId="77777777" w:rsidR="00E6785E" w:rsidRDefault="00E6785E" w:rsidP="00E6785E">
      <w:pPr>
        <w:spacing w:after="0" w:line="240" w:lineRule="auto"/>
        <w:ind w:left="709" w:right="902"/>
        <w:jc w:val="both"/>
        <w:rPr>
          <w:rFonts w:ascii="Verdana" w:eastAsia="Century Gothic" w:hAnsi="Verdana" w:cs="Century Gothic"/>
          <w:sz w:val="20"/>
          <w:szCs w:val="20"/>
        </w:rPr>
      </w:pPr>
      <w:r w:rsidRPr="00D91D20">
        <w:rPr>
          <w:rFonts w:ascii="Verdana" w:hAnsi="Verdana"/>
          <w:sz w:val="20"/>
          <w:szCs w:val="20"/>
        </w:rPr>
        <w:lastRenderedPageBreak/>
        <w:t>El registro presupuestal en qué momento del proceso contractual se hace, con fecha del contrato, acta de inicio, aceptación de una oferta</w:t>
      </w:r>
      <w:r w:rsidRPr="00ED0808">
        <w:rPr>
          <w:rFonts w:ascii="Verdana" w:hAnsi="Verdana"/>
          <w:sz w:val="20"/>
          <w:szCs w:val="20"/>
        </w:rPr>
        <w:t>.</w:t>
      </w:r>
      <w:r w:rsidRPr="009831C2">
        <w:rPr>
          <w:rFonts w:ascii="Verdana" w:hAnsi="Verdana"/>
          <w:sz w:val="20"/>
          <w:szCs w:val="20"/>
        </w:rPr>
        <w:t xml:space="preserve"> </w:t>
      </w:r>
      <w:r w:rsidRPr="00835A24">
        <w:rPr>
          <w:rFonts w:ascii="Verdana" w:eastAsia="Century Gothic" w:hAnsi="Verdana" w:cs="Century Gothic"/>
          <w:sz w:val="20"/>
          <w:szCs w:val="20"/>
        </w:rPr>
        <w:t>(…)”.</w:t>
      </w:r>
      <w:bookmarkEnd w:id="4"/>
    </w:p>
    <w:p w14:paraId="04840FE3" w14:textId="77777777" w:rsidR="00E6785E" w:rsidRPr="000C1A52" w:rsidRDefault="00E6785E" w:rsidP="00E6785E">
      <w:pPr>
        <w:spacing w:after="0" w:line="240" w:lineRule="auto"/>
        <w:ind w:left="709" w:right="902"/>
        <w:jc w:val="both"/>
        <w:rPr>
          <w:rFonts w:ascii="Verdana" w:eastAsia="Century Gothic" w:hAnsi="Verdana" w:cs="Century Gothic"/>
          <w:sz w:val="20"/>
          <w:szCs w:val="20"/>
        </w:rPr>
      </w:pPr>
    </w:p>
    <w:p w14:paraId="59623A4D" w14:textId="77777777" w:rsidR="00E6785E" w:rsidRPr="00995CAD" w:rsidRDefault="00E6785E" w:rsidP="00E6785E">
      <w:pPr>
        <w:spacing w:after="120" w:line="276" w:lineRule="auto"/>
        <w:ind w:firstLine="709"/>
        <w:jc w:val="both"/>
        <w:rPr>
          <w:rFonts w:ascii="Verdana" w:eastAsia="Calibri" w:hAnsi="Verdana" w:cs="Arial"/>
          <w:color w:val="000000"/>
          <w:szCs w:val="24"/>
          <w:lang w:val="es-ES_tradnl" w:eastAsia="es-ES_tradnl"/>
        </w:rPr>
      </w:pPr>
      <w:r w:rsidRPr="00995CA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95CAD">
        <w:rPr>
          <w:rFonts w:ascii="Verdana" w:eastAsia="Calibri" w:hAnsi="Verdana" w:cs="Arial"/>
          <w:color w:val="000000"/>
          <w:szCs w:val="24"/>
          <w:lang w:val="es-ES_tradnl" w:eastAsia="es-ES_tradnl"/>
        </w:rPr>
        <w:tab/>
      </w:r>
    </w:p>
    <w:p w14:paraId="286376B6" w14:textId="77777777" w:rsidR="00E6785E" w:rsidRPr="00995CAD" w:rsidRDefault="00E6785E" w:rsidP="00E6785E">
      <w:pPr>
        <w:spacing w:after="0" w:line="276" w:lineRule="auto"/>
        <w:ind w:firstLine="709"/>
        <w:jc w:val="both"/>
        <w:rPr>
          <w:rFonts w:ascii="Verdana" w:eastAsia="Calibri" w:hAnsi="Verdana" w:cs="Arial"/>
          <w:color w:val="000000"/>
          <w:lang w:val="es-ES" w:eastAsia="es-ES"/>
        </w:rPr>
      </w:pPr>
      <w:r w:rsidRPr="00995CAD">
        <w:rPr>
          <w:rFonts w:ascii="Verdana" w:eastAsia="Calibri" w:hAnsi="Verdana" w:cs="Arial"/>
          <w:color w:val="000000"/>
          <w:lang w:val="es-ES" w:eastAsia="es-ES"/>
        </w:rPr>
        <w:t xml:space="preserve">Conforme lo expuesto, en aras de garantizar el derecho fundamental de petición, se resolverá su petición dentro de los límites de la referida competencia consultiva, esto es, haciendo </w:t>
      </w:r>
      <w:r>
        <w:rPr>
          <w:rFonts w:ascii="Verdana" w:eastAsia="Calibri" w:hAnsi="Verdana" w:cs="Arial"/>
          <w:color w:val="000000"/>
          <w:lang w:val="es-ES" w:eastAsia="es-ES"/>
        </w:rPr>
        <w:t>abstracción del caso particular y concreto señalado en su petición, pero señalando</w:t>
      </w:r>
      <w:r w:rsidRPr="00995CAD">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995CAD">
        <w:rPr>
          <w:rFonts w:ascii="Verdana" w:eastAsia="Calibri" w:hAnsi="Verdana" w:cs="Arial"/>
          <w:color w:val="000000"/>
          <w:lang w:val="es-ES" w:eastAsia="es-ES"/>
        </w:rPr>
        <w:t>unas consideraciones sobre las normas generales relacionadas con el</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problema</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jurídico</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 xml:space="preserve">de su consulta.  </w:t>
      </w:r>
    </w:p>
    <w:p w14:paraId="0ACDFCB0" w14:textId="77777777" w:rsidR="00E6785E" w:rsidRPr="00F71A6A" w:rsidRDefault="00E6785E" w:rsidP="00E6785E">
      <w:pPr>
        <w:spacing w:after="0" w:line="276" w:lineRule="auto"/>
        <w:ind w:firstLine="709"/>
        <w:jc w:val="both"/>
        <w:rPr>
          <w:rFonts w:ascii="Verdana" w:eastAsia="Calibri" w:hAnsi="Verdana" w:cs="Arial"/>
          <w:color w:val="000000"/>
          <w:lang w:val="es-ES" w:eastAsia="es-ES"/>
        </w:rPr>
      </w:pPr>
    </w:p>
    <w:p w14:paraId="1B6393E0" w14:textId="77777777" w:rsidR="00E6785E" w:rsidRPr="00F71A6A" w:rsidRDefault="00E6785E" w:rsidP="00E678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Problema planteado:</w:t>
      </w:r>
    </w:p>
    <w:p w14:paraId="562CCB18" w14:textId="77777777" w:rsidR="00E6785E" w:rsidRPr="00F71A6A" w:rsidRDefault="00E6785E" w:rsidP="00E6785E">
      <w:pPr>
        <w:tabs>
          <w:tab w:val="left" w:pos="426"/>
        </w:tabs>
        <w:spacing w:after="0" w:line="276" w:lineRule="auto"/>
        <w:jc w:val="both"/>
        <w:rPr>
          <w:rFonts w:ascii="Verdana" w:eastAsia="Century Gothic" w:hAnsi="Verdana" w:cs="Century Gothic"/>
          <w:lang w:val="es-ES"/>
        </w:rPr>
      </w:pPr>
    </w:p>
    <w:p w14:paraId="0F7845F1" w14:textId="77777777" w:rsidR="00E6785E" w:rsidRPr="00CA1320" w:rsidRDefault="00E6785E" w:rsidP="00E6785E">
      <w:pPr>
        <w:spacing w:after="0" w:line="276" w:lineRule="auto"/>
        <w:jc w:val="both"/>
        <w:rPr>
          <w:rFonts w:ascii="Verdana" w:eastAsia="Century Gothic" w:hAnsi="Verdana" w:cs="Century Gothic"/>
        </w:rPr>
      </w:pPr>
      <w:r w:rsidRPr="007A4C25">
        <w:rPr>
          <w:rFonts w:ascii="Verdana" w:eastAsia="Century Gothic" w:hAnsi="Verdana" w:cs="Century Gothic"/>
        </w:rPr>
        <w:t xml:space="preserve">De acuerdo con el contenido de su solicitud, esta Agencia resolverá </w:t>
      </w:r>
      <w:r>
        <w:rPr>
          <w:rFonts w:ascii="Verdana" w:eastAsia="Century Gothic" w:hAnsi="Verdana" w:cs="Century Gothic"/>
        </w:rPr>
        <w:t>el siguiente problema jurídico</w:t>
      </w:r>
      <w:r w:rsidRPr="00CA1320">
        <w:rPr>
          <w:rFonts w:ascii="Verdana" w:eastAsia="Century Gothic" w:hAnsi="Verdana" w:cs="Century Gothic"/>
        </w:rPr>
        <w:t>: ¿</w:t>
      </w:r>
      <w:r w:rsidRPr="00CA1320">
        <w:rPr>
          <w:rFonts w:ascii="Verdana" w:hAnsi="Verdana"/>
        </w:rPr>
        <w:t>en qué momento del proceso contractual debe expedirse el registro presupuestal?</w:t>
      </w:r>
    </w:p>
    <w:p w14:paraId="141FE973" w14:textId="77777777" w:rsidR="00E6785E" w:rsidRPr="00445C41" w:rsidRDefault="00E6785E" w:rsidP="00E6785E">
      <w:pPr>
        <w:spacing w:after="0" w:line="276" w:lineRule="auto"/>
        <w:jc w:val="both"/>
        <w:rPr>
          <w:rFonts w:ascii="Verdana" w:eastAsia="Century Gothic" w:hAnsi="Verdana" w:cs="Century Gothic"/>
        </w:rPr>
      </w:pPr>
    </w:p>
    <w:p w14:paraId="274B8B6A" w14:textId="1D5136CB" w:rsidR="00E6785E" w:rsidRPr="00E42343" w:rsidRDefault="005B64DF" w:rsidP="00E6785E">
      <w:pPr>
        <w:spacing w:after="0" w:line="276" w:lineRule="auto"/>
        <w:jc w:val="both"/>
        <w:rPr>
          <w:rFonts w:ascii="Verdana" w:eastAsia="Century Gothic" w:hAnsi="Verdana" w:cs="Century Gothic"/>
          <w:b/>
          <w:bCs/>
        </w:rPr>
      </w:pPr>
      <w:r>
        <w:rPr>
          <w:rFonts w:ascii="Verdana" w:eastAsia="Century Gothic" w:hAnsi="Verdana" w:cs="Century Gothic"/>
          <w:b/>
          <w:bCs/>
        </w:rPr>
        <w:t>2</w:t>
      </w:r>
      <w:r w:rsidR="00E6785E">
        <w:rPr>
          <w:rFonts w:ascii="Verdana" w:eastAsia="Century Gothic" w:hAnsi="Verdana" w:cs="Century Gothic"/>
          <w:b/>
          <w:bCs/>
        </w:rPr>
        <w:t xml:space="preserve">. </w:t>
      </w:r>
      <w:r w:rsidR="00E6785E" w:rsidRPr="00E42343">
        <w:rPr>
          <w:rFonts w:ascii="Verdana" w:eastAsia="Century Gothic" w:hAnsi="Verdana" w:cs="Century Gothic"/>
          <w:b/>
          <w:bCs/>
        </w:rPr>
        <w:t>Respuesta:</w:t>
      </w:r>
    </w:p>
    <w:p w14:paraId="1830228C" w14:textId="77777777" w:rsidR="00E6785E" w:rsidRPr="00F71A6A" w:rsidRDefault="00E6785E" w:rsidP="00E6785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Look w:val="04A0" w:firstRow="1" w:lastRow="0" w:firstColumn="1" w:lastColumn="0" w:noHBand="0" w:noVBand="1"/>
      </w:tblPr>
      <w:tblGrid>
        <w:gridCol w:w="8828"/>
      </w:tblGrid>
      <w:tr w:rsidR="00E6785E" w:rsidRPr="00F71A6A" w14:paraId="1870ED2A" w14:textId="77777777" w:rsidTr="00E87349">
        <w:tc>
          <w:tcPr>
            <w:tcW w:w="8828" w:type="dxa"/>
          </w:tcPr>
          <w:p w14:paraId="09AA21D0" w14:textId="77777777" w:rsidR="00E6785E" w:rsidRDefault="00E6785E" w:rsidP="00E87349">
            <w:pPr>
              <w:spacing w:before="120" w:line="276" w:lineRule="auto"/>
              <w:ind w:firstLine="360"/>
              <w:jc w:val="both"/>
              <w:rPr>
                <w:rFonts w:ascii="Verdana" w:eastAsia="Calibri" w:hAnsi="Verdana" w:cs="Arial"/>
                <w:lang w:val="es-ES"/>
              </w:rPr>
            </w:pPr>
            <w:r w:rsidRPr="002E6096">
              <w:rPr>
                <w:rFonts w:ascii="Verdana" w:hAnsi="Verdana" w:cs="Arial"/>
                <w:bCs/>
                <w:color w:val="000000" w:themeColor="text1"/>
                <w:lang w:val="es-MX"/>
              </w:rPr>
              <w:t xml:space="preserve"> </w:t>
            </w:r>
            <w:r w:rsidRPr="573DC269">
              <w:rPr>
                <w:rFonts w:ascii="Verdana" w:eastAsia="Calibri" w:hAnsi="Verdana" w:cs="Arial"/>
                <w:lang w:val="es-ES"/>
              </w:rPr>
              <w:t>El Estatuto General de Contratación de la Administración Pública – en adelante EGCAP – prevé dos tipos de exigencias en relación con los contratos estatales: (i) las relacionadas con el perfeccionamiento y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las que tienen que ver con la ejecución.</w:t>
            </w:r>
          </w:p>
          <w:p w14:paraId="5EDFF0F1" w14:textId="77777777" w:rsidR="00E6785E" w:rsidRDefault="00E6785E" w:rsidP="00E87349">
            <w:pPr>
              <w:ind w:firstLine="709"/>
              <w:jc w:val="both"/>
              <w:rPr>
                <w:rFonts w:ascii="Verdana" w:eastAsia="Calibri" w:hAnsi="Verdana" w:cs="Arial"/>
                <w:lang w:val="es-ES_tradnl"/>
              </w:rPr>
            </w:pPr>
          </w:p>
          <w:p w14:paraId="502B3939" w14:textId="77777777" w:rsidR="00E6785E" w:rsidRDefault="00E6785E" w:rsidP="00E87349">
            <w:pPr>
              <w:spacing w:after="120" w:line="276" w:lineRule="auto"/>
              <w:ind w:firstLine="709"/>
              <w:jc w:val="both"/>
              <w:rPr>
                <w:rFonts w:ascii="Verdana" w:eastAsia="Calibri" w:hAnsi="Verdana" w:cs="Arial"/>
                <w:lang w:val="es-ES_tradnl"/>
              </w:rPr>
            </w:pPr>
            <w:r>
              <w:rPr>
                <w:rFonts w:ascii="Verdana" w:eastAsia="Calibri" w:hAnsi="Verdana" w:cs="Arial"/>
                <w:lang w:val="es-ES_tradnl"/>
              </w:rPr>
              <w:t>E</w:t>
            </w:r>
            <w:r w:rsidRPr="00515AC9">
              <w:rPr>
                <w:rFonts w:ascii="Verdana" w:eastAsia="Calibri" w:hAnsi="Verdana" w:cs="Arial"/>
                <w:lang w:val="es-ES_tradnl"/>
              </w:rPr>
              <w:t xml:space="preserve">l primer inciso del artículo 41 de la Ley 80 de 1993 establece que </w:t>
            </w:r>
            <w:r>
              <w:rPr>
                <w:rFonts w:ascii="Verdana" w:eastAsia="Calibri" w:hAnsi="Verdana" w:cs="Arial"/>
                <w:lang w:val="es-ES_tradnl"/>
              </w:rPr>
              <w:t>“</w:t>
            </w:r>
            <w:r w:rsidRPr="00515AC9">
              <w:rPr>
                <w:rFonts w:ascii="Verdana" w:eastAsia="Calibri" w:hAnsi="Verdana" w:cs="Arial"/>
                <w:i/>
                <w:iCs/>
                <w:lang w:val="es-ES_tradnl"/>
              </w:rPr>
              <w:t xml:space="preserve">Los contratos del Estado se perfeccionan cuando se logre acuerdo sobre el objeto </w:t>
            </w:r>
            <w:r w:rsidRPr="00515AC9">
              <w:rPr>
                <w:rFonts w:ascii="Verdana" w:eastAsia="Calibri" w:hAnsi="Verdana" w:cs="Arial"/>
                <w:i/>
                <w:iCs/>
                <w:lang w:val="es-ES_tradnl"/>
              </w:rPr>
              <w:lastRenderedPageBreak/>
              <w:t>y la contraprestación y éste se eleve a escrito</w:t>
            </w:r>
            <w:r>
              <w:rPr>
                <w:rFonts w:ascii="Verdana" w:eastAsia="Calibri" w:hAnsi="Verdana" w:cs="Arial"/>
                <w:lang w:val="es-ES_tradnl"/>
              </w:rPr>
              <w:t>”</w:t>
            </w:r>
            <w:r w:rsidRPr="00515AC9">
              <w:rPr>
                <w:rFonts w:ascii="Verdana" w:eastAsia="Calibri" w:hAnsi="Verdana" w:cs="Arial"/>
                <w:lang w:val="es-ES_tradnl"/>
              </w:rPr>
              <w:t xml:space="preserve">. Como se advierte, el legislador dispuso que para que el contrato estatal exista, no solo debe haber un acuerdo sobre la obligación principal del negocio –es decir, sobre el </w:t>
            </w:r>
            <w:r>
              <w:rPr>
                <w:rFonts w:ascii="Verdana" w:eastAsia="Calibri" w:hAnsi="Verdana" w:cs="Arial"/>
                <w:lang w:val="es-ES_tradnl"/>
              </w:rPr>
              <w:t>“</w:t>
            </w:r>
            <w:r w:rsidRPr="00515AC9">
              <w:rPr>
                <w:rFonts w:ascii="Verdana" w:eastAsia="Calibri" w:hAnsi="Verdana" w:cs="Arial"/>
                <w:lang w:val="es-ES_tradnl"/>
              </w:rPr>
              <w:t>objeto</w:t>
            </w:r>
            <w:r>
              <w:rPr>
                <w:rFonts w:ascii="Verdana" w:eastAsia="Calibri" w:hAnsi="Verdana" w:cs="Arial"/>
                <w:lang w:val="es-ES_tradnl"/>
              </w:rPr>
              <w:t>”</w:t>
            </w:r>
            <w:r w:rsidRPr="00515AC9">
              <w:rPr>
                <w:rFonts w:ascii="Verdana" w:eastAsia="Calibri" w:hAnsi="Verdana" w:cs="Arial"/>
                <w:lang w:val="es-ES_tradnl"/>
              </w:rPr>
              <w:t xml:space="preserve">– y sobre la contraprestación, sino que se debe plasmar por escrito. </w:t>
            </w:r>
          </w:p>
          <w:p w14:paraId="253F1A39" w14:textId="77777777" w:rsidR="00E6785E" w:rsidRPr="00515AC9" w:rsidRDefault="00E6785E" w:rsidP="00E87349">
            <w:pPr>
              <w:spacing w:after="120" w:line="276" w:lineRule="auto"/>
              <w:ind w:firstLine="708"/>
              <w:jc w:val="both"/>
              <w:rPr>
                <w:rFonts w:ascii="Verdana" w:eastAsia="Calibri" w:hAnsi="Verdana" w:cs="Arial"/>
                <w:lang w:val="es-ES"/>
              </w:rPr>
            </w:pPr>
            <w:r>
              <w:rPr>
                <w:rFonts w:ascii="Verdana" w:eastAsia="Calibri" w:hAnsi="Verdana" w:cs="Arial"/>
                <w:lang w:val="es-ES_tradnl"/>
              </w:rPr>
              <w:t>El</w:t>
            </w:r>
            <w:r w:rsidRPr="00515AC9">
              <w:rPr>
                <w:rFonts w:ascii="Verdana" w:eastAsia="Calibri" w:hAnsi="Verdana" w:cs="Arial"/>
                <w:lang w:val="es-ES_tradnl"/>
              </w:rPr>
              <w:t xml:space="preserve"> segundo inciso del artículo 41 de la Ley 80 de 1993</w:t>
            </w:r>
            <w:r w:rsidRPr="00515AC9">
              <w:rPr>
                <w:rFonts w:ascii="Verdana" w:eastAsia="Calibri" w:hAnsi="Verdana" w:cs="Arial"/>
              </w:rPr>
              <w:t>, modificado por el artículo 23 de la Ley 1150 de 2007</w:t>
            </w:r>
            <w:r>
              <w:rPr>
                <w:rFonts w:ascii="Verdana" w:eastAsia="Calibri" w:hAnsi="Verdana" w:cs="Arial"/>
                <w:lang w:val="es-ES_tradnl"/>
              </w:rPr>
              <w:t xml:space="preserve"> establece</w:t>
            </w:r>
            <w:r w:rsidRPr="00515AC9">
              <w:rPr>
                <w:rFonts w:ascii="Verdana" w:eastAsia="Calibri" w:hAnsi="Verdana" w:cs="Arial"/>
                <w:lang w:val="es-ES_tradnl"/>
              </w:rPr>
              <w:t xml:space="preserve"> los requisitos </w:t>
            </w:r>
            <w:r w:rsidRPr="00515AC9">
              <w:rPr>
                <w:rFonts w:ascii="Verdana" w:eastAsia="Calibri" w:hAnsi="Verdana" w:cs="Arial"/>
                <w:i/>
                <w:iCs/>
                <w:lang w:val="es-ES_tradnl"/>
              </w:rPr>
              <w:t xml:space="preserve">legales </w:t>
            </w:r>
            <w:r>
              <w:rPr>
                <w:rFonts w:ascii="Verdana" w:eastAsia="Calibri" w:hAnsi="Verdana" w:cs="Arial"/>
                <w:lang w:val="es-ES_tradnl"/>
              </w:rPr>
              <w:t>de ejecución de los contratos estatales. Estos son</w:t>
            </w:r>
            <w:proofErr w:type="gramStart"/>
            <w:r>
              <w:rPr>
                <w:rFonts w:ascii="Verdana" w:eastAsia="Calibri" w:hAnsi="Verdana" w:cs="Arial"/>
                <w:lang w:val="es-ES_tradnl"/>
              </w:rPr>
              <w:t xml:space="preserve">: </w:t>
            </w:r>
            <w:r w:rsidRPr="573DC269">
              <w:rPr>
                <w:rFonts w:ascii="Verdana" w:eastAsia="Calibri" w:hAnsi="Verdana" w:cs="Arial"/>
                <w:lang w:val="es-ES"/>
              </w:rPr>
              <w:t>)</w:t>
            </w:r>
            <w:proofErr w:type="gramEnd"/>
            <w:r w:rsidRPr="573DC269">
              <w:rPr>
                <w:rFonts w:ascii="Verdana" w:eastAsia="Calibri" w:hAnsi="Verdana" w:cs="Arial"/>
                <w:lang w:val="es-ES"/>
              </w:rPr>
              <w:t xml:space="preserve"> la aprobación de las garantías exigidas en el contrato,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la existencia de la apropiación presupuestal correspondiente y (</w:t>
            </w:r>
            <w:proofErr w:type="spellStart"/>
            <w:r w:rsidRPr="573DC269">
              <w:rPr>
                <w:rFonts w:ascii="Verdana" w:eastAsia="Calibri" w:hAnsi="Verdana" w:cs="Arial"/>
                <w:lang w:val="es-ES"/>
              </w:rPr>
              <w:t>iii</w:t>
            </w:r>
            <w:proofErr w:type="spellEnd"/>
            <w:r w:rsidRPr="573DC269">
              <w:rPr>
                <w:rFonts w:ascii="Verdana" w:eastAsia="Calibri" w:hAnsi="Verdana" w:cs="Arial"/>
                <w:lang w:val="es-ES"/>
              </w:rPr>
              <w:t xml:space="preserve">) la acreditación del cumplimiento de las obligaciones con el Sistema de Seguridad Social Integral. </w:t>
            </w:r>
            <w:r>
              <w:tab/>
            </w:r>
          </w:p>
          <w:p w14:paraId="00DDC05F" w14:textId="77777777" w:rsidR="00E6785E" w:rsidRPr="00060FD6" w:rsidRDefault="00E6785E" w:rsidP="00E87349">
            <w:pPr>
              <w:spacing w:after="120" w:line="276" w:lineRule="auto"/>
              <w:ind w:firstLine="709"/>
              <w:jc w:val="both"/>
              <w:rPr>
                <w:rFonts w:ascii="Verdana" w:eastAsia="Times New Roman" w:hAnsi="Verdana" w:cs="Arial"/>
                <w:color w:val="000000" w:themeColor="text1"/>
                <w:lang w:eastAsia="es-ES_tradnl"/>
              </w:rPr>
            </w:pPr>
            <w:r w:rsidRPr="00060FD6">
              <w:rPr>
                <w:rFonts w:ascii="Verdana" w:eastAsia="Times New Roman" w:hAnsi="Verdana" w:cs="Arial"/>
                <w:color w:val="000000" w:themeColor="text1"/>
                <w:lang w:eastAsia="es-ES_tradnl"/>
              </w:rPr>
              <w:t>En consecuencia, el Registro Presupuestal, al ser un requisito de ejecución del contrato, normalmente se expide después de celebrado el contrato, tal como se desprende de lo establecido en el inciso segundo del artículo 41 de la Ley 80 de 1993. En todo caso, esta Agencia considera que lo importante es que se hubiere expedido antes del inicio de la ejecución contractual, por lo que su expedición previa no afecta la validez del contrato estatal.</w:t>
            </w:r>
          </w:p>
          <w:p w14:paraId="5629B0D0" w14:textId="77777777" w:rsidR="00E6785E" w:rsidRPr="00F00E70" w:rsidRDefault="00E6785E" w:rsidP="00E87349">
            <w:pPr>
              <w:widowControl w:val="0"/>
              <w:autoSpaceDE w:val="0"/>
              <w:autoSpaceDN w:val="0"/>
              <w:spacing w:after="120" w:line="276" w:lineRule="auto"/>
              <w:ind w:firstLine="708"/>
              <w:jc w:val="both"/>
              <w:rPr>
                <w:rFonts w:ascii="Verdana" w:eastAsia="Calibri" w:hAnsi="Verdana" w:cs="Arial"/>
                <w:lang w:val="es-ES"/>
              </w:rPr>
            </w:pPr>
            <w:r w:rsidRPr="00060FD6">
              <w:rPr>
                <w:rFonts w:ascii="Verdana" w:eastAsia="Calibri" w:hAnsi="Verdana" w:cs="Arial"/>
                <w:color w:val="000000" w:themeColor="text1"/>
                <w:lang w:val="es-ES"/>
              </w:rPr>
              <w:t xml:space="preserve">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Seguridad Social Integral, las partes no pueden establecer que el contrato estatal comenzará su ejecución cuando se firme el acta de inicio pretermitiendo las tres exigencias legales. </w:t>
            </w:r>
          </w:p>
        </w:tc>
      </w:tr>
    </w:tbl>
    <w:p w14:paraId="3F471BC8" w14:textId="77777777" w:rsidR="00E6785E" w:rsidRPr="00F71A6A" w:rsidRDefault="00E6785E" w:rsidP="00E6785E">
      <w:pPr>
        <w:tabs>
          <w:tab w:val="left" w:pos="142"/>
          <w:tab w:val="left" w:pos="284"/>
        </w:tabs>
        <w:spacing w:after="0" w:line="276" w:lineRule="auto"/>
        <w:jc w:val="both"/>
        <w:rPr>
          <w:rFonts w:ascii="Verdana" w:eastAsia="Century Gothic" w:hAnsi="Verdana" w:cs="Century Gothic"/>
          <w:b/>
          <w:bCs/>
          <w:lang w:val="es-ES"/>
        </w:rPr>
      </w:pPr>
    </w:p>
    <w:p w14:paraId="260191FD" w14:textId="42737289" w:rsidR="00E6785E" w:rsidRPr="005B64DF" w:rsidRDefault="005B64DF" w:rsidP="005B64DF">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3. </w:t>
      </w:r>
      <w:r w:rsidR="00E6785E" w:rsidRPr="005B64DF">
        <w:rPr>
          <w:rFonts w:ascii="Verdana" w:eastAsia="Century Gothic" w:hAnsi="Verdana" w:cs="Century Gothic"/>
          <w:b/>
          <w:bCs/>
        </w:rPr>
        <w:t>Razones de la respuesta:</w:t>
      </w:r>
      <w:bookmarkStart w:id="5" w:name="_Hlk192104360"/>
    </w:p>
    <w:p w14:paraId="254A5195" w14:textId="77777777" w:rsidR="00E6785E" w:rsidRDefault="00E6785E" w:rsidP="00E6785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F287D39" w14:textId="77777777" w:rsidR="00E6785E" w:rsidRPr="00515AC9" w:rsidRDefault="00E6785E" w:rsidP="00E6785E">
      <w:pPr>
        <w:spacing w:after="120" w:line="276" w:lineRule="auto"/>
        <w:ind w:firstLine="709"/>
        <w:jc w:val="both"/>
        <w:rPr>
          <w:rFonts w:ascii="Verdana" w:eastAsia="Calibri" w:hAnsi="Verdana" w:cs="Arial"/>
          <w:lang w:val="es-ES"/>
        </w:rPr>
      </w:pPr>
      <w:bookmarkStart w:id="6" w:name="_Hlk199343457"/>
      <w:r w:rsidRPr="573DC269">
        <w:rPr>
          <w:rFonts w:ascii="Verdana" w:eastAsia="Calibri" w:hAnsi="Verdana" w:cs="Arial"/>
          <w:lang w:val="es-ES"/>
        </w:rPr>
        <w:t>El Estatuto General de Contratación de la Administración Pública – en adelante EGCAP – prevé dos tipos de exigencias en relación con los contratos estatales: (i) las relacionadas con el perfeccionamiento y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xml:space="preserve">) las que tienen que ver con la ejecución. Si bien ambas se complementan y marcan el origen de la fase contractual –o de ejecución–, es importante distinguirlas, ya que las consecuencias jurídicas que generan son diferentes. </w:t>
      </w:r>
    </w:p>
    <w:p w14:paraId="3F58C11C" w14:textId="77777777" w:rsidR="00E6785E" w:rsidRDefault="00E6785E" w:rsidP="1952E7C8">
      <w:pPr>
        <w:spacing w:after="120" w:line="276" w:lineRule="auto"/>
        <w:ind w:firstLine="709"/>
        <w:jc w:val="both"/>
        <w:rPr>
          <w:rFonts w:ascii="Verdana" w:eastAsia="Calibri" w:hAnsi="Verdana" w:cs="Arial"/>
          <w:lang w:val="es-ES"/>
        </w:rPr>
      </w:pPr>
      <w:r w:rsidRPr="1952E7C8">
        <w:rPr>
          <w:rFonts w:ascii="Verdana" w:eastAsia="Calibri" w:hAnsi="Verdana" w:cs="Arial"/>
          <w:lang w:val="es-ES"/>
        </w:rPr>
        <w:t xml:space="preserve">Los </w:t>
      </w:r>
      <w:r w:rsidRPr="1952E7C8">
        <w:rPr>
          <w:rFonts w:ascii="Verdana" w:eastAsia="Calibri" w:hAnsi="Verdana" w:cs="Arial"/>
          <w:i/>
          <w:iCs/>
          <w:lang w:val="es-ES"/>
        </w:rPr>
        <w:t>requisitos de perfeccionamiento</w:t>
      </w:r>
      <w:r w:rsidRPr="1952E7C8">
        <w:rPr>
          <w:rFonts w:ascii="Verdana" w:eastAsia="Calibri" w:hAnsi="Verdana" w:cs="Arial"/>
          <w:lang w:val="es-ES"/>
        </w:rPr>
        <w:t xml:space="preserve"> del contrato estatal son mandatos normativos que determinan cuándo se entiende celebrado. Es decir, se trata de </w:t>
      </w:r>
      <w:r w:rsidRPr="1952E7C8">
        <w:rPr>
          <w:rFonts w:ascii="Verdana" w:eastAsia="Calibri" w:hAnsi="Verdana" w:cs="Arial"/>
          <w:lang w:val="es-ES"/>
        </w:rPr>
        <w:lastRenderedPageBreak/>
        <w:t xml:space="preserve">prescripciones que establecen en qué momento existe el contrato. Según el artículo 1.501 del Código Civil, todo contrato se caracteriza por tener tres tipos de elementos: los de la esencia, los de la naturaleza y los accidentales. </w:t>
      </w:r>
    </w:p>
    <w:p w14:paraId="4AF51B00" w14:textId="77777777" w:rsidR="00E6785E" w:rsidRPr="00515AC9" w:rsidRDefault="00E6785E" w:rsidP="00E6785E">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Los de la </w:t>
      </w:r>
      <w:r w:rsidRPr="00515AC9">
        <w:rPr>
          <w:rFonts w:ascii="Verdana" w:eastAsia="Calibri" w:hAnsi="Verdana" w:cs="Arial"/>
          <w:i/>
          <w:iCs/>
          <w:lang w:val="es-ES_tradnl"/>
        </w:rPr>
        <w:t>esencia</w:t>
      </w:r>
      <w:r w:rsidRPr="00515AC9">
        <w:rPr>
          <w:rFonts w:ascii="Verdana" w:eastAsia="Calibri" w:hAnsi="Verdana" w:cs="Arial"/>
          <w:lang w:val="es-ES_tradnl"/>
        </w:rPr>
        <w:t xml:space="preserve"> son aquellos que, al cumplirse, marcan la existencia del contrato y le otorgan su identidad o tipología, permitiendo que no se confunda con otro contrato. Los de la </w:t>
      </w:r>
      <w:r w:rsidRPr="00515AC9">
        <w:rPr>
          <w:rFonts w:ascii="Verdana" w:eastAsia="Calibri" w:hAnsi="Verdana" w:cs="Arial"/>
          <w:i/>
          <w:iCs/>
          <w:lang w:val="es-ES_tradnl"/>
        </w:rPr>
        <w:t>naturaleza</w:t>
      </w:r>
      <w:r w:rsidRPr="00515AC9">
        <w:rPr>
          <w:rFonts w:ascii="Verdana" w:eastAsia="Calibri" w:hAnsi="Verdana" w:cs="Arial"/>
          <w:lang w:val="es-ES_tradnl"/>
        </w:rPr>
        <w:t xml:space="preserve"> son aquellos que, no siendo esenciales al contrato, se entienden incorporados por ministerio de la ley, aun ante el silencio de las partes. Y los </w:t>
      </w:r>
      <w:r w:rsidRPr="00515AC9">
        <w:rPr>
          <w:rFonts w:ascii="Verdana" w:eastAsia="Calibri" w:hAnsi="Verdana" w:cs="Arial"/>
          <w:i/>
          <w:iCs/>
          <w:lang w:val="es-ES_tradnl"/>
        </w:rPr>
        <w:t>accidentales</w:t>
      </w:r>
      <w:r w:rsidRPr="00515AC9">
        <w:rPr>
          <w:rFonts w:ascii="Verdana" w:eastAsia="Calibri" w:hAnsi="Verdana" w:cs="Arial"/>
          <w:lang w:val="es-ES_tradnl"/>
        </w:rPr>
        <w:t xml:space="preserve"> son los que las partes agregan en ejercicio de su autonomía de la voluntad, ya que no son ni esenciales, ni de la naturaleza del contrato</w:t>
      </w:r>
      <w:r w:rsidRPr="00515AC9">
        <w:rPr>
          <w:rStyle w:val="Refdenotaalpie"/>
          <w:rFonts w:ascii="Verdana" w:hAnsi="Verdana" w:cs="Arial"/>
        </w:rPr>
        <w:footnoteReference w:id="1"/>
      </w:r>
      <w:r w:rsidRPr="00515AC9">
        <w:rPr>
          <w:rFonts w:ascii="Verdana" w:eastAsia="Calibri" w:hAnsi="Verdana" w:cs="Arial"/>
          <w:lang w:val="es-ES_tradnl"/>
        </w:rPr>
        <w:t>. Los requisitos de perfeccionamiento del contrato estatal ingresan dentro de los elementos de la esencia.</w:t>
      </w:r>
    </w:p>
    <w:p w14:paraId="3819A1F2" w14:textId="77777777" w:rsidR="00E6785E" w:rsidRPr="00515AC9" w:rsidRDefault="00E6785E" w:rsidP="00E6785E">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Además, los contratos –en términos generales– pueden ser: consensuales, reales o solemnes. Son </w:t>
      </w:r>
      <w:r w:rsidRPr="00515AC9">
        <w:rPr>
          <w:rFonts w:ascii="Verdana" w:eastAsia="Calibri" w:hAnsi="Verdana" w:cs="Arial"/>
          <w:i/>
          <w:iCs/>
          <w:lang w:val="es-ES_tradnl"/>
        </w:rPr>
        <w:t>consensuales</w:t>
      </w:r>
      <w:r w:rsidRPr="00515AC9">
        <w:rPr>
          <w:rFonts w:ascii="Verdana" w:eastAsia="Calibri" w:hAnsi="Verdana" w:cs="Arial"/>
          <w:lang w:val="es-ES_tradnl"/>
        </w:rPr>
        <w:t xml:space="preserve"> los que se perfeccionan con el consentimiento informal, pues no requieren de formalidades especiales. Son </w:t>
      </w:r>
      <w:r w:rsidRPr="00515AC9">
        <w:rPr>
          <w:rFonts w:ascii="Verdana" w:eastAsia="Calibri" w:hAnsi="Verdana" w:cs="Arial"/>
          <w:i/>
          <w:iCs/>
          <w:lang w:val="es-ES_tradnl"/>
        </w:rPr>
        <w:t>reales</w:t>
      </w:r>
      <w:r w:rsidRPr="00515AC9">
        <w:rPr>
          <w:rFonts w:ascii="Verdana" w:eastAsia="Calibri" w:hAnsi="Verdana" w:cs="Arial"/>
          <w:lang w:val="es-ES_tradnl"/>
        </w:rPr>
        <w:t xml:space="preserve"> aquellos que existen solo con la tradición o entrega de una cosa. Por su parte, son </w:t>
      </w:r>
      <w:r w:rsidRPr="00515AC9">
        <w:rPr>
          <w:rFonts w:ascii="Verdana" w:eastAsia="Calibri" w:hAnsi="Verdana" w:cs="Arial"/>
          <w:i/>
          <w:iCs/>
          <w:lang w:val="es-ES_tradnl"/>
        </w:rPr>
        <w:t>solemnes</w:t>
      </w:r>
      <w:r w:rsidRPr="00515AC9">
        <w:rPr>
          <w:rFonts w:ascii="Verdana" w:eastAsia="Calibri" w:hAnsi="Verdana" w:cs="Arial"/>
          <w:lang w:val="es-ES_tradnl"/>
        </w:rPr>
        <w:t xml:space="preserve"> aquellos contratos cuyo perfeccionamiento está revestido del cumplimiento de exigencias formales o ritualidades específicas</w:t>
      </w:r>
      <w:r w:rsidRPr="00515AC9">
        <w:rPr>
          <w:rStyle w:val="Refdenotaalpie"/>
          <w:rFonts w:ascii="Verdana" w:hAnsi="Verdana" w:cs="Arial"/>
        </w:rPr>
        <w:footnoteReference w:id="2"/>
      </w:r>
      <w:r w:rsidRPr="00515AC9">
        <w:rPr>
          <w:rFonts w:ascii="Verdana" w:eastAsia="Calibri" w:hAnsi="Verdana" w:cs="Arial"/>
          <w:lang w:val="es-ES_tradnl"/>
        </w:rPr>
        <w:t xml:space="preserve">. Pues bien, los contratos estatales regulados por el </w:t>
      </w:r>
      <w:r>
        <w:rPr>
          <w:rFonts w:ascii="Verdana" w:eastAsia="Calibri" w:hAnsi="Verdana" w:cs="Arial"/>
          <w:lang w:val="es-ES_tradnl"/>
        </w:rPr>
        <w:t>EGCAP</w:t>
      </w:r>
      <w:r w:rsidRPr="00515AC9">
        <w:rPr>
          <w:rFonts w:ascii="Verdana" w:eastAsia="Calibri" w:hAnsi="Verdana" w:cs="Arial"/>
          <w:lang w:val="es-ES_tradnl"/>
        </w:rPr>
        <w:t>, por regla general, son solemnes, ya que solo se entienden celebrados si se cumplen ciertas formalidades. Esta regla general solo tiene una excepción</w:t>
      </w:r>
      <w:r>
        <w:rPr>
          <w:rStyle w:val="Refdenotaalpie"/>
          <w:rFonts w:ascii="Verdana" w:eastAsia="Calibri" w:hAnsi="Verdana" w:cs="Arial"/>
          <w:lang w:val="es-ES_tradnl"/>
        </w:rPr>
        <w:footnoteReference w:id="3"/>
      </w:r>
      <w:r w:rsidRPr="00515AC9">
        <w:rPr>
          <w:rFonts w:ascii="Verdana" w:eastAsia="Calibri" w:hAnsi="Verdana" w:cs="Arial"/>
          <w:lang w:val="es-ES_tradnl"/>
        </w:rPr>
        <w:t>.</w:t>
      </w:r>
    </w:p>
    <w:p w14:paraId="4A669DAD" w14:textId="77777777" w:rsidR="00E6785E" w:rsidRDefault="00E6785E" w:rsidP="00E6785E">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En efecto, el primer inciso del artículo 41 de la Ley 80 de 1993 establece que </w:t>
      </w:r>
      <w:r>
        <w:rPr>
          <w:rFonts w:ascii="Verdana" w:eastAsia="Calibri" w:hAnsi="Verdana" w:cs="Arial"/>
          <w:lang w:val="es-ES_tradnl"/>
        </w:rPr>
        <w:t>“</w:t>
      </w:r>
      <w:r w:rsidRPr="00515AC9">
        <w:rPr>
          <w:rFonts w:ascii="Verdana" w:eastAsia="Calibri" w:hAnsi="Verdana" w:cs="Arial"/>
          <w:i/>
          <w:iCs/>
          <w:lang w:val="es-ES_tradnl"/>
        </w:rPr>
        <w:t>Los contratos del Estado se perfeccionan cuando se logre acuerdo sobre el objeto y la contraprestación y éste se eleve a escrito</w:t>
      </w:r>
      <w:r>
        <w:rPr>
          <w:rFonts w:ascii="Verdana" w:eastAsia="Calibri" w:hAnsi="Verdana" w:cs="Arial"/>
          <w:lang w:val="es-ES_tradnl"/>
        </w:rPr>
        <w:t>”</w:t>
      </w:r>
      <w:r w:rsidRPr="00515AC9">
        <w:rPr>
          <w:rFonts w:ascii="Verdana" w:eastAsia="Calibri" w:hAnsi="Verdana" w:cs="Arial"/>
          <w:lang w:val="es-ES_tradnl"/>
        </w:rPr>
        <w:t xml:space="preserve">. Como se advierte, el legislador dispuso que para que el contrato estatal exista, no solo debe haber </w:t>
      </w:r>
      <w:r w:rsidRPr="00515AC9">
        <w:rPr>
          <w:rFonts w:ascii="Verdana" w:eastAsia="Calibri" w:hAnsi="Verdana" w:cs="Arial"/>
          <w:lang w:val="es-ES_tradnl"/>
        </w:rPr>
        <w:lastRenderedPageBreak/>
        <w:t xml:space="preserve">un acuerdo sobre la obligación principal del negocio –es decir, sobre el </w:t>
      </w:r>
      <w:r>
        <w:rPr>
          <w:rFonts w:ascii="Verdana" w:eastAsia="Calibri" w:hAnsi="Verdana" w:cs="Arial"/>
          <w:lang w:val="es-ES_tradnl"/>
        </w:rPr>
        <w:t>“</w:t>
      </w:r>
      <w:r w:rsidRPr="00515AC9">
        <w:rPr>
          <w:rFonts w:ascii="Verdana" w:eastAsia="Calibri" w:hAnsi="Verdana" w:cs="Arial"/>
          <w:lang w:val="es-ES_tradnl"/>
        </w:rPr>
        <w:t>objeto</w:t>
      </w:r>
      <w:r>
        <w:rPr>
          <w:rFonts w:ascii="Verdana" w:eastAsia="Calibri" w:hAnsi="Verdana" w:cs="Arial"/>
          <w:lang w:val="es-ES_tradnl"/>
        </w:rPr>
        <w:t>”</w:t>
      </w:r>
      <w:r w:rsidRPr="00515AC9">
        <w:rPr>
          <w:rFonts w:ascii="Verdana" w:eastAsia="Calibri" w:hAnsi="Verdana" w:cs="Arial"/>
          <w:lang w:val="es-ES_tradnl"/>
        </w:rPr>
        <w:t xml:space="preserve">– y sobre la contraprestación, sino que se debe plasmar por escrito. </w:t>
      </w:r>
    </w:p>
    <w:p w14:paraId="5DBBCABD" w14:textId="77777777" w:rsidR="00E6785E" w:rsidRPr="00515AC9" w:rsidRDefault="00E6785E" w:rsidP="00E6785E">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Tal circunstancia le ha permitido a la doctrina concluir que el contrato estatal regulado en el EGC</w:t>
      </w:r>
      <w:r>
        <w:rPr>
          <w:rFonts w:ascii="Verdana" w:eastAsia="Calibri" w:hAnsi="Verdana" w:cs="Arial"/>
          <w:lang w:val="es-ES_tradnl"/>
        </w:rPr>
        <w:t>A</w:t>
      </w:r>
      <w:r w:rsidRPr="00515AC9">
        <w:rPr>
          <w:rFonts w:ascii="Verdana" w:eastAsia="Calibri" w:hAnsi="Verdana" w:cs="Arial"/>
          <w:lang w:val="es-ES_tradnl"/>
        </w:rPr>
        <w:t xml:space="preserve">P es </w:t>
      </w:r>
      <w:r>
        <w:rPr>
          <w:rFonts w:ascii="Verdana" w:eastAsia="Calibri" w:hAnsi="Verdana" w:cs="Arial"/>
          <w:lang w:val="es-ES_tradnl"/>
        </w:rPr>
        <w:t>“</w:t>
      </w:r>
      <w:r w:rsidRPr="00515AC9">
        <w:rPr>
          <w:rFonts w:ascii="Verdana" w:eastAsia="Calibri" w:hAnsi="Verdana" w:cs="Arial"/>
          <w:lang w:val="es-ES_tradnl"/>
        </w:rPr>
        <w:t xml:space="preserve">[…] </w:t>
      </w:r>
      <w:r w:rsidRPr="00515AC9">
        <w:rPr>
          <w:rFonts w:ascii="Verdana" w:eastAsia="Calibri" w:hAnsi="Verdana" w:cs="Arial"/>
          <w:i/>
          <w:iCs/>
          <w:lang w:val="es-ES_tradnl"/>
        </w:rPr>
        <w:t xml:space="preserve">principalmente, solemne, ya que la manifestación de voluntad, si no se expresa bajo la forma ad </w:t>
      </w:r>
      <w:proofErr w:type="spellStart"/>
      <w:r w:rsidRPr="00515AC9">
        <w:rPr>
          <w:rFonts w:ascii="Verdana" w:eastAsia="Calibri" w:hAnsi="Verdana" w:cs="Arial"/>
          <w:i/>
          <w:iCs/>
          <w:lang w:val="es-ES_tradnl"/>
        </w:rPr>
        <w:t>solemnitatem</w:t>
      </w:r>
      <w:proofErr w:type="spellEnd"/>
      <w:r w:rsidRPr="00515AC9">
        <w:rPr>
          <w:rFonts w:ascii="Verdana" w:eastAsia="Calibri" w:hAnsi="Verdana" w:cs="Arial"/>
          <w:i/>
          <w:iCs/>
          <w:lang w:val="es-ES_tradnl"/>
        </w:rPr>
        <w:t xml:space="preserve"> o ad </w:t>
      </w:r>
      <w:proofErr w:type="spellStart"/>
      <w:r w:rsidRPr="00515AC9">
        <w:rPr>
          <w:rFonts w:ascii="Verdana" w:eastAsia="Calibri" w:hAnsi="Verdana" w:cs="Arial"/>
          <w:i/>
          <w:iCs/>
          <w:lang w:val="es-ES_tradnl"/>
        </w:rPr>
        <w:t>substantiam</w:t>
      </w:r>
      <w:proofErr w:type="spellEnd"/>
      <w:r w:rsidRPr="00515AC9">
        <w:rPr>
          <w:rFonts w:ascii="Verdana" w:eastAsia="Calibri" w:hAnsi="Verdana" w:cs="Arial"/>
          <w:i/>
          <w:iCs/>
          <w:lang w:val="es-ES_tradnl"/>
        </w:rPr>
        <w:t xml:space="preserve"> </w:t>
      </w:r>
      <w:proofErr w:type="spellStart"/>
      <w:r w:rsidRPr="00515AC9">
        <w:rPr>
          <w:rFonts w:ascii="Verdana" w:eastAsia="Calibri" w:hAnsi="Verdana" w:cs="Arial"/>
          <w:i/>
          <w:iCs/>
          <w:lang w:val="es-ES_tradnl"/>
        </w:rPr>
        <w:t>actus</w:t>
      </w:r>
      <w:proofErr w:type="spellEnd"/>
      <w:r w:rsidRPr="00515AC9">
        <w:rPr>
          <w:rFonts w:ascii="Verdana" w:eastAsia="Calibri" w:hAnsi="Verdana" w:cs="Arial"/>
          <w:i/>
          <w:iCs/>
          <w:lang w:val="es-ES_tradnl"/>
        </w:rPr>
        <w:t xml:space="preserve"> exigida por la ley, es inexistente, es decir, se entiende que el contrato jamás ha sido creado para el mundo jurídico</w:t>
      </w:r>
      <w:r>
        <w:rPr>
          <w:rFonts w:ascii="Verdana" w:eastAsia="Calibri" w:hAnsi="Verdana" w:cs="Arial"/>
          <w:i/>
          <w:iCs/>
          <w:lang w:val="es-ES_tradnl"/>
        </w:rPr>
        <w:t>”</w:t>
      </w:r>
      <w:r w:rsidRPr="00515AC9">
        <w:rPr>
          <w:rStyle w:val="Refdenotaalpie"/>
          <w:rFonts w:ascii="Verdana" w:hAnsi="Verdana" w:cs="Arial"/>
        </w:rPr>
        <w:footnoteReference w:id="4"/>
      </w:r>
      <w:r w:rsidRPr="00515AC9">
        <w:rPr>
          <w:rFonts w:ascii="Verdana" w:eastAsia="Calibri" w:hAnsi="Verdana" w:cs="Arial"/>
          <w:lang w:val="es-ES_tradnl"/>
        </w:rPr>
        <w:t xml:space="preserve">. </w:t>
      </w:r>
    </w:p>
    <w:p w14:paraId="085DAD26" w14:textId="77777777" w:rsidR="00E6785E" w:rsidRPr="00515AC9" w:rsidRDefault="00E6785E" w:rsidP="00E6785E">
      <w:pPr>
        <w:spacing w:after="0"/>
        <w:ind w:firstLine="708"/>
        <w:jc w:val="both"/>
        <w:rPr>
          <w:rFonts w:ascii="Verdana" w:eastAsia="Calibri" w:hAnsi="Verdana" w:cs="Arial"/>
        </w:rPr>
      </w:pPr>
      <w:r>
        <w:rPr>
          <w:rFonts w:ascii="Verdana" w:eastAsia="Calibri" w:hAnsi="Verdana" w:cs="Arial"/>
          <w:lang w:val="es-ES_tradnl"/>
        </w:rPr>
        <w:t>Ahora bien, en relación con</w:t>
      </w:r>
      <w:r w:rsidRPr="00515AC9">
        <w:rPr>
          <w:rFonts w:ascii="Verdana" w:eastAsia="Calibri" w:hAnsi="Verdana" w:cs="Arial"/>
          <w:lang w:val="es-ES_tradnl"/>
        </w:rPr>
        <w:t xml:space="preserve"> los </w:t>
      </w:r>
      <w:r w:rsidRPr="00515AC9">
        <w:rPr>
          <w:rFonts w:ascii="Verdana" w:eastAsia="Calibri" w:hAnsi="Verdana" w:cs="Arial"/>
          <w:i/>
          <w:iCs/>
          <w:lang w:val="es-ES_tradnl"/>
        </w:rPr>
        <w:t>requisitos de ejecución</w:t>
      </w:r>
      <w:r>
        <w:rPr>
          <w:rFonts w:ascii="Verdana" w:eastAsia="Calibri" w:hAnsi="Verdana" w:cs="Arial"/>
          <w:lang w:val="es-ES_tradnl"/>
        </w:rPr>
        <w:t xml:space="preserve"> debe señalarse que, estos</w:t>
      </w:r>
      <w:r w:rsidRPr="00515AC9">
        <w:rPr>
          <w:rFonts w:ascii="Verdana" w:eastAsia="Calibri" w:hAnsi="Verdana" w:cs="Arial"/>
          <w:lang w:val="es-ES_tradnl"/>
        </w:rPr>
        <w:t xml:space="preserve">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w:t>
      </w:r>
      <w:r>
        <w:rPr>
          <w:rFonts w:ascii="Verdana" w:eastAsia="Calibri" w:hAnsi="Verdana" w:cs="Arial"/>
          <w:lang w:val="es-ES_tradnl"/>
        </w:rPr>
        <w:t xml:space="preserve">. </w:t>
      </w:r>
      <w:r w:rsidRPr="00515AC9">
        <w:rPr>
          <w:rFonts w:ascii="Verdana" w:eastAsia="Calibri" w:hAnsi="Verdana" w:cs="Arial"/>
          <w:lang w:val="es-ES_tradnl"/>
        </w:rPr>
        <w:t xml:space="preserve">Sobre el particular, </w:t>
      </w:r>
      <w:r w:rsidRPr="00515AC9">
        <w:rPr>
          <w:rFonts w:ascii="Verdana" w:eastAsia="Calibri" w:hAnsi="Verdana" w:cs="Arial"/>
        </w:rPr>
        <w:t>el Consejo de Estado aclaró la diferencia entre el perfeccionamiento y la ejecución del contrato, de la siguiente manera:</w:t>
      </w:r>
    </w:p>
    <w:p w14:paraId="0CC84148" w14:textId="77777777" w:rsidR="00E6785E" w:rsidRPr="00515AC9" w:rsidRDefault="00E6785E" w:rsidP="00E6785E">
      <w:pPr>
        <w:spacing w:after="0"/>
        <w:jc w:val="both"/>
        <w:rPr>
          <w:rFonts w:ascii="Verdana" w:eastAsia="Calibri" w:hAnsi="Verdana" w:cs="Arial"/>
        </w:rPr>
      </w:pPr>
    </w:p>
    <w:p w14:paraId="797D1CA7" w14:textId="77777777" w:rsidR="00E6785E" w:rsidRPr="00F00E70" w:rsidRDefault="00E6785E" w:rsidP="00E6785E">
      <w:pPr>
        <w:spacing w:after="0"/>
        <w:ind w:left="708" w:right="709"/>
        <w:jc w:val="both"/>
        <w:rPr>
          <w:rFonts w:ascii="Verdana" w:eastAsia="Calibri" w:hAnsi="Verdana" w:cs="Arial"/>
          <w:sz w:val="20"/>
          <w:szCs w:val="20"/>
          <w:lang w:val="es-ES_tradnl"/>
        </w:rPr>
      </w:pPr>
      <w:r w:rsidRPr="00F00E70">
        <w:rPr>
          <w:rFonts w:ascii="Verdana" w:eastAsia="Calibri" w:hAnsi="Verdana" w:cs="Arial"/>
          <w:sz w:val="20"/>
          <w:szCs w:val="20"/>
          <w:lang w:val="es-ES_tradnl"/>
        </w:rPr>
        <w:t>“</w:t>
      </w:r>
      <w:r w:rsidRPr="00F00E70">
        <w:rPr>
          <w:rFonts w:ascii="Verdana" w:eastAsia="Calibri" w:hAnsi="Verdana" w:cs="Arial"/>
          <w:sz w:val="20"/>
          <w:szCs w:val="20"/>
        </w:rPr>
        <w:t xml:space="preserve">La Sala concluyó y ahora se reitera que i) la existencia del contrato no difiere de la perfección, esto es cumplidos los elementos esenciales que dan lugar al contrato no queda sino aceptar la relación jurídico contractual; </w:t>
      </w:r>
      <w:proofErr w:type="spellStart"/>
      <w:r w:rsidRPr="00F00E70">
        <w:rPr>
          <w:rFonts w:ascii="Verdana" w:eastAsia="Calibri" w:hAnsi="Verdana" w:cs="Arial"/>
          <w:sz w:val="20"/>
          <w:szCs w:val="20"/>
        </w:rPr>
        <w:t>ii</w:t>
      </w:r>
      <w:proofErr w:type="spellEnd"/>
      <w:r w:rsidRPr="00F00E70">
        <w:rPr>
          <w:rFonts w:ascii="Verdana" w:eastAsia="Calibri" w:hAnsi="Verdana" w:cs="Arial"/>
          <w:sz w:val="20"/>
          <w:szCs w:val="20"/>
        </w:rPr>
        <w:t xml:space="preserve">) por virtud de lo dispuesto en la Ley 80 de 1993 el contrato estatal existe, esto es, “se perfecciona” cuando “se logra acuerdo sobre el objeto y la contraprestación y éste se eleve a escrito”; </w:t>
      </w:r>
      <w:proofErr w:type="spellStart"/>
      <w:r w:rsidRPr="00F00E70">
        <w:rPr>
          <w:rFonts w:ascii="Verdana" w:eastAsia="Calibri" w:hAnsi="Verdana" w:cs="Arial"/>
          <w:sz w:val="20"/>
          <w:szCs w:val="20"/>
        </w:rPr>
        <w:t>iii</w:t>
      </w:r>
      <w:proofErr w:type="spellEnd"/>
      <w:r w:rsidRPr="00F00E70">
        <w:rPr>
          <w:rFonts w:ascii="Verdana" w:eastAsia="Calibri" w:hAnsi="Verdana" w:cs="Arial"/>
          <w:sz w:val="20"/>
          <w:szCs w:val="20"/>
        </w:rPr>
        <w:t xml:space="preserve">)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w:t>
      </w:r>
      <w:proofErr w:type="spellStart"/>
      <w:r w:rsidRPr="00F00E70">
        <w:rPr>
          <w:rFonts w:ascii="Verdana" w:eastAsia="Calibri" w:hAnsi="Verdana" w:cs="Arial"/>
          <w:sz w:val="20"/>
          <w:szCs w:val="20"/>
        </w:rPr>
        <w:t>iv</w:t>
      </w:r>
      <w:proofErr w:type="spellEnd"/>
      <w:r w:rsidRPr="00F00E70">
        <w:rPr>
          <w:rFonts w:ascii="Verdana" w:eastAsia="Calibri" w:hAnsi="Verdana" w:cs="Arial"/>
          <w:sz w:val="20"/>
          <w:szCs w:val="20"/>
        </w:rPr>
        <w:t>) el requisito relativo al registro presupuestal no es una condición de existencia del contrato estatal, es un requisito de ejecución”</w:t>
      </w:r>
      <w:r w:rsidRPr="00F00E70">
        <w:rPr>
          <w:rStyle w:val="Refdenotaalpie"/>
          <w:rFonts w:ascii="Verdana" w:hAnsi="Verdana" w:cs="Arial"/>
          <w:sz w:val="20"/>
          <w:szCs w:val="20"/>
        </w:rPr>
        <w:footnoteReference w:id="5"/>
      </w:r>
      <w:r w:rsidRPr="00F00E70">
        <w:rPr>
          <w:rFonts w:ascii="Verdana" w:eastAsia="Calibri" w:hAnsi="Verdana" w:cs="Arial"/>
          <w:sz w:val="20"/>
          <w:szCs w:val="20"/>
        </w:rPr>
        <w:t>.</w:t>
      </w:r>
    </w:p>
    <w:p w14:paraId="4FC12708" w14:textId="77777777" w:rsidR="00E6785E" w:rsidRPr="00F00E70" w:rsidRDefault="00E6785E" w:rsidP="00E6785E">
      <w:pPr>
        <w:spacing w:after="0" w:line="276" w:lineRule="auto"/>
        <w:ind w:left="708"/>
        <w:jc w:val="both"/>
        <w:rPr>
          <w:rFonts w:ascii="Verdana" w:eastAsia="Calibri" w:hAnsi="Verdana" w:cs="Arial"/>
        </w:rPr>
      </w:pPr>
    </w:p>
    <w:p w14:paraId="40033B31" w14:textId="77777777" w:rsidR="00E6785E" w:rsidRPr="00515AC9" w:rsidRDefault="00E6785E" w:rsidP="00E6785E">
      <w:pPr>
        <w:spacing w:after="120"/>
        <w:ind w:firstLine="708"/>
        <w:jc w:val="both"/>
        <w:rPr>
          <w:rFonts w:ascii="Verdana" w:eastAsia="Calibri" w:hAnsi="Verdana" w:cs="Arial"/>
          <w:lang w:val="es-ES"/>
        </w:rPr>
      </w:pPr>
      <w:r w:rsidRPr="00B41137">
        <w:rPr>
          <w:rFonts w:ascii="Verdana" w:eastAsia="Calibri" w:hAnsi="Verdana" w:cs="Arial"/>
          <w:lang w:val="es-ES"/>
        </w:rPr>
        <w:t>En</w:t>
      </w:r>
      <w:r w:rsidRPr="573DC269">
        <w:rPr>
          <w:rFonts w:ascii="Verdana" w:eastAsia="Calibri" w:hAnsi="Verdana" w:cs="Arial"/>
          <w:lang w:val="es-ES"/>
        </w:rPr>
        <w:t xml:space="preserve"> ese orden, los requisitos de ejecución de los contratos estatales pueden ser “legales” o “convencionales”. Los primeros son aquellos que se encuentran previstos en la ley. Los segundos son estipulados por las partes. En otros términos,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elementos de la </w:t>
      </w:r>
      <w:r w:rsidRPr="573DC269">
        <w:rPr>
          <w:rFonts w:ascii="Verdana" w:eastAsia="Calibri" w:hAnsi="Verdana" w:cs="Arial"/>
          <w:i/>
          <w:iCs/>
          <w:lang w:val="es-ES"/>
        </w:rPr>
        <w:t>naturaleza</w:t>
      </w:r>
      <w:r w:rsidRPr="573DC269">
        <w:rPr>
          <w:rFonts w:ascii="Verdana" w:eastAsia="Calibri" w:hAnsi="Verdana" w:cs="Arial"/>
          <w:lang w:val="es-ES"/>
        </w:rPr>
        <w:t xml:space="preserve">, </w:t>
      </w:r>
      <w:r w:rsidRPr="573DC269">
        <w:rPr>
          <w:rFonts w:ascii="Verdana" w:eastAsia="Calibri" w:hAnsi="Verdana" w:cs="Arial"/>
          <w:lang w:val="es-ES"/>
        </w:rPr>
        <w:lastRenderedPageBreak/>
        <w:t xml:space="preserve">mientras que los requisitos </w:t>
      </w:r>
      <w:r w:rsidRPr="573DC269">
        <w:rPr>
          <w:rFonts w:ascii="Verdana" w:eastAsia="Calibri" w:hAnsi="Verdana" w:cs="Arial"/>
          <w:i/>
          <w:iCs/>
          <w:lang w:val="es-ES"/>
        </w:rPr>
        <w:t>convencionales</w:t>
      </w:r>
      <w:r w:rsidRPr="573DC269">
        <w:rPr>
          <w:rFonts w:ascii="Verdana" w:eastAsia="Calibri" w:hAnsi="Verdana" w:cs="Arial"/>
          <w:lang w:val="es-ES"/>
        </w:rPr>
        <w:t xml:space="preserve"> de ejecución son elementos </w:t>
      </w:r>
      <w:r w:rsidRPr="573DC269">
        <w:rPr>
          <w:rFonts w:ascii="Verdana" w:eastAsia="Calibri" w:hAnsi="Verdana" w:cs="Arial"/>
          <w:i/>
          <w:iCs/>
          <w:lang w:val="es-ES"/>
        </w:rPr>
        <w:t>accidentales</w:t>
      </w:r>
      <w:r w:rsidRPr="573DC269">
        <w:rPr>
          <w:rFonts w:ascii="Verdana" w:eastAsia="Calibri" w:hAnsi="Verdana" w:cs="Arial"/>
          <w:lang w:val="es-ES"/>
        </w:rPr>
        <w:t xml:space="preserve">. </w:t>
      </w:r>
    </w:p>
    <w:p w14:paraId="5702A61C" w14:textId="77777777" w:rsidR="00E6785E" w:rsidRPr="00515AC9" w:rsidRDefault="00E6785E" w:rsidP="00E6785E">
      <w:pPr>
        <w:spacing w:after="0"/>
        <w:ind w:firstLine="708"/>
        <w:jc w:val="both"/>
        <w:rPr>
          <w:rFonts w:ascii="Verdana" w:eastAsia="Calibri" w:hAnsi="Verdana" w:cs="Arial"/>
          <w:lang w:val="es-ES_tradnl"/>
        </w:rPr>
      </w:pPr>
      <w:r>
        <w:rPr>
          <w:rFonts w:ascii="Verdana" w:eastAsia="Calibri" w:hAnsi="Verdana" w:cs="Arial"/>
          <w:lang w:val="es-ES_tradnl"/>
        </w:rPr>
        <w:t>En efecto,</w:t>
      </w:r>
      <w:r w:rsidRPr="00515AC9">
        <w:rPr>
          <w:rFonts w:ascii="Verdana" w:eastAsia="Calibri" w:hAnsi="Verdana" w:cs="Arial"/>
          <w:lang w:val="es-ES_tradnl"/>
        </w:rPr>
        <w:t xml:space="preserve"> </w:t>
      </w:r>
      <w:r>
        <w:rPr>
          <w:rFonts w:ascii="Verdana" w:eastAsia="Calibri" w:hAnsi="Verdana" w:cs="Arial"/>
          <w:lang w:val="es-ES_tradnl"/>
        </w:rPr>
        <w:t>el</w:t>
      </w:r>
      <w:r w:rsidRPr="00515AC9">
        <w:rPr>
          <w:rFonts w:ascii="Verdana" w:eastAsia="Calibri" w:hAnsi="Verdana" w:cs="Arial"/>
          <w:lang w:val="es-ES_tradnl"/>
        </w:rPr>
        <w:t xml:space="preserve"> segundo inciso del artículo 41 de la Ley 80 de 1993</w:t>
      </w:r>
      <w:r w:rsidRPr="00515AC9">
        <w:rPr>
          <w:rFonts w:ascii="Verdana" w:eastAsia="Calibri" w:hAnsi="Verdana" w:cs="Arial"/>
        </w:rPr>
        <w:t>, modificado por el artículo 23 de la Ley 1150 de 2007</w:t>
      </w:r>
      <w:r>
        <w:rPr>
          <w:rFonts w:ascii="Verdana" w:eastAsia="Calibri" w:hAnsi="Verdana" w:cs="Arial"/>
          <w:lang w:val="es-ES_tradnl"/>
        </w:rPr>
        <w:t xml:space="preserve"> establece</w:t>
      </w:r>
      <w:r w:rsidRPr="00515AC9">
        <w:rPr>
          <w:rFonts w:ascii="Verdana" w:eastAsia="Calibri" w:hAnsi="Verdana" w:cs="Arial"/>
          <w:lang w:val="es-ES_tradnl"/>
        </w:rPr>
        <w:t xml:space="preserve"> los requisitos </w:t>
      </w:r>
      <w:r w:rsidRPr="00515AC9">
        <w:rPr>
          <w:rFonts w:ascii="Verdana" w:eastAsia="Calibri" w:hAnsi="Verdana" w:cs="Arial"/>
          <w:i/>
          <w:iCs/>
          <w:lang w:val="es-ES_tradnl"/>
        </w:rPr>
        <w:t xml:space="preserve">legales </w:t>
      </w:r>
      <w:r>
        <w:rPr>
          <w:rFonts w:ascii="Verdana" w:eastAsia="Calibri" w:hAnsi="Verdana" w:cs="Arial"/>
          <w:lang w:val="es-ES_tradnl"/>
        </w:rPr>
        <w:t xml:space="preserve">de ejecución de los contratos estatales </w:t>
      </w:r>
      <w:r w:rsidRPr="00515AC9">
        <w:rPr>
          <w:rFonts w:ascii="Verdana" w:eastAsia="Calibri" w:hAnsi="Verdana" w:cs="Arial"/>
          <w:lang w:val="es-ES_tradnl"/>
        </w:rPr>
        <w:t>de la siguiente manera:</w:t>
      </w:r>
    </w:p>
    <w:p w14:paraId="1BAB5BD0" w14:textId="77777777" w:rsidR="00E6785E" w:rsidRPr="00515AC9" w:rsidRDefault="00E6785E" w:rsidP="00E6785E">
      <w:pPr>
        <w:spacing w:after="0" w:line="276" w:lineRule="auto"/>
        <w:jc w:val="both"/>
        <w:rPr>
          <w:rFonts w:ascii="Verdana" w:eastAsia="Calibri" w:hAnsi="Verdana" w:cs="Arial"/>
          <w:i/>
          <w:iCs/>
        </w:rPr>
      </w:pPr>
    </w:p>
    <w:p w14:paraId="17EDF3A9" w14:textId="77777777" w:rsidR="00E6785E" w:rsidRPr="00B41137" w:rsidRDefault="00E6785E" w:rsidP="00E6785E">
      <w:pPr>
        <w:spacing w:after="0" w:line="240" w:lineRule="auto"/>
        <w:ind w:left="709" w:right="709"/>
        <w:jc w:val="both"/>
        <w:rPr>
          <w:rFonts w:ascii="Verdana" w:eastAsia="Calibri" w:hAnsi="Verdana" w:cs="Arial"/>
          <w:sz w:val="20"/>
          <w:szCs w:val="20"/>
        </w:rPr>
      </w:pPr>
      <w:r w:rsidRPr="00B41137">
        <w:rPr>
          <w:rFonts w:ascii="Verdana" w:eastAsia="Calibri" w:hAnsi="Verdana" w:cs="Arial"/>
          <w:sz w:val="20"/>
          <w:szCs w:val="20"/>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 </w:t>
      </w:r>
    </w:p>
    <w:p w14:paraId="1EA95D9C" w14:textId="77777777" w:rsidR="00E6785E" w:rsidRPr="00515AC9" w:rsidRDefault="00E6785E" w:rsidP="00E6785E">
      <w:pPr>
        <w:spacing w:after="0" w:line="276" w:lineRule="auto"/>
        <w:jc w:val="both"/>
        <w:rPr>
          <w:rFonts w:ascii="Verdana" w:eastAsia="Calibri" w:hAnsi="Verdana" w:cs="Arial"/>
          <w:lang w:val="es-ES_tradnl"/>
        </w:rPr>
      </w:pPr>
    </w:p>
    <w:p w14:paraId="6278DA86" w14:textId="77777777" w:rsidR="00E6785E" w:rsidRPr="00515AC9" w:rsidRDefault="00E6785E" w:rsidP="00E6785E">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Como puede observarse,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(i) la aprobación de las garantías exigidas en el contrato,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la existencia de la apropiación presupuestal correspondiente y (</w:t>
      </w:r>
      <w:proofErr w:type="spellStart"/>
      <w:r w:rsidRPr="573DC269">
        <w:rPr>
          <w:rFonts w:ascii="Verdana" w:eastAsia="Calibri" w:hAnsi="Verdana" w:cs="Arial"/>
          <w:lang w:val="es-ES"/>
        </w:rPr>
        <w:t>iii</w:t>
      </w:r>
      <w:proofErr w:type="spellEnd"/>
      <w:r w:rsidRPr="573DC269">
        <w:rPr>
          <w:rFonts w:ascii="Verdana" w:eastAsia="Calibri" w:hAnsi="Verdana" w:cs="Arial"/>
          <w:lang w:val="es-ES"/>
        </w:rPr>
        <w:t xml:space="preserve">) la acreditación del cumplimiento de las obligaciones con el Sistema de Seguridad Social Integral. </w:t>
      </w:r>
      <w:r>
        <w:tab/>
      </w:r>
    </w:p>
    <w:p w14:paraId="51643101" w14:textId="77777777" w:rsidR="00E6785E" w:rsidRDefault="00E6785E" w:rsidP="00E6785E">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Por su parte, serán requisitos </w:t>
      </w:r>
      <w:r w:rsidRPr="573DC269">
        <w:rPr>
          <w:rFonts w:ascii="Verdana" w:eastAsia="Calibri" w:hAnsi="Verdana" w:cs="Arial"/>
          <w:i/>
          <w:iCs/>
          <w:lang w:val="es-ES"/>
        </w:rPr>
        <w:t xml:space="preserve">convencionales </w:t>
      </w:r>
      <w:r w:rsidRPr="573DC269">
        <w:rPr>
          <w:rFonts w:ascii="Verdana" w:eastAsia="Calibri" w:hAnsi="Verdana" w:cs="Arial"/>
          <w:lang w:val="es-ES"/>
        </w:rPr>
        <w:t>aquellos que no se encuentran consagrados en la ley, sino que se pactan en la minuta del contrato o que el contratista acepta al momento de adherirse al clausulado del pliego de condiciones o documento equivalente.</w:t>
      </w:r>
    </w:p>
    <w:p w14:paraId="4A32463F" w14:textId="1FC21F85" w:rsidR="00E6785E" w:rsidRPr="00C35401" w:rsidRDefault="00E6785E" w:rsidP="00C35401">
      <w:pPr>
        <w:spacing w:after="120" w:line="276" w:lineRule="auto"/>
        <w:ind w:firstLine="708"/>
        <w:jc w:val="both"/>
        <w:rPr>
          <w:rFonts w:ascii="Verdana" w:eastAsia="Calibri" w:hAnsi="Verdana" w:cs="Arial"/>
          <w:lang w:val="es-ES"/>
        </w:rPr>
      </w:pPr>
      <w:r w:rsidRPr="00E670BC">
        <w:rPr>
          <w:rFonts w:ascii="Verdana" w:eastAsia="Calibri" w:hAnsi="Verdana" w:cs="Arial"/>
          <w:lang w:val="es-ES_tradnl"/>
        </w:rPr>
        <w:t xml:space="preserve">Ahora bien, </w:t>
      </w:r>
      <w:r w:rsidRPr="00E670BC">
        <w:rPr>
          <w:rFonts w:ascii="Verdana" w:eastAsia="Times New Roman" w:hAnsi="Verdana" w:cs="Arial"/>
          <w:color w:val="1A1A1A" w:themeColor="background1" w:themeShade="1A"/>
          <w:lang w:eastAsia="es-ES_tradnl"/>
        </w:rPr>
        <w:t>conforme al artículo 41 de la Ley 80 de 1993, el Registro Presupuestal es necesario para iniciar la ejecución del contrato, una vez se tenga definido el valor y el plazo. En concordancia con lo anterior, el Consejo de Estado expresó respecto de la disponibilidad y el compromiso presupuestal, que:</w:t>
      </w:r>
    </w:p>
    <w:p w14:paraId="05BDB2CF" w14:textId="77777777" w:rsidR="00E6785E" w:rsidRPr="00E670BC" w:rsidRDefault="00E6785E" w:rsidP="00E6785E">
      <w:pPr>
        <w:pStyle w:val="Prrafodelista"/>
        <w:tabs>
          <w:tab w:val="left" w:pos="8222"/>
        </w:tabs>
        <w:spacing w:after="0" w:line="240" w:lineRule="auto"/>
        <w:ind w:left="851" w:right="616"/>
        <w:jc w:val="both"/>
        <w:rPr>
          <w:rFonts w:ascii="Verdana" w:eastAsia="Times New Roman" w:hAnsi="Verdana" w:cs="Arial"/>
          <w:color w:val="000000" w:themeColor="text1"/>
          <w:sz w:val="20"/>
          <w:szCs w:val="20"/>
          <w:u w:val="single"/>
          <w:lang w:eastAsia="es-ES_tradnl"/>
        </w:rPr>
      </w:pPr>
      <w:r w:rsidRPr="005671C4">
        <w:rPr>
          <w:rFonts w:ascii="Verdana" w:eastAsia="Times New Roman" w:hAnsi="Verdana" w:cs="Arial"/>
          <w:color w:val="000000" w:themeColor="text1"/>
          <w:sz w:val="20"/>
          <w:szCs w:val="20"/>
          <w:lang w:eastAsia="es-ES_tradnl"/>
        </w:rPr>
        <w:t xml:space="preserve">“En virtud de la expedición del certificado de disponibilidad presupuestal la entidad imprime fe de que existen los fondos necesarios para contraer determinadas obligaciones. Sin embargo, en virtud del certificado no se afecta de manera inmediata la respectiva apropiación, simplemente la aparta de forma transitoria mientras se lleva a cabo el perfeccionamiento del compromiso presupuestal, lo cual se logra a través del registro presupuestal. En otras palabras, </w:t>
      </w:r>
      <w:r w:rsidRPr="00E670BC">
        <w:rPr>
          <w:rFonts w:ascii="Verdana" w:eastAsia="Times New Roman" w:hAnsi="Verdana" w:cs="Arial"/>
          <w:color w:val="000000" w:themeColor="text1"/>
          <w:sz w:val="20"/>
          <w:szCs w:val="20"/>
          <w:u w:val="single"/>
          <w:lang w:eastAsia="es-ES_tradnl"/>
        </w:rPr>
        <w:t xml:space="preserve">el registro presupuestal es el mecanismo mediante el cual se afecta la apropiación de forma definitiva, acto que si bien a su turno se traduce en el perfeccionamiento del compromiso presupuestal no es lo mismo que el perfeccionamiento del contrato en tanto el registro se obtiene luego de que el contrato nace a la vida jurídica </w:t>
      </w:r>
      <w:r w:rsidRPr="00E670BC">
        <w:rPr>
          <w:rFonts w:ascii="Verdana" w:eastAsia="Times New Roman" w:hAnsi="Verdana" w:cs="Arial"/>
          <w:color w:val="000000" w:themeColor="text1"/>
          <w:sz w:val="20"/>
          <w:szCs w:val="20"/>
          <w:u w:val="single"/>
          <w:lang w:eastAsia="es-ES_tradnl"/>
        </w:rPr>
        <w:lastRenderedPageBreak/>
        <w:t>y no antes y además no consulta un consenso entre las</w:t>
      </w:r>
      <w:r w:rsidRPr="00E670BC">
        <w:rPr>
          <w:rFonts w:ascii="Verdana" w:eastAsia="Times New Roman" w:hAnsi="Verdana" w:cs="Arial"/>
          <w:color w:val="000000" w:themeColor="text1"/>
          <w:spacing w:val="-3"/>
          <w:sz w:val="20"/>
          <w:szCs w:val="20"/>
          <w:u w:val="single"/>
          <w:lang w:eastAsia="es-ES_tradnl"/>
        </w:rPr>
        <w:t xml:space="preserve"> </w:t>
      </w:r>
      <w:r w:rsidRPr="00E670BC">
        <w:rPr>
          <w:rFonts w:ascii="Verdana" w:eastAsia="Times New Roman" w:hAnsi="Verdana" w:cs="Arial"/>
          <w:color w:val="000000" w:themeColor="text1"/>
          <w:sz w:val="20"/>
          <w:szCs w:val="20"/>
          <w:u w:val="single"/>
          <w:lang w:eastAsia="es-ES_tradnl"/>
        </w:rPr>
        <w:t>partes</w:t>
      </w:r>
      <w:r>
        <w:rPr>
          <w:rStyle w:val="Refdenotaalpie"/>
          <w:rFonts w:ascii="Verdana" w:eastAsia="Times New Roman" w:hAnsi="Verdana" w:cs="Arial"/>
          <w:color w:val="000000" w:themeColor="text1"/>
          <w:sz w:val="20"/>
          <w:szCs w:val="20"/>
          <w:u w:val="single"/>
          <w:lang w:eastAsia="es-ES_tradnl"/>
        </w:rPr>
        <w:footnoteReference w:id="6"/>
      </w:r>
      <w:r w:rsidRPr="00E670BC">
        <w:rPr>
          <w:rFonts w:ascii="Verdana" w:eastAsia="Times New Roman" w:hAnsi="Verdana" w:cs="Arial"/>
          <w:color w:val="000000" w:themeColor="text1"/>
          <w:sz w:val="20"/>
          <w:szCs w:val="20"/>
          <w:u w:val="single"/>
          <w:lang w:eastAsia="es-ES_tradnl"/>
        </w:rPr>
        <w:t>.</w:t>
      </w:r>
      <w:r w:rsidRPr="00E670BC">
        <w:rPr>
          <w:rFonts w:ascii="Verdana" w:eastAsia="Times New Roman" w:hAnsi="Verdana" w:cs="Arial"/>
          <w:color w:val="000000" w:themeColor="text1"/>
          <w:sz w:val="20"/>
          <w:szCs w:val="20"/>
          <w:lang w:eastAsia="es-ES_tradnl"/>
        </w:rPr>
        <w:t xml:space="preserve"> (</w:t>
      </w:r>
      <w:r>
        <w:rPr>
          <w:rFonts w:ascii="Verdana" w:eastAsia="Times New Roman" w:hAnsi="Verdana" w:cs="Arial"/>
          <w:color w:val="000000" w:themeColor="text1"/>
          <w:sz w:val="20"/>
          <w:szCs w:val="20"/>
          <w:lang w:eastAsia="es-ES_tradnl"/>
        </w:rPr>
        <w:t xml:space="preserve">Subrayado </w:t>
      </w:r>
      <w:r w:rsidRPr="00E670BC">
        <w:rPr>
          <w:rFonts w:ascii="Verdana" w:eastAsia="Times New Roman" w:hAnsi="Verdana" w:cs="Arial"/>
          <w:color w:val="000000" w:themeColor="text1"/>
          <w:sz w:val="20"/>
          <w:szCs w:val="20"/>
          <w:lang w:eastAsia="es-ES_tradnl"/>
        </w:rPr>
        <w:t>fuera de texto)</w:t>
      </w:r>
    </w:p>
    <w:p w14:paraId="59817375" w14:textId="77777777" w:rsidR="00E6785E" w:rsidRPr="005671C4" w:rsidRDefault="00E6785E" w:rsidP="00E6785E">
      <w:pPr>
        <w:pStyle w:val="Prrafodelista"/>
        <w:spacing w:after="0" w:line="240" w:lineRule="auto"/>
        <w:ind w:left="851" w:right="616"/>
        <w:jc w:val="both"/>
        <w:rPr>
          <w:rFonts w:ascii="Verdana" w:eastAsia="Times New Roman" w:hAnsi="Verdana" w:cs="Arial"/>
          <w:color w:val="000000" w:themeColor="text1"/>
          <w:sz w:val="20"/>
          <w:szCs w:val="20"/>
          <w:lang w:eastAsia="es-ES_tradnl"/>
        </w:rPr>
      </w:pPr>
    </w:p>
    <w:p w14:paraId="56373B8D" w14:textId="77777777" w:rsidR="00E6785E" w:rsidRPr="005671C4" w:rsidRDefault="00E6785E" w:rsidP="00E6785E">
      <w:pPr>
        <w:pStyle w:val="Prrafodelista"/>
        <w:spacing w:after="0" w:line="240" w:lineRule="auto"/>
        <w:ind w:left="851" w:right="616"/>
        <w:rPr>
          <w:rFonts w:ascii="Verdana" w:eastAsia="Times New Roman" w:hAnsi="Verdana" w:cs="Arial"/>
          <w:color w:val="000000" w:themeColor="text1"/>
          <w:sz w:val="20"/>
          <w:szCs w:val="20"/>
          <w:lang w:eastAsia="es-ES_tradnl"/>
        </w:rPr>
      </w:pPr>
      <w:r w:rsidRPr="005671C4">
        <w:rPr>
          <w:rFonts w:ascii="Verdana" w:eastAsia="Times New Roman" w:hAnsi="Verdana" w:cs="Arial"/>
          <w:sz w:val="20"/>
          <w:szCs w:val="20"/>
          <w:lang w:eastAsia="es-ES_tradnl"/>
        </w:rPr>
        <w:t>[…]</w:t>
      </w:r>
    </w:p>
    <w:p w14:paraId="1FF46737" w14:textId="77777777" w:rsidR="00E6785E" w:rsidRPr="005671C4" w:rsidRDefault="00E6785E" w:rsidP="00E6785E">
      <w:pPr>
        <w:pStyle w:val="Prrafodelista"/>
        <w:spacing w:after="0" w:line="240" w:lineRule="auto"/>
        <w:ind w:left="1491" w:right="357"/>
        <w:jc w:val="both"/>
        <w:rPr>
          <w:rFonts w:ascii="Verdana" w:eastAsia="Times New Roman" w:hAnsi="Verdana" w:cs="Arial"/>
          <w:color w:val="000000" w:themeColor="text1"/>
          <w:sz w:val="20"/>
          <w:szCs w:val="20"/>
          <w:lang w:eastAsia="es-ES_tradnl"/>
        </w:rPr>
      </w:pPr>
    </w:p>
    <w:p w14:paraId="7E287E65" w14:textId="77777777" w:rsidR="00E6785E" w:rsidRDefault="00E6785E" w:rsidP="00E6785E">
      <w:pPr>
        <w:spacing w:after="120" w:line="276" w:lineRule="auto"/>
        <w:ind w:firstLine="709"/>
        <w:jc w:val="both"/>
        <w:rPr>
          <w:rFonts w:ascii="Verdana" w:eastAsia="Times New Roman" w:hAnsi="Verdana" w:cs="Arial"/>
          <w:color w:val="1A1A1A" w:themeColor="background1" w:themeShade="1A"/>
          <w:lang w:eastAsia="es-ES_tradnl"/>
        </w:rPr>
      </w:pPr>
      <w:r w:rsidRPr="00E670BC">
        <w:rPr>
          <w:rFonts w:ascii="Verdana" w:eastAsia="Times New Roman" w:hAnsi="Verdana" w:cs="Arial"/>
          <w:color w:val="1A1A1A" w:themeColor="background1" w:themeShade="1A"/>
          <w:lang w:eastAsia="es-ES_tradnl"/>
        </w:rPr>
        <w:t>En consecuencia, el Registro Presupuestal, al ser un requisito de ejecución del contrato, normalmente se expide después de celebrado el contrato, tal como se desprende de lo establecido en el inciso segundo del artículo 41 de la Ley 80 de 1993. En todo caso, esta Agencia considera que lo importante es que se hubiere expedido antes del inicio de la ejecución contractual, por lo que su expedición previa no afecta la validez del contrato estatal.</w:t>
      </w:r>
    </w:p>
    <w:p w14:paraId="7285EB97" w14:textId="77777777" w:rsidR="00E6785E" w:rsidRPr="000E1704" w:rsidRDefault="00E6785E" w:rsidP="00E6785E">
      <w:pPr>
        <w:widowControl w:val="0"/>
        <w:autoSpaceDE w:val="0"/>
        <w:autoSpaceDN w:val="0"/>
        <w:spacing w:after="120" w:line="276" w:lineRule="auto"/>
        <w:ind w:firstLine="708"/>
        <w:jc w:val="both"/>
        <w:rPr>
          <w:rFonts w:ascii="Verdana" w:eastAsia="Calibri" w:hAnsi="Verdana" w:cs="Arial"/>
          <w:lang w:val="es-ES"/>
        </w:rPr>
      </w:pPr>
      <w:r>
        <w:rPr>
          <w:rFonts w:ascii="Verdana" w:eastAsia="Times New Roman" w:hAnsi="Verdana" w:cs="Arial"/>
          <w:color w:val="1A1A1A" w:themeColor="background1" w:themeShade="1A"/>
          <w:lang w:eastAsia="es-ES_tradnl"/>
        </w:rPr>
        <w:t xml:space="preserve">Se advierte, por último, que </w:t>
      </w:r>
      <w:r w:rsidRPr="000E1704">
        <w:rPr>
          <w:rFonts w:ascii="Verdana" w:eastAsia="Calibri" w:hAnsi="Verdana" w:cs="Arial"/>
          <w:lang w:val="es-ES"/>
        </w:rPr>
        <w:t xml:space="preserve">el acta de inicio constituye un requisito de ejecución convencional, que se pacta en la minuta del contrato o que el contratista acepta, adhiriéndose al clausulado del pliego de condiciones o documento equivalente. </w:t>
      </w:r>
    </w:p>
    <w:p w14:paraId="16ABE649" w14:textId="77777777" w:rsidR="00E6785E" w:rsidRPr="000E1704" w:rsidRDefault="00E6785E" w:rsidP="00E6785E">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 xml:space="preserve">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w:t>
      </w:r>
      <w:proofErr w:type="gramStart"/>
      <w:r w:rsidRPr="000E1704">
        <w:rPr>
          <w:rFonts w:ascii="Verdana" w:eastAsia="Calibri" w:hAnsi="Verdana" w:cs="Arial"/>
          <w:lang w:val="es-ES"/>
        </w:rPr>
        <w:t>que</w:t>
      </w:r>
      <w:proofErr w:type="gramEnd"/>
      <w:r>
        <w:rPr>
          <w:rFonts w:ascii="Verdana" w:eastAsia="Calibri" w:hAnsi="Verdana" w:cs="Arial"/>
          <w:lang w:val="es-ES"/>
        </w:rPr>
        <w:t>,</w:t>
      </w:r>
      <w:r w:rsidRPr="000E1704">
        <w:rPr>
          <w:rFonts w:ascii="Verdana" w:eastAsia="Calibri" w:hAnsi="Verdana" w:cs="Arial"/>
          <w:lang w:val="es-ES"/>
        </w:rPr>
        <w:t xml:space="preserv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 </w:t>
      </w:r>
    </w:p>
    <w:p w14:paraId="5BAE3DAF" w14:textId="77777777" w:rsidR="00E6785E" w:rsidRDefault="00E6785E" w:rsidP="00E6785E">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 xml:space="preserve">El fundamento legal que habilita a las partes para establecer la suscripción del acta de inicio como un requisito de ejecución convencional se encuentra en el segundo inciso del artículo 40 de la Ley 80 de 1993, el cual indica que </w:t>
      </w:r>
      <w:r>
        <w:rPr>
          <w:rFonts w:ascii="Verdana" w:eastAsia="Calibri" w:hAnsi="Verdana" w:cs="Arial"/>
          <w:lang w:val="es-ES"/>
        </w:rPr>
        <w:t>“</w:t>
      </w:r>
      <w:r w:rsidRPr="000E1704">
        <w:rPr>
          <w:rFonts w:ascii="Verdana" w:eastAsia="Calibri" w:hAnsi="Verdana" w:cs="Arial"/>
          <w:lang w:val="es-ES"/>
        </w:rPr>
        <w:t>Las entidades podrán celebrar los contratos y acuerdos que permitan la autonomía de la voluntad y requieran el cumplimiento de los fines estatales</w:t>
      </w:r>
      <w:r>
        <w:rPr>
          <w:rFonts w:ascii="Verdana" w:eastAsia="Calibri" w:hAnsi="Verdana" w:cs="Arial"/>
          <w:lang w:val="es-ES"/>
        </w:rPr>
        <w:t>”</w:t>
      </w:r>
      <w:r w:rsidRPr="00515AC9">
        <w:rPr>
          <w:rFonts w:ascii="Verdana" w:eastAsia="Calibri" w:hAnsi="Verdana" w:cs="Arial"/>
          <w:lang w:val="es-ES"/>
        </w:rPr>
        <w:t xml:space="preserve">. </w:t>
      </w:r>
    </w:p>
    <w:p w14:paraId="46814122" w14:textId="77777777" w:rsidR="00E6785E" w:rsidRPr="000E1704" w:rsidRDefault="00E6785E" w:rsidP="00E6785E">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 xml:space="preserve">Sin embargo, en el ejercicio de la autonomía de la voluntad las partes del contrato deben respetar las normas de orden público. En consecuencia, a pesar de que están facultadas para acordar cláusulas accidentales en el negocio jurídico, estas no pueden ir en contra de los mandatos contenidos en el </w:t>
      </w:r>
      <w:r>
        <w:rPr>
          <w:rFonts w:ascii="Verdana" w:eastAsia="Calibri" w:hAnsi="Verdana" w:cs="Arial"/>
          <w:lang w:val="es-ES"/>
        </w:rPr>
        <w:t>EGCAP</w:t>
      </w:r>
      <w:r w:rsidRPr="00515AC9">
        <w:rPr>
          <w:rFonts w:ascii="Verdana" w:eastAsia="Calibri" w:hAnsi="Verdana" w:cs="Arial"/>
          <w:lang w:val="es-ES"/>
        </w:rPr>
        <w:t>.</w:t>
      </w:r>
      <w:r w:rsidRPr="000E1704">
        <w:rPr>
          <w:rFonts w:ascii="Verdana" w:eastAsia="Calibri" w:hAnsi="Verdana" w:cs="Arial"/>
          <w:lang w:val="es-ES"/>
        </w:rPr>
        <w:t xml:space="preserve"> </w:t>
      </w:r>
      <w:r w:rsidRPr="000E1704">
        <w:rPr>
          <w:rFonts w:ascii="Verdana" w:eastAsia="Calibri" w:hAnsi="Verdana" w:cs="Arial"/>
          <w:lang w:val="es-ES"/>
        </w:rPr>
        <w:lastRenderedPageBreak/>
        <w:t xml:space="preserve">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Seguridad Social Integral, las partes no pueden establecer que el contrato estatal comenzará su ejecución cuando se firme el acta de inicio pretermitiendo las tres exigencias legales. </w:t>
      </w:r>
    </w:p>
    <w:p w14:paraId="67AC9808" w14:textId="77777777" w:rsidR="00E6785E" w:rsidRPr="00D54BE1" w:rsidRDefault="00E6785E" w:rsidP="00E6785E">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Dicho de otra manera, el acta de inicio puede ser pactada como requisito para el comienzo del cómputo del plazo, pero la fecha que se defina en ella para iniciar la ejecución del contrato no puede ser anterior al cumplimiento de los requisitos de ejecución establecidos en la ley. Verbigracia, si las garantías no han sido aprobadas por la entidad estatal, aún no se puede suscribir el acta de inicio, pues de lo contrario las partes estarían contrariando normas de orden público, que, como bien se ha señalado, son indisponibles. O si la fecha de expedición del registro presupuestal es el día de hoy, no puede establecerse como fecha de inicio de ejecución del contrato el día de ayer, porque lo que eso estaría indicando es que el contrato estatal comenzó su ejecución sin la apropiación presupuestal suficiente.</w:t>
      </w:r>
      <w:bookmarkEnd w:id="6"/>
    </w:p>
    <w:bookmarkEnd w:id="5"/>
    <w:p w14:paraId="63514D36" w14:textId="77777777" w:rsidR="00E6785E" w:rsidRPr="00ED7249" w:rsidRDefault="00E6785E" w:rsidP="00E6785E">
      <w:pPr>
        <w:spacing w:after="0" w:line="276" w:lineRule="auto"/>
        <w:jc w:val="both"/>
        <w:rPr>
          <w:rFonts w:ascii="Verdana" w:eastAsia="Century Gothic" w:hAnsi="Verdana" w:cs="Century Gothic"/>
          <w:b/>
          <w:bCs/>
        </w:rPr>
      </w:pPr>
      <w:r>
        <w:rPr>
          <w:rFonts w:ascii="Verdana" w:eastAsia="Century Gothic" w:hAnsi="Verdana" w:cs="Century Gothic"/>
          <w:b/>
          <w:bCs/>
        </w:rPr>
        <w:t xml:space="preserve">4. </w:t>
      </w:r>
      <w:r w:rsidRPr="00F71A6A">
        <w:rPr>
          <w:rFonts w:ascii="Verdana" w:eastAsia="Century Gothic" w:hAnsi="Verdana" w:cs="Century Gothic"/>
          <w:b/>
          <w:bCs/>
        </w:rPr>
        <w:t>Referencias normativas, jurisprudenciales y otras fuentes:</w:t>
      </w:r>
    </w:p>
    <w:p w14:paraId="410BF672" w14:textId="77777777" w:rsidR="00E6785E" w:rsidRPr="000074D5" w:rsidRDefault="00E6785E" w:rsidP="00E6785E">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6785E" w:rsidRPr="00F72403" w14:paraId="3314C5F3" w14:textId="77777777" w:rsidTr="00E87349">
        <w:trPr>
          <w:trHeight w:val="632"/>
        </w:trPr>
        <w:tc>
          <w:tcPr>
            <w:tcW w:w="8647" w:type="dxa"/>
          </w:tcPr>
          <w:p w14:paraId="02FA477D" w14:textId="77777777" w:rsidR="00E6785E" w:rsidRDefault="00E6785E" w:rsidP="00E6785E">
            <w:pPr>
              <w:pStyle w:val="Prrafodelista"/>
              <w:numPr>
                <w:ilvl w:val="0"/>
                <w:numId w:val="17"/>
              </w:numPr>
              <w:spacing w:line="276" w:lineRule="auto"/>
              <w:jc w:val="both"/>
              <w:rPr>
                <w:rFonts w:ascii="Verdana" w:hAnsi="Verdana"/>
              </w:rPr>
            </w:pPr>
            <w:r>
              <w:rPr>
                <w:rFonts w:ascii="Verdana" w:hAnsi="Verdana"/>
              </w:rPr>
              <w:t xml:space="preserve">Código Civil. Artículo 1501. </w:t>
            </w:r>
          </w:p>
          <w:p w14:paraId="5695323E" w14:textId="77777777" w:rsidR="00E6785E" w:rsidRDefault="00E6785E" w:rsidP="00E6785E">
            <w:pPr>
              <w:pStyle w:val="Prrafodelista"/>
              <w:numPr>
                <w:ilvl w:val="0"/>
                <w:numId w:val="17"/>
              </w:numPr>
              <w:spacing w:line="276" w:lineRule="auto"/>
              <w:jc w:val="both"/>
              <w:rPr>
                <w:rFonts w:ascii="Verdana" w:hAnsi="Verdana"/>
              </w:rPr>
            </w:pPr>
            <w:r>
              <w:rPr>
                <w:rFonts w:ascii="Verdana" w:hAnsi="Verdana"/>
              </w:rPr>
              <w:t xml:space="preserve">Ley 80 de 1993. Artículo 40, 41. </w:t>
            </w:r>
          </w:p>
          <w:p w14:paraId="34B55855" w14:textId="77777777" w:rsidR="00E6785E" w:rsidRDefault="00E6785E" w:rsidP="00E6785E">
            <w:pPr>
              <w:pStyle w:val="Prrafodelista"/>
              <w:numPr>
                <w:ilvl w:val="0"/>
                <w:numId w:val="17"/>
              </w:numPr>
              <w:spacing w:line="276" w:lineRule="auto"/>
              <w:jc w:val="both"/>
              <w:rPr>
                <w:rFonts w:ascii="Verdana" w:hAnsi="Verdana"/>
              </w:rPr>
            </w:pPr>
            <w:r>
              <w:rPr>
                <w:rFonts w:ascii="Verdana" w:hAnsi="Verdana"/>
              </w:rPr>
              <w:t xml:space="preserve">Ley 1150 de 2007. Artículo 23. </w:t>
            </w:r>
          </w:p>
          <w:p w14:paraId="2C0A7D43" w14:textId="77777777" w:rsidR="00E6785E" w:rsidRPr="00D54BE1" w:rsidRDefault="00E6785E" w:rsidP="00E6785E">
            <w:pPr>
              <w:pStyle w:val="Prrafodelista"/>
              <w:numPr>
                <w:ilvl w:val="0"/>
                <w:numId w:val="17"/>
              </w:numPr>
              <w:jc w:val="both"/>
              <w:rPr>
                <w:rFonts w:ascii="Verdana" w:hAnsi="Verdana"/>
              </w:rPr>
            </w:pPr>
            <w:r w:rsidRPr="00D54BE1">
              <w:rPr>
                <w:rFonts w:ascii="Verdana" w:hAnsi="Verdana"/>
              </w:rPr>
              <w:t xml:space="preserve">Consejo de Estado. </w:t>
            </w:r>
            <w:r>
              <w:rPr>
                <w:rFonts w:ascii="Verdana" w:hAnsi="Verdana"/>
              </w:rPr>
              <w:t xml:space="preserve">Sala de lo Contencioso Administrativo. </w:t>
            </w:r>
            <w:r w:rsidRPr="00D54BE1">
              <w:rPr>
                <w:rFonts w:ascii="Verdana" w:hAnsi="Verdana"/>
              </w:rPr>
              <w:t xml:space="preserve">Sección </w:t>
            </w:r>
            <w:r>
              <w:rPr>
                <w:rFonts w:ascii="Verdana" w:hAnsi="Verdana"/>
              </w:rPr>
              <w:t>T</w:t>
            </w:r>
            <w:r w:rsidRPr="00D54BE1">
              <w:rPr>
                <w:rFonts w:ascii="Verdana" w:hAnsi="Verdana"/>
              </w:rPr>
              <w:t xml:space="preserve">ercera. </w:t>
            </w:r>
            <w:r>
              <w:rPr>
                <w:rFonts w:ascii="Verdana" w:hAnsi="Verdana"/>
              </w:rPr>
              <w:t xml:space="preserve">Subsección B. </w:t>
            </w:r>
            <w:r w:rsidRPr="00D54BE1">
              <w:rPr>
                <w:rFonts w:ascii="Verdana" w:hAnsi="Verdana"/>
              </w:rPr>
              <w:t xml:space="preserve">Sentencia del 10 de mayo de 2018. </w:t>
            </w:r>
            <w:proofErr w:type="spellStart"/>
            <w:r w:rsidRPr="00D54BE1">
              <w:rPr>
                <w:rFonts w:ascii="Verdana" w:hAnsi="Verdana"/>
              </w:rPr>
              <w:t>Exp</w:t>
            </w:r>
            <w:proofErr w:type="spellEnd"/>
            <w:r w:rsidRPr="00D54BE1">
              <w:rPr>
                <w:rFonts w:ascii="Verdana" w:hAnsi="Verdana"/>
              </w:rPr>
              <w:t>. 41.186. C.P. Stella Conto Díaz del Castillo.</w:t>
            </w:r>
          </w:p>
          <w:p w14:paraId="297438A6" w14:textId="77777777" w:rsidR="00E6785E" w:rsidRPr="00D54BE1" w:rsidRDefault="00E6785E" w:rsidP="00E6785E">
            <w:pPr>
              <w:pStyle w:val="Prrafodelista"/>
              <w:numPr>
                <w:ilvl w:val="0"/>
                <w:numId w:val="17"/>
              </w:numPr>
              <w:jc w:val="both"/>
              <w:rPr>
                <w:rFonts w:ascii="Verdana" w:hAnsi="Verdana"/>
              </w:rPr>
            </w:pPr>
            <w:r>
              <w:rPr>
                <w:rFonts w:ascii="Verdana" w:hAnsi="Verdana"/>
              </w:rPr>
              <w:t xml:space="preserve">Consejo de Estado. Sala de lo Contencioso Administrativo. </w:t>
            </w:r>
            <w:r w:rsidRPr="00D54BE1">
              <w:rPr>
                <w:rFonts w:ascii="Verdana" w:hAnsi="Verdana"/>
              </w:rPr>
              <w:t xml:space="preserve">Sección Tercera. Subsección A. Sentencia del del 24 de febrero de 2016. </w:t>
            </w:r>
            <w:proofErr w:type="spellStart"/>
            <w:r w:rsidRPr="00D54BE1">
              <w:rPr>
                <w:rFonts w:ascii="Verdana" w:hAnsi="Verdana"/>
              </w:rPr>
              <w:t>Exp</w:t>
            </w:r>
            <w:proofErr w:type="spellEnd"/>
            <w:r w:rsidRPr="00D54BE1">
              <w:rPr>
                <w:rFonts w:ascii="Verdana" w:hAnsi="Verdana"/>
              </w:rPr>
              <w:t>. 46.185. C.P. Marta Nubia Velásquez Rico.</w:t>
            </w:r>
          </w:p>
          <w:p w14:paraId="6AAE12D1" w14:textId="77777777" w:rsidR="00E6785E" w:rsidRPr="00E670BC" w:rsidRDefault="00E6785E" w:rsidP="00E6785E">
            <w:pPr>
              <w:pStyle w:val="Prrafodelista"/>
              <w:numPr>
                <w:ilvl w:val="0"/>
                <w:numId w:val="17"/>
              </w:numPr>
              <w:spacing w:line="276" w:lineRule="auto"/>
              <w:jc w:val="both"/>
              <w:rPr>
                <w:rFonts w:ascii="Verdana" w:hAnsi="Verdana"/>
              </w:rPr>
            </w:pPr>
            <w:r w:rsidRPr="00D54BE1">
              <w:rPr>
                <w:rFonts w:ascii="Verdana" w:hAnsi="Verdana"/>
              </w:rPr>
              <w:t>EXPÓSITO VÉLEZ, Juan Carlos. Forma y contenido del contrato estatal. Bogotá: Universidad Externado de Colombia, 2013. pp. 28-29.</w:t>
            </w:r>
          </w:p>
        </w:tc>
      </w:tr>
    </w:tbl>
    <w:p w14:paraId="3EFAD5F1" w14:textId="77777777" w:rsidR="00E6785E" w:rsidRPr="00F72403" w:rsidRDefault="00E6785E" w:rsidP="00E6785E">
      <w:pPr>
        <w:pStyle w:val="Prrafodelista"/>
        <w:tabs>
          <w:tab w:val="left" w:pos="142"/>
          <w:tab w:val="left" w:pos="284"/>
        </w:tabs>
        <w:spacing w:after="0" w:line="276" w:lineRule="auto"/>
        <w:ind w:left="0"/>
        <w:contextualSpacing w:val="0"/>
        <w:jc w:val="both"/>
        <w:rPr>
          <w:rFonts w:ascii="Verdana" w:eastAsia="Century Gothic" w:hAnsi="Verdana" w:cs="Century Gothic"/>
          <w:b/>
          <w:bCs/>
          <w:highlight w:val="yellow"/>
          <w:lang w:val="es-CO"/>
        </w:rPr>
      </w:pPr>
    </w:p>
    <w:p w14:paraId="37EE5026" w14:textId="77777777" w:rsidR="00E6785E" w:rsidRPr="00436E82" w:rsidRDefault="00E6785E" w:rsidP="00E6785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436E82">
        <w:rPr>
          <w:rFonts w:ascii="Verdana" w:eastAsia="Century Gothic" w:hAnsi="Verdana" w:cs="Century Gothic"/>
          <w:b/>
          <w:bCs/>
          <w:lang w:val="es-CO"/>
        </w:rPr>
        <w:t xml:space="preserve">5. </w:t>
      </w:r>
      <w:r w:rsidRPr="00436E82">
        <w:rPr>
          <w:rFonts w:ascii="Verdana" w:eastAsia="Century Gothic" w:hAnsi="Verdana" w:cs="Century Gothic"/>
          <w:b/>
          <w:bCs/>
        </w:rPr>
        <w:t>Doctrina de la Agencia Nacional de Contratación Pública:</w:t>
      </w:r>
    </w:p>
    <w:p w14:paraId="4C85943A" w14:textId="77777777" w:rsidR="00E6785E" w:rsidRPr="00F72403" w:rsidRDefault="00E6785E" w:rsidP="00E6785E">
      <w:pPr>
        <w:spacing w:after="0" w:line="276" w:lineRule="auto"/>
        <w:jc w:val="both"/>
        <w:rPr>
          <w:rFonts w:ascii="Verdana" w:eastAsia="Calibri" w:hAnsi="Verdana" w:cs="Arial"/>
          <w:highlight w:val="yellow"/>
          <w:lang w:eastAsia="es-ES_tradnl"/>
        </w:rPr>
      </w:pPr>
    </w:p>
    <w:p w14:paraId="3B94476B" w14:textId="77777777" w:rsidR="00E6785E" w:rsidRDefault="00E6785E" w:rsidP="00E6785E">
      <w:pPr>
        <w:spacing w:after="0" w:line="276" w:lineRule="auto"/>
        <w:jc w:val="both"/>
        <w:rPr>
          <w:rFonts w:ascii="Verdana" w:eastAsia="Calibri" w:hAnsi="Verdana" w:cs="Arial"/>
          <w:lang w:val="es-ES"/>
        </w:rPr>
      </w:pPr>
      <w:r w:rsidRPr="00F41FCA">
        <w:rPr>
          <w:rFonts w:ascii="Verdana" w:eastAsia="Calibri" w:hAnsi="Verdana" w:cs="Arial"/>
          <w:shd w:val="clear" w:color="auto" w:fill="FFFFFF"/>
        </w:rPr>
        <w:t xml:space="preserve">La Agencia Nacional de Contratación Pública – Colombia Compra Eficiente se pronunció sobre </w:t>
      </w:r>
      <w:r>
        <w:rPr>
          <w:rFonts w:ascii="Verdana" w:eastAsia="Calibri" w:hAnsi="Verdana" w:cs="Arial"/>
          <w:shd w:val="clear" w:color="auto" w:fill="FFFFFF"/>
        </w:rPr>
        <w:t xml:space="preserve">los requisitos de perfeccionamiento y ejecución de los contratos estatales en los conceptos C-797 del 22 de enero de 2021, </w:t>
      </w:r>
      <w:r w:rsidRPr="000E1704">
        <w:rPr>
          <w:rFonts w:ascii="Verdana" w:eastAsia="Calibri" w:hAnsi="Verdana" w:cs="Arial"/>
          <w:lang w:val="es-ES"/>
        </w:rPr>
        <w:t>C – 638 de 2022</w:t>
      </w:r>
      <w:r>
        <w:rPr>
          <w:rFonts w:ascii="Verdana" w:eastAsia="Calibri" w:hAnsi="Verdana" w:cs="Arial"/>
          <w:lang w:val="es-ES"/>
        </w:rPr>
        <w:t xml:space="preserve">, C-464 del 16 de mayo de 2025, C- 411 del 13 de mayo de 2025, entre otros. </w:t>
      </w:r>
    </w:p>
    <w:p w14:paraId="74DE29BF" w14:textId="77777777" w:rsidR="00E6785E" w:rsidRPr="00D54BE1" w:rsidRDefault="00E6785E" w:rsidP="00E6785E">
      <w:pPr>
        <w:spacing w:after="0" w:line="276" w:lineRule="auto"/>
        <w:jc w:val="both"/>
        <w:rPr>
          <w:rFonts w:ascii="Verdana" w:hAnsi="Verdana" w:cs="Arial"/>
          <w:shd w:val="clear" w:color="auto" w:fill="FFFFFF"/>
        </w:rPr>
      </w:pPr>
      <w:r>
        <w:rPr>
          <w:rFonts w:ascii="Verdana" w:eastAsia="Calibri" w:hAnsi="Verdana" w:cs="Arial"/>
          <w:lang w:val="es-ES"/>
        </w:rPr>
        <w:lastRenderedPageBreak/>
        <w:t xml:space="preserve">Sobre </w:t>
      </w:r>
      <w:r>
        <w:rPr>
          <w:rFonts w:ascii="Verdana" w:eastAsia="Calibri" w:hAnsi="Verdana" w:cs="Arial"/>
          <w:shd w:val="clear" w:color="auto" w:fill="FFFFFF"/>
        </w:rPr>
        <w:t xml:space="preserve">el registro presupuestal y éste como requisito de ejecución en los contratos estatales, esta Subdirección se ha pronunciado en los concetos contratos estatales en los conceptos  </w:t>
      </w:r>
      <w:r w:rsidRPr="004D08AC">
        <w:rPr>
          <w:rStyle w:val="normaltextrun"/>
          <w:rFonts w:ascii="Verdana" w:hAnsi="Verdana" w:cs="Arial"/>
          <w:shd w:val="clear" w:color="auto" w:fill="FFFFFF"/>
          <w:lang w:val="es-ES"/>
        </w:rPr>
        <w:t xml:space="preserve">4201913000005594 del 30 de septiembre de 2019, </w:t>
      </w:r>
      <w:r w:rsidRPr="00D54BE1">
        <w:rPr>
          <w:rStyle w:val="normaltextrun"/>
          <w:rFonts w:ascii="Verdana" w:hAnsi="Verdana" w:cs="Arial"/>
          <w:shd w:val="clear" w:color="auto" w:fill="FFFFFF"/>
          <w:lang w:val="es-ES"/>
        </w:rPr>
        <w:t>4201913000006907 del 23 de octubre de 2019, C-110 de</w:t>
      </w:r>
      <w:r>
        <w:rPr>
          <w:rStyle w:val="normaltextrun"/>
          <w:rFonts w:ascii="Verdana" w:hAnsi="Verdana" w:cs="Arial"/>
          <w:shd w:val="clear" w:color="auto" w:fill="FFFFFF"/>
          <w:lang w:val="es-ES"/>
        </w:rPr>
        <w:t xml:space="preserve">l 16 de marzo de </w:t>
      </w:r>
      <w:r w:rsidRPr="00D54BE1">
        <w:rPr>
          <w:rStyle w:val="normaltextrun"/>
          <w:rFonts w:ascii="Verdana" w:hAnsi="Verdana" w:cs="Arial"/>
          <w:shd w:val="clear" w:color="auto" w:fill="FFFFFF"/>
          <w:lang w:val="es-ES"/>
        </w:rPr>
        <w:t>2020, C-291 de</w:t>
      </w:r>
      <w:r>
        <w:rPr>
          <w:rStyle w:val="normaltextrun"/>
          <w:rFonts w:ascii="Verdana" w:hAnsi="Verdana" w:cs="Arial"/>
          <w:shd w:val="clear" w:color="auto" w:fill="FFFFFF"/>
          <w:lang w:val="es-ES"/>
        </w:rPr>
        <w:t xml:space="preserve">l 18 de mayo de </w:t>
      </w:r>
      <w:r w:rsidRPr="00D54BE1">
        <w:rPr>
          <w:rStyle w:val="normaltextrun"/>
          <w:rFonts w:ascii="Verdana" w:hAnsi="Verdana" w:cs="Arial"/>
          <w:shd w:val="clear" w:color="auto" w:fill="FFFFFF"/>
          <w:lang w:val="es-ES"/>
        </w:rPr>
        <w:t>2020, C-075 del 16 de marzo del 2021</w:t>
      </w:r>
      <w:r>
        <w:rPr>
          <w:rStyle w:val="normaltextrun"/>
          <w:rFonts w:ascii="Verdana" w:hAnsi="Verdana" w:cs="Arial"/>
          <w:shd w:val="clear" w:color="auto" w:fill="FFFFFF"/>
          <w:lang w:val="es-ES"/>
        </w:rPr>
        <w:t>,</w:t>
      </w:r>
      <w:r w:rsidRPr="00D54BE1">
        <w:rPr>
          <w:rStyle w:val="normaltextrun"/>
          <w:rFonts w:ascii="Verdana" w:hAnsi="Verdana" w:cs="Arial"/>
          <w:shd w:val="clear" w:color="auto" w:fill="FFFFFF"/>
          <w:lang w:val="es-ES"/>
        </w:rPr>
        <w:t xml:space="preserve"> C-047 del 1 de junio de 2023, C-090 del 12 de junio de 2024, C-844 del 9 de diciembre de 2024, C-1034 del 6 de febrero de 2025</w:t>
      </w:r>
      <w:r w:rsidRPr="00D54BE1">
        <w:rPr>
          <w:rFonts w:ascii="Verdana" w:hAnsi="Verdana" w:cs="Arial"/>
          <w:shd w:val="clear" w:color="auto" w:fill="FFFFFF"/>
        </w:rPr>
        <w:t>, entre otros</w:t>
      </w:r>
      <w:r>
        <w:rPr>
          <w:rFonts w:ascii="Verdana" w:hAnsi="Verdana" w:cs="Arial"/>
          <w:shd w:val="clear" w:color="auto" w:fill="FFFFFF"/>
        </w:rPr>
        <w:t xml:space="preserve">. </w:t>
      </w:r>
      <w:r w:rsidRPr="00B93241">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B93241">
          <w:rPr>
            <w:rStyle w:val="Hipervnculo"/>
            <w:rFonts w:ascii="Verdana" w:hAnsi="Verdana" w:cs="Arial"/>
            <w:shd w:val="clear" w:color="auto" w:fill="FFFFFF"/>
          </w:rPr>
          <w:t>https://relatoria.colombiacompra.gov.co/</w:t>
        </w:r>
      </w:hyperlink>
      <w:r w:rsidRPr="00B93241">
        <w:rPr>
          <w:rFonts w:ascii="Verdana" w:hAnsi="Verdana" w:cs="Arial"/>
          <w:shd w:val="clear" w:color="auto" w:fill="FFFFFF"/>
        </w:rPr>
        <w:t>.</w:t>
      </w:r>
    </w:p>
    <w:p w14:paraId="09F479E1" w14:textId="77777777" w:rsidR="00E6785E" w:rsidRPr="000074D5" w:rsidRDefault="00E6785E" w:rsidP="00E6785E">
      <w:pPr>
        <w:spacing w:after="0" w:line="240" w:lineRule="auto"/>
        <w:jc w:val="both"/>
        <w:rPr>
          <w:rFonts w:ascii="Verdana" w:hAnsi="Verdana" w:cs="Arial"/>
          <w:shd w:val="clear" w:color="auto" w:fill="FFFFFF"/>
        </w:rPr>
      </w:pPr>
    </w:p>
    <w:p w14:paraId="02F45906" w14:textId="77777777" w:rsidR="00E6785E" w:rsidRPr="00542EFB" w:rsidRDefault="00E6785E" w:rsidP="00E6785E">
      <w:pPr>
        <w:widowControl w:val="0"/>
        <w:autoSpaceDE w:val="0"/>
        <w:autoSpaceDN w:val="0"/>
        <w:spacing w:after="0" w:line="276" w:lineRule="auto"/>
        <w:jc w:val="both"/>
        <w:rPr>
          <w:rFonts w:ascii="Verdana" w:hAnsi="Verdana" w:cs="Arial"/>
          <w:color w:val="4472C4" w:themeColor="accent1"/>
          <w:shd w:val="clear" w:color="auto" w:fill="FFFFFF"/>
          <w:lang w:val="es-ES"/>
        </w:rPr>
      </w:pPr>
      <w:r w:rsidRPr="00B679E6">
        <w:rPr>
          <w:rStyle w:val="normaltextrun"/>
          <w:rFonts w:ascii="Verdana" w:hAnsi="Verdana" w:cs="Arial"/>
          <w:color w:val="000000" w:themeColor="text1"/>
          <w:shd w:val="clear" w:color="auto" w:fill="FFFFFF"/>
          <w:lang w:val="es-ES"/>
        </w:rPr>
        <w:t>Te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w:t>
      </w:r>
      <w:r w:rsidRPr="00B679E6">
        <w:rPr>
          <w:rFonts w:ascii="Verdana" w:hAnsi="Verdana"/>
        </w:rPr>
        <w:t xml:space="preserve"> enlace: </w:t>
      </w:r>
      <w:hyperlink r:id="rId13" w:tgtFrame="_blank" w:tooltip="Dirección URL original: https://www.colombiacompra.gov.co/manuales-guias-y-pliegos-tipo/manuales-y-guias/cartilla-para-incentivar-y-fortalecer-el-acceso-las. Haga clic o pulse si confía en este vínculo." w:history="1">
        <w:r w:rsidRPr="00B679E6">
          <w:rPr>
            <w:rStyle w:val="Hipervnculo"/>
            <w:rFonts w:ascii="Verdana" w:hAnsi="Verdana"/>
          </w:rPr>
          <w:t>Cartilla para incentivar y fortalecer el acceso a las compras y contratación pública de los pueblos y comunidades étnicas en Colombia | Colombia Compra Eficiente | Agencia Nacional de Contratación Pública</w:t>
        </w:r>
      </w:hyperlink>
    </w:p>
    <w:p w14:paraId="7307FC11" w14:textId="77777777" w:rsidR="00E6785E" w:rsidRDefault="00E6785E" w:rsidP="00E6785E">
      <w:pPr>
        <w:spacing w:after="0" w:line="240" w:lineRule="auto"/>
        <w:jc w:val="both"/>
        <w:rPr>
          <w:rFonts w:ascii="Verdana" w:hAnsi="Verdana"/>
        </w:rPr>
      </w:pPr>
    </w:p>
    <w:p w14:paraId="145DFD8F" w14:textId="77777777" w:rsidR="00E6785E" w:rsidRPr="00B679E6" w:rsidRDefault="00E6785E" w:rsidP="00E6785E">
      <w:pPr>
        <w:spacing w:after="0" w:line="276" w:lineRule="auto"/>
        <w:jc w:val="both"/>
        <w:rPr>
          <w:rFonts w:ascii="Verdana" w:hAnsi="Verdana"/>
        </w:rPr>
      </w:pPr>
      <w:r w:rsidRPr="00B679E6">
        <w:rPr>
          <w:rFonts w:ascii="Verdana" w:hAnsi="Verdana"/>
        </w:rPr>
        <w:t>De otra parte, te informamos que, con el objetivo de garantizar un conocimiento adecuado de las </w:t>
      </w:r>
      <w:r w:rsidRPr="00B679E6">
        <w:rPr>
          <w:rFonts w:ascii="Verdana" w:hAnsi="Verdana"/>
          <w:b/>
          <w:bCs/>
        </w:rPr>
        <w:t>modificaciones y/o actualizaciones realizadas a los Documentos Tipo</w:t>
      </w:r>
      <w:r w:rsidRPr="00B679E6">
        <w:rPr>
          <w:rFonts w:ascii="Verdana" w:hAnsi="Verdana"/>
        </w:rPr>
        <w:t>, hemos programado una serie de </w:t>
      </w:r>
      <w:r w:rsidRPr="00B679E6">
        <w:rPr>
          <w:rFonts w:ascii="Verdana" w:hAnsi="Verdana"/>
          <w:b/>
          <w:bCs/>
        </w:rPr>
        <w:t>capacitaciones </w:t>
      </w:r>
      <w:r w:rsidRPr="00B679E6">
        <w:rPr>
          <w:rFonts w:ascii="Verdana" w:hAnsi="Verdana"/>
        </w:rPr>
        <w:t>dirigidas a todos los actores involucrados en los procesos de selección. Podrás conocer la programación y realizar tu inscripción a estas capacitaciones a través del siguiente enlace: </w:t>
      </w:r>
      <w:hyperlink r:id="rId14" w:tgtFrame="_blank" w:tooltip="Dirección URL original: https://www.colombiacompra.gov.co/ciudadanos/calendario. Haga clic o pulse si confía en este vínculo." w:history="1">
        <w:r w:rsidRPr="00B679E6">
          <w:rPr>
            <w:rStyle w:val="Hipervnculo"/>
            <w:rFonts w:ascii="Verdana" w:hAnsi="Verdana"/>
          </w:rPr>
          <w:t>Calendario | Colombia Compra Eficiente | Agencia Nacional de Contratación Pública</w:t>
        </w:r>
      </w:hyperlink>
    </w:p>
    <w:p w14:paraId="74D51835" w14:textId="77777777" w:rsidR="00E6785E" w:rsidRDefault="00E6785E" w:rsidP="00E6785E">
      <w:pPr>
        <w:spacing w:after="0" w:line="240" w:lineRule="auto"/>
        <w:jc w:val="both"/>
        <w:rPr>
          <w:rFonts w:ascii="Verdana" w:hAnsi="Verdana"/>
        </w:rPr>
      </w:pPr>
    </w:p>
    <w:p w14:paraId="2E0EB17A" w14:textId="77777777" w:rsidR="00E6785E" w:rsidRDefault="00E6785E" w:rsidP="00E6785E">
      <w:pPr>
        <w:spacing w:after="0" w:line="276" w:lineRule="auto"/>
        <w:jc w:val="both"/>
      </w:pPr>
      <w:r w:rsidRPr="00B679E6">
        <w:rPr>
          <w:rFonts w:ascii="Verdana" w:hAnsi="Verdana"/>
        </w:rPr>
        <w:t>También, te contamos que ya publicamos </w:t>
      </w:r>
      <w:r w:rsidRPr="00B679E6">
        <w:rPr>
          <w:rFonts w:ascii="Verdana" w:hAnsi="Verdana"/>
          <w:b/>
          <w:bCs/>
        </w:rPr>
        <w:t>la nueva Guía de Contratación Pública Sostenible y Socialmente Responsable</w:t>
      </w:r>
      <w:r w:rsidRPr="00B679E6">
        <w:rPr>
          <w:rFonts w:ascii="Verdana" w:hAnsi="Verdana"/>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B679E6">
          <w:rPr>
            <w:rStyle w:val="Hipervnculo"/>
            <w:rFonts w:ascii="Verdana" w:hAnsi="Verdana"/>
          </w:rPr>
          <w:t xml:space="preserve">Guía de Contratación Pública Sostenible y Socialmente </w:t>
        </w:r>
        <w:r w:rsidRPr="00B679E6">
          <w:rPr>
            <w:rStyle w:val="Hipervnculo"/>
            <w:rFonts w:ascii="Verdana" w:hAnsi="Verdana"/>
          </w:rPr>
          <w:lastRenderedPageBreak/>
          <w:t>Responsable | Colombia Compra Eficiente | Agencia Nacional de Contratación Pública</w:t>
        </w:r>
      </w:hyperlink>
    </w:p>
    <w:p w14:paraId="04BB517E" w14:textId="77777777" w:rsidR="00E6785E" w:rsidRDefault="00E6785E" w:rsidP="00E6785E">
      <w:pPr>
        <w:spacing w:after="0" w:line="276" w:lineRule="auto"/>
        <w:jc w:val="both"/>
      </w:pPr>
    </w:p>
    <w:p w14:paraId="2131FCC8" w14:textId="77777777" w:rsidR="00E6785E" w:rsidRPr="002B4863" w:rsidRDefault="00E6785E" w:rsidP="00E6785E">
      <w:pPr>
        <w:spacing w:after="0" w:line="276" w:lineRule="auto"/>
        <w:jc w:val="both"/>
        <w:rPr>
          <w:rFonts w:ascii="Verdana" w:hAnsi="Verdana"/>
        </w:rPr>
      </w:pPr>
      <w:r>
        <w:rPr>
          <w:rFonts w:ascii="Verdana" w:hAnsi="Verdana"/>
        </w:rPr>
        <w:t>Así mismo, t</w:t>
      </w:r>
      <w:r w:rsidRPr="002B4863">
        <w:rPr>
          <w:rFonts w:ascii="Verdana" w:hAnsi="Verdana"/>
        </w:rPr>
        <w:t>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16 de mayo de 2025.  Puede</w:t>
      </w:r>
      <w:r>
        <w:rPr>
          <w:rFonts w:ascii="Verdana" w:hAnsi="Verdana"/>
        </w:rPr>
        <w:t>s</w:t>
      </w:r>
      <w:r w:rsidRPr="002B4863">
        <w:rPr>
          <w:rFonts w:ascii="Verdana" w:hAnsi="Verdana"/>
        </w:rPr>
        <w:t xml:space="preserve"> consultar la información en el siguiente enlace:</w:t>
      </w:r>
      <w:r w:rsidRPr="002B4863">
        <w:rPr>
          <w:rFonts w:ascii="Verdana" w:hAnsi="Verdana"/>
          <w:b/>
          <w:bCs/>
        </w:rPr>
        <w:t> </w:t>
      </w:r>
      <w:hyperlink r:id="rId16" w:tgtFrame="_blank" w:tooltip="Dirección URL original: https://www.colombiacompra.gov.co/normativa-y-relatoria/documentos-tipo. Haga clic o pulse si confía en este vínculo." w:history="1">
        <w:r w:rsidRPr="002B4863">
          <w:rPr>
            <w:rStyle w:val="Hipervnculo"/>
            <w:rFonts w:ascii="Verdana" w:hAnsi="Verdana"/>
          </w:rPr>
          <w:t>Documentos Tipo – ANCP Colombia Compra Eficiente</w:t>
        </w:r>
      </w:hyperlink>
      <w:r w:rsidRPr="002B4863">
        <w:rPr>
          <w:rFonts w:ascii="Verdana" w:hAnsi="Verdana"/>
          <w:u w:val="single"/>
        </w:rPr>
        <w:t> </w:t>
      </w:r>
    </w:p>
    <w:p w14:paraId="15BB4C5E" w14:textId="77777777" w:rsidR="00E6785E" w:rsidRPr="00F71A6A" w:rsidRDefault="00E6785E" w:rsidP="00E6785E">
      <w:pPr>
        <w:spacing w:after="0" w:line="276" w:lineRule="auto"/>
        <w:jc w:val="both"/>
        <w:rPr>
          <w:rFonts w:ascii="Verdana" w:hAnsi="Verdana"/>
        </w:rPr>
      </w:pPr>
      <w:r w:rsidRPr="00F71A6A">
        <w:rPr>
          <w:rFonts w:ascii="Verdana" w:hAnsi="Verdana"/>
        </w:rPr>
        <w:t xml:space="preserve">Por último, </w:t>
      </w:r>
      <w:r>
        <w:rPr>
          <w:rFonts w:ascii="Verdana" w:hAnsi="Verdana"/>
        </w:rPr>
        <w:t xml:space="preserve">te invitamos </w:t>
      </w:r>
      <w:r w:rsidRPr="00F71A6A">
        <w:rPr>
          <w:rFonts w:ascii="Verdana" w:hAnsi="Verdana"/>
        </w:rPr>
        <w:t xml:space="preserve">a seguirnos en las redes sociales en las cuales se difunde información institucional: </w:t>
      </w:r>
    </w:p>
    <w:p w14:paraId="4D6D5F1B" w14:textId="77777777" w:rsidR="00E6785E" w:rsidRPr="00F71A6A" w:rsidRDefault="00E6785E" w:rsidP="00E6785E">
      <w:pPr>
        <w:spacing w:after="0" w:line="276" w:lineRule="auto"/>
        <w:jc w:val="both"/>
        <w:rPr>
          <w:rFonts w:ascii="Verdana" w:hAnsi="Verdana"/>
        </w:rPr>
      </w:pPr>
    </w:p>
    <w:p w14:paraId="77E6680C" w14:textId="77777777" w:rsidR="00E6785E" w:rsidRPr="00F71A6A" w:rsidRDefault="00E6785E" w:rsidP="00E6785E">
      <w:pPr>
        <w:spacing w:after="0" w:line="276" w:lineRule="auto"/>
        <w:jc w:val="both"/>
        <w:rPr>
          <w:rFonts w:ascii="Verdana" w:hAnsi="Verdana"/>
        </w:rPr>
      </w:pPr>
      <w:r w:rsidRPr="00F71A6A">
        <w:rPr>
          <w:rFonts w:ascii="Verdana" w:hAnsi="Verdana"/>
        </w:rPr>
        <w:t xml:space="preserve">Twitter: </w:t>
      </w:r>
      <w:r w:rsidRPr="00F71A6A">
        <w:rPr>
          <w:rStyle w:val="Hipervnculo"/>
          <w:rFonts w:ascii="Verdana" w:hAnsi="Verdana"/>
          <w:color w:val="4472C4" w:themeColor="accent1"/>
        </w:rPr>
        <w:t>@colombiacompra</w:t>
      </w:r>
      <w:r w:rsidRPr="00F71A6A">
        <w:rPr>
          <w:rFonts w:ascii="Verdana" w:hAnsi="Verdana"/>
          <w:color w:val="4472C4" w:themeColor="accent1"/>
        </w:rPr>
        <w:t xml:space="preserve"> </w:t>
      </w:r>
    </w:p>
    <w:p w14:paraId="5D327B02" w14:textId="77777777" w:rsidR="00E6785E" w:rsidRPr="00F71A6A" w:rsidRDefault="00E6785E" w:rsidP="00E6785E">
      <w:pPr>
        <w:spacing w:after="0" w:line="276" w:lineRule="auto"/>
        <w:jc w:val="both"/>
        <w:rPr>
          <w:rFonts w:ascii="Verdana" w:hAnsi="Verdana"/>
        </w:rPr>
      </w:pPr>
      <w:r w:rsidRPr="00F71A6A">
        <w:rPr>
          <w:rFonts w:ascii="Verdana" w:hAnsi="Verdana"/>
        </w:rPr>
        <w:t xml:space="preserve">Facebook: </w:t>
      </w:r>
      <w:proofErr w:type="spellStart"/>
      <w:r w:rsidRPr="00F71A6A">
        <w:rPr>
          <w:rStyle w:val="Hipervnculo"/>
          <w:rFonts w:ascii="Verdana" w:hAnsi="Verdana"/>
          <w:color w:val="4472C4" w:themeColor="accent1"/>
        </w:rPr>
        <w:t>ColombiaCompraEficiente</w:t>
      </w:r>
      <w:proofErr w:type="spellEnd"/>
    </w:p>
    <w:p w14:paraId="74A5F63B" w14:textId="77777777" w:rsidR="00E6785E" w:rsidRDefault="00E6785E" w:rsidP="00E6785E">
      <w:pPr>
        <w:spacing w:after="0" w:line="276" w:lineRule="auto"/>
        <w:jc w:val="both"/>
        <w:rPr>
          <w:rStyle w:val="Hipervnculo"/>
          <w:rFonts w:ascii="Verdana" w:hAnsi="Verdana"/>
          <w:color w:val="4472C4" w:themeColor="accent1"/>
        </w:rPr>
      </w:pPr>
      <w:r w:rsidRPr="00F71A6A">
        <w:rPr>
          <w:rFonts w:ascii="Verdana" w:hAnsi="Verdana"/>
        </w:rPr>
        <w:t xml:space="preserve">LinkedIn: </w:t>
      </w:r>
      <w:r w:rsidRPr="00F71A6A">
        <w:rPr>
          <w:rStyle w:val="Hipervnculo"/>
          <w:rFonts w:ascii="Verdana" w:hAnsi="Verdana"/>
          <w:color w:val="4472C4" w:themeColor="accent1"/>
        </w:rPr>
        <w:t>Agencia Nacional de Contratación Pública - Colombia Compra Eficiente</w:t>
      </w:r>
      <w:r w:rsidRPr="00F71A6A">
        <w:rPr>
          <w:rFonts w:ascii="Verdana" w:hAnsi="Verdana"/>
          <w:color w:val="4472C4" w:themeColor="accent1"/>
        </w:rPr>
        <w:t xml:space="preserve"> </w:t>
      </w:r>
      <w:r w:rsidRPr="00F71A6A">
        <w:rPr>
          <w:rFonts w:ascii="Verdana" w:hAnsi="Verdana"/>
        </w:rPr>
        <w:t xml:space="preserve">Instagram: </w:t>
      </w:r>
      <w:r w:rsidRPr="00F71A6A">
        <w:rPr>
          <w:rStyle w:val="Hipervnculo"/>
          <w:rFonts w:ascii="Verdana" w:hAnsi="Verdana"/>
          <w:color w:val="4472C4" w:themeColor="accent1"/>
        </w:rPr>
        <w:t>@colombiacompraeficiente_cce</w:t>
      </w:r>
    </w:p>
    <w:p w14:paraId="1DE434F7" w14:textId="77777777" w:rsidR="00E6785E" w:rsidRDefault="00E6785E" w:rsidP="00E6785E">
      <w:pPr>
        <w:widowControl w:val="0"/>
        <w:autoSpaceDE w:val="0"/>
        <w:autoSpaceDN w:val="0"/>
        <w:spacing w:after="0" w:line="276" w:lineRule="auto"/>
        <w:jc w:val="both"/>
        <w:rPr>
          <w:rFonts w:ascii="Verdana" w:hAnsi="Verdana" w:cs="Arial"/>
        </w:rPr>
      </w:pPr>
    </w:p>
    <w:p w14:paraId="56D0A133" w14:textId="77777777" w:rsidR="00E6785E" w:rsidRPr="00F71A6A" w:rsidRDefault="00E6785E" w:rsidP="00E6785E">
      <w:pPr>
        <w:widowControl w:val="0"/>
        <w:autoSpaceDE w:val="0"/>
        <w:autoSpaceDN w:val="0"/>
        <w:spacing w:after="0" w:line="276" w:lineRule="auto"/>
        <w:jc w:val="both"/>
        <w:rPr>
          <w:rFonts w:ascii="Verdana" w:hAnsi="Verdana" w:cs="Arial"/>
          <w:lang w:val="es-ES_tradnl"/>
        </w:rPr>
      </w:pPr>
      <w:r w:rsidRPr="00F71A6A">
        <w:rPr>
          <w:rFonts w:ascii="Verdana" w:hAnsi="Verdana" w:cs="Arial"/>
        </w:rPr>
        <w:t xml:space="preserve">Este concepto tiene el alcance previsto en el artículo 28 del Código de Procedimiento Administrativo y de lo Contencioso Administrativo </w:t>
      </w:r>
      <w:r w:rsidRPr="00F71A6A">
        <w:rPr>
          <w:rFonts w:ascii="Verdana" w:hAnsi="Verdana" w:cs="Arial"/>
          <w:lang w:val="es-ES_tradnl"/>
        </w:rPr>
        <w:t>y las expresiones aquí utilizadas con mayúscula inicial deben ser entendidas con el significado que les otorga el artículo 2.2.1.1.1.3.1. del Decreto 1082 de 2015.</w:t>
      </w:r>
    </w:p>
    <w:p w14:paraId="1CC50795" w14:textId="77777777" w:rsidR="00E6785E" w:rsidRPr="006F2228" w:rsidRDefault="00E6785E" w:rsidP="00E6785E">
      <w:pPr>
        <w:widowControl w:val="0"/>
        <w:autoSpaceDE w:val="0"/>
        <w:autoSpaceDN w:val="0"/>
        <w:spacing w:after="0" w:line="276" w:lineRule="auto"/>
        <w:jc w:val="both"/>
        <w:rPr>
          <w:rFonts w:ascii="Verdana" w:hAnsi="Verdana" w:cs="Arial"/>
          <w:lang w:val="es-ES_tradnl"/>
        </w:rPr>
      </w:pPr>
    </w:p>
    <w:p w14:paraId="4DC0A1BD" w14:textId="77777777" w:rsidR="00E6785E" w:rsidRPr="009E40F5" w:rsidRDefault="00E6785E" w:rsidP="00E6785E">
      <w:pPr>
        <w:spacing w:after="0" w:line="276" w:lineRule="auto"/>
        <w:rPr>
          <w:rFonts w:ascii="Verdana" w:hAnsi="Verdana" w:cs="Arial"/>
          <w:lang w:eastAsia="es-CO"/>
        </w:rPr>
      </w:pPr>
      <w:r w:rsidRPr="00F71A6A">
        <w:rPr>
          <w:rFonts w:ascii="Verdana" w:eastAsia="Times New Roman" w:hAnsi="Verdana" w:cs="Arial"/>
          <w:lang w:eastAsia="es-CO"/>
        </w:rPr>
        <w:t>Atentamente,</w:t>
      </w:r>
      <w:r w:rsidRPr="00F71A6A">
        <w:rPr>
          <w:rFonts w:ascii="Verdana" w:hAnsi="Verdana" w:cs="Arial"/>
          <w:lang w:eastAsia="es-CO"/>
        </w:rPr>
        <w:t xml:space="preserve"> </w:t>
      </w:r>
    </w:p>
    <w:p w14:paraId="017179AA" w14:textId="753FFCB1" w:rsidR="00E6785E" w:rsidRPr="00C35401" w:rsidRDefault="00C35401" w:rsidP="00C35401">
      <w:pPr>
        <w:spacing w:after="0" w:line="240" w:lineRule="auto"/>
        <w:jc w:val="center"/>
        <w:rPr>
          <w:noProof/>
        </w:rPr>
      </w:pPr>
      <w:r w:rsidRPr="0065791A">
        <w:rPr>
          <w:rFonts w:ascii="Century Gothic" w:hAnsi="Century Gothic"/>
          <w:noProof/>
        </w:rPr>
        <w:drawing>
          <wp:inline distT="0" distB="0" distL="0" distR="0" wp14:anchorId="11B94A6A" wp14:editId="6BE9D5D2">
            <wp:extent cx="3598505" cy="1695450"/>
            <wp:effectExtent l="0" t="0" r="254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7"/>
                    <a:stretch>
                      <a:fillRect/>
                    </a:stretch>
                  </pic:blipFill>
                  <pic:spPr>
                    <a:xfrm>
                      <a:off x="0" y="0"/>
                      <a:ext cx="3603732" cy="1697913"/>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6785E" w:rsidRPr="00156969" w14:paraId="0E804F3F" w14:textId="77777777" w:rsidTr="00E87349">
        <w:trPr>
          <w:trHeight w:val="315"/>
        </w:trPr>
        <w:tc>
          <w:tcPr>
            <w:tcW w:w="893" w:type="dxa"/>
            <w:vAlign w:val="center"/>
            <w:hideMark/>
          </w:tcPr>
          <w:p w14:paraId="79552CB8" w14:textId="77777777" w:rsidR="00E6785E" w:rsidRPr="00D91D20" w:rsidRDefault="00E6785E" w:rsidP="00E87349">
            <w:pPr>
              <w:contextualSpacing/>
              <w:rPr>
                <w:rFonts w:ascii="Verdana" w:hAnsi="Verdana" w:cs="Arial"/>
                <w:sz w:val="16"/>
                <w:szCs w:val="16"/>
                <w:lang w:val="es-ES" w:eastAsia="es-ES"/>
              </w:rPr>
            </w:pPr>
            <w:r w:rsidRPr="00D91D2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3A1975D" w14:textId="77777777" w:rsidR="00E6785E" w:rsidRPr="00D91D20" w:rsidRDefault="00E6785E" w:rsidP="00E87349">
            <w:pPr>
              <w:contextualSpacing/>
              <w:rPr>
                <w:rStyle w:val="normaltextrun"/>
                <w:rFonts w:ascii="Verdana" w:hAnsi="Verdana"/>
                <w:sz w:val="16"/>
                <w:szCs w:val="16"/>
              </w:rPr>
            </w:pPr>
            <w:r w:rsidRPr="00D91D20">
              <w:rPr>
                <w:rStyle w:val="normaltextrun"/>
                <w:rFonts w:ascii="Verdana" w:hAnsi="Verdana"/>
                <w:sz w:val="16"/>
                <w:szCs w:val="16"/>
              </w:rPr>
              <w:t xml:space="preserve">Esperanza Contreras P </w:t>
            </w:r>
          </w:p>
          <w:p w14:paraId="7938AE36" w14:textId="77777777" w:rsidR="00E6785E" w:rsidRPr="00D91D20" w:rsidRDefault="00E6785E" w:rsidP="00E87349">
            <w:pPr>
              <w:contextualSpacing/>
              <w:rPr>
                <w:rFonts w:ascii="Verdana" w:eastAsia="Arial" w:hAnsi="Verdana" w:cs="Arial"/>
                <w:sz w:val="16"/>
                <w:szCs w:val="16"/>
              </w:rPr>
            </w:pPr>
            <w:r w:rsidRPr="00D91D20">
              <w:rPr>
                <w:rStyle w:val="normaltextrun"/>
                <w:rFonts w:ascii="Verdana" w:hAnsi="Verdana" w:cs="Arial"/>
                <w:sz w:val="16"/>
                <w:szCs w:val="16"/>
                <w:lang w:val="es-ES"/>
              </w:rPr>
              <w:t>Contratista de la Subdirección de Gestión Contractual</w:t>
            </w:r>
            <w:r w:rsidRPr="00D91D20">
              <w:rPr>
                <w:rStyle w:val="eop"/>
                <w:rFonts w:ascii="Verdana" w:hAnsi="Verdana" w:cs="Arial"/>
                <w:sz w:val="16"/>
                <w:szCs w:val="16"/>
              </w:rPr>
              <w:t> </w:t>
            </w:r>
          </w:p>
        </w:tc>
      </w:tr>
      <w:tr w:rsidR="00E6785E" w:rsidRPr="00156969" w14:paraId="6E31B14C" w14:textId="77777777" w:rsidTr="00E87349">
        <w:trPr>
          <w:trHeight w:val="330"/>
        </w:trPr>
        <w:tc>
          <w:tcPr>
            <w:tcW w:w="893" w:type="dxa"/>
            <w:vAlign w:val="center"/>
            <w:hideMark/>
          </w:tcPr>
          <w:p w14:paraId="6B6CE0A7" w14:textId="77777777" w:rsidR="00E6785E" w:rsidRPr="00D91D20" w:rsidRDefault="00E6785E" w:rsidP="00E87349">
            <w:pPr>
              <w:contextualSpacing/>
              <w:rPr>
                <w:rFonts w:ascii="Verdana" w:hAnsi="Verdana" w:cs="Arial"/>
                <w:sz w:val="16"/>
                <w:szCs w:val="16"/>
                <w:lang w:val="es-ES" w:eastAsia="es-ES"/>
              </w:rPr>
            </w:pPr>
            <w:r w:rsidRPr="00D91D2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AF34C6C" w14:textId="77777777" w:rsidR="00E6785E" w:rsidRPr="00D91D20" w:rsidRDefault="00E6785E" w:rsidP="00E87349">
            <w:pPr>
              <w:pStyle w:val="paragraph"/>
              <w:spacing w:before="0" w:beforeAutospacing="0" w:after="0" w:afterAutospacing="0"/>
              <w:contextualSpacing/>
              <w:textAlignment w:val="baseline"/>
              <w:rPr>
                <w:rStyle w:val="normaltextrun"/>
                <w:rFonts w:ascii="Verdana" w:hAnsi="Verdana"/>
                <w:sz w:val="16"/>
                <w:szCs w:val="16"/>
                <w:lang w:val="es-ES"/>
              </w:rPr>
            </w:pPr>
            <w:r w:rsidRPr="00D91D20">
              <w:rPr>
                <w:rStyle w:val="normaltextrun"/>
                <w:rFonts w:ascii="Verdana" w:hAnsi="Verdana"/>
                <w:sz w:val="16"/>
                <w:szCs w:val="16"/>
                <w:lang w:val="es-ES"/>
              </w:rPr>
              <w:t xml:space="preserve">Juan Carlos González Vásquez </w:t>
            </w:r>
          </w:p>
          <w:p w14:paraId="72C7987C" w14:textId="77777777" w:rsidR="00E6785E" w:rsidRPr="00D91D20" w:rsidRDefault="00E6785E" w:rsidP="00E87349">
            <w:pPr>
              <w:pStyle w:val="paragraph"/>
              <w:spacing w:before="0" w:beforeAutospacing="0" w:after="0" w:afterAutospacing="0"/>
              <w:contextualSpacing/>
              <w:textAlignment w:val="baseline"/>
              <w:rPr>
                <w:rFonts w:ascii="Verdana" w:hAnsi="Verdana" w:cs="Segoe UI"/>
                <w:sz w:val="16"/>
                <w:szCs w:val="16"/>
              </w:rPr>
            </w:pPr>
            <w:r w:rsidRPr="00D91D20">
              <w:rPr>
                <w:rStyle w:val="normaltextrun"/>
                <w:rFonts w:ascii="Verdana" w:hAnsi="Verdana"/>
                <w:sz w:val="16"/>
                <w:szCs w:val="16"/>
                <w:lang w:val="es-ES"/>
              </w:rPr>
              <w:t xml:space="preserve">Contratista de la Subdirección de Gestión Contractual </w:t>
            </w:r>
          </w:p>
        </w:tc>
      </w:tr>
      <w:tr w:rsidR="00E6785E" w:rsidRPr="00F71A6A" w14:paraId="3516DD9C" w14:textId="77777777" w:rsidTr="00E87349">
        <w:trPr>
          <w:trHeight w:val="300"/>
        </w:trPr>
        <w:tc>
          <w:tcPr>
            <w:tcW w:w="893" w:type="dxa"/>
            <w:vAlign w:val="center"/>
          </w:tcPr>
          <w:p w14:paraId="036BB250" w14:textId="77777777" w:rsidR="00E6785E" w:rsidRPr="00D91D20" w:rsidRDefault="00E6785E" w:rsidP="00E87349">
            <w:pPr>
              <w:contextualSpacing/>
              <w:rPr>
                <w:rFonts w:ascii="Verdana" w:hAnsi="Verdana" w:cs="Arial"/>
                <w:sz w:val="16"/>
                <w:szCs w:val="16"/>
                <w:lang w:val="es-ES" w:eastAsia="es-ES"/>
              </w:rPr>
            </w:pPr>
            <w:r w:rsidRPr="00D91D2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5A46AB9" w14:textId="77777777" w:rsidR="00E6785E" w:rsidRPr="00D91D20" w:rsidRDefault="00E6785E" w:rsidP="00E87349">
            <w:pPr>
              <w:contextualSpacing/>
              <w:rPr>
                <w:rFonts w:ascii="Verdana" w:eastAsia="Calibri" w:hAnsi="Verdana" w:cs="Arial"/>
                <w:sz w:val="16"/>
                <w:szCs w:val="16"/>
                <w:lang w:val="pt-BR" w:eastAsia="es-ES"/>
              </w:rPr>
            </w:pPr>
            <w:r w:rsidRPr="00D91D20">
              <w:rPr>
                <w:rFonts w:ascii="Verdana" w:eastAsia="Calibri" w:hAnsi="Verdana" w:cs="Arial"/>
                <w:sz w:val="16"/>
                <w:szCs w:val="16"/>
                <w:lang w:val="pt-BR" w:eastAsia="es-ES"/>
              </w:rPr>
              <w:t xml:space="preserve">Carolina Quintero </w:t>
            </w:r>
            <w:proofErr w:type="spellStart"/>
            <w:r w:rsidRPr="00D91D20">
              <w:rPr>
                <w:rFonts w:ascii="Verdana" w:eastAsia="Calibri" w:hAnsi="Verdana" w:cs="Arial"/>
                <w:sz w:val="16"/>
                <w:szCs w:val="16"/>
                <w:lang w:val="pt-BR" w:eastAsia="es-ES"/>
              </w:rPr>
              <w:t>Gacharná</w:t>
            </w:r>
            <w:proofErr w:type="spellEnd"/>
          </w:p>
          <w:p w14:paraId="1F9F15DF" w14:textId="77777777" w:rsidR="00E6785E" w:rsidRPr="00D91D20" w:rsidRDefault="00E6785E" w:rsidP="00E87349">
            <w:pPr>
              <w:contextualSpacing/>
              <w:rPr>
                <w:rFonts w:ascii="Verdana" w:eastAsia="Calibri" w:hAnsi="Verdana" w:cs="Arial"/>
                <w:sz w:val="16"/>
                <w:szCs w:val="16"/>
                <w:lang w:val="pt-BR" w:eastAsia="es-ES"/>
              </w:rPr>
            </w:pPr>
            <w:r w:rsidRPr="00D91D20">
              <w:rPr>
                <w:rFonts w:ascii="Verdana" w:eastAsia="Calibri" w:hAnsi="Verdana" w:cs="Arial"/>
                <w:sz w:val="16"/>
                <w:szCs w:val="16"/>
                <w:lang w:eastAsia="es-ES"/>
              </w:rPr>
              <w:t>Subdirectora</w:t>
            </w:r>
            <w:r w:rsidRPr="00D91D20">
              <w:rPr>
                <w:rFonts w:ascii="Verdana" w:eastAsia="Calibri" w:hAnsi="Verdana" w:cs="Arial"/>
                <w:sz w:val="16"/>
                <w:szCs w:val="16"/>
                <w:lang w:val="pt-BR" w:eastAsia="es-ES"/>
              </w:rPr>
              <w:t xml:space="preserve"> de Gestión </w:t>
            </w:r>
            <w:proofErr w:type="spellStart"/>
            <w:r w:rsidRPr="00D91D20">
              <w:rPr>
                <w:rFonts w:ascii="Verdana" w:eastAsia="Calibri" w:hAnsi="Verdana" w:cs="Arial"/>
                <w:sz w:val="16"/>
                <w:szCs w:val="16"/>
                <w:lang w:val="pt-BR" w:eastAsia="es-ES"/>
              </w:rPr>
              <w:t>Contractual</w:t>
            </w:r>
            <w:proofErr w:type="spellEnd"/>
            <w:r w:rsidRPr="00D91D20">
              <w:rPr>
                <w:rFonts w:ascii="Verdana" w:eastAsia="Calibri" w:hAnsi="Verdana" w:cs="Arial"/>
                <w:sz w:val="16"/>
                <w:szCs w:val="16"/>
                <w:lang w:val="pt-BR" w:eastAsia="es-ES"/>
              </w:rPr>
              <w:t xml:space="preserve"> ANCP – CCE</w:t>
            </w:r>
          </w:p>
        </w:tc>
      </w:tr>
      <w:bookmarkEnd w:id="0"/>
      <w:bookmarkEnd w:id="1"/>
      <w:bookmarkEnd w:id="2"/>
      <w:bookmarkEnd w:id="3"/>
    </w:tbl>
    <w:p w14:paraId="3900974D" w14:textId="286832D6" w:rsidR="003D5B0D" w:rsidRPr="0044528D" w:rsidRDefault="003D5B0D" w:rsidP="00C76B1C">
      <w:pPr>
        <w:spacing w:after="0" w:line="240" w:lineRule="auto"/>
        <w:textAlignment w:val="baseline"/>
        <w:rPr>
          <w:rFonts w:ascii="Verdana" w:eastAsia="Times New Roman" w:hAnsi="Verdana" w:cs="Segoe UI"/>
          <w:b/>
          <w:bCs/>
          <w:color w:val="46589C"/>
          <w:lang w:val="es-ES" w:eastAsia="es-CO"/>
        </w:rPr>
      </w:pPr>
    </w:p>
    <w:sectPr w:rsidR="003D5B0D" w:rsidRPr="0044528D"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1433C8" w14:textId="77777777" w:rsidR="00155DC3" w:rsidRDefault="00155DC3" w:rsidP="004A1847">
      <w:pPr>
        <w:spacing w:after="0" w:line="240" w:lineRule="auto"/>
      </w:pPr>
      <w:r>
        <w:separator/>
      </w:r>
    </w:p>
  </w:endnote>
  <w:endnote w:type="continuationSeparator" w:id="0">
    <w:p w14:paraId="434686DD" w14:textId="77777777" w:rsidR="00155DC3" w:rsidRDefault="00155DC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F4FC5C" w14:textId="77777777" w:rsidR="00155DC3" w:rsidRDefault="00155DC3" w:rsidP="004A1847">
      <w:pPr>
        <w:spacing w:after="0" w:line="240" w:lineRule="auto"/>
      </w:pPr>
      <w:r>
        <w:separator/>
      </w:r>
    </w:p>
  </w:footnote>
  <w:footnote w:type="continuationSeparator" w:id="0">
    <w:p w14:paraId="4775A256" w14:textId="77777777" w:rsidR="00155DC3" w:rsidRDefault="00155DC3" w:rsidP="004A1847">
      <w:pPr>
        <w:spacing w:after="0" w:line="240" w:lineRule="auto"/>
      </w:pPr>
      <w:r>
        <w:continuationSeparator/>
      </w:r>
    </w:p>
  </w:footnote>
  <w:footnote w:id="1">
    <w:p w14:paraId="4C96181E" w14:textId="77777777" w:rsidR="00E6785E" w:rsidRDefault="00E6785E" w:rsidP="00E6785E">
      <w:pPr>
        <w:spacing w:after="0" w:line="240" w:lineRule="auto"/>
        <w:ind w:firstLine="709"/>
        <w:jc w:val="both"/>
        <w:rPr>
          <w:rFonts w:ascii="Verdana" w:hAnsi="Verdana" w:cs="Arial"/>
          <w:sz w:val="14"/>
          <w:szCs w:val="14"/>
          <w:lang w:val="es-ES"/>
        </w:rPr>
      </w:pPr>
      <w:r w:rsidRPr="00B41137">
        <w:rPr>
          <w:rStyle w:val="Refdenotaalpie"/>
          <w:rFonts w:ascii="Verdana" w:hAnsi="Verdana" w:cs="Arial"/>
          <w:sz w:val="14"/>
          <w:szCs w:val="14"/>
        </w:rPr>
        <w:footnoteRef/>
      </w:r>
      <w:r w:rsidRPr="00B41137">
        <w:rPr>
          <w:rFonts w:ascii="Verdana" w:hAnsi="Verdana" w:cs="Arial"/>
          <w:sz w:val="14"/>
          <w:szCs w:val="14"/>
        </w:rPr>
        <w:t xml:space="preserve"> </w:t>
      </w:r>
      <w:r w:rsidRPr="00B41137">
        <w:rPr>
          <w:rFonts w:ascii="Verdana" w:hAnsi="Verdana" w:cs="Arial"/>
          <w:sz w:val="14"/>
          <w:szCs w:val="14"/>
          <w:lang w:val="es-ES"/>
        </w:rPr>
        <w:t xml:space="preserve">En efecto, este enunciado normativo establece: </w:t>
      </w:r>
      <w:r>
        <w:rPr>
          <w:rFonts w:ascii="Verdana" w:hAnsi="Verdana" w:cs="Arial"/>
          <w:sz w:val="14"/>
          <w:szCs w:val="14"/>
          <w:lang w:val="es-ES"/>
        </w:rPr>
        <w:t>“</w:t>
      </w:r>
      <w:r w:rsidRPr="00B41137">
        <w:rPr>
          <w:rFonts w:ascii="Verdana" w:hAnsi="Verdana" w:cs="Arial"/>
          <w:sz w:val="14"/>
          <w:szCs w:val="14"/>
          <w:lang w:val="es-ES"/>
        </w:rPr>
        <w:t>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r>
        <w:rPr>
          <w:rFonts w:ascii="Verdana" w:hAnsi="Verdana" w:cs="Arial"/>
          <w:sz w:val="14"/>
          <w:szCs w:val="14"/>
          <w:lang w:val="es-ES"/>
        </w:rPr>
        <w:t>”</w:t>
      </w:r>
      <w:r w:rsidRPr="00B41137">
        <w:rPr>
          <w:rFonts w:ascii="Verdana" w:hAnsi="Verdana" w:cs="Arial"/>
          <w:sz w:val="14"/>
          <w:szCs w:val="14"/>
          <w:lang w:val="es-ES"/>
        </w:rPr>
        <w:t>.</w:t>
      </w:r>
    </w:p>
    <w:p w14:paraId="352820A0" w14:textId="77777777" w:rsidR="00E6785E" w:rsidRPr="00B41137" w:rsidRDefault="00E6785E" w:rsidP="00E6785E">
      <w:pPr>
        <w:spacing w:after="0" w:line="240" w:lineRule="auto"/>
        <w:ind w:firstLine="709"/>
        <w:jc w:val="both"/>
        <w:rPr>
          <w:rFonts w:ascii="Verdana" w:hAnsi="Verdana" w:cs="Arial"/>
          <w:sz w:val="14"/>
          <w:szCs w:val="14"/>
          <w:lang w:val="es-ES"/>
        </w:rPr>
      </w:pPr>
    </w:p>
  </w:footnote>
  <w:footnote w:id="2">
    <w:p w14:paraId="5F7858EA" w14:textId="77777777" w:rsidR="00E6785E" w:rsidRDefault="00E6785E" w:rsidP="00E6785E">
      <w:pPr>
        <w:spacing w:after="0" w:line="240" w:lineRule="auto"/>
        <w:ind w:firstLine="709"/>
        <w:jc w:val="both"/>
        <w:rPr>
          <w:rFonts w:ascii="Verdana" w:hAnsi="Verdana" w:cs="Arial"/>
          <w:sz w:val="14"/>
          <w:szCs w:val="14"/>
          <w:lang w:val="es-ES"/>
        </w:rPr>
      </w:pPr>
      <w:r w:rsidRPr="00B41137">
        <w:rPr>
          <w:rStyle w:val="Refdenotaalpie"/>
          <w:rFonts w:ascii="Verdana" w:hAnsi="Verdana" w:cs="Arial"/>
          <w:sz w:val="14"/>
          <w:szCs w:val="14"/>
        </w:rPr>
        <w:footnoteRef/>
      </w:r>
      <w:r w:rsidRPr="00B41137">
        <w:rPr>
          <w:rFonts w:ascii="Verdana" w:hAnsi="Verdana" w:cs="Arial"/>
          <w:sz w:val="14"/>
          <w:szCs w:val="14"/>
        </w:rPr>
        <w:t xml:space="preserve"> </w:t>
      </w:r>
      <w:r w:rsidRPr="00B41137">
        <w:rPr>
          <w:rFonts w:ascii="Verdana" w:hAnsi="Verdana" w:cs="Arial"/>
          <w:sz w:val="14"/>
          <w:szCs w:val="14"/>
          <w:lang w:val="es-ES"/>
        </w:rPr>
        <w:t xml:space="preserve">En efecto, el artículo 1.500 del Código Civil expresa: </w:t>
      </w:r>
      <w:r>
        <w:rPr>
          <w:rFonts w:ascii="Verdana" w:hAnsi="Verdana" w:cs="Arial"/>
          <w:sz w:val="14"/>
          <w:szCs w:val="14"/>
          <w:lang w:val="es-ES"/>
        </w:rPr>
        <w:t>“</w:t>
      </w:r>
      <w:r w:rsidRPr="00B41137">
        <w:rPr>
          <w:rFonts w:ascii="Verdana" w:hAnsi="Verdana" w:cs="Arial"/>
          <w:sz w:val="14"/>
          <w:szCs w:val="14"/>
          <w:lang w:val="es-ES"/>
        </w:rPr>
        <w:t>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r>
        <w:rPr>
          <w:rFonts w:ascii="Verdana" w:hAnsi="Verdana" w:cs="Arial"/>
          <w:sz w:val="14"/>
          <w:szCs w:val="14"/>
          <w:lang w:val="es-ES"/>
        </w:rPr>
        <w:t>”</w:t>
      </w:r>
      <w:r w:rsidRPr="00B41137">
        <w:rPr>
          <w:rFonts w:ascii="Verdana" w:hAnsi="Verdana" w:cs="Arial"/>
          <w:sz w:val="14"/>
          <w:szCs w:val="14"/>
          <w:lang w:val="es-ES"/>
        </w:rPr>
        <w:t>.</w:t>
      </w:r>
    </w:p>
    <w:p w14:paraId="26F7EB17" w14:textId="77777777" w:rsidR="00E6785E" w:rsidRPr="00B41137" w:rsidRDefault="00E6785E" w:rsidP="00E6785E">
      <w:pPr>
        <w:spacing w:after="0" w:line="240" w:lineRule="auto"/>
        <w:ind w:firstLine="709"/>
        <w:jc w:val="both"/>
        <w:rPr>
          <w:rFonts w:ascii="Verdana" w:hAnsi="Verdana" w:cs="Arial"/>
          <w:sz w:val="14"/>
          <w:szCs w:val="14"/>
          <w:lang w:val="es-ES"/>
        </w:rPr>
      </w:pPr>
    </w:p>
  </w:footnote>
  <w:footnote w:id="3">
    <w:p w14:paraId="1002A248" w14:textId="77777777" w:rsidR="00E6785E" w:rsidRPr="003223C5" w:rsidRDefault="00E6785E" w:rsidP="00E6785E">
      <w:pPr>
        <w:spacing w:after="0" w:line="240" w:lineRule="auto"/>
        <w:ind w:firstLine="709"/>
        <w:jc w:val="both"/>
        <w:rPr>
          <w:rFonts w:ascii="Verdana" w:eastAsia="Calibri" w:hAnsi="Verdana" w:cs="Arial"/>
          <w:sz w:val="14"/>
          <w:szCs w:val="14"/>
          <w:lang w:val="es-ES"/>
        </w:rPr>
      </w:pPr>
      <w:r w:rsidRPr="003223C5">
        <w:rPr>
          <w:rStyle w:val="Refdenotaalpie"/>
          <w:rFonts w:ascii="Verdana" w:hAnsi="Verdana"/>
          <w:sz w:val="14"/>
          <w:szCs w:val="14"/>
        </w:rPr>
        <w:footnoteRef/>
      </w:r>
      <w:r w:rsidRPr="003223C5">
        <w:rPr>
          <w:rFonts w:ascii="Verdana" w:hAnsi="Verdana"/>
          <w:sz w:val="14"/>
          <w:szCs w:val="14"/>
        </w:rPr>
        <w:t xml:space="preserve"> </w:t>
      </w:r>
      <w:r w:rsidRPr="003223C5">
        <w:rPr>
          <w:rFonts w:ascii="Verdana" w:eastAsia="Calibri" w:hAnsi="Verdana" w:cs="Arial"/>
          <w:sz w:val="14"/>
          <w:szCs w:val="14"/>
          <w:lang w:val="es-ES"/>
        </w:rPr>
        <w:t>La excepción a la anterior regla se encuentra en el cuarto inciso del mismo artículo, según el cual, “</w:t>
      </w:r>
      <w:r w:rsidRPr="003223C5">
        <w:rPr>
          <w:rFonts w:ascii="Verdana" w:eastAsia="Calibri" w:hAnsi="Verdana" w:cs="Arial"/>
          <w:i/>
          <w:iCs/>
          <w:sz w:val="14"/>
          <w:szCs w:val="14"/>
          <w:lang w:val="es-ES"/>
        </w:rPr>
        <w:t>En caso de situaciones de urgencia manifiesta a que se refiere el artículo </w:t>
      </w:r>
      <w:hyperlink r:id="rId1" w:anchor="42" w:history="1">
        <w:r w:rsidRPr="003223C5">
          <w:rPr>
            <w:rStyle w:val="Hipervnculo"/>
            <w:rFonts w:ascii="Verdana" w:eastAsia="Calibri" w:hAnsi="Verdana" w:cs="Arial"/>
            <w:i/>
            <w:iCs/>
            <w:color w:val="auto"/>
            <w:sz w:val="14"/>
            <w:szCs w:val="14"/>
            <w:u w:val="none"/>
            <w:lang w:val="es-ES"/>
          </w:rPr>
          <w:t>42</w:t>
        </w:r>
      </w:hyperlink>
      <w:r w:rsidRPr="003223C5">
        <w:rPr>
          <w:rFonts w:ascii="Verdana" w:eastAsia="Calibri" w:hAnsi="Verdana" w:cs="Arial"/>
          <w:i/>
          <w:iCs/>
          <w:sz w:val="14"/>
          <w:szCs w:val="14"/>
          <w:lang w:val="es-ES"/>
        </w:rPr>
        <w:t> de esta ley que no permitan la suscripción de contrato escrito, se prescindirá de éste y aún del acuerdo acerca de la remuneración, no obstante, deberá dejarse constancia escrita de la autorización impartida por la entidad estatal contratante</w:t>
      </w:r>
      <w:r w:rsidRPr="003223C5">
        <w:rPr>
          <w:rFonts w:ascii="Verdana" w:eastAsia="Calibri" w:hAnsi="Verdana" w:cs="Arial"/>
          <w:sz w:val="14"/>
          <w:szCs w:val="14"/>
          <w:lang w:val="es-ES"/>
        </w:rPr>
        <w:t>”. En otras palabras, por regla general, los contratos estatales deben constar por escrito, salvo que se presente una situación de urgencia manifiesta en la que no haya tiempo de cumplir con esta formalidad.</w:t>
      </w:r>
    </w:p>
    <w:p w14:paraId="50185E3A" w14:textId="77777777" w:rsidR="00E6785E" w:rsidRPr="003223C5" w:rsidRDefault="00E6785E" w:rsidP="00E6785E">
      <w:pPr>
        <w:pStyle w:val="Textonotapie"/>
        <w:rPr>
          <w:rFonts w:ascii="Verdana" w:hAnsi="Verdana"/>
          <w:sz w:val="14"/>
          <w:szCs w:val="14"/>
          <w:lang w:val="es-ES"/>
        </w:rPr>
      </w:pPr>
    </w:p>
  </w:footnote>
  <w:footnote w:id="4">
    <w:p w14:paraId="51E3A824" w14:textId="77777777" w:rsidR="00E6785E" w:rsidRDefault="00E6785E" w:rsidP="00E6785E">
      <w:pPr>
        <w:pStyle w:val="Textonotapie"/>
        <w:ind w:firstLine="709"/>
        <w:jc w:val="both"/>
        <w:rPr>
          <w:rFonts w:ascii="Verdana" w:hAnsi="Verdana" w:cs="Arial"/>
          <w:sz w:val="14"/>
          <w:szCs w:val="14"/>
          <w:lang w:val="es-ES"/>
        </w:rPr>
      </w:pPr>
      <w:r w:rsidRPr="00B41137">
        <w:rPr>
          <w:rStyle w:val="Refdenotaalpie"/>
          <w:rFonts w:ascii="Verdana" w:hAnsi="Verdana" w:cs="Arial"/>
          <w:sz w:val="14"/>
          <w:szCs w:val="14"/>
        </w:rPr>
        <w:footnoteRef/>
      </w:r>
      <w:r w:rsidRPr="00B41137">
        <w:rPr>
          <w:rFonts w:ascii="Verdana" w:hAnsi="Verdana" w:cs="Arial"/>
          <w:sz w:val="14"/>
          <w:szCs w:val="14"/>
        </w:rPr>
        <w:t xml:space="preserve"> </w:t>
      </w:r>
      <w:r w:rsidRPr="00B41137">
        <w:rPr>
          <w:rFonts w:ascii="Verdana" w:hAnsi="Verdana" w:cs="Arial"/>
          <w:sz w:val="14"/>
          <w:szCs w:val="14"/>
          <w:lang w:val="es-ES"/>
        </w:rPr>
        <w:t>EXPÓSITO VÉLEZ, Juan Carlos. Forma y contenido del contrato estatal. Bogotá: Universidad Externado de Colombia, 2013. pp. 28-29.</w:t>
      </w:r>
    </w:p>
    <w:p w14:paraId="25B65B73" w14:textId="77777777" w:rsidR="00E6785E" w:rsidRPr="00B41137" w:rsidRDefault="00E6785E" w:rsidP="00E6785E">
      <w:pPr>
        <w:pStyle w:val="Textonotapie"/>
        <w:ind w:firstLine="709"/>
        <w:jc w:val="both"/>
        <w:rPr>
          <w:rFonts w:ascii="Verdana" w:hAnsi="Verdana" w:cs="Arial"/>
          <w:sz w:val="14"/>
          <w:szCs w:val="14"/>
          <w:lang w:val="es-ES"/>
        </w:rPr>
      </w:pPr>
    </w:p>
  </w:footnote>
  <w:footnote w:id="5">
    <w:p w14:paraId="5FDF139B" w14:textId="77777777" w:rsidR="00E6785E" w:rsidRDefault="00E6785E" w:rsidP="00E6785E">
      <w:pPr>
        <w:pStyle w:val="Textonotapie"/>
        <w:ind w:firstLine="709"/>
        <w:jc w:val="both"/>
        <w:rPr>
          <w:rFonts w:ascii="Verdana" w:hAnsi="Verdana" w:cs="Arial"/>
          <w:color w:val="000000" w:themeColor="text1"/>
          <w:sz w:val="14"/>
          <w:szCs w:val="14"/>
        </w:rPr>
      </w:pPr>
      <w:r w:rsidRPr="00B41137">
        <w:rPr>
          <w:rStyle w:val="Refdenotaalpie"/>
          <w:rFonts w:ascii="Verdana" w:hAnsi="Verdana" w:cs="Arial"/>
          <w:sz w:val="14"/>
          <w:szCs w:val="14"/>
        </w:rPr>
        <w:footnoteRef/>
      </w:r>
      <w:r w:rsidRPr="00B41137">
        <w:rPr>
          <w:rFonts w:ascii="Verdana" w:hAnsi="Verdana" w:cs="Arial"/>
          <w:color w:val="000000" w:themeColor="text1"/>
          <w:sz w:val="14"/>
          <w:szCs w:val="14"/>
        </w:rPr>
        <w:t xml:space="preserve"> Consejo de Estado. </w:t>
      </w:r>
      <w:r>
        <w:rPr>
          <w:rFonts w:ascii="Verdana" w:hAnsi="Verdana" w:cs="Arial"/>
          <w:color w:val="000000" w:themeColor="text1"/>
          <w:sz w:val="14"/>
          <w:szCs w:val="14"/>
        </w:rPr>
        <w:t xml:space="preserve">Sala de lo Contencioso Administrativo. </w:t>
      </w:r>
      <w:r w:rsidRPr="00B41137">
        <w:rPr>
          <w:rFonts w:ascii="Verdana" w:hAnsi="Verdana" w:cs="Arial"/>
          <w:color w:val="000000" w:themeColor="text1"/>
          <w:sz w:val="14"/>
          <w:szCs w:val="14"/>
        </w:rPr>
        <w:t xml:space="preserve">Sección </w:t>
      </w:r>
      <w:r>
        <w:rPr>
          <w:rFonts w:ascii="Verdana" w:hAnsi="Verdana" w:cs="Arial"/>
          <w:color w:val="000000" w:themeColor="text1"/>
          <w:sz w:val="14"/>
          <w:szCs w:val="14"/>
        </w:rPr>
        <w:t>T</w:t>
      </w:r>
      <w:r w:rsidRPr="00B41137">
        <w:rPr>
          <w:rFonts w:ascii="Verdana" w:hAnsi="Verdana" w:cs="Arial"/>
          <w:color w:val="000000" w:themeColor="text1"/>
          <w:sz w:val="14"/>
          <w:szCs w:val="14"/>
        </w:rPr>
        <w:t>ercera.</w:t>
      </w:r>
      <w:r>
        <w:rPr>
          <w:rFonts w:ascii="Verdana" w:hAnsi="Verdana" w:cs="Arial"/>
          <w:color w:val="000000" w:themeColor="text1"/>
          <w:sz w:val="14"/>
          <w:szCs w:val="14"/>
        </w:rPr>
        <w:t xml:space="preserve"> Subsección B.</w:t>
      </w:r>
      <w:r w:rsidRPr="00B41137">
        <w:rPr>
          <w:rFonts w:ascii="Verdana" w:hAnsi="Verdana" w:cs="Arial"/>
          <w:color w:val="000000" w:themeColor="text1"/>
          <w:sz w:val="14"/>
          <w:szCs w:val="14"/>
        </w:rPr>
        <w:t xml:space="preserve"> Sentencia del 10 de mayo de 2018. Exp. 41.186. C.P. Stella Conto Díaz del Castillo.</w:t>
      </w:r>
    </w:p>
    <w:p w14:paraId="0C00106E" w14:textId="77777777" w:rsidR="00E6785E" w:rsidRPr="00B41137" w:rsidRDefault="00E6785E" w:rsidP="00E6785E">
      <w:pPr>
        <w:pStyle w:val="Textonotapie"/>
        <w:ind w:firstLine="709"/>
        <w:jc w:val="both"/>
        <w:rPr>
          <w:rFonts w:ascii="Verdana" w:hAnsi="Verdana" w:cs="Arial"/>
          <w:color w:val="000000" w:themeColor="text1"/>
          <w:sz w:val="14"/>
          <w:szCs w:val="14"/>
          <w:lang w:val="es-ES"/>
        </w:rPr>
      </w:pPr>
    </w:p>
  </w:footnote>
  <w:footnote w:id="6">
    <w:p w14:paraId="79830DBF" w14:textId="77777777" w:rsidR="00E6785E" w:rsidRPr="00E670BC" w:rsidRDefault="00E6785E" w:rsidP="00E6785E">
      <w:pPr>
        <w:pStyle w:val="Textonotapie"/>
        <w:ind w:firstLine="708"/>
        <w:jc w:val="both"/>
        <w:rPr>
          <w:rFonts w:ascii="Verdana" w:hAnsi="Verdana"/>
          <w:sz w:val="14"/>
          <w:szCs w:val="14"/>
          <w:lang w:val="es-CO"/>
        </w:rPr>
      </w:pPr>
      <w:r w:rsidRPr="00E670BC">
        <w:rPr>
          <w:rStyle w:val="Refdenotaalpie"/>
          <w:rFonts w:ascii="Verdana" w:hAnsi="Verdana"/>
          <w:sz w:val="14"/>
          <w:szCs w:val="14"/>
        </w:rPr>
        <w:footnoteRef/>
      </w:r>
      <w:r w:rsidRPr="00E670BC">
        <w:rPr>
          <w:rFonts w:ascii="Verdana" w:hAnsi="Verdana"/>
          <w:sz w:val="14"/>
          <w:szCs w:val="14"/>
        </w:rPr>
        <w:t xml:space="preserve"> </w:t>
      </w:r>
      <w:r w:rsidRPr="00E670BC">
        <w:rPr>
          <w:rFonts w:ascii="Verdana" w:hAnsi="Verdana" w:cs="Arial"/>
          <w:color w:val="1A1A1A" w:themeColor="background1" w:themeShade="1A"/>
          <w:sz w:val="14"/>
          <w:szCs w:val="14"/>
        </w:rPr>
        <w:t>C</w:t>
      </w:r>
      <w:r>
        <w:rPr>
          <w:rFonts w:ascii="Verdana" w:hAnsi="Verdana" w:cs="Arial"/>
          <w:color w:val="1A1A1A" w:themeColor="background1" w:themeShade="1A"/>
          <w:sz w:val="14"/>
          <w:szCs w:val="14"/>
        </w:rPr>
        <w:t xml:space="preserve">onsejo de Estado. Sala de lo Contencioso Administrativo. </w:t>
      </w:r>
      <w:r w:rsidRPr="00E670BC">
        <w:rPr>
          <w:rFonts w:ascii="Verdana" w:hAnsi="Verdana" w:cs="Arial"/>
          <w:color w:val="1A1A1A" w:themeColor="background1" w:themeShade="1A"/>
          <w:sz w:val="14"/>
          <w:szCs w:val="14"/>
        </w:rPr>
        <w:t>Sección Tercera. Subsección A. Sentencia del del 24 de febrero de 2016. Exp. 46.185. C.P. Marta Nubia Velásquez Rico.</w:t>
      </w:r>
    </w:p>
    <w:p w14:paraId="33B344A9" w14:textId="77777777" w:rsidR="00E6785E" w:rsidRPr="00E670BC" w:rsidRDefault="00E6785E" w:rsidP="00E6785E">
      <w:pPr>
        <w:pStyle w:val="Textonotapie"/>
        <w:rPr>
          <w:rFonts w:ascii="Verdana" w:hAnsi="Verdana"/>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FD648E"/>
    <w:multiLevelType w:val="hybridMultilevel"/>
    <w:tmpl w:val="DC565C78"/>
    <w:lvl w:ilvl="0" w:tplc="5ADAB914">
      <w:start w:val="3"/>
      <w:numFmt w:val="decimal"/>
      <w:lvlText w:val="%1."/>
      <w:lvlJc w:val="left"/>
      <w:pPr>
        <w:ind w:left="6601" w:hanging="360"/>
      </w:pPr>
      <w:rPr>
        <w:rFonts w:hint="default"/>
      </w:rPr>
    </w:lvl>
    <w:lvl w:ilvl="1" w:tplc="240A0019" w:tentative="1">
      <w:start w:val="1"/>
      <w:numFmt w:val="lowerLetter"/>
      <w:lvlText w:val="%2."/>
      <w:lvlJc w:val="left"/>
      <w:pPr>
        <w:ind w:left="7321" w:hanging="360"/>
      </w:pPr>
    </w:lvl>
    <w:lvl w:ilvl="2" w:tplc="240A001B" w:tentative="1">
      <w:start w:val="1"/>
      <w:numFmt w:val="lowerRoman"/>
      <w:lvlText w:val="%3."/>
      <w:lvlJc w:val="right"/>
      <w:pPr>
        <w:ind w:left="8041" w:hanging="180"/>
      </w:pPr>
    </w:lvl>
    <w:lvl w:ilvl="3" w:tplc="240A000F" w:tentative="1">
      <w:start w:val="1"/>
      <w:numFmt w:val="decimal"/>
      <w:lvlText w:val="%4."/>
      <w:lvlJc w:val="left"/>
      <w:pPr>
        <w:ind w:left="8761" w:hanging="360"/>
      </w:pPr>
    </w:lvl>
    <w:lvl w:ilvl="4" w:tplc="240A0019" w:tentative="1">
      <w:start w:val="1"/>
      <w:numFmt w:val="lowerLetter"/>
      <w:lvlText w:val="%5."/>
      <w:lvlJc w:val="left"/>
      <w:pPr>
        <w:ind w:left="9481" w:hanging="360"/>
      </w:pPr>
    </w:lvl>
    <w:lvl w:ilvl="5" w:tplc="240A001B" w:tentative="1">
      <w:start w:val="1"/>
      <w:numFmt w:val="lowerRoman"/>
      <w:lvlText w:val="%6."/>
      <w:lvlJc w:val="right"/>
      <w:pPr>
        <w:ind w:left="10201" w:hanging="180"/>
      </w:pPr>
    </w:lvl>
    <w:lvl w:ilvl="6" w:tplc="240A000F" w:tentative="1">
      <w:start w:val="1"/>
      <w:numFmt w:val="decimal"/>
      <w:lvlText w:val="%7."/>
      <w:lvlJc w:val="left"/>
      <w:pPr>
        <w:ind w:left="10921" w:hanging="360"/>
      </w:pPr>
    </w:lvl>
    <w:lvl w:ilvl="7" w:tplc="240A0019" w:tentative="1">
      <w:start w:val="1"/>
      <w:numFmt w:val="lowerLetter"/>
      <w:lvlText w:val="%8."/>
      <w:lvlJc w:val="left"/>
      <w:pPr>
        <w:ind w:left="11641" w:hanging="360"/>
      </w:pPr>
    </w:lvl>
    <w:lvl w:ilvl="8" w:tplc="240A001B" w:tentative="1">
      <w:start w:val="1"/>
      <w:numFmt w:val="lowerRoman"/>
      <w:lvlText w:val="%9."/>
      <w:lvlJc w:val="right"/>
      <w:pPr>
        <w:ind w:left="12361" w:hanging="180"/>
      </w:pPr>
    </w:lvl>
  </w:abstractNum>
  <w:abstractNum w:abstractNumId="4" w15:restartNumberingAfterBreak="0">
    <w:nsid w:val="16C82633"/>
    <w:multiLevelType w:val="hybridMultilevel"/>
    <w:tmpl w:val="55FE68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7"/>
  </w:num>
  <w:num w:numId="8" w16cid:durableId="152644682">
    <w:abstractNumId w:val="13"/>
  </w:num>
  <w:num w:numId="9" w16cid:durableId="1317221377">
    <w:abstractNumId w:val="9"/>
  </w:num>
  <w:num w:numId="10" w16cid:durableId="1471245386">
    <w:abstractNumId w:val="12"/>
  </w:num>
  <w:num w:numId="11" w16cid:durableId="289172385">
    <w:abstractNumId w:val="10"/>
  </w:num>
  <w:num w:numId="12" w16cid:durableId="1470781324">
    <w:abstractNumId w:val="1"/>
  </w:num>
  <w:num w:numId="13" w16cid:durableId="1512908409">
    <w:abstractNumId w:val="5"/>
  </w:num>
  <w:num w:numId="14" w16cid:durableId="895897244">
    <w:abstractNumId w:val="15"/>
  </w:num>
  <w:num w:numId="15" w16cid:durableId="390349800">
    <w:abstractNumId w:val="11"/>
  </w:num>
  <w:num w:numId="16" w16cid:durableId="341274352">
    <w:abstractNumId w:val="0"/>
  </w:num>
  <w:num w:numId="17" w16cid:durableId="1895117043">
    <w:abstractNumId w:val="4"/>
  </w:num>
  <w:num w:numId="18" w16cid:durableId="9525960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B50"/>
    <w:rsid w:val="00016F78"/>
    <w:rsid w:val="00017CE8"/>
    <w:rsid w:val="00046945"/>
    <w:rsid w:val="00060FD6"/>
    <w:rsid w:val="00061B2A"/>
    <w:rsid w:val="00082362"/>
    <w:rsid w:val="000A683E"/>
    <w:rsid w:val="000B19B9"/>
    <w:rsid w:val="000D0334"/>
    <w:rsid w:val="000F6486"/>
    <w:rsid w:val="000F6D08"/>
    <w:rsid w:val="00125105"/>
    <w:rsid w:val="00127233"/>
    <w:rsid w:val="001511A0"/>
    <w:rsid w:val="00155DC3"/>
    <w:rsid w:val="001C1AC7"/>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25388"/>
    <w:rsid w:val="003448F4"/>
    <w:rsid w:val="003519DF"/>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B3816"/>
    <w:rsid w:val="005B64DF"/>
    <w:rsid w:val="005C3777"/>
    <w:rsid w:val="005C5CDC"/>
    <w:rsid w:val="005D476C"/>
    <w:rsid w:val="006219F8"/>
    <w:rsid w:val="00665D70"/>
    <w:rsid w:val="006900D9"/>
    <w:rsid w:val="007036D5"/>
    <w:rsid w:val="00706C16"/>
    <w:rsid w:val="00756841"/>
    <w:rsid w:val="007649AB"/>
    <w:rsid w:val="00771D0C"/>
    <w:rsid w:val="007833AC"/>
    <w:rsid w:val="007B268C"/>
    <w:rsid w:val="007B7171"/>
    <w:rsid w:val="007C0C0F"/>
    <w:rsid w:val="007C3DC2"/>
    <w:rsid w:val="007E5497"/>
    <w:rsid w:val="00806F5F"/>
    <w:rsid w:val="00820278"/>
    <w:rsid w:val="008471BB"/>
    <w:rsid w:val="00867F95"/>
    <w:rsid w:val="008843B6"/>
    <w:rsid w:val="00891928"/>
    <w:rsid w:val="008A446D"/>
    <w:rsid w:val="008D180B"/>
    <w:rsid w:val="008F0EA7"/>
    <w:rsid w:val="00903934"/>
    <w:rsid w:val="00923EEF"/>
    <w:rsid w:val="00923FCA"/>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A48BC"/>
    <w:rsid w:val="00AB0ADB"/>
    <w:rsid w:val="00B01B1A"/>
    <w:rsid w:val="00B66319"/>
    <w:rsid w:val="00B72CD3"/>
    <w:rsid w:val="00B72FFF"/>
    <w:rsid w:val="00BC3D36"/>
    <w:rsid w:val="00BD7F72"/>
    <w:rsid w:val="00C04FB3"/>
    <w:rsid w:val="00C330EB"/>
    <w:rsid w:val="00C35401"/>
    <w:rsid w:val="00C41061"/>
    <w:rsid w:val="00C754BE"/>
    <w:rsid w:val="00C76B1C"/>
    <w:rsid w:val="00CA1320"/>
    <w:rsid w:val="00CB6357"/>
    <w:rsid w:val="00CC1B26"/>
    <w:rsid w:val="00D22A93"/>
    <w:rsid w:val="00D423A2"/>
    <w:rsid w:val="00D520D8"/>
    <w:rsid w:val="00D63AC2"/>
    <w:rsid w:val="00D7383B"/>
    <w:rsid w:val="00DA231B"/>
    <w:rsid w:val="00DC39FC"/>
    <w:rsid w:val="00DF5254"/>
    <w:rsid w:val="00E16408"/>
    <w:rsid w:val="00E20894"/>
    <w:rsid w:val="00E245AB"/>
    <w:rsid w:val="00E2764C"/>
    <w:rsid w:val="00E27F2E"/>
    <w:rsid w:val="00E50AFE"/>
    <w:rsid w:val="00E6785E"/>
    <w:rsid w:val="00E75C92"/>
    <w:rsid w:val="00E771DC"/>
    <w:rsid w:val="00E8772A"/>
    <w:rsid w:val="00E90F6B"/>
    <w:rsid w:val="00E92C27"/>
    <w:rsid w:val="00EA0E3D"/>
    <w:rsid w:val="00EC38A7"/>
    <w:rsid w:val="00ED7384"/>
    <w:rsid w:val="00EE1AA8"/>
    <w:rsid w:val="00F001BD"/>
    <w:rsid w:val="00F31EDC"/>
    <w:rsid w:val="00F4473D"/>
    <w:rsid w:val="00F462B3"/>
    <w:rsid w:val="00F5664F"/>
    <w:rsid w:val="00F666C4"/>
    <w:rsid w:val="00F76AFC"/>
    <w:rsid w:val="00FA47C0"/>
    <w:rsid w:val="00FB5DD1"/>
    <w:rsid w:val="00FC2B5D"/>
    <w:rsid w:val="00FE2B91"/>
    <w:rsid w:val="00FF1449"/>
    <w:rsid w:val="165E9519"/>
    <w:rsid w:val="1952E7C8"/>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6785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6785E"/>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esperanza.contreras%40colombiacompra.gov.co%7Ceb0fd05604104aa4d3bc08dd4c4ad35e%7C7b09041e245149d08cb179d5e3d8c1be%7C0%7C0%7C638750606446508016%7CUnknown%7CTWFpbGZsb3d8eyJFbXB0eU1hcGkiOnRydWUsIlYiOiIwLjAuMDAwMCIsIlAiOiJXaW4zMiIsIkFOIjoiTWFpbCIsIldUIjoyfQ%3D%3D%7C0%7C%7C%7C&amp;sdata=w5yEy%2F7g7%2F%2FIXj5TgaBe1Ucg3Eiuadk9fm7CybX%2F5Gw%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normativa-y-relatoria%2Fdocumentos-tipo&amp;data=05%7C02%7Cesperanza.contreras%40colombiacompra.gov.co%7C603e1a9f513d4811571608dd8e333a73%7C7b09041e245149d08cb179d5e3d8c1be%7C0%7C0%7C638823072859412950%7CUnknown%7CTWFpbGZsb3d8eyJFbXB0eU1hcGkiOnRydWUsIlYiOiIwLjAuMDAwMCIsIlAiOiJXaW4zMiIsIkFOIjoiTWFpbCIsIldUIjoyfQ%3D%3D%7C0%7C%7C%7C&amp;sdata=pax5WaTXSmJp207uV%2Bljy57%2BO5OonaHXbA7K0km6ryM%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esoreria@armenia-antioquia.gov.co"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esperanza.contreras%40colombiacompra.gov.co%7Ceb0fd05604104aa4d3bc08dd4c4ad35e%7C7b09041e245149d08cb179d5e3d8c1be%7C0%7C0%7C638750606446533879%7CUnknown%7CTWFpbGZsb3d8eyJFbXB0eU1hcGkiOnRydWUsIlYiOiIwLjAuMDAwMCIsIlAiOiJXaW4zMiIsIkFOIjoiTWFpbCIsIldUIjoyfQ%3D%3D%7C0%7C%7C%7C&amp;sdata=L0pIxKODuvqdJdlvvPzHiozW8YtzgU8R4%2F%2Btbs%2BwOF4%3D&amp;reserved=0"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iudadanos%2Fcalendario&amp;data=05%7C02%7Cesperanza.contreras%40colombiacompra.gov.co%7Ceb0fd05604104aa4d3bc08dd4c4ad35e%7C7b09041e245149d08cb179d5e3d8c1be%7C0%7C0%7C638750606446524224%7CUnknown%7CTWFpbGZsb3d8eyJFbXB0eU1hcGkiOnRydWUsIlYiOiIwLjAuMDAwMCIsIlAiOiJXaW4zMiIsIkFOIjoiTWFpbCIsIldUIjoyfQ%3D%3D%7C0%7C%7C%7C&amp;sdata=6UggDTQVaVjwhMf9bnbUyElTuUjis%2BHKv2KOgauEvx4%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3226C6E-1B7B-45EB-8E56-6E478065C6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4656</Words>
  <Characters>25050</Characters>
  <Application>Microsoft Office Word</Application>
  <DocSecurity>0</DocSecurity>
  <Lines>511</Lines>
  <Paragraphs>125</Paragraphs>
  <ScaleCrop>false</ScaleCrop>
  <Company/>
  <LinksUpToDate>false</LinksUpToDate>
  <CharactersWithSpaces>29581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2025-06-11T00:43:00Z</dcterms:created>
  <dcterms:modified xsi:type="dcterms:W3CDTF">2025-10-08T18:45:00Z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