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214120" w14:textId="77777777" w:rsidR="003001CE" w:rsidRDefault="003001CE" w:rsidP="00E245AB">
      <w:pPr>
        <w:spacing w:after="0"/>
        <w:rPr>
          <w:rFonts w:ascii="Verdana" w:hAnsi="Verdana"/>
        </w:rPr>
      </w:pPr>
      <w:bookmarkStart w:id="0" w:name="_Hlk143780582"/>
    </w:p>
    <w:p w14:paraId="5E92C2CD" w14:textId="77777777" w:rsidR="005A08FA" w:rsidRDefault="005A08FA" w:rsidP="00796052">
      <w:pPr>
        <w:spacing w:after="0" w:line="240" w:lineRule="auto"/>
        <w:rPr>
          <w:rFonts w:ascii="Verdana" w:hAnsi="Verdana"/>
        </w:rPr>
      </w:pPr>
    </w:p>
    <w:p w14:paraId="0D0EBBE1" w14:textId="3B4CA0AA" w:rsidR="005A08FA" w:rsidRPr="005A08FA" w:rsidRDefault="005A08FA" w:rsidP="00091537">
      <w:pPr>
        <w:jc w:val="both"/>
        <w:rPr>
          <w:rFonts w:ascii="Verdana" w:hAnsi="Verdana"/>
        </w:rPr>
      </w:pPr>
      <w:r w:rsidRPr="005A08FA">
        <w:rPr>
          <w:rFonts w:ascii="Verdana" w:hAnsi="Verdana"/>
          <w:b/>
        </w:rPr>
        <w:t xml:space="preserve">CONVOCATORIAS LIMITADAS A MIPYMES NACIONALES – Requisitos </w:t>
      </w:r>
    </w:p>
    <w:p w14:paraId="094A6814" w14:textId="77777777" w:rsidR="005A08FA" w:rsidRPr="005A08FA" w:rsidRDefault="005A08FA" w:rsidP="00091537">
      <w:pPr>
        <w:spacing w:after="0" w:line="240" w:lineRule="auto"/>
        <w:jc w:val="both"/>
        <w:rPr>
          <w:rFonts w:ascii="Verdana" w:hAnsi="Verdana"/>
          <w:b/>
        </w:rPr>
      </w:pPr>
    </w:p>
    <w:p w14:paraId="068789BB" w14:textId="77777777" w:rsidR="005A08FA" w:rsidRPr="005A08FA" w:rsidRDefault="005A08FA" w:rsidP="00091537">
      <w:pPr>
        <w:spacing w:after="0" w:line="240" w:lineRule="auto"/>
        <w:jc w:val="both"/>
        <w:rPr>
          <w:rFonts w:ascii="Verdana" w:hAnsi="Verdana"/>
        </w:rPr>
      </w:pPr>
      <w:r w:rsidRPr="005A08FA">
        <w:rPr>
          <w:rFonts w:ascii="Verdana" w:hAnsi="Verdana"/>
        </w:rPr>
        <w:t>El artículo 2.2.1.2.4.2.2. del Decreto 1082 de 2015 establece los requisitos que se deben acreditar en las “convocatorias limitadas a MiPymes”. El primer elemento delimitador del ámbito de aplicación de esta norma deriva del primer inciso en donde se estable que la “Las Entidades Estatales independientemente de su régimen de contratación, los patrimonios autónomos constituidos por Entidades Estatales y los particulares que ejecuten recursos públicos, deben limitar la convocatoria de los Procesos de Contratación con pluralidad de oferentes a las MiPymes colombianas con mínimo un (1) año de existencia […]”. Esta redacción obedece a un cambio introducido por el Decreto 1860 de 2021, el cual solo permitía la limitación a MiPymes nacionales en los procedimientos de licitación pública, selección abreviada y concurso de méritos.  </w:t>
      </w:r>
    </w:p>
    <w:p w14:paraId="18BB82D5" w14:textId="77777777" w:rsidR="005A08FA" w:rsidRPr="005A08FA" w:rsidRDefault="005A08FA" w:rsidP="00091537">
      <w:pPr>
        <w:spacing w:after="0" w:line="240" w:lineRule="auto"/>
        <w:jc w:val="both"/>
        <w:rPr>
          <w:rFonts w:ascii="Verdana" w:hAnsi="Verdana"/>
          <w:b/>
        </w:rPr>
      </w:pPr>
    </w:p>
    <w:p w14:paraId="6C96EC2F" w14:textId="77777777" w:rsidR="005A08FA" w:rsidRPr="005A08FA" w:rsidRDefault="005A08FA" w:rsidP="00091537">
      <w:pPr>
        <w:spacing w:after="0" w:line="240" w:lineRule="auto"/>
        <w:jc w:val="both"/>
        <w:rPr>
          <w:rFonts w:ascii="Verdana" w:hAnsi="Verdana"/>
        </w:rPr>
      </w:pPr>
      <w:r w:rsidRPr="005A08FA">
        <w:rPr>
          <w:rFonts w:ascii="Verdana" w:hAnsi="Verdana"/>
          <w:b/>
        </w:rPr>
        <w:t xml:space="preserve"> CONVOCATORIAS LIMITADAS A MIPYMES EN EL ÁMBITO TERRITORIAL – Limitación territorial – Facultad discrecional </w:t>
      </w:r>
    </w:p>
    <w:p w14:paraId="74EFB9DD" w14:textId="77777777" w:rsidR="005A08FA" w:rsidRPr="005A08FA" w:rsidRDefault="005A08FA" w:rsidP="00091537">
      <w:pPr>
        <w:spacing w:after="0" w:line="240" w:lineRule="auto"/>
        <w:jc w:val="both"/>
        <w:rPr>
          <w:rFonts w:ascii="Verdana" w:hAnsi="Verdana"/>
        </w:rPr>
      </w:pPr>
    </w:p>
    <w:p w14:paraId="2BBA379E" w14:textId="77777777" w:rsidR="005A08FA" w:rsidRPr="005A08FA" w:rsidRDefault="005A08FA" w:rsidP="00091537">
      <w:pPr>
        <w:spacing w:after="0" w:line="240" w:lineRule="auto"/>
        <w:jc w:val="both"/>
        <w:rPr>
          <w:rFonts w:ascii="Verdana" w:hAnsi="Verdana"/>
        </w:rPr>
      </w:pPr>
      <w:r w:rsidRPr="005A08FA">
        <w:rPr>
          <w:rFonts w:ascii="Verdana" w:hAnsi="Verdana"/>
        </w:rPr>
        <w:t xml:space="preserve">Cumplidos los dos requisitos del artículo 2.2.1.2.4.2.2. </w:t>
      </w:r>
      <w:r w:rsidRPr="005A08FA">
        <w:rPr>
          <w:rFonts w:ascii="Verdana" w:hAnsi="Verdana"/>
          <w:i/>
          <w:iCs/>
        </w:rPr>
        <w:t>ibidem</w:t>
      </w:r>
      <w:r w:rsidRPr="005A08FA">
        <w:rPr>
          <w:rFonts w:ascii="Verdana" w:hAnsi="Verdana"/>
        </w:rPr>
        <w:t>, la entidad puede ─no tiene que─ decidir si limita la convocatoria a las MiPymes nacionales domiciliadas en el municipio o departamento en el que se ejecutará el contrato</w:t>
      </w:r>
      <w:r w:rsidRPr="005A08FA">
        <w:rPr>
          <w:rFonts w:ascii="Verdana" w:hAnsi="Verdana"/>
          <w:vertAlign w:val="superscript"/>
        </w:rPr>
        <w:t>1</w:t>
      </w:r>
      <w:r w:rsidRPr="005A08FA">
        <w:rPr>
          <w:rFonts w:ascii="Verdana" w:hAnsi="Verdana"/>
        </w:rPr>
        <w:t>. Esto de acuerdo con lo establecido en artículo 2.2.1.2.4.2.3. del Decreto 1082 de 2015, norma que se refiere a la facultad de la administración con el verbo infinitivo “poder”, no “deber”. En cualquier caso, Colombia Compra Eficiente ha sostenido que es discrecional la decisión de limitar territorialmente una convocatoria de MiPymes, y ha precisado que, de todos modos, la decisión debe estar justificada en los correspondientes “estudios del sector”. […] los artículos 2.2.1.2.4.2.2 y 2.2.1.2.4.2.3  deben ser interpretados de manera armónica, comoquiera que para proceder a limitar hacer una limitación territoriales es indispensable que se cumplan, no solo el presupuestos establecidos en el artículo 2.2.1.2.4.2.3.–domicilio en el municipio o departamento de ejecución del contrato–, sino también los establecidos en el artículo 2.2.1.2.4.2.2 –valor del proceso de contratación en el rango indicado y solicitudes de al menos dos MiPymes presentadas oportunamente–. En ese sentido, para que proceda la limitación territorial es necesario que se presenten al menos dos solicitudes de MiPymes domiciliadas en el departamento o municipio en donde se va a ejecutar el contrato.  Este entendimiento de la norma, sin embargo, da lugar a dos interpretaciones sobre las que se deben hacer unas precisiones. </w:t>
      </w:r>
    </w:p>
    <w:p w14:paraId="21F46445" w14:textId="77777777" w:rsidR="005A08FA" w:rsidRPr="005A08FA" w:rsidRDefault="005A08FA" w:rsidP="005A08FA">
      <w:pPr>
        <w:spacing w:after="0" w:line="240" w:lineRule="auto"/>
        <w:rPr>
          <w:rFonts w:ascii="Verdana" w:hAnsi="Verdana"/>
        </w:rPr>
      </w:pPr>
    </w:p>
    <w:p w14:paraId="37B76390" w14:textId="77777777" w:rsidR="005A08FA" w:rsidRPr="005A08FA" w:rsidRDefault="005A08FA" w:rsidP="005A08FA">
      <w:pPr>
        <w:spacing w:after="0" w:line="240" w:lineRule="auto"/>
        <w:rPr>
          <w:rFonts w:ascii="Verdana" w:hAnsi="Verdana"/>
        </w:rPr>
      </w:pPr>
    </w:p>
    <w:p w14:paraId="12BD1DB0" w14:textId="34A75193" w:rsidR="005A08FA" w:rsidRPr="005A08FA" w:rsidRDefault="005A08FA" w:rsidP="005A08FA">
      <w:pPr>
        <w:spacing w:after="0" w:line="240" w:lineRule="auto"/>
        <w:rPr>
          <w:rFonts w:ascii="Verdana" w:hAnsi="Verdana"/>
        </w:rPr>
      </w:pPr>
      <w:r w:rsidRPr="005A08FA">
        <w:rPr>
          <w:rFonts w:ascii="Verdana" w:hAnsi="Verdana"/>
          <w:b/>
          <w:bCs/>
        </w:rPr>
        <w:t>CONVOCATORIAS LIMITADAS A MIPYMES EN EL ÁMBITO TERRITORIAL – Presupuestos mínimos</w:t>
      </w:r>
    </w:p>
    <w:p w14:paraId="7C28A9E6" w14:textId="77777777" w:rsidR="005A08FA" w:rsidRPr="005A08FA" w:rsidRDefault="005A08FA" w:rsidP="005A08FA">
      <w:pPr>
        <w:spacing w:after="0" w:line="240" w:lineRule="auto"/>
        <w:jc w:val="both"/>
        <w:rPr>
          <w:rFonts w:ascii="Verdana" w:hAnsi="Verdana"/>
        </w:rPr>
      </w:pPr>
      <w:r w:rsidRPr="005A08FA">
        <w:rPr>
          <w:rFonts w:ascii="Verdana" w:hAnsi="Verdana"/>
        </w:rPr>
        <w:lastRenderedPageBreak/>
        <w:t>[…] situaciones en las que se presentan un ejercicio de la potestad de limitar a MiPymes desconociendo los anteriores presupuestos mínimos, bien podrían ser cuestionadas por los proponentes, veedores y ciudadanía en general ya sea a través de observaciones, en el ejercicio del derecho fundamental de petición ante la respectiva entidad estatal o la presentación de denuncias antes las autoridades competentes en el caso de que se evidencien prácticas restrictivas a la competencia, o con relevancia penal o disciplinaria. Así mismo, en atención al interés general que revisten los procesos de contratación, cualquier ciudadano podría también solicitar el control judicial del respectivo pliego de condiciones –o invitación en los procesos de mínima cuantía–, cuando encuentre que estos contravienen el marco legal que les aplica.</w:t>
      </w:r>
    </w:p>
    <w:p w14:paraId="4404A0E3" w14:textId="77777777" w:rsidR="005A08FA" w:rsidRDefault="005A08FA" w:rsidP="00796052">
      <w:pPr>
        <w:spacing w:after="0" w:line="240" w:lineRule="auto"/>
        <w:rPr>
          <w:rFonts w:ascii="Verdana" w:hAnsi="Verdana"/>
        </w:rPr>
      </w:pPr>
    </w:p>
    <w:p w14:paraId="2136AF1F" w14:textId="77777777" w:rsidR="005A08FA" w:rsidRDefault="005A08FA">
      <w:pPr>
        <w:rPr>
          <w:rFonts w:ascii="Verdana" w:hAnsi="Verdana"/>
        </w:rPr>
      </w:pPr>
      <w:r>
        <w:rPr>
          <w:rFonts w:ascii="Verdana" w:hAnsi="Verdana"/>
        </w:rPr>
        <w:br w:type="page"/>
      </w:r>
    </w:p>
    <w:p w14:paraId="3FE2184B" w14:textId="78DAD2C1" w:rsidR="00E245AB" w:rsidRPr="0044528D" w:rsidRDefault="00E245AB" w:rsidP="00796052">
      <w:pPr>
        <w:spacing w:after="0" w:line="240" w:lineRule="auto"/>
        <w:rPr>
          <w:rFonts w:ascii="Verdana" w:hAnsi="Verdana"/>
        </w:rPr>
      </w:pPr>
      <w:r w:rsidRPr="0044528D">
        <w:rPr>
          <w:rFonts w:ascii="Verdana" w:hAnsi="Verdana"/>
        </w:rPr>
        <w:lastRenderedPageBreak/>
        <w:t xml:space="preserve">Bogotá D.C., </w:t>
      </w:r>
      <w:r w:rsidR="00AA1206">
        <w:rPr>
          <w:rFonts w:ascii="Verdana" w:hAnsi="Verdana"/>
        </w:rPr>
        <w:t>16 de junio de 2025</w:t>
      </w:r>
      <w:r w:rsidR="00891928" w:rsidRPr="0044528D">
        <w:rPr>
          <w:rFonts w:ascii="Verdana" w:hAnsi="Verdana"/>
        </w:rPr>
        <w:tab/>
      </w:r>
    </w:p>
    <w:p w14:paraId="5FCADBF9" w14:textId="77777777" w:rsidR="00E245AB" w:rsidRPr="0044528D" w:rsidRDefault="00E245AB" w:rsidP="00796052">
      <w:pPr>
        <w:spacing w:after="0" w:line="240" w:lineRule="auto"/>
        <w:rPr>
          <w:rFonts w:ascii="Verdana" w:hAnsi="Verdana"/>
        </w:rPr>
      </w:pPr>
    </w:p>
    <w:p w14:paraId="22F4B5ED" w14:textId="0675BE6E" w:rsidR="006E2F3D" w:rsidRDefault="00AA1206" w:rsidP="00796052">
      <w:pPr>
        <w:spacing w:after="0" w:line="240" w:lineRule="auto"/>
        <w:rPr>
          <w:rFonts w:ascii="Verdana" w:hAnsi="Verdana"/>
        </w:rPr>
      </w:pPr>
      <w:r w:rsidRPr="00AA1206">
        <w:rPr>
          <w:rFonts w:ascii="Verdana" w:hAnsi="Verdana"/>
          <w:noProof/>
        </w:rPr>
        <w:drawing>
          <wp:anchor distT="0" distB="0" distL="114300" distR="114300" simplePos="0" relativeHeight="251660800" behindDoc="1" locked="0" layoutInCell="1" allowOverlap="1" wp14:anchorId="32D5F128" wp14:editId="676F1B63">
            <wp:simplePos x="0" y="0"/>
            <wp:positionH relativeFrom="margin">
              <wp:align>right</wp:align>
            </wp:positionH>
            <wp:positionV relativeFrom="paragraph">
              <wp:posOffset>8598</wp:posOffset>
            </wp:positionV>
            <wp:extent cx="2728595" cy="906145"/>
            <wp:effectExtent l="0" t="0" r="0" b="8255"/>
            <wp:wrapTight wrapText="bothSides">
              <wp:wrapPolygon edited="0">
                <wp:start x="0" y="0"/>
                <wp:lineTo x="0" y="21343"/>
                <wp:lineTo x="21414" y="21343"/>
                <wp:lineTo x="21414" y="0"/>
                <wp:lineTo x="0" y="0"/>
              </wp:wrapPolygon>
            </wp:wrapTight>
            <wp:docPr id="872167834"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728595" cy="9061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E2F3D">
        <w:rPr>
          <w:rFonts w:ascii="Verdana" w:hAnsi="Verdana"/>
        </w:rPr>
        <w:t>Señora</w:t>
      </w:r>
      <w:r>
        <w:rPr>
          <w:rFonts w:ascii="Verdana" w:hAnsi="Verdana"/>
        </w:rPr>
        <w:t xml:space="preserve">                                               </w:t>
      </w:r>
    </w:p>
    <w:p w14:paraId="710FC9F4" w14:textId="1298845A" w:rsidR="006E2F3D" w:rsidRPr="009451DA" w:rsidRDefault="006E2F3D" w:rsidP="00796052">
      <w:pPr>
        <w:spacing w:after="0" w:line="240" w:lineRule="auto"/>
        <w:rPr>
          <w:rFonts w:ascii="Verdana" w:hAnsi="Verdana"/>
          <w:b/>
          <w:bCs/>
        </w:rPr>
      </w:pPr>
      <w:r w:rsidRPr="009451DA">
        <w:rPr>
          <w:rFonts w:ascii="Verdana" w:hAnsi="Verdana"/>
          <w:b/>
          <w:bCs/>
        </w:rPr>
        <w:t xml:space="preserve">Angela Patricia </w:t>
      </w:r>
      <w:r w:rsidR="004D232D" w:rsidRPr="009451DA">
        <w:rPr>
          <w:rFonts w:ascii="Verdana" w:hAnsi="Verdana"/>
          <w:b/>
          <w:bCs/>
        </w:rPr>
        <w:t>García Cortés</w:t>
      </w:r>
    </w:p>
    <w:p w14:paraId="09825447" w14:textId="1C77295D" w:rsidR="004D232D" w:rsidRDefault="004D232D" w:rsidP="00796052">
      <w:pPr>
        <w:spacing w:after="0" w:line="240" w:lineRule="auto"/>
        <w:rPr>
          <w:rFonts w:ascii="Verdana" w:hAnsi="Verdana"/>
        </w:rPr>
      </w:pPr>
      <w:hyperlink r:id="rId11" w:history="1">
        <w:r w:rsidRPr="002006AB">
          <w:rPr>
            <w:rStyle w:val="Hipervnculo"/>
            <w:rFonts w:ascii="Verdana" w:hAnsi="Verdana"/>
          </w:rPr>
          <w:t>angelagarciajuridica@gmail.com</w:t>
        </w:r>
      </w:hyperlink>
      <w:r>
        <w:rPr>
          <w:rFonts w:ascii="Verdana" w:hAnsi="Verdana"/>
        </w:rPr>
        <w:t xml:space="preserve"> </w:t>
      </w:r>
    </w:p>
    <w:p w14:paraId="55A49022" w14:textId="2F48FB8E" w:rsidR="009451DA" w:rsidRDefault="009451DA" w:rsidP="00796052">
      <w:pPr>
        <w:spacing w:after="0" w:line="240" w:lineRule="auto"/>
        <w:rPr>
          <w:rFonts w:ascii="Verdana" w:hAnsi="Verdana"/>
        </w:rPr>
      </w:pPr>
      <w:r>
        <w:rPr>
          <w:rFonts w:ascii="Verdana" w:hAnsi="Verdana"/>
        </w:rPr>
        <w:t xml:space="preserve">Tibasosa, </w:t>
      </w:r>
      <w:r w:rsidR="0091454D">
        <w:rPr>
          <w:rFonts w:ascii="Verdana" w:hAnsi="Verdana"/>
        </w:rPr>
        <w:t>Boyacá</w:t>
      </w:r>
    </w:p>
    <w:p w14:paraId="4C16CD83" w14:textId="77777777" w:rsidR="0091454D" w:rsidRDefault="0091454D" w:rsidP="00796052">
      <w:pPr>
        <w:spacing w:after="0" w:line="240" w:lineRule="auto"/>
        <w:rPr>
          <w:rFonts w:ascii="Verdana" w:hAnsi="Verdana"/>
        </w:rPr>
      </w:pPr>
    </w:p>
    <w:p w14:paraId="53DE390F" w14:textId="77777777" w:rsidR="00635208" w:rsidRPr="00635208" w:rsidRDefault="00635208" w:rsidP="00796052">
      <w:pPr>
        <w:spacing w:after="0" w:line="240" w:lineRule="auto"/>
        <w:rPr>
          <w:rFonts w:ascii="Verdana" w:hAnsi="Verdana"/>
        </w:rPr>
      </w:pPr>
    </w:p>
    <w:p w14:paraId="0F3FD5C9" w14:textId="77777777" w:rsidR="00635208" w:rsidRPr="00635208" w:rsidRDefault="00635208" w:rsidP="00796052">
      <w:pPr>
        <w:spacing w:after="0" w:line="240" w:lineRule="auto"/>
        <w:rPr>
          <w:rFonts w:ascii="Verdana" w:hAnsi="Verdana"/>
          <w:b/>
          <w:bCs/>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635208" w:rsidRPr="00635208" w14:paraId="44636752" w14:textId="77777777" w:rsidTr="00796052">
        <w:trPr>
          <w:trHeight w:val="103"/>
        </w:trPr>
        <w:tc>
          <w:tcPr>
            <w:tcW w:w="2689" w:type="dxa"/>
          </w:tcPr>
          <w:p w14:paraId="1EF931A0" w14:textId="77777777" w:rsidR="00635208" w:rsidRPr="00635208" w:rsidRDefault="00635208" w:rsidP="00796052">
            <w:pPr>
              <w:rPr>
                <w:rFonts w:ascii="Verdana" w:hAnsi="Verdana"/>
                <w:b/>
                <w:bCs/>
              </w:rPr>
            </w:pPr>
          </w:p>
        </w:tc>
        <w:tc>
          <w:tcPr>
            <w:tcW w:w="6100" w:type="dxa"/>
          </w:tcPr>
          <w:p w14:paraId="69772322" w14:textId="33F6FA0E" w:rsidR="00635208" w:rsidRPr="007333E4" w:rsidRDefault="00635208" w:rsidP="00796052">
            <w:pPr>
              <w:rPr>
                <w:rFonts w:ascii="Verdana" w:hAnsi="Verdana"/>
                <w:b/>
                <w:bCs/>
              </w:rPr>
            </w:pPr>
            <w:r w:rsidRPr="00635208">
              <w:rPr>
                <w:rFonts w:ascii="Verdana" w:hAnsi="Verdana"/>
                <w:b/>
                <w:bCs/>
              </w:rPr>
              <w:t xml:space="preserve">Concepto C – </w:t>
            </w:r>
            <w:r w:rsidR="00271369">
              <w:rPr>
                <w:rFonts w:ascii="Verdana" w:hAnsi="Verdana"/>
                <w:b/>
                <w:bCs/>
              </w:rPr>
              <w:t xml:space="preserve">542 </w:t>
            </w:r>
            <w:r w:rsidRPr="00635208">
              <w:rPr>
                <w:rFonts w:ascii="Verdana" w:hAnsi="Verdana"/>
                <w:b/>
                <w:bCs/>
              </w:rPr>
              <w:t>de 2025</w:t>
            </w:r>
            <w:r w:rsidR="00681242">
              <w:rPr>
                <w:rFonts w:ascii="Verdana" w:hAnsi="Verdana"/>
                <w:b/>
                <w:bCs/>
              </w:rPr>
              <w:t xml:space="preserve"> </w:t>
            </w:r>
          </w:p>
          <w:p w14:paraId="58F1840A" w14:textId="12CA0AD4" w:rsidR="00635208" w:rsidRPr="00635208" w:rsidRDefault="00635208" w:rsidP="00796052">
            <w:pPr>
              <w:rPr>
                <w:rFonts w:ascii="Verdana" w:hAnsi="Verdana"/>
                <w:b/>
                <w:bCs/>
              </w:rPr>
            </w:pPr>
          </w:p>
        </w:tc>
      </w:tr>
      <w:tr w:rsidR="00635208" w:rsidRPr="00635208" w14:paraId="39375CEB" w14:textId="77777777" w:rsidTr="00AE432B">
        <w:trPr>
          <w:trHeight w:val="1853"/>
        </w:trPr>
        <w:tc>
          <w:tcPr>
            <w:tcW w:w="2689" w:type="dxa"/>
          </w:tcPr>
          <w:p w14:paraId="347FA003" w14:textId="77777777" w:rsidR="00635208" w:rsidRPr="00635208" w:rsidRDefault="00635208" w:rsidP="00796052">
            <w:pPr>
              <w:rPr>
                <w:rFonts w:ascii="Verdana" w:hAnsi="Verdana"/>
              </w:rPr>
            </w:pPr>
            <w:r w:rsidRPr="00635208">
              <w:rPr>
                <w:rFonts w:ascii="Verdana" w:hAnsi="Verdana"/>
                <w:b/>
              </w:rPr>
              <w:t>Temas:</w:t>
            </w:r>
            <w:r w:rsidRPr="00635208">
              <w:rPr>
                <w:rFonts w:ascii="Verdana" w:hAnsi="Verdana"/>
              </w:rPr>
              <w:t xml:space="preserve">                   </w:t>
            </w:r>
          </w:p>
        </w:tc>
        <w:tc>
          <w:tcPr>
            <w:tcW w:w="6100" w:type="dxa"/>
          </w:tcPr>
          <w:p w14:paraId="5E789CBE" w14:textId="43B6AF91" w:rsidR="00635208" w:rsidRDefault="00635208" w:rsidP="00796052">
            <w:pPr>
              <w:jc w:val="both"/>
              <w:rPr>
                <w:rFonts w:ascii="Verdana" w:hAnsi="Verdana"/>
              </w:rPr>
            </w:pPr>
            <w:r w:rsidRPr="00635208">
              <w:rPr>
                <w:rFonts w:ascii="Verdana" w:hAnsi="Verdana"/>
              </w:rPr>
              <w:t xml:space="preserve">CONVOCATORIAS LIMITADAS A MIPYMES NACIONALES – Requisitos / CONVOCATORIAS LIMITADAS A MIPYMES EN EL ÁMBITO TERRITORIAL – Limitación territorial – Facultad discrecional </w:t>
            </w:r>
            <w:r w:rsidR="00681242">
              <w:rPr>
                <w:rFonts w:ascii="Verdana" w:hAnsi="Verdana"/>
              </w:rPr>
              <w:t xml:space="preserve">/ </w:t>
            </w:r>
            <w:r w:rsidRPr="00635208">
              <w:rPr>
                <w:rFonts w:ascii="Verdana" w:hAnsi="Verdana"/>
              </w:rPr>
              <w:t>CONVOCATORIAS LIMITADAS A MIPYMES EN EL ÁMBITO TERRITORIAL – Presupuestos mínimos</w:t>
            </w:r>
            <w:r w:rsidR="00681242">
              <w:rPr>
                <w:rFonts w:ascii="Verdana" w:hAnsi="Verdana"/>
              </w:rPr>
              <w:t>.</w:t>
            </w:r>
          </w:p>
          <w:p w14:paraId="1F2A6A29" w14:textId="77777777" w:rsidR="00635208" w:rsidRPr="00635208" w:rsidRDefault="00635208" w:rsidP="00796052">
            <w:pPr>
              <w:jc w:val="both"/>
              <w:rPr>
                <w:rFonts w:ascii="Verdana" w:hAnsi="Verdana"/>
              </w:rPr>
            </w:pPr>
          </w:p>
        </w:tc>
      </w:tr>
      <w:tr w:rsidR="00635208" w:rsidRPr="00635208" w14:paraId="134BDE5A" w14:textId="77777777" w:rsidTr="00AE432B">
        <w:tc>
          <w:tcPr>
            <w:tcW w:w="2689" w:type="dxa"/>
          </w:tcPr>
          <w:p w14:paraId="1BF47BCA" w14:textId="77777777" w:rsidR="00635208" w:rsidRPr="00635208" w:rsidRDefault="00635208" w:rsidP="00796052">
            <w:pPr>
              <w:rPr>
                <w:rFonts w:ascii="Verdana" w:hAnsi="Verdana"/>
                <w:b/>
              </w:rPr>
            </w:pPr>
            <w:r w:rsidRPr="00635208">
              <w:rPr>
                <w:rFonts w:ascii="Verdana" w:hAnsi="Verdana"/>
                <w:b/>
              </w:rPr>
              <w:t>Radicación:</w:t>
            </w:r>
            <w:r w:rsidRPr="00635208">
              <w:rPr>
                <w:rFonts w:ascii="Verdana" w:hAnsi="Verdana"/>
              </w:rPr>
              <w:t xml:space="preserve">               </w:t>
            </w:r>
          </w:p>
        </w:tc>
        <w:tc>
          <w:tcPr>
            <w:tcW w:w="6100" w:type="dxa"/>
          </w:tcPr>
          <w:p w14:paraId="0D3DB4C0" w14:textId="5C6C0AFC" w:rsidR="00635208" w:rsidRPr="00635208" w:rsidRDefault="00635208" w:rsidP="00796052">
            <w:pPr>
              <w:jc w:val="both"/>
              <w:rPr>
                <w:rFonts w:ascii="Verdana" w:hAnsi="Verdana"/>
              </w:rPr>
            </w:pPr>
            <w:r w:rsidRPr="00635208">
              <w:rPr>
                <w:rFonts w:ascii="Verdana" w:hAnsi="Verdana"/>
              </w:rPr>
              <w:t xml:space="preserve">Respuesta a la consulta con radicado No. </w:t>
            </w:r>
            <w:r w:rsidR="00E20BC5" w:rsidRPr="00E20BC5">
              <w:rPr>
                <w:rFonts w:ascii="Verdana" w:hAnsi="Verdana"/>
              </w:rPr>
              <w:t>P20250505004209</w:t>
            </w:r>
          </w:p>
        </w:tc>
      </w:tr>
    </w:tbl>
    <w:p w14:paraId="609DE9CD" w14:textId="77777777" w:rsidR="00635208" w:rsidRPr="00635208" w:rsidRDefault="00635208" w:rsidP="00635208">
      <w:pPr>
        <w:spacing w:after="0"/>
        <w:rPr>
          <w:rFonts w:ascii="Verdana" w:hAnsi="Verdana"/>
        </w:rPr>
      </w:pPr>
    </w:p>
    <w:p w14:paraId="251F45C6" w14:textId="77777777" w:rsidR="00635208" w:rsidRPr="00635208" w:rsidRDefault="00635208" w:rsidP="00635208">
      <w:pPr>
        <w:spacing w:after="0"/>
        <w:rPr>
          <w:rFonts w:ascii="Verdana" w:hAnsi="Verdana"/>
        </w:rPr>
      </w:pPr>
    </w:p>
    <w:p w14:paraId="3BC490C6" w14:textId="544E49C3" w:rsidR="00635208" w:rsidRPr="00635208" w:rsidRDefault="00635208" w:rsidP="00796052">
      <w:pPr>
        <w:spacing w:after="0" w:line="276" w:lineRule="auto"/>
        <w:rPr>
          <w:rFonts w:ascii="Verdana" w:hAnsi="Verdana"/>
        </w:rPr>
      </w:pPr>
      <w:r w:rsidRPr="00635208">
        <w:rPr>
          <w:rFonts w:ascii="Verdana" w:hAnsi="Verdana"/>
        </w:rPr>
        <w:t>Estimad</w:t>
      </w:r>
      <w:r w:rsidR="00FD732A">
        <w:rPr>
          <w:rFonts w:ascii="Verdana" w:hAnsi="Verdana"/>
        </w:rPr>
        <w:t>a</w:t>
      </w:r>
      <w:r w:rsidRPr="00635208">
        <w:rPr>
          <w:rFonts w:ascii="Verdana" w:hAnsi="Verdana"/>
        </w:rPr>
        <w:t xml:space="preserve"> señor</w:t>
      </w:r>
      <w:r w:rsidR="00FD732A">
        <w:rPr>
          <w:rFonts w:ascii="Verdana" w:hAnsi="Verdana"/>
        </w:rPr>
        <w:t>a García, cordial saludo,</w:t>
      </w:r>
    </w:p>
    <w:p w14:paraId="7EF2DF95" w14:textId="77777777" w:rsidR="00635208" w:rsidRPr="00635208" w:rsidRDefault="00635208" w:rsidP="00796052">
      <w:pPr>
        <w:spacing w:after="0" w:line="276" w:lineRule="auto"/>
        <w:rPr>
          <w:rFonts w:ascii="Verdana" w:hAnsi="Verdana"/>
        </w:rPr>
      </w:pPr>
      <w:r w:rsidRPr="00635208">
        <w:rPr>
          <w:rFonts w:ascii="Verdana" w:hAnsi="Verdana"/>
        </w:rPr>
        <w:tab/>
      </w:r>
    </w:p>
    <w:p w14:paraId="4678474C" w14:textId="5198065F" w:rsidR="00635208" w:rsidRPr="00635208" w:rsidRDefault="00635208" w:rsidP="00796052">
      <w:pPr>
        <w:spacing w:after="0" w:line="276" w:lineRule="auto"/>
        <w:jc w:val="both"/>
        <w:rPr>
          <w:rFonts w:ascii="Verdana" w:hAnsi="Verdana"/>
          <w:i/>
          <w:iCs/>
        </w:rPr>
      </w:pPr>
      <w:r w:rsidRPr="00635208">
        <w:rPr>
          <w:rFonts w:ascii="Verdana" w:hAnsi="Verdana"/>
        </w:rPr>
        <w:t xml:space="preserve">En ejercicio de la competencia otorgada por los artículos 3, numeral 5º, y 11, numeral 8º, del Decreto Ley 4170 de 2011, así como lo establecido en el artículo 4 de la Resolución 1707 de 2018 expedida por esta Entidad, la Agencia Nacional de Contratación Pública – Colombia Compra Eficiente responde su solicitud del </w:t>
      </w:r>
      <w:r w:rsidR="00FD732A">
        <w:rPr>
          <w:rFonts w:ascii="Verdana" w:hAnsi="Verdana"/>
        </w:rPr>
        <w:t>05 de mayo</w:t>
      </w:r>
      <w:r w:rsidRPr="00635208">
        <w:rPr>
          <w:rFonts w:ascii="Verdana" w:hAnsi="Verdana"/>
        </w:rPr>
        <w:t xml:space="preserve"> de 2025, en la cual consulta sobre lo siguiente:</w:t>
      </w:r>
      <w:r w:rsidRPr="00635208">
        <w:rPr>
          <w:rFonts w:ascii="Verdana" w:hAnsi="Verdana"/>
          <w:i/>
          <w:iCs/>
        </w:rPr>
        <w:t xml:space="preserve"> </w:t>
      </w:r>
      <w:bookmarkStart w:id="1" w:name="_Hlk95313578"/>
    </w:p>
    <w:p w14:paraId="0F54054E" w14:textId="77777777" w:rsidR="00635208" w:rsidRPr="00635208" w:rsidRDefault="00635208" w:rsidP="00796052">
      <w:pPr>
        <w:spacing w:after="0" w:line="276" w:lineRule="auto"/>
        <w:rPr>
          <w:rFonts w:ascii="Verdana" w:hAnsi="Verdana"/>
          <w:i/>
          <w:iCs/>
        </w:rPr>
      </w:pPr>
    </w:p>
    <w:bookmarkEnd w:id="1"/>
    <w:p w14:paraId="77CAA0D8" w14:textId="103BF716" w:rsidR="00D62A50" w:rsidRPr="00796052" w:rsidRDefault="00635208" w:rsidP="00796052">
      <w:pPr>
        <w:spacing w:after="0" w:line="240" w:lineRule="auto"/>
        <w:ind w:left="709" w:right="709"/>
        <w:jc w:val="both"/>
        <w:rPr>
          <w:rFonts w:ascii="Verdana" w:hAnsi="Verdana"/>
          <w:sz w:val="20"/>
          <w:szCs w:val="20"/>
        </w:rPr>
      </w:pPr>
      <w:r w:rsidRPr="00796052">
        <w:rPr>
          <w:rFonts w:ascii="Verdana" w:hAnsi="Verdana"/>
          <w:sz w:val="20"/>
          <w:szCs w:val="20"/>
        </w:rPr>
        <w:t>“</w:t>
      </w:r>
      <w:r w:rsidR="005F6771" w:rsidRPr="00796052">
        <w:rPr>
          <w:rFonts w:ascii="Verdana" w:hAnsi="Verdana"/>
          <w:sz w:val="20"/>
          <w:szCs w:val="20"/>
        </w:rPr>
        <w:t>Solicito aclaración respecto del alcance del numeral 3 del Artículo 2.2.1.</w:t>
      </w:r>
      <w:r w:rsidR="005C35A4" w:rsidRPr="00796052">
        <w:rPr>
          <w:rFonts w:ascii="Verdana" w:hAnsi="Verdana"/>
          <w:sz w:val="20"/>
          <w:szCs w:val="20"/>
        </w:rPr>
        <w:t xml:space="preserve">2.4.2.2 del Decreto 1082 de 2015, específicamente a la facultad de solicitud de </w:t>
      </w:r>
      <w:r w:rsidR="00C11044" w:rsidRPr="00796052">
        <w:rPr>
          <w:rFonts w:ascii="Verdana" w:hAnsi="Verdana"/>
          <w:sz w:val="20"/>
          <w:szCs w:val="20"/>
        </w:rPr>
        <w:t>limitación</w:t>
      </w:r>
      <w:r w:rsidR="005C35A4" w:rsidRPr="00796052">
        <w:rPr>
          <w:rFonts w:ascii="Verdana" w:hAnsi="Verdana"/>
          <w:sz w:val="20"/>
          <w:szCs w:val="20"/>
        </w:rPr>
        <w:t xml:space="preserve"> a Mipymes </w:t>
      </w:r>
      <w:r w:rsidR="003366E9" w:rsidRPr="00796052">
        <w:rPr>
          <w:rFonts w:ascii="Verdana" w:hAnsi="Verdana"/>
          <w:sz w:val="20"/>
          <w:szCs w:val="20"/>
        </w:rPr>
        <w:t>territoriales por parte de personas jurídicas constituidas como Sociedades por Acciones Simplificadas</w:t>
      </w:r>
      <w:r w:rsidR="00E25682" w:rsidRPr="00796052">
        <w:rPr>
          <w:rFonts w:ascii="Verdana" w:hAnsi="Verdana"/>
          <w:sz w:val="20"/>
          <w:szCs w:val="20"/>
        </w:rPr>
        <w:t xml:space="preserve"> </w:t>
      </w:r>
      <w:r w:rsidR="00771F8A" w:rsidRPr="00796052">
        <w:rPr>
          <w:rFonts w:ascii="Verdana" w:hAnsi="Verdana"/>
          <w:sz w:val="20"/>
          <w:szCs w:val="20"/>
        </w:rPr>
        <w:t>(SAS). El citado numeral establece que “</w:t>
      </w:r>
      <w:r w:rsidR="00DD5464" w:rsidRPr="00796052">
        <w:rPr>
          <w:rFonts w:ascii="Verdana" w:hAnsi="Verdana"/>
          <w:sz w:val="20"/>
          <w:szCs w:val="20"/>
        </w:rPr>
        <w:t>Tratándose</w:t>
      </w:r>
      <w:r w:rsidR="00771F8A" w:rsidRPr="00796052">
        <w:rPr>
          <w:rFonts w:ascii="Verdana" w:hAnsi="Verdana"/>
          <w:sz w:val="20"/>
          <w:szCs w:val="20"/>
        </w:rPr>
        <w:t xml:space="preserve"> de personas </w:t>
      </w:r>
      <w:r w:rsidR="00DD5464" w:rsidRPr="00796052">
        <w:rPr>
          <w:rFonts w:ascii="Verdana" w:hAnsi="Verdana"/>
          <w:sz w:val="20"/>
          <w:szCs w:val="20"/>
        </w:rPr>
        <w:t xml:space="preserve">jurídicas, las solicitudes </w:t>
      </w:r>
      <w:r w:rsidR="00826D95" w:rsidRPr="00796052">
        <w:rPr>
          <w:rFonts w:ascii="Verdana" w:hAnsi="Verdana"/>
          <w:sz w:val="20"/>
          <w:szCs w:val="20"/>
        </w:rPr>
        <w:t xml:space="preserve">solo las podrán realizar Mipyme, cuyo objeto social les permita ejecutar el contrato </w:t>
      </w:r>
      <w:r w:rsidR="00A65184" w:rsidRPr="00796052">
        <w:rPr>
          <w:rFonts w:ascii="Verdana" w:hAnsi="Verdana"/>
          <w:sz w:val="20"/>
          <w:szCs w:val="20"/>
        </w:rPr>
        <w:t>relacionado con el proceso contractual”. surge la inquietud sobre si las SAS, que por su naturaleza jurídica</w:t>
      </w:r>
      <w:r w:rsidR="00F145D0" w:rsidRPr="00796052">
        <w:rPr>
          <w:rFonts w:ascii="Verdana" w:hAnsi="Verdana"/>
          <w:sz w:val="20"/>
          <w:szCs w:val="20"/>
        </w:rPr>
        <w:t xml:space="preserve"> pueden ejercer </w:t>
      </w:r>
      <w:r w:rsidR="0005360B" w:rsidRPr="00796052">
        <w:rPr>
          <w:rFonts w:ascii="Verdana" w:hAnsi="Verdana"/>
          <w:sz w:val="20"/>
          <w:szCs w:val="20"/>
        </w:rPr>
        <w:t>cualquier actividad licita de comercio en Colombia a menos que su objeto social contenga una limitación expresa</w:t>
      </w:r>
      <w:r w:rsidR="00137472" w:rsidRPr="00796052">
        <w:rPr>
          <w:rFonts w:ascii="Verdana" w:hAnsi="Verdana"/>
          <w:sz w:val="20"/>
          <w:szCs w:val="20"/>
        </w:rPr>
        <w:t>, pueden solicitar la limitación a Mipymes Municipales en todo tipo de procesos</w:t>
      </w:r>
      <w:r w:rsidR="00D62A50" w:rsidRPr="00796052">
        <w:rPr>
          <w:rFonts w:ascii="Verdana" w:hAnsi="Verdana"/>
          <w:sz w:val="20"/>
          <w:szCs w:val="20"/>
        </w:rPr>
        <w:t xml:space="preserve"> de selección?, sin importar el objeto contractual y de los bienes y/o servicios a contratar por la entidad estatal, es decir las SAS  están exentas de demostrar que sus a</w:t>
      </w:r>
      <w:r w:rsidR="0006180B" w:rsidRPr="00796052">
        <w:rPr>
          <w:rFonts w:ascii="Verdana" w:hAnsi="Verdana"/>
          <w:sz w:val="20"/>
          <w:szCs w:val="20"/>
        </w:rPr>
        <w:t xml:space="preserve">ctividades económicas principales o </w:t>
      </w:r>
      <w:r w:rsidR="00D62A50" w:rsidRPr="00796052">
        <w:rPr>
          <w:rFonts w:ascii="Verdana" w:hAnsi="Verdana"/>
          <w:sz w:val="20"/>
          <w:szCs w:val="20"/>
        </w:rPr>
        <w:t>secundarias guardan relación?” (SIC).</w:t>
      </w:r>
    </w:p>
    <w:p w14:paraId="3A12DD95" w14:textId="77777777" w:rsidR="00D62A50" w:rsidRDefault="00D62A50" w:rsidP="008E34B5">
      <w:pPr>
        <w:spacing w:after="0"/>
        <w:ind w:left="709" w:right="709"/>
        <w:jc w:val="both"/>
        <w:rPr>
          <w:rFonts w:ascii="Verdana" w:hAnsi="Verdana"/>
          <w:i/>
          <w:iCs/>
          <w:sz w:val="21"/>
          <w:szCs w:val="21"/>
        </w:rPr>
      </w:pPr>
    </w:p>
    <w:p w14:paraId="6FF9F83F" w14:textId="77777777" w:rsidR="000E7616" w:rsidRPr="000E7616" w:rsidRDefault="000E7616" w:rsidP="00796052">
      <w:pPr>
        <w:spacing w:after="120"/>
        <w:ind w:firstLine="709"/>
        <w:jc w:val="both"/>
        <w:rPr>
          <w:rFonts w:ascii="Verdana" w:hAnsi="Verdana"/>
        </w:rPr>
      </w:pPr>
      <w:r w:rsidRPr="000E7616">
        <w:rPr>
          <w:rFonts w:ascii="Verdana" w:hAnsi="Verdana"/>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0E7616">
        <w:rPr>
          <w:rFonts w:ascii="Verdana" w:hAnsi="Verdana"/>
        </w:rPr>
        <w:tab/>
      </w:r>
    </w:p>
    <w:p w14:paraId="63B58318" w14:textId="2B6D0C0D" w:rsidR="000E7616" w:rsidRPr="000E7616" w:rsidRDefault="009C2266" w:rsidP="00796052">
      <w:pPr>
        <w:spacing w:after="0"/>
        <w:ind w:firstLine="360"/>
        <w:jc w:val="both"/>
        <w:rPr>
          <w:rFonts w:ascii="Verdana" w:hAnsi="Verdana"/>
        </w:rPr>
      </w:pPr>
      <w:r>
        <w:rPr>
          <w:rFonts w:ascii="Verdana" w:hAnsi="Verdana"/>
        </w:rPr>
        <w:tab/>
      </w:r>
      <w:r w:rsidR="000E7616" w:rsidRPr="000E7616">
        <w:rPr>
          <w:rFonts w:ascii="Verdana" w:hAnsi="Verdana"/>
        </w:rPr>
        <w:t xml:space="preserve">Conforme lo expuesto, en aras de satisfacer el derecho fundamental de petición se resolverá su consulta dentro de los límites de la referida competencia consultiva, haciendo unas consideraciones sobre las normas generales relacionadas con los problemas jurídicos de su consulta. </w:t>
      </w:r>
    </w:p>
    <w:p w14:paraId="45731373" w14:textId="77777777" w:rsidR="000E7616" w:rsidRPr="000E7616" w:rsidRDefault="000E7616" w:rsidP="00796052">
      <w:pPr>
        <w:spacing w:after="0" w:line="276" w:lineRule="auto"/>
        <w:ind w:left="709" w:right="709"/>
        <w:jc w:val="both"/>
        <w:rPr>
          <w:rFonts w:ascii="Verdana" w:hAnsi="Verdana"/>
        </w:rPr>
      </w:pPr>
    </w:p>
    <w:p w14:paraId="6ABDF38C" w14:textId="273CDA18" w:rsidR="000E7616" w:rsidRPr="00C934D4" w:rsidRDefault="000E7616" w:rsidP="00796052">
      <w:pPr>
        <w:pStyle w:val="Prrafodelista"/>
        <w:numPr>
          <w:ilvl w:val="0"/>
          <w:numId w:val="17"/>
        </w:numPr>
        <w:spacing w:after="0" w:line="276" w:lineRule="auto"/>
        <w:ind w:right="709"/>
        <w:jc w:val="both"/>
        <w:rPr>
          <w:rFonts w:ascii="Verdana" w:hAnsi="Verdana"/>
          <w:b/>
          <w:bCs/>
        </w:rPr>
      </w:pPr>
      <w:r w:rsidRPr="00C934D4">
        <w:rPr>
          <w:rFonts w:ascii="Verdana" w:hAnsi="Verdana"/>
          <w:b/>
          <w:bCs/>
        </w:rPr>
        <w:t>Problemas planteados:</w:t>
      </w:r>
    </w:p>
    <w:p w14:paraId="14353AB9" w14:textId="77777777" w:rsidR="000E7616" w:rsidRPr="000E7616" w:rsidRDefault="000E7616" w:rsidP="00796052">
      <w:pPr>
        <w:spacing w:after="0" w:line="276" w:lineRule="auto"/>
        <w:ind w:left="709"/>
        <w:jc w:val="both"/>
        <w:rPr>
          <w:rFonts w:ascii="Verdana" w:hAnsi="Verdana"/>
        </w:rPr>
      </w:pPr>
    </w:p>
    <w:p w14:paraId="591A7E28" w14:textId="7677E9C1" w:rsidR="000E7616" w:rsidRDefault="000E7616" w:rsidP="00796052">
      <w:pPr>
        <w:spacing w:after="0" w:line="276" w:lineRule="auto"/>
        <w:jc w:val="both"/>
        <w:rPr>
          <w:rFonts w:ascii="Verdana" w:hAnsi="Verdana"/>
        </w:rPr>
      </w:pPr>
      <w:r w:rsidRPr="000E7616">
        <w:rPr>
          <w:rFonts w:ascii="Verdana" w:hAnsi="Verdana"/>
        </w:rPr>
        <w:t xml:space="preserve">De acuerdo con el contenido de su solicitud, </w:t>
      </w:r>
      <w:r w:rsidR="007333E4">
        <w:rPr>
          <w:rFonts w:ascii="Verdana" w:hAnsi="Verdana"/>
        </w:rPr>
        <w:t xml:space="preserve">teniendo en cuenta el marco normativo, </w:t>
      </w:r>
      <w:r w:rsidRPr="000E7616">
        <w:rPr>
          <w:rFonts w:ascii="Verdana" w:hAnsi="Verdana"/>
        </w:rPr>
        <w:t xml:space="preserve">esta Agencia resolverá </w:t>
      </w:r>
      <w:r w:rsidR="007333E4">
        <w:rPr>
          <w:rFonts w:ascii="Verdana" w:hAnsi="Verdana"/>
        </w:rPr>
        <w:t>e</w:t>
      </w:r>
      <w:r w:rsidRPr="000E7616">
        <w:rPr>
          <w:rFonts w:ascii="Verdana" w:hAnsi="Verdana"/>
        </w:rPr>
        <w:t xml:space="preserve">l siguiente </w:t>
      </w:r>
      <w:r w:rsidR="00E455C9" w:rsidRPr="000E7616">
        <w:rPr>
          <w:rFonts w:ascii="Verdana" w:hAnsi="Verdana"/>
        </w:rPr>
        <w:t>interrogante:</w:t>
      </w:r>
      <w:r w:rsidR="00E455C9">
        <w:rPr>
          <w:rFonts w:ascii="Verdana" w:hAnsi="Verdana"/>
        </w:rPr>
        <w:t xml:space="preserve"> ¿</w:t>
      </w:r>
      <w:r w:rsidR="00C92746">
        <w:rPr>
          <w:rFonts w:ascii="Verdana" w:hAnsi="Verdana"/>
        </w:rPr>
        <w:t xml:space="preserve">Cuáles son los requisitos que deben cumplir las </w:t>
      </w:r>
      <w:r w:rsidR="006D1465">
        <w:rPr>
          <w:rFonts w:ascii="Verdana" w:hAnsi="Verdana"/>
        </w:rPr>
        <w:t>personas jurídicas</w:t>
      </w:r>
      <w:r w:rsidR="00AD2EF9">
        <w:rPr>
          <w:rFonts w:ascii="Verdana" w:hAnsi="Verdana"/>
        </w:rPr>
        <w:t xml:space="preserve">, específicamente tratándose de sociedad por acciones simplificadas con objeto social </w:t>
      </w:r>
      <w:r w:rsidR="005E3E36">
        <w:rPr>
          <w:rFonts w:ascii="Verdana" w:hAnsi="Verdana"/>
        </w:rPr>
        <w:t>indeterminado</w:t>
      </w:r>
      <w:r w:rsidR="00C81AE8">
        <w:rPr>
          <w:rFonts w:ascii="Verdana" w:hAnsi="Verdana"/>
        </w:rPr>
        <w:t>,</w:t>
      </w:r>
      <w:r w:rsidR="00C92746">
        <w:rPr>
          <w:rFonts w:ascii="Verdana" w:hAnsi="Verdana"/>
        </w:rPr>
        <w:t xml:space="preserve"> </w:t>
      </w:r>
      <w:r w:rsidR="00F012DA">
        <w:rPr>
          <w:rFonts w:ascii="Verdana" w:hAnsi="Verdana"/>
        </w:rPr>
        <w:t xml:space="preserve">para </w:t>
      </w:r>
      <w:r w:rsidR="00AD2EF9">
        <w:rPr>
          <w:rFonts w:ascii="Verdana" w:hAnsi="Verdana"/>
        </w:rPr>
        <w:t xml:space="preserve">solicitar que </w:t>
      </w:r>
      <w:r w:rsidR="006D1465">
        <w:rPr>
          <w:rFonts w:ascii="Verdana" w:hAnsi="Verdana"/>
        </w:rPr>
        <w:t xml:space="preserve">un proceso de selección </w:t>
      </w:r>
      <w:r w:rsidR="00AD2EF9">
        <w:rPr>
          <w:rFonts w:ascii="Verdana" w:hAnsi="Verdana"/>
        </w:rPr>
        <w:t>sea</w:t>
      </w:r>
      <w:r w:rsidR="006D1465">
        <w:rPr>
          <w:rFonts w:ascii="Verdana" w:hAnsi="Verdana"/>
        </w:rPr>
        <w:t xml:space="preserve"> </w:t>
      </w:r>
      <w:r w:rsidR="00AE4311">
        <w:rPr>
          <w:rFonts w:ascii="Verdana" w:hAnsi="Verdana"/>
        </w:rPr>
        <w:t>limitado a Mipyme?</w:t>
      </w:r>
    </w:p>
    <w:p w14:paraId="1A4A0A4F" w14:textId="77777777" w:rsidR="00C934D4" w:rsidRDefault="00C934D4" w:rsidP="00796052">
      <w:pPr>
        <w:spacing w:after="0" w:line="276" w:lineRule="auto"/>
        <w:jc w:val="both"/>
        <w:rPr>
          <w:rFonts w:ascii="Verdana" w:hAnsi="Verdana"/>
        </w:rPr>
      </w:pPr>
    </w:p>
    <w:p w14:paraId="5B2B89F3" w14:textId="30FEB45F" w:rsidR="00C934D4" w:rsidRDefault="00C934D4" w:rsidP="00796052">
      <w:pPr>
        <w:pStyle w:val="Prrafodelista"/>
        <w:numPr>
          <w:ilvl w:val="0"/>
          <w:numId w:val="17"/>
        </w:numPr>
        <w:spacing w:after="0" w:line="276" w:lineRule="auto"/>
        <w:ind w:right="709"/>
        <w:jc w:val="both"/>
        <w:rPr>
          <w:rFonts w:ascii="Verdana" w:hAnsi="Verdana"/>
          <w:b/>
          <w:bCs/>
        </w:rPr>
      </w:pPr>
      <w:r w:rsidRPr="00C934D4">
        <w:rPr>
          <w:rFonts w:ascii="Verdana" w:hAnsi="Verdana"/>
          <w:b/>
          <w:bCs/>
        </w:rPr>
        <w:t xml:space="preserve">Respuesta: </w:t>
      </w:r>
    </w:p>
    <w:p w14:paraId="4FB6F511" w14:textId="506460C0" w:rsidR="00C934D4" w:rsidRDefault="00C934D4" w:rsidP="00796052">
      <w:pPr>
        <w:spacing w:after="0" w:line="276" w:lineRule="auto"/>
        <w:jc w:val="both"/>
        <w:rPr>
          <w:rFonts w:ascii="Verdana" w:hAnsi="Verdana"/>
          <w:b/>
          <w:bCs/>
        </w:rPr>
      </w:pPr>
    </w:p>
    <w:tbl>
      <w:tblPr>
        <w:tblStyle w:val="Tablaconcuadrcula"/>
        <w:tblW w:w="0" w:type="auto"/>
        <w:tblLook w:val="04A0" w:firstRow="1" w:lastRow="0" w:firstColumn="1" w:lastColumn="0" w:noHBand="0" w:noVBand="1"/>
      </w:tblPr>
      <w:tblGrid>
        <w:gridCol w:w="8828"/>
      </w:tblGrid>
      <w:tr w:rsidR="00F202BB" w14:paraId="03A3BF57" w14:textId="77777777">
        <w:tc>
          <w:tcPr>
            <w:tcW w:w="8828" w:type="dxa"/>
          </w:tcPr>
          <w:p w14:paraId="25263080" w14:textId="77777777" w:rsidR="00F202BB" w:rsidRDefault="00F202BB" w:rsidP="00F202BB">
            <w:pPr>
              <w:spacing w:after="120" w:line="276" w:lineRule="auto"/>
              <w:jc w:val="both"/>
              <w:rPr>
                <w:rFonts w:ascii="Verdana" w:hAnsi="Verdana"/>
              </w:rPr>
            </w:pPr>
            <w:r>
              <w:rPr>
                <w:rFonts w:ascii="Verdana" w:hAnsi="Verdana"/>
              </w:rPr>
              <w:t xml:space="preserve">El artículo 2.2.1.2.4.2.2 del Decreto 1082 de 2015, reglamenta los requisitos para que las Entidades Estatales procedan a limitar la convocatoria para la participación exclusiva de las Mipymes. El inciso cuarto de tal disposición </w:t>
            </w:r>
            <w:proofErr w:type="spellStart"/>
            <w:r>
              <w:rPr>
                <w:rFonts w:ascii="Verdana" w:hAnsi="Verdana"/>
              </w:rPr>
              <w:t>adiciona</w:t>
            </w:r>
            <w:proofErr w:type="spellEnd"/>
            <w:r>
              <w:rPr>
                <w:rFonts w:ascii="Verdana" w:hAnsi="Verdana"/>
              </w:rPr>
              <w:t xml:space="preserve"> un requisito más cuando las solicitudes de limitación se efectúen por parte de personas jurídicas, indicando que aquellas Mipymes solicitantes deberán estar constituidas con objetos</w:t>
            </w:r>
            <w:r w:rsidRPr="00483F9E">
              <w:rPr>
                <w:rFonts w:ascii="Verdana" w:hAnsi="Verdana"/>
              </w:rPr>
              <w:t xml:space="preserve"> </w:t>
            </w:r>
            <w:r>
              <w:rPr>
                <w:rFonts w:ascii="Verdana" w:hAnsi="Verdana"/>
              </w:rPr>
              <w:t xml:space="preserve">sociales que les permitan ejecutar el contrato relacionado con el proceso contractual. </w:t>
            </w:r>
          </w:p>
          <w:p w14:paraId="451F7604" w14:textId="77777777" w:rsidR="00F202BB" w:rsidRDefault="00F202BB" w:rsidP="00F202BB">
            <w:pPr>
              <w:spacing w:after="120" w:line="276" w:lineRule="auto"/>
              <w:ind w:firstLine="709"/>
              <w:jc w:val="both"/>
              <w:rPr>
                <w:rFonts w:ascii="Verdana" w:hAnsi="Verdana"/>
              </w:rPr>
            </w:pPr>
            <w:r>
              <w:rPr>
                <w:rFonts w:ascii="Verdana" w:hAnsi="Verdana"/>
              </w:rPr>
              <w:t xml:space="preserve">Al respecto, resulta importante señalar que, de conformidad con la legislación colombiana – artículos 99 y 110 del Código de Comercio – y la jurisprudencia reciente, el objeto social define la capacidad jurídica de las sociedades o empresas comerciales y demanda de estas que lo establezcan de </w:t>
            </w:r>
            <w:r>
              <w:rPr>
                <w:rFonts w:ascii="Verdana" w:hAnsi="Verdana"/>
              </w:rPr>
              <w:lastRenderedPageBreak/>
              <w:t xml:space="preserve">manera específica, señalando de manera clara y precisa las actividades que dicha sociedad puede desplegar. </w:t>
            </w:r>
          </w:p>
          <w:p w14:paraId="62FF5749" w14:textId="77777777" w:rsidR="00F202BB" w:rsidRDefault="00F202BB" w:rsidP="00F202BB">
            <w:pPr>
              <w:spacing w:after="120" w:line="276" w:lineRule="auto"/>
              <w:ind w:firstLine="709"/>
              <w:jc w:val="both"/>
              <w:rPr>
                <w:rFonts w:ascii="Verdana" w:hAnsi="Verdana"/>
              </w:rPr>
            </w:pPr>
            <w:r>
              <w:rPr>
                <w:rFonts w:ascii="Verdana" w:hAnsi="Verdana"/>
              </w:rPr>
              <w:t xml:space="preserve">Asimismo, el artículo 110 del Código de Comercio, dispone lo concerniente a los requisitos para la constitución de una sociedad y hace alusión al objeto social en el numeral 4, señalando que aquel es la empresa o negocio de la sociedad, en donde será necesaria </w:t>
            </w:r>
            <w:r w:rsidRPr="000C64C1">
              <w:rPr>
                <w:rFonts w:ascii="Verdana" w:hAnsi="Verdana"/>
              </w:rPr>
              <w:t>la enunciación clara y completa de las actividades principales, incorporando una sanción de ineficacia frente a la enunciación de actividades indeterminadas. No obstante, la ley y la jurisprudencia han abrigado la posibilidad de interpretar como parte de ese objeto las actividades directamente relacionadas con él y los actos que tengan como finalidad ejercer los derechos o cumplir las obligaciones, legal o convencionalmente derivados de la existencia y actividad de la sociedad</w:t>
            </w:r>
            <w:r>
              <w:rPr>
                <w:rFonts w:ascii="Verdana" w:hAnsi="Verdana"/>
              </w:rPr>
              <w:t xml:space="preserve">. </w:t>
            </w:r>
          </w:p>
          <w:p w14:paraId="78C47192" w14:textId="77777777" w:rsidR="00F202BB" w:rsidRDefault="00F202BB" w:rsidP="00F202BB">
            <w:pPr>
              <w:pBdr>
                <w:top w:val="nil"/>
                <w:left w:val="nil"/>
                <w:bottom w:val="nil"/>
                <w:right w:val="nil"/>
                <w:between w:val="nil"/>
              </w:pBdr>
              <w:spacing w:after="120" w:line="276" w:lineRule="auto"/>
              <w:ind w:firstLine="708"/>
              <w:jc w:val="both"/>
              <w:rPr>
                <w:rFonts w:ascii="Verdana" w:eastAsia="Calibri" w:hAnsi="Verdana" w:cs="Arial"/>
                <w:color w:val="000000" w:themeColor="text1"/>
              </w:rPr>
            </w:pPr>
            <w:r>
              <w:rPr>
                <w:rFonts w:ascii="Verdana" w:eastAsia="Calibri" w:hAnsi="Verdana" w:cs="Arial"/>
                <w:color w:val="000000" w:themeColor="text1"/>
              </w:rPr>
              <w:t>Aunque lo descrito en los párrafos precedentes constituye la regla general, excepcionalmente el ordenamiento jurídico permite la constitución de personas jurídicas con objeto indeterminado. Este es el caso de las sociedades por acciones simplificadas, especialmente</w:t>
            </w:r>
            <w:r w:rsidRPr="009E670D">
              <w:rPr>
                <w:rFonts w:ascii="Verdana" w:eastAsia="Calibri" w:hAnsi="Verdana" w:cs="Arial"/>
                <w:color w:val="000000" w:themeColor="text1"/>
              </w:rPr>
              <w:t>, cuando el artículo 5.4 de la Ley 1258 de 2008 indica que para su constitución debe expresarse “Una enunciación clara y completa de las actividades principales, a menos que se exprese que la sociedad podrá realizar cualquier actividad comercial o civil, lícita. Si nada se expresa en el acto de constitución, se entenderá que la sociedad podrá realizar cualquier actividad lícita</w:t>
            </w:r>
            <w:r>
              <w:rPr>
                <w:rFonts w:ascii="Verdana" w:eastAsia="Calibri" w:hAnsi="Verdana" w:cs="Arial"/>
                <w:color w:val="000000" w:themeColor="text1"/>
              </w:rPr>
              <w:t>”</w:t>
            </w:r>
            <w:r w:rsidRPr="009E670D">
              <w:rPr>
                <w:rFonts w:ascii="Verdana" w:eastAsia="Calibri" w:hAnsi="Verdana" w:cs="Arial"/>
                <w:color w:val="000000" w:themeColor="text1"/>
              </w:rPr>
              <w:t xml:space="preserve">. </w:t>
            </w:r>
          </w:p>
          <w:p w14:paraId="2345D704" w14:textId="77777777" w:rsidR="00F202BB" w:rsidRDefault="00F202BB" w:rsidP="00F202BB">
            <w:pPr>
              <w:pBdr>
                <w:top w:val="nil"/>
                <w:left w:val="nil"/>
                <w:bottom w:val="nil"/>
                <w:right w:val="nil"/>
                <w:between w:val="nil"/>
              </w:pBdr>
              <w:spacing w:after="120" w:line="276" w:lineRule="auto"/>
              <w:ind w:firstLine="708"/>
              <w:jc w:val="both"/>
              <w:rPr>
                <w:rFonts w:ascii="Verdana" w:eastAsia="Calibri" w:hAnsi="Verdana" w:cs="Arial"/>
                <w:color w:val="000000" w:themeColor="text1"/>
              </w:rPr>
            </w:pPr>
            <w:r>
              <w:rPr>
                <w:rFonts w:ascii="Verdana" w:eastAsia="Calibri" w:hAnsi="Verdana" w:cs="Arial"/>
                <w:color w:val="000000" w:themeColor="text1"/>
              </w:rPr>
              <w:t>En ese sentido, atendiendo al objeto de su consulta debe señalarse que, las sociedades con objeto indeterminado –como las sociedades por acciones simplificadas– pueden solicitar la limitación de la convocatoria a Mipymes,</w:t>
            </w:r>
            <w:r>
              <w:rPr>
                <w:rFonts w:ascii="Verdana" w:eastAsia="Times New Roman" w:hAnsi="Verdana" w:cs="Arial"/>
                <w:color w:val="000000" w:themeColor="text1"/>
                <w:lang w:val="es-ES_tradnl" w:eastAsia="es-ES_tradnl"/>
              </w:rPr>
              <w:t xml:space="preserve"> ya que –en las condiciones del</w:t>
            </w:r>
            <w:r w:rsidRPr="007F1E47">
              <w:rPr>
                <w:rFonts w:ascii="Verdana" w:eastAsia="Calibri" w:hAnsi="Verdana" w:cs="Arial"/>
                <w:color w:val="000000" w:themeColor="text1"/>
              </w:rPr>
              <w:t xml:space="preserve"> </w:t>
            </w:r>
            <w:r w:rsidRPr="009E670D">
              <w:rPr>
                <w:rFonts w:ascii="Verdana" w:eastAsia="Calibri" w:hAnsi="Verdana" w:cs="Arial"/>
                <w:color w:val="000000" w:themeColor="text1"/>
              </w:rPr>
              <w:t>artículo 5.4 de la Ley 1258 de 2008</w:t>
            </w:r>
            <w:r>
              <w:rPr>
                <w:rFonts w:ascii="Verdana" w:eastAsia="Calibri" w:hAnsi="Verdana" w:cs="Arial"/>
                <w:color w:val="000000" w:themeColor="text1"/>
              </w:rPr>
              <w:t xml:space="preserve">– </w:t>
            </w:r>
            <w:r>
              <w:rPr>
                <w:rFonts w:ascii="Verdana" w:eastAsia="Times New Roman" w:hAnsi="Verdana" w:cs="Arial"/>
                <w:color w:val="000000" w:themeColor="text1"/>
                <w:lang w:val="es-ES_tradnl" w:eastAsia="es-ES_tradnl"/>
              </w:rPr>
              <w:t>pueden ejecutar cualquier actividad lícita.</w:t>
            </w:r>
            <w:r>
              <w:rPr>
                <w:rFonts w:ascii="Verdana" w:eastAsia="Calibri" w:hAnsi="Verdana" w:cs="Arial"/>
                <w:color w:val="000000" w:themeColor="text1"/>
              </w:rPr>
              <w:t xml:space="preserve"> </w:t>
            </w:r>
          </w:p>
          <w:p w14:paraId="49567A5C" w14:textId="07C1A958" w:rsidR="00F202BB" w:rsidRDefault="00F202BB" w:rsidP="00F202BB">
            <w:pPr>
              <w:spacing w:after="120" w:line="276" w:lineRule="auto"/>
              <w:ind w:firstLine="709"/>
              <w:jc w:val="both"/>
              <w:rPr>
                <w:rFonts w:ascii="Verdana" w:hAnsi="Verdana"/>
              </w:rPr>
            </w:pPr>
            <w:r>
              <w:rPr>
                <w:rFonts w:ascii="Verdana" w:hAnsi="Verdana"/>
              </w:rPr>
              <w:t xml:space="preserve">A partir de ese contexto, las entidades estatales están llamadas a realizar la verificación de que las </w:t>
            </w:r>
            <w:r w:rsidRPr="00660FC7">
              <w:rPr>
                <w:rFonts w:ascii="Verdana" w:hAnsi="Verdana"/>
              </w:rPr>
              <w:t>solicitudes de limitación de la convocatoria se efectúen por parte de Mi</w:t>
            </w:r>
            <w:r w:rsidR="00516DBA">
              <w:rPr>
                <w:rFonts w:ascii="Verdana" w:hAnsi="Verdana"/>
              </w:rPr>
              <w:t>p</w:t>
            </w:r>
            <w:r w:rsidRPr="00660FC7">
              <w:rPr>
                <w:rFonts w:ascii="Verdana" w:hAnsi="Verdana"/>
              </w:rPr>
              <w:t>ymes en calidad de personas jurídicas, que estén constituidas con objetos sociales que permitan la ejecución del objeto contractual, es decir, que tengan como empresa o negocio actividades principales o relacionadas con aquellas que deberán desarrollarse en el contrato por adjudicar</w:t>
            </w:r>
            <w:r w:rsidR="00516DBA">
              <w:rPr>
                <w:rFonts w:ascii="Verdana" w:hAnsi="Verdana"/>
              </w:rPr>
              <w:t xml:space="preserve">, sin perjuicio de </w:t>
            </w:r>
            <w:r w:rsidR="00C56BD9">
              <w:rPr>
                <w:rFonts w:ascii="Verdana" w:hAnsi="Verdana"/>
              </w:rPr>
              <w:t>lo explicado para el caso de las sociedad con objetos sociales indeterminados, como es el caso de las sociedades de acciones simplificadas.</w:t>
            </w:r>
            <w:r w:rsidRPr="00660FC7">
              <w:rPr>
                <w:rFonts w:ascii="Verdana" w:hAnsi="Verdana"/>
              </w:rPr>
              <w:t xml:space="preserve"> Lo anterior tiene sentido por cuanto no resultaría coherente con la voluntad del legislador el hecho de que las </w:t>
            </w:r>
            <w:r w:rsidR="00C56BD9" w:rsidRPr="00660FC7">
              <w:rPr>
                <w:rFonts w:ascii="Verdana" w:hAnsi="Verdana"/>
              </w:rPr>
              <w:t xml:space="preserve">Entidades Estatales </w:t>
            </w:r>
            <w:r w:rsidRPr="00660FC7">
              <w:rPr>
                <w:rFonts w:ascii="Verdana" w:hAnsi="Verdana"/>
              </w:rPr>
              <w:t>limiten un proceso de selección por solicitud de Mi</w:t>
            </w:r>
            <w:r w:rsidR="00C56BD9">
              <w:rPr>
                <w:rFonts w:ascii="Verdana" w:hAnsi="Verdana"/>
              </w:rPr>
              <w:t>p</w:t>
            </w:r>
            <w:r w:rsidRPr="00660FC7">
              <w:rPr>
                <w:rFonts w:ascii="Verdana" w:hAnsi="Verdana"/>
              </w:rPr>
              <w:t xml:space="preserve">ymes </w:t>
            </w:r>
            <w:r w:rsidRPr="00660FC7">
              <w:rPr>
                <w:rFonts w:ascii="Verdana" w:hAnsi="Verdana"/>
              </w:rPr>
              <w:lastRenderedPageBreak/>
              <w:t>que no tienen capacidad jurídica de cumplir el objeto contractual establecido,</w:t>
            </w:r>
            <w:r>
              <w:rPr>
                <w:rFonts w:ascii="Verdana" w:hAnsi="Verdana"/>
              </w:rPr>
              <w:t xml:space="preserve"> porque sus actividades principales son distintas o son indeterminadas, o no tiene relación con aquel, dado que eso supondría su inexistencia en el mercado eventual </w:t>
            </w:r>
            <w:r w:rsidRPr="00596F37">
              <w:rPr>
                <w:rFonts w:ascii="Verdana" w:hAnsi="Verdana"/>
              </w:rPr>
              <w:t>imposibilidad de obtener ofertas competitivas que generen mayor valor por dinero para los intereses del Estado</w:t>
            </w:r>
          </w:p>
          <w:p w14:paraId="51DC1879" w14:textId="368FC5AB" w:rsidR="00F202BB" w:rsidRPr="00796052" w:rsidRDefault="00F202BB" w:rsidP="00796052">
            <w:pPr>
              <w:spacing w:line="276" w:lineRule="auto"/>
              <w:ind w:firstLine="709"/>
              <w:jc w:val="both"/>
              <w:rPr>
                <w:rFonts w:ascii="Verdana" w:hAnsi="Verdana"/>
                <w:b/>
                <w:bCs/>
              </w:rPr>
            </w:pPr>
            <w:r w:rsidRPr="009A3C9E">
              <w:rPr>
                <w:rFonts w:ascii="Verdana" w:hAnsi="Verdana"/>
              </w:rPr>
              <w:t>Justamente,</w:t>
            </w:r>
            <w:r>
              <w:rPr>
                <w:rFonts w:ascii="Verdana" w:hAnsi="Verdana"/>
                <w:b/>
                <w:bCs/>
              </w:rPr>
              <w:t xml:space="preserve"> </w:t>
            </w:r>
            <w:r w:rsidRPr="00C949C4">
              <w:rPr>
                <w:rFonts w:ascii="Verdana" w:hAnsi="Verdana"/>
              </w:rPr>
              <w:t>tanto las disposiciones del ordenamiento jurídico comercial como la jurisprudencia de las altas corporaciones judiciales están de acuerdo con que se tengan por ineficaces las estipulaciones que hagan extensivas las actividades sin relación directa con el objeto social. En ese caso, las entidades estatales no podrán limitar el proceso de selección hasta tanto constate que quienes eleven las solicitudes cumplan a cabalidad con lo señalado por el artículo 2.2.1.2.4.2.2. del Decreto 1082 de 2015</w:t>
            </w:r>
            <w:r>
              <w:rPr>
                <w:rFonts w:ascii="Verdana" w:hAnsi="Verdana"/>
              </w:rPr>
              <w:t xml:space="preserve">. </w:t>
            </w:r>
          </w:p>
        </w:tc>
      </w:tr>
    </w:tbl>
    <w:p w14:paraId="124721B0" w14:textId="1DB36223" w:rsidR="00E338DD" w:rsidRDefault="00E338DD" w:rsidP="00796052">
      <w:pPr>
        <w:spacing w:after="0" w:line="276" w:lineRule="auto"/>
        <w:jc w:val="both"/>
        <w:rPr>
          <w:rFonts w:ascii="Verdana" w:hAnsi="Verdana"/>
          <w:b/>
          <w:bCs/>
        </w:rPr>
      </w:pPr>
    </w:p>
    <w:p w14:paraId="7B725852" w14:textId="0DCEB063" w:rsidR="0091454D" w:rsidRDefault="0078122B" w:rsidP="00796052">
      <w:pPr>
        <w:pStyle w:val="Prrafodelista"/>
        <w:numPr>
          <w:ilvl w:val="0"/>
          <w:numId w:val="17"/>
        </w:numPr>
        <w:spacing w:after="0" w:line="276" w:lineRule="auto"/>
        <w:contextualSpacing w:val="0"/>
        <w:rPr>
          <w:rFonts w:ascii="Verdana" w:hAnsi="Verdana"/>
          <w:b/>
          <w:bCs/>
        </w:rPr>
      </w:pPr>
      <w:r w:rsidRPr="0078122B">
        <w:rPr>
          <w:rFonts w:ascii="Verdana" w:hAnsi="Verdana"/>
          <w:b/>
          <w:bCs/>
        </w:rPr>
        <w:t xml:space="preserve">Razones de la respuesta: </w:t>
      </w:r>
    </w:p>
    <w:p w14:paraId="4F6EBE34" w14:textId="77777777" w:rsidR="0078122B" w:rsidRPr="0078122B" w:rsidRDefault="0078122B" w:rsidP="00796052">
      <w:pPr>
        <w:pStyle w:val="Prrafodelista"/>
        <w:spacing w:after="0" w:line="276" w:lineRule="auto"/>
        <w:contextualSpacing w:val="0"/>
        <w:rPr>
          <w:rFonts w:ascii="Verdana" w:hAnsi="Verdana"/>
          <w:b/>
          <w:bCs/>
        </w:rPr>
      </w:pPr>
    </w:p>
    <w:p w14:paraId="66674084" w14:textId="226F5DA6" w:rsidR="0078122B" w:rsidRDefault="0078122B" w:rsidP="00796052">
      <w:pPr>
        <w:spacing w:after="0" w:line="276" w:lineRule="auto"/>
        <w:rPr>
          <w:rFonts w:ascii="Verdana" w:hAnsi="Verdana"/>
        </w:rPr>
      </w:pPr>
      <w:r>
        <w:rPr>
          <w:rFonts w:ascii="Verdana" w:hAnsi="Verdana"/>
        </w:rPr>
        <w:t>Lo anterior se sustenta en las siguientes consideraciones:</w:t>
      </w:r>
    </w:p>
    <w:p w14:paraId="3C4EA7E2" w14:textId="77777777" w:rsidR="006000EB" w:rsidRDefault="006000EB" w:rsidP="00796052">
      <w:pPr>
        <w:spacing w:after="0" w:line="276" w:lineRule="auto"/>
        <w:rPr>
          <w:rFonts w:ascii="Verdana" w:hAnsi="Verdana"/>
        </w:rPr>
      </w:pPr>
    </w:p>
    <w:p w14:paraId="38A2F080" w14:textId="77777777" w:rsidR="00F24ABB" w:rsidRDefault="00836B55" w:rsidP="006000EB">
      <w:pPr>
        <w:spacing w:after="120" w:line="276" w:lineRule="auto"/>
        <w:jc w:val="both"/>
        <w:rPr>
          <w:rFonts w:ascii="Verdana" w:hAnsi="Verdana"/>
          <w:lang w:val="es-ES_tradnl"/>
        </w:rPr>
      </w:pPr>
      <w:r w:rsidRPr="00836B55">
        <w:rPr>
          <w:rFonts w:ascii="Verdana" w:hAnsi="Verdana"/>
          <w:lang w:val="es-ES_tradnl"/>
        </w:rPr>
        <w:t xml:space="preserve">Respecto a las convocatorias limitadas a MiPymes, debe señalarse que, el 31 de diciembre de 2020 se promulgó la Ley 2069, “Por medio de la cual se impulsa el emprendimiento en Colombia”. En cuanto a su contenido, como dispone el artículo 1, aquella “tiene por objeto establecer un marco regulatorio que propicie el emprendimiento y el crecimiento, consolidación y sostenibilidad de las empresas, con el fin de aumentar el bienestar social y generar equidad”. Lo anterior a partir de “[…] un enfoque regionalizado de acuerdo con las realidades socioeconómicas de cada región”. </w:t>
      </w:r>
    </w:p>
    <w:p w14:paraId="56E68E45" w14:textId="747B48C0" w:rsidR="00836B55" w:rsidRPr="00836B55" w:rsidRDefault="00836B55" w:rsidP="00796052">
      <w:pPr>
        <w:spacing w:after="120" w:line="276" w:lineRule="auto"/>
        <w:ind w:firstLine="708"/>
        <w:jc w:val="both"/>
        <w:rPr>
          <w:rFonts w:ascii="Verdana" w:hAnsi="Verdana"/>
          <w:lang w:val="es-ES"/>
        </w:rPr>
      </w:pPr>
      <w:r w:rsidRPr="00836B55">
        <w:rPr>
          <w:rFonts w:ascii="Verdana" w:hAnsi="Verdana"/>
          <w:lang w:val="es-ES_tradnl"/>
        </w:rPr>
        <w:t>En desarrollo de esta finalidad, se establecen medidas de apoyo para las micro, pequeñas y medianas empresas –MiPymes–, mediante la racionalización y simplificación de los trámites y tarifas, así como incentivos a favor de aquellas dentro del sistema de compras y contratación pública. De igual forma, en la citada Ley se consagró mecanismos para fortalecer y promover los distintos sectores de la economía y se prevén para ello medidas de educación para el emprendimiento y la innovación.</w:t>
      </w:r>
    </w:p>
    <w:p w14:paraId="46E26C1A" w14:textId="1A0D6D97" w:rsidR="00836B55" w:rsidRPr="00836B55" w:rsidRDefault="00836B55" w:rsidP="00796052">
      <w:pPr>
        <w:spacing w:after="120" w:line="276" w:lineRule="auto"/>
        <w:ind w:firstLine="708"/>
        <w:jc w:val="both"/>
        <w:rPr>
          <w:rFonts w:ascii="Verdana" w:hAnsi="Verdana"/>
          <w:lang w:val="es-ES"/>
        </w:rPr>
      </w:pPr>
      <w:r w:rsidRPr="00836B55">
        <w:rPr>
          <w:rFonts w:ascii="Verdana" w:hAnsi="Verdana"/>
          <w:lang w:val="es-ES"/>
        </w:rPr>
        <w:t>Como se indicó, parte de la Ley 2069 de 2020 contiene normas que modifican algunos aspectos de la contratación estatal para promover el emprendimiento. Concretamente, aquellas se encuentran en el Capítulo III –artículos 30 al 36–. Teniendo en cuenta que la consulta está relacionada con las convocatorias limitadas a Mi</w:t>
      </w:r>
      <w:r w:rsidR="00E56CA9">
        <w:rPr>
          <w:rFonts w:ascii="Verdana" w:hAnsi="Verdana"/>
          <w:lang w:val="es-ES"/>
        </w:rPr>
        <w:t>p</w:t>
      </w:r>
      <w:r w:rsidRPr="00836B55">
        <w:rPr>
          <w:rFonts w:ascii="Verdana" w:hAnsi="Verdana"/>
          <w:lang w:val="es-ES"/>
        </w:rPr>
        <w:t>ymes, a continuación de se estudiará el contenido y alcance del artículo 34.</w:t>
      </w:r>
    </w:p>
    <w:p w14:paraId="50A2A15B" w14:textId="459B5C3B" w:rsidR="00836B55" w:rsidRPr="00836B55" w:rsidRDefault="00836B55" w:rsidP="00796052">
      <w:pPr>
        <w:spacing w:after="120" w:line="276" w:lineRule="auto"/>
        <w:ind w:firstLine="708"/>
        <w:jc w:val="both"/>
        <w:rPr>
          <w:rFonts w:ascii="Verdana" w:hAnsi="Verdana"/>
          <w:lang w:val="es-ES"/>
        </w:rPr>
      </w:pPr>
      <w:r w:rsidRPr="00836B55">
        <w:rPr>
          <w:rFonts w:ascii="Verdana" w:hAnsi="Verdana"/>
          <w:lang w:val="es-ES"/>
        </w:rPr>
        <w:lastRenderedPageBreak/>
        <w:t>El artículo 34 de la Ley 2069 de 2020 modificó el artículo 12 de la Ley 1150 de 2007, el cual regula la promoción del desarrollo en la contratación pública, cambiando los requisitos esenciales para que procedan las convocatorias limitadas a Mi</w:t>
      </w:r>
      <w:r w:rsidR="00673A35">
        <w:rPr>
          <w:rFonts w:ascii="Verdana" w:hAnsi="Verdana"/>
          <w:lang w:val="es-ES"/>
        </w:rPr>
        <w:t>p</w:t>
      </w:r>
      <w:r w:rsidRPr="00836B55">
        <w:rPr>
          <w:rFonts w:ascii="Verdana" w:hAnsi="Verdana"/>
          <w:lang w:val="es-ES"/>
        </w:rPr>
        <w:t xml:space="preserve">ymes, de la siguiente forma: i) estableció que estas deben desarrollarse independientemente del régimen de contratación de la Entidad Estatal –es decir, también deben efectuarlas las Entidades Estatales exceptuadas del EGCAP o que se rigen por derecho privado–; ii) señaló que los patrimonios autónomos constituidos por Entidades Estatales y los particulares que ejecuten recursos públicos también son destinatarios de esta exigencia; y,  iii) indicó que para que pueda haber convocatorias limitadas a MiPymes, dos (2) de ellas deben manifestar su interés. </w:t>
      </w:r>
    </w:p>
    <w:p w14:paraId="2541BE33" w14:textId="77777777" w:rsidR="00673A35" w:rsidRDefault="00836B55" w:rsidP="001B5B53">
      <w:pPr>
        <w:spacing w:after="120" w:line="276" w:lineRule="auto"/>
        <w:ind w:firstLine="708"/>
        <w:jc w:val="both"/>
        <w:rPr>
          <w:rFonts w:ascii="Verdana" w:hAnsi="Verdana"/>
          <w:lang w:val="es-ES"/>
        </w:rPr>
      </w:pPr>
      <w:r w:rsidRPr="00836B55">
        <w:rPr>
          <w:rFonts w:ascii="Verdana" w:hAnsi="Verdana"/>
          <w:lang w:val="es-ES"/>
        </w:rPr>
        <w:t xml:space="preserve">Según se evidencia, el numeral primero del </w:t>
      </w:r>
      <w:r w:rsidRPr="00836B55">
        <w:rPr>
          <w:rFonts w:ascii="Verdana" w:hAnsi="Verdana"/>
          <w:lang w:val="es-ES_tradnl"/>
        </w:rPr>
        <w:t xml:space="preserve">artículo 2.2.1.2.4.2.2 del Decreto 1082 de 2015 </w:t>
      </w:r>
      <w:r w:rsidRPr="00836B55">
        <w:rPr>
          <w:rFonts w:ascii="Verdana" w:hAnsi="Verdana"/>
          <w:lang w:val="es-ES"/>
        </w:rPr>
        <w:t xml:space="preserve">limita cuantitativamente los procesos contractuales para las convocatorias limitadas a Mipyme, puesto que el valor del proceso de contratación debe ser “menor a ciento veinticinco mil dólares de los Estados Unidos de América”. Esto de acuerdo con la tasa que determine cada dos años el Ministerio de Comercio, Industria y Turismo. Por su parte, el numeral segundo establece que al menos dos (2) MiPymes colombianas presenten a la entidad la solicitud de limitar el proceso contractual y, por el otro, que hagan la solicitud por lo menos un día (1) hábil antes de la expedición del acto administrativo de apertura o el que haga sus veces de acuerdo con la normativa aplicable a cada Proceso de Contratación. </w:t>
      </w:r>
    </w:p>
    <w:p w14:paraId="509A6E38" w14:textId="3C31D9DF" w:rsidR="004F177A" w:rsidRDefault="00836B55" w:rsidP="00835BF6">
      <w:pPr>
        <w:spacing w:after="120" w:line="276" w:lineRule="auto"/>
        <w:ind w:firstLine="708"/>
        <w:jc w:val="both"/>
        <w:rPr>
          <w:rFonts w:ascii="Verdana" w:eastAsia="Calibri" w:hAnsi="Verdana" w:cs="Arial"/>
          <w:color w:val="000000" w:themeColor="text1"/>
        </w:rPr>
      </w:pPr>
      <w:r w:rsidRPr="00836B55">
        <w:rPr>
          <w:rFonts w:ascii="Verdana" w:hAnsi="Verdana"/>
          <w:lang w:val="es-ES"/>
        </w:rPr>
        <w:t xml:space="preserve">Asimismo, la norma señala que, tratándose de personas jurídicas, las solicitudes solo las podrán realizar la Mipyme, cuyo objeto social les permita ejecutar el contrato relacionado con el proceso contractual. </w:t>
      </w:r>
      <w:r w:rsidR="00D232C9" w:rsidRPr="00775482">
        <w:rPr>
          <w:rFonts w:ascii="Verdana" w:eastAsia="Calibri" w:hAnsi="Verdana" w:cs="Arial"/>
          <w:color w:val="000000" w:themeColor="text1"/>
        </w:rPr>
        <w:t xml:space="preserve">En relación con la posibilidad que una </w:t>
      </w:r>
      <w:r w:rsidR="0025397F" w:rsidRPr="00775482">
        <w:rPr>
          <w:rFonts w:ascii="Verdana" w:eastAsia="Calibri" w:hAnsi="Verdana" w:cs="Arial"/>
          <w:color w:val="000000" w:themeColor="text1"/>
        </w:rPr>
        <w:t xml:space="preserve">sociedad por acciones simplificada </w:t>
      </w:r>
      <w:r w:rsidR="00D232C9" w:rsidRPr="00775482">
        <w:rPr>
          <w:rFonts w:ascii="Verdana" w:eastAsia="Calibri" w:hAnsi="Verdana" w:cs="Arial"/>
          <w:color w:val="000000" w:themeColor="text1"/>
        </w:rPr>
        <w:t xml:space="preserve">pueda solicitar la </w:t>
      </w:r>
      <w:r w:rsidR="007B5795" w:rsidRPr="00775482">
        <w:rPr>
          <w:rFonts w:ascii="Verdana" w:eastAsia="Calibri" w:hAnsi="Verdana" w:cs="Arial"/>
          <w:color w:val="000000" w:themeColor="text1"/>
        </w:rPr>
        <w:t xml:space="preserve">limitación de la convocatoria a Mipyme debido a la necesidad de que el objeto social </w:t>
      </w:r>
      <w:r w:rsidR="007B5795" w:rsidRPr="00796052">
        <w:rPr>
          <w:rFonts w:ascii="Verdana" w:hAnsi="Verdana"/>
          <w:lang w:val="es-ES"/>
        </w:rPr>
        <w:t>les permita ejecutar el contrato relacionado con el proceso contractual</w:t>
      </w:r>
      <w:r w:rsidR="007B5795" w:rsidRPr="00775482">
        <w:rPr>
          <w:rFonts w:ascii="Verdana" w:hAnsi="Verdana"/>
          <w:lang w:val="es-ES"/>
        </w:rPr>
        <w:t xml:space="preserve"> debe señalarse que, </w:t>
      </w:r>
      <w:r w:rsidR="00E752D2" w:rsidRPr="00775482">
        <w:rPr>
          <w:rFonts w:ascii="Verdana" w:eastAsia="Calibri" w:hAnsi="Verdana" w:cs="Arial"/>
          <w:color w:val="000000" w:themeColor="text1"/>
        </w:rPr>
        <w:t xml:space="preserve">la capacidad </w:t>
      </w:r>
      <w:proofErr w:type="spellStart"/>
      <w:r w:rsidR="007B5795" w:rsidRPr="00775482">
        <w:rPr>
          <w:rFonts w:ascii="Verdana" w:eastAsia="Calibri" w:hAnsi="Verdana" w:cs="Arial"/>
          <w:color w:val="000000" w:themeColor="text1"/>
        </w:rPr>
        <w:t>juridica</w:t>
      </w:r>
      <w:proofErr w:type="spellEnd"/>
      <w:r w:rsidR="007B5795" w:rsidRPr="00775482">
        <w:rPr>
          <w:rFonts w:ascii="Verdana" w:eastAsia="Calibri" w:hAnsi="Verdana" w:cs="Arial"/>
          <w:color w:val="000000" w:themeColor="text1"/>
        </w:rPr>
        <w:t xml:space="preserve"> </w:t>
      </w:r>
      <w:r w:rsidR="00E752D2" w:rsidRPr="00775482">
        <w:rPr>
          <w:rFonts w:ascii="Verdana" w:eastAsia="Calibri" w:hAnsi="Verdana" w:cs="Arial"/>
          <w:color w:val="000000" w:themeColor="text1"/>
        </w:rPr>
        <w:t xml:space="preserve">de las </w:t>
      </w:r>
      <w:r w:rsidR="00E752D2" w:rsidRPr="00775482">
        <w:rPr>
          <w:rFonts w:ascii="Verdana" w:eastAsia="Calibri" w:hAnsi="Verdana" w:cs="Arial"/>
          <w:i/>
          <w:iCs/>
          <w:color w:val="000000" w:themeColor="text1"/>
        </w:rPr>
        <w:t>personas jurídicas</w:t>
      </w:r>
      <w:r w:rsidR="00E752D2" w:rsidRPr="00775482">
        <w:rPr>
          <w:rFonts w:ascii="Verdana" w:eastAsia="Calibri" w:hAnsi="Verdana" w:cs="Arial"/>
          <w:color w:val="000000" w:themeColor="text1"/>
        </w:rPr>
        <w:t xml:space="preserve"> se circunscribe a las actividades principales y conexas del objeto social.</w:t>
      </w:r>
      <w:r w:rsidR="00E752D2">
        <w:rPr>
          <w:rFonts w:ascii="Verdana" w:eastAsia="Calibri" w:hAnsi="Verdana" w:cs="Arial"/>
          <w:color w:val="000000" w:themeColor="text1"/>
        </w:rPr>
        <w:t xml:space="preserve"> </w:t>
      </w:r>
    </w:p>
    <w:p w14:paraId="1223EA5C" w14:textId="48BB32D8" w:rsidR="00E752D2" w:rsidRPr="00796052" w:rsidRDefault="00E752D2" w:rsidP="00796052">
      <w:pPr>
        <w:spacing w:after="120" w:line="276" w:lineRule="auto"/>
        <w:ind w:firstLine="708"/>
        <w:jc w:val="both"/>
        <w:rPr>
          <w:rFonts w:ascii="Verdana" w:hAnsi="Verdana"/>
          <w:lang w:val="es-ES"/>
        </w:rPr>
      </w:pPr>
      <w:r w:rsidRPr="00ED3D81">
        <w:rPr>
          <w:rFonts w:ascii="Verdana" w:eastAsia="Calibri" w:hAnsi="Verdana" w:cs="Arial"/>
          <w:color w:val="000000" w:themeColor="text1"/>
        </w:rPr>
        <w:t xml:space="preserve">Las primeras constituyen la verdadera </w:t>
      </w:r>
      <w:r>
        <w:rPr>
          <w:rFonts w:ascii="Verdana" w:eastAsia="Calibri" w:hAnsi="Verdana" w:cs="Arial"/>
          <w:color w:val="000000" w:themeColor="text1"/>
        </w:rPr>
        <w:t xml:space="preserve">labor empresarial del ente </w:t>
      </w:r>
      <w:r w:rsidRPr="00E0374E">
        <w:rPr>
          <w:rFonts w:ascii="Verdana" w:eastAsia="Calibri" w:hAnsi="Verdana" w:cs="Arial"/>
          <w:color w:val="000000" w:themeColor="text1"/>
        </w:rPr>
        <w:t xml:space="preserve">societario, es decir, </w:t>
      </w:r>
      <w:r>
        <w:rPr>
          <w:rFonts w:ascii="Verdana" w:eastAsia="Calibri" w:hAnsi="Verdana" w:cs="Arial"/>
          <w:color w:val="000000" w:themeColor="text1"/>
        </w:rPr>
        <w:t xml:space="preserve">la </w:t>
      </w:r>
      <w:r w:rsidRPr="00E0374E">
        <w:rPr>
          <w:rFonts w:ascii="Verdana" w:eastAsia="Calibri" w:hAnsi="Verdana" w:cs="Arial"/>
          <w:color w:val="000000" w:themeColor="text1"/>
        </w:rPr>
        <w:t>“[…] actividad económica organizada para la producción, transformación, circulación, administración o custodia de bienes, o para la prestación de servicios</w:t>
      </w:r>
      <w:r>
        <w:rPr>
          <w:rFonts w:ascii="Verdana" w:eastAsia="Calibri" w:hAnsi="Verdana" w:cs="Arial"/>
          <w:color w:val="000000" w:themeColor="text1"/>
        </w:rPr>
        <w:t xml:space="preserve"> […]” en los términos del artículo 25 del Código de Comercio: su explotación rentable contribuye al ánimo de lucro de quienes tengan la calidad de socios, accionistas o constituyentes. Por su parte, las segundas </w:t>
      </w:r>
      <w:r w:rsidRPr="00B07AE7">
        <w:rPr>
          <w:rFonts w:ascii="Verdana" w:eastAsia="Calibri" w:hAnsi="Verdana" w:cs="Arial"/>
          <w:color w:val="000000" w:themeColor="text1"/>
        </w:rPr>
        <w:t xml:space="preserve">son aquellas que complementan, facilitan o guardan relación directa con </w:t>
      </w:r>
      <w:r>
        <w:rPr>
          <w:rFonts w:ascii="Verdana" w:eastAsia="Calibri" w:hAnsi="Verdana" w:cs="Arial"/>
          <w:color w:val="000000" w:themeColor="text1"/>
        </w:rPr>
        <w:t xml:space="preserve">las actividades principales, por lo que </w:t>
      </w:r>
      <w:r w:rsidRPr="00B07AE7">
        <w:rPr>
          <w:rFonts w:ascii="Verdana" w:eastAsia="Calibri" w:hAnsi="Verdana" w:cs="Arial"/>
          <w:color w:val="000000" w:themeColor="text1"/>
        </w:rPr>
        <w:t>contribuy</w:t>
      </w:r>
      <w:r>
        <w:rPr>
          <w:rFonts w:ascii="Verdana" w:eastAsia="Calibri" w:hAnsi="Verdana" w:cs="Arial"/>
          <w:color w:val="000000" w:themeColor="text1"/>
        </w:rPr>
        <w:t>e</w:t>
      </w:r>
      <w:r w:rsidRPr="00B07AE7">
        <w:rPr>
          <w:rFonts w:ascii="Verdana" w:eastAsia="Calibri" w:hAnsi="Verdana" w:cs="Arial"/>
          <w:color w:val="000000" w:themeColor="text1"/>
        </w:rPr>
        <w:t>n al cumplimiento de</w:t>
      </w:r>
      <w:r>
        <w:rPr>
          <w:rFonts w:ascii="Verdana" w:eastAsia="Calibri" w:hAnsi="Verdana" w:cs="Arial"/>
          <w:color w:val="000000" w:themeColor="text1"/>
        </w:rPr>
        <w:t xml:space="preserve"> los </w:t>
      </w:r>
      <w:r>
        <w:rPr>
          <w:rFonts w:ascii="Verdana" w:eastAsia="Calibri" w:hAnsi="Verdana" w:cs="Arial"/>
          <w:color w:val="000000" w:themeColor="text1"/>
        </w:rPr>
        <w:lastRenderedPageBreak/>
        <w:t>fines</w:t>
      </w:r>
      <w:r w:rsidRPr="00B07AE7">
        <w:rPr>
          <w:rFonts w:ascii="Verdana" w:eastAsia="Calibri" w:hAnsi="Verdana" w:cs="Arial"/>
          <w:color w:val="000000" w:themeColor="text1"/>
        </w:rPr>
        <w:t xml:space="preserve"> principal</w:t>
      </w:r>
      <w:r>
        <w:rPr>
          <w:rFonts w:ascii="Verdana" w:eastAsia="Calibri" w:hAnsi="Verdana" w:cs="Arial"/>
          <w:color w:val="000000" w:themeColor="text1"/>
        </w:rPr>
        <w:t>es</w:t>
      </w:r>
      <w:r w:rsidRPr="00B07AE7">
        <w:rPr>
          <w:rFonts w:ascii="Verdana" w:eastAsia="Calibri" w:hAnsi="Verdana" w:cs="Arial"/>
          <w:color w:val="000000" w:themeColor="text1"/>
        </w:rPr>
        <w:t xml:space="preserve"> de la empresa</w:t>
      </w:r>
      <w:r>
        <w:rPr>
          <w:rFonts w:ascii="Verdana" w:eastAsia="Calibri" w:hAnsi="Verdana" w:cs="Arial"/>
          <w:color w:val="000000" w:themeColor="text1"/>
        </w:rPr>
        <w:t>, así como los necesarios para el ejercicio de los derechos de la sociedad o para cumplir obligaciones derivadas de su existencia o actividad</w:t>
      </w:r>
      <w:r>
        <w:rPr>
          <w:rStyle w:val="Refdenotaalpie"/>
          <w:rFonts w:ascii="Verdana" w:eastAsia="Calibri" w:hAnsi="Verdana" w:cs="Arial"/>
          <w:color w:val="000000" w:themeColor="text1"/>
        </w:rPr>
        <w:footnoteReference w:id="1"/>
      </w:r>
      <w:r w:rsidRPr="00B07AE7">
        <w:rPr>
          <w:rFonts w:ascii="Verdana" w:eastAsia="Calibri" w:hAnsi="Verdana" w:cs="Arial"/>
          <w:color w:val="000000" w:themeColor="text1"/>
        </w:rPr>
        <w:t>.</w:t>
      </w:r>
      <w:r>
        <w:rPr>
          <w:rFonts w:ascii="Verdana" w:eastAsia="Calibri" w:hAnsi="Verdana" w:cs="Arial"/>
          <w:color w:val="000000" w:themeColor="text1"/>
        </w:rPr>
        <w:t xml:space="preserve"> Estas limitaciones a la capacidad se justifican en la medida que </w:t>
      </w:r>
      <w:r w:rsidRPr="00E15E03">
        <w:rPr>
          <w:rFonts w:ascii="Verdana" w:eastAsia="Calibri" w:hAnsi="Verdana" w:cs="Arial"/>
          <w:color w:val="000000" w:themeColor="text1"/>
        </w:rPr>
        <w:t>"</w:t>
      </w:r>
      <w:r>
        <w:rPr>
          <w:rFonts w:ascii="Verdana" w:eastAsia="Calibri" w:hAnsi="Verdana" w:cs="Arial"/>
          <w:color w:val="000000" w:themeColor="text1"/>
        </w:rPr>
        <w:t xml:space="preserve">[…] </w:t>
      </w:r>
      <w:r w:rsidRPr="00E15E03">
        <w:rPr>
          <w:rFonts w:ascii="Verdana" w:eastAsia="Calibri" w:hAnsi="Verdana" w:cs="Arial"/>
          <w:color w:val="000000" w:themeColor="text1"/>
        </w:rPr>
        <w:t>los aportes al</w:t>
      </w:r>
      <w:r>
        <w:rPr>
          <w:rFonts w:ascii="Verdana" w:eastAsia="Calibri" w:hAnsi="Verdana" w:cs="Arial"/>
          <w:color w:val="000000" w:themeColor="text1"/>
        </w:rPr>
        <w:t xml:space="preserve"> </w:t>
      </w:r>
      <w:r w:rsidRPr="00E15E03">
        <w:rPr>
          <w:rFonts w:ascii="Verdana" w:eastAsia="Calibri" w:hAnsi="Verdana" w:cs="Arial"/>
          <w:color w:val="000000" w:themeColor="text1"/>
        </w:rPr>
        <w:t>fondo social se hacen precisamente para los negocios sociales y, por eso, no pueden ser distraídos en actividades distintas, para no desvirtuar y dejar de cumplir el contrato social</w:t>
      </w:r>
      <w:r>
        <w:rPr>
          <w:rFonts w:ascii="Verdana" w:eastAsia="Calibri" w:hAnsi="Verdana" w:cs="Arial"/>
          <w:color w:val="000000" w:themeColor="text1"/>
        </w:rPr>
        <w:t>”</w:t>
      </w:r>
      <w:r>
        <w:rPr>
          <w:rStyle w:val="Refdenotaalpie"/>
          <w:rFonts w:ascii="Verdana" w:eastAsia="Calibri" w:hAnsi="Verdana" w:cs="Arial"/>
          <w:color w:val="000000" w:themeColor="text1"/>
        </w:rPr>
        <w:footnoteReference w:id="2"/>
      </w:r>
      <w:r>
        <w:rPr>
          <w:rFonts w:ascii="Verdana" w:eastAsia="Calibri" w:hAnsi="Verdana" w:cs="Arial"/>
          <w:color w:val="000000" w:themeColor="text1"/>
        </w:rPr>
        <w:t>.</w:t>
      </w:r>
    </w:p>
    <w:p w14:paraId="3E4D7059" w14:textId="20459C47" w:rsidR="005C5128" w:rsidRDefault="00E752D2" w:rsidP="005C5128">
      <w:pPr>
        <w:pBdr>
          <w:top w:val="nil"/>
          <w:left w:val="nil"/>
          <w:bottom w:val="nil"/>
          <w:right w:val="nil"/>
          <w:between w:val="nil"/>
        </w:pBdr>
        <w:spacing w:after="120" w:line="276" w:lineRule="auto"/>
        <w:ind w:firstLine="708"/>
        <w:jc w:val="both"/>
        <w:rPr>
          <w:rFonts w:ascii="Verdana" w:eastAsia="Calibri" w:hAnsi="Verdana" w:cs="Arial"/>
          <w:color w:val="000000" w:themeColor="text1"/>
        </w:rPr>
      </w:pPr>
      <w:r>
        <w:rPr>
          <w:rFonts w:ascii="Verdana" w:eastAsia="Calibri" w:hAnsi="Verdana" w:cs="Arial"/>
          <w:color w:val="000000" w:themeColor="text1"/>
        </w:rPr>
        <w:t xml:space="preserve">Aunque lo descrito en los párrafos precedentes constituye </w:t>
      </w:r>
      <w:r w:rsidR="0025397F">
        <w:rPr>
          <w:rFonts w:ascii="Verdana" w:eastAsia="Calibri" w:hAnsi="Verdana" w:cs="Arial"/>
          <w:color w:val="000000" w:themeColor="text1"/>
        </w:rPr>
        <w:t xml:space="preserve">la </w:t>
      </w:r>
      <w:r>
        <w:rPr>
          <w:rFonts w:ascii="Verdana" w:eastAsia="Calibri" w:hAnsi="Verdana" w:cs="Arial"/>
          <w:color w:val="000000" w:themeColor="text1"/>
        </w:rPr>
        <w:t>regla general, excepcionalmente el ordenamiento jurídico permite la constitución de personas jurídicas con objeto indeterminado. Este es el caso de las sociedades por acciones simplificadas, especialmente</w:t>
      </w:r>
      <w:r w:rsidRPr="009E670D">
        <w:rPr>
          <w:rFonts w:ascii="Verdana" w:eastAsia="Calibri" w:hAnsi="Verdana" w:cs="Arial"/>
          <w:color w:val="000000" w:themeColor="text1"/>
        </w:rPr>
        <w:t>, cuando el artículo 5.4 de la Ley 1258 de 2008 indica que para su constitución debe expresarse “Una enunciación clara y completa de las actividades principales, a menos que se exprese que la sociedad podrá realizar cualquier actividad comercial o civil, lícita. Si nada se expresa en el acto de constitución, se entenderá que la sociedad podrá realizar cualquier actividad lícita</w:t>
      </w:r>
      <w:r>
        <w:rPr>
          <w:rFonts w:ascii="Verdana" w:eastAsia="Calibri" w:hAnsi="Verdana" w:cs="Arial"/>
          <w:color w:val="000000" w:themeColor="text1"/>
        </w:rPr>
        <w:t>”</w:t>
      </w:r>
      <w:r>
        <w:rPr>
          <w:rStyle w:val="Refdenotaalpie"/>
          <w:rFonts w:ascii="Verdana" w:eastAsia="Calibri" w:hAnsi="Verdana" w:cs="Arial"/>
          <w:color w:val="000000" w:themeColor="text1"/>
        </w:rPr>
        <w:footnoteReference w:id="3"/>
      </w:r>
      <w:r w:rsidRPr="009E670D">
        <w:rPr>
          <w:rFonts w:ascii="Verdana" w:eastAsia="Calibri" w:hAnsi="Verdana" w:cs="Arial"/>
          <w:color w:val="000000" w:themeColor="text1"/>
        </w:rPr>
        <w:t xml:space="preserve">. </w:t>
      </w:r>
      <w:r w:rsidR="005B1797">
        <w:rPr>
          <w:rFonts w:ascii="Verdana" w:eastAsia="Calibri" w:hAnsi="Verdana" w:cs="Arial"/>
          <w:color w:val="000000" w:themeColor="text1"/>
        </w:rPr>
        <w:t xml:space="preserve">En ese sentido, </w:t>
      </w:r>
      <w:r w:rsidR="00775482">
        <w:rPr>
          <w:rFonts w:ascii="Verdana" w:eastAsia="Calibri" w:hAnsi="Verdana" w:cs="Arial"/>
          <w:color w:val="000000" w:themeColor="text1"/>
        </w:rPr>
        <w:t xml:space="preserve">atendiendo al objeto de su consulta debe </w:t>
      </w:r>
      <w:r w:rsidR="00775482">
        <w:rPr>
          <w:rFonts w:ascii="Verdana" w:eastAsia="Calibri" w:hAnsi="Verdana" w:cs="Arial"/>
          <w:color w:val="000000" w:themeColor="text1"/>
        </w:rPr>
        <w:lastRenderedPageBreak/>
        <w:t xml:space="preserve">señalarse que, las </w:t>
      </w:r>
      <w:r w:rsidR="005C5128">
        <w:rPr>
          <w:rFonts w:ascii="Verdana" w:eastAsia="Calibri" w:hAnsi="Verdana" w:cs="Arial"/>
          <w:color w:val="000000" w:themeColor="text1"/>
        </w:rPr>
        <w:t>sociedades con objeto indeterminado –como las sociedades por acciones simplificadas– pueden solicitar la limitación de la convocatoria a Mipymes,</w:t>
      </w:r>
      <w:r w:rsidR="005C5128">
        <w:rPr>
          <w:rFonts w:ascii="Verdana" w:eastAsia="Times New Roman" w:hAnsi="Verdana" w:cs="Arial"/>
          <w:color w:val="000000" w:themeColor="text1"/>
          <w:lang w:val="es-ES_tradnl" w:eastAsia="es-ES_tradnl"/>
        </w:rPr>
        <w:t xml:space="preserve"> ya que –en las condiciones del</w:t>
      </w:r>
      <w:r w:rsidR="005C5128" w:rsidRPr="007F1E47">
        <w:rPr>
          <w:rFonts w:ascii="Verdana" w:eastAsia="Calibri" w:hAnsi="Verdana" w:cs="Arial"/>
          <w:color w:val="000000" w:themeColor="text1"/>
        </w:rPr>
        <w:t xml:space="preserve"> </w:t>
      </w:r>
      <w:r w:rsidR="005C5128" w:rsidRPr="009E670D">
        <w:rPr>
          <w:rFonts w:ascii="Verdana" w:eastAsia="Calibri" w:hAnsi="Verdana" w:cs="Arial"/>
          <w:color w:val="000000" w:themeColor="text1"/>
        </w:rPr>
        <w:t>artículo 5.4 de la Ley 1258 de 2008</w:t>
      </w:r>
      <w:r w:rsidR="005C5128">
        <w:rPr>
          <w:rFonts w:ascii="Verdana" w:eastAsia="Calibri" w:hAnsi="Verdana" w:cs="Arial"/>
          <w:color w:val="000000" w:themeColor="text1"/>
        </w:rPr>
        <w:t xml:space="preserve">– </w:t>
      </w:r>
      <w:r w:rsidR="005C5128">
        <w:rPr>
          <w:rFonts w:ascii="Verdana" w:eastAsia="Times New Roman" w:hAnsi="Verdana" w:cs="Arial"/>
          <w:color w:val="000000" w:themeColor="text1"/>
          <w:lang w:val="es-ES_tradnl" w:eastAsia="es-ES_tradnl"/>
        </w:rPr>
        <w:t>pueden ejecutar cualquier actividad lícita.</w:t>
      </w:r>
      <w:r w:rsidR="005C5128">
        <w:rPr>
          <w:rFonts w:ascii="Verdana" w:eastAsia="Calibri" w:hAnsi="Verdana" w:cs="Arial"/>
          <w:color w:val="000000" w:themeColor="text1"/>
        </w:rPr>
        <w:t xml:space="preserve"> </w:t>
      </w:r>
    </w:p>
    <w:p w14:paraId="37689558" w14:textId="5F801DAC" w:rsidR="00835BF6" w:rsidRDefault="00835BF6" w:rsidP="00835BF6">
      <w:pPr>
        <w:spacing w:after="120" w:line="276" w:lineRule="auto"/>
        <w:ind w:firstLine="708"/>
        <w:jc w:val="both"/>
        <w:rPr>
          <w:rFonts w:ascii="Verdana" w:hAnsi="Verdana"/>
          <w:lang w:val="es-ES"/>
        </w:rPr>
      </w:pPr>
      <w:r w:rsidRPr="0030552B">
        <w:rPr>
          <w:rFonts w:ascii="Verdana" w:hAnsi="Verdana"/>
          <w:lang w:val="es-ES"/>
        </w:rPr>
        <w:t>Por lo demás, e</w:t>
      </w:r>
      <w:r w:rsidR="00E2595A">
        <w:rPr>
          <w:rFonts w:ascii="Verdana" w:hAnsi="Verdana"/>
          <w:lang w:val="es-ES"/>
        </w:rPr>
        <w:t>l</w:t>
      </w:r>
      <w:r w:rsidRPr="0030552B">
        <w:rPr>
          <w:rFonts w:ascii="Verdana" w:hAnsi="Verdana"/>
          <w:lang w:val="es-ES"/>
        </w:rPr>
        <w:t xml:space="preserve"> artículo </w:t>
      </w:r>
      <w:r w:rsidR="00E2595A" w:rsidRPr="00836B55">
        <w:rPr>
          <w:rFonts w:ascii="Verdana" w:hAnsi="Verdana"/>
          <w:lang w:val="es-ES_tradnl"/>
        </w:rPr>
        <w:t>.2.1.2.4.2.2 del Decreto 1082 de 2015</w:t>
      </w:r>
      <w:r w:rsidR="00E2595A">
        <w:rPr>
          <w:rFonts w:ascii="Verdana" w:hAnsi="Verdana"/>
          <w:lang w:val="es-ES_tradnl"/>
        </w:rPr>
        <w:t xml:space="preserve"> </w:t>
      </w:r>
      <w:r w:rsidRPr="0030552B">
        <w:rPr>
          <w:rFonts w:ascii="Verdana" w:hAnsi="Verdana"/>
          <w:lang w:val="es-ES"/>
        </w:rPr>
        <w:t>incluye a las cooperativas y demás entidades de economía solidaria dentro de los sujetos que pueden solicitar y participar en las convocatorias limitadas a Mipyme, siempre que estas cumplan con las condiciones señaladas en el artículo.</w:t>
      </w:r>
    </w:p>
    <w:p w14:paraId="6E2ED87B" w14:textId="51576E61" w:rsidR="00836B55" w:rsidRPr="00836B55" w:rsidRDefault="0007011B" w:rsidP="00796052">
      <w:pPr>
        <w:spacing w:after="120" w:line="276" w:lineRule="auto"/>
        <w:ind w:firstLine="708"/>
        <w:jc w:val="both"/>
        <w:rPr>
          <w:rFonts w:ascii="Verdana" w:hAnsi="Verdana"/>
          <w:lang w:val="es-ES"/>
        </w:rPr>
      </w:pPr>
      <w:r>
        <w:rPr>
          <w:rFonts w:ascii="Verdana" w:hAnsi="Verdana"/>
          <w:lang w:val="es-ES"/>
        </w:rPr>
        <w:t xml:space="preserve">Ahora bien, </w:t>
      </w:r>
      <w:r>
        <w:rPr>
          <w:rFonts w:ascii="Verdana" w:hAnsi="Verdana"/>
          <w:lang w:val="es-ES_tradnl"/>
        </w:rPr>
        <w:t>d</w:t>
      </w:r>
      <w:r w:rsidR="00836B55" w:rsidRPr="00836B55">
        <w:rPr>
          <w:rFonts w:ascii="Verdana" w:hAnsi="Verdana"/>
          <w:lang w:val="es-ES_tradnl"/>
        </w:rPr>
        <w:t xml:space="preserve">e la redacción del parágrafo 1 del artículo 34 de la Ley 2069 de 2020, según el cual, “En los procesos de selección que se desarrollen con base en el primer inciso, las entidades podrán realizar las convocatorias limitadas que beneficien a las MiPymes del ámbito </w:t>
      </w:r>
      <w:r w:rsidR="00836B55" w:rsidRPr="00796052">
        <w:rPr>
          <w:rFonts w:ascii="Verdana" w:hAnsi="Verdana"/>
          <w:i/>
          <w:lang w:val="es-ES_tradnl"/>
        </w:rPr>
        <w:t>municipal o departamental</w:t>
      </w:r>
      <w:r w:rsidR="00836B55" w:rsidRPr="00836B55">
        <w:rPr>
          <w:rFonts w:ascii="Verdana" w:hAnsi="Verdana"/>
          <w:lang w:val="es-ES_tradnl"/>
        </w:rPr>
        <w:t xml:space="preserve"> correspondiente al de la ejecución del contrato”</w:t>
      </w:r>
      <w:r w:rsidR="008F7130">
        <w:rPr>
          <w:rFonts w:ascii="Verdana" w:hAnsi="Verdana"/>
          <w:lang w:val="es-ES_tradnl"/>
        </w:rPr>
        <w:t xml:space="preserve"> [Énfasis fuera del texto]</w:t>
      </w:r>
      <w:r w:rsidR="00836B55" w:rsidRPr="00836B55">
        <w:rPr>
          <w:rFonts w:ascii="Verdana" w:hAnsi="Verdana"/>
          <w:lang w:val="es-ES_tradnl"/>
        </w:rPr>
        <w:t>, se desprende que en tales términos, la norma citada solo contempla la posibilidad de limitar convocatorias a Mi</w:t>
      </w:r>
      <w:r w:rsidR="008A536D">
        <w:rPr>
          <w:rFonts w:ascii="Verdana" w:hAnsi="Verdana"/>
          <w:lang w:val="es-ES_tradnl"/>
        </w:rPr>
        <w:t>p</w:t>
      </w:r>
      <w:r w:rsidR="00836B55" w:rsidRPr="00836B55">
        <w:rPr>
          <w:rFonts w:ascii="Verdana" w:hAnsi="Verdana"/>
          <w:lang w:val="es-ES_tradnl"/>
        </w:rPr>
        <w:t xml:space="preserve">ymes con domicilio en esos dos tipos de entidades territoriales. </w:t>
      </w:r>
    </w:p>
    <w:p w14:paraId="601C24FC" w14:textId="77777777" w:rsidR="00836B55" w:rsidRPr="00836B55" w:rsidRDefault="00836B55" w:rsidP="00796052">
      <w:pPr>
        <w:spacing w:after="120" w:line="276" w:lineRule="auto"/>
        <w:ind w:firstLine="708"/>
        <w:jc w:val="both"/>
        <w:rPr>
          <w:rFonts w:ascii="Verdana" w:hAnsi="Verdana"/>
          <w:lang w:val="es-ES"/>
        </w:rPr>
      </w:pPr>
      <w:r w:rsidRPr="00836B55">
        <w:rPr>
          <w:rFonts w:ascii="Verdana" w:hAnsi="Verdana"/>
          <w:lang w:val="es-ES"/>
        </w:rPr>
        <w:t xml:space="preserve">En ese sentido, toda empresa constituida bajo las leyes colombianas o que tenga su domicilio principal en el territorio colombiano y, además, cumpla los criterios previstos por la Ley 590 de 2000 y el Decreto 957 de 2019, será considerada Mipyme nacional. Además, las normas de contratación permiten que las Mipyme nacionales puedan beneficiarse de la ejecución de un contrato dentro de la entidad territorial en la que tienen su “domicilio”. </w:t>
      </w:r>
    </w:p>
    <w:p w14:paraId="1D279EB6" w14:textId="77777777" w:rsidR="00836B55" w:rsidRPr="00836B55" w:rsidRDefault="00836B55" w:rsidP="00796052">
      <w:pPr>
        <w:spacing w:after="120" w:line="276" w:lineRule="auto"/>
        <w:ind w:firstLine="708"/>
        <w:jc w:val="both"/>
        <w:rPr>
          <w:rFonts w:ascii="Verdana" w:hAnsi="Verdana"/>
          <w:lang w:val="es-ES"/>
        </w:rPr>
      </w:pPr>
      <w:r w:rsidRPr="00836B55">
        <w:rPr>
          <w:rFonts w:ascii="Verdana" w:hAnsi="Verdana"/>
          <w:lang w:val="es-ES"/>
        </w:rPr>
        <w:t xml:space="preserve">Por otro lado, no puede perderse de vista que la decisión de limitar “a Mipyme colombianas que tengan domicilio en los departamentos o municipios en donde se va a ejecutar el contrato”, aunque es facultativa de la entidad, está supeditada a que se verifiquen los requisitos establecidos en los numerales 1 y 2 del precitado artículo 2.2.1.2.4.2.2 del Decreto 1082 de 2015, modificado por el Decreto 1860 de 2021. En ese sentido, si la Entidad no recibió las solicitudes para limitar la convocatoria a Mipyme, no puede </w:t>
      </w:r>
      <w:r w:rsidRPr="00836B55">
        <w:rPr>
          <w:rFonts w:ascii="Verdana" w:hAnsi="Verdana"/>
          <w:i/>
          <w:iCs/>
          <w:lang w:val="es-ES"/>
        </w:rPr>
        <w:t xml:space="preserve">motu proprio </w:t>
      </w:r>
      <w:r w:rsidRPr="00836B55">
        <w:rPr>
          <w:rFonts w:ascii="Verdana" w:hAnsi="Verdana"/>
          <w:lang w:val="es-ES"/>
        </w:rPr>
        <w:t>proceder con la “limitación territorial” de que trata el artículo 2.2.1.2.4.2.3 del Decreto 1082 de 2015. Esto debido a que el ejercicio de esta facultad solo puede darse ante la “limitación a MiPymes colombianas”, lo cual supone verificar los supuestos legales establecidos en los mencionados numerales.</w:t>
      </w:r>
    </w:p>
    <w:p w14:paraId="6E7CAF16" w14:textId="77777777" w:rsidR="00836B55" w:rsidRPr="00836B55" w:rsidRDefault="00836B55" w:rsidP="00796052">
      <w:pPr>
        <w:spacing w:after="120" w:line="276" w:lineRule="auto"/>
        <w:ind w:firstLine="708"/>
        <w:jc w:val="both"/>
        <w:rPr>
          <w:rFonts w:ascii="Verdana" w:hAnsi="Verdana"/>
          <w:lang w:val="es-ES"/>
        </w:rPr>
      </w:pPr>
      <w:r w:rsidRPr="00836B55">
        <w:rPr>
          <w:rFonts w:ascii="Verdana" w:hAnsi="Verdana"/>
          <w:lang w:val="es-ES"/>
        </w:rPr>
        <w:t xml:space="preserve">Cumplidos los dos requisitos del artículo 2.2.1.2.4.2.2 </w:t>
      </w:r>
      <w:proofErr w:type="spellStart"/>
      <w:r w:rsidRPr="00836B55">
        <w:rPr>
          <w:rFonts w:ascii="Verdana" w:hAnsi="Verdana"/>
          <w:i/>
          <w:iCs/>
          <w:lang w:val="es-ES"/>
        </w:rPr>
        <w:t>ibídem</w:t>
      </w:r>
      <w:proofErr w:type="spellEnd"/>
      <w:r w:rsidRPr="00836B55">
        <w:rPr>
          <w:rFonts w:ascii="Verdana" w:hAnsi="Verdana"/>
          <w:lang w:val="es-ES"/>
        </w:rPr>
        <w:t xml:space="preserve">, la Entidad Estatal, independientemente de su régimen de contratación, los patrimonios autónomos constituidos por Entidades Estatales y los particulares que ejecuten recursos públicos, </w:t>
      </w:r>
      <w:r w:rsidRPr="00796052">
        <w:rPr>
          <w:rFonts w:ascii="Verdana" w:hAnsi="Verdana"/>
          <w:lang w:val="es-ES"/>
        </w:rPr>
        <w:t xml:space="preserve">pueden ─sin estar obligadas─ decidir si limitan la convocatoria </w:t>
      </w:r>
      <w:r w:rsidRPr="00796052">
        <w:rPr>
          <w:rFonts w:ascii="Verdana" w:hAnsi="Verdana"/>
          <w:lang w:val="es-ES"/>
        </w:rPr>
        <w:lastRenderedPageBreak/>
        <w:t>a las Mipyme colombianas domiciliadas en el municipio o departamento en el que se ejecutará el contrato</w:t>
      </w:r>
      <w:r w:rsidRPr="00836B55">
        <w:rPr>
          <w:rFonts w:ascii="Verdana" w:hAnsi="Verdana"/>
          <w:lang w:val="es-ES"/>
        </w:rPr>
        <w:t xml:space="preserve">. Esto de acuerdo con el artículo 2.2.1.2.4.2.3 del Decreto 1082 de 2015 </w:t>
      </w:r>
      <w:r w:rsidRPr="00836B55">
        <w:rPr>
          <w:rFonts w:ascii="Verdana" w:hAnsi="Verdana"/>
          <w:lang w:val="es-ES_tradnl"/>
        </w:rPr>
        <w:t>modificado por el Decreto 1860 de 2021</w:t>
      </w:r>
      <w:r w:rsidRPr="00836B55">
        <w:rPr>
          <w:rFonts w:ascii="Verdana" w:hAnsi="Verdana"/>
          <w:lang w:val="es-ES"/>
        </w:rPr>
        <w:t xml:space="preserve">, norma que se refiere a la facultad de la administración con el verbo infinitivo “poder”, no “deber”. </w:t>
      </w:r>
    </w:p>
    <w:p w14:paraId="35A8DDA5" w14:textId="77777777" w:rsidR="00836B55" w:rsidRPr="00836B55" w:rsidRDefault="00836B55" w:rsidP="00796052">
      <w:pPr>
        <w:spacing w:after="120" w:line="276" w:lineRule="auto"/>
        <w:ind w:firstLine="708"/>
        <w:jc w:val="both"/>
        <w:rPr>
          <w:rFonts w:ascii="Verdana" w:hAnsi="Verdana"/>
          <w:lang w:val="es-ES"/>
        </w:rPr>
      </w:pPr>
      <w:r w:rsidRPr="00836B55">
        <w:rPr>
          <w:rFonts w:ascii="Verdana" w:hAnsi="Verdana"/>
          <w:lang w:val="es-ES"/>
        </w:rPr>
        <w:t xml:space="preserve">En tal sentido, lo que debe adoptarse obligatoriamente es la limitación a MiPymes colombianas siempre que se cumplan las condiciones del artículo 2.2.1.2.4.2.2 del Decreto 1082 de 2015, pero no la “limitación territorial” referida en el artículo 2.2.1.2.4.2.3 </w:t>
      </w:r>
      <w:proofErr w:type="spellStart"/>
      <w:r w:rsidRPr="00836B55">
        <w:rPr>
          <w:rFonts w:ascii="Verdana" w:hAnsi="Verdana"/>
          <w:i/>
          <w:iCs/>
          <w:lang w:val="es-ES"/>
        </w:rPr>
        <w:t>ibídem</w:t>
      </w:r>
      <w:proofErr w:type="spellEnd"/>
      <w:r w:rsidRPr="00836B55">
        <w:rPr>
          <w:rFonts w:ascii="Verdana" w:hAnsi="Verdana"/>
          <w:lang w:val="es-ES"/>
        </w:rPr>
        <w:t>, pues esta es facultativa para la Entidad. Las únicas exigencias son que la convocatoria esté limitada a las Mipyme colombianas “domiciliadas en los departamentos o municipios en donde se va a ejecutar el contrato” y que la entidad justifique su decisión con base en los “estudios del sector”</w:t>
      </w:r>
      <w:r w:rsidRPr="00836B55">
        <w:rPr>
          <w:rFonts w:ascii="Verdana" w:hAnsi="Verdana"/>
          <w:vertAlign w:val="superscript"/>
          <w:lang w:val="es-ES"/>
        </w:rPr>
        <w:footnoteReference w:id="4"/>
      </w:r>
      <w:r w:rsidRPr="00836B55">
        <w:rPr>
          <w:rFonts w:ascii="Verdana" w:hAnsi="Verdana"/>
          <w:lang w:val="es-ES"/>
        </w:rPr>
        <w:t xml:space="preserve"> No es procedente, entonces, que sean las MiPymes las que soliciten la “limitación territorial” a la que se refiere el artículo 2.2.1.2.4.2.3 del Decreto 1082 de 2015. </w:t>
      </w:r>
    </w:p>
    <w:p w14:paraId="38C3F476" w14:textId="77777777" w:rsidR="00836B55" w:rsidRPr="00836B55" w:rsidRDefault="00836B55" w:rsidP="00796052">
      <w:pPr>
        <w:spacing w:after="120" w:line="276" w:lineRule="auto"/>
        <w:ind w:firstLine="708"/>
        <w:jc w:val="both"/>
        <w:rPr>
          <w:rFonts w:ascii="Verdana" w:hAnsi="Verdana"/>
        </w:rPr>
      </w:pPr>
      <w:r w:rsidRPr="00836B55">
        <w:rPr>
          <w:rFonts w:ascii="Verdana" w:hAnsi="Verdana"/>
        </w:rPr>
        <w:t xml:space="preserve">El origen de las Mipyme que solicitan la “limitación territorial” no es relevante frente a dicha decisión por dos razones: primero, porque las Mipyme no están habilitadas para pedir la “limitación territorial”, lo están para pedir la “convocatoria limitada a MiPymes”, y, segundo, porque el único criterio para tener en cuenta, una vez se ha decidido justificadamente limitar territorialmente </w:t>
      </w:r>
      <w:r w:rsidRPr="00836B55">
        <w:rPr>
          <w:rFonts w:ascii="Verdana" w:hAnsi="Verdana"/>
        </w:rPr>
        <w:lastRenderedPageBreak/>
        <w:t>la convocatoria previamente limitada a Mipyme, es el lugar donde se va a ejecutar el contrato.</w:t>
      </w:r>
    </w:p>
    <w:p w14:paraId="4687CC43" w14:textId="77777777" w:rsidR="00836B55" w:rsidRPr="00836B55" w:rsidRDefault="00836B55" w:rsidP="00796052">
      <w:pPr>
        <w:spacing w:after="120" w:line="276" w:lineRule="auto"/>
        <w:ind w:firstLine="708"/>
        <w:jc w:val="both"/>
        <w:rPr>
          <w:rFonts w:ascii="Verdana" w:hAnsi="Verdana"/>
        </w:rPr>
      </w:pPr>
      <w:r w:rsidRPr="00836B55">
        <w:rPr>
          <w:rFonts w:ascii="Verdana" w:hAnsi="Verdana"/>
        </w:rPr>
        <w:t>Del mismo modo, de conformidad con el artículo 2.2.1.2.4.2.4. del Decreto 1082 de 2015, resulta posible que una persona natural acredite su condición de Mipyme y participe en el proceso de selección limitado para estas empresas. Sin embargo, será la entidad contratante la llamada a verificar de manera objetiva si la limitación territorial resultaría contraria al propósito de la norma, según la cual se pretende la promoción de las economías y la industria local, y más bien determine que la limitación territorial derive a prácticas restrictivas de la competencia, en observancia de los principios de igualdad y selección objetiva, tendrá que abstenerse de hacer la limitación territorial.</w:t>
      </w:r>
    </w:p>
    <w:p w14:paraId="2E9754F6" w14:textId="77777777" w:rsidR="00836B55" w:rsidRPr="00836B55" w:rsidRDefault="00836B55" w:rsidP="00796052">
      <w:pPr>
        <w:spacing w:after="120" w:line="276" w:lineRule="auto"/>
        <w:ind w:firstLine="708"/>
        <w:jc w:val="both"/>
        <w:rPr>
          <w:rFonts w:ascii="Verdana" w:hAnsi="Verdana"/>
        </w:rPr>
      </w:pPr>
      <w:r w:rsidRPr="00836B55">
        <w:rPr>
          <w:rFonts w:ascii="Verdana" w:hAnsi="Verdana"/>
        </w:rPr>
        <w:t>En resumen, la decisión de limitar o no territorialmente una convocatoria limitada a MiPymes nacionales es una facultad discrecional, de manera que la Entidad contratante valorará si es oportuno y conveniente adoptarla</w:t>
      </w:r>
      <w:r w:rsidRPr="00836B55">
        <w:rPr>
          <w:rFonts w:ascii="Verdana" w:hAnsi="Verdana"/>
          <w:vertAlign w:val="superscript"/>
        </w:rPr>
        <w:footnoteReference w:id="5"/>
      </w:r>
      <w:r w:rsidRPr="00836B55">
        <w:rPr>
          <w:rFonts w:ascii="Verdana" w:hAnsi="Verdana"/>
        </w:rPr>
        <w:t xml:space="preserve">. Sin embargo, aunque la discrecionalidad implica una elección administrativa, no puede ser una decisión irracional o arbitraria. </w:t>
      </w:r>
    </w:p>
    <w:p w14:paraId="56069EBA" w14:textId="77777777" w:rsidR="00836B55" w:rsidRPr="00836B55" w:rsidRDefault="00836B55" w:rsidP="00796052">
      <w:pPr>
        <w:spacing w:after="120" w:line="276" w:lineRule="auto"/>
        <w:ind w:firstLine="708"/>
        <w:jc w:val="both"/>
        <w:rPr>
          <w:rFonts w:ascii="Verdana" w:hAnsi="Verdana"/>
        </w:rPr>
      </w:pPr>
      <w:r w:rsidRPr="00836B55">
        <w:rPr>
          <w:rFonts w:ascii="Verdana" w:hAnsi="Verdana"/>
        </w:rPr>
        <w:t xml:space="preserve">Por lo anterior, el ordenamiento impone una carga de motivación en el ejercicio de este tipo de facultades, pues –teniendo en cuenta la remisión del artículo 77 de la Ley 80 de 1993 a las normas que rigen los procedimientos y actuaciones en la función administrativa– el artículo 44 de la Ley 1437 de 2011 dispone que “En la medida en que el contenido de una decisión de carácter general o particular sea discrecional, debe ser adecuada a los fines de la norma que la autoriza, y proporcional a los hechos que le sirven de causa”. En cada caso concreto, las consecuencias del incumplimiento de este deber serán analizadas por el juez del contrato previo ejercicio del derecho de acción, bajo en el entendido que la falsa de motivación es uno de los vicios invalidantes de los actos administrativos –art. 137, inc. 2, de la Ley 1437 de 2011–.  </w:t>
      </w:r>
    </w:p>
    <w:p w14:paraId="57CDA76E" w14:textId="77777777" w:rsidR="00836B55" w:rsidRDefault="00836B55" w:rsidP="00796052">
      <w:pPr>
        <w:spacing w:after="0" w:line="276" w:lineRule="auto"/>
        <w:ind w:firstLine="708"/>
        <w:jc w:val="both"/>
        <w:rPr>
          <w:rFonts w:ascii="Verdana" w:hAnsi="Verdana"/>
        </w:rPr>
      </w:pPr>
      <w:r w:rsidRPr="00836B55">
        <w:rPr>
          <w:rFonts w:ascii="Verdana" w:hAnsi="Verdana"/>
        </w:rPr>
        <w:t xml:space="preserve">En todo caso, situaciones en las que se presentan un ejercicio de la potestad de limitar a MiPymes desconociendo los anteriores presupuestos mínimos, bien podrían ser cuestionadas por los proponentes, veedores y ciudadanía en general ya sea a través de observaciones, en el ejercicio del derecho fundamental de petición ante la respectiva entidad estatal o la </w:t>
      </w:r>
      <w:r w:rsidRPr="00836B55">
        <w:rPr>
          <w:rFonts w:ascii="Verdana" w:hAnsi="Verdana"/>
        </w:rPr>
        <w:lastRenderedPageBreak/>
        <w:t>presentación de denuncias antes las autoridades competentes en el caso de que se evidencien prácticas restrictivas a la competencia, o con relevancia penal o disciplinaria. Así mismo, en atención al interés general que revisten los procesos de contratación, cualquier ciudadano podría también solicitar el control judicial del respectivo pliego de condiciones –o invitación en los procesos de mínima cuantía–, cuando encuentre que estos contravienen el marco legal que les aplica.</w:t>
      </w:r>
    </w:p>
    <w:p w14:paraId="4992D6E3" w14:textId="2222E77D" w:rsidR="0078122B" w:rsidRDefault="0078122B" w:rsidP="00796052">
      <w:pPr>
        <w:spacing w:after="0" w:line="276" w:lineRule="auto"/>
        <w:jc w:val="both"/>
        <w:rPr>
          <w:rFonts w:ascii="Verdana" w:hAnsi="Verdana"/>
        </w:rPr>
      </w:pPr>
      <w:r>
        <w:rPr>
          <w:rFonts w:ascii="Verdana" w:hAnsi="Verdana"/>
        </w:rPr>
        <w:t xml:space="preserve"> </w:t>
      </w:r>
    </w:p>
    <w:p w14:paraId="7E51AE82" w14:textId="77777777" w:rsidR="00165B58" w:rsidRPr="00165B58" w:rsidRDefault="00165B58" w:rsidP="00165B58">
      <w:pPr>
        <w:numPr>
          <w:ilvl w:val="0"/>
          <w:numId w:val="19"/>
        </w:numPr>
        <w:spacing w:after="0"/>
        <w:jc w:val="both"/>
        <w:rPr>
          <w:rFonts w:ascii="Verdana" w:hAnsi="Verdana"/>
          <w:b/>
          <w:bCs/>
          <w:lang w:val="es-ES"/>
        </w:rPr>
      </w:pPr>
      <w:r w:rsidRPr="00165B58">
        <w:rPr>
          <w:rFonts w:ascii="Verdana" w:hAnsi="Verdana"/>
          <w:b/>
          <w:bCs/>
          <w:lang w:val="es-ES"/>
        </w:rPr>
        <w:t>Referencias normativas, jurisprudenciales y otras fuentes:</w:t>
      </w:r>
    </w:p>
    <w:p w14:paraId="1EA0AA77" w14:textId="77777777" w:rsidR="00165B58" w:rsidRPr="00165B58" w:rsidRDefault="00165B58" w:rsidP="00165B58">
      <w:pPr>
        <w:spacing w:after="0"/>
        <w:jc w:val="both"/>
        <w:rPr>
          <w:rFonts w:ascii="Verdana" w:hAnsi="Verdana"/>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65B58" w:rsidRPr="00165B58" w14:paraId="1BD2CEAB" w14:textId="77777777" w:rsidTr="00853467">
        <w:trPr>
          <w:trHeight w:val="870"/>
        </w:trPr>
        <w:tc>
          <w:tcPr>
            <w:tcW w:w="8647" w:type="dxa"/>
          </w:tcPr>
          <w:p w14:paraId="79F78692" w14:textId="77777777" w:rsidR="0092233E" w:rsidRPr="0092233E" w:rsidRDefault="00165B58" w:rsidP="00165B58">
            <w:pPr>
              <w:numPr>
                <w:ilvl w:val="0"/>
                <w:numId w:val="18"/>
              </w:numPr>
              <w:spacing w:line="259" w:lineRule="auto"/>
              <w:jc w:val="both"/>
              <w:rPr>
                <w:rFonts w:ascii="Verdana" w:hAnsi="Verdana"/>
                <w:lang w:val="es-ES"/>
              </w:rPr>
            </w:pPr>
            <w:r w:rsidRPr="00165B58">
              <w:rPr>
                <w:rFonts w:ascii="Verdana" w:hAnsi="Verdana"/>
                <w:lang w:val="es-ES_tradnl"/>
              </w:rPr>
              <w:t xml:space="preserve">Decreto 1860 de 2021, numerales 1 y 2 del artículo 2.2.1.2.4.2.2. artículos, 2.2.1.2.4.2.3 2.2.1.2.4.2.4. </w:t>
            </w:r>
          </w:p>
          <w:p w14:paraId="14B846D0" w14:textId="5D289C0D" w:rsidR="00165B58" w:rsidRPr="00165B58" w:rsidRDefault="00165B58" w:rsidP="00165B58">
            <w:pPr>
              <w:numPr>
                <w:ilvl w:val="0"/>
                <w:numId w:val="18"/>
              </w:numPr>
              <w:spacing w:line="259" w:lineRule="auto"/>
              <w:jc w:val="both"/>
              <w:rPr>
                <w:rFonts w:ascii="Verdana" w:hAnsi="Verdana"/>
                <w:lang w:val="es-ES"/>
              </w:rPr>
            </w:pPr>
            <w:r w:rsidRPr="00165B58">
              <w:rPr>
                <w:rFonts w:ascii="Verdana" w:hAnsi="Verdana"/>
                <w:lang w:val="es-ES_tradnl"/>
              </w:rPr>
              <w:t>Ley 1150 de 2007 artículo 12.</w:t>
            </w:r>
          </w:p>
          <w:p w14:paraId="7C815A26" w14:textId="77777777" w:rsidR="00165B58" w:rsidRPr="00165B58" w:rsidRDefault="00165B58" w:rsidP="00165B58">
            <w:pPr>
              <w:numPr>
                <w:ilvl w:val="0"/>
                <w:numId w:val="18"/>
              </w:numPr>
              <w:spacing w:line="259" w:lineRule="auto"/>
              <w:jc w:val="both"/>
              <w:rPr>
                <w:rFonts w:ascii="Verdana" w:hAnsi="Verdana"/>
                <w:lang w:val="es-ES"/>
              </w:rPr>
            </w:pPr>
            <w:r w:rsidRPr="00165B58">
              <w:rPr>
                <w:rFonts w:ascii="Verdana" w:hAnsi="Verdana"/>
                <w:lang w:val="es-ES_tradnl"/>
              </w:rPr>
              <w:t>Ley 80 de 1993, literal g), numeral 1, Artículo 8.</w:t>
            </w:r>
          </w:p>
          <w:p w14:paraId="096C53AD" w14:textId="77777777" w:rsidR="00165B58" w:rsidRPr="00165B58" w:rsidRDefault="00165B58" w:rsidP="00165B58">
            <w:pPr>
              <w:numPr>
                <w:ilvl w:val="0"/>
                <w:numId w:val="18"/>
              </w:numPr>
              <w:spacing w:line="259" w:lineRule="auto"/>
              <w:jc w:val="both"/>
              <w:rPr>
                <w:rFonts w:ascii="Verdana" w:hAnsi="Verdana"/>
                <w:lang w:val="es-ES"/>
              </w:rPr>
            </w:pPr>
            <w:r w:rsidRPr="00165B58">
              <w:rPr>
                <w:rFonts w:ascii="Verdana" w:hAnsi="Verdana"/>
                <w:lang w:val="es-ES_tradnl"/>
              </w:rPr>
              <w:t>Ley 1150 de 2007, parágrafo 1, Artículo 5.</w:t>
            </w:r>
          </w:p>
        </w:tc>
      </w:tr>
    </w:tbl>
    <w:p w14:paraId="0C816334" w14:textId="77777777" w:rsidR="00165B58" w:rsidRPr="00C02F37" w:rsidRDefault="00165B58" w:rsidP="00165B58">
      <w:pPr>
        <w:spacing w:before="120" w:after="0" w:line="276" w:lineRule="auto"/>
        <w:jc w:val="both"/>
        <w:rPr>
          <w:rFonts w:ascii="Verdana" w:hAnsi="Verdana" w:cs="Arial"/>
          <w:color w:val="000000"/>
          <w:lang w:eastAsia="es-ES"/>
        </w:rPr>
      </w:pPr>
    </w:p>
    <w:p w14:paraId="5AC78BD8" w14:textId="77777777" w:rsidR="00165B58" w:rsidRPr="00C02F37" w:rsidRDefault="00165B58" w:rsidP="00165B58">
      <w:pPr>
        <w:pStyle w:val="Prrafodelista"/>
        <w:numPr>
          <w:ilvl w:val="0"/>
          <w:numId w:val="19"/>
        </w:numPr>
        <w:tabs>
          <w:tab w:val="left" w:pos="142"/>
          <w:tab w:val="left" w:pos="284"/>
        </w:tabs>
        <w:spacing w:after="0" w:line="276" w:lineRule="auto"/>
        <w:ind w:left="0" w:firstLine="0"/>
        <w:contextualSpacing w:val="0"/>
        <w:jc w:val="both"/>
        <w:rPr>
          <w:rFonts w:ascii="Verdana" w:hAnsi="Verdana" w:cs="Century Gothic"/>
          <w:b/>
          <w:bCs/>
        </w:rPr>
      </w:pPr>
      <w:r w:rsidRPr="00C02F37">
        <w:rPr>
          <w:rFonts w:ascii="Verdana" w:hAnsi="Verdana" w:cs="Century Gothic"/>
          <w:b/>
          <w:bCs/>
        </w:rPr>
        <w:t>Doctrina de la Agencia Nacional de Contratación Pública:</w:t>
      </w:r>
    </w:p>
    <w:p w14:paraId="344CC206" w14:textId="77777777" w:rsidR="00165B58" w:rsidRPr="00C02F37" w:rsidRDefault="00165B58" w:rsidP="00165B58">
      <w:pPr>
        <w:widowControl w:val="0"/>
        <w:autoSpaceDE w:val="0"/>
        <w:autoSpaceDN w:val="0"/>
        <w:spacing w:after="0" w:line="276" w:lineRule="auto"/>
        <w:jc w:val="both"/>
        <w:rPr>
          <w:rFonts w:ascii="Verdana" w:hAnsi="Verdana" w:cs="Arial"/>
        </w:rPr>
      </w:pPr>
    </w:p>
    <w:p w14:paraId="7FBC30E0" w14:textId="767DF7CE" w:rsidR="00165B58" w:rsidRDefault="00165B58" w:rsidP="00165B58">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C02F37">
        <w:rPr>
          <w:rFonts w:ascii="Verdana" w:hAnsi="Verdana"/>
        </w:rPr>
        <w:t xml:space="preserve">En lo relacionado con el ámbito de la consulta, esta Subdirección se ha pronunciado </w:t>
      </w:r>
      <w:r w:rsidRPr="000F7C08">
        <w:rPr>
          <w:rFonts w:ascii="Verdana" w:hAnsi="Verdana" w:cs="Arial"/>
        </w:rPr>
        <w:t>sobre las convocatorias limitadas a MiPymes, sus requisitos y características, en los Conceptos Nro.</w:t>
      </w:r>
      <w:r>
        <w:rPr>
          <w:rFonts w:ascii="Verdana" w:hAnsi="Verdana" w:cs="Arial"/>
        </w:rPr>
        <w:t xml:space="preserve"> </w:t>
      </w:r>
      <w:r w:rsidRPr="000F7C08">
        <w:rPr>
          <w:rFonts w:ascii="Verdana" w:hAnsi="Verdana" w:cs="Arial"/>
        </w:rPr>
        <w:t>C − 366 del 8 de</w:t>
      </w:r>
      <w:r>
        <w:rPr>
          <w:rFonts w:ascii="Verdana" w:hAnsi="Verdana"/>
        </w:rPr>
        <w:t xml:space="preserve"> septiembre de 2023 </w:t>
      </w:r>
      <w:r w:rsidRPr="00C02F37">
        <w:rPr>
          <w:rFonts w:ascii="Verdana" w:hAnsi="Verdana"/>
        </w:rPr>
        <w:t>C-436 del 24 de octubre de 2023, C-279 del 31 de octubre de 2023, C-048 del 23 de abril de 2024, C-084 del 30 de mayo de 2024, C-165 del 22 de julio de 2024, C-569 del 21 de octubre del 2024, C-532 del 10 de octubre de 2024, C-586 del 22 de octubre del 2024, C-623 del 30 de octubre del 2024, C-752 del 28 de noviembre del 2024</w:t>
      </w:r>
      <w:r>
        <w:rPr>
          <w:rFonts w:ascii="Verdana" w:hAnsi="Verdana"/>
        </w:rPr>
        <w:t>,</w:t>
      </w:r>
      <w:r w:rsidRPr="00C02F37">
        <w:rPr>
          <w:rFonts w:ascii="Verdana" w:hAnsi="Verdana"/>
        </w:rPr>
        <w:t xml:space="preserve"> C-829 del 03 de diciembre del 2024</w:t>
      </w:r>
      <w:r>
        <w:rPr>
          <w:rFonts w:ascii="Verdana" w:hAnsi="Verdana"/>
        </w:rPr>
        <w:t xml:space="preserve"> y C-100 del 25 de febrero de 2025</w:t>
      </w:r>
      <w:r w:rsidRPr="00C02F37">
        <w:rPr>
          <w:rFonts w:ascii="Verdana" w:hAnsi="Verdana"/>
        </w:rPr>
        <w:t xml:space="preserve">. </w:t>
      </w:r>
      <w:r w:rsidRPr="00C02F37">
        <w:rPr>
          <w:rStyle w:val="normaltextrun"/>
          <w:rFonts w:ascii="Verdana" w:hAnsi="Verdana" w:cs="Arial"/>
          <w:shd w:val="clear" w:color="auto" w:fill="FFFFFF"/>
          <w:lang w:val="es-ES"/>
        </w:rPr>
        <w:t>Es</w:t>
      </w:r>
      <w:r w:rsidRPr="00C02F37">
        <w:rPr>
          <w:rFonts w:ascii="Verdana" w:hAnsi="Verdana"/>
        </w:rPr>
        <w:t>tos y otros conceptos se encuentran disponibles para consulta en el Sistema de relatoría de la Agencia, al cual se puede acceder a través del siguiente enlace:</w:t>
      </w:r>
      <w:r w:rsidRPr="00C02F37">
        <w:rPr>
          <w:rStyle w:val="normaltextrun"/>
          <w:rFonts w:ascii="Verdana" w:hAnsi="Verdana" w:cs="Arial"/>
          <w:shd w:val="clear" w:color="auto" w:fill="FFFFFF"/>
          <w:lang w:val="es-ES"/>
        </w:rPr>
        <w:t xml:space="preserve"> </w:t>
      </w:r>
      <w:hyperlink r:id="rId12" w:history="1">
        <w:r w:rsidRPr="00C02F37">
          <w:rPr>
            <w:rStyle w:val="Hipervnculo"/>
            <w:rFonts w:ascii="Verdana" w:hAnsi="Verdana" w:cs="Arial"/>
            <w:shd w:val="clear" w:color="auto" w:fill="FFFFFF"/>
            <w:lang w:val="es-ES"/>
          </w:rPr>
          <w:t>https://relatoria.colombiacompra.gov.co/busqueda/conceptos</w:t>
        </w:r>
      </w:hyperlink>
    </w:p>
    <w:p w14:paraId="73E9CD79" w14:textId="77777777" w:rsidR="00165B58" w:rsidRDefault="00165B58" w:rsidP="00165B58">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6F3808F8" w14:textId="77777777" w:rsidR="00A83F27" w:rsidRPr="00B45B4E" w:rsidRDefault="00A83F27" w:rsidP="00A83F27">
      <w:pPr>
        <w:spacing w:after="0" w:line="276" w:lineRule="auto"/>
        <w:jc w:val="both"/>
        <w:rPr>
          <w:rFonts w:ascii="Verdana" w:hAnsi="Verdana" w:cs="Arial"/>
        </w:rPr>
      </w:pPr>
      <w:r w:rsidRPr="00B45B4E">
        <w:rPr>
          <w:rFonts w:ascii="Verdana" w:hAnsi="Verdana" w:cs="Arial"/>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53BD045C" w14:textId="77777777" w:rsidR="00A83F27" w:rsidRPr="00B45B4E" w:rsidRDefault="00A83F27" w:rsidP="00A83F27">
      <w:pPr>
        <w:spacing w:after="0" w:line="276" w:lineRule="auto"/>
        <w:jc w:val="both"/>
        <w:rPr>
          <w:rFonts w:ascii="Verdana" w:hAnsi="Verdana" w:cs="Arial"/>
        </w:rPr>
      </w:pPr>
    </w:p>
    <w:p w14:paraId="155D176A" w14:textId="77777777" w:rsidR="00A83F27" w:rsidRPr="00B45B4E" w:rsidRDefault="00A83F27" w:rsidP="00A83F27">
      <w:pPr>
        <w:pStyle w:val="Prrafodelista"/>
        <w:numPr>
          <w:ilvl w:val="0"/>
          <w:numId w:val="15"/>
        </w:numPr>
        <w:spacing w:after="0" w:line="276" w:lineRule="auto"/>
        <w:jc w:val="both"/>
        <w:rPr>
          <w:rFonts w:ascii="Verdana" w:hAnsi="Verdana" w:cs="Arial"/>
        </w:rPr>
      </w:pPr>
      <w:r w:rsidRPr="00B45B4E">
        <w:rPr>
          <w:rFonts w:ascii="Verdana" w:hAnsi="Verdana" w:cs="Arial"/>
        </w:rPr>
        <w:t>Línea nacional gratuita o servicio a la ciudadanía: 01800 0520808</w:t>
      </w:r>
    </w:p>
    <w:p w14:paraId="2F57F6C1" w14:textId="77777777" w:rsidR="00A83F27" w:rsidRPr="00B45B4E" w:rsidRDefault="00A83F27" w:rsidP="00A83F27">
      <w:pPr>
        <w:pStyle w:val="Prrafodelista"/>
        <w:numPr>
          <w:ilvl w:val="0"/>
          <w:numId w:val="15"/>
        </w:numPr>
        <w:spacing w:after="0" w:line="276" w:lineRule="auto"/>
        <w:jc w:val="both"/>
        <w:rPr>
          <w:rFonts w:ascii="Verdana" w:hAnsi="Verdana" w:cs="Arial"/>
        </w:rPr>
      </w:pPr>
      <w:r w:rsidRPr="00B45B4E">
        <w:rPr>
          <w:rFonts w:ascii="Verdana" w:hAnsi="Verdana" w:cs="Arial"/>
        </w:rPr>
        <w:t>Línea en Bogotá D.C. (Mesa de servicio): +57 601 7456788</w:t>
      </w:r>
    </w:p>
    <w:p w14:paraId="5CA21B42" w14:textId="77777777" w:rsidR="00A83F27" w:rsidRPr="00B45B4E" w:rsidRDefault="00A83F27" w:rsidP="00A83F27">
      <w:pPr>
        <w:pStyle w:val="Prrafodelista"/>
        <w:numPr>
          <w:ilvl w:val="0"/>
          <w:numId w:val="15"/>
        </w:numPr>
        <w:spacing w:after="0" w:line="276" w:lineRule="auto"/>
        <w:jc w:val="both"/>
        <w:rPr>
          <w:rFonts w:ascii="Verdana" w:hAnsi="Verdana" w:cs="Arial"/>
        </w:rPr>
      </w:pPr>
      <w:r w:rsidRPr="00B45B4E">
        <w:rPr>
          <w:rFonts w:ascii="Verdana" w:hAnsi="Verdana" w:cs="Arial"/>
        </w:rPr>
        <w:t>Línea de servicio y atención al ciudadano: +57 601 7956600</w:t>
      </w:r>
    </w:p>
    <w:p w14:paraId="51FCA850" w14:textId="77777777" w:rsidR="00A83F27" w:rsidRPr="00B45B4E" w:rsidRDefault="00A83F27" w:rsidP="00796052">
      <w:pPr>
        <w:numPr>
          <w:ilvl w:val="0"/>
          <w:numId w:val="15"/>
        </w:numPr>
        <w:spacing w:after="0" w:line="276" w:lineRule="auto"/>
        <w:rPr>
          <w:rFonts w:ascii="Verdana" w:hAnsi="Verdana" w:cs="Arial"/>
          <w:color w:val="2F5496" w:themeColor="accent1" w:themeShade="BF"/>
        </w:rPr>
      </w:pPr>
      <w:r w:rsidRPr="00B45B4E">
        <w:rPr>
          <w:rFonts w:ascii="Verdana" w:hAnsi="Verdana" w:cs="Arial"/>
        </w:rPr>
        <w:lastRenderedPageBreak/>
        <w:t>Correo de PQRSD:</w:t>
      </w:r>
      <w:r w:rsidRPr="00B45B4E">
        <w:rPr>
          <w:rFonts w:ascii="Verdana" w:hAnsi="Verdana" w:cs="Arial"/>
          <w:color w:val="2F5496" w:themeColor="accent1" w:themeShade="BF"/>
        </w:rPr>
        <w:t xml:space="preserve"> </w:t>
      </w:r>
      <w:hyperlink r:id="rId13" w:history="1">
        <w:r w:rsidRPr="00B45B4E">
          <w:rPr>
            <w:rStyle w:val="Hipervnculo"/>
            <w:rFonts w:ascii="Verdana" w:hAnsi="Verdana" w:cs="Arial"/>
            <w:color w:val="2F5496" w:themeColor="accent1" w:themeShade="BF"/>
          </w:rPr>
          <w:t>ventanillaunicaderadicacion@colombicompra.gov.co</w:t>
        </w:r>
      </w:hyperlink>
    </w:p>
    <w:p w14:paraId="64D1F022" w14:textId="77777777" w:rsidR="00A83F27" w:rsidRPr="00B45B4E" w:rsidRDefault="00A83F27" w:rsidP="00A83F27">
      <w:pPr>
        <w:pStyle w:val="Prrafodelista"/>
        <w:numPr>
          <w:ilvl w:val="0"/>
          <w:numId w:val="15"/>
        </w:numPr>
        <w:spacing w:after="0" w:line="276" w:lineRule="auto"/>
        <w:jc w:val="both"/>
        <w:rPr>
          <w:rFonts w:ascii="Verdana" w:hAnsi="Verdana" w:cs="Arial"/>
          <w:color w:val="2F5496" w:themeColor="accent1" w:themeShade="BF"/>
        </w:rPr>
      </w:pPr>
      <w:r w:rsidRPr="00B45B4E">
        <w:rPr>
          <w:rFonts w:ascii="Verdana" w:hAnsi="Verdana" w:cs="Arial"/>
        </w:rPr>
        <w:t xml:space="preserve">Página web: </w:t>
      </w:r>
      <w:hyperlink r:id="rId14" w:history="1">
        <w:r w:rsidRPr="00B45B4E">
          <w:rPr>
            <w:rStyle w:val="Hipervnculo"/>
            <w:rFonts w:ascii="Verdana" w:hAnsi="Verdana" w:cs="Arial"/>
            <w:color w:val="2F5496" w:themeColor="accent1" w:themeShade="BF"/>
          </w:rPr>
          <w:t>www.colombiacompra.gov.co</w:t>
        </w:r>
      </w:hyperlink>
    </w:p>
    <w:p w14:paraId="64F637D8" w14:textId="77777777" w:rsidR="00A83F27" w:rsidRPr="00B45B4E" w:rsidRDefault="00A83F27" w:rsidP="00A83F27">
      <w:pPr>
        <w:pStyle w:val="Prrafodelista"/>
        <w:spacing w:after="0" w:line="276" w:lineRule="auto"/>
        <w:ind w:left="785"/>
        <w:jc w:val="both"/>
        <w:rPr>
          <w:rFonts w:ascii="Verdana" w:hAnsi="Verdana" w:cs="Arial"/>
        </w:rPr>
      </w:pPr>
    </w:p>
    <w:p w14:paraId="54C93E19" w14:textId="77777777" w:rsidR="00A83F27" w:rsidRPr="00B45B4E" w:rsidRDefault="00A83F27" w:rsidP="00A83F27">
      <w:pPr>
        <w:spacing w:after="0" w:line="276" w:lineRule="auto"/>
        <w:jc w:val="both"/>
        <w:rPr>
          <w:rFonts w:ascii="Verdana" w:hAnsi="Verdana" w:cs="Arial"/>
        </w:rPr>
      </w:pPr>
      <w:r w:rsidRPr="00B45B4E">
        <w:rPr>
          <w:rFonts w:ascii="Verdana" w:hAnsi="Verdana" w:cs="Arial"/>
        </w:rPr>
        <w:t xml:space="preserve">Por último, lo invitamos a seguirnos en las redes sociales en las cuales se difunde información institucional: </w:t>
      </w:r>
    </w:p>
    <w:p w14:paraId="47601CBF" w14:textId="77777777" w:rsidR="00A83F27" w:rsidRPr="00B45B4E" w:rsidRDefault="00A83F27" w:rsidP="00A83F27">
      <w:pPr>
        <w:spacing w:after="0" w:line="276" w:lineRule="auto"/>
        <w:jc w:val="both"/>
        <w:rPr>
          <w:rFonts w:ascii="Verdana" w:hAnsi="Verdana" w:cs="Arial"/>
        </w:rPr>
      </w:pPr>
      <w:r w:rsidRPr="00B45B4E">
        <w:rPr>
          <w:rFonts w:ascii="Verdana" w:hAnsi="Verdana" w:cs="Arial"/>
        </w:rPr>
        <w:t xml:space="preserve">Twitter: </w:t>
      </w:r>
      <w:r w:rsidRPr="00B45B4E">
        <w:rPr>
          <w:rStyle w:val="Hipervnculo"/>
          <w:rFonts w:ascii="Verdana" w:hAnsi="Verdana" w:cs="Arial"/>
          <w:color w:val="2F5496" w:themeColor="accent1" w:themeShade="BF"/>
        </w:rPr>
        <w:t>@colombiacompra</w:t>
      </w:r>
      <w:r w:rsidRPr="00B45B4E">
        <w:rPr>
          <w:rFonts w:ascii="Verdana" w:hAnsi="Verdana" w:cs="Arial"/>
          <w:color w:val="2F5496" w:themeColor="accent1" w:themeShade="BF"/>
        </w:rPr>
        <w:t xml:space="preserve"> </w:t>
      </w:r>
    </w:p>
    <w:p w14:paraId="4D3BB928" w14:textId="77777777" w:rsidR="00A83F27" w:rsidRPr="00B45B4E" w:rsidRDefault="00A83F27" w:rsidP="00A83F27">
      <w:pPr>
        <w:spacing w:after="0" w:line="276" w:lineRule="auto"/>
        <w:jc w:val="both"/>
        <w:rPr>
          <w:rFonts w:ascii="Verdana" w:hAnsi="Verdana" w:cs="Arial"/>
        </w:rPr>
      </w:pPr>
      <w:r w:rsidRPr="00B45B4E">
        <w:rPr>
          <w:rFonts w:ascii="Verdana" w:hAnsi="Verdana" w:cs="Arial"/>
        </w:rPr>
        <w:t xml:space="preserve">Facebook: </w:t>
      </w:r>
      <w:proofErr w:type="spellStart"/>
      <w:r w:rsidRPr="00B45B4E">
        <w:rPr>
          <w:rStyle w:val="Hipervnculo"/>
          <w:rFonts w:ascii="Verdana" w:hAnsi="Verdana" w:cs="Arial"/>
          <w:color w:val="2F5496" w:themeColor="accent1" w:themeShade="BF"/>
        </w:rPr>
        <w:t>ColombiaCompraEficiente</w:t>
      </w:r>
      <w:proofErr w:type="spellEnd"/>
    </w:p>
    <w:p w14:paraId="073B1158" w14:textId="77777777" w:rsidR="00A83F27" w:rsidRPr="00B45B4E" w:rsidRDefault="00A83F27" w:rsidP="00A83F27">
      <w:pPr>
        <w:spacing w:after="0" w:line="276" w:lineRule="auto"/>
        <w:jc w:val="both"/>
        <w:rPr>
          <w:rFonts w:ascii="Verdana" w:hAnsi="Verdana" w:cs="Arial"/>
        </w:rPr>
      </w:pPr>
      <w:r w:rsidRPr="00B45B4E">
        <w:rPr>
          <w:rFonts w:ascii="Verdana" w:hAnsi="Verdana" w:cs="Arial"/>
        </w:rPr>
        <w:t xml:space="preserve">LinkedIn: </w:t>
      </w:r>
      <w:r w:rsidRPr="00B45B4E">
        <w:rPr>
          <w:rStyle w:val="Hipervnculo"/>
          <w:rFonts w:ascii="Verdana" w:hAnsi="Verdana" w:cs="Arial"/>
          <w:color w:val="2F5496" w:themeColor="accent1" w:themeShade="BF"/>
        </w:rPr>
        <w:t>Agencia Nacional de Contratación Pública - Colombia Compra Eficiente</w:t>
      </w:r>
      <w:r w:rsidRPr="00B45B4E">
        <w:rPr>
          <w:rFonts w:ascii="Verdana" w:hAnsi="Verdana" w:cs="Arial"/>
          <w:color w:val="2F5496" w:themeColor="accent1" w:themeShade="BF"/>
        </w:rPr>
        <w:t xml:space="preserve"> </w:t>
      </w:r>
      <w:r w:rsidRPr="00B45B4E">
        <w:rPr>
          <w:rFonts w:ascii="Verdana" w:hAnsi="Verdana" w:cs="Arial"/>
        </w:rPr>
        <w:t xml:space="preserve">Instagram: </w:t>
      </w:r>
      <w:r w:rsidRPr="00B45B4E">
        <w:rPr>
          <w:rStyle w:val="Hipervnculo"/>
          <w:rFonts w:ascii="Verdana" w:hAnsi="Verdana" w:cs="Arial"/>
          <w:color w:val="2F5496" w:themeColor="accent1" w:themeShade="BF"/>
        </w:rPr>
        <w:t>@colombiacompraeficiente_cce</w:t>
      </w:r>
    </w:p>
    <w:p w14:paraId="00152055" w14:textId="77777777" w:rsidR="00A83F27" w:rsidRPr="00B45B4E" w:rsidRDefault="00A83F27" w:rsidP="00A83F27">
      <w:pPr>
        <w:autoSpaceDE w:val="0"/>
        <w:autoSpaceDN w:val="0"/>
        <w:adjustRightInd w:val="0"/>
        <w:spacing w:after="0" w:line="276" w:lineRule="auto"/>
        <w:jc w:val="both"/>
        <w:rPr>
          <w:rFonts w:ascii="Verdana" w:eastAsia="Calibri" w:hAnsi="Verdana" w:cs="Arial"/>
        </w:rPr>
      </w:pPr>
    </w:p>
    <w:p w14:paraId="45861BAB" w14:textId="7C839F03" w:rsidR="00A83F27" w:rsidRPr="00B45B4E" w:rsidRDefault="00A83F27" w:rsidP="00A83F27">
      <w:pPr>
        <w:autoSpaceDE w:val="0"/>
        <w:autoSpaceDN w:val="0"/>
        <w:adjustRightInd w:val="0"/>
        <w:spacing w:after="0" w:line="276" w:lineRule="auto"/>
        <w:jc w:val="both"/>
        <w:rPr>
          <w:rFonts w:ascii="Verdana" w:eastAsia="Calibri" w:hAnsi="Verdana" w:cs="Arial"/>
        </w:rPr>
      </w:pPr>
    </w:p>
    <w:p w14:paraId="44E05134" w14:textId="2BC22F86" w:rsidR="00A83F27" w:rsidRDefault="00A83F27" w:rsidP="00A83F27">
      <w:pPr>
        <w:autoSpaceDE w:val="0"/>
        <w:autoSpaceDN w:val="0"/>
        <w:adjustRightInd w:val="0"/>
        <w:spacing w:after="0" w:line="276" w:lineRule="auto"/>
        <w:jc w:val="both"/>
        <w:rPr>
          <w:rFonts w:ascii="Verdana" w:eastAsia="Calibri" w:hAnsi="Verdana" w:cs="Arial"/>
        </w:rPr>
      </w:pPr>
      <w:r w:rsidRPr="00B45B4E">
        <w:rPr>
          <w:rFonts w:ascii="Verdana" w:eastAsia="Calibri" w:hAnsi="Verdana" w:cs="Arial"/>
        </w:rPr>
        <w:t>Atentamente,</w:t>
      </w:r>
    </w:p>
    <w:p w14:paraId="6C981673" w14:textId="6F49FFBC" w:rsidR="00A83F27" w:rsidRDefault="00AA1206" w:rsidP="00A83F27">
      <w:pPr>
        <w:autoSpaceDE w:val="0"/>
        <w:autoSpaceDN w:val="0"/>
        <w:adjustRightInd w:val="0"/>
        <w:spacing w:after="0" w:line="276" w:lineRule="auto"/>
        <w:jc w:val="both"/>
        <w:rPr>
          <w:rFonts w:ascii="Verdana" w:eastAsia="Calibri" w:hAnsi="Verdana" w:cs="Arial"/>
        </w:rPr>
      </w:pPr>
      <w:r>
        <w:rPr>
          <w:noProof/>
        </w:rPr>
        <w:drawing>
          <wp:anchor distT="0" distB="0" distL="114300" distR="114300" simplePos="0" relativeHeight="251659776" behindDoc="1" locked="0" layoutInCell="1" allowOverlap="1" wp14:anchorId="016E40DA" wp14:editId="0C2237EF">
            <wp:simplePos x="0" y="0"/>
            <wp:positionH relativeFrom="margin">
              <wp:posOffset>967225</wp:posOffset>
            </wp:positionH>
            <wp:positionV relativeFrom="paragraph">
              <wp:posOffset>3810</wp:posOffset>
            </wp:positionV>
            <wp:extent cx="3555365" cy="1523365"/>
            <wp:effectExtent l="0" t="0" r="6985" b="635"/>
            <wp:wrapTight wrapText="bothSides">
              <wp:wrapPolygon edited="0">
                <wp:start x="0" y="0"/>
                <wp:lineTo x="0" y="21339"/>
                <wp:lineTo x="21527" y="21339"/>
                <wp:lineTo x="21527" y="0"/>
                <wp:lineTo x="0" y="0"/>
              </wp:wrapPolygon>
            </wp:wrapTight>
            <wp:docPr id="367234919" name="Imagen 2"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7234919" name="Imagen 2" descr="Texto&#10;&#10;Descripción generada automáticamente"/>
                    <pic:cNvPicPr>
                      <a:picLocks noChangeAspect="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555365" cy="152336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1A21C76" w14:textId="1C75D3C5" w:rsidR="00A83F27" w:rsidRDefault="00A83F27" w:rsidP="00A83F27">
      <w:pPr>
        <w:autoSpaceDE w:val="0"/>
        <w:autoSpaceDN w:val="0"/>
        <w:adjustRightInd w:val="0"/>
        <w:spacing w:after="0" w:line="276" w:lineRule="auto"/>
        <w:jc w:val="both"/>
        <w:rPr>
          <w:rFonts w:ascii="Verdana" w:eastAsia="Calibri" w:hAnsi="Verdana" w:cs="Arial"/>
        </w:rPr>
      </w:pPr>
    </w:p>
    <w:p w14:paraId="632A96E2" w14:textId="53B6A075" w:rsidR="00A83F27" w:rsidRPr="00B45B4E" w:rsidRDefault="00A83F27" w:rsidP="00A83F27">
      <w:pPr>
        <w:autoSpaceDE w:val="0"/>
        <w:autoSpaceDN w:val="0"/>
        <w:adjustRightInd w:val="0"/>
        <w:spacing w:after="0" w:line="276" w:lineRule="auto"/>
        <w:jc w:val="both"/>
        <w:rPr>
          <w:rFonts w:ascii="Verdana" w:eastAsia="Times New Roman" w:hAnsi="Verdana" w:cs="Arial"/>
          <w:noProof/>
          <w:lang w:eastAsia="es-MX"/>
        </w:rPr>
      </w:pPr>
    </w:p>
    <w:p w14:paraId="73EB48E5" w14:textId="77777777" w:rsidR="00A83F27" w:rsidRDefault="00A83F27" w:rsidP="00A83F27">
      <w:pPr>
        <w:autoSpaceDE w:val="0"/>
        <w:autoSpaceDN w:val="0"/>
        <w:adjustRightInd w:val="0"/>
        <w:spacing w:after="0" w:line="276" w:lineRule="auto"/>
        <w:rPr>
          <w:rFonts w:ascii="Verdana" w:eastAsia="Calibri" w:hAnsi="Verdana" w:cs="Arial"/>
          <w:sz w:val="16"/>
          <w:szCs w:val="16"/>
        </w:rPr>
      </w:pPr>
    </w:p>
    <w:p w14:paraId="24586F81" w14:textId="77777777" w:rsidR="00A83F27" w:rsidRDefault="00A83F27" w:rsidP="00A83F27">
      <w:pPr>
        <w:autoSpaceDE w:val="0"/>
        <w:autoSpaceDN w:val="0"/>
        <w:adjustRightInd w:val="0"/>
        <w:spacing w:after="0" w:line="276" w:lineRule="auto"/>
        <w:jc w:val="center"/>
        <w:rPr>
          <w:rFonts w:ascii="Verdana" w:eastAsia="Calibri" w:hAnsi="Verdana" w:cs="Arial"/>
          <w:sz w:val="16"/>
          <w:szCs w:val="16"/>
        </w:rPr>
      </w:pPr>
    </w:p>
    <w:p w14:paraId="531EA276" w14:textId="77777777" w:rsidR="00441444" w:rsidRDefault="00441444" w:rsidP="00A83F27">
      <w:pPr>
        <w:autoSpaceDE w:val="0"/>
        <w:autoSpaceDN w:val="0"/>
        <w:adjustRightInd w:val="0"/>
        <w:spacing w:after="0" w:line="276" w:lineRule="auto"/>
        <w:jc w:val="center"/>
        <w:rPr>
          <w:rFonts w:ascii="Verdana" w:eastAsia="Calibri" w:hAnsi="Verdana" w:cs="Arial"/>
          <w:sz w:val="16"/>
          <w:szCs w:val="16"/>
        </w:rPr>
      </w:pPr>
    </w:p>
    <w:p w14:paraId="6FBA7A82" w14:textId="77777777" w:rsidR="00A83F27" w:rsidRDefault="00A83F27" w:rsidP="00A83F27">
      <w:pPr>
        <w:autoSpaceDE w:val="0"/>
        <w:autoSpaceDN w:val="0"/>
        <w:adjustRightInd w:val="0"/>
        <w:spacing w:after="0" w:line="276" w:lineRule="auto"/>
        <w:jc w:val="center"/>
        <w:rPr>
          <w:rFonts w:ascii="Verdana" w:eastAsia="Calibri" w:hAnsi="Verdana" w:cs="Arial"/>
          <w:sz w:val="16"/>
          <w:szCs w:val="16"/>
        </w:rPr>
      </w:pPr>
    </w:p>
    <w:p w14:paraId="39836BCB" w14:textId="77777777" w:rsidR="00E33647" w:rsidRDefault="00E33647" w:rsidP="00A83F27">
      <w:pPr>
        <w:autoSpaceDE w:val="0"/>
        <w:autoSpaceDN w:val="0"/>
        <w:adjustRightInd w:val="0"/>
        <w:spacing w:after="0" w:line="276" w:lineRule="auto"/>
        <w:jc w:val="center"/>
        <w:rPr>
          <w:rFonts w:ascii="Verdana" w:eastAsia="Calibri" w:hAnsi="Verdana" w:cs="Arial"/>
          <w:sz w:val="16"/>
          <w:szCs w:val="16"/>
        </w:rPr>
      </w:pPr>
    </w:p>
    <w:p w14:paraId="36EE89FA" w14:textId="77777777" w:rsidR="00E33647" w:rsidRDefault="00E33647" w:rsidP="00A83F27">
      <w:pPr>
        <w:autoSpaceDE w:val="0"/>
        <w:autoSpaceDN w:val="0"/>
        <w:adjustRightInd w:val="0"/>
        <w:spacing w:after="0" w:line="276" w:lineRule="auto"/>
        <w:jc w:val="center"/>
        <w:rPr>
          <w:rFonts w:ascii="Verdana" w:eastAsia="Calibri" w:hAnsi="Verdana" w:cs="Arial"/>
          <w:sz w:val="16"/>
          <w:szCs w:val="16"/>
        </w:rPr>
      </w:pPr>
    </w:p>
    <w:p w14:paraId="68C15A4C" w14:textId="77777777" w:rsidR="00E33647" w:rsidRDefault="00E33647" w:rsidP="00A83F27">
      <w:pPr>
        <w:autoSpaceDE w:val="0"/>
        <w:autoSpaceDN w:val="0"/>
        <w:adjustRightInd w:val="0"/>
        <w:spacing w:after="0" w:line="276" w:lineRule="auto"/>
        <w:jc w:val="center"/>
        <w:rPr>
          <w:rFonts w:ascii="Verdana" w:eastAsia="Calibri" w:hAnsi="Verdana" w:cs="Arial"/>
          <w:sz w:val="16"/>
          <w:szCs w:val="16"/>
        </w:rPr>
      </w:pPr>
    </w:p>
    <w:p w14:paraId="32781239" w14:textId="77777777" w:rsidR="00E33647" w:rsidRDefault="00E33647" w:rsidP="00A83F27">
      <w:pPr>
        <w:autoSpaceDE w:val="0"/>
        <w:autoSpaceDN w:val="0"/>
        <w:adjustRightInd w:val="0"/>
        <w:spacing w:after="0" w:line="276" w:lineRule="auto"/>
        <w:jc w:val="center"/>
        <w:rPr>
          <w:rFonts w:ascii="Verdana" w:eastAsia="Calibri" w:hAnsi="Verdana" w:cs="Arial"/>
          <w:sz w:val="16"/>
          <w:szCs w:val="16"/>
        </w:rPr>
      </w:pPr>
    </w:p>
    <w:tbl>
      <w:tblPr>
        <w:tblW w:w="5812"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57"/>
        <w:gridCol w:w="4955"/>
      </w:tblGrid>
      <w:tr w:rsidR="00A83F27" w:rsidRPr="00B45B4E" w14:paraId="566992BC" w14:textId="77777777" w:rsidTr="00796052">
        <w:trPr>
          <w:trHeight w:val="315"/>
        </w:trPr>
        <w:tc>
          <w:tcPr>
            <w:tcW w:w="857" w:type="dxa"/>
            <w:tcBorders>
              <w:top w:val="nil"/>
              <w:left w:val="nil"/>
              <w:bottom w:val="nil"/>
              <w:right w:val="nil"/>
            </w:tcBorders>
            <w:shd w:val="clear" w:color="auto" w:fill="auto"/>
            <w:vAlign w:val="center"/>
            <w:hideMark/>
          </w:tcPr>
          <w:p w14:paraId="54EA1064" w14:textId="77777777" w:rsidR="00A83F27" w:rsidRPr="00B45B4E" w:rsidRDefault="00A83F27" w:rsidP="00586A42">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Elaboró: </w:t>
            </w:r>
          </w:p>
        </w:tc>
        <w:tc>
          <w:tcPr>
            <w:tcW w:w="4955" w:type="dxa"/>
            <w:tcBorders>
              <w:top w:val="nil"/>
              <w:left w:val="nil"/>
              <w:bottom w:val="dotted" w:sz="6" w:space="0" w:color="7F7F7F" w:themeColor="text1" w:themeTint="80"/>
              <w:right w:val="nil"/>
            </w:tcBorders>
            <w:shd w:val="clear" w:color="auto" w:fill="auto"/>
            <w:vAlign w:val="center"/>
            <w:hideMark/>
          </w:tcPr>
          <w:p w14:paraId="3283AF03" w14:textId="77777777" w:rsidR="00A83F27" w:rsidRPr="00B45B4E" w:rsidRDefault="00A83F27" w:rsidP="00586A42">
            <w:pPr>
              <w:spacing w:after="0" w:line="240" w:lineRule="auto"/>
              <w:jc w:val="both"/>
              <w:rPr>
                <w:rFonts w:ascii="Verdana" w:hAnsi="Verdana" w:cs="Arial"/>
                <w:sz w:val="16"/>
                <w:szCs w:val="16"/>
              </w:rPr>
            </w:pPr>
            <w:r w:rsidRPr="00B45B4E">
              <w:rPr>
                <w:rFonts w:ascii="Verdana" w:hAnsi="Verdana" w:cs="Arial"/>
                <w:sz w:val="16"/>
                <w:szCs w:val="16"/>
              </w:rPr>
              <w:t xml:space="preserve">Kelmis Yirama Brugés Alvarado </w:t>
            </w:r>
          </w:p>
          <w:p w14:paraId="00DDC209" w14:textId="77777777" w:rsidR="00A83F27" w:rsidRPr="00B45B4E" w:rsidRDefault="00A83F27" w:rsidP="00586A42">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Analista T2-04 de la Subdirección de Gestión Contractual</w:t>
            </w:r>
          </w:p>
        </w:tc>
      </w:tr>
      <w:tr w:rsidR="00A83F27" w:rsidRPr="00B45B4E" w14:paraId="4DAE0DF1" w14:textId="77777777" w:rsidTr="00796052">
        <w:trPr>
          <w:trHeight w:val="315"/>
        </w:trPr>
        <w:tc>
          <w:tcPr>
            <w:tcW w:w="857" w:type="dxa"/>
            <w:tcBorders>
              <w:top w:val="nil"/>
              <w:left w:val="nil"/>
              <w:bottom w:val="nil"/>
              <w:right w:val="nil"/>
            </w:tcBorders>
            <w:shd w:val="clear" w:color="auto" w:fill="auto"/>
            <w:vAlign w:val="center"/>
            <w:hideMark/>
          </w:tcPr>
          <w:p w14:paraId="2B2F0A5F" w14:textId="77777777" w:rsidR="00A83F27" w:rsidRPr="00B45B4E" w:rsidRDefault="00A83F27" w:rsidP="00586A42">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Revisó: </w:t>
            </w:r>
          </w:p>
        </w:tc>
        <w:tc>
          <w:tcPr>
            <w:tcW w:w="4955" w:type="dxa"/>
            <w:tcBorders>
              <w:top w:val="dotted" w:sz="6" w:space="0" w:color="7F7F7F" w:themeColor="text1" w:themeTint="80"/>
              <w:left w:val="nil"/>
              <w:bottom w:val="dotted" w:sz="6" w:space="0" w:color="7F7F7F" w:themeColor="text1" w:themeTint="80"/>
              <w:right w:val="nil"/>
            </w:tcBorders>
            <w:shd w:val="clear" w:color="auto" w:fill="auto"/>
            <w:vAlign w:val="center"/>
            <w:hideMark/>
          </w:tcPr>
          <w:p w14:paraId="46AD95CF" w14:textId="6106D4B3" w:rsidR="00A83F27" w:rsidRPr="00B45B4E" w:rsidRDefault="00A83F27" w:rsidP="00586A42">
            <w:pPr>
              <w:spacing w:after="0" w:line="240" w:lineRule="auto"/>
              <w:jc w:val="both"/>
              <w:rPr>
                <w:rFonts w:ascii="Verdana" w:hAnsi="Verdana" w:cs="Arial"/>
                <w:sz w:val="16"/>
                <w:szCs w:val="16"/>
              </w:rPr>
            </w:pPr>
            <w:r>
              <w:rPr>
                <w:rFonts w:ascii="Verdana" w:hAnsi="Verdana" w:cs="Arial"/>
                <w:sz w:val="16"/>
                <w:szCs w:val="16"/>
              </w:rPr>
              <w:t>Diana Lucía Saavedra</w:t>
            </w:r>
            <w:r w:rsidR="006000EB">
              <w:rPr>
                <w:rFonts w:ascii="Verdana" w:hAnsi="Verdana" w:cs="Arial"/>
                <w:sz w:val="16"/>
                <w:szCs w:val="16"/>
              </w:rPr>
              <w:t xml:space="preserve"> C</w:t>
            </w:r>
            <w:r>
              <w:rPr>
                <w:rFonts w:ascii="Verdana" w:hAnsi="Verdana" w:cs="Arial"/>
                <w:sz w:val="16"/>
                <w:szCs w:val="16"/>
              </w:rPr>
              <w:t>a</w:t>
            </w:r>
            <w:r w:rsidR="006000EB">
              <w:rPr>
                <w:rFonts w:ascii="Verdana" w:hAnsi="Verdana" w:cs="Arial"/>
                <w:sz w:val="16"/>
                <w:szCs w:val="16"/>
              </w:rPr>
              <w:t>stañeda</w:t>
            </w:r>
          </w:p>
          <w:p w14:paraId="0C5901FD" w14:textId="77777777" w:rsidR="00A83F27" w:rsidRPr="00B45B4E" w:rsidRDefault="00A83F27" w:rsidP="00586A42">
            <w:pPr>
              <w:spacing w:after="0" w:line="240" w:lineRule="auto"/>
              <w:jc w:val="both"/>
              <w:rPr>
                <w:rFonts w:ascii="Verdana" w:hAnsi="Verdana" w:cs="Arial"/>
                <w:sz w:val="16"/>
                <w:szCs w:val="16"/>
              </w:rPr>
            </w:pPr>
            <w:r>
              <w:rPr>
                <w:rFonts w:ascii="Verdana" w:eastAsia="Calibri" w:hAnsi="Verdana" w:cs="Arial"/>
                <w:sz w:val="16"/>
                <w:szCs w:val="16"/>
              </w:rPr>
              <w:t>Contratista</w:t>
            </w:r>
            <w:r w:rsidRPr="00B45B4E">
              <w:rPr>
                <w:rFonts w:ascii="Verdana" w:eastAsia="Calibri" w:hAnsi="Verdana" w:cs="Arial"/>
                <w:sz w:val="16"/>
                <w:szCs w:val="16"/>
              </w:rPr>
              <w:t xml:space="preserve"> de la Subdirección de Gestión Contractual</w:t>
            </w:r>
          </w:p>
        </w:tc>
      </w:tr>
      <w:tr w:rsidR="00A83F27" w:rsidRPr="00B45B4E" w14:paraId="12F721E8" w14:textId="77777777" w:rsidTr="00796052">
        <w:trPr>
          <w:trHeight w:val="300"/>
        </w:trPr>
        <w:tc>
          <w:tcPr>
            <w:tcW w:w="857" w:type="dxa"/>
            <w:tcBorders>
              <w:top w:val="nil"/>
              <w:left w:val="nil"/>
              <w:bottom w:val="nil"/>
              <w:right w:val="nil"/>
            </w:tcBorders>
            <w:shd w:val="clear" w:color="auto" w:fill="auto"/>
            <w:vAlign w:val="center"/>
            <w:hideMark/>
          </w:tcPr>
          <w:p w14:paraId="2959B7E2" w14:textId="77777777" w:rsidR="00A83F27" w:rsidRPr="00B45B4E" w:rsidRDefault="00A83F27" w:rsidP="00586A42">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Aprobó: </w:t>
            </w:r>
          </w:p>
        </w:tc>
        <w:tc>
          <w:tcPr>
            <w:tcW w:w="4955" w:type="dxa"/>
            <w:tcBorders>
              <w:top w:val="dotted" w:sz="6" w:space="0" w:color="7F7F7F" w:themeColor="text1" w:themeTint="80"/>
              <w:left w:val="nil"/>
              <w:bottom w:val="dotted" w:sz="6" w:space="0" w:color="7F7F7F" w:themeColor="text1" w:themeTint="80"/>
              <w:right w:val="nil"/>
            </w:tcBorders>
            <w:shd w:val="clear" w:color="auto" w:fill="auto"/>
            <w:vAlign w:val="center"/>
            <w:hideMark/>
          </w:tcPr>
          <w:p w14:paraId="71F03111" w14:textId="77777777" w:rsidR="00A83F27" w:rsidRPr="00B45B4E" w:rsidRDefault="00A83F27" w:rsidP="00586A42">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Carolina Quintero Gacharná</w:t>
            </w:r>
          </w:p>
          <w:p w14:paraId="26973C75" w14:textId="77777777" w:rsidR="00A83F27" w:rsidRPr="00B45B4E" w:rsidRDefault="00A83F27" w:rsidP="00586A42">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 xml:space="preserve">Subdirectora de Gestión Contractual </w:t>
            </w:r>
          </w:p>
        </w:tc>
      </w:tr>
    </w:tbl>
    <w:p w14:paraId="2DDC8D1C" w14:textId="77777777" w:rsidR="00A83F27" w:rsidRPr="00D353CA" w:rsidRDefault="00A83F27" w:rsidP="00A83F27"/>
    <w:p w14:paraId="011E3E1F" w14:textId="77777777" w:rsidR="00A83F27" w:rsidRPr="0044528D" w:rsidRDefault="00A83F27" w:rsidP="00A83F27">
      <w:pPr>
        <w:spacing w:after="0"/>
        <w:rPr>
          <w:rFonts w:ascii="Verdana" w:hAnsi="Verdana"/>
        </w:rPr>
      </w:pPr>
    </w:p>
    <w:p w14:paraId="21FB1807" w14:textId="77777777" w:rsidR="00165B58" w:rsidRPr="00C02F37" w:rsidRDefault="00165B58" w:rsidP="00165B58">
      <w:pPr>
        <w:widowControl w:val="0"/>
        <w:autoSpaceDE w:val="0"/>
        <w:autoSpaceDN w:val="0"/>
        <w:spacing w:after="0" w:line="276" w:lineRule="auto"/>
        <w:jc w:val="both"/>
        <w:rPr>
          <w:rStyle w:val="normaltextrun"/>
          <w:rFonts w:ascii="Verdana" w:hAnsi="Verdana"/>
        </w:rPr>
      </w:pPr>
    </w:p>
    <w:bookmarkEnd w:id="0"/>
    <w:p w14:paraId="0BE53581" w14:textId="77777777" w:rsidR="00165B58" w:rsidRPr="0078122B" w:rsidRDefault="00165B58" w:rsidP="00836B55">
      <w:pPr>
        <w:spacing w:after="0"/>
        <w:jc w:val="both"/>
        <w:rPr>
          <w:rFonts w:ascii="Verdana" w:hAnsi="Verdana"/>
        </w:rPr>
      </w:pPr>
    </w:p>
    <w:sectPr w:rsidR="00165B58" w:rsidRPr="0078122B"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E1EAE2" w14:textId="77777777" w:rsidR="002F4965" w:rsidRDefault="002F4965" w:rsidP="004A1847">
      <w:pPr>
        <w:spacing w:after="0" w:line="240" w:lineRule="auto"/>
      </w:pPr>
      <w:r>
        <w:separator/>
      </w:r>
    </w:p>
  </w:endnote>
  <w:endnote w:type="continuationSeparator" w:id="0">
    <w:p w14:paraId="621AD666" w14:textId="77777777" w:rsidR="002F4965" w:rsidRDefault="002F4965"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2BF34D" w14:textId="77777777" w:rsidR="002F4965" w:rsidRDefault="002F4965" w:rsidP="004A1847">
      <w:pPr>
        <w:spacing w:after="0" w:line="240" w:lineRule="auto"/>
      </w:pPr>
      <w:r>
        <w:separator/>
      </w:r>
    </w:p>
  </w:footnote>
  <w:footnote w:type="continuationSeparator" w:id="0">
    <w:p w14:paraId="0E938656" w14:textId="77777777" w:rsidR="002F4965" w:rsidRDefault="002F4965" w:rsidP="004A1847">
      <w:pPr>
        <w:spacing w:after="0" w:line="240" w:lineRule="auto"/>
      </w:pPr>
      <w:r>
        <w:continuationSeparator/>
      </w:r>
    </w:p>
  </w:footnote>
  <w:footnote w:id="1">
    <w:p w14:paraId="3D66E9FB" w14:textId="77777777" w:rsidR="00E752D2" w:rsidRPr="00F22A64" w:rsidRDefault="00E752D2" w:rsidP="00796052">
      <w:pPr>
        <w:pStyle w:val="Textonotapie"/>
        <w:ind w:firstLine="709"/>
        <w:jc w:val="both"/>
        <w:rPr>
          <w:rFonts w:ascii="Verdana" w:hAnsi="Verdana"/>
          <w:sz w:val="16"/>
          <w:szCs w:val="16"/>
        </w:rPr>
      </w:pPr>
      <w:r w:rsidRPr="00F22A64">
        <w:rPr>
          <w:rStyle w:val="Refdenotaalpie"/>
          <w:rFonts w:ascii="Verdana" w:hAnsi="Verdana"/>
          <w:sz w:val="16"/>
          <w:szCs w:val="16"/>
        </w:rPr>
        <w:footnoteRef/>
      </w:r>
      <w:r w:rsidRPr="00F22A64">
        <w:rPr>
          <w:rFonts w:ascii="Verdana" w:hAnsi="Verdana"/>
          <w:sz w:val="16"/>
          <w:szCs w:val="16"/>
        </w:rPr>
        <w:t xml:space="preserve"> Sobre este punto, “La doctrina distingue entre un objeto social </w:t>
      </w:r>
      <w:r w:rsidRPr="00F22A64">
        <w:rPr>
          <w:rFonts w:ascii="Verdana" w:hAnsi="Verdana"/>
          <w:i/>
          <w:iCs/>
          <w:sz w:val="16"/>
          <w:szCs w:val="16"/>
        </w:rPr>
        <w:t>principal</w:t>
      </w:r>
      <w:r w:rsidRPr="00F22A64">
        <w:rPr>
          <w:rFonts w:ascii="Verdana" w:hAnsi="Verdana"/>
          <w:sz w:val="16"/>
          <w:szCs w:val="16"/>
        </w:rPr>
        <w:t xml:space="preserve"> representado por las actividades que forman parte de la </w:t>
      </w:r>
      <w:r w:rsidRPr="00F22A64">
        <w:rPr>
          <w:rFonts w:ascii="Verdana" w:hAnsi="Verdana"/>
          <w:i/>
          <w:iCs/>
          <w:sz w:val="16"/>
          <w:szCs w:val="16"/>
        </w:rPr>
        <w:t>empresa socia</w:t>
      </w:r>
      <w:r w:rsidRPr="00F22A64">
        <w:rPr>
          <w:rFonts w:ascii="Verdana" w:hAnsi="Verdana"/>
          <w:sz w:val="16"/>
          <w:szCs w:val="16"/>
        </w:rPr>
        <w:t xml:space="preserve">l, y un objeto </w:t>
      </w:r>
      <w:r w:rsidRPr="00F22A64">
        <w:rPr>
          <w:rFonts w:ascii="Verdana" w:hAnsi="Verdana"/>
          <w:i/>
          <w:iCs/>
          <w:sz w:val="16"/>
          <w:szCs w:val="16"/>
        </w:rPr>
        <w:t>secundario</w:t>
      </w:r>
      <w:r w:rsidRPr="00F22A64">
        <w:rPr>
          <w:rFonts w:ascii="Verdana" w:hAnsi="Verdana"/>
          <w:sz w:val="16"/>
          <w:szCs w:val="16"/>
        </w:rPr>
        <w:t xml:space="preserve"> compuesto por todos aquellos actos que sirven de medio para cumplir tales actividades principales. De manera que si, por ejemplo, una compañía se dedica al transporte aéreo de personas, éste será su objeto principal; en cambio, la apertura de cuentas bancarias, la celebración de contratos de mutuo activos y pasivos, la inversión en otras sociedades de objetos semejantes, la compra de bienes, entre otras, formarán parte de su objeto </w:t>
      </w:r>
      <w:r w:rsidRPr="00F22A64">
        <w:rPr>
          <w:rFonts w:ascii="Verdana" w:hAnsi="Verdana"/>
          <w:i/>
          <w:iCs/>
          <w:sz w:val="16"/>
          <w:szCs w:val="16"/>
        </w:rPr>
        <w:t>secundario</w:t>
      </w:r>
      <w:r w:rsidRPr="00F22A64">
        <w:rPr>
          <w:rFonts w:ascii="Verdana" w:hAnsi="Verdana"/>
          <w:sz w:val="16"/>
          <w:szCs w:val="16"/>
        </w:rPr>
        <w:t>. En palabras de la Superintendencia de Sociedades, ‘existe un objeto principal conformado por las actividades económicas indicadas como marco general trazado por voluntad de los contratantes; y un objeto secundario que está compuesto por la serie de actos que la compañía puede realizar en desarrollo de aquéllas’.</w:t>
      </w:r>
    </w:p>
    <w:p w14:paraId="302B1DF9" w14:textId="77777777" w:rsidR="00E752D2" w:rsidRPr="00F22A64" w:rsidRDefault="00E752D2" w:rsidP="00796052">
      <w:pPr>
        <w:pStyle w:val="Textonotapie"/>
        <w:ind w:firstLine="709"/>
        <w:jc w:val="both"/>
        <w:rPr>
          <w:rFonts w:ascii="Verdana" w:hAnsi="Verdana"/>
          <w:sz w:val="16"/>
          <w:szCs w:val="16"/>
        </w:rPr>
      </w:pPr>
      <w:r w:rsidRPr="00F22A64">
        <w:rPr>
          <w:rFonts w:ascii="Verdana" w:hAnsi="Verdana"/>
          <w:sz w:val="16"/>
          <w:szCs w:val="16"/>
        </w:rPr>
        <w:t xml:space="preserve">Podría, inclusive, afirmarse que el objeto social </w:t>
      </w:r>
      <w:r w:rsidRPr="00F22A64">
        <w:rPr>
          <w:rFonts w:ascii="Verdana" w:hAnsi="Verdana"/>
          <w:i/>
          <w:iCs/>
          <w:sz w:val="16"/>
          <w:szCs w:val="16"/>
        </w:rPr>
        <w:t>secundario</w:t>
      </w:r>
      <w:r w:rsidRPr="00F22A64">
        <w:rPr>
          <w:rFonts w:ascii="Verdana" w:hAnsi="Verdana"/>
          <w:sz w:val="16"/>
          <w:szCs w:val="16"/>
        </w:rPr>
        <w:t xml:space="preserve"> es presunto o que por ser un elemento de la </w:t>
      </w:r>
      <w:r w:rsidRPr="00F22A64">
        <w:rPr>
          <w:rFonts w:ascii="Verdana" w:hAnsi="Verdana"/>
          <w:i/>
          <w:iCs/>
          <w:sz w:val="16"/>
          <w:szCs w:val="16"/>
        </w:rPr>
        <w:t>naturaleza</w:t>
      </w:r>
      <w:r w:rsidRPr="00F22A64">
        <w:rPr>
          <w:rFonts w:ascii="Verdana" w:hAnsi="Verdana"/>
          <w:sz w:val="16"/>
          <w:szCs w:val="16"/>
        </w:rPr>
        <w:t xml:space="preserve"> del contrato de sociedad, rige de manera supletiva, aunque los asociados no lo hubieren previsto en forma explícita en los estatutos sociales. Sin embargo, la práctica mercantil, en especial de formalistas entidades financieras y gubernamentales, hace recomendable la detallada inclusión de las actividades de explotación económica que la sociedad podrá realizar en </w:t>
      </w:r>
      <w:r w:rsidRPr="00F22A64">
        <w:rPr>
          <w:rFonts w:ascii="Verdana" w:hAnsi="Verdana"/>
          <w:i/>
          <w:iCs/>
          <w:sz w:val="16"/>
          <w:szCs w:val="16"/>
        </w:rPr>
        <w:t>desarrollo de su objeto social</w:t>
      </w:r>
      <w:r w:rsidRPr="00F22A64">
        <w:rPr>
          <w:rFonts w:ascii="Verdana" w:hAnsi="Verdana"/>
          <w:sz w:val="16"/>
          <w:szCs w:val="16"/>
        </w:rPr>
        <w:t>, según la conocida expresión que se utiliza para dividir el objeto principal del secundario […]” (REYES VILLAMIZAR, Francisco. Derecho societario. Cuarta edición. Bogotá: Temis, 2020. pp. 196-197).</w:t>
      </w:r>
    </w:p>
  </w:footnote>
  <w:footnote w:id="2">
    <w:p w14:paraId="0129A07E" w14:textId="77777777" w:rsidR="00E752D2" w:rsidRPr="00F22A64" w:rsidRDefault="00E752D2" w:rsidP="00796052">
      <w:pPr>
        <w:pStyle w:val="Textonotapie"/>
        <w:ind w:firstLine="709"/>
        <w:jc w:val="both"/>
        <w:rPr>
          <w:rFonts w:ascii="Verdana" w:hAnsi="Verdana"/>
          <w:sz w:val="16"/>
          <w:szCs w:val="16"/>
          <w:lang w:val="es-CO"/>
        </w:rPr>
      </w:pPr>
      <w:r w:rsidRPr="00F22A64">
        <w:rPr>
          <w:rStyle w:val="Refdenotaalpie"/>
          <w:rFonts w:ascii="Verdana" w:hAnsi="Verdana"/>
          <w:sz w:val="16"/>
          <w:szCs w:val="16"/>
        </w:rPr>
        <w:footnoteRef/>
      </w:r>
      <w:r w:rsidRPr="00F22A64">
        <w:rPr>
          <w:rFonts w:ascii="Verdana" w:hAnsi="Verdana"/>
          <w:sz w:val="16"/>
          <w:szCs w:val="16"/>
        </w:rPr>
        <w:t xml:space="preserve"> PINZÓN, Gabino. Sociedades comerciales. Bogotá: Temis, 1977. p. 186.</w:t>
      </w:r>
    </w:p>
  </w:footnote>
  <w:footnote w:id="3">
    <w:p w14:paraId="34FEBCBE" w14:textId="77777777" w:rsidR="00E752D2" w:rsidRPr="00F22A64" w:rsidRDefault="00E752D2" w:rsidP="00796052">
      <w:pPr>
        <w:pStyle w:val="Textonotapie"/>
        <w:ind w:firstLine="709"/>
        <w:jc w:val="both"/>
        <w:rPr>
          <w:rFonts w:ascii="Verdana" w:hAnsi="Verdana"/>
          <w:sz w:val="16"/>
          <w:szCs w:val="16"/>
        </w:rPr>
      </w:pPr>
      <w:r w:rsidRPr="00F22A64">
        <w:rPr>
          <w:rStyle w:val="Refdenotaalpie"/>
          <w:rFonts w:ascii="Verdana" w:hAnsi="Verdana"/>
          <w:sz w:val="16"/>
          <w:szCs w:val="16"/>
        </w:rPr>
        <w:footnoteRef/>
      </w:r>
      <w:r w:rsidRPr="00F22A64">
        <w:rPr>
          <w:rFonts w:ascii="Verdana" w:hAnsi="Verdana"/>
          <w:sz w:val="16"/>
          <w:szCs w:val="16"/>
        </w:rPr>
        <w:t xml:space="preserve"> De acuerdo con el Oficio 220-060112 del 8 de agosto de 2012 de la Superintendencia de Sociedades, “[…] es enteramente discrecional de los asociados acoger según su conveniencia y necesidad, un objeto social determinado o indeterminado. En el primer caso se deberán identificar de manera explícita el acto o los actos que constituyan la empresa, en el entendido de que la capacidad de la sociedad, como las actuaciones del representante legal y los administradores, se han </w:t>
      </w:r>
      <w:proofErr w:type="spellStart"/>
      <w:r w:rsidRPr="00F22A64">
        <w:rPr>
          <w:rFonts w:ascii="Verdana" w:hAnsi="Verdana"/>
          <w:sz w:val="16"/>
          <w:szCs w:val="16"/>
        </w:rPr>
        <w:t>d e</w:t>
      </w:r>
      <w:proofErr w:type="spellEnd"/>
      <w:r w:rsidRPr="00F22A64">
        <w:rPr>
          <w:rFonts w:ascii="Verdana" w:hAnsi="Verdana"/>
          <w:sz w:val="16"/>
          <w:szCs w:val="16"/>
        </w:rPr>
        <w:t xml:space="preserve"> establecer igualmente en consideración a las actividades en él enunciadas, con sujeción a las reglas y las consecuencias que al efecto prevén las disposiciones consagradas el Código de Comercio, particularmente el artículo 110, ordinal 4°, en concordancia con el 99 </w:t>
      </w:r>
      <w:r w:rsidRPr="00F22A64">
        <w:rPr>
          <w:rFonts w:ascii="Verdana" w:hAnsi="Verdana"/>
          <w:i/>
          <w:iCs/>
          <w:sz w:val="16"/>
          <w:szCs w:val="16"/>
        </w:rPr>
        <w:t>ibidem</w:t>
      </w:r>
      <w:r w:rsidRPr="00F22A64">
        <w:rPr>
          <w:rFonts w:ascii="Verdana" w:hAnsi="Verdana"/>
          <w:sz w:val="16"/>
          <w:szCs w:val="16"/>
        </w:rPr>
        <w:t>.</w:t>
      </w:r>
    </w:p>
    <w:p w14:paraId="2B9B9CFE" w14:textId="77777777" w:rsidR="00E752D2" w:rsidRPr="00F22A64" w:rsidRDefault="00E752D2" w:rsidP="00796052">
      <w:pPr>
        <w:pStyle w:val="Textonotapie"/>
        <w:ind w:firstLine="709"/>
        <w:jc w:val="both"/>
        <w:rPr>
          <w:rFonts w:ascii="Verdana" w:hAnsi="Verdana"/>
          <w:sz w:val="16"/>
          <w:szCs w:val="16"/>
        </w:rPr>
      </w:pPr>
      <w:r w:rsidRPr="00F22A64">
        <w:rPr>
          <w:rFonts w:ascii="Verdana" w:hAnsi="Verdana"/>
          <w:sz w:val="16"/>
          <w:szCs w:val="16"/>
        </w:rPr>
        <w:t>v) En el segundo caso, se podrá optar por un objeto indeterminado que bien identifique una o algunas de las actividades a las que especialmente se pretenda aplicar la empresa y, adicionalmente incluya las demás actividades licitas; o simplemente exprese que la sociedad podrá realizar cualquier actividad comercial o civil lícita sin mencionar en particular ninguna, lo que igualmente se entenderá para todos los efectos cuando en el acto de constitución no se diga nada sobre ese aspecto, y en estos casos la capacidad de la compañía será de todas formas ilimitada.</w:t>
      </w:r>
    </w:p>
    <w:p w14:paraId="0BE284B2" w14:textId="77777777" w:rsidR="00E752D2" w:rsidRPr="00F22A64" w:rsidRDefault="00E752D2" w:rsidP="00796052">
      <w:pPr>
        <w:pStyle w:val="Textonotapie"/>
        <w:ind w:firstLine="709"/>
        <w:jc w:val="both"/>
        <w:rPr>
          <w:rFonts w:ascii="Verdana" w:hAnsi="Verdana"/>
          <w:sz w:val="16"/>
          <w:szCs w:val="16"/>
        </w:rPr>
      </w:pPr>
      <w:r w:rsidRPr="00F22A64">
        <w:rPr>
          <w:rFonts w:ascii="Verdana" w:hAnsi="Verdana"/>
          <w:sz w:val="16"/>
          <w:szCs w:val="16"/>
        </w:rPr>
        <w:t>vii) Luego, en el documento privado de constitución, debe expresarse una relación clara y completa de las actividades principales a las cuales se dedicará la compañía, salvo que en el mismo se indique que ella podrá realizar toda clase de actividad comercial o civil lícita.</w:t>
      </w:r>
    </w:p>
    <w:p w14:paraId="0C095647" w14:textId="77777777" w:rsidR="00E752D2" w:rsidRPr="00F22A64" w:rsidRDefault="00E752D2" w:rsidP="00796052">
      <w:pPr>
        <w:pStyle w:val="Textonotapie"/>
        <w:ind w:firstLine="709"/>
        <w:jc w:val="both"/>
        <w:rPr>
          <w:rFonts w:ascii="Verdana" w:hAnsi="Verdana"/>
          <w:sz w:val="16"/>
          <w:szCs w:val="16"/>
        </w:rPr>
      </w:pPr>
      <w:r w:rsidRPr="00F22A64">
        <w:rPr>
          <w:rFonts w:ascii="Verdana" w:hAnsi="Verdana"/>
          <w:sz w:val="16"/>
          <w:szCs w:val="16"/>
        </w:rPr>
        <w:t>De no expresarse nada en los estatutos, necesariamente debe entenderse que la compañía puede efectuar cualquier actividad licita”.</w:t>
      </w:r>
    </w:p>
  </w:footnote>
  <w:footnote w:id="4">
    <w:p w14:paraId="079D1855" w14:textId="77777777" w:rsidR="00836B55" w:rsidRPr="000C6E44" w:rsidRDefault="00836B55" w:rsidP="00796052">
      <w:pPr>
        <w:pStyle w:val="Textonotapie"/>
        <w:ind w:firstLine="709"/>
        <w:jc w:val="both"/>
        <w:rPr>
          <w:rFonts w:ascii="Verdana" w:hAnsi="Verdana" w:cs="Arial"/>
          <w:sz w:val="16"/>
          <w:szCs w:val="16"/>
        </w:rPr>
      </w:pPr>
      <w:r w:rsidRPr="000C6E44">
        <w:rPr>
          <w:rFonts w:ascii="Verdana" w:hAnsi="Verdana" w:cs="Arial"/>
          <w:sz w:val="16"/>
          <w:szCs w:val="16"/>
          <w:vertAlign w:val="superscript"/>
        </w:rPr>
        <w:footnoteRef/>
      </w:r>
      <w:r w:rsidRPr="000C6E44">
        <w:rPr>
          <w:rFonts w:ascii="Verdana" w:hAnsi="Verdana" w:cs="Arial"/>
          <w:sz w:val="16"/>
          <w:szCs w:val="16"/>
        </w:rPr>
        <w:t xml:space="preserve"> Al respecto, de acuerdo con el Concepto C-089 del 28 de abril de 2023, la Agencia estima que “el debido ejercicio de la referida potestad discrecional exige que converjan unos mínimos presupuestos de adecuación, para que resulte adecuada la decisión de limitar una convocatoria a la participación exclusiva de MiPymes. Es por esto por lo que la decisión de limitar territorialmente una convocatoria solo puede resultar razonable si la información recolectada en el marco del análisis del sector indica que en el lugar de ejecución del contrato existe un número significativo de MiPymes allí domiciliadas, cuyo objeto social les permitiría desarrollar el contrato o que estén interesadas en participar en el respectivo proceso de contratación. Adicionalmente, se torna relevante determinar que tantas de esas MiPymes tendrían la posibilidad de participar en el respectivo proceso de contratación en consideración en atención a las aptitudes e idoneidad requerida.  De acuerdo con lo anterior, difícilmente podría entenderse adecuada la decisión de limitar una convocatoria por el referido factor territorial, si dentro del estudio del sector no se identifican una pluralidad de MiPymes que estén en posición de participar en el respectivo proceso.</w:t>
      </w:r>
    </w:p>
    <w:p w14:paraId="30BB218A" w14:textId="77777777" w:rsidR="00836B55" w:rsidRPr="000C6E44" w:rsidRDefault="00836B55" w:rsidP="00796052">
      <w:pPr>
        <w:pStyle w:val="Textonotapie"/>
        <w:ind w:firstLine="709"/>
        <w:jc w:val="both"/>
        <w:rPr>
          <w:rFonts w:ascii="Verdana" w:hAnsi="Verdana" w:cs="Arial"/>
          <w:sz w:val="16"/>
          <w:szCs w:val="16"/>
        </w:rPr>
      </w:pPr>
    </w:p>
    <w:p w14:paraId="16026881" w14:textId="6ADD5E96" w:rsidR="00836B55" w:rsidRPr="000C6E44" w:rsidRDefault="00836B55" w:rsidP="00796052">
      <w:pPr>
        <w:pStyle w:val="Textonotapie"/>
        <w:ind w:firstLine="709"/>
        <w:jc w:val="both"/>
        <w:rPr>
          <w:rFonts w:ascii="Verdana" w:hAnsi="Verdana" w:cs="Arial"/>
          <w:sz w:val="16"/>
          <w:szCs w:val="16"/>
        </w:rPr>
      </w:pPr>
      <w:r w:rsidRPr="000C6E44">
        <w:rPr>
          <w:rFonts w:ascii="Verdana" w:hAnsi="Verdana" w:cs="Arial"/>
          <w:sz w:val="16"/>
          <w:szCs w:val="16"/>
        </w:rPr>
        <w:t>En atención a lo anterior, situaciones en las que se presentan un ejercicio de la potestad de limitar a MiPymes desconociendo los anteriores presupuestos mínimos, bien podrían ser cuestionadas por los proponentes, veedores y ciudadanía en general ya sea a través de observaciones, en el ejercicio del derecho fundamental de petición ante la respectiva entidad estatal o la presentación de denuncias antes las autoridades competentes en el caso de que se evidencien prácticas restrictivas a la competen</w:t>
      </w:r>
      <w:r w:rsidR="000C6E44" w:rsidRPr="000C6E44">
        <w:rPr>
          <w:rFonts w:ascii="Verdana" w:hAnsi="Verdana" w:cs="Arial"/>
          <w:sz w:val="16"/>
          <w:szCs w:val="16"/>
        </w:rPr>
        <w:t xml:space="preserve">(por lo que la discrecionalidad es la puerta de entrada en la pirámide del ordenamiento de consideraciones de política administrativa o de carácter metajurídico)” (BLANQUER, David. Derecho administrativo: el fin, los medios y el control. Tomo I. Valencia: Tirant lo Blanch, 2010. p. 191).  </w:t>
      </w:r>
      <w:r w:rsidRPr="000C6E44">
        <w:rPr>
          <w:rFonts w:ascii="Verdana" w:hAnsi="Verdana" w:cs="Arial"/>
          <w:sz w:val="16"/>
          <w:szCs w:val="16"/>
        </w:rPr>
        <w:t>cia, o con relevancia penal o disciplinaria. Así mismo, en atención al interés general que revisten los procesos de contratación, cualquier ciudadano podría también solicitar el control judicial del respectivo pliego de condiciones –o invitación en los procesos de mínima cuantía–, cuando encuentre que estos contravienen el marco legal que les aplica”.</w:t>
      </w:r>
    </w:p>
    <w:p w14:paraId="756FC745" w14:textId="77777777" w:rsidR="00836B55" w:rsidRPr="000C6E44" w:rsidRDefault="00836B55" w:rsidP="00796052">
      <w:pPr>
        <w:pStyle w:val="Textonotapie"/>
        <w:ind w:firstLine="709"/>
        <w:jc w:val="both"/>
        <w:rPr>
          <w:sz w:val="16"/>
          <w:szCs w:val="16"/>
        </w:rPr>
      </w:pPr>
    </w:p>
  </w:footnote>
  <w:footnote w:id="5">
    <w:p w14:paraId="5C3C9AED" w14:textId="305FEB94" w:rsidR="00836B55" w:rsidRDefault="00836B55" w:rsidP="00796052">
      <w:pPr>
        <w:pStyle w:val="Textonotapie"/>
        <w:ind w:firstLine="709"/>
        <w:jc w:val="both"/>
      </w:pPr>
      <w:r w:rsidRPr="000C6E44">
        <w:rPr>
          <w:rFonts w:ascii="Verdana" w:hAnsi="Verdana" w:cs="Arial"/>
          <w:sz w:val="16"/>
          <w:szCs w:val="16"/>
          <w:vertAlign w:val="superscript"/>
        </w:rPr>
        <w:footnoteRef/>
      </w:r>
      <w:r w:rsidRPr="000C6E44">
        <w:rPr>
          <w:rFonts w:ascii="Verdana" w:hAnsi="Verdana" w:cs="Arial"/>
          <w:sz w:val="16"/>
          <w:szCs w:val="16"/>
        </w:rPr>
        <w:t xml:space="preserve"> La doctrina explica que “[…] la discrecionalidad hace referencia a una decisión o disposición administrativa adoptada dentro un margen de libre apreciación dejado por el ordenamiento jurídico (es decir, hay varias soluciones válidas en Derecho, entre las que la administración puede elegir libremente, aunque justificando su decisión). Cualquiera de las soluciones adoptadas dentro del ámbito de legítima discrecionalidad son igualmente admisibles en Derecho, y todas ellas tienen el mismo valor jurídico. Siempre que no desborde el ámbito de discrecionalidad, la Administración puede decidir utilizando criterios de conveniencia u oportunidad</w:t>
      </w:r>
      <w:r w:rsidRPr="00D37D18">
        <w:rPr>
          <w:rFonts w:ascii="Verdana" w:hAnsi="Verdana" w:cs="Arial"/>
          <w:sz w:val="18"/>
          <w:szCs w:val="18"/>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18350A" w14:textId="68993061" w:rsidR="004A305D" w:rsidRPr="006666BC" w:rsidRDefault="009D3058" w:rsidP="006666BC">
    <w:pPr>
      <w:pStyle w:val="Encabezado"/>
    </w:pPr>
    <w:r>
      <w:rPr>
        <w:rFonts w:ascii="Geomanist Bold" w:hAnsi="Geomanist Bold"/>
        <w:b/>
        <w:bCs/>
        <w:noProof/>
        <w:color w:val="002060"/>
        <w:sz w:val="24"/>
        <w:szCs w:val="24"/>
      </w:rPr>
      <w:drawing>
        <wp:anchor distT="0" distB="0" distL="114300" distR="114300" simplePos="0" relativeHeight="251658752"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7728"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FD1C243" w14:textId="6D74A3CF" w:rsidR="008A446D" w:rsidRDefault="008A446D" w:rsidP="00061B2A">
    <w:pPr>
      <w:pStyle w:val="Encabezado"/>
      <w:spacing w:line="120" w:lineRule="auto"/>
    </w:pPr>
  </w:p>
  <w:p w14:paraId="42732C58" w14:textId="77777777" w:rsidR="006000EB" w:rsidRDefault="006000EB" w:rsidP="00061B2A">
    <w:pPr>
      <w:pStyle w:val="Encabezado"/>
      <w:spacing w:line="120" w:lineRule="auto"/>
    </w:pPr>
  </w:p>
  <w:p w14:paraId="6B96BB4F" w14:textId="77777777" w:rsidR="006000EB" w:rsidRDefault="006000EB" w:rsidP="00061B2A">
    <w:pPr>
      <w:pStyle w:val="Encabezado"/>
      <w:spacing w:line="120" w:lineRule="auto"/>
    </w:pPr>
  </w:p>
  <w:p w14:paraId="4F57E85B" w14:textId="77777777"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mc:AlternateContent>
      <mc:Choice Requires="v">
        <w:pict>
          <v:shapetype w14:anchorId="28F637BC"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2000605799" o:spid="_x0000_i1025" type="#_x0000_t75" style="width:11.2pt;height:11.2pt;visibility:visible;mso-wrap-style:square">
            <v:imagedata r:id="rId1" o:title=""/>
          </v:shape>
        </w:pict>
      </mc:Choice>
      <mc:Fallback>
        <w:drawing>
          <wp:inline distT="0" distB="0" distL="0" distR="0" wp14:anchorId="76E8529C" wp14:editId="49B62721">
            <wp:extent cx="142240" cy="142240"/>
            <wp:effectExtent l="0" t="0" r="0" b="0"/>
            <wp:docPr id="2000605799" name="Imagen 2000605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2240" cy="142240"/>
                    </a:xfrm>
                    <a:prstGeom prst="rect">
                      <a:avLst/>
                    </a:prstGeom>
                    <a:noFill/>
                    <a:ln>
                      <a:noFill/>
                    </a:ln>
                  </pic:spPr>
                </pic:pic>
              </a:graphicData>
            </a:graphic>
          </wp:inline>
        </w:drawing>
      </mc:Fallback>
    </mc:AlternateContent>
  </w:numPicBullet>
  <w:abstractNum w:abstractNumId="0" w15:restartNumberingAfterBreak="0">
    <w:nsid w:val="01C06310"/>
    <w:multiLevelType w:val="multilevel"/>
    <w:tmpl w:val="FFFFFFFF"/>
    <w:lvl w:ilvl="0">
      <w:start w:val="1"/>
      <w:numFmt w:val="upperRoman"/>
      <w:lvlText w:val="%1."/>
      <w:lvlJc w:val="right"/>
      <w:pPr>
        <w:ind w:left="1068" w:hanging="360"/>
      </w:pPr>
      <w:rPr>
        <w:rFonts w:cs="Times New Roman"/>
        <w:b/>
        <w:color w:val="000000" w:themeColor="text1"/>
      </w:rPr>
    </w:lvl>
    <w:lvl w:ilvl="1">
      <w:start w:val="2"/>
      <w:numFmt w:val="decimal"/>
      <w:isLgl/>
      <w:lvlText w:val="%1.%2"/>
      <w:lvlJc w:val="left"/>
      <w:pPr>
        <w:ind w:left="708" w:hanging="360"/>
      </w:pPr>
      <w:rPr>
        <w:rFonts w:cs="Times New Roman"/>
      </w:rPr>
    </w:lvl>
    <w:lvl w:ilvl="2">
      <w:start w:val="1"/>
      <w:numFmt w:val="decimal"/>
      <w:isLgl/>
      <w:lvlText w:val="%1.%2.%3"/>
      <w:lvlJc w:val="left"/>
      <w:pPr>
        <w:ind w:left="1428" w:hanging="720"/>
      </w:pPr>
      <w:rPr>
        <w:rFonts w:cs="Times New Roman"/>
      </w:rPr>
    </w:lvl>
    <w:lvl w:ilvl="3">
      <w:start w:val="1"/>
      <w:numFmt w:val="decimal"/>
      <w:isLgl/>
      <w:lvlText w:val="%1.%2.%3.%4"/>
      <w:lvlJc w:val="left"/>
      <w:pPr>
        <w:ind w:left="1428" w:hanging="720"/>
      </w:pPr>
      <w:rPr>
        <w:rFonts w:cs="Times New Roman"/>
      </w:rPr>
    </w:lvl>
    <w:lvl w:ilvl="4">
      <w:start w:val="1"/>
      <w:numFmt w:val="decimal"/>
      <w:isLgl/>
      <w:lvlText w:val="%1.%2.%3.%4.%5"/>
      <w:lvlJc w:val="left"/>
      <w:pPr>
        <w:ind w:left="1788" w:hanging="1080"/>
      </w:pPr>
      <w:rPr>
        <w:rFonts w:cs="Times New Roman"/>
      </w:rPr>
    </w:lvl>
    <w:lvl w:ilvl="5">
      <w:start w:val="1"/>
      <w:numFmt w:val="decimal"/>
      <w:isLgl/>
      <w:lvlText w:val="%1.%2.%3.%4.%5.%6"/>
      <w:lvlJc w:val="left"/>
      <w:pPr>
        <w:ind w:left="1788" w:hanging="1080"/>
      </w:pPr>
      <w:rPr>
        <w:rFonts w:cs="Times New Roman"/>
      </w:rPr>
    </w:lvl>
    <w:lvl w:ilvl="6">
      <w:start w:val="1"/>
      <w:numFmt w:val="decimal"/>
      <w:isLgl/>
      <w:lvlText w:val="%1.%2.%3.%4.%5.%6.%7"/>
      <w:lvlJc w:val="left"/>
      <w:pPr>
        <w:ind w:left="2148" w:hanging="1440"/>
      </w:pPr>
      <w:rPr>
        <w:rFonts w:cs="Times New Roman"/>
      </w:rPr>
    </w:lvl>
    <w:lvl w:ilvl="7">
      <w:start w:val="1"/>
      <w:numFmt w:val="decimal"/>
      <w:isLgl/>
      <w:lvlText w:val="%1.%2.%3.%4.%5.%6.%7.%8"/>
      <w:lvlJc w:val="left"/>
      <w:pPr>
        <w:ind w:left="2148" w:hanging="1440"/>
      </w:pPr>
      <w:rPr>
        <w:rFonts w:cs="Times New Roman"/>
      </w:rPr>
    </w:lvl>
    <w:lvl w:ilvl="8">
      <w:start w:val="1"/>
      <w:numFmt w:val="decimal"/>
      <w:isLgl/>
      <w:lvlText w:val="%1.%2.%3.%4.%5.%6.%7.%8.%9"/>
      <w:lvlJc w:val="left"/>
      <w:pPr>
        <w:ind w:left="2508" w:hanging="1800"/>
      </w:pPr>
      <w:rPr>
        <w:rFonts w:cs="Times New Roman"/>
      </w:r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04B0D11"/>
    <w:multiLevelType w:val="hybridMultilevel"/>
    <w:tmpl w:val="FFFFFFFF"/>
    <w:lvl w:ilvl="0" w:tplc="952A0668">
      <w:start w:val="4"/>
      <w:numFmt w:val="decimal"/>
      <w:lvlText w:val="%1."/>
      <w:lvlJc w:val="left"/>
      <w:pPr>
        <w:ind w:left="360" w:hanging="360"/>
      </w:pPr>
      <w:rPr>
        <w:rFonts w:cs="Times New Roman" w:hint="default"/>
      </w:rPr>
    </w:lvl>
    <w:lvl w:ilvl="1" w:tplc="240A0019" w:tentative="1">
      <w:start w:val="1"/>
      <w:numFmt w:val="lowerLetter"/>
      <w:lvlText w:val="%2."/>
      <w:lvlJc w:val="left"/>
      <w:pPr>
        <w:ind w:left="1080" w:hanging="360"/>
      </w:pPr>
      <w:rPr>
        <w:rFonts w:cs="Times New Roman"/>
      </w:rPr>
    </w:lvl>
    <w:lvl w:ilvl="2" w:tplc="240A001B" w:tentative="1">
      <w:start w:val="1"/>
      <w:numFmt w:val="lowerRoman"/>
      <w:lvlText w:val="%3."/>
      <w:lvlJc w:val="right"/>
      <w:pPr>
        <w:ind w:left="1800" w:hanging="180"/>
      </w:pPr>
      <w:rPr>
        <w:rFonts w:cs="Times New Roman"/>
      </w:rPr>
    </w:lvl>
    <w:lvl w:ilvl="3" w:tplc="240A000F" w:tentative="1">
      <w:start w:val="1"/>
      <w:numFmt w:val="decimal"/>
      <w:lvlText w:val="%4."/>
      <w:lvlJc w:val="left"/>
      <w:pPr>
        <w:ind w:left="2520" w:hanging="360"/>
      </w:pPr>
      <w:rPr>
        <w:rFonts w:cs="Times New Roman"/>
      </w:rPr>
    </w:lvl>
    <w:lvl w:ilvl="4" w:tplc="240A0019" w:tentative="1">
      <w:start w:val="1"/>
      <w:numFmt w:val="lowerLetter"/>
      <w:lvlText w:val="%5."/>
      <w:lvlJc w:val="left"/>
      <w:pPr>
        <w:ind w:left="3240" w:hanging="360"/>
      </w:pPr>
      <w:rPr>
        <w:rFonts w:cs="Times New Roman"/>
      </w:rPr>
    </w:lvl>
    <w:lvl w:ilvl="5" w:tplc="240A001B" w:tentative="1">
      <w:start w:val="1"/>
      <w:numFmt w:val="lowerRoman"/>
      <w:lvlText w:val="%6."/>
      <w:lvlJc w:val="right"/>
      <w:pPr>
        <w:ind w:left="3960" w:hanging="180"/>
      </w:pPr>
      <w:rPr>
        <w:rFonts w:cs="Times New Roman"/>
      </w:rPr>
    </w:lvl>
    <w:lvl w:ilvl="6" w:tplc="240A000F" w:tentative="1">
      <w:start w:val="1"/>
      <w:numFmt w:val="decimal"/>
      <w:lvlText w:val="%7."/>
      <w:lvlJc w:val="left"/>
      <w:pPr>
        <w:ind w:left="4680" w:hanging="360"/>
      </w:pPr>
      <w:rPr>
        <w:rFonts w:cs="Times New Roman"/>
      </w:rPr>
    </w:lvl>
    <w:lvl w:ilvl="7" w:tplc="240A0019" w:tentative="1">
      <w:start w:val="1"/>
      <w:numFmt w:val="lowerLetter"/>
      <w:lvlText w:val="%8."/>
      <w:lvlJc w:val="left"/>
      <w:pPr>
        <w:ind w:left="5400" w:hanging="360"/>
      </w:pPr>
      <w:rPr>
        <w:rFonts w:cs="Times New Roman"/>
      </w:rPr>
    </w:lvl>
    <w:lvl w:ilvl="8" w:tplc="240A001B" w:tentative="1">
      <w:start w:val="1"/>
      <w:numFmt w:val="lowerRoman"/>
      <w:lvlText w:val="%9."/>
      <w:lvlJc w:val="right"/>
      <w:pPr>
        <w:ind w:left="6120" w:hanging="180"/>
      </w:pPr>
      <w:rPr>
        <w:rFonts w:cs="Times New Roman"/>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FFFFFFFF"/>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47280FEE"/>
    <w:multiLevelType w:val="hybridMultilevel"/>
    <w:tmpl w:val="9DDC8D8E"/>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5"/>
  </w:num>
  <w:num w:numId="7" w16cid:durableId="1946422806">
    <w:abstractNumId w:val="6"/>
  </w:num>
  <w:num w:numId="8" w16cid:durableId="152644682">
    <w:abstractNumId w:val="14"/>
  </w:num>
  <w:num w:numId="9" w16cid:durableId="1317221377">
    <w:abstractNumId w:val="8"/>
  </w:num>
  <w:num w:numId="10" w16cid:durableId="1471245386">
    <w:abstractNumId w:val="13"/>
  </w:num>
  <w:num w:numId="11" w16cid:durableId="289172385">
    <w:abstractNumId w:val="9"/>
  </w:num>
  <w:num w:numId="12" w16cid:durableId="1470781324">
    <w:abstractNumId w:val="1"/>
  </w:num>
  <w:num w:numId="13" w16cid:durableId="1512908409">
    <w:abstractNumId w:val="4"/>
  </w:num>
  <w:num w:numId="14" w16cid:durableId="895897244">
    <w:abstractNumId w:val="16"/>
  </w:num>
  <w:num w:numId="15" w16cid:durableId="390349800">
    <w:abstractNumId w:val="12"/>
  </w:num>
  <w:num w:numId="16" w16cid:durableId="1374312118">
    <w:abstractNumId w:val="0"/>
  </w:num>
  <w:num w:numId="17" w16cid:durableId="2029328530">
    <w:abstractNumId w:val="11"/>
  </w:num>
  <w:num w:numId="18" w16cid:durableId="684672965">
    <w:abstractNumId w:val="10"/>
  </w:num>
  <w:num w:numId="19" w16cid:durableId="5370346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35D7"/>
    <w:rsid w:val="00007CFC"/>
    <w:rsid w:val="00016F78"/>
    <w:rsid w:val="0002584F"/>
    <w:rsid w:val="0003353D"/>
    <w:rsid w:val="00043A66"/>
    <w:rsid w:val="00046047"/>
    <w:rsid w:val="00046945"/>
    <w:rsid w:val="0005360B"/>
    <w:rsid w:val="0006180B"/>
    <w:rsid w:val="00061B2A"/>
    <w:rsid w:val="0007011B"/>
    <w:rsid w:val="00074F53"/>
    <w:rsid w:val="00082362"/>
    <w:rsid w:val="00091537"/>
    <w:rsid w:val="000A683E"/>
    <w:rsid w:val="000B19B9"/>
    <w:rsid w:val="000B79B1"/>
    <w:rsid w:val="000C5BF5"/>
    <w:rsid w:val="000C64C1"/>
    <w:rsid w:val="000C6E44"/>
    <w:rsid w:val="000D0334"/>
    <w:rsid w:val="000D103B"/>
    <w:rsid w:val="000E7616"/>
    <w:rsid w:val="000F6486"/>
    <w:rsid w:val="00125105"/>
    <w:rsid w:val="00127233"/>
    <w:rsid w:val="00133D96"/>
    <w:rsid w:val="00137472"/>
    <w:rsid w:val="00137FF8"/>
    <w:rsid w:val="0014167E"/>
    <w:rsid w:val="0014712B"/>
    <w:rsid w:val="001511A0"/>
    <w:rsid w:val="00165987"/>
    <w:rsid w:val="00165B58"/>
    <w:rsid w:val="00172120"/>
    <w:rsid w:val="001B5B53"/>
    <w:rsid w:val="001E4177"/>
    <w:rsid w:val="001F7DC6"/>
    <w:rsid w:val="002421BB"/>
    <w:rsid w:val="0025397F"/>
    <w:rsid w:val="0025705B"/>
    <w:rsid w:val="0025796E"/>
    <w:rsid w:val="00263CEB"/>
    <w:rsid w:val="002707A2"/>
    <w:rsid w:val="00271369"/>
    <w:rsid w:val="002951A0"/>
    <w:rsid w:val="002962BC"/>
    <w:rsid w:val="002A093D"/>
    <w:rsid w:val="002A0DD0"/>
    <w:rsid w:val="002A49AC"/>
    <w:rsid w:val="002A64FD"/>
    <w:rsid w:val="002A72A7"/>
    <w:rsid w:val="002C7A84"/>
    <w:rsid w:val="002E4FD9"/>
    <w:rsid w:val="002F4965"/>
    <w:rsid w:val="003001CE"/>
    <w:rsid w:val="0030552B"/>
    <w:rsid w:val="00317551"/>
    <w:rsid w:val="00322A85"/>
    <w:rsid w:val="00324168"/>
    <w:rsid w:val="00326E92"/>
    <w:rsid w:val="00330EE8"/>
    <w:rsid w:val="003366E9"/>
    <w:rsid w:val="003448F4"/>
    <w:rsid w:val="00374F5E"/>
    <w:rsid w:val="003770F5"/>
    <w:rsid w:val="00377E3E"/>
    <w:rsid w:val="00397313"/>
    <w:rsid w:val="003A779E"/>
    <w:rsid w:val="003C6773"/>
    <w:rsid w:val="003D0F4D"/>
    <w:rsid w:val="003D5B0D"/>
    <w:rsid w:val="003E0499"/>
    <w:rsid w:val="003F3941"/>
    <w:rsid w:val="00406575"/>
    <w:rsid w:val="00414C74"/>
    <w:rsid w:val="0042722E"/>
    <w:rsid w:val="00432E5D"/>
    <w:rsid w:val="00440BFD"/>
    <w:rsid w:val="00441444"/>
    <w:rsid w:val="0044528D"/>
    <w:rsid w:val="00462D45"/>
    <w:rsid w:val="00483F9E"/>
    <w:rsid w:val="004A1847"/>
    <w:rsid w:val="004A2635"/>
    <w:rsid w:val="004A305D"/>
    <w:rsid w:val="004D232D"/>
    <w:rsid w:val="004F177A"/>
    <w:rsid w:val="004F1814"/>
    <w:rsid w:val="004F21C4"/>
    <w:rsid w:val="004F685F"/>
    <w:rsid w:val="004F7EBC"/>
    <w:rsid w:val="00516DBA"/>
    <w:rsid w:val="005566E8"/>
    <w:rsid w:val="005715CD"/>
    <w:rsid w:val="00574867"/>
    <w:rsid w:val="00575B0A"/>
    <w:rsid w:val="00591460"/>
    <w:rsid w:val="00596F37"/>
    <w:rsid w:val="005A08FA"/>
    <w:rsid w:val="005B1797"/>
    <w:rsid w:val="005B3816"/>
    <w:rsid w:val="005C35A4"/>
    <w:rsid w:val="005C3777"/>
    <w:rsid w:val="005C5128"/>
    <w:rsid w:val="005C5CDC"/>
    <w:rsid w:val="005D476C"/>
    <w:rsid w:val="005E3E36"/>
    <w:rsid w:val="005E4EED"/>
    <w:rsid w:val="005F6771"/>
    <w:rsid w:val="006000EB"/>
    <w:rsid w:val="006219F8"/>
    <w:rsid w:val="0063127B"/>
    <w:rsid w:val="00635208"/>
    <w:rsid w:val="00660FC7"/>
    <w:rsid w:val="00665D70"/>
    <w:rsid w:val="006666BC"/>
    <w:rsid w:val="00671FAA"/>
    <w:rsid w:val="00673A35"/>
    <w:rsid w:val="00674AEE"/>
    <w:rsid w:val="00681242"/>
    <w:rsid w:val="006900D9"/>
    <w:rsid w:val="006A73AD"/>
    <w:rsid w:val="006D1465"/>
    <w:rsid w:val="006D5ED5"/>
    <w:rsid w:val="006E2F3D"/>
    <w:rsid w:val="00706C16"/>
    <w:rsid w:val="007239DB"/>
    <w:rsid w:val="007333E4"/>
    <w:rsid w:val="00756841"/>
    <w:rsid w:val="007649AB"/>
    <w:rsid w:val="00771D0C"/>
    <w:rsid w:val="00771F8A"/>
    <w:rsid w:val="00775482"/>
    <w:rsid w:val="0078122B"/>
    <w:rsid w:val="007833AC"/>
    <w:rsid w:val="00796052"/>
    <w:rsid w:val="007A1E07"/>
    <w:rsid w:val="007B268C"/>
    <w:rsid w:val="007B5795"/>
    <w:rsid w:val="007B7171"/>
    <w:rsid w:val="007C0C0F"/>
    <w:rsid w:val="007C3DC2"/>
    <w:rsid w:val="007E5497"/>
    <w:rsid w:val="00806F5F"/>
    <w:rsid w:val="00820278"/>
    <w:rsid w:val="00826D95"/>
    <w:rsid w:val="00835BF6"/>
    <w:rsid w:val="00836B55"/>
    <w:rsid w:val="00850A8E"/>
    <w:rsid w:val="008672A6"/>
    <w:rsid w:val="00867F95"/>
    <w:rsid w:val="008843B6"/>
    <w:rsid w:val="00891928"/>
    <w:rsid w:val="008A446D"/>
    <w:rsid w:val="008A536D"/>
    <w:rsid w:val="008D180B"/>
    <w:rsid w:val="008E0D2D"/>
    <w:rsid w:val="008E34B5"/>
    <w:rsid w:val="008E53CC"/>
    <w:rsid w:val="008F0EA7"/>
    <w:rsid w:val="008F7130"/>
    <w:rsid w:val="0091454D"/>
    <w:rsid w:val="0092233E"/>
    <w:rsid w:val="00923EEF"/>
    <w:rsid w:val="009419F9"/>
    <w:rsid w:val="009451DA"/>
    <w:rsid w:val="0095685E"/>
    <w:rsid w:val="00961B09"/>
    <w:rsid w:val="00965334"/>
    <w:rsid w:val="0097093E"/>
    <w:rsid w:val="00971450"/>
    <w:rsid w:val="00986AC5"/>
    <w:rsid w:val="009A0DFA"/>
    <w:rsid w:val="009B2D26"/>
    <w:rsid w:val="009C2266"/>
    <w:rsid w:val="009C44B0"/>
    <w:rsid w:val="009C71FA"/>
    <w:rsid w:val="009C72E7"/>
    <w:rsid w:val="009D1056"/>
    <w:rsid w:val="009D3058"/>
    <w:rsid w:val="009E32BA"/>
    <w:rsid w:val="009F3A13"/>
    <w:rsid w:val="00A10509"/>
    <w:rsid w:val="00A122D3"/>
    <w:rsid w:val="00A15E9C"/>
    <w:rsid w:val="00A17F13"/>
    <w:rsid w:val="00A20739"/>
    <w:rsid w:val="00A33C78"/>
    <w:rsid w:val="00A65184"/>
    <w:rsid w:val="00A83F27"/>
    <w:rsid w:val="00AA1206"/>
    <w:rsid w:val="00AB0ADB"/>
    <w:rsid w:val="00AD2EF9"/>
    <w:rsid w:val="00AE4311"/>
    <w:rsid w:val="00B01B1A"/>
    <w:rsid w:val="00B45EC7"/>
    <w:rsid w:val="00B5228D"/>
    <w:rsid w:val="00B66319"/>
    <w:rsid w:val="00B72CD3"/>
    <w:rsid w:val="00B72FFF"/>
    <w:rsid w:val="00B870EC"/>
    <w:rsid w:val="00B94599"/>
    <w:rsid w:val="00BC3D36"/>
    <w:rsid w:val="00BD23D6"/>
    <w:rsid w:val="00BD7F72"/>
    <w:rsid w:val="00BE39DE"/>
    <w:rsid w:val="00BE466F"/>
    <w:rsid w:val="00C04FB3"/>
    <w:rsid w:val="00C11044"/>
    <w:rsid w:val="00C330EB"/>
    <w:rsid w:val="00C41061"/>
    <w:rsid w:val="00C45D79"/>
    <w:rsid w:val="00C56BD9"/>
    <w:rsid w:val="00C754BE"/>
    <w:rsid w:val="00C76B1C"/>
    <w:rsid w:val="00C81AE8"/>
    <w:rsid w:val="00C92746"/>
    <w:rsid w:val="00C934D4"/>
    <w:rsid w:val="00C949C4"/>
    <w:rsid w:val="00CB6357"/>
    <w:rsid w:val="00CC1B26"/>
    <w:rsid w:val="00D232C9"/>
    <w:rsid w:val="00D33B61"/>
    <w:rsid w:val="00D423A2"/>
    <w:rsid w:val="00D520D8"/>
    <w:rsid w:val="00D605B2"/>
    <w:rsid w:val="00D616E9"/>
    <w:rsid w:val="00D62A50"/>
    <w:rsid w:val="00D63AC2"/>
    <w:rsid w:val="00D7383B"/>
    <w:rsid w:val="00DA231B"/>
    <w:rsid w:val="00DB3CC0"/>
    <w:rsid w:val="00DB6DB7"/>
    <w:rsid w:val="00DC39FC"/>
    <w:rsid w:val="00DD4F4B"/>
    <w:rsid w:val="00DD5464"/>
    <w:rsid w:val="00DF5254"/>
    <w:rsid w:val="00E16408"/>
    <w:rsid w:val="00E20894"/>
    <w:rsid w:val="00E20BC5"/>
    <w:rsid w:val="00E245AB"/>
    <w:rsid w:val="00E25682"/>
    <w:rsid w:val="00E2595A"/>
    <w:rsid w:val="00E2764C"/>
    <w:rsid w:val="00E27F2E"/>
    <w:rsid w:val="00E33647"/>
    <w:rsid w:val="00E338DD"/>
    <w:rsid w:val="00E375A2"/>
    <w:rsid w:val="00E455C9"/>
    <w:rsid w:val="00E50AFE"/>
    <w:rsid w:val="00E56CA9"/>
    <w:rsid w:val="00E70E6E"/>
    <w:rsid w:val="00E752D2"/>
    <w:rsid w:val="00E75C92"/>
    <w:rsid w:val="00E771DC"/>
    <w:rsid w:val="00E8772A"/>
    <w:rsid w:val="00E90F6B"/>
    <w:rsid w:val="00E92C27"/>
    <w:rsid w:val="00EA09BB"/>
    <w:rsid w:val="00EA0E3D"/>
    <w:rsid w:val="00EC38A7"/>
    <w:rsid w:val="00ED7384"/>
    <w:rsid w:val="00EE1AA8"/>
    <w:rsid w:val="00F012DA"/>
    <w:rsid w:val="00F145D0"/>
    <w:rsid w:val="00F202BB"/>
    <w:rsid w:val="00F24ABB"/>
    <w:rsid w:val="00F26C48"/>
    <w:rsid w:val="00F31EDC"/>
    <w:rsid w:val="00F462B3"/>
    <w:rsid w:val="00F5664F"/>
    <w:rsid w:val="00F666C4"/>
    <w:rsid w:val="00F73607"/>
    <w:rsid w:val="00F76AFC"/>
    <w:rsid w:val="00F856C1"/>
    <w:rsid w:val="00FA47C0"/>
    <w:rsid w:val="00FB5DD1"/>
    <w:rsid w:val="00FC2B5D"/>
    <w:rsid w:val="00FD0D88"/>
    <w:rsid w:val="00FD732A"/>
    <w:rsid w:val="00FF1449"/>
    <w:rsid w:val="165E9519"/>
    <w:rsid w:val="382536D9"/>
    <w:rsid w:val="6EFDAB80"/>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paragraph" w:styleId="Ttulo1">
    <w:name w:val="heading 1"/>
    <w:basedOn w:val="Normal"/>
    <w:next w:val="Normal"/>
    <w:link w:val="Ttulo1Car"/>
    <w:uiPriority w:val="9"/>
    <w:qFormat/>
    <w:rsid w:val="00E20B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F,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Lista vistosa - Énfasis 1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Ttulo1Car">
    <w:name w:val="Título 1 Car"/>
    <w:basedOn w:val="Fuentedeprrafopredeter"/>
    <w:link w:val="Ttulo1"/>
    <w:uiPriority w:val="9"/>
    <w:rsid w:val="00E20BC5"/>
    <w:rPr>
      <w:rFonts w:asciiTheme="majorHAnsi" w:eastAsiaTheme="majorEastAsia" w:hAnsiTheme="majorHAnsi" w:cstheme="majorBidi"/>
      <w:color w:val="2F5496" w:themeColor="accent1" w:themeShade="BF"/>
      <w:sz w:val="32"/>
      <w:szCs w:val="32"/>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165B58"/>
    <w:rPr>
      <w:rFonts w:ascii="Geomanist Light" w:hAnsi="Geomanist Light"/>
      <w:lang w:val="es-ES"/>
    </w:rPr>
  </w:style>
  <w:style w:type="paragraph" w:customStyle="1" w:styleId="Appelnotedebasde">
    <w:name w:val="Appel note de bas de..."/>
    <w:basedOn w:val="Normal"/>
    <w:link w:val="Refdenotaalpie"/>
    <w:uiPriority w:val="99"/>
    <w:rsid w:val="00462D45"/>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601178808">
      <w:bodyDiv w:val="1"/>
      <w:marLeft w:val="0"/>
      <w:marRight w:val="0"/>
      <w:marTop w:val="0"/>
      <w:marBottom w:val="0"/>
      <w:divBdr>
        <w:top w:val="none" w:sz="0" w:space="0" w:color="auto"/>
        <w:left w:val="none" w:sz="0" w:space="0" w:color="auto"/>
        <w:bottom w:val="none" w:sz="0" w:space="0" w:color="auto"/>
        <w:right w:val="none" w:sz="0" w:space="0" w:color="auto"/>
      </w:divBdr>
    </w:div>
    <w:div w:id="2034960018">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ventanillaunicaderadicacion@colombicompra.gov.co"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ngelagarciajuridica@gmail.com" TargetMode="External"/><Relationship Id="rId5" Type="http://schemas.openxmlformats.org/officeDocument/2006/relationships/styles" Target="styles.xml"/><Relationship Id="rId15" Type="http://schemas.openxmlformats.org/officeDocument/2006/relationships/image" Target="media/image4.png"/><Relationship Id="rId10" Type="http://schemas.openxmlformats.org/officeDocument/2006/relationships/image" Target="media/image3.emf"/><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colombiacompra.gov.c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4881A3E0-D700-42B1-A00A-1C03F1156F2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13</Pages>
  <Words>4081</Words>
  <Characters>22448</Characters>
  <Application>Microsoft Office Word</Application>
  <DocSecurity>0</DocSecurity>
  <Lines>187</Lines>
  <Paragraphs>52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Keila Margarita Reyes Cassiani</cp:lastModifiedBy>
  <cp:revision>4</cp:revision>
  <cp:lastPrinted>2023-01-10T21:18:00Z</cp:lastPrinted>
  <dcterms:created xsi:type="dcterms:W3CDTF">2025-06-20T15:02:00Z</dcterms:created>
  <dcterms:modified xsi:type="dcterms:W3CDTF">2025-06-20T16:47:00Z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