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040B5" w14:textId="77777777" w:rsidR="0087031A" w:rsidRDefault="0087031A" w:rsidP="0087031A">
      <w:pPr>
        <w:spacing w:after="0" w:line="240" w:lineRule="auto"/>
        <w:contextualSpacing/>
        <w:jc w:val="both"/>
        <w:rPr>
          <w:rFonts w:ascii="Verdana" w:eastAsia="Calibri" w:hAnsi="Verdana" w:cs="Arial"/>
          <w:b/>
          <w:noProof/>
          <w:lang w:val="es-ES_tradnl" w:eastAsia="es-ES_tradnl"/>
        </w:rPr>
      </w:pPr>
      <w:bookmarkStart w:id="0" w:name="_Hlk181166130"/>
      <w:bookmarkStart w:id="1" w:name="_Hlk143780582"/>
    </w:p>
    <w:p w14:paraId="017BCE10" w14:textId="77777777" w:rsidR="00E20ADE" w:rsidRPr="00C4224D" w:rsidRDefault="00E20ADE" w:rsidP="00E20ADE">
      <w:pPr>
        <w:spacing w:after="0" w:line="240" w:lineRule="auto"/>
        <w:contextualSpacing/>
        <w:jc w:val="both"/>
        <w:rPr>
          <w:rFonts w:ascii="Verdana" w:eastAsia="Calibri" w:hAnsi="Verdana" w:cs="Arial"/>
          <w:b/>
          <w:lang w:val="es-MX"/>
        </w:rPr>
      </w:pPr>
      <w:r w:rsidRPr="00C4224D">
        <w:rPr>
          <w:rFonts w:ascii="Verdana" w:eastAsia="Calibri" w:hAnsi="Verdana" w:cs="Arial"/>
          <w:b/>
          <w:lang w:val="es-MX"/>
        </w:rPr>
        <w:t>PLIEGOS DE CONDICIONES – Naturaleza</w:t>
      </w:r>
    </w:p>
    <w:p w14:paraId="059CE64D" w14:textId="77777777" w:rsidR="00E20ADE" w:rsidRPr="00C4224D" w:rsidRDefault="00E20ADE" w:rsidP="00E20ADE">
      <w:pPr>
        <w:spacing w:after="0" w:line="240" w:lineRule="auto"/>
        <w:contextualSpacing/>
        <w:jc w:val="both"/>
        <w:rPr>
          <w:rFonts w:ascii="Verdana" w:eastAsia="Calibri" w:hAnsi="Verdana" w:cs="Arial"/>
          <w:bCs/>
          <w:sz w:val="20"/>
          <w:szCs w:val="20"/>
          <w:lang w:val="es-MX"/>
        </w:rPr>
      </w:pPr>
    </w:p>
    <w:p w14:paraId="6F3BCB13" w14:textId="77777777" w:rsidR="00E20ADE" w:rsidRPr="00C4224D" w:rsidRDefault="00E20ADE" w:rsidP="00E20ADE">
      <w:pPr>
        <w:spacing w:after="0" w:line="240" w:lineRule="auto"/>
        <w:contextualSpacing/>
        <w:jc w:val="both"/>
        <w:rPr>
          <w:rFonts w:ascii="Verdana" w:eastAsia="Calibri" w:hAnsi="Verdana" w:cs="Arial"/>
          <w:color w:val="000000" w:themeColor="text1"/>
          <w:sz w:val="20"/>
          <w:szCs w:val="20"/>
        </w:rPr>
      </w:pPr>
      <w:r w:rsidRPr="00C4224D">
        <w:rPr>
          <w:rFonts w:ascii="Verdana" w:eastAsia="Calibri" w:hAnsi="Verdana" w:cs="Arial"/>
          <w:bCs/>
          <w:sz w:val="20"/>
          <w:szCs w:val="20"/>
          <w:lang w:val="es-MX"/>
        </w:rPr>
        <w:t xml:space="preserve">[…] </w:t>
      </w:r>
      <w:r w:rsidRPr="00C4224D">
        <w:rPr>
          <w:rFonts w:ascii="Verdana" w:eastAsia="Calibri" w:hAnsi="Verdana" w:cs="Arial"/>
          <w:color w:val="000000" w:themeColor="text1"/>
          <w:sz w:val="20"/>
          <w:szCs w:val="20"/>
        </w:rPr>
        <w:t xml:space="preserve">el Consejo de Estado ha determinado que el pliego de condiciones es ley para las partes, y en él se debe establecer la regulación del procedimiento de contratación, conforme a la ley, garantizando la selección objetiva del contratista.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C4224D">
        <w:rPr>
          <w:rFonts w:ascii="Verdana" w:eastAsia="Calibri" w:hAnsi="Verdana" w:cs="Arial"/>
          <w:color w:val="000000" w:themeColor="text1"/>
          <w:sz w:val="20"/>
          <w:szCs w:val="20"/>
        </w:rPr>
        <w:t>ii</w:t>
      </w:r>
      <w:proofErr w:type="spellEnd"/>
      <w:r w:rsidRPr="00C4224D">
        <w:rPr>
          <w:rFonts w:ascii="Verdana" w:eastAsia="Calibri" w:hAnsi="Verdana" w:cs="Arial"/>
          <w:color w:val="000000" w:themeColor="text1"/>
          <w:sz w:val="20"/>
          <w:szCs w:val="20"/>
        </w:rPr>
        <w:t xml:space="preserve">) modalidad y criterios de selección, </w:t>
      </w:r>
      <w:proofErr w:type="spellStart"/>
      <w:r w:rsidRPr="00C4224D">
        <w:rPr>
          <w:rFonts w:ascii="Verdana" w:eastAsia="Calibri" w:hAnsi="Verdana" w:cs="Arial"/>
          <w:color w:val="000000" w:themeColor="text1"/>
          <w:sz w:val="20"/>
          <w:szCs w:val="20"/>
        </w:rPr>
        <w:t>iii</w:t>
      </w:r>
      <w:proofErr w:type="spellEnd"/>
      <w:r w:rsidRPr="00C4224D">
        <w:rPr>
          <w:rFonts w:ascii="Verdana" w:eastAsia="Calibri" w:hAnsi="Verdana" w:cs="Arial"/>
          <w:color w:val="000000" w:themeColor="text1"/>
          <w:sz w:val="20"/>
          <w:szCs w:val="20"/>
        </w:rPr>
        <w:t xml:space="preserve">) valoración económica del bien, obra o servicio, </w:t>
      </w:r>
      <w:proofErr w:type="spellStart"/>
      <w:r w:rsidRPr="00C4224D">
        <w:rPr>
          <w:rFonts w:ascii="Verdana" w:eastAsia="Calibri" w:hAnsi="Verdana" w:cs="Arial"/>
          <w:color w:val="000000" w:themeColor="text1"/>
          <w:sz w:val="20"/>
          <w:szCs w:val="20"/>
        </w:rPr>
        <w:t>iv</w:t>
      </w:r>
      <w:proofErr w:type="spellEnd"/>
      <w:r w:rsidRPr="00C4224D">
        <w:rPr>
          <w:rFonts w:ascii="Verdana" w:eastAsia="Calibri" w:hAnsi="Verdana" w:cs="Arial"/>
          <w:color w:val="000000" w:themeColor="text1"/>
          <w:sz w:val="20"/>
          <w:szCs w:val="20"/>
        </w:rPr>
        <w:t>) reglas de la presentación y manejo de las ofertas, v) riesgos y garantías, entre otros aspectos del contrato.</w:t>
      </w:r>
    </w:p>
    <w:p w14:paraId="63EA7897" w14:textId="77777777" w:rsidR="00E20ADE" w:rsidRPr="00C4224D" w:rsidRDefault="00E20ADE" w:rsidP="00E20ADE">
      <w:pPr>
        <w:spacing w:after="0" w:line="240" w:lineRule="auto"/>
        <w:contextualSpacing/>
        <w:jc w:val="both"/>
        <w:rPr>
          <w:rFonts w:ascii="Verdana" w:eastAsia="Calibri" w:hAnsi="Verdana" w:cs="Arial"/>
          <w:bCs/>
          <w:sz w:val="20"/>
          <w:szCs w:val="20"/>
        </w:rPr>
      </w:pPr>
    </w:p>
    <w:p w14:paraId="35212DF8" w14:textId="77777777" w:rsidR="00E20ADE" w:rsidRPr="00C4224D" w:rsidRDefault="00E20ADE" w:rsidP="00E20ADE">
      <w:pPr>
        <w:spacing w:after="0" w:line="240" w:lineRule="auto"/>
        <w:contextualSpacing/>
        <w:jc w:val="both"/>
        <w:rPr>
          <w:rFonts w:ascii="Verdana" w:eastAsia="Calibri" w:hAnsi="Verdana" w:cs="Arial"/>
          <w:bCs/>
          <w:sz w:val="20"/>
          <w:szCs w:val="20"/>
          <w:lang w:val="es-MX"/>
        </w:rPr>
      </w:pPr>
      <w:r w:rsidRPr="00C4224D">
        <w:rPr>
          <w:rFonts w:ascii="Verdana" w:eastAsia="Calibri" w:hAnsi="Verdana" w:cs="Arial"/>
          <w:bCs/>
          <w:sz w:val="20"/>
          <w:szCs w:val="20"/>
          <w:lang w:val="es-MX"/>
        </w:rPr>
        <w:t>[…]</w:t>
      </w:r>
    </w:p>
    <w:p w14:paraId="54ED5943" w14:textId="77777777" w:rsidR="00E20ADE" w:rsidRPr="00C4224D" w:rsidRDefault="00E20ADE" w:rsidP="00E20ADE">
      <w:pPr>
        <w:spacing w:after="0" w:line="240" w:lineRule="auto"/>
        <w:contextualSpacing/>
        <w:jc w:val="both"/>
        <w:rPr>
          <w:rFonts w:ascii="Verdana" w:eastAsia="Calibri" w:hAnsi="Verdana" w:cs="Arial"/>
          <w:bCs/>
          <w:sz w:val="20"/>
          <w:szCs w:val="20"/>
          <w:lang w:val="es-MX"/>
        </w:rPr>
      </w:pPr>
    </w:p>
    <w:p w14:paraId="308634D6" w14:textId="77777777" w:rsidR="00E20ADE" w:rsidRPr="00C4224D" w:rsidRDefault="00E20ADE" w:rsidP="00E20ADE">
      <w:pPr>
        <w:spacing w:after="0" w:line="240" w:lineRule="auto"/>
        <w:contextualSpacing/>
        <w:jc w:val="both"/>
        <w:rPr>
          <w:rFonts w:ascii="Verdana" w:eastAsia="Calibri" w:hAnsi="Verdana" w:cs="Arial"/>
          <w:sz w:val="20"/>
          <w:szCs w:val="20"/>
          <w:lang w:val="es-ES"/>
        </w:rPr>
      </w:pPr>
      <w:r w:rsidRPr="00C4224D">
        <w:rPr>
          <w:rFonts w:ascii="Verdana" w:eastAsia="Calibri" w:hAnsi="Verdana" w:cs="Arial"/>
          <w:sz w:val="20"/>
          <w:szCs w:val="20"/>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sz w:val="20"/>
          <w:szCs w:val="20"/>
          <w:lang w:val="es-ES"/>
        </w:rPr>
        <w:t>.</w:t>
      </w:r>
    </w:p>
    <w:p w14:paraId="27A5B2E3" w14:textId="77777777" w:rsidR="00E20ADE" w:rsidRPr="00C4224D" w:rsidRDefault="00E20ADE" w:rsidP="00E20ADE">
      <w:pPr>
        <w:spacing w:after="0" w:line="240" w:lineRule="auto"/>
        <w:contextualSpacing/>
        <w:jc w:val="both"/>
        <w:rPr>
          <w:rFonts w:ascii="Verdana" w:eastAsia="Calibri" w:hAnsi="Verdana" w:cs="Arial"/>
          <w:bCs/>
          <w:sz w:val="20"/>
          <w:szCs w:val="20"/>
          <w:lang w:val="es-MX"/>
        </w:rPr>
      </w:pPr>
    </w:p>
    <w:p w14:paraId="1ACC6A56" w14:textId="3C25A302" w:rsidR="00E20ADE" w:rsidRPr="00C4224D" w:rsidRDefault="00E20ADE" w:rsidP="00E20ADE">
      <w:pPr>
        <w:spacing w:after="0" w:line="240" w:lineRule="auto"/>
        <w:contextualSpacing/>
        <w:jc w:val="both"/>
        <w:rPr>
          <w:rFonts w:ascii="Verdana" w:eastAsia="Calibri" w:hAnsi="Verdana" w:cs="Arial"/>
          <w:b/>
        </w:rPr>
      </w:pPr>
      <w:r w:rsidRPr="00C4224D">
        <w:rPr>
          <w:rFonts w:ascii="Verdana" w:eastAsia="Calibri" w:hAnsi="Verdana" w:cs="Arial"/>
          <w:b/>
          <w:lang w:val="es-MX"/>
        </w:rPr>
        <w:t xml:space="preserve">PLIEGOS DE CONDICIONES – Otros documentos – </w:t>
      </w:r>
    </w:p>
    <w:p w14:paraId="2F181DBD" w14:textId="77777777" w:rsidR="00E20ADE" w:rsidRPr="00C4224D" w:rsidRDefault="00E20ADE" w:rsidP="00E20ADE">
      <w:pPr>
        <w:spacing w:after="0" w:line="240" w:lineRule="auto"/>
        <w:contextualSpacing/>
        <w:jc w:val="both"/>
        <w:rPr>
          <w:rFonts w:ascii="Verdana" w:eastAsia="Batang" w:hAnsi="Verdana" w:cs="Arial"/>
          <w:sz w:val="20"/>
          <w:szCs w:val="20"/>
          <w:lang w:val="es-MX"/>
        </w:rPr>
      </w:pPr>
    </w:p>
    <w:p w14:paraId="4B39B3DA" w14:textId="77777777" w:rsidR="00E20ADE" w:rsidRDefault="00E20ADE" w:rsidP="00E20ADE">
      <w:pPr>
        <w:spacing w:after="0" w:line="240" w:lineRule="auto"/>
        <w:contextualSpacing/>
        <w:jc w:val="both"/>
        <w:rPr>
          <w:rFonts w:ascii="Verdana" w:eastAsia="Batang" w:hAnsi="Verdana" w:cs="Arial"/>
          <w:i/>
          <w:iCs/>
          <w:sz w:val="20"/>
          <w:szCs w:val="20"/>
          <w:lang w:val="es-MX"/>
        </w:rPr>
      </w:pPr>
      <w:r w:rsidRPr="00C4224D">
        <w:rPr>
          <w:rFonts w:ascii="Verdana" w:eastAsia="Batang" w:hAnsi="Verdana" w:cs="Arial"/>
          <w:sz w:val="20"/>
          <w:szCs w:val="20"/>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C4224D">
        <w:rPr>
          <w:rFonts w:ascii="Verdana" w:eastAsia="Batang" w:hAnsi="Verdana" w:cs="Arial"/>
          <w:i/>
          <w:iCs/>
          <w:sz w:val="20"/>
          <w:szCs w:val="20"/>
          <w:lang w:val="es-MX"/>
        </w:rPr>
        <w:t>“con sujeción a los principios generales del derechos, a los de la función administrativa, a la finalidad del pliego y a la protección del interés general, de conformidad con lo previsto en el artículo 23 de la Ley 80 de 1993”.</w:t>
      </w:r>
    </w:p>
    <w:p w14:paraId="7FB58403" w14:textId="77777777" w:rsidR="00E20ADE" w:rsidRPr="00C4224D" w:rsidRDefault="00E20ADE" w:rsidP="00E20ADE">
      <w:pPr>
        <w:spacing w:after="0" w:line="240" w:lineRule="auto"/>
        <w:contextualSpacing/>
        <w:jc w:val="both"/>
        <w:rPr>
          <w:rFonts w:ascii="Verdana" w:eastAsia="Batang" w:hAnsi="Verdana" w:cs="Arial"/>
          <w:sz w:val="20"/>
          <w:szCs w:val="20"/>
          <w:lang w:val="es-MX"/>
        </w:rPr>
      </w:pPr>
    </w:p>
    <w:p w14:paraId="719674C7" w14:textId="77777777" w:rsidR="00E20ADE" w:rsidRPr="00C4224D" w:rsidRDefault="00E20ADE" w:rsidP="00E20ADE">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lang w:val="es-MX"/>
        </w:rPr>
        <w:t xml:space="preserve">De acuerdo con lo anterior, en atención al problema jurídico planteado, es posible establecer, por ejemplo, que </w:t>
      </w:r>
      <w:r w:rsidRPr="00C4224D">
        <w:rPr>
          <w:rFonts w:ascii="Verdana" w:eastAsia="Batang" w:hAnsi="Verdana" w:cs="Arial"/>
          <w:sz w:val="20"/>
          <w:szCs w:val="20"/>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340AE2B7" w14:textId="77777777" w:rsidR="00E20ADE" w:rsidRPr="00C4224D" w:rsidRDefault="00E20ADE" w:rsidP="00E20ADE">
      <w:pPr>
        <w:spacing w:after="0" w:line="240" w:lineRule="auto"/>
        <w:contextualSpacing/>
        <w:jc w:val="both"/>
        <w:rPr>
          <w:rFonts w:ascii="Verdana" w:eastAsia="Calibri" w:hAnsi="Verdana" w:cs="Arial"/>
          <w:sz w:val="20"/>
          <w:szCs w:val="20"/>
        </w:rPr>
      </w:pPr>
    </w:p>
    <w:p w14:paraId="0FB4AEC0" w14:textId="77777777" w:rsidR="00471CAF" w:rsidRPr="00D72D95" w:rsidRDefault="00471CAF" w:rsidP="00471CAF">
      <w:pPr>
        <w:spacing w:after="0" w:line="240" w:lineRule="auto"/>
        <w:jc w:val="both"/>
        <w:rPr>
          <w:rFonts w:ascii="Verdana" w:eastAsia="Calibri" w:hAnsi="Verdana" w:cs="Arial"/>
          <w:b/>
          <w:bCs/>
          <w:lang w:val="es-ES" w:eastAsia="es-ES"/>
        </w:rPr>
      </w:pPr>
      <w:r w:rsidRPr="00D72D95">
        <w:rPr>
          <w:rFonts w:ascii="Verdana" w:eastAsia="Calibri" w:hAnsi="Verdana" w:cs="Arial"/>
          <w:b/>
          <w:bCs/>
          <w:lang w:val="es-ES" w:eastAsia="es-ES"/>
        </w:rPr>
        <w:t>SUBSANABILIDAD – Aplicación – R</w:t>
      </w:r>
      <w:r w:rsidRPr="00D72D95">
        <w:rPr>
          <w:rFonts w:ascii="Verdana" w:eastAsia="Calibri" w:hAnsi="Verdana"/>
          <w:b/>
          <w:bCs/>
          <w:lang w:val="es-ES" w:eastAsia="es-ES"/>
        </w:rPr>
        <w:t>egla general</w:t>
      </w:r>
      <w:r w:rsidRPr="00D72D95">
        <w:rPr>
          <w:rFonts w:ascii="Verdana" w:eastAsia="Calibri" w:hAnsi="Verdana" w:cs="Arial"/>
          <w:b/>
          <w:bCs/>
          <w:lang w:val="es-ES" w:eastAsia="es-ES"/>
        </w:rPr>
        <w:t xml:space="preserve"> – Excepciones </w:t>
      </w:r>
    </w:p>
    <w:p w14:paraId="21A0A5DD" w14:textId="77777777" w:rsidR="00471CAF" w:rsidRPr="00D72D95" w:rsidRDefault="00471CAF" w:rsidP="00471CAF">
      <w:pPr>
        <w:tabs>
          <w:tab w:val="left" w:pos="426"/>
        </w:tabs>
        <w:spacing w:after="0" w:line="240" w:lineRule="auto"/>
        <w:jc w:val="both"/>
        <w:rPr>
          <w:rFonts w:ascii="Verdana" w:hAnsi="Verdana" w:cs="Arial"/>
          <w:b/>
          <w:sz w:val="20"/>
          <w:szCs w:val="20"/>
          <w:lang w:eastAsia="es-CO"/>
        </w:rPr>
      </w:pPr>
    </w:p>
    <w:p w14:paraId="2B07C5E9" w14:textId="77777777" w:rsidR="00471CAF" w:rsidRDefault="00471CAF" w:rsidP="00471CAF">
      <w:pPr>
        <w:spacing w:after="0" w:line="240" w:lineRule="auto"/>
        <w:jc w:val="both"/>
        <w:rPr>
          <w:rFonts w:ascii="Verdana" w:hAnsi="Verdana" w:cs="Arial"/>
          <w:bCs/>
          <w:sz w:val="20"/>
          <w:szCs w:val="20"/>
          <w:lang w:eastAsia="es-CO"/>
        </w:rPr>
      </w:pPr>
      <w:r w:rsidRPr="00D72D95">
        <w:rPr>
          <w:rFonts w:ascii="Verdana" w:hAnsi="Verdana" w:cs="Arial"/>
          <w:bCs/>
          <w:sz w:val="20"/>
          <w:szCs w:val="20"/>
          <w:lang w:eastAsia="es-CO"/>
        </w:rPr>
        <w:t xml:space="preserve">La regla de la </w:t>
      </w:r>
      <w:proofErr w:type="spellStart"/>
      <w:r w:rsidRPr="00D72D95">
        <w:rPr>
          <w:rFonts w:ascii="Verdana" w:hAnsi="Verdana" w:cs="Arial"/>
          <w:bCs/>
          <w:sz w:val="20"/>
          <w:szCs w:val="20"/>
          <w:lang w:eastAsia="es-CO"/>
        </w:rPr>
        <w:t>subsanabilidad</w:t>
      </w:r>
      <w:proofErr w:type="spellEnd"/>
      <w:r w:rsidRPr="00D72D95">
        <w:rPr>
          <w:rFonts w:ascii="Verdana"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w:t>
      </w:r>
      <w:r w:rsidRPr="00D72D95">
        <w:rPr>
          <w:rFonts w:ascii="Verdana" w:hAnsi="Verdana" w:cs="Arial"/>
          <w:bCs/>
          <w:sz w:val="20"/>
          <w:szCs w:val="20"/>
          <w:lang w:eastAsia="es-CO"/>
        </w:rPr>
        <w:lastRenderedPageBreak/>
        <w:t>acreditación de circunstancias ocurridas con posterioridad al cierre del proceso y de permitir la entrega de la garantía de seriedad de la oferta que no fue aportada con la propuesta.</w:t>
      </w:r>
    </w:p>
    <w:p w14:paraId="64403F14" w14:textId="77777777" w:rsidR="00471CAF" w:rsidRPr="002E5295" w:rsidRDefault="00471CAF" w:rsidP="00471CAF">
      <w:pPr>
        <w:spacing w:after="0" w:line="240" w:lineRule="auto"/>
        <w:jc w:val="both"/>
        <w:rPr>
          <w:rFonts w:ascii="Verdana" w:hAnsi="Verdana" w:cs="Arial"/>
          <w:bCs/>
          <w:sz w:val="20"/>
          <w:szCs w:val="20"/>
          <w:lang w:val="es-ES_tradnl" w:eastAsia="es-CO"/>
        </w:rPr>
      </w:pPr>
    </w:p>
    <w:p w14:paraId="0FC0CE64" w14:textId="77777777" w:rsidR="00471CAF" w:rsidRPr="00914070" w:rsidRDefault="00471CAF" w:rsidP="00471CAF">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 xml:space="preserve">SUBSANABILIDAD – Ley 1882 de 2018 </w:t>
      </w:r>
    </w:p>
    <w:p w14:paraId="72BA89EC" w14:textId="77777777" w:rsidR="00471CAF" w:rsidRDefault="00471CAF" w:rsidP="00471CAF">
      <w:pPr>
        <w:spacing w:after="0" w:line="240" w:lineRule="auto"/>
        <w:jc w:val="both"/>
        <w:rPr>
          <w:rFonts w:ascii="Verdana" w:eastAsia="Times New Roman" w:hAnsi="Verdana" w:cs="Arial"/>
          <w:lang w:val="es-ES" w:eastAsia="es-ES_tradnl"/>
        </w:rPr>
      </w:pPr>
    </w:p>
    <w:p w14:paraId="794A1A64" w14:textId="77777777" w:rsidR="00471CAF" w:rsidRDefault="00471CAF" w:rsidP="00471CAF">
      <w:pPr>
        <w:spacing w:after="0" w:line="240" w:lineRule="auto"/>
        <w:jc w:val="both"/>
        <w:rPr>
          <w:rFonts w:ascii="Verdana" w:hAnsi="Verdana" w:cs="Arial"/>
          <w:bCs/>
          <w:sz w:val="20"/>
          <w:szCs w:val="20"/>
          <w:lang w:eastAsia="es-CO"/>
        </w:rPr>
      </w:pPr>
      <w:r>
        <w:rPr>
          <w:rFonts w:ascii="Verdana" w:hAnsi="Verdana" w:cs="Arial"/>
          <w:bCs/>
          <w:sz w:val="20"/>
          <w:szCs w:val="20"/>
          <w:lang w:eastAsia="es-CO"/>
        </w:rPr>
        <w:t xml:space="preserve">[…] </w:t>
      </w:r>
      <w:r w:rsidRPr="00C86B78">
        <w:rPr>
          <w:rFonts w:ascii="Verdana" w:hAnsi="Verdana" w:cs="Arial"/>
          <w:bCs/>
          <w:sz w:val="20"/>
          <w:szCs w:val="20"/>
          <w:lang w:eastAsia="es-CO"/>
        </w:rPr>
        <w:t xml:space="preserve">la Ley 1882 de 2018: i) mantiene el criterio de la Ley 80 de 1993, relativo a que todo lo que no sea necesario para la comparación de propuestas no es título suficiente para su rechazo; </w:t>
      </w:r>
      <w:proofErr w:type="spellStart"/>
      <w:r w:rsidRPr="00C86B78">
        <w:rPr>
          <w:rFonts w:ascii="Verdana" w:hAnsi="Verdana" w:cs="Arial"/>
          <w:bCs/>
          <w:sz w:val="20"/>
          <w:szCs w:val="20"/>
          <w:lang w:eastAsia="es-CO"/>
        </w:rPr>
        <w:t>ii</w:t>
      </w:r>
      <w:proofErr w:type="spellEnd"/>
      <w:r w:rsidRPr="00C86B78">
        <w:rPr>
          <w:rFonts w:ascii="Verdana" w:hAnsi="Verdana" w:cs="Arial"/>
          <w:bCs/>
          <w:sz w:val="20"/>
          <w:szCs w:val="20"/>
          <w:lang w:eastAsia="es-CO"/>
        </w:rPr>
        <w:t xml:space="preserve">) mantiene el criterio aclaratorio de la Ley 1150 de 2007, según el cual todo lo que no afecte la asignación de puntaje puede subsanarse; e, </w:t>
      </w:r>
      <w:proofErr w:type="spellStart"/>
      <w:r w:rsidRPr="00C86B78">
        <w:rPr>
          <w:rFonts w:ascii="Verdana" w:hAnsi="Verdana" w:cs="Arial"/>
          <w:bCs/>
          <w:sz w:val="20"/>
          <w:szCs w:val="20"/>
          <w:lang w:eastAsia="es-CO"/>
        </w:rPr>
        <w:t>iii</w:t>
      </w:r>
      <w:proofErr w:type="spellEnd"/>
      <w:r w:rsidRPr="00C86B78">
        <w:rPr>
          <w:rFonts w:ascii="Verdana" w:hAnsi="Verdana" w:cs="Arial"/>
          <w:bCs/>
          <w:sz w:val="20"/>
          <w:szCs w:val="20"/>
          <w:lang w:eastAsia="es-CO"/>
        </w:rPr>
        <w:t>) introduce modificaciones en relación con algunos aspectos que se analizarán a continuación.</w:t>
      </w:r>
    </w:p>
    <w:p w14:paraId="2AE371AE" w14:textId="77777777" w:rsidR="00471CAF" w:rsidRPr="00C86B78" w:rsidRDefault="00471CAF" w:rsidP="00471CAF">
      <w:pPr>
        <w:spacing w:after="0" w:line="240" w:lineRule="auto"/>
        <w:rPr>
          <w:rFonts w:ascii="Verdana" w:eastAsia="Times New Roman" w:hAnsi="Verdana" w:cs="Arial"/>
          <w:lang w:val="es-ES" w:eastAsia="es-ES_tradnl"/>
        </w:rPr>
      </w:pPr>
    </w:p>
    <w:p w14:paraId="728CE3B8" w14:textId="77777777" w:rsidR="00471CAF" w:rsidRDefault="00471CAF" w:rsidP="00471CAF">
      <w:pPr>
        <w:tabs>
          <w:tab w:val="left" w:pos="426"/>
        </w:tabs>
        <w:spacing w:after="0" w:line="240" w:lineRule="auto"/>
        <w:jc w:val="both"/>
        <w:rPr>
          <w:rFonts w:ascii="Verdana" w:hAnsi="Verdana" w:cs="Arial"/>
          <w:b/>
          <w:lang w:eastAsia="es-CO"/>
        </w:rPr>
      </w:pPr>
      <w:r>
        <w:rPr>
          <w:rFonts w:ascii="Verdana" w:hAnsi="Verdana" w:cs="Arial"/>
          <w:b/>
          <w:lang w:eastAsia="es-CO"/>
        </w:rPr>
        <w:t>CAUSALES DE RECHAZO DE LAS OFERTAS – Origen – Límites en su configuración</w:t>
      </w:r>
    </w:p>
    <w:p w14:paraId="2208FCF0" w14:textId="77777777" w:rsidR="00471CAF" w:rsidRDefault="00471CAF" w:rsidP="00471CAF">
      <w:pPr>
        <w:tabs>
          <w:tab w:val="left" w:pos="426"/>
        </w:tabs>
        <w:spacing w:after="0" w:line="240" w:lineRule="auto"/>
        <w:jc w:val="both"/>
        <w:rPr>
          <w:rFonts w:ascii="Verdana" w:hAnsi="Verdana" w:cs="Arial"/>
          <w:b/>
          <w:lang w:eastAsia="es-CO"/>
        </w:rPr>
      </w:pPr>
    </w:p>
    <w:p w14:paraId="4DDC36AA" w14:textId="77777777" w:rsidR="00471CAF" w:rsidRDefault="00471CAF" w:rsidP="00471CAF">
      <w:pPr>
        <w:tabs>
          <w:tab w:val="left" w:pos="426"/>
        </w:tabs>
        <w:spacing w:after="0" w:line="240" w:lineRule="auto"/>
        <w:jc w:val="both"/>
        <w:rPr>
          <w:rFonts w:ascii="Verdana" w:eastAsia="Calibri" w:hAnsi="Verdana" w:cs="Arial"/>
          <w:sz w:val="20"/>
          <w:szCs w:val="20"/>
        </w:rPr>
      </w:pPr>
      <w:r w:rsidRPr="00633549">
        <w:rPr>
          <w:rFonts w:ascii="Verdana" w:eastAsia="Calibri"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1429E96F" w14:textId="77777777" w:rsidR="00471CAF" w:rsidRDefault="00471CAF" w:rsidP="00471CAF">
      <w:pPr>
        <w:tabs>
          <w:tab w:val="left" w:pos="426"/>
        </w:tabs>
        <w:spacing w:after="0" w:line="240" w:lineRule="auto"/>
        <w:jc w:val="both"/>
        <w:rPr>
          <w:rFonts w:ascii="Verdana" w:eastAsia="Calibri" w:hAnsi="Verdana" w:cs="Arial"/>
          <w:sz w:val="20"/>
          <w:szCs w:val="20"/>
        </w:rPr>
      </w:pPr>
    </w:p>
    <w:p w14:paraId="26ECFA5A" w14:textId="77777777" w:rsidR="00471CAF" w:rsidRDefault="00471CAF" w:rsidP="00471CAF">
      <w:pPr>
        <w:tabs>
          <w:tab w:val="left" w:pos="426"/>
        </w:tabs>
        <w:spacing w:after="0" w:line="240" w:lineRule="auto"/>
        <w:jc w:val="both"/>
        <w:rPr>
          <w:rFonts w:ascii="Verdana" w:hAnsi="Verdana" w:cs="Arial"/>
          <w:b/>
          <w:lang w:eastAsia="es-CO"/>
        </w:rPr>
      </w:pPr>
      <w:r>
        <w:rPr>
          <w:rFonts w:ascii="Verdana" w:hAnsi="Verdana" w:cs="Arial"/>
          <w:b/>
          <w:lang w:eastAsia="es-CO"/>
        </w:rPr>
        <w:t>CAUSALES DE RECHAZO – Procedencia</w:t>
      </w:r>
    </w:p>
    <w:p w14:paraId="6C4D1CEB" w14:textId="77777777" w:rsidR="00471CAF" w:rsidRDefault="00471CAF" w:rsidP="00471CAF">
      <w:pPr>
        <w:tabs>
          <w:tab w:val="left" w:pos="426"/>
        </w:tabs>
        <w:spacing w:after="0" w:line="240" w:lineRule="auto"/>
        <w:jc w:val="both"/>
        <w:rPr>
          <w:rFonts w:ascii="Verdana" w:hAnsi="Verdana" w:cs="Arial"/>
          <w:b/>
          <w:lang w:eastAsia="es-CO"/>
        </w:rPr>
      </w:pPr>
    </w:p>
    <w:p w14:paraId="655B557C" w14:textId="77777777" w:rsidR="00471CAF" w:rsidRPr="007B4E49" w:rsidRDefault="00471CAF" w:rsidP="00471CAF">
      <w:pPr>
        <w:spacing w:after="0" w:line="240" w:lineRule="auto"/>
        <w:jc w:val="both"/>
        <w:rPr>
          <w:rFonts w:ascii="Verdana" w:eastAsia="Times New Roman" w:hAnsi="Verdana" w:cs="Arial"/>
          <w:lang w:eastAsia="es-ES_tradnl"/>
        </w:rPr>
      </w:pPr>
      <w:r w:rsidRPr="007B4E49">
        <w:rPr>
          <w:rFonts w:ascii="Verdana" w:eastAsia="Calibri" w:hAnsi="Verdana" w:cs="Arial"/>
          <w:sz w:val="20"/>
          <w:szCs w:val="20"/>
        </w:rPr>
        <w:t xml:space="preserve">Dicho lo anterior, sobre si procede o no el rechazo de la oferta en razón al documento </w:t>
      </w:r>
      <w:r w:rsidRPr="00A242F6">
        <w:rPr>
          <w:rFonts w:ascii="Verdana" w:eastAsia="Calibri" w:hAnsi="Verdana" w:cs="Arial"/>
          <w:i/>
          <w:iCs/>
          <w:sz w:val="20"/>
          <w:szCs w:val="20"/>
        </w:rPr>
        <w:t>ambiguo u oscuro</w:t>
      </w:r>
      <w:r w:rsidRPr="007B4E49">
        <w:rPr>
          <w:rFonts w:ascii="Verdana" w:eastAsia="Calibri" w:hAnsi="Verdana" w:cs="Arial"/>
          <w:sz w:val="20"/>
          <w:szCs w:val="20"/>
        </w:rPr>
        <w:t>, en primera medida, dependerá de que exista la causal de rechazo en la ley, el reglamento o tenga origen en el pliego de condiciones expresada de manera clara y taxativa. De otro lado, si existe un supuesto de hecho incorporado por la entidad estatal en el pliego de condiciones como causal de rechazo, aquella deberá estar acorde con los principios de razonabilidad y proporcionalidad, no contrariar el ordenamiento jurídico y evitar que versen sobre aspectos meramente formales sin relevancia para el transcurso del proceso de selección o el perfeccionamiento del contrato.</w:t>
      </w:r>
    </w:p>
    <w:p w14:paraId="74637510" w14:textId="77777777" w:rsidR="0087031A" w:rsidRDefault="0087031A" w:rsidP="0087031A">
      <w:pPr>
        <w:spacing w:after="0" w:line="240" w:lineRule="auto"/>
        <w:jc w:val="both"/>
        <w:rPr>
          <w:rFonts w:ascii="Verdana" w:eastAsia="Aptos" w:hAnsi="Verdana" w:cs="Times New Roman"/>
          <w:sz w:val="20"/>
          <w:szCs w:val="20"/>
        </w:rPr>
      </w:pPr>
    </w:p>
    <w:p w14:paraId="71192816" w14:textId="77777777" w:rsidR="00471CAF" w:rsidRDefault="00471CAF" w:rsidP="0087031A">
      <w:pPr>
        <w:spacing w:after="0" w:line="240" w:lineRule="auto"/>
        <w:jc w:val="both"/>
        <w:rPr>
          <w:rFonts w:ascii="Verdana" w:eastAsia="Aptos" w:hAnsi="Verdana" w:cs="Times New Roman"/>
          <w:sz w:val="20"/>
          <w:szCs w:val="20"/>
        </w:rPr>
      </w:pPr>
    </w:p>
    <w:p w14:paraId="12C9D154" w14:textId="77777777" w:rsidR="00471CAF" w:rsidRDefault="00471CAF" w:rsidP="0087031A">
      <w:pPr>
        <w:spacing w:after="0" w:line="240" w:lineRule="auto"/>
        <w:jc w:val="both"/>
        <w:rPr>
          <w:rFonts w:ascii="Verdana" w:eastAsia="Aptos" w:hAnsi="Verdana" w:cs="Times New Roman"/>
          <w:sz w:val="20"/>
          <w:szCs w:val="20"/>
        </w:rPr>
      </w:pPr>
    </w:p>
    <w:p w14:paraId="631CFE64" w14:textId="77777777" w:rsidR="00471CAF" w:rsidRDefault="00471CAF" w:rsidP="0087031A">
      <w:pPr>
        <w:spacing w:after="0" w:line="240" w:lineRule="auto"/>
        <w:jc w:val="both"/>
        <w:rPr>
          <w:rFonts w:ascii="Verdana" w:eastAsia="Aptos" w:hAnsi="Verdana" w:cs="Times New Roman"/>
          <w:sz w:val="20"/>
          <w:szCs w:val="20"/>
        </w:rPr>
      </w:pPr>
    </w:p>
    <w:p w14:paraId="554280FE" w14:textId="77777777" w:rsidR="00471CAF" w:rsidRDefault="00471CAF" w:rsidP="0087031A">
      <w:pPr>
        <w:spacing w:after="0" w:line="240" w:lineRule="auto"/>
        <w:jc w:val="both"/>
        <w:rPr>
          <w:rFonts w:ascii="Verdana" w:eastAsia="Aptos" w:hAnsi="Verdana" w:cs="Times New Roman"/>
          <w:sz w:val="20"/>
          <w:szCs w:val="20"/>
        </w:rPr>
      </w:pPr>
    </w:p>
    <w:p w14:paraId="18108908" w14:textId="77777777" w:rsidR="00471CAF" w:rsidRDefault="00471CAF" w:rsidP="0087031A">
      <w:pPr>
        <w:spacing w:after="0" w:line="240" w:lineRule="auto"/>
        <w:jc w:val="both"/>
        <w:rPr>
          <w:rFonts w:ascii="Verdana" w:eastAsia="Aptos" w:hAnsi="Verdana" w:cs="Times New Roman"/>
          <w:sz w:val="20"/>
          <w:szCs w:val="20"/>
        </w:rPr>
      </w:pPr>
    </w:p>
    <w:p w14:paraId="54DEED0F" w14:textId="77777777" w:rsidR="00471CAF" w:rsidRDefault="00471CAF" w:rsidP="0087031A">
      <w:pPr>
        <w:spacing w:after="0" w:line="240" w:lineRule="auto"/>
        <w:jc w:val="both"/>
        <w:rPr>
          <w:rFonts w:ascii="Verdana" w:eastAsia="Aptos" w:hAnsi="Verdana" w:cs="Times New Roman"/>
          <w:sz w:val="20"/>
          <w:szCs w:val="20"/>
        </w:rPr>
      </w:pPr>
    </w:p>
    <w:p w14:paraId="268EE6CB" w14:textId="77777777" w:rsidR="0087031A" w:rsidRDefault="0087031A" w:rsidP="0087031A">
      <w:pPr>
        <w:spacing w:after="0" w:line="240" w:lineRule="auto"/>
        <w:jc w:val="both"/>
        <w:rPr>
          <w:rFonts w:ascii="Verdana" w:eastAsia="Aptos" w:hAnsi="Verdana" w:cs="Times New Roman"/>
          <w:sz w:val="20"/>
          <w:szCs w:val="20"/>
        </w:rPr>
      </w:pPr>
    </w:p>
    <w:p w14:paraId="5338B683" w14:textId="77777777" w:rsidR="0087031A" w:rsidRDefault="0087031A" w:rsidP="0087031A">
      <w:pPr>
        <w:spacing w:after="0" w:line="240" w:lineRule="auto"/>
        <w:jc w:val="both"/>
        <w:rPr>
          <w:rFonts w:ascii="Verdana" w:eastAsia="Aptos" w:hAnsi="Verdana" w:cs="Times New Roman"/>
          <w:sz w:val="20"/>
          <w:szCs w:val="20"/>
        </w:rPr>
      </w:pPr>
    </w:p>
    <w:p w14:paraId="41BEA558" w14:textId="77777777" w:rsidR="0087031A" w:rsidRDefault="0087031A" w:rsidP="0087031A">
      <w:pPr>
        <w:spacing w:after="0" w:line="240" w:lineRule="auto"/>
        <w:jc w:val="both"/>
        <w:rPr>
          <w:rFonts w:ascii="Verdana" w:eastAsia="Aptos" w:hAnsi="Verdana" w:cs="Times New Roman"/>
          <w:sz w:val="20"/>
          <w:szCs w:val="20"/>
        </w:rPr>
      </w:pPr>
    </w:p>
    <w:p w14:paraId="49D9EE12" w14:textId="77777777" w:rsidR="0087031A" w:rsidRDefault="0087031A" w:rsidP="0087031A">
      <w:pPr>
        <w:spacing w:after="0" w:line="240" w:lineRule="auto"/>
        <w:jc w:val="both"/>
        <w:rPr>
          <w:rFonts w:ascii="Verdana" w:eastAsia="Aptos" w:hAnsi="Verdana" w:cs="Times New Roman"/>
          <w:sz w:val="20"/>
          <w:szCs w:val="20"/>
        </w:rPr>
      </w:pPr>
    </w:p>
    <w:p w14:paraId="61068EFA" w14:textId="2730D19C" w:rsidR="0087031A" w:rsidRDefault="0039023C" w:rsidP="0087031A">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CD7B45A" wp14:editId="36B553E6">
            <wp:simplePos x="0" y="0"/>
            <wp:positionH relativeFrom="column">
              <wp:posOffset>2874694</wp:posOffset>
            </wp:positionH>
            <wp:positionV relativeFrom="paragraph">
              <wp:posOffset>-23006</wp:posOffset>
            </wp:positionV>
            <wp:extent cx="2838613" cy="837027"/>
            <wp:effectExtent l="0" t="0" r="0" b="1270"/>
            <wp:wrapNone/>
            <wp:docPr id="7505833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8613" cy="837027"/>
                    </a:xfrm>
                    <a:prstGeom prst="rect">
                      <a:avLst/>
                    </a:prstGeom>
                    <a:noFill/>
                    <a:ln>
                      <a:noFill/>
                    </a:ln>
                  </pic:spPr>
                </pic:pic>
              </a:graphicData>
            </a:graphic>
            <wp14:sizeRelH relativeFrom="page">
              <wp14:pctWidth>0</wp14:pctWidth>
            </wp14:sizeRelH>
            <wp14:sizeRelV relativeFrom="page">
              <wp14:pctHeight>0</wp14:pctHeight>
            </wp14:sizeRelV>
          </wp:anchor>
        </w:drawing>
      </w:r>
      <w:r w:rsidR="0087031A">
        <w:rPr>
          <w:rFonts w:ascii="Verdana" w:hAnsi="Verdana"/>
        </w:rPr>
        <w:t>B</w:t>
      </w:r>
      <w:r w:rsidR="0087031A" w:rsidRPr="0044528D">
        <w:rPr>
          <w:rFonts w:ascii="Verdana" w:hAnsi="Verdana"/>
        </w:rPr>
        <w:t xml:space="preserve">ogotá D.C., </w:t>
      </w:r>
      <w:r w:rsidR="007B6FE0">
        <w:rPr>
          <w:rFonts w:ascii="Verdana" w:hAnsi="Verdana"/>
        </w:rPr>
        <w:t xml:space="preserve">09 </w:t>
      </w:r>
      <w:r>
        <w:rPr>
          <w:rFonts w:ascii="Verdana" w:hAnsi="Verdana"/>
        </w:rPr>
        <w:t>J</w:t>
      </w:r>
      <w:r w:rsidR="007B6FE0">
        <w:rPr>
          <w:rFonts w:ascii="Verdana" w:hAnsi="Verdana"/>
        </w:rPr>
        <w:t>ulio 2025</w:t>
      </w:r>
    </w:p>
    <w:p w14:paraId="53A7EAEE" w14:textId="1EFD993D" w:rsidR="0087031A" w:rsidRDefault="0087031A" w:rsidP="0087031A">
      <w:pPr>
        <w:spacing w:after="0"/>
        <w:rPr>
          <w:rFonts w:ascii="Verdana" w:hAnsi="Verdana"/>
        </w:rPr>
      </w:pPr>
      <w:bookmarkStart w:id="2" w:name="_Hlk180638295"/>
      <w:bookmarkEnd w:id="0"/>
    </w:p>
    <w:p w14:paraId="69F1A09B" w14:textId="77777777" w:rsidR="0087031A" w:rsidRDefault="0087031A" w:rsidP="0087031A">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Pr="005E62E2">
        <w:rPr>
          <w:rFonts w:ascii="Verdana" w:eastAsia="Calibri" w:hAnsi="Verdana" w:cs="Arial"/>
          <w:lang w:eastAsia="es-ES"/>
        </w:rPr>
        <w:tab/>
      </w:r>
    </w:p>
    <w:p w14:paraId="59E12A45" w14:textId="4AF5646E" w:rsidR="00811A9B" w:rsidRDefault="00811A9B" w:rsidP="0087031A">
      <w:pPr>
        <w:spacing w:after="0" w:line="240" w:lineRule="auto"/>
        <w:rPr>
          <w:rFonts w:ascii="Verdana" w:eastAsia="Calibri" w:hAnsi="Verdana" w:cs="Arial"/>
          <w:b/>
          <w:bCs/>
          <w:lang w:eastAsia="es-ES"/>
        </w:rPr>
      </w:pPr>
      <w:r w:rsidRPr="00811A9B">
        <w:rPr>
          <w:rFonts w:ascii="Verdana" w:eastAsia="Calibri" w:hAnsi="Verdana" w:cs="Arial"/>
          <w:b/>
          <w:bCs/>
          <w:lang w:eastAsia="es-ES"/>
        </w:rPr>
        <w:t>G</w:t>
      </w:r>
      <w:r w:rsidR="0039023C">
        <w:rPr>
          <w:rFonts w:ascii="Verdana" w:eastAsia="Calibri" w:hAnsi="Verdana" w:cs="Arial"/>
          <w:b/>
          <w:bCs/>
          <w:lang w:eastAsia="es-ES"/>
        </w:rPr>
        <w:t>ustavo</w:t>
      </w:r>
      <w:r w:rsidRPr="00811A9B">
        <w:rPr>
          <w:rFonts w:ascii="Verdana" w:eastAsia="Calibri" w:hAnsi="Verdana" w:cs="Arial"/>
          <w:b/>
          <w:bCs/>
          <w:lang w:eastAsia="es-ES"/>
        </w:rPr>
        <w:t xml:space="preserve"> </w:t>
      </w:r>
      <w:proofErr w:type="spellStart"/>
      <w:r w:rsidRPr="00811A9B">
        <w:rPr>
          <w:rFonts w:ascii="Verdana" w:eastAsia="Calibri" w:hAnsi="Verdana" w:cs="Arial"/>
          <w:b/>
          <w:bCs/>
          <w:lang w:eastAsia="es-ES"/>
        </w:rPr>
        <w:t>A</w:t>
      </w:r>
      <w:r w:rsidR="0039023C">
        <w:rPr>
          <w:rFonts w:ascii="Verdana" w:eastAsia="Calibri" w:hAnsi="Verdana" w:cs="Arial"/>
          <w:b/>
          <w:bCs/>
          <w:lang w:eastAsia="es-ES"/>
        </w:rPr>
        <w:t>ngel</w:t>
      </w:r>
      <w:proofErr w:type="spellEnd"/>
      <w:r w:rsidRPr="00811A9B">
        <w:rPr>
          <w:rFonts w:ascii="Verdana" w:eastAsia="Calibri" w:hAnsi="Verdana" w:cs="Arial"/>
          <w:b/>
          <w:bCs/>
          <w:lang w:eastAsia="es-ES"/>
        </w:rPr>
        <w:t xml:space="preserve"> Q</w:t>
      </w:r>
      <w:r w:rsidR="0039023C">
        <w:rPr>
          <w:rFonts w:ascii="Verdana" w:eastAsia="Calibri" w:hAnsi="Verdana" w:cs="Arial"/>
          <w:b/>
          <w:bCs/>
          <w:lang w:eastAsia="es-ES"/>
        </w:rPr>
        <w:t>uiroga</w:t>
      </w:r>
    </w:p>
    <w:p w14:paraId="431AAEAC" w14:textId="77533C8D" w:rsidR="0039023C" w:rsidRPr="0039023C" w:rsidRDefault="0039023C" w:rsidP="0087031A">
      <w:pPr>
        <w:spacing w:after="0" w:line="240" w:lineRule="auto"/>
        <w:rPr>
          <w:rFonts w:ascii="Verdana" w:eastAsia="Calibri" w:hAnsi="Verdana" w:cs="Arial"/>
          <w:lang w:eastAsia="es-ES"/>
        </w:rPr>
      </w:pPr>
      <w:r w:rsidRPr="0039023C">
        <w:rPr>
          <w:rFonts w:ascii="Verdana" w:eastAsia="Calibri" w:hAnsi="Verdana" w:cs="Arial"/>
          <w:lang w:eastAsia="es-ES"/>
        </w:rPr>
        <w:t>SERFAR LTDA</w:t>
      </w:r>
    </w:p>
    <w:p w14:paraId="5E7DC148" w14:textId="60F109B7" w:rsidR="00811A9B" w:rsidRPr="00811A9B" w:rsidRDefault="00D1783D" w:rsidP="0087031A">
      <w:pPr>
        <w:spacing w:after="0" w:line="240" w:lineRule="auto"/>
        <w:rPr>
          <w:rFonts w:ascii="Verdana" w:hAnsi="Verdana"/>
        </w:rPr>
      </w:pPr>
      <w:hyperlink r:id="rId12" w:history="1">
        <w:r w:rsidR="00811A9B" w:rsidRPr="00811A9B">
          <w:rPr>
            <w:rStyle w:val="Hipervnculo"/>
            <w:rFonts w:ascii="Verdana" w:hAnsi="Verdana"/>
          </w:rPr>
          <w:t>serfarhomecareips@gmail.com</w:t>
        </w:r>
      </w:hyperlink>
    </w:p>
    <w:p w14:paraId="20ECB200" w14:textId="78BD4942" w:rsidR="0087031A" w:rsidRDefault="0087031A" w:rsidP="0087031A">
      <w:pPr>
        <w:spacing w:after="0" w:line="240" w:lineRule="auto"/>
        <w:rPr>
          <w:rFonts w:ascii="Verdana" w:eastAsia="Calibri" w:hAnsi="Verdana" w:cs="Arial"/>
          <w:color w:val="000000"/>
          <w:lang w:val="es-ES_tradnl" w:eastAsia="es-ES_tradnl"/>
        </w:rPr>
      </w:pPr>
      <w:r w:rsidRPr="00FE3DEC">
        <w:rPr>
          <w:rFonts w:ascii="Verdana" w:eastAsia="Calibri" w:hAnsi="Verdana" w:cs="Arial"/>
          <w:color w:val="000000"/>
          <w:lang w:val="es-ES_tradnl" w:eastAsia="es-ES_tradnl"/>
        </w:rPr>
        <w:t>B</w:t>
      </w:r>
      <w:r w:rsidR="00811A9B">
        <w:rPr>
          <w:rFonts w:ascii="Verdana" w:eastAsia="Calibri" w:hAnsi="Verdana" w:cs="Arial"/>
          <w:color w:val="000000"/>
          <w:lang w:val="es-ES_tradnl" w:eastAsia="es-ES_tradnl"/>
        </w:rPr>
        <w:t>arranquilla , Atlántico</w:t>
      </w:r>
    </w:p>
    <w:p w14:paraId="33757F92" w14:textId="77777777" w:rsidR="0087031A" w:rsidRPr="00FE3DEC" w:rsidRDefault="0087031A" w:rsidP="0087031A">
      <w:pPr>
        <w:spacing w:after="0" w:line="240" w:lineRule="auto"/>
        <w:rPr>
          <w:rFonts w:ascii="Verdana" w:eastAsia="Calibri" w:hAnsi="Verdana" w:cs="Arial"/>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87031A" w:rsidRPr="00593A5F" w14:paraId="28AFEB3E" w14:textId="77777777" w:rsidTr="00580B7F">
        <w:trPr>
          <w:trHeight w:val="884"/>
        </w:trPr>
        <w:tc>
          <w:tcPr>
            <w:tcW w:w="2410" w:type="dxa"/>
          </w:tcPr>
          <w:p w14:paraId="3DABC826" w14:textId="77777777" w:rsidR="0087031A" w:rsidRPr="00E5644F" w:rsidRDefault="0087031A" w:rsidP="00580B7F">
            <w:pPr>
              <w:jc w:val="both"/>
              <w:rPr>
                <w:rFonts w:ascii="Verdana" w:eastAsia="Calibri" w:hAnsi="Verdana" w:cs="Arial"/>
                <w:b/>
                <w:bCs/>
                <w:color w:val="7030A0"/>
                <w:lang w:val="es-ES_tradnl" w:eastAsia="es-ES_tradnl"/>
              </w:rPr>
            </w:pPr>
          </w:p>
        </w:tc>
        <w:tc>
          <w:tcPr>
            <w:tcW w:w="6804" w:type="dxa"/>
            <w:gridSpan w:val="2"/>
          </w:tcPr>
          <w:p w14:paraId="022A37EB" w14:textId="767F3D01" w:rsidR="0087031A" w:rsidRPr="00E5644F" w:rsidRDefault="0087031A" w:rsidP="00580B7F">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6</w:t>
            </w:r>
            <w:r w:rsidR="00811A9B">
              <w:rPr>
                <w:rFonts w:ascii="Verdana" w:eastAsia="Calibri" w:hAnsi="Verdana" w:cs="Arial"/>
                <w:b/>
                <w:bCs/>
                <w:lang w:val="es-ES" w:eastAsia="es-ES"/>
              </w:rPr>
              <w:t>78</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87031A" w:rsidRPr="00A52DE7" w14:paraId="38B6D2DC" w14:textId="77777777" w:rsidTr="00580B7F">
        <w:trPr>
          <w:trHeight w:val="884"/>
        </w:trPr>
        <w:tc>
          <w:tcPr>
            <w:tcW w:w="2410" w:type="dxa"/>
          </w:tcPr>
          <w:p w14:paraId="7FE07E31" w14:textId="77777777" w:rsidR="0087031A" w:rsidRPr="00593A5F" w:rsidRDefault="0087031A" w:rsidP="00580B7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285A6755" w14:textId="77777777" w:rsidR="0087031A" w:rsidRDefault="00E20ADE" w:rsidP="00580B7F">
            <w:pPr>
              <w:jc w:val="both"/>
              <w:rPr>
                <w:rFonts w:ascii="Verdana" w:hAnsi="Verdana" w:cs="Arial"/>
                <w:lang w:eastAsia="es-CO"/>
              </w:rPr>
            </w:pPr>
            <w:r w:rsidRPr="00CF4909">
              <w:rPr>
                <w:rFonts w:ascii="Verdana" w:eastAsia="Calibri" w:hAnsi="Verdana" w:cs="Arial"/>
                <w:lang w:val="es-ES" w:eastAsia="es-ES"/>
              </w:rPr>
              <w:t>PLIEGOS DE CONDICIONES – Naturaleza / PLIEGOS DE CONDICIONES – Otros documentos – Contradicción información</w:t>
            </w:r>
            <w:r w:rsidR="00471CAF">
              <w:rPr>
                <w:rFonts w:ascii="Verdana" w:eastAsia="Calibri" w:hAnsi="Verdana" w:cs="Arial"/>
                <w:lang w:val="es-ES" w:eastAsia="es-ES"/>
              </w:rPr>
              <w:t xml:space="preserve">- </w:t>
            </w:r>
            <w:r w:rsidR="00471CAF" w:rsidRPr="007B4E49">
              <w:rPr>
                <w:rFonts w:ascii="Verdana" w:eastAsia="Calibri" w:hAnsi="Verdana" w:cs="Arial"/>
                <w:lang w:val="es-ES" w:eastAsia="es-ES"/>
              </w:rPr>
              <w:t>SUBSANABILIDAD – Aplicación – R</w:t>
            </w:r>
            <w:r w:rsidR="00471CAF" w:rsidRPr="007B4E49">
              <w:rPr>
                <w:rFonts w:ascii="Verdana" w:eastAsia="Calibri" w:hAnsi="Verdana"/>
                <w:lang w:val="es-ES" w:eastAsia="es-ES"/>
              </w:rPr>
              <w:t>egla general</w:t>
            </w:r>
            <w:r w:rsidR="00471CAF" w:rsidRPr="007B4E49">
              <w:rPr>
                <w:rFonts w:ascii="Verdana" w:eastAsia="Calibri" w:hAnsi="Verdana" w:cs="Arial"/>
                <w:lang w:val="es-ES" w:eastAsia="es-ES"/>
              </w:rPr>
              <w:t xml:space="preserve"> – Excepciones / SUBSANABILIDAD – Ley 1882 de 2018 / </w:t>
            </w:r>
            <w:r w:rsidR="00471CAF" w:rsidRPr="007B4E49">
              <w:rPr>
                <w:rFonts w:ascii="Verdana" w:hAnsi="Verdana" w:cs="Arial"/>
                <w:lang w:eastAsia="es-CO"/>
              </w:rPr>
              <w:t>CAUSALES DE RECHAZO DE LAS OFERTAS – Origen – Límites en su configuración / CAUSALES DE RECHAZO – Procedencia</w:t>
            </w:r>
            <w:r w:rsidR="00471CAF">
              <w:rPr>
                <w:rFonts w:ascii="Verdana" w:hAnsi="Verdana" w:cs="Arial"/>
                <w:lang w:eastAsia="es-CO"/>
              </w:rPr>
              <w:t>.</w:t>
            </w:r>
          </w:p>
          <w:p w14:paraId="1BF247BD" w14:textId="72D1DB25" w:rsidR="00471CAF" w:rsidRPr="00A52DE7" w:rsidRDefault="00471CAF" w:rsidP="00580B7F">
            <w:pPr>
              <w:jc w:val="both"/>
              <w:rPr>
                <w:rFonts w:ascii="Verdana" w:eastAsia="Calibri" w:hAnsi="Verdana" w:cs="Arial"/>
                <w:b/>
                <w:highlight w:val="yellow"/>
                <w:lang w:val="es-ES" w:eastAsia="es-ES"/>
              </w:rPr>
            </w:pPr>
          </w:p>
        </w:tc>
      </w:tr>
      <w:tr w:rsidR="0087031A" w:rsidRPr="00593A5F" w14:paraId="14D6DDF3" w14:textId="77777777" w:rsidTr="00580B7F">
        <w:tc>
          <w:tcPr>
            <w:tcW w:w="2410" w:type="dxa"/>
          </w:tcPr>
          <w:p w14:paraId="58C41A69" w14:textId="77777777" w:rsidR="0087031A" w:rsidRPr="006730E9" w:rsidRDefault="0087031A" w:rsidP="00580B7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6361BD6" w14:textId="5182D8FE" w:rsidR="0087031A" w:rsidRPr="006730E9" w:rsidRDefault="0087031A" w:rsidP="00580B7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811A9B" w:rsidRPr="00811A9B">
              <w:rPr>
                <w:rFonts w:ascii="Verdana" w:eastAsia="Calibri" w:hAnsi="Verdana" w:cs="Arial"/>
                <w:lang w:val="es-ES_tradnl" w:eastAsia="es-ES_tradnl"/>
              </w:rPr>
              <w:t>P20250527005162</w:t>
            </w:r>
            <w:r>
              <w:rPr>
                <w:rFonts w:ascii="Verdana" w:eastAsia="Calibri" w:hAnsi="Verdana" w:cs="Arial"/>
                <w:lang w:val="es-ES_tradnl" w:eastAsia="es-ES_tradnl"/>
              </w:rPr>
              <w:t>.</w:t>
            </w:r>
          </w:p>
        </w:tc>
      </w:tr>
      <w:tr w:rsidR="0087031A" w:rsidRPr="00DB23D2" w14:paraId="2A2E2921" w14:textId="77777777" w:rsidTr="00580B7F">
        <w:trPr>
          <w:gridAfter w:val="1"/>
          <w:wAfter w:w="336" w:type="dxa"/>
          <w:trHeight w:val="233"/>
        </w:trPr>
        <w:tc>
          <w:tcPr>
            <w:tcW w:w="8878" w:type="dxa"/>
            <w:gridSpan w:val="2"/>
          </w:tcPr>
          <w:p w14:paraId="120D7AD6" w14:textId="77777777" w:rsidR="0087031A" w:rsidRPr="00DB23D2" w:rsidRDefault="0087031A" w:rsidP="00580B7F">
            <w:pPr>
              <w:spacing w:after="120" w:line="276" w:lineRule="auto"/>
              <w:jc w:val="both"/>
              <w:rPr>
                <w:rFonts w:ascii="Verdana" w:eastAsia="Calibri" w:hAnsi="Verdana" w:cs="Arial"/>
                <w:lang w:val="es-ES_tradnl" w:eastAsia="es-ES"/>
              </w:rPr>
            </w:pPr>
          </w:p>
        </w:tc>
      </w:tr>
    </w:tbl>
    <w:p w14:paraId="47EC921B" w14:textId="30B900E1"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proofErr w:type="spellStart"/>
      <w:r w:rsidR="00E20ADE">
        <w:rPr>
          <w:rFonts w:ascii="Verdana" w:eastAsia="Calibri" w:hAnsi="Verdana" w:cs="Arial"/>
          <w:lang w:val="es-ES" w:eastAsia="es-ES"/>
        </w:rPr>
        <w:t>Angel</w:t>
      </w:r>
      <w:proofErr w:type="spellEnd"/>
      <w:r>
        <w:rPr>
          <w:rFonts w:ascii="Verdana" w:eastAsia="Calibri" w:hAnsi="Verdana" w:cs="Arial"/>
          <w:lang w:val="es-ES" w:eastAsia="es-ES"/>
        </w:rPr>
        <w:t>;</w:t>
      </w:r>
    </w:p>
    <w:p w14:paraId="59ADFBB6" w14:textId="77777777" w:rsidR="0087031A" w:rsidRDefault="0087031A" w:rsidP="008703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29E5029" w14:textId="3B3C5088"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w:t>
      </w:r>
      <w:r w:rsidR="00811A9B">
        <w:rPr>
          <w:rFonts w:ascii="Verdana" w:eastAsia="Calibri" w:hAnsi="Verdana" w:cs="Arial"/>
          <w:lang w:val="es-ES" w:eastAsia="es-ES"/>
        </w:rPr>
        <w:t>8</w:t>
      </w:r>
      <w:r>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Pr>
          <w:rFonts w:ascii="Verdana" w:eastAsia="Calibri" w:hAnsi="Verdana" w:cs="Arial"/>
          <w:lang w:val="es-ES" w:eastAsia="es-ES"/>
        </w:rPr>
        <w:t>mayo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E75DC9C" w14:textId="77777777" w:rsidR="0087031A" w:rsidRPr="00326382" w:rsidRDefault="0087031A" w:rsidP="0087031A">
      <w:pPr>
        <w:spacing w:after="0" w:line="240" w:lineRule="auto"/>
        <w:ind w:left="709" w:right="474"/>
        <w:jc w:val="both"/>
        <w:rPr>
          <w:rFonts w:ascii="Verdana" w:hAnsi="Verdana" w:cs="Arial"/>
          <w:sz w:val="20"/>
          <w:szCs w:val="20"/>
          <w:shd w:val="clear" w:color="auto" w:fill="FFFFFF"/>
        </w:rPr>
      </w:pPr>
      <w:bookmarkStart w:id="4" w:name="_Hlk95313578"/>
    </w:p>
    <w:bookmarkEnd w:id="4"/>
    <w:p w14:paraId="292A93D4" w14:textId="77777777" w:rsidR="00811A9B" w:rsidRDefault="0087031A" w:rsidP="001532F7">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3FDDC67E" w14:textId="629E5617" w:rsidR="00811A9B" w:rsidRPr="00811A9B" w:rsidRDefault="00811A9B" w:rsidP="001532F7">
      <w:pPr>
        <w:tabs>
          <w:tab w:val="left" w:pos="142"/>
          <w:tab w:val="left" w:pos="567"/>
        </w:tabs>
        <w:ind w:left="426" w:right="709"/>
        <w:jc w:val="both"/>
        <w:rPr>
          <w:rFonts w:ascii="Verdana" w:eastAsia="Century Gothic" w:hAnsi="Verdana" w:cs="Century Gothic"/>
          <w:i/>
          <w:iCs/>
          <w:sz w:val="20"/>
          <w:szCs w:val="20"/>
        </w:rPr>
      </w:pPr>
      <w:r w:rsidRPr="00811A9B">
        <w:rPr>
          <w:rFonts w:ascii="Verdana" w:eastAsia="Century Gothic" w:hAnsi="Verdana" w:cs="Century Gothic"/>
          <w:i/>
          <w:iCs/>
          <w:sz w:val="20"/>
          <w:szCs w:val="20"/>
        </w:rPr>
        <w:t>1. Dentro de un proceso de Selección Abreviada Mínima Cuantía se realizó una</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observación dentro del proyecto de Pliego de Condiciones la cual fue acogida sin</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embargo al publicar el pliego Definitivo no se estableció cierta respuesta que era</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parte de las condiciones Técnicas del Proceso que Habilitan o Deshabilitan la misma</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tampoco quedo en adenda y el proponente nunca volvió a observar para que la</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misma quedara estipulada en las Condiciones Definitivas. ¿</w:t>
      </w:r>
      <w:proofErr w:type="spellStart"/>
      <w:r w:rsidRPr="00811A9B">
        <w:rPr>
          <w:rFonts w:ascii="Verdana" w:eastAsia="Century Gothic" w:hAnsi="Verdana" w:cs="Century Gothic"/>
          <w:i/>
          <w:iCs/>
          <w:sz w:val="20"/>
          <w:szCs w:val="20"/>
        </w:rPr>
        <w:t>Que</w:t>
      </w:r>
      <w:proofErr w:type="spellEnd"/>
      <w:r w:rsidRPr="00811A9B">
        <w:rPr>
          <w:rFonts w:ascii="Verdana" w:eastAsia="Century Gothic" w:hAnsi="Verdana" w:cs="Century Gothic"/>
          <w:i/>
          <w:iCs/>
          <w:sz w:val="20"/>
          <w:szCs w:val="20"/>
        </w:rPr>
        <w:t xml:space="preserve"> dice la normativa de esto se avala esta respuesta como parte de los requisitos técnicos o la entidad estatal debe dar cumplimiento a las condiciones técnicas que quedaron en Pliego Definitivo?</w:t>
      </w:r>
    </w:p>
    <w:p w14:paraId="55A848A2" w14:textId="5D533BEF" w:rsidR="0087031A" w:rsidRPr="00CD7324" w:rsidRDefault="00811A9B" w:rsidP="001532F7">
      <w:pPr>
        <w:tabs>
          <w:tab w:val="left" w:pos="142"/>
          <w:tab w:val="left" w:pos="567"/>
        </w:tabs>
        <w:ind w:left="426" w:right="709"/>
        <w:jc w:val="both"/>
        <w:rPr>
          <w:rFonts w:ascii="Verdana" w:eastAsia="Century Gothic" w:hAnsi="Verdana" w:cs="Century Gothic"/>
          <w:i/>
          <w:iCs/>
          <w:sz w:val="20"/>
          <w:szCs w:val="20"/>
        </w:rPr>
      </w:pPr>
      <w:r w:rsidRPr="00811A9B">
        <w:rPr>
          <w:rFonts w:ascii="Verdana" w:eastAsia="Century Gothic" w:hAnsi="Verdana" w:cs="Century Gothic"/>
          <w:i/>
          <w:iCs/>
          <w:sz w:val="20"/>
          <w:szCs w:val="20"/>
        </w:rPr>
        <w:lastRenderedPageBreak/>
        <w:t>2. La Póliza de Seriedad de oferta puede ser corregida y subsanar en el valor del</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amparo si el oferente se equivocó y la presento junto con su oferta póliza por menor</w:t>
      </w:r>
      <w:r>
        <w:rPr>
          <w:rFonts w:ascii="Verdana" w:eastAsia="Century Gothic" w:hAnsi="Verdana" w:cs="Century Gothic"/>
          <w:i/>
          <w:iCs/>
          <w:sz w:val="20"/>
          <w:szCs w:val="20"/>
        </w:rPr>
        <w:t xml:space="preserve"> </w:t>
      </w:r>
      <w:r w:rsidRPr="00811A9B">
        <w:rPr>
          <w:rFonts w:ascii="Verdana" w:eastAsia="Century Gothic" w:hAnsi="Verdana" w:cs="Century Gothic"/>
          <w:i/>
          <w:iCs/>
          <w:sz w:val="20"/>
          <w:szCs w:val="20"/>
        </w:rPr>
        <w:t>valor al requerido por el pliego de Condiciones o aplica a causal de rechazo?</w:t>
      </w:r>
      <w:r w:rsidR="001532F7">
        <w:rPr>
          <w:rFonts w:ascii="Verdana" w:eastAsia="Century Gothic" w:hAnsi="Verdana" w:cs="Century Gothic"/>
          <w:i/>
          <w:iCs/>
          <w:sz w:val="20"/>
          <w:szCs w:val="20"/>
        </w:rPr>
        <w:t xml:space="preserve"> </w:t>
      </w:r>
      <w:r w:rsidR="00E460EC">
        <w:rPr>
          <w:rFonts w:ascii="Verdana" w:eastAsia="Century Gothic" w:hAnsi="Verdana" w:cs="Century Gothic"/>
          <w:i/>
          <w:iCs/>
          <w:sz w:val="20"/>
          <w:szCs w:val="20"/>
        </w:rPr>
        <w:t>(</w:t>
      </w:r>
      <w:r w:rsidR="0087031A" w:rsidRPr="00CD7324">
        <w:rPr>
          <w:rFonts w:ascii="Verdana" w:eastAsia="Century Gothic" w:hAnsi="Verdana" w:cs="Century Gothic"/>
          <w:i/>
          <w:iCs/>
          <w:sz w:val="20"/>
          <w:szCs w:val="20"/>
        </w:rPr>
        <w:t>…)”</w:t>
      </w:r>
      <w:r w:rsidR="002B5862">
        <w:rPr>
          <w:rFonts w:ascii="Verdana" w:eastAsia="Century Gothic" w:hAnsi="Verdana" w:cs="Century Gothic"/>
          <w:i/>
          <w:iCs/>
          <w:sz w:val="20"/>
          <w:szCs w:val="20"/>
        </w:rPr>
        <w:t>.</w:t>
      </w:r>
      <w:r w:rsidR="0087031A" w:rsidRPr="00CD7324">
        <w:rPr>
          <w:rFonts w:ascii="Verdana" w:eastAsia="Century Gothic" w:hAnsi="Verdana" w:cs="Century Gothic"/>
          <w:i/>
          <w:iCs/>
          <w:sz w:val="20"/>
          <w:szCs w:val="20"/>
        </w:rPr>
        <w:t xml:space="preserve"> </w:t>
      </w:r>
    </w:p>
    <w:p w14:paraId="33F745EB" w14:textId="77777777" w:rsidR="0087031A" w:rsidRPr="00AA3B9F" w:rsidRDefault="0087031A" w:rsidP="008703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04224C2" w14:textId="77777777" w:rsidR="0087031A" w:rsidRPr="00AA3B9F" w:rsidRDefault="0087031A" w:rsidP="0087031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7488FEE4" w14:textId="77777777" w:rsidR="0087031A" w:rsidRDefault="0087031A" w:rsidP="008703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A7578E" w14:textId="77777777" w:rsidR="0087031A" w:rsidRDefault="0087031A" w:rsidP="008703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CD6BDA0" w14:textId="77777777" w:rsidR="0087031A" w:rsidRDefault="0087031A" w:rsidP="0087031A">
      <w:pPr>
        <w:pStyle w:val="Prrafodelista"/>
        <w:tabs>
          <w:tab w:val="left" w:pos="142"/>
          <w:tab w:val="left" w:pos="284"/>
        </w:tabs>
        <w:spacing w:after="0" w:line="276" w:lineRule="auto"/>
        <w:ind w:left="0"/>
        <w:jc w:val="both"/>
        <w:rPr>
          <w:rFonts w:ascii="Verdana" w:eastAsia="Century Gothic" w:hAnsi="Verdana" w:cs="Century Gothic"/>
          <w:b/>
          <w:bCs/>
        </w:rPr>
      </w:pPr>
    </w:p>
    <w:p w14:paraId="74AC3373" w14:textId="3E89F728" w:rsidR="00811A9B" w:rsidRDefault="0087031A" w:rsidP="0087031A">
      <w:pPr>
        <w:pStyle w:val="Prrafodelista"/>
        <w:tabs>
          <w:tab w:val="left" w:pos="142"/>
          <w:tab w:val="left" w:pos="284"/>
        </w:tabs>
        <w:spacing w:after="0" w:line="276" w:lineRule="auto"/>
        <w:ind w:left="0"/>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39023C">
        <w:rPr>
          <w:rFonts w:ascii="Verdana" w:eastAsia="Calibri" w:hAnsi="Verdana" w:cs="Arial"/>
          <w:lang w:eastAsia="es-ES"/>
        </w:rPr>
        <w:t>:</w:t>
      </w:r>
      <w:bookmarkStart w:id="5" w:name="_Hlk196737317"/>
      <w:r w:rsidRPr="0039023C">
        <w:rPr>
          <w:rFonts w:ascii="Verdana" w:eastAsia="Calibri" w:hAnsi="Verdana" w:cs="Arial"/>
          <w:lang w:eastAsia="es-ES"/>
        </w:rPr>
        <w:t xml:space="preserve"> </w:t>
      </w:r>
      <w:r w:rsidR="00E460EC" w:rsidRPr="0039023C">
        <w:rPr>
          <w:rFonts w:ascii="Verdana" w:hAnsi="Verdana"/>
          <w:lang w:val="es-CO"/>
        </w:rPr>
        <w:t xml:space="preserve"> </w:t>
      </w:r>
      <w:r w:rsidR="0039023C" w:rsidRPr="0039023C">
        <w:rPr>
          <w:rFonts w:ascii="Verdana" w:hAnsi="Verdana"/>
        </w:rPr>
        <w:t xml:space="preserve">i) ¿Una observación acogida durante el proyecto de pliego de condiciones, pero no incluida en el pliego definitivo ni en adenda, puede considerarse parte de los requisitos técnicos del proceso? y; </w:t>
      </w:r>
      <w:proofErr w:type="spellStart"/>
      <w:r w:rsidR="0039023C" w:rsidRPr="0039023C">
        <w:rPr>
          <w:rFonts w:ascii="Verdana" w:hAnsi="Verdana"/>
        </w:rPr>
        <w:t>ii</w:t>
      </w:r>
      <w:proofErr w:type="spellEnd"/>
      <w:r w:rsidR="0039023C" w:rsidRPr="0039023C">
        <w:rPr>
          <w:rFonts w:ascii="Verdana" w:hAnsi="Verdana"/>
        </w:rPr>
        <w:t>) ¿La presentación de una póliza de seriedad de oferta por menor valor al requerido en el pliego puede ser subsanada, o constituye causal de rechazo?</w:t>
      </w:r>
    </w:p>
    <w:p w14:paraId="37D71674" w14:textId="77777777" w:rsidR="00811A9B" w:rsidRDefault="00811A9B" w:rsidP="0087031A">
      <w:pPr>
        <w:pStyle w:val="Prrafodelista"/>
        <w:tabs>
          <w:tab w:val="left" w:pos="142"/>
          <w:tab w:val="left" w:pos="284"/>
        </w:tabs>
        <w:spacing w:after="0" w:line="276" w:lineRule="auto"/>
        <w:ind w:left="0"/>
        <w:jc w:val="both"/>
        <w:rPr>
          <w:rFonts w:ascii="Verdana" w:eastAsia="Century Gothic" w:hAnsi="Verdana" w:cs="Century Gothic"/>
        </w:rPr>
      </w:pPr>
    </w:p>
    <w:bookmarkEnd w:id="5"/>
    <w:p w14:paraId="4830150C" w14:textId="77777777" w:rsidR="0087031A"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376DABD" w14:textId="77777777" w:rsidR="001532F7" w:rsidRPr="00593A5F" w:rsidRDefault="001532F7" w:rsidP="001532F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031A" w:rsidRPr="00593A5F" w14:paraId="12E3C4B8" w14:textId="77777777" w:rsidTr="00580B7F">
        <w:tc>
          <w:tcPr>
            <w:tcW w:w="8828" w:type="dxa"/>
            <w:shd w:val="clear" w:color="auto" w:fill="auto"/>
          </w:tcPr>
          <w:p w14:paraId="061CFB33" w14:textId="77777777" w:rsidR="003D04AF" w:rsidRPr="003D04AF" w:rsidRDefault="003D04AF" w:rsidP="003D04AF">
            <w:pPr>
              <w:pStyle w:val="Prrafodelista"/>
              <w:numPr>
                <w:ilvl w:val="0"/>
                <w:numId w:val="22"/>
              </w:numPr>
              <w:spacing w:after="120" w:line="276" w:lineRule="auto"/>
              <w:ind w:left="31" w:hanging="57"/>
              <w:jc w:val="both"/>
              <w:rPr>
                <w:rFonts w:ascii="Verdana" w:hAnsi="Verdana" w:cs="Arial"/>
                <w:bCs/>
                <w:color w:val="000000" w:themeColor="text1"/>
              </w:rPr>
            </w:pPr>
            <w:r w:rsidRPr="003D04AF">
              <w:rPr>
                <w:rFonts w:ascii="Verdana" w:hAnsi="Verdana"/>
              </w:rPr>
              <w:t xml:space="preserve">En relación con el primer problema jurídico planteado, debe señalarse que, de acuerdo con la jurisprudencia de la Sección Tercera del Consejo de Estado, el pliego de condiciones constituye ley para las partes y las reglas </w:t>
            </w:r>
            <w:r w:rsidRPr="003D04AF">
              <w:rPr>
                <w:rFonts w:ascii="Verdana" w:hAnsi="Verdana"/>
              </w:rPr>
              <w:lastRenderedPageBreak/>
              <w:t>contenidas en él deben prevalecer sobre los demás documentos del contractuales, incluso</w:t>
            </w:r>
            <w:r w:rsidR="001532F7" w:rsidRPr="003D04AF">
              <w:rPr>
                <w:rFonts w:ascii="Verdana" w:eastAsia="Batang" w:hAnsi="Verdana" w:cs="Arial"/>
                <w:lang w:val="es-MX"/>
              </w:rPr>
              <w:t xml:space="preserve"> </w:t>
            </w:r>
            <w:r w:rsidRPr="003D04AF">
              <w:rPr>
                <w:rFonts w:ascii="Verdana" w:hAnsi="Verdana"/>
              </w:rPr>
              <w:t xml:space="preserve">sobre la minuta del contrato, la cual se limita a formalizar el acuerdo de voluntades entre las partes. En ese sentido, se ha reiterado que las reglas contenidas en los pliegos de condiciones que adolecen de vacíos o contradicciones deben de interpretarse </w:t>
            </w:r>
            <w:r w:rsidRPr="003D04AF">
              <w:rPr>
                <w:rFonts w:ascii="Verdana" w:hAnsi="Verdana"/>
                <w:i/>
                <w:iCs/>
              </w:rPr>
              <w:t>“con sujeción a los principios generales del derecho, a los de la función administrativa, a la finalidad del pliego y a la protección del interés general, de conformidad con lo previsto en el artículo 23 de la Ley 80 de 1993”.</w:t>
            </w:r>
            <w:r w:rsidRPr="003D04AF">
              <w:rPr>
                <w:rFonts w:ascii="Verdana" w:hAnsi="Verdana"/>
              </w:rPr>
              <w:t xml:space="preserve"> </w:t>
            </w:r>
          </w:p>
          <w:p w14:paraId="6CA82D82" w14:textId="77777777" w:rsidR="003D04AF" w:rsidRPr="003D04AF" w:rsidRDefault="003D04AF" w:rsidP="003D04AF">
            <w:pPr>
              <w:pStyle w:val="Prrafodelista"/>
              <w:spacing w:after="120" w:line="276" w:lineRule="auto"/>
              <w:ind w:left="31"/>
              <w:jc w:val="both"/>
              <w:rPr>
                <w:rFonts w:ascii="Verdana" w:hAnsi="Verdana"/>
              </w:rPr>
            </w:pPr>
          </w:p>
          <w:p w14:paraId="71DAD7FF" w14:textId="77777777" w:rsidR="003D04AF" w:rsidRPr="003D04AF" w:rsidRDefault="003D04AF" w:rsidP="003D04AF">
            <w:pPr>
              <w:pStyle w:val="Prrafodelista"/>
              <w:spacing w:after="120" w:line="276" w:lineRule="auto"/>
              <w:ind w:left="31"/>
              <w:jc w:val="both"/>
              <w:rPr>
                <w:rFonts w:ascii="Verdana" w:eastAsia="Batang" w:hAnsi="Verdana" w:cs="Arial"/>
                <w:lang w:val="es-MX"/>
              </w:rPr>
            </w:pPr>
            <w:r w:rsidRPr="003D04AF">
              <w:rPr>
                <w:rFonts w:ascii="Verdana" w:hAnsi="Verdana"/>
              </w:rPr>
              <w:t xml:space="preserve">Conforme a lo anterior, solo lo que esté expresamente consignado en el pliego definitivo y sus adendas oficiales tiene fuerza vinculante y debe cumplirse. Por tanto, cualquier modificación o inclusión que no esté formalmente incorporada en dichos documentos carece de validez jurídica y no puede ser tenida en cuenta en la evaluación de las ofertas. Esta exigencia garantiza la transparencia, la igualdad entre los oferentes y la objetividad del proceso de selección. </w:t>
            </w:r>
            <w:r w:rsidR="001532F7" w:rsidRPr="003D04AF">
              <w:rPr>
                <w:rFonts w:ascii="Verdana" w:eastAsia="Batang" w:hAnsi="Verdana" w:cs="Arial"/>
                <w:lang w:val="es-MX"/>
              </w:rPr>
              <w:t xml:space="preserve"> </w:t>
            </w:r>
          </w:p>
          <w:p w14:paraId="468EB0C5" w14:textId="3F13B385" w:rsidR="003D04AF" w:rsidRPr="003D04AF" w:rsidRDefault="001532F7" w:rsidP="003D04AF">
            <w:pPr>
              <w:pStyle w:val="Prrafodelista"/>
              <w:spacing w:after="120" w:line="276" w:lineRule="auto"/>
              <w:ind w:left="31"/>
              <w:jc w:val="both"/>
              <w:rPr>
                <w:rFonts w:ascii="Verdana" w:hAnsi="Verdana" w:cs="Arial"/>
                <w:bCs/>
                <w:color w:val="000000" w:themeColor="text1"/>
              </w:rPr>
            </w:pPr>
            <w:r w:rsidRPr="003D04AF">
              <w:rPr>
                <w:rFonts w:ascii="Verdana" w:eastAsia="Batang" w:hAnsi="Verdana" w:cs="Arial"/>
                <w:lang w:val="es-MX"/>
              </w:rPr>
              <w:t xml:space="preserve">        </w:t>
            </w:r>
          </w:p>
          <w:p w14:paraId="1A7B5157" w14:textId="77777777" w:rsidR="003D04AF" w:rsidRPr="003D04AF" w:rsidRDefault="003D04AF" w:rsidP="003D04AF">
            <w:pPr>
              <w:pStyle w:val="Prrafodelista"/>
              <w:numPr>
                <w:ilvl w:val="0"/>
                <w:numId w:val="22"/>
              </w:numPr>
              <w:spacing w:line="276" w:lineRule="auto"/>
              <w:ind w:left="31" w:firstLine="0"/>
              <w:jc w:val="both"/>
              <w:rPr>
                <w:rFonts w:ascii="Verdana" w:hAnsi="Verdana" w:cs="Arial"/>
                <w:bCs/>
                <w:color w:val="000000" w:themeColor="text1"/>
              </w:rPr>
            </w:pPr>
            <w:r w:rsidRPr="003D04AF">
              <w:rPr>
                <w:rFonts w:ascii="Verdana" w:hAnsi="Verdana"/>
              </w:rPr>
              <w:t xml:space="preserve">En relación con el segundo problema jurídico es de precisar que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materializándose así los principios de seriedad e irrevocabilidad de la oferta. </w:t>
            </w:r>
          </w:p>
          <w:p w14:paraId="313DB320" w14:textId="77777777" w:rsidR="003D04AF" w:rsidRPr="003D04AF" w:rsidRDefault="003D04AF" w:rsidP="003D04AF">
            <w:pPr>
              <w:pStyle w:val="Prrafodelista"/>
              <w:spacing w:line="276" w:lineRule="auto"/>
              <w:ind w:left="31"/>
              <w:jc w:val="both"/>
              <w:rPr>
                <w:rFonts w:ascii="Verdana" w:hAnsi="Verdana"/>
              </w:rPr>
            </w:pPr>
            <w:r w:rsidRPr="003D04AF">
              <w:rPr>
                <w:rFonts w:ascii="Verdana" w:hAnsi="Verdana"/>
              </w:rPr>
              <w:t xml:space="preserve">             </w:t>
            </w:r>
            <w:r w:rsidRPr="003D04AF">
              <w:rPr>
                <w:rFonts w:ascii="Verdana" w:hAnsi="Verdana"/>
              </w:rPr>
              <w:t>Así las cosas, la presentación de la garantía de seriedad deberá corresponder a lo exigido en el pliego de condiciones. Esta exigencia legal tiene como propósito salvaguardar los principios de seriedad, transparencia y seguridad jurídica en los procesos de contratación, garantizando que solo se evalúen ofertas que cumplan plenamente con los requisitos esenciales previstos por la administración.</w:t>
            </w:r>
          </w:p>
          <w:p w14:paraId="2154C278" w14:textId="77777777" w:rsidR="0087031A" w:rsidRPr="003D04AF" w:rsidRDefault="003D04AF" w:rsidP="003D04AF">
            <w:pPr>
              <w:pStyle w:val="Prrafodelista"/>
              <w:spacing w:line="276" w:lineRule="auto"/>
              <w:ind w:left="31"/>
              <w:jc w:val="both"/>
              <w:rPr>
                <w:rFonts w:ascii="Verdana" w:hAnsi="Verdana"/>
              </w:rPr>
            </w:pPr>
            <w:r w:rsidRPr="003D04AF">
              <w:rPr>
                <w:rFonts w:ascii="Verdana" w:hAnsi="Verdana"/>
              </w:rPr>
              <w:t xml:space="preserve">            </w:t>
            </w:r>
            <w:r w:rsidRPr="003D04AF">
              <w:rPr>
                <w:rFonts w:ascii="Verdana" w:hAnsi="Verdana"/>
              </w:rPr>
              <w:t xml:space="preserve"> Sin perjuicio de lo anterior,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D8F70B6" w14:textId="52B6F27E" w:rsidR="003D04AF" w:rsidRPr="003D04AF" w:rsidRDefault="003D04AF" w:rsidP="003D04AF">
            <w:pPr>
              <w:pStyle w:val="Prrafodelista"/>
              <w:spacing w:line="276" w:lineRule="auto"/>
              <w:ind w:left="31"/>
              <w:jc w:val="both"/>
              <w:rPr>
                <w:rFonts w:ascii="Verdana" w:hAnsi="Verdana" w:cs="Arial"/>
                <w:bCs/>
                <w:color w:val="000000" w:themeColor="text1"/>
              </w:rPr>
            </w:pPr>
            <w:r w:rsidRPr="003D04AF">
              <w:rPr>
                <w:rFonts w:ascii="Verdana" w:hAnsi="Verdana"/>
              </w:rPr>
              <w:lastRenderedPageBreak/>
              <w:t xml:space="preserve">            </w:t>
            </w:r>
            <w:r w:rsidRPr="003D04AF">
              <w:rPr>
                <w:rFonts w:ascii="Verdana" w:hAnsi="Verdana"/>
              </w:rPr>
              <w:t>En ese sentido, al tratarse de un análisis que debe realizarse en un procedimiento contractual específico, esta Agencia no puede definir un criterio</w:t>
            </w:r>
            <w:r w:rsidRPr="003D04AF">
              <w:rPr>
                <w:rFonts w:ascii="Verdana" w:hAnsi="Verdana"/>
              </w:rPr>
              <w:t xml:space="preserve"> </w:t>
            </w:r>
            <w:r w:rsidRPr="003D04AF">
              <w:rPr>
                <w:rFonts w:ascii="Verdana" w:hAnsi="Verdana"/>
              </w:rPr>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234FB4F9" w14:textId="77777777" w:rsidR="0087031A" w:rsidRDefault="0087031A" w:rsidP="0087031A">
      <w:pPr>
        <w:tabs>
          <w:tab w:val="left" w:pos="142"/>
          <w:tab w:val="left" w:pos="284"/>
        </w:tabs>
        <w:spacing w:after="0" w:line="276" w:lineRule="auto"/>
        <w:jc w:val="both"/>
        <w:rPr>
          <w:rFonts w:ascii="Verdana" w:eastAsia="Century Gothic" w:hAnsi="Verdana" w:cs="Century Gothic"/>
          <w:b/>
          <w:bCs/>
          <w:lang w:val="es-ES"/>
        </w:rPr>
      </w:pPr>
    </w:p>
    <w:p w14:paraId="43DE775E" w14:textId="77777777" w:rsidR="0087031A" w:rsidRPr="00593A5F"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89632DB" w14:textId="77777777" w:rsidR="0087031A" w:rsidRDefault="0087031A" w:rsidP="0087031A">
      <w:pPr>
        <w:spacing w:after="120" w:line="276" w:lineRule="auto"/>
        <w:ind w:firstLine="708"/>
        <w:jc w:val="both"/>
        <w:rPr>
          <w:rFonts w:ascii="Verdana" w:eastAsia="Calibri" w:hAnsi="Verdana" w:cs="Arial"/>
          <w:lang w:val="es-ES"/>
        </w:rPr>
      </w:pPr>
    </w:p>
    <w:p w14:paraId="7FC4A141" w14:textId="6103A2D1" w:rsidR="001532F7" w:rsidRPr="003D04AF" w:rsidRDefault="001532F7" w:rsidP="003D04AF">
      <w:pPr>
        <w:pStyle w:val="Prrafodelista"/>
        <w:numPr>
          <w:ilvl w:val="0"/>
          <w:numId w:val="23"/>
        </w:numPr>
        <w:spacing w:after="0" w:line="276" w:lineRule="auto"/>
        <w:ind w:left="0" w:firstLine="0"/>
        <w:jc w:val="both"/>
        <w:rPr>
          <w:rFonts w:ascii="Verdana" w:eastAsia="Calibri" w:hAnsi="Verdana" w:cs="Arial"/>
        </w:rPr>
      </w:pPr>
      <w:r w:rsidRPr="003D04AF">
        <w:rPr>
          <w:rFonts w:ascii="Verdana" w:eastAsia="Calibri" w:hAnsi="Verdana" w:cs="Arial"/>
        </w:rPr>
        <w:t>L</w:t>
      </w:r>
      <w:r w:rsidRPr="003D04AF">
        <w:rPr>
          <w:rFonts w:ascii="Verdana" w:eastAsia="Calibri" w:hAnsi="Verdana" w:cs="Arial"/>
          <w:color w:val="000000" w:themeColor="text1"/>
        </w:rPr>
        <w:t>a contratación pública involucra, entre otras relaciones, la interacción entre la Administración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 la contratación pública, con el propósito de procurar un equilibrio y el cumplimiento de sus principios, entre otros objetivos.</w:t>
      </w:r>
    </w:p>
    <w:p w14:paraId="1E80D3F2" w14:textId="77777777" w:rsidR="003D04AF" w:rsidRDefault="003D04AF" w:rsidP="001532F7">
      <w:pPr>
        <w:spacing w:before="120"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ese contexto</w:t>
      </w:r>
      <w:r w:rsidR="001532F7" w:rsidRPr="002379AA">
        <w:rPr>
          <w:rFonts w:ascii="Verdana" w:eastAsia="Calibri" w:hAnsi="Verdana" w:cs="Arial"/>
          <w:color w:val="000000" w:themeColor="text1"/>
        </w:rPr>
        <w:t>, la normativa contractual contiene disposiciones que indican a la entidad las actividades y documentos que debe desarrollar en sus procedimientos contractuales</w:t>
      </w:r>
      <w:r>
        <w:rPr>
          <w:rFonts w:ascii="Verdana" w:eastAsia="Calibri" w:hAnsi="Verdana" w:cs="Arial"/>
          <w:color w:val="000000" w:themeColor="text1"/>
        </w:rPr>
        <w:t>.</w:t>
      </w:r>
      <w:r w:rsidR="001532F7" w:rsidRPr="002379AA">
        <w:rPr>
          <w:rFonts w:ascii="Verdana" w:eastAsia="Calibri" w:hAnsi="Verdana" w:cs="Arial"/>
          <w:color w:val="000000" w:themeColor="text1"/>
        </w:rPr>
        <w:t xml:space="preserve"> </w:t>
      </w:r>
      <w:r>
        <w:rPr>
          <w:rFonts w:ascii="Verdana" w:eastAsia="Calibri" w:hAnsi="Verdana" w:cs="Arial"/>
          <w:color w:val="000000" w:themeColor="text1"/>
        </w:rPr>
        <w:t>C</w:t>
      </w:r>
      <w:r w:rsidR="001532F7" w:rsidRPr="002379AA">
        <w:rPr>
          <w:rFonts w:ascii="Verdana" w:eastAsia="Calibri" w:hAnsi="Verdana" w:cs="Arial"/>
          <w:color w:val="000000" w:themeColor="text1"/>
        </w:rPr>
        <w:t>on base en ello, los proveedores pueden conocer los aspectos del objeto de la contratación para presentar sus ofertas, teniendo en cuenta los parámetros que define la entidad en la etapa de planeación del procedimiento, de acuerdo con las normas relacionadas con la adquisición de que se trate, y que quedan definidos en el pliego de condiciones</w:t>
      </w:r>
      <w:r w:rsidR="001532F7" w:rsidRPr="002379AA">
        <w:rPr>
          <w:rFonts w:ascii="Verdana" w:eastAsia="Calibri" w:hAnsi="Verdana" w:cs="Arial"/>
          <w:color w:val="000000" w:themeColor="text1"/>
          <w:vertAlign w:val="superscript"/>
        </w:rPr>
        <w:footnoteReference w:id="1"/>
      </w:r>
      <w:r w:rsidR="001532F7" w:rsidRPr="002379AA">
        <w:rPr>
          <w:rFonts w:ascii="Verdana" w:eastAsia="Calibri" w:hAnsi="Verdana" w:cs="Arial"/>
          <w:color w:val="000000" w:themeColor="text1"/>
        </w:rPr>
        <w:t xml:space="preserve">. </w:t>
      </w:r>
    </w:p>
    <w:p w14:paraId="356B33EC" w14:textId="02B2C01D" w:rsidR="001532F7" w:rsidRPr="002379AA" w:rsidRDefault="001532F7" w:rsidP="001532F7">
      <w:pPr>
        <w:spacing w:before="120" w:after="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La Ley 80 de 1993, en el artículo 24, regula el principio de transparencia, sobre el cual se indican reglas para el contenido del pliego de condiciones:</w:t>
      </w:r>
    </w:p>
    <w:p w14:paraId="6CB3C191" w14:textId="77777777" w:rsidR="001532F7" w:rsidRPr="002379AA" w:rsidRDefault="001532F7" w:rsidP="001532F7">
      <w:pPr>
        <w:spacing w:after="0" w:line="276" w:lineRule="auto"/>
        <w:ind w:left="709" w:right="709"/>
        <w:jc w:val="both"/>
        <w:rPr>
          <w:rFonts w:ascii="Verdana" w:hAnsi="Verdana" w:cs="Arial"/>
          <w:color w:val="000000" w:themeColor="text1"/>
        </w:rPr>
      </w:pPr>
    </w:p>
    <w:p w14:paraId="4715D9E7"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2C554112"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lastRenderedPageBreak/>
        <w:t>5o. En los pliegos de condiciones:</w:t>
      </w:r>
    </w:p>
    <w:p w14:paraId="5DAE1452"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p>
    <w:p w14:paraId="7A4E843F"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a) Se indicarán los requisitos objetivos necesarios para participar en el correspondiente proceso de selección.</w:t>
      </w:r>
    </w:p>
    <w:p w14:paraId="31346BC2"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p>
    <w:p w14:paraId="4316C984"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b) Se definirán reglas objetivas, justas, claras y completas que permitan la confección de ofrecimientos de la misma índole, aseguren una escogencia objetiva y eviten la declaratoria de desierta de la licitación.</w:t>
      </w:r>
    </w:p>
    <w:p w14:paraId="5C3DB733"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p>
    <w:p w14:paraId="46AA0F18"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0511F752"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p>
    <w:p w14:paraId="1D49B1F9"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d) No se incluirán condiciones y exigencias de imposible cumplimiento, ni exenciones de la responsabilidad derivada de los datos, informes y documentos que se suministren.</w:t>
      </w:r>
    </w:p>
    <w:p w14:paraId="2F3D653D"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p>
    <w:p w14:paraId="6161AF72" w14:textId="77777777" w:rsidR="001532F7" w:rsidRPr="002379AA" w:rsidRDefault="001532F7" w:rsidP="001532F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 xml:space="preserve">e) Se definirán reglas que no induzcan a error a los proponentes y contratistas y que impidan la formulación de ofrecimientos de extensión ilimitada o que dependan de la voluntad exclusiva de la entidad. [...]”. </w:t>
      </w:r>
    </w:p>
    <w:p w14:paraId="7B94A3E4" w14:textId="77777777" w:rsidR="001532F7" w:rsidRPr="002379AA" w:rsidRDefault="001532F7" w:rsidP="001532F7">
      <w:pPr>
        <w:spacing w:after="0" w:line="276" w:lineRule="auto"/>
        <w:ind w:left="709" w:right="709"/>
        <w:jc w:val="both"/>
        <w:rPr>
          <w:rFonts w:ascii="Verdana" w:hAnsi="Verdana" w:cs="Arial"/>
          <w:color w:val="000000" w:themeColor="text1"/>
        </w:rPr>
      </w:pPr>
    </w:p>
    <w:p w14:paraId="62CACD50" w14:textId="77777777" w:rsidR="003D04AF" w:rsidRDefault="001532F7" w:rsidP="001532F7">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Sumado a lo anterior, la Corte Constitucional ha señalado, frente a la selección objetiva, que la</w:t>
      </w:r>
      <w:r w:rsidR="003D04AF">
        <w:rPr>
          <w:rFonts w:ascii="Verdana" w:eastAsia="Calibri" w:hAnsi="Verdana" w:cs="Arial"/>
          <w:color w:val="000000" w:themeColor="text1"/>
        </w:rPr>
        <w:t>s</w:t>
      </w:r>
      <w:r w:rsidRPr="002379AA">
        <w:rPr>
          <w:rFonts w:ascii="Verdana" w:eastAsia="Calibri" w:hAnsi="Verdana" w:cs="Arial"/>
          <w:color w:val="000000" w:themeColor="text1"/>
        </w:rPr>
        <w:t xml:space="preserve"> entidad</w:t>
      </w:r>
      <w:r w:rsidR="003D04AF">
        <w:rPr>
          <w:rFonts w:ascii="Verdana" w:eastAsia="Calibri" w:hAnsi="Verdana" w:cs="Arial"/>
          <w:color w:val="000000" w:themeColor="text1"/>
        </w:rPr>
        <w:t>es estatales</w:t>
      </w:r>
      <w:r w:rsidRPr="002379AA">
        <w:rPr>
          <w:rFonts w:ascii="Verdana" w:eastAsia="Calibri" w:hAnsi="Verdana" w:cs="Arial"/>
          <w:color w:val="000000" w:themeColor="text1"/>
        </w:rPr>
        <w:t xml:space="preserve"> no puede</w:t>
      </w:r>
      <w:r w:rsidR="003D04AF">
        <w:rPr>
          <w:rFonts w:ascii="Verdana" w:eastAsia="Calibri" w:hAnsi="Verdana" w:cs="Arial"/>
          <w:color w:val="000000" w:themeColor="text1"/>
        </w:rPr>
        <w:t>n</w:t>
      </w:r>
      <w:r w:rsidRPr="002379AA">
        <w:rPr>
          <w:rFonts w:ascii="Verdana" w:eastAsia="Calibri" w:hAnsi="Verdana" w:cs="Arial"/>
          <w:color w:val="000000" w:themeColor="text1"/>
        </w:rPr>
        <w:t xml:space="preserve"> establecer reglas subjetivas, sino que deben </w:t>
      </w:r>
      <w:r w:rsidR="003D04AF">
        <w:rPr>
          <w:rFonts w:ascii="Verdana" w:eastAsia="Calibri" w:hAnsi="Verdana" w:cs="Arial"/>
          <w:color w:val="000000" w:themeColor="text1"/>
        </w:rPr>
        <w:t xml:space="preserve">adoptar criterios </w:t>
      </w:r>
      <w:r w:rsidRPr="002379AA">
        <w:rPr>
          <w:rFonts w:ascii="Verdana" w:eastAsia="Calibri" w:hAnsi="Verdana" w:cs="Arial"/>
          <w:color w:val="000000" w:themeColor="text1"/>
        </w:rPr>
        <w:t>razonables</w:t>
      </w:r>
      <w:r w:rsidR="003D04AF">
        <w:rPr>
          <w:rFonts w:ascii="Verdana" w:eastAsia="Calibri" w:hAnsi="Verdana" w:cs="Arial"/>
          <w:color w:val="000000" w:themeColor="text1"/>
        </w:rPr>
        <w:t xml:space="preserve"> y objetivos</w:t>
      </w:r>
      <w:r w:rsidRPr="002379AA">
        <w:rPr>
          <w:rFonts w:ascii="Verdana" w:eastAsia="Calibri" w:hAnsi="Verdana" w:cs="Arial"/>
          <w:color w:val="000000" w:themeColor="text1"/>
        </w:rPr>
        <w:t>, de acuerdo con las normas que rigen la actividad contractual</w:t>
      </w:r>
      <w:r w:rsidRPr="002379AA">
        <w:rPr>
          <w:rFonts w:ascii="Verdana" w:eastAsia="Calibri" w:hAnsi="Verdana" w:cs="Arial"/>
          <w:color w:val="000000" w:themeColor="text1"/>
          <w:vertAlign w:val="superscript"/>
        </w:rPr>
        <w:footnoteReference w:id="2"/>
      </w:r>
      <w:r w:rsidRPr="002379AA">
        <w:rPr>
          <w:rFonts w:ascii="Verdana" w:eastAsia="Calibri" w:hAnsi="Verdana" w:cs="Arial"/>
          <w:color w:val="000000" w:themeColor="text1"/>
        </w:rPr>
        <w:t>. En otro pronunciamiento, el Consejo de Estado</w:t>
      </w:r>
      <w:r w:rsidR="003D04AF">
        <w:rPr>
          <w:rFonts w:ascii="Verdana" w:eastAsia="Calibri" w:hAnsi="Verdana" w:cs="Arial"/>
          <w:color w:val="000000" w:themeColor="text1"/>
        </w:rPr>
        <w:t xml:space="preserve"> precisó</w:t>
      </w:r>
      <w:r w:rsidRPr="002379AA">
        <w:rPr>
          <w:rFonts w:ascii="Verdana" w:eastAsia="Calibri" w:hAnsi="Verdana" w:cs="Arial"/>
          <w:color w:val="000000" w:themeColor="text1"/>
        </w:rPr>
        <w:t xml:space="preserve"> </w:t>
      </w:r>
      <w:r w:rsidRPr="003D04AF">
        <w:rPr>
          <w:rFonts w:ascii="Verdana" w:eastAsia="Calibri" w:hAnsi="Verdana" w:cs="Arial"/>
          <w:color w:val="000000" w:themeColor="text1"/>
        </w:rPr>
        <w:t>que la autonomía que tienen las entidades frente a la configuración de los pliegos de condiciones y los criterios de selección de los procedimientos de contratación no es absoluta</w:t>
      </w:r>
      <w:r w:rsidR="003D04AF" w:rsidRPr="003D04AF">
        <w:rPr>
          <w:rFonts w:ascii="Verdana" w:eastAsia="Calibri" w:hAnsi="Verdana" w:cs="Arial"/>
          <w:color w:val="000000" w:themeColor="text1"/>
        </w:rPr>
        <w:t>.</w:t>
      </w:r>
    </w:p>
    <w:p w14:paraId="10606F39" w14:textId="4C39D24E" w:rsidR="001532F7" w:rsidRPr="002379AA" w:rsidRDefault="003D04AF" w:rsidP="001532F7">
      <w:pPr>
        <w:spacing w:after="120" w:line="276" w:lineRule="auto"/>
        <w:ind w:firstLine="709"/>
        <w:jc w:val="both"/>
        <w:rPr>
          <w:rFonts w:ascii="Verdana" w:hAnsi="Verdana" w:cs="Arial"/>
          <w:color w:val="000000" w:themeColor="text1"/>
        </w:rPr>
      </w:pPr>
      <w:r>
        <w:rPr>
          <w:rFonts w:ascii="Verdana" w:eastAsia="Calibri" w:hAnsi="Verdana" w:cs="Arial"/>
          <w:color w:val="000000" w:themeColor="text1"/>
        </w:rPr>
        <w:t>Esta autonomía debe estar alineada con los fines de la contratación estatal</w:t>
      </w:r>
      <w:r w:rsidR="001532F7" w:rsidRPr="002379AA">
        <w:rPr>
          <w:rFonts w:ascii="Verdana" w:eastAsia="Calibri" w:hAnsi="Verdana" w:cs="Arial"/>
          <w:color w:val="000000" w:themeColor="text1"/>
        </w:rPr>
        <w:t xml:space="preserve"> </w:t>
      </w:r>
      <w:r w:rsidR="001532F7" w:rsidRPr="002379AA">
        <w:rPr>
          <w:rFonts w:ascii="Verdana" w:hAnsi="Verdana" w:cs="Arial"/>
          <w:color w:val="000000" w:themeColor="text1"/>
        </w:rPr>
        <w:t>y, por consiguiente, los criterios de selección susceptibles de calificación deben ser congruentes con ellos y comprender los elementos necesarios para llevar a cabo el contrato en las condiciones de modo, tiempo y lugar requeridas por ella.</w:t>
      </w:r>
      <w:r w:rsidR="000C689A">
        <w:rPr>
          <w:rFonts w:ascii="Verdana" w:hAnsi="Verdana" w:cs="Arial"/>
          <w:color w:val="000000" w:themeColor="text1"/>
        </w:rPr>
        <w:t xml:space="preserve"> En consecuencia, l</w:t>
      </w:r>
      <w:r w:rsidR="001532F7" w:rsidRPr="002379AA">
        <w:rPr>
          <w:rFonts w:ascii="Verdana" w:hAnsi="Verdana" w:cs="Arial"/>
          <w:color w:val="000000" w:themeColor="text1"/>
        </w:rPr>
        <w:t xml:space="preserve">a objetividad </w:t>
      </w:r>
      <w:r w:rsidR="000C689A">
        <w:rPr>
          <w:rFonts w:ascii="Verdana" w:hAnsi="Verdana" w:cs="Arial"/>
          <w:color w:val="000000" w:themeColor="text1"/>
        </w:rPr>
        <w:t>exigida por</w:t>
      </w:r>
      <w:r w:rsidR="001532F7" w:rsidRPr="002379AA">
        <w:rPr>
          <w:rFonts w:ascii="Verdana" w:hAnsi="Verdana" w:cs="Arial"/>
          <w:color w:val="000000" w:themeColor="text1"/>
        </w:rPr>
        <w:t xml:space="preserve"> la Ley 80</w:t>
      </w:r>
      <w:r w:rsidR="000C689A">
        <w:rPr>
          <w:rFonts w:ascii="Verdana" w:hAnsi="Verdana" w:cs="Arial"/>
          <w:color w:val="000000" w:themeColor="text1"/>
        </w:rPr>
        <w:t xml:space="preserve"> de 1993 en múltiples</w:t>
      </w:r>
      <w:r w:rsidR="001532F7" w:rsidRPr="002379AA">
        <w:rPr>
          <w:rFonts w:ascii="Verdana" w:hAnsi="Verdana" w:cs="Arial"/>
          <w:color w:val="000000" w:themeColor="text1"/>
        </w:rPr>
        <w:t xml:space="preserve"> disposiciones</w:t>
      </w:r>
      <w:r w:rsidR="000C689A">
        <w:rPr>
          <w:rFonts w:ascii="Verdana" w:hAnsi="Verdana" w:cs="Arial"/>
          <w:color w:val="000000" w:themeColor="text1"/>
        </w:rPr>
        <w:t xml:space="preserve"> </w:t>
      </w:r>
      <w:r w:rsidR="001532F7" w:rsidRPr="002379AA">
        <w:rPr>
          <w:rFonts w:ascii="Verdana" w:hAnsi="Verdana" w:cs="Arial"/>
          <w:color w:val="000000" w:themeColor="text1"/>
        </w:rPr>
        <w:t>s</w:t>
      </w:r>
      <w:r w:rsidR="000C689A">
        <w:rPr>
          <w:rFonts w:ascii="Verdana" w:hAnsi="Verdana" w:cs="Arial"/>
          <w:color w:val="000000" w:themeColor="text1"/>
        </w:rPr>
        <w:t>o</w:t>
      </w:r>
      <w:r w:rsidR="001532F7" w:rsidRPr="002379AA">
        <w:rPr>
          <w:rFonts w:ascii="Verdana" w:hAnsi="Verdana" w:cs="Arial"/>
          <w:color w:val="000000" w:themeColor="text1"/>
        </w:rPr>
        <w:t xml:space="preserve">lo </w:t>
      </w:r>
      <w:r w:rsidR="000C689A">
        <w:rPr>
          <w:rFonts w:ascii="Verdana" w:hAnsi="Verdana" w:cs="Arial"/>
          <w:color w:val="000000" w:themeColor="text1"/>
        </w:rPr>
        <w:t>se garantiza si</w:t>
      </w:r>
      <w:r w:rsidR="001532F7" w:rsidRPr="002379AA">
        <w:rPr>
          <w:rFonts w:ascii="Verdana" w:hAnsi="Verdana" w:cs="Arial"/>
          <w:color w:val="000000" w:themeColor="text1"/>
        </w:rPr>
        <w:t xml:space="preserve"> los pliegos de condiciones o términos de </w:t>
      </w:r>
      <w:r w:rsidR="001532F7" w:rsidRPr="002379AA">
        <w:rPr>
          <w:rFonts w:ascii="Verdana" w:hAnsi="Verdana" w:cs="Arial"/>
          <w:color w:val="000000" w:themeColor="text1"/>
        </w:rPr>
        <w:lastRenderedPageBreak/>
        <w:t xml:space="preserve">referencia </w:t>
      </w:r>
      <w:r w:rsidR="000C689A">
        <w:rPr>
          <w:rFonts w:ascii="Verdana" w:hAnsi="Verdana" w:cs="Arial"/>
          <w:color w:val="000000" w:themeColor="text1"/>
        </w:rPr>
        <w:t>contienen reglas</w:t>
      </w:r>
      <w:r w:rsidR="001532F7" w:rsidRPr="002379AA">
        <w:rPr>
          <w:rFonts w:ascii="Verdana" w:hAnsi="Verdana" w:cs="Arial"/>
          <w:color w:val="000000" w:themeColor="text1"/>
        </w:rPr>
        <w:t xml:space="preserve"> claras, </w:t>
      </w:r>
      <w:r w:rsidR="000C689A">
        <w:rPr>
          <w:rFonts w:ascii="Verdana" w:hAnsi="Verdana" w:cs="Arial"/>
          <w:color w:val="000000" w:themeColor="text1"/>
        </w:rPr>
        <w:t xml:space="preserve">necesarias, </w:t>
      </w:r>
      <w:r w:rsidR="001532F7" w:rsidRPr="002379AA">
        <w:rPr>
          <w:rFonts w:ascii="Verdana" w:hAnsi="Verdana" w:cs="Arial"/>
          <w:color w:val="000000" w:themeColor="text1"/>
        </w:rPr>
        <w:t>objetivas y precisas</w:t>
      </w:r>
      <w:r w:rsidR="000C689A">
        <w:rPr>
          <w:rFonts w:ascii="Verdana" w:hAnsi="Verdana" w:cs="Arial"/>
          <w:color w:val="000000" w:themeColor="text1"/>
        </w:rPr>
        <w:t>, orientadas a cumplir con</w:t>
      </w:r>
      <w:r w:rsidR="001532F7" w:rsidRPr="002379AA">
        <w:rPr>
          <w:rFonts w:ascii="Verdana" w:hAnsi="Verdana" w:cs="Arial"/>
          <w:color w:val="000000" w:themeColor="text1"/>
        </w:rPr>
        <w:t xml:space="preserve"> la finalidad del contrato</w:t>
      </w:r>
      <w:r w:rsidR="001532F7" w:rsidRPr="002379AA">
        <w:rPr>
          <w:rFonts w:ascii="Verdana" w:hAnsi="Verdana" w:cs="Arial"/>
          <w:color w:val="000000" w:themeColor="text1"/>
          <w:vertAlign w:val="superscript"/>
        </w:rPr>
        <w:footnoteReference w:id="3"/>
      </w:r>
      <w:r w:rsidR="001532F7" w:rsidRPr="002379AA">
        <w:rPr>
          <w:rFonts w:ascii="Verdana" w:hAnsi="Verdana" w:cs="Arial"/>
          <w:color w:val="000000" w:themeColor="text1"/>
        </w:rPr>
        <w:t>.</w:t>
      </w:r>
    </w:p>
    <w:p w14:paraId="3D6152B7" w14:textId="77777777" w:rsidR="000B1BCF" w:rsidRDefault="000C689A" w:rsidP="001532F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Asimismo</w:t>
      </w:r>
      <w:r w:rsidR="001532F7" w:rsidRPr="002379AA">
        <w:rPr>
          <w:rFonts w:ascii="Verdana" w:eastAsia="Calibri" w:hAnsi="Verdana" w:cs="Arial"/>
          <w:color w:val="000000" w:themeColor="text1"/>
        </w:rPr>
        <w:t xml:space="preserve">, el Consejo de Estado ha </w:t>
      </w:r>
      <w:r w:rsidR="001532F7" w:rsidRPr="000C689A">
        <w:rPr>
          <w:rFonts w:ascii="Verdana" w:eastAsia="Calibri" w:hAnsi="Verdana" w:cs="Arial"/>
          <w:color w:val="000000" w:themeColor="text1"/>
        </w:rPr>
        <w:t>determinado que el pliego de condiciones es ley para las partes,</w:t>
      </w:r>
      <w:r w:rsidR="001532F7" w:rsidRPr="002379AA">
        <w:rPr>
          <w:rFonts w:ascii="Verdana" w:eastAsia="Calibri" w:hAnsi="Verdana" w:cs="Arial"/>
          <w:color w:val="000000" w:themeColor="text1"/>
        </w:rPr>
        <w:t xml:space="preserve"> y en él se debe establecer la regulación del procedimiento de contratación, conforme a la ley, garantizando la selección objetiva del contratista</w:t>
      </w:r>
      <w:r w:rsidR="001532F7" w:rsidRPr="002379AA">
        <w:rPr>
          <w:rFonts w:ascii="Verdana" w:eastAsia="Calibri" w:hAnsi="Verdana" w:cs="Arial"/>
          <w:color w:val="000000" w:themeColor="text1"/>
          <w:vertAlign w:val="superscript"/>
        </w:rPr>
        <w:footnoteReference w:id="4"/>
      </w:r>
      <w:r w:rsidR="001532F7" w:rsidRPr="002379AA">
        <w:rPr>
          <w:rFonts w:ascii="Verdana" w:eastAsia="Calibri" w:hAnsi="Verdana" w:cs="Arial"/>
          <w:color w:val="000000" w:themeColor="text1"/>
        </w:rPr>
        <w:t xml:space="preserve">. </w:t>
      </w:r>
    </w:p>
    <w:p w14:paraId="5E9787E4" w14:textId="5668324D" w:rsidR="001532F7" w:rsidRPr="002379AA" w:rsidRDefault="001532F7" w:rsidP="001532F7">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El artículo 2.2.1.1.2.1.3. del Decreto 1082 de 2015 establece el contenido mínimo del pliego de condiciones</w:t>
      </w:r>
      <w:r w:rsidRPr="000B1BCF">
        <w:rPr>
          <w:rFonts w:ascii="Verdana" w:eastAsia="Calibri" w:hAnsi="Verdana" w:cs="Arial"/>
          <w:color w:val="000000" w:themeColor="text1"/>
        </w:rPr>
        <w:t xml:space="preserve">, </w:t>
      </w:r>
      <w:r w:rsidR="000B1BCF" w:rsidRPr="000B1BCF">
        <w:rPr>
          <w:rFonts w:ascii="Verdana" w:hAnsi="Verdana"/>
        </w:rPr>
        <w:t xml:space="preserve">el cual debe ajustarse a las necesidades de la entidad en cuanto a bienes, obras o servicios. Este contenido incluye, entre otros aspectos: </w:t>
      </w:r>
      <w:r w:rsidRPr="000B1BCF">
        <w:rPr>
          <w:rFonts w:ascii="Verdana" w:eastAsia="Calibri" w:hAnsi="Verdana" w:cs="Arial"/>
          <w:color w:val="000000" w:themeColor="text1"/>
        </w:rPr>
        <w:t>i)</w:t>
      </w:r>
      <w:r w:rsidRPr="002379AA">
        <w:rPr>
          <w:rFonts w:ascii="Verdana" w:eastAsia="Calibri" w:hAnsi="Verdana" w:cs="Arial"/>
          <w:color w:val="000000" w:themeColor="text1"/>
        </w:rPr>
        <w:t xml:space="preserve"> identificación detallada del objeto contractual y con el clasificador de bienes y servicios, </w:t>
      </w:r>
      <w:proofErr w:type="spellStart"/>
      <w:r w:rsidRPr="002379AA">
        <w:rPr>
          <w:rFonts w:ascii="Verdana" w:eastAsia="Calibri" w:hAnsi="Verdana" w:cs="Arial"/>
          <w:color w:val="000000" w:themeColor="text1"/>
        </w:rPr>
        <w:t>ii</w:t>
      </w:r>
      <w:proofErr w:type="spellEnd"/>
      <w:r w:rsidRPr="002379AA">
        <w:rPr>
          <w:rFonts w:ascii="Verdana" w:eastAsia="Calibri" w:hAnsi="Verdana" w:cs="Arial"/>
          <w:color w:val="000000" w:themeColor="text1"/>
        </w:rPr>
        <w:t xml:space="preserve">) </w:t>
      </w:r>
      <w:r w:rsidR="000B1BCF">
        <w:rPr>
          <w:rFonts w:ascii="Verdana" w:eastAsia="Calibri" w:hAnsi="Verdana" w:cs="Arial"/>
          <w:color w:val="000000" w:themeColor="text1"/>
        </w:rPr>
        <w:t xml:space="preserve">la </w:t>
      </w:r>
      <w:r w:rsidRPr="002379AA">
        <w:rPr>
          <w:rFonts w:ascii="Verdana" w:eastAsia="Calibri" w:hAnsi="Verdana" w:cs="Arial"/>
          <w:color w:val="000000" w:themeColor="text1"/>
        </w:rPr>
        <w:t xml:space="preserve">modalidad y criterios de selección, </w:t>
      </w:r>
      <w:proofErr w:type="spellStart"/>
      <w:r w:rsidRPr="002379AA">
        <w:rPr>
          <w:rFonts w:ascii="Verdana" w:eastAsia="Calibri" w:hAnsi="Verdana" w:cs="Arial"/>
          <w:color w:val="000000" w:themeColor="text1"/>
        </w:rPr>
        <w:t>iii</w:t>
      </w:r>
      <w:proofErr w:type="spellEnd"/>
      <w:r w:rsidRPr="002379AA">
        <w:rPr>
          <w:rFonts w:ascii="Verdana" w:eastAsia="Calibri" w:hAnsi="Verdana" w:cs="Arial"/>
          <w:color w:val="000000" w:themeColor="text1"/>
        </w:rPr>
        <w:t>)</w:t>
      </w:r>
      <w:r w:rsidR="000B1BCF">
        <w:rPr>
          <w:rFonts w:ascii="Verdana" w:eastAsia="Calibri" w:hAnsi="Verdana" w:cs="Arial"/>
          <w:color w:val="000000" w:themeColor="text1"/>
        </w:rPr>
        <w:t xml:space="preserve"> la</w:t>
      </w:r>
      <w:r w:rsidRPr="002379AA">
        <w:rPr>
          <w:rFonts w:ascii="Verdana" w:eastAsia="Calibri" w:hAnsi="Verdana" w:cs="Arial"/>
          <w:color w:val="000000" w:themeColor="text1"/>
        </w:rPr>
        <w:t xml:space="preserve"> valoración económica del bien, obra o servicio, </w:t>
      </w:r>
      <w:proofErr w:type="spellStart"/>
      <w:r w:rsidRPr="002379AA">
        <w:rPr>
          <w:rFonts w:ascii="Verdana" w:eastAsia="Calibri" w:hAnsi="Verdana" w:cs="Arial"/>
          <w:color w:val="000000" w:themeColor="text1"/>
        </w:rPr>
        <w:t>iv</w:t>
      </w:r>
      <w:proofErr w:type="spellEnd"/>
      <w:r w:rsidRPr="002379AA">
        <w:rPr>
          <w:rFonts w:ascii="Verdana" w:eastAsia="Calibri" w:hAnsi="Verdana" w:cs="Arial"/>
          <w:color w:val="000000" w:themeColor="text1"/>
        </w:rPr>
        <w:t>)</w:t>
      </w:r>
      <w:r w:rsidR="000B1BCF">
        <w:rPr>
          <w:rFonts w:ascii="Verdana" w:eastAsia="Calibri" w:hAnsi="Verdana" w:cs="Arial"/>
          <w:color w:val="000000" w:themeColor="text1"/>
        </w:rPr>
        <w:t xml:space="preserve"> las</w:t>
      </w:r>
      <w:r w:rsidRPr="002379AA">
        <w:rPr>
          <w:rFonts w:ascii="Verdana" w:eastAsia="Calibri" w:hAnsi="Verdana" w:cs="Arial"/>
          <w:color w:val="000000" w:themeColor="text1"/>
        </w:rPr>
        <w:t xml:space="preserve"> reglas de la presentación y manejo de las ofertas, v)</w:t>
      </w:r>
      <w:r w:rsidR="000B1BCF">
        <w:rPr>
          <w:rFonts w:ascii="Verdana" w:eastAsia="Calibri" w:hAnsi="Verdana" w:cs="Arial"/>
          <w:color w:val="000000" w:themeColor="text1"/>
        </w:rPr>
        <w:t xml:space="preserve"> los</w:t>
      </w:r>
      <w:r w:rsidRPr="002379AA">
        <w:rPr>
          <w:rFonts w:ascii="Verdana" w:eastAsia="Calibri" w:hAnsi="Verdana" w:cs="Arial"/>
          <w:color w:val="000000" w:themeColor="text1"/>
        </w:rPr>
        <w:t xml:space="preserve"> riesgos y garantías, entre otros aspectos del contrato</w:t>
      </w:r>
      <w:r w:rsidRPr="002379AA">
        <w:rPr>
          <w:rFonts w:ascii="Verdana" w:eastAsia="Calibri" w:hAnsi="Verdana" w:cs="Arial"/>
          <w:color w:val="000000" w:themeColor="text1"/>
          <w:vertAlign w:val="superscript"/>
        </w:rPr>
        <w:footnoteReference w:id="5"/>
      </w:r>
      <w:r w:rsidRPr="002379AA">
        <w:rPr>
          <w:rFonts w:ascii="Verdana" w:eastAsia="Calibri" w:hAnsi="Verdana" w:cs="Arial"/>
          <w:color w:val="000000" w:themeColor="text1"/>
        </w:rPr>
        <w:t>.</w:t>
      </w:r>
    </w:p>
    <w:p w14:paraId="764519C8" w14:textId="3C58EDA0" w:rsidR="001532F7" w:rsidRPr="002379AA" w:rsidRDefault="001532F7" w:rsidP="001532F7">
      <w:pPr>
        <w:spacing w:after="120" w:line="276" w:lineRule="auto"/>
        <w:ind w:firstLine="709"/>
        <w:jc w:val="both"/>
        <w:rPr>
          <w:rFonts w:ascii="Verdana" w:hAnsi="Verdana" w:cs="Arial"/>
        </w:rPr>
      </w:pPr>
      <w:r w:rsidRPr="002379AA">
        <w:rPr>
          <w:rFonts w:ascii="Verdana" w:hAnsi="Verdana" w:cs="Arial"/>
        </w:rPr>
        <w:lastRenderedPageBreak/>
        <w:t>Conforme a lo anterior, el pliego de condiciones debe establecer las etapas del proceso de selección, así como las reglas, requisitos y condiciones aplicables en cada una de ella</w:t>
      </w:r>
      <w:r w:rsidRPr="000B1BCF">
        <w:rPr>
          <w:rFonts w:ascii="Verdana" w:hAnsi="Verdana" w:cs="Arial"/>
        </w:rPr>
        <w:t xml:space="preserve">s. Entre estos aspectos se encuentran </w:t>
      </w:r>
      <w:r w:rsidR="000B1BCF" w:rsidRPr="000B1BCF">
        <w:rPr>
          <w:rFonts w:ascii="Verdana" w:hAnsi="Verdana"/>
        </w:rPr>
        <w:t xml:space="preserve">los requisitos habilitantes, requerimientos técnicos, factores de ponderación de las ofertas, así como los documentos exigidos. En ese sentido, </w:t>
      </w:r>
      <w:r w:rsidRPr="002379AA">
        <w:rPr>
          <w:rFonts w:ascii="Verdana" w:hAnsi="Verdana" w:cs="Arial"/>
        </w:rPr>
        <w:t xml:space="preserve">gran parte de la importancia del pliego </w:t>
      </w:r>
      <w:r w:rsidR="000B1BCF">
        <w:rPr>
          <w:rFonts w:ascii="Verdana" w:hAnsi="Verdana" w:cs="Arial"/>
        </w:rPr>
        <w:t>radica en</w:t>
      </w:r>
      <w:r w:rsidRPr="002379AA">
        <w:rPr>
          <w:rFonts w:ascii="Verdana" w:hAnsi="Verdana" w:cs="Arial"/>
        </w:rPr>
        <w:t xml:space="preserve"> que es el documento que establece las normas</w:t>
      </w:r>
      <w:r w:rsidR="000B1BCF">
        <w:rPr>
          <w:rFonts w:ascii="Verdana" w:hAnsi="Verdana" w:cs="Arial"/>
        </w:rPr>
        <w:t xml:space="preserve"> que regirán </w:t>
      </w:r>
      <w:r w:rsidRPr="002379AA">
        <w:rPr>
          <w:rFonts w:ascii="Verdana" w:hAnsi="Verdana" w:cs="Arial"/>
        </w:rPr>
        <w:t>la etapa</w:t>
      </w:r>
      <w:r w:rsidR="000B1BCF">
        <w:rPr>
          <w:rFonts w:ascii="Verdana" w:hAnsi="Verdana" w:cs="Arial"/>
        </w:rPr>
        <w:t xml:space="preserve"> de</w:t>
      </w:r>
      <w:r w:rsidRPr="002379AA">
        <w:rPr>
          <w:rFonts w:ascii="Verdana" w:hAnsi="Verdana" w:cs="Arial"/>
        </w:rPr>
        <w:t xml:space="preserve"> selección, a las </w:t>
      </w:r>
      <w:r w:rsidR="000B1BCF">
        <w:rPr>
          <w:rFonts w:ascii="Verdana" w:hAnsi="Verdana" w:cs="Arial"/>
        </w:rPr>
        <w:t>cuales deben</w:t>
      </w:r>
      <w:r w:rsidRPr="002379AA">
        <w:rPr>
          <w:rFonts w:ascii="Verdana" w:hAnsi="Verdana" w:cs="Arial"/>
        </w:rPr>
        <w:t xml:space="preserve"> sujetarse</w:t>
      </w:r>
      <w:r w:rsidR="000B1BCF">
        <w:rPr>
          <w:rFonts w:ascii="Verdana" w:hAnsi="Verdana" w:cs="Arial"/>
        </w:rPr>
        <w:t xml:space="preserve"> tanto</w:t>
      </w:r>
      <w:r w:rsidRPr="002379AA">
        <w:rPr>
          <w:rFonts w:ascii="Verdana" w:hAnsi="Verdana" w:cs="Arial"/>
        </w:rPr>
        <w:t xml:space="preserve"> la administración </w:t>
      </w:r>
      <w:r w:rsidR="000B1BCF">
        <w:rPr>
          <w:rFonts w:ascii="Verdana" w:hAnsi="Verdana" w:cs="Arial"/>
        </w:rPr>
        <w:t>como</w:t>
      </w:r>
      <w:r w:rsidRPr="002379AA">
        <w:rPr>
          <w:rFonts w:ascii="Verdana" w:hAnsi="Verdana" w:cs="Arial"/>
        </w:rPr>
        <w:t xml:space="preserve"> los oferentes</w:t>
      </w:r>
      <w:r w:rsidR="000B1BCF">
        <w:rPr>
          <w:rFonts w:ascii="Verdana" w:hAnsi="Verdana" w:cs="Arial"/>
        </w:rPr>
        <w:t>, con el fin de garantizar</w:t>
      </w:r>
      <w:r w:rsidRPr="002379AA">
        <w:rPr>
          <w:rFonts w:ascii="Verdana" w:hAnsi="Verdana" w:cs="Arial"/>
        </w:rPr>
        <w:t xml:space="preserve"> una selección objetiva</w:t>
      </w:r>
      <w:r w:rsidRPr="002379AA">
        <w:rPr>
          <w:rFonts w:ascii="Verdana" w:hAnsi="Verdana" w:cs="Arial"/>
          <w:vertAlign w:val="superscript"/>
        </w:rPr>
        <w:footnoteReference w:id="6"/>
      </w:r>
      <w:r w:rsidRPr="002379AA">
        <w:rPr>
          <w:rFonts w:ascii="Verdana" w:hAnsi="Verdana" w:cs="Arial"/>
        </w:rPr>
        <w:t>.</w:t>
      </w:r>
    </w:p>
    <w:p w14:paraId="53FAF355" w14:textId="1F53C8B0" w:rsidR="001532F7" w:rsidRPr="002379AA" w:rsidRDefault="001532F7" w:rsidP="001532F7">
      <w:pPr>
        <w:spacing w:after="120" w:line="276" w:lineRule="auto"/>
        <w:jc w:val="both"/>
        <w:rPr>
          <w:rFonts w:ascii="Verdana" w:eastAsia="Calibri" w:hAnsi="Verdana" w:cs="Arial"/>
          <w:lang w:val="es-ES"/>
        </w:rPr>
      </w:pPr>
      <w:r w:rsidRPr="002379AA">
        <w:rPr>
          <w:rFonts w:ascii="Verdana" w:eastAsia="Calibri" w:hAnsi="Verdana" w:cs="Arial"/>
          <w:b/>
          <w:bCs/>
          <w:lang w:val="es-ES"/>
        </w:rPr>
        <w:tab/>
      </w:r>
      <w:r w:rsidR="000B1BCF">
        <w:rPr>
          <w:rFonts w:ascii="Verdana" w:eastAsia="Calibri" w:hAnsi="Verdana" w:cs="Arial"/>
          <w:lang w:val="es-ES"/>
        </w:rPr>
        <w:t>Frente a este último aspecto</w:t>
      </w:r>
      <w:r w:rsidRPr="002379AA">
        <w:rPr>
          <w:rFonts w:ascii="Verdana" w:eastAsia="Calibri" w:hAnsi="Verdana" w:cs="Arial"/>
          <w:lang w:val="es-ES"/>
        </w:rPr>
        <w:t>, el Consejo de Estado</w:t>
      </w:r>
      <w:r w:rsidRPr="002379AA">
        <w:rPr>
          <w:rFonts w:ascii="Verdana" w:eastAsia="Calibri" w:hAnsi="Verdana" w:cs="Arial"/>
          <w:vertAlign w:val="superscript"/>
          <w:lang w:val="es-ES"/>
        </w:rPr>
        <w:footnoteReference w:id="7"/>
      </w:r>
      <w:r w:rsidRPr="002379A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lang w:val="es-ES"/>
        </w:rPr>
        <w:t>.</w:t>
      </w:r>
      <w:r w:rsidRPr="002379AA">
        <w:rPr>
          <w:rFonts w:ascii="Verdana" w:eastAsia="Calibri" w:hAnsi="Verdana" w:cs="Arial"/>
          <w:lang w:val="es-ES"/>
        </w:rPr>
        <w:t xml:space="preserve"> </w:t>
      </w:r>
    </w:p>
    <w:p w14:paraId="5D55F073" w14:textId="7EB59705" w:rsidR="001532F7" w:rsidRDefault="001532F7" w:rsidP="001532F7">
      <w:pPr>
        <w:spacing w:after="120" w:line="276" w:lineRule="auto"/>
        <w:ind w:firstLine="708"/>
        <w:jc w:val="both"/>
        <w:rPr>
          <w:rFonts w:ascii="Verdana" w:eastAsia="Batang" w:hAnsi="Verdana" w:cs="Arial"/>
          <w:i/>
          <w:iCs/>
          <w:lang w:val="es-MX"/>
        </w:rPr>
      </w:pPr>
      <w:r w:rsidRPr="002379AA">
        <w:rPr>
          <w:rFonts w:ascii="Verdana" w:eastAsia="Batang" w:hAnsi="Verdana" w:cs="Arial"/>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w:t>
      </w:r>
      <w:r w:rsidR="000B1BCF">
        <w:rPr>
          <w:rFonts w:ascii="Verdana" w:eastAsia="Batang" w:hAnsi="Verdana" w:cs="Arial"/>
          <w:lang w:val="es-MX"/>
        </w:rPr>
        <w:t>En ese sentido</w:t>
      </w:r>
      <w:r w:rsidRPr="002379AA">
        <w:rPr>
          <w:rFonts w:ascii="Verdana" w:eastAsia="Batang" w:hAnsi="Verdana" w:cs="Arial"/>
          <w:lang w:val="es-MX"/>
        </w:rPr>
        <w:t>,</w:t>
      </w:r>
      <w:r w:rsidR="000B1BCF">
        <w:rPr>
          <w:rFonts w:ascii="Verdana" w:eastAsia="Batang" w:hAnsi="Verdana" w:cs="Arial"/>
          <w:lang w:val="es-MX"/>
        </w:rPr>
        <w:t xml:space="preserve"> dicha Corporación</w:t>
      </w:r>
      <w:r w:rsidRPr="002379AA">
        <w:rPr>
          <w:rFonts w:ascii="Verdana" w:eastAsia="Batang" w:hAnsi="Verdana" w:cs="Arial"/>
          <w:lang w:val="es-MX"/>
        </w:rPr>
        <w:t xml:space="preserve"> ha reiterado que las reglas contenidas en los pliegos de condiciones que adolecen de vacíos o contradicciones deben de interpretarse </w:t>
      </w:r>
      <w:r w:rsidRPr="002379AA">
        <w:rPr>
          <w:rFonts w:ascii="Verdana" w:eastAsia="Batang" w:hAnsi="Verdana" w:cs="Arial"/>
          <w:i/>
          <w:iCs/>
          <w:lang w:val="es-MX"/>
        </w:rPr>
        <w:t>“con sujeción a los principios generales del derecho, a los de la función administrativa, a la finalidad del pliego y a la protección del interés general, de conformidad con lo previsto en el artículo 23 de la Ley 80 de 1993”</w:t>
      </w:r>
      <w:r w:rsidRPr="002379AA">
        <w:rPr>
          <w:rFonts w:ascii="Verdana" w:eastAsia="Batang" w:hAnsi="Verdana" w:cs="Arial"/>
          <w:i/>
          <w:iCs/>
          <w:vertAlign w:val="superscript"/>
          <w:lang w:val="es-MX"/>
        </w:rPr>
        <w:footnoteReference w:id="8"/>
      </w:r>
      <w:r w:rsidRPr="002379AA">
        <w:rPr>
          <w:rFonts w:ascii="Verdana" w:eastAsia="Batang" w:hAnsi="Verdana" w:cs="Arial"/>
          <w:i/>
          <w:iCs/>
          <w:lang w:val="es-MX"/>
        </w:rPr>
        <w:t>.</w:t>
      </w:r>
    </w:p>
    <w:p w14:paraId="45038C98" w14:textId="6630AFEE" w:rsidR="001532F7" w:rsidRDefault="001532F7" w:rsidP="001532F7">
      <w:pPr>
        <w:spacing w:after="120" w:line="276" w:lineRule="auto"/>
        <w:ind w:firstLine="708"/>
        <w:jc w:val="both"/>
        <w:rPr>
          <w:rFonts w:ascii="Verdana" w:eastAsia="Batang" w:hAnsi="Verdana" w:cs="Arial"/>
          <w:lang w:val="es-MX"/>
        </w:rPr>
      </w:pPr>
      <w:r>
        <w:rPr>
          <w:rFonts w:ascii="Verdana" w:eastAsia="Batang" w:hAnsi="Verdana" w:cs="Arial"/>
          <w:lang w:val="es-MX"/>
        </w:rPr>
        <w:t>Conforme a lo expuesto</w:t>
      </w:r>
      <w:r w:rsidRPr="002379AA">
        <w:rPr>
          <w:rFonts w:ascii="Verdana" w:eastAsia="Batang" w:hAnsi="Verdana" w:cs="Arial"/>
          <w:lang w:val="es-MX"/>
        </w:rPr>
        <w:t xml:space="preserve">, </w:t>
      </w:r>
      <w:r>
        <w:rPr>
          <w:rFonts w:ascii="Verdana" w:eastAsia="Batang" w:hAnsi="Verdana" w:cs="Arial"/>
          <w:lang w:val="es-MX"/>
        </w:rPr>
        <w:t>s</w:t>
      </w:r>
      <w:r w:rsidRPr="002D2F47">
        <w:rPr>
          <w:rFonts w:ascii="Verdana" w:eastAsia="Batang" w:hAnsi="Verdana" w:cs="Arial"/>
          <w:lang w:val="es-MX"/>
        </w:rPr>
        <w:t>olo lo que est</w:t>
      </w:r>
      <w:r w:rsidR="000B1BCF">
        <w:rPr>
          <w:rFonts w:ascii="Verdana" w:eastAsia="Batang" w:hAnsi="Verdana" w:cs="Arial"/>
          <w:lang w:val="es-MX"/>
        </w:rPr>
        <w:t>e expresamente consignado</w:t>
      </w:r>
      <w:r w:rsidRPr="002D2F47">
        <w:rPr>
          <w:rFonts w:ascii="Verdana" w:eastAsia="Batang" w:hAnsi="Verdana" w:cs="Arial"/>
          <w:lang w:val="es-MX"/>
        </w:rPr>
        <w:t xml:space="preserve"> en el pliego </w:t>
      </w:r>
      <w:r w:rsidR="000B1BCF">
        <w:rPr>
          <w:rFonts w:ascii="Verdana" w:eastAsia="Batang" w:hAnsi="Verdana" w:cs="Arial"/>
          <w:lang w:val="es-MX"/>
        </w:rPr>
        <w:t>definitivo</w:t>
      </w:r>
      <w:r w:rsidRPr="002D2F47">
        <w:rPr>
          <w:rFonts w:ascii="Verdana" w:eastAsia="Batang" w:hAnsi="Verdana" w:cs="Arial"/>
          <w:lang w:val="es-MX"/>
        </w:rPr>
        <w:t xml:space="preserve"> y sus adendas oficiales</w:t>
      </w:r>
      <w:r w:rsidR="000B1BCF">
        <w:rPr>
          <w:rFonts w:ascii="Verdana" w:eastAsia="Batang" w:hAnsi="Verdana" w:cs="Arial"/>
          <w:lang w:val="es-MX"/>
        </w:rPr>
        <w:t xml:space="preserve"> tiene fuerza </w:t>
      </w:r>
      <w:r w:rsidRPr="002D2F47">
        <w:rPr>
          <w:rFonts w:ascii="Verdana" w:eastAsia="Batang" w:hAnsi="Verdana" w:cs="Arial"/>
          <w:lang w:val="es-MX"/>
        </w:rPr>
        <w:t>vinculante y debe cumplirse</w:t>
      </w:r>
      <w:r w:rsidR="000B1BCF">
        <w:rPr>
          <w:rFonts w:ascii="Verdana" w:eastAsia="Batang" w:hAnsi="Verdana" w:cs="Arial"/>
          <w:lang w:val="es-MX"/>
        </w:rPr>
        <w:t xml:space="preserve">. Por tanto, </w:t>
      </w:r>
      <w:r w:rsidR="000B1BCF" w:rsidRPr="000B1BCF">
        <w:rPr>
          <w:rFonts w:ascii="Verdana" w:eastAsia="Batang" w:hAnsi="Verdana" w:cs="Arial"/>
          <w:lang w:val="es-MX"/>
        </w:rPr>
        <w:t>c</w:t>
      </w:r>
      <w:r w:rsidRPr="000B1BCF">
        <w:rPr>
          <w:rFonts w:ascii="Verdana" w:eastAsia="Batang" w:hAnsi="Verdana" w:cs="Arial"/>
          <w:lang w:val="es-MX"/>
        </w:rPr>
        <w:t xml:space="preserve">ualquier modificación o inclusión que no esté formalmente </w:t>
      </w:r>
      <w:r w:rsidR="000B1BCF" w:rsidRPr="000B1BCF">
        <w:rPr>
          <w:rFonts w:ascii="Verdana" w:eastAsia="Batang" w:hAnsi="Verdana" w:cs="Arial"/>
          <w:lang w:val="es-MX"/>
        </w:rPr>
        <w:t xml:space="preserve">incorporada </w:t>
      </w:r>
      <w:r w:rsidR="000B1BCF" w:rsidRPr="000B1BCF">
        <w:rPr>
          <w:rFonts w:ascii="Verdana" w:hAnsi="Verdana"/>
        </w:rPr>
        <w:t xml:space="preserve">en dichos documentos carece de validez jurídica y no puede ser tenida en cuenta en la evaluación de las ofertas. Esta exigencia garantiza la </w:t>
      </w:r>
      <w:r w:rsidR="000B1BCF" w:rsidRPr="000B1BCF">
        <w:rPr>
          <w:rFonts w:ascii="Verdana" w:hAnsi="Verdana"/>
        </w:rPr>
        <w:lastRenderedPageBreak/>
        <w:t>transparencia, la igualdad entre los oferentes y la objetividad del proceso de selección.</w:t>
      </w:r>
      <w:r w:rsidRPr="00416D78">
        <w:rPr>
          <w:rFonts w:ascii="Verdana" w:eastAsia="Batang" w:hAnsi="Verdana" w:cs="Arial"/>
          <w:lang w:val="es-MX"/>
        </w:rPr>
        <w:t xml:space="preserve"> </w:t>
      </w:r>
    </w:p>
    <w:p w14:paraId="4277A954" w14:textId="03A7DE6D" w:rsidR="000B1BCF" w:rsidRPr="000A0905" w:rsidRDefault="000B1BCF" w:rsidP="000B1BCF">
      <w:pPr>
        <w:pStyle w:val="Prrafodelista"/>
        <w:numPr>
          <w:ilvl w:val="0"/>
          <w:numId w:val="23"/>
        </w:numPr>
        <w:tabs>
          <w:tab w:val="left" w:pos="426"/>
        </w:tabs>
        <w:spacing w:after="120" w:line="276" w:lineRule="auto"/>
        <w:ind w:left="0" w:firstLine="0"/>
        <w:jc w:val="both"/>
        <w:rPr>
          <w:rFonts w:ascii="Verdana" w:hAnsi="Verdana"/>
        </w:rPr>
      </w:pPr>
      <w:r w:rsidRPr="000B1BCF">
        <w:rPr>
          <w:rFonts w:ascii="Verdana" w:hAnsi="Verdana"/>
        </w:rPr>
        <w:t xml:space="preserve">La garantía en la etapa precontractual implica una caución provisional que avala la </w:t>
      </w:r>
      <w:r w:rsidRPr="000A0905">
        <w:rPr>
          <w:rFonts w:ascii="Verdana" w:hAnsi="Verdana"/>
        </w:rPr>
        <w:t xml:space="preserve">propuesta y es una garantía precontractual –y parcialmente contractual– destinada a asegurar la suscripción del acuerdo, entre otras obligaciones. En cambio, las garantías en la etapa contractual o </w:t>
      </w:r>
      <w:proofErr w:type="spellStart"/>
      <w:r w:rsidRPr="000A0905">
        <w:rPr>
          <w:rFonts w:ascii="Verdana" w:hAnsi="Verdana"/>
        </w:rPr>
        <w:t>postcontractual</w:t>
      </w:r>
      <w:proofErr w:type="spellEnd"/>
      <w:r w:rsidRPr="000A0905">
        <w:rPr>
          <w:rFonts w:ascii="Verdana" w:hAnsi="Verdana"/>
        </w:rPr>
        <w:t xml:space="preserve"> son mecanismos</w:t>
      </w:r>
      <w:r w:rsidRPr="000A0905">
        <w:rPr>
          <w:rFonts w:ascii="Verdana" w:hAnsi="Verdana"/>
        </w:rPr>
        <w:t xml:space="preserve"> </w:t>
      </w:r>
      <w:r w:rsidRPr="000A0905">
        <w:rPr>
          <w:rFonts w:ascii="Verdana" w:hAnsi="Verdana"/>
        </w:rPr>
        <w:t xml:space="preserve">de cobertura del riesgo derivado del incumplimiento de las obligaciones del contrato o de otros eventos estipulados en el negocio jurídico, como por ejemplo la responsabilidad civil extracontractual. </w:t>
      </w:r>
    </w:p>
    <w:p w14:paraId="16A77CA7" w14:textId="7BE2F0E5" w:rsidR="000A0905" w:rsidRPr="000A0905" w:rsidRDefault="000B1BCF"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A partir de esta conceptualización, se destaca que la garantía de seriedad de la oferta está regulada en el inciso primero del artículo 7 de la Ley 1150 de 2007, que dispone: “Los proponentes prestarán garantía de seriedad de los ofrecimientos hechos”. Esta garantía es una condición que debe exigirse, en principio, en los procesos de selección plurales regulados por el Estatuto General de Contratación de la Administración Pública –según lo dispone el primer inciso del artículo mencionado, salvo algunas excepciones–, con la cual se busca asegurar la vinculación de los proponentes a los ofrecimientos hechos, de manera que estos no puedan arrepentirse de la propuesta efectuada, so pena de que se haga efectiva dicha garantía y, por tanto, quedes obligados a celebrar el contrato. De acuerdo, con esta idea, Roberto Dromi expresa: “Las garantías provisionales avalan la oferta del contratista y constituyen una caución precontractual destinada a asegurar la celebración del contrato, no su cumplimiento […]”</w:t>
      </w:r>
      <w:r w:rsidR="000A0905" w:rsidRPr="000A0905">
        <w:rPr>
          <w:rStyle w:val="Refdenotaalpie"/>
          <w:rFonts w:ascii="Verdana" w:hAnsi="Verdana"/>
        </w:rPr>
        <w:footnoteReference w:id="9"/>
      </w:r>
      <w:r w:rsidR="000A0905" w:rsidRPr="000A0905">
        <w:rPr>
          <w:rFonts w:ascii="Verdana" w:hAnsi="Verdana"/>
        </w:rPr>
        <w:t>.</w:t>
      </w:r>
    </w:p>
    <w:p w14:paraId="14F7FF56" w14:textId="77777777"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 xml:space="preserve">Esta garantía respalda al principio de irrevocabilidad de la oferta, caso en el cual los proponentes que pierdan interés en la adjudicación resarcirán los perjuicios causados por su retiro del procedimiento de selección. El carácter serio y vinculante implica no solo que la propuesta tenga que sostenerse ante la Administración, y en caso de resultar elegida obligue a quien la realizó, sino que una vez presentada no puede modificarse, puesto que pondría en desventaja a los demás oferentes, en perjuicio de los principios de igualdad y buena fe. </w:t>
      </w:r>
    </w:p>
    <w:p w14:paraId="4C4078A0" w14:textId="0F251459"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 xml:space="preserve">El inciso primero del artículo 846 del Código de Comercio dispone que “La propuesta será irrevocable, por lo tanto, una vez comunicada, no podrá retractarse el proponente, so pena de indemnizar los perjuicios que con su revocación cause al destinatario”. Aunque la contratación estatal se rige por una </w:t>
      </w:r>
      <w:r w:rsidRPr="000A0905">
        <w:rPr>
          <w:rFonts w:ascii="Verdana" w:hAnsi="Verdana"/>
        </w:rPr>
        <w:lastRenderedPageBreak/>
        <w:t>regla similar, son evidentes los matices introducidos en el régimen de la garantía precontractual, pues el artículo 2.2.1.2.3.2.8 del Decreto 1082 de 2015 dispone que “En caso de siniestro en la garantía de la seriedad de la oferta, la compañía de seguros debe responder por el total del valor asegurado a título de sanción”.</w:t>
      </w:r>
    </w:p>
    <w:p w14:paraId="10DBF4AA" w14:textId="5504163B"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La garantía de seriedad solo la constituyen quienes presenten oferta, motivo por el cual sus efectos no se extienden a personas ajenas a la actividad precontractual; sin perjuicio de que la garantía sea un mecanismo conminatorio,</w:t>
      </w:r>
      <w:r w:rsidRPr="000A0905">
        <w:rPr>
          <w:rFonts w:ascii="Verdana" w:hAnsi="Verdana"/>
        </w:rPr>
        <w:t xml:space="preserve"> </w:t>
      </w:r>
      <w:r w:rsidRPr="000A0905">
        <w:rPr>
          <w:rFonts w:ascii="Verdana" w:hAnsi="Verdana"/>
        </w:rPr>
        <w:t>en la medida en que obliga a celebrar el contrato y a suscribir la garantía única de cumplimiento,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r w:rsidRPr="000A0905">
        <w:rPr>
          <w:rStyle w:val="Refdenotaalpie"/>
          <w:rFonts w:ascii="Verdana" w:hAnsi="Verdana"/>
        </w:rPr>
        <w:footnoteReference w:id="10"/>
      </w:r>
      <w:r w:rsidRPr="000A0905">
        <w:rPr>
          <w:rFonts w:ascii="Verdana" w:hAnsi="Verdana"/>
        </w:rPr>
        <w:t xml:space="preserve"> . </w:t>
      </w:r>
    </w:p>
    <w:p w14:paraId="1C8A41F9" w14:textId="5AAA658E"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Ahora bien, la garantía de seriedad de la oferta es, por regla general, obligatoria en los procedimientos de selección, excepto en los de contratación directa y mínima cuantía, así como en los contratos de seguros, interadministrativos y empréstitos, supuestos en los cuales la entidad estatal debe justificar la necesidad de exigir la constitución de este tipo de garantías.</w:t>
      </w:r>
    </w:p>
    <w:p w14:paraId="43CE9AB2" w14:textId="77777777"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Ante este panorama, las entidades, en el momento de elaborar los pliegos de condiciones, deben establecer la obligatoriedad de la garantía de seriedad de oferta en las modalidades de selección en las que es obligatoria su constitución, como, por ejemplo, en la licitación pública, en la selección abreviada y en el concurso de méritos. No obstante, en el evento en que la garantía de la oferta no esté regulada en el pliego de condiciones, a pesar de su obligatoriedad, la entidad no podrá excusarse para no exigirla. Por el contrario, debe cumplir con la exigencia dispuesta en el artículo 7 de la Ley 1150 de 2007, sumado a que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la misma”.</w:t>
      </w:r>
    </w:p>
    <w:p w14:paraId="688315B1" w14:textId="77777777"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 xml:space="preserve"> El origen de dicha norma, según se desprende de lo dicho en la Gaceta No. 605 del 2016, se encuentra en que para el legislador era necesario eliminar la </w:t>
      </w:r>
      <w:r w:rsidRPr="000A0905">
        <w:rPr>
          <w:rFonts w:ascii="Verdana" w:hAnsi="Verdana"/>
        </w:rPr>
        <w:lastRenderedPageBreak/>
        <w:t xml:space="preserve">posibilidad de subsanar la garantía de seriedad hasta antes de la adjudicación del contrato, porque si no se presentaba de manera concomitante con la oferta, en el evento que el proponente retirara su propuesta si la entidad no contaba con la póliza, no podía reclamarle por los perjuicios causados y, por lo tanto, se vería afectado el proceso de selección. </w:t>
      </w:r>
    </w:p>
    <w:p w14:paraId="6E9AFA7A" w14:textId="69599CBE"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En tal sentido, cuando sea exigible la garantía de seriedad de la oferta debe cumplir con los artículos 2.2.1.2.3.1.6 y 2.2.1.2.3.1.9 del Decreto 1082 de 2015, los cuales establecen las condiciones que debe reunir este tipo de</w:t>
      </w:r>
      <w:r w:rsidRPr="000A0905">
        <w:rPr>
          <w:rFonts w:ascii="Verdana" w:hAnsi="Verdana"/>
        </w:rPr>
        <w:t xml:space="preserve"> </w:t>
      </w:r>
      <w:r w:rsidRPr="000A0905">
        <w:rPr>
          <w:rFonts w:ascii="Verdana" w:hAnsi="Verdana"/>
        </w:rPr>
        <w:t>garantía</w:t>
      </w:r>
      <w:r w:rsidRPr="000A0905">
        <w:rPr>
          <w:rStyle w:val="Refdenotaalpie"/>
          <w:rFonts w:ascii="Verdana" w:hAnsi="Verdana"/>
        </w:rPr>
        <w:footnoteReference w:id="11"/>
      </w:r>
      <w:r w:rsidRPr="000A0905">
        <w:rPr>
          <w:rFonts w:ascii="Verdana" w:hAnsi="Verdana"/>
        </w:rPr>
        <w:t xml:space="preserve">. Esta puede otorgarse a través de: i) un contrato de seguro contenido en una póliza, </w:t>
      </w:r>
      <w:proofErr w:type="spellStart"/>
      <w:r w:rsidRPr="000A0905">
        <w:rPr>
          <w:rFonts w:ascii="Verdana" w:hAnsi="Verdana"/>
        </w:rPr>
        <w:t>ii</w:t>
      </w:r>
      <w:proofErr w:type="spellEnd"/>
      <w:r w:rsidRPr="000A0905">
        <w:rPr>
          <w:rFonts w:ascii="Verdana" w:hAnsi="Verdana"/>
        </w:rPr>
        <w:t xml:space="preserve">) la constitución de un patrimonio autónomo, o </w:t>
      </w:r>
      <w:proofErr w:type="spellStart"/>
      <w:r w:rsidRPr="000A0905">
        <w:rPr>
          <w:rFonts w:ascii="Verdana" w:hAnsi="Verdana"/>
        </w:rPr>
        <w:t>iii</w:t>
      </w:r>
      <w:proofErr w:type="spellEnd"/>
      <w:r w:rsidRPr="000A0905">
        <w:rPr>
          <w:rFonts w:ascii="Verdana" w:hAnsi="Verdana"/>
        </w:rPr>
        <w:t>) una garantía bancaria. Allí se indica que el proponente debe presentar una garantía que cumpla con los parámetros, condiciones y requisitos señalados en ese numeral, y no requiere necesariamente que se aporten documentos adicionales, concretamente el recibo de pago de la prima, porque el artículo 7 de la Ley 1150 de 2007 establece que “[…] tratándose de pólizas, las mismas no expirarán por falta de pago de la prima o por revocatoria unilateral […]”</w:t>
      </w:r>
      <w:r w:rsidRPr="000A0905">
        <w:rPr>
          <w:rStyle w:val="Refdenotaalpie"/>
          <w:rFonts w:ascii="Verdana" w:hAnsi="Verdana"/>
        </w:rPr>
        <w:footnoteReference w:id="12"/>
      </w:r>
      <w:r w:rsidRPr="000A0905">
        <w:rPr>
          <w:rFonts w:ascii="Verdana" w:hAnsi="Verdana"/>
        </w:rPr>
        <w:t xml:space="preserve">. Esta disposición </w:t>
      </w:r>
      <w:r w:rsidRPr="000A0905">
        <w:rPr>
          <w:rFonts w:ascii="Verdana" w:hAnsi="Verdana"/>
        </w:rPr>
        <w:lastRenderedPageBreak/>
        <w:t>excepciona la terminación automática del contrato de seguro por falta de pago, prevista en el artículo 1068 del Código de Comercio</w:t>
      </w:r>
      <w:r w:rsidRPr="000A0905">
        <w:rPr>
          <w:rStyle w:val="Refdenotaalpie"/>
          <w:rFonts w:ascii="Verdana" w:hAnsi="Verdana"/>
        </w:rPr>
        <w:footnoteReference w:id="13"/>
      </w:r>
      <w:r w:rsidRPr="000A0905">
        <w:rPr>
          <w:rFonts w:ascii="Verdana" w:hAnsi="Verdana"/>
        </w:rPr>
        <w:t>.</w:t>
      </w:r>
    </w:p>
    <w:p w14:paraId="39ABD9D3" w14:textId="77777777"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 xml:space="preserve"> Finalmente, debe advertirse que el análisis en torno a un proceso de contratación especifico debe ser realizado por quienes tengan interés en ello. De</w:t>
      </w:r>
      <w:r w:rsidRPr="000A0905">
        <w:rPr>
          <w:rFonts w:ascii="Verdana" w:hAnsi="Verdana"/>
        </w:rPr>
        <w:t xml:space="preserve"> </w:t>
      </w:r>
      <w:r w:rsidRPr="000A0905">
        <w:rPr>
          <w:rFonts w:ascii="Verdana" w:hAnsi="Verdana"/>
        </w:rPr>
        <w:t xml:space="preserve">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5606D7AB" w14:textId="1E965659" w:rsidR="000A0905" w:rsidRPr="000A0905" w:rsidRDefault="000A0905" w:rsidP="000B1BCF">
      <w:pPr>
        <w:tabs>
          <w:tab w:val="left" w:pos="426"/>
        </w:tabs>
        <w:spacing w:after="120" w:line="276" w:lineRule="auto"/>
        <w:jc w:val="both"/>
        <w:rPr>
          <w:rFonts w:ascii="Verdana" w:hAnsi="Verdana"/>
        </w:rPr>
      </w:pPr>
      <w:r w:rsidRPr="000A0905">
        <w:rPr>
          <w:rFonts w:ascii="Verdana" w:hAnsi="Verdana"/>
        </w:rPr>
        <w:tab/>
      </w:r>
      <w:r w:rsidRPr="000A0905">
        <w:rPr>
          <w:rFonts w:ascii="Verdana" w:hAnsi="Verdana"/>
        </w:rPr>
        <w:tab/>
      </w:r>
      <w:r w:rsidRPr="000A0905">
        <w:rPr>
          <w:rFonts w:ascii="Verdana"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31046229" w14:textId="77777777" w:rsidR="0087031A" w:rsidRDefault="0087031A" w:rsidP="0087031A">
      <w:pPr>
        <w:spacing w:after="0" w:line="276" w:lineRule="auto"/>
        <w:jc w:val="both"/>
        <w:rPr>
          <w:rFonts w:ascii="Verdana" w:eastAsia="Calibri" w:hAnsi="Verdana" w:cs="Arial"/>
          <w:lang w:val="es-ES"/>
        </w:rPr>
      </w:pPr>
    </w:p>
    <w:p w14:paraId="10369344" w14:textId="77777777" w:rsidR="0087031A" w:rsidRPr="0060676F" w:rsidRDefault="0087031A" w:rsidP="0087031A">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8BC5F6A" w14:textId="77777777" w:rsidR="0087031A" w:rsidRPr="00593A5F" w:rsidRDefault="0087031A" w:rsidP="008703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031A" w:rsidRPr="00593A5F" w14:paraId="42DD39C5" w14:textId="77777777" w:rsidTr="00580B7F">
        <w:trPr>
          <w:trHeight w:val="870"/>
        </w:trPr>
        <w:tc>
          <w:tcPr>
            <w:tcW w:w="8647" w:type="dxa"/>
          </w:tcPr>
          <w:p w14:paraId="26D2EA6D" w14:textId="05B3B92D" w:rsidR="000A0905" w:rsidRPr="000A0905" w:rsidRDefault="000A0905"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0A0905">
              <w:rPr>
                <w:rFonts w:ascii="Verdana" w:hAnsi="Verdana"/>
              </w:rPr>
              <w:t>Código Civil: Artículos 1618 a 1624Ley 80 de 1993, artículo 24.</w:t>
            </w:r>
          </w:p>
          <w:p w14:paraId="08353451" w14:textId="77777777" w:rsidR="00682580" w:rsidRPr="00682580" w:rsidRDefault="00682580" w:rsidP="00682580">
            <w:pPr>
              <w:pStyle w:val="Prrafodelista"/>
              <w:numPr>
                <w:ilvl w:val="0"/>
                <w:numId w:val="18"/>
              </w:numPr>
              <w:spacing w:line="259" w:lineRule="auto"/>
              <w:contextualSpacing w:val="0"/>
              <w:jc w:val="both"/>
              <w:rPr>
                <w:rFonts w:ascii="Verdana" w:eastAsia="Calibri" w:hAnsi="Verdana" w:cs="Arial"/>
                <w:color w:val="000000"/>
                <w:lang w:eastAsia="es-ES"/>
              </w:rPr>
            </w:pPr>
            <w:r w:rsidRPr="00086C7C">
              <w:rPr>
                <w:rFonts w:ascii="Verdana" w:eastAsia="Calibri" w:hAnsi="Verdana" w:cs="Arial"/>
                <w:color w:val="000000"/>
                <w:lang w:eastAsia="es-ES"/>
              </w:rPr>
              <w:t xml:space="preserve">Ley 1150 de 2007, </w:t>
            </w:r>
            <w:r>
              <w:rPr>
                <w:rFonts w:ascii="Verdana" w:eastAsia="Calibri" w:hAnsi="Verdana" w:cs="Arial"/>
                <w:color w:val="000000" w:themeColor="text1"/>
              </w:rPr>
              <w:t>artículo 5, parágrafo 1, 3 y 4</w:t>
            </w:r>
          </w:p>
          <w:p w14:paraId="552084C2" w14:textId="5BD038BB" w:rsidR="00682580" w:rsidRPr="00CA1687" w:rsidRDefault="00682580" w:rsidP="00682580">
            <w:pPr>
              <w:pStyle w:val="Prrafodelista"/>
              <w:numPr>
                <w:ilvl w:val="0"/>
                <w:numId w:val="18"/>
              </w:numPr>
              <w:contextualSpacing w:val="0"/>
              <w:jc w:val="both"/>
              <w:rPr>
                <w:rFonts w:ascii="Verdana" w:eastAsia="Calibri" w:hAnsi="Verdana" w:cs="Arial"/>
                <w:shd w:val="clear" w:color="auto" w:fill="FFFFFF"/>
              </w:rPr>
            </w:pPr>
            <w:r w:rsidRPr="00CA1687">
              <w:rPr>
                <w:rFonts w:ascii="Verdana" w:eastAsia="Calibri" w:hAnsi="Verdana" w:cs="Arial"/>
                <w:color w:val="000000"/>
              </w:rPr>
              <w:t>Ley 1882 de 2018</w:t>
            </w:r>
            <w:r w:rsidR="000A0905">
              <w:rPr>
                <w:rFonts w:ascii="Verdana" w:eastAsia="Calibri" w:hAnsi="Verdana" w:cs="Arial"/>
                <w:color w:val="000000"/>
              </w:rPr>
              <w:t>,</w:t>
            </w:r>
            <w:r w:rsidRPr="00CA1687">
              <w:rPr>
                <w:rFonts w:ascii="Verdana" w:eastAsia="Calibri" w:hAnsi="Verdana" w:cs="Arial"/>
                <w:color w:val="000000"/>
              </w:rPr>
              <w:t xml:space="preserve"> artículo 5</w:t>
            </w:r>
          </w:p>
          <w:p w14:paraId="2CC4E3F1" w14:textId="1F2D0A78" w:rsidR="00682580" w:rsidRPr="00682580" w:rsidRDefault="00E20ADE" w:rsidP="00682580">
            <w:pPr>
              <w:pStyle w:val="Prrafodelista"/>
              <w:numPr>
                <w:ilvl w:val="0"/>
                <w:numId w:val="18"/>
              </w:numPr>
              <w:rPr>
                <w:rFonts w:ascii="Verdana" w:hAnsi="Verdana" w:cs="Arial"/>
                <w:lang w:val="es-CO"/>
              </w:rPr>
            </w:pPr>
            <w:r w:rsidRPr="00682580">
              <w:rPr>
                <w:rFonts w:ascii="Verdana" w:hAnsi="Verdana" w:cs="Arial"/>
              </w:rPr>
              <w:t>Decreto 1082 de 2015: Artículo 2.2.1.1.2.1.3</w:t>
            </w:r>
            <w:r w:rsidR="00682580">
              <w:t xml:space="preserve"> </w:t>
            </w:r>
            <w:r w:rsidR="00682580" w:rsidRPr="00682580">
              <w:rPr>
                <w:rFonts w:ascii="Verdana" w:hAnsi="Verdana" w:cs="Arial"/>
                <w:lang w:val="es-CO"/>
              </w:rPr>
              <w:t>artículo 2.2.1.1.2.1.3. numeral 6</w:t>
            </w:r>
          </w:p>
          <w:p w14:paraId="555071BF" w14:textId="77777777" w:rsidR="00E20ADE" w:rsidRPr="00E20ADE" w:rsidRDefault="00E20ADE"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CORTE CONSTITUCIONAL. Sentencia C-128 de 2003. M.P. Álvaro Tafur Galvis</w:t>
            </w:r>
          </w:p>
          <w:p w14:paraId="0A2887CE" w14:textId="77777777" w:rsidR="00E20ADE" w:rsidRPr="00E20ADE" w:rsidRDefault="00E20ADE"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 xml:space="preserve">CONSEJO DE ESTADO. Sección Tercera. Sentencia del 11 de noviembre de 2009. </w:t>
            </w:r>
            <w:proofErr w:type="spellStart"/>
            <w:r w:rsidRPr="00E20ADE">
              <w:rPr>
                <w:rFonts w:ascii="Verdana" w:hAnsi="Verdana" w:cs="Arial"/>
              </w:rPr>
              <w:t>Exp</w:t>
            </w:r>
            <w:proofErr w:type="spellEnd"/>
            <w:r w:rsidRPr="00E20ADE">
              <w:rPr>
                <w:rFonts w:ascii="Verdana" w:hAnsi="Verdana" w:cs="Arial"/>
              </w:rPr>
              <w:t>. 17.366. C.P. Mauricio Fajardo Gómez.</w:t>
            </w:r>
          </w:p>
          <w:p w14:paraId="4FEE8E07" w14:textId="77777777" w:rsidR="00E20ADE" w:rsidRPr="00E20ADE" w:rsidRDefault="00E20ADE"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 xml:space="preserve">CONSEJO DE ESTADO. Sección Tercera. Sentencia del 24 de julio de </w:t>
            </w:r>
            <w:r w:rsidRPr="00E20ADE">
              <w:rPr>
                <w:rFonts w:ascii="Verdana" w:hAnsi="Verdana" w:cs="Arial"/>
              </w:rPr>
              <w:lastRenderedPageBreak/>
              <w:t xml:space="preserve">2013. </w:t>
            </w:r>
            <w:proofErr w:type="spellStart"/>
            <w:r w:rsidRPr="00E20ADE">
              <w:rPr>
                <w:rFonts w:ascii="Verdana" w:hAnsi="Verdana" w:cs="Arial"/>
              </w:rPr>
              <w:t>Exp</w:t>
            </w:r>
            <w:proofErr w:type="spellEnd"/>
            <w:r w:rsidRPr="00E20ADE">
              <w:rPr>
                <w:rFonts w:ascii="Verdana" w:hAnsi="Verdana" w:cs="Arial"/>
              </w:rPr>
              <w:t>. 25.642. C.P. Enrique Gil Botero</w:t>
            </w:r>
          </w:p>
          <w:p w14:paraId="0DCB721F" w14:textId="77777777" w:rsidR="00E20ADE" w:rsidRPr="00E20ADE" w:rsidRDefault="00E20ADE"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CONSEJO DE ESTADO, Sala de lo Contencioso Administrativo, Sección Tercera, sentencias del 1 de junio de 2022, radicado 60248; 29 de julio de 2015, radicado 40660; y, del 26 de abril de 2006, radicado 16041.</w:t>
            </w:r>
          </w:p>
          <w:p w14:paraId="50E5BEFE" w14:textId="77777777" w:rsidR="00E20ADE" w:rsidRPr="00E20ADE" w:rsidRDefault="00E20ADE"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CONSEJO DE ESTADO, Sala de lo Contencioso Administrativo, Sección Tercera, sentencias del 1 de junio de 2022, radicado 60248 y del 2 de julio de 2021, radicado 51910.</w:t>
            </w:r>
          </w:p>
          <w:p w14:paraId="18DCE4CD" w14:textId="77777777" w:rsidR="00E20ADE" w:rsidRPr="00E20ADE" w:rsidRDefault="00E20ADE" w:rsidP="00682580">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 xml:space="preserve">GONZÁLEZ LÓPEZ, Edgar. El pliego de condiciones en la contratación. La reforma consagrada en la Ley 1150 de 2007 y sus decretos reglamentarios. Universidad Externado de Colombia. Primera edición, 2010, pp. 64.  </w:t>
            </w:r>
          </w:p>
          <w:p w14:paraId="1C1DEB6B" w14:textId="23AD0728" w:rsidR="0087031A" w:rsidRPr="00332677" w:rsidRDefault="0087031A" w:rsidP="00471CAF">
            <w:pPr>
              <w:pStyle w:val="Prrafodelista"/>
              <w:widowControl w:val="0"/>
              <w:autoSpaceDE w:val="0"/>
              <w:autoSpaceDN w:val="0"/>
              <w:spacing w:after="120"/>
              <w:contextualSpacing w:val="0"/>
              <w:jc w:val="both"/>
              <w:rPr>
                <w:rFonts w:ascii="Verdana" w:hAnsi="Verdana" w:cs="Arial"/>
              </w:rPr>
            </w:pPr>
          </w:p>
        </w:tc>
      </w:tr>
    </w:tbl>
    <w:p w14:paraId="3BFE0280" w14:textId="77777777" w:rsidR="0087031A"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AB2AA5D" w14:textId="77777777" w:rsidR="0087031A" w:rsidRDefault="0087031A" w:rsidP="008703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33E7EA9" w14:textId="77777777" w:rsidR="0087031A" w:rsidRPr="00593A5F"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F8E012C" w14:textId="4B469816" w:rsidR="0087031A" w:rsidRPr="00AE7E03" w:rsidRDefault="00DA08E3" w:rsidP="0087031A">
      <w:pPr>
        <w:widowControl w:val="0"/>
        <w:autoSpaceDE w:val="0"/>
        <w:autoSpaceDN w:val="0"/>
        <w:spacing w:after="0" w:line="276" w:lineRule="auto"/>
        <w:jc w:val="both"/>
        <w:rPr>
          <w:rFonts w:ascii="Verdana" w:eastAsia="Arial" w:hAnsi="Verdana" w:cs="Arial"/>
          <w:lang w:val="es-MX" w:eastAsia="es-ES_tradnl"/>
        </w:rPr>
      </w:pPr>
      <w:r w:rsidRPr="00833CE2">
        <w:rPr>
          <w:rFonts w:ascii="Verdana" w:eastAsia="Aptos" w:hAnsi="Verdana" w:cs="Arial"/>
          <w:shd w:val="clear" w:color="auto" w:fill="FFFFFF"/>
          <w:lang w:val="es-ES"/>
        </w:rPr>
        <w:t>Sobre las generalidades del pliego de condiciones, esta Subdirección se ha manifestado en los conceptos C-693 del 24 de octubre de 2023, C-534 del 10 de octubre de 2024, C-404 del 11 de septiembre de 2024, C-427 del 13 de septiembre de 2024, C-714 del 25 de noviembre de 2024,</w:t>
      </w:r>
      <w:r>
        <w:rPr>
          <w:rFonts w:ascii="Verdana" w:eastAsia="Aptos" w:hAnsi="Verdana" w:cs="Arial"/>
          <w:shd w:val="clear" w:color="auto" w:fill="FFFFFF"/>
          <w:lang w:val="es-ES"/>
        </w:rPr>
        <w:t xml:space="preserve"> C-969 del 20 de enero de 2025</w:t>
      </w:r>
      <w:r w:rsidRPr="00833CE2">
        <w:rPr>
          <w:rFonts w:ascii="Verdana" w:eastAsia="Aptos" w:hAnsi="Verdana" w:cs="Arial"/>
          <w:shd w:val="clear" w:color="auto" w:fill="FFFFFF"/>
          <w:lang w:val="es-ES"/>
        </w:rPr>
        <w:t xml:space="preserve"> entre otros</w:t>
      </w:r>
      <w:r w:rsidR="0087031A">
        <w:rPr>
          <w:rFonts w:ascii="Verdana" w:eastAsia="Calibri" w:hAnsi="Verdana" w:cs="Arial"/>
          <w:lang w:val="es-ES" w:eastAsia="es-ES_tradnl"/>
        </w:rPr>
        <w:t>;</w:t>
      </w:r>
      <w:r>
        <w:rPr>
          <w:rFonts w:ascii="Verdana" w:eastAsia="Calibri" w:hAnsi="Verdana" w:cs="Arial"/>
          <w:lang w:val="es-ES" w:eastAsia="es-ES_tradnl"/>
        </w:rPr>
        <w:t xml:space="preserve"> por su parte </w:t>
      </w:r>
      <w:r>
        <w:rPr>
          <w:rFonts w:ascii="Verdana" w:eastAsia="Calibri" w:hAnsi="Verdana" w:cs="Arial"/>
          <w:lang w:val="es-ES" w:eastAsia="es-ES"/>
        </w:rPr>
        <w:t>s</w:t>
      </w:r>
      <w:r w:rsidRPr="00D16A5E">
        <w:rPr>
          <w:rFonts w:ascii="Verdana" w:eastAsia="Calibri" w:hAnsi="Verdana" w:cs="Arial"/>
          <w:lang w:val="es-ES" w:eastAsia="es-ES"/>
        </w:rPr>
        <w:t xml:space="preserve">obre la </w:t>
      </w:r>
      <w:r w:rsidRPr="00D16A5E">
        <w:rPr>
          <w:rFonts w:ascii="Verdana" w:eastAsia="Calibri" w:hAnsi="Verdana" w:cs="Arial"/>
          <w:lang w:val="es-ES"/>
        </w:rPr>
        <w:t xml:space="preserve">regla de </w:t>
      </w:r>
      <w:proofErr w:type="spellStart"/>
      <w:r w:rsidRPr="00D16A5E">
        <w:rPr>
          <w:rFonts w:ascii="Verdana" w:eastAsia="Calibri" w:hAnsi="Verdana" w:cs="Arial"/>
          <w:lang w:val="es-ES"/>
        </w:rPr>
        <w:t>subsanabilidad</w:t>
      </w:r>
      <w:proofErr w:type="spellEnd"/>
      <w:r w:rsidRPr="00D16A5E">
        <w:rPr>
          <w:rFonts w:ascii="Verdana" w:eastAsia="Calibri" w:hAnsi="Verdana" w:cs="Arial"/>
          <w:lang w:val="es-ES"/>
        </w:rPr>
        <w:t xml:space="preserve"> en los procesos de selección,</w:t>
      </w:r>
      <w:r w:rsidRPr="00D16A5E">
        <w:rPr>
          <w:rStyle w:val="superscript"/>
          <w:rFonts w:ascii="Verdana" w:hAnsi="Verdana" w:cs="Arial"/>
          <w:shd w:val="clear" w:color="auto" w:fill="FFFFFF"/>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eastAsia="Calibri" w:hAnsi="Verdana" w:cs="Arial"/>
          <w:lang w:val="es-ES"/>
        </w:rPr>
        <w:t xml:space="preserve">en los conceptos 4201913000007643 del 26 de diciembre de 2019, C-343 del 17 de junio de 2020, C-518 del 9 de septiembre de 2020, </w:t>
      </w:r>
      <w:r w:rsidRPr="00607549">
        <w:rPr>
          <w:rFonts w:ascii="Verdana" w:eastAsia="Calibri" w:hAnsi="Verdana" w:cs="Arial"/>
          <w:shd w:val="clear" w:color="auto" w:fill="FFFFFF"/>
        </w:rPr>
        <w:t>C-285 del 20 de mayo de 2022</w:t>
      </w:r>
      <w:r>
        <w:rPr>
          <w:rFonts w:ascii="Verdana" w:eastAsia="Calibri" w:hAnsi="Verdana" w:cs="Arial"/>
          <w:shd w:val="clear" w:color="auto" w:fill="FFFFFF"/>
        </w:rPr>
        <w:t xml:space="preserve">, </w:t>
      </w:r>
      <w:r w:rsidRPr="00D16A5E">
        <w:rPr>
          <w:rFonts w:ascii="Verdana" w:eastAsia="Calibri" w:hAnsi="Verdana" w:cs="Arial"/>
          <w:lang w:val="es-ES"/>
        </w:rPr>
        <w:t>C-614 del 5 de octubre de 2022, C-882 del 21 de diciembre de 2022</w:t>
      </w:r>
      <w:r>
        <w:rPr>
          <w:rFonts w:ascii="Verdana" w:eastAsia="Calibri" w:hAnsi="Verdana" w:cs="Arial"/>
          <w:lang w:val="es-ES"/>
        </w:rPr>
        <w:t>,</w:t>
      </w:r>
      <w:r w:rsidRPr="00D16A5E">
        <w:rPr>
          <w:rFonts w:ascii="Verdana" w:eastAsia="Calibri" w:hAnsi="Verdana" w:cs="Arial"/>
          <w:lang w:val="es-ES"/>
        </w:rPr>
        <w:t xml:space="preserve"> C-172 del 6 de junio de 2023</w:t>
      </w:r>
      <w:r>
        <w:rPr>
          <w:rFonts w:ascii="Verdana" w:eastAsia="Calibri" w:hAnsi="Verdana" w:cs="Arial"/>
          <w:lang w:val="es-ES"/>
        </w:rPr>
        <w:t xml:space="preserve">, </w:t>
      </w:r>
      <w:r w:rsidRPr="00607549">
        <w:rPr>
          <w:rFonts w:ascii="Verdana" w:eastAsia="Calibri" w:hAnsi="Verdana" w:cs="Arial"/>
          <w:shd w:val="clear" w:color="auto" w:fill="FFFFFF"/>
        </w:rPr>
        <w:t>C-447 del 19 de septiembre de 2024</w:t>
      </w:r>
      <w:r>
        <w:rPr>
          <w:rFonts w:ascii="Verdana" w:eastAsia="Calibri" w:hAnsi="Verdana" w:cs="Arial"/>
          <w:shd w:val="clear" w:color="auto" w:fill="FFFFFF"/>
        </w:rPr>
        <w:t xml:space="preserve"> y C-1009 del 30 de enero de 2025.</w:t>
      </w:r>
      <w:r w:rsidR="0087031A" w:rsidRPr="00185EE9">
        <w:rPr>
          <w:rFonts w:ascii="Verdana" w:eastAsia="Calibri" w:hAnsi="Verdana" w:cs="Times New Roman"/>
        </w:rPr>
        <w:t xml:space="preserve"> </w:t>
      </w:r>
      <w:r w:rsidR="004B10BA">
        <w:rPr>
          <w:rFonts w:ascii="Verdana" w:eastAsia="Calibri" w:hAnsi="Verdana" w:cs="Times New Roman"/>
        </w:rPr>
        <w:t>E</w:t>
      </w:r>
      <w:r w:rsidR="0087031A">
        <w:rPr>
          <w:rFonts w:ascii="Verdana" w:eastAsia="Calibri" w:hAnsi="Verdana" w:cs="Times New Roman"/>
        </w:rPr>
        <w:t xml:space="preserve">stos </w:t>
      </w:r>
      <w:r w:rsidR="0087031A"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5CFBE6B" w14:textId="77777777" w:rsidR="0087031A" w:rsidRPr="0065720B" w:rsidRDefault="00D1783D" w:rsidP="0087031A">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87031A" w:rsidRPr="00191357">
          <w:rPr>
            <w:rStyle w:val="Hipervnculo"/>
            <w:rFonts w:ascii="Verdana" w:eastAsia="Calibri" w:hAnsi="Verdana" w:cs="Times New Roman"/>
            <w:lang w:val="es-ES"/>
          </w:rPr>
          <w:t>https://relatoria.colombiacompra.gov.co/busqueda/conceptos</w:t>
        </w:r>
      </w:hyperlink>
      <w:r w:rsidR="0087031A" w:rsidRPr="00185EE9">
        <w:rPr>
          <w:rFonts w:ascii="Verdana" w:eastAsia="Calibri" w:hAnsi="Verdana" w:cs="Times New Roman"/>
        </w:rPr>
        <w:t>.</w:t>
      </w:r>
    </w:p>
    <w:p w14:paraId="1766B34B" w14:textId="77777777" w:rsidR="0087031A" w:rsidRDefault="0087031A" w:rsidP="0087031A">
      <w:pPr>
        <w:widowControl w:val="0"/>
        <w:autoSpaceDE w:val="0"/>
        <w:autoSpaceDN w:val="0"/>
        <w:spacing w:after="0" w:line="276" w:lineRule="auto"/>
        <w:jc w:val="both"/>
      </w:pPr>
    </w:p>
    <w:p w14:paraId="59F914CB" w14:textId="77777777" w:rsidR="0087031A" w:rsidRPr="00505CD6" w:rsidRDefault="0087031A" w:rsidP="0087031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39F93B3" w14:textId="77777777" w:rsidR="0087031A" w:rsidRPr="00505CD6" w:rsidRDefault="0087031A" w:rsidP="0087031A">
      <w:pPr>
        <w:widowControl w:val="0"/>
        <w:autoSpaceDE w:val="0"/>
        <w:autoSpaceDN w:val="0"/>
        <w:spacing w:after="0" w:line="276" w:lineRule="auto"/>
        <w:jc w:val="both"/>
        <w:rPr>
          <w:rFonts w:ascii="Verdana" w:hAnsi="Verdana" w:cs="Arial"/>
        </w:rPr>
      </w:pPr>
    </w:p>
    <w:p w14:paraId="5BF21FB4" w14:textId="77777777" w:rsidR="0087031A" w:rsidRPr="00505CD6" w:rsidRDefault="0087031A" w:rsidP="0087031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2B728E2" w14:textId="77777777" w:rsidR="0087031A" w:rsidRDefault="0087031A" w:rsidP="0087031A">
      <w:pPr>
        <w:spacing w:line="276" w:lineRule="auto"/>
        <w:jc w:val="center"/>
        <w:rPr>
          <w:rFonts w:ascii="Verdana" w:hAnsi="Verdana"/>
          <w:noProof/>
        </w:rPr>
      </w:pPr>
    </w:p>
    <w:p w14:paraId="192413C2" w14:textId="6F568463" w:rsidR="007B6FE0" w:rsidRDefault="007B6FE0" w:rsidP="0087031A">
      <w:pPr>
        <w:spacing w:line="276" w:lineRule="auto"/>
        <w:jc w:val="center"/>
        <w:rPr>
          <w:rFonts w:ascii="Verdana" w:hAnsi="Verdana"/>
          <w:noProof/>
        </w:rPr>
      </w:pPr>
      <w:r>
        <w:rPr>
          <w:rFonts w:ascii="Verdana" w:hAnsi="Verdana"/>
          <w:noProof/>
          <w:color w:val="000000"/>
        </w:rPr>
        <w:drawing>
          <wp:inline distT="0" distB="0" distL="0" distR="0" wp14:anchorId="6521BC3B" wp14:editId="5A3EFD6C">
            <wp:extent cx="4248150" cy="1781175"/>
            <wp:effectExtent l="0" t="0" r="0" b="9525"/>
            <wp:docPr id="13545356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48150" cy="1781175"/>
                    </a:xfrm>
                    <a:prstGeom prst="rect">
                      <a:avLst/>
                    </a:prstGeom>
                    <a:noFill/>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031A" w:rsidRPr="00593A5F" w14:paraId="7952AB6B" w14:textId="77777777" w:rsidTr="00580B7F">
        <w:trPr>
          <w:trHeight w:val="315"/>
        </w:trPr>
        <w:tc>
          <w:tcPr>
            <w:tcW w:w="893" w:type="dxa"/>
            <w:vAlign w:val="center"/>
            <w:hideMark/>
          </w:tcPr>
          <w:p w14:paraId="77A866E6" w14:textId="61CC114F" w:rsidR="0087031A" w:rsidRDefault="0087031A" w:rsidP="0087031A">
            <w:pPr>
              <w:spacing w:line="276" w:lineRule="auto"/>
              <w:jc w:val="center"/>
              <w:rPr>
                <w:rFonts w:ascii="Verdana" w:hAnsi="Verdana"/>
                <w:noProof/>
                <w:color w:val="000000"/>
              </w:rPr>
            </w:pPr>
          </w:p>
          <w:p w14:paraId="12808F0D"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FCA52F" w14:textId="12471F21" w:rsidR="0087031A" w:rsidRPr="007911EE" w:rsidRDefault="0087031A" w:rsidP="00580B7F">
            <w:pPr>
              <w:contextualSpacing/>
              <w:rPr>
                <w:rFonts w:ascii="Verdana" w:hAnsi="Verdana"/>
                <w:sz w:val="16"/>
                <w:szCs w:val="16"/>
              </w:rPr>
            </w:pPr>
            <w:r w:rsidRPr="007911EE">
              <w:rPr>
                <w:rFonts w:ascii="Verdana" w:hAnsi="Verdana"/>
                <w:sz w:val="16"/>
                <w:szCs w:val="16"/>
              </w:rPr>
              <w:t xml:space="preserve">Nicolas </w:t>
            </w:r>
            <w:r w:rsidR="007911EE" w:rsidRPr="007911EE">
              <w:rPr>
                <w:rFonts w:ascii="Verdana" w:hAnsi="Verdana"/>
                <w:sz w:val="16"/>
                <w:szCs w:val="16"/>
              </w:rPr>
              <w:t>Andrés</w:t>
            </w:r>
            <w:r w:rsidRPr="007911EE">
              <w:rPr>
                <w:rFonts w:ascii="Verdana" w:hAnsi="Verdana"/>
                <w:sz w:val="16"/>
                <w:szCs w:val="16"/>
              </w:rPr>
              <w:t xml:space="preserve"> </w:t>
            </w:r>
            <w:r w:rsidR="007911EE" w:rsidRPr="007911EE">
              <w:rPr>
                <w:rFonts w:ascii="Verdana" w:hAnsi="Verdana"/>
                <w:sz w:val="16"/>
                <w:szCs w:val="16"/>
              </w:rPr>
              <w:t>Guzmán</w:t>
            </w:r>
            <w:r w:rsidRPr="007911EE">
              <w:rPr>
                <w:rFonts w:ascii="Verdana" w:hAnsi="Verdana"/>
                <w:sz w:val="16"/>
                <w:szCs w:val="16"/>
              </w:rPr>
              <w:t xml:space="preserve"> </w:t>
            </w:r>
          </w:p>
          <w:p w14:paraId="3F59F682" w14:textId="77777777" w:rsidR="0087031A" w:rsidRPr="007911EE" w:rsidRDefault="0087031A" w:rsidP="00580B7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7031A" w:rsidRPr="00593A5F" w14:paraId="517166CF" w14:textId="77777777" w:rsidTr="00580B7F">
        <w:trPr>
          <w:trHeight w:val="330"/>
        </w:trPr>
        <w:tc>
          <w:tcPr>
            <w:tcW w:w="893" w:type="dxa"/>
            <w:vAlign w:val="center"/>
            <w:hideMark/>
          </w:tcPr>
          <w:p w14:paraId="73873209"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978160" w14:textId="150B0533" w:rsidR="0087031A" w:rsidRPr="007911EE" w:rsidRDefault="004B10BA" w:rsidP="00580B7F">
            <w:pPr>
              <w:spacing w:line="276" w:lineRule="auto"/>
              <w:contextualSpacing/>
              <w:jc w:val="both"/>
              <w:rPr>
                <w:rFonts w:ascii="Verdana" w:hAnsi="Verdana"/>
                <w:sz w:val="16"/>
                <w:szCs w:val="16"/>
              </w:rPr>
            </w:pPr>
            <w:r>
              <w:rPr>
                <w:rFonts w:ascii="Verdana" w:hAnsi="Verdana"/>
                <w:sz w:val="16"/>
                <w:szCs w:val="16"/>
              </w:rPr>
              <w:t>Diana Lucia Saavedra</w:t>
            </w:r>
          </w:p>
          <w:p w14:paraId="634B0E53" w14:textId="3315AE29" w:rsidR="0087031A" w:rsidRPr="007911EE" w:rsidRDefault="007911EE" w:rsidP="00580B7F">
            <w:pPr>
              <w:pStyle w:val="paragraph"/>
              <w:spacing w:before="0" w:beforeAutospacing="0" w:after="0" w:afterAutospacing="0"/>
              <w:contextualSpacing/>
              <w:textAlignment w:val="baseline"/>
              <w:rPr>
                <w:rFonts w:ascii="Verdana" w:hAnsi="Verdana" w:cstheme="minorHAnsi"/>
                <w:sz w:val="16"/>
                <w:szCs w:val="16"/>
              </w:rPr>
            </w:pPr>
            <w:r w:rsidRPr="00CD7324">
              <w:rPr>
                <w:rStyle w:val="normaltextrun"/>
                <w:rFonts w:ascii="Verdana" w:eastAsia="Arial" w:hAnsi="Verdana"/>
                <w:sz w:val="16"/>
                <w:szCs w:val="16"/>
              </w:rPr>
              <w:t xml:space="preserve"> </w:t>
            </w:r>
            <w:r w:rsidR="004B10BA">
              <w:rPr>
                <w:rStyle w:val="normaltextrun"/>
                <w:rFonts w:ascii="Verdana" w:eastAsia="Arial" w:hAnsi="Verdana"/>
                <w:sz w:val="16"/>
                <w:szCs w:val="16"/>
              </w:rPr>
              <w:t xml:space="preserve">Contratita </w:t>
            </w:r>
            <w:r w:rsidRPr="00CD7324">
              <w:rPr>
                <w:rStyle w:val="normaltextrun"/>
                <w:rFonts w:ascii="Verdana" w:eastAsia="Arial" w:hAnsi="Verdana"/>
                <w:sz w:val="16"/>
                <w:szCs w:val="16"/>
              </w:rPr>
              <w:t>de la</w:t>
            </w:r>
            <w:r w:rsidR="0087031A" w:rsidRPr="007911EE">
              <w:rPr>
                <w:rStyle w:val="normaltextrun"/>
                <w:rFonts w:ascii="Verdana" w:eastAsia="Arial" w:hAnsi="Verdana" w:cs="Arial"/>
                <w:sz w:val="16"/>
                <w:szCs w:val="16"/>
              </w:rPr>
              <w:t xml:space="preserve"> Subdirección de Gestión Contractual</w:t>
            </w:r>
          </w:p>
        </w:tc>
      </w:tr>
      <w:tr w:rsidR="0087031A" w:rsidRPr="00593A5F" w14:paraId="656F6DA4" w14:textId="77777777" w:rsidTr="00580B7F">
        <w:trPr>
          <w:trHeight w:val="300"/>
        </w:trPr>
        <w:tc>
          <w:tcPr>
            <w:tcW w:w="893" w:type="dxa"/>
            <w:vAlign w:val="center"/>
          </w:tcPr>
          <w:p w14:paraId="0681F92E" w14:textId="702E720E" w:rsidR="0087031A" w:rsidRPr="003751C7" w:rsidRDefault="000A0905" w:rsidP="00580B7F">
            <w:pPr>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B3BD02" w14:textId="1E928EAB" w:rsidR="007B6FE0" w:rsidRPr="0004784B" w:rsidRDefault="007B6FE0" w:rsidP="007B6FE0">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 Rico</w:t>
            </w:r>
            <w:r w:rsidRPr="0004784B">
              <w:rPr>
                <w:rFonts w:ascii="Verdana" w:eastAsia="Calibri" w:hAnsi="Verdana" w:cs="Arial"/>
                <w:sz w:val="16"/>
                <w:szCs w:val="16"/>
                <w:lang w:val="pt-BR" w:eastAsia="es-ES"/>
              </w:rPr>
              <w:t>.</w:t>
            </w:r>
          </w:p>
          <w:p w14:paraId="32DD0E04" w14:textId="0984831B" w:rsidR="0087031A" w:rsidRPr="007911EE" w:rsidRDefault="007B6FE0" w:rsidP="007B6FE0">
            <w:pPr>
              <w:contextualSpacing/>
              <w:rPr>
                <w:rFonts w:ascii="Verdana" w:eastAsia="Calibri" w:hAnsi="Verdana" w:cs="Arial"/>
                <w:sz w:val="16"/>
                <w:szCs w:val="16"/>
                <w:lang w:val="pt-BR" w:eastAsia="es-ES"/>
              </w:rPr>
            </w:pPr>
            <w:r w:rsidRPr="0004784B">
              <w:rPr>
                <w:rFonts w:ascii="Verdana" w:eastAsia="Calibri" w:hAnsi="Verdana" w:cs="Arial"/>
                <w:sz w:val="16"/>
                <w:szCs w:val="16"/>
                <w:lang w:eastAsia="es-ES"/>
              </w:rPr>
              <w:t>Subdirectora</w:t>
            </w:r>
            <w:r w:rsidRPr="0004784B">
              <w:rPr>
                <w:rFonts w:ascii="Verdana" w:eastAsia="Calibri" w:hAnsi="Verdana" w:cs="Arial"/>
                <w:sz w:val="16"/>
                <w:szCs w:val="16"/>
                <w:lang w:val="pt-BR" w:eastAsia="es-ES"/>
              </w:rPr>
              <w:t xml:space="preserve"> de </w:t>
            </w:r>
            <w:proofErr w:type="spellStart"/>
            <w:r w:rsidRPr="0004784B">
              <w:rPr>
                <w:rFonts w:ascii="Verdana" w:eastAsia="Calibri" w:hAnsi="Verdana" w:cs="Arial"/>
                <w:sz w:val="16"/>
                <w:szCs w:val="16"/>
                <w:lang w:val="pt-BR" w:eastAsia="es-ES"/>
              </w:rPr>
              <w:t>Gestión</w:t>
            </w:r>
            <w:proofErr w:type="spellEnd"/>
            <w:r w:rsidRPr="0004784B">
              <w:rPr>
                <w:rFonts w:ascii="Verdana" w:eastAsia="Calibri" w:hAnsi="Verdana" w:cs="Arial"/>
                <w:sz w:val="16"/>
                <w:szCs w:val="16"/>
                <w:lang w:val="pt-BR" w:eastAsia="es-ES"/>
              </w:rPr>
              <w:t xml:space="preserve"> Contratual </w:t>
            </w:r>
          </w:p>
        </w:tc>
      </w:tr>
      <w:bookmarkEnd w:id="1"/>
      <w:bookmarkEnd w:id="2"/>
      <w:bookmarkEnd w:id="3"/>
    </w:tbl>
    <w:p w14:paraId="7ECE23A3" w14:textId="77777777" w:rsidR="0087031A" w:rsidRPr="0044528D" w:rsidRDefault="0087031A" w:rsidP="0087031A">
      <w:pPr>
        <w:spacing w:after="0"/>
        <w:rPr>
          <w:rFonts w:ascii="Verdana" w:hAnsi="Verdana"/>
        </w:rPr>
      </w:pPr>
    </w:p>
    <w:p w14:paraId="453A161B" w14:textId="77777777" w:rsidR="0087031A" w:rsidRPr="00EA6F8B" w:rsidRDefault="0087031A" w:rsidP="0087031A"/>
    <w:p w14:paraId="56912649" w14:textId="77777777" w:rsidR="00DE435A" w:rsidRPr="00DE435A" w:rsidRDefault="00DE435A" w:rsidP="00DE435A">
      <w:pPr>
        <w:rPr>
          <w:lang w:val="es-ES"/>
        </w:rPr>
      </w:pPr>
    </w:p>
    <w:sectPr w:rsidR="00DE435A" w:rsidRPr="00DE435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52BB0" w14:textId="77777777" w:rsidR="00D1783D" w:rsidRDefault="00D1783D" w:rsidP="004A1847">
      <w:pPr>
        <w:spacing w:after="0" w:line="240" w:lineRule="auto"/>
      </w:pPr>
      <w:r>
        <w:separator/>
      </w:r>
    </w:p>
  </w:endnote>
  <w:endnote w:type="continuationSeparator" w:id="0">
    <w:p w14:paraId="0FA0E0E2" w14:textId="77777777" w:rsidR="00D1783D" w:rsidRDefault="00D1783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0B251" w14:textId="77777777" w:rsidR="00D1783D" w:rsidRDefault="00D1783D" w:rsidP="004A1847">
      <w:pPr>
        <w:spacing w:after="0" w:line="240" w:lineRule="auto"/>
      </w:pPr>
      <w:r>
        <w:separator/>
      </w:r>
    </w:p>
  </w:footnote>
  <w:footnote w:type="continuationSeparator" w:id="0">
    <w:p w14:paraId="1762775A" w14:textId="77777777" w:rsidR="00D1783D" w:rsidRDefault="00D1783D" w:rsidP="004A1847">
      <w:pPr>
        <w:spacing w:after="0" w:line="240" w:lineRule="auto"/>
      </w:pPr>
      <w:r>
        <w:continuationSeparator/>
      </w:r>
    </w:p>
  </w:footnote>
  <w:footnote w:id="1">
    <w:p w14:paraId="44F64D2F"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37FBE302"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w:t>
      </w:r>
    </w:p>
    <w:p w14:paraId="5540A2E2"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2BB5AC2B" w14:textId="77777777" w:rsidR="001532F7" w:rsidRPr="00E20ADE" w:rsidRDefault="001532F7" w:rsidP="001532F7">
      <w:pPr>
        <w:pStyle w:val="Textonotapie"/>
        <w:ind w:firstLine="708"/>
        <w:contextualSpacing/>
        <w:jc w:val="both"/>
        <w:rPr>
          <w:rFonts w:ascii="Verdana" w:hAnsi="Verdana" w:cs="Arial"/>
          <w:color w:val="000000" w:themeColor="text1"/>
          <w:sz w:val="16"/>
          <w:szCs w:val="16"/>
          <w:lang w:val="es-ES"/>
        </w:rPr>
      </w:pPr>
      <w:r w:rsidRPr="00E20ADE">
        <w:rPr>
          <w:rFonts w:ascii="Verdana" w:hAnsi="Verdana" w:cs="Arial"/>
          <w:color w:val="000000" w:themeColor="text1"/>
          <w:sz w:val="16"/>
          <w:szCs w:val="16"/>
        </w:rPr>
        <w:t>[...]”.</w:t>
      </w:r>
    </w:p>
  </w:footnote>
  <w:footnote w:id="2">
    <w:p w14:paraId="739AAEF5" w14:textId="77777777" w:rsidR="001532F7" w:rsidRPr="00E20ADE" w:rsidRDefault="001532F7" w:rsidP="001532F7">
      <w:pPr>
        <w:pStyle w:val="Textonotapie"/>
        <w:ind w:firstLine="708"/>
        <w:contextualSpacing/>
        <w:jc w:val="both"/>
        <w:rPr>
          <w:rFonts w:ascii="Verdana" w:hAnsi="Verdana" w:cs="Arial"/>
          <w:color w:val="000000" w:themeColor="text1"/>
          <w:sz w:val="16"/>
          <w:szCs w:val="16"/>
          <w:lang w:val="es-ES"/>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CORTE CONSTITUCIONAL. Sentencia C-128 de 2003. 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3">
    <w:p w14:paraId="1036D5D5" w14:textId="77777777" w:rsidR="001532F7" w:rsidRPr="00E20ADE" w:rsidRDefault="001532F7" w:rsidP="001532F7">
      <w:pPr>
        <w:pStyle w:val="Textonotapie"/>
        <w:ind w:firstLine="708"/>
        <w:contextualSpacing/>
        <w:jc w:val="both"/>
        <w:rPr>
          <w:rFonts w:ascii="Verdana" w:hAnsi="Verdana" w:cs="Arial"/>
          <w:color w:val="000000" w:themeColor="text1"/>
          <w:sz w:val="16"/>
          <w:szCs w:val="16"/>
          <w:lang w:val="es-ES"/>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CONSEJO DE ESTADO. Sección Tercera. Sentencia del 11 de noviembre de 2009. </w:t>
      </w:r>
      <w:proofErr w:type="spellStart"/>
      <w:r w:rsidRPr="00E20ADE">
        <w:rPr>
          <w:rFonts w:ascii="Verdana" w:hAnsi="Verdana" w:cs="Arial"/>
          <w:color w:val="000000" w:themeColor="text1"/>
          <w:sz w:val="16"/>
          <w:szCs w:val="16"/>
        </w:rPr>
        <w:t>Exp</w:t>
      </w:r>
      <w:proofErr w:type="spellEnd"/>
      <w:r w:rsidRPr="00E20ADE">
        <w:rPr>
          <w:rFonts w:ascii="Verdana" w:hAnsi="Verdana" w:cs="Arial"/>
          <w:color w:val="000000" w:themeColor="text1"/>
          <w:sz w:val="16"/>
          <w:szCs w:val="16"/>
        </w:rPr>
        <w:t xml:space="preserve">. 17.366. C.P. Mauricio Fajardo </w:t>
      </w:r>
      <w:proofErr w:type="spellStart"/>
      <w:r w:rsidRPr="00E20ADE">
        <w:rPr>
          <w:rFonts w:ascii="Verdana" w:hAnsi="Verdana" w:cs="Arial"/>
          <w:color w:val="000000" w:themeColor="text1"/>
          <w:sz w:val="16"/>
          <w:szCs w:val="16"/>
        </w:rPr>
        <w:t>Gomez</w:t>
      </w:r>
      <w:proofErr w:type="spellEnd"/>
      <w:r w:rsidRPr="00E20ADE">
        <w:rPr>
          <w:rFonts w:ascii="Verdana" w:hAnsi="Verdana" w:cs="Arial"/>
          <w:color w:val="000000" w:themeColor="text1"/>
          <w:sz w:val="16"/>
          <w:szCs w:val="16"/>
        </w:rPr>
        <w:t>.</w:t>
      </w:r>
    </w:p>
  </w:footnote>
  <w:footnote w:id="4">
    <w:p w14:paraId="22B6045A"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CONSEJO DE ESTADO. Sección Tercera. Sentencia del 24 de julio de 2013. </w:t>
      </w:r>
      <w:proofErr w:type="spellStart"/>
      <w:r w:rsidRPr="00E20ADE">
        <w:rPr>
          <w:rFonts w:ascii="Verdana" w:hAnsi="Verdana" w:cs="Arial"/>
          <w:color w:val="000000" w:themeColor="text1"/>
          <w:sz w:val="16"/>
          <w:szCs w:val="16"/>
        </w:rPr>
        <w:t>Exp</w:t>
      </w:r>
      <w:proofErr w:type="spellEnd"/>
      <w:r w:rsidRPr="00E20ADE">
        <w:rPr>
          <w:rFonts w:ascii="Verdana" w:hAnsi="Verdana" w:cs="Arial"/>
          <w:color w:val="000000" w:themeColor="text1"/>
          <w:sz w:val="16"/>
          <w:szCs w:val="16"/>
        </w:rPr>
        <w:t>.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5">
    <w:p w14:paraId="3BD1BE79"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DECRETO 1082 DE 2015: “Artículo 2.2.1.1.2.1.3. Pliegos de condiciones. Los pliegos de condiciones deben contener por lo menos la siguiente información:</w:t>
      </w:r>
    </w:p>
    <w:p w14:paraId="7884F042"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 La descripción técnica, detallada y completa del bien o servicio objeto del contrato, identificado con el cuarto nivel del Clasificador de Bienes y Servicios, de ser posible o de lo contrario con el tercer nivel del mismo.</w:t>
      </w:r>
    </w:p>
    <w:p w14:paraId="1F021F0C"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2. La modalidad del proceso de selección y su justificación.</w:t>
      </w:r>
    </w:p>
    <w:p w14:paraId="2F6DC7A2"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3. Los criterios de selección, incluyendo los factores de desempate y los incentivos cuando a ello haya lugar.</w:t>
      </w:r>
    </w:p>
    <w:p w14:paraId="21905524"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4. Las condiciones de costo y/o calidad que la Entidad Estatal debe tener en cuenta para la selección objetiva, de acuerdo con la modalidad de selección del contratista.</w:t>
      </w:r>
    </w:p>
    <w:p w14:paraId="391EFDE7"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5. Las reglas aplicables a la presentación de las ofertas, su evaluación y a la adjudicación del contrato.</w:t>
      </w:r>
    </w:p>
    <w:p w14:paraId="74FF46C1"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6. Las causas que dan lugar a rechazar una oferta.</w:t>
      </w:r>
    </w:p>
    <w:p w14:paraId="004A5107"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7. El valor del contrato, el plazo, el cronograma de pagos y la determinación de si debe haber lugar a la entrega de anticipo, y si hubiere, indicar su valor, el cual debe tener en cuenta los rendimientos que este pueda generar.</w:t>
      </w:r>
    </w:p>
    <w:p w14:paraId="3E133736"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8. Los Riesgos asociados al contrato, la forma de mitigarlos y la asignación del Riesgo entre las partes contratantes.</w:t>
      </w:r>
    </w:p>
    <w:p w14:paraId="0239D8E8"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9. Las garantías exigidas en el Proceso de Contratación y sus condiciones.</w:t>
      </w:r>
    </w:p>
    <w:p w14:paraId="0042E652"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10. La mención de si la Entidad Estatal y el contrato objeto de los pliegos de condiciones están cubiertos por un Acuerdo Comercial.</w:t>
      </w:r>
    </w:p>
    <w:p w14:paraId="218A8773"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11. Los términos, condiciones y minuta del contrato.</w:t>
      </w:r>
    </w:p>
    <w:p w14:paraId="5A7AFEF7"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12. Los términos de la supervisión y/o de la interventoría del contrato.</w:t>
      </w:r>
    </w:p>
    <w:p w14:paraId="3B944284"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13. El plazo dentro del cual la Entidad Estatal puede expedir Adendas.</w:t>
      </w:r>
    </w:p>
    <w:p w14:paraId="41C8944D" w14:textId="77777777" w:rsidR="001532F7" w:rsidRPr="00E20ADE" w:rsidRDefault="001532F7" w:rsidP="001532F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14. El Cronograma”.</w:t>
      </w:r>
    </w:p>
  </w:footnote>
  <w:footnote w:id="6">
    <w:p w14:paraId="46EE195A" w14:textId="77777777" w:rsidR="001532F7" w:rsidRPr="00E20ADE" w:rsidRDefault="001532F7" w:rsidP="001532F7">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GONZÁLEZ LÓPEZ, Edgar</w:t>
      </w:r>
      <w:r w:rsidRPr="00E20ADE">
        <w:rPr>
          <w:rFonts w:ascii="Verdana" w:hAnsi="Verdana" w:cs="Arial"/>
          <w:i/>
          <w:iCs/>
          <w:sz w:val="16"/>
          <w:szCs w:val="16"/>
        </w:rPr>
        <w:t xml:space="preserve">. </w:t>
      </w:r>
      <w:r w:rsidRPr="00E20ADE">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footnote>
  <w:footnote w:id="7">
    <w:p w14:paraId="374F6132" w14:textId="77777777" w:rsidR="001532F7" w:rsidRPr="00E20ADE" w:rsidRDefault="001532F7" w:rsidP="001532F7">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CONSEJO DE ESTADO, Sala de lo Contencioso Administrativo, Sección Tercera, sentencias del 1 de junio de 2022, radicado 60248; 29 de julio de 2015, radicado 40660; y, del 26 de abril de 2006, radicado 16041.</w:t>
      </w:r>
    </w:p>
  </w:footnote>
  <w:footnote w:id="8">
    <w:p w14:paraId="7B508A49" w14:textId="77777777" w:rsidR="001532F7" w:rsidRPr="00E20ADE" w:rsidRDefault="001532F7" w:rsidP="001532F7">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CONSEJO DE ESTADO, Sala de lo Contencioso Administrativo, Sección Tercera, sentencias del 1 de junio de 2022, radicado 60248 y del 2 de julio de 2021, radicado 51910.</w:t>
      </w:r>
    </w:p>
  </w:footnote>
  <w:footnote w:id="9">
    <w:p w14:paraId="1A9673EA" w14:textId="58AF9C83" w:rsidR="000A0905" w:rsidRPr="000A0905" w:rsidRDefault="000A0905">
      <w:pPr>
        <w:pStyle w:val="Textonotapie"/>
        <w:rPr>
          <w:lang w:val="es-CO"/>
        </w:rPr>
      </w:pPr>
      <w:r>
        <w:rPr>
          <w:rStyle w:val="Refdenotaalpie"/>
        </w:rPr>
        <w:footnoteRef/>
      </w:r>
      <w:r>
        <w:t xml:space="preserve"> </w:t>
      </w:r>
      <w:r>
        <w:t>DROMI, José Roberto. Licitación Pública. 2 ed. Buenos Aires: Editorial Ciudad Argentina, 1999, p. 335.</w:t>
      </w:r>
    </w:p>
  </w:footnote>
  <w:footnote w:id="10">
    <w:p w14:paraId="18D5C6CE" w14:textId="5B334F50" w:rsidR="000A0905" w:rsidRPr="000A0905" w:rsidRDefault="000A0905">
      <w:pPr>
        <w:pStyle w:val="Textonotapie"/>
        <w:rPr>
          <w:rFonts w:ascii="Verdana" w:hAnsi="Verdana"/>
          <w:sz w:val="16"/>
          <w:szCs w:val="16"/>
          <w:lang w:val="es-CO"/>
        </w:rPr>
      </w:pPr>
      <w:r>
        <w:rPr>
          <w:rStyle w:val="Refdenotaalpie"/>
        </w:rPr>
        <w:footnoteRef/>
      </w:r>
      <w:r>
        <w:t xml:space="preserve"> </w:t>
      </w:r>
      <w:r>
        <w:rPr>
          <w:lang w:val="es-CO"/>
        </w:rPr>
        <w:t xml:space="preserve"> </w:t>
      </w:r>
      <w:r w:rsidRPr="000A0905">
        <w:rPr>
          <w:rFonts w:ascii="Verdana" w:hAnsi="Verdana"/>
          <w:sz w:val="16"/>
          <w:szCs w:val="16"/>
        </w:rPr>
        <w:t>CORTE CONSTITUCIONAL. Sentencia C-452 de 1999. M.P. Eduardo Cifuentes Muñoz.</w:t>
      </w:r>
    </w:p>
  </w:footnote>
  <w:footnote w:id="11">
    <w:p w14:paraId="01EA7CF0" w14:textId="77777777" w:rsidR="000A0905" w:rsidRPr="000A0905" w:rsidRDefault="000A0905">
      <w:pPr>
        <w:pStyle w:val="Textonotapie"/>
        <w:rPr>
          <w:rFonts w:ascii="Verdana" w:hAnsi="Verdana"/>
          <w:sz w:val="16"/>
          <w:szCs w:val="16"/>
        </w:rPr>
      </w:pPr>
      <w:r w:rsidRPr="000A0905">
        <w:rPr>
          <w:rStyle w:val="Refdenotaalpie"/>
          <w:rFonts w:ascii="Verdana" w:hAnsi="Verdana"/>
          <w:sz w:val="16"/>
          <w:szCs w:val="16"/>
        </w:rPr>
        <w:footnoteRef/>
      </w:r>
      <w:r w:rsidRPr="000A0905">
        <w:rPr>
          <w:rFonts w:ascii="Verdana" w:hAnsi="Verdana"/>
          <w:sz w:val="16"/>
          <w:szCs w:val="16"/>
        </w:rPr>
        <w:t xml:space="preserve"> </w:t>
      </w:r>
      <w:r w:rsidRPr="000A0905">
        <w:rPr>
          <w:rFonts w:ascii="Verdana" w:hAnsi="Verdana"/>
          <w:sz w:val="16"/>
          <w:szCs w:val="16"/>
        </w:rPr>
        <w:t>“Artículo 2.2.1.2.3.1.6. Garantía de los Riesgos derivados del incumplimiento de la oferta. La garantía de seriedad de la oferta debe cubrir la sanción derivada del incumplimiento de la oferta, en los siguientes eventos:</w:t>
      </w:r>
    </w:p>
    <w:p w14:paraId="5A43EC13" w14:textId="77777777" w:rsidR="000A0905" w:rsidRPr="000A0905" w:rsidRDefault="000A0905">
      <w:pPr>
        <w:pStyle w:val="Textonotapie"/>
        <w:rPr>
          <w:rFonts w:ascii="Verdana" w:hAnsi="Verdana"/>
          <w:sz w:val="16"/>
          <w:szCs w:val="16"/>
        </w:rPr>
      </w:pPr>
      <w:r w:rsidRPr="000A0905">
        <w:rPr>
          <w:rFonts w:ascii="Verdana" w:hAnsi="Verdana"/>
          <w:sz w:val="16"/>
          <w:szCs w:val="16"/>
        </w:rPr>
        <w:t xml:space="preserve"> 1. La no ampliación de la vigencia de la garantía de seriedad de la oferta cuando el plazo para la adjudicación o para suscribir el contrato es prorrogado, siempre que tal prórroga sea inferior a tres (3) meses.</w:t>
      </w:r>
    </w:p>
    <w:p w14:paraId="5E04333E" w14:textId="77E57BF8" w:rsidR="000A0905" w:rsidRPr="000A0905" w:rsidRDefault="000A0905">
      <w:pPr>
        <w:pStyle w:val="Textonotapie"/>
        <w:rPr>
          <w:rFonts w:ascii="Verdana" w:hAnsi="Verdana"/>
          <w:sz w:val="16"/>
          <w:szCs w:val="16"/>
        </w:rPr>
      </w:pPr>
      <w:r w:rsidRPr="000A0905">
        <w:rPr>
          <w:rFonts w:ascii="Verdana" w:hAnsi="Verdana"/>
          <w:sz w:val="16"/>
          <w:szCs w:val="16"/>
        </w:rPr>
        <w:t xml:space="preserve">2. El retiro de la oferta después de vencido el plazo fijado para la presentación de las ofertas. </w:t>
      </w:r>
    </w:p>
    <w:p w14:paraId="38282A24" w14:textId="77777777" w:rsidR="000A0905" w:rsidRPr="000A0905" w:rsidRDefault="000A0905">
      <w:pPr>
        <w:pStyle w:val="Textonotapie"/>
        <w:rPr>
          <w:rFonts w:ascii="Verdana" w:hAnsi="Verdana"/>
          <w:sz w:val="16"/>
          <w:szCs w:val="16"/>
        </w:rPr>
      </w:pPr>
      <w:r w:rsidRPr="000A0905">
        <w:rPr>
          <w:rFonts w:ascii="Verdana" w:hAnsi="Verdana"/>
          <w:sz w:val="16"/>
          <w:szCs w:val="16"/>
        </w:rPr>
        <w:t xml:space="preserve">3. La no suscripción del contrato sin justa causa por parte del adjudicatario. </w:t>
      </w:r>
    </w:p>
    <w:p w14:paraId="70E5B371" w14:textId="77777777" w:rsidR="000A0905" w:rsidRPr="000A0905" w:rsidRDefault="000A0905">
      <w:pPr>
        <w:pStyle w:val="Textonotapie"/>
        <w:rPr>
          <w:rFonts w:ascii="Verdana" w:hAnsi="Verdana"/>
          <w:sz w:val="16"/>
          <w:szCs w:val="16"/>
        </w:rPr>
      </w:pPr>
      <w:r w:rsidRPr="000A0905">
        <w:rPr>
          <w:rFonts w:ascii="Verdana" w:hAnsi="Verdana"/>
          <w:sz w:val="16"/>
          <w:szCs w:val="16"/>
        </w:rPr>
        <w:t xml:space="preserve">4. La falta de otorgamiento por parte del proponente seleccionado de la garantía de cumplimiento del contrato”. </w:t>
      </w:r>
    </w:p>
    <w:p w14:paraId="586FBF60" w14:textId="520DA7A8" w:rsidR="000A0905" w:rsidRPr="000A0905" w:rsidRDefault="000A0905">
      <w:pPr>
        <w:pStyle w:val="Textonotapie"/>
        <w:rPr>
          <w:rFonts w:ascii="Verdana" w:hAnsi="Verdana"/>
          <w:sz w:val="16"/>
          <w:szCs w:val="16"/>
        </w:rPr>
      </w:pPr>
      <w:r w:rsidRPr="000A0905">
        <w:rPr>
          <w:rFonts w:ascii="Verdana" w:hAnsi="Verdana"/>
          <w:sz w:val="16"/>
          <w:szCs w:val="16"/>
        </w:rPr>
        <w:t>[…]</w:t>
      </w:r>
    </w:p>
    <w:p w14:paraId="4AD9DDB8" w14:textId="77777777" w:rsidR="000A0905" w:rsidRPr="000A0905" w:rsidRDefault="000A0905">
      <w:pPr>
        <w:pStyle w:val="Textonotapie"/>
        <w:rPr>
          <w:rFonts w:ascii="Verdana" w:hAnsi="Verdana"/>
          <w:sz w:val="16"/>
          <w:szCs w:val="16"/>
        </w:rPr>
      </w:pPr>
      <w:r w:rsidRPr="000A0905">
        <w:rPr>
          <w:rFonts w:ascii="Verdana" w:hAnsi="Verdana"/>
          <w:sz w:val="16"/>
          <w:szCs w:val="16"/>
        </w:rPr>
        <w:t xml:space="preserve"> “Artículo 2.2.1.2.3.1.9. Suficiencia de la garantía de seriedad de la oferta. La garantía de seriedad de la oferta debe estar vigente desde la presentación de la oferta y hasta la aprobación de la garantía de cumplimiento del contrato y su valor debe ser de por lo menos el diez por ciento (10%) del valor de la oferta. El valor de la garantía de seriedad de la oferta que presenten los proponentes en el Proceso de Contratación de un Acuerdo Marco de Precio debe ser de mil (1.000) SMMLV. El valor de la garantía de seriedad de la oferta que presenten los proponentes en la subasta inversa y en el concurso de méritos debe ser equivalente al diez por ciento (10%) del presupuesto oficial estimado del Proceso de Contratación. Cuando el valor de la oferta o el presupuesto estimado de la contratación sea superior a un millón (1.000.000) de SMMLV se aplicarán las siguientes reglas:</w:t>
      </w:r>
    </w:p>
    <w:p w14:paraId="79BC84BE" w14:textId="77777777" w:rsidR="000A0905" w:rsidRPr="000A0905" w:rsidRDefault="000A0905">
      <w:pPr>
        <w:pStyle w:val="Textonotapie"/>
        <w:rPr>
          <w:rFonts w:ascii="Verdana" w:hAnsi="Verdana"/>
          <w:sz w:val="16"/>
          <w:szCs w:val="16"/>
        </w:rPr>
      </w:pPr>
      <w:r w:rsidRPr="000A0905">
        <w:rPr>
          <w:rFonts w:ascii="Verdana" w:hAnsi="Verdana"/>
          <w:sz w:val="16"/>
          <w:szCs w:val="16"/>
        </w:rPr>
        <w:t xml:space="preserve"> 1. Si el valor de la oferta es superior a un millón (1.000.000) de SMMLV y hasta cinco millones (5.000.000) de SMMLV, la Entidad Estatal puede aceptar garantías que cubran al menos el dos punto cinco por ciento (2,5%) del valor de la oferta. </w:t>
      </w:r>
    </w:p>
    <w:p w14:paraId="5E2FABDA" w14:textId="77777777" w:rsidR="000A0905" w:rsidRPr="000A0905" w:rsidRDefault="000A0905">
      <w:pPr>
        <w:pStyle w:val="Textonotapie"/>
        <w:rPr>
          <w:rFonts w:ascii="Verdana" w:hAnsi="Verdana"/>
          <w:sz w:val="16"/>
          <w:szCs w:val="16"/>
        </w:rPr>
      </w:pPr>
      <w:r w:rsidRPr="000A0905">
        <w:rPr>
          <w:rFonts w:ascii="Verdana" w:hAnsi="Verdana"/>
          <w:sz w:val="16"/>
          <w:szCs w:val="16"/>
        </w:rPr>
        <w:t>2. Si el valor de la oferta es superior a cinco millones (5.000.000) de SMMLV y hasta diez millones (10.000.000) de SMMLV, la Entidad Estatal puede aceptar garantías que cubran al menos el uno por ciento (1%) del valor de la oferta.</w:t>
      </w:r>
      <w:r w:rsidRPr="000A0905">
        <w:rPr>
          <w:rFonts w:ascii="Verdana" w:hAnsi="Verdana"/>
          <w:sz w:val="16"/>
          <w:szCs w:val="16"/>
        </w:rPr>
        <w:t xml:space="preserve"> </w:t>
      </w:r>
    </w:p>
    <w:p w14:paraId="2992A1F8" w14:textId="503D63EF" w:rsidR="000A0905" w:rsidRPr="000A0905" w:rsidRDefault="000A0905">
      <w:pPr>
        <w:pStyle w:val="Textonotapie"/>
        <w:rPr>
          <w:lang w:val="es-CO"/>
        </w:rPr>
      </w:pPr>
      <w:r w:rsidRPr="000A0905">
        <w:rPr>
          <w:rFonts w:ascii="Verdana" w:hAnsi="Verdana"/>
          <w:sz w:val="16"/>
          <w:szCs w:val="16"/>
        </w:rPr>
        <w:t>3. Si el valor de la oferta es superior a diez millones (10.000.000) de SMMLV, la Entidad Estatal puede aceptar garantías que cubran al menos el cero punto cinco por ciento (0,5%) del valor de la oferta ”.</w:t>
      </w:r>
    </w:p>
  </w:footnote>
  <w:footnote w:id="12">
    <w:p w14:paraId="613B2CCA" w14:textId="29F8B36A" w:rsidR="000A0905" w:rsidRPr="000A0905" w:rsidRDefault="000A0905">
      <w:pPr>
        <w:pStyle w:val="Textonotapie"/>
        <w:rPr>
          <w:lang w:val="es-CO"/>
        </w:rPr>
      </w:pPr>
      <w:r>
        <w:rPr>
          <w:rStyle w:val="Refdenotaalpie"/>
        </w:rPr>
        <w:footnoteRef/>
      </w:r>
      <w:r>
        <w:t xml:space="preserve"> </w:t>
      </w:r>
      <w:r w:rsidRPr="000A0905">
        <w:rPr>
          <w:rFonts w:ascii="Verdana" w:hAnsi="Verdana"/>
          <w:sz w:val="16"/>
          <w:szCs w:val="16"/>
        </w:rPr>
        <w:t>Al respecto esta Agencia ha expedido los conceptos C-675 de 25 de noviembre de 2020 –Radicado de entrada No. 4202013000009300. Radicado de salida No. 2202013000011706– y C-683 del 25 de noviembre de 2020–Radicado de entrada No. 4202012000009307. Radicado de salida No. 2202013000011701–.</w:t>
      </w:r>
    </w:p>
  </w:footnote>
  <w:footnote w:id="13">
    <w:p w14:paraId="2DDF0995" w14:textId="12AEF214" w:rsidR="000A0905" w:rsidRPr="000A0905" w:rsidRDefault="000A0905">
      <w:pPr>
        <w:pStyle w:val="Textonotapie"/>
        <w:rPr>
          <w:lang w:val="es-CO"/>
        </w:rPr>
      </w:pPr>
      <w:r>
        <w:rPr>
          <w:rStyle w:val="Refdenotaalpie"/>
        </w:rPr>
        <w:footnoteRef/>
      </w:r>
      <w:r>
        <w:t xml:space="preserve"> </w:t>
      </w:r>
      <w:r w:rsidRPr="000A0905">
        <w:rPr>
          <w:rFonts w:ascii="Verdana" w:hAnsi="Verdana"/>
          <w:sz w:val="16"/>
          <w:szCs w:val="16"/>
        </w:rPr>
        <w:t>Artículo 1068. Mora en el pago de la prima: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Lo dispuesto en el inciso anterior deberá consignarse por parte del asegurador en la carátula de la póliza, en caracteres destacados. Lo dispuesto en este artículo no podrá ser modificado por las partes”.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6543F162" w14:textId="77777777" w:rsidR="002B5862" w:rsidRDefault="002B5862">
    <w:pPr>
      <w:pStyle w:val="Encabezado"/>
    </w:pPr>
  </w:p>
  <w:p w14:paraId="4711D484" w14:textId="77777777" w:rsidR="002B5862" w:rsidRDefault="002B5862">
    <w:pPr>
      <w:pStyle w:val="Encabezado"/>
    </w:pPr>
  </w:p>
  <w:p w14:paraId="3D79C711" w14:textId="77777777" w:rsidR="002B5862" w:rsidRDefault="002B58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A04491"/>
    <w:multiLevelType w:val="hybridMultilevel"/>
    <w:tmpl w:val="BD30826C"/>
    <w:lvl w:ilvl="0" w:tplc="535203BC">
      <w:start w:val="1"/>
      <w:numFmt w:val="lowerRoman"/>
      <w:lvlText w:val="%1)"/>
      <w:lvlJc w:val="left"/>
      <w:pPr>
        <w:ind w:left="1080" w:hanging="720"/>
      </w:pPr>
      <w:rPr>
        <w:rFonts w:asciiTheme="minorHAnsi" w:eastAsiaTheme="minorHAnsi" w:hAnsi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B0C0850"/>
    <w:multiLevelType w:val="hybridMultilevel"/>
    <w:tmpl w:val="6B8AFD14"/>
    <w:lvl w:ilvl="0" w:tplc="8F867956">
      <w:start w:val="1"/>
      <w:numFmt w:val="lowerRoman"/>
      <w:lvlText w:val="%1)"/>
      <w:lvlJc w:val="left"/>
      <w:pPr>
        <w:ind w:left="751" w:hanging="720"/>
      </w:pPr>
      <w:rPr>
        <w:rFonts w:eastAsia="Calibri" w:hint="default"/>
        <w:i w:val="0"/>
      </w:rPr>
    </w:lvl>
    <w:lvl w:ilvl="1" w:tplc="240A0019" w:tentative="1">
      <w:start w:val="1"/>
      <w:numFmt w:val="lowerLetter"/>
      <w:lvlText w:val="%2."/>
      <w:lvlJc w:val="left"/>
      <w:pPr>
        <w:ind w:left="1111" w:hanging="360"/>
      </w:pPr>
    </w:lvl>
    <w:lvl w:ilvl="2" w:tplc="240A001B" w:tentative="1">
      <w:start w:val="1"/>
      <w:numFmt w:val="lowerRoman"/>
      <w:lvlText w:val="%3."/>
      <w:lvlJc w:val="right"/>
      <w:pPr>
        <w:ind w:left="1831" w:hanging="180"/>
      </w:pPr>
    </w:lvl>
    <w:lvl w:ilvl="3" w:tplc="240A000F" w:tentative="1">
      <w:start w:val="1"/>
      <w:numFmt w:val="decimal"/>
      <w:lvlText w:val="%4."/>
      <w:lvlJc w:val="left"/>
      <w:pPr>
        <w:ind w:left="2551" w:hanging="360"/>
      </w:pPr>
    </w:lvl>
    <w:lvl w:ilvl="4" w:tplc="240A0019" w:tentative="1">
      <w:start w:val="1"/>
      <w:numFmt w:val="lowerLetter"/>
      <w:lvlText w:val="%5."/>
      <w:lvlJc w:val="left"/>
      <w:pPr>
        <w:ind w:left="3271" w:hanging="360"/>
      </w:pPr>
    </w:lvl>
    <w:lvl w:ilvl="5" w:tplc="240A001B" w:tentative="1">
      <w:start w:val="1"/>
      <w:numFmt w:val="lowerRoman"/>
      <w:lvlText w:val="%6."/>
      <w:lvlJc w:val="right"/>
      <w:pPr>
        <w:ind w:left="3991" w:hanging="180"/>
      </w:pPr>
    </w:lvl>
    <w:lvl w:ilvl="6" w:tplc="240A000F" w:tentative="1">
      <w:start w:val="1"/>
      <w:numFmt w:val="decimal"/>
      <w:lvlText w:val="%7."/>
      <w:lvlJc w:val="left"/>
      <w:pPr>
        <w:ind w:left="4711" w:hanging="360"/>
      </w:pPr>
    </w:lvl>
    <w:lvl w:ilvl="7" w:tplc="240A0019" w:tentative="1">
      <w:start w:val="1"/>
      <w:numFmt w:val="lowerLetter"/>
      <w:lvlText w:val="%8."/>
      <w:lvlJc w:val="left"/>
      <w:pPr>
        <w:ind w:left="5431" w:hanging="360"/>
      </w:pPr>
    </w:lvl>
    <w:lvl w:ilvl="8" w:tplc="240A001B" w:tentative="1">
      <w:start w:val="1"/>
      <w:numFmt w:val="lowerRoman"/>
      <w:lvlText w:val="%9."/>
      <w:lvlJc w:val="right"/>
      <w:pPr>
        <w:ind w:left="6151" w:hanging="180"/>
      </w:pPr>
    </w:lvl>
  </w:abstractNum>
  <w:abstractNum w:abstractNumId="12"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D9D403C"/>
    <w:multiLevelType w:val="hybridMultilevel"/>
    <w:tmpl w:val="1396CC98"/>
    <w:lvl w:ilvl="0" w:tplc="1CCAC0FC">
      <w:start w:val="1"/>
      <w:numFmt w:val="lowerRoman"/>
      <w:lvlText w:val="%1)"/>
      <w:lvlJc w:val="left"/>
      <w:pPr>
        <w:ind w:left="1080" w:hanging="720"/>
      </w:pPr>
      <w:rPr>
        <w:rFonts w:eastAsia="Calibri"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3894281"/>
    <w:multiLevelType w:val="hybridMultilevel"/>
    <w:tmpl w:val="70B2FFFC"/>
    <w:lvl w:ilvl="0" w:tplc="8902A70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8"/>
  </w:num>
  <w:num w:numId="7">
    <w:abstractNumId w:val="6"/>
  </w:num>
  <w:num w:numId="8">
    <w:abstractNumId w:val="17"/>
  </w:num>
  <w:num w:numId="9">
    <w:abstractNumId w:val="8"/>
  </w:num>
  <w:num w:numId="10">
    <w:abstractNumId w:val="16"/>
  </w:num>
  <w:num w:numId="11">
    <w:abstractNumId w:val="9"/>
  </w:num>
  <w:num w:numId="12">
    <w:abstractNumId w:val="1"/>
  </w:num>
  <w:num w:numId="13">
    <w:abstractNumId w:val="4"/>
  </w:num>
  <w:num w:numId="14">
    <w:abstractNumId w:val="19"/>
  </w:num>
  <w:num w:numId="15">
    <w:abstractNumId w:val="14"/>
  </w:num>
  <w:num w:numId="16">
    <w:abstractNumId w:val="0"/>
  </w:num>
  <w:num w:numId="17">
    <w:abstractNumId w:val="20"/>
  </w:num>
  <w:num w:numId="18">
    <w:abstractNumId w:val="10"/>
  </w:num>
  <w:num w:numId="19">
    <w:abstractNumId w:val="12"/>
  </w:num>
  <w:num w:numId="20">
    <w:abstractNumId w:val="13"/>
  </w:num>
  <w:num w:numId="21">
    <w:abstractNumId w:val="11"/>
  </w:num>
  <w:num w:numId="22">
    <w:abstractNumId w:val="3"/>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44E"/>
    <w:rsid w:val="00082362"/>
    <w:rsid w:val="000A0905"/>
    <w:rsid w:val="000A683E"/>
    <w:rsid w:val="000B19B9"/>
    <w:rsid w:val="000B1BCF"/>
    <w:rsid w:val="000C689A"/>
    <w:rsid w:val="000D0334"/>
    <w:rsid w:val="000F6486"/>
    <w:rsid w:val="00121EC5"/>
    <w:rsid w:val="00125105"/>
    <w:rsid w:val="00127233"/>
    <w:rsid w:val="001511A0"/>
    <w:rsid w:val="001532F7"/>
    <w:rsid w:val="001B0A93"/>
    <w:rsid w:val="001E4177"/>
    <w:rsid w:val="001F7DC6"/>
    <w:rsid w:val="00237609"/>
    <w:rsid w:val="002421BB"/>
    <w:rsid w:val="0025796E"/>
    <w:rsid w:val="002707A2"/>
    <w:rsid w:val="002951A0"/>
    <w:rsid w:val="002962BC"/>
    <w:rsid w:val="002965E2"/>
    <w:rsid w:val="002A093D"/>
    <w:rsid w:val="002A0DD0"/>
    <w:rsid w:val="002A49AC"/>
    <w:rsid w:val="002A64FD"/>
    <w:rsid w:val="002B5862"/>
    <w:rsid w:val="002C5070"/>
    <w:rsid w:val="002C7A84"/>
    <w:rsid w:val="002D2F47"/>
    <w:rsid w:val="002E4FD9"/>
    <w:rsid w:val="002E7478"/>
    <w:rsid w:val="00322A85"/>
    <w:rsid w:val="00324168"/>
    <w:rsid w:val="0033493C"/>
    <w:rsid w:val="003448F4"/>
    <w:rsid w:val="00374F5E"/>
    <w:rsid w:val="00377E3E"/>
    <w:rsid w:val="0039023C"/>
    <w:rsid w:val="003A779E"/>
    <w:rsid w:val="003D04AF"/>
    <w:rsid w:val="003D0F4D"/>
    <w:rsid w:val="003D5B0D"/>
    <w:rsid w:val="003E0499"/>
    <w:rsid w:val="003F3941"/>
    <w:rsid w:val="00406575"/>
    <w:rsid w:val="00414C74"/>
    <w:rsid w:val="00416D78"/>
    <w:rsid w:val="0042722E"/>
    <w:rsid w:val="0044528D"/>
    <w:rsid w:val="004514F9"/>
    <w:rsid w:val="00471CAF"/>
    <w:rsid w:val="004A1847"/>
    <w:rsid w:val="004A305D"/>
    <w:rsid w:val="004B10BA"/>
    <w:rsid w:val="004F21C4"/>
    <w:rsid w:val="004F685F"/>
    <w:rsid w:val="00534063"/>
    <w:rsid w:val="005566E8"/>
    <w:rsid w:val="00567A42"/>
    <w:rsid w:val="00574867"/>
    <w:rsid w:val="00591460"/>
    <w:rsid w:val="005B3816"/>
    <w:rsid w:val="005C3777"/>
    <w:rsid w:val="005C5CDC"/>
    <w:rsid w:val="005D476C"/>
    <w:rsid w:val="006219F8"/>
    <w:rsid w:val="00665D70"/>
    <w:rsid w:val="00682580"/>
    <w:rsid w:val="006900D9"/>
    <w:rsid w:val="00706C16"/>
    <w:rsid w:val="0073695B"/>
    <w:rsid w:val="00756841"/>
    <w:rsid w:val="007649AB"/>
    <w:rsid w:val="00771D0C"/>
    <w:rsid w:val="007833AC"/>
    <w:rsid w:val="007911EE"/>
    <w:rsid w:val="007B268C"/>
    <w:rsid w:val="007B6FE0"/>
    <w:rsid w:val="007B7171"/>
    <w:rsid w:val="007C0C0F"/>
    <w:rsid w:val="007C3DC2"/>
    <w:rsid w:val="007D5A7C"/>
    <w:rsid w:val="007E5497"/>
    <w:rsid w:val="00806F5F"/>
    <w:rsid w:val="00811A9B"/>
    <w:rsid w:val="00820278"/>
    <w:rsid w:val="00867F95"/>
    <w:rsid w:val="0087031A"/>
    <w:rsid w:val="0087082B"/>
    <w:rsid w:val="00880A26"/>
    <w:rsid w:val="008843B6"/>
    <w:rsid w:val="00891928"/>
    <w:rsid w:val="0089254E"/>
    <w:rsid w:val="008A1F0D"/>
    <w:rsid w:val="008A446D"/>
    <w:rsid w:val="008D180B"/>
    <w:rsid w:val="008F0EA7"/>
    <w:rsid w:val="00916E20"/>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B0ADB"/>
    <w:rsid w:val="00AE025B"/>
    <w:rsid w:val="00B01B1A"/>
    <w:rsid w:val="00B66319"/>
    <w:rsid w:val="00B72CD3"/>
    <w:rsid w:val="00B72FFF"/>
    <w:rsid w:val="00BC3D36"/>
    <w:rsid w:val="00BD7F72"/>
    <w:rsid w:val="00C04FB3"/>
    <w:rsid w:val="00C330EB"/>
    <w:rsid w:val="00C36BD0"/>
    <w:rsid w:val="00C41061"/>
    <w:rsid w:val="00C754BE"/>
    <w:rsid w:val="00C76B1C"/>
    <w:rsid w:val="00CB6357"/>
    <w:rsid w:val="00CC1B26"/>
    <w:rsid w:val="00CD7324"/>
    <w:rsid w:val="00CF72C1"/>
    <w:rsid w:val="00D1783D"/>
    <w:rsid w:val="00D423A2"/>
    <w:rsid w:val="00D520D8"/>
    <w:rsid w:val="00D63AC2"/>
    <w:rsid w:val="00D7383B"/>
    <w:rsid w:val="00DA08E3"/>
    <w:rsid w:val="00DA231B"/>
    <w:rsid w:val="00DA65A2"/>
    <w:rsid w:val="00DC39FC"/>
    <w:rsid w:val="00DE435A"/>
    <w:rsid w:val="00DF5254"/>
    <w:rsid w:val="00E074A3"/>
    <w:rsid w:val="00E16408"/>
    <w:rsid w:val="00E20894"/>
    <w:rsid w:val="00E20ADE"/>
    <w:rsid w:val="00E245AB"/>
    <w:rsid w:val="00E2764C"/>
    <w:rsid w:val="00E27F2E"/>
    <w:rsid w:val="00E460EC"/>
    <w:rsid w:val="00E50AFE"/>
    <w:rsid w:val="00E75C92"/>
    <w:rsid w:val="00E771DC"/>
    <w:rsid w:val="00E77453"/>
    <w:rsid w:val="00E8772A"/>
    <w:rsid w:val="00E90F6B"/>
    <w:rsid w:val="00E92C27"/>
    <w:rsid w:val="00EA0E3D"/>
    <w:rsid w:val="00EA69B1"/>
    <w:rsid w:val="00EC38A7"/>
    <w:rsid w:val="00ED7384"/>
    <w:rsid w:val="00EE1AA8"/>
    <w:rsid w:val="00F31EDC"/>
    <w:rsid w:val="00F3779B"/>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703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customStyle="1" w:styleId="TextoindependienteCar">
    <w:name w:val="Texto independiente Car"/>
    <w:basedOn w:val="Fuentedeprrafopredeter"/>
    <w:link w:val="Textoindependiente"/>
    <w:uiPriority w:val="1"/>
    <w:rsid w:val="0087031A"/>
  </w:style>
  <w:style w:type="character" w:customStyle="1" w:styleId="superscript">
    <w:name w:val="superscript"/>
    <w:basedOn w:val="Fuentedeprrafopredeter"/>
    <w:rsid w:val="00DA0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55393830">
      <w:bodyDiv w:val="1"/>
      <w:marLeft w:val="0"/>
      <w:marRight w:val="0"/>
      <w:marTop w:val="0"/>
      <w:marBottom w:val="0"/>
      <w:divBdr>
        <w:top w:val="none" w:sz="0" w:space="0" w:color="auto"/>
        <w:left w:val="none" w:sz="0" w:space="0" w:color="auto"/>
        <w:bottom w:val="none" w:sz="0" w:space="0" w:color="auto"/>
        <w:right w:val="none" w:sz="0" w:space="0" w:color="auto"/>
      </w:divBdr>
      <w:divsChild>
        <w:div w:id="2032563667">
          <w:marLeft w:val="0"/>
          <w:marRight w:val="0"/>
          <w:marTop w:val="0"/>
          <w:marBottom w:val="0"/>
          <w:divBdr>
            <w:top w:val="none" w:sz="0" w:space="0" w:color="auto"/>
            <w:left w:val="none" w:sz="0" w:space="0" w:color="auto"/>
            <w:bottom w:val="none" w:sz="0" w:space="0" w:color="auto"/>
            <w:right w:val="none" w:sz="0" w:space="0" w:color="auto"/>
          </w:divBdr>
          <w:divsChild>
            <w:div w:id="1148010697">
              <w:marLeft w:val="0"/>
              <w:marRight w:val="0"/>
              <w:marTop w:val="0"/>
              <w:marBottom w:val="0"/>
              <w:divBdr>
                <w:top w:val="none" w:sz="0" w:space="0" w:color="auto"/>
                <w:left w:val="none" w:sz="0" w:space="0" w:color="auto"/>
                <w:bottom w:val="none" w:sz="0" w:space="0" w:color="auto"/>
                <w:right w:val="none" w:sz="0" w:space="0" w:color="auto"/>
              </w:divBdr>
              <w:divsChild>
                <w:div w:id="293798143">
                  <w:marLeft w:val="0"/>
                  <w:marRight w:val="0"/>
                  <w:marTop w:val="0"/>
                  <w:marBottom w:val="0"/>
                  <w:divBdr>
                    <w:top w:val="none" w:sz="0" w:space="0" w:color="auto"/>
                    <w:left w:val="none" w:sz="0" w:space="0" w:color="auto"/>
                    <w:bottom w:val="none" w:sz="0" w:space="0" w:color="auto"/>
                    <w:right w:val="none" w:sz="0" w:space="0" w:color="auto"/>
                  </w:divBdr>
                  <w:divsChild>
                    <w:div w:id="540558418">
                      <w:marLeft w:val="0"/>
                      <w:marRight w:val="0"/>
                      <w:marTop w:val="0"/>
                      <w:marBottom w:val="0"/>
                      <w:divBdr>
                        <w:top w:val="none" w:sz="0" w:space="0" w:color="auto"/>
                        <w:left w:val="none" w:sz="0" w:space="0" w:color="auto"/>
                        <w:bottom w:val="none" w:sz="0" w:space="0" w:color="auto"/>
                        <w:right w:val="none" w:sz="0" w:space="0" w:color="auto"/>
                      </w:divBdr>
                      <w:divsChild>
                        <w:div w:id="145308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erfarhomecareips@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CF2A69-2909-4F9F-ABC0-7A9BA0FDB73B}">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3D3E4C3-694F-49D6-A720-D4AC0E0E4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15</Pages>
  <Words>4445</Words>
  <Characters>24453</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15</cp:revision>
  <cp:lastPrinted>2023-01-10T21:18:00Z</cp:lastPrinted>
  <dcterms:created xsi:type="dcterms:W3CDTF">2025-07-01T23:16:00Z</dcterms:created>
  <dcterms:modified xsi:type="dcterms:W3CDTF">2025-10-09T15:38:00Z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