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E216EC" w14:textId="77777777" w:rsidR="00BC7D7E" w:rsidRPr="00694307" w:rsidRDefault="00BC7D7E" w:rsidP="00BC7D7E">
      <w:pPr>
        <w:spacing w:after="0" w:line="240" w:lineRule="auto"/>
        <w:contextualSpacing/>
        <w:jc w:val="both"/>
        <w:rPr>
          <w:rFonts w:ascii="Verdana" w:eastAsia="Calibri" w:hAnsi="Verdana" w:cs="Arial"/>
          <w:b/>
          <w:noProof/>
          <w:sz w:val="20"/>
          <w:szCs w:val="20"/>
          <w:lang w:val="es-ES_tradnl" w:eastAsia="es-ES_tradnl"/>
        </w:rPr>
      </w:pPr>
      <w:bookmarkStart w:id="0" w:name="_Hlk181166130"/>
      <w:bookmarkStart w:id="1" w:name="_Hlk143780582"/>
    </w:p>
    <w:p w14:paraId="06960805" w14:textId="77777777" w:rsidR="00BC7D7E" w:rsidRPr="00694307" w:rsidRDefault="00BC7D7E" w:rsidP="00BC7D7E">
      <w:pPr>
        <w:spacing w:after="0" w:line="240" w:lineRule="auto"/>
        <w:contextualSpacing/>
        <w:jc w:val="both"/>
        <w:rPr>
          <w:rFonts w:ascii="Verdana" w:hAnsi="Verdana"/>
          <w:b/>
          <w:bCs/>
        </w:rPr>
      </w:pPr>
      <w:r w:rsidRPr="00694307">
        <w:rPr>
          <w:rFonts w:ascii="Verdana" w:hAnsi="Verdana"/>
          <w:b/>
          <w:bCs/>
        </w:rPr>
        <w:t xml:space="preserve">PRINCIPIO DE PUBLICIDAD – Fundamento constitucional </w:t>
      </w:r>
    </w:p>
    <w:p w14:paraId="44BE68B4" w14:textId="77777777" w:rsidR="00BC7D7E" w:rsidRPr="00694307" w:rsidRDefault="00BC7D7E" w:rsidP="00BC7D7E">
      <w:pPr>
        <w:spacing w:after="0" w:line="240" w:lineRule="auto"/>
        <w:contextualSpacing/>
        <w:jc w:val="both"/>
        <w:rPr>
          <w:rFonts w:ascii="Verdana" w:hAnsi="Verdana"/>
          <w:b/>
          <w:bCs/>
          <w:sz w:val="20"/>
          <w:szCs w:val="20"/>
        </w:rPr>
      </w:pPr>
    </w:p>
    <w:p w14:paraId="57C3A6C4" w14:textId="77777777" w:rsidR="00BC7D7E" w:rsidRPr="00694307" w:rsidRDefault="00BC7D7E" w:rsidP="00BC7D7E">
      <w:pPr>
        <w:spacing w:after="0" w:line="240" w:lineRule="auto"/>
        <w:contextualSpacing/>
        <w:jc w:val="both"/>
        <w:rPr>
          <w:rFonts w:ascii="Verdana" w:hAnsi="Verdana"/>
          <w:b/>
          <w:bCs/>
          <w:sz w:val="20"/>
          <w:szCs w:val="20"/>
        </w:rPr>
      </w:pPr>
      <w:r w:rsidRPr="00694307">
        <w:rPr>
          <w:rFonts w:ascii="Verdana" w:hAnsi="Verdana"/>
          <w:sz w:val="20"/>
          <w:szCs w:val="20"/>
          <w:lang w:val="es-ES_tradnl"/>
        </w:rPr>
        <w:t xml:space="preserve">La Constitución Política de 1991 consagra en varios artículos la </w:t>
      </w:r>
      <w:r w:rsidRPr="00694307">
        <w:rPr>
          <w:rFonts w:ascii="Verdana" w:hAnsi="Verdana"/>
          <w:i/>
          <w:iCs/>
          <w:sz w:val="20"/>
          <w:szCs w:val="20"/>
          <w:lang w:val="es-ES_tradnl"/>
        </w:rPr>
        <w:t>publicidad</w:t>
      </w:r>
      <w:r w:rsidRPr="00694307">
        <w:rPr>
          <w:rFonts w:ascii="Verdana" w:hAnsi="Verdana"/>
          <w:sz w:val="20"/>
          <w:szCs w:val="20"/>
          <w:lang w:val="es-ES_tradnl"/>
        </w:rPr>
        <w:t xml:space="preserve"> como un principio rector del Estado colombiano. Entre los más destacados, puede mencionarse el 209, que afirma que la publicidad es uno de los principios que fundamentan el ejercicio de la función administrativa. Asimismo, </w:t>
      </w:r>
      <w:r w:rsidRPr="00694307">
        <w:rPr>
          <w:rFonts w:ascii="Verdana" w:hAnsi="Verdana"/>
          <w:sz w:val="20"/>
          <w:szCs w:val="20"/>
          <w:lang w:val="es-ES"/>
        </w:rPr>
        <w:t>el artículo 74 de la Constitución Política establece que: “Todas las personas tienen derecho a acceder a los documentos públicos salvo los casos que establezca la ley”.</w:t>
      </w:r>
    </w:p>
    <w:p w14:paraId="07E1A431" w14:textId="77777777" w:rsidR="00BC7D7E" w:rsidRPr="00694307" w:rsidRDefault="00BC7D7E" w:rsidP="00BC7D7E">
      <w:pPr>
        <w:spacing w:after="0" w:line="240" w:lineRule="auto"/>
        <w:jc w:val="both"/>
        <w:rPr>
          <w:rFonts w:ascii="Verdana" w:hAnsi="Verdana"/>
          <w:sz w:val="20"/>
          <w:szCs w:val="20"/>
        </w:rPr>
      </w:pPr>
    </w:p>
    <w:p w14:paraId="7664B05B" w14:textId="77777777" w:rsidR="00BC7D7E" w:rsidRPr="00694307" w:rsidRDefault="00BC7D7E" w:rsidP="00BC7D7E">
      <w:pPr>
        <w:spacing w:after="0" w:line="240" w:lineRule="auto"/>
        <w:jc w:val="both"/>
        <w:rPr>
          <w:rFonts w:ascii="Verdana" w:hAnsi="Verdana"/>
          <w:b/>
          <w:bCs/>
          <w:lang w:val="es-MX"/>
        </w:rPr>
      </w:pPr>
      <w:r w:rsidRPr="00694307">
        <w:rPr>
          <w:rFonts w:ascii="Verdana" w:hAnsi="Verdana"/>
          <w:b/>
          <w:bCs/>
        </w:rPr>
        <w:t xml:space="preserve">PRINCIPIO DE PUBLICIDAD - </w:t>
      </w:r>
      <w:r w:rsidRPr="00694307">
        <w:rPr>
          <w:rFonts w:ascii="Verdana" w:hAnsi="Verdana"/>
          <w:b/>
          <w:bCs/>
          <w:lang w:val="es-MX"/>
        </w:rPr>
        <w:t>Acceso – Información pública – Actuaciones contractuales</w:t>
      </w:r>
    </w:p>
    <w:p w14:paraId="0FCE9AFB" w14:textId="77777777" w:rsidR="00BC7D7E" w:rsidRPr="00694307" w:rsidRDefault="00BC7D7E" w:rsidP="00BC7D7E">
      <w:pPr>
        <w:spacing w:after="0" w:line="240" w:lineRule="auto"/>
        <w:jc w:val="both"/>
        <w:rPr>
          <w:rFonts w:ascii="Verdana" w:hAnsi="Verdana"/>
          <w:b/>
          <w:bCs/>
          <w:sz w:val="20"/>
          <w:szCs w:val="20"/>
          <w:lang w:val="es-MX"/>
        </w:rPr>
      </w:pPr>
    </w:p>
    <w:p w14:paraId="041C55D8" w14:textId="77777777" w:rsidR="00BC7D7E" w:rsidRPr="00694307" w:rsidRDefault="00BC7D7E" w:rsidP="00BC7D7E">
      <w:pPr>
        <w:spacing w:after="0" w:line="240" w:lineRule="auto"/>
        <w:jc w:val="both"/>
        <w:rPr>
          <w:rFonts w:ascii="Verdana" w:hAnsi="Verdana"/>
          <w:sz w:val="20"/>
          <w:szCs w:val="20"/>
          <w:lang w:val="es-ES"/>
        </w:rPr>
      </w:pPr>
      <w:r w:rsidRPr="00694307">
        <w:rPr>
          <w:rFonts w:ascii="Verdana" w:hAnsi="Verdana"/>
          <w:sz w:val="20"/>
          <w:szCs w:val="20"/>
          <w:lang w:val="es-ES"/>
        </w:rPr>
        <w:t>El principio de publicidad impone a las autoridades administrativas el deber de dar a conocer sus actos, contratos y decisiones, para que se divulguen y, eventualmente, se controlen las actuaciones. El literal c) del artículo 3 de la Ley 1150 de 2007 establece que el Sistema Electrónico para la Contratación Pública –SECOP– “contará con la información oficial de la contratación realizada con dineros públicos, para lo cual establecerá los patrones a que haya lugar y se encargará de su difusión a través de canales electrónicos</w:t>
      </w:r>
      <w:r>
        <w:rPr>
          <w:rFonts w:ascii="Verdana" w:hAnsi="Verdana"/>
          <w:sz w:val="20"/>
          <w:szCs w:val="20"/>
          <w:lang w:val="es-ES"/>
        </w:rPr>
        <w:t>”</w:t>
      </w:r>
      <w:r w:rsidRPr="00694307">
        <w:rPr>
          <w:rFonts w:ascii="Verdana" w:hAnsi="Verdana"/>
          <w:sz w:val="20"/>
          <w:szCs w:val="20"/>
          <w:lang w:val="es-ES"/>
        </w:rPr>
        <w:t>.</w:t>
      </w:r>
    </w:p>
    <w:p w14:paraId="4E15FDF5" w14:textId="77777777" w:rsidR="00BC7D7E" w:rsidRPr="00694307" w:rsidRDefault="00BC7D7E" w:rsidP="00BC7D7E">
      <w:pPr>
        <w:spacing w:after="0" w:line="240" w:lineRule="auto"/>
        <w:rPr>
          <w:rFonts w:ascii="Verdana" w:hAnsi="Verdana"/>
          <w:sz w:val="20"/>
          <w:szCs w:val="20"/>
          <w:lang w:val="es-ES"/>
        </w:rPr>
      </w:pPr>
    </w:p>
    <w:p w14:paraId="3CBC8C93" w14:textId="77777777" w:rsidR="00BC7D7E" w:rsidRPr="00694307" w:rsidRDefault="00BC7D7E" w:rsidP="00BC7D7E">
      <w:pPr>
        <w:spacing w:after="0" w:line="240" w:lineRule="auto"/>
        <w:jc w:val="both"/>
        <w:rPr>
          <w:rFonts w:ascii="Verdana" w:hAnsi="Verdana"/>
          <w:sz w:val="20"/>
          <w:szCs w:val="20"/>
          <w:lang w:val="es-ES"/>
        </w:rPr>
      </w:pPr>
      <w:r w:rsidRPr="00694307">
        <w:rPr>
          <w:rFonts w:ascii="Verdana" w:hAnsi="Verdana"/>
          <w:sz w:val="20"/>
          <w:szCs w:val="20"/>
          <w:lang w:val="es-ES"/>
        </w:rPr>
        <w:t>Del artículo 3 de la Ley 1150 de 2007 se desprende un deber de publicar las actuaciones contractuales, el cual implica que todas las entidades estatales, publiquen los documentos en los que se evidencia el desarrollo de sus procesos de contratación. Esto, como quiera que el objetivo del deber de dar publicidad a las actuaciones contractuales es materializar el derecho a conocer e intervenir de las decisiones de la Administración Pública.</w:t>
      </w:r>
    </w:p>
    <w:p w14:paraId="2869C4D0" w14:textId="77777777" w:rsidR="00BC7D7E" w:rsidRPr="00694307" w:rsidRDefault="00BC7D7E" w:rsidP="00BC7D7E">
      <w:pPr>
        <w:spacing w:after="0" w:line="240" w:lineRule="auto"/>
        <w:jc w:val="both"/>
        <w:rPr>
          <w:rFonts w:ascii="Verdana" w:hAnsi="Verdana"/>
          <w:lang w:val="es-ES"/>
        </w:rPr>
      </w:pPr>
    </w:p>
    <w:p w14:paraId="7CB01821" w14:textId="77777777" w:rsidR="00BC7D7E" w:rsidRPr="00694307" w:rsidRDefault="00BC7D7E" w:rsidP="00BC7D7E">
      <w:pPr>
        <w:spacing w:after="0" w:line="240" w:lineRule="auto"/>
        <w:jc w:val="both"/>
        <w:rPr>
          <w:rFonts w:ascii="Verdana" w:hAnsi="Verdana"/>
          <w:b/>
          <w:bCs/>
          <w:sz w:val="20"/>
          <w:szCs w:val="20"/>
          <w:lang w:val="es-ES"/>
        </w:rPr>
      </w:pPr>
      <w:r w:rsidRPr="00694307">
        <w:rPr>
          <w:rFonts w:ascii="Verdana" w:hAnsi="Verdana"/>
          <w:b/>
          <w:bCs/>
          <w:lang w:val="es-ES"/>
        </w:rPr>
        <w:t xml:space="preserve">PRINCIPIO DE TRANSPARENCIA – Ley 1712 de 2014 – Documentos públicos </w:t>
      </w:r>
    </w:p>
    <w:p w14:paraId="0A9AAF84" w14:textId="77777777" w:rsidR="00BC7D7E" w:rsidRPr="00694307" w:rsidRDefault="00BC7D7E" w:rsidP="00BC7D7E">
      <w:pPr>
        <w:spacing w:after="0" w:line="240" w:lineRule="auto"/>
        <w:rPr>
          <w:rFonts w:ascii="Verdana" w:hAnsi="Verdana"/>
          <w:sz w:val="20"/>
          <w:szCs w:val="20"/>
        </w:rPr>
      </w:pPr>
    </w:p>
    <w:p w14:paraId="6B4C0270" w14:textId="77777777" w:rsidR="00BC7D7E" w:rsidRPr="00694307" w:rsidRDefault="00BC7D7E" w:rsidP="00BC7D7E">
      <w:pPr>
        <w:spacing w:after="0" w:line="240" w:lineRule="auto"/>
        <w:jc w:val="both"/>
        <w:rPr>
          <w:rFonts w:ascii="Verdana" w:eastAsia="Times New Roman" w:hAnsi="Verdana" w:cs="Arial"/>
          <w:sz w:val="20"/>
          <w:szCs w:val="20"/>
          <w:lang w:eastAsia="es-CO"/>
        </w:rPr>
      </w:pPr>
      <w:r w:rsidRPr="00694307">
        <w:rPr>
          <w:rFonts w:ascii="Verdana" w:eastAsia="Arial" w:hAnsi="Verdana" w:cs="Arial"/>
          <w:sz w:val="20"/>
          <w:szCs w:val="20"/>
          <w:lang w:val="es-ES"/>
        </w:rPr>
        <w:t>La Ley 1712 de 2014 identifica como principios que orientan el derecho de acceso a la información pública los de máxima publicidad, de transparencia en la información y de buena fe. El principio de máxima publicidad establece que “toda información en posesión, bajo control o custodia de un sujeto obligado es pública y no podrá ser reservada o limitada sino por disposición constitucional o legal". El principio de transparencia en la información alude al deber de los sujetos de proporcionar y facilitar el acceso a la misma en los términos más amplios posibles, y a través de los medios y procedimientos que establezca la ley</w:t>
      </w:r>
      <w:r w:rsidRPr="00694307">
        <w:rPr>
          <w:rFonts w:ascii="Verdana" w:eastAsia="Times New Roman" w:hAnsi="Verdana" w:cs="Arial"/>
          <w:sz w:val="20"/>
          <w:szCs w:val="20"/>
          <w:lang w:eastAsia="es-CO"/>
        </w:rPr>
        <w:t>. Finalmente, el principio de buena fe hace referencia al deber de todo sujeto obligado de cumplir con las obligaciones derivadas del derecho de acceso a la información pública con motivación honesta, leal y desprovista de cualquier intención dolosa o culposa.</w:t>
      </w:r>
    </w:p>
    <w:p w14:paraId="5E067853" w14:textId="77777777" w:rsidR="00BC7D7E" w:rsidRPr="00694307" w:rsidRDefault="00BC7D7E" w:rsidP="00BC7D7E">
      <w:pPr>
        <w:spacing w:after="0" w:line="240" w:lineRule="auto"/>
        <w:jc w:val="both"/>
        <w:rPr>
          <w:rFonts w:ascii="Verdana" w:eastAsia="Times New Roman" w:hAnsi="Verdana" w:cs="Arial"/>
          <w:sz w:val="20"/>
          <w:szCs w:val="20"/>
          <w:lang w:eastAsia="es-CO"/>
        </w:rPr>
      </w:pPr>
    </w:p>
    <w:p w14:paraId="3942E8E3" w14:textId="77777777" w:rsidR="00BC7D7E" w:rsidRPr="00694307" w:rsidRDefault="00BC7D7E" w:rsidP="00BC7D7E">
      <w:pPr>
        <w:spacing w:after="0" w:line="240" w:lineRule="auto"/>
        <w:jc w:val="both"/>
        <w:rPr>
          <w:rFonts w:ascii="Verdana" w:hAnsi="Verdana"/>
          <w:b/>
          <w:bCs/>
        </w:rPr>
      </w:pPr>
      <w:r w:rsidRPr="00694307">
        <w:rPr>
          <w:rFonts w:ascii="Verdana" w:hAnsi="Verdana"/>
          <w:b/>
          <w:bCs/>
        </w:rPr>
        <w:t>CIRCULAR ÚNICA EXTERNA – Deber de publicar oportunamente la actividad contractual en SECOP</w:t>
      </w:r>
      <w:r>
        <w:rPr>
          <w:rFonts w:ascii="Verdana" w:hAnsi="Verdana"/>
          <w:b/>
          <w:bCs/>
        </w:rPr>
        <w:t>.</w:t>
      </w:r>
    </w:p>
    <w:p w14:paraId="56ED130C" w14:textId="77777777" w:rsidR="00BC7D7E" w:rsidRPr="00694307" w:rsidRDefault="00BC7D7E" w:rsidP="00BC7D7E">
      <w:pPr>
        <w:spacing w:after="0" w:line="240" w:lineRule="auto"/>
        <w:jc w:val="both"/>
        <w:rPr>
          <w:rFonts w:ascii="Verdana" w:hAnsi="Verdana"/>
          <w:sz w:val="20"/>
          <w:szCs w:val="20"/>
        </w:rPr>
      </w:pPr>
    </w:p>
    <w:p w14:paraId="6000913E" w14:textId="77777777" w:rsidR="00BC7D7E" w:rsidRPr="00694307" w:rsidRDefault="00BC7D7E" w:rsidP="00BC7D7E">
      <w:pPr>
        <w:spacing w:after="0" w:line="240" w:lineRule="auto"/>
        <w:jc w:val="both"/>
        <w:rPr>
          <w:rFonts w:ascii="Verdana" w:hAnsi="Verdana"/>
          <w:sz w:val="20"/>
          <w:szCs w:val="20"/>
        </w:rPr>
      </w:pPr>
      <w:r w:rsidRPr="00694307">
        <w:rPr>
          <w:rFonts w:ascii="Verdana" w:hAnsi="Verdana"/>
          <w:sz w:val="20"/>
          <w:szCs w:val="20"/>
        </w:rPr>
        <w:lastRenderedPageBreak/>
        <w:t>La Circular Externa Única, recordó a todas las entidades del Estado el deber de publicar oportunamente su actividad contractual en el SECOP, sin distinción de su régimen jurídico, naturaleza jurídica o la pertenencia a una u otra rama del poder público. Además, la Circular Externa Única, en el numeral 1.1., establece, de manera enunciativa, que deben publicar en el SECOP: “las Entidades Estatales que por disposición legal cuenten con un régimen contractual excepcional al del Estatuto General de Contratación de la Administración Pública, deberán publicar en el SECOP II, todos los documentos relacionados con su actividad contractual, de conformidad con lo señalado en el artículo 53 de la Ley 2195 de 2022.</w:t>
      </w:r>
    </w:p>
    <w:p w14:paraId="10D0E838" w14:textId="77777777" w:rsidR="00BC7D7E" w:rsidRPr="00694307" w:rsidRDefault="00BC7D7E" w:rsidP="00BC7D7E">
      <w:pPr>
        <w:spacing w:after="0" w:line="240" w:lineRule="auto"/>
        <w:jc w:val="both"/>
        <w:rPr>
          <w:rFonts w:ascii="Verdana" w:hAnsi="Verdana"/>
          <w:sz w:val="20"/>
          <w:szCs w:val="20"/>
        </w:rPr>
      </w:pPr>
    </w:p>
    <w:p w14:paraId="39696703" w14:textId="77777777" w:rsidR="00BC7D7E" w:rsidRPr="00694307" w:rsidRDefault="00BC7D7E" w:rsidP="00BC7D7E">
      <w:pPr>
        <w:spacing w:after="0" w:line="240" w:lineRule="auto"/>
        <w:jc w:val="both"/>
        <w:rPr>
          <w:rFonts w:ascii="Verdana" w:hAnsi="Verdana"/>
          <w:sz w:val="20"/>
          <w:szCs w:val="20"/>
        </w:rPr>
      </w:pPr>
      <w:r w:rsidRPr="00694307">
        <w:rPr>
          <w:rFonts w:ascii="Verdana" w:hAnsi="Verdana"/>
          <w:sz w:val="20"/>
          <w:szCs w:val="20"/>
        </w:rPr>
        <w:t>Así mismo, en la Circular única Externa se indicó que “Las Entidades Estatales que contratan con cargo a recursos públicos están obligadas a publicar oportunamente su actividad contractual en el SECOP, sin que sea relevante, para la exigencia de esta obligación, su régimen jurídico, naturaleza de público o privada o la pertenencia a una u otra rama del poder público. Esta obligación deberá cumplirse, inclusive, si la ejecución del contrato no implica erogación presupuestal”.</w:t>
      </w:r>
    </w:p>
    <w:p w14:paraId="1BA1C08C" w14:textId="77777777" w:rsidR="00BC7D7E" w:rsidRPr="00694307" w:rsidRDefault="00BC7D7E" w:rsidP="00BC7D7E">
      <w:pPr>
        <w:spacing w:after="0" w:line="240" w:lineRule="auto"/>
        <w:jc w:val="both"/>
        <w:rPr>
          <w:rFonts w:ascii="Verdana" w:hAnsi="Verdana"/>
          <w:sz w:val="20"/>
          <w:szCs w:val="20"/>
        </w:rPr>
      </w:pPr>
    </w:p>
    <w:p w14:paraId="27648843" w14:textId="77777777" w:rsidR="00BC7D7E" w:rsidRPr="00694307" w:rsidRDefault="00BC7D7E" w:rsidP="00BC7D7E">
      <w:pPr>
        <w:spacing w:after="0" w:line="240" w:lineRule="auto"/>
        <w:jc w:val="both"/>
        <w:rPr>
          <w:rFonts w:ascii="Verdana" w:hAnsi="Verdana"/>
          <w:sz w:val="20"/>
          <w:szCs w:val="20"/>
        </w:rPr>
      </w:pPr>
    </w:p>
    <w:p w14:paraId="56CC3E2B" w14:textId="77777777" w:rsidR="00BC7D7E" w:rsidRPr="00694307" w:rsidRDefault="00BC7D7E" w:rsidP="00BC7D7E">
      <w:pPr>
        <w:spacing w:after="0" w:line="240" w:lineRule="auto"/>
        <w:jc w:val="both"/>
        <w:rPr>
          <w:rFonts w:ascii="Verdana" w:hAnsi="Verdana"/>
          <w:b/>
          <w:bCs/>
        </w:rPr>
      </w:pPr>
      <w:r w:rsidRPr="00694307">
        <w:rPr>
          <w:rFonts w:ascii="Verdana" w:hAnsi="Verdana"/>
          <w:b/>
          <w:bCs/>
        </w:rPr>
        <w:t xml:space="preserve">DEBER DE PUBLICIDAD – SECOP II – Entidades con régimen especial de contratación – DEBER DE PUBLICIDAD - Procesos de contratación  </w:t>
      </w:r>
    </w:p>
    <w:p w14:paraId="7479CA90" w14:textId="77777777" w:rsidR="00BC7D7E" w:rsidRPr="00694307" w:rsidRDefault="00BC7D7E" w:rsidP="00BC7D7E">
      <w:pPr>
        <w:spacing w:after="0" w:line="240" w:lineRule="auto"/>
        <w:jc w:val="both"/>
        <w:rPr>
          <w:rFonts w:ascii="Verdana" w:hAnsi="Verdana"/>
          <w:sz w:val="20"/>
          <w:szCs w:val="20"/>
        </w:rPr>
      </w:pPr>
    </w:p>
    <w:p w14:paraId="7F5CF96F" w14:textId="77777777" w:rsidR="00BC7D7E" w:rsidRPr="00694307" w:rsidRDefault="00BC7D7E" w:rsidP="00BC7D7E">
      <w:pPr>
        <w:spacing w:after="0" w:line="240" w:lineRule="auto"/>
        <w:jc w:val="both"/>
        <w:rPr>
          <w:rFonts w:ascii="Verdana" w:hAnsi="Verdana"/>
          <w:sz w:val="20"/>
          <w:szCs w:val="20"/>
        </w:rPr>
      </w:pPr>
      <w:r w:rsidRPr="00694307">
        <w:rPr>
          <w:rFonts w:ascii="Verdana" w:hAnsi="Verdana"/>
          <w:sz w:val="20"/>
          <w:szCs w:val="20"/>
        </w:rPr>
        <w:t>Frente a la obligación de publicar los Procesos de Contratación en el SECOP II, el 18 de enero de 2022 fue expedida la Ley 2195 de 2022 “Por medio de la cual se adoptan medidas en materia de transparencia, prevención y lucha contra la corrupción y se dictan otras disposiciones”, mediante la cual se introdujeron, a través del artículo 53, los incisos 2° y 3° al artículo 13 de la Ley 1150 de 2007, los cuales establecen la obligación, para las entidades públicas que por disposición legal cuenten con un régimen especial de contratación, de publicar su actividad contractual a través del Sistema Electrónico para la Contratación Pública en su versión transaccional, es decir en la plataforma SECOP II.</w:t>
      </w:r>
    </w:p>
    <w:p w14:paraId="2CDA12BC" w14:textId="77777777" w:rsidR="00BC7D7E" w:rsidRPr="00694307" w:rsidRDefault="00BC7D7E" w:rsidP="00BC7D7E">
      <w:pPr>
        <w:spacing w:after="0" w:line="240" w:lineRule="auto"/>
        <w:jc w:val="both"/>
        <w:rPr>
          <w:rFonts w:ascii="Verdana" w:hAnsi="Verdana"/>
          <w:sz w:val="20"/>
          <w:szCs w:val="20"/>
        </w:rPr>
      </w:pPr>
    </w:p>
    <w:p w14:paraId="450D7011" w14:textId="77777777" w:rsidR="00BC7D7E" w:rsidRDefault="00BC7D7E" w:rsidP="00BC7D7E">
      <w:pPr>
        <w:spacing w:after="0" w:line="240" w:lineRule="auto"/>
        <w:jc w:val="both"/>
        <w:rPr>
          <w:rFonts w:ascii="Verdana" w:hAnsi="Verdana"/>
          <w:b/>
          <w:bCs/>
        </w:rPr>
      </w:pPr>
      <w:r w:rsidRPr="00694307">
        <w:rPr>
          <w:rFonts w:ascii="Verdana" w:hAnsi="Verdana"/>
          <w:b/>
          <w:bCs/>
        </w:rPr>
        <w:t xml:space="preserve">DATOS SENSIBLES – Restricción de la publicidad – CONFIDENCIALIDAD </w:t>
      </w:r>
    </w:p>
    <w:p w14:paraId="2F9117BD" w14:textId="77777777" w:rsidR="00BC7D7E" w:rsidRPr="00694307" w:rsidRDefault="00BC7D7E" w:rsidP="00BC7D7E">
      <w:pPr>
        <w:spacing w:after="0" w:line="240" w:lineRule="auto"/>
        <w:jc w:val="both"/>
        <w:rPr>
          <w:rFonts w:ascii="Verdana" w:hAnsi="Verdana"/>
          <w:b/>
          <w:bCs/>
        </w:rPr>
      </w:pPr>
    </w:p>
    <w:p w14:paraId="6C488626" w14:textId="77777777" w:rsidR="00BC7D7E" w:rsidRPr="00694307" w:rsidRDefault="00BC7D7E" w:rsidP="00BC7D7E">
      <w:pPr>
        <w:spacing w:after="0" w:line="240" w:lineRule="auto"/>
        <w:jc w:val="both"/>
        <w:rPr>
          <w:rFonts w:ascii="Verdana" w:eastAsia="Arial" w:hAnsi="Verdana" w:cs="Arial"/>
          <w:color w:val="000000" w:themeColor="text1"/>
          <w:sz w:val="20"/>
          <w:szCs w:val="20"/>
        </w:rPr>
      </w:pPr>
      <w:r w:rsidRPr="00694307">
        <w:rPr>
          <w:rFonts w:ascii="Verdana" w:eastAsia="Arial" w:hAnsi="Verdana" w:cs="Arial"/>
          <w:color w:val="000000" w:themeColor="text1"/>
          <w:sz w:val="20"/>
          <w:szCs w:val="20"/>
        </w:rPr>
        <w:t>El cumplimiento del deber de publicación de la documentación contractual debe armonizarse con las normas aplicables al tipo de información que estas contienen. Lo anterior significa que, respecto de datos sensibles, información sometida a reserva o de la cual proceda un tratamiento especial que impida su publicidad, las entidades deberán proceder de conformidad con el tratamiento que impongan tales normas, absteniéndose, de ser el caso, de publicar las ofertas, o las partes pertinentes en las que se evidencie este tipo de información. Para dichos eventos, la plataforma SECOP II, antes de publicar las ofertas, brinda a las entidades la opción de calificar dicha información como confidencial, lo cual impide que los documentos se publiquen.</w:t>
      </w:r>
    </w:p>
    <w:p w14:paraId="354F4D80" w14:textId="77777777" w:rsidR="00BC7D7E" w:rsidRPr="00694307" w:rsidRDefault="00BC7D7E" w:rsidP="00BC7D7E">
      <w:pPr>
        <w:spacing w:after="0" w:line="240" w:lineRule="auto"/>
        <w:jc w:val="both"/>
        <w:rPr>
          <w:rFonts w:ascii="Verdana" w:eastAsia="Arial" w:hAnsi="Verdana" w:cs="Arial"/>
          <w:color w:val="000000" w:themeColor="text1"/>
          <w:sz w:val="20"/>
          <w:szCs w:val="20"/>
        </w:rPr>
      </w:pPr>
    </w:p>
    <w:p w14:paraId="3E5CFE58" w14:textId="77777777" w:rsidR="00BC7D7E" w:rsidRPr="00694307" w:rsidRDefault="00BC7D7E" w:rsidP="00BC7D7E">
      <w:pPr>
        <w:spacing w:after="0" w:line="240" w:lineRule="auto"/>
        <w:jc w:val="both"/>
        <w:rPr>
          <w:rFonts w:ascii="Verdana" w:eastAsia="Arial" w:hAnsi="Verdana" w:cs="Arial"/>
          <w:color w:val="000000" w:themeColor="text1"/>
          <w:sz w:val="20"/>
          <w:szCs w:val="20"/>
        </w:rPr>
      </w:pPr>
      <w:r w:rsidRPr="00694307">
        <w:rPr>
          <w:rFonts w:ascii="Verdana" w:eastAsia="Arial" w:hAnsi="Verdana" w:cs="Arial"/>
          <w:color w:val="000000" w:themeColor="text1"/>
          <w:sz w:val="20"/>
          <w:szCs w:val="20"/>
        </w:rPr>
        <w:t xml:space="preserve">En otras palabras, aun cuando el artículo 74 de la Constitución establezca que la información pública debe ser dada a conocer a la ciudadanía y así los documentos que hagan parte de la actividad contractual puedan catalogarse, </w:t>
      </w:r>
      <w:r w:rsidRPr="00694307">
        <w:rPr>
          <w:rFonts w:ascii="Verdana" w:eastAsia="Arial" w:hAnsi="Verdana" w:cs="Arial"/>
          <w:i/>
          <w:iCs/>
          <w:color w:val="000000" w:themeColor="text1"/>
          <w:sz w:val="20"/>
          <w:szCs w:val="20"/>
        </w:rPr>
        <w:t>prima facie</w:t>
      </w:r>
      <w:r w:rsidRPr="00694307">
        <w:rPr>
          <w:rFonts w:ascii="Verdana" w:eastAsia="Arial" w:hAnsi="Verdana" w:cs="Arial"/>
          <w:color w:val="000000" w:themeColor="text1"/>
          <w:sz w:val="20"/>
          <w:szCs w:val="20"/>
        </w:rPr>
        <w:t xml:space="preserve">, como información pública, cuando dicha documentación contenga datos sensibles, operan </w:t>
      </w:r>
      <w:r w:rsidRPr="00694307">
        <w:rPr>
          <w:rFonts w:ascii="Verdana" w:eastAsia="Arial" w:hAnsi="Verdana" w:cs="Arial"/>
          <w:color w:val="000000" w:themeColor="text1"/>
          <w:sz w:val="20"/>
          <w:szCs w:val="20"/>
        </w:rPr>
        <w:lastRenderedPageBreak/>
        <w:t>algunas restricciones a su publicidad. Sin embargo, esto no necesariamente convierte el documento completo en reservado, es decir, en un documento que no puede publicarse.</w:t>
      </w:r>
    </w:p>
    <w:p w14:paraId="10963D74" w14:textId="77777777" w:rsidR="00BC7D7E" w:rsidRPr="00694307" w:rsidRDefault="00BC7D7E" w:rsidP="00BC7D7E">
      <w:pPr>
        <w:spacing w:after="0" w:line="240" w:lineRule="auto"/>
        <w:jc w:val="both"/>
        <w:rPr>
          <w:rFonts w:ascii="Verdana" w:eastAsia="Calibri" w:hAnsi="Verdana" w:cs="Arial"/>
          <w:color w:val="000000"/>
          <w:sz w:val="20"/>
          <w:szCs w:val="20"/>
          <w:lang w:val="es-ES_tradnl" w:eastAsia="en-GB"/>
        </w:rPr>
      </w:pPr>
    </w:p>
    <w:p w14:paraId="6EC0498E" w14:textId="77777777" w:rsidR="00BC7D7E" w:rsidRPr="00694307" w:rsidRDefault="00BC7D7E" w:rsidP="00BC7D7E">
      <w:pPr>
        <w:spacing w:after="0" w:line="240" w:lineRule="auto"/>
        <w:jc w:val="both"/>
        <w:rPr>
          <w:rFonts w:ascii="Verdana" w:eastAsia="Arial" w:hAnsi="Verdana" w:cs="Arial"/>
          <w:color w:val="000000" w:themeColor="text1"/>
          <w:sz w:val="20"/>
          <w:szCs w:val="20"/>
        </w:rPr>
      </w:pPr>
      <w:r w:rsidRPr="00694307">
        <w:rPr>
          <w:rFonts w:ascii="Verdana" w:eastAsia="Arial" w:hAnsi="Verdana" w:cs="Arial"/>
          <w:color w:val="000000" w:themeColor="text1"/>
          <w:sz w:val="20"/>
          <w:szCs w:val="20"/>
        </w:rPr>
        <w:t xml:space="preserve">El enunciado constitucional, en armonía con los artículos 18 y 19 de la Ley 1712 de 2014 y los artículos 24 y 25 de la Ley 1437 de 2011, establecen que el derecho de acceso a la información o documentación pública no es absoluto, sino que puede exceptuarse cuando se configuren causales de reserva. Así mismo, hay información que goza de protección especial y no puede divulgarse. La información pública que contiene datos semiprivados o privados, definidos en los literales g) y h) del artículo 3° de la Ley 1266 de 2008, clasificados o reservados, según los artículos 18 y 19 de la Ley 1712 de 2014, o datos personales o sensibles, según lo previsto en los artículos 3° y 5° de la Ley 1581 de 2012 y en el numeral 3° del artículo 3° del Decreto 1377 de 2013, solo podrá divulgarse según las reglas establecidas en dichas normas. </w:t>
      </w:r>
    </w:p>
    <w:p w14:paraId="61D2B230" w14:textId="77777777" w:rsidR="00BC7D7E" w:rsidRPr="00694307" w:rsidRDefault="00BC7D7E" w:rsidP="00BC7D7E">
      <w:pPr>
        <w:spacing w:after="0" w:line="240" w:lineRule="auto"/>
        <w:jc w:val="both"/>
        <w:rPr>
          <w:rFonts w:ascii="Verdana" w:eastAsia="Arial" w:hAnsi="Verdana" w:cs="Arial"/>
          <w:color w:val="000000" w:themeColor="text1"/>
          <w:sz w:val="20"/>
          <w:szCs w:val="20"/>
        </w:rPr>
      </w:pPr>
    </w:p>
    <w:p w14:paraId="6B0AC0F7" w14:textId="77777777" w:rsidR="00BC7D7E" w:rsidRPr="00694307" w:rsidRDefault="00BC7D7E" w:rsidP="00BC7D7E">
      <w:pPr>
        <w:spacing w:after="0" w:line="240" w:lineRule="auto"/>
        <w:jc w:val="both"/>
        <w:rPr>
          <w:rFonts w:ascii="Verdana" w:eastAsia="Arial" w:hAnsi="Verdana" w:cs="Arial"/>
          <w:color w:val="000000" w:themeColor="text1"/>
          <w:sz w:val="20"/>
          <w:szCs w:val="20"/>
        </w:rPr>
      </w:pPr>
      <w:r w:rsidRPr="00694307">
        <w:rPr>
          <w:rFonts w:ascii="Verdana" w:eastAsia="Arial" w:hAnsi="Verdana" w:cs="Arial"/>
          <w:color w:val="000000" w:themeColor="text1"/>
          <w:sz w:val="20"/>
          <w:szCs w:val="20"/>
        </w:rPr>
        <w:t>Cuando el documento contractual tenga información sensible, clasificada o reservada, para proteger la información, las autoridades deben abstenerse de publicar en el SECOP la información que tiene protección especial. Por ello, la entidad estatal deberá excluir del documento entregado por el proponente o del contratista, la información que contenga datos sensibles, clasificados o reservados, para no divulgarla, pero debe publicar las demás piezas o los apartados que no gozan de reserva o que no están protegidos por las disposiciones de habeas data.</w:t>
      </w:r>
    </w:p>
    <w:p w14:paraId="1699A24B" w14:textId="77777777" w:rsidR="00BC7D7E" w:rsidRPr="000E1704" w:rsidRDefault="00BC7D7E" w:rsidP="00BC7D7E">
      <w:pPr>
        <w:spacing w:after="0"/>
        <w:ind w:firstLine="708"/>
        <w:jc w:val="both"/>
        <w:rPr>
          <w:rFonts w:ascii="Verdana" w:eastAsia="Calibri" w:hAnsi="Verdana" w:cs="Arial"/>
          <w:b/>
          <w:lang w:val="es-ES" w:eastAsia="es-ES"/>
        </w:rPr>
      </w:pPr>
    </w:p>
    <w:p w14:paraId="1EF3D3B7" w14:textId="77777777" w:rsidR="00BC7D7E" w:rsidRDefault="00BC7D7E" w:rsidP="00BC7D7E">
      <w:pPr>
        <w:spacing w:after="0" w:line="240" w:lineRule="auto"/>
        <w:jc w:val="both"/>
        <w:rPr>
          <w:rFonts w:ascii="Verdana" w:eastAsia="Aptos" w:hAnsi="Verdana" w:cs="Times New Roman"/>
          <w:sz w:val="20"/>
          <w:szCs w:val="20"/>
        </w:rPr>
      </w:pPr>
    </w:p>
    <w:p w14:paraId="0B0DDD5D" w14:textId="77777777" w:rsidR="00BC7D7E" w:rsidRDefault="00BC7D7E" w:rsidP="00BC7D7E">
      <w:pPr>
        <w:spacing w:after="0" w:line="240" w:lineRule="auto"/>
        <w:jc w:val="both"/>
        <w:rPr>
          <w:rFonts w:ascii="Verdana" w:eastAsia="Aptos" w:hAnsi="Verdana" w:cs="Times New Roman"/>
          <w:sz w:val="20"/>
          <w:szCs w:val="20"/>
        </w:rPr>
      </w:pPr>
    </w:p>
    <w:p w14:paraId="2DF1F002" w14:textId="77777777" w:rsidR="00BC7D7E" w:rsidRDefault="00BC7D7E" w:rsidP="00BC7D7E">
      <w:pPr>
        <w:spacing w:after="0" w:line="240" w:lineRule="auto"/>
        <w:jc w:val="both"/>
        <w:rPr>
          <w:rFonts w:ascii="Verdana" w:eastAsia="Aptos" w:hAnsi="Verdana" w:cs="Times New Roman"/>
          <w:sz w:val="20"/>
          <w:szCs w:val="20"/>
        </w:rPr>
      </w:pPr>
    </w:p>
    <w:p w14:paraId="3591518C" w14:textId="77777777" w:rsidR="00BC7D7E" w:rsidRDefault="00BC7D7E" w:rsidP="00BC7D7E">
      <w:pPr>
        <w:spacing w:after="0" w:line="240" w:lineRule="auto"/>
        <w:jc w:val="both"/>
        <w:rPr>
          <w:rFonts w:ascii="Verdana" w:eastAsia="Aptos" w:hAnsi="Verdana" w:cs="Times New Roman"/>
          <w:sz w:val="20"/>
          <w:szCs w:val="20"/>
        </w:rPr>
      </w:pPr>
    </w:p>
    <w:p w14:paraId="22F23304" w14:textId="77777777" w:rsidR="00BC7D7E" w:rsidRDefault="00BC7D7E" w:rsidP="00BC7D7E">
      <w:pPr>
        <w:spacing w:after="0" w:line="240" w:lineRule="auto"/>
        <w:jc w:val="both"/>
        <w:rPr>
          <w:rFonts w:ascii="Verdana" w:eastAsia="Aptos" w:hAnsi="Verdana" w:cs="Times New Roman"/>
          <w:sz w:val="20"/>
          <w:szCs w:val="20"/>
        </w:rPr>
      </w:pPr>
    </w:p>
    <w:p w14:paraId="409BDB0C" w14:textId="77777777" w:rsidR="00BC7D7E" w:rsidRDefault="00BC7D7E" w:rsidP="00BC7D7E">
      <w:pPr>
        <w:spacing w:after="0" w:line="240" w:lineRule="auto"/>
        <w:jc w:val="both"/>
        <w:rPr>
          <w:rFonts w:ascii="Verdana" w:eastAsia="Aptos" w:hAnsi="Verdana" w:cs="Times New Roman"/>
          <w:sz w:val="20"/>
          <w:szCs w:val="20"/>
        </w:rPr>
      </w:pPr>
    </w:p>
    <w:p w14:paraId="362F36D9" w14:textId="77777777" w:rsidR="00BC7D7E" w:rsidRDefault="00BC7D7E" w:rsidP="00BC7D7E">
      <w:pPr>
        <w:spacing w:after="0" w:line="240" w:lineRule="auto"/>
        <w:jc w:val="both"/>
        <w:rPr>
          <w:rFonts w:ascii="Verdana" w:eastAsia="Aptos" w:hAnsi="Verdana" w:cs="Times New Roman"/>
          <w:sz w:val="20"/>
          <w:szCs w:val="20"/>
        </w:rPr>
      </w:pPr>
    </w:p>
    <w:p w14:paraId="4C57F45B" w14:textId="77777777" w:rsidR="00BC7D7E" w:rsidRDefault="00BC7D7E" w:rsidP="00BC7D7E">
      <w:pPr>
        <w:spacing w:after="0" w:line="240" w:lineRule="auto"/>
        <w:jc w:val="both"/>
        <w:rPr>
          <w:rFonts w:ascii="Verdana" w:eastAsia="Aptos" w:hAnsi="Verdana" w:cs="Times New Roman"/>
          <w:sz w:val="20"/>
          <w:szCs w:val="20"/>
        </w:rPr>
      </w:pPr>
    </w:p>
    <w:p w14:paraId="65461282" w14:textId="77777777" w:rsidR="00BC7D7E" w:rsidRDefault="00BC7D7E" w:rsidP="00BC7D7E">
      <w:pPr>
        <w:spacing w:after="0" w:line="240" w:lineRule="auto"/>
        <w:jc w:val="both"/>
        <w:rPr>
          <w:rFonts w:ascii="Verdana" w:eastAsia="Aptos" w:hAnsi="Verdana" w:cs="Times New Roman"/>
          <w:sz w:val="20"/>
          <w:szCs w:val="20"/>
        </w:rPr>
      </w:pPr>
    </w:p>
    <w:p w14:paraId="4C41020F" w14:textId="77777777" w:rsidR="00BC7D7E" w:rsidRDefault="00BC7D7E" w:rsidP="00BC7D7E">
      <w:pPr>
        <w:spacing w:after="0" w:line="240" w:lineRule="auto"/>
        <w:jc w:val="both"/>
        <w:rPr>
          <w:rFonts w:ascii="Verdana" w:eastAsia="Aptos" w:hAnsi="Verdana" w:cs="Times New Roman"/>
          <w:sz w:val="20"/>
          <w:szCs w:val="20"/>
        </w:rPr>
      </w:pPr>
    </w:p>
    <w:p w14:paraId="74F8C473" w14:textId="77777777" w:rsidR="00BC7D7E" w:rsidRDefault="00BC7D7E" w:rsidP="00BC7D7E">
      <w:pPr>
        <w:spacing w:after="0" w:line="240" w:lineRule="auto"/>
        <w:jc w:val="both"/>
        <w:rPr>
          <w:rFonts w:ascii="Verdana" w:eastAsia="Aptos" w:hAnsi="Verdana" w:cs="Times New Roman"/>
          <w:sz w:val="20"/>
          <w:szCs w:val="20"/>
        </w:rPr>
      </w:pPr>
    </w:p>
    <w:p w14:paraId="0695692A" w14:textId="77777777" w:rsidR="00BC7D7E" w:rsidRDefault="00BC7D7E" w:rsidP="00BC7D7E">
      <w:pPr>
        <w:spacing w:after="0" w:line="240" w:lineRule="auto"/>
        <w:jc w:val="both"/>
        <w:rPr>
          <w:rFonts w:ascii="Verdana" w:eastAsia="Aptos" w:hAnsi="Verdana" w:cs="Times New Roman"/>
          <w:sz w:val="20"/>
          <w:szCs w:val="20"/>
        </w:rPr>
      </w:pPr>
    </w:p>
    <w:p w14:paraId="2CF02DA0" w14:textId="77777777" w:rsidR="00BC7D7E" w:rsidRDefault="00BC7D7E" w:rsidP="00BC7D7E">
      <w:pPr>
        <w:spacing w:after="0" w:line="240" w:lineRule="auto"/>
        <w:jc w:val="both"/>
        <w:rPr>
          <w:rFonts w:ascii="Verdana" w:eastAsia="Aptos" w:hAnsi="Verdana" w:cs="Times New Roman"/>
          <w:sz w:val="20"/>
          <w:szCs w:val="20"/>
        </w:rPr>
      </w:pPr>
    </w:p>
    <w:p w14:paraId="151323E7" w14:textId="77777777" w:rsidR="00BC7D7E" w:rsidRDefault="00BC7D7E" w:rsidP="00BC7D7E">
      <w:pPr>
        <w:spacing w:after="0" w:line="240" w:lineRule="auto"/>
        <w:jc w:val="both"/>
        <w:rPr>
          <w:rFonts w:ascii="Verdana" w:eastAsia="Aptos" w:hAnsi="Verdana" w:cs="Times New Roman"/>
          <w:sz w:val="20"/>
          <w:szCs w:val="20"/>
        </w:rPr>
      </w:pPr>
    </w:p>
    <w:p w14:paraId="1A55010E" w14:textId="77777777" w:rsidR="00BC7D7E" w:rsidRDefault="00BC7D7E" w:rsidP="00BC7D7E">
      <w:pPr>
        <w:spacing w:after="0" w:line="240" w:lineRule="auto"/>
        <w:jc w:val="both"/>
        <w:rPr>
          <w:rFonts w:ascii="Verdana" w:eastAsia="Aptos" w:hAnsi="Verdana" w:cs="Times New Roman"/>
          <w:sz w:val="20"/>
          <w:szCs w:val="20"/>
        </w:rPr>
      </w:pPr>
    </w:p>
    <w:p w14:paraId="4A162909" w14:textId="77777777" w:rsidR="00BC7D7E" w:rsidRDefault="00BC7D7E" w:rsidP="00BC7D7E">
      <w:pPr>
        <w:spacing w:after="0" w:line="240" w:lineRule="auto"/>
        <w:jc w:val="both"/>
        <w:rPr>
          <w:rFonts w:ascii="Verdana" w:eastAsia="Aptos" w:hAnsi="Verdana" w:cs="Times New Roman"/>
          <w:sz w:val="20"/>
          <w:szCs w:val="20"/>
        </w:rPr>
      </w:pPr>
    </w:p>
    <w:p w14:paraId="4F312BE4" w14:textId="77777777" w:rsidR="00BC7D7E" w:rsidRDefault="00BC7D7E" w:rsidP="00BC7D7E">
      <w:pPr>
        <w:spacing w:after="0" w:line="240" w:lineRule="auto"/>
        <w:jc w:val="both"/>
        <w:rPr>
          <w:rFonts w:ascii="Verdana" w:eastAsia="Aptos" w:hAnsi="Verdana" w:cs="Times New Roman"/>
          <w:sz w:val="20"/>
          <w:szCs w:val="20"/>
        </w:rPr>
      </w:pPr>
    </w:p>
    <w:p w14:paraId="2C6D99B4" w14:textId="77777777" w:rsidR="00BC7D7E" w:rsidRDefault="00BC7D7E" w:rsidP="00BC7D7E">
      <w:pPr>
        <w:spacing w:after="0" w:line="240" w:lineRule="auto"/>
        <w:jc w:val="both"/>
        <w:rPr>
          <w:rFonts w:ascii="Verdana" w:eastAsia="Aptos" w:hAnsi="Verdana" w:cs="Times New Roman"/>
          <w:sz w:val="20"/>
          <w:szCs w:val="20"/>
        </w:rPr>
      </w:pPr>
    </w:p>
    <w:p w14:paraId="03AE59FF" w14:textId="77777777" w:rsidR="00BC7D7E" w:rsidRDefault="00BC7D7E" w:rsidP="00BC7D7E">
      <w:pPr>
        <w:spacing w:after="0" w:line="240" w:lineRule="auto"/>
        <w:jc w:val="both"/>
        <w:rPr>
          <w:rFonts w:ascii="Verdana" w:eastAsia="Aptos" w:hAnsi="Verdana" w:cs="Times New Roman"/>
          <w:sz w:val="20"/>
          <w:szCs w:val="20"/>
        </w:rPr>
      </w:pPr>
    </w:p>
    <w:p w14:paraId="52BF49AD" w14:textId="77777777" w:rsidR="00BC7D7E" w:rsidRDefault="00BC7D7E" w:rsidP="00BC7D7E">
      <w:pPr>
        <w:spacing w:after="0" w:line="240" w:lineRule="auto"/>
        <w:jc w:val="both"/>
        <w:rPr>
          <w:rFonts w:ascii="Verdana" w:eastAsia="Aptos" w:hAnsi="Verdana" w:cs="Times New Roman"/>
          <w:sz w:val="20"/>
          <w:szCs w:val="20"/>
        </w:rPr>
      </w:pPr>
    </w:p>
    <w:p w14:paraId="0F7A5AFA" w14:textId="77777777" w:rsidR="00BC7D7E" w:rsidRDefault="00BC7D7E" w:rsidP="00BC7D7E">
      <w:pPr>
        <w:spacing w:after="0" w:line="240" w:lineRule="auto"/>
        <w:jc w:val="both"/>
        <w:rPr>
          <w:rFonts w:ascii="Verdana" w:eastAsia="Aptos" w:hAnsi="Verdana" w:cs="Times New Roman"/>
          <w:sz w:val="20"/>
          <w:szCs w:val="20"/>
        </w:rPr>
      </w:pPr>
    </w:p>
    <w:p w14:paraId="6400D63A" w14:textId="77777777" w:rsidR="00BC7D7E" w:rsidRDefault="00BC7D7E" w:rsidP="00BC7D7E">
      <w:pPr>
        <w:spacing w:after="0" w:line="240" w:lineRule="auto"/>
        <w:jc w:val="both"/>
        <w:rPr>
          <w:rFonts w:ascii="Verdana" w:eastAsia="Aptos" w:hAnsi="Verdana" w:cs="Times New Roman"/>
          <w:sz w:val="20"/>
          <w:szCs w:val="20"/>
        </w:rPr>
      </w:pPr>
    </w:p>
    <w:p w14:paraId="0F274BC3" w14:textId="77777777" w:rsidR="00BC7D7E" w:rsidRDefault="00BC7D7E" w:rsidP="00BC7D7E">
      <w:pPr>
        <w:spacing w:after="0" w:line="240" w:lineRule="auto"/>
        <w:jc w:val="both"/>
        <w:rPr>
          <w:rFonts w:ascii="Verdana" w:eastAsia="Aptos" w:hAnsi="Verdana" w:cs="Times New Roman"/>
          <w:sz w:val="20"/>
          <w:szCs w:val="20"/>
        </w:rPr>
      </w:pPr>
    </w:p>
    <w:p w14:paraId="71921F66" w14:textId="77777777" w:rsidR="00BC7D7E" w:rsidRDefault="00BC7D7E" w:rsidP="00BC7D7E">
      <w:pPr>
        <w:spacing w:after="0" w:line="240" w:lineRule="auto"/>
        <w:jc w:val="both"/>
        <w:rPr>
          <w:rFonts w:ascii="Verdana" w:eastAsia="Aptos" w:hAnsi="Verdana" w:cs="Times New Roman"/>
          <w:sz w:val="20"/>
          <w:szCs w:val="20"/>
        </w:rPr>
      </w:pPr>
    </w:p>
    <w:p w14:paraId="0DCB88AA" w14:textId="77777777" w:rsidR="00BC7D7E" w:rsidRDefault="00BC7D7E" w:rsidP="00BC7D7E">
      <w:pPr>
        <w:spacing w:after="0" w:line="240" w:lineRule="auto"/>
        <w:jc w:val="both"/>
        <w:rPr>
          <w:rFonts w:ascii="Verdana" w:eastAsia="Aptos" w:hAnsi="Verdana" w:cs="Times New Roman"/>
          <w:sz w:val="20"/>
          <w:szCs w:val="20"/>
        </w:rPr>
      </w:pPr>
    </w:p>
    <w:p w14:paraId="544697EE" w14:textId="77777777" w:rsidR="00BC7D7E" w:rsidRDefault="00BC7D7E" w:rsidP="00BC7D7E">
      <w:pPr>
        <w:spacing w:after="0" w:line="240" w:lineRule="auto"/>
        <w:jc w:val="both"/>
        <w:rPr>
          <w:rFonts w:ascii="Verdana" w:eastAsia="Aptos" w:hAnsi="Verdana" w:cs="Times New Roman"/>
          <w:sz w:val="20"/>
          <w:szCs w:val="20"/>
        </w:rPr>
      </w:pPr>
    </w:p>
    <w:p w14:paraId="333F6BD0" w14:textId="62EC315F" w:rsidR="00BC7D7E" w:rsidRDefault="0014614D" w:rsidP="00BC7D7E">
      <w:pPr>
        <w:spacing w:after="0"/>
        <w:rPr>
          <w:rFonts w:ascii="Verdana" w:hAnsi="Verdana"/>
        </w:rPr>
      </w:pPr>
      <w:r>
        <w:rPr>
          <w:rFonts w:ascii="Verdana" w:hAnsi="Verdana"/>
        </w:rPr>
        <w:t>B</w:t>
      </w:r>
      <w:r w:rsidRPr="0044528D">
        <w:rPr>
          <w:rFonts w:ascii="Verdana" w:hAnsi="Verdana"/>
        </w:rPr>
        <w:t>ogotá D.C.,</w:t>
      </w:r>
      <w:r>
        <w:rPr>
          <w:rFonts w:ascii="Verdana" w:hAnsi="Verdana"/>
        </w:rPr>
        <w:t xml:space="preserve"> 14 de julio de 2025</w:t>
      </w:r>
    </w:p>
    <w:p w14:paraId="2317E90D" w14:textId="16A21DE5" w:rsidR="00BC7D7E" w:rsidRDefault="0032557F" w:rsidP="00BC7D7E">
      <w:pPr>
        <w:spacing w:after="0"/>
        <w:rPr>
          <w:rFonts w:ascii="Verdana" w:hAnsi="Verdana"/>
        </w:rPr>
      </w:pPr>
      <w:bookmarkStart w:id="2" w:name="_Hlk180638295"/>
      <w:bookmarkEnd w:id="0"/>
      <w:r>
        <w:rPr>
          <w:rFonts w:ascii="Verdana" w:hAnsi="Verdana"/>
          <w:noProof/>
        </w:rPr>
        <w:drawing>
          <wp:anchor distT="0" distB="0" distL="114300" distR="114300" simplePos="0" relativeHeight="251658240" behindDoc="1" locked="0" layoutInCell="1" allowOverlap="1" wp14:anchorId="221AD023" wp14:editId="0C1A7D5C">
            <wp:simplePos x="0" y="0"/>
            <wp:positionH relativeFrom="column">
              <wp:posOffset>2939415</wp:posOffset>
            </wp:positionH>
            <wp:positionV relativeFrom="paragraph">
              <wp:posOffset>128905</wp:posOffset>
            </wp:positionV>
            <wp:extent cx="3086100" cy="962025"/>
            <wp:effectExtent l="0" t="0" r="0" b="9525"/>
            <wp:wrapTight wrapText="bothSides">
              <wp:wrapPolygon edited="0">
                <wp:start x="0" y="0"/>
                <wp:lineTo x="0" y="21386"/>
                <wp:lineTo x="21467" y="21386"/>
                <wp:lineTo x="21467" y="0"/>
                <wp:lineTo x="0" y="0"/>
              </wp:wrapPolygon>
            </wp:wrapTight>
            <wp:docPr id="1679370987"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370987" name="Imagen 2" descr="Texto&#10;&#10;El contenido generado por IA puede ser incorrec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86100" cy="962025"/>
                    </a:xfrm>
                    <a:prstGeom prst="rect">
                      <a:avLst/>
                    </a:prstGeom>
                    <a:noFill/>
                    <a:ln>
                      <a:noFill/>
                    </a:ln>
                  </pic:spPr>
                </pic:pic>
              </a:graphicData>
            </a:graphic>
          </wp:anchor>
        </w:drawing>
      </w:r>
    </w:p>
    <w:p w14:paraId="67544D12" w14:textId="4F80D647" w:rsidR="00BC7D7E" w:rsidRDefault="00BC7D7E" w:rsidP="00BC7D7E">
      <w:pPr>
        <w:spacing w:after="0"/>
        <w:rPr>
          <w:rFonts w:ascii="Verdana" w:hAnsi="Verdana"/>
        </w:rPr>
      </w:pPr>
    </w:p>
    <w:p w14:paraId="623F4B05" w14:textId="461764E0" w:rsidR="0032557F" w:rsidRDefault="0032557F" w:rsidP="00BC7D7E">
      <w:pPr>
        <w:spacing w:after="0"/>
        <w:rPr>
          <w:rFonts w:ascii="Verdana" w:hAnsi="Verdana"/>
        </w:rPr>
      </w:pPr>
    </w:p>
    <w:p w14:paraId="4024EEA7" w14:textId="43AE73ED" w:rsidR="0032557F" w:rsidRDefault="0032557F" w:rsidP="00BC7D7E">
      <w:pPr>
        <w:spacing w:after="0"/>
        <w:rPr>
          <w:rFonts w:ascii="Verdana" w:hAnsi="Verdana"/>
        </w:rPr>
      </w:pPr>
    </w:p>
    <w:p w14:paraId="281D91F8" w14:textId="77777777" w:rsidR="00BC7D7E" w:rsidRDefault="00BC7D7E" w:rsidP="00BC7D7E">
      <w:pPr>
        <w:spacing w:after="0" w:line="240" w:lineRule="auto"/>
        <w:jc w:val="both"/>
        <w:rPr>
          <w:rFonts w:ascii="Verdana" w:eastAsia="Calibri" w:hAnsi="Verdana" w:cs="Arial"/>
          <w:lang w:eastAsia="es-ES"/>
        </w:rPr>
      </w:pPr>
      <w:bookmarkStart w:id="3" w:name="_Hlk181166167"/>
      <w:r w:rsidRPr="005E62E2">
        <w:rPr>
          <w:rFonts w:ascii="Verdana" w:eastAsia="Calibri" w:hAnsi="Verdana" w:cs="Arial"/>
          <w:lang w:eastAsia="es-ES"/>
        </w:rPr>
        <w:t>Señor</w:t>
      </w:r>
      <w:r>
        <w:rPr>
          <w:rFonts w:ascii="Verdana" w:eastAsia="Calibri" w:hAnsi="Verdana" w:cs="Arial"/>
          <w:lang w:eastAsia="es-ES"/>
        </w:rPr>
        <w:t>a</w:t>
      </w:r>
      <w:r w:rsidRPr="005E62E2">
        <w:rPr>
          <w:rFonts w:ascii="Verdana" w:eastAsia="Calibri" w:hAnsi="Verdana" w:cs="Arial"/>
          <w:lang w:eastAsia="es-ES"/>
        </w:rPr>
        <w:tab/>
      </w:r>
    </w:p>
    <w:p w14:paraId="11759630" w14:textId="77777777" w:rsidR="00BC7D7E" w:rsidRDefault="00BC7D7E" w:rsidP="00BC7D7E">
      <w:pPr>
        <w:spacing w:after="0" w:line="240" w:lineRule="auto"/>
        <w:rPr>
          <w:rFonts w:ascii="Verdana" w:eastAsia="Calibri" w:hAnsi="Verdana" w:cs="Arial"/>
          <w:b/>
          <w:bCs/>
          <w:lang w:eastAsia="es-ES"/>
        </w:rPr>
      </w:pPr>
      <w:r>
        <w:rPr>
          <w:rFonts w:ascii="Verdana" w:eastAsia="Calibri" w:hAnsi="Verdana" w:cs="Arial"/>
          <w:b/>
          <w:bCs/>
          <w:lang w:eastAsia="es-ES"/>
        </w:rPr>
        <w:t>Sandra Mónica Gaviria Martínez</w:t>
      </w:r>
    </w:p>
    <w:p w14:paraId="6586E8EA" w14:textId="366ED1AF" w:rsidR="00EE317E" w:rsidRPr="0032557F" w:rsidRDefault="00EE317E" w:rsidP="00BC7D7E">
      <w:pPr>
        <w:spacing w:after="0" w:line="240" w:lineRule="auto"/>
        <w:rPr>
          <w:rFonts w:ascii="Verdana" w:eastAsia="Calibri" w:hAnsi="Verdana" w:cs="Arial"/>
          <w:lang w:eastAsia="es-ES"/>
        </w:rPr>
      </w:pPr>
      <w:r w:rsidRPr="0032557F">
        <w:rPr>
          <w:rFonts w:ascii="Verdana" w:eastAsia="Calibri" w:hAnsi="Verdana" w:cs="Arial"/>
          <w:lang w:eastAsia="es-ES"/>
        </w:rPr>
        <w:t xml:space="preserve">Asesora </w:t>
      </w:r>
      <w:proofErr w:type="spellStart"/>
      <w:r w:rsidRPr="0032557F">
        <w:rPr>
          <w:rFonts w:ascii="Verdana" w:eastAsia="Calibri" w:hAnsi="Verdana" w:cs="Arial"/>
          <w:lang w:eastAsia="es-ES"/>
        </w:rPr>
        <w:t>juridica</w:t>
      </w:r>
      <w:proofErr w:type="spellEnd"/>
    </w:p>
    <w:p w14:paraId="456F2828" w14:textId="66BFC21E" w:rsidR="00EE0A42" w:rsidRDefault="00EE0A42" w:rsidP="00BC7D7E">
      <w:pPr>
        <w:spacing w:after="0" w:line="240" w:lineRule="auto"/>
        <w:rPr>
          <w:rFonts w:ascii="Verdana" w:eastAsia="Calibri" w:hAnsi="Verdana" w:cs="Arial"/>
          <w:b/>
          <w:bCs/>
          <w:lang w:eastAsia="es-ES"/>
        </w:rPr>
      </w:pPr>
      <w:r w:rsidRPr="00EE0A42">
        <w:rPr>
          <w:rFonts w:ascii="Verdana" w:eastAsia="Calibri" w:hAnsi="Verdana" w:cs="Arial"/>
          <w:b/>
          <w:bCs/>
          <w:lang w:eastAsia="es-ES"/>
        </w:rPr>
        <w:t xml:space="preserve">Corporación Nasa </w:t>
      </w:r>
      <w:proofErr w:type="spellStart"/>
      <w:r w:rsidRPr="00EE0A42">
        <w:rPr>
          <w:rFonts w:ascii="Verdana" w:eastAsia="Calibri" w:hAnsi="Verdana" w:cs="Arial"/>
          <w:b/>
          <w:bCs/>
          <w:lang w:eastAsia="es-ES"/>
        </w:rPr>
        <w:t>Kiwe</w:t>
      </w:r>
      <w:proofErr w:type="spellEnd"/>
    </w:p>
    <w:p w14:paraId="670F60AA" w14:textId="77777777" w:rsidR="00BC7D7E" w:rsidRPr="0032557F" w:rsidRDefault="00BC7D7E" w:rsidP="00BC7D7E">
      <w:pPr>
        <w:spacing w:after="0" w:line="240" w:lineRule="auto"/>
        <w:rPr>
          <w:rFonts w:ascii="Verdana" w:hAnsi="Verdana"/>
        </w:rPr>
      </w:pPr>
      <w:hyperlink r:id="rId12" w:history="1">
        <w:r w:rsidRPr="0032557F">
          <w:rPr>
            <w:rStyle w:val="Hipervnculo"/>
            <w:rFonts w:ascii="Verdana" w:hAnsi="Verdana"/>
          </w:rPr>
          <w:t>info@nasakiwe.gov.co</w:t>
        </w:r>
      </w:hyperlink>
      <w:r w:rsidRPr="0032557F">
        <w:rPr>
          <w:rFonts w:ascii="Verdana" w:hAnsi="Verdana"/>
        </w:rPr>
        <w:t xml:space="preserve"> </w:t>
      </w:r>
    </w:p>
    <w:p w14:paraId="53FC408F" w14:textId="10747976" w:rsidR="00BC7D7E" w:rsidRPr="0032557F" w:rsidRDefault="0064167D" w:rsidP="00BC7D7E">
      <w:pPr>
        <w:spacing w:after="0" w:line="240" w:lineRule="auto"/>
        <w:rPr>
          <w:rFonts w:ascii="Verdana" w:eastAsia="Calibri" w:hAnsi="Verdana" w:cs="Arial"/>
          <w:color w:val="000000"/>
          <w:lang w:val="en-US" w:eastAsia="es-ES_tradnl"/>
        </w:rPr>
      </w:pPr>
      <w:r w:rsidRPr="0032557F">
        <w:rPr>
          <w:rFonts w:ascii="Verdana" w:eastAsia="Calibri" w:hAnsi="Verdana" w:cs="Arial"/>
          <w:color w:val="000000"/>
          <w:lang w:val="en-US" w:eastAsia="es-ES_tradnl"/>
        </w:rPr>
        <w:t>P</w:t>
      </w:r>
      <w:r>
        <w:rPr>
          <w:rFonts w:ascii="Verdana" w:eastAsia="Calibri" w:hAnsi="Verdana" w:cs="Arial"/>
          <w:color w:val="000000"/>
          <w:lang w:val="en-US" w:eastAsia="es-ES_tradnl"/>
        </w:rPr>
        <w:t xml:space="preserve">opayan, </w:t>
      </w:r>
      <w:r w:rsidR="001648BF">
        <w:rPr>
          <w:rFonts w:ascii="Verdana" w:eastAsia="Calibri" w:hAnsi="Verdana" w:cs="Arial"/>
          <w:color w:val="000000"/>
          <w:lang w:val="en-US" w:eastAsia="es-ES_tradnl"/>
        </w:rPr>
        <w:t>Cauca</w:t>
      </w:r>
    </w:p>
    <w:p w14:paraId="0F458FE2" w14:textId="77777777" w:rsidR="00BC7D7E" w:rsidRPr="0032557F" w:rsidRDefault="00BC7D7E" w:rsidP="00BC7D7E">
      <w:pPr>
        <w:spacing w:after="0" w:line="240" w:lineRule="auto"/>
        <w:rPr>
          <w:rFonts w:ascii="Verdana" w:eastAsia="Calibri" w:hAnsi="Verdana" w:cs="Arial"/>
          <w:color w:val="000000"/>
          <w:lang w:val="en-US"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468"/>
        <w:gridCol w:w="336"/>
      </w:tblGrid>
      <w:tr w:rsidR="00BC7D7E" w:rsidRPr="00593A5F" w14:paraId="3C4E8885" w14:textId="77777777" w:rsidTr="0032557F">
        <w:trPr>
          <w:trHeight w:val="202"/>
        </w:trPr>
        <w:tc>
          <w:tcPr>
            <w:tcW w:w="2410" w:type="dxa"/>
          </w:tcPr>
          <w:p w14:paraId="7AAD9416" w14:textId="77777777" w:rsidR="00BC7D7E" w:rsidRPr="0032557F" w:rsidRDefault="00BC7D7E" w:rsidP="00851EFB">
            <w:pPr>
              <w:jc w:val="both"/>
              <w:rPr>
                <w:rFonts w:ascii="Verdana" w:eastAsia="Calibri" w:hAnsi="Verdana" w:cs="Arial"/>
                <w:b/>
                <w:bCs/>
                <w:color w:val="7030A0"/>
                <w:lang w:val="en-US" w:eastAsia="es-ES_tradnl"/>
              </w:rPr>
            </w:pPr>
          </w:p>
        </w:tc>
        <w:tc>
          <w:tcPr>
            <w:tcW w:w="6804" w:type="dxa"/>
            <w:gridSpan w:val="2"/>
          </w:tcPr>
          <w:p w14:paraId="548F17A0" w14:textId="77777777" w:rsidR="00BC7D7E" w:rsidRDefault="00BC7D7E" w:rsidP="00851EFB">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690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7016F8AA" w14:textId="77777777" w:rsidR="0064167D" w:rsidRPr="00E5644F" w:rsidRDefault="0064167D" w:rsidP="00851EFB">
            <w:pPr>
              <w:jc w:val="both"/>
              <w:rPr>
                <w:rFonts w:ascii="Verdana" w:eastAsia="Calibri" w:hAnsi="Verdana" w:cs="Arial"/>
                <w:b/>
                <w:bCs/>
                <w:color w:val="7030A0"/>
                <w:lang w:val="es-ES" w:eastAsia="es-ES"/>
              </w:rPr>
            </w:pPr>
          </w:p>
        </w:tc>
      </w:tr>
      <w:tr w:rsidR="00BC7D7E" w:rsidRPr="00A52DE7" w14:paraId="0315C23F" w14:textId="77777777" w:rsidTr="00851EFB">
        <w:trPr>
          <w:trHeight w:val="884"/>
        </w:trPr>
        <w:tc>
          <w:tcPr>
            <w:tcW w:w="2410" w:type="dxa"/>
          </w:tcPr>
          <w:p w14:paraId="2BD82C69" w14:textId="77777777" w:rsidR="00BC7D7E" w:rsidRPr="00593A5F" w:rsidRDefault="00BC7D7E" w:rsidP="00851EFB">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gridSpan w:val="2"/>
          </w:tcPr>
          <w:p w14:paraId="1F2C86AC" w14:textId="77777777" w:rsidR="00BC7D7E" w:rsidRPr="0003371F" w:rsidRDefault="00BC7D7E" w:rsidP="00851EFB">
            <w:pPr>
              <w:contextualSpacing/>
              <w:jc w:val="both"/>
              <w:rPr>
                <w:rFonts w:ascii="Verdana" w:eastAsia="Calibri" w:hAnsi="Verdana" w:cs="Arial"/>
                <w:bCs/>
                <w:lang w:val="es-ES_tradnl"/>
              </w:rPr>
            </w:pPr>
            <w:r>
              <w:rPr>
                <w:rFonts w:ascii="Verdana" w:eastAsia="Calibri" w:hAnsi="Verdana" w:cs="Arial"/>
                <w:lang w:eastAsia="es-ES"/>
              </w:rPr>
              <w:t xml:space="preserve">PRINCIPIO DE </w:t>
            </w:r>
            <w:r w:rsidRPr="009E1037">
              <w:rPr>
                <w:rFonts w:ascii="Verdana" w:eastAsia="Calibri" w:hAnsi="Verdana" w:cs="Arial"/>
              </w:rPr>
              <w:t>PUBLICIDAD –</w:t>
            </w:r>
            <w:r>
              <w:rPr>
                <w:rFonts w:ascii="Verdana" w:eastAsia="Calibri" w:hAnsi="Verdana" w:cs="Arial"/>
              </w:rPr>
              <w:t xml:space="preserve"> </w:t>
            </w:r>
            <w:r w:rsidRPr="0003371F">
              <w:rPr>
                <w:rFonts w:ascii="Verdana" w:eastAsia="Arial" w:hAnsi="Verdana" w:cs="Arial"/>
                <w:color w:val="000000" w:themeColor="text1"/>
                <w:lang w:val="es-ES"/>
              </w:rPr>
              <w:t>Derecho fundamental</w:t>
            </w:r>
            <w:r>
              <w:rPr>
                <w:rFonts w:ascii="Verdana" w:eastAsia="Arial" w:hAnsi="Verdana" w:cs="Arial"/>
                <w:color w:val="000000" w:themeColor="text1"/>
                <w:lang w:val="es-ES"/>
              </w:rPr>
              <w:t>-</w:t>
            </w:r>
            <w:r w:rsidRPr="009E1037">
              <w:rPr>
                <w:rFonts w:ascii="Verdana" w:eastAsia="Calibri" w:hAnsi="Verdana" w:cs="Arial"/>
              </w:rPr>
              <w:t xml:space="preserve"> Transparencia – </w:t>
            </w:r>
            <w:r>
              <w:rPr>
                <w:rFonts w:ascii="Verdana" w:eastAsia="Calibri" w:hAnsi="Verdana" w:cs="Arial"/>
              </w:rPr>
              <w:t xml:space="preserve">Ley 1150 de 2007 / PRINCIPIO DE PUBLICIDAD - </w:t>
            </w:r>
            <w:r w:rsidRPr="009E1037">
              <w:rPr>
                <w:rFonts w:ascii="Verdana" w:eastAsia="Calibri" w:hAnsi="Verdana" w:cs="Arial"/>
              </w:rPr>
              <w:t xml:space="preserve">Ley 1712 de 2014 </w:t>
            </w:r>
            <w:r w:rsidRPr="0003371F">
              <w:rPr>
                <w:rFonts w:ascii="Verdana" w:eastAsia="Calibri" w:hAnsi="Verdana" w:cs="Arial"/>
                <w:bCs/>
                <w:lang w:val="es-ES_tradnl"/>
              </w:rPr>
              <w:t xml:space="preserve">/ </w:t>
            </w:r>
            <w:r w:rsidRPr="0003371F">
              <w:rPr>
                <w:rFonts w:ascii="Verdana" w:eastAsia="Arial" w:hAnsi="Verdana" w:cs="Arial"/>
                <w:color w:val="000000" w:themeColor="text1"/>
                <w:lang w:val="es-ES"/>
              </w:rPr>
              <w:t xml:space="preserve">ACCESO A DOCUMENTACIÓN PÚBLICA </w:t>
            </w:r>
            <w:r>
              <w:rPr>
                <w:rFonts w:ascii="Verdana" w:eastAsia="Arial" w:hAnsi="Verdana" w:cs="Arial"/>
                <w:color w:val="000000" w:themeColor="text1"/>
                <w:lang w:val="es-ES"/>
              </w:rPr>
              <w:t>-</w:t>
            </w:r>
            <w:r w:rsidRPr="0003371F">
              <w:rPr>
                <w:rFonts w:ascii="Verdana" w:eastAsia="Arial" w:hAnsi="Verdana" w:cs="Arial"/>
                <w:color w:val="000000" w:themeColor="text1"/>
                <w:lang w:val="es-ES"/>
              </w:rPr>
              <w:t>Transparencia – Información contractual / SECOP – Deber de publicación – Información contractual</w:t>
            </w:r>
            <w:r>
              <w:rPr>
                <w:rFonts w:ascii="Verdana" w:eastAsia="Arial" w:hAnsi="Verdana" w:cs="Arial"/>
                <w:color w:val="000000" w:themeColor="text1"/>
                <w:lang w:val="es-ES"/>
              </w:rPr>
              <w:t xml:space="preserve"> / Ley 1150 de 2007 /</w:t>
            </w:r>
            <w:r w:rsidRPr="0003371F">
              <w:rPr>
                <w:rFonts w:ascii="Verdana" w:eastAsia="Arial" w:hAnsi="Verdana" w:cs="Arial"/>
                <w:color w:val="000000" w:themeColor="text1"/>
                <w:lang w:val="es-ES"/>
              </w:rPr>
              <w:t>DATOS SENSIBLES – Reserva – Excepción – SECOP</w:t>
            </w:r>
            <w:r>
              <w:rPr>
                <w:rFonts w:ascii="Verdana" w:eastAsia="Arial" w:hAnsi="Verdana" w:cs="Arial"/>
                <w:color w:val="000000" w:themeColor="text1"/>
                <w:lang w:val="es-ES"/>
              </w:rPr>
              <w:t xml:space="preserve"> </w:t>
            </w:r>
          </w:p>
          <w:p w14:paraId="0A3735C0" w14:textId="77777777" w:rsidR="00BC7D7E" w:rsidRPr="00A52DE7" w:rsidRDefault="00BC7D7E" w:rsidP="00851EFB">
            <w:pPr>
              <w:jc w:val="both"/>
              <w:rPr>
                <w:rFonts w:ascii="Verdana" w:eastAsia="Calibri" w:hAnsi="Verdana" w:cs="Arial"/>
                <w:b/>
                <w:highlight w:val="yellow"/>
                <w:lang w:val="es-ES" w:eastAsia="es-ES"/>
              </w:rPr>
            </w:pPr>
          </w:p>
        </w:tc>
      </w:tr>
      <w:tr w:rsidR="00BC7D7E" w:rsidRPr="00593A5F" w14:paraId="75CACB81" w14:textId="77777777" w:rsidTr="00851EFB">
        <w:tc>
          <w:tcPr>
            <w:tcW w:w="2410" w:type="dxa"/>
          </w:tcPr>
          <w:p w14:paraId="74C9A6E7" w14:textId="77777777" w:rsidR="00BC7D7E" w:rsidRPr="006730E9" w:rsidRDefault="00BC7D7E" w:rsidP="00851EFB">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gridSpan w:val="2"/>
          </w:tcPr>
          <w:p w14:paraId="7714D8B7" w14:textId="77777777" w:rsidR="00BC7D7E" w:rsidRPr="006730E9" w:rsidRDefault="00BC7D7E" w:rsidP="00851EFB">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565C05">
              <w:rPr>
                <w:rFonts w:ascii="Verdana" w:eastAsia="Calibri" w:hAnsi="Verdana" w:cs="Arial"/>
                <w:lang w:val="es-ES_tradnl" w:eastAsia="es-ES_tradnl"/>
              </w:rPr>
              <w:t>P20250529005247</w:t>
            </w:r>
            <w:r>
              <w:rPr>
                <w:rFonts w:ascii="Verdana" w:eastAsia="Calibri" w:hAnsi="Verdana" w:cs="Arial"/>
                <w:lang w:val="es-ES_tradnl" w:eastAsia="es-ES_tradnl"/>
              </w:rPr>
              <w:t>.</w:t>
            </w:r>
          </w:p>
        </w:tc>
      </w:tr>
      <w:tr w:rsidR="00BC7D7E" w:rsidRPr="00DB23D2" w14:paraId="6A2031F5" w14:textId="77777777" w:rsidTr="00851EFB">
        <w:trPr>
          <w:gridAfter w:val="1"/>
          <w:wAfter w:w="336" w:type="dxa"/>
          <w:trHeight w:val="233"/>
        </w:trPr>
        <w:tc>
          <w:tcPr>
            <w:tcW w:w="8878" w:type="dxa"/>
            <w:gridSpan w:val="2"/>
          </w:tcPr>
          <w:p w14:paraId="7FEE0AC5" w14:textId="77777777" w:rsidR="00BC7D7E" w:rsidRPr="00DB23D2" w:rsidRDefault="00BC7D7E" w:rsidP="00851EFB">
            <w:pPr>
              <w:spacing w:after="120" w:line="276" w:lineRule="auto"/>
              <w:jc w:val="both"/>
              <w:rPr>
                <w:rFonts w:ascii="Verdana" w:eastAsia="Calibri" w:hAnsi="Verdana" w:cs="Arial"/>
                <w:lang w:val="es-ES_tradnl" w:eastAsia="es-ES"/>
              </w:rPr>
            </w:pPr>
          </w:p>
        </w:tc>
      </w:tr>
    </w:tbl>
    <w:p w14:paraId="702970B9" w14:textId="77777777" w:rsidR="00BC7D7E" w:rsidRPr="006730E9" w:rsidRDefault="00BC7D7E" w:rsidP="00BC7D7E">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a </w:t>
      </w:r>
      <w:r w:rsidRPr="006730E9">
        <w:rPr>
          <w:rFonts w:ascii="Verdana" w:eastAsia="Calibri" w:hAnsi="Verdana" w:cs="Arial"/>
          <w:lang w:val="es-ES" w:eastAsia="es-ES"/>
        </w:rPr>
        <w:t>señor</w:t>
      </w:r>
      <w:r>
        <w:rPr>
          <w:rFonts w:ascii="Verdana" w:eastAsia="Calibri" w:hAnsi="Verdana" w:cs="Arial"/>
          <w:lang w:val="es-ES" w:eastAsia="es-ES"/>
        </w:rPr>
        <w:t>a Gaviria;</w:t>
      </w:r>
    </w:p>
    <w:p w14:paraId="00D6588E" w14:textId="77777777" w:rsidR="00BC7D7E" w:rsidRDefault="00BC7D7E" w:rsidP="00BC7D7E">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A0FF011" w14:textId="77777777" w:rsidR="00BC7D7E" w:rsidRPr="006730E9" w:rsidRDefault="00BC7D7E" w:rsidP="00BC7D7E">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w:t>
      </w:r>
      <w:r>
        <w:rPr>
          <w:rFonts w:ascii="Verdana" w:eastAsia="Calibri" w:hAnsi="Verdana" w:cs="Arial"/>
          <w:lang w:val="es-ES" w:eastAsia="es-ES"/>
        </w:rPr>
        <w:t xml:space="preserve">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 xml:space="preserve">29 </w:t>
      </w:r>
      <w:r w:rsidRPr="00E5644F">
        <w:rPr>
          <w:rFonts w:ascii="Verdana" w:eastAsia="Calibri" w:hAnsi="Verdana" w:cs="Arial"/>
          <w:lang w:val="es-ES" w:eastAsia="es-ES"/>
        </w:rPr>
        <w:t xml:space="preserve">de </w:t>
      </w:r>
      <w:r>
        <w:rPr>
          <w:rFonts w:ascii="Verdana" w:eastAsia="Calibri" w:hAnsi="Verdana" w:cs="Arial"/>
          <w:lang w:val="es-ES" w:eastAsia="es-ES"/>
        </w:rPr>
        <w:t>mayo</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107983A9" w14:textId="77777777" w:rsidR="00BC7D7E" w:rsidRPr="00326382" w:rsidRDefault="00BC7D7E" w:rsidP="00BC7D7E">
      <w:pPr>
        <w:spacing w:after="0" w:line="240" w:lineRule="auto"/>
        <w:ind w:left="709" w:right="474"/>
        <w:jc w:val="both"/>
        <w:rPr>
          <w:rFonts w:ascii="Verdana" w:hAnsi="Verdana" w:cs="Arial"/>
          <w:sz w:val="20"/>
          <w:szCs w:val="20"/>
          <w:shd w:val="clear" w:color="auto" w:fill="FFFFFF"/>
        </w:rPr>
      </w:pPr>
      <w:bookmarkStart w:id="4" w:name="_Hlk95313578"/>
    </w:p>
    <w:bookmarkEnd w:id="4"/>
    <w:p w14:paraId="20BCB447" w14:textId="5F645FF5" w:rsidR="00BC7D7E" w:rsidRDefault="00BC7D7E" w:rsidP="0032557F">
      <w:pPr>
        <w:tabs>
          <w:tab w:val="left" w:pos="142"/>
          <w:tab w:val="left" w:pos="567"/>
        </w:tabs>
        <w:spacing w:after="0" w:line="240" w:lineRule="auto"/>
        <w:ind w:left="709" w:right="709"/>
        <w:jc w:val="both"/>
        <w:rPr>
          <w:rFonts w:ascii="Verdana" w:eastAsia="Century Gothic" w:hAnsi="Verdana" w:cs="Century Gothic"/>
          <w:i/>
          <w:iCs/>
          <w:sz w:val="20"/>
          <w:szCs w:val="20"/>
        </w:rPr>
      </w:pPr>
      <w:r w:rsidRPr="00CD7324">
        <w:rPr>
          <w:rFonts w:ascii="Verdana" w:eastAsia="Century Gothic" w:hAnsi="Verdana" w:cs="Century Gothic"/>
          <w:i/>
          <w:iCs/>
          <w:sz w:val="20"/>
          <w:szCs w:val="20"/>
        </w:rPr>
        <w:t xml:space="preserve">“(…) </w:t>
      </w:r>
    </w:p>
    <w:p w14:paraId="025CBF05" w14:textId="77777777" w:rsidR="00BC7D7E" w:rsidRDefault="00BC7D7E" w:rsidP="00EF4629">
      <w:pPr>
        <w:tabs>
          <w:tab w:val="left" w:pos="142"/>
          <w:tab w:val="left" w:pos="567"/>
        </w:tabs>
        <w:spacing w:after="0" w:line="240" w:lineRule="auto"/>
        <w:ind w:left="709" w:right="709"/>
        <w:jc w:val="both"/>
        <w:rPr>
          <w:rFonts w:ascii="Verdana" w:eastAsia="Century Gothic" w:hAnsi="Verdana" w:cs="Century Gothic"/>
          <w:i/>
          <w:iCs/>
          <w:sz w:val="20"/>
          <w:szCs w:val="20"/>
          <w:lang w:val="es-MX"/>
        </w:rPr>
      </w:pPr>
      <w:r>
        <w:rPr>
          <w:rFonts w:ascii="Verdana" w:eastAsia="Century Gothic" w:hAnsi="Verdana" w:cs="Century Gothic"/>
          <w:i/>
          <w:iCs/>
          <w:sz w:val="20"/>
          <w:szCs w:val="20"/>
          <w:lang w:val="es-MX"/>
        </w:rPr>
        <w:t xml:space="preserve">Asunto: </w:t>
      </w:r>
      <w:r w:rsidRPr="00F57C92">
        <w:rPr>
          <w:rFonts w:ascii="Verdana" w:eastAsia="Century Gothic" w:hAnsi="Verdana" w:cs="Century Gothic"/>
          <w:i/>
          <w:iCs/>
          <w:sz w:val="20"/>
          <w:szCs w:val="20"/>
          <w:lang w:val="es-MX"/>
        </w:rPr>
        <w:t xml:space="preserve">Solicitud de concepto obligación de cargar en el </w:t>
      </w:r>
      <w:proofErr w:type="spellStart"/>
      <w:r>
        <w:rPr>
          <w:rFonts w:ascii="Verdana" w:eastAsia="Century Gothic" w:hAnsi="Verdana" w:cs="Century Gothic"/>
          <w:i/>
          <w:iCs/>
          <w:sz w:val="20"/>
          <w:szCs w:val="20"/>
          <w:lang w:val="es-MX"/>
        </w:rPr>
        <w:t>S</w:t>
      </w:r>
      <w:r w:rsidRPr="00F57C92">
        <w:rPr>
          <w:rFonts w:ascii="Verdana" w:eastAsia="Century Gothic" w:hAnsi="Verdana" w:cs="Century Gothic"/>
          <w:i/>
          <w:iCs/>
          <w:sz w:val="20"/>
          <w:szCs w:val="20"/>
          <w:lang w:val="es-MX"/>
        </w:rPr>
        <w:t>ec</w:t>
      </w:r>
      <w:r>
        <w:rPr>
          <w:rFonts w:ascii="Verdana" w:eastAsia="Century Gothic" w:hAnsi="Verdana" w:cs="Century Gothic"/>
          <w:i/>
          <w:iCs/>
          <w:sz w:val="20"/>
          <w:szCs w:val="20"/>
          <w:lang w:val="es-MX"/>
        </w:rPr>
        <w:t>op</w:t>
      </w:r>
      <w:proofErr w:type="spellEnd"/>
      <w:r w:rsidRPr="00F57C92">
        <w:rPr>
          <w:rFonts w:ascii="Verdana" w:eastAsia="Century Gothic" w:hAnsi="Verdana" w:cs="Century Gothic"/>
          <w:i/>
          <w:iCs/>
          <w:sz w:val="20"/>
          <w:szCs w:val="20"/>
          <w:lang w:val="es-MX"/>
        </w:rPr>
        <w:t xml:space="preserve"> </w:t>
      </w:r>
      <w:r>
        <w:rPr>
          <w:rFonts w:ascii="Verdana" w:eastAsia="Century Gothic" w:hAnsi="Verdana" w:cs="Century Gothic"/>
          <w:i/>
          <w:iCs/>
          <w:sz w:val="20"/>
          <w:szCs w:val="20"/>
          <w:lang w:val="es-MX"/>
        </w:rPr>
        <w:t>II</w:t>
      </w:r>
      <w:r w:rsidRPr="00F57C92">
        <w:rPr>
          <w:rFonts w:ascii="Verdana" w:eastAsia="Century Gothic" w:hAnsi="Verdana" w:cs="Century Gothic"/>
          <w:i/>
          <w:iCs/>
          <w:sz w:val="20"/>
          <w:szCs w:val="20"/>
          <w:lang w:val="es-MX"/>
        </w:rPr>
        <w:t xml:space="preserve"> comprobantes de egreso generados por SI</w:t>
      </w:r>
      <w:r>
        <w:rPr>
          <w:rFonts w:ascii="Verdana" w:eastAsia="Century Gothic" w:hAnsi="Verdana" w:cs="Century Gothic"/>
          <w:i/>
          <w:iCs/>
          <w:sz w:val="20"/>
          <w:szCs w:val="20"/>
          <w:lang w:val="es-MX"/>
        </w:rPr>
        <w:t>I</w:t>
      </w:r>
      <w:r w:rsidRPr="00F57C92">
        <w:rPr>
          <w:rFonts w:ascii="Verdana" w:eastAsia="Century Gothic" w:hAnsi="Verdana" w:cs="Century Gothic"/>
          <w:i/>
          <w:iCs/>
          <w:sz w:val="20"/>
          <w:szCs w:val="20"/>
          <w:lang w:val="es-MX"/>
        </w:rPr>
        <w:t>F nación de pagos realizados a contratistas</w:t>
      </w:r>
      <w:r>
        <w:rPr>
          <w:rFonts w:ascii="Verdana" w:eastAsia="Century Gothic" w:hAnsi="Verdana" w:cs="Century Gothic"/>
          <w:i/>
          <w:iCs/>
          <w:sz w:val="20"/>
          <w:szCs w:val="20"/>
          <w:lang w:val="es-MX"/>
        </w:rPr>
        <w:t>.</w:t>
      </w:r>
    </w:p>
    <w:p w14:paraId="405D80E5" w14:textId="77777777" w:rsidR="00EF4629" w:rsidRDefault="00EF4629" w:rsidP="0032557F">
      <w:pPr>
        <w:tabs>
          <w:tab w:val="left" w:pos="142"/>
          <w:tab w:val="left" w:pos="567"/>
        </w:tabs>
        <w:spacing w:after="0" w:line="240" w:lineRule="auto"/>
        <w:ind w:left="709" w:right="709"/>
        <w:jc w:val="both"/>
        <w:rPr>
          <w:rFonts w:ascii="Verdana" w:eastAsia="Century Gothic" w:hAnsi="Verdana" w:cs="Century Gothic"/>
          <w:i/>
          <w:iCs/>
          <w:sz w:val="20"/>
          <w:szCs w:val="20"/>
          <w:lang w:val="es-MX"/>
        </w:rPr>
      </w:pPr>
    </w:p>
    <w:p w14:paraId="3B18D146" w14:textId="77777777" w:rsidR="00BC7D7E" w:rsidRDefault="00BC7D7E" w:rsidP="0032557F">
      <w:pPr>
        <w:tabs>
          <w:tab w:val="left" w:pos="142"/>
          <w:tab w:val="left" w:pos="567"/>
        </w:tabs>
        <w:spacing w:after="0" w:line="240" w:lineRule="auto"/>
        <w:ind w:left="709" w:right="709"/>
        <w:jc w:val="both"/>
        <w:rPr>
          <w:rFonts w:ascii="Verdana" w:eastAsia="Century Gothic" w:hAnsi="Verdana" w:cs="Century Gothic"/>
          <w:i/>
          <w:iCs/>
          <w:sz w:val="20"/>
          <w:szCs w:val="20"/>
          <w:lang w:val="es-MX"/>
        </w:rPr>
      </w:pPr>
      <w:r>
        <w:rPr>
          <w:rFonts w:ascii="Verdana" w:eastAsia="Century Gothic" w:hAnsi="Verdana" w:cs="Century Gothic"/>
          <w:i/>
          <w:iCs/>
          <w:sz w:val="20"/>
          <w:szCs w:val="20"/>
          <w:lang w:val="es-MX"/>
        </w:rPr>
        <w:t>Cordial saludo</w:t>
      </w:r>
    </w:p>
    <w:p w14:paraId="7AD39607" w14:textId="77777777" w:rsidR="00EF4629" w:rsidRDefault="00EF4629" w:rsidP="00EF4629">
      <w:pPr>
        <w:tabs>
          <w:tab w:val="left" w:pos="142"/>
          <w:tab w:val="left" w:pos="567"/>
        </w:tabs>
        <w:spacing w:after="0" w:line="240" w:lineRule="auto"/>
        <w:ind w:left="709" w:right="709"/>
        <w:jc w:val="both"/>
        <w:rPr>
          <w:rFonts w:ascii="Verdana" w:eastAsia="Century Gothic" w:hAnsi="Verdana" w:cs="Century Gothic"/>
          <w:i/>
          <w:iCs/>
          <w:sz w:val="20"/>
          <w:szCs w:val="20"/>
          <w:lang w:val="es-MX"/>
        </w:rPr>
      </w:pPr>
    </w:p>
    <w:p w14:paraId="42213596" w14:textId="28C22DC5" w:rsidR="00BC7D7E" w:rsidRDefault="00BC7D7E" w:rsidP="00EF4629">
      <w:pPr>
        <w:tabs>
          <w:tab w:val="left" w:pos="142"/>
          <w:tab w:val="left" w:pos="567"/>
        </w:tabs>
        <w:spacing w:after="0" w:line="240" w:lineRule="auto"/>
        <w:ind w:left="709" w:right="709"/>
        <w:jc w:val="both"/>
        <w:rPr>
          <w:rFonts w:ascii="Verdana" w:eastAsia="Century Gothic" w:hAnsi="Verdana" w:cs="Century Gothic"/>
          <w:i/>
          <w:iCs/>
          <w:sz w:val="20"/>
          <w:szCs w:val="20"/>
          <w:lang w:val="es-MX"/>
        </w:rPr>
      </w:pPr>
      <w:r w:rsidRPr="00F57C92">
        <w:rPr>
          <w:rFonts w:ascii="Verdana" w:eastAsia="Century Gothic" w:hAnsi="Verdana" w:cs="Century Gothic"/>
          <w:i/>
          <w:iCs/>
          <w:sz w:val="20"/>
          <w:szCs w:val="20"/>
          <w:lang w:val="es-MX"/>
        </w:rPr>
        <w:lastRenderedPageBreak/>
        <w:t xml:space="preserve">Con el fin de tener claridad sobre los documentos que se deben subir en la plataforma se </w:t>
      </w:r>
      <w:proofErr w:type="spellStart"/>
      <w:r>
        <w:rPr>
          <w:rFonts w:ascii="Verdana" w:eastAsia="Century Gothic" w:hAnsi="Verdana" w:cs="Century Gothic"/>
          <w:i/>
          <w:iCs/>
          <w:sz w:val="20"/>
          <w:szCs w:val="20"/>
          <w:lang w:val="es-MX"/>
        </w:rPr>
        <w:t>Secop</w:t>
      </w:r>
      <w:proofErr w:type="spellEnd"/>
      <w:r>
        <w:rPr>
          <w:rFonts w:ascii="Verdana" w:eastAsia="Century Gothic" w:hAnsi="Verdana" w:cs="Century Gothic"/>
          <w:i/>
          <w:iCs/>
          <w:sz w:val="20"/>
          <w:szCs w:val="20"/>
          <w:lang w:val="es-MX"/>
        </w:rPr>
        <w:t xml:space="preserve"> II,</w:t>
      </w:r>
      <w:r w:rsidRPr="00F57C92">
        <w:rPr>
          <w:rFonts w:ascii="Verdana" w:eastAsia="Century Gothic" w:hAnsi="Verdana" w:cs="Century Gothic"/>
          <w:i/>
          <w:iCs/>
          <w:sz w:val="20"/>
          <w:szCs w:val="20"/>
          <w:lang w:val="es-MX"/>
        </w:rPr>
        <w:t xml:space="preserve"> en cumplimiento de las disposiciones vigentes sobre la publicidad de procesos contractuales, nos surge la inquietud sí las órdenes de pago de las actas parciales y</w:t>
      </w:r>
      <w:r>
        <w:rPr>
          <w:rFonts w:ascii="Verdana" w:eastAsia="Century Gothic" w:hAnsi="Verdana" w:cs="Century Gothic"/>
          <w:i/>
          <w:iCs/>
          <w:sz w:val="20"/>
          <w:szCs w:val="20"/>
          <w:lang w:val="es-MX"/>
        </w:rPr>
        <w:t>/</w:t>
      </w:r>
      <w:r w:rsidRPr="00F57C92">
        <w:rPr>
          <w:rFonts w:ascii="Verdana" w:eastAsia="Century Gothic" w:hAnsi="Verdana" w:cs="Century Gothic"/>
          <w:i/>
          <w:iCs/>
          <w:sz w:val="20"/>
          <w:szCs w:val="20"/>
          <w:lang w:val="es-MX"/>
        </w:rPr>
        <w:t>o final</w:t>
      </w:r>
      <w:r>
        <w:rPr>
          <w:rFonts w:ascii="Verdana" w:eastAsia="Century Gothic" w:hAnsi="Verdana" w:cs="Century Gothic"/>
          <w:i/>
          <w:iCs/>
          <w:sz w:val="20"/>
          <w:szCs w:val="20"/>
          <w:lang w:val="es-MX"/>
        </w:rPr>
        <w:t xml:space="preserve"> </w:t>
      </w:r>
      <w:r w:rsidRPr="00F57C92">
        <w:rPr>
          <w:rFonts w:ascii="Verdana" w:eastAsia="Century Gothic" w:hAnsi="Verdana" w:cs="Century Gothic"/>
          <w:i/>
          <w:iCs/>
          <w:sz w:val="20"/>
          <w:szCs w:val="20"/>
          <w:lang w:val="es-MX"/>
        </w:rPr>
        <w:t xml:space="preserve">y los comprobantes de egreso de actas parciales </w:t>
      </w:r>
      <w:r>
        <w:rPr>
          <w:rFonts w:ascii="Verdana" w:eastAsia="Century Gothic" w:hAnsi="Verdana" w:cs="Century Gothic"/>
          <w:i/>
          <w:iCs/>
          <w:sz w:val="20"/>
          <w:szCs w:val="20"/>
          <w:lang w:val="es-MX"/>
        </w:rPr>
        <w:t>y/o</w:t>
      </w:r>
      <w:r w:rsidRPr="00F57C92">
        <w:rPr>
          <w:rFonts w:ascii="Verdana" w:eastAsia="Century Gothic" w:hAnsi="Verdana" w:cs="Century Gothic"/>
          <w:i/>
          <w:iCs/>
          <w:sz w:val="20"/>
          <w:szCs w:val="20"/>
          <w:lang w:val="es-MX"/>
        </w:rPr>
        <w:t xml:space="preserve"> final de los contratos de obra como los comprobantes de egreso de los pagos realizados a contratistas de prestación de servicios, consultoría, arrendamientos, compra venta y suministros, documentos generados en la plataforma </w:t>
      </w:r>
      <w:r>
        <w:rPr>
          <w:rFonts w:ascii="Verdana" w:eastAsia="Century Gothic" w:hAnsi="Verdana" w:cs="Century Gothic"/>
          <w:i/>
          <w:iCs/>
          <w:sz w:val="20"/>
          <w:szCs w:val="20"/>
          <w:lang w:val="es-MX"/>
        </w:rPr>
        <w:t>SIIF</w:t>
      </w:r>
      <w:r w:rsidRPr="00F57C92">
        <w:rPr>
          <w:rFonts w:ascii="Verdana" w:eastAsia="Century Gothic" w:hAnsi="Verdana" w:cs="Century Gothic"/>
          <w:i/>
          <w:iCs/>
          <w:sz w:val="20"/>
          <w:szCs w:val="20"/>
          <w:lang w:val="es-MX"/>
        </w:rPr>
        <w:t xml:space="preserve"> nación y que contienen información confidencial sensible como número de cuenta bancaria, entidad bancaria </w:t>
      </w:r>
      <w:r>
        <w:rPr>
          <w:rFonts w:ascii="Verdana" w:eastAsia="Century Gothic" w:hAnsi="Verdana" w:cs="Century Gothic"/>
          <w:i/>
          <w:iCs/>
          <w:sz w:val="20"/>
          <w:szCs w:val="20"/>
          <w:lang w:val="es-MX"/>
        </w:rPr>
        <w:t>,</w:t>
      </w:r>
      <w:r w:rsidRPr="00F57C92">
        <w:rPr>
          <w:rFonts w:ascii="Verdana" w:eastAsia="Century Gothic" w:hAnsi="Verdana" w:cs="Century Gothic"/>
          <w:i/>
          <w:iCs/>
          <w:sz w:val="20"/>
          <w:szCs w:val="20"/>
          <w:lang w:val="es-MX"/>
        </w:rPr>
        <w:t xml:space="preserve"> número de cédula, nombre del beneficiario y valor pagado</w:t>
      </w:r>
      <w:r>
        <w:rPr>
          <w:rFonts w:ascii="Verdana" w:eastAsia="Century Gothic" w:hAnsi="Verdana" w:cs="Century Gothic"/>
          <w:i/>
          <w:iCs/>
          <w:sz w:val="20"/>
          <w:szCs w:val="20"/>
          <w:lang w:val="es-MX"/>
        </w:rPr>
        <w:t>.</w:t>
      </w:r>
      <w:r w:rsidRPr="00F57C92">
        <w:rPr>
          <w:rFonts w:ascii="Verdana" w:eastAsia="Century Gothic" w:hAnsi="Verdana" w:cs="Century Gothic"/>
          <w:i/>
          <w:iCs/>
          <w:sz w:val="20"/>
          <w:szCs w:val="20"/>
          <w:lang w:val="es-MX"/>
        </w:rPr>
        <w:t xml:space="preserve"> </w:t>
      </w:r>
      <w:r>
        <w:rPr>
          <w:rFonts w:ascii="Verdana" w:eastAsia="Century Gothic" w:hAnsi="Verdana" w:cs="Century Gothic"/>
          <w:i/>
          <w:iCs/>
          <w:sz w:val="20"/>
          <w:szCs w:val="20"/>
          <w:lang w:val="es-MX"/>
        </w:rPr>
        <w:t>¿</w:t>
      </w:r>
      <w:r w:rsidRPr="00F57C92">
        <w:rPr>
          <w:rFonts w:ascii="Verdana" w:eastAsia="Century Gothic" w:hAnsi="Verdana" w:cs="Century Gothic"/>
          <w:i/>
          <w:iCs/>
          <w:sz w:val="20"/>
          <w:szCs w:val="20"/>
          <w:lang w:val="es-MX"/>
        </w:rPr>
        <w:t xml:space="preserve">Se deben subir en la plataforma </w:t>
      </w:r>
      <w:proofErr w:type="spellStart"/>
      <w:r>
        <w:rPr>
          <w:rFonts w:ascii="Verdana" w:eastAsia="Century Gothic" w:hAnsi="Verdana" w:cs="Century Gothic"/>
          <w:i/>
          <w:iCs/>
          <w:sz w:val="20"/>
          <w:szCs w:val="20"/>
          <w:lang w:val="es-MX"/>
        </w:rPr>
        <w:t>S</w:t>
      </w:r>
      <w:r w:rsidRPr="00F57C92">
        <w:rPr>
          <w:rFonts w:ascii="Verdana" w:eastAsia="Century Gothic" w:hAnsi="Verdana" w:cs="Century Gothic"/>
          <w:i/>
          <w:iCs/>
          <w:sz w:val="20"/>
          <w:szCs w:val="20"/>
          <w:lang w:val="es-MX"/>
        </w:rPr>
        <w:t>eco</w:t>
      </w:r>
      <w:r>
        <w:rPr>
          <w:rFonts w:ascii="Verdana" w:eastAsia="Century Gothic" w:hAnsi="Verdana" w:cs="Century Gothic"/>
          <w:i/>
          <w:iCs/>
          <w:sz w:val="20"/>
          <w:szCs w:val="20"/>
          <w:lang w:val="es-MX"/>
        </w:rPr>
        <w:t>p</w:t>
      </w:r>
      <w:proofErr w:type="spellEnd"/>
      <w:r>
        <w:rPr>
          <w:rFonts w:ascii="Verdana" w:eastAsia="Century Gothic" w:hAnsi="Verdana" w:cs="Century Gothic"/>
          <w:i/>
          <w:iCs/>
          <w:sz w:val="20"/>
          <w:szCs w:val="20"/>
          <w:lang w:val="es-MX"/>
        </w:rPr>
        <w:t xml:space="preserve"> II</w:t>
      </w:r>
      <w:r w:rsidRPr="00F57C92">
        <w:rPr>
          <w:rFonts w:ascii="Verdana" w:eastAsia="Century Gothic" w:hAnsi="Verdana" w:cs="Century Gothic"/>
          <w:i/>
          <w:iCs/>
          <w:sz w:val="20"/>
          <w:szCs w:val="20"/>
          <w:lang w:val="es-MX"/>
        </w:rPr>
        <w:t xml:space="preserve"> y ser sujetos de publicidad?</w:t>
      </w:r>
    </w:p>
    <w:p w14:paraId="4D8258F9" w14:textId="77777777" w:rsidR="00EF4629" w:rsidRDefault="00EF4629" w:rsidP="0032557F">
      <w:pPr>
        <w:tabs>
          <w:tab w:val="left" w:pos="142"/>
          <w:tab w:val="left" w:pos="567"/>
        </w:tabs>
        <w:spacing w:after="0" w:line="240" w:lineRule="auto"/>
        <w:ind w:left="709" w:right="709"/>
        <w:jc w:val="both"/>
        <w:rPr>
          <w:rFonts w:ascii="Verdana" w:eastAsia="Century Gothic" w:hAnsi="Verdana" w:cs="Century Gothic"/>
          <w:i/>
          <w:iCs/>
          <w:sz w:val="20"/>
          <w:szCs w:val="20"/>
        </w:rPr>
      </w:pPr>
    </w:p>
    <w:p w14:paraId="0F118D18" w14:textId="77777777" w:rsidR="00BC7D7E" w:rsidRPr="00CD7324" w:rsidRDefault="00BC7D7E" w:rsidP="0032557F">
      <w:pPr>
        <w:tabs>
          <w:tab w:val="left" w:pos="142"/>
          <w:tab w:val="left" w:pos="567"/>
        </w:tabs>
        <w:spacing w:after="0" w:line="240" w:lineRule="auto"/>
        <w:ind w:left="709" w:right="709"/>
        <w:jc w:val="both"/>
        <w:rPr>
          <w:rFonts w:ascii="Verdana" w:eastAsia="Century Gothic" w:hAnsi="Verdana" w:cs="Century Gothic"/>
          <w:i/>
          <w:iCs/>
          <w:sz w:val="20"/>
          <w:szCs w:val="20"/>
        </w:rPr>
      </w:pPr>
      <w:r w:rsidRPr="00CD7324">
        <w:rPr>
          <w:rFonts w:ascii="Verdana" w:eastAsia="Century Gothic" w:hAnsi="Verdana" w:cs="Century Gothic"/>
          <w:i/>
          <w:iCs/>
          <w:sz w:val="20"/>
          <w:szCs w:val="20"/>
        </w:rPr>
        <w:t>(…)”</w:t>
      </w:r>
      <w:r>
        <w:rPr>
          <w:rFonts w:ascii="Verdana" w:eastAsia="Century Gothic" w:hAnsi="Verdana" w:cs="Century Gothic"/>
          <w:i/>
          <w:iCs/>
          <w:sz w:val="20"/>
          <w:szCs w:val="20"/>
        </w:rPr>
        <w:t>.</w:t>
      </w:r>
      <w:r w:rsidRPr="00CD7324">
        <w:rPr>
          <w:rFonts w:ascii="Verdana" w:eastAsia="Century Gothic" w:hAnsi="Verdana" w:cs="Century Gothic"/>
          <w:i/>
          <w:iCs/>
          <w:sz w:val="20"/>
          <w:szCs w:val="20"/>
        </w:rPr>
        <w:t xml:space="preserve"> </w:t>
      </w:r>
    </w:p>
    <w:p w14:paraId="2BD740E1" w14:textId="77777777" w:rsidR="00EF4629" w:rsidRDefault="00EF4629" w:rsidP="0032557F">
      <w:pPr>
        <w:spacing w:after="0" w:line="276" w:lineRule="auto"/>
        <w:ind w:firstLine="709"/>
        <w:jc w:val="both"/>
        <w:rPr>
          <w:rFonts w:ascii="Verdana" w:eastAsia="Calibri" w:hAnsi="Verdana" w:cs="Arial"/>
          <w:lang w:val="es-ES" w:eastAsia="es-ES"/>
        </w:rPr>
      </w:pPr>
    </w:p>
    <w:p w14:paraId="2F5E7DC7" w14:textId="7D291353" w:rsidR="00BC7D7E" w:rsidRPr="00AA3B9F" w:rsidRDefault="00BC7D7E" w:rsidP="00BC7D7E">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570C0DA3" w14:textId="77777777" w:rsidR="00BC7D7E" w:rsidRPr="00AA3B9F" w:rsidRDefault="00BC7D7E" w:rsidP="00BC7D7E">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r w:rsidRPr="00E21BD1">
        <w:t xml:space="preserve"> </w:t>
      </w:r>
    </w:p>
    <w:p w14:paraId="047417F6" w14:textId="77777777" w:rsidR="00BC7D7E" w:rsidRDefault="00BC7D7E" w:rsidP="0032557F">
      <w:pPr>
        <w:pStyle w:val="Prrafodelista"/>
        <w:tabs>
          <w:tab w:val="left" w:pos="142"/>
          <w:tab w:val="left" w:pos="284"/>
        </w:tabs>
        <w:spacing w:after="0" w:line="276" w:lineRule="auto"/>
        <w:ind w:left="425" w:right="1185"/>
        <w:jc w:val="both"/>
        <w:rPr>
          <w:rFonts w:ascii="Verdana" w:eastAsia="Century Gothic" w:hAnsi="Verdana" w:cs="Century Gothic"/>
          <w:i/>
          <w:iCs/>
          <w:lang w:val="es-CO"/>
        </w:rPr>
      </w:pPr>
    </w:p>
    <w:p w14:paraId="74C7E180" w14:textId="77777777" w:rsidR="00BC7D7E" w:rsidRDefault="00BC7D7E" w:rsidP="003C07B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3322E0FD" w14:textId="77777777" w:rsidR="00BC7D7E" w:rsidRDefault="00BC7D7E" w:rsidP="003C07B0">
      <w:pPr>
        <w:pStyle w:val="Prrafodelista"/>
        <w:tabs>
          <w:tab w:val="left" w:pos="142"/>
          <w:tab w:val="left" w:pos="284"/>
        </w:tabs>
        <w:spacing w:after="0" w:line="276" w:lineRule="auto"/>
        <w:ind w:left="0"/>
        <w:jc w:val="both"/>
        <w:rPr>
          <w:rFonts w:ascii="Verdana" w:eastAsia="Century Gothic" w:hAnsi="Verdana" w:cs="Century Gothic"/>
          <w:b/>
          <w:bCs/>
        </w:rPr>
      </w:pPr>
    </w:p>
    <w:p w14:paraId="5C1E1C8E" w14:textId="302FB7A3" w:rsidR="00BC7D7E" w:rsidRDefault="00BC7D7E" w:rsidP="003C07B0">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bookmarkStart w:id="5" w:name="_Hlk196737317"/>
      <w:r>
        <w:rPr>
          <w:rFonts w:ascii="Verdana" w:eastAsia="Calibri" w:hAnsi="Verdana" w:cs="Arial"/>
          <w:lang w:eastAsia="es-ES"/>
        </w:rPr>
        <w:t xml:space="preserve"> </w:t>
      </w:r>
      <w:r w:rsidR="00371137">
        <w:rPr>
          <w:rFonts w:ascii="Verdana" w:eastAsia="Calibri" w:hAnsi="Verdana" w:cs="Arial"/>
          <w:lang w:eastAsia="es-ES"/>
        </w:rPr>
        <w:t xml:space="preserve">i) ¿Cuáles </w:t>
      </w:r>
      <w:r w:rsidR="00B359B7">
        <w:rPr>
          <w:rFonts w:ascii="Verdana" w:eastAsia="Calibri" w:hAnsi="Verdana" w:cs="Arial"/>
          <w:lang w:eastAsia="es-ES"/>
        </w:rPr>
        <w:t>son los documentos que deben cargarse en el SECOP</w:t>
      </w:r>
      <w:r w:rsidR="009B3EE7">
        <w:rPr>
          <w:rFonts w:ascii="Verdana" w:eastAsia="Calibri" w:hAnsi="Verdana" w:cs="Arial"/>
          <w:lang w:eastAsia="es-ES"/>
        </w:rPr>
        <w:t xml:space="preserve"> para cumplir con el deber de publicidad impuesto en el ordenamiento </w:t>
      </w:r>
      <w:r w:rsidR="009B3EE7">
        <w:rPr>
          <w:rFonts w:ascii="Verdana" w:eastAsia="Calibri" w:hAnsi="Verdana" w:cs="Arial"/>
          <w:lang w:eastAsia="es-ES"/>
        </w:rPr>
        <w:lastRenderedPageBreak/>
        <w:t>jurídico</w:t>
      </w:r>
      <w:r w:rsidR="00B359B7">
        <w:rPr>
          <w:rFonts w:ascii="Verdana" w:eastAsia="Calibri" w:hAnsi="Verdana" w:cs="Arial"/>
          <w:lang w:eastAsia="es-ES"/>
        </w:rPr>
        <w:t xml:space="preserve">?; </w:t>
      </w:r>
      <w:proofErr w:type="spellStart"/>
      <w:r w:rsidR="00B359B7">
        <w:rPr>
          <w:rFonts w:ascii="Verdana" w:eastAsia="Calibri" w:hAnsi="Verdana" w:cs="Arial"/>
          <w:lang w:eastAsia="es-ES"/>
        </w:rPr>
        <w:t>ii</w:t>
      </w:r>
      <w:proofErr w:type="spellEnd"/>
      <w:r w:rsidR="00B359B7">
        <w:rPr>
          <w:rFonts w:ascii="Verdana" w:eastAsia="Calibri" w:hAnsi="Verdana" w:cs="Arial"/>
          <w:lang w:eastAsia="es-ES"/>
        </w:rPr>
        <w:t xml:space="preserve">) </w:t>
      </w:r>
      <w:r>
        <w:rPr>
          <w:rFonts w:ascii="Verdana" w:eastAsia="Century Gothic" w:hAnsi="Verdana" w:cs="Century Gothic"/>
        </w:rPr>
        <w:t>¿Cuáles son los documentos que tienen carácter de reserva y no deben ser publicados en el SECOP II</w:t>
      </w:r>
      <w:r w:rsidRPr="00737D0F">
        <w:rPr>
          <w:rFonts w:ascii="Verdana" w:eastAsia="Century Gothic" w:hAnsi="Verdana" w:cs="Century Gothic"/>
        </w:rPr>
        <w:t>?</w:t>
      </w:r>
    </w:p>
    <w:p w14:paraId="0A3A5AD7" w14:textId="77777777" w:rsidR="00BC7D7E" w:rsidRDefault="00BC7D7E" w:rsidP="003C07B0">
      <w:pPr>
        <w:pStyle w:val="Prrafodelista"/>
        <w:tabs>
          <w:tab w:val="left" w:pos="142"/>
          <w:tab w:val="left" w:pos="284"/>
        </w:tabs>
        <w:spacing w:after="0" w:line="276" w:lineRule="auto"/>
        <w:ind w:left="0"/>
        <w:jc w:val="both"/>
        <w:rPr>
          <w:rFonts w:ascii="Verdana" w:eastAsia="Century Gothic" w:hAnsi="Verdana" w:cs="Century Gothic"/>
        </w:rPr>
      </w:pPr>
    </w:p>
    <w:p w14:paraId="6953DAE2" w14:textId="77777777" w:rsidR="00BC7D7E" w:rsidRDefault="00BC7D7E" w:rsidP="003C07B0">
      <w:pPr>
        <w:pStyle w:val="Prrafodelista"/>
        <w:tabs>
          <w:tab w:val="left" w:pos="142"/>
          <w:tab w:val="left" w:pos="284"/>
        </w:tabs>
        <w:spacing w:after="0" w:line="276" w:lineRule="auto"/>
        <w:ind w:left="0"/>
        <w:jc w:val="both"/>
        <w:rPr>
          <w:rFonts w:ascii="Verdana" w:eastAsia="Calibri" w:hAnsi="Verdana" w:cs="Arial"/>
          <w:lang w:val="es-CO" w:eastAsia="es-ES"/>
        </w:rPr>
      </w:pPr>
    </w:p>
    <w:bookmarkEnd w:id="5"/>
    <w:p w14:paraId="5100FB06" w14:textId="77777777" w:rsidR="00BC7D7E" w:rsidRPr="00593A5F" w:rsidRDefault="00BC7D7E" w:rsidP="003C07B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DAAF6BD" w14:textId="77777777" w:rsidR="00BC7D7E" w:rsidRPr="00593A5F" w:rsidRDefault="00BC7D7E" w:rsidP="003C07B0">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C7D7E" w:rsidRPr="00593A5F" w14:paraId="6D3C8108" w14:textId="77777777" w:rsidTr="00851EFB">
        <w:tc>
          <w:tcPr>
            <w:tcW w:w="8828" w:type="dxa"/>
          </w:tcPr>
          <w:p w14:paraId="3EA2F03A" w14:textId="77777777" w:rsidR="00400C19" w:rsidRPr="00AD6B46" w:rsidRDefault="00400C19" w:rsidP="0032557F">
            <w:pPr>
              <w:spacing w:line="276" w:lineRule="auto"/>
              <w:jc w:val="both"/>
              <w:rPr>
                <w:rFonts w:ascii="Verdana" w:eastAsia="Calibri" w:hAnsi="Verdana" w:cs="Arial"/>
                <w:lang w:val="es-ES" w:eastAsia="es-ES_tradnl"/>
              </w:rPr>
            </w:pPr>
            <w:r w:rsidRPr="00AD6B46">
              <w:rPr>
                <w:rFonts w:ascii="Verdana" w:eastAsia="Calibri" w:hAnsi="Verdana" w:cs="Arial"/>
                <w:lang w:val="es-ES" w:eastAsia="es-ES_tradnl"/>
              </w:rPr>
              <w:t>Respecto a los problemas jurídicos, objeto de su consulta, se expresa lo siguiente:</w:t>
            </w:r>
          </w:p>
          <w:p w14:paraId="4C323166" w14:textId="77777777" w:rsidR="007452E8" w:rsidRDefault="007452E8" w:rsidP="0032557F">
            <w:pPr>
              <w:spacing w:line="276" w:lineRule="auto"/>
              <w:jc w:val="both"/>
              <w:rPr>
                <w:rFonts w:ascii="Verdana" w:eastAsia="Calibri" w:hAnsi="Verdana" w:cs="Arial"/>
                <w:lang w:val="es-ES" w:eastAsia="es-ES_tradnl"/>
              </w:rPr>
            </w:pPr>
          </w:p>
          <w:p w14:paraId="0BE6C002" w14:textId="61FEF3A0" w:rsidR="00400C19" w:rsidRPr="00AD6B46" w:rsidRDefault="00400C19" w:rsidP="0032557F">
            <w:pPr>
              <w:spacing w:after="120" w:line="276" w:lineRule="auto"/>
              <w:jc w:val="both"/>
              <w:rPr>
                <w:rFonts w:ascii="Verdana" w:eastAsia="Times New Roman" w:hAnsi="Verdana" w:cs="Arial"/>
                <w:lang w:val="es-ES_tradnl" w:eastAsia="es-ES_tradnl"/>
                <w14:ligatures w14:val="standardContextual"/>
              </w:rPr>
            </w:pPr>
            <w:r w:rsidRPr="00AD6B46">
              <w:rPr>
                <w:rFonts w:ascii="Verdana" w:eastAsia="Calibri" w:hAnsi="Verdana" w:cs="Arial"/>
                <w:lang w:val="es-ES" w:eastAsia="es-ES_tradnl"/>
              </w:rPr>
              <w:t>i</w:t>
            </w:r>
            <w:r w:rsidR="00AF2A63">
              <w:rPr>
                <w:rFonts w:ascii="Verdana" w:eastAsia="Calibri" w:hAnsi="Verdana" w:cs="Arial"/>
                <w:lang w:val="es-ES" w:eastAsia="es-ES_tradnl"/>
              </w:rPr>
              <w:t>) L</w:t>
            </w:r>
            <w:r w:rsidRPr="00AD6B46">
              <w:rPr>
                <w:rFonts w:ascii="Verdana" w:eastAsia="Times New Roman" w:hAnsi="Verdana" w:cs="Arial"/>
                <w:lang w:val="es-ES_tradnl" w:eastAsia="es-ES_tradnl"/>
                <w14:ligatures w14:val="standardContextual"/>
              </w:rPr>
              <w:t xml:space="preserve">as </w:t>
            </w:r>
            <w:r w:rsidR="002D362C" w:rsidRPr="00AD6B46">
              <w:rPr>
                <w:rFonts w:ascii="Verdana" w:eastAsia="Times New Roman" w:hAnsi="Verdana" w:cs="Arial"/>
                <w:lang w:val="es-ES_tradnl" w:eastAsia="es-ES_tradnl"/>
                <w14:ligatures w14:val="standardContextual"/>
              </w:rPr>
              <w:t>entidades estatales</w:t>
            </w:r>
            <w:r w:rsidRPr="00AD6B46">
              <w:rPr>
                <w:rFonts w:ascii="Verdana" w:eastAsia="Times New Roman" w:hAnsi="Verdana" w:cs="Arial"/>
                <w:lang w:val="es-ES_tradnl" w:eastAsia="es-ES_tradnl"/>
                <w14:ligatures w14:val="standardContextual"/>
              </w:rPr>
              <w:t>, conforme al artículo 2.2.1.1.1.7.1 del Decreto 1082 de 2015, tienen la obligación de publicar en el SECOP “[…] los Documentos del Proceso y los actos administrativos del Proceso de Contratación, dentro de los tres (3) días siguientes a su expedición […]”. Al respecto, la</w:t>
            </w:r>
            <w:r w:rsidRPr="00AD6B46">
              <w:rPr>
                <w:rFonts w:ascii="Verdana" w:hAnsi="Verdana" w:cs="Arial"/>
                <w:shd w:val="clear" w:color="auto" w:fill="FFFFFF"/>
              </w:rPr>
              <w:t xml:space="preserve"> expresión </w:t>
            </w:r>
            <w:r w:rsidRPr="00AD6B46">
              <w:rPr>
                <w:rFonts w:ascii="Verdana" w:hAnsi="Verdana" w:cs="Arial"/>
                <w:i/>
                <w:iCs/>
                <w:shd w:val="clear" w:color="auto" w:fill="FFFFFF"/>
              </w:rPr>
              <w:t xml:space="preserve">Documentos del Proceso </w:t>
            </w:r>
            <w:r w:rsidRPr="00AD6B46">
              <w:rPr>
                <w:rFonts w:ascii="Verdana" w:hAnsi="Verdana" w:cs="Arial"/>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AD6B46">
              <w:rPr>
                <w:rFonts w:ascii="Verdana" w:hAnsi="Verdana" w:cs="Arial"/>
                <w:i/>
                <w:iCs/>
                <w:shd w:val="clear" w:color="auto" w:fill="FFFFFF"/>
              </w:rPr>
              <w:t>y cualquier otro documento expedido por la Entidad Estatal durante el Proceso de Contratación</w:t>
            </w:r>
            <w:r w:rsidRPr="00AD6B46">
              <w:rPr>
                <w:rFonts w:ascii="Verdana" w:hAnsi="Verdana" w:cs="Arial"/>
                <w:shd w:val="clear" w:color="auto" w:fill="FFFFFF"/>
              </w:rPr>
              <w:t>”. [Énfasis fuera de texto]</w:t>
            </w:r>
          </w:p>
          <w:p w14:paraId="2E60C586" w14:textId="584B1179" w:rsidR="00400C19" w:rsidRDefault="00400C19" w:rsidP="007452E8">
            <w:pPr>
              <w:tabs>
                <w:tab w:val="left" w:pos="709"/>
              </w:tabs>
              <w:spacing w:after="120" w:line="276" w:lineRule="auto"/>
              <w:ind w:firstLine="709"/>
              <w:jc w:val="both"/>
              <w:rPr>
                <w:rFonts w:ascii="Verdana" w:hAnsi="Verdana" w:cs="Arial"/>
                <w:shd w:val="clear" w:color="auto" w:fill="FFFFFF"/>
              </w:rPr>
            </w:pPr>
            <w:r w:rsidRPr="00AD6B46">
              <w:rPr>
                <w:rFonts w:ascii="Verdana" w:hAnsi="Verdana" w:cs="Arial"/>
                <w:shd w:val="clear" w:color="auto" w:fill="FFFFFF"/>
              </w:rPr>
              <w:t xml:space="preserve">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se refiere a los documentos “expedidos por la entidad estatal” durante el proceso de contratación, excluyendo de la noción de </w:t>
            </w:r>
            <w:r w:rsidR="008630D9" w:rsidRPr="00AD6B46">
              <w:rPr>
                <w:rFonts w:ascii="Verdana" w:hAnsi="Verdana" w:cs="Arial"/>
                <w:shd w:val="clear" w:color="auto" w:fill="FFFFFF"/>
              </w:rPr>
              <w:t xml:space="preserve">documentos del proceso </w:t>
            </w:r>
            <w:r w:rsidRPr="00AD6B46">
              <w:rPr>
                <w:rFonts w:ascii="Verdana" w:hAnsi="Verdana" w:cs="Arial"/>
                <w:shd w:val="clear" w:color="auto" w:fill="FFFFFF"/>
              </w:rPr>
              <w:t xml:space="preserve">los expedidos por un sujeto distinto a la entidad, salvo la oferta, la cual se incluye expresamente en el referido artículo 2.2.1.1.1.3. </w:t>
            </w:r>
          </w:p>
          <w:p w14:paraId="680F4A31" w14:textId="7D9015B2" w:rsidR="008630D9" w:rsidRDefault="008630D9" w:rsidP="0032557F">
            <w:pPr>
              <w:tabs>
                <w:tab w:val="left" w:pos="709"/>
              </w:tabs>
              <w:spacing w:line="276" w:lineRule="auto"/>
              <w:ind w:firstLine="709"/>
              <w:jc w:val="both"/>
              <w:rPr>
                <w:rFonts w:ascii="Verdana" w:hAnsi="Verdana" w:cs="Arial"/>
                <w:shd w:val="clear" w:color="auto" w:fill="FFFFFF"/>
              </w:rPr>
            </w:pPr>
            <w:r w:rsidRPr="00AD6B46">
              <w:rPr>
                <w:rFonts w:ascii="Verdana" w:hAnsi="Verdana" w:cs="Arial"/>
                <w:shd w:val="clear" w:color="auto" w:fill="FFFFFF"/>
              </w:rPr>
              <w:t xml:space="preserve">En ese sentido, </w:t>
            </w:r>
            <w:r>
              <w:rPr>
                <w:rFonts w:ascii="Verdana" w:hAnsi="Verdana" w:cs="Arial"/>
                <w:shd w:val="clear" w:color="auto" w:fill="FFFFFF"/>
              </w:rPr>
              <w:t xml:space="preserve">se concluye que, </w:t>
            </w:r>
            <w:r w:rsidRPr="00AD6B46">
              <w:rPr>
                <w:rFonts w:ascii="Verdana" w:hAnsi="Verdana" w:cs="Arial"/>
                <w:shd w:val="clear" w:color="auto" w:fill="FFFFFF"/>
              </w:rPr>
              <w:t xml:space="preserve">la interpretación sistemática de los preceptos del Decreto 1082 de 2015, de acuerdo con el principio de publicidad, inicialmente, indica que las entidades estatales tienen la obligación de publicar todos los documentos que expidan con ocasión del </w:t>
            </w:r>
            <w:r w:rsidR="00384686" w:rsidRPr="00AD6B46">
              <w:rPr>
                <w:rFonts w:ascii="Verdana" w:hAnsi="Verdana" w:cs="Arial"/>
                <w:shd w:val="clear" w:color="auto" w:fill="FFFFFF"/>
              </w:rPr>
              <w:t>proceso de contratación</w:t>
            </w:r>
            <w:r w:rsidR="00384686">
              <w:rPr>
                <w:rFonts w:ascii="Verdana" w:hAnsi="Verdana" w:cs="Arial"/>
                <w:shd w:val="clear" w:color="auto" w:fill="FFFFFF"/>
              </w:rPr>
              <w:t xml:space="preserve">. </w:t>
            </w:r>
            <w:r w:rsidR="00384686" w:rsidRPr="00AD6B46">
              <w:rPr>
                <w:rFonts w:ascii="Verdana" w:hAnsi="Verdana" w:cs="Arial"/>
                <w:shd w:val="clear" w:color="auto" w:fill="FFFFFF"/>
              </w:rPr>
              <w:t xml:space="preserve">Es </w:t>
            </w:r>
            <w:r w:rsidRPr="00AD6B46">
              <w:rPr>
                <w:rFonts w:ascii="Verdana" w:hAnsi="Verdana" w:cs="Arial"/>
                <w:shd w:val="clear" w:color="auto" w:fill="FFFFFF"/>
              </w:rPr>
              <w:t xml:space="preserve">decir, que todos los documentos expedidos por la entidad durante las etapas precontractual, de ejecución y </w:t>
            </w:r>
            <w:proofErr w:type="spellStart"/>
            <w:r w:rsidRPr="00AD6B46">
              <w:rPr>
                <w:rFonts w:ascii="Verdana" w:hAnsi="Verdana" w:cs="Arial"/>
                <w:shd w:val="clear" w:color="auto" w:fill="FFFFFF"/>
              </w:rPr>
              <w:t>postcontractual</w:t>
            </w:r>
            <w:proofErr w:type="spellEnd"/>
            <w:r w:rsidRPr="00AD6B46">
              <w:rPr>
                <w:rFonts w:ascii="Verdana" w:hAnsi="Verdana" w:cs="Arial"/>
                <w:shd w:val="clear" w:color="auto" w:fill="FFFFFF"/>
              </w:rPr>
              <w:t xml:space="preserve"> deberán publicarse en SECOP dentro de los tres (3) días siguientes a su expedición, para cumplir el </w:t>
            </w:r>
            <w:r w:rsidRPr="00AD6B46">
              <w:rPr>
                <w:rFonts w:ascii="Verdana" w:hAnsi="Verdana" w:cs="Arial"/>
                <w:shd w:val="clear" w:color="auto" w:fill="FFFFFF"/>
              </w:rPr>
              <w:lastRenderedPageBreak/>
              <w:t>deber de publicidad regulado por el artículo 2.2.1.1.1.7.1. del Decreto 1082 de 2015.</w:t>
            </w:r>
            <w:r>
              <w:rPr>
                <w:rFonts w:ascii="Verdana" w:hAnsi="Verdana" w:cs="Arial"/>
                <w:shd w:val="clear" w:color="auto" w:fill="FFFFFF"/>
              </w:rPr>
              <w:t xml:space="preserve"> Dentro de esos documentos se encuentran de la ejecución contractual se encuentra la </w:t>
            </w:r>
            <w:r w:rsidRPr="00123B54">
              <w:rPr>
                <w:rFonts w:ascii="Verdana" w:hAnsi="Verdana" w:cs="Arial"/>
                <w:shd w:val="clear" w:color="auto" w:fill="FFFFFF"/>
              </w:rPr>
              <w:t>constancia de pago, es decir</w:t>
            </w:r>
            <w:r>
              <w:rPr>
                <w:rFonts w:ascii="Verdana" w:hAnsi="Verdana" w:cs="Arial"/>
                <w:shd w:val="clear" w:color="auto" w:fill="FFFFFF"/>
              </w:rPr>
              <w:t>,</w:t>
            </w:r>
            <w:r w:rsidRPr="00123B54">
              <w:rPr>
                <w:rFonts w:ascii="Verdana" w:hAnsi="Verdana" w:cs="Arial"/>
                <w:shd w:val="clear" w:color="auto" w:fill="FFFFFF"/>
              </w:rPr>
              <w:t xml:space="preserve"> la orden de pago que arroja la plataforma SIIF</w:t>
            </w:r>
            <w:r>
              <w:rPr>
                <w:rFonts w:ascii="Verdana" w:hAnsi="Verdana" w:cs="Arial"/>
                <w:shd w:val="clear" w:color="auto" w:fill="FFFFFF"/>
              </w:rPr>
              <w:t xml:space="preserve">. </w:t>
            </w:r>
          </w:p>
          <w:p w14:paraId="30C04E06" w14:textId="77777777" w:rsidR="000B26A0" w:rsidRDefault="000B26A0" w:rsidP="0032557F">
            <w:pPr>
              <w:spacing w:line="276" w:lineRule="auto"/>
              <w:jc w:val="both"/>
              <w:rPr>
                <w:rFonts w:ascii="Verdana" w:eastAsia="Calibri" w:hAnsi="Verdana" w:cs="Arial"/>
                <w:lang w:eastAsia="es-ES"/>
              </w:rPr>
            </w:pPr>
          </w:p>
          <w:p w14:paraId="5B86E6E5" w14:textId="3E966531" w:rsidR="00BC7D7E" w:rsidRPr="001C5618" w:rsidRDefault="000B26A0" w:rsidP="00C64A05">
            <w:pPr>
              <w:spacing w:after="120" w:line="276" w:lineRule="auto"/>
              <w:jc w:val="both"/>
              <w:rPr>
                <w:rFonts w:ascii="Verdana" w:eastAsia="Calibri" w:hAnsi="Verdana" w:cs="Arial"/>
                <w:lang w:val="es-ES" w:eastAsia="es-ES"/>
              </w:rPr>
            </w:pPr>
            <w:proofErr w:type="spellStart"/>
            <w:r>
              <w:rPr>
                <w:rFonts w:ascii="Verdana" w:eastAsia="Calibri" w:hAnsi="Verdana" w:cs="Arial"/>
                <w:lang w:eastAsia="es-ES"/>
              </w:rPr>
              <w:t>ii</w:t>
            </w:r>
            <w:proofErr w:type="spellEnd"/>
            <w:r>
              <w:rPr>
                <w:rFonts w:ascii="Verdana" w:eastAsia="Calibri" w:hAnsi="Verdana" w:cs="Arial"/>
                <w:lang w:eastAsia="es-ES"/>
              </w:rPr>
              <w:t xml:space="preserve">) </w:t>
            </w:r>
            <w:r w:rsidR="006313F6">
              <w:rPr>
                <w:rFonts w:ascii="Verdana" w:eastAsia="Calibri" w:hAnsi="Verdana" w:cs="Arial"/>
                <w:lang w:val="es-ES" w:eastAsia="es-ES"/>
              </w:rPr>
              <w:t>E</w:t>
            </w:r>
            <w:r w:rsidR="00BC7D7E" w:rsidRPr="001C5618">
              <w:rPr>
                <w:rFonts w:ascii="Verdana" w:eastAsia="Calibri" w:hAnsi="Verdana" w:cs="Arial"/>
                <w:lang w:val="es-ES" w:eastAsia="es-ES"/>
              </w:rPr>
              <w:t>l cumplimiento del deber de publicación de la documentación contractual debe armonizarse con las normas aplicables al tipo de información que estas contienen. En efecto, el principio o regla general consiste en la máxima publicidad de la información pública y lo excepcional es la reserva, razón por la cual el artículo 21 de la Ley 1712 de 2014 incluso exige la divulgación parcial de la información contenida en un documento, cuando este contenga parte de información sometida a reserva, pero también incluya información que no esté afectada por la reserva. Además, dicha disposición establece que la reserva de acceso a la información opera respecto al contenido de un documento público, pero no respecto de su existencia. Sin perjuicio de lo anterior, es posible que el contenido de todo el documento o expediente no deba ser objeto de publicidad por estar amparado de forma íntegra por la reserva, dada su conexión con las causales establecidas en la Constitución o la ley.</w:t>
            </w:r>
          </w:p>
          <w:p w14:paraId="6154C3BE" w14:textId="2AB4ED35" w:rsidR="00BC7D7E" w:rsidRPr="001C5618" w:rsidRDefault="00BC7D7E" w:rsidP="0032557F">
            <w:pPr>
              <w:spacing w:after="120" w:line="276" w:lineRule="auto"/>
              <w:ind w:firstLine="709"/>
              <w:jc w:val="both"/>
              <w:rPr>
                <w:rFonts w:ascii="Verdana" w:eastAsia="Calibri" w:hAnsi="Verdana" w:cs="Arial"/>
                <w:lang w:val="es-ES" w:eastAsia="es-ES"/>
              </w:rPr>
            </w:pPr>
            <w:r w:rsidRPr="001C5618">
              <w:rPr>
                <w:rFonts w:ascii="Verdana" w:eastAsia="Calibri" w:hAnsi="Verdana" w:cs="Arial"/>
                <w:lang w:val="es-ES" w:eastAsia="es-ES"/>
              </w:rPr>
              <w:t>El enunciado constitucional, en armonía con los artículos 18 y 19 de la Ley 1712 de 2014 y los artículos 24 y 25 de la Ley 1437 de 2011, establecen que el derecho de acceso a la información o documentación pública no es absoluto, sino que puede exceptuarse cuando se configuren causales de reserva. Así mismo, hay información que goza de protección especial y no puede divulgarse. La información pública que contiene datos semiprivados o privados, definidos en los literales g) y h) del artículo 3° de la Ley 1266 de 2008, clasificados o reservados, según los artículos 18 y 19 de la Ley 1712 de 2014, o datos personales o sensibles, según lo previsto en los artículos 3° y 5° de la Ley 1581 de 2012 y en el numeral 3° del artículo 3° del Decreto 1377 de 2013, solo podrá divulgarse según las reglas establecidas en dichas normas. Pero esto no quiere decir que todo el documento se convierta en reservado, sino que se debe proceder como se indica a continuación.</w:t>
            </w:r>
          </w:p>
          <w:p w14:paraId="0BE64717" w14:textId="4AF9F58B" w:rsidR="00BC7D7E" w:rsidRPr="001C5618" w:rsidRDefault="00BC7D7E" w:rsidP="0032557F">
            <w:pPr>
              <w:spacing w:after="120" w:line="276" w:lineRule="auto"/>
              <w:ind w:firstLine="709"/>
              <w:jc w:val="both"/>
              <w:rPr>
                <w:rFonts w:ascii="Verdana" w:eastAsia="Calibri" w:hAnsi="Verdana" w:cs="Arial"/>
                <w:lang w:val="es-ES" w:eastAsia="es-ES"/>
              </w:rPr>
            </w:pPr>
            <w:r w:rsidRPr="001C5618">
              <w:rPr>
                <w:rFonts w:ascii="Verdana" w:eastAsia="Calibri" w:hAnsi="Verdana" w:cs="Arial"/>
                <w:lang w:val="es-ES" w:eastAsia="es-ES"/>
              </w:rPr>
              <w:t xml:space="preserve">Cuando el documento contractual tenga información sensible, clasificada o reservada, para proteger la información, las autoridades deben abstenerse de publicar en el SECOP la información que tiene protección especial. Por ello, la entidad estatal deberá excluir del documento entregado por el proponente o del contratista, la información que contenga datos </w:t>
            </w:r>
            <w:r w:rsidRPr="001C5618">
              <w:rPr>
                <w:rFonts w:ascii="Verdana" w:eastAsia="Calibri" w:hAnsi="Verdana" w:cs="Arial"/>
                <w:lang w:val="es-ES" w:eastAsia="es-ES"/>
              </w:rPr>
              <w:lastRenderedPageBreak/>
              <w:t>sensibles, clasificados o reservados, para no divulgarla, pero debe publicar las demás piezas o los apartados que no gozan de reserva o que no están protegidos por las disposiciones de habeas data.</w:t>
            </w:r>
          </w:p>
          <w:p w14:paraId="1C41E286" w14:textId="724DB16E" w:rsidR="00BC7D7E" w:rsidRDefault="00BC7D7E" w:rsidP="0032557F">
            <w:pPr>
              <w:spacing w:after="120" w:line="276" w:lineRule="auto"/>
              <w:ind w:firstLine="709"/>
              <w:jc w:val="both"/>
              <w:rPr>
                <w:rFonts w:ascii="Verdana" w:eastAsia="Calibri" w:hAnsi="Verdana" w:cs="Arial"/>
                <w:lang w:val="es-ES" w:eastAsia="es-ES"/>
              </w:rPr>
            </w:pPr>
            <w:r w:rsidRPr="001C5618">
              <w:rPr>
                <w:rFonts w:ascii="Verdana" w:eastAsia="Calibri" w:hAnsi="Verdana" w:cs="Arial"/>
                <w:lang w:val="es-ES" w:eastAsia="es-ES"/>
              </w:rPr>
              <w:t>A manera de ejemplo, podrían considerarse documentos con datos sensibles, clasificados o reservados, por ejemplo la hoja de vida, la cédula de ciudadanía, la tarjeta profesional, si aplica, el RUT, el certificado bancario, el examen médico ocupacional, la declaración de conflicto de intereses, el certificado REDAM, por lo que deben clasificarse y dejarse marcados en la plataforma SECOP II como “solicitud de confidencialidad”  por el proponente y, “confidencialidad“ por la entidad, sin embargo, se deben publicar las demás piezas de la oferta o los apartados que no gozan de reserva o que no están protegidos por las disposiciones de habeas data.</w:t>
            </w:r>
            <w:r>
              <w:t xml:space="preserve"> </w:t>
            </w:r>
          </w:p>
          <w:p w14:paraId="269BE5C1" w14:textId="299CC44B" w:rsidR="00BC7D7E" w:rsidRDefault="00BC7D7E" w:rsidP="0032557F">
            <w:pPr>
              <w:spacing w:after="120" w:line="276" w:lineRule="auto"/>
              <w:ind w:firstLine="709"/>
              <w:jc w:val="both"/>
            </w:pPr>
            <w:r>
              <w:rPr>
                <w:rFonts w:ascii="Verdana" w:eastAsia="Calibri" w:hAnsi="Verdana" w:cs="Arial"/>
                <w:bCs/>
                <w:color w:val="000000" w:themeColor="text1"/>
              </w:rPr>
              <w:t>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45C9E3FF" w14:textId="7E234A7B" w:rsidR="00BC7D7E" w:rsidRPr="00831CDD" w:rsidRDefault="00BC7D7E" w:rsidP="0032557F">
            <w:pPr>
              <w:spacing w:line="276" w:lineRule="auto"/>
              <w:ind w:firstLine="709"/>
              <w:jc w:val="both"/>
              <w:rPr>
                <w:rFonts w:ascii="Verdana" w:hAnsi="Verdana" w:cs="Arial"/>
                <w:bCs/>
                <w:color w:val="000000" w:themeColor="text1"/>
              </w:rPr>
            </w:pPr>
            <w:r w:rsidRPr="00521FBA">
              <w:rPr>
                <w:rFonts w:ascii="Verdana" w:eastAsia="Calibri" w:hAnsi="Verdana" w:cs="Arial"/>
                <w:lang w:val="es-ES" w:eastAsia="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081E3F8C" w14:textId="77777777" w:rsidR="00BC7D7E" w:rsidRDefault="00BC7D7E" w:rsidP="00A32106">
      <w:pPr>
        <w:tabs>
          <w:tab w:val="left" w:pos="142"/>
          <w:tab w:val="left" w:pos="284"/>
        </w:tabs>
        <w:spacing w:after="0" w:line="276" w:lineRule="auto"/>
        <w:jc w:val="both"/>
        <w:rPr>
          <w:rFonts w:ascii="Verdana" w:eastAsia="Century Gothic" w:hAnsi="Verdana" w:cs="Century Gothic"/>
          <w:b/>
          <w:bCs/>
          <w:lang w:val="es-ES"/>
        </w:rPr>
      </w:pPr>
    </w:p>
    <w:p w14:paraId="0B78A592" w14:textId="77777777" w:rsidR="00BC7D7E" w:rsidRPr="00593A5F" w:rsidRDefault="00BC7D7E" w:rsidP="00A3210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E747EFF" w14:textId="77777777" w:rsidR="00BC7D7E" w:rsidRDefault="00BC7D7E" w:rsidP="0032557F">
      <w:pPr>
        <w:spacing w:after="0" w:line="276" w:lineRule="auto"/>
        <w:ind w:firstLine="708"/>
        <w:jc w:val="both"/>
        <w:rPr>
          <w:rFonts w:ascii="Verdana" w:eastAsia="Calibri" w:hAnsi="Verdana" w:cs="Arial"/>
          <w:lang w:val="es-ES"/>
        </w:rPr>
      </w:pPr>
    </w:p>
    <w:p w14:paraId="4638D5E0" w14:textId="10662659" w:rsidR="00BC7D7E" w:rsidRPr="00D4693F" w:rsidRDefault="000A5CFE" w:rsidP="0032557F">
      <w:pPr>
        <w:spacing w:after="120" w:line="276" w:lineRule="auto"/>
        <w:jc w:val="both"/>
        <w:rPr>
          <w:rFonts w:ascii="Verdana" w:eastAsia="Arial" w:hAnsi="Verdana" w:cs="Arial"/>
          <w:lang w:val="es-ES"/>
        </w:rPr>
      </w:pPr>
      <w:r>
        <w:rPr>
          <w:rFonts w:ascii="Verdana" w:eastAsia="Calibri" w:hAnsi="Verdana" w:cs="Arial"/>
          <w:lang w:val="es-ES_tradnl"/>
        </w:rPr>
        <w:t xml:space="preserve">i) </w:t>
      </w:r>
      <w:r w:rsidR="00BC7D7E" w:rsidRPr="00AD58E3">
        <w:rPr>
          <w:rFonts w:ascii="Verdana" w:eastAsia="Calibri" w:hAnsi="Verdana" w:cs="Arial"/>
          <w:lang w:val="es-ES_tradnl"/>
        </w:rPr>
        <w:t xml:space="preserve">La Constitución Política de 1991 consagra en varios artículos la </w:t>
      </w:r>
      <w:r w:rsidR="00BC7D7E" w:rsidRPr="00AD58E3">
        <w:rPr>
          <w:rFonts w:ascii="Verdana" w:eastAsia="Calibri" w:hAnsi="Verdana" w:cs="Arial"/>
          <w:i/>
          <w:iCs/>
          <w:lang w:val="es-ES_tradnl"/>
        </w:rPr>
        <w:t>publicidad</w:t>
      </w:r>
      <w:r w:rsidR="00BC7D7E" w:rsidRPr="00AD58E3">
        <w:rPr>
          <w:rFonts w:ascii="Verdana" w:eastAsia="Calibri" w:hAnsi="Verdana" w:cs="Arial"/>
          <w:lang w:val="es-ES_tradnl"/>
        </w:rPr>
        <w:t xml:space="preserve"> como un principio rector del Estado colombiano. Entre </w:t>
      </w:r>
      <w:r w:rsidR="00BC7D7E" w:rsidRPr="00AD58E3">
        <w:rPr>
          <w:rFonts w:ascii="Verdana" w:eastAsia="Calibri" w:hAnsi="Verdana" w:cs="Arial"/>
          <w:color w:val="000000" w:themeColor="text1"/>
          <w:lang w:val="es-ES_tradnl"/>
        </w:rPr>
        <w:t xml:space="preserve">los más destacados, puede mencionarse el 209, que afirma que la publicidad es uno de los principios que fundamentan el ejercicio de la función administrativa. Asimismo, </w:t>
      </w:r>
      <w:r w:rsidR="00BC7D7E" w:rsidRPr="00D4693F">
        <w:rPr>
          <w:rFonts w:ascii="Verdana" w:eastAsia="Arial" w:hAnsi="Verdana" w:cs="Arial"/>
          <w:lang w:val="es-ES"/>
        </w:rPr>
        <w:t xml:space="preserve">el artículo 74 de la Constitución Política establece que: “Todas las personas tienen derecho </w:t>
      </w:r>
      <w:r w:rsidR="00BC7D7E" w:rsidRPr="00D4693F">
        <w:rPr>
          <w:rFonts w:ascii="Verdana" w:eastAsia="Arial" w:hAnsi="Verdana" w:cs="Arial"/>
          <w:lang w:val="es-ES"/>
        </w:rPr>
        <w:lastRenderedPageBreak/>
        <w:t xml:space="preserve">a acceder a los documentos públicos salvo los casos que establezca la ley”. Esta disposición constitucional consagra la garantía fundamental de acceso a la información y a la documentación pública, salvo causal de reserva expresamente prevista en la Constitución o en la Ley. </w:t>
      </w:r>
    </w:p>
    <w:p w14:paraId="0D71D908" w14:textId="2AED5DB3" w:rsidR="00BC7D7E" w:rsidRPr="00816504" w:rsidRDefault="00BC7D7E" w:rsidP="00DF2912">
      <w:pPr>
        <w:spacing w:after="120" w:line="276" w:lineRule="auto"/>
        <w:ind w:firstLine="709"/>
        <w:jc w:val="both"/>
        <w:rPr>
          <w:rFonts w:ascii="Verdana" w:eastAsia="Arial" w:hAnsi="Verdana" w:cs="Arial"/>
          <w:lang w:val="es-ES"/>
        </w:rPr>
      </w:pPr>
      <w:r w:rsidRPr="00D4693F">
        <w:rPr>
          <w:rFonts w:ascii="Verdana" w:eastAsia="Arial" w:hAnsi="Verdana" w:cs="Arial"/>
          <w:lang w:val="es-ES"/>
        </w:rPr>
        <w:t>El principio de publicidad impone a las autoridades administrativas el deber de dar a conocer sus actos, contratos y decisiones, para que se divulguen y, eventualmente, se controlen las actuaciones</w:t>
      </w:r>
      <w:r>
        <w:rPr>
          <w:rStyle w:val="Refdenotaalpie"/>
          <w:rFonts w:ascii="Verdana" w:eastAsia="Arial" w:hAnsi="Verdana" w:cs="Arial"/>
          <w:lang w:val="es-ES"/>
        </w:rPr>
        <w:footnoteReference w:id="2"/>
      </w:r>
      <w:r w:rsidRPr="00D4693F">
        <w:rPr>
          <w:rFonts w:ascii="Verdana" w:eastAsia="Arial" w:hAnsi="Verdana" w:cs="Arial"/>
          <w:lang w:val="es-ES"/>
        </w:rPr>
        <w:t xml:space="preserve">. </w:t>
      </w:r>
      <w:r w:rsidR="00BF50B3">
        <w:rPr>
          <w:rFonts w:ascii="Verdana" w:eastAsia="Arial" w:hAnsi="Verdana" w:cs="Arial"/>
          <w:lang w:val="es-ES"/>
        </w:rPr>
        <w:t>Por ello, en materia de contratación estatal, e</w:t>
      </w:r>
      <w:r w:rsidRPr="00D4693F">
        <w:rPr>
          <w:rFonts w:ascii="Verdana" w:eastAsia="Arial" w:hAnsi="Verdana" w:cs="Arial"/>
          <w:lang w:val="es-ES"/>
        </w:rPr>
        <w:t>l literal c) del artículo 3 de la Ley 1150 de 2007 establece que el Sistema Electrónico para la Contratación Pública –SECOP– “contará con la información oficial de la contratación realizada con dineros públicos, para lo cual establecerá los patrones a que haya lugar y se encargará de su difusión a través de canales electrónicos”</w:t>
      </w:r>
      <w:r w:rsidRPr="00816504">
        <w:rPr>
          <w:rFonts w:ascii="Verdana" w:eastAsia="Arial" w:hAnsi="Verdana" w:cs="Arial"/>
          <w:lang w:val="es-ES"/>
        </w:rPr>
        <w:t>.</w:t>
      </w:r>
    </w:p>
    <w:p w14:paraId="639FB589" w14:textId="6F30702B" w:rsidR="00BC7D7E" w:rsidRPr="00D4693F" w:rsidRDefault="006509C1" w:rsidP="00DF2912">
      <w:pPr>
        <w:spacing w:after="120" w:line="276" w:lineRule="auto"/>
        <w:ind w:firstLine="709"/>
        <w:jc w:val="both"/>
        <w:rPr>
          <w:rFonts w:ascii="Verdana" w:eastAsia="Arial" w:hAnsi="Verdana" w:cs="Arial"/>
          <w:lang w:val="es-ES"/>
        </w:rPr>
      </w:pPr>
      <w:r>
        <w:rPr>
          <w:rFonts w:ascii="Verdana" w:eastAsia="Arial" w:hAnsi="Verdana" w:cs="Arial"/>
          <w:lang w:val="es-ES"/>
        </w:rPr>
        <w:t>De este modo, d</w:t>
      </w:r>
      <w:r w:rsidR="00BC7D7E" w:rsidRPr="00D4693F">
        <w:rPr>
          <w:rFonts w:ascii="Verdana" w:eastAsia="Arial" w:hAnsi="Verdana" w:cs="Arial"/>
          <w:lang w:val="es-ES"/>
        </w:rPr>
        <w:t>el artículo 3 de la Ley 1150 de 2007 se desprende un deber de publicar las actuaciones contractuales, el cual implica que todas las entidades estatales, publiquen los documentos en los que se evidencia el desarrollo de sus procesos de contratación. Esto, como quiera que el objetivo del deber de dar publicidad a las actuaciones contractuales es materializar el derecho a conocer e intervenir de las decisiones de la Administración Pública.</w:t>
      </w:r>
    </w:p>
    <w:p w14:paraId="01043A5D" w14:textId="304C2126" w:rsidR="00BC7D7E" w:rsidRPr="00AD58E3" w:rsidRDefault="00BC7D7E" w:rsidP="00DF2912">
      <w:pPr>
        <w:spacing w:after="120" w:line="276" w:lineRule="auto"/>
        <w:ind w:firstLine="708"/>
        <w:jc w:val="both"/>
        <w:rPr>
          <w:rFonts w:ascii="Verdana" w:eastAsia="Times New Roman" w:hAnsi="Verdana" w:cs="Arial"/>
          <w:lang w:eastAsia="es-CO"/>
        </w:rPr>
      </w:pPr>
      <w:r w:rsidRPr="00D4693F">
        <w:rPr>
          <w:rFonts w:ascii="Verdana" w:eastAsia="Arial" w:hAnsi="Verdana" w:cs="Arial"/>
          <w:lang w:val="es-ES"/>
        </w:rPr>
        <w:t>De otra parte, la Ley 1712 de 2014</w:t>
      </w:r>
      <w:r>
        <w:rPr>
          <w:rStyle w:val="Refdenotaalpie"/>
          <w:rFonts w:ascii="Verdana" w:eastAsia="Arial" w:hAnsi="Verdana" w:cs="Arial"/>
          <w:lang w:val="es-ES"/>
        </w:rPr>
        <w:footnoteReference w:id="3"/>
      </w:r>
      <w:r w:rsidRPr="00D4693F">
        <w:rPr>
          <w:rFonts w:ascii="Verdana" w:eastAsia="Arial" w:hAnsi="Verdana" w:cs="Arial"/>
          <w:lang w:val="es-ES"/>
        </w:rPr>
        <w:t xml:space="preserve"> identifica como principios que orientan el derecho de acceso a la información pública los de máxima publicidad, de transparencia en la información y de buena fe. El principio de máxima publicidad establece que “toda información en posesión, bajo control o custodia de un sujeto obligado es pública y no podrá ser reservada o limitada sino por disposición constitucional o legal"</w:t>
      </w:r>
      <w:r>
        <w:rPr>
          <w:rStyle w:val="Refdenotaalpie"/>
          <w:rFonts w:ascii="Verdana" w:eastAsia="Arial" w:hAnsi="Verdana" w:cs="Arial"/>
          <w:lang w:val="es-ES"/>
        </w:rPr>
        <w:footnoteReference w:id="4"/>
      </w:r>
      <w:r w:rsidRPr="00D4693F">
        <w:rPr>
          <w:rFonts w:ascii="Verdana" w:eastAsia="Arial" w:hAnsi="Verdana" w:cs="Arial"/>
          <w:lang w:val="es-ES"/>
        </w:rPr>
        <w:t>. El principio de transparencia en la información alude al deber de los sujetos de proporcionar y facilitar el acceso a la misma en los términos más amplios posibles y</w:t>
      </w:r>
      <w:r w:rsidR="003F681E">
        <w:rPr>
          <w:rFonts w:ascii="Verdana" w:eastAsia="Arial" w:hAnsi="Verdana" w:cs="Arial"/>
          <w:lang w:val="es-ES"/>
        </w:rPr>
        <w:t>,</w:t>
      </w:r>
      <w:r w:rsidRPr="00D4693F">
        <w:rPr>
          <w:rFonts w:ascii="Verdana" w:eastAsia="Arial" w:hAnsi="Verdana" w:cs="Arial"/>
          <w:lang w:val="es-ES"/>
        </w:rPr>
        <w:t xml:space="preserve"> a través de los medios y </w:t>
      </w:r>
      <w:r w:rsidRPr="00D4693F">
        <w:rPr>
          <w:rFonts w:ascii="Verdana" w:eastAsia="Arial" w:hAnsi="Verdana" w:cs="Arial"/>
          <w:lang w:val="es-ES"/>
        </w:rPr>
        <w:lastRenderedPageBreak/>
        <w:t>procedimientos que establezca la ley</w:t>
      </w:r>
      <w:r w:rsidRPr="00AD58E3">
        <w:rPr>
          <w:rFonts w:ascii="Verdana" w:eastAsia="Times New Roman" w:hAnsi="Verdana" w:cs="Arial"/>
          <w:vertAlign w:val="superscript"/>
          <w:lang w:eastAsia="es-CO"/>
        </w:rPr>
        <w:footnoteReference w:id="5"/>
      </w:r>
      <w:r w:rsidRPr="00AD58E3">
        <w:rPr>
          <w:rFonts w:ascii="Verdana" w:eastAsia="Times New Roman" w:hAnsi="Verdana" w:cs="Arial"/>
          <w:lang w:eastAsia="es-CO"/>
        </w:rPr>
        <w:t>. Finalmente, el principio de buena fe hace referencia al deber de todo sujeto obligado de cumplir con las obligaciones derivadas del derecho de acceso a la información pública con motivación honesta, leal y desprovista de cualquier intención dolosa o culposa</w:t>
      </w:r>
      <w:r w:rsidRPr="00AD58E3">
        <w:rPr>
          <w:rFonts w:ascii="Verdana" w:eastAsia="Times New Roman" w:hAnsi="Verdana" w:cs="Arial"/>
          <w:vertAlign w:val="superscript"/>
          <w:lang w:eastAsia="es-CO"/>
        </w:rPr>
        <w:footnoteReference w:id="6"/>
      </w:r>
      <w:r w:rsidRPr="00AD58E3">
        <w:rPr>
          <w:rFonts w:ascii="Verdana" w:eastAsia="Times New Roman" w:hAnsi="Verdana" w:cs="Arial"/>
          <w:lang w:eastAsia="es-CO"/>
        </w:rPr>
        <w:t xml:space="preserve">. </w:t>
      </w:r>
    </w:p>
    <w:p w14:paraId="1A3FC35A" w14:textId="77777777" w:rsidR="00BC7D7E" w:rsidRDefault="00BC7D7E" w:rsidP="00DF2912">
      <w:pPr>
        <w:spacing w:after="120" w:line="276" w:lineRule="auto"/>
        <w:ind w:firstLine="709"/>
        <w:jc w:val="both"/>
        <w:rPr>
          <w:rFonts w:ascii="Verdana" w:eastAsia="Arial" w:hAnsi="Verdana" w:cs="Arial"/>
          <w:lang w:val="es-ES"/>
        </w:rPr>
      </w:pPr>
      <w:r w:rsidRPr="00D4693F">
        <w:rPr>
          <w:rFonts w:ascii="Verdana" w:eastAsia="Arial" w:hAnsi="Verdana" w:cs="Arial"/>
          <w:lang w:val="es-ES"/>
        </w:rPr>
        <w:t>La ley citada establece, en el literal e) del artículo 9, que los sujetos obligados, que son todas las entidades públicas, deben publicar la información relativa a su contratación</w:t>
      </w:r>
      <w:r w:rsidRPr="00AD58E3">
        <w:rPr>
          <w:rFonts w:ascii="Verdana" w:eastAsia="Times New Roman" w:hAnsi="Verdana" w:cs="Arial"/>
          <w:vertAlign w:val="superscript"/>
          <w:lang w:eastAsia="es-CO"/>
        </w:rPr>
        <w:footnoteReference w:id="7"/>
      </w:r>
      <w:r w:rsidRPr="00D4693F">
        <w:rPr>
          <w:rFonts w:ascii="Verdana" w:eastAsia="Arial" w:hAnsi="Verdana" w:cs="Arial"/>
          <w:lang w:val="es-ES"/>
        </w:rPr>
        <w:t xml:space="preserve">. </w:t>
      </w:r>
      <w:r w:rsidRPr="00AD58E3">
        <w:rPr>
          <w:rFonts w:ascii="Verdana" w:eastAsia="Arial MT" w:hAnsi="Verdana" w:cs="Arial"/>
          <w:lang w:val="es-ES"/>
        </w:rPr>
        <w:t xml:space="preserve">El artículo 5 </w:t>
      </w:r>
      <w:r w:rsidRPr="00AD58E3">
        <w:rPr>
          <w:rFonts w:ascii="Verdana" w:eastAsia="Arial MT" w:hAnsi="Verdana" w:cs="Arial"/>
          <w:i/>
          <w:iCs/>
          <w:lang w:val="es-ES"/>
        </w:rPr>
        <w:t>ibidem</w:t>
      </w:r>
      <w:r w:rsidRPr="00AD58E3">
        <w:rPr>
          <w:rFonts w:ascii="Verdana" w:eastAsia="Arial MT" w:hAnsi="Verdana" w:cs="Arial"/>
          <w:lang w:val="es-ES"/>
        </w:rPr>
        <w:t>, al describir qué se entiende por sujetos obligados, consagra una lista cuyo propósito es incluir a cualquier entidad, órgano, organismo, o persona natural que desempeñe funciones públicas o administre recursos públicos</w:t>
      </w:r>
      <w:r w:rsidRPr="00AD58E3">
        <w:rPr>
          <w:rFonts w:ascii="Verdana" w:eastAsia="Times New Roman" w:hAnsi="Verdana" w:cs="Arial"/>
          <w:vertAlign w:val="superscript"/>
          <w:lang w:eastAsia="es-CO"/>
        </w:rPr>
        <w:footnoteReference w:id="8"/>
      </w:r>
      <w:r w:rsidRPr="00AD58E3">
        <w:rPr>
          <w:rFonts w:ascii="Verdana" w:eastAsia="Arial MT" w:hAnsi="Verdana" w:cs="Arial"/>
          <w:lang w:val="es-ES"/>
        </w:rPr>
        <w:t>.</w:t>
      </w:r>
      <w:r w:rsidRPr="00AD58E3">
        <w:rPr>
          <w:rFonts w:ascii="Verdana" w:eastAsia="Times New Roman" w:hAnsi="Verdana" w:cs="Arial"/>
          <w:lang w:eastAsia="es-CO"/>
        </w:rPr>
        <w:t xml:space="preserve"> </w:t>
      </w:r>
      <w:r w:rsidRPr="00D4693F">
        <w:rPr>
          <w:rFonts w:ascii="Verdana" w:eastAsia="Arial" w:hAnsi="Verdana" w:cs="Arial"/>
          <w:lang w:val="es-ES"/>
        </w:rPr>
        <w:t>Asimismo, de acuerdo con el literal g) del artículo 11 de la misma Ley,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w:t>
      </w:r>
    </w:p>
    <w:p w14:paraId="765F9389" w14:textId="33DB795C" w:rsidR="00146C5B" w:rsidRPr="00CA409A" w:rsidRDefault="00146C5B" w:rsidP="0032557F">
      <w:pPr>
        <w:spacing w:before="160" w:after="0" w:line="276" w:lineRule="auto"/>
        <w:ind w:firstLine="709"/>
        <w:jc w:val="both"/>
        <w:rPr>
          <w:rFonts w:ascii="Verdana" w:hAnsi="Verdana"/>
        </w:rPr>
      </w:pPr>
      <w:r w:rsidRPr="00CA409A">
        <w:rPr>
          <w:rFonts w:ascii="Verdana" w:hAnsi="Verdana"/>
        </w:rPr>
        <w:t>A</w:t>
      </w:r>
      <w:r>
        <w:rPr>
          <w:rFonts w:ascii="Verdana" w:hAnsi="Verdana"/>
        </w:rPr>
        <w:t xml:space="preserve">l anterior marco normativo se suma </w:t>
      </w:r>
      <w:r w:rsidRPr="00CA409A">
        <w:rPr>
          <w:rFonts w:ascii="Verdana" w:hAnsi="Verdana"/>
        </w:rPr>
        <w:t>el</w:t>
      </w:r>
      <w:r w:rsidRPr="00CA409A">
        <w:rPr>
          <w:rFonts w:ascii="Verdana" w:hAnsi="Verdana"/>
          <w:spacing w:val="-5"/>
        </w:rPr>
        <w:t xml:space="preserve"> </w:t>
      </w:r>
      <w:r w:rsidRPr="00CA409A">
        <w:rPr>
          <w:rFonts w:ascii="Verdana" w:hAnsi="Verdana"/>
        </w:rPr>
        <w:t>artículo</w:t>
      </w:r>
      <w:r w:rsidRPr="00CA409A">
        <w:rPr>
          <w:rFonts w:ascii="Verdana" w:hAnsi="Verdana"/>
          <w:spacing w:val="-4"/>
        </w:rPr>
        <w:t xml:space="preserve"> </w:t>
      </w:r>
      <w:r w:rsidRPr="00CA409A">
        <w:rPr>
          <w:rFonts w:ascii="Verdana" w:hAnsi="Verdana"/>
        </w:rPr>
        <w:t>53</w:t>
      </w:r>
      <w:r w:rsidRPr="00CA409A">
        <w:rPr>
          <w:rFonts w:ascii="Verdana" w:hAnsi="Verdana"/>
          <w:spacing w:val="-3"/>
        </w:rPr>
        <w:t xml:space="preserve"> </w:t>
      </w:r>
      <w:r w:rsidRPr="00CA409A">
        <w:rPr>
          <w:rFonts w:ascii="Verdana" w:hAnsi="Verdana"/>
        </w:rPr>
        <w:t>de</w:t>
      </w:r>
      <w:r w:rsidRPr="00CA409A">
        <w:rPr>
          <w:rFonts w:ascii="Verdana" w:hAnsi="Verdana"/>
          <w:spacing w:val="-4"/>
        </w:rPr>
        <w:t xml:space="preserve"> </w:t>
      </w:r>
      <w:r w:rsidRPr="00CA409A">
        <w:rPr>
          <w:rFonts w:ascii="Verdana" w:hAnsi="Verdana"/>
        </w:rPr>
        <w:t>la</w:t>
      </w:r>
      <w:r w:rsidRPr="00CA409A">
        <w:rPr>
          <w:rFonts w:ascii="Verdana" w:hAnsi="Verdana"/>
          <w:spacing w:val="-5"/>
        </w:rPr>
        <w:t xml:space="preserve"> </w:t>
      </w:r>
      <w:r w:rsidRPr="00CA409A">
        <w:rPr>
          <w:rFonts w:ascii="Verdana" w:hAnsi="Verdana"/>
        </w:rPr>
        <w:t>Ley</w:t>
      </w:r>
      <w:r w:rsidRPr="00CA409A">
        <w:rPr>
          <w:rFonts w:ascii="Verdana" w:hAnsi="Verdana"/>
          <w:spacing w:val="-6"/>
        </w:rPr>
        <w:t xml:space="preserve"> </w:t>
      </w:r>
      <w:r w:rsidRPr="00CA409A">
        <w:rPr>
          <w:rFonts w:ascii="Verdana" w:hAnsi="Verdana"/>
        </w:rPr>
        <w:t>2195</w:t>
      </w:r>
      <w:r w:rsidRPr="00CA409A">
        <w:rPr>
          <w:rFonts w:ascii="Verdana" w:hAnsi="Verdana"/>
          <w:spacing w:val="-3"/>
        </w:rPr>
        <w:t xml:space="preserve"> </w:t>
      </w:r>
      <w:r w:rsidRPr="00CA409A">
        <w:rPr>
          <w:rFonts w:ascii="Verdana" w:hAnsi="Verdana"/>
        </w:rPr>
        <w:t>de</w:t>
      </w:r>
      <w:r w:rsidRPr="00CA409A">
        <w:rPr>
          <w:rFonts w:ascii="Verdana" w:hAnsi="Verdana"/>
          <w:spacing w:val="-6"/>
        </w:rPr>
        <w:t xml:space="preserve"> </w:t>
      </w:r>
      <w:r w:rsidRPr="00CA409A">
        <w:rPr>
          <w:rFonts w:ascii="Verdana" w:hAnsi="Verdana"/>
        </w:rPr>
        <w:t>2022</w:t>
      </w:r>
      <w:r w:rsidR="003C3059">
        <w:rPr>
          <w:rFonts w:ascii="Verdana" w:hAnsi="Verdana"/>
          <w:spacing w:val="-3"/>
        </w:rPr>
        <w:t xml:space="preserve">, aplicable </w:t>
      </w:r>
      <w:r w:rsidRPr="00CA409A">
        <w:rPr>
          <w:rFonts w:ascii="Verdana" w:hAnsi="Verdana"/>
        </w:rPr>
        <w:t xml:space="preserve">a las </w:t>
      </w:r>
      <w:r w:rsidR="003C3059" w:rsidRPr="00CA409A">
        <w:rPr>
          <w:rFonts w:ascii="Verdana" w:hAnsi="Verdana"/>
        </w:rPr>
        <w:t xml:space="preserve">entidades estatales </w:t>
      </w:r>
      <w:r>
        <w:rPr>
          <w:rFonts w:ascii="Verdana" w:hAnsi="Verdana"/>
          <w:i/>
        </w:rPr>
        <w:t>“</w:t>
      </w:r>
      <w:r w:rsidRPr="00CA409A">
        <w:rPr>
          <w:rFonts w:ascii="Verdana" w:hAnsi="Verdana"/>
          <w:i/>
        </w:rPr>
        <w:t xml:space="preserve">que por disposición legal cuenten con </w:t>
      </w:r>
      <w:r w:rsidRPr="00CA409A">
        <w:rPr>
          <w:rFonts w:ascii="Verdana" w:hAnsi="Verdana"/>
          <w:i/>
        </w:rPr>
        <w:lastRenderedPageBreak/>
        <w:t>un régimen contractual excepcional al del Estatuto General de Contratación de la Administración Pública</w:t>
      </w:r>
      <w:r>
        <w:rPr>
          <w:rFonts w:ascii="Verdana" w:hAnsi="Verdana"/>
          <w:i/>
        </w:rPr>
        <w:t>”</w:t>
      </w:r>
      <w:r w:rsidR="000E4810">
        <w:rPr>
          <w:rFonts w:ascii="Verdana" w:hAnsi="Verdana"/>
        </w:rPr>
        <w:t xml:space="preserve">. Dicha disposición señala: </w:t>
      </w:r>
    </w:p>
    <w:p w14:paraId="608EF2EC" w14:textId="77777777" w:rsidR="00DF2912" w:rsidRPr="0032557F" w:rsidRDefault="00DF2912" w:rsidP="0032557F">
      <w:pPr>
        <w:spacing w:after="0" w:line="276" w:lineRule="auto"/>
        <w:ind w:left="709" w:right="709"/>
        <w:jc w:val="both"/>
        <w:rPr>
          <w:rFonts w:ascii="Verdana" w:eastAsia="Arial" w:hAnsi="Verdana" w:cs="Arial"/>
        </w:rPr>
      </w:pPr>
    </w:p>
    <w:p w14:paraId="7FFF3875" w14:textId="40282E8F" w:rsidR="00DF2912" w:rsidRPr="0032557F" w:rsidRDefault="00DF2912" w:rsidP="0032557F">
      <w:pPr>
        <w:spacing w:after="0" w:line="240" w:lineRule="auto"/>
        <w:ind w:left="709" w:right="709"/>
        <w:jc w:val="both"/>
        <w:rPr>
          <w:rFonts w:ascii="Verdana" w:eastAsia="Arial" w:hAnsi="Verdana" w:cs="Arial"/>
          <w:sz w:val="20"/>
          <w:szCs w:val="20"/>
        </w:rPr>
      </w:pPr>
      <w:r w:rsidRPr="0032557F">
        <w:rPr>
          <w:rFonts w:ascii="Verdana" w:eastAsia="Arial" w:hAnsi="Verdana" w:cs="Arial"/>
          <w:sz w:val="20"/>
          <w:szCs w:val="20"/>
        </w:rPr>
        <w:t>“</w:t>
      </w:r>
      <w:r w:rsidRPr="0032557F">
        <w:rPr>
          <w:rFonts w:ascii="Verdana" w:eastAsia="Arial" w:hAnsi="Verdana" w:cs="Arial"/>
          <w:b/>
          <w:bCs/>
          <w:sz w:val="20"/>
          <w:szCs w:val="20"/>
        </w:rPr>
        <w:t>ARTÍCULO</w:t>
      </w:r>
      <w:bookmarkStart w:id="8" w:name="53"/>
      <w:bookmarkEnd w:id="8"/>
      <w:r w:rsidRPr="0032557F">
        <w:rPr>
          <w:rFonts w:ascii="Verdana" w:eastAsia="Arial" w:hAnsi="Verdana" w:cs="Arial"/>
          <w:b/>
          <w:bCs/>
          <w:sz w:val="20"/>
          <w:szCs w:val="20"/>
        </w:rPr>
        <w:t> 53.</w:t>
      </w:r>
      <w:r w:rsidRPr="0032557F">
        <w:rPr>
          <w:rFonts w:ascii="Verdana" w:eastAsia="Arial" w:hAnsi="Verdana" w:cs="Arial"/>
          <w:sz w:val="20"/>
          <w:szCs w:val="20"/>
        </w:rPr>
        <w:t> Adiciónese los siguientes incisos al Artículo </w:t>
      </w:r>
      <w:hyperlink r:id="rId13" w:anchor="13" w:history="1">
        <w:r w:rsidRPr="0032557F">
          <w:rPr>
            <w:rStyle w:val="Hipervnculo"/>
            <w:rFonts w:ascii="Verdana" w:eastAsia="Arial" w:hAnsi="Verdana" w:cs="Arial"/>
            <w:color w:val="auto"/>
            <w:sz w:val="20"/>
            <w:szCs w:val="20"/>
            <w:u w:val="none"/>
          </w:rPr>
          <w:t>13</w:t>
        </w:r>
        <w:r w:rsidRPr="0032557F">
          <w:rPr>
            <w:rStyle w:val="Hipervnculo"/>
            <w:rFonts w:ascii="Verdana" w:eastAsia="Arial" w:hAnsi="Verdana" w:cs="Arial"/>
            <w:color w:val="auto"/>
            <w:sz w:val="20"/>
            <w:szCs w:val="20"/>
          </w:rPr>
          <w:t> </w:t>
        </w:r>
      </w:hyperlink>
      <w:r w:rsidRPr="0032557F">
        <w:rPr>
          <w:rFonts w:ascii="Verdana" w:eastAsia="Arial" w:hAnsi="Verdana" w:cs="Arial"/>
          <w:sz w:val="20"/>
          <w:szCs w:val="20"/>
        </w:rPr>
        <w:t>de la Ley </w:t>
      </w:r>
      <w:hyperlink r:id="rId14" w:anchor="0" w:history="1">
        <w:r w:rsidRPr="0032557F">
          <w:rPr>
            <w:rStyle w:val="Hipervnculo"/>
            <w:rFonts w:ascii="Verdana" w:eastAsia="Arial" w:hAnsi="Verdana" w:cs="Arial"/>
            <w:color w:val="auto"/>
            <w:sz w:val="20"/>
            <w:szCs w:val="20"/>
            <w:u w:val="none"/>
          </w:rPr>
          <w:t>1150</w:t>
        </w:r>
      </w:hyperlink>
      <w:r w:rsidRPr="0032557F">
        <w:rPr>
          <w:rFonts w:ascii="Verdana" w:eastAsia="Arial" w:hAnsi="Verdana" w:cs="Arial"/>
          <w:sz w:val="20"/>
          <w:szCs w:val="20"/>
        </w:rPr>
        <w:t> de 2007, el cual quedara así:</w:t>
      </w:r>
    </w:p>
    <w:p w14:paraId="266C4B91" w14:textId="77777777" w:rsidR="00DF2912" w:rsidRPr="00DF2912" w:rsidRDefault="00DF2912" w:rsidP="00DF2912">
      <w:pPr>
        <w:spacing w:after="0" w:line="240" w:lineRule="auto"/>
        <w:ind w:left="709" w:right="709"/>
        <w:jc w:val="both"/>
        <w:rPr>
          <w:rFonts w:ascii="Verdana" w:eastAsia="Arial" w:hAnsi="Verdana" w:cs="Arial"/>
          <w:sz w:val="20"/>
          <w:szCs w:val="20"/>
        </w:rPr>
      </w:pPr>
    </w:p>
    <w:p w14:paraId="7D25E26D" w14:textId="47D3E105" w:rsidR="00DF2912" w:rsidRPr="0032557F" w:rsidRDefault="00DF2912" w:rsidP="0032557F">
      <w:pPr>
        <w:spacing w:after="0" w:line="240" w:lineRule="auto"/>
        <w:ind w:left="709" w:right="709"/>
        <w:jc w:val="both"/>
        <w:rPr>
          <w:rFonts w:ascii="Verdana" w:eastAsia="Arial" w:hAnsi="Verdana" w:cs="Arial"/>
          <w:sz w:val="20"/>
          <w:szCs w:val="20"/>
        </w:rPr>
      </w:pPr>
      <w:r w:rsidRPr="0032557F">
        <w:rPr>
          <w:rFonts w:ascii="Verdana" w:eastAsia="Arial" w:hAnsi="Verdana" w:cs="Arial"/>
          <w:sz w:val="20"/>
          <w:szCs w:val="20"/>
        </w:rPr>
        <w:t>Artículo </w:t>
      </w:r>
      <w:hyperlink r:id="rId15" w:anchor="13" w:history="1">
        <w:r w:rsidRPr="0032557F">
          <w:rPr>
            <w:rStyle w:val="Hipervnculo"/>
            <w:rFonts w:ascii="Verdana" w:eastAsia="Arial" w:hAnsi="Verdana" w:cs="Arial"/>
            <w:color w:val="auto"/>
            <w:sz w:val="20"/>
            <w:szCs w:val="20"/>
          </w:rPr>
          <w:t>13</w:t>
        </w:r>
      </w:hyperlink>
      <w:r w:rsidRPr="0032557F">
        <w:rPr>
          <w:rFonts w:ascii="Verdana" w:eastAsia="Arial" w:hAnsi="Verdana" w:cs="Arial"/>
          <w:sz w:val="20"/>
          <w:szCs w:val="20"/>
        </w:rPr>
        <w:t xml:space="preserve">. PRINCIPIOS GENERALES DE LA ACTIVIDAD CONTRACTUAL PARA ENTIDADES NO SOMETIDAS AL ESTATUTO GENERAL DE CONTRATACION DE LA ADMINISTRACION PUBLICA. Las entidades estatales que por disposición legal cuenten con un régimen contractual excepcional al del Estatuto General de Contratación de la Administración </w:t>
      </w:r>
      <w:proofErr w:type="spellStart"/>
      <w:r w:rsidRPr="0032557F">
        <w:rPr>
          <w:rFonts w:ascii="Verdana" w:eastAsia="Arial" w:hAnsi="Verdana" w:cs="Arial"/>
          <w:sz w:val="20"/>
          <w:szCs w:val="20"/>
        </w:rPr>
        <w:t>Publica</w:t>
      </w:r>
      <w:proofErr w:type="spellEnd"/>
      <w:r w:rsidRPr="0032557F">
        <w:rPr>
          <w:rFonts w:ascii="Verdana" w:eastAsia="Arial" w:hAnsi="Verdana" w:cs="Arial"/>
          <w:sz w:val="20"/>
          <w:szCs w:val="20"/>
        </w:rPr>
        <w:t>, aplicaran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377E56ED" w14:textId="77777777" w:rsidR="00DF2912" w:rsidRPr="00DF2912" w:rsidRDefault="00DF2912" w:rsidP="00DF2912">
      <w:pPr>
        <w:spacing w:after="0" w:line="240" w:lineRule="auto"/>
        <w:ind w:left="709" w:right="709"/>
        <w:jc w:val="both"/>
        <w:rPr>
          <w:rFonts w:ascii="Verdana" w:eastAsia="Arial" w:hAnsi="Verdana" w:cs="Arial"/>
          <w:sz w:val="20"/>
          <w:szCs w:val="20"/>
        </w:rPr>
      </w:pPr>
    </w:p>
    <w:p w14:paraId="316C6E9A" w14:textId="0FC5EF69" w:rsidR="00DF2912" w:rsidRPr="0032557F" w:rsidRDefault="00DF2912" w:rsidP="0032557F">
      <w:pPr>
        <w:spacing w:after="0" w:line="240" w:lineRule="auto"/>
        <w:ind w:left="709" w:right="709"/>
        <w:jc w:val="both"/>
        <w:rPr>
          <w:rFonts w:ascii="Verdana" w:eastAsia="Arial" w:hAnsi="Verdana" w:cs="Arial"/>
          <w:sz w:val="20"/>
          <w:szCs w:val="20"/>
        </w:rPr>
      </w:pPr>
      <w:r w:rsidRPr="0032557F">
        <w:rPr>
          <w:rFonts w:ascii="Verdana" w:eastAsia="Arial" w:hAnsi="Verdana" w:cs="Arial"/>
          <w:sz w:val="20"/>
          <w:szCs w:val="20"/>
        </w:rPr>
        <w:t xml:space="preserve">En desarrollo de los anteriores principios, deberán publicar los documentos relacionados con su actividad contractual en el Sistema Electrónico para la Contratación </w:t>
      </w:r>
      <w:proofErr w:type="spellStart"/>
      <w:r w:rsidRPr="0032557F">
        <w:rPr>
          <w:rFonts w:ascii="Verdana" w:eastAsia="Arial" w:hAnsi="Verdana" w:cs="Arial"/>
          <w:sz w:val="20"/>
          <w:szCs w:val="20"/>
        </w:rPr>
        <w:t>Publica</w:t>
      </w:r>
      <w:proofErr w:type="spellEnd"/>
      <w:r w:rsidRPr="0032557F">
        <w:rPr>
          <w:rFonts w:ascii="Verdana" w:eastAsia="Arial" w:hAnsi="Verdana" w:cs="Arial"/>
          <w:sz w:val="20"/>
          <w:szCs w:val="20"/>
        </w:rPr>
        <w:t xml:space="preserve"> -SECOP 11-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w:t>
      </w:r>
      <w:proofErr w:type="spellStart"/>
      <w:r w:rsidRPr="0032557F">
        <w:rPr>
          <w:rFonts w:ascii="Verdana" w:eastAsia="Arial" w:hAnsi="Verdana" w:cs="Arial"/>
          <w:sz w:val="20"/>
          <w:szCs w:val="20"/>
        </w:rPr>
        <w:t>postcontractual</w:t>
      </w:r>
      <w:proofErr w:type="spellEnd"/>
      <w:r w:rsidRPr="0032557F">
        <w:rPr>
          <w:rFonts w:ascii="Verdana" w:eastAsia="Arial" w:hAnsi="Verdana" w:cs="Arial"/>
          <w:sz w:val="20"/>
          <w:szCs w:val="20"/>
        </w:rPr>
        <w:t>.</w:t>
      </w:r>
    </w:p>
    <w:p w14:paraId="2D2511DA" w14:textId="77777777" w:rsidR="00DF2912" w:rsidRPr="00DF2912" w:rsidRDefault="00DF2912" w:rsidP="00DF2912">
      <w:pPr>
        <w:spacing w:after="0" w:line="240" w:lineRule="auto"/>
        <w:ind w:left="709" w:right="709"/>
        <w:jc w:val="both"/>
        <w:rPr>
          <w:rFonts w:ascii="Verdana" w:eastAsia="Arial" w:hAnsi="Verdana" w:cs="Arial"/>
          <w:sz w:val="20"/>
          <w:szCs w:val="20"/>
        </w:rPr>
      </w:pPr>
    </w:p>
    <w:p w14:paraId="32F0593F" w14:textId="745D9499" w:rsidR="00146C5B" w:rsidRDefault="00DF2912" w:rsidP="00DF2912">
      <w:pPr>
        <w:spacing w:after="0" w:line="240" w:lineRule="auto"/>
        <w:ind w:left="709" w:right="709"/>
        <w:jc w:val="both"/>
        <w:rPr>
          <w:rFonts w:ascii="Verdana" w:eastAsia="Arial" w:hAnsi="Verdana" w:cs="Arial"/>
        </w:rPr>
      </w:pPr>
      <w:r w:rsidRPr="0032557F">
        <w:rPr>
          <w:rFonts w:ascii="Verdana" w:eastAsia="Arial" w:hAnsi="Verdana" w:cs="Arial"/>
          <w:sz w:val="20"/>
          <w:szCs w:val="20"/>
        </w:rPr>
        <w:t>A partir de la entrada en vigencia de la presente Ley, se establecerá un periodo de transición de seis (6) meses, para que las entidades den cumplimiento efectivo a lo aquí establecido</w:t>
      </w:r>
      <w:r w:rsidRPr="00DF2912">
        <w:rPr>
          <w:rFonts w:ascii="Verdana" w:eastAsia="Arial" w:hAnsi="Verdana" w:cs="Arial"/>
        </w:rPr>
        <w:t>”.</w:t>
      </w:r>
    </w:p>
    <w:p w14:paraId="6E3A644B" w14:textId="77777777" w:rsidR="00DF2912" w:rsidRPr="0032557F" w:rsidRDefault="00DF2912" w:rsidP="0032557F">
      <w:pPr>
        <w:spacing w:after="0" w:line="276" w:lineRule="auto"/>
        <w:ind w:left="709" w:right="709"/>
        <w:jc w:val="both"/>
        <w:rPr>
          <w:rFonts w:ascii="Verdana" w:eastAsia="Arial" w:hAnsi="Verdana" w:cs="Arial"/>
        </w:rPr>
      </w:pPr>
    </w:p>
    <w:p w14:paraId="4F09ADBE" w14:textId="2BCD6E37" w:rsidR="00BC7D7E" w:rsidRPr="00CA409A" w:rsidRDefault="00BC7D7E" w:rsidP="0032557F">
      <w:pPr>
        <w:pStyle w:val="Textoindependiente"/>
        <w:spacing w:line="276" w:lineRule="auto"/>
        <w:ind w:firstLine="709"/>
        <w:jc w:val="both"/>
        <w:rPr>
          <w:rFonts w:ascii="Verdana" w:hAnsi="Verdana"/>
        </w:rPr>
      </w:pPr>
      <w:r w:rsidRPr="00CA409A">
        <w:rPr>
          <w:rFonts w:ascii="Verdana" w:hAnsi="Verdana"/>
        </w:rPr>
        <w:t>Así las cosas, en virtud de esta disposición normativa, todas las entidades que tienen un régimen de contratación exceptuado del Estatuto General de Contratación de la Administración Pública, a partir del 18 de julio de 2022, están</w:t>
      </w:r>
      <w:r w:rsidRPr="00CA409A">
        <w:rPr>
          <w:rFonts w:ascii="Verdana" w:hAnsi="Verdana"/>
          <w:spacing w:val="-11"/>
        </w:rPr>
        <w:t xml:space="preserve"> </w:t>
      </w:r>
      <w:r w:rsidRPr="00CA409A">
        <w:rPr>
          <w:rFonts w:ascii="Verdana" w:hAnsi="Verdana"/>
        </w:rPr>
        <w:t>obligados</w:t>
      </w:r>
      <w:r w:rsidRPr="00CA409A">
        <w:rPr>
          <w:rFonts w:ascii="Verdana" w:hAnsi="Verdana"/>
          <w:spacing w:val="-10"/>
        </w:rPr>
        <w:t xml:space="preserve"> </w:t>
      </w:r>
      <w:r w:rsidRPr="00CA409A">
        <w:rPr>
          <w:rFonts w:ascii="Verdana" w:hAnsi="Verdana"/>
        </w:rPr>
        <w:t>a</w:t>
      </w:r>
      <w:r w:rsidRPr="00CA409A">
        <w:rPr>
          <w:rFonts w:ascii="Verdana" w:hAnsi="Verdana"/>
          <w:spacing w:val="-11"/>
        </w:rPr>
        <w:t xml:space="preserve"> </w:t>
      </w:r>
      <w:r w:rsidRPr="00CA409A">
        <w:rPr>
          <w:rFonts w:ascii="Verdana" w:hAnsi="Verdana"/>
        </w:rPr>
        <w:t>publicar</w:t>
      </w:r>
      <w:r w:rsidRPr="00CA409A">
        <w:rPr>
          <w:rFonts w:ascii="Verdana" w:hAnsi="Verdana"/>
          <w:spacing w:val="-12"/>
        </w:rPr>
        <w:t xml:space="preserve"> </w:t>
      </w:r>
      <w:r w:rsidRPr="00CA409A">
        <w:rPr>
          <w:rFonts w:ascii="Verdana" w:hAnsi="Verdana"/>
        </w:rPr>
        <w:t>su</w:t>
      </w:r>
      <w:r w:rsidRPr="00CA409A">
        <w:rPr>
          <w:rFonts w:ascii="Verdana" w:hAnsi="Verdana"/>
          <w:spacing w:val="-13"/>
        </w:rPr>
        <w:t xml:space="preserve"> </w:t>
      </w:r>
      <w:r w:rsidRPr="00CA409A">
        <w:rPr>
          <w:rFonts w:ascii="Verdana" w:hAnsi="Verdana"/>
        </w:rPr>
        <w:t>actividad</w:t>
      </w:r>
      <w:r w:rsidRPr="00CA409A">
        <w:rPr>
          <w:rFonts w:ascii="Verdana" w:hAnsi="Verdana"/>
          <w:spacing w:val="-9"/>
        </w:rPr>
        <w:t xml:space="preserve"> </w:t>
      </w:r>
      <w:r w:rsidRPr="00CA409A">
        <w:rPr>
          <w:rFonts w:ascii="Verdana" w:hAnsi="Verdana"/>
        </w:rPr>
        <w:t>contractual</w:t>
      </w:r>
      <w:r w:rsidRPr="00CA409A">
        <w:rPr>
          <w:rFonts w:ascii="Verdana" w:hAnsi="Verdana"/>
          <w:spacing w:val="-11"/>
        </w:rPr>
        <w:t xml:space="preserve"> </w:t>
      </w:r>
      <w:r w:rsidRPr="00CA409A">
        <w:rPr>
          <w:rFonts w:ascii="Verdana" w:hAnsi="Verdana"/>
        </w:rPr>
        <w:t>en</w:t>
      </w:r>
      <w:r w:rsidRPr="00CA409A">
        <w:rPr>
          <w:rFonts w:ascii="Verdana" w:hAnsi="Verdana"/>
          <w:spacing w:val="-10"/>
        </w:rPr>
        <w:t xml:space="preserve"> </w:t>
      </w:r>
      <w:r w:rsidRPr="00CA409A">
        <w:rPr>
          <w:rFonts w:ascii="Verdana" w:hAnsi="Verdana"/>
        </w:rPr>
        <w:t>la</w:t>
      </w:r>
      <w:r w:rsidRPr="00CA409A">
        <w:rPr>
          <w:rFonts w:ascii="Verdana" w:hAnsi="Verdana"/>
          <w:spacing w:val="-11"/>
        </w:rPr>
        <w:t xml:space="preserve"> </w:t>
      </w:r>
      <w:r w:rsidRPr="00CA409A">
        <w:rPr>
          <w:rFonts w:ascii="Verdana" w:hAnsi="Verdana"/>
        </w:rPr>
        <w:t>plataforma</w:t>
      </w:r>
      <w:r w:rsidRPr="00CA409A">
        <w:rPr>
          <w:rFonts w:ascii="Verdana" w:hAnsi="Verdana"/>
          <w:spacing w:val="-11"/>
        </w:rPr>
        <w:t xml:space="preserve"> </w:t>
      </w:r>
      <w:r w:rsidRPr="00CA409A">
        <w:rPr>
          <w:rFonts w:ascii="Verdana" w:hAnsi="Verdana"/>
        </w:rPr>
        <w:t>SECOP</w:t>
      </w:r>
      <w:r w:rsidRPr="00CA409A">
        <w:rPr>
          <w:rFonts w:ascii="Verdana" w:hAnsi="Verdana"/>
          <w:spacing w:val="-9"/>
        </w:rPr>
        <w:t xml:space="preserve"> </w:t>
      </w:r>
      <w:r w:rsidRPr="00CA409A">
        <w:rPr>
          <w:rFonts w:ascii="Verdana" w:hAnsi="Verdana"/>
        </w:rPr>
        <w:t>II o en la plataforma transaccional que haga sus veces.</w:t>
      </w:r>
    </w:p>
    <w:p w14:paraId="415B3108" w14:textId="77777777" w:rsidR="00BC7D7E" w:rsidRPr="00CA409A" w:rsidRDefault="00BC7D7E" w:rsidP="0032557F">
      <w:pPr>
        <w:spacing w:after="120" w:line="276" w:lineRule="auto"/>
        <w:ind w:firstLine="709"/>
        <w:jc w:val="both"/>
        <w:rPr>
          <w:rFonts w:ascii="Verdana" w:hAnsi="Verdana"/>
          <w:i/>
        </w:rPr>
      </w:pPr>
      <w:r w:rsidRPr="00CA409A">
        <w:rPr>
          <w:rFonts w:ascii="Verdana" w:hAnsi="Verdana"/>
        </w:rPr>
        <w:t>De</w:t>
      </w:r>
      <w:r w:rsidRPr="00CA409A">
        <w:rPr>
          <w:rFonts w:ascii="Verdana" w:hAnsi="Verdana"/>
          <w:spacing w:val="-18"/>
        </w:rPr>
        <w:t xml:space="preserve"> </w:t>
      </w:r>
      <w:r w:rsidRPr="00CA409A">
        <w:rPr>
          <w:rFonts w:ascii="Verdana" w:hAnsi="Verdana"/>
        </w:rPr>
        <w:t>la</w:t>
      </w:r>
      <w:r w:rsidRPr="00CA409A">
        <w:rPr>
          <w:rFonts w:ascii="Verdana" w:hAnsi="Verdana"/>
          <w:spacing w:val="-19"/>
        </w:rPr>
        <w:t xml:space="preserve"> </w:t>
      </w:r>
      <w:r w:rsidRPr="00CA409A">
        <w:rPr>
          <w:rFonts w:ascii="Verdana" w:hAnsi="Verdana"/>
        </w:rPr>
        <w:t>misma</w:t>
      </w:r>
      <w:r w:rsidRPr="00CA409A">
        <w:rPr>
          <w:rFonts w:ascii="Verdana" w:hAnsi="Verdana"/>
          <w:spacing w:val="-19"/>
        </w:rPr>
        <w:t xml:space="preserve"> </w:t>
      </w:r>
      <w:r w:rsidRPr="00CA409A">
        <w:rPr>
          <w:rFonts w:ascii="Verdana" w:hAnsi="Verdana"/>
        </w:rPr>
        <w:t>manera,</w:t>
      </w:r>
      <w:r w:rsidRPr="00CA409A">
        <w:rPr>
          <w:rFonts w:ascii="Verdana" w:hAnsi="Verdana"/>
          <w:spacing w:val="-18"/>
        </w:rPr>
        <w:t xml:space="preserve"> </w:t>
      </w:r>
      <w:r w:rsidRPr="00CA409A">
        <w:rPr>
          <w:rFonts w:ascii="Verdana" w:hAnsi="Verdana"/>
        </w:rPr>
        <w:t>la</w:t>
      </w:r>
      <w:r w:rsidRPr="00CA409A">
        <w:rPr>
          <w:rFonts w:ascii="Verdana" w:hAnsi="Verdana"/>
          <w:spacing w:val="-19"/>
        </w:rPr>
        <w:t xml:space="preserve"> </w:t>
      </w:r>
      <w:r w:rsidRPr="00CA409A">
        <w:rPr>
          <w:rFonts w:ascii="Verdana" w:hAnsi="Verdana"/>
        </w:rPr>
        <w:t>norma</w:t>
      </w:r>
      <w:r w:rsidRPr="00CA409A">
        <w:rPr>
          <w:rFonts w:ascii="Verdana" w:hAnsi="Verdana"/>
          <w:spacing w:val="-19"/>
        </w:rPr>
        <w:t xml:space="preserve"> </w:t>
      </w:r>
      <w:r w:rsidRPr="00CA409A">
        <w:rPr>
          <w:rFonts w:ascii="Verdana" w:hAnsi="Verdana"/>
        </w:rPr>
        <w:t>en</w:t>
      </w:r>
      <w:r w:rsidRPr="00CA409A">
        <w:rPr>
          <w:rFonts w:ascii="Verdana" w:hAnsi="Verdana"/>
          <w:spacing w:val="-19"/>
        </w:rPr>
        <w:t xml:space="preserve"> </w:t>
      </w:r>
      <w:r w:rsidRPr="00CA409A">
        <w:rPr>
          <w:rFonts w:ascii="Verdana" w:hAnsi="Verdana"/>
        </w:rPr>
        <w:t>mención</w:t>
      </w:r>
      <w:r w:rsidRPr="00CA409A">
        <w:rPr>
          <w:rFonts w:ascii="Verdana" w:hAnsi="Verdana"/>
          <w:spacing w:val="-19"/>
        </w:rPr>
        <w:t xml:space="preserve"> </w:t>
      </w:r>
      <w:r w:rsidRPr="00CA409A">
        <w:rPr>
          <w:rFonts w:ascii="Verdana" w:hAnsi="Verdana"/>
        </w:rPr>
        <w:t>precisa</w:t>
      </w:r>
      <w:r w:rsidRPr="00CA409A">
        <w:rPr>
          <w:rFonts w:ascii="Verdana" w:hAnsi="Verdana"/>
          <w:spacing w:val="-19"/>
        </w:rPr>
        <w:t xml:space="preserve"> </w:t>
      </w:r>
      <w:r w:rsidRPr="00CA409A">
        <w:rPr>
          <w:rFonts w:ascii="Verdana" w:hAnsi="Verdana"/>
        </w:rPr>
        <w:t>el</w:t>
      </w:r>
      <w:r w:rsidRPr="00CA409A">
        <w:rPr>
          <w:rFonts w:ascii="Verdana" w:hAnsi="Verdana"/>
          <w:spacing w:val="-19"/>
        </w:rPr>
        <w:t xml:space="preserve"> </w:t>
      </w:r>
      <w:r w:rsidRPr="00CA409A">
        <w:rPr>
          <w:rFonts w:ascii="Verdana" w:hAnsi="Verdana"/>
        </w:rPr>
        <w:t>entendimiento</w:t>
      </w:r>
      <w:r w:rsidRPr="00CA409A">
        <w:rPr>
          <w:rFonts w:ascii="Verdana" w:hAnsi="Verdana"/>
          <w:spacing w:val="-19"/>
        </w:rPr>
        <w:t xml:space="preserve"> </w:t>
      </w:r>
      <w:r w:rsidRPr="00CA409A">
        <w:rPr>
          <w:rFonts w:ascii="Verdana" w:hAnsi="Verdana"/>
        </w:rPr>
        <w:t>que</w:t>
      </w:r>
      <w:r w:rsidRPr="00CA409A">
        <w:rPr>
          <w:rFonts w:ascii="Verdana" w:hAnsi="Verdana"/>
          <w:spacing w:val="-19"/>
        </w:rPr>
        <w:t xml:space="preserve"> </w:t>
      </w:r>
      <w:r w:rsidRPr="00CA409A">
        <w:rPr>
          <w:rFonts w:ascii="Verdana" w:hAnsi="Verdana"/>
        </w:rPr>
        <w:t>debe dársele</w:t>
      </w:r>
      <w:r w:rsidRPr="00CA409A">
        <w:rPr>
          <w:rFonts w:ascii="Verdana" w:hAnsi="Verdana"/>
          <w:spacing w:val="-7"/>
        </w:rPr>
        <w:t xml:space="preserve"> </w:t>
      </w:r>
      <w:r w:rsidRPr="00CA409A">
        <w:rPr>
          <w:rFonts w:ascii="Verdana" w:hAnsi="Verdana"/>
        </w:rPr>
        <w:t>a</w:t>
      </w:r>
      <w:r w:rsidRPr="00CA409A">
        <w:rPr>
          <w:rFonts w:ascii="Verdana" w:hAnsi="Verdana"/>
          <w:spacing w:val="-8"/>
        </w:rPr>
        <w:t xml:space="preserve"> </w:t>
      </w:r>
      <w:r w:rsidRPr="00CA409A">
        <w:rPr>
          <w:rFonts w:ascii="Verdana" w:hAnsi="Verdana"/>
        </w:rPr>
        <w:t>la</w:t>
      </w:r>
      <w:r w:rsidRPr="00CA409A">
        <w:rPr>
          <w:rFonts w:ascii="Verdana" w:hAnsi="Verdana"/>
          <w:spacing w:val="-8"/>
        </w:rPr>
        <w:t xml:space="preserve"> </w:t>
      </w:r>
      <w:r w:rsidRPr="00CA409A">
        <w:rPr>
          <w:rFonts w:ascii="Verdana" w:hAnsi="Verdana"/>
        </w:rPr>
        <w:t>expresión</w:t>
      </w:r>
      <w:r w:rsidRPr="00CA409A">
        <w:rPr>
          <w:rFonts w:ascii="Verdana" w:hAnsi="Verdana"/>
          <w:spacing w:val="-8"/>
        </w:rPr>
        <w:t xml:space="preserve"> </w:t>
      </w:r>
      <w:r>
        <w:rPr>
          <w:rFonts w:ascii="Verdana" w:hAnsi="Verdana"/>
          <w:spacing w:val="-8"/>
        </w:rPr>
        <w:t>“</w:t>
      </w:r>
      <w:r w:rsidRPr="00CA409A">
        <w:rPr>
          <w:rFonts w:ascii="Verdana" w:hAnsi="Verdana"/>
          <w:spacing w:val="-8"/>
        </w:rPr>
        <w:t>actividad</w:t>
      </w:r>
      <w:r w:rsidRPr="00CA409A">
        <w:rPr>
          <w:rFonts w:ascii="Verdana" w:hAnsi="Verdana"/>
          <w:spacing w:val="-9"/>
        </w:rPr>
        <w:t xml:space="preserve"> </w:t>
      </w:r>
      <w:r w:rsidRPr="00CA409A">
        <w:rPr>
          <w:rFonts w:ascii="Verdana" w:hAnsi="Verdana"/>
        </w:rPr>
        <w:t>contractual</w:t>
      </w:r>
      <w:r>
        <w:rPr>
          <w:rFonts w:ascii="Verdana" w:hAnsi="Verdana"/>
        </w:rPr>
        <w:t>”</w:t>
      </w:r>
      <w:r w:rsidRPr="00CA409A">
        <w:rPr>
          <w:rFonts w:ascii="Verdana" w:hAnsi="Verdana"/>
          <w:spacing w:val="-9"/>
        </w:rPr>
        <w:t xml:space="preserve"> </w:t>
      </w:r>
      <w:r w:rsidRPr="00CA409A">
        <w:rPr>
          <w:rFonts w:ascii="Verdana" w:hAnsi="Verdana"/>
        </w:rPr>
        <w:t>y</w:t>
      </w:r>
      <w:r w:rsidRPr="00CA409A">
        <w:rPr>
          <w:rFonts w:ascii="Verdana" w:hAnsi="Verdana"/>
          <w:spacing w:val="-9"/>
        </w:rPr>
        <w:t xml:space="preserve"> </w:t>
      </w:r>
      <w:r w:rsidRPr="00CA409A">
        <w:rPr>
          <w:rFonts w:ascii="Verdana" w:hAnsi="Verdana"/>
        </w:rPr>
        <w:t>que</w:t>
      </w:r>
      <w:r w:rsidRPr="00CA409A">
        <w:rPr>
          <w:rFonts w:ascii="Verdana" w:hAnsi="Verdana"/>
          <w:spacing w:val="-8"/>
        </w:rPr>
        <w:t xml:space="preserve"> </w:t>
      </w:r>
      <w:r w:rsidRPr="00CA409A">
        <w:rPr>
          <w:rFonts w:ascii="Verdana" w:hAnsi="Verdana"/>
        </w:rPr>
        <w:t>permitirá</w:t>
      </w:r>
      <w:r w:rsidRPr="00CA409A">
        <w:rPr>
          <w:rFonts w:ascii="Verdana" w:hAnsi="Verdana"/>
          <w:spacing w:val="-8"/>
        </w:rPr>
        <w:t xml:space="preserve"> </w:t>
      </w:r>
      <w:r w:rsidRPr="00CA409A">
        <w:rPr>
          <w:rFonts w:ascii="Verdana" w:hAnsi="Verdana"/>
        </w:rPr>
        <w:t>determinar</w:t>
      </w:r>
      <w:r w:rsidRPr="00CA409A">
        <w:rPr>
          <w:rFonts w:ascii="Verdana" w:hAnsi="Verdana"/>
          <w:spacing w:val="-8"/>
        </w:rPr>
        <w:t xml:space="preserve"> </w:t>
      </w:r>
      <w:r w:rsidRPr="00CA409A">
        <w:rPr>
          <w:rFonts w:ascii="Verdana" w:hAnsi="Verdana"/>
        </w:rPr>
        <w:t>los documentos que deben publicar en la plataforma SECOP II estas entidades. En ese sentido, las entidades que tienen un régimen de contratación exceptuado</w:t>
      </w:r>
      <w:r w:rsidRPr="00CA409A">
        <w:rPr>
          <w:rFonts w:ascii="Verdana" w:hAnsi="Verdana"/>
          <w:spacing w:val="-16"/>
        </w:rPr>
        <w:t xml:space="preserve"> </w:t>
      </w:r>
      <w:r w:rsidRPr="00CA409A">
        <w:rPr>
          <w:rFonts w:ascii="Verdana" w:hAnsi="Verdana"/>
        </w:rPr>
        <w:t>del</w:t>
      </w:r>
      <w:r w:rsidRPr="00CA409A">
        <w:rPr>
          <w:rFonts w:ascii="Verdana" w:hAnsi="Verdana"/>
          <w:spacing w:val="-16"/>
        </w:rPr>
        <w:t xml:space="preserve"> </w:t>
      </w:r>
      <w:r w:rsidRPr="00CA409A">
        <w:rPr>
          <w:rFonts w:ascii="Verdana" w:hAnsi="Verdana"/>
        </w:rPr>
        <w:t>Estatuto</w:t>
      </w:r>
      <w:r w:rsidRPr="00CA409A">
        <w:rPr>
          <w:rFonts w:ascii="Verdana" w:hAnsi="Verdana"/>
          <w:spacing w:val="-16"/>
        </w:rPr>
        <w:t xml:space="preserve"> </w:t>
      </w:r>
      <w:r w:rsidRPr="00CA409A">
        <w:rPr>
          <w:rFonts w:ascii="Verdana" w:hAnsi="Verdana"/>
        </w:rPr>
        <w:t>General</w:t>
      </w:r>
      <w:r w:rsidRPr="00CA409A">
        <w:rPr>
          <w:rFonts w:ascii="Verdana" w:hAnsi="Verdana"/>
          <w:spacing w:val="-17"/>
        </w:rPr>
        <w:t xml:space="preserve"> </w:t>
      </w:r>
      <w:r w:rsidRPr="00CA409A">
        <w:rPr>
          <w:rFonts w:ascii="Verdana" w:hAnsi="Verdana"/>
        </w:rPr>
        <w:t>de</w:t>
      </w:r>
      <w:r w:rsidRPr="00CA409A">
        <w:rPr>
          <w:rFonts w:ascii="Verdana" w:hAnsi="Verdana"/>
          <w:spacing w:val="-16"/>
        </w:rPr>
        <w:t xml:space="preserve"> </w:t>
      </w:r>
      <w:r w:rsidRPr="00CA409A">
        <w:rPr>
          <w:rFonts w:ascii="Verdana" w:hAnsi="Verdana"/>
        </w:rPr>
        <w:t>Contratación</w:t>
      </w:r>
      <w:r w:rsidRPr="00CA409A">
        <w:rPr>
          <w:rFonts w:ascii="Verdana" w:hAnsi="Verdana"/>
          <w:spacing w:val="-16"/>
        </w:rPr>
        <w:t xml:space="preserve"> </w:t>
      </w:r>
      <w:r w:rsidRPr="00CA409A">
        <w:rPr>
          <w:rFonts w:ascii="Verdana" w:hAnsi="Verdana"/>
        </w:rPr>
        <w:t>de</w:t>
      </w:r>
      <w:r w:rsidRPr="00CA409A">
        <w:rPr>
          <w:rFonts w:ascii="Verdana" w:hAnsi="Verdana"/>
          <w:spacing w:val="-16"/>
        </w:rPr>
        <w:t xml:space="preserve"> </w:t>
      </w:r>
      <w:r w:rsidRPr="00CA409A">
        <w:rPr>
          <w:rFonts w:ascii="Verdana" w:hAnsi="Verdana"/>
        </w:rPr>
        <w:t>la</w:t>
      </w:r>
      <w:r w:rsidRPr="00CA409A">
        <w:rPr>
          <w:rFonts w:ascii="Verdana" w:hAnsi="Verdana"/>
          <w:spacing w:val="-17"/>
        </w:rPr>
        <w:t xml:space="preserve"> </w:t>
      </w:r>
      <w:r w:rsidRPr="00CA409A">
        <w:rPr>
          <w:rFonts w:ascii="Verdana" w:hAnsi="Verdana"/>
        </w:rPr>
        <w:t>Administración</w:t>
      </w:r>
      <w:r w:rsidRPr="00CA409A">
        <w:rPr>
          <w:rFonts w:ascii="Verdana" w:hAnsi="Verdana"/>
          <w:spacing w:val="-16"/>
        </w:rPr>
        <w:t xml:space="preserve"> </w:t>
      </w:r>
      <w:r w:rsidRPr="00CA409A">
        <w:rPr>
          <w:rFonts w:ascii="Verdana" w:hAnsi="Verdana"/>
        </w:rPr>
        <w:t xml:space="preserve">Pública tendrán la obligación de publicar </w:t>
      </w:r>
      <w:r>
        <w:rPr>
          <w:rFonts w:ascii="Verdana" w:hAnsi="Verdana"/>
          <w:i/>
        </w:rPr>
        <w:t>“</w:t>
      </w:r>
      <w:r w:rsidRPr="00CA409A">
        <w:rPr>
          <w:rFonts w:ascii="Verdana" w:hAnsi="Verdana"/>
          <w:i/>
        </w:rPr>
        <w:t>los documentos, contratos, actos e información</w:t>
      </w:r>
      <w:r w:rsidRPr="00CA409A">
        <w:rPr>
          <w:rFonts w:ascii="Verdana" w:hAnsi="Verdana"/>
          <w:i/>
          <w:spacing w:val="26"/>
        </w:rPr>
        <w:t xml:space="preserve"> </w:t>
      </w:r>
      <w:r w:rsidRPr="00CA409A">
        <w:rPr>
          <w:rFonts w:ascii="Verdana" w:hAnsi="Verdana"/>
          <w:i/>
        </w:rPr>
        <w:t>generada</w:t>
      </w:r>
      <w:r w:rsidRPr="00CA409A">
        <w:rPr>
          <w:rFonts w:ascii="Verdana" w:hAnsi="Verdana"/>
          <w:i/>
          <w:spacing w:val="28"/>
        </w:rPr>
        <w:t xml:space="preserve"> </w:t>
      </w:r>
      <w:r w:rsidRPr="00CA409A">
        <w:rPr>
          <w:rFonts w:ascii="Verdana" w:hAnsi="Verdana"/>
          <w:i/>
        </w:rPr>
        <w:lastRenderedPageBreak/>
        <w:t>por</w:t>
      </w:r>
      <w:r w:rsidRPr="00CA409A">
        <w:rPr>
          <w:rFonts w:ascii="Verdana" w:hAnsi="Verdana"/>
          <w:i/>
          <w:spacing w:val="28"/>
        </w:rPr>
        <w:t xml:space="preserve"> </w:t>
      </w:r>
      <w:r w:rsidRPr="00CA409A">
        <w:rPr>
          <w:rFonts w:ascii="Verdana" w:hAnsi="Verdana"/>
          <w:i/>
        </w:rPr>
        <w:t>oferentes,</w:t>
      </w:r>
      <w:r w:rsidRPr="00CA409A">
        <w:rPr>
          <w:rFonts w:ascii="Verdana" w:hAnsi="Verdana"/>
          <w:i/>
          <w:spacing w:val="30"/>
        </w:rPr>
        <w:t xml:space="preserve"> </w:t>
      </w:r>
      <w:r w:rsidRPr="00CA409A">
        <w:rPr>
          <w:rFonts w:ascii="Verdana" w:hAnsi="Verdana"/>
          <w:i/>
        </w:rPr>
        <w:t>contratista,</w:t>
      </w:r>
      <w:r w:rsidRPr="00CA409A">
        <w:rPr>
          <w:rFonts w:ascii="Verdana" w:hAnsi="Verdana"/>
          <w:i/>
          <w:spacing w:val="29"/>
        </w:rPr>
        <w:t xml:space="preserve"> </w:t>
      </w:r>
      <w:r w:rsidRPr="00CA409A">
        <w:rPr>
          <w:rFonts w:ascii="Verdana" w:hAnsi="Verdana"/>
          <w:i/>
        </w:rPr>
        <w:t>contratante,</w:t>
      </w:r>
      <w:r w:rsidRPr="00CA409A">
        <w:rPr>
          <w:rFonts w:ascii="Verdana" w:hAnsi="Verdana"/>
          <w:i/>
          <w:spacing w:val="30"/>
        </w:rPr>
        <w:t xml:space="preserve"> </w:t>
      </w:r>
      <w:r w:rsidRPr="00CA409A">
        <w:rPr>
          <w:rFonts w:ascii="Verdana" w:hAnsi="Verdana"/>
          <w:i/>
        </w:rPr>
        <w:t>supervisor</w:t>
      </w:r>
      <w:r w:rsidRPr="00CA409A">
        <w:rPr>
          <w:rFonts w:ascii="Verdana" w:hAnsi="Verdana"/>
          <w:i/>
          <w:spacing w:val="27"/>
        </w:rPr>
        <w:t xml:space="preserve"> </w:t>
      </w:r>
      <w:r w:rsidRPr="00CA409A">
        <w:rPr>
          <w:rFonts w:ascii="Verdana" w:hAnsi="Verdana"/>
          <w:i/>
          <w:spacing w:val="-10"/>
        </w:rPr>
        <w:t>o</w:t>
      </w:r>
      <w:r>
        <w:rPr>
          <w:rFonts w:ascii="Verdana" w:hAnsi="Verdana"/>
          <w:i/>
        </w:rPr>
        <w:t xml:space="preserve"> </w:t>
      </w:r>
      <w:r w:rsidRPr="00CA409A">
        <w:rPr>
          <w:rFonts w:ascii="Verdana" w:hAnsi="Verdana"/>
          <w:i/>
        </w:rPr>
        <w:t xml:space="preserve">interventor, tanto en la etapa precontractual, como en la contractual y la </w:t>
      </w:r>
      <w:proofErr w:type="spellStart"/>
      <w:r w:rsidRPr="00CA409A">
        <w:rPr>
          <w:rFonts w:ascii="Verdana" w:hAnsi="Verdana"/>
          <w:i/>
          <w:spacing w:val="-2"/>
        </w:rPr>
        <w:t>postcontractual</w:t>
      </w:r>
      <w:proofErr w:type="spellEnd"/>
      <w:r>
        <w:rPr>
          <w:rFonts w:ascii="Verdana" w:hAnsi="Verdana"/>
          <w:i/>
          <w:spacing w:val="-2"/>
        </w:rPr>
        <w:t>”</w:t>
      </w:r>
      <w:r w:rsidRPr="00CA409A">
        <w:rPr>
          <w:rFonts w:ascii="Verdana" w:hAnsi="Verdana"/>
          <w:spacing w:val="-2"/>
        </w:rPr>
        <w:t>.</w:t>
      </w:r>
    </w:p>
    <w:p w14:paraId="6274E608" w14:textId="7E8B1BC3" w:rsidR="00BC7D7E" w:rsidRPr="00CA409A" w:rsidRDefault="00BC7D7E" w:rsidP="0032557F">
      <w:pPr>
        <w:pStyle w:val="Textoindependiente"/>
        <w:spacing w:line="276" w:lineRule="auto"/>
        <w:ind w:firstLine="709"/>
        <w:jc w:val="both"/>
        <w:rPr>
          <w:rFonts w:ascii="Verdana" w:hAnsi="Verdana"/>
        </w:rPr>
      </w:pPr>
      <w:r w:rsidRPr="00CA409A">
        <w:rPr>
          <w:rFonts w:ascii="Verdana" w:hAnsi="Verdana"/>
        </w:rPr>
        <w:t>Respecto a</w:t>
      </w:r>
      <w:r w:rsidR="00FD50C1">
        <w:rPr>
          <w:rFonts w:ascii="Verdana" w:hAnsi="Verdana"/>
        </w:rPr>
        <w:t>l primer problema jurídico planteado en la presente consulta, relacionado</w:t>
      </w:r>
      <w:r w:rsidRPr="00CA409A">
        <w:rPr>
          <w:rFonts w:ascii="Verdana" w:hAnsi="Verdana"/>
        </w:rPr>
        <w:t xml:space="preserve"> los documentos que deben publicarse</w:t>
      </w:r>
      <w:r w:rsidR="00D22F19">
        <w:rPr>
          <w:rFonts w:ascii="Verdana" w:hAnsi="Verdana"/>
        </w:rPr>
        <w:t xml:space="preserve">, </w:t>
      </w:r>
      <w:r w:rsidR="00FD50C1">
        <w:rPr>
          <w:rFonts w:ascii="Verdana" w:hAnsi="Verdana"/>
        </w:rPr>
        <w:t>debe señalarse que, de acuerdo con lo previsto</w:t>
      </w:r>
      <w:r w:rsidRPr="00CA409A">
        <w:rPr>
          <w:rFonts w:ascii="Verdana" w:hAnsi="Verdana"/>
          <w:spacing w:val="-7"/>
        </w:rPr>
        <w:t xml:space="preserve"> </w:t>
      </w:r>
      <w:r w:rsidRPr="00CA409A">
        <w:rPr>
          <w:rFonts w:ascii="Verdana" w:hAnsi="Verdana"/>
        </w:rPr>
        <w:t>lo</w:t>
      </w:r>
      <w:r w:rsidRPr="00CA409A">
        <w:rPr>
          <w:rFonts w:ascii="Verdana" w:hAnsi="Verdana"/>
          <w:spacing w:val="-6"/>
        </w:rPr>
        <w:t xml:space="preserve"> </w:t>
      </w:r>
      <w:r w:rsidRPr="00CA409A">
        <w:rPr>
          <w:rFonts w:ascii="Verdana" w:hAnsi="Verdana"/>
        </w:rPr>
        <w:t>previsto</w:t>
      </w:r>
      <w:r w:rsidRPr="00CA409A">
        <w:rPr>
          <w:rFonts w:ascii="Verdana" w:hAnsi="Verdana"/>
          <w:spacing w:val="-7"/>
        </w:rPr>
        <w:t xml:space="preserve"> </w:t>
      </w:r>
      <w:r w:rsidRPr="00CA409A">
        <w:rPr>
          <w:rFonts w:ascii="Verdana" w:hAnsi="Verdana"/>
        </w:rPr>
        <w:t>en</w:t>
      </w:r>
      <w:r w:rsidRPr="00CA409A">
        <w:rPr>
          <w:rFonts w:ascii="Verdana" w:hAnsi="Verdana"/>
          <w:spacing w:val="-7"/>
        </w:rPr>
        <w:t xml:space="preserve"> </w:t>
      </w:r>
      <w:r w:rsidRPr="00CA409A">
        <w:rPr>
          <w:rFonts w:ascii="Verdana" w:hAnsi="Verdana"/>
        </w:rPr>
        <w:t>la</w:t>
      </w:r>
      <w:r w:rsidRPr="00CA409A">
        <w:rPr>
          <w:rFonts w:ascii="Verdana" w:hAnsi="Verdana"/>
          <w:spacing w:val="-7"/>
        </w:rPr>
        <w:t xml:space="preserve"> </w:t>
      </w:r>
      <w:r w:rsidR="0018166A">
        <w:rPr>
          <w:rFonts w:ascii="Verdana" w:hAnsi="Verdana"/>
          <w:spacing w:val="-7"/>
        </w:rPr>
        <w:t xml:space="preserve">Ley 1150 de 2007 y la </w:t>
      </w:r>
      <w:r w:rsidRPr="00CA409A">
        <w:rPr>
          <w:rFonts w:ascii="Verdana" w:hAnsi="Verdana"/>
        </w:rPr>
        <w:t>Ley</w:t>
      </w:r>
      <w:r w:rsidRPr="00CA409A">
        <w:rPr>
          <w:rFonts w:ascii="Verdana" w:hAnsi="Verdana"/>
          <w:spacing w:val="-8"/>
        </w:rPr>
        <w:t xml:space="preserve"> </w:t>
      </w:r>
      <w:r w:rsidRPr="00CA409A">
        <w:rPr>
          <w:rFonts w:ascii="Verdana" w:hAnsi="Verdana"/>
        </w:rPr>
        <w:t>1712</w:t>
      </w:r>
      <w:r w:rsidRPr="00CA409A">
        <w:rPr>
          <w:rFonts w:ascii="Verdana" w:hAnsi="Verdana"/>
          <w:spacing w:val="-6"/>
        </w:rPr>
        <w:t xml:space="preserve"> </w:t>
      </w:r>
      <w:r w:rsidRPr="00CA409A">
        <w:rPr>
          <w:rFonts w:ascii="Verdana" w:hAnsi="Verdana"/>
        </w:rPr>
        <w:t>de</w:t>
      </w:r>
      <w:r w:rsidRPr="00CA409A">
        <w:rPr>
          <w:rFonts w:ascii="Verdana" w:hAnsi="Verdana"/>
          <w:spacing w:val="-9"/>
        </w:rPr>
        <w:t xml:space="preserve"> </w:t>
      </w:r>
      <w:r w:rsidRPr="00CA409A">
        <w:rPr>
          <w:rFonts w:ascii="Verdana" w:hAnsi="Verdana"/>
        </w:rPr>
        <w:t>2014</w:t>
      </w:r>
      <w:r w:rsidR="0018166A">
        <w:rPr>
          <w:rFonts w:ascii="Verdana" w:hAnsi="Verdana"/>
        </w:rPr>
        <w:t>,</w:t>
      </w:r>
      <w:r w:rsidRPr="00CA409A">
        <w:rPr>
          <w:rFonts w:ascii="Verdana" w:hAnsi="Verdana"/>
          <w:spacing w:val="-7"/>
        </w:rPr>
        <w:t xml:space="preserve"> </w:t>
      </w:r>
      <w:r w:rsidRPr="00CA409A">
        <w:rPr>
          <w:rFonts w:ascii="Verdana" w:hAnsi="Verdana"/>
        </w:rPr>
        <w:t>se</w:t>
      </w:r>
      <w:r w:rsidRPr="00CA409A">
        <w:rPr>
          <w:rFonts w:ascii="Verdana" w:hAnsi="Verdana"/>
          <w:spacing w:val="-6"/>
        </w:rPr>
        <w:t xml:space="preserve"> </w:t>
      </w:r>
      <w:r w:rsidRPr="00CA409A">
        <w:rPr>
          <w:rFonts w:ascii="Verdana" w:hAnsi="Verdana"/>
        </w:rPr>
        <w:t>publicará</w:t>
      </w:r>
      <w:r w:rsidRPr="00CA409A">
        <w:rPr>
          <w:rFonts w:ascii="Verdana" w:hAnsi="Verdana"/>
          <w:spacing w:val="-7"/>
        </w:rPr>
        <w:t xml:space="preserve"> </w:t>
      </w:r>
      <w:r w:rsidRPr="00CA409A">
        <w:rPr>
          <w:rFonts w:ascii="Verdana" w:hAnsi="Verdana"/>
        </w:rPr>
        <w:t>toda la</w:t>
      </w:r>
      <w:r w:rsidRPr="00CA409A">
        <w:rPr>
          <w:rFonts w:ascii="Verdana" w:hAnsi="Verdana"/>
          <w:spacing w:val="-3"/>
        </w:rPr>
        <w:t xml:space="preserve"> </w:t>
      </w:r>
      <w:r w:rsidRPr="00CA409A">
        <w:rPr>
          <w:rFonts w:ascii="Verdana" w:hAnsi="Verdana"/>
        </w:rPr>
        <w:t>información</w:t>
      </w:r>
      <w:r w:rsidRPr="00CA409A">
        <w:rPr>
          <w:rFonts w:ascii="Verdana" w:hAnsi="Verdana"/>
          <w:spacing w:val="-2"/>
        </w:rPr>
        <w:t xml:space="preserve"> </w:t>
      </w:r>
      <w:r w:rsidRPr="00CA409A">
        <w:rPr>
          <w:rFonts w:ascii="Verdana" w:hAnsi="Verdana"/>
        </w:rPr>
        <w:t>que</w:t>
      </w:r>
      <w:r w:rsidRPr="00CA409A">
        <w:rPr>
          <w:rFonts w:ascii="Verdana" w:hAnsi="Verdana"/>
          <w:spacing w:val="-2"/>
        </w:rPr>
        <w:t xml:space="preserve"> </w:t>
      </w:r>
      <w:r w:rsidRPr="00CA409A">
        <w:rPr>
          <w:rFonts w:ascii="Verdana" w:hAnsi="Verdana"/>
        </w:rPr>
        <w:t>se</w:t>
      </w:r>
      <w:r w:rsidRPr="00CA409A">
        <w:rPr>
          <w:rFonts w:ascii="Verdana" w:hAnsi="Verdana"/>
          <w:spacing w:val="-4"/>
        </w:rPr>
        <w:t xml:space="preserve"> </w:t>
      </w:r>
      <w:r w:rsidRPr="00CA409A">
        <w:rPr>
          <w:rFonts w:ascii="Verdana" w:hAnsi="Verdana"/>
        </w:rPr>
        <w:t>genere</w:t>
      </w:r>
      <w:r w:rsidRPr="00CA409A">
        <w:rPr>
          <w:rFonts w:ascii="Verdana" w:hAnsi="Verdana"/>
          <w:spacing w:val="-2"/>
        </w:rPr>
        <w:t xml:space="preserve"> </w:t>
      </w:r>
      <w:r w:rsidRPr="00CA409A">
        <w:rPr>
          <w:rFonts w:ascii="Verdana" w:hAnsi="Verdana"/>
        </w:rPr>
        <w:t>en</w:t>
      </w:r>
      <w:r w:rsidRPr="00CA409A">
        <w:rPr>
          <w:rFonts w:ascii="Verdana" w:hAnsi="Verdana"/>
          <w:spacing w:val="-2"/>
        </w:rPr>
        <w:t xml:space="preserve"> </w:t>
      </w:r>
      <w:r w:rsidRPr="00CA409A">
        <w:rPr>
          <w:rFonts w:ascii="Verdana" w:hAnsi="Verdana"/>
        </w:rPr>
        <w:t>la</w:t>
      </w:r>
      <w:r w:rsidRPr="00CA409A">
        <w:rPr>
          <w:rFonts w:ascii="Verdana" w:hAnsi="Verdana"/>
          <w:spacing w:val="-5"/>
        </w:rPr>
        <w:t xml:space="preserve"> </w:t>
      </w:r>
      <w:r w:rsidRPr="00CA409A">
        <w:rPr>
          <w:rFonts w:ascii="Verdana" w:hAnsi="Verdana"/>
        </w:rPr>
        <w:t>actividad</w:t>
      </w:r>
      <w:r w:rsidRPr="00CA409A">
        <w:rPr>
          <w:rFonts w:ascii="Verdana" w:hAnsi="Verdana"/>
          <w:spacing w:val="-3"/>
        </w:rPr>
        <w:t xml:space="preserve"> </w:t>
      </w:r>
      <w:r w:rsidRPr="00CA409A">
        <w:rPr>
          <w:rFonts w:ascii="Verdana" w:hAnsi="Verdana"/>
        </w:rPr>
        <w:t>contractual,</w:t>
      </w:r>
      <w:r w:rsidRPr="00CA409A">
        <w:rPr>
          <w:rFonts w:ascii="Verdana" w:hAnsi="Verdana"/>
          <w:spacing w:val="-2"/>
        </w:rPr>
        <w:t xml:space="preserve"> </w:t>
      </w:r>
      <w:r w:rsidRPr="00CA409A">
        <w:rPr>
          <w:rFonts w:ascii="Verdana" w:hAnsi="Verdana"/>
        </w:rPr>
        <w:t>salvo</w:t>
      </w:r>
      <w:r w:rsidRPr="00CA409A">
        <w:rPr>
          <w:rFonts w:ascii="Verdana" w:hAnsi="Verdana"/>
          <w:spacing w:val="-2"/>
        </w:rPr>
        <w:t xml:space="preserve"> </w:t>
      </w:r>
      <w:r w:rsidRPr="00CA409A">
        <w:rPr>
          <w:rFonts w:ascii="Verdana" w:hAnsi="Verdana"/>
        </w:rPr>
        <w:t>a</w:t>
      </w:r>
      <w:r w:rsidRPr="00CA409A">
        <w:rPr>
          <w:rFonts w:ascii="Verdana" w:hAnsi="Verdana"/>
          <w:spacing w:val="-3"/>
        </w:rPr>
        <w:t xml:space="preserve"> </w:t>
      </w:r>
      <w:r w:rsidRPr="00CA409A">
        <w:rPr>
          <w:rFonts w:ascii="Verdana" w:hAnsi="Verdana"/>
        </w:rPr>
        <w:t>aquello</w:t>
      </w:r>
      <w:r w:rsidRPr="00CA409A">
        <w:rPr>
          <w:rFonts w:ascii="Verdana" w:hAnsi="Verdana"/>
          <w:spacing w:val="-2"/>
        </w:rPr>
        <w:t xml:space="preserve"> </w:t>
      </w:r>
      <w:r w:rsidRPr="00CA409A">
        <w:rPr>
          <w:rFonts w:ascii="Verdana" w:hAnsi="Verdana"/>
        </w:rPr>
        <w:t>que sea sujeto a reserva legal.</w:t>
      </w:r>
    </w:p>
    <w:p w14:paraId="4A209E2E" w14:textId="77777777" w:rsidR="006F7E5B" w:rsidRPr="00AD6B46" w:rsidRDefault="006F7E5B" w:rsidP="0032557F">
      <w:pPr>
        <w:spacing w:after="120" w:line="276" w:lineRule="auto"/>
        <w:ind w:firstLine="709"/>
        <w:jc w:val="both"/>
        <w:rPr>
          <w:rFonts w:ascii="Verdana" w:eastAsia="Times New Roman" w:hAnsi="Verdana" w:cs="Arial"/>
          <w:lang w:val="es-ES_tradnl" w:eastAsia="es-ES_tradnl"/>
          <w14:ligatures w14:val="standardContextual"/>
        </w:rPr>
      </w:pPr>
      <w:r w:rsidRPr="00AD6B46">
        <w:rPr>
          <w:rFonts w:ascii="Verdana" w:eastAsia="Times New Roman" w:hAnsi="Verdana" w:cs="Arial"/>
          <w:lang w:val="es-ES_tradnl" w:eastAsia="es-ES_tradnl"/>
          <w14:ligatures w14:val="standardContextual"/>
        </w:rPr>
        <w:t>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60612E70" w14:textId="77777777" w:rsidR="006F7E5B" w:rsidRPr="00AD6B46" w:rsidRDefault="006F7E5B" w:rsidP="0032557F">
      <w:pPr>
        <w:tabs>
          <w:tab w:val="left" w:pos="709"/>
        </w:tabs>
        <w:spacing w:after="120" w:line="276" w:lineRule="auto"/>
        <w:ind w:firstLine="709"/>
        <w:jc w:val="both"/>
        <w:rPr>
          <w:rFonts w:ascii="Verdana" w:hAnsi="Verdana" w:cs="Arial"/>
          <w:shd w:val="clear" w:color="auto" w:fill="FFFFFF"/>
        </w:rPr>
      </w:pPr>
      <w:r w:rsidRPr="00AD6B46">
        <w:rPr>
          <w:rFonts w:ascii="Verdana" w:hAnsi="Verdana" w:cs="Arial"/>
          <w:shd w:val="clear" w:color="auto" w:fill="FFFFFF"/>
        </w:rPr>
        <w:t xml:space="preserve">La expresión </w:t>
      </w:r>
      <w:r w:rsidRPr="00AD6B46">
        <w:rPr>
          <w:rFonts w:ascii="Verdana" w:hAnsi="Verdana" w:cs="Arial"/>
          <w:i/>
          <w:iCs/>
          <w:shd w:val="clear" w:color="auto" w:fill="FFFFFF"/>
        </w:rPr>
        <w:t xml:space="preserve">Documentos del Proceso </w:t>
      </w:r>
      <w:r w:rsidRPr="00AD6B46">
        <w:rPr>
          <w:rFonts w:ascii="Verdana" w:hAnsi="Verdana" w:cs="Arial"/>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AD6B46">
        <w:rPr>
          <w:rFonts w:ascii="Verdana" w:hAnsi="Verdana" w:cs="Arial"/>
          <w:i/>
          <w:iCs/>
          <w:shd w:val="clear" w:color="auto" w:fill="FFFFFF"/>
        </w:rPr>
        <w:t>y cualquier otro documento expedido por la Entidad Estatal durante el Proceso de Contratación</w:t>
      </w:r>
      <w:r w:rsidRPr="00AD6B46">
        <w:rPr>
          <w:rFonts w:ascii="Verdana" w:hAnsi="Verdana" w:cs="Arial"/>
          <w:shd w:val="clear" w:color="auto" w:fill="FFFFFF"/>
        </w:rPr>
        <w:t>”. [Énfasis fuera de texto]</w:t>
      </w:r>
    </w:p>
    <w:p w14:paraId="0B3F75D4" w14:textId="0D0A7249" w:rsidR="006F7E5B" w:rsidRPr="00AD6B46" w:rsidRDefault="006F7E5B" w:rsidP="0032557F">
      <w:pPr>
        <w:tabs>
          <w:tab w:val="left" w:pos="709"/>
        </w:tabs>
        <w:spacing w:after="120" w:line="276" w:lineRule="auto"/>
        <w:ind w:firstLine="709"/>
        <w:jc w:val="both"/>
        <w:rPr>
          <w:rFonts w:ascii="Verdana" w:hAnsi="Verdana" w:cs="Arial"/>
          <w:shd w:val="clear" w:color="auto" w:fill="FFFFFF"/>
        </w:rPr>
      </w:pPr>
      <w:r w:rsidRPr="00AD6B46">
        <w:rPr>
          <w:rFonts w:ascii="Verdana" w:hAnsi="Verdana" w:cs="Arial"/>
          <w:shd w:val="clear" w:color="auto" w:fill="FFFFFF"/>
        </w:rPr>
        <w:t xml:space="preserve">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AD6B46">
        <w:rPr>
          <w:rFonts w:ascii="Verdana" w:hAnsi="Verdana" w:cs="Arial"/>
          <w:i/>
          <w:iCs/>
          <w:shd w:val="clear" w:color="auto" w:fill="FFFFFF"/>
        </w:rPr>
        <w:t>Ibidem</w:t>
      </w:r>
      <w:r w:rsidRPr="00AD6B46">
        <w:rPr>
          <w:rFonts w:ascii="Verdana" w:hAnsi="Verdana" w:cs="Arial"/>
          <w:shd w:val="clear" w:color="auto" w:fill="FFFFFF"/>
        </w:rPr>
        <w:t xml:space="preserve"> recoge en la noción de </w:t>
      </w:r>
      <w:r w:rsidR="005C77A9" w:rsidRPr="00AD6B46">
        <w:rPr>
          <w:rFonts w:ascii="Verdana" w:hAnsi="Verdana" w:cs="Arial"/>
          <w:shd w:val="clear" w:color="auto" w:fill="FFFFFF"/>
        </w:rPr>
        <w:t xml:space="preserve">documentos del proceso </w:t>
      </w:r>
      <w:r w:rsidRPr="00AD6B46">
        <w:rPr>
          <w:rFonts w:ascii="Verdana" w:hAnsi="Verdana" w:cs="Arial"/>
          <w:shd w:val="clear" w:color="auto" w:fill="FFFFFF"/>
        </w:rPr>
        <w:t xml:space="preserve">“cualquier otro documento expedido por la Entidad Estatal durante el Proceso de Contratación”. </w:t>
      </w:r>
    </w:p>
    <w:p w14:paraId="1C97F227" w14:textId="77A43C34" w:rsidR="006F7E5B" w:rsidRPr="00AD6B46" w:rsidRDefault="006F7E5B" w:rsidP="0032557F">
      <w:pPr>
        <w:tabs>
          <w:tab w:val="left" w:pos="709"/>
        </w:tabs>
        <w:spacing w:after="120" w:line="276" w:lineRule="auto"/>
        <w:ind w:firstLine="709"/>
        <w:jc w:val="both"/>
        <w:rPr>
          <w:rFonts w:ascii="Verdana" w:hAnsi="Verdana" w:cs="Arial"/>
          <w:shd w:val="clear" w:color="auto" w:fill="FFFFFF"/>
        </w:rPr>
      </w:pPr>
      <w:r w:rsidRPr="00AD6B46">
        <w:rPr>
          <w:rFonts w:ascii="Verdana" w:hAnsi="Verdana" w:cs="Arial"/>
          <w:shd w:val="clear" w:color="auto" w:fill="FFFFFF"/>
        </w:rPr>
        <w:t xml:space="preserve">Este mismo artículo define la expresión </w:t>
      </w:r>
      <w:r w:rsidR="00114427" w:rsidRPr="00AD6B46">
        <w:rPr>
          <w:rFonts w:ascii="Verdana" w:hAnsi="Verdana" w:cs="Arial"/>
          <w:shd w:val="clear" w:color="auto" w:fill="FFFFFF"/>
        </w:rPr>
        <w:t xml:space="preserve">proceso de contratación </w:t>
      </w:r>
      <w:r w:rsidRPr="00AD6B46">
        <w:rPr>
          <w:rFonts w:ascii="Verdana" w:hAnsi="Verdana" w:cs="Arial"/>
          <w:shd w:val="clear" w:color="auto" w:fill="FFFFFF"/>
        </w:rPr>
        <w:t xml:space="preserve">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se refiere a los documentos “expedidos por la entidad estatal” durante el proceso de contratación, excluyendo de la noción de </w:t>
      </w:r>
      <w:r w:rsidR="00114427" w:rsidRPr="00AD6B46">
        <w:rPr>
          <w:rFonts w:ascii="Verdana" w:hAnsi="Verdana" w:cs="Arial"/>
          <w:shd w:val="clear" w:color="auto" w:fill="FFFFFF"/>
        </w:rPr>
        <w:t xml:space="preserve">documentos del proceso </w:t>
      </w:r>
      <w:r w:rsidRPr="00AD6B46">
        <w:rPr>
          <w:rFonts w:ascii="Verdana" w:hAnsi="Verdana" w:cs="Arial"/>
          <w:shd w:val="clear" w:color="auto" w:fill="FFFFFF"/>
        </w:rPr>
        <w:t>los expedidos por un sujeto distinto a la entidad, salvo la oferta, la cual se incluye expresamente en el referido artículo 2.2.1.1.1.3.</w:t>
      </w:r>
    </w:p>
    <w:p w14:paraId="0C31751F" w14:textId="1EE008CC" w:rsidR="006F7E5B" w:rsidRDefault="006F7E5B" w:rsidP="0032557F">
      <w:pPr>
        <w:tabs>
          <w:tab w:val="left" w:pos="709"/>
        </w:tabs>
        <w:spacing w:after="120" w:line="276" w:lineRule="auto"/>
        <w:ind w:firstLine="709"/>
        <w:jc w:val="both"/>
        <w:rPr>
          <w:rFonts w:ascii="Verdana" w:hAnsi="Verdana" w:cs="Arial"/>
          <w:shd w:val="clear" w:color="auto" w:fill="FFFFFF"/>
        </w:rPr>
      </w:pPr>
      <w:r w:rsidRPr="00AD6B46">
        <w:rPr>
          <w:rFonts w:ascii="Verdana" w:hAnsi="Verdana" w:cs="Arial"/>
          <w:shd w:val="clear" w:color="auto" w:fill="FFFFFF"/>
        </w:rPr>
        <w:lastRenderedPageBreak/>
        <w:t xml:space="preserve">En ese sentido, la interpretación sistemática de los preceptos del Decreto 1082 de 2015, de acuerdo con el principio de publicidad, inicialmente, indica que las </w:t>
      </w:r>
      <w:r w:rsidR="003D72F8" w:rsidRPr="00AD6B46">
        <w:rPr>
          <w:rFonts w:ascii="Verdana" w:hAnsi="Verdana" w:cs="Arial"/>
          <w:shd w:val="clear" w:color="auto" w:fill="FFFFFF"/>
        </w:rPr>
        <w:t xml:space="preserve">entidades estatales </w:t>
      </w:r>
      <w:r w:rsidRPr="00AD6B46">
        <w:rPr>
          <w:rFonts w:ascii="Verdana" w:hAnsi="Verdana" w:cs="Arial"/>
          <w:shd w:val="clear" w:color="auto" w:fill="FFFFFF"/>
        </w:rPr>
        <w:t xml:space="preserve">tienen la obligación de publicar todos los documentos que expidan con ocasión del </w:t>
      </w:r>
      <w:r w:rsidR="008E29AE" w:rsidRPr="00AD6B46">
        <w:rPr>
          <w:rFonts w:ascii="Verdana" w:hAnsi="Verdana" w:cs="Arial"/>
          <w:shd w:val="clear" w:color="auto" w:fill="FFFFFF"/>
        </w:rPr>
        <w:t>proceso de contratación</w:t>
      </w:r>
      <w:r w:rsidRPr="00AD6B46">
        <w:rPr>
          <w:rFonts w:ascii="Verdana" w:hAnsi="Verdana" w:cs="Arial"/>
          <w:shd w:val="clear" w:color="auto" w:fill="FFFFFF"/>
        </w:rPr>
        <w:t xml:space="preserve">, es decir, que todos los documentos expedidos por la entidad durante las etapas precontractual, de </w:t>
      </w:r>
      <w:r w:rsidRPr="0032557F">
        <w:rPr>
          <w:rFonts w:ascii="Verdana" w:hAnsi="Verdana" w:cs="Arial"/>
          <w:i/>
          <w:iCs/>
          <w:shd w:val="clear" w:color="auto" w:fill="FFFFFF"/>
        </w:rPr>
        <w:t>ejecución</w:t>
      </w:r>
      <w:r w:rsidRPr="00AD6B46">
        <w:rPr>
          <w:rFonts w:ascii="Verdana" w:hAnsi="Verdana" w:cs="Arial"/>
          <w:shd w:val="clear" w:color="auto" w:fill="FFFFFF"/>
        </w:rPr>
        <w:t xml:space="preserve"> y </w:t>
      </w:r>
      <w:proofErr w:type="spellStart"/>
      <w:r w:rsidRPr="00AD6B46">
        <w:rPr>
          <w:rFonts w:ascii="Verdana" w:hAnsi="Verdana" w:cs="Arial"/>
          <w:shd w:val="clear" w:color="auto" w:fill="FFFFFF"/>
        </w:rPr>
        <w:t>postcontractual</w:t>
      </w:r>
      <w:proofErr w:type="spellEnd"/>
      <w:r w:rsidRPr="00AD6B46">
        <w:rPr>
          <w:rFonts w:ascii="Verdana" w:hAnsi="Verdana" w:cs="Arial"/>
          <w:shd w:val="clear" w:color="auto" w:fill="FFFFFF"/>
        </w:rPr>
        <w:t xml:space="preserve"> deberán publicarse en SECOP dentro de los tres (3) días siguientes a su expedición, para cumplir el deber de publicidad regulado por el artículo 2.2.1.1.1.7.1. del Decreto 1082 de 2015.</w:t>
      </w:r>
      <w:r w:rsidR="003D72F8">
        <w:rPr>
          <w:rFonts w:ascii="Verdana" w:hAnsi="Verdana" w:cs="Arial"/>
          <w:shd w:val="clear" w:color="auto" w:fill="FFFFFF"/>
        </w:rPr>
        <w:t xml:space="preserve"> Dentro de esos documentos se encuentran </w:t>
      </w:r>
      <w:r w:rsidR="00123B54">
        <w:rPr>
          <w:rFonts w:ascii="Verdana" w:hAnsi="Verdana" w:cs="Arial"/>
          <w:shd w:val="clear" w:color="auto" w:fill="FFFFFF"/>
        </w:rPr>
        <w:t xml:space="preserve">de la ejecución contractual se encuentra la </w:t>
      </w:r>
      <w:r w:rsidR="00123B54" w:rsidRPr="00123B54">
        <w:rPr>
          <w:rFonts w:ascii="Verdana" w:hAnsi="Verdana" w:cs="Arial"/>
          <w:shd w:val="clear" w:color="auto" w:fill="FFFFFF"/>
        </w:rPr>
        <w:t>constancia de pago, es decir</w:t>
      </w:r>
      <w:r w:rsidR="00123B54">
        <w:rPr>
          <w:rFonts w:ascii="Verdana" w:hAnsi="Verdana" w:cs="Arial"/>
          <w:shd w:val="clear" w:color="auto" w:fill="FFFFFF"/>
        </w:rPr>
        <w:t>,</w:t>
      </w:r>
      <w:r w:rsidR="00123B54" w:rsidRPr="00123B54">
        <w:rPr>
          <w:rFonts w:ascii="Verdana" w:hAnsi="Verdana" w:cs="Arial"/>
          <w:shd w:val="clear" w:color="auto" w:fill="FFFFFF"/>
        </w:rPr>
        <w:t xml:space="preserve"> la orden de pago que arroja la plataforma SIIF</w:t>
      </w:r>
      <w:r w:rsidR="00123B54">
        <w:rPr>
          <w:rFonts w:ascii="Verdana" w:hAnsi="Verdana" w:cs="Arial"/>
          <w:shd w:val="clear" w:color="auto" w:fill="FFFFFF"/>
        </w:rPr>
        <w:t xml:space="preserve">. </w:t>
      </w:r>
    </w:p>
    <w:p w14:paraId="36638060" w14:textId="16133B74" w:rsidR="00BC7D7E" w:rsidRDefault="00D1211B" w:rsidP="0032557F">
      <w:pPr>
        <w:tabs>
          <w:tab w:val="left" w:pos="709"/>
        </w:tabs>
        <w:spacing w:before="120" w:after="0" w:line="276" w:lineRule="auto"/>
        <w:jc w:val="both"/>
        <w:rPr>
          <w:rFonts w:ascii="Verdana" w:eastAsia="Calibri" w:hAnsi="Verdana" w:cs="Arial"/>
          <w:color w:val="000000"/>
          <w:lang w:val="es-ES_tradnl" w:eastAsia="en-GB"/>
        </w:rPr>
      </w:pPr>
      <w:r>
        <w:rPr>
          <w:rFonts w:ascii="Verdana" w:hAnsi="Verdana" w:cs="Arial"/>
          <w:shd w:val="clear" w:color="auto" w:fill="FFFFFF"/>
        </w:rPr>
        <w:tab/>
      </w:r>
      <w:r w:rsidR="00123B54">
        <w:rPr>
          <w:rFonts w:ascii="Verdana" w:hAnsi="Verdana" w:cs="Arial"/>
          <w:shd w:val="clear" w:color="auto" w:fill="FFFFFF"/>
        </w:rPr>
        <w:t>No obstante, como se abordar</w:t>
      </w:r>
      <w:r w:rsidR="00BE399B">
        <w:rPr>
          <w:rFonts w:ascii="Verdana" w:hAnsi="Verdana" w:cs="Arial"/>
          <w:shd w:val="clear" w:color="auto" w:fill="FFFFFF"/>
        </w:rPr>
        <w:t>á</w:t>
      </w:r>
      <w:r w:rsidR="00123B54">
        <w:rPr>
          <w:rFonts w:ascii="Verdana" w:hAnsi="Verdana" w:cs="Arial"/>
          <w:shd w:val="clear" w:color="auto" w:fill="FFFFFF"/>
        </w:rPr>
        <w:t xml:space="preserve"> a continuación, </w:t>
      </w:r>
      <w:r w:rsidR="00BC7D7E">
        <w:rPr>
          <w:rFonts w:ascii="Verdana" w:hAnsi="Verdana"/>
        </w:rPr>
        <w:t xml:space="preserve">el proveedor o contratista </w:t>
      </w:r>
      <w:r w:rsidR="00BC7D7E">
        <w:rPr>
          <w:rFonts w:ascii="Verdana" w:eastAsia="Calibri" w:hAnsi="Verdana" w:cs="Arial"/>
          <w:color w:val="000000"/>
          <w:lang w:val="es-ES_tradnl" w:eastAsia="en-GB"/>
        </w:rPr>
        <w:t>puede solicitar la confidencialidad sobre algún documento. Los documentos marcados como confidenciales no serán públicos, es decir, solo serán visibles para la entidad y el proveedor. Por lo cual, la opción de confidencialidad sobre los documentos del proveedor es una responsabilidad de las partes. Así mismo, como entidad estatal también podrá seleccionar la confidencialidad sobre algún documento de carácter confidencial, reservado con información sensible</w:t>
      </w:r>
      <w:r w:rsidR="00BC7D7E">
        <w:rPr>
          <w:rStyle w:val="Refdenotaalpie"/>
          <w:rFonts w:ascii="Verdana" w:eastAsia="Calibri" w:hAnsi="Verdana" w:cs="Arial"/>
          <w:color w:val="000000"/>
          <w:lang w:val="es-ES_tradnl" w:eastAsia="en-GB"/>
        </w:rPr>
        <w:footnoteReference w:id="9"/>
      </w:r>
      <w:r w:rsidR="00BC7D7E">
        <w:rPr>
          <w:rFonts w:ascii="Verdana" w:eastAsia="Calibri" w:hAnsi="Verdana" w:cs="Arial"/>
          <w:color w:val="000000"/>
          <w:lang w:val="es-ES_tradnl" w:eastAsia="en-GB"/>
        </w:rPr>
        <w:t xml:space="preserve">.  </w:t>
      </w:r>
    </w:p>
    <w:p w14:paraId="2240AB2F" w14:textId="77777777" w:rsidR="00BC7D7E" w:rsidRPr="008C5FD3" w:rsidRDefault="00BC7D7E" w:rsidP="00BC7D7E">
      <w:pPr>
        <w:tabs>
          <w:tab w:val="left" w:pos="426"/>
        </w:tabs>
        <w:spacing w:after="0" w:line="240" w:lineRule="auto"/>
        <w:ind w:firstLine="709"/>
        <w:jc w:val="both"/>
        <w:rPr>
          <w:rFonts w:ascii="Verdana" w:eastAsia="Calibri" w:hAnsi="Verdana" w:cs="Arial"/>
          <w:color w:val="000000"/>
          <w:lang w:val="es-ES_tradnl" w:eastAsia="en-GB"/>
        </w:rPr>
      </w:pPr>
    </w:p>
    <w:p w14:paraId="19280925" w14:textId="77ECBDAC" w:rsidR="00BC7D7E" w:rsidRPr="00DD49A2" w:rsidRDefault="00D1211B" w:rsidP="0032557F">
      <w:pPr>
        <w:spacing w:after="120" w:line="276" w:lineRule="auto"/>
        <w:jc w:val="both"/>
        <w:rPr>
          <w:rFonts w:ascii="Verdana" w:eastAsia="Arial" w:hAnsi="Verdana" w:cs="Arial"/>
          <w:color w:val="000000" w:themeColor="text1"/>
        </w:rPr>
      </w:pPr>
      <w:proofErr w:type="spellStart"/>
      <w:r>
        <w:rPr>
          <w:rFonts w:ascii="Verdana" w:hAnsi="Verdana"/>
        </w:rPr>
        <w:t>ii</w:t>
      </w:r>
      <w:proofErr w:type="spellEnd"/>
      <w:r>
        <w:rPr>
          <w:rFonts w:ascii="Verdana" w:hAnsi="Verdana"/>
        </w:rPr>
        <w:t xml:space="preserve">) </w:t>
      </w:r>
      <w:r w:rsidR="00BC7D7E" w:rsidRPr="00DD49A2">
        <w:rPr>
          <w:rFonts w:ascii="Verdana" w:eastAsia="Arial" w:hAnsi="Verdana" w:cs="Arial"/>
          <w:lang w:val="es"/>
        </w:rPr>
        <w:t xml:space="preserve">Sin perjuicio de lo expresado </w:t>
      </w:r>
      <w:r w:rsidR="00BC7D7E">
        <w:rPr>
          <w:rFonts w:ascii="Verdana" w:eastAsia="Arial" w:hAnsi="Verdana" w:cs="Arial"/>
          <w:lang w:val="es"/>
        </w:rPr>
        <w:t>en líneas anteriores</w:t>
      </w:r>
      <w:r w:rsidR="00BC7D7E" w:rsidRPr="00DD49A2">
        <w:rPr>
          <w:rFonts w:ascii="Verdana" w:eastAsia="Arial" w:hAnsi="Verdana" w:cs="Arial"/>
          <w:color w:val="000000" w:themeColor="text1"/>
        </w:rPr>
        <w:t>, vale la pena aclarar que el cumplimiento del deber de publicación de la documentación contractual debe armonizarse con las normas aplicables al tipo de información que estas contienen. Lo anterior significa que, respecto de datos sensibles, información sometida a reserva o de la cual proceda un tratamiento especial que impida su publicidad, las entidades deberán proceder de conformidad con el tratamiento que impongan tales normas, absteniéndose, de ser el caso, de publicar las ofertas, o las partes pertinentes en las que se evidencie este tipo de información. Para dichos eventos, la plataforma SECOP II, antes de publicar las ofertas, brinda a las entidades la opción de calificar dicha información como confidencial, lo cual impide que los documentos se publiquen.</w:t>
      </w:r>
    </w:p>
    <w:p w14:paraId="2FF393BA" w14:textId="77777777" w:rsidR="00BC7D7E" w:rsidRDefault="00BC7D7E" w:rsidP="00BC7D7E">
      <w:pPr>
        <w:spacing w:after="120" w:line="276" w:lineRule="auto"/>
        <w:ind w:firstLine="709"/>
        <w:jc w:val="both"/>
        <w:rPr>
          <w:rFonts w:ascii="Verdana" w:eastAsia="Arial" w:hAnsi="Verdana" w:cs="Arial"/>
          <w:color w:val="000000" w:themeColor="text1"/>
        </w:rPr>
      </w:pPr>
      <w:r w:rsidRPr="00DD49A2">
        <w:rPr>
          <w:rFonts w:ascii="Verdana" w:eastAsia="Arial" w:hAnsi="Verdana" w:cs="Arial"/>
          <w:color w:val="000000" w:themeColor="text1"/>
        </w:rPr>
        <w:t xml:space="preserve">En otras palabras, </w:t>
      </w:r>
      <w:r>
        <w:rPr>
          <w:rFonts w:ascii="Verdana" w:eastAsia="Arial" w:hAnsi="Verdana" w:cs="Arial"/>
          <w:color w:val="000000" w:themeColor="text1"/>
        </w:rPr>
        <w:t>aun cuando el artículo</w:t>
      </w:r>
      <w:r w:rsidRPr="00DD49A2">
        <w:rPr>
          <w:rFonts w:ascii="Verdana" w:eastAsia="Arial" w:hAnsi="Verdana" w:cs="Arial"/>
          <w:color w:val="000000" w:themeColor="text1"/>
        </w:rPr>
        <w:t xml:space="preserve"> 74 de la Constitución establezca que la información pública debe ser dada a conocer a la ciudadanía y así los documentos que hagan parte de la actividad contractual puedan catalogarse, </w:t>
      </w:r>
      <w:r w:rsidRPr="00DD49A2">
        <w:rPr>
          <w:rFonts w:ascii="Verdana" w:eastAsia="Arial" w:hAnsi="Verdana" w:cs="Arial"/>
          <w:i/>
          <w:iCs/>
          <w:color w:val="000000" w:themeColor="text1"/>
        </w:rPr>
        <w:t>prima facie</w:t>
      </w:r>
      <w:r w:rsidRPr="00DD49A2">
        <w:rPr>
          <w:rFonts w:ascii="Verdana" w:eastAsia="Arial" w:hAnsi="Verdana" w:cs="Arial"/>
          <w:color w:val="000000" w:themeColor="text1"/>
        </w:rPr>
        <w:t xml:space="preserve">, como información pública, cuando dicha documentación contenga datos sensibles, operan algunas restricciones a su publicidad. Sin embargo, esto </w:t>
      </w:r>
      <w:r w:rsidRPr="00DD49A2">
        <w:rPr>
          <w:rFonts w:ascii="Verdana" w:eastAsia="Arial" w:hAnsi="Verdana" w:cs="Arial"/>
          <w:color w:val="000000" w:themeColor="text1"/>
        </w:rPr>
        <w:lastRenderedPageBreak/>
        <w:t>no necesariamente convierte el documento completo en reservado, es decir, en un documento que no puede publicarse.</w:t>
      </w:r>
    </w:p>
    <w:p w14:paraId="2E7724C2" w14:textId="77777777" w:rsidR="00BC7D7E" w:rsidRPr="004D5D03" w:rsidRDefault="00BC7D7E" w:rsidP="2AB8B192">
      <w:pPr>
        <w:spacing w:after="120" w:line="276" w:lineRule="auto"/>
        <w:ind w:firstLine="709"/>
        <w:jc w:val="both"/>
        <w:rPr>
          <w:rFonts w:ascii="Verdana" w:eastAsia="Calibri" w:hAnsi="Verdana" w:cs="Arial"/>
          <w:color w:val="000000"/>
          <w:lang w:val="es-ES" w:eastAsia="en-GB"/>
        </w:rPr>
      </w:pPr>
      <w:r w:rsidRPr="2AB8B192">
        <w:rPr>
          <w:rFonts w:ascii="Verdana" w:eastAsia="Calibri" w:hAnsi="Verdana" w:cs="Arial"/>
          <w:color w:val="000000"/>
          <w:lang w:val="es-ES" w:eastAsia="en-GB"/>
        </w:rPr>
        <w:t>En efecto, el principio o regla general consiste en la máxima publicidad de la información pública y lo excepcional es la reserva, razón por la cual el artículo 21 de la Ley 1712 de 2014 incluso exige la divulgación parcial de la información contenida en un documento, cuando este contenga parte de información sometida a reserva, pero también incluya información que no esté afectada por la reserva. Además, dicha disposición establece que la reserva de acceso a la información opera respecto al contenido de un documento público, pero no respecto de su existencia</w:t>
      </w:r>
      <w:r w:rsidRPr="2AB8B192">
        <w:rPr>
          <w:rFonts w:ascii="Verdana" w:eastAsia="Calibri" w:hAnsi="Verdana" w:cs="Arial"/>
          <w:color w:val="000000"/>
          <w:vertAlign w:val="superscript"/>
          <w:lang w:val="es-ES" w:eastAsia="en-GB"/>
        </w:rPr>
        <w:footnoteReference w:id="10"/>
      </w:r>
      <w:r w:rsidRPr="2AB8B192">
        <w:rPr>
          <w:rFonts w:ascii="Verdana" w:eastAsia="Calibri" w:hAnsi="Verdana" w:cs="Arial"/>
          <w:color w:val="000000"/>
          <w:lang w:val="es-ES" w:eastAsia="en-GB"/>
        </w:rPr>
        <w:t>. Sin perjuicio de lo anterior, es posible que el contenido de todo el documento o expediente no deba ser objeto de publicidad por estar amparado de forma íntegra por la reserva, dada su conexión con las causales establecidas en la Constitución o la ley.</w:t>
      </w:r>
    </w:p>
    <w:p w14:paraId="2BC9E651" w14:textId="77777777" w:rsidR="00BC7D7E" w:rsidRPr="00DD49A2" w:rsidRDefault="00BC7D7E" w:rsidP="00BC7D7E">
      <w:pPr>
        <w:spacing w:after="120" w:line="276" w:lineRule="auto"/>
        <w:ind w:firstLine="709"/>
        <w:jc w:val="both"/>
        <w:rPr>
          <w:rFonts w:ascii="Verdana" w:eastAsia="Arial" w:hAnsi="Verdana" w:cs="Arial"/>
          <w:color w:val="000000" w:themeColor="text1"/>
        </w:rPr>
      </w:pPr>
      <w:r w:rsidRPr="00DD49A2">
        <w:rPr>
          <w:rFonts w:ascii="Verdana" w:eastAsia="Arial" w:hAnsi="Verdana" w:cs="Arial"/>
          <w:color w:val="000000" w:themeColor="text1"/>
        </w:rPr>
        <w:t>El enunciado constitucional, en armonía con los artículos 18 y 19 de la Ley 1712 de 2014 y los artículos 24</w:t>
      </w:r>
      <w:r>
        <w:rPr>
          <w:rStyle w:val="Refdenotaalpie"/>
          <w:rFonts w:ascii="Verdana" w:eastAsia="Arial" w:hAnsi="Verdana" w:cs="Arial"/>
          <w:color w:val="000000" w:themeColor="text1"/>
        </w:rPr>
        <w:footnoteReference w:id="11"/>
      </w:r>
      <w:r w:rsidRPr="00DD49A2">
        <w:rPr>
          <w:rFonts w:ascii="Verdana" w:eastAsia="Arial" w:hAnsi="Verdana" w:cs="Arial"/>
          <w:color w:val="000000" w:themeColor="text1"/>
        </w:rPr>
        <w:t xml:space="preserve"> y 25 de la Ley 1437 de 2011, establecen que </w:t>
      </w:r>
      <w:r w:rsidRPr="00DD49A2">
        <w:rPr>
          <w:rFonts w:ascii="Verdana" w:eastAsia="Arial" w:hAnsi="Verdana" w:cs="Arial"/>
          <w:color w:val="000000" w:themeColor="text1"/>
        </w:rPr>
        <w:lastRenderedPageBreak/>
        <w:t>el derecho de acceso a la información o documentación pública no es absoluto, sino que puede exceptuarse cuando se configuren causales de reserva. Así mismo, hay información que goza de protección especial y no puede divulgarse. La información pública que contiene datos semiprivados o privados, definidos en los literales g) y h) del artículo 3° de la Ley 1266 de 2008, clasificados o reservados, según los artículos 18 y 19 de la Ley 1712 de 2014, o datos personales o sensibles, según lo previsto en los artículos 3° y 5° de la Ley 1581 de 2012 y en el numeral 3° del artículo 3° del Decreto 1377 de 2013, solo podrá divulgarse según las reglas establecidas en dichas normas. Pero esto no quiere decir que todo el documento se convierta en reservado, sino que se debe proceder como se indica a continuación.</w:t>
      </w:r>
    </w:p>
    <w:p w14:paraId="7B9581F8" w14:textId="117A2F0A" w:rsidR="00BC7D7E" w:rsidRDefault="00BC7D7E" w:rsidP="00BC7D7E">
      <w:pPr>
        <w:spacing w:after="120" w:line="276" w:lineRule="auto"/>
        <w:ind w:firstLine="709"/>
        <w:jc w:val="both"/>
        <w:rPr>
          <w:rFonts w:ascii="Verdana" w:eastAsia="Arial" w:hAnsi="Verdana" w:cs="Arial"/>
          <w:color w:val="000000" w:themeColor="text1"/>
        </w:rPr>
      </w:pPr>
      <w:r w:rsidRPr="00DD49A2">
        <w:rPr>
          <w:rFonts w:ascii="Verdana" w:eastAsia="Arial" w:hAnsi="Verdana" w:cs="Arial"/>
          <w:color w:val="000000" w:themeColor="text1"/>
        </w:rPr>
        <w:t>Cuando el documento contractual tenga información sensible, clasificada o reservada, para proteger la información, las autoridades deben abstenerse de publicar en el SECOP la información que tiene protección especial, tal como sucede</w:t>
      </w:r>
      <w:r w:rsidR="00345B99">
        <w:rPr>
          <w:rFonts w:ascii="Verdana" w:eastAsia="Arial" w:hAnsi="Verdana" w:cs="Arial"/>
          <w:color w:val="000000" w:themeColor="text1"/>
        </w:rPr>
        <w:t>,</w:t>
      </w:r>
      <w:r w:rsidRPr="00DD49A2">
        <w:rPr>
          <w:rFonts w:ascii="Verdana" w:eastAsia="Arial" w:hAnsi="Verdana" w:cs="Arial"/>
          <w:color w:val="000000" w:themeColor="text1"/>
        </w:rPr>
        <w:t xml:space="preserve"> </w:t>
      </w:r>
      <w:r>
        <w:rPr>
          <w:rFonts w:ascii="Verdana" w:eastAsia="Arial" w:hAnsi="Verdana" w:cs="Arial"/>
          <w:color w:val="000000" w:themeColor="text1"/>
        </w:rPr>
        <w:t xml:space="preserve">por ejemplo, </w:t>
      </w:r>
      <w:r w:rsidRPr="00DD49A2">
        <w:rPr>
          <w:rFonts w:ascii="Verdana" w:eastAsia="Arial" w:hAnsi="Verdana" w:cs="Arial"/>
          <w:color w:val="000000" w:themeColor="text1"/>
        </w:rPr>
        <w:t>con los derechos de los menores, de conformidad con</w:t>
      </w:r>
      <w:r>
        <w:rPr>
          <w:rFonts w:ascii="Verdana" w:eastAsia="Arial" w:hAnsi="Verdana" w:cs="Arial"/>
          <w:color w:val="000000" w:themeColor="text1"/>
        </w:rPr>
        <w:t xml:space="preserve"> lo establecido en</w:t>
      </w:r>
      <w:r w:rsidRPr="00DD49A2">
        <w:rPr>
          <w:rFonts w:ascii="Verdana" w:eastAsia="Arial" w:hAnsi="Verdana" w:cs="Arial"/>
          <w:color w:val="000000" w:themeColor="text1"/>
        </w:rPr>
        <w:t xml:space="preserve"> el artículo 7° de la Ley 1581 de 2012 y el artículo 2.1.1.4.1.2 del Decreto 1081 de 2015. Sin embargo, de acuerdo con el segundo inciso del artículo 25 de la Ley 1437 de 2011 “La restricción por reserva legal no se extenderá a otras piezas del respectivo expediente o actuación que no estén cubiertas por ella”. Por ello, la entidad estatal deberá excluir del documento entregado por el proponente </w:t>
      </w:r>
      <w:r>
        <w:rPr>
          <w:rFonts w:ascii="Verdana" w:eastAsia="Arial" w:hAnsi="Verdana" w:cs="Arial"/>
          <w:color w:val="000000" w:themeColor="text1"/>
        </w:rPr>
        <w:t xml:space="preserve">o del contratista, </w:t>
      </w:r>
      <w:r w:rsidRPr="00DD49A2">
        <w:rPr>
          <w:rFonts w:ascii="Verdana" w:eastAsia="Arial" w:hAnsi="Verdana" w:cs="Arial"/>
          <w:color w:val="000000" w:themeColor="text1"/>
        </w:rPr>
        <w:t xml:space="preserve">la información que contenga datos sensibles, clasificados o reservados, para no divulgarla, pero debe publicar las demás piezas o los apartados que no gozan de reserva o que no están protegidos por las </w:t>
      </w:r>
      <w:r w:rsidRPr="000A5966">
        <w:rPr>
          <w:rFonts w:ascii="Verdana" w:eastAsia="Arial" w:hAnsi="Verdana" w:cs="Arial"/>
          <w:color w:val="000000" w:themeColor="text1"/>
        </w:rPr>
        <w:t>disposiciones de habeas data.</w:t>
      </w:r>
    </w:p>
    <w:p w14:paraId="31A8116A" w14:textId="77777777" w:rsidR="00BC7D7E" w:rsidRDefault="00BC7D7E" w:rsidP="00837A94">
      <w:pPr>
        <w:tabs>
          <w:tab w:val="left" w:pos="426"/>
        </w:tabs>
        <w:spacing w:after="120" w:line="276" w:lineRule="auto"/>
        <w:ind w:firstLine="709"/>
        <w:jc w:val="both"/>
        <w:rPr>
          <w:rFonts w:ascii="Verdana" w:eastAsia="Calibri" w:hAnsi="Verdana" w:cs="Arial"/>
          <w:color w:val="000000"/>
          <w:lang w:val="es-ES_tradnl" w:eastAsia="en-GB"/>
        </w:rPr>
      </w:pPr>
      <w:r w:rsidRPr="00A9405A">
        <w:rPr>
          <w:rFonts w:ascii="Verdana" w:eastAsia="Calibri" w:hAnsi="Verdana" w:cs="Arial"/>
          <w:color w:val="000000"/>
          <w:lang w:val="es-ES_tradnl" w:eastAsia="en-GB"/>
        </w:rPr>
        <w:t xml:space="preserve">En efecto, de conformidad con la Constitución y la jurisprudencia de las altas cortes, la reserva de información pública solo puede crearla el constituyente o el legislador. </w:t>
      </w:r>
      <w:r>
        <w:rPr>
          <w:rFonts w:ascii="Verdana" w:eastAsia="Calibri" w:hAnsi="Verdana" w:cs="Arial"/>
          <w:color w:val="000000"/>
          <w:lang w:val="es-ES_tradnl" w:eastAsia="en-GB"/>
        </w:rPr>
        <w:t>En efecto,</w:t>
      </w:r>
      <w:r w:rsidRPr="00A9405A">
        <w:rPr>
          <w:rFonts w:ascii="Verdana" w:eastAsia="Calibri" w:hAnsi="Verdana" w:cs="Arial"/>
          <w:color w:val="000000"/>
          <w:lang w:val="es-ES_tradnl" w:eastAsia="en-GB"/>
        </w:rPr>
        <w:t xml:space="preserve"> las Leyes estatutarias 1712 de 2014 y la 1755 de 2015 –que sustituyó los artículos 13 a 33 de la Ley 1437 de 2011– establecen reservas particulares de información pública. </w:t>
      </w:r>
    </w:p>
    <w:p w14:paraId="3105EBC8" w14:textId="528A1A94" w:rsidR="003B1296" w:rsidRPr="00AD6B46" w:rsidRDefault="003B1296" w:rsidP="003B1296">
      <w:pPr>
        <w:spacing w:after="120" w:line="276" w:lineRule="auto"/>
        <w:ind w:firstLine="709"/>
        <w:jc w:val="both"/>
        <w:rPr>
          <w:rFonts w:ascii="Verdana" w:eastAsia="Calibri" w:hAnsi="Verdana" w:cs="Arial"/>
          <w:color w:val="000000"/>
        </w:rPr>
      </w:pPr>
      <w:r>
        <w:rPr>
          <w:rFonts w:ascii="Verdana" w:eastAsia="Calibri" w:hAnsi="Verdana" w:cs="Arial"/>
          <w:color w:val="000000"/>
        </w:rPr>
        <w:t>D</w:t>
      </w:r>
      <w:r w:rsidRPr="00AD6B46">
        <w:rPr>
          <w:rFonts w:ascii="Verdana" w:eastAsia="Calibri" w:hAnsi="Verdana" w:cs="Arial"/>
          <w:color w:val="000000"/>
        </w:rPr>
        <w:t xml:space="preserve">e acuerdo con el segundo inciso del artículo 25 de la Ley 1437 de 2011 “La restricción por reserva legal no se extenderá a otras piezas del respectivo expediente o actuación que no estén cubiertas por ella”. Por ello, la entidad estatal puede no publicar o suministrar algún documento del proceso o aparte del mismo que contenga información clasificada o reservada, para no divulgarlo, pero debe publicar los demás documentos o los apartados de estos, en caso de que estos no gocen de reserva. Lo anterior, sin perjuicio de que, dependiendo </w:t>
      </w:r>
      <w:r w:rsidRPr="00AD6B46">
        <w:rPr>
          <w:rFonts w:ascii="Verdana" w:eastAsia="Calibri" w:hAnsi="Verdana" w:cs="Arial"/>
          <w:color w:val="000000"/>
        </w:rPr>
        <w:lastRenderedPageBreak/>
        <w:t xml:space="preserve">de la información en específico, todo el documento o expediente no pueda publicarse o suministrarse, por ampararse en su integridad en alguna causal de reserva, dada la conexión de su contenido con la información que el constituyente o el legislador decidió limitar en cuanto a su publicidad o suministro. De este modo, cuando el documento contractual tenga información clasificada o reservada, las autoridades deben abstenerse de publicar en el SECOP la información que tenga dicho carácter, por tanto, deberá publicar la información de forma parcial. </w:t>
      </w:r>
    </w:p>
    <w:p w14:paraId="4B331878" w14:textId="70E9D6F5" w:rsidR="003B1296" w:rsidRPr="00AD6B46" w:rsidRDefault="003B1296" w:rsidP="003B1296">
      <w:pPr>
        <w:spacing w:after="120" w:line="276" w:lineRule="auto"/>
        <w:ind w:firstLine="708"/>
        <w:jc w:val="both"/>
        <w:rPr>
          <w:rFonts w:ascii="Verdana" w:eastAsia="Calibri" w:hAnsi="Verdana" w:cs="Arial"/>
          <w:color w:val="000000"/>
        </w:rPr>
      </w:pPr>
      <w:r w:rsidRPr="00AD6B46">
        <w:rPr>
          <w:rFonts w:ascii="Verdana" w:eastAsia="Calibri" w:hAnsi="Verdana" w:cs="Arial"/>
          <w:color w:val="000000"/>
        </w:rPr>
        <w:t>En línea con todo lo expuesto, el Decreto 1081 de 2015 en su artículo 2.1.1.4.3.2 establece que, si un mismo acto o documento contiene información que puede divulgarse y a su vez, información clasificada o reservada, la entidad debe revelar los datos no protegidos y presentar los fundamentos constitucionales y legales por los que retiene los datos que no puede divulgar. De igual modo, deben revisar si los documentos contienen datos que no deban divulgarse, conforme a los fundamentos constitucionales y legales, y por tanto, tachar los apartes clasificados o reservados del documento, anonimizar, transliterar o editar el documento para suprimir la información que no puede difundirse; así como abrir un nuevo expediente con la información pública que pueda divulgar; o en su defecto, acudir a las acciones que sean necesarias para cumplir con su deber de permitir el acceso a toda aquella información que no esté clasificada o reservada, teniendo en cuenta el formato y medio de conservación de la información.</w:t>
      </w:r>
    </w:p>
    <w:p w14:paraId="023E9202" w14:textId="77777777" w:rsidR="003B1296" w:rsidRDefault="003B1296" w:rsidP="00FE4AF4">
      <w:pPr>
        <w:spacing w:after="0" w:line="276" w:lineRule="auto"/>
        <w:ind w:firstLine="708"/>
        <w:jc w:val="both"/>
        <w:rPr>
          <w:rFonts w:ascii="Verdana" w:hAnsi="Verdana"/>
        </w:rPr>
      </w:pPr>
      <w:r w:rsidRPr="00AD6B46">
        <w:rPr>
          <w:rFonts w:ascii="Verdana" w:eastAsia="Calibri" w:hAnsi="Verdana" w:cs="Arial"/>
          <w:color w:val="000000"/>
        </w:rPr>
        <w:t>Así mismo, el Archivo General de la Nación como entidad encargada de liderar la Política de archivo y gestión documental a nivel nacional, expidió el Acuerdo 001 de 2024 “Por el cual se establece el Acuerdo Único de la Función Archivística, se definen los criterios técnicos y jurídicos para su implementación en el Estado Colombiano y se fijan otras disposiciones”, que en su artículo 7.1.3.</w:t>
      </w:r>
      <w:r w:rsidRPr="00AD6B46">
        <w:rPr>
          <w:rFonts w:ascii="Verdana" w:eastAsia="Calibri" w:hAnsi="Verdana" w:cs="Arial"/>
          <w:color w:val="000000"/>
          <w:vertAlign w:val="superscript"/>
        </w:rPr>
        <w:footnoteReference w:id="12"/>
      </w:r>
      <w:r w:rsidRPr="00AD6B46">
        <w:rPr>
          <w:rFonts w:ascii="Verdana" w:eastAsia="Calibri" w:hAnsi="Verdana" w:cs="Arial"/>
          <w:color w:val="000000"/>
        </w:rPr>
        <w:t xml:space="preserve"> preciso que </w:t>
      </w:r>
      <w:r w:rsidRPr="00AD6B46">
        <w:rPr>
          <w:rFonts w:ascii="Verdana" w:hAnsi="Verdana"/>
        </w:rPr>
        <w:t xml:space="preserve">la reserva aplica a la información, no a los documentos, para </w:t>
      </w:r>
      <w:r w:rsidRPr="00AD6B46">
        <w:rPr>
          <w:rFonts w:ascii="Verdana" w:hAnsi="Verdana"/>
        </w:rPr>
        <w:lastRenderedPageBreak/>
        <w:t>lo cual el responsable de la información verificará qué información está sometida a reserva, y elaborará una versión pública que mantenga la reserva de los titulares de los datos, con el fin de garantizar el principio de máxima publicidad y conforme a las disposiciones legales sobre el acceso a la información. Al respecto, el parágrafo primero del referenciado artículo dispone algunos criterios para la reserva información:</w:t>
      </w:r>
    </w:p>
    <w:p w14:paraId="3C0B65CA" w14:textId="77777777" w:rsidR="00FE4AF4" w:rsidRPr="00AD6B46" w:rsidRDefault="00FE4AF4" w:rsidP="0032557F">
      <w:pPr>
        <w:spacing w:after="0" w:line="276" w:lineRule="auto"/>
        <w:ind w:firstLine="708"/>
        <w:jc w:val="both"/>
        <w:rPr>
          <w:rFonts w:ascii="Verdana" w:hAnsi="Verdana"/>
        </w:rPr>
      </w:pPr>
    </w:p>
    <w:p w14:paraId="3574051C" w14:textId="77777777" w:rsidR="003B1296" w:rsidRPr="0032557F" w:rsidRDefault="003B1296" w:rsidP="0032557F">
      <w:pPr>
        <w:spacing w:after="0" w:line="276" w:lineRule="auto"/>
        <w:ind w:left="709" w:right="709"/>
        <w:jc w:val="both"/>
        <w:rPr>
          <w:rFonts w:ascii="Verdana" w:hAnsi="Verdana"/>
          <w:sz w:val="20"/>
          <w:szCs w:val="20"/>
        </w:rPr>
      </w:pPr>
      <w:r w:rsidRPr="0032557F">
        <w:rPr>
          <w:rFonts w:ascii="Verdana" w:hAnsi="Verdana"/>
          <w:sz w:val="20"/>
          <w:szCs w:val="20"/>
        </w:rPr>
        <w:t xml:space="preserve">Parágrafo 1. De existir reserva legal, se aplicarán, como mínimo, los siguientes criterios: </w:t>
      </w:r>
    </w:p>
    <w:p w14:paraId="3EF4C75C" w14:textId="77777777" w:rsidR="003B1296" w:rsidRPr="0032557F" w:rsidRDefault="003B1296" w:rsidP="00FE4AF4">
      <w:pPr>
        <w:spacing w:after="0" w:line="240" w:lineRule="auto"/>
        <w:ind w:left="709" w:right="709"/>
        <w:jc w:val="both"/>
        <w:rPr>
          <w:rFonts w:ascii="Verdana" w:hAnsi="Verdana"/>
          <w:sz w:val="20"/>
          <w:szCs w:val="20"/>
        </w:rPr>
      </w:pPr>
      <w:r w:rsidRPr="0032557F">
        <w:rPr>
          <w:rFonts w:ascii="Verdana" w:hAnsi="Verdana"/>
          <w:sz w:val="20"/>
          <w:szCs w:val="20"/>
        </w:rPr>
        <w:t>1. La reserva opera sobre el contenido del documento, no sobre la existencia de este. Estos documentos deben ser identificados de manera clara en los instrumentos de la gestión de información pública.</w:t>
      </w:r>
    </w:p>
    <w:p w14:paraId="4F90EA24" w14:textId="77777777" w:rsidR="003B1296" w:rsidRPr="0032557F" w:rsidRDefault="003B1296" w:rsidP="00FE4AF4">
      <w:pPr>
        <w:spacing w:after="0" w:line="240" w:lineRule="auto"/>
        <w:ind w:left="709" w:right="709"/>
        <w:jc w:val="both"/>
        <w:rPr>
          <w:rFonts w:ascii="Verdana" w:hAnsi="Verdana"/>
          <w:sz w:val="20"/>
          <w:szCs w:val="20"/>
        </w:rPr>
      </w:pPr>
      <w:r w:rsidRPr="0032557F">
        <w:rPr>
          <w:rFonts w:ascii="Verdana" w:hAnsi="Verdana"/>
          <w:sz w:val="20"/>
          <w:szCs w:val="20"/>
        </w:rPr>
        <w:t xml:space="preserve"> </w:t>
      </w:r>
    </w:p>
    <w:p w14:paraId="05733921" w14:textId="77777777" w:rsidR="003B1296" w:rsidRPr="0032557F" w:rsidRDefault="003B1296" w:rsidP="00FE4AF4">
      <w:pPr>
        <w:spacing w:after="0" w:line="240" w:lineRule="auto"/>
        <w:ind w:left="709" w:right="709"/>
        <w:jc w:val="both"/>
        <w:rPr>
          <w:rFonts w:ascii="Verdana" w:hAnsi="Verdana"/>
          <w:sz w:val="20"/>
          <w:szCs w:val="20"/>
        </w:rPr>
      </w:pPr>
      <w:r w:rsidRPr="0032557F">
        <w:rPr>
          <w:rFonts w:ascii="Verdana" w:hAnsi="Verdana"/>
          <w:sz w:val="20"/>
          <w:szCs w:val="20"/>
        </w:rPr>
        <w:t>2. La reserva legal solo opera sobre la información que compromete derechos fundamentales o bienes constitucionales, no sobre los procesos o actuaciones de los que hace parte. Para tal efecto se realizarán versiones públicas de estos documentos, que impidan la identificación de los titulares de los datos personales, como lo ordena la normativa vigente.</w:t>
      </w:r>
    </w:p>
    <w:p w14:paraId="3063567E" w14:textId="77777777" w:rsidR="003B1296" w:rsidRPr="0032557F" w:rsidRDefault="003B1296" w:rsidP="00FE4AF4">
      <w:pPr>
        <w:spacing w:after="0" w:line="240" w:lineRule="auto"/>
        <w:ind w:left="709" w:right="709"/>
        <w:jc w:val="both"/>
        <w:rPr>
          <w:rFonts w:ascii="Verdana" w:hAnsi="Verdana"/>
          <w:sz w:val="20"/>
          <w:szCs w:val="20"/>
        </w:rPr>
      </w:pPr>
      <w:r w:rsidRPr="0032557F">
        <w:rPr>
          <w:rFonts w:ascii="Verdana" w:hAnsi="Verdana"/>
          <w:sz w:val="20"/>
          <w:szCs w:val="20"/>
        </w:rPr>
        <w:t xml:space="preserve"> </w:t>
      </w:r>
    </w:p>
    <w:p w14:paraId="6DF9FFC1" w14:textId="77777777" w:rsidR="003B1296" w:rsidRPr="0032557F" w:rsidRDefault="003B1296" w:rsidP="00FE4AF4">
      <w:pPr>
        <w:spacing w:after="0" w:line="240" w:lineRule="auto"/>
        <w:ind w:left="709" w:right="709"/>
        <w:jc w:val="both"/>
        <w:rPr>
          <w:rFonts w:ascii="Verdana" w:hAnsi="Verdana"/>
          <w:sz w:val="20"/>
          <w:szCs w:val="20"/>
        </w:rPr>
      </w:pPr>
      <w:r w:rsidRPr="0032557F">
        <w:rPr>
          <w:rFonts w:ascii="Verdana" w:hAnsi="Verdana"/>
          <w:sz w:val="20"/>
          <w:szCs w:val="20"/>
        </w:rPr>
        <w:t xml:space="preserve">3. La reserva deberá ser temporal, como lo determine la Ley. </w:t>
      </w:r>
    </w:p>
    <w:p w14:paraId="2AD5831B" w14:textId="77777777" w:rsidR="003B1296" w:rsidRPr="00AD6B46" w:rsidRDefault="003B1296" w:rsidP="0032557F">
      <w:pPr>
        <w:spacing w:after="0" w:line="276" w:lineRule="auto"/>
        <w:ind w:firstLine="708"/>
        <w:jc w:val="both"/>
        <w:rPr>
          <w:rFonts w:ascii="Verdana" w:eastAsia="Calibri" w:hAnsi="Verdana" w:cs="Arial"/>
          <w:color w:val="000000"/>
        </w:rPr>
      </w:pPr>
    </w:p>
    <w:p w14:paraId="5C135D2D" w14:textId="77777777" w:rsidR="003B1296" w:rsidRPr="00AD6B46" w:rsidRDefault="003B1296" w:rsidP="0032557F">
      <w:pPr>
        <w:spacing w:after="120" w:line="276" w:lineRule="auto"/>
        <w:ind w:firstLine="708"/>
        <w:jc w:val="both"/>
        <w:rPr>
          <w:rFonts w:ascii="Verdana" w:eastAsia="Calibri" w:hAnsi="Verdana" w:cs="Arial"/>
          <w:color w:val="000000"/>
          <w:lang w:val="es-ES"/>
        </w:rPr>
      </w:pPr>
      <w:r w:rsidRPr="00AD6B46">
        <w:rPr>
          <w:rFonts w:ascii="Verdana" w:eastAsia="Calibri" w:hAnsi="Verdana" w:cs="Arial"/>
          <w:color w:val="000000"/>
        </w:rPr>
        <w:t>Ahora bien, para elaborar estas versiones públicas</w:t>
      </w:r>
      <w:r w:rsidRPr="00AD6B46">
        <w:rPr>
          <w:rFonts w:ascii="Verdana" w:hAnsi="Verdana"/>
          <w:sz w:val="16"/>
          <w:szCs w:val="16"/>
        </w:rPr>
        <w:t xml:space="preserve"> </w:t>
      </w:r>
      <w:r w:rsidRPr="00AD6B46">
        <w:rPr>
          <w:rFonts w:ascii="Verdana" w:eastAsia="Calibri" w:hAnsi="Verdana" w:cs="Arial"/>
          <w:color w:val="000000"/>
        </w:rPr>
        <w:t xml:space="preserve">que contengan información clasificada o reservada, la entidad debe aplicar estándares para la </w:t>
      </w:r>
      <w:proofErr w:type="spellStart"/>
      <w:r w:rsidRPr="00AD6B46">
        <w:rPr>
          <w:rFonts w:ascii="Verdana" w:eastAsia="Calibri" w:hAnsi="Verdana" w:cs="Arial"/>
          <w:color w:val="000000"/>
        </w:rPr>
        <w:t>anonimización</w:t>
      </w:r>
      <w:proofErr w:type="spellEnd"/>
      <w:r w:rsidRPr="00AD6B46">
        <w:rPr>
          <w:rFonts w:ascii="Verdana" w:eastAsia="Calibri" w:hAnsi="Verdana" w:cs="Arial"/>
          <w:color w:val="000000"/>
        </w:rPr>
        <w:t xml:space="preserve"> de datos, teniendo en cuenta la normativa vigente para la protección de datos personales y acceso a la información, como lo dispone el parágrafo segundo del artículo 7.1.3. del Acuerdo 001 del Archivo General de la Nación.  </w:t>
      </w:r>
    </w:p>
    <w:p w14:paraId="7500FA86" w14:textId="503567E5" w:rsidR="00BC7D7E" w:rsidRDefault="00BC7D7E" w:rsidP="0032557F">
      <w:pPr>
        <w:spacing w:after="120" w:line="276" w:lineRule="auto"/>
        <w:ind w:firstLine="709"/>
        <w:jc w:val="both"/>
        <w:rPr>
          <w:rFonts w:ascii="Verdana" w:eastAsia="Times New Roman" w:hAnsi="Verdana" w:cs="Arial"/>
          <w:lang w:val="es-ES" w:eastAsia="es-ES"/>
        </w:rPr>
      </w:pPr>
      <w:r>
        <w:rPr>
          <w:rFonts w:ascii="Verdana" w:eastAsia="Calibri" w:hAnsi="Verdana" w:cs="Arial"/>
          <w:color w:val="000000"/>
          <w:lang w:val="es-ES_tradnl" w:eastAsia="en-GB"/>
        </w:rPr>
        <w:t xml:space="preserve">A manera de ejemplo, podrían considerarse documentos con datos sensibles, clasificados o reservados, por ejemplo </w:t>
      </w:r>
      <w:r w:rsidR="00FE4AF4">
        <w:rPr>
          <w:rFonts w:ascii="Verdana" w:eastAsia="Calibri" w:hAnsi="Verdana" w:cs="Arial"/>
          <w:color w:val="000000"/>
          <w:lang w:val="es-ES_tradnl" w:eastAsia="en-GB"/>
        </w:rPr>
        <w:t xml:space="preserve">confidencialidad” </w:t>
      </w:r>
      <w:r w:rsidR="00EE4842">
        <w:rPr>
          <w:rFonts w:ascii="Verdana" w:eastAsia="Calibri" w:hAnsi="Verdana" w:cs="Arial"/>
          <w:color w:val="000000"/>
          <w:lang w:val="es-ES_tradnl" w:eastAsia="en-GB"/>
        </w:rPr>
        <w:t>ce</w:t>
      </w:r>
      <w:r>
        <w:rPr>
          <w:rFonts w:ascii="Verdana" w:eastAsia="Calibri" w:hAnsi="Verdana" w:cs="Arial"/>
          <w:color w:val="000000"/>
          <w:lang w:val="es-ES_tradnl" w:eastAsia="en-GB"/>
        </w:rPr>
        <w:t xml:space="preserve">dula de ciudadanía, la tarjeta profesional, si aplica, el RUT, el certificado bancario, el examen médico ocupacional, la declaración de conflicto de intereses, el certificado REDAM, </w:t>
      </w:r>
      <w:r w:rsidRPr="00D4693F">
        <w:rPr>
          <w:rFonts w:ascii="Verdana" w:eastAsia="Arial" w:hAnsi="Verdana" w:cs="Arial"/>
          <w:lang w:val="es"/>
        </w:rPr>
        <w:t>por lo que deben clasificarse y dejarse marcados en la plataforma SECOP</w:t>
      </w:r>
      <w:r>
        <w:rPr>
          <w:rFonts w:ascii="Verdana" w:eastAsia="Arial" w:hAnsi="Verdana" w:cs="Arial"/>
          <w:lang w:val="es"/>
        </w:rPr>
        <w:t xml:space="preserve"> </w:t>
      </w:r>
      <w:r w:rsidRPr="00D4693F">
        <w:rPr>
          <w:rFonts w:ascii="Verdana" w:eastAsia="Arial" w:hAnsi="Verdana" w:cs="Arial"/>
          <w:lang w:val="es"/>
        </w:rPr>
        <w:t xml:space="preserve">II como “solicitud de confidencialidad”  por el proponente y, </w:t>
      </w:r>
      <w:r w:rsidRPr="00D4693F">
        <w:rPr>
          <w:rFonts w:ascii="Verdana" w:eastAsia="Arial" w:hAnsi="Verdana" w:cs="Arial"/>
          <w:lang w:val="es"/>
        </w:rPr>
        <w:lastRenderedPageBreak/>
        <w:t>“confidencialidad“ por la entidad, sin embargo, se deben publicar las demás piezas de la oferta o los apartados que no gozan de reserva o que no están protegidos por las disposiciones de habeas data</w:t>
      </w:r>
      <w:r w:rsidRPr="00D4693F">
        <w:rPr>
          <w:rFonts w:ascii="Verdana" w:eastAsia="Times New Roman" w:hAnsi="Verdana" w:cs="Arial"/>
          <w:lang w:val="es-ES" w:eastAsia="es-ES"/>
        </w:rPr>
        <w:t xml:space="preserve">. </w:t>
      </w:r>
    </w:p>
    <w:p w14:paraId="7A5C0B09" w14:textId="77777777" w:rsidR="00BC7D7E" w:rsidRDefault="00BC7D7E" w:rsidP="0032557F">
      <w:pPr>
        <w:spacing w:after="120" w:line="276" w:lineRule="auto"/>
        <w:ind w:firstLine="708"/>
        <w:jc w:val="both"/>
      </w:pPr>
      <w:r>
        <w:rPr>
          <w:rFonts w:ascii="Verdana" w:eastAsia="Calibri" w:hAnsi="Verdana" w:cs="Arial"/>
          <w:bCs/>
          <w:color w:val="000000" w:themeColor="text1"/>
        </w:rPr>
        <w:t>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4CA9C339" w14:textId="2BDF9223" w:rsidR="00BC7D7E" w:rsidRDefault="00273D4C" w:rsidP="0032557F">
      <w:pPr>
        <w:widowControl w:val="0"/>
        <w:autoSpaceDE w:val="0"/>
        <w:autoSpaceDN w:val="0"/>
        <w:spacing w:after="0" w:line="276" w:lineRule="auto"/>
        <w:ind w:firstLine="709"/>
        <w:jc w:val="both"/>
        <w:rPr>
          <w:rFonts w:ascii="Verdana" w:eastAsia="Calibri" w:hAnsi="Verdana" w:cs="Arial"/>
        </w:rPr>
      </w:pPr>
      <w:r>
        <w:rPr>
          <w:rFonts w:ascii="Verdana" w:eastAsia="Calibri" w:hAnsi="Verdana" w:cs="Times New Roman"/>
          <w:lang w:val="es-ES"/>
        </w:rPr>
        <w:t>Finalmente</w:t>
      </w:r>
      <w:r w:rsidR="00BC7D7E" w:rsidRPr="00DB4737">
        <w:rPr>
          <w:rFonts w:ascii="Verdana" w:eastAsia="Calibri" w:hAnsi="Verdana" w:cs="Times New Roman"/>
          <w:lang w:val="es-ES"/>
        </w:rPr>
        <w:t>,</w:t>
      </w:r>
      <w:r>
        <w:rPr>
          <w:rFonts w:ascii="Verdana" w:eastAsia="Calibri" w:hAnsi="Verdana" w:cs="Times New Roman"/>
          <w:lang w:val="es-ES"/>
        </w:rPr>
        <w:t xml:space="preserve"> debe advertirse que</w:t>
      </w:r>
      <w:r w:rsidR="00BC7D7E" w:rsidRPr="00DB4737">
        <w:rPr>
          <w:rFonts w:ascii="Verdana" w:eastAsia="Calibri" w:hAnsi="Verdana" w:cs="Times New Roman"/>
          <w:lang w:val="es-ES"/>
        </w:rPr>
        <w:t xml:space="preserve">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sidR="00BC7D7E" w:rsidRPr="00BE1034">
        <w:rPr>
          <w:rFonts w:ascii="Verdana" w:eastAsia="Calibri" w:hAnsi="Verdana" w:cs="Arial"/>
        </w:rPr>
        <w:t xml:space="preserve"> </w:t>
      </w:r>
    </w:p>
    <w:p w14:paraId="27B33BC6" w14:textId="77777777" w:rsidR="00BC7D7E" w:rsidRDefault="00BC7D7E" w:rsidP="00A216B9">
      <w:pPr>
        <w:spacing w:after="0" w:line="276" w:lineRule="auto"/>
        <w:jc w:val="both"/>
        <w:rPr>
          <w:rFonts w:ascii="Verdana" w:eastAsia="Calibri" w:hAnsi="Verdana" w:cs="Arial"/>
          <w:lang w:val="es-ES"/>
        </w:rPr>
      </w:pPr>
    </w:p>
    <w:p w14:paraId="2208DB25" w14:textId="77777777" w:rsidR="00BC7D7E" w:rsidRPr="0060676F" w:rsidRDefault="00BC7D7E" w:rsidP="0032557F">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48CBE778" w14:textId="77777777" w:rsidR="00BC7D7E" w:rsidRPr="00593A5F" w:rsidRDefault="00BC7D7E" w:rsidP="00A216B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C7D7E" w:rsidRPr="00593A5F" w14:paraId="755BC5EE" w14:textId="77777777" w:rsidTr="00851EFB">
        <w:trPr>
          <w:trHeight w:val="870"/>
        </w:trPr>
        <w:tc>
          <w:tcPr>
            <w:tcW w:w="8647" w:type="dxa"/>
          </w:tcPr>
          <w:p w14:paraId="517BB5F1" w14:textId="77777777" w:rsidR="00BC7D7E" w:rsidRPr="00A216B9" w:rsidRDefault="00BC7D7E" w:rsidP="0032557F">
            <w:pPr>
              <w:pStyle w:val="Prrafodelista"/>
              <w:numPr>
                <w:ilvl w:val="0"/>
                <w:numId w:val="17"/>
              </w:numPr>
              <w:spacing w:after="120" w:line="276" w:lineRule="auto"/>
              <w:ind w:left="714" w:hanging="357"/>
              <w:contextualSpacing w:val="0"/>
              <w:jc w:val="both"/>
              <w:rPr>
                <w:rFonts w:ascii="Verdana" w:eastAsia="Calibri" w:hAnsi="Verdana" w:cs="Arial"/>
                <w:lang w:val="es-ES_tradnl"/>
              </w:rPr>
            </w:pPr>
            <w:r w:rsidRPr="00A216B9">
              <w:rPr>
                <w:rFonts w:ascii="Verdana" w:eastAsia="Calibri" w:hAnsi="Verdana" w:cs="Arial"/>
                <w:lang w:val="es-ES_tradnl"/>
              </w:rPr>
              <w:t>Constitución Política. Artículos 74 y 209.</w:t>
            </w:r>
          </w:p>
          <w:p w14:paraId="11FFC61B" w14:textId="77777777" w:rsidR="00BC7D7E" w:rsidRPr="00A216B9" w:rsidRDefault="00BC7D7E" w:rsidP="0032557F">
            <w:pPr>
              <w:pStyle w:val="Prrafodelista"/>
              <w:numPr>
                <w:ilvl w:val="0"/>
                <w:numId w:val="17"/>
              </w:numPr>
              <w:spacing w:after="120" w:line="276" w:lineRule="auto"/>
              <w:ind w:left="714" w:hanging="357"/>
              <w:contextualSpacing w:val="0"/>
              <w:jc w:val="both"/>
              <w:rPr>
                <w:rFonts w:ascii="Verdana" w:hAnsi="Verdana"/>
              </w:rPr>
            </w:pPr>
            <w:r w:rsidRPr="00A216B9">
              <w:rPr>
                <w:rFonts w:ascii="Verdana" w:hAnsi="Verdana"/>
              </w:rPr>
              <w:t xml:space="preserve">Ley 1150 de 2007. Artículo 3 literal c), artículo 13. </w:t>
            </w:r>
          </w:p>
          <w:p w14:paraId="2E102F39" w14:textId="4195D344" w:rsidR="00A216B9" w:rsidRPr="00A216B9" w:rsidRDefault="00A216B9" w:rsidP="0032557F">
            <w:pPr>
              <w:pStyle w:val="Prrafodelista"/>
              <w:numPr>
                <w:ilvl w:val="0"/>
                <w:numId w:val="17"/>
              </w:numPr>
              <w:spacing w:after="120" w:line="276" w:lineRule="auto"/>
              <w:ind w:left="714" w:hanging="357"/>
              <w:contextualSpacing w:val="0"/>
              <w:jc w:val="both"/>
              <w:rPr>
                <w:rFonts w:ascii="Verdana" w:hAnsi="Verdana"/>
              </w:rPr>
            </w:pPr>
            <w:r w:rsidRPr="00A216B9">
              <w:rPr>
                <w:rFonts w:ascii="Verdana" w:eastAsia="Arial" w:hAnsi="Verdana" w:cs="Arial"/>
                <w:color w:val="000000" w:themeColor="text1"/>
              </w:rPr>
              <w:t>Ley 1266 de 2008. Artículos 3 literales g) y h</w:t>
            </w:r>
            <w:proofErr w:type="gramStart"/>
            <w:r w:rsidRPr="00A216B9">
              <w:rPr>
                <w:rFonts w:ascii="Verdana" w:eastAsia="Arial" w:hAnsi="Verdana" w:cs="Arial"/>
                <w:color w:val="000000" w:themeColor="text1"/>
              </w:rPr>
              <w:t>).</w:t>
            </w:r>
            <w:r w:rsidRPr="00A216B9">
              <w:rPr>
                <w:rFonts w:ascii="Verdana" w:eastAsia="Calibri" w:hAnsi="Verdana" w:cs="Arial"/>
                <w:lang w:val="es-CO"/>
              </w:rPr>
              <w:t>Ley</w:t>
            </w:r>
            <w:proofErr w:type="gramEnd"/>
            <w:r w:rsidRPr="00A216B9">
              <w:rPr>
                <w:rFonts w:ascii="Verdana" w:eastAsia="Calibri" w:hAnsi="Verdana" w:cs="Arial"/>
                <w:lang w:val="es-CO"/>
              </w:rPr>
              <w:t xml:space="preserve"> 2195 de 2022. Artículo 53.</w:t>
            </w:r>
          </w:p>
          <w:p w14:paraId="26CF2FE2" w14:textId="77777777" w:rsidR="00A216B9" w:rsidRPr="00A216B9" w:rsidRDefault="00A216B9" w:rsidP="0032557F">
            <w:pPr>
              <w:pStyle w:val="Prrafodelista"/>
              <w:numPr>
                <w:ilvl w:val="0"/>
                <w:numId w:val="17"/>
              </w:numPr>
              <w:spacing w:after="120" w:line="276" w:lineRule="auto"/>
              <w:ind w:left="714" w:hanging="357"/>
              <w:contextualSpacing w:val="0"/>
              <w:jc w:val="both"/>
              <w:rPr>
                <w:rFonts w:ascii="Verdana" w:hAnsi="Verdana"/>
              </w:rPr>
            </w:pPr>
            <w:r w:rsidRPr="00A216B9">
              <w:rPr>
                <w:rFonts w:ascii="Verdana" w:eastAsia="Calibri" w:hAnsi="Verdana" w:cs="Arial"/>
                <w:lang w:val="es-MX"/>
              </w:rPr>
              <w:t>Ley 1437 de 2011 Artículos: 24 y 25.</w:t>
            </w:r>
          </w:p>
          <w:p w14:paraId="4409289A" w14:textId="77777777" w:rsidR="00A216B9" w:rsidRPr="00A216B9" w:rsidRDefault="00A216B9" w:rsidP="0032557F">
            <w:pPr>
              <w:pStyle w:val="Prrafodelista"/>
              <w:numPr>
                <w:ilvl w:val="0"/>
                <w:numId w:val="17"/>
              </w:numPr>
              <w:spacing w:after="120" w:line="276" w:lineRule="auto"/>
              <w:ind w:left="714" w:hanging="357"/>
              <w:contextualSpacing w:val="0"/>
              <w:jc w:val="both"/>
              <w:rPr>
                <w:rFonts w:ascii="Verdana" w:hAnsi="Verdana"/>
              </w:rPr>
            </w:pPr>
            <w:r w:rsidRPr="00A216B9">
              <w:rPr>
                <w:rFonts w:ascii="Verdana" w:eastAsia="Arial" w:hAnsi="Verdana" w:cs="Arial"/>
                <w:color w:val="000000" w:themeColor="text1"/>
              </w:rPr>
              <w:t xml:space="preserve">Ley 1581 de 2012. Artículos: 3, 5 y 7. </w:t>
            </w:r>
          </w:p>
          <w:p w14:paraId="1C5FAE56" w14:textId="77777777" w:rsidR="00BC7D7E" w:rsidRPr="00A216B9" w:rsidRDefault="00BC7D7E" w:rsidP="0032557F">
            <w:pPr>
              <w:pStyle w:val="Prrafodelista"/>
              <w:numPr>
                <w:ilvl w:val="0"/>
                <w:numId w:val="17"/>
              </w:numPr>
              <w:spacing w:after="120" w:line="276" w:lineRule="auto"/>
              <w:ind w:left="714" w:hanging="357"/>
              <w:contextualSpacing w:val="0"/>
              <w:jc w:val="both"/>
              <w:rPr>
                <w:rFonts w:ascii="Verdana" w:hAnsi="Verdana"/>
              </w:rPr>
            </w:pPr>
            <w:r w:rsidRPr="00A216B9">
              <w:rPr>
                <w:rFonts w:ascii="Verdana" w:hAnsi="Verdana"/>
              </w:rPr>
              <w:t xml:space="preserve">Ley 1712 de 2024. Artículos: 2, 3, 5, 9 literal e), 11 literal g), 18, 19, 21. </w:t>
            </w:r>
          </w:p>
          <w:p w14:paraId="2B6C6605" w14:textId="77777777" w:rsidR="00BC7D7E" w:rsidRPr="00A216B9" w:rsidRDefault="00BC7D7E" w:rsidP="0032557F">
            <w:pPr>
              <w:pStyle w:val="Prrafodelista"/>
              <w:numPr>
                <w:ilvl w:val="0"/>
                <w:numId w:val="17"/>
              </w:numPr>
              <w:spacing w:after="120" w:line="276" w:lineRule="auto"/>
              <w:ind w:left="714" w:hanging="357"/>
              <w:contextualSpacing w:val="0"/>
              <w:jc w:val="both"/>
              <w:rPr>
                <w:rFonts w:ascii="Verdana" w:hAnsi="Verdana"/>
              </w:rPr>
            </w:pPr>
            <w:r w:rsidRPr="00A216B9">
              <w:rPr>
                <w:rFonts w:ascii="Verdana" w:eastAsia="Arial" w:hAnsi="Verdana" w:cs="Arial"/>
                <w:color w:val="000000" w:themeColor="text1"/>
              </w:rPr>
              <w:t xml:space="preserve">Decreto 1377 de 2013. Artículo 3 numeral 3. </w:t>
            </w:r>
          </w:p>
          <w:p w14:paraId="78929A51" w14:textId="7A322346" w:rsidR="00BC7D7E" w:rsidRPr="0032557F" w:rsidRDefault="00BC7D7E" w:rsidP="0032557F">
            <w:pPr>
              <w:pStyle w:val="Prrafodelista"/>
              <w:numPr>
                <w:ilvl w:val="0"/>
                <w:numId w:val="17"/>
              </w:numPr>
              <w:spacing w:after="120" w:line="276" w:lineRule="auto"/>
              <w:ind w:left="714" w:hanging="357"/>
              <w:contextualSpacing w:val="0"/>
              <w:jc w:val="both"/>
              <w:rPr>
                <w:rFonts w:ascii="Verdana" w:hAnsi="Verdana"/>
              </w:rPr>
            </w:pPr>
            <w:r w:rsidRPr="00A216B9">
              <w:rPr>
                <w:rFonts w:ascii="Verdana" w:eastAsia="Arial" w:hAnsi="Verdana" w:cs="Arial"/>
                <w:color w:val="000000" w:themeColor="text1"/>
              </w:rPr>
              <w:t>Decreto 1081 de 2015. Artículo 2.1.1.4.1.2.</w:t>
            </w:r>
          </w:p>
          <w:p w14:paraId="7732B540" w14:textId="6AED1D61" w:rsidR="00F03AC1" w:rsidRPr="0032557F" w:rsidRDefault="00F03AC1" w:rsidP="0032557F">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AD6B46">
              <w:rPr>
                <w:rFonts w:ascii="Verdana" w:hAnsi="Verdana" w:cs="Arial"/>
                <w:lang w:val="es-ES_tradnl"/>
              </w:rPr>
              <w:t>Decreto 1082 de 2015</w:t>
            </w:r>
            <w:r>
              <w:rPr>
                <w:rFonts w:ascii="Verdana" w:hAnsi="Verdana" w:cs="Arial"/>
                <w:lang w:val="es-ES_tradnl"/>
              </w:rPr>
              <w:t>. A</w:t>
            </w:r>
            <w:r w:rsidRPr="00AD6B46">
              <w:rPr>
                <w:rFonts w:ascii="Verdana" w:hAnsi="Verdana" w:cs="Arial"/>
                <w:lang w:val="es-ES_tradnl"/>
              </w:rPr>
              <w:t xml:space="preserve">rtículos 2.2.1.1.1.7.1, 2.2.1.1.1.3.1., </w:t>
            </w:r>
            <w:r w:rsidRPr="00AD6B46">
              <w:rPr>
                <w:rFonts w:ascii="Verdana" w:hAnsi="Verdana" w:cs="Arial"/>
                <w:lang w:val="es-ES_tradnl"/>
              </w:rPr>
              <w:lastRenderedPageBreak/>
              <w:t>2.2.2.1.8.3., 2.2.2.1.5.11., 2.2.2.1.12.7.</w:t>
            </w:r>
          </w:p>
          <w:p w14:paraId="2B3700BA" w14:textId="77777777" w:rsidR="00BC7D7E" w:rsidRPr="00A216B9" w:rsidRDefault="00BC7D7E" w:rsidP="0032557F">
            <w:pPr>
              <w:pStyle w:val="Prrafodelista"/>
              <w:numPr>
                <w:ilvl w:val="0"/>
                <w:numId w:val="17"/>
              </w:numPr>
              <w:spacing w:after="120" w:line="276" w:lineRule="auto"/>
              <w:ind w:left="714" w:hanging="357"/>
              <w:contextualSpacing w:val="0"/>
              <w:jc w:val="both"/>
              <w:rPr>
                <w:rFonts w:ascii="Verdana" w:hAnsi="Verdana"/>
              </w:rPr>
            </w:pPr>
            <w:r w:rsidRPr="00A216B9">
              <w:rPr>
                <w:rFonts w:ascii="Verdana" w:hAnsi="Verdana"/>
              </w:rPr>
              <w:t>Corte Constitucional. Sentencia C- 341 del 4 de junio de 2014. M. P. Mauricio González Cuervo.</w:t>
            </w:r>
          </w:p>
          <w:p w14:paraId="7823973D" w14:textId="77777777" w:rsidR="00BC7D7E" w:rsidRPr="00A216B9" w:rsidRDefault="00BC7D7E" w:rsidP="0032557F">
            <w:pPr>
              <w:pStyle w:val="Prrafodelista"/>
              <w:numPr>
                <w:ilvl w:val="0"/>
                <w:numId w:val="17"/>
              </w:numPr>
              <w:spacing w:after="120" w:line="276" w:lineRule="auto"/>
              <w:ind w:left="714" w:hanging="357"/>
              <w:contextualSpacing w:val="0"/>
              <w:jc w:val="both"/>
              <w:rPr>
                <w:rFonts w:ascii="Verdana" w:hAnsi="Verdana"/>
              </w:rPr>
            </w:pPr>
            <w:r w:rsidRPr="00A216B9">
              <w:rPr>
                <w:rFonts w:ascii="Verdana" w:hAnsi="Verdana" w:cs="Arial"/>
                <w:lang w:val="es-ES_tradnl"/>
              </w:rPr>
              <w:t xml:space="preserve">Consejo de Estado. Sección Tercera. Subsección C. Auto del 14 de agosto de 2017. </w:t>
            </w:r>
            <w:proofErr w:type="spellStart"/>
            <w:r w:rsidRPr="00A216B9">
              <w:rPr>
                <w:rFonts w:ascii="Verdana" w:hAnsi="Verdana" w:cs="Arial"/>
                <w:lang w:val="es-ES_tradnl"/>
              </w:rPr>
              <w:t>Exp</w:t>
            </w:r>
            <w:proofErr w:type="spellEnd"/>
            <w:r w:rsidRPr="00A216B9">
              <w:rPr>
                <w:rFonts w:ascii="Verdana" w:hAnsi="Verdana" w:cs="Arial"/>
                <w:lang w:val="es-ES_tradnl"/>
              </w:rPr>
              <w:t>. 58.820. C.P. Jaime Orlando Santofimio Gamboa.</w:t>
            </w:r>
          </w:p>
          <w:p w14:paraId="7EAE0752" w14:textId="7F64D422" w:rsidR="00BC7D7E" w:rsidRPr="0032557F" w:rsidRDefault="00BC7D7E" w:rsidP="0032557F">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A216B9">
              <w:rPr>
                <w:rFonts w:ascii="Verdana" w:hAnsi="Verdana"/>
              </w:rPr>
              <w:t xml:space="preserve">Circular Única Externa de la Agencia Nacional de Contratación Pública. </w:t>
            </w:r>
            <w:proofErr w:type="gramStart"/>
            <w:r w:rsidR="00BF13A6" w:rsidRPr="00BF13A6">
              <w:rPr>
                <w:rFonts w:ascii="Verdana" w:hAnsi="Verdana"/>
              </w:rPr>
              <w:t>https://www.colombiacompra.gov.co/wp-content/uploads/2024/08/circular_externa_unica_version_3_vf49.pdf</w:t>
            </w:r>
            <w:r w:rsidR="00BF13A6">
              <w:rPr>
                <w:rFonts w:ascii="Verdana" w:hAnsi="Verdana"/>
              </w:rPr>
              <w:t xml:space="preserve">  </w:t>
            </w:r>
            <w:r w:rsidR="00B02370" w:rsidRPr="00AD6B46">
              <w:rPr>
                <w:rFonts w:ascii="Verdana" w:eastAsia="Calibri" w:hAnsi="Verdana" w:cs="Arial"/>
                <w:color w:val="000000"/>
                <w:lang w:val="es-ES"/>
              </w:rPr>
              <w:t>Acuerdo</w:t>
            </w:r>
            <w:proofErr w:type="gramEnd"/>
            <w:r w:rsidR="00B02370" w:rsidRPr="00AD6B46">
              <w:rPr>
                <w:rFonts w:ascii="Verdana" w:eastAsia="Calibri" w:hAnsi="Verdana" w:cs="Arial"/>
                <w:color w:val="000000"/>
                <w:lang w:val="es-ES"/>
              </w:rPr>
              <w:t xml:space="preserve"> 001 de 2024 “Por el cual se establece el Acuerdo Único de la Función Archivística, se definen los criterios técnicos y jurídicos para su implementación en el Estado Colombiano y se fijan otras disposiciones”</w:t>
            </w:r>
            <w:r w:rsidR="00B02370">
              <w:rPr>
                <w:rFonts w:ascii="Verdana" w:eastAsia="Calibri" w:hAnsi="Verdana" w:cs="Arial"/>
                <w:color w:val="000000"/>
                <w:lang w:val="es-ES"/>
              </w:rPr>
              <w:t>. A</w:t>
            </w:r>
            <w:r w:rsidR="00B02370" w:rsidRPr="00AD6B46">
              <w:rPr>
                <w:rFonts w:ascii="Verdana" w:eastAsia="Calibri" w:hAnsi="Verdana" w:cs="Arial"/>
                <w:color w:val="000000"/>
                <w:lang w:val="es-ES"/>
              </w:rPr>
              <w:t xml:space="preserve">rtículo 7.1.3. </w:t>
            </w:r>
          </w:p>
        </w:tc>
      </w:tr>
    </w:tbl>
    <w:p w14:paraId="5CC52017" w14:textId="77777777" w:rsidR="00BC7D7E" w:rsidRDefault="00BC7D7E" w:rsidP="00BC7D7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16CEA1A" w14:textId="77777777" w:rsidR="00BC7D7E" w:rsidRDefault="00BC7D7E" w:rsidP="00BC7D7E">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A5D8F76" w14:textId="77777777" w:rsidR="00BC7D7E" w:rsidRPr="00593A5F" w:rsidRDefault="00BC7D7E" w:rsidP="00BC7D7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2555532" w14:textId="5EA8F1C3" w:rsidR="00BC7D7E" w:rsidRPr="00AE7E03" w:rsidRDefault="00BC7D7E" w:rsidP="00BC7D7E">
      <w:pPr>
        <w:widowControl w:val="0"/>
        <w:autoSpaceDE w:val="0"/>
        <w:autoSpaceDN w:val="0"/>
        <w:spacing w:after="0" w:line="276" w:lineRule="auto"/>
        <w:jc w:val="both"/>
        <w:rPr>
          <w:rFonts w:ascii="Verdana" w:eastAsia="Arial" w:hAnsi="Verdana" w:cs="Arial"/>
          <w:lang w:val="es-MX" w:eastAsia="es-ES_tradnl"/>
        </w:rPr>
      </w:pPr>
      <w:r w:rsidRPr="002C1A73">
        <w:rPr>
          <w:rFonts w:ascii="Verdana" w:hAnsi="Verdana" w:cs="Arial"/>
          <w:shd w:val="clear" w:color="auto" w:fill="FFFFFF"/>
          <w:lang w:val="es-ES"/>
        </w:rPr>
        <w:t xml:space="preserve">Sobre el acceso a la documentación pública y los límites a su publicación por contener reserva legal, esta Subdirección se ha referido en los </w:t>
      </w:r>
      <w:r w:rsidRPr="002C1A73">
        <w:rPr>
          <w:rFonts w:ascii="Verdana" w:eastAsia="Arial" w:hAnsi="Verdana" w:cs="Arial"/>
          <w:lang w:val="es-MX" w:eastAsia="es-ES_tradnl"/>
        </w:rPr>
        <w:t>conceptos</w:t>
      </w:r>
      <w:r>
        <w:rPr>
          <w:rFonts w:ascii="Verdana" w:eastAsia="Arial" w:hAnsi="Verdana" w:cs="Arial"/>
          <w:lang w:val="es-MX" w:eastAsia="es-ES_tradnl"/>
        </w:rPr>
        <w:t xml:space="preserve"> C-273 del 30 de abril de 2025, C-311 del 24 de abril de 2025, C- 235 del 3 de abril </w:t>
      </w:r>
      <w:r w:rsidRPr="002C1A73">
        <w:rPr>
          <w:rFonts w:ascii="Verdana" w:eastAsia="Arial" w:hAnsi="Verdana" w:cs="Arial"/>
          <w:lang w:val="es-MX" w:eastAsia="es-ES_tradnl"/>
        </w:rPr>
        <w:t>de 2025, C- 373 del 3 de septiembre de 2024</w:t>
      </w:r>
      <w:r>
        <w:rPr>
          <w:rFonts w:ascii="Verdana" w:eastAsia="Arial" w:hAnsi="Verdana" w:cs="Arial"/>
          <w:lang w:val="es-MX" w:eastAsia="es-ES_tradnl"/>
        </w:rPr>
        <w:t>,</w:t>
      </w:r>
      <w:r w:rsidRPr="002C1A73">
        <w:rPr>
          <w:rFonts w:ascii="Verdana" w:eastAsia="Arial" w:hAnsi="Verdana" w:cs="Arial"/>
          <w:lang w:val="es-MX" w:eastAsia="es-ES_tradnl"/>
        </w:rPr>
        <w:t xml:space="preserve"> C-327 del 18 de septiembre de 2023</w:t>
      </w:r>
      <w:r>
        <w:rPr>
          <w:rFonts w:ascii="Verdana" w:eastAsia="Arial" w:hAnsi="Verdana" w:cs="Arial"/>
          <w:lang w:val="es-MX" w:eastAsia="es-ES_tradnl"/>
        </w:rPr>
        <w:t xml:space="preserve">, C-649 del 9 de septiembre de 2022, </w:t>
      </w:r>
      <w:r w:rsidRPr="002C1A73">
        <w:rPr>
          <w:rFonts w:ascii="Verdana" w:eastAsia="Aptos" w:hAnsi="Verdana" w:cs="Segoe UI"/>
          <w:kern w:val="2"/>
          <w14:ligatures w14:val="standardContextual"/>
        </w:rPr>
        <w:t>C-135 del 28 de marzo de 2022</w:t>
      </w:r>
      <w:r>
        <w:rPr>
          <w:rFonts w:ascii="Verdana" w:eastAsia="Aptos" w:hAnsi="Verdana" w:cs="Segoe UI"/>
          <w:kern w:val="2"/>
          <w14:ligatures w14:val="standardContextual"/>
        </w:rPr>
        <w:t>, C-468 del 19 de mayo de 2025, entre otros</w:t>
      </w:r>
      <w:r w:rsidR="00C649EF">
        <w:rPr>
          <w:rFonts w:ascii="Verdana" w:eastAsia="Calibri" w:hAnsi="Verdana" w:cs="Times New Roman"/>
        </w:rPr>
        <w:t>. Es</w:t>
      </w:r>
      <w:r>
        <w:rPr>
          <w:rFonts w:ascii="Verdana" w:eastAsia="Calibri" w:hAnsi="Verdana" w:cs="Times New Roman"/>
        </w:rPr>
        <w:t xml:space="preserve">tos </w:t>
      </w:r>
      <w:r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EB222E6" w14:textId="77777777" w:rsidR="00BC7D7E" w:rsidRPr="0065720B" w:rsidRDefault="00BC7D7E" w:rsidP="00BC7D7E">
      <w:pPr>
        <w:widowControl w:val="0"/>
        <w:autoSpaceDE w:val="0"/>
        <w:autoSpaceDN w:val="0"/>
        <w:spacing w:after="0" w:line="276" w:lineRule="auto"/>
        <w:jc w:val="both"/>
        <w:rPr>
          <w:rStyle w:val="normaltextrun"/>
          <w:rFonts w:ascii="Verdana" w:eastAsia="Calibri" w:hAnsi="Verdana" w:cs="Arial"/>
          <w:lang w:val="es-ES_tradnl" w:eastAsia="en-GB"/>
        </w:rPr>
      </w:pPr>
      <w:hyperlink r:id="rId16"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771694AC" w14:textId="77777777" w:rsidR="00BC7D7E" w:rsidRDefault="00BC7D7E" w:rsidP="00BC7D7E">
      <w:pPr>
        <w:widowControl w:val="0"/>
        <w:autoSpaceDE w:val="0"/>
        <w:autoSpaceDN w:val="0"/>
        <w:spacing w:after="0" w:line="276" w:lineRule="auto"/>
        <w:jc w:val="both"/>
      </w:pPr>
    </w:p>
    <w:p w14:paraId="38527B8D" w14:textId="77777777" w:rsidR="00BC7D7E" w:rsidRPr="00505CD6" w:rsidRDefault="00BC7D7E" w:rsidP="00BC7D7E">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F5AADCF" w14:textId="77777777" w:rsidR="00BC7D7E" w:rsidRDefault="00BC7D7E" w:rsidP="00BC7D7E">
      <w:pPr>
        <w:widowControl w:val="0"/>
        <w:autoSpaceDE w:val="0"/>
        <w:autoSpaceDN w:val="0"/>
        <w:spacing w:after="0" w:line="276" w:lineRule="auto"/>
        <w:jc w:val="both"/>
        <w:rPr>
          <w:rFonts w:ascii="Verdana" w:hAnsi="Verdana" w:cs="Arial"/>
        </w:rPr>
      </w:pPr>
    </w:p>
    <w:p w14:paraId="26160649" w14:textId="77777777" w:rsidR="008A4850" w:rsidRDefault="008A4850" w:rsidP="00BC7D7E">
      <w:pPr>
        <w:widowControl w:val="0"/>
        <w:autoSpaceDE w:val="0"/>
        <w:autoSpaceDN w:val="0"/>
        <w:spacing w:after="0" w:line="276" w:lineRule="auto"/>
        <w:jc w:val="both"/>
        <w:rPr>
          <w:rFonts w:ascii="Verdana" w:hAnsi="Verdana" w:cs="Arial"/>
        </w:rPr>
      </w:pPr>
    </w:p>
    <w:p w14:paraId="1A3AE3B9" w14:textId="77777777" w:rsidR="008A4850" w:rsidRDefault="008A4850" w:rsidP="00BC7D7E">
      <w:pPr>
        <w:widowControl w:val="0"/>
        <w:autoSpaceDE w:val="0"/>
        <w:autoSpaceDN w:val="0"/>
        <w:spacing w:after="0" w:line="276" w:lineRule="auto"/>
        <w:jc w:val="both"/>
        <w:rPr>
          <w:rFonts w:ascii="Verdana" w:hAnsi="Verdana" w:cs="Arial"/>
        </w:rPr>
      </w:pPr>
    </w:p>
    <w:p w14:paraId="69DF2928" w14:textId="77777777" w:rsidR="008A4850" w:rsidRDefault="008A4850" w:rsidP="00BC7D7E">
      <w:pPr>
        <w:widowControl w:val="0"/>
        <w:autoSpaceDE w:val="0"/>
        <w:autoSpaceDN w:val="0"/>
        <w:spacing w:after="0" w:line="276" w:lineRule="auto"/>
        <w:jc w:val="both"/>
        <w:rPr>
          <w:rFonts w:ascii="Verdana" w:hAnsi="Verdana" w:cs="Arial"/>
        </w:rPr>
      </w:pPr>
    </w:p>
    <w:p w14:paraId="365A2D5B" w14:textId="77777777" w:rsidR="008A4850" w:rsidRDefault="008A4850" w:rsidP="00BC7D7E">
      <w:pPr>
        <w:widowControl w:val="0"/>
        <w:autoSpaceDE w:val="0"/>
        <w:autoSpaceDN w:val="0"/>
        <w:spacing w:after="0" w:line="276" w:lineRule="auto"/>
        <w:jc w:val="both"/>
        <w:rPr>
          <w:rFonts w:ascii="Verdana" w:hAnsi="Verdana" w:cs="Arial"/>
        </w:rPr>
      </w:pPr>
    </w:p>
    <w:p w14:paraId="3439F5DE" w14:textId="77777777" w:rsidR="008A4850" w:rsidRPr="00505CD6" w:rsidRDefault="008A4850" w:rsidP="00BC7D7E">
      <w:pPr>
        <w:widowControl w:val="0"/>
        <w:autoSpaceDE w:val="0"/>
        <w:autoSpaceDN w:val="0"/>
        <w:spacing w:after="0" w:line="276" w:lineRule="auto"/>
        <w:jc w:val="both"/>
        <w:rPr>
          <w:rFonts w:ascii="Verdana" w:hAnsi="Verdana" w:cs="Arial"/>
        </w:rPr>
      </w:pPr>
    </w:p>
    <w:p w14:paraId="4F4291F8" w14:textId="26D27009" w:rsidR="00BC7D7E" w:rsidRPr="0032557F" w:rsidRDefault="00BC7D7E" w:rsidP="0032557F">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1A452EEF" w14:textId="30980F8F" w:rsidR="009A5179" w:rsidRPr="008A4850" w:rsidRDefault="008A4850" w:rsidP="008A4850">
      <w:pPr>
        <w:spacing w:line="276" w:lineRule="auto"/>
        <w:jc w:val="center"/>
        <w:rPr>
          <w:noProof/>
        </w:rPr>
      </w:pPr>
      <w:r w:rsidRPr="00E60303">
        <w:rPr>
          <w:b/>
          <w:bCs/>
          <w:noProof/>
          <w:lang w:eastAsia="es-ES"/>
        </w:rPr>
        <w:drawing>
          <wp:inline distT="0" distB="0" distL="0" distR="0" wp14:anchorId="4999EDA1" wp14:editId="313E28E8">
            <wp:extent cx="2847625" cy="1200344"/>
            <wp:effectExtent l="0" t="0" r="0" b="0"/>
            <wp:docPr id="542230404" name="Imagen 2"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exto, Carta&#10;&#10;El contenido generado por IA puede ser incorrecto."/>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60174" cy="1205634"/>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C7D7E" w:rsidRPr="00593A5F" w14:paraId="17EAD6E0" w14:textId="77777777" w:rsidTr="00851EFB">
        <w:trPr>
          <w:trHeight w:val="315"/>
        </w:trPr>
        <w:tc>
          <w:tcPr>
            <w:tcW w:w="893" w:type="dxa"/>
            <w:vAlign w:val="center"/>
            <w:hideMark/>
          </w:tcPr>
          <w:p w14:paraId="792FA635" w14:textId="77777777" w:rsidR="00BC7D7E" w:rsidRPr="003751C7" w:rsidRDefault="00BC7D7E" w:rsidP="00851EFB">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4083724" w14:textId="77777777" w:rsidR="00BC7D7E" w:rsidRPr="007911EE" w:rsidRDefault="00BC7D7E" w:rsidP="00851EFB">
            <w:pPr>
              <w:contextualSpacing/>
              <w:rPr>
                <w:rFonts w:ascii="Verdana" w:hAnsi="Verdana"/>
                <w:sz w:val="16"/>
                <w:szCs w:val="16"/>
              </w:rPr>
            </w:pPr>
            <w:r>
              <w:rPr>
                <w:rFonts w:ascii="Verdana" w:hAnsi="Verdana"/>
                <w:sz w:val="16"/>
                <w:szCs w:val="16"/>
              </w:rPr>
              <w:t>Daniel Eduardo Rojas</w:t>
            </w:r>
            <w:r w:rsidRPr="007911EE">
              <w:rPr>
                <w:rFonts w:ascii="Verdana" w:hAnsi="Verdana"/>
                <w:sz w:val="16"/>
                <w:szCs w:val="16"/>
              </w:rPr>
              <w:t xml:space="preserve"> </w:t>
            </w:r>
            <w:r>
              <w:rPr>
                <w:rFonts w:ascii="Verdana" w:hAnsi="Verdana"/>
                <w:sz w:val="16"/>
                <w:szCs w:val="16"/>
              </w:rPr>
              <w:t>Poveda</w:t>
            </w:r>
          </w:p>
          <w:p w14:paraId="3A382B88" w14:textId="77777777" w:rsidR="00BC7D7E" w:rsidRPr="007911EE" w:rsidRDefault="00BC7D7E" w:rsidP="00851EFB">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BC7D7E" w:rsidRPr="00593A5F" w14:paraId="49F9F987" w14:textId="77777777" w:rsidTr="00851EFB">
        <w:trPr>
          <w:trHeight w:val="330"/>
        </w:trPr>
        <w:tc>
          <w:tcPr>
            <w:tcW w:w="893" w:type="dxa"/>
            <w:vAlign w:val="center"/>
            <w:hideMark/>
          </w:tcPr>
          <w:p w14:paraId="27421A61" w14:textId="77777777" w:rsidR="00BC7D7E" w:rsidRPr="003751C7" w:rsidRDefault="00BC7D7E" w:rsidP="00851EFB">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DFACE43" w14:textId="77777777" w:rsidR="00BC7D7E" w:rsidRPr="007911EE" w:rsidRDefault="00BC7D7E" w:rsidP="00851EFB">
            <w:pPr>
              <w:spacing w:line="276" w:lineRule="auto"/>
              <w:contextualSpacing/>
              <w:jc w:val="both"/>
              <w:rPr>
                <w:rFonts w:ascii="Verdana" w:hAnsi="Verdana"/>
                <w:sz w:val="16"/>
                <w:szCs w:val="16"/>
              </w:rPr>
            </w:pPr>
            <w:r>
              <w:rPr>
                <w:rFonts w:ascii="Verdana" w:hAnsi="Verdana"/>
                <w:sz w:val="16"/>
                <w:szCs w:val="16"/>
              </w:rPr>
              <w:t>Diana Lucia Saavedra</w:t>
            </w:r>
          </w:p>
          <w:p w14:paraId="09C79DB6" w14:textId="77777777" w:rsidR="00BC7D7E" w:rsidRPr="007911EE" w:rsidRDefault="00BC7D7E" w:rsidP="00851EFB">
            <w:pPr>
              <w:pStyle w:val="paragraph"/>
              <w:spacing w:before="0" w:beforeAutospacing="0" w:after="0" w:afterAutospacing="0"/>
              <w:contextualSpacing/>
              <w:textAlignment w:val="baseline"/>
              <w:rPr>
                <w:rFonts w:ascii="Verdana" w:hAnsi="Verdana" w:cstheme="minorHAnsi"/>
                <w:sz w:val="16"/>
                <w:szCs w:val="16"/>
              </w:rPr>
            </w:pPr>
            <w:r>
              <w:rPr>
                <w:rStyle w:val="normaltextrun"/>
                <w:rFonts w:ascii="Verdana" w:eastAsia="Arial" w:hAnsi="Verdana"/>
                <w:sz w:val="16"/>
                <w:szCs w:val="16"/>
              </w:rPr>
              <w:t>Contratista</w:t>
            </w:r>
            <w:r w:rsidRPr="00CD7324">
              <w:rPr>
                <w:rStyle w:val="normaltextrun"/>
                <w:rFonts w:ascii="Verdana" w:eastAsia="Arial" w:hAnsi="Verdana"/>
                <w:sz w:val="16"/>
                <w:szCs w:val="16"/>
              </w:rPr>
              <w:t xml:space="preserve"> de la</w:t>
            </w:r>
            <w:r w:rsidRPr="007911EE">
              <w:rPr>
                <w:rStyle w:val="normaltextrun"/>
                <w:rFonts w:ascii="Verdana" w:eastAsia="Arial" w:hAnsi="Verdana" w:cs="Arial"/>
                <w:sz w:val="16"/>
                <w:szCs w:val="16"/>
              </w:rPr>
              <w:t xml:space="preserve"> Subdirección de Gestión Contractual</w:t>
            </w:r>
          </w:p>
        </w:tc>
      </w:tr>
      <w:tr w:rsidR="00BC7D7E" w:rsidRPr="00593A5F" w14:paraId="5975C924" w14:textId="77777777" w:rsidTr="00851EFB">
        <w:trPr>
          <w:trHeight w:val="300"/>
        </w:trPr>
        <w:tc>
          <w:tcPr>
            <w:tcW w:w="893" w:type="dxa"/>
            <w:vAlign w:val="center"/>
          </w:tcPr>
          <w:p w14:paraId="15E6828B" w14:textId="77777777" w:rsidR="00BC7D7E" w:rsidRPr="003751C7" w:rsidRDefault="00BC7D7E" w:rsidP="00851EFB">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72AC172" w14:textId="2393FDE5" w:rsidR="00BC7D7E" w:rsidRPr="007911EE" w:rsidRDefault="00604698" w:rsidP="00851EFB">
            <w:pPr>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Ana Maria Tolosa Rico</w:t>
            </w:r>
          </w:p>
          <w:p w14:paraId="4E4C2009" w14:textId="76CA1AB4" w:rsidR="00BC7D7E" w:rsidRPr="007911EE" w:rsidRDefault="00BC7D7E" w:rsidP="00851EFB">
            <w:pPr>
              <w:contextualSpacing/>
              <w:rPr>
                <w:rFonts w:ascii="Verdana" w:eastAsia="Calibri" w:hAnsi="Verdana" w:cs="Arial"/>
                <w:sz w:val="16"/>
                <w:szCs w:val="16"/>
                <w:lang w:val="pt-BR" w:eastAsia="es-ES"/>
              </w:rPr>
            </w:pPr>
            <w:r w:rsidRPr="007911EE">
              <w:rPr>
                <w:rFonts w:ascii="Verdana" w:eastAsia="Calibri" w:hAnsi="Verdana" w:cs="Arial"/>
                <w:sz w:val="16"/>
                <w:szCs w:val="16"/>
                <w:lang w:eastAsia="es-ES"/>
              </w:rPr>
              <w:t>Subdirectora</w:t>
            </w:r>
            <w:r w:rsidRPr="007911EE">
              <w:rPr>
                <w:rFonts w:ascii="Verdana" w:eastAsia="Calibri" w:hAnsi="Verdana" w:cs="Arial"/>
                <w:sz w:val="16"/>
                <w:szCs w:val="16"/>
                <w:lang w:val="pt-BR" w:eastAsia="es-ES"/>
              </w:rPr>
              <w:t xml:space="preserve"> de Gestión Contratual </w:t>
            </w:r>
            <w:r w:rsidR="00604698">
              <w:rPr>
                <w:rFonts w:ascii="Verdana" w:eastAsia="Calibri" w:hAnsi="Verdana" w:cs="Arial"/>
                <w:sz w:val="16"/>
                <w:szCs w:val="16"/>
                <w:lang w:val="pt-BR" w:eastAsia="es-ES"/>
              </w:rPr>
              <w:t>(e)</w:t>
            </w:r>
            <w:r w:rsidRPr="007911EE">
              <w:rPr>
                <w:rFonts w:ascii="Verdana" w:eastAsia="Calibri" w:hAnsi="Verdana" w:cs="Arial"/>
                <w:sz w:val="16"/>
                <w:szCs w:val="16"/>
                <w:lang w:val="pt-BR" w:eastAsia="es-ES"/>
              </w:rPr>
              <w:t xml:space="preserve"> ANCP – CCE</w:t>
            </w:r>
          </w:p>
        </w:tc>
      </w:tr>
      <w:bookmarkEnd w:id="1"/>
      <w:bookmarkEnd w:id="2"/>
      <w:bookmarkEnd w:id="3"/>
    </w:tbl>
    <w:p w14:paraId="16B25C0C" w14:textId="77777777" w:rsidR="00BC7D7E" w:rsidRPr="0044528D" w:rsidRDefault="00BC7D7E" w:rsidP="00BC7D7E">
      <w:pPr>
        <w:spacing w:after="0"/>
        <w:rPr>
          <w:rFonts w:ascii="Verdana" w:hAnsi="Verdana"/>
        </w:rPr>
      </w:pPr>
    </w:p>
    <w:p w14:paraId="5381F666" w14:textId="77777777" w:rsidR="00BC7D7E" w:rsidRPr="00EA6F8B" w:rsidRDefault="00BC7D7E" w:rsidP="00BC7D7E"/>
    <w:p w14:paraId="3BD6902E" w14:textId="77777777" w:rsidR="00BC7D7E" w:rsidRPr="00DE435A" w:rsidRDefault="00BC7D7E" w:rsidP="00BC7D7E">
      <w:pPr>
        <w:rPr>
          <w:lang w:val="es-ES"/>
        </w:rPr>
      </w:pPr>
    </w:p>
    <w:p w14:paraId="3900974D" w14:textId="77777777" w:rsidR="003D5B0D" w:rsidRPr="00B91D19" w:rsidRDefault="003D5B0D" w:rsidP="00B91D19"/>
    <w:sectPr w:rsidR="003D5B0D" w:rsidRPr="00B91D19"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97A239" w14:textId="77777777" w:rsidR="00EB5BCF" w:rsidRDefault="00EB5BCF" w:rsidP="004A1847">
      <w:pPr>
        <w:spacing w:after="0" w:line="240" w:lineRule="auto"/>
      </w:pPr>
      <w:r>
        <w:separator/>
      </w:r>
    </w:p>
  </w:endnote>
  <w:endnote w:type="continuationSeparator" w:id="0">
    <w:p w14:paraId="4BE0E6A6" w14:textId="77777777" w:rsidR="00EB5BCF" w:rsidRDefault="00EB5BCF" w:rsidP="004A1847">
      <w:pPr>
        <w:spacing w:after="0" w:line="240" w:lineRule="auto"/>
      </w:pPr>
      <w:r>
        <w:continuationSeparator/>
      </w:r>
    </w:p>
  </w:endnote>
  <w:endnote w:type="continuationNotice" w:id="1">
    <w:p w14:paraId="4A60929F" w14:textId="77777777" w:rsidR="00EB5BCF" w:rsidRDefault="00EB5BC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381FE" w14:textId="77777777" w:rsidR="00EB5BCF" w:rsidRDefault="00EB5BCF" w:rsidP="004A1847">
      <w:pPr>
        <w:spacing w:after="0" w:line="240" w:lineRule="auto"/>
      </w:pPr>
      <w:r>
        <w:separator/>
      </w:r>
    </w:p>
  </w:footnote>
  <w:footnote w:type="continuationSeparator" w:id="0">
    <w:p w14:paraId="39224ABB" w14:textId="77777777" w:rsidR="00EB5BCF" w:rsidRDefault="00EB5BCF" w:rsidP="004A1847">
      <w:pPr>
        <w:spacing w:after="0" w:line="240" w:lineRule="auto"/>
      </w:pPr>
      <w:r>
        <w:continuationSeparator/>
      </w:r>
    </w:p>
  </w:footnote>
  <w:footnote w:type="continuationNotice" w:id="1">
    <w:p w14:paraId="6E522797" w14:textId="77777777" w:rsidR="00EB5BCF" w:rsidRDefault="00EB5BCF">
      <w:pPr>
        <w:spacing w:after="0" w:line="240" w:lineRule="auto"/>
      </w:pPr>
    </w:p>
  </w:footnote>
  <w:footnote w:id="2">
    <w:p w14:paraId="179B4BEF" w14:textId="77777777" w:rsidR="00BC7D7E" w:rsidRPr="0032557F" w:rsidRDefault="00BC7D7E" w:rsidP="0032557F">
      <w:pPr>
        <w:pStyle w:val="Textonotapie"/>
        <w:ind w:firstLine="709"/>
        <w:contextualSpacing/>
        <w:jc w:val="both"/>
        <w:rPr>
          <w:rFonts w:ascii="Verdana" w:hAnsi="Verdana"/>
          <w:sz w:val="16"/>
          <w:szCs w:val="16"/>
          <w:lang w:val="es-CO"/>
        </w:rPr>
      </w:pPr>
      <w:r w:rsidRPr="0032557F">
        <w:rPr>
          <w:rStyle w:val="Refdenotaalpie"/>
          <w:rFonts w:ascii="Verdana" w:hAnsi="Verdana"/>
          <w:sz w:val="16"/>
          <w:szCs w:val="16"/>
        </w:rPr>
        <w:footnoteRef/>
      </w:r>
      <w:r w:rsidRPr="0032557F">
        <w:rPr>
          <w:rFonts w:ascii="Verdana" w:hAnsi="Verdana"/>
          <w:sz w:val="16"/>
          <w:szCs w:val="16"/>
        </w:rPr>
        <w:t xml:space="preserve"> </w:t>
      </w:r>
      <w:r w:rsidRPr="0032557F">
        <w:rPr>
          <w:rFonts w:ascii="Verdana" w:hAnsi="Verdana" w:cs="Arial"/>
          <w:sz w:val="16"/>
          <w:szCs w:val="16"/>
        </w:rPr>
        <w:t xml:space="preserve">Para la Corte Constitucional, el principio de publicidad es la garantía que tienen las personas de conocer las actuaciones judiciales y administrativas y con base en ese conocimiento tener la posibilidad de exigir que se surtan conforme a la ley: «El principio de publicidad se encuentra consagrado en el artículo 209 de la Constitución Política, que señala que la función administrativa está al servicio de los intereses generales y se desarrolla con fundamento entre otros, en el «principio de publicidad», el cual se evidencia en dos dimensiones. La primera de ellas, como el derecho que tienen las personas directamente involucradas, al conocimiento de las actuaciones judiciales y administrativas, la cual se concreta a través de los mecanismos de comunicación y la segunda, como el reconocimiento del derecho que tiene la comunidad de conocer las actuaciones de las autoridades y, a través de ese conocimiento, a exigir que ellas se surtan conforme a la ley». </w:t>
      </w:r>
      <w:bookmarkStart w:id="6" w:name="_Hlk202777591"/>
      <w:r w:rsidRPr="0032557F">
        <w:rPr>
          <w:rFonts w:ascii="Verdana" w:hAnsi="Verdana" w:cs="Arial"/>
          <w:sz w:val="16"/>
          <w:szCs w:val="16"/>
        </w:rPr>
        <w:t>Corte Constitucional. Sentencia C- 341 del 4 de junio de 2014. M. P. Mauricio González Cuervo.</w:t>
      </w:r>
    </w:p>
    <w:bookmarkEnd w:id="6"/>
  </w:footnote>
  <w:footnote w:id="3">
    <w:p w14:paraId="3BBCC5EC" w14:textId="77777777" w:rsidR="00BC7D7E" w:rsidRPr="0032557F" w:rsidRDefault="00BC7D7E" w:rsidP="0032557F">
      <w:pPr>
        <w:pStyle w:val="Textonotapie"/>
        <w:ind w:firstLine="709"/>
        <w:contextualSpacing/>
        <w:jc w:val="both"/>
        <w:rPr>
          <w:rFonts w:ascii="Verdana" w:hAnsi="Verdana"/>
          <w:sz w:val="16"/>
          <w:szCs w:val="16"/>
          <w:lang w:val="es-ES"/>
        </w:rPr>
      </w:pPr>
      <w:r w:rsidRPr="0032557F">
        <w:rPr>
          <w:rStyle w:val="Refdenotaalpie"/>
          <w:rFonts w:ascii="Verdana" w:hAnsi="Verdana"/>
          <w:sz w:val="16"/>
          <w:szCs w:val="16"/>
        </w:rPr>
        <w:footnoteRef/>
      </w:r>
      <w:r w:rsidRPr="0032557F">
        <w:rPr>
          <w:rFonts w:ascii="Verdana" w:hAnsi="Verdana"/>
          <w:sz w:val="16"/>
          <w:szCs w:val="16"/>
        </w:rPr>
        <w:t xml:space="preserve"> Por medio de la cual se crea la Ley de Transparencia y del Derecho de Acceso a la Información Pública Nacional y se dictan otras disposiciones.</w:t>
      </w:r>
    </w:p>
  </w:footnote>
  <w:footnote w:id="4">
    <w:p w14:paraId="5401CE1E" w14:textId="77777777" w:rsidR="00BC7D7E" w:rsidRPr="0032557F" w:rsidRDefault="00BC7D7E" w:rsidP="0032557F">
      <w:pPr>
        <w:pStyle w:val="Textonotapie"/>
        <w:ind w:firstLine="709"/>
        <w:contextualSpacing/>
        <w:jc w:val="both"/>
        <w:rPr>
          <w:rFonts w:ascii="Verdana" w:hAnsi="Verdana"/>
          <w:sz w:val="16"/>
          <w:szCs w:val="16"/>
        </w:rPr>
      </w:pPr>
      <w:r w:rsidRPr="0032557F">
        <w:rPr>
          <w:rStyle w:val="Refdenotaalpie"/>
          <w:rFonts w:ascii="Verdana" w:hAnsi="Verdana"/>
          <w:sz w:val="16"/>
          <w:szCs w:val="16"/>
        </w:rPr>
        <w:footnoteRef/>
      </w:r>
      <w:r w:rsidRPr="0032557F">
        <w:rPr>
          <w:rFonts w:ascii="Verdana" w:hAnsi="Verdana"/>
          <w:sz w:val="16"/>
          <w:szCs w:val="16"/>
        </w:rPr>
        <w:t xml:space="preserve"> </w:t>
      </w:r>
      <w:r w:rsidRPr="0032557F">
        <w:rPr>
          <w:rFonts w:ascii="Verdana" w:hAnsi="Verdana" w:cs="Arial"/>
          <w:color w:val="000000" w:themeColor="text1"/>
          <w:sz w:val="16"/>
          <w:szCs w:val="16"/>
        </w:rPr>
        <w:t>Ley 1712 de 2014: Artículo 2. Toda información en posesión, bajo control o custodia de un sujeto obligado es pública y no podrá ser reservada o limitada sino por disposición constitucional o legal, de conformidad con la presente ley”.</w:t>
      </w:r>
    </w:p>
  </w:footnote>
  <w:footnote w:id="5">
    <w:p w14:paraId="01572B34" w14:textId="77777777" w:rsidR="00BC7D7E" w:rsidRPr="0032557F" w:rsidRDefault="00BC7D7E" w:rsidP="00A216B9">
      <w:pPr>
        <w:pStyle w:val="Textonotapie"/>
        <w:ind w:firstLine="707"/>
        <w:contextualSpacing/>
        <w:jc w:val="both"/>
        <w:rPr>
          <w:rFonts w:ascii="Verdana" w:hAnsi="Verdana" w:cs="Arial"/>
          <w:sz w:val="16"/>
          <w:szCs w:val="16"/>
          <w:lang w:val="es-CO"/>
        </w:rPr>
      </w:pPr>
      <w:r w:rsidRPr="0032557F">
        <w:rPr>
          <w:rStyle w:val="Refdenotaalpie"/>
          <w:rFonts w:ascii="Verdana" w:hAnsi="Verdana" w:cs="Arial"/>
          <w:sz w:val="16"/>
          <w:szCs w:val="16"/>
        </w:rPr>
        <w:footnoteRef/>
      </w:r>
      <w:r w:rsidRPr="0032557F">
        <w:rPr>
          <w:rFonts w:ascii="Verdana" w:hAnsi="Verdana" w:cs="Arial"/>
          <w:sz w:val="16"/>
          <w:szCs w:val="16"/>
          <w:vertAlign w:val="superscript"/>
        </w:rPr>
        <w:t xml:space="preserve"> </w:t>
      </w:r>
      <w:r w:rsidRPr="0032557F">
        <w:rPr>
          <w:rFonts w:ascii="Verdana" w:hAnsi="Verdana" w:cs="Arial"/>
          <w:sz w:val="16"/>
          <w:szCs w:val="16"/>
        </w:rPr>
        <w:t xml:space="preserve">Ley 1712 de 2014: “Artículo 3. </w:t>
      </w:r>
      <w:bookmarkStart w:id="7" w:name="3"/>
      <w:r w:rsidRPr="0032557F">
        <w:rPr>
          <w:rFonts w:ascii="Verdana" w:hAnsi="Verdana" w:cs="Arial"/>
          <w:sz w:val="16"/>
          <w:szCs w:val="16"/>
          <w:lang w:val="es-CO"/>
        </w:rPr>
        <w:t>Otros principios de la transparencia y acceso a la información pública.</w:t>
      </w:r>
      <w:bookmarkEnd w:id="7"/>
      <w:r w:rsidRPr="0032557F">
        <w:rPr>
          <w:rFonts w:ascii="Verdana" w:hAnsi="Verdana" w:cs="Arial"/>
          <w:sz w:val="16"/>
          <w:szCs w:val="16"/>
          <w:lang w:val="es-CO"/>
        </w:rPr>
        <w:t> </w:t>
      </w:r>
    </w:p>
    <w:p w14:paraId="08212D7B" w14:textId="77777777" w:rsidR="00BC7D7E" w:rsidRPr="0032557F" w:rsidRDefault="00BC7D7E" w:rsidP="00A216B9">
      <w:pPr>
        <w:pStyle w:val="Textonotapie"/>
        <w:ind w:firstLine="707"/>
        <w:contextualSpacing/>
        <w:jc w:val="both"/>
        <w:rPr>
          <w:rFonts w:ascii="Verdana" w:hAnsi="Verdana" w:cs="Arial"/>
          <w:sz w:val="16"/>
          <w:szCs w:val="16"/>
          <w:lang w:val="es-CO"/>
        </w:rPr>
      </w:pPr>
      <w:r w:rsidRPr="0032557F">
        <w:rPr>
          <w:rFonts w:ascii="Verdana" w:hAnsi="Verdana" w:cs="Arial"/>
          <w:sz w:val="16"/>
          <w:szCs w:val="16"/>
          <w:lang w:val="es-CO"/>
        </w:rPr>
        <w:t>[…]</w:t>
      </w:r>
    </w:p>
    <w:p w14:paraId="06C7FBAD" w14:textId="77E74123" w:rsidR="00BC7D7E" w:rsidRPr="0032557F" w:rsidRDefault="00BC7D7E" w:rsidP="0032557F">
      <w:pPr>
        <w:pStyle w:val="Textonotapie"/>
        <w:ind w:firstLine="707"/>
        <w:contextualSpacing/>
        <w:jc w:val="both"/>
        <w:rPr>
          <w:rFonts w:ascii="Verdana" w:hAnsi="Verdana" w:cs="Arial"/>
          <w:sz w:val="16"/>
          <w:szCs w:val="16"/>
          <w:lang w:val="es-CO"/>
        </w:rPr>
      </w:pPr>
      <w:r w:rsidRPr="0032557F">
        <w:rPr>
          <w:rStyle w:val="baj"/>
          <w:rFonts w:ascii="Verdana" w:hAnsi="Verdana" w:cs="Arial"/>
          <w:sz w:val="16"/>
          <w:szCs w:val="16"/>
        </w:rPr>
        <w:t>Principio de transparencia</w:t>
      </w:r>
      <w:r w:rsidRPr="0032557F">
        <w:rPr>
          <w:rFonts w:ascii="Verdana" w:hAnsi="Verdana" w:cs="Arial"/>
          <w:sz w:val="16"/>
          <w:szCs w:val="16"/>
        </w:rPr>
        <w:t xml:space="preserve">. Principio conforme al cual toda la información en poder de los sujetos obligados definidos en esta ley se presume pública, en </w:t>
      </w:r>
      <w:proofErr w:type="gramStart"/>
      <w:r w:rsidRPr="0032557F">
        <w:rPr>
          <w:rFonts w:ascii="Verdana" w:hAnsi="Verdana" w:cs="Arial"/>
          <w:sz w:val="16"/>
          <w:szCs w:val="16"/>
        </w:rPr>
        <w:t>consecuencia</w:t>
      </w:r>
      <w:proofErr w:type="gramEnd"/>
      <w:r w:rsidRPr="0032557F">
        <w:rPr>
          <w:rFonts w:ascii="Verdana" w:hAnsi="Verdana" w:cs="Arial"/>
          <w:sz w:val="16"/>
          <w:szCs w:val="16"/>
        </w:rPr>
        <w:t xml:space="preserve"> de lo cual dichos sujetos están en el deber de proporcionar y facilitar el acceso a la misma en los términos más amplios posibles y a través de los medios y procedimientos que al efecto establezca la ley, excluyendo solo aquello que esté sujeto a las excepciones constitucionales y legales y bajo el cumplimiento de los requisitos establecidos en esta ley”.</w:t>
      </w:r>
    </w:p>
  </w:footnote>
  <w:footnote w:id="6">
    <w:p w14:paraId="410ED638" w14:textId="77777777" w:rsidR="00BC7D7E" w:rsidRPr="0032557F" w:rsidRDefault="00BC7D7E" w:rsidP="00A216B9">
      <w:pPr>
        <w:pStyle w:val="Textonotapie"/>
        <w:ind w:firstLine="707"/>
        <w:contextualSpacing/>
        <w:jc w:val="both"/>
        <w:rPr>
          <w:rFonts w:ascii="Verdana" w:hAnsi="Verdana" w:cs="Arial"/>
          <w:sz w:val="16"/>
          <w:szCs w:val="16"/>
          <w:lang w:val="es-CO"/>
        </w:rPr>
      </w:pPr>
      <w:r w:rsidRPr="0032557F">
        <w:rPr>
          <w:rStyle w:val="Refdenotaalpie"/>
          <w:rFonts w:ascii="Verdana" w:hAnsi="Verdana" w:cs="Arial"/>
          <w:sz w:val="16"/>
          <w:szCs w:val="16"/>
        </w:rPr>
        <w:footnoteRef/>
      </w:r>
      <w:r w:rsidRPr="0032557F">
        <w:rPr>
          <w:rFonts w:ascii="Verdana" w:hAnsi="Verdana" w:cs="Arial"/>
          <w:sz w:val="16"/>
          <w:szCs w:val="16"/>
          <w:vertAlign w:val="superscript"/>
        </w:rPr>
        <w:t xml:space="preserve"> </w:t>
      </w:r>
      <w:r w:rsidRPr="0032557F">
        <w:rPr>
          <w:rFonts w:ascii="Verdana" w:hAnsi="Verdana" w:cs="Arial"/>
          <w:sz w:val="16"/>
          <w:szCs w:val="16"/>
        </w:rPr>
        <w:t xml:space="preserve">Ley 1712 de 2014: “Artículo 3. </w:t>
      </w:r>
      <w:r w:rsidRPr="0032557F">
        <w:rPr>
          <w:rFonts w:ascii="Verdana" w:hAnsi="Verdana" w:cs="Arial"/>
          <w:sz w:val="16"/>
          <w:szCs w:val="16"/>
          <w:lang w:val="es-CO"/>
        </w:rPr>
        <w:t>Otros principios de la transparencia y acceso a la información pública. </w:t>
      </w:r>
    </w:p>
    <w:p w14:paraId="713CE8EC" w14:textId="77777777" w:rsidR="00BC7D7E" w:rsidRPr="0032557F" w:rsidRDefault="00BC7D7E" w:rsidP="00A216B9">
      <w:pPr>
        <w:pStyle w:val="Textonotapie"/>
        <w:ind w:firstLine="707"/>
        <w:contextualSpacing/>
        <w:jc w:val="both"/>
        <w:rPr>
          <w:rFonts w:ascii="Verdana" w:hAnsi="Verdana" w:cs="Arial"/>
          <w:sz w:val="16"/>
          <w:szCs w:val="16"/>
          <w:lang w:val="es-ES"/>
        </w:rPr>
      </w:pPr>
      <w:r w:rsidRPr="0032557F">
        <w:rPr>
          <w:rFonts w:ascii="Verdana" w:hAnsi="Verdana" w:cs="Arial"/>
          <w:sz w:val="16"/>
          <w:szCs w:val="16"/>
          <w:lang w:val="es-ES"/>
        </w:rPr>
        <w:t>[…]</w:t>
      </w:r>
    </w:p>
    <w:p w14:paraId="48C0A9FC" w14:textId="77777777" w:rsidR="00BC7D7E" w:rsidRPr="0032557F" w:rsidRDefault="00BC7D7E" w:rsidP="00A216B9">
      <w:pPr>
        <w:pStyle w:val="Textonotapie"/>
        <w:ind w:firstLine="707"/>
        <w:contextualSpacing/>
        <w:jc w:val="both"/>
        <w:rPr>
          <w:rFonts w:ascii="Verdana" w:hAnsi="Verdana" w:cs="Arial"/>
          <w:sz w:val="16"/>
          <w:szCs w:val="16"/>
          <w:lang w:val="es-ES"/>
        </w:rPr>
      </w:pPr>
      <w:r w:rsidRPr="0032557F">
        <w:rPr>
          <w:rStyle w:val="baj"/>
          <w:rFonts w:ascii="Verdana" w:hAnsi="Verdana" w:cs="Arial"/>
          <w:sz w:val="16"/>
          <w:szCs w:val="16"/>
        </w:rPr>
        <w:t>Principio de buena fe</w:t>
      </w:r>
      <w:r w:rsidRPr="0032557F">
        <w:rPr>
          <w:rFonts w:ascii="Verdana" w:hAnsi="Verdana" w:cs="Arial"/>
          <w:sz w:val="16"/>
          <w:szCs w:val="16"/>
        </w:rPr>
        <w:t>. En virtud del cual todo sujeto obligado, al cumplir con las obligaciones derivadas del derecho de acceso a la información pública, lo hará con motivación honesta, leal y desprovista de cualquier intención dolosa o culposa”.</w:t>
      </w:r>
    </w:p>
  </w:footnote>
  <w:footnote w:id="7">
    <w:p w14:paraId="70863C46" w14:textId="77777777" w:rsidR="00BC7D7E" w:rsidRPr="0032557F" w:rsidRDefault="00BC7D7E" w:rsidP="00A216B9">
      <w:pPr>
        <w:pStyle w:val="Textonotapie"/>
        <w:ind w:firstLine="707"/>
        <w:contextualSpacing/>
        <w:jc w:val="both"/>
        <w:rPr>
          <w:rFonts w:ascii="Verdana" w:hAnsi="Verdana" w:cs="Arial"/>
          <w:sz w:val="16"/>
          <w:szCs w:val="16"/>
          <w:shd w:val="clear" w:color="auto" w:fill="FFFFFF"/>
        </w:rPr>
      </w:pPr>
      <w:r w:rsidRPr="0032557F">
        <w:rPr>
          <w:rStyle w:val="Refdenotaalpie"/>
          <w:rFonts w:ascii="Verdana" w:hAnsi="Verdana" w:cs="Arial"/>
          <w:sz w:val="16"/>
          <w:szCs w:val="16"/>
        </w:rPr>
        <w:footnoteRef/>
      </w:r>
      <w:r w:rsidRPr="0032557F">
        <w:rPr>
          <w:rFonts w:ascii="Verdana" w:hAnsi="Verdana" w:cs="Arial"/>
          <w:sz w:val="16"/>
          <w:szCs w:val="16"/>
        </w:rPr>
        <w:t xml:space="preserve"> Ley 1712 de 2014: “Artículo 9. </w:t>
      </w:r>
      <w:r w:rsidRPr="0032557F">
        <w:rPr>
          <w:rFonts w:ascii="Verdana" w:hAnsi="Verdana" w:cs="Arial"/>
          <w:sz w:val="16"/>
          <w:szCs w:val="16"/>
          <w:shd w:val="clear" w:color="auto" w:fill="FFFFFF"/>
        </w:rPr>
        <w:t> </w:t>
      </w:r>
      <w:r w:rsidRPr="0032557F">
        <w:rPr>
          <w:rStyle w:val="nfasis"/>
          <w:rFonts w:ascii="Verdana" w:hAnsi="Verdana" w:cs="Arial"/>
          <w:sz w:val="16"/>
          <w:szCs w:val="16"/>
          <w:shd w:val="clear" w:color="auto" w:fill="FFFFFF"/>
        </w:rPr>
        <w:t>Información mínima obligatoria respecto a la estructura del sujeto obligado. </w:t>
      </w:r>
      <w:r w:rsidRPr="0032557F">
        <w:rPr>
          <w:rFonts w:ascii="Verdana" w:hAnsi="Verdana" w:cs="Arial"/>
          <w:sz w:val="16"/>
          <w:szCs w:val="16"/>
          <w:shd w:val="clear" w:color="auto" w:fill="FFFFFF"/>
        </w:rPr>
        <w:t>Todo sujeto obligado deberá publicar la siguiente información mínima obligatoria de manera proactiva en los sistemas de información del Estado o herramientas que lo sustituyan:</w:t>
      </w:r>
    </w:p>
    <w:p w14:paraId="68C34E20" w14:textId="77777777" w:rsidR="00BC7D7E" w:rsidRPr="0032557F" w:rsidRDefault="00BC7D7E" w:rsidP="00A216B9">
      <w:pPr>
        <w:pStyle w:val="Textonotapie"/>
        <w:ind w:firstLine="707"/>
        <w:contextualSpacing/>
        <w:jc w:val="both"/>
        <w:rPr>
          <w:rFonts w:ascii="Verdana" w:hAnsi="Verdana" w:cs="Arial"/>
          <w:sz w:val="16"/>
          <w:szCs w:val="16"/>
          <w:shd w:val="clear" w:color="auto" w:fill="FFFFFF"/>
        </w:rPr>
      </w:pPr>
      <w:r w:rsidRPr="0032557F">
        <w:rPr>
          <w:rFonts w:ascii="Verdana" w:hAnsi="Verdana" w:cs="Arial"/>
          <w:sz w:val="16"/>
          <w:szCs w:val="16"/>
          <w:shd w:val="clear" w:color="auto" w:fill="FFFFFF"/>
        </w:rPr>
        <w:t>[…]</w:t>
      </w:r>
    </w:p>
    <w:p w14:paraId="279915D7" w14:textId="77777777" w:rsidR="00BC7D7E" w:rsidRPr="0032557F" w:rsidRDefault="00BC7D7E" w:rsidP="00A216B9">
      <w:pPr>
        <w:pStyle w:val="Textonotapie"/>
        <w:ind w:firstLine="707"/>
        <w:contextualSpacing/>
        <w:jc w:val="both"/>
        <w:rPr>
          <w:rFonts w:ascii="Verdana" w:hAnsi="Verdana" w:cs="Arial"/>
          <w:sz w:val="16"/>
          <w:szCs w:val="16"/>
          <w:lang w:val="es-ES"/>
        </w:rPr>
      </w:pPr>
      <w:r w:rsidRPr="0032557F">
        <w:rPr>
          <w:rFonts w:ascii="Verdana" w:hAnsi="Verdana" w:cs="Arial"/>
          <w:sz w:val="16"/>
          <w:szCs w:val="16"/>
          <w:shd w:val="clear" w:color="auto" w:fill="FFFFFF"/>
        </w:rPr>
        <w:t>e) Su respectivo plan de compras anual, así como las contrataciones adjudicadas para la correspondiente vigencia en lo relacionado con funcionamiento e inversión, las obras públicas, los bienes adquiridos, arrendados y en caso de los servicios de estudios o investigaciones deberá señalarse el tema específico, de conformidad con el artículo 74</w:t>
      </w:r>
      <w:r w:rsidRPr="0032557F">
        <w:rPr>
          <w:rFonts w:ascii="Verdana" w:hAnsi="Verdana" w:cs="Arial"/>
          <w:sz w:val="16"/>
          <w:szCs w:val="16"/>
        </w:rPr>
        <w:t xml:space="preserve"> </w:t>
      </w:r>
      <w:r w:rsidRPr="0032557F">
        <w:rPr>
          <w:rFonts w:ascii="Verdana" w:hAnsi="Verdana" w:cs="Arial"/>
          <w:sz w:val="16"/>
          <w:szCs w:val="16"/>
          <w:shd w:val="clear" w:color="auto" w:fill="FFFFFF"/>
        </w:rPr>
        <w:t>de la Ley 1474 de 2011. En el caso de las personas naturales con contratos de prestación de servicios, deberá publicarse el objeto del contrato, monto de los honorarios y direcciones de correo electrónico, de conformidad con el formato de información de servidores públicos y contratistas;</w:t>
      </w:r>
      <w:r w:rsidRPr="0032557F">
        <w:rPr>
          <w:rFonts w:ascii="Verdana" w:hAnsi="Verdana" w:cs="Arial"/>
          <w:sz w:val="16"/>
          <w:szCs w:val="16"/>
        </w:rPr>
        <w:t>”.</w:t>
      </w:r>
    </w:p>
  </w:footnote>
  <w:footnote w:id="8">
    <w:p w14:paraId="703371D1" w14:textId="77777777" w:rsidR="00BC7D7E" w:rsidRPr="0032557F" w:rsidRDefault="00BC7D7E" w:rsidP="00A216B9">
      <w:pPr>
        <w:spacing w:after="0" w:line="240" w:lineRule="auto"/>
        <w:ind w:firstLine="707"/>
        <w:contextualSpacing/>
        <w:jc w:val="both"/>
        <w:rPr>
          <w:rFonts w:ascii="Verdana" w:hAnsi="Verdana" w:cs="Arial"/>
          <w:sz w:val="16"/>
          <w:szCs w:val="16"/>
        </w:rPr>
      </w:pPr>
      <w:r w:rsidRPr="0032557F">
        <w:rPr>
          <w:rStyle w:val="Refdenotaalpie"/>
          <w:rFonts w:ascii="Verdana" w:hAnsi="Verdana" w:cs="Arial"/>
          <w:sz w:val="16"/>
          <w:szCs w:val="16"/>
        </w:rPr>
        <w:footnoteRef/>
      </w:r>
      <w:r w:rsidRPr="0032557F">
        <w:rPr>
          <w:rFonts w:ascii="Verdana" w:hAnsi="Verdana" w:cs="Arial"/>
          <w:sz w:val="16"/>
          <w:szCs w:val="16"/>
        </w:rPr>
        <w:t xml:space="preserve"> Ley 1712 de 2014: “Artículo 5. Ámbito de aplicación. Las disposiciones de esta ley serán aplicables a las siguientes personas en calidad de sujetos obligados:</w:t>
      </w:r>
    </w:p>
    <w:p w14:paraId="70EE9DBC" w14:textId="7DBAD924" w:rsidR="00BC7D7E" w:rsidRPr="0032557F" w:rsidRDefault="00BC7D7E" w:rsidP="0032557F">
      <w:pPr>
        <w:spacing w:after="0" w:line="240" w:lineRule="auto"/>
        <w:ind w:firstLine="707"/>
        <w:contextualSpacing/>
        <w:jc w:val="both"/>
      </w:pPr>
      <w:r w:rsidRPr="0032557F">
        <w:rPr>
          <w:rFonts w:ascii="Verdana" w:hAnsi="Verdana" w:cs="Arial"/>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w:t>
      </w:r>
    </w:p>
  </w:footnote>
  <w:footnote w:id="9">
    <w:p w14:paraId="789C5DE0" w14:textId="77777777" w:rsidR="00BC7D7E" w:rsidRPr="0032557F" w:rsidRDefault="00BC7D7E" w:rsidP="0032557F">
      <w:pPr>
        <w:pStyle w:val="Textonotapie"/>
        <w:ind w:firstLine="709"/>
        <w:contextualSpacing/>
        <w:jc w:val="both"/>
        <w:rPr>
          <w:rFonts w:ascii="Verdana" w:hAnsi="Verdana"/>
          <w:sz w:val="16"/>
          <w:szCs w:val="16"/>
          <w:lang w:val="es-ES"/>
        </w:rPr>
      </w:pPr>
      <w:r w:rsidRPr="0032557F">
        <w:rPr>
          <w:rStyle w:val="Refdenotaalpie"/>
          <w:rFonts w:ascii="Verdana" w:hAnsi="Verdana"/>
          <w:sz w:val="16"/>
          <w:szCs w:val="16"/>
        </w:rPr>
        <w:footnoteRef/>
      </w:r>
      <w:r w:rsidRPr="0032557F">
        <w:rPr>
          <w:rFonts w:ascii="Verdana" w:hAnsi="Verdana"/>
          <w:sz w:val="16"/>
          <w:szCs w:val="16"/>
        </w:rPr>
        <w:t xml:space="preserve"> En </w:t>
      </w:r>
      <w:hyperlink r:id="rId1" w:history="1">
        <w:r w:rsidRPr="0032557F">
          <w:rPr>
            <w:rStyle w:val="Hipervnculo"/>
            <w:rFonts w:ascii="Verdana" w:hAnsi="Verdana"/>
            <w:sz w:val="16"/>
            <w:szCs w:val="16"/>
            <w:lang w:val="es-CO"/>
          </w:rPr>
          <w:t>cce-sec-gi-22guiasecopii_eemcregimenespecialsinofertas20-04-2022.pdf</w:t>
        </w:r>
      </w:hyperlink>
    </w:p>
  </w:footnote>
  <w:footnote w:id="10">
    <w:p w14:paraId="21CA4B38" w14:textId="77777777" w:rsidR="00BC7D7E" w:rsidRPr="0032557F" w:rsidRDefault="00BC7D7E" w:rsidP="00A216B9">
      <w:pPr>
        <w:pStyle w:val="Textonotapie"/>
        <w:ind w:firstLine="708"/>
        <w:contextualSpacing/>
        <w:jc w:val="both"/>
        <w:rPr>
          <w:rFonts w:ascii="Verdana" w:hAnsi="Verdana" w:cs="Arial"/>
          <w:sz w:val="16"/>
          <w:szCs w:val="16"/>
        </w:rPr>
      </w:pPr>
      <w:r w:rsidRPr="0032557F">
        <w:rPr>
          <w:rStyle w:val="Refdenotaalpie"/>
          <w:rFonts w:ascii="Verdana" w:hAnsi="Verdana" w:cs="Arial"/>
          <w:sz w:val="16"/>
          <w:szCs w:val="16"/>
        </w:rPr>
        <w:footnoteRef/>
      </w:r>
      <w:r w:rsidRPr="0032557F">
        <w:rPr>
          <w:rFonts w:ascii="Verdana" w:hAnsi="Verdana" w:cs="Arial"/>
          <w:sz w:val="16"/>
          <w:szCs w:val="16"/>
        </w:rPr>
        <w:t xml:space="preserve"> “Artículo 21. DIVULGACIÓN PARCIAL Y OTRAS REGLAS. En aquellas circunstancias en que la totalidad de la información contenida en un documento no esté protegida por una excepción contenida en la presente ley, debe hacerse una versión pública que mantenga la reserva únicamente de la parte indispensable. La información pública que no cae en ningún supuesto de excepción deberá ser entregada a la parte solicitante, así como ser de conocimiento público. La reserva de acceso a la información opera respecto del contenido de un documento </w:t>
      </w:r>
      <w:proofErr w:type="gramStart"/>
      <w:r w:rsidRPr="0032557F">
        <w:rPr>
          <w:rFonts w:ascii="Verdana" w:hAnsi="Verdana" w:cs="Arial"/>
          <w:sz w:val="16"/>
          <w:szCs w:val="16"/>
        </w:rPr>
        <w:t>público</w:t>
      </w:r>
      <w:proofErr w:type="gramEnd"/>
      <w:r w:rsidRPr="0032557F">
        <w:rPr>
          <w:rFonts w:ascii="Verdana" w:hAnsi="Verdana" w:cs="Arial"/>
          <w:sz w:val="16"/>
          <w:szCs w:val="16"/>
        </w:rPr>
        <w:t xml:space="preserve"> pero no de su existencia.</w:t>
      </w:r>
    </w:p>
    <w:p w14:paraId="68B46C19" w14:textId="77777777" w:rsidR="00BC7D7E" w:rsidRPr="0032557F" w:rsidRDefault="00BC7D7E" w:rsidP="00A216B9">
      <w:pPr>
        <w:pStyle w:val="Textonotapie"/>
        <w:ind w:firstLine="708"/>
        <w:contextualSpacing/>
        <w:jc w:val="both"/>
        <w:rPr>
          <w:rFonts w:ascii="Verdana" w:hAnsi="Verdana" w:cs="Arial"/>
          <w:sz w:val="16"/>
          <w:szCs w:val="16"/>
        </w:rPr>
      </w:pPr>
      <w:r w:rsidRPr="0032557F">
        <w:rPr>
          <w:rFonts w:ascii="Verdana" w:hAnsi="Verdana" w:cs="Arial"/>
          <w:sz w:val="16"/>
          <w:szCs w:val="16"/>
        </w:rPr>
        <w:t>Ninguna autoridad pública puede negarse a indicar si un documento obra o no en su poder o negar la divulgación de un documento, salvo que el daño causado al interés protegido sea mayor al interés público de obtener acceso a la información.</w:t>
      </w:r>
    </w:p>
    <w:p w14:paraId="6CA3E33B" w14:textId="77777777" w:rsidR="00BC7D7E" w:rsidRPr="0032557F" w:rsidRDefault="00BC7D7E" w:rsidP="00A216B9">
      <w:pPr>
        <w:pStyle w:val="Textonotapie"/>
        <w:ind w:firstLine="708"/>
        <w:contextualSpacing/>
        <w:jc w:val="both"/>
        <w:rPr>
          <w:rFonts w:ascii="Verdana" w:hAnsi="Verdana" w:cs="Arial"/>
          <w:sz w:val="16"/>
          <w:szCs w:val="16"/>
          <w:lang w:val="es-CO"/>
        </w:rPr>
      </w:pPr>
      <w:r w:rsidRPr="0032557F">
        <w:rPr>
          <w:rFonts w:ascii="Verdana" w:hAnsi="Verdana" w:cs="Arial"/>
          <w:sz w:val="16"/>
          <w:szCs w:val="16"/>
        </w:rPr>
        <w:t>Las excepciones de acceso a la información contenidas en la presente ley no aplican en casos de violación de derechos humanos o delitos de lesa humanidad, y en todo caso deberán protegerse los derechos de las víctimas de dichas violaciones”.</w:t>
      </w:r>
    </w:p>
  </w:footnote>
  <w:footnote w:id="11">
    <w:p w14:paraId="66513AB4" w14:textId="77777777" w:rsidR="00BC7D7E" w:rsidRPr="0032557F" w:rsidRDefault="00BC7D7E" w:rsidP="0032557F">
      <w:pPr>
        <w:spacing w:after="0" w:line="240" w:lineRule="auto"/>
        <w:ind w:firstLine="708"/>
        <w:contextualSpacing/>
        <w:jc w:val="both"/>
        <w:rPr>
          <w:rFonts w:ascii="Verdana" w:eastAsia="Arial" w:hAnsi="Verdana" w:cs="Arial"/>
          <w:sz w:val="16"/>
          <w:szCs w:val="16"/>
          <w:lang w:val="es"/>
        </w:rPr>
      </w:pPr>
      <w:r w:rsidRPr="0032557F">
        <w:rPr>
          <w:rStyle w:val="Refdenotaalpie"/>
          <w:rFonts w:ascii="Verdana" w:hAnsi="Verdana"/>
          <w:sz w:val="16"/>
          <w:szCs w:val="16"/>
        </w:rPr>
        <w:footnoteRef/>
      </w:r>
      <w:r w:rsidRPr="0032557F">
        <w:rPr>
          <w:rFonts w:ascii="Verdana" w:hAnsi="Verdana"/>
          <w:sz w:val="16"/>
          <w:szCs w:val="16"/>
        </w:rPr>
        <w:t xml:space="preserve"> </w:t>
      </w:r>
      <w:r w:rsidRPr="0032557F">
        <w:rPr>
          <w:rFonts w:ascii="Verdana" w:eastAsia="Arial" w:hAnsi="Verdana" w:cs="Arial"/>
          <w:sz w:val="16"/>
          <w:szCs w:val="16"/>
          <w:lang w:val="es"/>
        </w:rPr>
        <w:t>Ley 1437 de 2011 “Artículo 24. Informaciones y documentos reservados. Solo tendrán carácter reservado las informaciones y documentos expresamente sometidos a reserva por la Constitución Política o la ley, y en especial:</w:t>
      </w:r>
    </w:p>
    <w:p w14:paraId="5545F75C" w14:textId="77777777" w:rsidR="00BC7D7E" w:rsidRPr="0032557F" w:rsidRDefault="00BC7D7E" w:rsidP="0032557F">
      <w:pPr>
        <w:spacing w:after="0" w:line="240" w:lineRule="auto"/>
        <w:ind w:firstLine="709"/>
        <w:contextualSpacing/>
        <w:jc w:val="both"/>
        <w:rPr>
          <w:rFonts w:ascii="Verdana" w:eastAsia="Arial" w:hAnsi="Verdana" w:cs="Arial"/>
          <w:sz w:val="16"/>
          <w:szCs w:val="16"/>
          <w:lang w:val="es"/>
        </w:rPr>
      </w:pPr>
      <w:r w:rsidRPr="0032557F">
        <w:rPr>
          <w:rFonts w:ascii="Verdana" w:eastAsia="Arial" w:hAnsi="Verdana" w:cs="Arial"/>
          <w:sz w:val="16"/>
          <w:szCs w:val="16"/>
          <w:lang w:val="es"/>
        </w:rPr>
        <w:t>"1. Los relacionados con la defensa o seguridad nacionales.</w:t>
      </w:r>
    </w:p>
    <w:p w14:paraId="782F7ACE" w14:textId="77777777" w:rsidR="00BC7D7E" w:rsidRPr="0032557F" w:rsidRDefault="00BC7D7E" w:rsidP="0032557F">
      <w:pPr>
        <w:spacing w:after="0" w:line="240" w:lineRule="auto"/>
        <w:ind w:firstLine="709"/>
        <w:contextualSpacing/>
        <w:jc w:val="both"/>
        <w:rPr>
          <w:rFonts w:ascii="Verdana" w:eastAsia="Arial" w:hAnsi="Verdana" w:cs="Arial"/>
          <w:sz w:val="16"/>
          <w:szCs w:val="16"/>
          <w:lang w:val="es"/>
        </w:rPr>
      </w:pPr>
      <w:r w:rsidRPr="0032557F">
        <w:rPr>
          <w:rFonts w:ascii="Verdana" w:eastAsia="Arial" w:hAnsi="Verdana" w:cs="Arial"/>
          <w:sz w:val="16"/>
          <w:szCs w:val="16"/>
          <w:lang w:val="es"/>
        </w:rPr>
        <w:t>“2. Las instrucciones en materia diplomática o sobre negociaciones reservadas.</w:t>
      </w:r>
    </w:p>
    <w:p w14:paraId="508730BD" w14:textId="77777777" w:rsidR="00BC7D7E" w:rsidRPr="0032557F" w:rsidRDefault="00BC7D7E" w:rsidP="0032557F">
      <w:pPr>
        <w:spacing w:after="0" w:line="240" w:lineRule="auto"/>
        <w:ind w:firstLine="708"/>
        <w:contextualSpacing/>
        <w:jc w:val="both"/>
        <w:rPr>
          <w:rFonts w:ascii="Verdana" w:eastAsia="Arial" w:hAnsi="Verdana" w:cs="Arial"/>
          <w:sz w:val="16"/>
          <w:szCs w:val="16"/>
          <w:lang w:val="es"/>
        </w:rPr>
      </w:pPr>
      <w:r w:rsidRPr="0032557F">
        <w:rPr>
          <w:rFonts w:ascii="Verdana" w:eastAsia="Arial" w:hAnsi="Verdana" w:cs="Arial"/>
          <w:sz w:val="16"/>
          <w:szCs w:val="16"/>
          <w:lang w:val="es"/>
        </w:rPr>
        <w:t>“3. Los que involucren derechos a la privacidad e intimidad de las personas, incluidas en las hojas de vida, la historia laboral y los expedientes pensionales y demás registros de personal que obren en los archivos de las instituciones públicas o privadas, así como la historia clínica.</w:t>
      </w:r>
    </w:p>
    <w:p w14:paraId="6D659EE5" w14:textId="77777777" w:rsidR="00BC7D7E" w:rsidRPr="0032557F" w:rsidRDefault="00BC7D7E" w:rsidP="0032557F">
      <w:pPr>
        <w:spacing w:after="0" w:line="240" w:lineRule="auto"/>
        <w:ind w:firstLine="708"/>
        <w:contextualSpacing/>
        <w:jc w:val="both"/>
        <w:rPr>
          <w:rFonts w:ascii="Verdana" w:eastAsia="Arial" w:hAnsi="Verdana" w:cs="Arial"/>
          <w:sz w:val="16"/>
          <w:szCs w:val="16"/>
          <w:lang w:val="es"/>
        </w:rPr>
      </w:pPr>
      <w:r w:rsidRPr="0032557F">
        <w:rPr>
          <w:rFonts w:ascii="Verdana" w:eastAsia="Arial" w:hAnsi="Verdana" w:cs="Arial"/>
          <w:sz w:val="16"/>
          <w:szCs w:val="16"/>
          <w:lang w:val="es"/>
        </w:rPr>
        <w:t>“4. Los relativos a las condiciones financieras de las operaciones de crédito público y tesorería que realice la nación, así como a los estudios técnicos de valoración de los activos de la nación. Estos documentos e informaciones estarán sometidos a reserva por un término de seis (6) meses contados a partir de la realización de la respectiva operación.</w:t>
      </w:r>
    </w:p>
    <w:p w14:paraId="6E8DA808" w14:textId="77777777" w:rsidR="00BC7D7E" w:rsidRPr="0032557F" w:rsidRDefault="00BC7D7E" w:rsidP="0032557F">
      <w:pPr>
        <w:spacing w:after="0" w:line="240" w:lineRule="auto"/>
        <w:ind w:firstLine="709"/>
        <w:contextualSpacing/>
        <w:jc w:val="both"/>
        <w:rPr>
          <w:rFonts w:ascii="Verdana" w:eastAsia="Arial" w:hAnsi="Verdana" w:cs="Arial"/>
          <w:sz w:val="16"/>
          <w:szCs w:val="16"/>
          <w:lang w:val="es"/>
        </w:rPr>
      </w:pPr>
      <w:r w:rsidRPr="0032557F">
        <w:rPr>
          <w:rFonts w:ascii="Verdana" w:eastAsia="Arial" w:hAnsi="Verdana" w:cs="Arial"/>
          <w:sz w:val="16"/>
          <w:szCs w:val="16"/>
          <w:lang w:val="es"/>
        </w:rPr>
        <w:t>“5. Los datos referentes a la información financiera y comercial, en los términos de la Ley Estatutaria 1266 de 2008.</w:t>
      </w:r>
    </w:p>
    <w:p w14:paraId="4B742A06" w14:textId="77777777" w:rsidR="00BC7D7E" w:rsidRPr="0032557F" w:rsidRDefault="00BC7D7E" w:rsidP="0032557F">
      <w:pPr>
        <w:spacing w:after="0" w:line="240" w:lineRule="auto"/>
        <w:ind w:firstLine="709"/>
        <w:contextualSpacing/>
        <w:jc w:val="both"/>
        <w:rPr>
          <w:rFonts w:ascii="Verdana" w:eastAsia="Arial" w:hAnsi="Verdana" w:cs="Arial"/>
          <w:sz w:val="16"/>
          <w:szCs w:val="16"/>
          <w:lang w:val="es"/>
        </w:rPr>
      </w:pPr>
      <w:r w:rsidRPr="0032557F">
        <w:rPr>
          <w:rFonts w:ascii="Verdana" w:eastAsia="Arial" w:hAnsi="Verdana" w:cs="Arial"/>
          <w:sz w:val="16"/>
          <w:szCs w:val="16"/>
          <w:lang w:val="es"/>
        </w:rPr>
        <w:t>“6. Los protegidos por el secreto comercial o industrial, así como los planes estratégicos de las empresas públicas de servicios públicos.</w:t>
      </w:r>
    </w:p>
    <w:p w14:paraId="427D1068" w14:textId="77777777" w:rsidR="00BC7D7E" w:rsidRPr="0032557F" w:rsidRDefault="00BC7D7E" w:rsidP="0032557F">
      <w:pPr>
        <w:spacing w:after="0" w:line="240" w:lineRule="auto"/>
        <w:ind w:firstLine="709"/>
        <w:contextualSpacing/>
        <w:jc w:val="both"/>
        <w:rPr>
          <w:rFonts w:ascii="Verdana" w:eastAsia="Arial" w:hAnsi="Verdana" w:cs="Arial"/>
          <w:sz w:val="16"/>
          <w:szCs w:val="16"/>
          <w:lang w:val="es"/>
        </w:rPr>
      </w:pPr>
      <w:r w:rsidRPr="0032557F">
        <w:rPr>
          <w:rFonts w:ascii="Verdana" w:eastAsia="Arial" w:hAnsi="Verdana" w:cs="Arial"/>
          <w:sz w:val="16"/>
          <w:szCs w:val="16"/>
          <w:lang w:val="es"/>
        </w:rPr>
        <w:t xml:space="preserve">“7. Los amparados por el secreto profesional. </w:t>
      </w:r>
    </w:p>
    <w:p w14:paraId="52EB32A8" w14:textId="77777777" w:rsidR="00BC7D7E" w:rsidRPr="0032557F" w:rsidRDefault="00BC7D7E" w:rsidP="0032557F">
      <w:pPr>
        <w:spacing w:after="0" w:line="240" w:lineRule="auto"/>
        <w:ind w:firstLine="709"/>
        <w:contextualSpacing/>
        <w:jc w:val="both"/>
        <w:rPr>
          <w:rFonts w:ascii="Verdana" w:eastAsia="Arial" w:hAnsi="Verdana" w:cs="Arial"/>
          <w:sz w:val="16"/>
          <w:szCs w:val="16"/>
          <w:lang w:val="es"/>
        </w:rPr>
      </w:pPr>
      <w:r w:rsidRPr="0032557F">
        <w:rPr>
          <w:rFonts w:ascii="Verdana" w:eastAsia="Arial" w:hAnsi="Verdana" w:cs="Arial"/>
          <w:sz w:val="16"/>
          <w:szCs w:val="16"/>
          <w:lang w:val="es"/>
        </w:rPr>
        <w:t>“8. Los datos genéticos humanos.</w:t>
      </w:r>
    </w:p>
    <w:p w14:paraId="2B8D54A1" w14:textId="04293CFB" w:rsidR="00BC7D7E" w:rsidRPr="00A216B9" w:rsidRDefault="00BC7D7E" w:rsidP="0032557F">
      <w:pPr>
        <w:spacing w:after="0" w:line="240" w:lineRule="auto"/>
        <w:ind w:firstLine="709"/>
        <w:contextualSpacing/>
        <w:jc w:val="both"/>
        <w:rPr>
          <w:lang w:val="es"/>
        </w:rPr>
      </w:pPr>
      <w:r w:rsidRPr="0032557F">
        <w:rPr>
          <w:rFonts w:ascii="Verdana" w:eastAsia="Arial" w:hAnsi="Verdana" w:cs="Arial"/>
          <w:sz w:val="16"/>
          <w:szCs w:val="16"/>
          <w:lang w:val="es"/>
        </w:rPr>
        <w:t>“Parágrafo. Para efecto de la solicitud de información de carácter reservado, enunciada en los numerales 3, 5, 6 y 7 solo podrá ser solicitada por el titular de la información, por sus apoderados o por personas autorizadas con facultad expresa para acceder a esa información”.</w:t>
      </w:r>
    </w:p>
  </w:footnote>
  <w:footnote w:id="12">
    <w:p w14:paraId="6DEA744A" w14:textId="77777777" w:rsidR="003B1296" w:rsidRPr="0032557F" w:rsidRDefault="003B1296" w:rsidP="0032557F">
      <w:pPr>
        <w:pStyle w:val="Textonotapie"/>
        <w:ind w:firstLine="708"/>
        <w:contextualSpacing/>
        <w:jc w:val="both"/>
        <w:rPr>
          <w:rFonts w:ascii="Verdana" w:hAnsi="Verdana"/>
          <w:sz w:val="16"/>
          <w:szCs w:val="16"/>
          <w:lang w:val="es-CO"/>
        </w:rPr>
      </w:pPr>
      <w:r w:rsidRPr="0032557F">
        <w:rPr>
          <w:rStyle w:val="Refdenotaalpie"/>
          <w:rFonts w:ascii="Verdana" w:hAnsi="Verdana"/>
          <w:sz w:val="16"/>
          <w:szCs w:val="16"/>
        </w:rPr>
        <w:footnoteRef/>
      </w:r>
      <w:r w:rsidRPr="0032557F">
        <w:rPr>
          <w:rFonts w:ascii="Verdana" w:hAnsi="Verdana"/>
          <w:sz w:val="16"/>
          <w:szCs w:val="16"/>
        </w:rPr>
        <w:t xml:space="preserve"> </w:t>
      </w:r>
      <w:r w:rsidRPr="0032557F">
        <w:rPr>
          <w:rFonts w:ascii="Verdana" w:hAnsi="Verdana"/>
          <w:sz w:val="16"/>
          <w:szCs w:val="16"/>
          <w:lang w:val="es-CO"/>
        </w:rPr>
        <w:t>Artículo 7.1.3. Reserva de la información. Criterios. En concordancia con lo establecido en la Ley 1712 de 2014, Ley de transparencia y de Acceso a la Información Pública, la reserva aplica a la información, no a los documentos, para lo cual el responsable de la información verificará qué información está sometida a reserva y cuál no, y elaborará una versión pública que mantenga la reserva de los titulares de los datos, para garantizar el principio de máxima publicidad y conforme a las disposiciones legales vigentes sobre el acceso a la información.</w:t>
      </w:r>
    </w:p>
    <w:p w14:paraId="567C3F21" w14:textId="77777777" w:rsidR="003B1296" w:rsidRPr="0032557F" w:rsidRDefault="003B1296" w:rsidP="0032557F">
      <w:pPr>
        <w:pStyle w:val="Textonotapie"/>
        <w:ind w:firstLine="708"/>
        <w:contextualSpacing/>
        <w:jc w:val="both"/>
        <w:rPr>
          <w:rFonts w:ascii="Verdana" w:hAnsi="Verdana"/>
          <w:sz w:val="16"/>
          <w:szCs w:val="16"/>
          <w:lang w:val="es-CO"/>
        </w:rPr>
      </w:pPr>
      <w:r w:rsidRPr="0032557F">
        <w:rPr>
          <w:rFonts w:ascii="Verdana" w:hAnsi="Verdana"/>
          <w:sz w:val="16"/>
          <w:szCs w:val="16"/>
          <w:lang w:val="es-CO"/>
        </w:rPr>
        <w:t xml:space="preserve">Parágrafo 1. De existir reserva legal, se aplicarán, como mínimo, los siguientes criterios: </w:t>
      </w:r>
    </w:p>
    <w:p w14:paraId="778EC5C1" w14:textId="77777777" w:rsidR="003B1296" w:rsidRPr="0032557F" w:rsidRDefault="003B1296" w:rsidP="0032557F">
      <w:pPr>
        <w:pStyle w:val="Textonotapie"/>
        <w:ind w:firstLine="708"/>
        <w:contextualSpacing/>
        <w:jc w:val="both"/>
        <w:rPr>
          <w:rFonts w:ascii="Verdana" w:hAnsi="Verdana"/>
          <w:sz w:val="16"/>
          <w:szCs w:val="16"/>
          <w:lang w:val="es-CO"/>
        </w:rPr>
      </w:pPr>
      <w:r w:rsidRPr="0032557F">
        <w:rPr>
          <w:rFonts w:ascii="Verdana" w:hAnsi="Verdana"/>
          <w:sz w:val="16"/>
          <w:szCs w:val="16"/>
          <w:lang w:val="es-CO"/>
        </w:rPr>
        <w:t xml:space="preserve">1. La reserva opera sobre el contenido del documento, no sobre la existencia de este. Estos documentos deben ser identificados de manera clara en los instrumentos de la gestión de información pública. </w:t>
      </w:r>
    </w:p>
    <w:p w14:paraId="3B45651D" w14:textId="77777777" w:rsidR="003B1296" w:rsidRPr="0032557F" w:rsidRDefault="003B1296" w:rsidP="0032557F">
      <w:pPr>
        <w:pStyle w:val="Textonotapie"/>
        <w:ind w:firstLine="708"/>
        <w:contextualSpacing/>
        <w:jc w:val="both"/>
        <w:rPr>
          <w:rFonts w:ascii="Verdana" w:hAnsi="Verdana"/>
          <w:sz w:val="16"/>
          <w:szCs w:val="16"/>
          <w:lang w:val="es-CO"/>
        </w:rPr>
      </w:pPr>
      <w:r w:rsidRPr="0032557F">
        <w:rPr>
          <w:rFonts w:ascii="Verdana" w:hAnsi="Verdana"/>
          <w:sz w:val="16"/>
          <w:szCs w:val="16"/>
          <w:lang w:val="es-CO"/>
        </w:rPr>
        <w:t xml:space="preserve">2. La reserva legal solo opera sobre la información que compromete derechos fundamentales o bienes constitucionales, no sobre los procesos o actuaciones de los que hace parte. Para tal efecto se realizarán versiones públicas de estos documentos, que impidan la identificación de los titulares de los datos personales, como lo ordena la normativa vigente. </w:t>
      </w:r>
    </w:p>
    <w:p w14:paraId="7044E7DE" w14:textId="77777777" w:rsidR="003B1296" w:rsidRPr="0032557F" w:rsidRDefault="003B1296" w:rsidP="0032557F">
      <w:pPr>
        <w:pStyle w:val="Textonotapie"/>
        <w:ind w:firstLine="708"/>
        <w:contextualSpacing/>
        <w:jc w:val="both"/>
        <w:rPr>
          <w:rFonts w:ascii="Verdana" w:hAnsi="Verdana"/>
          <w:sz w:val="16"/>
          <w:szCs w:val="16"/>
          <w:lang w:val="es-CO"/>
        </w:rPr>
      </w:pPr>
      <w:r w:rsidRPr="0032557F">
        <w:rPr>
          <w:rFonts w:ascii="Verdana" w:hAnsi="Verdana"/>
          <w:sz w:val="16"/>
          <w:szCs w:val="16"/>
          <w:lang w:val="es-CO"/>
        </w:rPr>
        <w:t>3. La reserva deberá ser temporal, como lo determine la Ley.</w:t>
      </w:r>
    </w:p>
    <w:p w14:paraId="1E8023CA" w14:textId="77777777" w:rsidR="003B1296" w:rsidRPr="0032557F" w:rsidRDefault="003B1296" w:rsidP="0032557F">
      <w:pPr>
        <w:pStyle w:val="Textonotapie"/>
        <w:ind w:firstLine="708"/>
        <w:contextualSpacing/>
        <w:jc w:val="both"/>
        <w:rPr>
          <w:rFonts w:ascii="Verdana" w:hAnsi="Verdana"/>
          <w:sz w:val="16"/>
          <w:szCs w:val="16"/>
          <w:lang w:val="es-ES"/>
        </w:rPr>
      </w:pPr>
      <w:r w:rsidRPr="0032557F">
        <w:rPr>
          <w:rFonts w:ascii="Verdana" w:hAnsi="Verdana"/>
          <w:sz w:val="16"/>
          <w:szCs w:val="16"/>
          <w:lang w:val="es-CO"/>
        </w:rPr>
        <w:t xml:space="preserve"> Parágrafo 2. Para elaborar versiones públicas de documentos que contengan información clasificada o reservada, la entidad aplicará estándares para la </w:t>
      </w:r>
      <w:proofErr w:type="spellStart"/>
      <w:r w:rsidRPr="0032557F">
        <w:rPr>
          <w:rFonts w:ascii="Verdana" w:hAnsi="Verdana"/>
          <w:sz w:val="16"/>
          <w:szCs w:val="16"/>
          <w:lang w:val="es-CO"/>
        </w:rPr>
        <w:t>anonimización</w:t>
      </w:r>
      <w:proofErr w:type="spellEnd"/>
      <w:r w:rsidRPr="0032557F">
        <w:rPr>
          <w:rFonts w:ascii="Verdana" w:hAnsi="Verdana"/>
          <w:sz w:val="16"/>
          <w:szCs w:val="16"/>
          <w:lang w:val="es-CO"/>
        </w:rPr>
        <w:t xml:space="preserve"> de datos. El proceso de </w:t>
      </w:r>
      <w:proofErr w:type="spellStart"/>
      <w:r w:rsidRPr="0032557F">
        <w:rPr>
          <w:rFonts w:ascii="Verdana" w:hAnsi="Verdana"/>
          <w:sz w:val="16"/>
          <w:szCs w:val="16"/>
          <w:lang w:val="es-CO"/>
        </w:rPr>
        <w:t>anonimización</w:t>
      </w:r>
      <w:proofErr w:type="spellEnd"/>
      <w:r w:rsidRPr="0032557F">
        <w:rPr>
          <w:rFonts w:ascii="Verdana" w:hAnsi="Verdana"/>
          <w:sz w:val="16"/>
          <w:szCs w:val="16"/>
          <w:lang w:val="es-CO"/>
        </w:rPr>
        <w:t xml:space="preserve"> de datos requiere una adecuada comprensión del propósito final y uso de la información. Por tal motivo, es importante que el administrador de los documentos identifique los datos objeto de </w:t>
      </w:r>
      <w:proofErr w:type="spellStart"/>
      <w:r w:rsidRPr="0032557F">
        <w:rPr>
          <w:rFonts w:ascii="Verdana" w:hAnsi="Verdana"/>
          <w:sz w:val="16"/>
          <w:szCs w:val="16"/>
          <w:lang w:val="es-CO"/>
        </w:rPr>
        <w:t>anonimización</w:t>
      </w:r>
      <w:proofErr w:type="spellEnd"/>
      <w:r w:rsidRPr="0032557F">
        <w:rPr>
          <w:rFonts w:ascii="Verdana" w:hAnsi="Verdana"/>
          <w:sz w:val="16"/>
          <w:szCs w:val="16"/>
          <w:lang w:val="es-CO"/>
        </w:rPr>
        <w:t xml:space="preserve"> en articulación con la normativa vigente para la protección de datos personales y acceso a la información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08" w:hanging="360"/>
      </w:pPr>
      <w:rPr>
        <w:rFonts w:ascii="Symbol" w:hAnsi="Symbol" w:hint="default"/>
      </w:rPr>
    </w:lvl>
    <w:lvl w:ilvl="1" w:tplc="040A0003" w:tentative="1">
      <w:start w:val="1"/>
      <w:numFmt w:val="bullet"/>
      <w:lvlText w:val="o"/>
      <w:lvlJc w:val="left"/>
      <w:pPr>
        <w:ind w:left="12" w:hanging="360"/>
      </w:pPr>
      <w:rPr>
        <w:rFonts w:ascii="Courier New" w:hAnsi="Courier New" w:cs="Courier New" w:hint="default"/>
      </w:rPr>
    </w:lvl>
    <w:lvl w:ilvl="2" w:tplc="040A0005" w:tentative="1">
      <w:start w:val="1"/>
      <w:numFmt w:val="bullet"/>
      <w:lvlText w:val=""/>
      <w:lvlJc w:val="left"/>
      <w:pPr>
        <w:ind w:left="732" w:hanging="360"/>
      </w:pPr>
      <w:rPr>
        <w:rFonts w:ascii="Wingdings" w:hAnsi="Wingdings" w:hint="default"/>
      </w:rPr>
    </w:lvl>
    <w:lvl w:ilvl="3" w:tplc="040A0001" w:tentative="1">
      <w:start w:val="1"/>
      <w:numFmt w:val="bullet"/>
      <w:lvlText w:val=""/>
      <w:lvlJc w:val="left"/>
      <w:pPr>
        <w:ind w:left="1452" w:hanging="360"/>
      </w:pPr>
      <w:rPr>
        <w:rFonts w:ascii="Symbol" w:hAnsi="Symbol" w:hint="default"/>
      </w:rPr>
    </w:lvl>
    <w:lvl w:ilvl="4" w:tplc="040A0003" w:tentative="1">
      <w:start w:val="1"/>
      <w:numFmt w:val="bullet"/>
      <w:lvlText w:val="o"/>
      <w:lvlJc w:val="left"/>
      <w:pPr>
        <w:ind w:left="2172" w:hanging="360"/>
      </w:pPr>
      <w:rPr>
        <w:rFonts w:ascii="Courier New" w:hAnsi="Courier New" w:cs="Courier New" w:hint="default"/>
      </w:rPr>
    </w:lvl>
    <w:lvl w:ilvl="5" w:tplc="040A0005" w:tentative="1">
      <w:start w:val="1"/>
      <w:numFmt w:val="bullet"/>
      <w:lvlText w:val=""/>
      <w:lvlJc w:val="left"/>
      <w:pPr>
        <w:ind w:left="2892" w:hanging="360"/>
      </w:pPr>
      <w:rPr>
        <w:rFonts w:ascii="Wingdings" w:hAnsi="Wingdings" w:hint="default"/>
      </w:rPr>
    </w:lvl>
    <w:lvl w:ilvl="6" w:tplc="040A0001" w:tentative="1">
      <w:start w:val="1"/>
      <w:numFmt w:val="bullet"/>
      <w:lvlText w:val=""/>
      <w:lvlJc w:val="left"/>
      <w:pPr>
        <w:ind w:left="3612" w:hanging="360"/>
      </w:pPr>
      <w:rPr>
        <w:rFonts w:ascii="Symbol" w:hAnsi="Symbol" w:hint="default"/>
      </w:rPr>
    </w:lvl>
    <w:lvl w:ilvl="7" w:tplc="040A0003" w:tentative="1">
      <w:start w:val="1"/>
      <w:numFmt w:val="bullet"/>
      <w:lvlText w:val="o"/>
      <w:lvlJc w:val="left"/>
      <w:pPr>
        <w:ind w:left="4332" w:hanging="360"/>
      </w:pPr>
      <w:rPr>
        <w:rFonts w:ascii="Courier New" w:hAnsi="Courier New" w:cs="Courier New" w:hint="default"/>
      </w:rPr>
    </w:lvl>
    <w:lvl w:ilvl="8" w:tplc="040A0005" w:tentative="1">
      <w:start w:val="1"/>
      <w:numFmt w:val="bullet"/>
      <w:lvlText w:val=""/>
      <w:lvlJc w:val="left"/>
      <w:pPr>
        <w:ind w:left="5052" w:hanging="360"/>
      </w:pPr>
      <w:rPr>
        <w:rFonts w:ascii="Wingdings" w:hAnsi="Wingdings" w:hint="default"/>
      </w:rPr>
    </w:lvl>
  </w:abstractNum>
  <w:abstractNum w:abstractNumId="10" w15:restartNumberingAfterBreak="0">
    <w:nsid w:val="41A06B96"/>
    <w:multiLevelType w:val="hybridMultilevel"/>
    <w:tmpl w:val="3304996A"/>
    <w:lvl w:ilvl="0" w:tplc="FB80F6C4">
      <w:numFmt w:val="bullet"/>
      <w:lvlText w:val=""/>
      <w:lvlJc w:val="left"/>
      <w:pPr>
        <w:ind w:left="863" w:hanging="360"/>
      </w:pPr>
      <w:rPr>
        <w:rFonts w:ascii="Wingdings" w:eastAsia="Wingdings" w:hAnsi="Wingdings" w:cs="Wingdings" w:hint="default"/>
        <w:b w:val="0"/>
        <w:bCs w:val="0"/>
        <w:i w:val="0"/>
        <w:iCs w:val="0"/>
        <w:spacing w:val="0"/>
        <w:w w:val="100"/>
        <w:sz w:val="22"/>
        <w:szCs w:val="22"/>
        <w:lang w:val="es-ES" w:eastAsia="en-US" w:bidi="ar-SA"/>
      </w:rPr>
    </w:lvl>
    <w:lvl w:ilvl="1" w:tplc="59A0ABCC">
      <w:numFmt w:val="bullet"/>
      <w:lvlText w:val="•"/>
      <w:lvlJc w:val="left"/>
      <w:pPr>
        <w:ind w:left="1652" w:hanging="360"/>
      </w:pPr>
      <w:rPr>
        <w:rFonts w:hint="default"/>
        <w:lang w:val="es-ES" w:eastAsia="en-US" w:bidi="ar-SA"/>
      </w:rPr>
    </w:lvl>
    <w:lvl w:ilvl="2" w:tplc="3E441FDE">
      <w:numFmt w:val="bullet"/>
      <w:lvlText w:val="•"/>
      <w:lvlJc w:val="left"/>
      <w:pPr>
        <w:ind w:left="2445" w:hanging="360"/>
      </w:pPr>
      <w:rPr>
        <w:rFonts w:hint="default"/>
        <w:lang w:val="es-ES" w:eastAsia="en-US" w:bidi="ar-SA"/>
      </w:rPr>
    </w:lvl>
    <w:lvl w:ilvl="3" w:tplc="E9BA2F22">
      <w:numFmt w:val="bullet"/>
      <w:lvlText w:val="•"/>
      <w:lvlJc w:val="left"/>
      <w:pPr>
        <w:ind w:left="3238" w:hanging="360"/>
      </w:pPr>
      <w:rPr>
        <w:rFonts w:hint="default"/>
        <w:lang w:val="es-ES" w:eastAsia="en-US" w:bidi="ar-SA"/>
      </w:rPr>
    </w:lvl>
    <w:lvl w:ilvl="4" w:tplc="AD6C9D9C">
      <w:numFmt w:val="bullet"/>
      <w:lvlText w:val="•"/>
      <w:lvlJc w:val="left"/>
      <w:pPr>
        <w:ind w:left="4031" w:hanging="360"/>
      </w:pPr>
      <w:rPr>
        <w:rFonts w:hint="default"/>
        <w:lang w:val="es-ES" w:eastAsia="en-US" w:bidi="ar-SA"/>
      </w:rPr>
    </w:lvl>
    <w:lvl w:ilvl="5" w:tplc="F7503B50">
      <w:numFmt w:val="bullet"/>
      <w:lvlText w:val="•"/>
      <w:lvlJc w:val="left"/>
      <w:pPr>
        <w:ind w:left="4824" w:hanging="360"/>
      </w:pPr>
      <w:rPr>
        <w:rFonts w:hint="default"/>
        <w:lang w:val="es-ES" w:eastAsia="en-US" w:bidi="ar-SA"/>
      </w:rPr>
    </w:lvl>
    <w:lvl w:ilvl="6" w:tplc="F6884CB6">
      <w:numFmt w:val="bullet"/>
      <w:lvlText w:val="•"/>
      <w:lvlJc w:val="left"/>
      <w:pPr>
        <w:ind w:left="5617" w:hanging="360"/>
      </w:pPr>
      <w:rPr>
        <w:rFonts w:hint="default"/>
        <w:lang w:val="es-ES" w:eastAsia="en-US" w:bidi="ar-SA"/>
      </w:rPr>
    </w:lvl>
    <w:lvl w:ilvl="7" w:tplc="6EBA6A3C">
      <w:numFmt w:val="bullet"/>
      <w:lvlText w:val="•"/>
      <w:lvlJc w:val="left"/>
      <w:pPr>
        <w:ind w:left="6409" w:hanging="360"/>
      </w:pPr>
      <w:rPr>
        <w:rFonts w:hint="default"/>
        <w:lang w:val="es-ES" w:eastAsia="en-US" w:bidi="ar-SA"/>
      </w:rPr>
    </w:lvl>
    <w:lvl w:ilvl="8" w:tplc="DF464534">
      <w:numFmt w:val="bullet"/>
      <w:lvlText w:val="•"/>
      <w:lvlJc w:val="left"/>
      <w:pPr>
        <w:ind w:left="7202" w:hanging="360"/>
      </w:pPr>
      <w:rPr>
        <w:rFonts w:hint="default"/>
        <w:lang w:val="es-ES" w:eastAsia="en-US" w:bidi="ar-SA"/>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873424267">
    <w:abstractNumId w:val="0"/>
  </w:num>
  <w:num w:numId="17" w16cid:durableId="1275282775">
    <w:abstractNumId w:val="9"/>
  </w:num>
  <w:num w:numId="18" w16cid:durableId="137588885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5CFE"/>
    <w:rsid w:val="000A683E"/>
    <w:rsid w:val="000B19B9"/>
    <w:rsid w:val="000B26A0"/>
    <w:rsid w:val="000B2D16"/>
    <w:rsid w:val="000D0334"/>
    <w:rsid w:val="000E4810"/>
    <w:rsid w:val="000F6486"/>
    <w:rsid w:val="00114427"/>
    <w:rsid w:val="00123B54"/>
    <w:rsid w:val="00125105"/>
    <w:rsid w:val="00127233"/>
    <w:rsid w:val="0014614D"/>
    <w:rsid w:val="00146C5B"/>
    <w:rsid w:val="001511A0"/>
    <w:rsid w:val="001648BF"/>
    <w:rsid w:val="0018166A"/>
    <w:rsid w:val="00185AAC"/>
    <w:rsid w:val="001E4177"/>
    <w:rsid w:val="001F7DC6"/>
    <w:rsid w:val="002421BB"/>
    <w:rsid w:val="0025796E"/>
    <w:rsid w:val="002600EF"/>
    <w:rsid w:val="002707A2"/>
    <w:rsid w:val="00273D4C"/>
    <w:rsid w:val="00277C9E"/>
    <w:rsid w:val="002951A0"/>
    <w:rsid w:val="002962BC"/>
    <w:rsid w:val="002A093D"/>
    <w:rsid w:val="002A0DD0"/>
    <w:rsid w:val="002A49AC"/>
    <w:rsid w:val="002A64FD"/>
    <w:rsid w:val="002C7A84"/>
    <w:rsid w:val="002D362C"/>
    <w:rsid w:val="002E4FD9"/>
    <w:rsid w:val="0031798F"/>
    <w:rsid w:val="00322A85"/>
    <w:rsid w:val="00324168"/>
    <w:rsid w:val="0032557F"/>
    <w:rsid w:val="003448F4"/>
    <w:rsid w:val="00345B99"/>
    <w:rsid w:val="00371137"/>
    <w:rsid w:val="00374F5E"/>
    <w:rsid w:val="00377E3E"/>
    <w:rsid w:val="00384686"/>
    <w:rsid w:val="0039612E"/>
    <w:rsid w:val="003A0215"/>
    <w:rsid w:val="003A779E"/>
    <w:rsid w:val="003B1296"/>
    <w:rsid w:val="003C07B0"/>
    <w:rsid w:val="003C3059"/>
    <w:rsid w:val="003D0F4D"/>
    <w:rsid w:val="003D5B0D"/>
    <w:rsid w:val="003D72F8"/>
    <w:rsid w:val="003E0499"/>
    <w:rsid w:val="003F3941"/>
    <w:rsid w:val="003F681E"/>
    <w:rsid w:val="00400C19"/>
    <w:rsid w:val="00406575"/>
    <w:rsid w:val="0040712E"/>
    <w:rsid w:val="00414C74"/>
    <w:rsid w:val="0042722E"/>
    <w:rsid w:val="0044528D"/>
    <w:rsid w:val="00480639"/>
    <w:rsid w:val="004A1847"/>
    <w:rsid w:val="004A305D"/>
    <w:rsid w:val="004E7EA1"/>
    <w:rsid w:val="004F21C4"/>
    <w:rsid w:val="004F685F"/>
    <w:rsid w:val="005566E8"/>
    <w:rsid w:val="00574867"/>
    <w:rsid w:val="00591460"/>
    <w:rsid w:val="005B3816"/>
    <w:rsid w:val="005C3777"/>
    <w:rsid w:val="005C5CDC"/>
    <w:rsid w:val="005C77A9"/>
    <w:rsid w:val="005D476C"/>
    <w:rsid w:val="00604698"/>
    <w:rsid w:val="006219F8"/>
    <w:rsid w:val="006313F6"/>
    <w:rsid w:val="0064167D"/>
    <w:rsid w:val="006509C1"/>
    <w:rsid w:val="00665D70"/>
    <w:rsid w:val="006900D9"/>
    <w:rsid w:val="006F7E5B"/>
    <w:rsid w:val="00706C16"/>
    <w:rsid w:val="007452E8"/>
    <w:rsid w:val="00756841"/>
    <w:rsid w:val="007649AB"/>
    <w:rsid w:val="00770310"/>
    <w:rsid w:val="00771D0C"/>
    <w:rsid w:val="007833AC"/>
    <w:rsid w:val="007B268C"/>
    <w:rsid w:val="007B7171"/>
    <w:rsid w:val="007C0C0F"/>
    <w:rsid w:val="007C3DC2"/>
    <w:rsid w:val="007D318B"/>
    <w:rsid w:val="007E3D92"/>
    <w:rsid w:val="007E5497"/>
    <w:rsid w:val="00806F5F"/>
    <w:rsid w:val="00820278"/>
    <w:rsid w:val="00837A94"/>
    <w:rsid w:val="008630D9"/>
    <w:rsid w:val="00867F95"/>
    <w:rsid w:val="008843B6"/>
    <w:rsid w:val="00891928"/>
    <w:rsid w:val="00894DF4"/>
    <w:rsid w:val="008A446D"/>
    <w:rsid w:val="008A4850"/>
    <w:rsid w:val="008D180B"/>
    <w:rsid w:val="008E29AE"/>
    <w:rsid w:val="008F0EA7"/>
    <w:rsid w:val="00923EEF"/>
    <w:rsid w:val="009419F9"/>
    <w:rsid w:val="0095685E"/>
    <w:rsid w:val="00961B09"/>
    <w:rsid w:val="00965334"/>
    <w:rsid w:val="0097093E"/>
    <w:rsid w:val="009756AF"/>
    <w:rsid w:val="00986AC5"/>
    <w:rsid w:val="009A0DFA"/>
    <w:rsid w:val="009A5179"/>
    <w:rsid w:val="009B2D26"/>
    <w:rsid w:val="009B3EE7"/>
    <w:rsid w:val="009C71FA"/>
    <w:rsid w:val="009C72E7"/>
    <w:rsid w:val="009D3058"/>
    <w:rsid w:val="009F3A13"/>
    <w:rsid w:val="00A122D3"/>
    <w:rsid w:val="00A17F13"/>
    <w:rsid w:val="00A20739"/>
    <w:rsid w:val="00A216B9"/>
    <w:rsid w:val="00A32106"/>
    <w:rsid w:val="00A33C78"/>
    <w:rsid w:val="00A82E8B"/>
    <w:rsid w:val="00AB0ADB"/>
    <w:rsid w:val="00AF2A63"/>
    <w:rsid w:val="00B01B1A"/>
    <w:rsid w:val="00B02370"/>
    <w:rsid w:val="00B276C8"/>
    <w:rsid w:val="00B359B7"/>
    <w:rsid w:val="00B45865"/>
    <w:rsid w:val="00B473B9"/>
    <w:rsid w:val="00B56A6C"/>
    <w:rsid w:val="00B66319"/>
    <w:rsid w:val="00B72CD3"/>
    <w:rsid w:val="00B72FFF"/>
    <w:rsid w:val="00B91D19"/>
    <w:rsid w:val="00BC3D36"/>
    <w:rsid w:val="00BC7D7E"/>
    <w:rsid w:val="00BD7F72"/>
    <w:rsid w:val="00BE399B"/>
    <w:rsid w:val="00BF13A6"/>
    <w:rsid w:val="00BF50B3"/>
    <w:rsid w:val="00BF730D"/>
    <w:rsid w:val="00C031E0"/>
    <w:rsid w:val="00C04FB3"/>
    <w:rsid w:val="00C330EB"/>
    <w:rsid w:val="00C41061"/>
    <w:rsid w:val="00C649EF"/>
    <w:rsid w:val="00C64A05"/>
    <w:rsid w:val="00C754BE"/>
    <w:rsid w:val="00C76B1C"/>
    <w:rsid w:val="00C93D76"/>
    <w:rsid w:val="00CA15A0"/>
    <w:rsid w:val="00CB6357"/>
    <w:rsid w:val="00CC1B26"/>
    <w:rsid w:val="00D1211B"/>
    <w:rsid w:val="00D22F19"/>
    <w:rsid w:val="00D423A2"/>
    <w:rsid w:val="00D520D8"/>
    <w:rsid w:val="00D63AC2"/>
    <w:rsid w:val="00D7383B"/>
    <w:rsid w:val="00DA231B"/>
    <w:rsid w:val="00DB1409"/>
    <w:rsid w:val="00DC39FC"/>
    <w:rsid w:val="00DF2912"/>
    <w:rsid w:val="00DF5254"/>
    <w:rsid w:val="00E16408"/>
    <w:rsid w:val="00E20894"/>
    <w:rsid w:val="00E245AB"/>
    <w:rsid w:val="00E2764C"/>
    <w:rsid w:val="00E27F2E"/>
    <w:rsid w:val="00E50AFE"/>
    <w:rsid w:val="00E75C92"/>
    <w:rsid w:val="00E771DC"/>
    <w:rsid w:val="00E8772A"/>
    <w:rsid w:val="00E90F6B"/>
    <w:rsid w:val="00E92C27"/>
    <w:rsid w:val="00EA0E3D"/>
    <w:rsid w:val="00EB5BCF"/>
    <w:rsid w:val="00EC38A7"/>
    <w:rsid w:val="00ED7384"/>
    <w:rsid w:val="00EE0A42"/>
    <w:rsid w:val="00EE1AA8"/>
    <w:rsid w:val="00EE317E"/>
    <w:rsid w:val="00EE4842"/>
    <w:rsid w:val="00EF4629"/>
    <w:rsid w:val="00F03AC1"/>
    <w:rsid w:val="00F31EDC"/>
    <w:rsid w:val="00F346C0"/>
    <w:rsid w:val="00F462B3"/>
    <w:rsid w:val="00F55E4C"/>
    <w:rsid w:val="00F5664F"/>
    <w:rsid w:val="00F666C4"/>
    <w:rsid w:val="00F76AFC"/>
    <w:rsid w:val="00F85425"/>
    <w:rsid w:val="00FA47C0"/>
    <w:rsid w:val="00FB5DD1"/>
    <w:rsid w:val="00FC2B5D"/>
    <w:rsid w:val="00FD50C1"/>
    <w:rsid w:val="00FE4AF4"/>
    <w:rsid w:val="00FF1449"/>
    <w:rsid w:val="165E9519"/>
    <w:rsid w:val="2AB8B192"/>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0D9"/>
  </w:style>
  <w:style w:type="paragraph" w:styleId="Ttulo2">
    <w:name w:val="heading 2"/>
    <w:basedOn w:val="Normal"/>
    <w:next w:val="Normal"/>
    <w:link w:val="Ttulo2Car"/>
    <w:uiPriority w:val="9"/>
    <w:unhideWhenUsed/>
    <w:qFormat/>
    <w:rsid w:val="00BC7D7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link w:val="Ttulo3Car"/>
    <w:uiPriority w:val="9"/>
    <w:unhideWhenUsed/>
    <w:qFormat/>
    <w:rsid w:val="00BC7D7E"/>
    <w:pPr>
      <w:widowControl w:val="0"/>
      <w:autoSpaceDE w:val="0"/>
      <w:autoSpaceDN w:val="0"/>
      <w:spacing w:before="160" w:after="0" w:line="240" w:lineRule="auto"/>
      <w:ind w:left="851" w:right="902"/>
      <w:jc w:val="both"/>
      <w:outlineLvl w:val="2"/>
    </w:pPr>
    <w:rPr>
      <w:rFonts w:ascii="Verdana" w:eastAsia="Verdana" w:hAnsi="Verdana" w:cs="Verdana"/>
      <w:b/>
      <w:bCs/>
      <w:i/>
      <w:iCs/>
      <w:u w:val="single" w:color="00000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2Car">
    <w:name w:val="Título 2 Car"/>
    <w:basedOn w:val="Fuentedeprrafopredeter"/>
    <w:link w:val="Ttulo2"/>
    <w:uiPriority w:val="9"/>
    <w:rsid w:val="00BC7D7E"/>
    <w:rPr>
      <w:rFonts w:asciiTheme="majorHAnsi" w:eastAsiaTheme="majorEastAsia" w:hAnsiTheme="majorHAnsi" w:cstheme="majorBidi"/>
      <w:color w:val="2F5496" w:themeColor="accent1" w:themeShade="BF"/>
      <w:sz w:val="26"/>
      <w:szCs w:val="26"/>
    </w:rPr>
  </w:style>
  <w:style w:type="character" w:customStyle="1" w:styleId="Ttulo3Car">
    <w:name w:val="Título 3 Car"/>
    <w:basedOn w:val="Fuentedeprrafopredeter"/>
    <w:link w:val="Ttulo3"/>
    <w:uiPriority w:val="9"/>
    <w:rsid w:val="00BC7D7E"/>
    <w:rPr>
      <w:rFonts w:ascii="Verdana" w:eastAsia="Verdana" w:hAnsi="Verdana" w:cs="Verdana"/>
      <w:b/>
      <w:bCs/>
      <w:i/>
      <w:iCs/>
      <w:u w:val="single" w:color="000000"/>
      <w:lang w:val="es-ES"/>
    </w:rPr>
  </w:style>
  <w:style w:type="paragraph" w:customStyle="1" w:styleId="Appelnotedebasde">
    <w:name w:val="Appel note de bas de..."/>
    <w:basedOn w:val="Normal"/>
    <w:link w:val="Refdenotaalpie"/>
    <w:uiPriority w:val="99"/>
    <w:rsid w:val="00BC7D7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C7D7E"/>
    <w:rPr>
      <w:rFonts w:ascii="Geomanist Light" w:hAnsi="Geomanist Light"/>
      <w:lang w:val="es-ES"/>
    </w:rPr>
  </w:style>
  <w:style w:type="paragraph" w:styleId="Textoindependiente">
    <w:name w:val="Body Text"/>
    <w:basedOn w:val="Normal"/>
    <w:link w:val="TextoindependienteCar"/>
    <w:uiPriority w:val="1"/>
    <w:unhideWhenUsed/>
    <w:qFormat/>
    <w:rsid w:val="00BC7D7E"/>
    <w:pPr>
      <w:spacing w:after="120"/>
    </w:pPr>
  </w:style>
  <w:style w:type="character" w:customStyle="1" w:styleId="TextoindependienteCar">
    <w:name w:val="Texto independiente Car"/>
    <w:basedOn w:val="Fuentedeprrafopredeter"/>
    <w:link w:val="Textoindependiente"/>
    <w:uiPriority w:val="1"/>
    <w:rsid w:val="00BC7D7E"/>
  </w:style>
  <w:style w:type="character" w:customStyle="1" w:styleId="baj">
    <w:name w:val="b_aj"/>
    <w:basedOn w:val="Fuentedeprrafopredeter"/>
    <w:rsid w:val="00BC7D7E"/>
  </w:style>
  <w:style w:type="character" w:styleId="nfasis">
    <w:name w:val="Emphasis"/>
    <w:basedOn w:val="Fuentedeprrafopredeter"/>
    <w:uiPriority w:val="20"/>
    <w:qFormat/>
    <w:rsid w:val="00BC7D7E"/>
    <w:rPr>
      <w:i/>
      <w:iCs/>
    </w:rPr>
  </w:style>
  <w:style w:type="character" w:styleId="Refdecomentario">
    <w:name w:val="annotation reference"/>
    <w:basedOn w:val="Fuentedeprrafopredeter"/>
    <w:uiPriority w:val="99"/>
    <w:semiHidden/>
    <w:unhideWhenUsed/>
    <w:rsid w:val="00A216B9"/>
    <w:rPr>
      <w:sz w:val="16"/>
      <w:szCs w:val="16"/>
    </w:rPr>
  </w:style>
  <w:style w:type="paragraph" w:styleId="Textocomentario">
    <w:name w:val="annotation text"/>
    <w:basedOn w:val="Normal"/>
    <w:link w:val="TextocomentarioCar"/>
    <w:uiPriority w:val="99"/>
    <w:unhideWhenUsed/>
    <w:rsid w:val="00A216B9"/>
    <w:pPr>
      <w:spacing w:line="240" w:lineRule="auto"/>
    </w:pPr>
    <w:rPr>
      <w:sz w:val="20"/>
      <w:szCs w:val="20"/>
    </w:rPr>
  </w:style>
  <w:style w:type="character" w:customStyle="1" w:styleId="TextocomentarioCar">
    <w:name w:val="Texto comentario Car"/>
    <w:basedOn w:val="Fuentedeprrafopredeter"/>
    <w:link w:val="Textocomentario"/>
    <w:uiPriority w:val="99"/>
    <w:rsid w:val="00A216B9"/>
    <w:rPr>
      <w:sz w:val="20"/>
      <w:szCs w:val="20"/>
    </w:rPr>
  </w:style>
  <w:style w:type="paragraph" w:styleId="Asuntodelcomentario">
    <w:name w:val="annotation subject"/>
    <w:basedOn w:val="Textocomentario"/>
    <w:next w:val="Textocomentario"/>
    <w:link w:val="AsuntodelcomentarioCar"/>
    <w:uiPriority w:val="99"/>
    <w:semiHidden/>
    <w:unhideWhenUsed/>
    <w:rsid w:val="00A216B9"/>
    <w:rPr>
      <w:b/>
      <w:bCs/>
    </w:rPr>
  </w:style>
  <w:style w:type="character" w:customStyle="1" w:styleId="AsuntodelcomentarioCar">
    <w:name w:val="Asunto del comentario Car"/>
    <w:basedOn w:val="TextocomentarioCar"/>
    <w:link w:val="Asuntodelcomentario"/>
    <w:uiPriority w:val="99"/>
    <w:semiHidden/>
    <w:rsid w:val="00A216B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uncionpublica.gov.co/eva/gestornormativo/norma.php?i=25678"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info@nasakiwe.gov.c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funcionpublica.gov.co/eva/gestornormativo/norma.php?i=25678"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uncionpublica.gov.co/eva/gestornormativo/norma.php?i=25678"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operaciones.colombiacompra.gov.co/sites/cce_public/files/cce_step/cce-sec-gi-22guiasecopii_eemcregimenespecialsinofertas20-04-202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B8F4BF9-BAFA-43D3-9B1C-EDB4BAB24A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C9A02E9-203B-4279-A415-88190CF0D151}">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20</Pages>
  <Words>6299</Words>
  <Characters>34650</Characters>
  <Application>Microsoft Office Word</Application>
  <DocSecurity>0</DocSecurity>
  <Lines>288</Lines>
  <Paragraphs>81</Paragraphs>
  <ScaleCrop>false</ScaleCrop>
  <Company/>
  <LinksUpToDate>false</LinksUpToDate>
  <CharactersWithSpaces>40868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7</cp:revision>
  <cp:lastPrinted>2023-01-10T21:18:00Z</cp:lastPrinted>
  <dcterms:created xsi:type="dcterms:W3CDTF">2025-07-11T15:41:00Z</dcterms:created>
  <dcterms:modified xsi:type="dcterms:W3CDTF">2025-10-08T21:30:00Z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