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4EC28" w14:textId="77777777" w:rsidR="008B5069" w:rsidRPr="006D4F5F" w:rsidRDefault="008B5069" w:rsidP="008B5069">
      <w:pPr>
        <w:spacing w:after="0" w:line="240" w:lineRule="auto"/>
        <w:contextualSpacing/>
        <w:jc w:val="both"/>
        <w:rPr>
          <w:rFonts w:ascii="Verdana" w:eastAsia="Calibri" w:hAnsi="Verdana" w:cs="Arial"/>
          <w:b/>
          <w:noProof/>
          <w:lang w:val="es-ES_tradnl" w:eastAsia="es-ES_tradnl"/>
        </w:rPr>
      </w:pPr>
      <w:bookmarkStart w:id="0" w:name="_Hlk181166130"/>
      <w:bookmarkStart w:id="1" w:name="_Hlk143780582"/>
      <w:r w:rsidRPr="006D4F5F">
        <w:rPr>
          <w:rFonts w:ascii="Verdana" w:eastAsia="Calibri" w:hAnsi="Verdana" w:cs="Arial"/>
          <w:b/>
          <w:noProof/>
          <w:lang w:val="es-ES_tradnl" w:eastAsia="es-ES_tradnl"/>
        </w:rPr>
        <w:t xml:space="preserve">PLANEACIÓN CONTRACTUAL – Noción </w:t>
      </w:r>
    </w:p>
    <w:p w14:paraId="1944B664" w14:textId="77777777" w:rsidR="008B5069" w:rsidRPr="006D4F5F" w:rsidRDefault="008B5069" w:rsidP="008B5069">
      <w:pPr>
        <w:spacing w:after="0" w:line="240" w:lineRule="auto"/>
        <w:contextualSpacing/>
        <w:jc w:val="both"/>
        <w:rPr>
          <w:rFonts w:ascii="Verdana" w:eastAsia="Calibri" w:hAnsi="Verdana" w:cs="Arial"/>
          <w:b/>
          <w:noProof/>
          <w:sz w:val="20"/>
          <w:szCs w:val="20"/>
          <w:lang w:val="es-ES_tradnl" w:eastAsia="es-ES_tradnl"/>
        </w:rPr>
      </w:pPr>
    </w:p>
    <w:p w14:paraId="7C15D78B" w14:textId="77777777" w:rsidR="008B5069" w:rsidRPr="006D4F5F" w:rsidRDefault="008B5069" w:rsidP="008B5069">
      <w:pPr>
        <w:spacing w:after="0" w:line="240" w:lineRule="auto"/>
        <w:contextualSpacing/>
        <w:jc w:val="both"/>
        <w:rPr>
          <w:rFonts w:ascii="Verdana" w:eastAsia="Calibri" w:hAnsi="Verdana" w:cs="Arial"/>
          <w:bCs/>
          <w:sz w:val="20"/>
          <w:szCs w:val="20"/>
          <w:lang w:val="es-ES_tradnl" w:eastAsia="es-MX"/>
        </w:rPr>
      </w:pPr>
      <w:r w:rsidRPr="006D4F5F">
        <w:rPr>
          <w:rFonts w:ascii="Verdana" w:eastAsia="Calibri" w:hAnsi="Verdana" w:cs="Arial"/>
          <w:bCs/>
          <w:sz w:val="20"/>
          <w:szCs w:val="20"/>
          <w:lang w:val="es-ES_tradnl"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6CFAD8B1" w14:textId="77777777" w:rsidR="008B5069" w:rsidRPr="006D4F5F" w:rsidRDefault="008B5069" w:rsidP="008B5069">
      <w:pPr>
        <w:spacing w:after="0" w:line="240" w:lineRule="auto"/>
        <w:contextualSpacing/>
        <w:jc w:val="both"/>
        <w:rPr>
          <w:rFonts w:ascii="Verdana" w:eastAsia="Times New Roman" w:hAnsi="Verdana" w:cs="Arial"/>
          <w:sz w:val="20"/>
          <w:szCs w:val="20"/>
          <w:lang w:val="es-ES_tradnl" w:eastAsia="es-MX"/>
        </w:rPr>
      </w:pPr>
    </w:p>
    <w:p w14:paraId="6E57FF66" w14:textId="77777777" w:rsidR="008B5069" w:rsidRPr="006D4F5F" w:rsidRDefault="008B5069" w:rsidP="008B5069">
      <w:pPr>
        <w:spacing w:after="0" w:line="240" w:lineRule="auto"/>
        <w:contextualSpacing/>
        <w:jc w:val="both"/>
        <w:rPr>
          <w:rFonts w:ascii="Verdana" w:eastAsia="Calibri" w:hAnsi="Verdana" w:cs="Arial"/>
          <w:bCs/>
          <w:sz w:val="20"/>
          <w:szCs w:val="20"/>
          <w:lang w:val="es-MX" w:eastAsia="es-ES_tradnl"/>
        </w:rPr>
      </w:pPr>
      <w:r w:rsidRPr="006D4F5F">
        <w:rPr>
          <w:rFonts w:ascii="Verdana" w:eastAsia="Calibri" w:hAnsi="Verdana" w:cs="Arial"/>
          <w:bCs/>
          <w:sz w:val="20"/>
          <w:szCs w:val="20"/>
          <w:lang w:val="es-MX" w:eastAsia="es-ES_tradnl"/>
        </w:rPr>
        <w:t>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40EDEB0F" w14:textId="77777777" w:rsidR="008B5069" w:rsidRPr="006D4F5F" w:rsidRDefault="008B5069" w:rsidP="008B5069">
      <w:pPr>
        <w:spacing w:after="0" w:line="240" w:lineRule="auto"/>
        <w:contextualSpacing/>
        <w:jc w:val="both"/>
        <w:rPr>
          <w:rFonts w:ascii="Verdana" w:eastAsia="Calibri" w:hAnsi="Verdana" w:cs="Arial"/>
          <w:b/>
          <w:noProof/>
          <w:sz w:val="20"/>
          <w:szCs w:val="20"/>
          <w:lang w:val="es-ES_tradnl" w:eastAsia="es-ES_tradnl"/>
        </w:rPr>
      </w:pPr>
    </w:p>
    <w:p w14:paraId="025F73CC" w14:textId="77777777" w:rsidR="008B5069" w:rsidRPr="006D4F5F" w:rsidRDefault="008B5069" w:rsidP="008B5069">
      <w:pPr>
        <w:spacing w:after="0" w:line="240" w:lineRule="auto"/>
        <w:contextualSpacing/>
        <w:jc w:val="both"/>
        <w:rPr>
          <w:rFonts w:ascii="Verdana" w:eastAsia="Times New Roman" w:hAnsi="Verdana" w:cs="Arial"/>
          <w:b/>
          <w:bCs/>
          <w:lang w:eastAsia="es-ES_tradnl"/>
        </w:rPr>
      </w:pPr>
      <w:r w:rsidRPr="006D4F5F">
        <w:rPr>
          <w:rFonts w:ascii="Verdana" w:eastAsia="Times New Roman" w:hAnsi="Verdana" w:cs="Arial"/>
          <w:b/>
          <w:bCs/>
          <w:lang w:eastAsia="es-ES_tradnl"/>
        </w:rPr>
        <w:t>ESTUDIOS PREVIOS – Análisis del sector – Planeación en los procesos de contratación pública</w:t>
      </w:r>
    </w:p>
    <w:p w14:paraId="22EA0851" w14:textId="77777777" w:rsidR="008B5069" w:rsidRPr="006D4F5F" w:rsidRDefault="008B5069" w:rsidP="008B5069">
      <w:pPr>
        <w:spacing w:after="0" w:line="240" w:lineRule="auto"/>
        <w:contextualSpacing/>
        <w:jc w:val="both"/>
        <w:rPr>
          <w:rFonts w:ascii="Verdana" w:eastAsia="Times New Roman" w:hAnsi="Verdana" w:cs="Arial"/>
          <w:sz w:val="20"/>
          <w:szCs w:val="20"/>
          <w:lang w:eastAsia="es-ES_tradnl"/>
        </w:rPr>
      </w:pPr>
    </w:p>
    <w:p w14:paraId="074DCF8B" w14:textId="77777777" w:rsidR="008B5069" w:rsidRPr="006D4F5F" w:rsidRDefault="008B5069" w:rsidP="008B5069">
      <w:pPr>
        <w:spacing w:after="0" w:line="240" w:lineRule="auto"/>
        <w:contextualSpacing/>
        <w:jc w:val="both"/>
        <w:rPr>
          <w:rFonts w:ascii="Verdana" w:eastAsia="Times New Roman" w:hAnsi="Verdana" w:cs="Arial"/>
          <w:sz w:val="20"/>
          <w:szCs w:val="20"/>
          <w:lang w:val="es-ES_tradnl" w:eastAsia="es-MX"/>
        </w:rPr>
      </w:pPr>
      <w:r w:rsidRPr="006D4F5F">
        <w:rPr>
          <w:rFonts w:ascii="Verdana" w:eastAsia="Calibri" w:hAnsi="Verdana" w:cs="Arial"/>
          <w:sz w:val="20"/>
          <w:szCs w:val="20"/>
          <w:lang w:eastAsia="es-ES_tradnl"/>
        </w:rPr>
        <w:t xml:space="preserve">[…] </w:t>
      </w:r>
      <w:r w:rsidRPr="006D4F5F">
        <w:rPr>
          <w:rFonts w:ascii="Verdana" w:eastAsia="Times New Roman" w:hAnsi="Verdana" w:cs="Arial"/>
          <w:sz w:val="20"/>
          <w:szCs w:val="20"/>
          <w:lang w:val="es-ES_tradnl" w:eastAsia="es-MX"/>
        </w:rPr>
        <w:t xml:space="preserve">antes de iniciar un procedimiento de selección, 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características que puedan o deban reunir los bienes, las obras o los servicios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 que se pretenda celebrar. La consideración de todos estos aspectos </w:t>
      </w:r>
      <w:r w:rsidRPr="006D4F5F">
        <w:rPr>
          <w:rFonts w:ascii="Verdana" w:eastAsia="Calibri" w:hAnsi="Verdana" w:cs="Arial"/>
          <w:bCs/>
          <w:sz w:val="20"/>
          <w:szCs w:val="20"/>
          <w:lang w:val="es-ES_tradnl" w:eastAsia="es-MX"/>
        </w:rPr>
        <w:t xml:space="preserve">permite que los contratos resultantes de la planeación cuenten con el sustento técnico, económico y jurídico que incidirá </w:t>
      </w:r>
      <w:r w:rsidRPr="006D4F5F">
        <w:rPr>
          <w:rFonts w:ascii="Verdana" w:eastAsia="Times New Roman" w:hAnsi="Verdana" w:cs="Arial"/>
          <w:sz w:val="20"/>
          <w:szCs w:val="20"/>
          <w:lang w:val="es-ES_tradnl" w:eastAsia="es-MX"/>
        </w:rPr>
        <w:t>en una adecuada ejecución.</w:t>
      </w:r>
    </w:p>
    <w:p w14:paraId="4F1FAFE2" w14:textId="77777777" w:rsidR="008B5069" w:rsidRPr="006D4F5F" w:rsidRDefault="008B5069" w:rsidP="008B5069">
      <w:pPr>
        <w:spacing w:after="0" w:line="240" w:lineRule="auto"/>
        <w:contextualSpacing/>
        <w:jc w:val="both"/>
        <w:rPr>
          <w:rFonts w:ascii="Verdana" w:eastAsia="Calibri" w:hAnsi="Verdana" w:cs="Arial"/>
          <w:b/>
          <w:noProof/>
          <w:sz w:val="20"/>
          <w:szCs w:val="20"/>
          <w:lang w:val="es-ES_tradnl" w:eastAsia="es-ES_tradnl"/>
        </w:rPr>
      </w:pPr>
    </w:p>
    <w:p w14:paraId="0DAB4746" w14:textId="77777777" w:rsidR="008B5069" w:rsidRPr="006D4F5F" w:rsidRDefault="008B5069" w:rsidP="008B5069">
      <w:pPr>
        <w:spacing w:after="0" w:line="240" w:lineRule="auto"/>
        <w:contextualSpacing/>
        <w:rPr>
          <w:rFonts w:ascii="Verdana" w:eastAsia="Times New Roman" w:hAnsi="Verdana" w:cs="Arial"/>
          <w:b/>
          <w:bCs/>
          <w:lang w:eastAsia="es-ES_tradnl"/>
        </w:rPr>
      </w:pPr>
      <w:r w:rsidRPr="006D4F5F">
        <w:rPr>
          <w:rFonts w:ascii="Verdana" w:eastAsia="Times New Roman" w:hAnsi="Verdana" w:cs="Arial"/>
          <w:b/>
          <w:bCs/>
          <w:lang w:eastAsia="es-ES_tradnl"/>
        </w:rPr>
        <w:t>ESTUDIOS PREVIOS – Estudio del mercado</w:t>
      </w:r>
    </w:p>
    <w:p w14:paraId="7ED9F78E" w14:textId="77777777" w:rsidR="008B5069" w:rsidRPr="006D4F5F" w:rsidRDefault="008B5069" w:rsidP="008B5069">
      <w:pPr>
        <w:spacing w:after="0" w:line="240" w:lineRule="auto"/>
        <w:contextualSpacing/>
        <w:jc w:val="both"/>
        <w:rPr>
          <w:rFonts w:ascii="Verdana" w:eastAsia="Calibri" w:hAnsi="Verdana" w:cs="Arial"/>
          <w:sz w:val="20"/>
          <w:szCs w:val="20"/>
          <w:lang w:val="es-ES" w:eastAsia="es-ES_tradnl"/>
        </w:rPr>
      </w:pPr>
    </w:p>
    <w:p w14:paraId="0AFB0C75" w14:textId="71B5FB86" w:rsidR="008B5069" w:rsidRPr="006D4F5F" w:rsidRDefault="008B5069" w:rsidP="008B5069">
      <w:pPr>
        <w:spacing w:after="0" w:line="240" w:lineRule="auto"/>
        <w:contextualSpacing/>
        <w:jc w:val="both"/>
        <w:rPr>
          <w:rFonts w:ascii="Verdana" w:eastAsia="Calibri" w:hAnsi="Verdana" w:cs="Arial"/>
          <w:sz w:val="20"/>
          <w:szCs w:val="20"/>
          <w:lang w:val="es-ES" w:eastAsia="es-ES_tradnl"/>
        </w:rPr>
      </w:pPr>
      <w:r w:rsidRPr="006D4F5F">
        <w:rPr>
          <w:rFonts w:ascii="Verdana" w:eastAsia="Calibri" w:hAnsi="Verdana" w:cs="Arial"/>
          <w:sz w:val="20"/>
          <w:szCs w:val="20"/>
          <w:lang w:val="es-ES" w:eastAsia="es-ES_tradnl"/>
        </w:rPr>
        <w:t xml:space="preserve">Por último, el </w:t>
      </w:r>
      <w:r w:rsidRPr="006D4F5F">
        <w:rPr>
          <w:rFonts w:ascii="Verdana" w:eastAsia="Calibri" w:hAnsi="Verdana" w:cs="Arial"/>
          <w:i/>
          <w:iCs/>
          <w:sz w:val="20"/>
          <w:szCs w:val="20"/>
          <w:lang w:val="es-ES" w:eastAsia="es-ES_tradnl"/>
        </w:rPr>
        <w:t>estudio del mercado</w:t>
      </w:r>
      <w:r w:rsidRPr="006D4F5F">
        <w:rPr>
          <w:rFonts w:ascii="Verdana" w:eastAsia="Calibri" w:hAnsi="Verdana" w:cs="Arial"/>
          <w:sz w:val="20"/>
          <w:szCs w:val="20"/>
          <w:lang w:val="es-ES" w:eastAsia="es-ES_tradnl"/>
        </w:rPr>
        <w:t xml:space="preserve">, 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Este estudio de mercado debe responder claramente cuáles son las dinámicas </w:t>
      </w:r>
      <w:r w:rsidRPr="006D4F5F">
        <w:rPr>
          <w:rFonts w:ascii="Verdana" w:eastAsia="Calibri" w:hAnsi="Verdana" w:cs="Arial"/>
          <w:sz w:val="20"/>
          <w:szCs w:val="20"/>
          <w:lang w:val="es-ES" w:eastAsia="es-ES_tradnl"/>
        </w:rPr>
        <w:lastRenderedPageBreak/>
        <w:t xml:space="preserve">de precio y, de esta manera, establecer el presupuesto oficial del proceso de contratación. </w:t>
      </w:r>
    </w:p>
    <w:p w14:paraId="5C19A05F" w14:textId="77777777" w:rsidR="008B5069" w:rsidRPr="006D4F5F" w:rsidRDefault="008B5069" w:rsidP="008B5069">
      <w:pPr>
        <w:spacing w:after="0" w:line="240" w:lineRule="auto"/>
        <w:contextualSpacing/>
        <w:jc w:val="both"/>
        <w:rPr>
          <w:rFonts w:ascii="Verdana" w:eastAsia="Calibri" w:hAnsi="Verdana" w:cs="Arial"/>
          <w:sz w:val="20"/>
          <w:szCs w:val="20"/>
          <w:lang w:val="es-ES" w:eastAsia="es-ES_tradnl"/>
        </w:rPr>
      </w:pPr>
    </w:p>
    <w:p w14:paraId="7C31C973" w14:textId="0CB6EF4F" w:rsidR="008B5069" w:rsidRPr="008B5069" w:rsidRDefault="008B5069" w:rsidP="008B5069">
      <w:pPr>
        <w:spacing w:line="276" w:lineRule="auto"/>
        <w:jc w:val="both"/>
        <w:rPr>
          <w:rFonts w:ascii="Verdana" w:eastAsia="Calibri" w:hAnsi="Verdana" w:cs="Arial"/>
          <w:b/>
        </w:rPr>
      </w:pPr>
      <w:r w:rsidRPr="008B5069">
        <w:rPr>
          <w:rFonts w:ascii="Verdana" w:eastAsia="Calibri" w:hAnsi="Verdana" w:cs="Arial"/>
          <w:b/>
        </w:rPr>
        <w:t xml:space="preserve">PRECIO – Concepto – Estructuración </w:t>
      </w:r>
    </w:p>
    <w:p w14:paraId="2A8BD00A" w14:textId="77777777" w:rsidR="008B5069" w:rsidRDefault="008B5069" w:rsidP="003F482F">
      <w:pPr>
        <w:spacing w:after="0" w:line="240" w:lineRule="auto"/>
        <w:jc w:val="both"/>
        <w:rPr>
          <w:rFonts w:ascii="Verdana" w:eastAsia="Calibri" w:hAnsi="Verdana" w:cs="Arial"/>
          <w:bCs/>
          <w:sz w:val="20"/>
          <w:szCs w:val="20"/>
        </w:rPr>
      </w:pPr>
      <w:r w:rsidRPr="008B5069">
        <w:rPr>
          <w:rFonts w:ascii="Verdana" w:eastAsia="Calibri" w:hAnsi="Verdana" w:cs="Arial"/>
          <w:bCs/>
          <w:sz w:val="20"/>
          <w:szCs w:val="20"/>
        </w:rPr>
        <w:t>Como es sabido, uno de los elementos de los contratos estatales es el precio,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pactado por escrito entre la entidad estatal y el contratista. El precio es un importante elemento para el contratista, porque equivale a la remuneración que la entidad contratante le pagará como retribución por la ejecución de las obligaciones de dar, hacer o no hacer previstas a su cargo en el contrato. El precio, entonces, es el valor que se da por el objeto, generalmente en dinero, que debe ser determinado o determinable, en los términos de los artículos 1864 y 1865 del Código Civil y, de manera general está compuesto por dos elementos esenciales: los costos y la utilidad, cuya estructuración interna depende de las condiciones técnicas, financieras, regulatorias, etc. de cada contrato.</w:t>
      </w:r>
    </w:p>
    <w:p w14:paraId="53BB2287" w14:textId="77777777" w:rsidR="003F482F" w:rsidRPr="008B5069" w:rsidRDefault="003F482F" w:rsidP="003F482F">
      <w:pPr>
        <w:spacing w:after="0" w:line="240" w:lineRule="auto"/>
        <w:jc w:val="both"/>
        <w:rPr>
          <w:rFonts w:ascii="Verdana" w:eastAsia="Calibri" w:hAnsi="Verdana" w:cs="Arial"/>
          <w:bCs/>
          <w:sz w:val="20"/>
          <w:szCs w:val="20"/>
        </w:rPr>
      </w:pPr>
    </w:p>
    <w:p w14:paraId="5EFBCE7C" w14:textId="77777777" w:rsidR="008B5069" w:rsidRDefault="008B5069" w:rsidP="003F482F">
      <w:pPr>
        <w:spacing w:after="0" w:line="240" w:lineRule="auto"/>
        <w:jc w:val="both"/>
        <w:rPr>
          <w:rFonts w:ascii="Verdana" w:eastAsia="Calibri" w:hAnsi="Verdana" w:cs="Arial"/>
          <w:bCs/>
          <w:sz w:val="20"/>
          <w:szCs w:val="20"/>
        </w:rPr>
      </w:pPr>
      <w:r w:rsidRPr="008B5069">
        <w:rPr>
          <w:rFonts w:ascii="Verdana" w:eastAsia="Calibri" w:hAnsi="Verdana" w:cs="Arial"/>
          <w:bCs/>
          <w:sz w:val="20"/>
          <w:szCs w:val="20"/>
        </w:rPr>
        <w:t xml:space="preserve">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w:t>
      </w:r>
    </w:p>
    <w:p w14:paraId="26184469" w14:textId="77777777" w:rsidR="003F482F" w:rsidRPr="008B5069" w:rsidRDefault="003F482F" w:rsidP="003F482F">
      <w:pPr>
        <w:spacing w:after="0" w:line="240" w:lineRule="auto"/>
        <w:jc w:val="both"/>
        <w:rPr>
          <w:rFonts w:ascii="Verdana" w:eastAsia="Calibri" w:hAnsi="Verdana" w:cs="Arial"/>
          <w:bCs/>
          <w:sz w:val="20"/>
          <w:szCs w:val="20"/>
        </w:rPr>
      </w:pPr>
    </w:p>
    <w:p w14:paraId="4D8A60B2" w14:textId="667DBD29" w:rsidR="008B5069" w:rsidRPr="008B5069" w:rsidRDefault="008B5069" w:rsidP="008B5069">
      <w:pPr>
        <w:spacing w:line="276" w:lineRule="auto"/>
        <w:jc w:val="both"/>
        <w:rPr>
          <w:rFonts w:ascii="Verdana" w:eastAsia="Calibri" w:hAnsi="Verdana" w:cs="Arial"/>
          <w:b/>
          <w:sz w:val="21"/>
          <w:szCs w:val="21"/>
        </w:rPr>
      </w:pPr>
      <w:r w:rsidRPr="008B5069">
        <w:rPr>
          <w:rFonts w:ascii="Verdana" w:eastAsia="Calibri" w:hAnsi="Verdana" w:cs="Arial"/>
          <w:b/>
          <w:sz w:val="21"/>
          <w:szCs w:val="21"/>
        </w:rPr>
        <w:t>VALOR ESTIMADO DEL CONTRATO - Numeral 4 artículo 2.2.1.1.2.1.1. del Decreto 1082 de 2015</w:t>
      </w:r>
    </w:p>
    <w:p w14:paraId="01BFAAB6" w14:textId="77777777" w:rsidR="008B5069" w:rsidRDefault="008B5069" w:rsidP="003F482F">
      <w:pPr>
        <w:spacing w:after="0" w:line="240" w:lineRule="auto"/>
        <w:jc w:val="both"/>
        <w:rPr>
          <w:rFonts w:ascii="Verdana" w:eastAsia="Calibri" w:hAnsi="Verdana" w:cs="Arial"/>
          <w:bCs/>
          <w:sz w:val="20"/>
          <w:szCs w:val="20"/>
        </w:rPr>
      </w:pPr>
      <w:r w:rsidRPr="008B5069">
        <w:rPr>
          <w:rFonts w:ascii="Verdana" w:eastAsia="Calibri" w:hAnsi="Verdana" w:cs="Arial"/>
          <w:bCs/>
          <w:sz w:val="20"/>
          <w:szCs w:val="20"/>
        </w:rPr>
        <w:t>Las entidades estatales, durante la etapa de planeación de los procedimientos de contratación, deben elaborar los estudios y documentos previos que sirven de base para la estructuración del proyecto de pliegos, los pliegos de condiciones definitivos y el contrato. Los estudios y documentos previos deben incluir el contenido mínimo establecido en el artículo 2.2.1.1.2.1.1. del Decreto 1082 de 2015, que comprende la información relacionada con la necesidad de la entidad, el objeto, sus especificaciones, permisos, licencias, modalidad de selección, valor, criterios de selección, análisis de riesgo y forma de mitigarlo, garantías, entre otros.</w:t>
      </w:r>
    </w:p>
    <w:p w14:paraId="463C6832" w14:textId="77777777" w:rsidR="00353844" w:rsidRPr="008B5069" w:rsidRDefault="00353844" w:rsidP="003F482F">
      <w:pPr>
        <w:spacing w:after="0" w:line="240" w:lineRule="auto"/>
        <w:jc w:val="both"/>
        <w:rPr>
          <w:rFonts w:ascii="Verdana" w:eastAsia="Calibri" w:hAnsi="Verdana" w:cs="Arial"/>
          <w:bCs/>
          <w:sz w:val="20"/>
          <w:szCs w:val="20"/>
        </w:rPr>
      </w:pPr>
    </w:p>
    <w:p w14:paraId="1C9AD389" w14:textId="4DB38CA7" w:rsidR="008B5069" w:rsidRPr="008B5069" w:rsidRDefault="008B5069" w:rsidP="003F482F">
      <w:pPr>
        <w:spacing w:after="0" w:line="240" w:lineRule="auto"/>
        <w:jc w:val="both"/>
        <w:rPr>
          <w:rFonts w:ascii="Verdana" w:eastAsia="Calibri" w:hAnsi="Verdana" w:cs="Arial"/>
          <w:bCs/>
          <w:sz w:val="20"/>
          <w:szCs w:val="20"/>
        </w:rPr>
      </w:pPr>
      <w:r w:rsidRPr="008B5069">
        <w:rPr>
          <w:rFonts w:ascii="Verdana" w:eastAsia="Calibri" w:hAnsi="Verdana" w:cs="Arial"/>
          <w:bCs/>
          <w:sz w:val="20"/>
          <w:szCs w:val="20"/>
        </w:rPr>
        <w:t xml:space="preserve">Respecto al valor del contrato, señala el artículo citado, en el numeral 4, que la entidad debe incluir en los estudios y documentos previos “el valor estimado del contrato y la </w:t>
      </w:r>
      <w:r w:rsidRPr="008B5069">
        <w:rPr>
          <w:rFonts w:ascii="Verdana" w:eastAsia="Calibri" w:hAnsi="Verdana" w:cs="Arial"/>
          <w:bCs/>
          <w:sz w:val="20"/>
          <w:szCs w:val="20"/>
        </w:rPr>
        <w:lastRenderedPageBreak/>
        <w:t xml:space="preserve">justificación del mismo. Cuando el valor del contrato esté determinado por precios unitarios, la Entidad Estatal debe incluir la forma como los calculó y soportar sus cálculos de presupuesto en la estimación de aquellos”. Es decir, al estructurar el procedimiento de contratación se debe justificar la manera como definió el valor o presupuesto oficial, para lo cual debe señalar, por ejemplo, si el valor del proceso de contratación se obtuvo del análisis de precios históricos del bien o servicio a adquirir, cotizaciones, actualización de valores de contratos anteriores, estudio de mercado, precios unitarios o cualquier otro mecanismo. Así mismo, tratándose de precios unitarios, la entidad debe señalar la forma como los calculó y el soporte de la estimación de </w:t>
      </w:r>
      <w:r w:rsidR="00353844" w:rsidRPr="008B5069">
        <w:rPr>
          <w:rFonts w:ascii="Verdana" w:eastAsia="Calibri" w:hAnsi="Verdana" w:cs="Arial"/>
          <w:bCs/>
          <w:sz w:val="20"/>
          <w:szCs w:val="20"/>
        </w:rPr>
        <w:t>estos</w:t>
      </w:r>
      <w:r w:rsidRPr="008B5069">
        <w:rPr>
          <w:rFonts w:ascii="Verdana" w:eastAsia="Calibri" w:hAnsi="Verdana" w:cs="Arial"/>
          <w:bCs/>
          <w:sz w:val="20"/>
          <w:szCs w:val="20"/>
        </w:rPr>
        <w:t>, en este caso la entidad debe publicar, si esta fue la metodología utilizada, los análisis de precios unitarios o las cotizaciones, de manera que los interesados en el procedimiento de contratación puedan conocer y entender cómo se obtuvo el presupuesto oficial. Ello permitirá que los eventuales proponentes puedan realizar las estimaciones correspondientes, bien sea para presentar observaciones al procedimiento de contratación, por considerar que el presupuesto no es suficiente para cubrir el costo de los bienes o servicios a adquirir, o para decidir si se presenta oferta al procedimiento de selección.</w:t>
      </w:r>
    </w:p>
    <w:p w14:paraId="02976C7D" w14:textId="77777777" w:rsidR="003A4FCF" w:rsidRPr="008B5069" w:rsidRDefault="003A4FCF" w:rsidP="003F482F">
      <w:pPr>
        <w:spacing w:after="0" w:line="240" w:lineRule="auto"/>
        <w:jc w:val="both"/>
        <w:rPr>
          <w:rFonts w:ascii="Verdana" w:eastAsia="Aptos" w:hAnsi="Verdana" w:cs="Times New Roman"/>
          <w:sz w:val="20"/>
          <w:szCs w:val="20"/>
        </w:rPr>
      </w:pPr>
    </w:p>
    <w:p w14:paraId="0823116B" w14:textId="77777777" w:rsidR="003A4FCF" w:rsidRPr="008B5069" w:rsidRDefault="003A4FCF" w:rsidP="003F482F">
      <w:pPr>
        <w:spacing w:after="0" w:line="240" w:lineRule="auto"/>
        <w:jc w:val="both"/>
        <w:rPr>
          <w:rFonts w:ascii="Verdana" w:eastAsia="Aptos" w:hAnsi="Verdana" w:cs="Times New Roman"/>
          <w:sz w:val="20"/>
          <w:szCs w:val="20"/>
        </w:rPr>
      </w:pPr>
    </w:p>
    <w:p w14:paraId="2E8A50E4" w14:textId="77777777" w:rsidR="003A4FCF" w:rsidRDefault="003A4FCF" w:rsidP="00DB44AA">
      <w:pPr>
        <w:spacing w:line="276" w:lineRule="auto"/>
        <w:jc w:val="both"/>
        <w:rPr>
          <w:rFonts w:ascii="Verdana" w:eastAsia="Aptos" w:hAnsi="Verdana" w:cs="Times New Roman"/>
          <w:sz w:val="20"/>
          <w:szCs w:val="20"/>
        </w:rPr>
      </w:pPr>
    </w:p>
    <w:p w14:paraId="4D987480" w14:textId="77777777" w:rsidR="003A4FCF" w:rsidRDefault="003A4FCF" w:rsidP="00DB44AA">
      <w:pPr>
        <w:spacing w:line="276" w:lineRule="auto"/>
        <w:jc w:val="both"/>
        <w:rPr>
          <w:rFonts w:ascii="Verdana" w:eastAsia="Aptos" w:hAnsi="Verdana" w:cs="Times New Roman"/>
          <w:sz w:val="20"/>
          <w:szCs w:val="20"/>
        </w:rPr>
      </w:pPr>
    </w:p>
    <w:p w14:paraId="19277F78" w14:textId="77777777" w:rsidR="003F482F" w:rsidRDefault="003F482F" w:rsidP="00DB44AA">
      <w:pPr>
        <w:spacing w:line="276" w:lineRule="auto"/>
        <w:jc w:val="both"/>
        <w:rPr>
          <w:rFonts w:ascii="Verdana" w:eastAsia="Aptos" w:hAnsi="Verdana" w:cs="Times New Roman"/>
          <w:sz w:val="20"/>
          <w:szCs w:val="20"/>
        </w:rPr>
      </w:pPr>
    </w:p>
    <w:p w14:paraId="2D62094C" w14:textId="77777777" w:rsidR="003F482F" w:rsidRDefault="003F482F" w:rsidP="00DB44AA">
      <w:pPr>
        <w:spacing w:line="276" w:lineRule="auto"/>
        <w:jc w:val="both"/>
        <w:rPr>
          <w:rFonts w:ascii="Verdana" w:eastAsia="Aptos" w:hAnsi="Verdana" w:cs="Times New Roman"/>
          <w:sz w:val="20"/>
          <w:szCs w:val="20"/>
        </w:rPr>
      </w:pPr>
    </w:p>
    <w:p w14:paraId="450E4DA8" w14:textId="77777777" w:rsidR="003F482F" w:rsidRDefault="003F482F" w:rsidP="00DB44AA">
      <w:pPr>
        <w:spacing w:line="276" w:lineRule="auto"/>
        <w:jc w:val="both"/>
        <w:rPr>
          <w:rFonts w:ascii="Verdana" w:eastAsia="Aptos" w:hAnsi="Verdana" w:cs="Times New Roman"/>
          <w:sz w:val="20"/>
          <w:szCs w:val="20"/>
        </w:rPr>
      </w:pPr>
    </w:p>
    <w:p w14:paraId="57CA961D" w14:textId="77777777" w:rsidR="003F482F" w:rsidRDefault="003F482F" w:rsidP="00DB44AA">
      <w:pPr>
        <w:spacing w:line="276" w:lineRule="auto"/>
        <w:jc w:val="both"/>
        <w:rPr>
          <w:rFonts w:ascii="Verdana" w:eastAsia="Aptos" w:hAnsi="Verdana" w:cs="Times New Roman"/>
          <w:sz w:val="20"/>
          <w:szCs w:val="20"/>
        </w:rPr>
      </w:pPr>
    </w:p>
    <w:p w14:paraId="66CDA1F5" w14:textId="77777777" w:rsidR="003F482F" w:rsidRDefault="003F482F" w:rsidP="00DB44AA">
      <w:pPr>
        <w:spacing w:line="276" w:lineRule="auto"/>
        <w:jc w:val="both"/>
        <w:rPr>
          <w:rFonts w:ascii="Verdana" w:eastAsia="Aptos" w:hAnsi="Verdana" w:cs="Times New Roman"/>
          <w:sz w:val="20"/>
          <w:szCs w:val="20"/>
        </w:rPr>
      </w:pPr>
    </w:p>
    <w:p w14:paraId="3CC55CF8" w14:textId="77777777" w:rsidR="003A4FCF" w:rsidRDefault="003A4FCF" w:rsidP="00DB44AA">
      <w:pPr>
        <w:spacing w:line="276" w:lineRule="auto"/>
        <w:jc w:val="both"/>
        <w:rPr>
          <w:rFonts w:ascii="Verdana" w:eastAsia="Aptos" w:hAnsi="Verdana" w:cs="Times New Roman"/>
          <w:sz w:val="20"/>
          <w:szCs w:val="20"/>
        </w:rPr>
      </w:pPr>
    </w:p>
    <w:p w14:paraId="1E8B3577" w14:textId="77777777" w:rsidR="00353844" w:rsidRDefault="00353844" w:rsidP="00DB44AA">
      <w:pPr>
        <w:spacing w:line="276" w:lineRule="auto"/>
        <w:jc w:val="both"/>
        <w:rPr>
          <w:rFonts w:ascii="Verdana" w:eastAsia="Aptos" w:hAnsi="Verdana" w:cs="Times New Roman"/>
          <w:sz w:val="20"/>
          <w:szCs w:val="20"/>
        </w:rPr>
      </w:pPr>
    </w:p>
    <w:p w14:paraId="4D0D51B2" w14:textId="77777777" w:rsidR="00353844" w:rsidRDefault="00353844" w:rsidP="00DB44AA">
      <w:pPr>
        <w:spacing w:line="276" w:lineRule="auto"/>
        <w:jc w:val="both"/>
        <w:rPr>
          <w:rFonts w:ascii="Verdana" w:eastAsia="Aptos" w:hAnsi="Verdana" w:cs="Times New Roman"/>
          <w:sz w:val="20"/>
          <w:szCs w:val="20"/>
        </w:rPr>
      </w:pPr>
    </w:p>
    <w:p w14:paraId="1C648DB9" w14:textId="77777777" w:rsidR="00353844" w:rsidRDefault="00353844" w:rsidP="00DB44AA">
      <w:pPr>
        <w:spacing w:line="276" w:lineRule="auto"/>
        <w:jc w:val="both"/>
        <w:rPr>
          <w:rFonts w:ascii="Verdana" w:eastAsia="Aptos" w:hAnsi="Verdana" w:cs="Times New Roman"/>
          <w:sz w:val="20"/>
          <w:szCs w:val="20"/>
        </w:rPr>
      </w:pPr>
    </w:p>
    <w:p w14:paraId="3625D700" w14:textId="77777777" w:rsidR="00353844" w:rsidRDefault="00353844" w:rsidP="00DB44AA">
      <w:pPr>
        <w:spacing w:line="276" w:lineRule="auto"/>
        <w:jc w:val="both"/>
        <w:rPr>
          <w:rFonts w:ascii="Verdana" w:eastAsia="Aptos" w:hAnsi="Verdana" w:cs="Times New Roman"/>
          <w:sz w:val="20"/>
          <w:szCs w:val="20"/>
        </w:rPr>
      </w:pPr>
    </w:p>
    <w:p w14:paraId="33C96A6A" w14:textId="77777777" w:rsidR="00353844" w:rsidRDefault="00353844" w:rsidP="00DB44AA">
      <w:pPr>
        <w:spacing w:line="276" w:lineRule="auto"/>
        <w:jc w:val="both"/>
        <w:rPr>
          <w:rFonts w:ascii="Verdana" w:eastAsia="Aptos" w:hAnsi="Verdana" w:cs="Times New Roman"/>
          <w:sz w:val="20"/>
          <w:szCs w:val="20"/>
        </w:rPr>
      </w:pPr>
    </w:p>
    <w:p w14:paraId="2BF82113" w14:textId="77777777" w:rsidR="00353844" w:rsidRDefault="00353844" w:rsidP="00DB44AA">
      <w:pPr>
        <w:spacing w:line="276" w:lineRule="auto"/>
        <w:jc w:val="both"/>
        <w:rPr>
          <w:rFonts w:ascii="Verdana" w:eastAsia="Aptos" w:hAnsi="Verdana" w:cs="Times New Roman"/>
          <w:sz w:val="20"/>
          <w:szCs w:val="20"/>
        </w:rPr>
      </w:pPr>
    </w:p>
    <w:p w14:paraId="15224F9E" w14:textId="77777777" w:rsidR="00353844" w:rsidRDefault="00353844" w:rsidP="00DB44AA">
      <w:pPr>
        <w:spacing w:line="276" w:lineRule="auto"/>
        <w:jc w:val="both"/>
        <w:rPr>
          <w:rFonts w:ascii="Verdana" w:eastAsia="Aptos" w:hAnsi="Verdana" w:cs="Times New Roman"/>
          <w:sz w:val="20"/>
          <w:szCs w:val="20"/>
        </w:rPr>
      </w:pPr>
    </w:p>
    <w:p w14:paraId="3D832C0B" w14:textId="77777777" w:rsidR="00353844" w:rsidRDefault="00353844" w:rsidP="00DB44AA">
      <w:pPr>
        <w:spacing w:line="276" w:lineRule="auto"/>
        <w:jc w:val="both"/>
        <w:rPr>
          <w:rFonts w:ascii="Verdana" w:eastAsia="Aptos" w:hAnsi="Verdana" w:cs="Times New Roman"/>
          <w:sz w:val="20"/>
          <w:szCs w:val="20"/>
        </w:rPr>
      </w:pPr>
    </w:p>
    <w:p w14:paraId="61068EFA" w14:textId="2F1AADA0" w:rsidR="0087031A" w:rsidRDefault="009E660D" w:rsidP="0087031A">
      <w:pPr>
        <w:spacing w:after="0"/>
        <w:rPr>
          <w:rFonts w:ascii="Verdana" w:hAnsi="Verdana"/>
        </w:rPr>
      </w:pPr>
      <w:r>
        <w:rPr>
          <w:rFonts w:ascii="Verdana" w:eastAsia="Calibri" w:hAnsi="Verdana" w:cs="Arial"/>
          <w:noProof/>
          <w:color w:val="000000"/>
          <w:lang w:val="es-ES_tradnl" w:eastAsia="es-ES_tradnl"/>
        </w:rPr>
        <w:lastRenderedPageBreak/>
        <w:drawing>
          <wp:anchor distT="0" distB="0" distL="114300" distR="114300" simplePos="0" relativeHeight="251658240" behindDoc="0" locked="0" layoutInCell="1" allowOverlap="1" wp14:anchorId="1E09252C" wp14:editId="66D3810B">
            <wp:simplePos x="0" y="0"/>
            <wp:positionH relativeFrom="column">
              <wp:posOffset>2750380</wp:posOffset>
            </wp:positionH>
            <wp:positionV relativeFrom="paragraph">
              <wp:posOffset>-77470</wp:posOffset>
            </wp:positionV>
            <wp:extent cx="2940050" cy="914856"/>
            <wp:effectExtent l="0" t="0" r="0" b="0"/>
            <wp:wrapNone/>
            <wp:docPr id="8815736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40050" cy="914856"/>
                    </a:xfrm>
                    <a:prstGeom prst="rect">
                      <a:avLst/>
                    </a:prstGeom>
                    <a:noFill/>
                    <a:ln>
                      <a:noFill/>
                    </a:ln>
                  </pic:spPr>
                </pic:pic>
              </a:graphicData>
            </a:graphic>
            <wp14:sizeRelH relativeFrom="page">
              <wp14:pctWidth>0</wp14:pctWidth>
            </wp14:sizeRelH>
            <wp14:sizeRelV relativeFrom="page">
              <wp14:pctHeight>0</wp14:pctHeight>
            </wp14:sizeRelV>
          </wp:anchor>
        </w:drawing>
      </w:r>
      <w:r w:rsidR="0087031A">
        <w:rPr>
          <w:rFonts w:ascii="Verdana" w:hAnsi="Verdana"/>
        </w:rPr>
        <w:t>B</w:t>
      </w:r>
      <w:r w:rsidR="0087031A" w:rsidRPr="0044528D">
        <w:rPr>
          <w:rFonts w:ascii="Verdana" w:hAnsi="Verdana"/>
        </w:rPr>
        <w:t xml:space="preserve">ogotá D.C., </w:t>
      </w:r>
      <w:r w:rsidR="007B313A">
        <w:rPr>
          <w:rFonts w:ascii="Verdana" w:hAnsi="Verdana"/>
        </w:rPr>
        <w:t xml:space="preserve">25 </w:t>
      </w:r>
      <w:r>
        <w:rPr>
          <w:rFonts w:ascii="Verdana" w:hAnsi="Verdana"/>
        </w:rPr>
        <w:t>J</w:t>
      </w:r>
      <w:r w:rsidR="007B313A">
        <w:rPr>
          <w:rFonts w:ascii="Verdana" w:hAnsi="Verdana"/>
        </w:rPr>
        <w:t>ulio 2025</w:t>
      </w:r>
    </w:p>
    <w:p w14:paraId="53A7EAEE" w14:textId="0EF5E220" w:rsidR="0087031A" w:rsidRDefault="0087031A" w:rsidP="0087031A">
      <w:pPr>
        <w:spacing w:after="0"/>
        <w:rPr>
          <w:rFonts w:ascii="Verdana" w:hAnsi="Verdana"/>
        </w:rPr>
      </w:pPr>
      <w:bookmarkStart w:id="2" w:name="_Hlk180638295"/>
      <w:bookmarkEnd w:id="0"/>
    </w:p>
    <w:p w14:paraId="6CB80055" w14:textId="55E9EB00" w:rsidR="0087031A" w:rsidRDefault="0087031A" w:rsidP="0087031A">
      <w:pPr>
        <w:spacing w:after="0"/>
        <w:rPr>
          <w:rFonts w:ascii="Verdana" w:hAnsi="Verdana"/>
        </w:rPr>
      </w:pPr>
    </w:p>
    <w:p w14:paraId="69F1A09B" w14:textId="3D01FBAD" w:rsidR="0087031A" w:rsidRDefault="0087031A" w:rsidP="0087031A">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Pr="005E62E2">
        <w:rPr>
          <w:rFonts w:ascii="Verdana" w:eastAsia="Calibri" w:hAnsi="Verdana" w:cs="Arial"/>
          <w:lang w:eastAsia="es-ES"/>
        </w:rPr>
        <w:tab/>
      </w:r>
    </w:p>
    <w:p w14:paraId="59E12A45" w14:textId="6C21954F" w:rsidR="00811A9B" w:rsidRDefault="0053038A" w:rsidP="0087031A">
      <w:pPr>
        <w:spacing w:after="0" w:line="240" w:lineRule="auto"/>
        <w:rPr>
          <w:rFonts w:ascii="Verdana" w:eastAsia="Calibri" w:hAnsi="Verdana" w:cs="Arial"/>
          <w:b/>
          <w:bCs/>
          <w:lang w:eastAsia="es-ES"/>
        </w:rPr>
      </w:pPr>
      <w:r w:rsidRPr="0053038A">
        <w:rPr>
          <w:rFonts w:ascii="Verdana" w:eastAsia="Calibri" w:hAnsi="Verdana" w:cs="Arial"/>
          <w:b/>
          <w:bCs/>
          <w:lang w:eastAsia="es-ES"/>
        </w:rPr>
        <w:t>J</w:t>
      </w:r>
      <w:r w:rsidR="009E660D">
        <w:rPr>
          <w:rFonts w:ascii="Verdana" w:eastAsia="Calibri" w:hAnsi="Verdana" w:cs="Arial"/>
          <w:b/>
          <w:bCs/>
          <w:lang w:eastAsia="es-ES"/>
        </w:rPr>
        <w:t>ose Manuel Ramírez Rincón</w:t>
      </w:r>
    </w:p>
    <w:p w14:paraId="5E7DC148" w14:textId="76343908" w:rsidR="00811A9B" w:rsidRPr="0053038A" w:rsidRDefault="0053038A" w:rsidP="0087031A">
      <w:pPr>
        <w:spacing w:after="0" w:line="240" w:lineRule="auto"/>
        <w:rPr>
          <w:rFonts w:ascii="Verdana" w:hAnsi="Verdana"/>
        </w:rPr>
      </w:pPr>
      <w:r w:rsidRPr="0053038A">
        <w:rPr>
          <w:rFonts w:ascii="Verdana" w:hAnsi="Verdana"/>
        </w:rPr>
        <w:t>joserami144@gmail.com</w:t>
      </w:r>
    </w:p>
    <w:p w14:paraId="20ECB200" w14:textId="4D568736" w:rsidR="0087031A" w:rsidRDefault="009E660D" w:rsidP="0087031A">
      <w:pPr>
        <w:spacing w:after="0" w:line="240" w:lineRule="auto"/>
        <w:rPr>
          <w:rFonts w:ascii="Verdana" w:eastAsia="Calibri" w:hAnsi="Verdana" w:cs="Arial"/>
          <w:color w:val="000000"/>
          <w:lang w:val="es-ES_tradnl" w:eastAsia="es-ES_tradnl"/>
        </w:rPr>
      </w:pPr>
      <w:r>
        <w:rPr>
          <w:rFonts w:ascii="Verdana" w:eastAsia="Calibri" w:hAnsi="Verdana" w:cs="Arial"/>
          <w:color w:val="000000"/>
          <w:lang w:val="es-ES_tradnl" w:eastAsia="es-ES_tradnl"/>
        </w:rPr>
        <w:t>Cravo Norte, Arauca</w:t>
      </w:r>
    </w:p>
    <w:p w14:paraId="38093641" w14:textId="77777777" w:rsidR="00AD71D4" w:rsidRDefault="00AD71D4" w:rsidP="0087031A">
      <w:pPr>
        <w:spacing w:after="0" w:line="240" w:lineRule="auto"/>
        <w:rPr>
          <w:rFonts w:ascii="Verdana" w:eastAsia="Calibri" w:hAnsi="Verdana" w:cs="Arial"/>
          <w:color w:val="000000"/>
          <w:lang w:val="es-ES_tradnl" w:eastAsia="es-ES_tradnl"/>
        </w:rPr>
      </w:pPr>
    </w:p>
    <w:p w14:paraId="627D58D2" w14:textId="63CC8CC6" w:rsidR="00AD71D4" w:rsidRDefault="00AD71D4" w:rsidP="00AD71D4">
      <w:pPr>
        <w:spacing w:after="0" w:line="240" w:lineRule="auto"/>
        <w:jc w:val="right"/>
        <w:rPr>
          <w:rFonts w:ascii="Verdana" w:eastAsia="Calibri" w:hAnsi="Verdana" w:cs="Arial"/>
          <w:color w:val="000000"/>
          <w:lang w:val="es-ES_tradnl" w:eastAsia="es-ES_tradnl"/>
        </w:rPr>
      </w:pPr>
    </w:p>
    <w:p w14:paraId="168E3095" w14:textId="77777777" w:rsidR="00AD71D4" w:rsidRDefault="00AD71D4" w:rsidP="0087031A">
      <w:pPr>
        <w:spacing w:after="0" w:line="240" w:lineRule="auto"/>
        <w:rPr>
          <w:rFonts w:ascii="Verdana" w:eastAsia="Calibri" w:hAnsi="Verdana" w:cs="Arial"/>
          <w:color w:val="000000"/>
          <w:lang w:val="es-ES_tradnl" w:eastAsia="es-ES_tradnl"/>
        </w:rPr>
      </w:pPr>
    </w:p>
    <w:p w14:paraId="2BBE672B" w14:textId="77777777" w:rsidR="00AD71D4" w:rsidRDefault="00AD71D4" w:rsidP="0087031A">
      <w:pPr>
        <w:spacing w:after="0" w:line="240" w:lineRule="auto"/>
        <w:rPr>
          <w:rFonts w:ascii="Verdana" w:eastAsia="Calibri" w:hAnsi="Verdana" w:cs="Arial"/>
          <w:color w:val="000000"/>
          <w:lang w:val="es-ES_tradnl" w:eastAsia="es-ES_tradnl"/>
        </w:rPr>
      </w:pPr>
    </w:p>
    <w:p w14:paraId="33757F92" w14:textId="77777777" w:rsidR="0087031A" w:rsidRPr="00FE3DEC" w:rsidRDefault="0087031A" w:rsidP="0087031A">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87031A" w:rsidRPr="00593A5F" w14:paraId="28AFEB3E" w14:textId="77777777" w:rsidTr="00C67C7B">
        <w:trPr>
          <w:trHeight w:val="919"/>
        </w:trPr>
        <w:tc>
          <w:tcPr>
            <w:tcW w:w="2295" w:type="dxa"/>
          </w:tcPr>
          <w:p w14:paraId="3DABC826" w14:textId="77777777" w:rsidR="0087031A" w:rsidRPr="00E5644F" w:rsidRDefault="0087031A" w:rsidP="00580B7F">
            <w:pPr>
              <w:jc w:val="both"/>
              <w:rPr>
                <w:rFonts w:ascii="Verdana" w:eastAsia="Calibri" w:hAnsi="Verdana" w:cs="Arial"/>
                <w:b/>
                <w:bCs/>
                <w:color w:val="7030A0"/>
                <w:lang w:val="es-ES_tradnl" w:eastAsia="es-ES_tradnl"/>
              </w:rPr>
            </w:pPr>
          </w:p>
        </w:tc>
        <w:tc>
          <w:tcPr>
            <w:tcW w:w="6481" w:type="dxa"/>
            <w:gridSpan w:val="2"/>
          </w:tcPr>
          <w:p w14:paraId="022A37EB" w14:textId="064B403B" w:rsidR="0087031A" w:rsidRPr="00E5644F" w:rsidRDefault="0087031A" w:rsidP="00580B7F">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8A727D">
              <w:rPr>
                <w:rFonts w:ascii="Verdana" w:eastAsia="Calibri" w:hAnsi="Verdana" w:cs="Arial"/>
                <w:b/>
                <w:bCs/>
                <w:lang w:val="es-ES" w:eastAsia="es-ES"/>
              </w:rPr>
              <w:t>7</w:t>
            </w:r>
            <w:r w:rsidR="0053038A">
              <w:rPr>
                <w:rFonts w:ascii="Verdana" w:eastAsia="Calibri" w:hAnsi="Verdana" w:cs="Arial"/>
                <w:b/>
                <w:bCs/>
                <w:lang w:val="es-ES" w:eastAsia="es-ES"/>
              </w:rPr>
              <w:t>64</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tc>
      </w:tr>
      <w:tr w:rsidR="0087031A" w:rsidRPr="00A52DE7" w14:paraId="38B6D2DC" w14:textId="77777777" w:rsidTr="00C67C7B">
        <w:trPr>
          <w:trHeight w:val="919"/>
        </w:trPr>
        <w:tc>
          <w:tcPr>
            <w:tcW w:w="2295" w:type="dxa"/>
          </w:tcPr>
          <w:p w14:paraId="7FE07E31" w14:textId="77777777" w:rsidR="0087031A" w:rsidRPr="00593A5F" w:rsidRDefault="0087031A" w:rsidP="00580B7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54274490" w14:textId="1461B747" w:rsidR="00DB44AA" w:rsidRPr="001568D6" w:rsidRDefault="00DB69C7" w:rsidP="00DB44AA">
            <w:pPr>
              <w:spacing w:line="276" w:lineRule="auto"/>
              <w:jc w:val="both"/>
              <w:rPr>
                <w:rFonts w:ascii="Verdana" w:eastAsia="Calibri" w:hAnsi="Verdana" w:cs="Arial"/>
                <w:b/>
                <w:sz w:val="21"/>
                <w:szCs w:val="21"/>
              </w:rPr>
            </w:pPr>
            <w:r w:rsidRPr="006D4F5F">
              <w:rPr>
                <w:rFonts w:ascii="Verdana" w:eastAsia="Times New Roman" w:hAnsi="Verdana" w:cs="Arial"/>
                <w:lang w:eastAsia="es-ES_tradnl"/>
              </w:rPr>
              <w:t>PLANEACIÓN – Estudios previos / ESTUDIOS PREVIOS – Análisis del sector – Planeación en los procesos de contratación pública / ESTUDIOS PREVIOS – Estudio del mercado</w:t>
            </w:r>
            <w:r>
              <w:rPr>
                <w:rFonts w:ascii="Verdana" w:eastAsia="Times New Roman" w:hAnsi="Verdana" w:cs="Arial"/>
                <w:lang w:eastAsia="es-ES_tradnl"/>
              </w:rPr>
              <w:t xml:space="preserve"> / </w:t>
            </w:r>
            <w:r w:rsidRPr="00DB69C7">
              <w:rPr>
                <w:rFonts w:ascii="Verdana" w:eastAsia="Times New Roman" w:hAnsi="Verdana" w:cs="Arial"/>
                <w:lang w:eastAsia="es-ES_tradnl"/>
              </w:rPr>
              <w:t>PRECIO – Concepto – Estructuración</w:t>
            </w:r>
            <w:r>
              <w:rPr>
                <w:rFonts w:ascii="Verdana" w:eastAsia="Times New Roman" w:hAnsi="Verdana" w:cs="Arial"/>
                <w:lang w:eastAsia="es-ES_tradnl"/>
              </w:rPr>
              <w:t xml:space="preserve"> / </w:t>
            </w:r>
            <w:r w:rsidRPr="00DB69C7">
              <w:rPr>
                <w:rFonts w:ascii="Verdana" w:eastAsia="Times New Roman" w:hAnsi="Verdana" w:cs="Arial"/>
                <w:lang w:eastAsia="es-ES_tradnl"/>
              </w:rPr>
              <w:t>VALOR ESTIMADO DEL CONTRATO - Numeral 4 artículo 2.2.1.1.2.1.1. del Decreto 1082 de 2015</w:t>
            </w:r>
          </w:p>
          <w:p w14:paraId="1BF247BD" w14:textId="72D1DB25" w:rsidR="00471CAF" w:rsidRPr="00A52DE7" w:rsidRDefault="00471CAF" w:rsidP="00580B7F">
            <w:pPr>
              <w:jc w:val="both"/>
              <w:rPr>
                <w:rFonts w:ascii="Verdana" w:eastAsia="Calibri" w:hAnsi="Verdana" w:cs="Arial"/>
                <w:b/>
                <w:highlight w:val="yellow"/>
                <w:lang w:val="es-ES" w:eastAsia="es-ES"/>
              </w:rPr>
            </w:pPr>
          </w:p>
        </w:tc>
      </w:tr>
      <w:tr w:rsidR="0087031A" w:rsidRPr="00593A5F" w14:paraId="14D6DDF3" w14:textId="77777777" w:rsidTr="00C67C7B">
        <w:trPr>
          <w:trHeight w:val="545"/>
        </w:trPr>
        <w:tc>
          <w:tcPr>
            <w:tcW w:w="2295" w:type="dxa"/>
          </w:tcPr>
          <w:p w14:paraId="58C41A69" w14:textId="77777777" w:rsidR="0087031A" w:rsidRPr="006730E9" w:rsidRDefault="0087031A" w:rsidP="00580B7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6361BD6" w14:textId="116C7336" w:rsidR="0087031A" w:rsidRPr="006730E9" w:rsidRDefault="0087031A" w:rsidP="00580B7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53038A" w:rsidRPr="0053038A">
              <w:rPr>
                <w:rFonts w:ascii="Verdana" w:eastAsia="Calibri" w:hAnsi="Verdana" w:cs="Arial"/>
                <w:lang w:val="es-ES_tradnl" w:eastAsia="es-ES_tradnl"/>
              </w:rPr>
              <w:t>1_2025_06_11_005767</w:t>
            </w:r>
            <w:r>
              <w:rPr>
                <w:rFonts w:ascii="Verdana" w:eastAsia="Calibri" w:hAnsi="Verdana" w:cs="Arial"/>
                <w:lang w:val="es-ES_tradnl" w:eastAsia="es-ES_tradnl"/>
              </w:rPr>
              <w:t>.</w:t>
            </w:r>
          </w:p>
        </w:tc>
      </w:tr>
      <w:tr w:rsidR="0087031A" w:rsidRPr="00DB23D2" w14:paraId="2A2E2921" w14:textId="77777777" w:rsidTr="00C67C7B">
        <w:trPr>
          <w:gridAfter w:val="1"/>
          <w:wAfter w:w="319" w:type="dxa"/>
          <w:trHeight w:val="242"/>
        </w:trPr>
        <w:tc>
          <w:tcPr>
            <w:tcW w:w="8457" w:type="dxa"/>
            <w:gridSpan w:val="2"/>
          </w:tcPr>
          <w:p w14:paraId="120D7AD6" w14:textId="77777777" w:rsidR="0087031A" w:rsidRPr="00DB23D2" w:rsidRDefault="0087031A" w:rsidP="00580B7F">
            <w:pPr>
              <w:spacing w:after="120" w:line="276" w:lineRule="auto"/>
              <w:jc w:val="both"/>
              <w:rPr>
                <w:rFonts w:ascii="Verdana" w:eastAsia="Calibri" w:hAnsi="Verdana" w:cs="Arial"/>
                <w:lang w:val="es-ES_tradnl" w:eastAsia="es-ES"/>
              </w:rPr>
            </w:pPr>
          </w:p>
        </w:tc>
      </w:tr>
    </w:tbl>
    <w:p w14:paraId="47EC921B" w14:textId="645AD4B1"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53038A">
        <w:rPr>
          <w:rFonts w:ascii="Verdana" w:eastAsia="Calibri" w:hAnsi="Verdana" w:cs="Arial"/>
          <w:lang w:val="es-ES" w:eastAsia="es-ES"/>
        </w:rPr>
        <w:t>Ramírez</w:t>
      </w:r>
      <w:r>
        <w:rPr>
          <w:rFonts w:ascii="Verdana" w:eastAsia="Calibri" w:hAnsi="Verdana" w:cs="Arial"/>
          <w:lang w:val="es-ES" w:eastAsia="es-ES"/>
        </w:rPr>
        <w:t>;</w:t>
      </w:r>
    </w:p>
    <w:p w14:paraId="59ADFBB6" w14:textId="77777777" w:rsidR="0087031A" w:rsidRDefault="0087031A" w:rsidP="008703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29E5029" w14:textId="59859C5A"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BF3745">
        <w:rPr>
          <w:rFonts w:ascii="Verdana" w:eastAsia="Calibri" w:hAnsi="Verdana" w:cs="Arial"/>
          <w:lang w:val="es-ES" w:eastAsia="es-ES"/>
        </w:rPr>
        <w:t xml:space="preserve">trasladada por competencia por el Departamento Administrativo de la Función Pública,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sidR="008A576E">
        <w:rPr>
          <w:rFonts w:ascii="Verdana" w:eastAsia="Calibri" w:hAnsi="Verdana" w:cs="Arial"/>
          <w:lang w:val="es-ES" w:eastAsia="es-ES"/>
        </w:rPr>
        <w:t>12</w:t>
      </w:r>
      <w:r>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8A576E">
        <w:rPr>
          <w:rFonts w:ascii="Verdana" w:eastAsia="Calibri" w:hAnsi="Verdana" w:cs="Arial"/>
          <w:lang w:val="es-ES" w:eastAsia="es-ES"/>
        </w:rPr>
        <w:t>junio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E75DC9C" w14:textId="77777777" w:rsidR="0087031A" w:rsidRPr="00326382" w:rsidRDefault="0087031A" w:rsidP="0087031A">
      <w:pPr>
        <w:spacing w:after="0" w:line="240" w:lineRule="auto"/>
        <w:ind w:left="709" w:right="474"/>
        <w:jc w:val="both"/>
        <w:rPr>
          <w:rFonts w:ascii="Verdana" w:hAnsi="Verdana" w:cs="Arial"/>
          <w:sz w:val="20"/>
          <w:szCs w:val="20"/>
          <w:shd w:val="clear" w:color="auto" w:fill="FFFFFF"/>
        </w:rPr>
      </w:pPr>
      <w:bookmarkStart w:id="4" w:name="_Hlk95313578"/>
    </w:p>
    <w:bookmarkEnd w:id="4"/>
    <w:p w14:paraId="292A93D4" w14:textId="77777777" w:rsidR="00811A9B" w:rsidRDefault="0087031A" w:rsidP="001532F7">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rPr>
        <w:t xml:space="preserve"> </w:t>
      </w:r>
      <w:r w:rsidRPr="00CD7324">
        <w:rPr>
          <w:rFonts w:ascii="Verdana" w:eastAsia="Century Gothic" w:hAnsi="Verdana" w:cs="Century Gothic"/>
          <w:i/>
          <w:iCs/>
          <w:sz w:val="20"/>
          <w:szCs w:val="20"/>
        </w:rPr>
        <w:t xml:space="preserve">“(…) </w:t>
      </w:r>
    </w:p>
    <w:p w14:paraId="02A93610" w14:textId="290C1D34" w:rsidR="0053038A" w:rsidRPr="0053038A" w:rsidRDefault="0053038A" w:rsidP="0053038A">
      <w:pPr>
        <w:tabs>
          <w:tab w:val="left" w:pos="142"/>
          <w:tab w:val="left" w:pos="567"/>
        </w:tabs>
        <w:ind w:left="426" w:right="709"/>
        <w:jc w:val="both"/>
        <w:rPr>
          <w:rFonts w:ascii="Verdana" w:eastAsia="Century Gothic" w:hAnsi="Verdana" w:cs="Century Gothic"/>
          <w:i/>
          <w:iCs/>
          <w:sz w:val="20"/>
          <w:szCs w:val="20"/>
        </w:rPr>
      </w:pPr>
      <w:r w:rsidRPr="0053038A">
        <w:rPr>
          <w:rFonts w:ascii="Verdana" w:eastAsia="Century Gothic" w:hAnsi="Verdana" w:cs="Century Gothic"/>
          <w:i/>
          <w:iCs/>
          <w:sz w:val="20"/>
          <w:szCs w:val="20"/>
        </w:rPr>
        <w:t>¿Puede una entidad pública iniciar un proceso de selección cuando del estudio de</w:t>
      </w:r>
      <w:r>
        <w:rPr>
          <w:rFonts w:ascii="Verdana" w:eastAsia="Century Gothic" w:hAnsi="Verdana" w:cs="Century Gothic"/>
          <w:i/>
          <w:iCs/>
          <w:sz w:val="20"/>
          <w:szCs w:val="20"/>
        </w:rPr>
        <w:t xml:space="preserve"> </w:t>
      </w:r>
      <w:r w:rsidRPr="0053038A">
        <w:rPr>
          <w:rFonts w:ascii="Verdana" w:eastAsia="Century Gothic" w:hAnsi="Verdana" w:cs="Century Gothic"/>
          <w:i/>
          <w:iCs/>
          <w:sz w:val="20"/>
          <w:szCs w:val="20"/>
        </w:rPr>
        <w:t>mercado que realizó se determinó un valor superior de los bienes y/o servicios de</w:t>
      </w:r>
      <w:r>
        <w:rPr>
          <w:rFonts w:ascii="Verdana" w:eastAsia="Century Gothic" w:hAnsi="Verdana" w:cs="Century Gothic"/>
          <w:i/>
          <w:iCs/>
          <w:sz w:val="20"/>
          <w:szCs w:val="20"/>
        </w:rPr>
        <w:t xml:space="preserve"> </w:t>
      </w:r>
      <w:r w:rsidRPr="0053038A">
        <w:rPr>
          <w:rFonts w:ascii="Verdana" w:eastAsia="Century Gothic" w:hAnsi="Verdana" w:cs="Century Gothic"/>
          <w:i/>
          <w:iCs/>
          <w:sz w:val="20"/>
          <w:szCs w:val="20"/>
        </w:rPr>
        <w:t xml:space="preserve">los recursos disponibles con los que cuenta la entidad para </w:t>
      </w:r>
      <w:r w:rsidRPr="0053038A">
        <w:rPr>
          <w:rFonts w:ascii="Verdana" w:eastAsia="Century Gothic" w:hAnsi="Verdana" w:cs="Century Gothic"/>
          <w:i/>
          <w:iCs/>
          <w:sz w:val="20"/>
          <w:szCs w:val="20"/>
        </w:rPr>
        <w:lastRenderedPageBreak/>
        <w:t>pagarlos; esto en el</w:t>
      </w:r>
      <w:r>
        <w:rPr>
          <w:rFonts w:ascii="Verdana" w:eastAsia="Century Gothic" w:hAnsi="Verdana" w:cs="Century Gothic"/>
          <w:i/>
          <w:iCs/>
          <w:sz w:val="20"/>
          <w:szCs w:val="20"/>
        </w:rPr>
        <w:t xml:space="preserve"> </w:t>
      </w:r>
      <w:r w:rsidRPr="0053038A">
        <w:rPr>
          <w:rFonts w:ascii="Verdana" w:eastAsia="Century Gothic" w:hAnsi="Verdana" w:cs="Century Gothic"/>
          <w:i/>
          <w:iCs/>
          <w:sz w:val="20"/>
          <w:szCs w:val="20"/>
        </w:rPr>
        <w:t>entendido que la entidad en su presupuesto oficial lo estructure de acuerdo al valor</w:t>
      </w:r>
      <w:r>
        <w:rPr>
          <w:rFonts w:ascii="Verdana" w:eastAsia="Century Gothic" w:hAnsi="Verdana" w:cs="Century Gothic"/>
          <w:i/>
          <w:iCs/>
          <w:sz w:val="20"/>
          <w:szCs w:val="20"/>
        </w:rPr>
        <w:t xml:space="preserve"> </w:t>
      </w:r>
      <w:r w:rsidRPr="0053038A">
        <w:rPr>
          <w:rFonts w:ascii="Verdana" w:eastAsia="Century Gothic" w:hAnsi="Verdana" w:cs="Century Gothic"/>
          <w:i/>
          <w:iCs/>
          <w:sz w:val="20"/>
          <w:szCs w:val="20"/>
        </w:rPr>
        <w:t>de recursos disponibles y, por tanto, ¿el valor de los servicios definidos en el PRESUPUESTO OFICIAL sea inferiores a los contemplados en el estudio de mercado?</w:t>
      </w:r>
    </w:p>
    <w:p w14:paraId="55A848A2" w14:textId="0E2E4B07" w:rsidR="0087031A" w:rsidRPr="00CD7324" w:rsidRDefault="0053038A" w:rsidP="0053038A">
      <w:pPr>
        <w:tabs>
          <w:tab w:val="left" w:pos="142"/>
          <w:tab w:val="left" w:pos="567"/>
        </w:tabs>
        <w:ind w:left="426" w:right="709"/>
        <w:jc w:val="both"/>
        <w:rPr>
          <w:rFonts w:ascii="Verdana" w:eastAsia="Century Gothic" w:hAnsi="Verdana" w:cs="Century Gothic"/>
          <w:i/>
          <w:iCs/>
          <w:sz w:val="20"/>
          <w:szCs w:val="20"/>
        </w:rPr>
      </w:pPr>
      <w:r w:rsidRPr="0053038A">
        <w:rPr>
          <w:rFonts w:ascii="Verdana" w:eastAsia="Century Gothic" w:hAnsi="Verdana" w:cs="Century Gothic"/>
          <w:i/>
          <w:iCs/>
          <w:sz w:val="20"/>
          <w:szCs w:val="20"/>
        </w:rPr>
        <w:t>Se explica: es decir, al recibir las cotizaciones la entidad establece el valor de cada</w:t>
      </w:r>
      <w:r>
        <w:rPr>
          <w:rFonts w:ascii="Verdana" w:eastAsia="Century Gothic" w:hAnsi="Verdana" w:cs="Century Gothic"/>
          <w:i/>
          <w:iCs/>
          <w:sz w:val="20"/>
          <w:szCs w:val="20"/>
        </w:rPr>
        <w:t xml:space="preserve"> </w:t>
      </w:r>
      <w:r w:rsidRPr="0053038A">
        <w:rPr>
          <w:rFonts w:ascii="Verdana" w:eastAsia="Century Gothic" w:hAnsi="Verdana" w:cs="Century Gothic"/>
          <w:i/>
          <w:iCs/>
          <w:sz w:val="20"/>
          <w:szCs w:val="20"/>
        </w:rPr>
        <w:t>bien y/o servicios, pero ese valor supera el valor de los recursos disponibles para</w:t>
      </w:r>
      <w:r>
        <w:rPr>
          <w:rFonts w:ascii="Verdana" w:eastAsia="Century Gothic" w:hAnsi="Verdana" w:cs="Century Gothic"/>
          <w:i/>
          <w:iCs/>
          <w:sz w:val="20"/>
          <w:szCs w:val="20"/>
        </w:rPr>
        <w:t xml:space="preserve"> </w:t>
      </w:r>
      <w:r w:rsidRPr="0053038A">
        <w:rPr>
          <w:rFonts w:ascii="Verdana" w:eastAsia="Century Gothic" w:hAnsi="Verdana" w:cs="Century Gothic"/>
          <w:i/>
          <w:iCs/>
          <w:sz w:val="20"/>
          <w:szCs w:val="20"/>
        </w:rPr>
        <w:t>adquirirlos por muy poco, pero lo supera; en ese escenario es posible que la entidad</w:t>
      </w:r>
      <w:r>
        <w:rPr>
          <w:rFonts w:ascii="Verdana" w:eastAsia="Century Gothic" w:hAnsi="Verdana" w:cs="Century Gothic"/>
          <w:i/>
          <w:iCs/>
          <w:sz w:val="20"/>
          <w:szCs w:val="20"/>
        </w:rPr>
        <w:t xml:space="preserve"> </w:t>
      </w:r>
      <w:r w:rsidRPr="0053038A">
        <w:rPr>
          <w:rFonts w:ascii="Verdana" w:eastAsia="Century Gothic" w:hAnsi="Verdana" w:cs="Century Gothic"/>
          <w:i/>
          <w:iCs/>
          <w:sz w:val="20"/>
          <w:szCs w:val="20"/>
        </w:rPr>
        <w:t xml:space="preserve">decida estructurar el presupuesto oficial de acuerdo al dinero disponible. </w:t>
      </w:r>
      <w:r w:rsidR="00E460EC">
        <w:rPr>
          <w:rFonts w:ascii="Verdana" w:eastAsia="Century Gothic" w:hAnsi="Verdana" w:cs="Century Gothic"/>
          <w:i/>
          <w:iCs/>
          <w:sz w:val="20"/>
          <w:szCs w:val="20"/>
        </w:rPr>
        <w:t>(</w:t>
      </w:r>
      <w:r w:rsidR="0087031A" w:rsidRPr="00CD7324">
        <w:rPr>
          <w:rFonts w:ascii="Verdana" w:eastAsia="Century Gothic" w:hAnsi="Verdana" w:cs="Century Gothic"/>
          <w:i/>
          <w:iCs/>
          <w:sz w:val="20"/>
          <w:szCs w:val="20"/>
        </w:rPr>
        <w:t>…)”</w:t>
      </w:r>
      <w:r w:rsidR="002B5862">
        <w:rPr>
          <w:rFonts w:ascii="Verdana" w:eastAsia="Century Gothic" w:hAnsi="Verdana" w:cs="Century Gothic"/>
          <w:i/>
          <w:iCs/>
          <w:sz w:val="20"/>
          <w:szCs w:val="20"/>
        </w:rPr>
        <w:t>.</w:t>
      </w:r>
      <w:r w:rsidR="0087031A" w:rsidRPr="00CD7324">
        <w:rPr>
          <w:rFonts w:ascii="Verdana" w:eastAsia="Century Gothic" w:hAnsi="Verdana" w:cs="Century Gothic"/>
          <w:i/>
          <w:iCs/>
          <w:sz w:val="20"/>
          <w:szCs w:val="20"/>
        </w:rPr>
        <w:t xml:space="preserve"> </w:t>
      </w:r>
    </w:p>
    <w:p w14:paraId="33F745EB" w14:textId="77777777" w:rsidR="0087031A" w:rsidRPr="00AA3B9F" w:rsidRDefault="0087031A" w:rsidP="0087031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04224C2" w14:textId="77777777" w:rsidR="0087031A" w:rsidRPr="00AA3B9F" w:rsidRDefault="0087031A" w:rsidP="0087031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7488FEE4" w14:textId="77777777" w:rsidR="0087031A" w:rsidRDefault="0087031A" w:rsidP="0087031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A7578E" w14:textId="77777777" w:rsidR="0087031A" w:rsidRDefault="0087031A" w:rsidP="008703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CD6BDA0" w14:textId="77777777" w:rsidR="0087031A" w:rsidRDefault="0087031A" w:rsidP="0087031A">
      <w:pPr>
        <w:pStyle w:val="Prrafodelista"/>
        <w:tabs>
          <w:tab w:val="left" w:pos="142"/>
          <w:tab w:val="left" w:pos="284"/>
        </w:tabs>
        <w:spacing w:after="0" w:line="276" w:lineRule="auto"/>
        <w:ind w:left="0"/>
        <w:jc w:val="both"/>
        <w:rPr>
          <w:rFonts w:ascii="Verdana" w:eastAsia="Century Gothic" w:hAnsi="Verdana" w:cs="Century Gothic"/>
          <w:b/>
          <w:bCs/>
        </w:rPr>
      </w:pPr>
    </w:p>
    <w:p w14:paraId="2996596F" w14:textId="237A07CB" w:rsidR="0053038A" w:rsidRDefault="0087031A" w:rsidP="0087031A">
      <w:pPr>
        <w:pStyle w:val="Prrafodelista"/>
        <w:tabs>
          <w:tab w:val="left" w:pos="142"/>
          <w:tab w:val="left" w:pos="284"/>
        </w:tabs>
        <w:spacing w:after="0" w:line="276" w:lineRule="auto"/>
        <w:ind w:left="0"/>
        <w:jc w:val="both"/>
        <w:rPr>
          <w:rFonts w:ascii="Verdana" w:eastAsia="Calibri" w:hAnsi="Verdana" w:cs="Arial"/>
          <w:lang w:val="es-CO"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5" w:name="_Hlk196737317"/>
      <w:r w:rsidR="00311ADC" w:rsidRPr="00311ADC">
        <w:rPr>
          <w:rFonts w:asciiTheme="minorHAnsi" w:hAnsiTheme="minorHAnsi"/>
          <w:lang w:val="es-CO"/>
        </w:rPr>
        <w:t xml:space="preserve"> </w:t>
      </w:r>
      <w:r w:rsidR="00311ADC" w:rsidRPr="00311ADC">
        <w:rPr>
          <w:rFonts w:ascii="Verdana" w:eastAsia="Calibri" w:hAnsi="Verdana" w:cs="Arial"/>
          <w:lang w:val="es-CO" w:eastAsia="es-ES"/>
        </w:rPr>
        <w:t xml:space="preserve">¿Puede una entidad pública iniciar un proceso de selección </w:t>
      </w:r>
      <w:r w:rsidR="00B32769">
        <w:rPr>
          <w:rFonts w:ascii="Verdana" w:eastAsia="Calibri" w:hAnsi="Verdana" w:cs="Arial"/>
          <w:lang w:val="es-CO" w:eastAsia="es-ES"/>
        </w:rPr>
        <w:t>a pesar de que producto</w:t>
      </w:r>
      <w:r w:rsidR="00311ADC" w:rsidRPr="00311ADC">
        <w:rPr>
          <w:rFonts w:ascii="Verdana" w:eastAsia="Calibri" w:hAnsi="Verdana" w:cs="Arial"/>
          <w:lang w:val="es-CO" w:eastAsia="es-ES"/>
        </w:rPr>
        <w:t xml:space="preserve"> </w:t>
      </w:r>
      <w:r w:rsidR="00F11D40">
        <w:rPr>
          <w:rFonts w:ascii="Verdana" w:eastAsia="Calibri" w:hAnsi="Verdana" w:cs="Arial"/>
          <w:lang w:val="es-CO" w:eastAsia="es-ES"/>
        </w:rPr>
        <w:t>d</w:t>
      </w:r>
      <w:r w:rsidR="00311ADC" w:rsidRPr="00311ADC">
        <w:rPr>
          <w:rFonts w:ascii="Verdana" w:eastAsia="Calibri" w:hAnsi="Verdana" w:cs="Arial"/>
          <w:lang w:val="es-CO" w:eastAsia="es-ES"/>
        </w:rPr>
        <w:t>el estudio de mercado realizado, el valor estimado de los bienes y/o servicios super</w:t>
      </w:r>
      <w:r w:rsidR="00F11D40">
        <w:rPr>
          <w:rFonts w:ascii="Verdana" w:eastAsia="Calibri" w:hAnsi="Verdana" w:cs="Arial"/>
          <w:lang w:val="es-CO" w:eastAsia="es-ES"/>
        </w:rPr>
        <w:t>e</w:t>
      </w:r>
      <w:r w:rsidR="00311ADC" w:rsidRPr="00311ADC">
        <w:rPr>
          <w:rFonts w:ascii="Verdana" w:eastAsia="Calibri" w:hAnsi="Verdana" w:cs="Arial"/>
          <w:lang w:val="es-CO" w:eastAsia="es-ES"/>
        </w:rPr>
        <w:t xml:space="preserve"> ligeramente los recursos disponibles en el presupuesto oficial? </w:t>
      </w:r>
    </w:p>
    <w:p w14:paraId="5EADBB12" w14:textId="77777777" w:rsidR="0053038A" w:rsidRDefault="0053038A" w:rsidP="0087031A">
      <w:pPr>
        <w:pStyle w:val="Prrafodelista"/>
        <w:tabs>
          <w:tab w:val="left" w:pos="142"/>
          <w:tab w:val="left" w:pos="284"/>
        </w:tabs>
        <w:spacing w:after="0" w:line="276" w:lineRule="auto"/>
        <w:ind w:left="0"/>
        <w:jc w:val="both"/>
        <w:rPr>
          <w:rFonts w:ascii="Verdana" w:eastAsia="Calibri" w:hAnsi="Verdana" w:cs="Arial"/>
          <w:lang w:val="es-CO" w:eastAsia="es-ES"/>
        </w:rPr>
      </w:pPr>
    </w:p>
    <w:bookmarkEnd w:id="5"/>
    <w:p w14:paraId="4830150C" w14:textId="77777777" w:rsidR="0087031A"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376DABD" w14:textId="77777777" w:rsidR="001532F7" w:rsidRPr="00593A5F" w:rsidRDefault="001532F7" w:rsidP="001532F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031A" w:rsidRPr="00593A5F" w14:paraId="12E3C4B8" w14:textId="77777777" w:rsidTr="00580B7F">
        <w:tc>
          <w:tcPr>
            <w:tcW w:w="8828" w:type="dxa"/>
            <w:shd w:val="clear" w:color="auto" w:fill="auto"/>
          </w:tcPr>
          <w:p w14:paraId="693BF51C" w14:textId="566CBCDA" w:rsidR="00FD7798" w:rsidRPr="00794C2C" w:rsidRDefault="001532F7" w:rsidP="00FD7798">
            <w:pPr>
              <w:pStyle w:val="Textoindependiente"/>
              <w:spacing w:line="276" w:lineRule="auto"/>
              <w:ind w:right="209"/>
              <w:jc w:val="both"/>
              <w:rPr>
                <w:rFonts w:ascii="Verdana" w:hAnsi="Verdana"/>
              </w:rPr>
            </w:pPr>
            <w:r>
              <w:rPr>
                <w:rFonts w:ascii="Verdana" w:eastAsia="Calibri" w:hAnsi="Verdana" w:cs="Arial"/>
                <w:lang w:val="es-MX"/>
              </w:rPr>
              <w:t xml:space="preserve">        </w:t>
            </w:r>
            <w:r w:rsidR="00FD7798" w:rsidRPr="00794C2C">
              <w:rPr>
                <w:rFonts w:ascii="Verdana" w:hAnsi="Verdana"/>
              </w:rPr>
              <w:t xml:space="preserve">Las entidades estatales, durante la etapa de planeación de los procedimientos de contratación, deben elaborar los estudios y documentos previos que sirven de base para la estructuración del proyecto de pliegos, los pliegos de condiciones definitivos y el contrato. Los estudios y documentos previos deben incluir el contenido mínimo establecido en el artículo </w:t>
            </w:r>
            <w:bookmarkStart w:id="6" w:name="_Hlk204012988"/>
            <w:r w:rsidR="00FD7798" w:rsidRPr="00794C2C">
              <w:rPr>
                <w:rFonts w:ascii="Verdana" w:hAnsi="Verdana"/>
              </w:rPr>
              <w:t>2.2.1.1.2.1.1.</w:t>
            </w:r>
            <w:r w:rsidR="00F11D40">
              <w:rPr>
                <w:rFonts w:ascii="Verdana" w:hAnsi="Verdana"/>
              </w:rPr>
              <w:t xml:space="preserve"> </w:t>
            </w:r>
            <w:r w:rsidR="00FD7798" w:rsidRPr="00794C2C">
              <w:rPr>
                <w:rFonts w:ascii="Verdana" w:hAnsi="Verdana"/>
              </w:rPr>
              <w:t>del Decreto 1082 de 2015</w:t>
            </w:r>
            <w:bookmarkEnd w:id="6"/>
            <w:r w:rsidR="00FD7798" w:rsidRPr="00794C2C">
              <w:rPr>
                <w:rFonts w:ascii="Verdana" w:hAnsi="Verdana"/>
              </w:rPr>
              <w:t>, que comprende la información relacionada con la necesidad de la entidad, el objeto, sus especificaciones, permisos, licencias, modalidad de selección, valor, criterios de selección, análisis de riesgo y forma de mitigarlo, garantías, entre</w:t>
            </w:r>
            <w:r w:rsidR="00FD7798" w:rsidRPr="00794C2C">
              <w:rPr>
                <w:rFonts w:ascii="Verdana" w:hAnsi="Verdana"/>
                <w:spacing w:val="-5"/>
              </w:rPr>
              <w:t xml:space="preserve"> </w:t>
            </w:r>
            <w:r w:rsidR="00FD7798" w:rsidRPr="00794C2C">
              <w:rPr>
                <w:rFonts w:ascii="Verdana" w:hAnsi="Verdana"/>
              </w:rPr>
              <w:t>otros.</w:t>
            </w:r>
          </w:p>
          <w:p w14:paraId="3DD7A8D0" w14:textId="0E539BDA" w:rsidR="00FD7798" w:rsidRDefault="00FD7798" w:rsidP="00FD7798">
            <w:pPr>
              <w:pStyle w:val="Textoindependiente"/>
              <w:spacing w:before="1" w:line="276" w:lineRule="auto"/>
              <w:ind w:right="205"/>
              <w:jc w:val="both"/>
              <w:rPr>
                <w:rFonts w:ascii="Verdana" w:hAnsi="Verdana"/>
              </w:rPr>
            </w:pPr>
            <w:r>
              <w:rPr>
                <w:rFonts w:ascii="Verdana" w:hAnsi="Verdana"/>
              </w:rPr>
              <w:t xml:space="preserve">         </w:t>
            </w:r>
            <w:r w:rsidRPr="00794C2C">
              <w:rPr>
                <w:rFonts w:ascii="Verdana" w:hAnsi="Verdana"/>
              </w:rPr>
              <w:t xml:space="preserve">Respecto al valor del contrato, señala el artículo citado, en el numeral 4, que la entidad debe incluir en los estudios y documentos previos “el valor estimado del contrato y la justificación </w:t>
            </w:r>
            <w:r w:rsidR="00F11D40" w:rsidRPr="00794C2C">
              <w:rPr>
                <w:rFonts w:ascii="Verdana" w:hAnsi="Verdana"/>
              </w:rPr>
              <w:t>de este</w:t>
            </w:r>
            <w:r w:rsidRPr="00794C2C">
              <w:rPr>
                <w:rFonts w:ascii="Verdana" w:hAnsi="Verdana"/>
              </w:rPr>
              <w:t xml:space="preserve">. Cuando el valor del contrato esté determinado por precios unitarios, la Entidad Estatal debe incluir la forma como los calculó y soportar sus cálculos de presupuesto en la estimación de aquellos”. Es decir, al estructurar el procedimiento de contratación se debe justificar la manera como definió el valor o presupuesto oficial, para lo cual debe señalar, por ejemplo, si el valor del proceso de contratación se obtuvo del análisis de precios históricos del bien o servicio a adquirir, cotizaciones, actualización de valores de contratos anteriores, estudio de mercado, precios unitarios o cualquier otro mecanismo. </w:t>
            </w:r>
          </w:p>
          <w:p w14:paraId="28F4E701" w14:textId="743EFB64" w:rsidR="00FD7798" w:rsidRPr="00794C2C" w:rsidRDefault="00FD7798" w:rsidP="00FD7798">
            <w:pPr>
              <w:pStyle w:val="Textoindependiente"/>
              <w:spacing w:before="1" w:line="276" w:lineRule="auto"/>
              <w:ind w:right="205"/>
              <w:jc w:val="both"/>
              <w:rPr>
                <w:rFonts w:ascii="Verdana" w:hAnsi="Verdana"/>
              </w:rPr>
            </w:pPr>
            <w:r>
              <w:rPr>
                <w:rFonts w:ascii="Verdana" w:hAnsi="Verdana"/>
              </w:rPr>
              <w:t xml:space="preserve">        </w:t>
            </w:r>
            <w:r w:rsidRPr="00794C2C">
              <w:rPr>
                <w:rFonts w:ascii="Verdana" w:hAnsi="Verdana"/>
              </w:rPr>
              <w:t>Así mismo, tratándose de precios unitarios, la entidad debe señalar la forma como los calculó y el soporte de la estimación de los mismos, en este caso la entidad debe publicar, si esta fue la metodología utilizada, los análisis de precios unitarios o las cotizaciones, de manera que los interesados en el procedimiento de contratación puedan conocer y entender cómo se obtuvo el presupuesto oficial. Ello permitirá que los eventuales proponentes</w:t>
            </w:r>
            <w:r w:rsidRPr="00794C2C">
              <w:rPr>
                <w:rFonts w:ascii="Verdana" w:hAnsi="Verdana"/>
                <w:spacing w:val="20"/>
              </w:rPr>
              <w:t xml:space="preserve"> </w:t>
            </w:r>
            <w:r w:rsidRPr="00794C2C">
              <w:rPr>
                <w:rFonts w:ascii="Verdana" w:hAnsi="Verdana"/>
              </w:rPr>
              <w:t>puedan</w:t>
            </w:r>
            <w:r w:rsidRPr="00794C2C">
              <w:rPr>
                <w:rFonts w:ascii="Verdana" w:hAnsi="Verdana"/>
                <w:spacing w:val="21"/>
              </w:rPr>
              <w:t xml:space="preserve"> </w:t>
            </w:r>
            <w:r w:rsidRPr="00794C2C">
              <w:rPr>
                <w:rFonts w:ascii="Verdana" w:hAnsi="Verdana"/>
              </w:rPr>
              <w:t>realizar</w:t>
            </w:r>
            <w:r w:rsidRPr="00794C2C">
              <w:rPr>
                <w:rFonts w:ascii="Verdana" w:hAnsi="Verdana"/>
                <w:spacing w:val="21"/>
              </w:rPr>
              <w:t xml:space="preserve"> </w:t>
            </w:r>
            <w:r w:rsidRPr="00794C2C">
              <w:rPr>
                <w:rFonts w:ascii="Verdana" w:hAnsi="Verdana"/>
              </w:rPr>
              <w:t>las</w:t>
            </w:r>
            <w:r w:rsidRPr="00794C2C">
              <w:rPr>
                <w:rFonts w:ascii="Verdana" w:hAnsi="Verdana"/>
                <w:spacing w:val="21"/>
              </w:rPr>
              <w:t xml:space="preserve"> </w:t>
            </w:r>
            <w:r w:rsidRPr="00794C2C">
              <w:rPr>
                <w:rFonts w:ascii="Verdana" w:hAnsi="Verdana"/>
              </w:rPr>
              <w:t>estimaciones</w:t>
            </w:r>
            <w:r w:rsidRPr="00794C2C">
              <w:rPr>
                <w:rFonts w:ascii="Verdana" w:hAnsi="Verdana"/>
                <w:spacing w:val="21"/>
              </w:rPr>
              <w:t xml:space="preserve"> </w:t>
            </w:r>
            <w:r w:rsidRPr="00794C2C">
              <w:rPr>
                <w:rFonts w:ascii="Verdana" w:hAnsi="Verdana"/>
              </w:rPr>
              <w:t>correspondientes,</w:t>
            </w:r>
            <w:r w:rsidRPr="00794C2C">
              <w:rPr>
                <w:rFonts w:ascii="Verdana" w:hAnsi="Verdana"/>
                <w:spacing w:val="20"/>
              </w:rPr>
              <w:t xml:space="preserve"> </w:t>
            </w:r>
            <w:r w:rsidRPr="00794C2C">
              <w:rPr>
                <w:rFonts w:ascii="Verdana" w:hAnsi="Verdana"/>
              </w:rPr>
              <w:t>bien</w:t>
            </w:r>
            <w:r w:rsidRPr="00794C2C">
              <w:rPr>
                <w:rFonts w:ascii="Verdana" w:hAnsi="Verdana"/>
                <w:spacing w:val="21"/>
              </w:rPr>
              <w:t xml:space="preserve"> </w:t>
            </w:r>
            <w:r w:rsidRPr="00794C2C">
              <w:rPr>
                <w:rFonts w:ascii="Verdana" w:hAnsi="Verdana"/>
              </w:rPr>
              <w:t>sea</w:t>
            </w:r>
            <w:r w:rsidRPr="00794C2C">
              <w:rPr>
                <w:rFonts w:ascii="Verdana" w:hAnsi="Verdana"/>
                <w:spacing w:val="21"/>
              </w:rPr>
              <w:t xml:space="preserve"> </w:t>
            </w:r>
            <w:r w:rsidRPr="00794C2C">
              <w:rPr>
                <w:rFonts w:ascii="Verdana" w:hAnsi="Verdana"/>
              </w:rPr>
              <w:t>para</w:t>
            </w:r>
            <w:r w:rsidRPr="00794C2C">
              <w:rPr>
                <w:rFonts w:ascii="Verdana" w:hAnsi="Verdana"/>
                <w:spacing w:val="20"/>
              </w:rPr>
              <w:t xml:space="preserve"> </w:t>
            </w:r>
            <w:r w:rsidRPr="00794C2C">
              <w:rPr>
                <w:rFonts w:ascii="Verdana" w:hAnsi="Verdana"/>
              </w:rPr>
              <w:t>presentar observaciones al procedimiento de contratación, por considerar que el presupuesto no es suficiente para cubrir el costo de los bienes o servicios a adquirir, o para decidir si se presenta oferta al procedimiento de selección.</w:t>
            </w:r>
          </w:p>
          <w:p w14:paraId="17E593E3" w14:textId="3D188802" w:rsidR="00223D88" w:rsidRPr="009E660D" w:rsidRDefault="0070625E" w:rsidP="00F11D40">
            <w:pPr>
              <w:pStyle w:val="Textoindependiente"/>
              <w:spacing w:line="276" w:lineRule="auto"/>
              <w:ind w:right="209"/>
              <w:jc w:val="both"/>
              <w:rPr>
                <w:rFonts w:ascii="Verdana" w:eastAsia="Calibri" w:hAnsi="Verdana" w:cs="Arial"/>
                <w:bCs/>
                <w:lang w:val="es-ES_tradnl" w:eastAsia="es-MX"/>
              </w:rPr>
            </w:pPr>
            <w:r>
              <w:rPr>
                <w:rFonts w:ascii="Verdana" w:hAnsi="Verdana"/>
              </w:rPr>
              <w:t xml:space="preserve"> </w:t>
            </w:r>
            <w:r w:rsidR="00C1421D">
              <w:rPr>
                <w:rFonts w:ascii="Verdana" w:eastAsia="Calibri" w:hAnsi="Verdana" w:cs="Arial"/>
                <w:bCs/>
                <w:lang w:val="es-ES_tradnl" w:eastAsia="es-MX"/>
              </w:rPr>
              <w:t xml:space="preserve">     </w:t>
            </w:r>
            <w:r w:rsidR="00FD7798">
              <w:rPr>
                <w:rFonts w:ascii="Verdana" w:eastAsia="Calibri" w:hAnsi="Verdana" w:cs="Arial"/>
                <w:bCs/>
                <w:lang w:val="es-ES_tradnl" w:eastAsia="es-MX"/>
              </w:rPr>
              <w:t>De esta manera</w:t>
            </w:r>
            <w:r w:rsidR="00F11D40">
              <w:rPr>
                <w:rFonts w:ascii="Verdana" w:eastAsia="Calibri" w:hAnsi="Verdana" w:cs="Arial"/>
                <w:bCs/>
                <w:lang w:val="es-ES_tradnl" w:eastAsia="es-MX"/>
              </w:rPr>
              <w:t>,</w:t>
            </w:r>
            <w:r w:rsidR="00FD7798">
              <w:rPr>
                <w:rFonts w:ascii="Verdana" w:eastAsia="Calibri" w:hAnsi="Verdana" w:cs="Arial"/>
                <w:bCs/>
                <w:lang w:val="es-ES_tradnl" w:eastAsia="es-MX"/>
              </w:rPr>
              <w:t xml:space="preserve"> l</w:t>
            </w:r>
            <w:r w:rsidR="00FD7798" w:rsidRPr="00FD7798">
              <w:rPr>
                <w:rFonts w:ascii="Verdana" w:eastAsia="Calibri" w:hAnsi="Verdana" w:cs="Arial"/>
                <w:bCs/>
                <w:lang w:val="es-ES_tradnl" w:eastAsia="es-MX"/>
              </w:rPr>
              <w:t xml:space="preserve">a entidad desde los estudios </w:t>
            </w:r>
            <w:r w:rsidR="00373E7B" w:rsidRPr="00FD7798">
              <w:rPr>
                <w:rFonts w:ascii="Verdana" w:eastAsia="Calibri" w:hAnsi="Verdana" w:cs="Arial"/>
                <w:bCs/>
                <w:lang w:val="es-ES_tradnl" w:eastAsia="es-MX"/>
              </w:rPr>
              <w:t>previos</w:t>
            </w:r>
            <w:r w:rsidR="00FD7798" w:rsidRPr="00FD7798">
              <w:rPr>
                <w:rFonts w:ascii="Verdana" w:eastAsia="Calibri" w:hAnsi="Verdana" w:cs="Arial"/>
                <w:bCs/>
                <w:lang w:val="es-ES_tradnl" w:eastAsia="es-MX"/>
              </w:rPr>
              <w:t xml:space="preserve"> debe calcular un valor estimado del contrato que sirva de base al presupuesto oficial y esté sustentado en fuentes de mercado fiables</w:t>
            </w:r>
            <w:r w:rsidR="00FD7798">
              <w:rPr>
                <w:rFonts w:ascii="Verdana" w:eastAsia="Calibri" w:hAnsi="Verdana" w:cs="Arial"/>
                <w:bCs/>
                <w:lang w:val="es-ES_tradnl" w:eastAsia="es-MX"/>
              </w:rPr>
              <w:t>.</w:t>
            </w:r>
            <w:r w:rsidR="00C1421D">
              <w:rPr>
                <w:rFonts w:ascii="Verdana" w:eastAsia="Calibri" w:hAnsi="Verdana" w:cs="Arial"/>
                <w:bCs/>
                <w:lang w:eastAsia="es-MX"/>
              </w:rPr>
              <w:t xml:space="preserve"> </w:t>
            </w:r>
            <w:r w:rsidR="00223D88">
              <w:rPr>
                <w:rFonts w:ascii="Verdana" w:eastAsia="Calibri" w:hAnsi="Verdana" w:cs="Arial"/>
                <w:bCs/>
                <w:lang w:eastAsia="es-MX"/>
              </w:rPr>
              <w:t xml:space="preserve">Por lo que al </w:t>
            </w:r>
            <w:r w:rsidR="00223D88" w:rsidRPr="00223D88">
              <w:rPr>
                <w:rFonts w:ascii="Verdana" w:eastAsia="Calibri" w:hAnsi="Verdana" w:cs="Arial"/>
                <w:bCs/>
                <w:lang w:eastAsia="es-MX"/>
              </w:rPr>
              <w:t>iniciar un proceso de selección con</w:t>
            </w:r>
            <w:r w:rsidR="00223D88" w:rsidRPr="009E660D">
              <w:rPr>
                <w:rFonts w:ascii="Verdana" w:eastAsia="Calibri" w:hAnsi="Verdana" w:cs="Arial"/>
                <w:bCs/>
                <w:lang w:eastAsia="es-MX"/>
              </w:rPr>
              <w:t xml:space="preserve">tractual se deberá tener en cuenta el valor arrojado en el </w:t>
            </w:r>
            <w:r w:rsidR="00223D88" w:rsidRPr="009E660D">
              <w:rPr>
                <w:rFonts w:ascii="Verdana" w:eastAsia="Calibri" w:hAnsi="Verdana" w:cs="Arial"/>
                <w:bCs/>
                <w:lang w:eastAsia="es-MX"/>
              </w:rPr>
              <w:lastRenderedPageBreak/>
              <w:t>estudio de mercado para asegurar la disponibilidad presupuestal total y ajustar su necesidad a la capacidad financiera existente.</w:t>
            </w:r>
          </w:p>
          <w:p w14:paraId="30BD51CC" w14:textId="77777777" w:rsidR="009E660D" w:rsidRPr="009E660D" w:rsidRDefault="009E660D" w:rsidP="00CD7324">
            <w:pPr>
              <w:spacing w:line="276" w:lineRule="auto"/>
              <w:ind w:firstLine="709"/>
              <w:contextualSpacing/>
              <w:jc w:val="both"/>
              <w:rPr>
                <w:rFonts w:ascii="Verdana" w:hAnsi="Verdana"/>
              </w:rPr>
            </w:pPr>
            <w:r w:rsidRPr="009E660D">
              <w:rPr>
                <w:rFonts w:ascii="Verdana" w:hAnsi="Verdana"/>
              </w:rPr>
              <w:t>Ahora bien, debe tenerse en cuenta que, con fundamento en el marco constitucional del presupuesto público, existe el deber de las Entidades Estatales de contar con un certificado de disponibilidad presupuestal de forma previa a la asunción de obligaciones o compromisos de carácter contractual, como una garantía de la existencia de recursos suficientes para atender los gastos y obligaciones que serán contraídos por el Estado. De ahí que, el</w:t>
            </w:r>
            <w:r w:rsidRPr="009E660D">
              <w:rPr>
                <w:rFonts w:ascii="Verdana" w:hAnsi="Verdana"/>
              </w:rPr>
              <w:t xml:space="preserve"> </w:t>
            </w:r>
            <w:r w:rsidRPr="009E660D">
              <w:rPr>
                <w:rFonts w:ascii="Verdana" w:hAnsi="Verdana"/>
              </w:rPr>
              <w:t xml:space="preserve">numeral 6 del artículo 25 de la Ley 80 de 1993 disponga: “[l]as entidades estatales abrirán licitaciones e iniciarán procesos de suscripción de contratos, cuando existan las respectivas partidas o disponibilidades presupuestales”. </w:t>
            </w:r>
          </w:p>
          <w:p w14:paraId="63593ED0" w14:textId="77777777" w:rsidR="0087031A" w:rsidRPr="009E660D" w:rsidRDefault="009E660D" w:rsidP="00CD7324">
            <w:pPr>
              <w:spacing w:line="276" w:lineRule="auto"/>
              <w:ind w:firstLine="709"/>
              <w:contextualSpacing/>
              <w:jc w:val="both"/>
              <w:rPr>
                <w:rFonts w:ascii="Verdana" w:hAnsi="Verdana"/>
              </w:rPr>
            </w:pPr>
            <w:r w:rsidRPr="009E660D">
              <w:rPr>
                <w:rFonts w:ascii="Verdana" w:hAnsi="Verdana"/>
              </w:rP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D8F70B6" w14:textId="0CF6D63C" w:rsidR="009E660D" w:rsidRPr="00831CDD" w:rsidRDefault="009E660D" w:rsidP="00CD7324">
            <w:pPr>
              <w:spacing w:line="276" w:lineRule="auto"/>
              <w:ind w:firstLine="709"/>
              <w:contextualSpacing/>
              <w:jc w:val="both"/>
              <w:rPr>
                <w:rFonts w:ascii="Verdana" w:hAnsi="Verdana" w:cs="Arial"/>
                <w:bCs/>
                <w:color w:val="000000" w:themeColor="text1"/>
              </w:rPr>
            </w:pPr>
            <w:r w:rsidRPr="009E660D">
              <w:rPr>
                <w:rFonts w:ascii="Verdana"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87031A" w:rsidRPr="00593A5F" w14:paraId="2EC3A9A4" w14:textId="77777777" w:rsidTr="00580B7F">
        <w:tc>
          <w:tcPr>
            <w:tcW w:w="8828" w:type="dxa"/>
            <w:shd w:val="clear" w:color="auto" w:fill="auto"/>
          </w:tcPr>
          <w:p w14:paraId="46FE8F13" w14:textId="77777777" w:rsidR="0087031A" w:rsidRPr="002973E9" w:rsidRDefault="0087031A" w:rsidP="00580B7F">
            <w:pPr>
              <w:spacing w:line="276" w:lineRule="auto"/>
              <w:jc w:val="both"/>
              <w:rPr>
                <w:rFonts w:ascii="Verdana" w:eastAsia="Calibri" w:hAnsi="Verdana" w:cs="Arial"/>
                <w:lang w:val="es-ES"/>
              </w:rPr>
            </w:pPr>
          </w:p>
        </w:tc>
      </w:tr>
    </w:tbl>
    <w:p w14:paraId="234FB4F9" w14:textId="77777777" w:rsidR="0087031A" w:rsidRDefault="0087031A" w:rsidP="0087031A">
      <w:pPr>
        <w:tabs>
          <w:tab w:val="left" w:pos="142"/>
          <w:tab w:val="left" w:pos="284"/>
        </w:tabs>
        <w:spacing w:after="0" w:line="276" w:lineRule="auto"/>
        <w:jc w:val="both"/>
        <w:rPr>
          <w:rFonts w:ascii="Verdana" w:eastAsia="Century Gothic" w:hAnsi="Verdana" w:cs="Century Gothic"/>
          <w:b/>
          <w:bCs/>
          <w:lang w:val="es-ES"/>
        </w:rPr>
      </w:pPr>
    </w:p>
    <w:p w14:paraId="43DE775E" w14:textId="6AFA66BE" w:rsidR="0087031A"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34486A1" w14:textId="34459E95" w:rsidR="009E660D" w:rsidRDefault="009E660D" w:rsidP="009E660D">
      <w:pPr>
        <w:tabs>
          <w:tab w:val="left" w:pos="142"/>
          <w:tab w:val="left" w:pos="284"/>
        </w:tabs>
        <w:spacing w:after="0" w:line="276" w:lineRule="auto"/>
        <w:jc w:val="both"/>
        <w:rPr>
          <w:rFonts w:ascii="Verdana" w:eastAsia="Century Gothic" w:hAnsi="Verdana" w:cs="Century Gothic"/>
          <w:b/>
          <w:bCs/>
        </w:rPr>
      </w:pPr>
    </w:p>
    <w:p w14:paraId="32649C6B" w14:textId="77777777" w:rsidR="009E660D" w:rsidRPr="009E660D" w:rsidRDefault="009E660D" w:rsidP="009E660D">
      <w:pPr>
        <w:tabs>
          <w:tab w:val="left" w:pos="142"/>
          <w:tab w:val="left" w:pos="284"/>
        </w:tabs>
        <w:spacing w:after="0" w:line="276" w:lineRule="auto"/>
        <w:jc w:val="both"/>
        <w:rPr>
          <w:rFonts w:ascii="Verdana" w:hAnsi="Verdana"/>
        </w:rPr>
      </w:pPr>
      <w:r w:rsidRPr="009E660D">
        <w:rPr>
          <w:rFonts w:ascii="Verdana" w:hAnsi="Verdana"/>
        </w:rPr>
        <w:t xml:space="preserve">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Este análisis debe consultar el tipo de bienes y servicios que ofrece el mercado y sus características, especificaciones, precios, costos, riesgos, garantías, </w:t>
      </w:r>
      <w:r w:rsidRPr="009E660D">
        <w:rPr>
          <w:rFonts w:ascii="Verdana" w:hAnsi="Verdana"/>
        </w:rPr>
        <w:lastRenderedPageBreak/>
        <w:t xml:space="preserve">disponibilidad, oferentes, etc. Lo anterior con la finalidad de realizar la escogencia diligente de la mejor oferta, para beneficiar los intereses y fines públicos inmersos en la contratación de las Entidades Estatales. </w:t>
      </w:r>
    </w:p>
    <w:p w14:paraId="52948E72" w14:textId="6AD65F75" w:rsidR="00E1324D" w:rsidRPr="009E660D" w:rsidRDefault="009E660D" w:rsidP="009E660D">
      <w:pPr>
        <w:tabs>
          <w:tab w:val="left" w:pos="142"/>
          <w:tab w:val="left" w:pos="284"/>
        </w:tabs>
        <w:spacing w:after="0" w:line="276" w:lineRule="auto"/>
        <w:jc w:val="both"/>
        <w:rPr>
          <w:rFonts w:ascii="Verdana" w:hAnsi="Verdana"/>
        </w:rPr>
      </w:pPr>
      <w:r w:rsidRPr="009E660D">
        <w:rPr>
          <w:rFonts w:ascii="Verdana" w:hAnsi="Verdana"/>
        </w:rPr>
        <w:tab/>
      </w:r>
      <w:r w:rsidRPr="009E660D">
        <w:rPr>
          <w:rFonts w:ascii="Verdana" w:hAnsi="Verdana"/>
        </w:rPr>
        <w:tab/>
      </w:r>
      <w:r w:rsidRPr="009E660D">
        <w:rPr>
          <w:rFonts w:ascii="Verdana" w:hAnsi="Verdana"/>
        </w:rPr>
        <w:tab/>
      </w:r>
      <w:r w:rsidRPr="009E660D">
        <w:rPr>
          <w:rFonts w:ascii="Verdana" w:hAnsi="Verdana"/>
        </w:rPr>
        <w:t>En este sentido, durante la etapa de planeación de los procedimientos de contratación, las Entidades Estatales deben elaborar los estudios y documentos previos que sirven de base para estructurar el proyecto de pliegos, los pliegos de condiciones definitivos y el contrato. Dichos estudios y documentos previos deben incluir el contenido mínimo establecido en el artículo 2.2.1.1.2.1.1. del Decreto 1082 de 2015, que comprende la información relacionada con la</w:t>
      </w:r>
      <w:r w:rsidRPr="009E660D">
        <w:rPr>
          <w:rFonts w:ascii="Verdana" w:hAnsi="Verdana"/>
        </w:rPr>
        <w:t xml:space="preserve"> </w:t>
      </w:r>
      <w:r w:rsidRPr="009E660D">
        <w:rPr>
          <w:rFonts w:ascii="Verdana" w:hAnsi="Verdana"/>
        </w:rPr>
        <w:t>necesidad de la entidad, el objeto contractual, sus especificaciones, permisos, licencias, modalidad de selección, valor, criterios de selección, análisis de riesgo y forma de mitigarlo, garantías, entre otros.</w:t>
      </w:r>
    </w:p>
    <w:p w14:paraId="1A80893B" w14:textId="77777777" w:rsidR="009E660D" w:rsidRPr="009E660D" w:rsidRDefault="009E660D" w:rsidP="009E660D">
      <w:pPr>
        <w:tabs>
          <w:tab w:val="left" w:pos="142"/>
          <w:tab w:val="left" w:pos="284"/>
        </w:tabs>
        <w:spacing w:after="0" w:line="276" w:lineRule="auto"/>
        <w:jc w:val="both"/>
        <w:rPr>
          <w:rFonts w:ascii="Verdana" w:hAnsi="Verdana"/>
        </w:rPr>
      </w:pPr>
      <w:r w:rsidRPr="009E660D">
        <w:rPr>
          <w:rFonts w:ascii="Verdana" w:hAnsi="Verdana"/>
        </w:rPr>
        <w:tab/>
      </w:r>
      <w:r w:rsidRPr="009E660D">
        <w:rPr>
          <w:rFonts w:ascii="Verdana" w:hAnsi="Verdana"/>
        </w:rPr>
        <w:tab/>
      </w:r>
      <w:r w:rsidRPr="009E660D">
        <w:rPr>
          <w:rFonts w:ascii="Verdana" w:hAnsi="Verdana"/>
        </w:rPr>
        <w:tab/>
      </w:r>
      <w:r w:rsidRPr="009E660D">
        <w:rPr>
          <w:rFonts w:ascii="Verdana" w:hAnsi="Verdana"/>
        </w:rPr>
        <w:t xml:space="preserve">Respecto al valor del contrato, el numeral 4 del artículo citado establece que la entidad debe incluir en los estudios y documentos previos “el valor estimado del contrato y la justificación del mismo. Cuando el valor del contrato esté determinado por precios unitarios, la Entidad Estatal debe incluir la forma como los calculó y soportar sus cálculos de presupuesto en la estimación de aquellos”. Es decir, al estructurar el procedimiento de contratación se debe justificar la manera como definió el valor o presupuesto oficial. Para ello, se debe señalar, por ejemplo, si el valor del proceso de contratación se obtuvo del análisis de precios históricos del bien o servicio a adquirir, cotizaciones, actualización de valores de contratos anteriores, estudio de mercado, precios unitarios o cualquier otro mecanismo. </w:t>
      </w:r>
    </w:p>
    <w:p w14:paraId="6825A3AE" w14:textId="7A3A0B10" w:rsidR="009E660D" w:rsidRPr="009E660D" w:rsidRDefault="009E660D" w:rsidP="009E660D">
      <w:pPr>
        <w:tabs>
          <w:tab w:val="left" w:pos="142"/>
          <w:tab w:val="left" w:pos="284"/>
        </w:tabs>
        <w:spacing w:after="0" w:line="276" w:lineRule="auto"/>
        <w:jc w:val="both"/>
        <w:rPr>
          <w:rFonts w:ascii="Verdana" w:eastAsia="Calibri" w:hAnsi="Verdana" w:cs="Arial"/>
          <w:color w:val="000000" w:themeColor="text1"/>
        </w:rPr>
      </w:pPr>
      <w:r w:rsidRPr="009E660D">
        <w:rPr>
          <w:rFonts w:ascii="Verdana" w:hAnsi="Verdana"/>
        </w:rPr>
        <w:tab/>
      </w:r>
      <w:r w:rsidRPr="009E660D">
        <w:rPr>
          <w:rFonts w:ascii="Verdana" w:hAnsi="Verdana"/>
        </w:rPr>
        <w:tab/>
      </w:r>
      <w:r w:rsidRPr="009E660D">
        <w:rPr>
          <w:rFonts w:ascii="Verdana" w:hAnsi="Verdana"/>
        </w:rPr>
        <w:tab/>
      </w:r>
      <w:r w:rsidRPr="009E660D">
        <w:rPr>
          <w:rFonts w:ascii="Verdana" w:hAnsi="Verdana"/>
        </w:rPr>
        <w:t>Tratándose de precios unitarios, la entidad debe indicar la forma como los calculó y el soporte de la estimación de los mismos. En este caso, la entidad debe publicar, si esta fue la metodología utilizada, los análisis de precios unitarios o las cotizaciones, de manera que los interesados en el procedimiento de contratación puedan conocer y entender cómo se obtuvo el presupuesto oficial. Ello permitirá que los eventuales proponentes puedan realizar las estimaciones correspondientes, bien sea para presentar observaciones al procedimiento de contratación, por considerar que el presupuesto no es suficiente para cubrir el costo de los bienes o servicios a adquirir, o para decidir si se presenta oferta al procedimiento de selección.</w:t>
      </w:r>
    </w:p>
    <w:p w14:paraId="0FE0391B" w14:textId="450B7B2A" w:rsidR="00F11D40" w:rsidRPr="00794C2C" w:rsidRDefault="00F11D40" w:rsidP="00373E7B">
      <w:pPr>
        <w:pStyle w:val="Textoindependiente"/>
        <w:spacing w:line="276" w:lineRule="auto"/>
        <w:ind w:right="209" w:firstLine="708"/>
        <w:jc w:val="both"/>
        <w:rPr>
          <w:rFonts w:ascii="Verdana" w:hAnsi="Verdana"/>
        </w:rPr>
      </w:pPr>
      <w:r w:rsidRPr="00794C2C">
        <w:rPr>
          <w:rFonts w:ascii="Verdana" w:hAnsi="Verdana"/>
        </w:rPr>
        <w:t xml:space="preserve">Con base en la información obtenida en la etapa de planeación, la entidad debe estructurar los pliegos de condiciones, </w:t>
      </w:r>
      <w:r w:rsidR="009E660D">
        <w:rPr>
          <w:rFonts w:ascii="Verdana" w:hAnsi="Verdana"/>
        </w:rPr>
        <w:t>los cuales deben</w:t>
      </w:r>
      <w:r w:rsidRPr="00794C2C">
        <w:rPr>
          <w:rFonts w:ascii="Verdana" w:hAnsi="Verdana"/>
        </w:rPr>
        <w:t xml:space="preserve"> contener la información que señala el artículo </w:t>
      </w:r>
      <w:bookmarkStart w:id="7" w:name="_Hlk204013023"/>
      <w:r w:rsidRPr="00794C2C">
        <w:rPr>
          <w:rFonts w:ascii="Verdana" w:hAnsi="Verdana"/>
        </w:rPr>
        <w:t xml:space="preserve">2.2.1.1.2.1.3. </w:t>
      </w:r>
      <w:bookmarkEnd w:id="7"/>
      <w:r w:rsidRPr="00794C2C">
        <w:rPr>
          <w:rFonts w:ascii="Verdana" w:hAnsi="Verdana"/>
        </w:rPr>
        <w:t xml:space="preserve">del Decreto 1082 de 2015, </w:t>
      </w:r>
      <w:r w:rsidRPr="00794C2C">
        <w:rPr>
          <w:rFonts w:ascii="Verdana" w:hAnsi="Verdana"/>
        </w:rPr>
        <w:lastRenderedPageBreak/>
        <w:t>que incluye las reglas relacionadas con los criterios de evaluación y la presentación de las ofertas,</w:t>
      </w:r>
      <w:r w:rsidRPr="00794C2C">
        <w:rPr>
          <w:rFonts w:ascii="Verdana" w:hAnsi="Verdana"/>
          <w:spacing w:val="-17"/>
        </w:rPr>
        <w:t xml:space="preserve"> </w:t>
      </w:r>
      <w:r w:rsidRPr="00794C2C">
        <w:rPr>
          <w:rFonts w:ascii="Verdana" w:hAnsi="Verdana"/>
        </w:rPr>
        <w:t>así:</w:t>
      </w:r>
    </w:p>
    <w:p w14:paraId="27FB8A77" w14:textId="77777777" w:rsidR="00F11D40" w:rsidRPr="00794C2C" w:rsidRDefault="00F11D40" w:rsidP="00F11D40">
      <w:pPr>
        <w:pStyle w:val="Textoindependiente"/>
        <w:spacing w:before="6"/>
        <w:rPr>
          <w:rFonts w:ascii="Verdana" w:hAnsi="Verdana"/>
          <w:sz w:val="25"/>
        </w:rPr>
      </w:pPr>
    </w:p>
    <w:p w14:paraId="77FBBFE8" w14:textId="77777777" w:rsidR="00F11D40" w:rsidRPr="00794C2C" w:rsidRDefault="00F11D40" w:rsidP="00F11D40">
      <w:pPr>
        <w:ind w:left="709" w:right="709"/>
        <w:jc w:val="both"/>
        <w:rPr>
          <w:rFonts w:ascii="Verdana" w:hAnsi="Verdana"/>
          <w:sz w:val="20"/>
        </w:rPr>
      </w:pPr>
      <w:r w:rsidRPr="00794C2C">
        <w:rPr>
          <w:rFonts w:ascii="Verdana" w:hAnsi="Verdana"/>
          <w:sz w:val="20"/>
        </w:rPr>
        <w:t>Artículo 2.2.1.1.2.1.3. Pliegos de condiciones. Los pliegos de condiciones deben contener por lo menos la siguiente información:</w:t>
      </w:r>
    </w:p>
    <w:p w14:paraId="0FFE2ED4" w14:textId="77777777" w:rsidR="00F11D40" w:rsidRPr="00794C2C" w:rsidRDefault="00F11D40" w:rsidP="00F11D40">
      <w:pPr>
        <w:ind w:left="709" w:right="709"/>
        <w:jc w:val="both"/>
        <w:rPr>
          <w:rFonts w:ascii="Verdana" w:hAnsi="Verdana"/>
          <w:sz w:val="20"/>
        </w:rPr>
      </w:pPr>
      <w:r w:rsidRPr="00794C2C">
        <w:rPr>
          <w:rFonts w:ascii="Verdana" w:hAnsi="Verdana"/>
          <w:sz w:val="20"/>
        </w:rPr>
        <w:t>(…)</w:t>
      </w:r>
    </w:p>
    <w:p w14:paraId="20038264" w14:textId="77777777" w:rsidR="00F11D40" w:rsidRPr="00794C2C" w:rsidRDefault="00F11D40" w:rsidP="00373E7B">
      <w:pPr>
        <w:pStyle w:val="Prrafodelista"/>
        <w:widowControl w:val="0"/>
        <w:numPr>
          <w:ilvl w:val="0"/>
          <w:numId w:val="21"/>
        </w:numPr>
        <w:tabs>
          <w:tab w:val="left" w:pos="993"/>
        </w:tabs>
        <w:autoSpaceDE w:val="0"/>
        <w:autoSpaceDN w:val="0"/>
        <w:spacing w:after="0" w:line="240" w:lineRule="auto"/>
        <w:ind w:left="709" w:right="709" w:firstLine="0"/>
        <w:contextualSpacing w:val="0"/>
        <w:jc w:val="both"/>
        <w:rPr>
          <w:rFonts w:ascii="Verdana" w:hAnsi="Verdana"/>
          <w:sz w:val="20"/>
        </w:rPr>
      </w:pPr>
      <w:r w:rsidRPr="00794C2C">
        <w:rPr>
          <w:rFonts w:ascii="Verdana" w:hAnsi="Verdana"/>
          <w:sz w:val="20"/>
        </w:rPr>
        <w:t>Las condiciones de costo y/o calidad que la Entidad Estatal debe tener en cuenta para la selección objetiva, de acuerdo con la modalidad de selección del contratista.</w:t>
      </w:r>
    </w:p>
    <w:p w14:paraId="4B14314C" w14:textId="77777777" w:rsidR="00F11D40" w:rsidRPr="00794C2C" w:rsidRDefault="00F11D40" w:rsidP="00373E7B">
      <w:pPr>
        <w:pStyle w:val="Prrafodelista"/>
        <w:widowControl w:val="0"/>
        <w:numPr>
          <w:ilvl w:val="0"/>
          <w:numId w:val="21"/>
        </w:numPr>
        <w:tabs>
          <w:tab w:val="left" w:pos="993"/>
        </w:tabs>
        <w:autoSpaceDE w:val="0"/>
        <w:autoSpaceDN w:val="0"/>
        <w:spacing w:after="0" w:line="240" w:lineRule="auto"/>
        <w:ind w:left="709" w:right="709" w:firstLine="0"/>
        <w:contextualSpacing w:val="0"/>
        <w:jc w:val="both"/>
        <w:rPr>
          <w:rFonts w:ascii="Verdana" w:hAnsi="Verdana"/>
          <w:sz w:val="20"/>
        </w:rPr>
      </w:pPr>
      <w:r w:rsidRPr="00794C2C">
        <w:rPr>
          <w:rFonts w:ascii="Verdana" w:hAnsi="Verdana"/>
          <w:sz w:val="20"/>
        </w:rPr>
        <w:t>Las reglas aplicables a la presentación de las ofertas, su evaluación y a la adjudicación del</w:t>
      </w:r>
      <w:r w:rsidRPr="00794C2C">
        <w:rPr>
          <w:rFonts w:ascii="Verdana" w:hAnsi="Verdana"/>
          <w:spacing w:val="-4"/>
          <w:sz w:val="20"/>
        </w:rPr>
        <w:t xml:space="preserve"> </w:t>
      </w:r>
      <w:r w:rsidRPr="00794C2C">
        <w:rPr>
          <w:rFonts w:ascii="Verdana" w:hAnsi="Verdana"/>
          <w:sz w:val="20"/>
        </w:rPr>
        <w:t>contrato.</w:t>
      </w:r>
    </w:p>
    <w:p w14:paraId="2D6139CD" w14:textId="77777777" w:rsidR="00373E7B" w:rsidRDefault="00373E7B" w:rsidP="00F11D40">
      <w:pPr>
        <w:pStyle w:val="Textoindependiente"/>
        <w:spacing w:line="276" w:lineRule="auto"/>
        <w:ind w:right="211"/>
        <w:jc w:val="both"/>
        <w:rPr>
          <w:rFonts w:ascii="Verdana" w:hAnsi="Verdana"/>
        </w:rPr>
      </w:pPr>
    </w:p>
    <w:p w14:paraId="330387DC" w14:textId="77777777" w:rsidR="009E660D" w:rsidRPr="009E660D" w:rsidRDefault="009E660D" w:rsidP="00373E7B">
      <w:pPr>
        <w:pStyle w:val="Textoindependiente"/>
        <w:spacing w:line="276" w:lineRule="auto"/>
        <w:ind w:right="211" w:firstLine="708"/>
        <w:jc w:val="both"/>
        <w:rPr>
          <w:rFonts w:ascii="Verdana" w:hAnsi="Verdana"/>
        </w:rPr>
      </w:pPr>
      <w:r w:rsidRPr="009E660D">
        <w:rPr>
          <w:rFonts w:ascii="Verdana" w:hAnsi="Verdana"/>
        </w:rPr>
        <w:t xml:space="preserve">Conforme a los anteriores numerales, la entidad debe definir clara y expresamente los aspectos a evaluar relacionados con el costo y calidad ofertados por los proponentes, así como las reglas que deben seguir los proponentes para elaborar y presentar sus ofertas. Estas disposiciones imponen la obligación de definir, en los pliegos de condiciones, las reglas que debe tener en cuenta el proponente para estructurar su ofrecimiento, y a las cuales se sujeta la entidad al realizar la verificación del cumplimiento de los requisitos previamente establecidos. </w:t>
      </w:r>
    </w:p>
    <w:p w14:paraId="280E847B" w14:textId="77777777" w:rsidR="009E660D" w:rsidRPr="009E660D" w:rsidRDefault="009E660D" w:rsidP="00373E7B">
      <w:pPr>
        <w:pStyle w:val="Textoindependiente"/>
        <w:spacing w:line="276" w:lineRule="auto"/>
        <w:ind w:right="211" w:firstLine="708"/>
        <w:jc w:val="both"/>
        <w:rPr>
          <w:rFonts w:ascii="Verdana" w:hAnsi="Verdana"/>
        </w:rPr>
      </w:pPr>
      <w:r w:rsidRPr="009E660D">
        <w:rPr>
          <w:rFonts w:ascii="Verdana" w:hAnsi="Verdana"/>
        </w:rPr>
        <w:t>Por lo tanto, se reitera que la evaluación de las ofertas debe realizarse conforme a las reglas definidas en el pliego de condiciones durante la etapa de planeación, incluidas las modificaciones realizadas producto de las observaciones presentadas por los interesados y previo a la recepción de las ofertas. Esto, por cuanto el pliego de condiciones constituye la ley del contrato y donde se deben fijar las reglas claras, objetivas, justas y completas del procedimiento de contratación.</w:t>
      </w:r>
    </w:p>
    <w:p w14:paraId="1EC656F5" w14:textId="547062C2" w:rsidR="00F11D40" w:rsidRPr="009E660D" w:rsidRDefault="009E660D" w:rsidP="009E660D">
      <w:pPr>
        <w:pStyle w:val="Textoindependiente"/>
        <w:spacing w:line="276" w:lineRule="auto"/>
        <w:ind w:right="211" w:firstLine="708"/>
        <w:jc w:val="both"/>
        <w:rPr>
          <w:rFonts w:ascii="Verdana" w:hAnsi="Verdana"/>
        </w:rPr>
      </w:pPr>
      <w:r w:rsidRPr="009E660D">
        <w:rPr>
          <w:rFonts w:ascii="Verdana" w:hAnsi="Verdana"/>
        </w:rPr>
        <w:t xml:space="preserve"> Ahora bien, el precio se entiende como el “valor pecuniario en que se estima algo”</w:t>
      </w:r>
      <w:r>
        <w:rPr>
          <w:rStyle w:val="Refdenotaalpie"/>
          <w:rFonts w:ascii="Verdana" w:hAnsi="Verdana"/>
        </w:rPr>
        <w:footnoteReference w:id="1"/>
      </w:r>
      <w:r w:rsidRPr="009E660D">
        <w:rPr>
          <w:rFonts w:ascii="Verdana" w:hAnsi="Verdana"/>
        </w:rPr>
        <w:t>. En nuestro ordenamiento jurídico, tanto el Código Civil como el Código de Comercio definen el precio. Ambas codificaciones, al regular el contrato de compraventa, definen el precio como el dinero que el comprador entrega a cambio de la cosa vendida:</w:t>
      </w:r>
    </w:p>
    <w:p w14:paraId="3A02B91D" w14:textId="77777777" w:rsidR="00F11D40" w:rsidRPr="00794C2C" w:rsidRDefault="00F11D40" w:rsidP="00F11D40">
      <w:pPr>
        <w:spacing w:after="120" w:line="240" w:lineRule="auto"/>
        <w:ind w:left="709" w:right="709"/>
        <w:jc w:val="both"/>
        <w:rPr>
          <w:rFonts w:ascii="Verdana" w:eastAsia="Calibri" w:hAnsi="Verdana" w:cs="Arial"/>
          <w:sz w:val="21"/>
          <w:szCs w:val="21"/>
          <w:lang w:val="es-MX"/>
        </w:rPr>
      </w:pPr>
      <w:r w:rsidRPr="00794C2C">
        <w:rPr>
          <w:rFonts w:ascii="Verdana" w:eastAsia="Calibri" w:hAnsi="Verdana" w:cs="Arial"/>
          <w:sz w:val="21"/>
          <w:szCs w:val="21"/>
          <w:lang w:val="es-MX"/>
        </w:rPr>
        <w:t>“[</w:t>
      </w:r>
      <w:bookmarkStart w:id="8" w:name="_Hlk204013098"/>
      <w:r w:rsidRPr="00794C2C">
        <w:rPr>
          <w:rFonts w:ascii="Verdana" w:eastAsia="Calibri" w:hAnsi="Verdana" w:cs="Arial"/>
          <w:sz w:val="21"/>
          <w:szCs w:val="21"/>
          <w:lang w:val="es-MX"/>
        </w:rPr>
        <w:t>Artículo 1849 del Código Civil</w:t>
      </w:r>
      <w:bookmarkEnd w:id="8"/>
      <w:r w:rsidRPr="00794C2C">
        <w:rPr>
          <w:rFonts w:ascii="Verdana" w:eastAsia="Calibri" w:hAnsi="Verdana" w:cs="Arial"/>
          <w:sz w:val="21"/>
          <w:szCs w:val="21"/>
          <w:lang w:val="es-MX"/>
        </w:rPr>
        <w:t xml:space="preserve">]: La compraventa es un contrato en que una de las partes se obliga a dar una cosa y la otra a pagarla en </w:t>
      </w:r>
      <w:r w:rsidRPr="00794C2C">
        <w:rPr>
          <w:rFonts w:ascii="Verdana" w:eastAsia="Calibri" w:hAnsi="Verdana" w:cs="Arial"/>
          <w:sz w:val="21"/>
          <w:szCs w:val="21"/>
          <w:lang w:val="es-MX"/>
        </w:rPr>
        <w:lastRenderedPageBreak/>
        <w:t>dinero. Aquella se dice vender y esta comprar. El dinero que el comprador da por la cosa vendida se llama precio.</w:t>
      </w:r>
    </w:p>
    <w:p w14:paraId="15846BA6" w14:textId="77777777" w:rsidR="00F11D40" w:rsidRPr="00794C2C" w:rsidRDefault="00F11D40" w:rsidP="00F11D40">
      <w:pPr>
        <w:spacing w:after="0" w:line="240" w:lineRule="auto"/>
        <w:ind w:left="709" w:right="709"/>
        <w:jc w:val="both"/>
        <w:rPr>
          <w:rFonts w:ascii="Verdana" w:eastAsia="Calibri" w:hAnsi="Verdana" w:cs="Arial"/>
          <w:sz w:val="21"/>
          <w:szCs w:val="21"/>
          <w:lang w:val="es-MX"/>
        </w:rPr>
      </w:pPr>
      <w:r w:rsidRPr="00794C2C">
        <w:rPr>
          <w:rFonts w:ascii="Verdana" w:eastAsia="Calibri" w:hAnsi="Verdana" w:cs="Arial"/>
          <w:sz w:val="21"/>
          <w:szCs w:val="21"/>
          <w:lang w:val="es-MX"/>
        </w:rPr>
        <w:t>[</w:t>
      </w:r>
      <w:bookmarkStart w:id="9" w:name="_Hlk204013106"/>
      <w:r w:rsidRPr="00794C2C">
        <w:rPr>
          <w:rFonts w:ascii="Verdana" w:eastAsia="Calibri" w:hAnsi="Verdana" w:cs="Arial"/>
          <w:sz w:val="21"/>
          <w:szCs w:val="21"/>
          <w:lang w:val="es-MX"/>
        </w:rPr>
        <w:t>Artículo 905 del Código de Comercio</w:t>
      </w:r>
      <w:bookmarkEnd w:id="9"/>
      <w:r w:rsidRPr="00794C2C">
        <w:rPr>
          <w:rFonts w:ascii="Verdana" w:eastAsia="Calibri" w:hAnsi="Verdana" w:cs="Arial"/>
          <w:sz w:val="21"/>
          <w:szCs w:val="21"/>
          <w:lang w:val="es-MX"/>
        </w:rPr>
        <w:t>]: La compraventa es un contrato en que una de las partes se obliga a trasmitir la propiedad de una cosa y la otra a pagarla en dinero. El dinero que el comprador da por la cosa vendida se llama precio”.</w:t>
      </w:r>
    </w:p>
    <w:p w14:paraId="1422782E" w14:textId="77777777" w:rsidR="00F11D40" w:rsidRPr="00794C2C" w:rsidRDefault="00F11D40" w:rsidP="00F11D40">
      <w:pPr>
        <w:spacing w:after="120" w:line="276" w:lineRule="auto"/>
        <w:jc w:val="both"/>
        <w:rPr>
          <w:rFonts w:ascii="Verdana" w:hAnsi="Verdana" w:cs="Arial"/>
          <w:bCs/>
          <w:lang w:val="es-ES_tradnl"/>
        </w:rPr>
      </w:pPr>
      <w:bookmarkStart w:id="10" w:name="_Hlk131175734"/>
    </w:p>
    <w:p w14:paraId="51E240B5" w14:textId="77777777" w:rsidR="009E660D" w:rsidRDefault="00F11D40" w:rsidP="00373E7B">
      <w:pPr>
        <w:spacing w:after="120" w:line="276" w:lineRule="auto"/>
        <w:ind w:firstLine="708"/>
        <w:jc w:val="both"/>
        <w:rPr>
          <w:rFonts w:ascii="Verdana" w:hAnsi="Verdana" w:cs="Arial"/>
          <w:bCs/>
          <w:lang w:val="es-ES_tradnl"/>
        </w:rPr>
      </w:pPr>
      <w:r w:rsidRPr="00794C2C">
        <w:rPr>
          <w:rFonts w:ascii="Verdana" w:hAnsi="Verdana" w:cs="Arial"/>
          <w:bCs/>
          <w:lang w:val="es-ES_tradnl"/>
        </w:rPr>
        <w:t>Como es sabido, uno de los elementos de los contratos estatales es el precio,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pactado por escrito entre la entidad estatal y el contratista</w:t>
      </w:r>
      <w:r w:rsidRPr="00794C2C">
        <w:rPr>
          <w:rStyle w:val="Refdenotaalpie"/>
          <w:rFonts w:ascii="Verdana" w:hAnsi="Verdana" w:cs="Arial"/>
          <w:bCs/>
          <w:lang w:val="es-ES_tradnl"/>
        </w:rPr>
        <w:footnoteReference w:id="2"/>
      </w:r>
      <w:r w:rsidRPr="00794C2C">
        <w:rPr>
          <w:rFonts w:ascii="Verdana" w:hAnsi="Verdana" w:cs="Arial"/>
          <w:bCs/>
          <w:lang w:val="es-ES_tradnl"/>
        </w:rPr>
        <w:t>.</w:t>
      </w:r>
    </w:p>
    <w:p w14:paraId="09692B05" w14:textId="15EF8007" w:rsidR="00F11D40" w:rsidRPr="00794C2C" w:rsidRDefault="009E660D" w:rsidP="00373E7B">
      <w:pPr>
        <w:spacing w:after="120" w:line="276" w:lineRule="auto"/>
        <w:ind w:firstLine="708"/>
        <w:jc w:val="both"/>
        <w:rPr>
          <w:rFonts w:ascii="Verdana" w:hAnsi="Verdana" w:cs="Arial"/>
          <w:bCs/>
          <w:lang w:val="es-ES_tradnl"/>
        </w:rPr>
      </w:pPr>
      <w:r>
        <w:rPr>
          <w:rFonts w:ascii="Verdana" w:hAnsi="Verdana" w:cs="Arial"/>
          <w:bCs/>
          <w:lang w:val="es-ES_tradnl"/>
        </w:rPr>
        <w:t>Así las cosas, e</w:t>
      </w:r>
      <w:r w:rsidR="00F11D40" w:rsidRPr="00794C2C">
        <w:rPr>
          <w:rFonts w:ascii="Verdana" w:hAnsi="Verdana" w:cs="Arial"/>
          <w:bCs/>
          <w:lang w:val="es-ES_tradnl"/>
        </w:rPr>
        <w:t>l precio es un importante elemento para el contratista, porque equivale a la remuneración que la entidad contratante le pagará como retribución por la ejecución de las obligaciones de dar, hacer o no hacer previstas a su cargo en el contrato. El precio, entonces, es el valor que se da por el objeto, generalmente en dinero, que debe ser determinado o determinable</w:t>
      </w:r>
      <w:r w:rsidR="00F11D40" w:rsidRPr="00794C2C">
        <w:rPr>
          <w:rStyle w:val="Refdenotaalpie"/>
          <w:rFonts w:ascii="Verdana" w:hAnsi="Verdana" w:cs="Arial"/>
          <w:bCs/>
          <w:lang w:val="es-ES_tradnl"/>
        </w:rPr>
        <w:footnoteReference w:id="3"/>
      </w:r>
      <w:r w:rsidR="00F11D40" w:rsidRPr="00794C2C">
        <w:rPr>
          <w:rFonts w:ascii="Verdana" w:hAnsi="Verdana" w:cs="Arial"/>
          <w:bCs/>
          <w:lang w:val="es-ES_tradnl"/>
        </w:rPr>
        <w:t>, en los términos de los artículos 1864 y 1865 del Código Civil y, de manera general está compuesto por dos elementos esenciales: los costos y la utilidad, cuya estructuración interna depende de las condiciones técnicas, financieras, regulatorias, etc. de cada contrato</w:t>
      </w:r>
      <w:r w:rsidR="00F11D40" w:rsidRPr="00794C2C">
        <w:rPr>
          <w:rStyle w:val="Refdenotaalpie"/>
          <w:rFonts w:ascii="Verdana" w:hAnsi="Verdana" w:cs="Arial"/>
          <w:bCs/>
          <w:lang w:val="es-ES_tradnl"/>
        </w:rPr>
        <w:footnoteReference w:id="4"/>
      </w:r>
      <w:r w:rsidR="00F11D40" w:rsidRPr="00794C2C">
        <w:rPr>
          <w:rFonts w:ascii="Verdana" w:hAnsi="Verdana" w:cs="Arial"/>
          <w:bCs/>
          <w:lang w:val="es-ES_tradnl"/>
        </w:rPr>
        <w:t>.</w:t>
      </w:r>
      <w:bookmarkStart w:id="12" w:name="_Hlk131175799"/>
      <w:bookmarkEnd w:id="10"/>
    </w:p>
    <w:p w14:paraId="6B600384" w14:textId="77777777" w:rsidR="00495D1B" w:rsidRPr="00495D1B" w:rsidRDefault="00F11D40" w:rsidP="00373E7B">
      <w:pPr>
        <w:spacing w:after="120" w:line="276" w:lineRule="auto"/>
        <w:ind w:firstLine="360"/>
        <w:jc w:val="both"/>
        <w:rPr>
          <w:rFonts w:ascii="Verdana" w:hAnsi="Verdana" w:cs="Arial"/>
          <w:lang w:val="es-ES"/>
        </w:rPr>
      </w:pPr>
      <w:r w:rsidRPr="00794C2C">
        <w:rPr>
          <w:rFonts w:ascii="Verdana" w:hAnsi="Verdana" w:cs="Arial"/>
          <w:lang w:val="es-ES"/>
        </w:rPr>
        <w:t xml:space="preserve">Desde la etapa de planeación, en la fase precontractual, las entidades estatales deben calcular tanto el valor estimado del contrato como el presupuesto oficial destinado para satisfacer la necesidad que se pretende suplir con el </w:t>
      </w:r>
      <w:r w:rsidRPr="00495D1B">
        <w:rPr>
          <w:rFonts w:ascii="Verdana" w:hAnsi="Verdana" w:cs="Arial"/>
          <w:lang w:val="es-ES"/>
        </w:rPr>
        <w:t xml:space="preserve">contrato, mediante la realización del análisis del sector –que incluye el </w:t>
      </w:r>
      <w:r w:rsidRPr="00495D1B">
        <w:rPr>
          <w:rFonts w:ascii="Verdana" w:hAnsi="Verdana" w:cs="Arial"/>
          <w:lang w:val="es-ES"/>
        </w:rPr>
        <w:lastRenderedPageBreak/>
        <w:t xml:space="preserve">estudio del mercado– y definir la metodología con la cual estructurarán el precio del contrato. Dicho de otro modo, hace parte de los estudios previos la definición del esquema que la Administración usará para estipular el precio. </w:t>
      </w:r>
    </w:p>
    <w:p w14:paraId="22A41C09" w14:textId="061E7381" w:rsidR="00F11D40" w:rsidRPr="00495D1B" w:rsidRDefault="00F11D40" w:rsidP="00495D1B">
      <w:pPr>
        <w:spacing w:after="120" w:line="276" w:lineRule="auto"/>
        <w:ind w:firstLine="708"/>
        <w:jc w:val="both"/>
        <w:rPr>
          <w:rFonts w:ascii="Verdana" w:hAnsi="Verdana" w:cs="Arial"/>
          <w:lang w:val="es-ES"/>
        </w:rPr>
      </w:pPr>
      <w:r w:rsidRPr="00495D1B">
        <w:rPr>
          <w:rFonts w:ascii="Verdana" w:hAnsi="Verdana" w:cs="Arial"/>
          <w:lang w:val="es-ES"/>
        </w:rPr>
        <w:t>Tal metodología</w:t>
      </w:r>
      <w:r w:rsidR="00495D1B" w:rsidRPr="00495D1B">
        <w:rPr>
          <w:rFonts w:ascii="Verdana" w:hAnsi="Verdana" w:cs="Arial"/>
          <w:lang w:val="es-ES"/>
        </w:rPr>
        <w:t>,</w:t>
      </w:r>
      <w:r w:rsidRPr="00495D1B">
        <w:rPr>
          <w:rFonts w:ascii="Verdana" w:hAnsi="Verdana" w:cs="Arial"/>
          <w:lang w:val="es-ES"/>
        </w:rPr>
        <w:t xml:space="preserve"> generalmente</w:t>
      </w:r>
      <w:r w:rsidR="00495D1B" w:rsidRPr="00495D1B">
        <w:rPr>
          <w:rFonts w:ascii="Verdana" w:hAnsi="Verdana" w:cs="Arial"/>
          <w:lang w:val="es-ES"/>
        </w:rPr>
        <w:t>,</w:t>
      </w:r>
      <w:r w:rsidRPr="00495D1B">
        <w:rPr>
          <w:rFonts w:ascii="Verdana" w:hAnsi="Verdana" w:cs="Arial"/>
          <w:lang w:val="es-ES"/>
        </w:rPr>
        <w:t xml:space="preserve"> depende del tipo de contrato, pues hay algunas modalidades más comunes en los de obra pública; otras más utilizadas en los de prestación de servicios y otras más indicadas para los de concesión, por mencionar algunos ejemplos</w:t>
      </w:r>
      <w:r w:rsidRPr="00495D1B">
        <w:rPr>
          <w:rStyle w:val="Refdenotaalpie"/>
          <w:rFonts w:ascii="Verdana" w:hAnsi="Verdana" w:cs="Arial"/>
          <w:lang w:val="es-ES"/>
        </w:rPr>
        <w:footnoteReference w:id="5"/>
      </w:r>
      <w:r w:rsidRPr="00495D1B">
        <w:rPr>
          <w:rFonts w:ascii="Verdana" w:hAnsi="Verdana" w:cs="Arial"/>
          <w:lang w:val="es-ES"/>
        </w:rPr>
        <w:t xml:space="preserve">. No </w:t>
      </w:r>
      <w:r w:rsidR="00495D1B" w:rsidRPr="00495D1B">
        <w:rPr>
          <w:rFonts w:ascii="Verdana" w:hAnsi="Verdana" w:cs="Arial"/>
          <w:lang w:val="es-ES"/>
        </w:rPr>
        <w:t>existe, por tanto,</w:t>
      </w:r>
      <w:r w:rsidRPr="00495D1B">
        <w:rPr>
          <w:rFonts w:ascii="Verdana" w:hAnsi="Verdana" w:cs="Arial"/>
          <w:lang w:val="es-ES"/>
        </w:rPr>
        <w:t xml:space="preserve">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bookmarkEnd w:id="12"/>
    </w:p>
    <w:p w14:paraId="3B85EA3D" w14:textId="3905C39E" w:rsidR="00495D1B" w:rsidRPr="00495D1B" w:rsidRDefault="00495D1B" w:rsidP="00495D1B">
      <w:pPr>
        <w:spacing w:after="120" w:line="276" w:lineRule="auto"/>
        <w:ind w:firstLine="708"/>
        <w:jc w:val="both"/>
        <w:rPr>
          <w:rFonts w:ascii="Verdana" w:hAnsi="Verdana"/>
        </w:rPr>
      </w:pPr>
      <w:r w:rsidRPr="00495D1B">
        <w:rPr>
          <w:rFonts w:ascii="Verdana" w:hAnsi="Verdana"/>
        </w:rPr>
        <w:t xml:space="preserve">Por ello, en la etapa previa a la contratación y dependiendo de la tipología contractual, las Entidades Estatales deben determinar la metodología mediante la cual realizarán el cálculo del valor o precio del contrato apoyándose, entre otros aspectos, en la costumbre mercantil o el conocimiento impartido en ciencias como la ingeniería, de las que son propias los sistemas de precios unitarios y la metodología del factor multiplicador. Sin embargo, es preciso aclarar que estos sistemas de fijación de precios no son asuntos expresamente regulados en el conjunto de las disposiciones legales o reglamentarias que </w:t>
      </w:r>
      <w:r w:rsidRPr="00495D1B">
        <w:rPr>
          <w:rFonts w:ascii="Verdana" w:hAnsi="Verdana"/>
        </w:rPr>
        <w:lastRenderedPageBreak/>
        <w:t>integran la normativa contractual del Estado, pues su justificación procede incluso de la formación universitaria que reciben los ingenieros, a quienes se les enseña esta metodología para elaborar las ofertas</w:t>
      </w:r>
      <w:r w:rsidRPr="00495D1B">
        <w:rPr>
          <w:rStyle w:val="Refdenotaalpie"/>
          <w:rFonts w:ascii="Verdana" w:hAnsi="Verdana"/>
        </w:rPr>
        <w:footnoteReference w:id="6"/>
      </w:r>
      <w:r w:rsidRPr="00495D1B">
        <w:rPr>
          <w:rFonts w:ascii="Verdana" w:hAnsi="Verdana"/>
        </w:rPr>
        <w:t xml:space="preserve">. </w:t>
      </w:r>
    </w:p>
    <w:p w14:paraId="62FE7031" w14:textId="77777777" w:rsidR="00495D1B" w:rsidRPr="00495D1B" w:rsidRDefault="00495D1B" w:rsidP="00495D1B">
      <w:pPr>
        <w:spacing w:after="120" w:line="276" w:lineRule="auto"/>
        <w:ind w:firstLine="708"/>
        <w:jc w:val="both"/>
        <w:rPr>
          <w:rFonts w:ascii="Verdana" w:hAnsi="Verdana"/>
        </w:rPr>
      </w:pPr>
      <w:r w:rsidRPr="00495D1B">
        <w:rPr>
          <w:rFonts w:ascii="Verdana" w:hAnsi="Verdana"/>
        </w:rPr>
        <w:t xml:space="preserve">De esta manera, la entidad desde los estudios previos debe calcular un valor estimado del contrato que sirva de base al presupuesto oficial y esté sustentado en fuentes de mercado fiables. Por lo que al iniciar un proceso de selección contractual se deberá tener en cuenta el valor arrojado en el estudio de mercado para asegurar la disponibilidad presupuestal total y ajustar su necesidad a la capacidad financiera existente. </w:t>
      </w:r>
    </w:p>
    <w:p w14:paraId="0B14B5EF" w14:textId="77777777" w:rsidR="00495D1B" w:rsidRPr="00495D1B" w:rsidRDefault="00495D1B" w:rsidP="00495D1B">
      <w:pPr>
        <w:spacing w:after="120" w:line="276" w:lineRule="auto"/>
        <w:ind w:firstLine="708"/>
        <w:jc w:val="both"/>
        <w:rPr>
          <w:rFonts w:ascii="Verdana" w:hAnsi="Verdana"/>
        </w:rPr>
      </w:pPr>
      <w:r w:rsidRPr="00495D1B">
        <w:rPr>
          <w:rFonts w:ascii="Verdana" w:hAnsi="Verdana"/>
        </w:rPr>
        <w:t>Ahora bien, debe precisarse que, para la debida asignación y distribución de los recursos públicos, las Entidades Estatales deben cumplir con los procedimientos señalados en las normas para su correcta ejecución, observando</w:t>
      </w:r>
      <w:r w:rsidRPr="00495D1B">
        <w:rPr>
          <w:rFonts w:ascii="Verdana" w:hAnsi="Verdana"/>
        </w:rPr>
        <w:t xml:space="preserve"> </w:t>
      </w:r>
      <w:r w:rsidRPr="00495D1B">
        <w:rPr>
          <w:rFonts w:ascii="Verdana" w:hAnsi="Verdana"/>
        </w:rPr>
        <w:t>la regulación presupuestal, donde se establecen diferentes requisitos que comportan deberes ineludibles que tienen como finalidad el control del gasto. Una forma de ejecutar el presupuesto consiste en la celebración de contratos estatales, con la finalidad de adquirir bienes, obras o servicios requeridos para la satisfacción de las necesidades de las Entidades Estatales.</w:t>
      </w:r>
    </w:p>
    <w:p w14:paraId="5941C406" w14:textId="7049A10B" w:rsidR="00495D1B" w:rsidRPr="00495D1B" w:rsidRDefault="00495D1B" w:rsidP="00495D1B">
      <w:pPr>
        <w:spacing w:after="120" w:line="276" w:lineRule="auto"/>
        <w:ind w:firstLine="708"/>
        <w:jc w:val="both"/>
        <w:rPr>
          <w:rFonts w:ascii="Verdana" w:hAnsi="Verdana"/>
        </w:rPr>
      </w:pPr>
      <w:r w:rsidRPr="00495D1B">
        <w:rPr>
          <w:rFonts w:ascii="Verdana" w:hAnsi="Verdana"/>
        </w:rPr>
        <w:t xml:space="preserve"> En desarrollo de lo anterior, los artículos 345, 346 y 347 de la Constitución Política establece los principios esenciales del presupuesto público, que gobiernan el régimen presupuestal contenido en el Estatuto Orgánico del Presupuesto –EOP–. Sobre el particular, la Corte Constitucional ha explicado que la disponibilidad presupuestal se constituye en un instrumento protector del principio constitucional de la legalidad del gasto público, así: “[e]n relación con la exigencia de disponibilidad presupuestal, ella hace parte del principio de legalidad del gasto público, estableciendo en los artículos 345, 346 y 347 de la Constitución Política, (…) la disponibilidad se concibe como un instrumento mediante el cual se busca prevenir o evitar que el gasto sea realizado por encima del monto máximo autorizado por la correspondiente ley anual del presupuesto durante su ejecución. […]”</w:t>
      </w:r>
      <w:r w:rsidRPr="00495D1B">
        <w:rPr>
          <w:rStyle w:val="Refdenotaalpie"/>
          <w:rFonts w:ascii="Verdana" w:hAnsi="Verdana"/>
        </w:rPr>
        <w:footnoteReference w:id="7"/>
      </w:r>
      <w:r w:rsidRPr="00495D1B">
        <w:rPr>
          <w:rFonts w:ascii="Verdana" w:hAnsi="Verdana"/>
        </w:rPr>
        <w:t>.</w:t>
      </w:r>
    </w:p>
    <w:p w14:paraId="0C2682E8" w14:textId="77777777" w:rsidR="00495D1B" w:rsidRPr="00495D1B" w:rsidRDefault="00495D1B" w:rsidP="00495D1B">
      <w:pPr>
        <w:spacing w:after="120" w:line="276" w:lineRule="auto"/>
        <w:ind w:firstLine="708"/>
        <w:jc w:val="both"/>
        <w:rPr>
          <w:rFonts w:ascii="Verdana" w:hAnsi="Verdana"/>
        </w:rPr>
      </w:pPr>
      <w:r w:rsidRPr="00495D1B">
        <w:rPr>
          <w:rFonts w:ascii="Verdana" w:hAnsi="Verdana"/>
        </w:rPr>
        <w:t xml:space="preserve">De acuerdo con el marco constitucional del presupuesto público colombiano y la interpretación realizada por la jurisprudencia constitucional, el deber de contar con la disponibilidad de recursos para asumir un gasto o una </w:t>
      </w:r>
      <w:r w:rsidRPr="00495D1B">
        <w:rPr>
          <w:rFonts w:ascii="Verdana" w:hAnsi="Verdana"/>
        </w:rPr>
        <w:lastRenderedPageBreak/>
        <w:t xml:space="preserve">obligación por parte de una entidad del Estado, es una expresión del principio de legalidad del gasto público que se enmarca en el mandato constitucional de la legalidad de las actuaciones públicas y que permea todo el régimen presupuestal regulado por el Estatuto Orgánico del Presupuesto. </w:t>
      </w:r>
    </w:p>
    <w:p w14:paraId="7B7C45D6" w14:textId="77777777" w:rsidR="00495D1B" w:rsidRPr="00495D1B" w:rsidRDefault="00495D1B" w:rsidP="00495D1B">
      <w:pPr>
        <w:spacing w:after="120" w:line="276" w:lineRule="auto"/>
        <w:ind w:firstLine="708"/>
        <w:jc w:val="both"/>
        <w:rPr>
          <w:rFonts w:ascii="Verdana" w:hAnsi="Verdana"/>
        </w:rPr>
      </w:pPr>
      <w:r w:rsidRPr="00495D1B">
        <w:rPr>
          <w:rFonts w:ascii="Verdana" w:hAnsi="Verdana"/>
        </w:rPr>
        <w:t>En ese sentido, se tiene que, con fundamento en el marco constitucional del presupuesto público, existe el deber de las Entidades Estatales de contar con un certificado de disponibilidad presupuestal de forma previa a la asunción de obligaciones o compromisos de carácter contractual, como una garantía de la existencia de recursos suficientes para atender los gastos y obligaciones que serán contraídos por el Estado. De ahí que, el numeral 6 del artículo 25 de la Ley 80 de 1993 disponga: “[l]as entidades estatales abrirán licitaciones e iniciarán procesos de suscripción de contratos, cuando existan las respectivas partidas o disponibilidades presupuestales”.</w:t>
      </w:r>
    </w:p>
    <w:p w14:paraId="75A71D19" w14:textId="77777777" w:rsidR="00495D1B" w:rsidRPr="00495D1B" w:rsidRDefault="00495D1B" w:rsidP="00495D1B">
      <w:pPr>
        <w:spacing w:after="120" w:line="276" w:lineRule="auto"/>
        <w:ind w:firstLine="708"/>
        <w:jc w:val="both"/>
        <w:rPr>
          <w:rFonts w:ascii="Verdana" w:hAnsi="Verdana"/>
        </w:rPr>
      </w:pPr>
      <w:r w:rsidRPr="00495D1B">
        <w:rPr>
          <w:rFonts w:ascii="Verdana" w:hAnsi="Verdana"/>
        </w:rPr>
        <w:t xml:space="preserve"> Finalmente, debe advertirse que el análisis en torno a un proceso de contratación especifico debe ser realizado por quienes tengan interés en ello. De esta forma, las afirmaciones aquí realizadas no pueden ser interpretadas como</w:t>
      </w:r>
      <w:r w:rsidRPr="00495D1B">
        <w:rPr>
          <w:rFonts w:ascii="Verdana" w:hAnsi="Verdana"/>
        </w:rPr>
        <w:t xml:space="preserve"> </w:t>
      </w:r>
      <w:r w:rsidRPr="00495D1B">
        <w:rPr>
          <w:rFonts w:ascii="Verdana" w:hAnsi="Verdana"/>
        </w:rPr>
        <w:t xml:space="preserve">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 </w:t>
      </w:r>
    </w:p>
    <w:p w14:paraId="44A6EA5F" w14:textId="166F8444" w:rsidR="00E1324D" w:rsidRPr="00495D1B" w:rsidRDefault="00495D1B" w:rsidP="00495D1B">
      <w:pPr>
        <w:spacing w:after="120" w:line="276" w:lineRule="auto"/>
        <w:ind w:firstLine="708"/>
        <w:jc w:val="both"/>
        <w:rPr>
          <w:rFonts w:ascii="Verdana" w:hAnsi="Verdana" w:cs="Arial"/>
          <w:bCs/>
          <w:lang w:val="es-ES"/>
        </w:rPr>
      </w:pPr>
      <w:r w:rsidRPr="00495D1B">
        <w:rPr>
          <w:rFonts w:ascii="Verdana"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2FC8D498" w14:textId="77777777" w:rsidR="00E1324D" w:rsidRDefault="00E1324D" w:rsidP="00E1324D">
      <w:pPr>
        <w:spacing w:after="0" w:line="276" w:lineRule="auto"/>
        <w:ind w:firstLine="708"/>
        <w:jc w:val="both"/>
        <w:rPr>
          <w:rFonts w:ascii="Verdana" w:eastAsia="Calibri" w:hAnsi="Verdana" w:cs="Arial"/>
          <w:lang w:val="es-ES"/>
        </w:rPr>
      </w:pPr>
    </w:p>
    <w:p w14:paraId="10369344" w14:textId="77777777" w:rsidR="0087031A" w:rsidRPr="0060676F" w:rsidRDefault="0087031A" w:rsidP="0087031A">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8BC5F6A" w14:textId="77777777" w:rsidR="0087031A" w:rsidRPr="00593A5F" w:rsidRDefault="0087031A" w:rsidP="0087031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031A" w:rsidRPr="00593A5F" w14:paraId="42DD39C5" w14:textId="77777777" w:rsidTr="00580B7F">
        <w:trPr>
          <w:trHeight w:val="870"/>
        </w:trPr>
        <w:tc>
          <w:tcPr>
            <w:tcW w:w="8647" w:type="dxa"/>
          </w:tcPr>
          <w:p w14:paraId="0D8B47DE" w14:textId="77777777" w:rsidR="00495D1B" w:rsidRPr="00495D1B" w:rsidRDefault="00495D1B" w:rsidP="00155F27">
            <w:pPr>
              <w:pStyle w:val="Prrafodelista"/>
              <w:numPr>
                <w:ilvl w:val="0"/>
                <w:numId w:val="18"/>
              </w:numPr>
              <w:spacing w:line="276" w:lineRule="auto"/>
              <w:ind w:left="454"/>
              <w:jc w:val="both"/>
              <w:rPr>
                <w:rFonts w:ascii="Verdana" w:eastAsia="Calibri" w:hAnsi="Verdana" w:cs="Arial"/>
                <w:color w:val="000000" w:themeColor="text1"/>
              </w:rPr>
            </w:pPr>
            <w:r w:rsidRPr="00495D1B">
              <w:rPr>
                <w:rFonts w:ascii="Verdana" w:hAnsi="Verdana"/>
              </w:rPr>
              <w:t xml:space="preserve">Constitución Política de Colombia: Artículos 345, 346 y 347. </w:t>
            </w:r>
          </w:p>
          <w:p w14:paraId="69548607" w14:textId="77777777" w:rsidR="00495D1B" w:rsidRPr="00495D1B" w:rsidRDefault="00495D1B" w:rsidP="00155F27">
            <w:pPr>
              <w:pStyle w:val="Prrafodelista"/>
              <w:numPr>
                <w:ilvl w:val="0"/>
                <w:numId w:val="18"/>
              </w:numPr>
              <w:spacing w:line="276" w:lineRule="auto"/>
              <w:ind w:left="454"/>
              <w:jc w:val="both"/>
              <w:rPr>
                <w:rFonts w:ascii="Verdana" w:eastAsia="Calibri" w:hAnsi="Verdana" w:cs="Arial"/>
                <w:color w:val="000000" w:themeColor="text1"/>
              </w:rPr>
            </w:pPr>
            <w:r w:rsidRPr="00495D1B">
              <w:rPr>
                <w:rFonts w:ascii="Verdana" w:hAnsi="Verdana"/>
              </w:rPr>
              <w:t xml:space="preserve">Código Civil: Artículos 1849, 1864y 1865. </w:t>
            </w:r>
          </w:p>
          <w:p w14:paraId="794FDECC" w14:textId="77777777" w:rsidR="00495D1B" w:rsidRPr="00495D1B" w:rsidRDefault="00495D1B" w:rsidP="00155F27">
            <w:pPr>
              <w:pStyle w:val="Prrafodelista"/>
              <w:numPr>
                <w:ilvl w:val="0"/>
                <w:numId w:val="18"/>
              </w:numPr>
              <w:spacing w:line="276" w:lineRule="auto"/>
              <w:ind w:left="454"/>
              <w:jc w:val="both"/>
              <w:rPr>
                <w:rFonts w:ascii="Verdana" w:eastAsia="Calibri" w:hAnsi="Verdana" w:cs="Arial"/>
                <w:color w:val="000000" w:themeColor="text1"/>
              </w:rPr>
            </w:pPr>
            <w:r w:rsidRPr="00495D1B">
              <w:rPr>
                <w:rFonts w:ascii="Verdana" w:hAnsi="Verdana"/>
              </w:rPr>
              <w:t>Código de Comercio: Artículo 905.</w:t>
            </w:r>
          </w:p>
          <w:p w14:paraId="18C8198E" w14:textId="77777777" w:rsidR="00495D1B" w:rsidRPr="00495D1B" w:rsidRDefault="00495D1B" w:rsidP="00155F27">
            <w:pPr>
              <w:pStyle w:val="Prrafodelista"/>
              <w:numPr>
                <w:ilvl w:val="0"/>
                <w:numId w:val="18"/>
              </w:numPr>
              <w:spacing w:line="276" w:lineRule="auto"/>
              <w:ind w:left="454"/>
              <w:jc w:val="both"/>
              <w:rPr>
                <w:rFonts w:ascii="Verdana" w:eastAsia="Calibri" w:hAnsi="Verdana" w:cs="Arial"/>
                <w:color w:val="000000" w:themeColor="text1"/>
              </w:rPr>
            </w:pPr>
            <w:r w:rsidRPr="00495D1B">
              <w:rPr>
                <w:rFonts w:ascii="Verdana" w:hAnsi="Verdana"/>
              </w:rPr>
              <w:lastRenderedPageBreak/>
              <w:t xml:space="preserve">Ley 80 de 1993: Artículo 25, numeral 6. </w:t>
            </w:r>
          </w:p>
          <w:p w14:paraId="287B676F" w14:textId="77777777" w:rsidR="00495D1B" w:rsidRPr="00495D1B" w:rsidRDefault="00495D1B" w:rsidP="00155F27">
            <w:pPr>
              <w:pStyle w:val="Prrafodelista"/>
              <w:numPr>
                <w:ilvl w:val="0"/>
                <w:numId w:val="18"/>
              </w:numPr>
              <w:spacing w:line="276" w:lineRule="auto"/>
              <w:ind w:left="454"/>
              <w:jc w:val="both"/>
              <w:rPr>
                <w:rFonts w:ascii="Verdana" w:eastAsia="Calibri" w:hAnsi="Verdana" w:cs="Arial"/>
                <w:color w:val="000000" w:themeColor="text1"/>
              </w:rPr>
            </w:pPr>
            <w:r w:rsidRPr="00495D1B">
              <w:rPr>
                <w:rFonts w:ascii="Verdana" w:hAnsi="Verdana"/>
              </w:rPr>
              <w:t>Decreto 1082 de 2015: Artículos 2.2.1.1.2.1.1, 2.2.1.1.2.1.3</w:t>
            </w:r>
          </w:p>
          <w:p w14:paraId="5EE6B01B" w14:textId="4376327B" w:rsidR="00155F27" w:rsidRPr="00155F27" w:rsidRDefault="00155F27" w:rsidP="00155F27">
            <w:pPr>
              <w:pStyle w:val="Prrafodelista"/>
              <w:numPr>
                <w:ilvl w:val="0"/>
                <w:numId w:val="18"/>
              </w:numPr>
              <w:spacing w:line="276" w:lineRule="auto"/>
              <w:ind w:left="454"/>
              <w:jc w:val="both"/>
              <w:rPr>
                <w:rFonts w:ascii="Verdana" w:eastAsia="Calibri" w:hAnsi="Verdana" w:cs="Arial"/>
                <w:color w:val="000000" w:themeColor="text1"/>
              </w:rPr>
            </w:pPr>
            <w:r w:rsidRPr="00155F27">
              <w:rPr>
                <w:rFonts w:ascii="Verdana" w:eastAsia="Calibri" w:hAnsi="Verdana" w:cs="Arial"/>
                <w:color w:val="000000" w:themeColor="text1"/>
              </w:rPr>
              <w:t>Consejo de Estado, Sección Tercera, Subsección A sentencia de 19 de julio de 2018, M.P. Marta Nubia Velázquez Rico, Rad. 2013-01826(57.576).</w:t>
            </w:r>
          </w:p>
          <w:p w14:paraId="52FEE382" w14:textId="77777777" w:rsidR="00155F27" w:rsidRPr="00155F27" w:rsidRDefault="00155F27" w:rsidP="00155F27">
            <w:pPr>
              <w:pStyle w:val="Prrafodelista"/>
              <w:numPr>
                <w:ilvl w:val="0"/>
                <w:numId w:val="18"/>
              </w:numPr>
              <w:spacing w:line="276" w:lineRule="auto"/>
              <w:ind w:left="454"/>
              <w:jc w:val="both"/>
              <w:rPr>
                <w:rFonts w:ascii="Verdana" w:eastAsia="Calibri" w:hAnsi="Verdana" w:cs="Arial"/>
                <w:color w:val="000000" w:themeColor="text1"/>
              </w:rPr>
            </w:pPr>
            <w:r w:rsidRPr="00155F27">
              <w:rPr>
                <w:rFonts w:ascii="Verdana" w:eastAsia="Calibri" w:hAnsi="Verdana" w:cs="Arial"/>
                <w:color w:val="000000" w:themeColor="text1"/>
              </w:rPr>
              <w:t xml:space="preserve">Guía para la Elaboración de Estudios del Sector. Disponible en: https://www.colombiacompra.gov.co/manuales-guias-y-pliegos-tipo/manuales-y-guias. </w:t>
            </w:r>
          </w:p>
          <w:p w14:paraId="1C1DEB6B" w14:textId="176ADB0E" w:rsidR="0087031A" w:rsidRPr="00332677" w:rsidRDefault="00155F27" w:rsidP="00155F27">
            <w:pPr>
              <w:pStyle w:val="Textoindependiente"/>
              <w:widowControl w:val="0"/>
              <w:numPr>
                <w:ilvl w:val="0"/>
                <w:numId w:val="18"/>
              </w:numPr>
              <w:tabs>
                <w:tab w:val="left" w:pos="816"/>
              </w:tabs>
              <w:autoSpaceDE w:val="0"/>
              <w:autoSpaceDN w:val="0"/>
              <w:spacing w:after="0" w:line="276" w:lineRule="auto"/>
              <w:ind w:left="454" w:right="108"/>
              <w:jc w:val="both"/>
              <w:rPr>
                <w:rFonts w:ascii="Verdana" w:hAnsi="Verdana" w:cs="Arial"/>
              </w:rPr>
            </w:pPr>
            <w:r w:rsidRPr="00155F27">
              <w:rPr>
                <w:rFonts w:ascii="Verdana" w:eastAsia="Calibri" w:hAnsi="Verdana" w:cs="Arial"/>
                <w:color w:val="000000" w:themeColor="text1"/>
              </w:rPr>
              <w:t>MARÍN CORTÉS, Fabián G. El precio. Ed. Librería Jurídica Sánchez R. Ltda. y Centro de Estudios de Derecho Administrativo, Medellín, 2012, p. 60.</w:t>
            </w:r>
          </w:p>
        </w:tc>
      </w:tr>
    </w:tbl>
    <w:p w14:paraId="3BFE0280" w14:textId="77777777" w:rsidR="0087031A"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AB2AA5D" w14:textId="77777777" w:rsidR="0087031A" w:rsidRDefault="0087031A" w:rsidP="0087031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33E7EA9" w14:textId="77777777" w:rsidR="0087031A" w:rsidRPr="00593A5F"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F8E012C" w14:textId="3580DAC9" w:rsidR="0087031A" w:rsidRPr="00AE7E03" w:rsidRDefault="005467AB" w:rsidP="0087031A">
      <w:pPr>
        <w:widowControl w:val="0"/>
        <w:autoSpaceDE w:val="0"/>
        <w:autoSpaceDN w:val="0"/>
        <w:spacing w:after="0" w:line="276" w:lineRule="auto"/>
        <w:jc w:val="both"/>
        <w:rPr>
          <w:rFonts w:ascii="Verdana" w:eastAsia="Arial" w:hAnsi="Verdana" w:cs="Arial"/>
          <w:lang w:val="es-MX" w:eastAsia="es-ES_tradnl"/>
        </w:rPr>
      </w:pPr>
      <w:r w:rsidRPr="003A7CDE">
        <w:rPr>
          <w:rStyle w:val="normaltextrun"/>
          <w:rFonts w:ascii="Verdana" w:hAnsi="Verdana" w:cs="Arial"/>
          <w:shd w:val="clear" w:color="auto" w:fill="FFFFFF"/>
          <w:lang w:val="es-ES"/>
        </w:rPr>
        <w:t xml:space="preserve">Sobre </w:t>
      </w:r>
      <w:r w:rsidRPr="00DB06FE">
        <w:rPr>
          <w:rFonts w:ascii="Verdana" w:eastAsia="Calibri" w:hAnsi="Verdana" w:cs="Arial"/>
          <w:color w:val="000000" w:themeColor="text1"/>
          <w:lang w:val="es-ES"/>
        </w:rPr>
        <w:t>el régimen del precio en la contratación estatal</w:t>
      </w:r>
      <w:r w:rsidRPr="00DB06FE">
        <w:rPr>
          <w:rFonts w:ascii="Verdana" w:eastAsia="Calibri" w:hAnsi="Verdana" w:cs="Arial"/>
          <w:color w:val="000000"/>
          <w:lang w:val="es-ES_tradnl"/>
        </w:rPr>
        <w:t xml:space="preserve">, </w:t>
      </w:r>
      <w:r w:rsidRPr="00DB06FE">
        <w:rPr>
          <w:rStyle w:val="normaltextrun"/>
          <w:rFonts w:ascii="Verdana" w:hAnsi="Verdana" w:cs="Arial"/>
          <w:shd w:val="clear" w:color="auto" w:fill="FFFFFF"/>
          <w:lang w:val="es-ES"/>
        </w:rPr>
        <w:t xml:space="preserve">se pronunció esta Subdirección </w:t>
      </w:r>
      <w:r w:rsidRPr="00DB06FE">
        <w:rPr>
          <w:rFonts w:ascii="Verdana" w:eastAsia="Calibri" w:hAnsi="Verdana" w:cs="Arial"/>
          <w:lang w:val="es-ES"/>
        </w:rPr>
        <w:t xml:space="preserve">en los conceptos </w:t>
      </w:r>
      <w:r w:rsidRPr="00DB06FE">
        <w:rPr>
          <w:rFonts w:ascii="Verdana" w:eastAsia="Calibri" w:hAnsi="Verdana" w:cs="Arial"/>
          <w:color w:val="000000" w:themeColor="text1"/>
        </w:rPr>
        <w:t>4201912000007092 del 29 de noviembre de 2019, 2201913000008566 del 18 de noviembre de 2019, 4201913000007822 de 27 de diciembre de 2019, C-037 del 28 de enero de 2020, C-191 del 16 de marzo de 2020 y C-211 del 8 de abril de 2020, C-469 del 27 de septiembre de 2020, C-480 del 16 de septiembre de 2020, C-059 del 10 de marzo de 2021, C-613 del 6 de octubre de 2022, C-716 del 15 de noviembre de 2022</w:t>
      </w:r>
      <w:r w:rsidRPr="00DB06FE">
        <w:rPr>
          <w:rFonts w:ascii="Verdana" w:eastAsia="Calibri" w:hAnsi="Verdana" w:cs="Arial"/>
          <w:color w:val="000000" w:themeColor="text1"/>
          <w:lang w:val="es-ES"/>
        </w:rPr>
        <w:t>, C-017 del 22 de febrero de 2022</w:t>
      </w:r>
      <w:r>
        <w:rPr>
          <w:rFonts w:ascii="Verdana" w:eastAsia="Calibri" w:hAnsi="Verdana" w:cs="Arial"/>
          <w:color w:val="000000" w:themeColor="text1"/>
          <w:lang w:val="es-ES"/>
        </w:rPr>
        <w:t xml:space="preserve">, </w:t>
      </w:r>
      <w:r w:rsidRPr="00DB06FE">
        <w:rPr>
          <w:rFonts w:ascii="Verdana" w:eastAsia="Calibri" w:hAnsi="Verdana" w:cs="Arial"/>
          <w:color w:val="000000" w:themeColor="text1"/>
          <w:lang w:val="es-ES"/>
        </w:rPr>
        <w:t>C-104 del 27 de abril de 2023</w:t>
      </w:r>
      <w:r>
        <w:rPr>
          <w:rFonts w:ascii="Verdana" w:eastAsia="Calibri" w:hAnsi="Verdana" w:cs="Arial"/>
          <w:color w:val="000000" w:themeColor="text1"/>
          <w:lang w:val="es-ES"/>
        </w:rPr>
        <w:t xml:space="preserve"> y C-609 del 25 de octubre de 2024,</w:t>
      </w:r>
      <w:r w:rsidR="006E42DC" w:rsidRPr="005467AB">
        <w:rPr>
          <w:rFonts w:ascii="Verdana" w:eastAsia="Calibri" w:hAnsi="Verdana" w:cs="Arial"/>
          <w:color w:val="000000" w:themeColor="text1"/>
          <w:lang w:eastAsia="es-ES_tradnl"/>
        </w:rPr>
        <w:t xml:space="preserve"> entre</w:t>
      </w:r>
      <w:r w:rsidR="006E42DC">
        <w:rPr>
          <w:rFonts w:ascii="Verdana" w:eastAsia="Calibri" w:hAnsi="Verdana" w:cs="Arial"/>
          <w:color w:val="000000" w:themeColor="text1"/>
          <w:lang w:eastAsia="es-ES_tradnl"/>
        </w:rPr>
        <w:t xml:space="preserve"> otros</w:t>
      </w:r>
      <w:r w:rsidR="00DA08E3">
        <w:rPr>
          <w:rFonts w:ascii="Verdana" w:eastAsia="Calibri" w:hAnsi="Verdana" w:cs="Arial"/>
          <w:shd w:val="clear" w:color="auto" w:fill="FFFFFF"/>
        </w:rPr>
        <w:t>.</w:t>
      </w:r>
      <w:r w:rsidR="0087031A" w:rsidRPr="00185EE9">
        <w:rPr>
          <w:rFonts w:ascii="Verdana" w:eastAsia="Calibri" w:hAnsi="Verdana" w:cs="Times New Roman"/>
        </w:rPr>
        <w:t xml:space="preserve"> </w:t>
      </w:r>
      <w:r w:rsidR="004B10BA">
        <w:rPr>
          <w:rFonts w:ascii="Verdana" w:eastAsia="Calibri" w:hAnsi="Verdana" w:cs="Times New Roman"/>
        </w:rPr>
        <w:t>E</w:t>
      </w:r>
      <w:r w:rsidR="0087031A">
        <w:rPr>
          <w:rFonts w:ascii="Verdana" w:eastAsia="Calibri" w:hAnsi="Verdana" w:cs="Times New Roman"/>
        </w:rPr>
        <w:t xml:space="preserve">stos </w:t>
      </w:r>
      <w:r w:rsidR="0087031A"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5CFBE6B" w14:textId="77777777" w:rsidR="0087031A" w:rsidRPr="0065720B" w:rsidRDefault="002B1CE8" w:rsidP="0087031A">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87031A" w:rsidRPr="00191357">
          <w:rPr>
            <w:rStyle w:val="Hipervnculo"/>
            <w:rFonts w:ascii="Verdana" w:eastAsia="Calibri" w:hAnsi="Verdana" w:cs="Times New Roman"/>
            <w:lang w:val="es-ES"/>
          </w:rPr>
          <w:t>https://relatoria.colombiacompra.gov.co/busqueda/conceptos</w:t>
        </w:r>
      </w:hyperlink>
      <w:r w:rsidR="0087031A" w:rsidRPr="00185EE9">
        <w:rPr>
          <w:rFonts w:ascii="Verdana" w:eastAsia="Calibri" w:hAnsi="Verdana" w:cs="Times New Roman"/>
        </w:rPr>
        <w:t>.</w:t>
      </w:r>
    </w:p>
    <w:p w14:paraId="0208491B" w14:textId="77777777" w:rsidR="0087031A" w:rsidRPr="00505CD6" w:rsidRDefault="0087031A" w:rsidP="0087031A">
      <w:pPr>
        <w:widowControl w:val="0"/>
        <w:autoSpaceDE w:val="0"/>
        <w:autoSpaceDN w:val="0"/>
        <w:spacing w:after="0" w:line="276" w:lineRule="auto"/>
        <w:jc w:val="both"/>
        <w:rPr>
          <w:rFonts w:ascii="Verdana" w:hAnsi="Verdana" w:cs="Arial"/>
          <w:color w:val="000000" w:themeColor="text1"/>
          <w:shd w:val="clear" w:color="auto" w:fill="FFFFFF"/>
        </w:rPr>
      </w:pPr>
    </w:p>
    <w:p w14:paraId="12E9336E" w14:textId="77777777" w:rsidR="0087031A" w:rsidRDefault="0087031A" w:rsidP="0087031A">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1766B34B" w14:textId="77777777" w:rsidR="0087031A" w:rsidRDefault="0087031A" w:rsidP="0087031A">
      <w:pPr>
        <w:widowControl w:val="0"/>
        <w:autoSpaceDE w:val="0"/>
        <w:autoSpaceDN w:val="0"/>
        <w:spacing w:after="0" w:line="276" w:lineRule="auto"/>
        <w:jc w:val="both"/>
      </w:pPr>
    </w:p>
    <w:p w14:paraId="59F914CB" w14:textId="77777777" w:rsidR="0087031A" w:rsidRPr="00505CD6" w:rsidRDefault="0087031A" w:rsidP="0087031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39F93B3" w14:textId="77777777" w:rsidR="0087031A" w:rsidRPr="00505CD6" w:rsidRDefault="0087031A" w:rsidP="0087031A">
      <w:pPr>
        <w:widowControl w:val="0"/>
        <w:autoSpaceDE w:val="0"/>
        <w:autoSpaceDN w:val="0"/>
        <w:spacing w:after="0" w:line="276" w:lineRule="auto"/>
        <w:jc w:val="both"/>
        <w:rPr>
          <w:rFonts w:ascii="Verdana" w:hAnsi="Verdana" w:cs="Arial"/>
        </w:rPr>
      </w:pPr>
    </w:p>
    <w:p w14:paraId="5BF21FB4" w14:textId="77777777" w:rsidR="0087031A" w:rsidRPr="00505CD6" w:rsidRDefault="0087031A" w:rsidP="0087031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2B728E2" w14:textId="77777777" w:rsidR="0087031A" w:rsidRDefault="0087031A" w:rsidP="0087031A">
      <w:pPr>
        <w:spacing w:line="276" w:lineRule="auto"/>
        <w:jc w:val="center"/>
        <w:rPr>
          <w:rFonts w:ascii="Verdana" w:hAnsi="Verdana"/>
          <w:noProof/>
        </w:rPr>
      </w:pPr>
    </w:p>
    <w:p w14:paraId="5934722A" w14:textId="18B0D2C6" w:rsidR="00AD71D4" w:rsidRPr="00AD71D4" w:rsidRDefault="00AD71D4" w:rsidP="00AD71D4">
      <w:pPr>
        <w:spacing w:line="276" w:lineRule="auto"/>
        <w:jc w:val="center"/>
        <w:rPr>
          <w:rFonts w:ascii="Verdana" w:hAnsi="Verdana"/>
          <w:noProof/>
        </w:rPr>
      </w:pPr>
      <w:r w:rsidRPr="00AD71D4">
        <w:rPr>
          <w:rFonts w:ascii="Verdana" w:hAnsi="Verdana"/>
          <w:noProof/>
        </w:rPr>
        <w:drawing>
          <wp:inline distT="0" distB="0" distL="0" distR="0" wp14:anchorId="5920C50D" wp14:editId="18C3556C">
            <wp:extent cx="4248150" cy="1781175"/>
            <wp:effectExtent l="0" t="0" r="0" b="9525"/>
            <wp:docPr id="145260803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48150" cy="1781175"/>
                    </a:xfrm>
                    <a:prstGeom prst="rect">
                      <a:avLst/>
                    </a:prstGeom>
                    <a:noFill/>
                    <a:ln>
                      <a:noFill/>
                    </a:ln>
                  </pic:spPr>
                </pic:pic>
              </a:graphicData>
            </a:graphic>
          </wp:inline>
        </w:drawing>
      </w:r>
    </w:p>
    <w:p w14:paraId="308F8B3C" w14:textId="2B5611D6" w:rsidR="004F18D3" w:rsidRDefault="004F18D3" w:rsidP="0087031A">
      <w:pPr>
        <w:spacing w:line="276" w:lineRule="auto"/>
        <w:jc w:val="center"/>
        <w:rPr>
          <w:rFonts w:ascii="Verdana" w:hAnsi="Verdana"/>
          <w:noProof/>
        </w:rPr>
      </w:pPr>
    </w:p>
    <w:p w14:paraId="77A866E6" w14:textId="4B5D9684" w:rsidR="0087031A" w:rsidRDefault="0087031A" w:rsidP="0087031A">
      <w:pPr>
        <w:spacing w:line="276" w:lineRule="auto"/>
        <w:jc w:val="center"/>
        <w:rPr>
          <w:rFonts w:ascii="Verdana" w:hAnsi="Verdana"/>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031A" w:rsidRPr="00593A5F" w14:paraId="7952AB6B" w14:textId="77777777" w:rsidTr="00580B7F">
        <w:trPr>
          <w:trHeight w:val="315"/>
        </w:trPr>
        <w:tc>
          <w:tcPr>
            <w:tcW w:w="893" w:type="dxa"/>
            <w:vAlign w:val="center"/>
            <w:hideMark/>
          </w:tcPr>
          <w:p w14:paraId="12808F0D"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8FCA52F" w14:textId="12471F21" w:rsidR="0087031A" w:rsidRPr="007911EE" w:rsidRDefault="0087031A" w:rsidP="00580B7F">
            <w:pPr>
              <w:contextualSpacing/>
              <w:rPr>
                <w:rFonts w:ascii="Verdana" w:hAnsi="Verdana"/>
                <w:sz w:val="16"/>
                <w:szCs w:val="16"/>
              </w:rPr>
            </w:pPr>
            <w:r w:rsidRPr="007911EE">
              <w:rPr>
                <w:rFonts w:ascii="Verdana" w:hAnsi="Verdana"/>
                <w:sz w:val="16"/>
                <w:szCs w:val="16"/>
              </w:rPr>
              <w:t xml:space="preserve">Nicolas </w:t>
            </w:r>
            <w:r w:rsidR="007911EE" w:rsidRPr="007911EE">
              <w:rPr>
                <w:rFonts w:ascii="Verdana" w:hAnsi="Verdana"/>
                <w:sz w:val="16"/>
                <w:szCs w:val="16"/>
              </w:rPr>
              <w:t>Andrés</w:t>
            </w:r>
            <w:r w:rsidRPr="007911EE">
              <w:rPr>
                <w:rFonts w:ascii="Verdana" w:hAnsi="Verdana"/>
                <w:sz w:val="16"/>
                <w:szCs w:val="16"/>
              </w:rPr>
              <w:t xml:space="preserve"> </w:t>
            </w:r>
            <w:r w:rsidR="007911EE" w:rsidRPr="007911EE">
              <w:rPr>
                <w:rFonts w:ascii="Verdana" w:hAnsi="Verdana"/>
                <w:sz w:val="16"/>
                <w:szCs w:val="16"/>
              </w:rPr>
              <w:t>Guzmán</w:t>
            </w:r>
            <w:r w:rsidRPr="007911EE">
              <w:rPr>
                <w:rFonts w:ascii="Verdana" w:hAnsi="Verdana"/>
                <w:sz w:val="16"/>
                <w:szCs w:val="16"/>
              </w:rPr>
              <w:t xml:space="preserve"> </w:t>
            </w:r>
          </w:p>
          <w:p w14:paraId="3F59F682" w14:textId="77777777" w:rsidR="0087031A" w:rsidRPr="007911EE" w:rsidRDefault="0087031A" w:rsidP="00580B7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7031A" w:rsidRPr="00593A5F" w14:paraId="517166CF" w14:textId="77777777" w:rsidTr="00580B7F">
        <w:trPr>
          <w:trHeight w:val="330"/>
        </w:trPr>
        <w:tc>
          <w:tcPr>
            <w:tcW w:w="893" w:type="dxa"/>
            <w:vAlign w:val="center"/>
            <w:hideMark/>
          </w:tcPr>
          <w:p w14:paraId="73873209"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E9B9AAD" w14:textId="1A5DC6ED" w:rsidR="00BC5770" w:rsidRDefault="00495D1B" w:rsidP="00BC5770">
            <w:pPr>
              <w:spacing w:line="276" w:lineRule="auto"/>
              <w:contextualSpacing/>
              <w:jc w:val="both"/>
              <w:rPr>
                <w:rFonts w:ascii="Verdana" w:hAnsi="Verdana"/>
                <w:sz w:val="16"/>
                <w:szCs w:val="16"/>
              </w:rPr>
            </w:pPr>
            <w:r>
              <w:rPr>
                <w:rFonts w:ascii="Verdana" w:hAnsi="Verdana"/>
                <w:sz w:val="16"/>
                <w:szCs w:val="16"/>
              </w:rPr>
              <w:t>Diana Lucía Saavedra Castañeda</w:t>
            </w:r>
          </w:p>
          <w:p w14:paraId="634B0E53" w14:textId="1AA53F5A" w:rsidR="0087031A" w:rsidRPr="007911EE" w:rsidRDefault="004B10BA" w:rsidP="00BC5770">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Contrati</w:t>
            </w:r>
            <w:r w:rsidR="00495D1B">
              <w:rPr>
                <w:rStyle w:val="normaltextrun"/>
                <w:rFonts w:ascii="Verdana" w:eastAsia="Arial" w:hAnsi="Verdana"/>
                <w:sz w:val="16"/>
                <w:szCs w:val="16"/>
              </w:rPr>
              <w:t>s</w:t>
            </w:r>
            <w:r>
              <w:rPr>
                <w:rStyle w:val="normaltextrun"/>
                <w:rFonts w:ascii="Verdana" w:eastAsia="Arial" w:hAnsi="Verdana"/>
                <w:sz w:val="16"/>
                <w:szCs w:val="16"/>
              </w:rPr>
              <w:t xml:space="preserve">ta </w:t>
            </w:r>
            <w:r w:rsidR="007911EE" w:rsidRPr="00CD7324">
              <w:rPr>
                <w:rStyle w:val="normaltextrun"/>
                <w:rFonts w:ascii="Verdana" w:eastAsia="Arial" w:hAnsi="Verdana"/>
                <w:sz w:val="16"/>
                <w:szCs w:val="16"/>
              </w:rPr>
              <w:t>de la</w:t>
            </w:r>
            <w:r w:rsidR="0087031A" w:rsidRPr="007911EE">
              <w:rPr>
                <w:rStyle w:val="normaltextrun"/>
                <w:rFonts w:ascii="Verdana" w:eastAsia="Arial" w:hAnsi="Verdana" w:cs="Arial"/>
                <w:sz w:val="16"/>
                <w:szCs w:val="16"/>
              </w:rPr>
              <w:t xml:space="preserve"> Subdirección de Gestión Contractual</w:t>
            </w:r>
          </w:p>
        </w:tc>
      </w:tr>
      <w:tr w:rsidR="004F18D3" w:rsidRPr="00593A5F" w14:paraId="5BCB255D" w14:textId="77777777" w:rsidTr="00580B7F">
        <w:trPr>
          <w:trHeight w:val="330"/>
        </w:trPr>
        <w:tc>
          <w:tcPr>
            <w:tcW w:w="893" w:type="dxa"/>
            <w:vAlign w:val="center"/>
          </w:tcPr>
          <w:p w14:paraId="527C3AA8" w14:textId="4AF2DAE0" w:rsidR="004F18D3" w:rsidRPr="003751C7" w:rsidRDefault="004F18D3" w:rsidP="004F18D3">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C3A47B" w14:textId="4AC8CBFD" w:rsidR="004F18D3" w:rsidRPr="00EB1CF7" w:rsidRDefault="005467AB" w:rsidP="004F18D3">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w:t>
            </w:r>
            <w:r w:rsidR="00495D1B">
              <w:rPr>
                <w:rFonts w:ascii="Verdana" w:eastAsia="Calibri" w:hAnsi="Verdana" w:cs="Arial"/>
                <w:sz w:val="16"/>
                <w:szCs w:val="16"/>
                <w:lang w:val="pt-BR" w:eastAsia="es-ES"/>
              </w:rPr>
              <w:t>í</w:t>
            </w:r>
            <w:r>
              <w:rPr>
                <w:rFonts w:ascii="Verdana" w:eastAsia="Calibri" w:hAnsi="Verdana" w:cs="Arial"/>
                <w:sz w:val="16"/>
                <w:szCs w:val="16"/>
                <w:lang w:val="pt-BR" w:eastAsia="es-ES"/>
              </w:rPr>
              <w:t>a Tolosa</w:t>
            </w:r>
            <w:r w:rsidR="00495D1B">
              <w:rPr>
                <w:rFonts w:ascii="Verdana" w:eastAsia="Calibri" w:hAnsi="Verdana" w:cs="Arial"/>
                <w:sz w:val="16"/>
                <w:szCs w:val="16"/>
                <w:lang w:val="pt-BR" w:eastAsia="es-ES"/>
              </w:rPr>
              <w:t xml:space="preserve"> Rico</w:t>
            </w:r>
          </w:p>
          <w:p w14:paraId="02E30F35" w14:textId="1A99995B" w:rsidR="004F18D3" w:rsidRDefault="004F18D3" w:rsidP="004F18D3">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w:t>
            </w:r>
            <w:r w:rsidR="005467AB" w:rsidRPr="00EB1CF7">
              <w:rPr>
                <w:rFonts w:ascii="Verdana" w:eastAsia="Calibri" w:hAnsi="Verdana" w:cs="Arial"/>
                <w:sz w:val="16"/>
                <w:szCs w:val="16"/>
                <w:lang w:val="pt-BR" w:eastAsia="es-ES"/>
              </w:rPr>
              <w:t>Contratual</w:t>
            </w:r>
            <w:r w:rsidR="005467AB">
              <w:rPr>
                <w:rFonts w:ascii="Verdana" w:eastAsia="Calibri" w:hAnsi="Verdana" w:cs="Arial"/>
                <w:sz w:val="16"/>
                <w:szCs w:val="16"/>
                <w:lang w:val="pt-BR" w:eastAsia="es-ES"/>
              </w:rPr>
              <w:t xml:space="preserve"> (E)</w:t>
            </w:r>
          </w:p>
        </w:tc>
      </w:tr>
      <w:bookmarkEnd w:id="1"/>
      <w:bookmarkEnd w:id="2"/>
      <w:bookmarkEnd w:id="3"/>
    </w:tbl>
    <w:p w14:paraId="453A161B" w14:textId="77777777" w:rsidR="0087031A" w:rsidRPr="00EA6F8B" w:rsidRDefault="0087031A" w:rsidP="0087031A"/>
    <w:p w14:paraId="56912649" w14:textId="77777777" w:rsidR="00DE435A" w:rsidRPr="00DE435A" w:rsidRDefault="00DE435A" w:rsidP="00DE435A">
      <w:pPr>
        <w:rPr>
          <w:lang w:val="es-ES"/>
        </w:rPr>
      </w:pPr>
    </w:p>
    <w:sectPr w:rsidR="00DE435A" w:rsidRPr="00DE435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07ECB" w14:textId="77777777" w:rsidR="002B1CE8" w:rsidRDefault="002B1CE8" w:rsidP="004A1847">
      <w:pPr>
        <w:spacing w:after="0" w:line="240" w:lineRule="auto"/>
      </w:pPr>
      <w:r>
        <w:separator/>
      </w:r>
    </w:p>
  </w:endnote>
  <w:endnote w:type="continuationSeparator" w:id="0">
    <w:p w14:paraId="1A495489" w14:textId="77777777" w:rsidR="002B1CE8" w:rsidRDefault="002B1CE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9E33C" w14:textId="77777777" w:rsidR="002B1CE8" w:rsidRDefault="002B1CE8" w:rsidP="004A1847">
      <w:pPr>
        <w:spacing w:after="0" w:line="240" w:lineRule="auto"/>
      </w:pPr>
      <w:r>
        <w:separator/>
      </w:r>
    </w:p>
  </w:footnote>
  <w:footnote w:type="continuationSeparator" w:id="0">
    <w:p w14:paraId="00223DD0" w14:textId="77777777" w:rsidR="002B1CE8" w:rsidRDefault="002B1CE8" w:rsidP="004A1847">
      <w:pPr>
        <w:spacing w:after="0" w:line="240" w:lineRule="auto"/>
      </w:pPr>
      <w:r>
        <w:continuationSeparator/>
      </w:r>
    </w:p>
  </w:footnote>
  <w:footnote w:id="1">
    <w:p w14:paraId="768994C6" w14:textId="1604D6E8" w:rsidR="009E660D" w:rsidRPr="009E660D" w:rsidRDefault="009E660D">
      <w:pPr>
        <w:pStyle w:val="Textonotapie"/>
        <w:rPr>
          <w:lang w:val="es-CO"/>
        </w:rPr>
      </w:pPr>
      <w:r>
        <w:rPr>
          <w:rStyle w:val="Refdenotaalpie"/>
        </w:rPr>
        <w:footnoteRef/>
      </w:r>
      <w:r>
        <w:t xml:space="preserve"> </w:t>
      </w:r>
      <w:r>
        <w:t>Diccionario de la Lengua Española.</w:t>
      </w:r>
    </w:p>
  </w:footnote>
  <w:footnote w:id="2">
    <w:p w14:paraId="22393586" w14:textId="77777777" w:rsidR="00F11D40" w:rsidRPr="00F11D40" w:rsidRDefault="00F11D40" w:rsidP="00F11D40">
      <w:pPr>
        <w:pStyle w:val="Textonotapie"/>
        <w:jc w:val="both"/>
        <w:rPr>
          <w:rFonts w:ascii="Verdana" w:hAnsi="Verdana" w:cs="Arial"/>
          <w:sz w:val="16"/>
          <w:szCs w:val="16"/>
        </w:rPr>
      </w:pPr>
      <w:r w:rsidRPr="00F11D40">
        <w:rPr>
          <w:rStyle w:val="Refdenotaalpie"/>
          <w:rFonts w:ascii="Verdana" w:hAnsi="Verdana" w:cs="Arial"/>
          <w:sz w:val="16"/>
          <w:szCs w:val="16"/>
        </w:rPr>
        <w:footnoteRef/>
      </w:r>
      <w:r w:rsidRPr="00F11D40">
        <w:rPr>
          <w:rFonts w:ascii="Verdana" w:hAnsi="Verdana" w:cs="Arial"/>
          <w:sz w:val="16"/>
          <w:szCs w:val="16"/>
        </w:rPr>
        <w:t xml:space="preserve"> Al respecto, la doctrina sostiene que “Los contratos instados por los entes, organismos y entidades del sector público […] tienen […]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 de una obra) es evidente que debe ser retribuida mediante el abono de la correspondiente contraprestación, es decir, el carácter oneroso del contrato se refiere a la contraprestación que se ofrece por la entidad adjudicadora al contratista por la realización de las actividades objeto del contrato” (Cfr. FERNÁNDEZ ASTUDILLO, José María: El nuevo régimen de la contratación pública. Madrid: Wolker Kluwer, 2018. P. 268).     </w:t>
      </w:r>
    </w:p>
    <w:p w14:paraId="07C70C75" w14:textId="77777777" w:rsidR="00F11D40" w:rsidRPr="00F11D40" w:rsidRDefault="00F11D40" w:rsidP="00F11D40">
      <w:pPr>
        <w:pStyle w:val="Textonotapie"/>
        <w:jc w:val="both"/>
        <w:rPr>
          <w:rFonts w:ascii="Verdana" w:hAnsi="Verdana" w:cs="Arial"/>
          <w:sz w:val="16"/>
          <w:szCs w:val="16"/>
        </w:rPr>
      </w:pPr>
    </w:p>
  </w:footnote>
  <w:footnote w:id="3">
    <w:p w14:paraId="7A358F82" w14:textId="77777777" w:rsidR="00F11D40" w:rsidRPr="00F11D40" w:rsidRDefault="00F11D40" w:rsidP="00F11D40">
      <w:pPr>
        <w:pStyle w:val="Textonotapie"/>
        <w:jc w:val="both"/>
        <w:rPr>
          <w:rFonts w:ascii="Verdana" w:hAnsi="Verdana" w:cs="Arial"/>
          <w:sz w:val="16"/>
          <w:szCs w:val="16"/>
          <w:lang w:val="es-ES"/>
        </w:rPr>
      </w:pPr>
      <w:r w:rsidRPr="00F11D40">
        <w:rPr>
          <w:rStyle w:val="Refdenotaalpie"/>
          <w:rFonts w:ascii="Verdana" w:hAnsi="Verdana" w:cs="Arial"/>
          <w:sz w:val="16"/>
          <w:szCs w:val="16"/>
        </w:rPr>
        <w:footnoteRef/>
      </w:r>
      <w:r w:rsidRPr="00F11D40">
        <w:rPr>
          <w:rFonts w:ascii="Verdana" w:hAnsi="Verdana" w:cs="Arial"/>
          <w:sz w:val="16"/>
          <w:szCs w:val="16"/>
        </w:rPr>
        <w:t xml:space="preserve"> </w:t>
      </w:r>
      <w:r w:rsidRPr="00F11D40">
        <w:rPr>
          <w:rFonts w:ascii="Verdana" w:hAnsi="Verdana" w:cs="Arial"/>
          <w:sz w:val="16"/>
          <w:szCs w:val="16"/>
          <w:lang w:val="es-ES"/>
        </w:rPr>
        <w:t xml:space="preserve">MARÍN CORTÉS, Fabián G. El precio. Ed. Librería Jurídica Sánchez R. Ltda. y Centro de Estudios de Derecho Administrativo, Medellín, 2012, p. 60. </w:t>
      </w:r>
    </w:p>
  </w:footnote>
  <w:footnote w:id="4">
    <w:p w14:paraId="73CF7877" w14:textId="77777777" w:rsidR="00F11D40" w:rsidRPr="00F11D40" w:rsidRDefault="00F11D40" w:rsidP="00F11D40">
      <w:pPr>
        <w:pStyle w:val="Textonotapie"/>
        <w:jc w:val="both"/>
        <w:rPr>
          <w:rFonts w:ascii="Verdana" w:hAnsi="Verdana" w:cs="Arial"/>
          <w:sz w:val="16"/>
          <w:szCs w:val="16"/>
        </w:rPr>
      </w:pPr>
    </w:p>
    <w:p w14:paraId="794D7260" w14:textId="77777777" w:rsidR="00F11D40" w:rsidRPr="00F11D40" w:rsidRDefault="00F11D40" w:rsidP="00F11D40">
      <w:pPr>
        <w:pStyle w:val="Textonotapie"/>
        <w:jc w:val="both"/>
        <w:rPr>
          <w:rFonts w:ascii="Verdana" w:hAnsi="Verdana" w:cs="Arial"/>
          <w:sz w:val="16"/>
          <w:szCs w:val="16"/>
        </w:rPr>
      </w:pPr>
      <w:r w:rsidRPr="00F11D40">
        <w:rPr>
          <w:rStyle w:val="Refdenotaalpie"/>
          <w:rFonts w:ascii="Verdana" w:hAnsi="Verdana" w:cs="Arial"/>
          <w:sz w:val="16"/>
          <w:szCs w:val="16"/>
        </w:rPr>
        <w:footnoteRef/>
      </w:r>
      <w:r w:rsidRPr="00F11D40">
        <w:rPr>
          <w:rFonts w:ascii="Verdana" w:hAnsi="Verdana" w:cs="Arial"/>
          <w:sz w:val="16"/>
          <w:szCs w:val="16"/>
        </w:rPr>
        <w:t xml:space="preserve"> </w:t>
      </w:r>
      <w:bookmarkStart w:id="11" w:name="_Hlk204013139"/>
      <w:r w:rsidRPr="00F11D40">
        <w:rPr>
          <w:rFonts w:ascii="Verdana" w:hAnsi="Verdana" w:cs="Arial"/>
          <w:sz w:val="16"/>
          <w:szCs w:val="16"/>
          <w:lang w:val="es-ES"/>
        </w:rPr>
        <w:t>Consejo de Estado, Sección Tercera, Subsección A sentencia de 19 de julio de 2018, M.P. Marta Nubia Velázquez Rico, Rad. 2013-01826(57.576)</w:t>
      </w:r>
      <w:r w:rsidRPr="00F11D40">
        <w:rPr>
          <w:rFonts w:ascii="Verdana" w:hAnsi="Verdana" w:cs="Arial"/>
          <w:sz w:val="16"/>
          <w:szCs w:val="16"/>
        </w:rPr>
        <w:t xml:space="preserve"> </w:t>
      </w:r>
      <w:bookmarkEnd w:id="11"/>
    </w:p>
  </w:footnote>
  <w:footnote w:id="5">
    <w:p w14:paraId="2B29C489" w14:textId="77777777" w:rsidR="00F11D40" w:rsidRPr="00F11D40" w:rsidRDefault="00F11D40" w:rsidP="00F11D40">
      <w:pPr>
        <w:pStyle w:val="Textonotapie"/>
        <w:jc w:val="both"/>
        <w:rPr>
          <w:rFonts w:ascii="Verdana" w:hAnsi="Verdana" w:cs="Arial"/>
          <w:sz w:val="16"/>
          <w:szCs w:val="16"/>
        </w:rPr>
      </w:pPr>
    </w:p>
    <w:p w14:paraId="7C6598C1" w14:textId="77777777" w:rsidR="00F11D40" w:rsidRPr="00F11D40" w:rsidRDefault="00F11D40" w:rsidP="00F11D40">
      <w:pPr>
        <w:pStyle w:val="Textonotapie"/>
        <w:jc w:val="both"/>
        <w:rPr>
          <w:rFonts w:ascii="Verdana" w:hAnsi="Verdana" w:cs="Arial"/>
          <w:sz w:val="16"/>
          <w:szCs w:val="16"/>
          <w:lang w:val="es-ES"/>
        </w:rPr>
      </w:pPr>
      <w:r w:rsidRPr="00F11D40">
        <w:rPr>
          <w:rStyle w:val="Refdenotaalpie"/>
          <w:rFonts w:ascii="Verdana" w:hAnsi="Verdana" w:cs="Arial"/>
          <w:sz w:val="16"/>
          <w:szCs w:val="16"/>
        </w:rPr>
        <w:footnoteRef/>
      </w:r>
      <w:r w:rsidRPr="00F11D40">
        <w:rPr>
          <w:rFonts w:ascii="Verdana" w:hAnsi="Verdana" w:cs="Arial"/>
          <w:sz w:val="16"/>
          <w:szCs w:val="16"/>
        </w:rPr>
        <w:t xml:space="preserve"> </w:t>
      </w:r>
      <w:r w:rsidRPr="00F11D40">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60A20DE9" w14:textId="77777777" w:rsidR="00F11D40" w:rsidRPr="00F11D40" w:rsidRDefault="00F11D40" w:rsidP="00F11D40">
      <w:pPr>
        <w:pStyle w:val="Textonotapie"/>
        <w:jc w:val="both"/>
        <w:rPr>
          <w:rFonts w:ascii="Verdana" w:hAnsi="Verdana" w:cs="Arial"/>
          <w:sz w:val="16"/>
          <w:szCs w:val="16"/>
          <w:lang w:val="es-ES"/>
        </w:rPr>
      </w:pPr>
      <w:r w:rsidRPr="00F11D40">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F11D40">
        <w:rPr>
          <w:rFonts w:ascii="Verdana" w:hAnsi="Verdana" w:cs="Arial"/>
          <w:i/>
          <w:iCs/>
          <w:sz w:val="16"/>
          <w:szCs w:val="16"/>
          <w:lang w:val="es-ES"/>
        </w:rPr>
        <w:t>costos directos</w:t>
      </w:r>
      <w:r w:rsidRPr="00F11D40">
        <w:rPr>
          <w:rFonts w:ascii="Verdana" w:hAnsi="Verdana" w:cs="Arial"/>
          <w:sz w:val="16"/>
          <w:szCs w:val="16"/>
          <w:lang w:val="es-ES"/>
        </w:rPr>
        <w:t xml:space="preserve"> y los</w:t>
      </w:r>
      <w:r w:rsidRPr="00F11D40">
        <w:rPr>
          <w:rFonts w:ascii="Verdana" w:hAnsi="Verdana" w:cs="Arial"/>
          <w:i/>
          <w:iCs/>
          <w:sz w:val="16"/>
          <w:szCs w:val="16"/>
          <w:lang w:val="es-ES"/>
        </w:rPr>
        <w:t xml:space="preserve"> costos indirectos</w:t>
      </w:r>
      <w:r w:rsidRPr="00F11D40">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F11D40">
        <w:rPr>
          <w:rFonts w:ascii="Verdana" w:hAnsi="Verdana" w:cs="Arial"/>
          <w:i/>
          <w:iCs/>
          <w:sz w:val="16"/>
          <w:szCs w:val="16"/>
          <w:lang w:val="es-ES"/>
        </w:rPr>
        <w:t>ítems</w:t>
      </w:r>
      <w:r w:rsidRPr="00F11D40">
        <w:rPr>
          <w:rFonts w:ascii="Verdana" w:hAnsi="Verdana" w:cs="Arial"/>
          <w:sz w:val="16"/>
          <w:szCs w:val="16"/>
          <w:lang w:val="es-ES"/>
        </w:rPr>
        <w:t xml:space="preserve"> que componen el contrato–. Los costos </w:t>
      </w:r>
      <w:r w:rsidRPr="00F11D40">
        <w:rPr>
          <w:rFonts w:ascii="Verdana" w:hAnsi="Verdana" w:cs="Arial"/>
          <w:i/>
          <w:iCs/>
          <w:sz w:val="16"/>
          <w:szCs w:val="16"/>
          <w:lang w:val="es-ES"/>
        </w:rPr>
        <w:t>indirectos</w:t>
      </w:r>
      <w:r w:rsidRPr="00F11D40">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6">
    <w:p w14:paraId="2D2E4716" w14:textId="1BCEDBD6" w:rsidR="00495D1B" w:rsidRPr="00495D1B" w:rsidRDefault="00495D1B">
      <w:pPr>
        <w:pStyle w:val="Textonotapie"/>
        <w:rPr>
          <w:lang w:val="es-CO"/>
        </w:rPr>
      </w:pPr>
      <w:r>
        <w:rPr>
          <w:rStyle w:val="Refdenotaalpie"/>
        </w:rPr>
        <w:footnoteRef/>
      </w:r>
      <w:r>
        <w:t xml:space="preserve"> </w:t>
      </w:r>
      <w:r>
        <w:t>MARÍN CORTÉS, Fabian G., El precio. Serie: Las Cláusulas del Contrato Estatal, Ed. Jurídica Sánchez R. Bogotá, 2012. pp. 64-65.</w:t>
      </w:r>
    </w:p>
  </w:footnote>
  <w:footnote w:id="7">
    <w:p w14:paraId="76523EE5" w14:textId="15DE7BDA" w:rsidR="00495D1B" w:rsidRPr="00495D1B" w:rsidRDefault="00495D1B">
      <w:pPr>
        <w:pStyle w:val="Textonotapie"/>
        <w:rPr>
          <w:lang w:val="es-CO"/>
        </w:rPr>
      </w:pPr>
      <w:r>
        <w:rPr>
          <w:rStyle w:val="Refdenotaalpie"/>
        </w:rPr>
        <w:footnoteRef/>
      </w:r>
      <w:r>
        <w:t xml:space="preserve"> </w:t>
      </w:r>
      <w:r>
        <w:t>Corte Constitucional. Sala Plena. Sentencia C-073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C3B35F" wp14:editId="770E7ECD">
          <wp:simplePos x="0" y="0"/>
          <wp:positionH relativeFrom="margin">
            <wp:align>center</wp:align>
          </wp:positionH>
          <wp:positionV relativeFrom="paragraph">
            <wp:posOffset>-138611</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6543F162" w14:textId="77777777" w:rsidR="002B5862" w:rsidRDefault="002B5862">
    <w:pPr>
      <w:pStyle w:val="Encabezado"/>
    </w:pPr>
  </w:p>
  <w:p w14:paraId="4711D484" w14:textId="77777777" w:rsidR="002B5862" w:rsidRDefault="002B5862">
    <w:pPr>
      <w:pStyle w:val="Encabezado"/>
    </w:pPr>
  </w:p>
  <w:p w14:paraId="3D79C711" w14:textId="77777777" w:rsidR="002B5862" w:rsidRDefault="002B586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63B2B87"/>
    <w:multiLevelType w:val="hybridMultilevel"/>
    <w:tmpl w:val="18AE16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70E3F50"/>
    <w:multiLevelType w:val="hybridMultilevel"/>
    <w:tmpl w:val="469C2D86"/>
    <w:lvl w:ilvl="0" w:tplc="BB342CEE">
      <w:start w:val="4"/>
      <w:numFmt w:val="decimal"/>
      <w:lvlText w:val="%1."/>
      <w:lvlJc w:val="left"/>
      <w:pPr>
        <w:ind w:left="968" w:hanging="535"/>
      </w:pPr>
      <w:rPr>
        <w:rFonts w:ascii="Arial" w:eastAsia="Arial" w:hAnsi="Arial" w:cs="Arial" w:hint="default"/>
        <w:color w:val="4E4D4D"/>
        <w:spacing w:val="-20"/>
        <w:w w:val="100"/>
        <w:sz w:val="20"/>
        <w:szCs w:val="20"/>
        <w:lang w:val="es-ES" w:eastAsia="en-US" w:bidi="ar-SA"/>
      </w:rPr>
    </w:lvl>
    <w:lvl w:ilvl="1" w:tplc="1C789076">
      <w:numFmt w:val="bullet"/>
      <w:lvlText w:val="•"/>
      <w:lvlJc w:val="left"/>
      <w:pPr>
        <w:ind w:left="1804" w:hanging="535"/>
      </w:pPr>
      <w:rPr>
        <w:rFonts w:hint="default"/>
        <w:lang w:val="es-ES" w:eastAsia="en-US" w:bidi="ar-SA"/>
      </w:rPr>
    </w:lvl>
    <w:lvl w:ilvl="2" w:tplc="6AFCBF2A">
      <w:numFmt w:val="bullet"/>
      <w:lvlText w:val="•"/>
      <w:lvlJc w:val="left"/>
      <w:pPr>
        <w:ind w:left="2648" w:hanging="535"/>
      </w:pPr>
      <w:rPr>
        <w:rFonts w:hint="default"/>
        <w:lang w:val="es-ES" w:eastAsia="en-US" w:bidi="ar-SA"/>
      </w:rPr>
    </w:lvl>
    <w:lvl w:ilvl="3" w:tplc="3F748F58">
      <w:numFmt w:val="bullet"/>
      <w:lvlText w:val="•"/>
      <w:lvlJc w:val="left"/>
      <w:pPr>
        <w:ind w:left="3492" w:hanging="535"/>
      </w:pPr>
      <w:rPr>
        <w:rFonts w:hint="default"/>
        <w:lang w:val="es-ES" w:eastAsia="en-US" w:bidi="ar-SA"/>
      </w:rPr>
    </w:lvl>
    <w:lvl w:ilvl="4" w:tplc="C6C89C04">
      <w:numFmt w:val="bullet"/>
      <w:lvlText w:val="•"/>
      <w:lvlJc w:val="left"/>
      <w:pPr>
        <w:ind w:left="4336" w:hanging="535"/>
      </w:pPr>
      <w:rPr>
        <w:rFonts w:hint="default"/>
        <w:lang w:val="es-ES" w:eastAsia="en-US" w:bidi="ar-SA"/>
      </w:rPr>
    </w:lvl>
    <w:lvl w:ilvl="5" w:tplc="B302CD28">
      <w:numFmt w:val="bullet"/>
      <w:lvlText w:val="•"/>
      <w:lvlJc w:val="left"/>
      <w:pPr>
        <w:ind w:left="5180" w:hanging="535"/>
      </w:pPr>
      <w:rPr>
        <w:rFonts w:hint="default"/>
        <w:lang w:val="es-ES" w:eastAsia="en-US" w:bidi="ar-SA"/>
      </w:rPr>
    </w:lvl>
    <w:lvl w:ilvl="6" w:tplc="EF7C1184">
      <w:numFmt w:val="bullet"/>
      <w:lvlText w:val="•"/>
      <w:lvlJc w:val="left"/>
      <w:pPr>
        <w:ind w:left="6024" w:hanging="535"/>
      </w:pPr>
      <w:rPr>
        <w:rFonts w:hint="default"/>
        <w:lang w:val="es-ES" w:eastAsia="en-US" w:bidi="ar-SA"/>
      </w:rPr>
    </w:lvl>
    <w:lvl w:ilvl="7" w:tplc="3C8C58C4">
      <w:numFmt w:val="bullet"/>
      <w:lvlText w:val="•"/>
      <w:lvlJc w:val="left"/>
      <w:pPr>
        <w:ind w:left="6868" w:hanging="535"/>
      </w:pPr>
      <w:rPr>
        <w:rFonts w:hint="default"/>
        <w:lang w:val="es-ES" w:eastAsia="en-US" w:bidi="ar-SA"/>
      </w:rPr>
    </w:lvl>
    <w:lvl w:ilvl="8" w:tplc="F094E6FE">
      <w:numFmt w:val="bullet"/>
      <w:lvlText w:val="•"/>
      <w:lvlJc w:val="left"/>
      <w:pPr>
        <w:ind w:left="7712" w:hanging="535"/>
      </w:pPr>
      <w:rPr>
        <w:rFonts w:hint="default"/>
        <w:lang w:val="es-ES" w:eastAsia="en-US" w:bidi="ar-SA"/>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5"/>
  </w:num>
  <w:num w:numId="8">
    <w:abstractNumId w:val="15"/>
  </w:num>
  <w:num w:numId="9">
    <w:abstractNumId w:val="7"/>
  </w:num>
  <w:num w:numId="10">
    <w:abstractNumId w:val="14"/>
  </w:num>
  <w:num w:numId="11">
    <w:abstractNumId w:val="8"/>
  </w:num>
  <w:num w:numId="12">
    <w:abstractNumId w:val="1"/>
  </w:num>
  <w:num w:numId="13">
    <w:abstractNumId w:val="3"/>
  </w:num>
  <w:num w:numId="14">
    <w:abstractNumId w:val="17"/>
  </w:num>
  <w:num w:numId="15">
    <w:abstractNumId w:val="11"/>
  </w:num>
  <w:num w:numId="16">
    <w:abstractNumId w:val="0"/>
  </w:num>
  <w:num w:numId="17">
    <w:abstractNumId w:val="19"/>
  </w:num>
  <w:num w:numId="18">
    <w:abstractNumId w:val="9"/>
  </w:num>
  <w:num w:numId="19">
    <w:abstractNumId w:val="10"/>
  </w:num>
  <w:num w:numId="20">
    <w:abstractNumId w:val="18"/>
  </w:num>
  <w:num w:numId="21">
    <w:abstractNumId w:val="13"/>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444E"/>
    <w:rsid w:val="00082362"/>
    <w:rsid w:val="000A683E"/>
    <w:rsid w:val="000B19B9"/>
    <w:rsid w:val="000D0334"/>
    <w:rsid w:val="000F6486"/>
    <w:rsid w:val="00105433"/>
    <w:rsid w:val="00121EC5"/>
    <w:rsid w:val="00125105"/>
    <w:rsid w:val="00127233"/>
    <w:rsid w:val="00144712"/>
    <w:rsid w:val="00144EC3"/>
    <w:rsid w:val="001511A0"/>
    <w:rsid w:val="001532F7"/>
    <w:rsid w:val="00155F27"/>
    <w:rsid w:val="00180C5A"/>
    <w:rsid w:val="001B0A93"/>
    <w:rsid w:val="001E4177"/>
    <w:rsid w:val="001F7DC6"/>
    <w:rsid w:val="00205642"/>
    <w:rsid w:val="00210C70"/>
    <w:rsid w:val="00223D88"/>
    <w:rsid w:val="00237609"/>
    <w:rsid w:val="002421BB"/>
    <w:rsid w:val="0025796E"/>
    <w:rsid w:val="002707A2"/>
    <w:rsid w:val="002951A0"/>
    <w:rsid w:val="00296227"/>
    <w:rsid w:val="002962BC"/>
    <w:rsid w:val="002965E2"/>
    <w:rsid w:val="002A093D"/>
    <w:rsid w:val="002A0DD0"/>
    <w:rsid w:val="002A49AC"/>
    <w:rsid w:val="002A64FD"/>
    <w:rsid w:val="002B1CE8"/>
    <w:rsid w:val="002B5862"/>
    <w:rsid w:val="002C5070"/>
    <w:rsid w:val="002C7A84"/>
    <w:rsid w:val="002D2F47"/>
    <w:rsid w:val="002E4FD9"/>
    <w:rsid w:val="002E7478"/>
    <w:rsid w:val="00301770"/>
    <w:rsid w:val="00311ADC"/>
    <w:rsid w:val="00322A85"/>
    <w:rsid w:val="00324168"/>
    <w:rsid w:val="00330BE2"/>
    <w:rsid w:val="0033493C"/>
    <w:rsid w:val="003448F4"/>
    <w:rsid w:val="00353844"/>
    <w:rsid w:val="00373E7B"/>
    <w:rsid w:val="00374F5E"/>
    <w:rsid w:val="00377E3E"/>
    <w:rsid w:val="003A4FCF"/>
    <w:rsid w:val="003A779E"/>
    <w:rsid w:val="003D0F4D"/>
    <w:rsid w:val="003D5B0D"/>
    <w:rsid w:val="003E0499"/>
    <w:rsid w:val="003F3941"/>
    <w:rsid w:val="003F482F"/>
    <w:rsid w:val="00406575"/>
    <w:rsid w:val="00414C74"/>
    <w:rsid w:val="00416D78"/>
    <w:rsid w:val="0042722E"/>
    <w:rsid w:val="0044528D"/>
    <w:rsid w:val="004514F9"/>
    <w:rsid w:val="00471CAF"/>
    <w:rsid w:val="00495D1B"/>
    <w:rsid w:val="004A1847"/>
    <w:rsid w:val="004A305D"/>
    <w:rsid w:val="004B10BA"/>
    <w:rsid w:val="004F18D3"/>
    <w:rsid w:val="004F21C4"/>
    <w:rsid w:val="004F685F"/>
    <w:rsid w:val="00521084"/>
    <w:rsid w:val="0053038A"/>
    <w:rsid w:val="00534063"/>
    <w:rsid w:val="005467AB"/>
    <w:rsid w:val="005566E8"/>
    <w:rsid w:val="00567A42"/>
    <w:rsid w:val="00574867"/>
    <w:rsid w:val="00575896"/>
    <w:rsid w:val="00591460"/>
    <w:rsid w:val="005B3816"/>
    <w:rsid w:val="005C3777"/>
    <w:rsid w:val="005C5CDC"/>
    <w:rsid w:val="005D476C"/>
    <w:rsid w:val="005E6D46"/>
    <w:rsid w:val="006219F8"/>
    <w:rsid w:val="00665D70"/>
    <w:rsid w:val="00682580"/>
    <w:rsid w:val="006900D9"/>
    <w:rsid w:val="006E42DC"/>
    <w:rsid w:val="0070625E"/>
    <w:rsid w:val="00706AFE"/>
    <w:rsid w:val="00706C16"/>
    <w:rsid w:val="00741CEA"/>
    <w:rsid w:val="00756841"/>
    <w:rsid w:val="0076029C"/>
    <w:rsid w:val="007649AB"/>
    <w:rsid w:val="00771D0C"/>
    <w:rsid w:val="007833AC"/>
    <w:rsid w:val="007911EE"/>
    <w:rsid w:val="007B268C"/>
    <w:rsid w:val="007B313A"/>
    <w:rsid w:val="007B7171"/>
    <w:rsid w:val="007C0C0F"/>
    <w:rsid w:val="007C3DC2"/>
    <w:rsid w:val="007D5A7C"/>
    <w:rsid w:val="007E5497"/>
    <w:rsid w:val="00806F5F"/>
    <w:rsid w:val="00807B04"/>
    <w:rsid w:val="00811A9B"/>
    <w:rsid w:val="00820278"/>
    <w:rsid w:val="00867F95"/>
    <w:rsid w:val="0087031A"/>
    <w:rsid w:val="0087082B"/>
    <w:rsid w:val="00880A26"/>
    <w:rsid w:val="008843B6"/>
    <w:rsid w:val="00891928"/>
    <w:rsid w:val="0089254E"/>
    <w:rsid w:val="008A1F0D"/>
    <w:rsid w:val="008A3D6A"/>
    <w:rsid w:val="008A446D"/>
    <w:rsid w:val="008A576E"/>
    <w:rsid w:val="008A727D"/>
    <w:rsid w:val="008B5069"/>
    <w:rsid w:val="008D180B"/>
    <w:rsid w:val="008F0EA7"/>
    <w:rsid w:val="00916E20"/>
    <w:rsid w:val="00923EEF"/>
    <w:rsid w:val="0092707B"/>
    <w:rsid w:val="009419F9"/>
    <w:rsid w:val="0095685E"/>
    <w:rsid w:val="00961B09"/>
    <w:rsid w:val="00965334"/>
    <w:rsid w:val="0097093E"/>
    <w:rsid w:val="00986AC5"/>
    <w:rsid w:val="009A0DFA"/>
    <w:rsid w:val="009B2D26"/>
    <w:rsid w:val="009C71FA"/>
    <w:rsid w:val="009C72E7"/>
    <w:rsid w:val="009D3058"/>
    <w:rsid w:val="009E660D"/>
    <w:rsid w:val="009F3A13"/>
    <w:rsid w:val="00A122D3"/>
    <w:rsid w:val="00A17F13"/>
    <w:rsid w:val="00A20739"/>
    <w:rsid w:val="00A33C78"/>
    <w:rsid w:val="00A43261"/>
    <w:rsid w:val="00A54C2B"/>
    <w:rsid w:val="00AB0ADB"/>
    <w:rsid w:val="00AD71D4"/>
    <w:rsid w:val="00AE025B"/>
    <w:rsid w:val="00B01B1A"/>
    <w:rsid w:val="00B32769"/>
    <w:rsid w:val="00B66319"/>
    <w:rsid w:val="00B72CD3"/>
    <w:rsid w:val="00B72FFF"/>
    <w:rsid w:val="00BA550A"/>
    <w:rsid w:val="00BC3D36"/>
    <w:rsid w:val="00BC5770"/>
    <w:rsid w:val="00BD7F72"/>
    <w:rsid w:val="00BF3745"/>
    <w:rsid w:val="00C04FB3"/>
    <w:rsid w:val="00C07B81"/>
    <w:rsid w:val="00C1421D"/>
    <w:rsid w:val="00C330EB"/>
    <w:rsid w:val="00C36BD0"/>
    <w:rsid w:val="00C41061"/>
    <w:rsid w:val="00C67C7B"/>
    <w:rsid w:val="00C71A94"/>
    <w:rsid w:val="00C754BE"/>
    <w:rsid w:val="00C76B1C"/>
    <w:rsid w:val="00CB6357"/>
    <w:rsid w:val="00CC1B26"/>
    <w:rsid w:val="00CD6A04"/>
    <w:rsid w:val="00CD7324"/>
    <w:rsid w:val="00CF72C1"/>
    <w:rsid w:val="00D423A2"/>
    <w:rsid w:val="00D520D8"/>
    <w:rsid w:val="00D63AC2"/>
    <w:rsid w:val="00D7331F"/>
    <w:rsid w:val="00D7383B"/>
    <w:rsid w:val="00DA08E3"/>
    <w:rsid w:val="00DA231B"/>
    <w:rsid w:val="00DA65A2"/>
    <w:rsid w:val="00DB3136"/>
    <w:rsid w:val="00DB44AA"/>
    <w:rsid w:val="00DB69C7"/>
    <w:rsid w:val="00DC39FC"/>
    <w:rsid w:val="00DE435A"/>
    <w:rsid w:val="00DF5254"/>
    <w:rsid w:val="00E074A3"/>
    <w:rsid w:val="00E1324D"/>
    <w:rsid w:val="00E16408"/>
    <w:rsid w:val="00E20894"/>
    <w:rsid w:val="00E20ADE"/>
    <w:rsid w:val="00E245AB"/>
    <w:rsid w:val="00E2764C"/>
    <w:rsid w:val="00E27F2E"/>
    <w:rsid w:val="00E460EC"/>
    <w:rsid w:val="00E50AFE"/>
    <w:rsid w:val="00E51664"/>
    <w:rsid w:val="00E75C92"/>
    <w:rsid w:val="00E771DC"/>
    <w:rsid w:val="00E8772A"/>
    <w:rsid w:val="00E902AA"/>
    <w:rsid w:val="00E90F6B"/>
    <w:rsid w:val="00E92C27"/>
    <w:rsid w:val="00EA0B6E"/>
    <w:rsid w:val="00EA0E3D"/>
    <w:rsid w:val="00EA69B1"/>
    <w:rsid w:val="00EC38A7"/>
    <w:rsid w:val="00ED7384"/>
    <w:rsid w:val="00EE1AA8"/>
    <w:rsid w:val="00EE5478"/>
    <w:rsid w:val="00F11D40"/>
    <w:rsid w:val="00F31EDC"/>
    <w:rsid w:val="00F3779B"/>
    <w:rsid w:val="00F462B3"/>
    <w:rsid w:val="00F5664F"/>
    <w:rsid w:val="00F666C4"/>
    <w:rsid w:val="00F76AFC"/>
    <w:rsid w:val="00FA47C0"/>
    <w:rsid w:val="00FB5DD1"/>
    <w:rsid w:val="00FC2B5D"/>
    <w:rsid w:val="00FD7798"/>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uiPriority w:val="1"/>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703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7031A"/>
    <w:rPr>
      <w:rFonts w:ascii="Geomanist Light" w:hAnsi="Geomanist Light"/>
      <w:lang w:val="es-ES"/>
    </w:rPr>
  </w:style>
  <w:style w:type="paragraph" w:styleId="Textoindependiente">
    <w:name w:val="Body Text"/>
    <w:basedOn w:val="Normal"/>
    <w:link w:val="TextoindependienteCar"/>
    <w:uiPriority w:val="1"/>
    <w:unhideWhenUsed/>
    <w:qFormat/>
    <w:rsid w:val="0087031A"/>
    <w:pPr>
      <w:spacing w:after="120"/>
    </w:pPr>
  </w:style>
  <w:style w:type="character" w:customStyle="1" w:styleId="TextoindependienteCar">
    <w:name w:val="Texto independiente Car"/>
    <w:basedOn w:val="Fuentedeprrafopredeter"/>
    <w:link w:val="Textoindependiente"/>
    <w:uiPriority w:val="1"/>
    <w:rsid w:val="0087031A"/>
  </w:style>
  <w:style w:type="character" w:customStyle="1" w:styleId="superscript">
    <w:name w:val="superscript"/>
    <w:basedOn w:val="Fuentedeprrafopredeter"/>
    <w:rsid w:val="00DA08E3"/>
  </w:style>
  <w:style w:type="paragraph" w:styleId="Textocomentario">
    <w:name w:val="annotation text"/>
    <w:basedOn w:val="Normal"/>
    <w:link w:val="TextocomentarioCar"/>
    <w:uiPriority w:val="99"/>
    <w:semiHidden/>
    <w:unhideWhenUsed/>
    <w:rsid w:val="006E42D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E42D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03639412">
      <w:bodyDiv w:val="1"/>
      <w:marLeft w:val="0"/>
      <w:marRight w:val="0"/>
      <w:marTop w:val="0"/>
      <w:marBottom w:val="0"/>
      <w:divBdr>
        <w:top w:val="none" w:sz="0" w:space="0" w:color="auto"/>
        <w:left w:val="none" w:sz="0" w:space="0" w:color="auto"/>
        <w:bottom w:val="none" w:sz="0" w:space="0" w:color="auto"/>
        <w:right w:val="none" w:sz="0" w:space="0" w:color="auto"/>
      </w:divBdr>
    </w:div>
    <w:div w:id="1055393830">
      <w:bodyDiv w:val="1"/>
      <w:marLeft w:val="0"/>
      <w:marRight w:val="0"/>
      <w:marTop w:val="0"/>
      <w:marBottom w:val="0"/>
      <w:divBdr>
        <w:top w:val="none" w:sz="0" w:space="0" w:color="auto"/>
        <w:left w:val="none" w:sz="0" w:space="0" w:color="auto"/>
        <w:bottom w:val="none" w:sz="0" w:space="0" w:color="auto"/>
        <w:right w:val="none" w:sz="0" w:space="0" w:color="auto"/>
      </w:divBdr>
      <w:divsChild>
        <w:div w:id="2032563667">
          <w:marLeft w:val="0"/>
          <w:marRight w:val="0"/>
          <w:marTop w:val="0"/>
          <w:marBottom w:val="0"/>
          <w:divBdr>
            <w:top w:val="none" w:sz="0" w:space="0" w:color="auto"/>
            <w:left w:val="none" w:sz="0" w:space="0" w:color="auto"/>
            <w:bottom w:val="none" w:sz="0" w:space="0" w:color="auto"/>
            <w:right w:val="none" w:sz="0" w:space="0" w:color="auto"/>
          </w:divBdr>
          <w:divsChild>
            <w:div w:id="1148010697">
              <w:marLeft w:val="0"/>
              <w:marRight w:val="0"/>
              <w:marTop w:val="0"/>
              <w:marBottom w:val="0"/>
              <w:divBdr>
                <w:top w:val="none" w:sz="0" w:space="0" w:color="auto"/>
                <w:left w:val="none" w:sz="0" w:space="0" w:color="auto"/>
                <w:bottom w:val="none" w:sz="0" w:space="0" w:color="auto"/>
                <w:right w:val="none" w:sz="0" w:space="0" w:color="auto"/>
              </w:divBdr>
              <w:divsChild>
                <w:div w:id="293798143">
                  <w:marLeft w:val="0"/>
                  <w:marRight w:val="0"/>
                  <w:marTop w:val="0"/>
                  <w:marBottom w:val="0"/>
                  <w:divBdr>
                    <w:top w:val="none" w:sz="0" w:space="0" w:color="auto"/>
                    <w:left w:val="none" w:sz="0" w:space="0" w:color="auto"/>
                    <w:bottom w:val="none" w:sz="0" w:space="0" w:color="auto"/>
                    <w:right w:val="none" w:sz="0" w:space="0" w:color="auto"/>
                  </w:divBdr>
                  <w:divsChild>
                    <w:div w:id="540558418">
                      <w:marLeft w:val="0"/>
                      <w:marRight w:val="0"/>
                      <w:marTop w:val="0"/>
                      <w:marBottom w:val="0"/>
                      <w:divBdr>
                        <w:top w:val="none" w:sz="0" w:space="0" w:color="auto"/>
                        <w:left w:val="none" w:sz="0" w:space="0" w:color="auto"/>
                        <w:bottom w:val="none" w:sz="0" w:space="0" w:color="auto"/>
                        <w:right w:val="none" w:sz="0" w:space="0" w:color="auto"/>
                      </w:divBdr>
                      <w:divsChild>
                        <w:div w:id="145308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0032476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E09B37E-1975-448A-B228-93741B64B1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41CF2A69-2909-4F9F-ABC0-7A9BA0FDB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661</TotalTime>
  <Pages>15</Pages>
  <Words>5053</Words>
  <Characters>27797</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37</cp:revision>
  <cp:lastPrinted>2023-01-10T21:18:00Z</cp:lastPrinted>
  <dcterms:created xsi:type="dcterms:W3CDTF">2025-07-01T23:16:00Z</dcterms:created>
  <dcterms:modified xsi:type="dcterms:W3CDTF">2025-10-11T01:54:00Z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