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70E03" w14:textId="77777777" w:rsidR="00354D16" w:rsidRPr="00392AE8" w:rsidRDefault="00354D16" w:rsidP="00354D16">
      <w:pPr>
        <w:spacing w:after="0" w:line="240" w:lineRule="auto"/>
        <w:ind w:right="102"/>
        <w:jc w:val="both"/>
        <w:rPr>
          <w:rFonts w:ascii="Verdana" w:eastAsiaTheme="minorEastAsia" w:hAnsi="Verdana" w:cs="Arial"/>
          <w:b/>
          <w:color w:val="000000" w:themeColor="text1"/>
          <w:lang w:val="es-ES_tradnl" w:eastAsia="es-CO"/>
        </w:rPr>
      </w:pPr>
      <w:bookmarkStart w:id="0" w:name="_Hlk181166130"/>
      <w:bookmarkStart w:id="1" w:name="_Hlk143780582"/>
      <w:bookmarkStart w:id="2" w:name="_Hlk204353692"/>
      <w:r w:rsidRPr="00392AE8">
        <w:rPr>
          <w:rFonts w:ascii="Verdana" w:eastAsiaTheme="minorEastAsia" w:hAnsi="Verdana" w:cs="Arial"/>
          <w:b/>
          <w:color w:val="000000" w:themeColor="text1"/>
          <w:lang w:val="es-ES_tradnl" w:eastAsia="es-CO"/>
        </w:rPr>
        <w:t xml:space="preserve">DECRETO 092 DE 2017 – Finalidad – Clases de contratos </w:t>
      </w:r>
    </w:p>
    <w:p w14:paraId="01314F9A" w14:textId="77777777" w:rsidR="00354D16" w:rsidRPr="00392AE8" w:rsidRDefault="00354D16" w:rsidP="00354D16">
      <w:pPr>
        <w:spacing w:after="0" w:line="240" w:lineRule="auto"/>
        <w:ind w:right="102"/>
        <w:jc w:val="both"/>
        <w:rPr>
          <w:rFonts w:ascii="Verdana" w:eastAsiaTheme="minorEastAsia" w:hAnsi="Verdana" w:cs="Arial"/>
          <w:color w:val="000000" w:themeColor="text1"/>
          <w:sz w:val="20"/>
          <w:szCs w:val="20"/>
          <w:lang w:val="es-ES_tradnl" w:eastAsia="es-CO"/>
        </w:rPr>
      </w:pPr>
    </w:p>
    <w:p w14:paraId="5BC7777F" w14:textId="77777777" w:rsidR="00354D16" w:rsidRPr="00392AE8" w:rsidRDefault="00354D16" w:rsidP="00354D16">
      <w:pPr>
        <w:spacing w:after="0" w:line="240" w:lineRule="auto"/>
        <w:jc w:val="both"/>
        <w:rPr>
          <w:rFonts w:ascii="Verdana" w:eastAsia="Arial" w:hAnsi="Verdana" w:cs="Arial"/>
          <w:color w:val="000000" w:themeColor="text1"/>
          <w:sz w:val="20"/>
          <w:szCs w:val="20"/>
          <w:lang w:val="es-ES"/>
        </w:rPr>
      </w:pPr>
      <w:r w:rsidRPr="00392AE8">
        <w:rPr>
          <w:rFonts w:ascii="Verdana" w:eastAsia="Arial" w:hAnsi="Verdana" w:cs="Arial"/>
          <w:color w:val="000000" w:themeColor="text1"/>
          <w:sz w:val="20"/>
          <w:szCs w:val="20"/>
          <w:lang w:val="es-ES"/>
        </w:rPr>
        <w:t>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w:t>
      </w:r>
    </w:p>
    <w:p w14:paraId="0E4037F4" w14:textId="77777777" w:rsidR="00354D16" w:rsidRPr="00392AE8" w:rsidRDefault="00354D16" w:rsidP="00354D16">
      <w:pPr>
        <w:spacing w:after="0" w:line="240" w:lineRule="auto"/>
        <w:jc w:val="both"/>
        <w:rPr>
          <w:rFonts w:ascii="Verdana" w:eastAsia="Calibri" w:hAnsi="Verdana" w:cs="Arial"/>
          <w:b/>
          <w:color w:val="000000" w:themeColor="text1"/>
          <w:lang w:val="es-ES_tradnl"/>
        </w:rPr>
      </w:pPr>
    </w:p>
    <w:p w14:paraId="50AF5166" w14:textId="77777777" w:rsidR="00354D16" w:rsidRPr="00392AE8" w:rsidRDefault="00354D16" w:rsidP="00354D16">
      <w:pPr>
        <w:spacing w:after="0" w:line="240" w:lineRule="auto"/>
        <w:jc w:val="both"/>
        <w:rPr>
          <w:rFonts w:ascii="Verdana" w:eastAsia="Calibri" w:hAnsi="Verdana" w:cs="Arial"/>
          <w:b/>
          <w:color w:val="000000" w:themeColor="text1"/>
          <w:lang w:val="es-ES_tradnl"/>
        </w:rPr>
      </w:pPr>
      <w:r w:rsidRPr="00392AE8">
        <w:rPr>
          <w:rFonts w:ascii="Verdana" w:eastAsia="Calibri" w:hAnsi="Verdana" w:cs="Arial"/>
          <w:b/>
          <w:color w:val="000000" w:themeColor="text1"/>
          <w:lang w:val="es-ES_tradnl"/>
        </w:rPr>
        <w:t xml:space="preserve">CONTRATACIÓN CON ESAL – Contrato de colaboración – Objeto – Alcance </w:t>
      </w:r>
    </w:p>
    <w:p w14:paraId="70D29403" w14:textId="77777777" w:rsidR="00354D16" w:rsidRPr="00392AE8" w:rsidRDefault="00354D16" w:rsidP="00354D16">
      <w:pPr>
        <w:spacing w:after="0" w:line="240" w:lineRule="auto"/>
        <w:jc w:val="both"/>
        <w:rPr>
          <w:rFonts w:ascii="Verdana" w:eastAsia="Calibri" w:hAnsi="Verdana" w:cs="Arial"/>
          <w:bCs/>
          <w:color w:val="000000" w:themeColor="text1"/>
          <w:sz w:val="20"/>
          <w:szCs w:val="20"/>
          <w:lang w:val="es-ES_tradnl"/>
        </w:rPr>
      </w:pPr>
    </w:p>
    <w:p w14:paraId="59852EC0" w14:textId="77777777" w:rsidR="00354D16" w:rsidRPr="00392AE8" w:rsidRDefault="00354D16" w:rsidP="00354D16">
      <w:pPr>
        <w:spacing w:after="0" w:line="240" w:lineRule="auto"/>
        <w:jc w:val="both"/>
        <w:rPr>
          <w:rFonts w:ascii="Verdana" w:hAnsi="Verdana" w:cs="Arial"/>
          <w:color w:val="000000" w:themeColor="text1"/>
          <w:sz w:val="20"/>
          <w:szCs w:val="20"/>
          <w:lang w:val="es-ES_tradnl"/>
        </w:rPr>
      </w:pPr>
      <w:r w:rsidRPr="00392AE8">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655F58BC" w14:textId="77777777" w:rsidR="00354D16" w:rsidRPr="00392AE8" w:rsidRDefault="00354D16" w:rsidP="00354D16">
      <w:pPr>
        <w:spacing w:after="0" w:line="240" w:lineRule="auto"/>
        <w:jc w:val="both"/>
        <w:rPr>
          <w:rFonts w:ascii="Verdana" w:hAnsi="Verdana" w:cs="Arial"/>
          <w:color w:val="000000" w:themeColor="text1"/>
          <w:sz w:val="21"/>
          <w:szCs w:val="21"/>
          <w:lang w:val="es-ES_tradnl"/>
        </w:rPr>
      </w:pPr>
    </w:p>
    <w:p w14:paraId="15DC0E19" w14:textId="77777777" w:rsidR="00354D16" w:rsidRPr="00392AE8" w:rsidRDefault="00354D16" w:rsidP="00354D16">
      <w:pPr>
        <w:spacing w:after="0" w:line="240" w:lineRule="auto"/>
        <w:jc w:val="both"/>
        <w:rPr>
          <w:rFonts w:ascii="Verdana" w:eastAsia="Calibri" w:hAnsi="Verdana" w:cs="Arial"/>
          <w:b/>
          <w:color w:val="000000" w:themeColor="text1"/>
          <w:lang w:val="es-ES_tradnl"/>
        </w:rPr>
      </w:pPr>
      <w:bookmarkStart w:id="3" w:name="_Hlk109118876"/>
      <w:r w:rsidRPr="00392AE8">
        <w:rPr>
          <w:rFonts w:ascii="Verdana" w:eastAsia="Calibri" w:hAnsi="Verdana" w:cs="Arial"/>
          <w:b/>
          <w:color w:val="000000" w:themeColor="text1"/>
          <w:lang w:val="es-ES_tradnl"/>
        </w:rPr>
        <w:t>CONTRATACIÓN CON ESAL –</w:t>
      </w:r>
      <w:bookmarkEnd w:id="3"/>
      <w:r w:rsidRPr="00392AE8">
        <w:rPr>
          <w:rFonts w:ascii="Verdana" w:eastAsia="Calibri" w:hAnsi="Verdana" w:cs="Arial"/>
          <w:b/>
          <w:color w:val="000000" w:themeColor="text1"/>
          <w:lang w:val="es-ES_tradnl"/>
        </w:rPr>
        <w:t xml:space="preserve"> Contrato de asociación – Objeto – Alcance </w:t>
      </w:r>
    </w:p>
    <w:p w14:paraId="36159AD7" w14:textId="77777777" w:rsidR="00354D16" w:rsidRPr="00392AE8" w:rsidRDefault="00354D16" w:rsidP="00354D16">
      <w:pPr>
        <w:spacing w:after="0" w:line="240" w:lineRule="auto"/>
        <w:jc w:val="both"/>
        <w:rPr>
          <w:rFonts w:ascii="Verdana" w:eastAsia="Calibri" w:hAnsi="Verdana" w:cs="Arial"/>
          <w:b/>
          <w:color w:val="000000" w:themeColor="text1"/>
          <w:lang w:val="es-ES_tradnl"/>
        </w:rPr>
      </w:pPr>
    </w:p>
    <w:p w14:paraId="75E20810" w14:textId="77777777" w:rsidR="00354D16" w:rsidRPr="00392AE8" w:rsidRDefault="00354D16" w:rsidP="00354D16">
      <w:pPr>
        <w:spacing w:after="0" w:line="240" w:lineRule="auto"/>
        <w:jc w:val="both"/>
        <w:rPr>
          <w:rFonts w:ascii="Verdana" w:hAnsi="Verdana" w:cs="Arial"/>
          <w:color w:val="000000" w:themeColor="text1"/>
          <w:sz w:val="20"/>
          <w:szCs w:val="20"/>
          <w:lang w:val="es-ES"/>
        </w:rPr>
      </w:pPr>
      <w:r w:rsidRPr="00392AE8">
        <w:rPr>
          <w:rFonts w:ascii="Verdana" w:hAnsi="Verdana" w:cs="Arial"/>
          <w:color w:val="000000" w:themeColor="text1"/>
          <w:sz w:val="20"/>
          <w:szCs w:val="20"/>
          <w:lang w:val="es-ES"/>
        </w:rPr>
        <w:t>De otro lado, los convenios de asociación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p>
    <w:p w14:paraId="7B5C4578" w14:textId="77777777" w:rsidR="00354D16" w:rsidRPr="00392AE8" w:rsidRDefault="00354D16" w:rsidP="00354D16">
      <w:pPr>
        <w:spacing w:after="0" w:line="240" w:lineRule="auto"/>
        <w:jc w:val="both"/>
        <w:rPr>
          <w:rFonts w:ascii="Verdana" w:hAnsi="Verdana" w:cs="Arial"/>
          <w:color w:val="000000" w:themeColor="text1"/>
          <w:sz w:val="20"/>
          <w:szCs w:val="20"/>
          <w:lang w:val="es-ES_tradnl"/>
        </w:rPr>
      </w:pPr>
    </w:p>
    <w:p w14:paraId="1DE20FF2" w14:textId="77777777" w:rsidR="00354D16" w:rsidRPr="00392AE8" w:rsidRDefault="00354D16" w:rsidP="00354D16">
      <w:pPr>
        <w:spacing w:after="0" w:line="240" w:lineRule="auto"/>
        <w:jc w:val="both"/>
        <w:rPr>
          <w:rFonts w:ascii="Verdana" w:eastAsia="Calibri" w:hAnsi="Verdana" w:cs="Arial"/>
          <w:b/>
          <w:color w:val="000000" w:themeColor="text1"/>
          <w:lang w:val="es-ES_tradnl"/>
        </w:rPr>
      </w:pPr>
      <w:r w:rsidRPr="00392AE8">
        <w:rPr>
          <w:rFonts w:ascii="Verdana" w:eastAsia="Calibri" w:hAnsi="Verdana" w:cs="Arial"/>
          <w:b/>
          <w:color w:val="000000" w:themeColor="text1"/>
          <w:lang w:val="es-ES_tradnl"/>
        </w:rPr>
        <w:t>CONVENIOS DE ASOCIACIÓN – Multiplicidad de sujetos – Límites legales</w:t>
      </w:r>
    </w:p>
    <w:p w14:paraId="048A7A6E" w14:textId="77777777" w:rsidR="00354D16" w:rsidRPr="00392AE8" w:rsidRDefault="00354D16" w:rsidP="00354D16">
      <w:pPr>
        <w:spacing w:after="0" w:line="240" w:lineRule="auto"/>
        <w:jc w:val="both"/>
        <w:rPr>
          <w:rFonts w:ascii="Verdana" w:hAnsi="Verdana" w:cs="Arial"/>
          <w:color w:val="000000" w:themeColor="text1"/>
          <w:sz w:val="20"/>
          <w:szCs w:val="20"/>
          <w:lang w:val="es-ES_tradnl"/>
        </w:rPr>
      </w:pPr>
    </w:p>
    <w:p w14:paraId="4F877453" w14:textId="77777777" w:rsidR="00354D16" w:rsidRPr="00392AE8" w:rsidRDefault="00354D16" w:rsidP="00354D16">
      <w:pPr>
        <w:spacing w:after="0" w:line="240" w:lineRule="auto"/>
        <w:jc w:val="both"/>
        <w:rPr>
          <w:rFonts w:ascii="Verdana" w:hAnsi="Verdana" w:cs="Arial"/>
          <w:color w:val="000000" w:themeColor="text1"/>
          <w:sz w:val="20"/>
          <w:szCs w:val="20"/>
          <w:lang w:val="es-ES"/>
        </w:rPr>
      </w:pPr>
      <w:r w:rsidRPr="00392AE8">
        <w:rPr>
          <w:rFonts w:ascii="Verdana" w:hAnsi="Verdana" w:cs="Arial"/>
          <w:color w:val="000000" w:themeColor="text1"/>
          <w:sz w:val="20"/>
          <w:szCs w:val="20"/>
          <w:lang w:val="es-ES"/>
        </w:rPr>
        <w:t xml:space="preserve">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w:t>
      </w:r>
      <w:r w:rsidRPr="00392AE8">
        <w:rPr>
          <w:rFonts w:ascii="Verdana" w:hAnsi="Verdana" w:cs="Arial"/>
          <w:color w:val="000000" w:themeColor="text1"/>
          <w:sz w:val="20"/>
          <w:szCs w:val="20"/>
          <w:lang w:val="es-ES"/>
        </w:rPr>
        <w:lastRenderedPageBreak/>
        <w:t>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directamente.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1A866DFE" w14:textId="77777777" w:rsidR="00354D16" w:rsidRPr="00392AE8" w:rsidRDefault="00354D16" w:rsidP="00354D16">
      <w:pPr>
        <w:spacing w:after="0" w:line="240" w:lineRule="auto"/>
        <w:jc w:val="both"/>
        <w:rPr>
          <w:rFonts w:ascii="Verdana" w:hAnsi="Verdana" w:cs="Arial"/>
          <w:color w:val="000000" w:themeColor="text1"/>
          <w:sz w:val="20"/>
          <w:szCs w:val="20"/>
          <w:lang w:val="es-ES_tradnl"/>
        </w:rPr>
      </w:pPr>
    </w:p>
    <w:p w14:paraId="32367AF2" w14:textId="77777777" w:rsidR="00354D16" w:rsidRPr="00392AE8" w:rsidRDefault="00354D16" w:rsidP="00354D16">
      <w:pPr>
        <w:spacing w:after="0" w:line="240" w:lineRule="auto"/>
        <w:jc w:val="both"/>
        <w:rPr>
          <w:rFonts w:ascii="Verdana" w:eastAsia="Calibri" w:hAnsi="Verdana" w:cs="Arial"/>
          <w:b/>
          <w:color w:val="000000" w:themeColor="text1"/>
          <w:lang w:val="es-ES_tradnl"/>
        </w:rPr>
      </w:pPr>
      <w:r w:rsidRPr="00392AE8">
        <w:rPr>
          <w:rFonts w:ascii="Verdana" w:eastAsia="Calibri" w:hAnsi="Verdana" w:cs="Arial"/>
          <w:b/>
          <w:color w:val="000000" w:themeColor="text1"/>
          <w:lang w:val="es-ES_tradnl"/>
        </w:rPr>
        <w:t xml:space="preserve">DECRETO 092 DE 2017 – Criterios – Aplicación </w:t>
      </w:r>
    </w:p>
    <w:p w14:paraId="6F176F4D" w14:textId="77777777" w:rsidR="00354D16" w:rsidRPr="00392AE8" w:rsidRDefault="00354D16" w:rsidP="00354D16">
      <w:pPr>
        <w:spacing w:after="0" w:line="240" w:lineRule="auto"/>
        <w:jc w:val="both"/>
        <w:rPr>
          <w:rFonts w:ascii="Verdana" w:hAnsi="Verdana" w:cs="Arial"/>
          <w:color w:val="000000" w:themeColor="text1"/>
          <w:sz w:val="21"/>
          <w:szCs w:val="21"/>
          <w:lang w:val="es-ES_tradnl"/>
        </w:rPr>
      </w:pPr>
    </w:p>
    <w:p w14:paraId="7115D18F" w14:textId="77777777" w:rsidR="00354D16" w:rsidRPr="00392AE8" w:rsidRDefault="00354D16" w:rsidP="00354D16">
      <w:pPr>
        <w:spacing w:after="0" w:line="240" w:lineRule="auto"/>
        <w:jc w:val="both"/>
        <w:rPr>
          <w:rFonts w:ascii="Verdana" w:hAnsi="Verdana" w:cs="Arial"/>
          <w:color w:val="000000" w:themeColor="text1"/>
          <w:sz w:val="20"/>
          <w:szCs w:val="20"/>
          <w:lang w:val="es-ES"/>
        </w:rPr>
      </w:pPr>
      <w:r w:rsidRPr="00392AE8">
        <w:rPr>
          <w:rFonts w:ascii="Verdana" w:hAnsi="Verdana" w:cs="Arial"/>
          <w:color w:val="000000" w:themeColor="text1"/>
          <w:sz w:val="20"/>
          <w:szCs w:val="20"/>
          <w:lang w:val="es-ES"/>
        </w:rPr>
        <w:t>[…]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14:paraId="6D154D10" w14:textId="77777777" w:rsidR="00354D16" w:rsidRPr="00392AE8" w:rsidRDefault="00354D16" w:rsidP="00354D16">
      <w:pPr>
        <w:spacing w:after="0" w:line="240" w:lineRule="auto"/>
        <w:jc w:val="both"/>
        <w:rPr>
          <w:rFonts w:ascii="Verdana" w:hAnsi="Verdana" w:cs="Arial"/>
          <w:color w:val="000000" w:themeColor="text1"/>
          <w:sz w:val="20"/>
          <w:szCs w:val="20"/>
          <w:lang w:val="es-ES_tradnl"/>
        </w:rPr>
      </w:pPr>
    </w:p>
    <w:p w14:paraId="653A513A" w14:textId="77777777" w:rsidR="00354D16" w:rsidRPr="00392AE8" w:rsidRDefault="00354D16" w:rsidP="00354D16">
      <w:pPr>
        <w:spacing w:after="0" w:line="240" w:lineRule="auto"/>
        <w:jc w:val="both"/>
        <w:rPr>
          <w:rFonts w:ascii="Verdana" w:eastAsia="Arial" w:hAnsi="Verdana" w:cs="Arial"/>
          <w:b/>
          <w:bCs/>
          <w:color w:val="000000" w:themeColor="text1"/>
          <w:lang w:val="es-ES_tradnl"/>
        </w:rPr>
      </w:pPr>
      <w:r w:rsidRPr="00392AE8">
        <w:rPr>
          <w:rFonts w:ascii="Verdana" w:eastAsia="Arial" w:hAnsi="Verdana" w:cs="Arial"/>
          <w:b/>
          <w:bCs/>
          <w:color w:val="000000" w:themeColor="text1"/>
          <w:lang w:val="es-ES_tradnl"/>
        </w:rPr>
        <w:t xml:space="preserve">DECRETO 092 DE 2017 – Normativa vigente </w:t>
      </w:r>
    </w:p>
    <w:p w14:paraId="094B0600" w14:textId="77777777" w:rsidR="00354D16" w:rsidRPr="00392AE8" w:rsidRDefault="00354D16" w:rsidP="00354D16">
      <w:pPr>
        <w:spacing w:after="0" w:line="240" w:lineRule="auto"/>
        <w:jc w:val="both"/>
        <w:rPr>
          <w:rFonts w:ascii="Verdana" w:eastAsia="Arial" w:hAnsi="Verdana" w:cs="Arial"/>
          <w:b/>
          <w:bCs/>
          <w:color w:val="000000" w:themeColor="text1"/>
          <w:lang w:val="es-ES_tradnl"/>
        </w:rPr>
      </w:pPr>
    </w:p>
    <w:p w14:paraId="1E31DF01" w14:textId="77777777" w:rsidR="00354D16" w:rsidRPr="00392AE8" w:rsidRDefault="00354D16" w:rsidP="00354D16">
      <w:pPr>
        <w:spacing w:after="0" w:line="240" w:lineRule="auto"/>
        <w:jc w:val="both"/>
        <w:rPr>
          <w:rFonts w:ascii="Verdana" w:hAnsi="Verdana" w:cs="Arial"/>
          <w:color w:val="000000" w:themeColor="text1"/>
          <w:sz w:val="20"/>
          <w:szCs w:val="20"/>
          <w:lang w:val="es-ES"/>
        </w:rPr>
      </w:pPr>
      <w:r w:rsidRPr="00392AE8">
        <w:rPr>
          <w:rFonts w:ascii="Verdana" w:hAnsi="Verdana" w:cs="Arial"/>
          <w:color w:val="000000" w:themeColor="text1"/>
          <w:sz w:val="20"/>
          <w:szCs w:val="20"/>
          <w:lang w:val="es-ES"/>
        </w:rPr>
        <w:t>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14:paraId="759A0B3E" w14:textId="77777777" w:rsidR="00DC68C5" w:rsidRDefault="00DC68C5" w:rsidP="00DC68C5">
      <w:pPr>
        <w:spacing w:after="0" w:line="240" w:lineRule="auto"/>
        <w:rPr>
          <w:rFonts w:ascii="Verdana" w:eastAsia="Times New Roman" w:hAnsi="Verdana" w:cs="Arial"/>
          <w:lang w:eastAsia="es-ES_tradnl"/>
        </w:rPr>
      </w:pPr>
    </w:p>
    <w:p w14:paraId="04132FFB" w14:textId="77777777" w:rsidR="00DC68C5" w:rsidRDefault="00DC68C5" w:rsidP="00DC68C5">
      <w:pPr>
        <w:spacing w:after="0" w:line="240" w:lineRule="auto"/>
        <w:rPr>
          <w:rFonts w:ascii="Verdana" w:eastAsia="Times New Roman" w:hAnsi="Verdana" w:cs="Arial"/>
          <w:lang w:eastAsia="es-ES_tradnl"/>
        </w:rPr>
      </w:pPr>
    </w:p>
    <w:p w14:paraId="6429A3E1" w14:textId="77777777" w:rsidR="00DC68C5" w:rsidRDefault="00DC68C5" w:rsidP="00DC68C5">
      <w:pPr>
        <w:spacing w:after="0" w:line="240" w:lineRule="auto"/>
        <w:rPr>
          <w:rFonts w:ascii="Verdana" w:eastAsia="Times New Roman" w:hAnsi="Verdana" w:cs="Arial"/>
          <w:lang w:eastAsia="es-ES_tradnl"/>
        </w:rPr>
      </w:pPr>
    </w:p>
    <w:p w14:paraId="68CBABB0" w14:textId="77777777" w:rsidR="00DC68C5" w:rsidRDefault="00DC68C5" w:rsidP="00DC68C5">
      <w:pPr>
        <w:spacing w:after="0" w:line="240" w:lineRule="auto"/>
        <w:rPr>
          <w:rFonts w:ascii="Verdana" w:eastAsia="Times New Roman" w:hAnsi="Verdana" w:cs="Arial"/>
          <w:lang w:eastAsia="es-ES_tradnl"/>
        </w:rPr>
      </w:pPr>
    </w:p>
    <w:p w14:paraId="61068EFA" w14:textId="0C3C2301" w:rsidR="0087031A" w:rsidRDefault="0087031A" w:rsidP="0087031A">
      <w:pPr>
        <w:spacing w:after="0"/>
        <w:rPr>
          <w:rFonts w:ascii="Verdana" w:hAnsi="Verdana"/>
        </w:rPr>
      </w:pPr>
      <w:r>
        <w:rPr>
          <w:rFonts w:ascii="Verdana" w:hAnsi="Verdana"/>
        </w:rPr>
        <w:lastRenderedPageBreak/>
        <w:t>B</w:t>
      </w:r>
      <w:r w:rsidRPr="0044528D">
        <w:rPr>
          <w:rFonts w:ascii="Verdana" w:hAnsi="Verdana"/>
        </w:rPr>
        <w:t xml:space="preserve">ogotá D.C., </w:t>
      </w:r>
      <w:r w:rsidR="00561327">
        <w:rPr>
          <w:rFonts w:ascii="Verdana" w:hAnsi="Verdana"/>
        </w:rPr>
        <w:t>13 de agosto de 2025.</w:t>
      </w:r>
    </w:p>
    <w:p w14:paraId="53A7EAEE" w14:textId="22BEA1CA" w:rsidR="0087031A" w:rsidRDefault="00620C7C" w:rsidP="0087031A">
      <w:pPr>
        <w:spacing w:after="0"/>
        <w:rPr>
          <w:rFonts w:ascii="Verdana" w:hAnsi="Verdana"/>
        </w:rPr>
      </w:pPr>
      <w:bookmarkStart w:id="4" w:name="_Hlk180638295"/>
      <w:bookmarkEnd w:id="0"/>
      <w:r>
        <w:rPr>
          <w:noProof/>
        </w:rPr>
        <w:drawing>
          <wp:anchor distT="0" distB="0" distL="0" distR="0" simplePos="0" relativeHeight="251659264" behindDoc="0" locked="0" layoutInCell="1" allowOverlap="1" wp14:anchorId="79DCA923" wp14:editId="58647630">
            <wp:simplePos x="0" y="0"/>
            <wp:positionH relativeFrom="page">
              <wp:posOffset>4623435</wp:posOffset>
            </wp:positionH>
            <wp:positionV relativeFrom="paragraph">
              <wp:posOffset>182880</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p>
    <w:p w14:paraId="75EFB04F" w14:textId="22EE1594" w:rsidR="00620C7C" w:rsidRDefault="00620C7C" w:rsidP="0087031A">
      <w:pPr>
        <w:spacing w:after="0"/>
        <w:rPr>
          <w:rFonts w:ascii="Verdana" w:hAnsi="Verdana"/>
        </w:rPr>
      </w:pPr>
    </w:p>
    <w:p w14:paraId="0818ED61" w14:textId="77777777" w:rsidR="00620C7C" w:rsidRDefault="00620C7C" w:rsidP="0087031A">
      <w:pPr>
        <w:spacing w:after="0"/>
        <w:rPr>
          <w:rFonts w:ascii="Verdana" w:hAnsi="Verdana"/>
        </w:rPr>
      </w:pPr>
    </w:p>
    <w:p w14:paraId="3B4C9BD9" w14:textId="77777777" w:rsidR="00620C7C" w:rsidRDefault="00620C7C" w:rsidP="0087031A">
      <w:pPr>
        <w:spacing w:after="0"/>
        <w:rPr>
          <w:rFonts w:ascii="Verdana" w:hAnsi="Verdana"/>
        </w:rPr>
      </w:pPr>
    </w:p>
    <w:p w14:paraId="6CB80055" w14:textId="77777777" w:rsidR="0087031A" w:rsidRDefault="0087031A" w:rsidP="0087031A">
      <w:pPr>
        <w:spacing w:after="0"/>
        <w:rPr>
          <w:rFonts w:ascii="Verdana" w:hAnsi="Verdana"/>
        </w:rPr>
      </w:pPr>
    </w:p>
    <w:p w14:paraId="69F1A09B" w14:textId="0A38031C" w:rsidR="0087031A" w:rsidRDefault="0087031A" w:rsidP="0087031A">
      <w:pPr>
        <w:spacing w:after="0" w:line="240" w:lineRule="auto"/>
        <w:jc w:val="both"/>
        <w:rPr>
          <w:rFonts w:ascii="Verdana" w:eastAsia="Calibri" w:hAnsi="Verdana" w:cs="Arial"/>
          <w:lang w:eastAsia="es-ES"/>
        </w:rPr>
      </w:pPr>
      <w:bookmarkStart w:id="5" w:name="_Hlk181166167"/>
      <w:r w:rsidRPr="005E62E2">
        <w:rPr>
          <w:rFonts w:ascii="Verdana" w:eastAsia="Calibri" w:hAnsi="Verdana" w:cs="Arial"/>
          <w:lang w:eastAsia="es-ES"/>
        </w:rPr>
        <w:t>Señor</w:t>
      </w:r>
      <w:r w:rsidR="00D20938">
        <w:rPr>
          <w:rFonts w:ascii="Verdana" w:eastAsia="Calibri" w:hAnsi="Verdana" w:cs="Arial"/>
          <w:lang w:eastAsia="es-ES"/>
        </w:rPr>
        <w:t>a</w:t>
      </w:r>
    </w:p>
    <w:p w14:paraId="114CAF46" w14:textId="77777777" w:rsidR="00D20938" w:rsidRDefault="00D20938" w:rsidP="0087031A">
      <w:pPr>
        <w:spacing w:after="0" w:line="240" w:lineRule="auto"/>
        <w:rPr>
          <w:rFonts w:ascii="Verdana" w:eastAsia="Calibri" w:hAnsi="Verdana" w:cs="Arial"/>
          <w:b/>
          <w:bCs/>
          <w:lang w:eastAsia="es-ES"/>
        </w:rPr>
      </w:pPr>
      <w:r w:rsidRPr="00D20938">
        <w:rPr>
          <w:rFonts w:ascii="Verdana" w:eastAsia="Calibri" w:hAnsi="Verdana" w:cs="Arial"/>
          <w:b/>
          <w:bCs/>
          <w:lang w:eastAsia="es-ES"/>
        </w:rPr>
        <w:t xml:space="preserve">NICOLLE DANIELA RUEDA FERNÁNDEZ </w:t>
      </w:r>
    </w:p>
    <w:p w14:paraId="297A520E" w14:textId="2B5DFE4C" w:rsidR="00D20938" w:rsidRPr="008C6C5F" w:rsidRDefault="00D20938" w:rsidP="0087031A">
      <w:pPr>
        <w:spacing w:after="0" w:line="240" w:lineRule="auto"/>
        <w:rPr>
          <w:rFonts w:ascii="Verdana" w:hAnsi="Verdana"/>
        </w:rPr>
      </w:pPr>
      <w:r w:rsidRPr="00D20938">
        <w:rPr>
          <w:rFonts w:ascii="Verdana" w:hAnsi="Verdana"/>
        </w:rPr>
        <w:t>nrueda266@unab.edu.co</w:t>
      </w:r>
    </w:p>
    <w:p w14:paraId="20ECB200" w14:textId="0BF7CD11" w:rsidR="0087031A" w:rsidRDefault="0034084B" w:rsidP="0087031A">
      <w:pPr>
        <w:spacing w:after="0" w:line="240" w:lineRule="auto"/>
        <w:rPr>
          <w:rFonts w:ascii="Verdana" w:eastAsia="Calibri" w:hAnsi="Verdana" w:cs="Arial"/>
          <w:color w:val="000000"/>
          <w:lang w:val="es-ES_tradnl" w:eastAsia="es-ES_tradnl"/>
        </w:rPr>
      </w:pPr>
      <w:r w:rsidRPr="008C6C5F">
        <w:rPr>
          <w:rFonts w:ascii="Verdana" w:eastAsia="Calibri" w:hAnsi="Verdana" w:cs="Arial"/>
          <w:color w:val="000000"/>
          <w:lang w:val="es-ES_tradnl" w:eastAsia="es-ES_tradnl"/>
        </w:rPr>
        <w:t>Bogotá D.C.</w:t>
      </w:r>
    </w:p>
    <w:p w14:paraId="33757F92" w14:textId="77777777" w:rsidR="0087031A" w:rsidRPr="00FE3DEC" w:rsidRDefault="0087031A" w:rsidP="0087031A">
      <w:pPr>
        <w:spacing w:after="0" w:line="240" w:lineRule="auto"/>
        <w:rPr>
          <w:rFonts w:ascii="Verdana" w:eastAsia="Calibri" w:hAnsi="Verdana" w:cs="Arial"/>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87031A" w:rsidRPr="00593A5F" w14:paraId="28AFEB3E" w14:textId="77777777" w:rsidTr="00580B7F">
        <w:trPr>
          <w:trHeight w:val="884"/>
        </w:trPr>
        <w:tc>
          <w:tcPr>
            <w:tcW w:w="2410" w:type="dxa"/>
          </w:tcPr>
          <w:p w14:paraId="3DABC826" w14:textId="77777777" w:rsidR="0087031A" w:rsidRPr="00E5644F" w:rsidRDefault="0087031A" w:rsidP="00580B7F">
            <w:pPr>
              <w:jc w:val="both"/>
              <w:rPr>
                <w:rFonts w:ascii="Verdana" w:eastAsia="Calibri" w:hAnsi="Verdana" w:cs="Arial"/>
                <w:b/>
                <w:bCs/>
                <w:color w:val="7030A0"/>
                <w:lang w:val="es-ES_tradnl" w:eastAsia="es-ES_tradnl"/>
              </w:rPr>
            </w:pPr>
          </w:p>
        </w:tc>
        <w:tc>
          <w:tcPr>
            <w:tcW w:w="6804" w:type="dxa"/>
            <w:gridSpan w:val="2"/>
          </w:tcPr>
          <w:p w14:paraId="022A37EB" w14:textId="007DB68D" w:rsidR="0087031A" w:rsidRPr="0096584C" w:rsidRDefault="0087031A" w:rsidP="00580B7F">
            <w:pPr>
              <w:jc w:val="both"/>
              <w:rPr>
                <w:rFonts w:ascii="Verdana" w:eastAsia="Calibri" w:hAnsi="Verdana" w:cs="Arial"/>
                <w:b/>
                <w:bCs/>
                <w:color w:val="7030A0"/>
                <w:lang w:val="es-ES" w:eastAsia="es-ES"/>
              </w:rPr>
            </w:pPr>
            <w:r w:rsidRPr="0096584C">
              <w:rPr>
                <w:rFonts w:ascii="Verdana" w:eastAsia="Calibri" w:hAnsi="Verdana" w:cs="Arial"/>
                <w:b/>
                <w:bCs/>
                <w:lang w:val="es-ES" w:eastAsia="es-ES"/>
              </w:rPr>
              <w:t xml:space="preserve">Concepto C- </w:t>
            </w:r>
            <w:r w:rsidR="00B8227C">
              <w:rPr>
                <w:rFonts w:ascii="Verdana" w:eastAsia="Calibri" w:hAnsi="Verdana" w:cs="Arial"/>
                <w:b/>
                <w:bCs/>
                <w:lang w:val="es-ES" w:eastAsia="es-ES"/>
              </w:rPr>
              <w:t>8</w:t>
            </w:r>
            <w:r w:rsidR="008C6C5F">
              <w:rPr>
                <w:rFonts w:ascii="Verdana" w:eastAsia="Calibri" w:hAnsi="Verdana" w:cs="Arial"/>
                <w:b/>
                <w:bCs/>
                <w:lang w:val="es-ES" w:eastAsia="es-ES"/>
              </w:rPr>
              <w:t>7</w:t>
            </w:r>
            <w:r w:rsidR="002A5172">
              <w:rPr>
                <w:rFonts w:ascii="Verdana" w:eastAsia="Calibri" w:hAnsi="Verdana" w:cs="Arial"/>
                <w:b/>
                <w:bCs/>
                <w:lang w:val="es-ES" w:eastAsia="es-ES"/>
              </w:rPr>
              <w:t>7</w:t>
            </w:r>
            <w:r w:rsidRPr="0096584C">
              <w:rPr>
                <w:rFonts w:ascii="Verdana" w:eastAsia="Calibri" w:hAnsi="Verdana" w:cs="Arial"/>
                <w:b/>
                <w:bCs/>
                <w:lang w:val="es-ES" w:eastAsia="es-ES"/>
              </w:rPr>
              <w:t xml:space="preserve"> de 2025</w:t>
            </w:r>
          </w:p>
        </w:tc>
      </w:tr>
      <w:tr w:rsidR="0087031A" w:rsidRPr="00A52DE7" w14:paraId="38B6D2DC" w14:textId="77777777" w:rsidTr="00580B7F">
        <w:trPr>
          <w:trHeight w:val="884"/>
        </w:trPr>
        <w:tc>
          <w:tcPr>
            <w:tcW w:w="2410" w:type="dxa"/>
          </w:tcPr>
          <w:p w14:paraId="7FE07E31" w14:textId="77777777" w:rsidR="0087031A" w:rsidRPr="00593A5F" w:rsidRDefault="0087031A" w:rsidP="00580B7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06AEC502" w14:textId="653360D7" w:rsidR="00651311" w:rsidRDefault="00354D16" w:rsidP="00580B7F">
            <w:pPr>
              <w:jc w:val="both"/>
              <w:rPr>
                <w:rFonts w:ascii="Verdana" w:hAnsi="Verdana" w:cs="Arial"/>
                <w:lang w:eastAsia="es-CO"/>
              </w:rPr>
            </w:pPr>
            <w:r w:rsidRPr="00377ED6">
              <w:rPr>
                <w:rFonts w:ascii="Verdana" w:eastAsia="Calibri" w:hAnsi="Verdana" w:cs="Arial"/>
                <w:lang w:val="es-ES" w:eastAsia="es-ES"/>
              </w:rPr>
              <w:t>DECRETO 092 DE 2017 – Finalidad – Clases de contratos / CONTRATACIÓN CON ESAL – Contrato de colaboración – Objeto – Alcance / CONTRATACIÓN CON ESAL – Contrato de asociación – Objeto – Alcance / CONVENIOS DE ASOCIACIÓN – Multiplicidad de sujetos – Límites legales / DECRETO 092 DE 2017 – Criterios – Aplicación / DECRETO 092 DE 2017 – Normativa vigente</w:t>
            </w:r>
            <w:r w:rsidR="00DC68C5">
              <w:rPr>
                <w:rFonts w:ascii="Verdana" w:hAnsi="Verdana" w:cs="Arial"/>
                <w:lang w:eastAsia="es-CO"/>
              </w:rPr>
              <w:t>.</w:t>
            </w:r>
          </w:p>
          <w:p w14:paraId="1BF247BD" w14:textId="29AEA261" w:rsidR="00DC68C5" w:rsidRPr="00A52DE7" w:rsidRDefault="00DC68C5" w:rsidP="00580B7F">
            <w:pPr>
              <w:jc w:val="both"/>
              <w:rPr>
                <w:rFonts w:ascii="Verdana" w:eastAsia="Calibri" w:hAnsi="Verdana" w:cs="Arial"/>
                <w:b/>
                <w:highlight w:val="yellow"/>
                <w:lang w:val="es-ES" w:eastAsia="es-ES"/>
              </w:rPr>
            </w:pPr>
          </w:p>
        </w:tc>
      </w:tr>
      <w:tr w:rsidR="0087031A" w:rsidRPr="00593A5F" w14:paraId="14D6DDF3" w14:textId="77777777" w:rsidTr="00580B7F">
        <w:tc>
          <w:tcPr>
            <w:tcW w:w="2410" w:type="dxa"/>
          </w:tcPr>
          <w:p w14:paraId="58C41A69" w14:textId="77777777" w:rsidR="0087031A" w:rsidRPr="006730E9" w:rsidRDefault="0087031A" w:rsidP="00580B7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6361BD6" w14:textId="050AA7DF" w:rsidR="0087031A" w:rsidRPr="006730E9" w:rsidRDefault="0087031A" w:rsidP="00580B7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904F24" w:rsidRPr="00904F24">
              <w:rPr>
                <w:rFonts w:ascii="Verdana" w:eastAsia="Calibri" w:hAnsi="Verdana" w:cs="Arial"/>
                <w:lang w:val="es-ES_tradnl" w:eastAsia="es-ES_tradnl"/>
              </w:rPr>
              <w:t>1_2025_07_03_006645</w:t>
            </w:r>
          </w:p>
        </w:tc>
      </w:tr>
      <w:tr w:rsidR="0087031A" w:rsidRPr="00DB23D2" w14:paraId="2A2E2921" w14:textId="77777777" w:rsidTr="00580B7F">
        <w:trPr>
          <w:gridAfter w:val="1"/>
          <w:wAfter w:w="336" w:type="dxa"/>
          <w:trHeight w:val="233"/>
        </w:trPr>
        <w:tc>
          <w:tcPr>
            <w:tcW w:w="8878" w:type="dxa"/>
            <w:gridSpan w:val="2"/>
          </w:tcPr>
          <w:p w14:paraId="120D7AD6" w14:textId="77777777" w:rsidR="0087031A" w:rsidRPr="00DB23D2" w:rsidRDefault="0087031A" w:rsidP="00580B7F">
            <w:pPr>
              <w:spacing w:after="120" w:line="276" w:lineRule="auto"/>
              <w:jc w:val="both"/>
              <w:rPr>
                <w:rFonts w:ascii="Verdana" w:eastAsia="Calibri" w:hAnsi="Verdana" w:cs="Arial"/>
                <w:lang w:val="es-ES_tradnl" w:eastAsia="es-ES"/>
              </w:rPr>
            </w:pPr>
          </w:p>
        </w:tc>
      </w:tr>
    </w:tbl>
    <w:p w14:paraId="47EC921B" w14:textId="17A866DE"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2A5172">
        <w:rPr>
          <w:rFonts w:ascii="Verdana" w:eastAsia="Calibri" w:hAnsi="Verdana" w:cs="Arial"/>
          <w:lang w:val="es-ES" w:eastAsia="es-ES"/>
        </w:rPr>
        <w:t>a</w:t>
      </w:r>
      <w:r w:rsidR="00B8227C">
        <w:rPr>
          <w:rFonts w:ascii="Verdana" w:eastAsia="Calibri" w:hAnsi="Verdana" w:cs="Arial"/>
          <w:lang w:val="es-ES" w:eastAsia="es-ES"/>
        </w:rPr>
        <w:t xml:space="preserve"> </w:t>
      </w:r>
      <w:r w:rsidRPr="006730E9">
        <w:rPr>
          <w:rFonts w:ascii="Verdana" w:eastAsia="Calibri" w:hAnsi="Verdana" w:cs="Arial"/>
          <w:lang w:val="es-ES" w:eastAsia="es-ES"/>
        </w:rPr>
        <w:t>señor</w:t>
      </w:r>
      <w:r w:rsidR="002A5172">
        <w:rPr>
          <w:rFonts w:ascii="Verdana" w:eastAsia="Calibri" w:hAnsi="Verdana" w:cs="Arial"/>
          <w:lang w:val="es-ES" w:eastAsia="es-ES"/>
        </w:rPr>
        <w:t>a</w:t>
      </w:r>
      <w:r>
        <w:rPr>
          <w:rFonts w:ascii="Verdana" w:eastAsia="Calibri" w:hAnsi="Verdana" w:cs="Arial"/>
          <w:lang w:val="es-ES" w:eastAsia="es-ES"/>
        </w:rPr>
        <w:t xml:space="preserve"> </w:t>
      </w:r>
      <w:r w:rsidR="002A5172">
        <w:rPr>
          <w:rFonts w:ascii="Verdana" w:eastAsia="Calibri" w:hAnsi="Verdana" w:cs="Arial"/>
          <w:lang w:val="es-ES" w:eastAsia="es-ES"/>
        </w:rPr>
        <w:t>Rueda</w:t>
      </w:r>
      <w:r>
        <w:rPr>
          <w:rFonts w:ascii="Verdana" w:eastAsia="Calibri" w:hAnsi="Verdana" w:cs="Arial"/>
          <w:lang w:val="es-ES" w:eastAsia="es-ES"/>
        </w:rPr>
        <w:t>;</w:t>
      </w:r>
    </w:p>
    <w:p w14:paraId="59ADFBB6" w14:textId="77777777" w:rsidR="0087031A" w:rsidRDefault="0087031A" w:rsidP="008703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29E5029" w14:textId="4ED5A2E4"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sidR="00866C2B">
        <w:rPr>
          <w:rFonts w:ascii="Verdana" w:eastAsia="Calibri" w:hAnsi="Verdana" w:cs="Arial"/>
          <w:lang w:val="es-ES" w:eastAsia="es-ES"/>
        </w:rPr>
        <w:t>0</w:t>
      </w:r>
      <w:r w:rsidR="002A5172">
        <w:rPr>
          <w:rFonts w:ascii="Verdana" w:eastAsia="Calibri" w:hAnsi="Verdana" w:cs="Arial"/>
          <w:lang w:val="es-ES" w:eastAsia="es-ES"/>
        </w:rPr>
        <w:t>7</w:t>
      </w:r>
      <w:r>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C33DBE">
        <w:rPr>
          <w:rFonts w:ascii="Verdana" w:eastAsia="Calibri" w:hAnsi="Verdana" w:cs="Arial"/>
          <w:lang w:val="es-ES" w:eastAsia="es-ES"/>
        </w:rPr>
        <w:t>ju</w:t>
      </w:r>
      <w:r w:rsidR="00866C2B">
        <w:rPr>
          <w:rFonts w:ascii="Verdana" w:eastAsia="Calibri" w:hAnsi="Verdana" w:cs="Arial"/>
          <w:lang w:val="es-ES" w:eastAsia="es-ES"/>
        </w:rPr>
        <w:t>l</w:t>
      </w:r>
      <w:r w:rsidR="00C33DBE">
        <w:rPr>
          <w:rFonts w:ascii="Verdana" w:eastAsia="Calibri" w:hAnsi="Verdana" w:cs="Arial"/>
          <w:lang w:val="es-ES" w:eastAsia="es-ES"/>
        </w:rPr>
        <w:t>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E75DC9C" w14:textId="77777777" w:rsidR="0087031A" w:rsidRPr="00326382" w:rsidRDefault="0087031A" w:rsidP="0087031A">
      <w:pPr>
        <w:spacing w:after="0" w:line="240" w:lineRule="auto"/>
        <w:ind w:left="709" w:right="474"/>
        <w:jc w:val="both"/>
        <w:rPr>
          <w:rFonts w:ascii="Verdana" w:hAnsi="Verdana" w:cs="Arial"/>
          <w:sz w:val="20"/>
          <w:szCs w:val="20"/>
          <w:shd w:val="clear" w:color="auto" w:fill="FFFFFF"/>
        </w:rPr>
      </w:pPr>
      <w:bookmarkStart w:id="6" w:name="_Hlk95313578"/>
    </w:p>
    <w:bookmarkEnd w:id="6"/>
    <w:p w14:paraId="37AA45FE" w14:textId="77777777" w:rsidR="002A5172" w:rsidRDefault="0087031A" w:rsidP="00D86E93">
      <w:pPr>
        <w:tabs>
          <w:tab w:val="left" w:pos="142"/>
          <w:tab w:val="left" w:pos="567"/>
        </w:tabs>
        <w:ind w:left="709" w:right="709"/>
        <w:jc w:val="both"/>
        <w:rPr>
          <w:rFonts w:ascii="Verdana" w:eastAsia="Century Gothic" w:hAnsi="Verdana" w:cs="Century Gothic"/>
          <w:i/>
          <w:iCs/>
          <w:sz w:val="20"/>
          <w:szCs w:val="20"/>
        </w:rPr>
      </w:pPr>
      <w:r w:rsidRPr="00C33DBE">
        <w:rPr>
          <w:rFonts w:ascii="Verdana" w:eastAsia="Century Gothic" w:hAnsi="Verdana" w:cs="Century Gothic"/>
          <w:i/>
          <w:iCs/>
          <w:sz w:val="20"/>
          <w:szCs w:val="20"/>
        </w:rPr>
        <w:t>“(…)</w:t>
      </w:r>
    </w:p>
    <w:p w14:paraId="3A0F2BB9" w14:textId="730D277A" w:rsidR="002A5172" w:rsidRPr="002A5172" w:rsidRDefault="002A5172" w:rsidP="002A5172">
      <w:pPr>
        <w:pStyle w:val="Prrafodelista"/>
        <w:numPr>
          <w:ilvl w:val="0"/>
          <w:numId w:val="35"/>
        </w:numPr>
        <w:tabs>
          <w:tab w:val="left" w:pos="142"/>
          <w:tab w:val="left" w:pos="567"/>
        </w:tabs>
        <w:ind w:right="709"/>
        <w:jc w:val="both"/>
        <w:rPr>
          <w:rFonts w:ascii="Verdana" w:eastAsia="Century Gothic" w:hAnsi="Verdana" w:cs="Century Gothic"/>
          <w:i/>
          <w:iCs/>
          <w:sz w:val="20"/>
          <w:szCs w:val="20"/>
        </w:rPr>
      </w:pPr>
      <w:r w:rsidRPr="002A5172">
        <w:rPr>
          <w:rFonts w:ascii="Verdana" w:eastAsia="Century Gothic" w:hAnsi="Verdana" w:cs="Century Gothic"/>
          <w:i/>
          <w:iCs/>
          <w:sz w:val="20"/>
          <w:szCs w:val="20"/>
        </w:rPr>
        <w:t>¿Qué procedimiento debe seguir una Entidad Estatal cuando más de una ESAL ofrece un aporte en dinero igual o superior al 30% del valor total del convenio, de conformidad con el artículo 5 del Decreto 092 de 2017?</w:t>
      </w:r>
    </w:p>
    <w:p w14:paraId="06D94F5B" w14:textId="74F6C50F" w:rsidR="00D86E93" w:rsidRDefault="002A5172" w:rsidP="002A5172">
      <w:pPr>
        <w:pStyle w:val="Prrafodelista"/>
        <w:numPr>
          <w:ilvl w:val="0"/>
          <w:numId w:val="35"/>
        </w:numPr>
        <w:tabs>
          <w:tab w:val="left" w:pos="142"/>
          <w:tab w:val="left" w:pos="567"/>
        </w:tabs>
        <w:ind w:right="709"/>
        <w:jc w:val="both"/>
        <w:rPr>
          <w:rFonts w:ascii="Verdana" w:eastAsia="Century Gothic" w:hAnsi="Verdana" w:cs="Century Gothic"/>
          <w:i/>
          <w:iCs/>
          <w:sz w:val="20"/>
          <w:szCs w:val="20"/>
        </w:rPr>
      </w:pPr>
      <w:r w:rsidRPr="002A5172">
        <w:rPr>
          <w:rFonts w:ascii="Verdana" w:eastAsia="Century Gothic" w:hAnsi="Verdana" w:cs="Century Gothic"/>
          <w:i/>
          <w:iCs/>
          <w:sz w:val="20"/>
          <w:szCs w:val="20"/>
        </w:rPr>
        <w:lastRenderedPageBreak/>
        <w:t>¿La regla del 30% en dinero aplica únicamente a los convenios del artículo 5 (asociación), o también a los contratos del artículo 2 del Decreto 092 de 2017, regidos por el artículo 355 de la Constitución?</w:t>
      </w:r>
      <w:r w:rsidR="0087031A" w:rsidRPr="002A5172">
        <w:rPr>
          <w:rFonts w:ascii="Verdana" w:eastAsia="Century Gothic" w:hAnsi="Verdana" w:cs="Century Gothic"/>
          <w:i/>
          <w:iCs/>
          <w:sz w:val="20"/>
          <w:szCs w:val="20"/>
        </w:rPr>
        <w:t xml:space="preserve"> </w:t>
      </w:r>
    </w:p>
    <w:p w14:paraId="2F8C92D6" w14:textId="6D4B5A01" w:rsidR="002A5172" w:rsidRDefault="002A5172" w:rsidP="002A5172">
      <w:pPr>
        <w:pStyle w:val="Prrafodelista"/>
        <w:numPr>
          <w:ilvl w:val="0"/>
          <w:numId w:val="35"/>
        </w:numPr>
        <w:tabs>
          <w:tab w:val="left" w:pos="142"/>
          <w:tab w:val="left" w:pos="567"/>
        </w:tabs>
        <w:ind w:right="709"/>
        <w:jc w:val="both"/>
        <w:rPr>
          <w:rFonts w:ascii="Verdana" w:eastAsia="Century Gothic" w:hAnsi="Verdana" w:cs="Century Gothic"/>
          <w:i/>
          <w:iCs/>
          <w:sz w:val="20"/>
          <w:szCs w:val="20"/>
        </w:rPr>
      </w:pPr>
      <w:r w:rsidRPr="002A5172">
        <w:rPr>
          <w:rFonts w:ascii="Verdana" w:eastAsia="Century Gothic" w:hAnsi="Verdana" w:cs="Century Gothic"/>
          <w:i/>
          <w:iCs/>
          <w:sz w:val="20"/>
          <w:szCs w:val="20"/>
        </w:rPr>
        <w:t>¿Puede la Entidad Estatal usar la causal de contratación directa establecida en el literal h) del numeral 2 del artículo 2 de la Ley 1150 de 2007 cuando se trate de actividades artísticas o culturales que solo pueden ser desarrolladas por determinadas personas naturales, a la luz de la suspensión del inciso final del artículo 4 del Decreto 092 de 2017?</w:t>
      </w:r>
    </w:p>
    <w:p w14:paraId="79824BEC" w14:textId="17472C80" w:rsidR="002A5172" w:rsidRPr="002A5172" w:rsidRDefault="002A5172" w:rsidP="002A5172">
      <w:pPr>
        <w:pStyle w:val="Prrafodelista"/>
        <w:numPr>
          <w:ilvl w:val="0"/>
          <w:numId w:val="35"/>
        </w:numPr>
        <w:tabs>
          <w:tab w:val="left" w:pos="142"/>
          <w:tab w:val="left" w:pos="567"/>
        </w:tabs>
        <w:ind w:right="709"/>
        <w:jc w:val="both"/>
        <w:rPr>
          <w:rFonts w:ascii="Verdana" w:eastAsia="Century Gothic" w:hAnsi="Verdana" w:cs="Century Gothic"/>
          <w:i/>
          <w:iCs/>
          <w:sz w:val="20"/>
          <w:szCs w:val="20"/>
        </w:rPr>
      </w:pPr>
      <w:r w:rsidRPr="002A5172">
        <w:rPr>
          <w:rFonts w:ascii="Verdana" w:eastAsia="Century Gothic" w:hAnsi="Verdana" w:cs="Century Gothic"/>
          <w:i/>
          <w:iCs/>
          <w:sz w:val="20"/>
          <w:szCs w:val="20"/>
          <w:lang w:val="es-CO"/>
        </w:rPr>
        <w:t>¿Qué criterio debe aplicar una Entidad Estatal cuando el alcance de un proyecto coincide parcialmente con las finalidades previstas tanto en el artículo 355 de la Constitución como en el artículo 96 de la Ley 489 de 1998?</w:t>
      </w:r>
    </w:p>
    <w:p w14:paraId="55A848A2" w14:textId="112DFD7F" w:rsidR="0087031A" w:rsidRPr="00CD7324" w:rsidRDefault="0087031A" w:rsidP="0034084B">
      <w:pPr>
        <w:tabs>
          <w:tab w:val="left" w:pos="142"/>
          <w:tab w:val="left" w:pos="567"/>
        </w:tabs>
        <w:ind w:left="709" w:right="709"/>
        <w:jc w:val="both"/>
        <w:rPr>
          <w:rFonts w:ascii="Verdana" w:eastAsia="Century Gothic" w:hAnsi="Verdana" w:cs="Century Gothic"/>
          <w:i/>
          <w:iCs/>
          <w:sz w:val="20"/>
          <w:szCs w:val="20"/>
        </w:rPr>
      </w:pPr>
      <w:r w:rsidRPr="00C33DBE">
        <w:rPr>
          <w:rFonts w:ascii="Verdana" w:eastAsia="Century Gothic" w:hAnsi="Verdana" w:cs="Century Gothic"/>
          <w:i/>
          <w:iCs/>
          <w:sz w:val="20"/>
          <w:szCs w:val="20"/>
        </w:rPr>
        <w:t>(…)</w:t>
      </w:r>
      <w:r w:rsidR="0096584C">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p>
    <w:p w14:paraId="33F745EB" w14:textId="77777777" w:rsidR="0087031A" w:rsidRPr="00AA3B9F" w:rsidRDefault="0087031A" w:rsidP="0087031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04224C2" w14:textId="77777777" w:rsidR="0087031A" w:rsidRPr="00AA3B9F" w:rsidRDefault="0087031A" w:rsidP="0087031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7488FEE4" w14:textId="77777777" w:rsidR="0087031A" w:rsidRDefault="0087031A" w:rsidP="0087031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A7578E" w14:textId="77777777" w:rsidR="0087031A" w:rsidRDefault="0087031A" w:rsidP="008703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CD6BDA0" w14:textId="77777777" w:rsidR="0087031A" w:rsidRDefault="0087031A" w:rsidP="0087031A">
      <w:pPr>
        <w:pStyle w:val="Prrafodelista"/>
        <w:tabs>
          <w:tab w:val="left" w:pos="142"/>
          <w:tab w:val="left" w:pos="284"/>
        </w:tabs>
        <w:spacing w:after="0" w:line="276" w:lineRule="auto"/>
        <w:ind w:left="0"/>
        <w:jc w:val="both"/>
        <w:rPr>
          <w:rFonts w:ascii="Verdana" w:eastAsia="Century Gothic" w:hAnsi="Verdana" w:cs="Century Gothic"/>
          <w:b/>
          <w:bCs/>
        </w:rPr>
      </w:pPr>
    </w:p>
    <w:p w14:paraId="6A1902E4" w14:textId="74E93C36" w:rsidR="00FD3E8A" w:rsidRDefault="0087031A" w:rsidP="008C6C5F">
      <w:pPr>
        <w:pStyle w:val="Prrafodelista"/>
        <w:ind w:left="0" w:right="49"/>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sidR="00894A6D">
        <w:rPr>
          <w:rFonts w:ascii="Verdana" w:eastAsia="Calibri" w:hAnsi="Verdana" w:cs="Arial"/>
          <w:lang w:eastAsia="es-ES"/>
        </w:rPr>
        <w:t>los</w:t>
      </w:r>
      <w:r>
        <w:rPr>
          <w:rFonts w:ascii="Verdana" w:eastAsia="Calibri" w:hAnsi="Verdana" w:cs="Arial"/>
          <w:lang w:eastAsia="es-ES"/>
        </w:rPr>
        <w:t xml:space="preserve"> </w:t>
      </w:r>
      <w:r w:rsidRPr="00E21BD1">
        <w:rPr>
          <w:rFonts w:ascii="Verdana" w:eastAsia="Calibri" w:hAnsi="Verdana" w:cs="Arial"/>
          <w:lang w:eastAsia="es-ES"/>
        </w:rPr>
        <w:t>siguiente</w:t>
      </w:r>
      <w:r w:rsidR="00894A6D">
        <w:rPr>
          <w:rFonts w:ascii="Verdana" w:eastAsia="Calibri" w:hAnsi="Verdana" w:cs="Arial"/>
          <w:lang w:eastAsia="es-ES"/>
        </w:rPr>
        <w:t>s</w:t>
      </w:r>
      <w:r w:rsidRPr="00E21BD1">
        <w:rPr>
          <w:rFonts w:ascii="Verdana" w:eastAsia="Calibri" w:hAnsi="Verdana" w:cs="Arial"/>
          <w:lang w:eastAsia="es-ES"/>
        </w:rPr>
        <w:t xml:space="preserve"> problema</w:t>
      </w:r>
      <w:r w:rsidR="00894A6D">
        <w:rPr>
          <w:rFonts w:ascii="Verdana" w:eastAsia="Calibri" w:hAnsi="Verdana" w:cs="Arial"/>
          <w:lang w:eastAsia="es-ES"/>
        </w:rPr>
        <w:t>s</w:t>
      </w:r>
      <w:r w:rsidRPr="00E21BD1">
        <w:rPr>
          <w:rFonts w:ascii="Verdana" w:eastAsia="Calibri" w:hAnsi="Verdana" w:cs="Arial"/>
          <w:lang w:eastAsia="es-ES"/>
        </w:rPr>
        <w:t xml:space="preserve"> jurídico</w:t>
      </w:r>
      <w:bookmarkStart w:id="7" w:name="_Hlk196737317"/>
      <w:r w:rsidR="00894A6D">
        <w:rPr>
          <w:rFonts w:ascii="Verdana" w:eastAsia="Calibri" w:hAnsi="Verdana" w:cs="Arial"/>
          <w:lang w:eastAsia="es-ES"/>
        </w:rPr>
        <w:t>s</w:t>
      </w:r>
      <w:r w:rsidR="00B15A84">
        <w:rPr>
          <w:rFonts w:ascii="Verdana" w:eastAsia="Calibri" w:hAnsi="Verdana" w:cs="Arial"/>
          <w:lang w:eastAsia="es-ES"/>
        </w:rPr>
        <w:t>:</w:t>
      </w:r>
    </w:p>
    <w:p w14:paraId="3B7EAECC" w14:textId="77777777" w:rsidR="00FD3E8A" w:rsidRDefault="00FD3E8A" w:rsidP="008C6C5F">
      <w:pPr>
        <w:pStyle w:val="Prrafodelista"/>
        <w:ind w:left="0" w:right="49"/>
        <w:jc w:val="both"/>
        <w:rPr>
          <w:rFonts w:ascii="Verdana" w:eastAsia="Calibri" w:hAnsi="Verdana" w:cs="Arial"/>
          <w:lang w:eastAsia="es-ES"/>
        </w:rPr>
      </w:pPr>
    </w:p>
    <w:p w14:paraId="66B2A1CA" w14:textId="54DC7354" w:rsidR="002A5172" w:rsidRDefault="00FD3E8A" w:rsidP="008C6C5F">
      <w:pPr>
        <w:pStyle w:val="Prrafodelista"/>
        <w:ind w:left="0" w:right="49"/>
        <w:jc w:val="both"/>
        <w:rPr>
          <w:rFonts w:ascii="Verdana" w:eastAsia="Century Gothic" w:hAnsi="Verdana" w:cs="Century Gothic"/>
          <w:lang w:val="es-CO"/>
        </w:rPr>
      </w:pPr>
      <w:r w:rsidRPr="00FD3E8A">
        <w:rPr>
          <w:rFonts w:ascii="Verdana" w:eastAsia="Century Gothic" w:hAnsi="Verdana" w:cs="Century Gothic"/>
          <w:lang w:val="es-CO"/>
        </w:rPr>
        <w:lastRenderedPageBreak/>
        <w:t>¿Cómo debe actuar la Entidad Estatal cuando varias ESAL ofrecen un aporte en dinero igual o superior al 30%, esta regla aplica solo a convenios de asociación del artículo 5 del Decreto 092 de 2017 o también a los contratos del artículo 2</w:t>
      </w:r>
      <w:r>
        <w:rPr>
          <w:rFonts w:ascii="Verdana" w:eastAsia="Century Gothic" w:hAnsi="Verdana" w:cs="Century Gothic"/>
          <w:lang w:val="es-CO"/>
        </w:rPr>
        <w:t>º del mismo decreto</w:t>
      </w:r>
      <w:r w:rsidRPr="00FD3E8A">
        <w:rPr>
          <w:rFonts w:ascii="Verdana" w:eastAsia="Century Gothic" w:hAnsi="Verdana" w:cs="Century Gothic"/>
          <w:lang w:val="es-CO"/>
        </w:rPr>
        <w:t>?</w:t>
      </w:r>
      <w:r w:rsidR="002A5172">
        <w:rPr>
          <w:rFonts w:ascii="Verdana" w:eastAsia="Century Gothic" w:hAnsi="Verdana" w:cs="Century Gothic"/>
          <w:lang w:val="es-CO"/>
        </w:rPr>
        <w:t xml:space="preserve"> </w:t>
      </w:r>
    </w:p>
    <w:p w14:paraId="04C44DDF" w14:textId="77777777" w:rsidR="002A5172" w:rsidRDefault="002A5172" w:rsidP="008C6C5F">
      <w:pPr>
        <w:pStyle w:val="Prrafodelista"/>
        <w:ind w:left="0" w:right="49"/>
        <w:jc w:val="both"/>
        <w:rPr>
          <w:rFonts w:ascii="Verdana" w:eastAsia="Century Gothic" w:hAnsi="Verdana" w:cs="Century Gothic"/>
          <w:lang w:val="es-CO"/>
        </w:rPr>
      </w:pPr>
    </w:p>
    <w:p w14:paraId="779EB393" w14:textId="19694894" w:rsidR="008C6C5F" w:rsidRDefault="00FD3E8A" w:rsidP="008C6C5F">
      <w:pPr>
        <w:pStyle w:val="Prrafodelista"/>
        <w:ind w:left="0" w:right="49"/>
        <w:jc w:val="both"/>
        <w:rPr>
          <w:rFonts w:ascii="Verdana" w:eastAsia="Century Gothic" w:hAnsi="Verdana" w:cs="Century Gothic"/>
        </w:rPr>
      </w:pPr>
      <w:r w:rsidRPr="00FD3E8A">
        <w:rPr>
          <w:rFonts w:ascii="Verdana" w:eastAsia="Century Gothic" w:hAnsi="Verdana" w:cs="Century Gothic"/>
          <w:lang w:val="es-CO"/>
        </w:rPr>
        <w:t>¿Puede la Entidad Estatal usar la contratación directa para actividades artísticas o culturales exclusivas, pese a la suspensión del inciso final del artículo 4 del Decreto 092 de 2017</w:t>
      </w:r>
      <w:r w:rsidR="008C6C5F" w:rsidRPr="00DF4493">
        <w:rPr>
          <w:rFonts w:ascii="Verdana" w:eastAsia="Century Gothic" w:hAnsi="Verdana" w:cs="Century Gothic"/>
        </w:rPr>
        <w:t xml:space="preserve">?  </w:t>
      </w:r>
    </w:p>
    <w:p w14:paraId="5F4E19DF" w14:textId="77777777" w:rsidR="00FD3E8A" w:rsidRDefault="00FD3E8A" w:rsidP="008C6C5F">
      <w:pPr>
        <w:pStyle w:val="Prrafodelista"/>
        <w:ind w:left="0" w:right="49"/>
        <w:jc w:val="both"/>
        <w:rPr>
          <w:rFonts w:ascii="Verdana" w:eastAsia="Century Gothic" w:hAnsi="Verdana" w:cs="Century Gothic"/>
        </w:rPr>
      </w:pPr>
    </w:p>
    <w:p w14:paraId="4F775E7D" w14:textId="3DDC7C61" w:rsidR="00C97B93" w:rsidRDefault="00C97B93" w:rsidP="008C6C5F">
      <w:pPr>
        <w:pStyle w:val="Prrafodelista"/>
        <w:ind w:left="0" w:right="49"/>
        <w:jc w:val="both"/>
        <w:rPr>
          <w:rFonts w:ascii="Verdana" w:eastAsia="Century Gothic" w:hAnsi="Verdana" w:cs="Century Gothic"/>
        </w:rPr>
      </w:pPr>
      <w:r>
        <w:rPr>
          <w:rFonts w:ascii="Verdana" w:eastAsia="Century Gothic" w:hAnsi="Verdana" w:cs="Century Gothic"/>
          <w:lang w:val="es-CO"/>
        </w:rPr>
        <w:t>¿</w:t>
      </w:r>
      <w:r w:rsidRPr="00C97B93">
        <w:rPr>
          <w:rFonts w:ascii="Verdana" w:eastAsia="Century Gothic" w:hAnsi="Verdana" w:cs="Century Gothic"/>
          <w:lang w:val="es-CO"/>
        </w:rPr>
        <w:t>Qué criterio jurídico debe aplicar una Entidad Estatal para</w:t>
      </w:r>
      <w:r>
        <w:rPr>
          <w:rFonts w:ascii="Verdana" w:eastAsia="Century Gothic" w:hAnsi="Verdana" w:cs="Century Gothic"/>
          <w:lang w:val="es-CO"/>
        </w:rPr>
        <w:t xml:space="preserve"> determinar </w:t>
      </w:r>
      <w:r w:rsidRPr="00C97B93">
        <w:rPr>
          <w:rFonts w:ascii="Verdana" w:eastAsia="Century Gothic" w:hAnsi="Verdana" w:cs="Century Gothic"/>
          <w:lang w:val="es-CO"/>
        </w:rPr>
        <w:t xml:space="preserve">si la naturaleza jurídica de </w:t>
      </w:r>
      <w:r>
        <w:rPr>
          <w:rFonts w:ascii="Verdana" w:eastAsia="Century Gothic" w:hAnsi="Verdana" w:cs="Century Gothic"/>
          <w:lang w:val="es-CO"/>
        </w:rPr>
        <w:t xml:space="preserve">una </w:t>
      </w:r>
      <w:r w:rsidRPr="00C97B93">
        <w:rPr>
          <w:rFonts w:ascii="Verdana" w:eastAsia="Century Gothic" w:hAnsi="Verdana" w:cs="Century Gothic"/>
          <w:lang w:val="es-CO"/>
        </w:rPr>
        <w:t xml:space="preserve">actividad a desarrollar encaja en </w:t>
      </w:r>
      <w:r>
        <w:rPr>
          <w:rFonts w:ascii="Verdana" w:eastAsia="Century Gothic" w:hAnsi="Verdana" w:cs="Century Gothic"/>
          <w:lang w:val="es-CO"/>
        </w:rPr>
        <w:t>una determinada figura contractual</w:t>
      </w:r>
      <w:r w:rsidRPr="00DF4493">
        <w:rPr>
          <w:rFonts w:ascii="Verdana" w:eastAsia="Century Gothic" w:hAnsi="Verdana" w:cs="Century Gothic"/>
        </w:rPr>
        <w:t xml:space="preserve">?  </w:t>
      </w:r>
    </w:p>
    <w:p w14:paraId="4FCB306C" w14:textId="1E5C03AB" w:rsidR="008C6C5F" w:rsidRDefault="008C6C5F" w:rsidP="005B09C5">
      <w:pPr>
        <w:pStyle w:val="Prrafodelista"/>
        <w:tabs>
          <w:tab w:val="left" w:pos="142"/>
          <w:tab w:val="left" w:pos="284"/>
        </w:tabs>
        <w:spacing w:after="0" w:line="276" w:lineRule="auto"/>
        <w:ind w:left="0"/>
        <w:jc w:val="both"/>
        <w:rPr>
          <w:rFonts w:ascii="Verdana" w:hAnsi="Verdana"/>
        </w:rPr>
      </w:pPr>
    </w:p>
    <w:bookmarkEnd w:id="7"/>
    <w:p w14:paraId="4830150C" w14:textId="77777777" w:rsidR="0087031A" w:rsidRPr="00593A5F"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7A45475" w14:textId="77777777" w:rsidR="0087031A" w:rsidRPr="00593A5F" w:rsidRDefault="0087031A" w:rsidP="0087031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031A" w:rsidRPr="00593A5F" w14:paraId="12E3C4B8" w14:textId="77777777" w:rsidTr="00580B7F">
        <w:tc>
          <w:tcPr>
            <w:tcW w:w="8828" w:type="dxa"/>
          </w:tcPr>
          <w:p w14:paraId="253F9B53" w14:textId="317AAEF9" w:rsidR="00135265" w:rsidRDefault="00A53EC9" w:rsidP="00135265">
            <w:pPr>
              <w:spacing w:line="276" w:lineRule="auto"/>
              <w:jc w:val="both"/>
              <w:rPr>
                <w:rFonts w:ascii="Verdana" w:eastAsia="Calibri" w:hAnsi="Verdana" w:cs="Times New Roman"/>
              </w:rPr>
            </w:pPr>
            <w:r>
              <w:rPr>
                <w:rFonts w:ascii="Verdana" w:eastAsia="Calibri" w:hAnsi="Verdana" w:cs="Arial"/>
                <w:lang w:eastAsia="es-ES"/>
              </w:rPr>
              <w:t xml:space="preserve">  </w:t>
            </w:r>
            <w:r w:rsidR="002E0B66">
              <w:rPr>
                <w:rFonts w:ascii="Verdana" w:eastAsia="Calibri" w:hAnsi="Verdana" w:cs="Times New Roman"/>
              </w:rPr>
              <w:t xml:space="preserve">        </w:t>
            </w:r>
          </w:p>
          <w:p w14:paraId="7D70BDCB" w14:textId="3E0F20E6" w:rsidR="00AD7E01" w:rsidRDefault="004A4364" w:rsidP="002A5172">
            <w:pPr>
              <w:spacing w:before="120" w:after="120" w:line="276" w:lineRule="auto"/>
              <w:contextualSpacing/>
              <w:jc w:val="both"/>
              <w:rPr>
                <w:rFonts w:ascii="Verdana" w:eastAsia="Calibri" w:hAnsi="Verdana" w:cs="Arial"/>
                <w:lang w:eastAsia="es-ES_tradnl"/>
              </w:rPr>
            </w:pPr>
            <w:r>
              <w:rPr>
                <w:rFonts w:ascii="Verdana" w:eastAsia="Arial" w:hAnsi="Verdana" w:cs="Arial"/>
              </w:rPr>
              <w:t xml:space="preserve">i) </w:t>
            </w:r>
            <w:r w:rsidR="007E7889">
              <w:rPr>
                <w:rFonts w:ascii="Verdana" w:eastAsia="Calibri" w:hAnsi="Verdana" w:cs="Arial"/>
                <w:lang w:eastAsia="es-ES"/>
              </w:rPr>
              <w:t>En relación con el primer problema jurídico es de precisar que, d</w:t>
            </w:r>
            <w:r w:rsidR="007E7889" w:rsidRPr="00307BB8">
              <w:rPr>
                <w:rFonts w:ascii="Verdana" w:eastAsia="Calibri" w:hAnsi="Verdana" w:cs="Arial"/>
                <w:lang w:val="es-ES_tradnl" w:eastAsia="es-ES_tradnl"/>
              </w:rPr>
              <w:t xml:space="preserve">e acuerdo con el artículo 5 del Decreto 092 de 2017, </w:t>
            </w:r>
            <w:r w:rsidR="007E7889" w:rsidRPr="00307BB8">
              <w:rPr>
                <w:rFonts w:ascii="Verdana" w:eastAsia="Calibri" w:hAnsi="Verdana" w:cs="Arial"/>
                <w:lang w:eastAsia="es-ES_tradnl"/>
              </w:rPr>
              <w:t xml:space="preserve">el proceso para la escogencia de la ESAL, por regla general, debe estar sujeto a competencia, salvo en aquellos casos en los que </w:t>
            </w:r>
            <w:r w:rsidR="00AD7E01">
              <w:rPr>
                <w:rFonts w:ascii="Verdana" w:eastAsia="Calibri" w:hAnsi="Verdana" w:cs="Arial"/>
                <w:lang w:eastAsia="es-ES_tradnl"/>
              </w:rPr>
              <w:t xml:space="preserve">sea solo </w:t>
            </w:r>
            <w:r w:rsidR="007E7889" w:rsidRPr="00307BB8">
              <w:rPr>
                <w:rFonts w:ascii="Verdana" w:eastAsia="Calibri" w:hAnsi="Verdana" w:cs="Arial"/>
                <w:lang w:eastAsia="es-ES_tradnl"/>
              </w:rPr>
              <w:t xml:space="preserve">una ESAL </w:t>
            </w:r>
            <w:r w:rsidR="00AD7E01">
              <w:rPr>
                <w:rFonts w:ascii="Verdana" w:eastAsia="Calibri" w:hAnsi="Verdana" w:cs="Arial"/>
                <w:lang w:eastAsia="es-ES_tradnl"/>
              </w:rPr>
              <w:t xml:space="preserve">la que </w:t>
            </w:r>
            <w:r w:rsidR="007E7889" w:rsidRPr="00307BB8">
              <w:rPr>
                <w:rFonts w:ascii="Verdana" w:eastAsia="Calibri" w:hAnsi="Verdana" w:cs="Arial"/>
                <w:lang w:eastAsia="es-ES_tradnl"/>
              </w:rPr>
              <w:t>manifieste su compromiso de aportar recursos en dinero por un valor igual o superior al treinta por ciento (30%) del valor total del convenio</w:t>
            </w:r>
            <w:r w:rsidR="00AD7E01">
              <w:rPr>
                <w:rFonts w:ascii="Verdana" w:eastAsia="Calibri" w:hAnsi="Verdana" w:cs="Arial"/>
                <w:lang w:eastAsia="es-ES_tradnl"/>
              </w:rPr>
              <w:t>.</w:t>
            </w:r>
          </w:p>
          <w:p w14:paraId="00EABCBF" w14:textId="77777777" w:rsidR="003F5E97" w:rsidRDefault="003F5E97" w:rsidP="002A5172">
            <w:pPr>
              <w:spacing w:before="120" w:after="120" w:line="276" w:lineRule="auto"/>
              <w:contextualSpacing/>
              <w:jc w:val="both"/>
              <w:rPr>
                <w:rFonts w:ascii="Verdana" w:eastAsia="Calibri" w:hAnsi="Verdana" w:cs="Arial"/>
                <w:lang w:eastAsia="es-ES_tradnl"/>
              </w:rPr>
            </w:pPr>
          </w:p>
          <w:p w14:paraId="286C9CAC" w14:textId="1D59173D" w:rsidR="00AD7E01" w:rsidRDefault="0093633D" w:rsidP="00AD7E01">
            <w:pPr>
              <w:spacing w:before="120" w:after="120" w:line="276" w:lineRule="auto"/>
              <w:contextualSpacing/>
              <w:jc w:val="both"/>
              <w:rPr>
                <w:rFonts w:ascii="Verdana" w:hAnsi="Verdana" w:cs="Arial"/>
                <w:color w:val="000000" w:themeColor="text1"/>
              </w:rPr>
            </w:pPr>
            <w:r>
              <w:rPr>
                <w:rFonts w:ascii="Verdana" w:eastAsia="Calibri" w:hAnsi="Verdana" w:cs="Arial"/>
                <w:lang w:eastAsia="es-ES_tradnl"/>
              </w:rPr>
              <w:t xml:space="preserve">        </w:t>
            </w:r>
            <w:r w:rsidR="00AD7E01">
              <w:rPr>
                <w:rFonts w:ascii="Verdana" w:eastAsia="Calibri" w:hAnsi="Verdana" w:cs="Arial"/>
                <w:lang w:eastAsia="es-ES_tradnl"/>
              </w:rPr>
              <w:t>Ahora bien, e</w:t>
            </w:r>
            <w:r w:rsidR="00AD7E01" w:rsidRPr="00377ED6">
              <w:rPr>
                <w:rFonts w:ascii="Verdana" w:eastAsia="Calibri" w:hAnsi="Verdana" w:cs="Arial"/>
                <w:bCs/>
              </w:rPr>
              <w:t>n caso de que la entidad encuentre que más de una ESAL le ofrece al menos el 30% de recursos en dinero para el convenio de asociación, debe seleccionar objetivamente con cual asociarse.</w:t>
            </w:r>
            <w:r w:rsidR="00AD7E01" w:rsidRPr="00377ED6">
              <w:rPr>
                <w:rFonts w:ascii="Verdana" w:hAnsi="Verdana" w:cs="Arial"/>
                <w:color w:val="000000" w:themeColor="text1"/>
              </w:rPr>
              <w:t xml:space="preserve"> </w:t>
            </w:r>
            <w:r w:rsidR="00AD7E01">
              <w:rPr>
                <w:rFonts w:ascii="Verdana" w:hAnsi="Verdana" w:cs="Arial"/>
                <w:color w:val="000000" w:themeColor="text1"/>
              </w:rPr>
              <w:t xml:space="preserve">Para tales efectos, </w:t>
            </w:r>
            <w:r w:rsidR="00AD7E01" w:rsidRPr="00377ED6">
              <w:rPr>
                <w:rFonts w:ascii="Verdana" w:hAnsi="Verdana" w:cs="Arial"/>
                <w:color w:val="000000" w:themeColor="text1"/>
              </w:rPr>
              <w:t>la entidad puede tomar la decisión de acudir a los procesos de selección de contratistas que establece el Estatuto General de Contratación de la Administración Pública o, incluso, al trámite que regula el inciso 2 del artículo 2 del Decreto 092 de 2017</w:t>
            </w:r>
            <w:r w:rsidR="00AD7E01">
              <w:rPr>
                <w:rFonts w:ascii="Verdana" w:hAnsi="Verdana" w:cs="Arial"/>
                <w:color w:val="000000" w:themeColor="text1"/>
              </w:rPr>
              <w:t>.</w:t>
            </w:r>
          </w:p>
          <w:p w14:paraId="26F4E433" w14:textId="77777777" w:rsidR="00715004" w:rsidRDefault="00715004" w:rsidP="00AD7E01">
            <w:pPr>
              <w:spacing w:before="120" w:after="120" w:line="276" w:lineRule="auto"/>
              <w:contextualSpacing/>
              <w:jc w:val="both"/>
              <w:rPr>
                <w:rFonts w:ascii="Verdana" w:eastAsia="Calibri" w:hAnsi="Verdana" w:cs="Arial"/>
                <w:bCs/>
                <w:color w:val="000000" w:themeColor="text1"/>
                <w:lang w:val="es-ES_tradnl"/>
              </w:rPr>
            </w:pPr>
          </w:p>
          <w:p w14:paraId="1E7F4D45" w14:textId="0E116E58" w:rsidR="00715004" w:rsidRPr="00715004" w:rsidRDefault="00904F24" w:rsidP="00715004">
            <w:pPr>
              <w:spacing w:before="120" w:after="120" w:line="276" w:lineRule="auto"/>
              <w:contextualSpacing/>
              <w:jc w:val="both"/>
              <w:rPr>
                <w:rFonts w:ascii="Verdana" w:eastAsia="Calibri" w:hAnsi="Verdana" w:cs="Arial"/>
                <w:lang w:eastAsia="es-ES_tradnl"/>
              </w:rPr>
            </w:pPr>
            <w:r>
              <w:rPr>
                <w:rFonts w:ascii="Verdana" w:eastAsia="Calibri" w:hAnsi="Verdana" w:cs="Arial"/>
                <w:lang w:eastAsia="es-ES_tradnl"/>
              </w:rPr>
              <w:t xml:space="preserve">        </w:t>
            </w:r>
            <w:r w:rsidR="003F5E97" w:rsidRPr="003F5E97">
              <w:rPr>
                <w:rFonts w:ascii="Verdana" w:eastAsia="Calibri" w:hAnsi="Verdana" w:cs="Arial"/>
                <w:lang w:val="es-ES" w:eastAsia="es-ES"/>
              </w:rPr>
              <w:t>En este punto, es importante señalar que, el requisito del treinta por ciento (30%) para adelantar de forma directa la contratación con las ESAL, aplica solo para los convenios de asociación no para los contratos de colaboración del artículo 355 de la Constitución Política.</w:t>
            </w:r>
          </w:p>
          <w:p w14:paraId="00290493" w14:textId="77777777" w:rsidR="002A5172" w:rsidRDefault="002A5172" w:rsidP="002A5172">
            <w:pPr>
              <w:spacing w:before="120" w:after="120" w:line="276" w:lineRule="auto"/>
              <w:contextualSpacing/>
              <w:jc w:val="both"/>
              <w:rPr>
                <w:rFonts w:ascii="Verdana" w:eastAsia="Arial" w:hAnsi="Verdana" w:cs="Times New Roman"/>
              </w:rPr>
            </w:pPr>
          </w:p>
          <w:p w14:paraId="1A9C44B7" w14:textId="0DC709E2" w:rsidR="0093633D" w:rsidRPr="0093633D" w:rsidRDefault="004A4364" w:rsidP="0093633D">
            <w:pPr>
              <w:spacing w:before="120" w:after="120" w:line="276" w:lineRule="auto"/>
              <w:contextualSpacing/>
              <w:jc w:val="both"/>
              <w:rPr>
                <w:rFonts w:ascii="Verdana" w:eastAsia="Calibri" w:hAnsi="Verdana" w:cs="Arial"/>
                <w:lang w:eastAsia="es-ES"/>
              </w:rPr>
            </w:pPr>
            <w:r>
              <w:rPr>
                <w:rFonts w:ascii="Verdana" w:eastAsia="Calibri" w:hAnsi="Verdana" w:cs="Arial"/>
                <w:lang w:eastAsia="es-ES"/>
              </w:rPr>
              <w:lastRenderedPageBreak/>
              <w:t xml:space="preserve">ii) </w:t>
            </w:r>
            <w:r w:rsidR="00107BB2">
              <w:rPr>
                <w:rFonts w:ascii="Verdana" w:eastAsia="Calibri" w:hAnsi="Verdana" w:cs="Arial"/>
                <w:lang w:eastAsia="es-ES"/>
              </w:rPr>
              <w:t>En relación con el segundo problema jurídico</w:t>
            </w:r>
            <w:r w:rsidR="0093633D">
              <w:rPr>
                <w:rFonts w:ascii="Verdana" w:eastAsia="Calibri" w:hAnsi="Verdana" w:cs="Arial"/>
                <w:lang w:eastAsia="es-ES"/>
              </w:rPr>
              <w:t xml:space="preserve"> es de precisar que e</w:t>
            </w:r>
            <w:r w:rsidR="0093633D" w:rsidRPr="0093633D">
              <w:rPr>
                <w:rFonts w:ascii="Verdana" w:eastAsia="Calibri" w:hAnsi="Verdana" w:cs="Arial"/>
                <w:lang w:eastAsia="es-ES"/>
              </w:rPr>
              <w:t>l Consejo de Estado, en su auto del 6 de agosto de 2019</w:t>
            </w:r>
            <w:r w:rsidR="0093633D">
              <w:rPr>
                <w:rStyle w:val="Refdenotaalpie"/>
                <w:rFonts w:ascii="Verdana" w:eastAsia="Calibri" w:hAnsi="Verdana" w:cs="Arial"/>
                <w:lang w:eastAsia="es-ES"/>
              </w:rPr>
              <w:footnoteReference w:id="1"/>
            </w:r>
            <w:r w:rsidR="0093633D" w:rsidRPr="0093633D">
              <w:rPr>
                <w:rFonts w:ascii="Verdana" w:eastAsia="Calibri" w:hAnsi="Verdana" w:cs="Arial"/>
                <w:lang w:eastAsia="es-ES"/>
              </w:rPr>
              <w:t>, suspendió provisionalmente el inciso final del artículo 4 del Decreto 092 de 2017. Este inciso permitía la contratación directa para actividades artísticas, culturales, deportivas y de promoción de la diversidad étnica que solo podían ser ejecutadas por determinadas personas.</w:t>
            </w:r>
          </w:p>
          <w:p w14:paraId="7804F2C0" w14:textId="77777777" w:rsidR="0093633D" w:rsidRPr="0093633D" w:rsidRDefault="0093633D" w:rsidP="0093633D">
            <w:pPr>
              <w:spacing w:before="120" w:after="120" w:line="276" w:lineRule="auto"/>
              <w:contextualSpacing/>
              <w:jc w:val="both"/>
              <w:rPr>
                <w:rFonts w:ascii="Verdana" w:eastAsia="Calibri" w:hAnsi="Verdana" w:cs="Arial"/>
                <w:lang w:eastAsia="es-ES"/>
              </w:rPr>
            </w:pPr>
          </w:p>
          <w:p w14:paraId="047049D1" w14:textId="409A4FDC" w:rsidR="002A5172" w:rsidRDefault="0093633D" w:rsidP="0093633D">
            <w:pPr>
              <w:spacing w:before="120" w:after="120" w:line="276" w:lineRule="auto"/>
              <w:contextualSpacing/>
              <w:jc w:val="both"/>
              <w:rPr>
                <w:rFonts w:ascii="Verdana" w:eastAsia="Calibri" w:hAnsi="Verdana" w:cs="Arial"/>
                <w:lang w:eastAsia="es-ES"/>
              </w:rPr>
            </w:pPr>
            <w:r>
              <w:rPr>
                <w:rFonts w:ascii="Verdana" w:eastAsia="Calibri" w:hAnsi="Verdana" w:cs="Arial"/>
                <w:lang w:eastAsia="es-ES"/>
              </w:rPr>
              <w:t xml:space="preserve">         </w:t>
            </w:r>
            <w:r w:rsidRPr="0093633D">
              <w:rPr>
                <w:rFonts w:ascii="Verdana" w:eastAsia="Calibri" w:hAnsi="Verdana" w:cs="Arial"/>
                <w:lang w:eastAsia="es-ES"/>
              </w:rPr>
              <w:t>La razón principal de esta suspensión es que el Consejo de Estado consideró que esta norma vulnera el principio de igualdad, ya que otorgaba un trato privilegiado a ciertos individuos o entidades, eximiéndolos de participar en un proceso competitivo. El Consejo argumentó que no existe una razón válida para prescindir de un proceso de selección cuando hay más de una persona o entidad que puede ofrecer el servicio.</w:t>
            </w:r>
            <w:r w:rsidRPr="0093633D">
              <w:t xml:space="preserve"> </w:t>
            </w:r>
            <w:r w:rsidRPr="0093633D">
              <w:rPr>
                <w:rFonts w:ascii="Verdana" w:eastAsia="Calibri" w:hAnsi="Verdana" w:cs="Arial"/>
                <w:lang w:eastAsia="es-ES"/>
              </w:rPr>
              <w:t>Por lo tanto, las entidades estatales deben abstenerse de utilizar la contratación directa para estos fines y, en su lugar, deben optar por procesos de selección competitivos para garantizar la igualdad de oportunidades y la correcta inversión de los recursos públicos.</w:t>
            </w:r>
          </w:p>
          <w:p w14:paraId="3CC43D32" w14:textId="100C97CE" w:rsidR="003F5E97" w:rsidRPr="003F5E97" w:rsidRDefault="003F5E97" w:rsidP="003F5E97">
            <w:pPr>
              <w:spacing w:before="120" w:after="120" w:line="276" w:lineRule="auto"/>
              <w:contextualSpacing/>
              <w:jc w:val="both"/>
              <w:rPr>
                <w:rFonts w:ascii="Verdana" w:eastAsia="Calibri" w:hAnsi="Verdana" w:cs="Times New Roman"/>
                <w:lang w:val="es-ES"/>
              </w:rPr>
            </w:pPr>
          </w:p>
          <w:p w14:paraId="406A23FF" w14:textId="6132F77E" w:rsidR="003F5E97" w:rsidRPr="00DB4737" w:rsidRDefault="003251D7" w:rsidP="003F5E97">
            <w:pPr>
              <w:spacing w:before="120" w:after="120" w:line="276" w:lineRule="auto"/>
              <w:contextualSpacing/>
              <w:jc w:val="both"/>
              <w:rPr>
                <w:rFonts w:ascii="Verdana" w:eastAsia="Calibri" w:hAnsi="Verdana" w:cs="Times New Roman"/>
                <w:lang w:val="es-ES"/>
              </w:rPr>
            </w:pPr>
            <w:r>
              <w:rPr>
                <w:rFonts w:ascii="Verdana" w:eastAsia="Calibri" w:hAnsi="Verdana" w:cs="Times New Roman"/>
                <w:lang w:val="es-ES"/>
              </w:rPr>
              <w:t xml:space="preserve">         </w:t>
            </w:r>
            <w:r w:rsidR="003F5E97" w:rsidRPr="003F5E97">
              <w:rPr>
                <w:rFonts w:ascii="Verdana" w:eastAsia="Calibri" w:hAnsi="Verdana" w:cs="Times New Roman"/>
                <w:lang w:val="es-ES"/>
              </w:rPr>
              <w:t>La respuesta en Poxta está diferente al de Relatoría. Se debe revisar. Después del párrafo 2 y antes del párrafo 3 falta un párrafo que está en el documento de poxta que dice lo siguiente: En este punto, es importante señalar que, el requisito del treinta por ciento (30%) para adelantar de forma directa la contratación con las ESAL, aplica solo para los convenios de asociación no para los contratos de colaboración del artículo 355 de la Constitución Política.</w:t>
            </w:r>
          </w:p>
          <w:p w14:paraId="7E2C1536" w14:textId="77777777" w:rsidR="006E7F62" w:rsidRDefault="006E7F62" w:rsidP="00AD7FF6">
            <w:pPr>
              <w:widowControl w:val="0"/>
              <w:spacing w:after="120" w:line="276" w:lineRule="auto"/>
              <w:jc w:val="both"/>
              <w:rPr>
                <w:rFonts w:ascii="Verdana" w:hAnsi="Verdana" w:cs="Arial"/>
                <w:iCs/>
                <w:color w:val="000000" w:themeColor="text1"/>
              </w:rPr>
            </w:pPr>
          </w:p>
          <w:p w14:paraId="7918C2E3" w14:textId="21135838" w:rsidR="003E7CD1" w:rsidRDefault="004A4364" w:rsidP="00AD7FF6">
            <w:pPr>
              <w:widowControl w:val="0"/>
              <w:spacing w:after="120" w:line="276" w:lineRule="auto"/>
              <w:jc w:val="both"/>
              <w:rPr>
                <w:rFonts w:ascii="Verdana" w:hAnsi="Verdana" w:cs="Arial"/>
                <w:iCs/>
                <w:color w:val="000000" w:themeColor="text1"/>
              </w:rPr>
            </w:pPr>
            <w:r>
              <w:rPr>
                <w:rFonts w:ascii="Verdana" w:hAnsi="Verdana" w:cs="Arial"/>
                <w:iCs/>
                <w:color w:val="000000" w:themeColor="text1"/>
              </w:rPr>
              <w:t xml:space="preserve">iii) </w:t>
            </w:r>
            <w:r w:rsidR="00A3577C">
              <w:rPr>
                <w:rFonts w:ascii="Verdana" w:hAnsi="Verdana" w:cs="Arial"/>
                <w:iCs/>
                <w:color w:val="000000" w:themeColor="text1"/>
              </w:rPr>
              <w:t>Frente al tercer problema jurídico l</w:t>
            </w:r>
            <w:r w:rsidR="00A3577C" w:rsidRPr="00A3577C">
              <w:rPr>
                <w:rFonts w:ascii="Verdana" w:hAnsi="Verdana" w:cs="Arial"/>
                <w:iCs/>
                <w:color w:val="000000" w:themeColor="text1"/>
              </w:rPr>
              <w:t>a Entidad Estatal debe</w:t>
            </w:r>
            <w:r w:rsidR="00A3577C">
              <w:rPr>
                <w:rFonts w:ascii="Verdana" w:hAnsi="Verdana" w:cs="Arial"/>
                <w:iCs/>
                <w:color w:val="000000" w:themeColor="text1"/>
              </w:rPr>
              <w:t xml:space="preserve"> </w:t>
            </w:r>
            <w:r w:rsidR="00A3577C" w:rsidRPr="00A3577C">
              <w:rPr>
                <w:rFonts w:ascii="Verdana" w:hAnsi="Verdana" w:cs="Arial"/>
                <w:iCs/>
                <w:color w:val="000000" w:themeColor="text1"/>
              </w:rPr>
              <w:t>aplicar un criterio de selección objetiva, que se centra en la naturaleza del objeto a contratar</w:t>
            </w:r>
            <w:r w:rsidR="00A3577C">
              <w:rPr>
                <w:rFonts w:ascii="Verdana" w:hAnsi="Verdana" w:cs="Arial"/>
                <w:iCs/>
                <w:color w:val="000000" w:themeColor="text1"/>
              </w:rPr>
              <w:t xml:space="preserve">, </w:t>
            </w:r>
            <w:r w:rsidR="00A3577C" w:rsidRPr="00A3577C">
              <w:rPr>
                <w:rFonts w:ascii="Verdana" w:hAnsi="Verdana" w:cs="Arial"/>
                <w:iCs/>
                <w:color w:val="000000" w:themeColor="text1"/>
              </w:rPr>
              <w:t xml:space="preserve">la cuantía del contrato y </w:t>
            </w:r>
            <w:r w:rsidR="00A3577C">
              <w:rPr>
                <w:rFonts w:ascii="Verdana" w:hAnsi="Verdana" w:cs="Arial"/>
                <w:iCs/>
                <w:color w:val="000000" w:themeColor="text1"/>
              </w:rPr>
              <w:t xml:space="preserve">que </w:t>
            </w:r>
            <w:r w:rsidR="003E7CD1" w:rsidRPr="00A3577C">
              <w:rPr>
                <w:rFonts w:ascii="Verdana" w:hAnsi="Verdana" w:cs="Arial"/>
                <w:iCs/>
                <w:color w:val="000000" w:themeColor="text1"/>
              </w:rPr>
              <w:t>la finalidad de la actividad corresponda</w:t>
            </w:r>
            <w:r w:rsidR="00A3577C" w:rsidRPr="00A3577C">
              <w:rPr>
                <w:rFonts w:ascii="Verdana" w:hAnsi="Verdana" w:cs="Arial"/>
                <w:iCs/>
                <w:color w:val="000000" w:themeColor="text1"/>
              </w:rPr>
              <w:t xml:space="preserve"> a las características y fines de la figura contractual prevista en la ley, conforme al régimen jurídico aplicable. Este análisis exige identificar la naturaleza del servicio o prestación, revisar el marco normativo que regula cada modalidad, evaluar su idoneidad para satisfacer el interés público y asegurar que no se utilice para eludir procedimientos o requisitos, sustentando la decisión en una justificación técnica y jurídica.</w:t>
            </w:r>
          </w:p>
          <w:p w14:paraId="5946066B" w14:textId="77777777" w:rsidR="003E7CD1" w:rsidRPr="00C71956" w:rsidRDefault="003E7CD1" w:rsidP="003E7CD1">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lastRenderedPageBreak/>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BF34746" w14:textId="513BB8CD" w:rsidR="002E0B66" w:rsidRDefault="003E7CD1" w:rsidP="00AD7FF6">
            <w:pPr>
              <w:widowControl w:val="0"/>
              <w:spacing w:after="120" w:line="276" w:lineRule="auto"/>
              <w:jc w:val="both"/>
              <w:rPr>
                <w:rFonts w:ascii="Verdana" w:eastAsia="Calibri" w:hAnsi="Verdana" w:cs="Arial"/>
                <w:lang w:eastAsia="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cs="Arial"/>
                <w:iCs/>
                <w:color w:val="000000" w:themeColor="text1"/>
              </w:rPr>
              <w:t xml:space="preserve"> </w:t>
            </w:r>
            <w:r w:rsidR="006676BD">
              <w:rPr>
                <w:rFonts w:ascii="Verdana" w:hAnsi="Verdana" w:cs="Arial"/>
                <w:iCs/>
                <w:color w:val="000000" w:themeColor="text1"/>
              </w:rPr>
              <w:t xml:space="preserve"> </w:t>
            </w:r>
          </w:p>
          <w:p w14:paraId="4D8F70B6" w14:textId="2C539FB1" w:rsidR="0087031A" w:rsidRPr="00831CDD" w:rsidRDefault="0087031A" w:rsidP="00CD7324">
            <w:pPr>
              <w:spacing w:line="276" w:lineRule="auto"/>
              <w:ind w:firstLine="709"/>
              <w:contextualSpacing/>
              <w:jc w:val="both"/>
              <w:rPr>
                <w:rFonts w:ascii="Verdana" w:hAnsi="Verdana" w:cs="Arial"/>
                <w:bCs/>
                <w:color w:val="000000" w:themeColor="text1"/>
              </w:rPr>
            </w:pPr>
          </w:p>
        </w:tc>
      </w:tr>
      <w:tr w:rsidR="0087031A" w:rsidRPr="00593A5F" w14:paraId="2EC3A9A4" w14:textId="77777777" w:rsidTr="00580B7F">
        <w:tc>
          <w:tcPr>
            <w:tcW w:w="8828" w:type="dxa"/>
          </w:tcPr>
          <w:p w14:paraId="46FE8F13" w14:textId="77777777" w:rsidR="0087031A" w:rsidRPr="002973E9" w:rsidRDefault="0087031A" w:rsidP="00580B7F">
            <w:pPr>
              <w:spacing w:line="276" w:lineRule="auto"/>
              <w:jc w:val="both"/>
              <w:rPr>
                <w:rFonts w:ascii="Verdana" w:eastAsia="Calibri" w:hAnsi="Verdana" w:cs="Arial"/>
                <w:lang w:val="es-ES"/>
              </w:rPr>
            </w:pPr>
          </w:p>
        </w:tc>
      </w:tr>
    </w:tbl>
    <w:p w14:paraId="40754F64" w14:textId="77777777" w:rsidR="00651311" w:rsidRDefault="00651311" w:rsidP="0087031A">
      <w:pPr>
        <w:tabs>
          <w:tab w:val="left" w:pos="142"/>
          <w:tab w:val="left" w:pos="284"/>
        </w:tabs>
        <w:spacing w:after="0" w:line="276" w:lineRule="auto"/>
        <w:jc w:val="both"/>
        <w:rPr>
          <w:rFonts w:ascii="Verdana" w:eastAsia="Century Gothic" w:hAnsi="Verdana" w:cs="Century Gothic"/>
          <w:b/>
          <w:bCs/>
          <w:lang w:val="es-ES"/>
        </w:rPr>
      </w:pPr>
    </w:p>
    <w:p w14:paraId="43DE775E" w14:textId="77777777" w:rsidR="0087031A"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94A904A" w14:textId="77777777" w:rsidR="0067596F" w:rsidRDefault="0067596F" w:rsidP="0067596F">
      <w:pPr>
        <w:spacing w:line="276" w:lineRule="auto"/>
        <w:jc w:val="both"/>
        <w:rPr>
          <w:rFonts w:ascii="Verdana" w:eastAsia="Calibri" w:hAnsi="Verdana" w:cs="Arial"/>
          <w:bCs/>
          <w:lang w:val="es-ES_tradnl"/>
        </w:rPr>
      </w:pPr>
    </w:p>
    <w:p w14:paraId="555491EC" w14:textId="3583221F" w:rsidR="0067596F" w:rsidRPr="00377ED6" w:rsidRDefault="004A4364" w:rsidP="004A4364">
      <w:pPr>
        <w:spacing w:line="276" w:lineRule="auto"/>
        <w:jc w:val="both"/>
        <w:rPr>
          <w:rFonts w:ascii="Verdana" w:eastAsia="Calibri" w:hAnsi="Verdana" w:cs="Arial"/>
          <w:bCs/>
          <w:lang w:val="es-ES_tradnl"/>
        </w:rPr>
      </w:pPr>
      <w:r>
        <w:rPr>
          <w:rFonts w:ascii="Verdana" w:eastAsia="Calibri" w:hAnsi="Verdana" w:cs="Arial"/>
          <w:bCs/>
          <w:lang w:val="es-ES_tradnl"/>
        </w:rPr>
        <w:t xml:space="preserve">i) </w:t>
      </w:r>
      <w:r w:rsidR="0067596F" w:rsidRPr="00377ED6">
        <w:rPr>
          <w:rFonts w:ascii="Verdana" w:eastAsia="Calibri" w:hAnsi="Verdana" w:cs="Arial"/>
          <w:bCs/>
          <w:lang w:val="es-ES_tradn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0067596F" w:rsidRPr="00377ED6">
        <w:rPr>
          <w:rFonts w:ascii="Verdana" w:hAnsi="Verdana" w:cs="Arial"/>
          <w:vertAlign w:val="superscript"/>
        </w:rPr>
        <w:footnoteReference w:id="2"/>
      </w:r>
      <w:r w:rsidR="0067596F" w:rsidRPr="00377ED6">
        <w:rPr>
          <w:rFonts w:ascii="Verdana" w:eastAsia="Calibri" w:hAnsi="Verdana" w:cs="Arial"/>
          <w:bCs/>
          <w:lang w:val="es-ES_tradnl"/>
        </w:rPr>
        <w:t xml:space="preserve">.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w:t>
      </w:r>
      <w:r w:rsidR="0067596F" w:rsidRPr="00377ED6">
        <w:rPr>
          <w:rFonts w:ascii="Verdana" w:eastAsia="Calibri" w:hAnsi="Verdana" w:cs="Arial"/>
          <w:bCs/>
          <w:lang w:val="es-ES_tradnl"/>
        </w:rPr>
        <w:lastRenderedPageBreak/>
        <w:t>desarrollar conjuntamente actividades relacionadas con los cometidos y funciones legales asignadas a la entidad</w:t>
      </w:r>
      <w:r w:rsidR="0067596F" w:rsidRPr="00377ED6">
        <w:rPr>
          <w:rFonts w:ascii="Verdana" w:eastAsia="Calibri" w:hAnsi="Verdana" w:cs="Arial"/>
          <w:bCs/>
          <w:vertAlign w:val="superscript"/>
          <w:lang w:val="es-ES_tradnl"/>
        </w:rPr>
        <w:footnoteReference w:id="3"/>
      </w:r>
      <w:r w:rsidR="0067596F" w:rsidRPr="00377ED6">
        <w:rPr>
          <w:rFonts w:ascii="Verdana" w:eastAsia="Calibri" w:hAnsi="Verdana" w:cs="Arial"/>
          <w:bCs/>
          <w:lang w:val="es-ES_tradnl"/>
        </w:rPr>
        <w:t>.</w:t>
      </w:r>
    </w:p>
    <w:p w14:paraId="286EF882" w14:textId="77777777" w:rsidR="0067596F" w:rsidRPr="00377ED6" w:rsidRDefault="0067596F" w:rsidP="0067596F">
      <w:pPr>
        <w:spacing w:before="120" w:after="120" w:line="276" w:lineRule="auto"/>
        <w:ind w:firstLine="709"/>
        <w:jc w:val="both"/>
        <w:rPr>
          <w:rFonts w:ascii="Verdana" w:eastAsia="Calibri" w:hAnsi="Verdana" w:cs="Arial"/>
          <w:lang w:val="es-ES"/>
        </w:rPr>
      </w:pPr>
      <w:bookmarkStart w:id="9"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 </w:t>
      </w:r>
      <w:bookmarkEnd w:id="9"/>
    </w:p>
    <w:p w14:paraId="44404AAC" w14:textId="77777777" w:rsidR="0067596F" w:rsidRDefault="0067596F" w:rsidP="0067596F">
      <w:pPr>
        <w:spacing w:before="120" w:after="120" w:line="276" w:lineRule="auto"/>
        <w:ind w:firstLine="709"/>
        <w:jc w:val="both"/>
        <w:rPr>
          <w:rFonts w:ascii="Verdana" w:eastAsia="Calibri" w:hAnsi="Verdana" w:cs="Arial"/>
          <w:lang w:val="es-ES"/>
        </w:rPr>
      </w:pPr>
      <w:bookmarkStart w:id="10"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717D9235" w14:textId="77777777" w:rsidR="0067596F" w:rsidRPr="00551180" w:rsidRDefault="0067596F" w:rsidP="0067596F">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92 de 2017, las entidades estatales deberán adelantar procesos competitivos cuando en el </w:t>
      </w:r>
      <w:r w:rsidRPr="5F8BC1B5">
        <w:rPr>
          <w:rFonts w:ascii="Verdana" w:eastAsia="Calibri" w:hAnsi="Verdana" w:cs="Arial"/>
          <w:lang w:val="es-ES"/>
        </w:rPr>
        <w:lastRenderedPageBreak/>
        <w:t xml:space="preserve">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(ii) definición de un plazo razonable para que las entidades privadas sin ánimo de lucro de reconocida idoneidad presenten a la Entidad Estatal sus ofertas y los documentos que acrediten su idoneidad, y (iii) evaluación de las ofertas por parte de la Entidad Estatal teniendo en cuenta los criterios definidos para el efecto». </w:t>
      </w:r>
    </w:p>
    <w:p w14:paraId="795EE067" w14:textId="77777777" w:rsidR="0067596F" w:rsidRPr="00551180" w:rsidRDefault="0067596F" w:rsidP="0067596F">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En la primera fase o de</w:t>
      </w:r>
      <w:r w:rsidRPr="5F8BC1B5">
        <w:rPr>
          <w:rFonts w:ascii="Verdana" w:eastAsia="Calibri" w:hAnsi="Verdana" w:cs="Arial"/>
          <w:i/>
          <w:iCs/>
          <w:lang w:val="es-ES"/>
        </w:rPr>
        <w:t xml:space="preserve"> convocatoria, </w:t>
      </w:r>
      <w:r w:rsidRPr="5F8BC1B5">
        <w:rPr>
          <w:rFonts w:ascii="Verdana" w:eastAsia="Calibri" w:hAnsi="Verdana" w:cs="Arial"/>
          <w:lang w:val="es-ES"/>
        </w:rPr>
        <w:t xml:space="preserve">la norma establece que las entidades deberán definir los indicadores de idoneidad, experiencia, eficacia, eficiencia, manejo de riesgo y los criterios de ponderación de las ofertas, no obstante «tales indicadores deben haberse </w:t>
      </w:r>
      <w:r w:rsidRPr="5F8BC1B5">
        <w:rPr>
          <w:rFonts w:ascii="Verdana" w:eastAsia="Calibri" w:hAnsi="Verdana" w:cs="Arial"/>
          <w:i/>
          <w:iCs/>
          <w:lang w:val="es-ES"/>
        </w:rPr>
        <w:t xml:space="preserve">definido </w:t>
      </w:r>
      <w:r w:rsidRPr="5F8BC1B5">
        <w:rPr>
          <w:rFonts w:ascii="Verdana" w:eastAsia="Calibri" w:hAnsi="Verdana" w:cs="Arial"/>
          <w:lang w:val="es-ES"/>
        </w:rPr>
        <w:t>o identificado en la etapa de planeación, mientras que lo que se hace esta etapa es publicarlos, llamando la atención a participar en la competencia a las EPSAL interesadas y que los cumplan»</w:t>
      </w:r>
      <w:r w:rsidRPr="5F8BC1B5">
        <w:rPr>
          <w:rFonts w:ascii="Verdana" w:eastAsia="Calibri" w:hAnsi="Verdana" w:cs="Arial"/>
          <w:vertAlign w:val="superscript"/>
          <w:lang w:val="es-ES"/>
        </w:rPr>
        <w:footnoteReference w:id="4"/>
      </w:r>
      <w:r w:rsidRPr="5F8BC1B5">
        <w:rPr>
          <w:rFonts w:ascii="Verdana" w:eastAsia="Calibri" w:hAnsi="Verdana" w:cs="Arial"/>
          <w:lang w:val="es-ES"/>
        </w:rPr>
        <w:t xml:space="preserve">. En la segunda fase o </w:t>
      </w:r>
      <w:r w:rsidRPr="5F8BC1B5">
        <w:rPr>
          <w:rFonts w:ascii="Verdana" w:eastAsia="Calibri" w:hAnsi="Verdana" w:cs="Arial"/>
          <w:i/>
          <w:iCs/>
          <w:lang w:val="es-ES"/>
        </w:rPr>
        <w:t xml:space="preserve">Plazo para la presentación de ofertas, </w:t>
      </w:r>
      <w:r w:rsidRPr="5F8BC1B5">
        <w:rPr>
          <w:rFonts w:ascii="Verdana" w:eastAsia="Calibri" w:hAnsi="Verdana" w:cs="Arial"/>
          <w:lang w:val="es-ES"/>
        </w:rPr>
        <w:t xml:space="preserve">la norma se limita a establecer que la entidad deberá definir un plazo razonable para que las ESAL presenten sus ofertas y demás documentación requerida en el marco del procedimiento. La definición de este plazo deberá hacerse en la convocatoria. La tercera fase o de </w:t>
      </w:r>
      <w:r w:rsidRPr="5F8BC1B5">
        <w:rPr>
          <w:rFonts w:ascii="Verdana" w:eastAsia="Calibri" w:hAnsi="Verdana" w:cs="Arial"/>
          <w:i/>
          <w:iCs/>
          <w:lang w:val="es-ES"/>
        </w:rPr>
        <w:t>evaluación de ofertas</w:t>
      </w:r>
      <w:r w:rsidRPr="5F8BC1B5">
        <w:rPr>
          <w:rFonts w:ascii="Verdana" w:eastAsia="Calibri" w:hAnsi="Verdana" w:cs="Arial"/>
          <w:lang w:val="es-ES"/>
        </w:rPr>
        <w:t xml:space="preserve"> deberá cumplirse una vez vencido el plazo para la presentación de ofertas, de acuerdo a los métodos de ponderación y plazo definidos en la convocatoria.</w:t>
      </w:r>
    </w:p>
    <w:bookmarkEnd w:id="10"/>
    <w:p w14:paraId="47D3D803" w14:textId="77777777" w:rsidR="0067596F" w:rsidRPr="00377ED6" w:rsidRDefault="0067596F" w:rsidP="0067596F">
      <w:pPr>
        <w:spacing w:before="120"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5"/>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w:t>
      </w:r>
      <w:r w:rsidRPr="00377ED6">
        <w:rPr>
          <w:rFonts w:ascii="Verdana" w:eastAsia="Calibri" w:hAnsi="Verdana" w:cs="Arial"/>
          <w:bCs/>
          <w:lang w:val="es-ES_tradnl"/>
        </w:rPr>
        <w:lastRenderedPageBreak/>
        <w:t>para desarrollar los programas o actividades previstas, sino que se asocia con él para el cumplimiento de objetivos comunes</w:t>
      </w:r>
      <w:r w:rsidRPr="00377ED6">
        <w:rPr>
          <w:rFonts w:ascii="Verdana" w:hAnsi="Verdana" w:cs="Arial"/>
          <w:vertAlign w:val="superscript"/>
        </w:rPr>
        <w:footnoteReference w:id="6"/>
      </w:r>
      <w:r w:rsidRPr="00377ED6">
        <w:rPr>
          <w:rFonts w:ascii="Verdana" w:eastAsia="Calibri" w:hAnsi="Verdana" w:cs="Arial"/>
          <w:bCs/>
          <w:lang w:val="es-ES_tradnl"/>
        </w:rPr>
        <w:t>.</w:t>
      </w:r>
    </w:p>
    <w:p w14:paraId="2512CA07" w14:textId="77777777" w:rsidR="0067596F" w:rsidRPr="00377ED6" w:rsidRDefault="0067596F" w:rsidP="0067596F">
      <w:pPr>
        <w:spacing w:before="120"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5CDD2756" w14:textId="77777777" w:rsidR="0067596F" w:rsidRPr="00377ED6" w:rsidRDefault="0067596F" w:rsidP="0067596F">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2B3B024F" w14:textId="77777777" w:rsidR="0067596F" w:rsidRPr="00377ED6" w:rsidRDefault="0067596F" w:rsidP="0067596F">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 xml:space="preserve">Es importante aclarar que los negocios jurídicos que regula el Decreto 092 de 2017 “[…] son esencialmente distintos a los contratos para la adquisición y aprovisionamiento de bienes, obras o servicios regulados por el estatuto de </w:t>
      </w:r>
      <w:r w:rsidRPr="00377ED6">
        <w:rPr>
          <w:rFonts w:ascii="Verdana" w:hAnsi="Verdana" w:cs="Arial"/>
          <w:color w:val="000000" w:themeColor="text1"/>
          <w:lang w:val="es-MX"/>
        </w:rPr>
        <w:lastRenderedPageBreak/>
        <w:t>contratación y[,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7"/>
      </w:r>
      <w:r w:rsidRPr="00377ED6">
        <w:rPr>
          <w:rFonts w:ascii="Verdana" w:hAnsi="Verdana" w:cs="Arial"/>
          <w:color w:val="000000" w:themeColor="text1"/>
          <w:lang w:val="es-MX"/>
        </w:rPr>
        <w:t>. Así lo consideró la Sala de Consulta y Servicio Civil del Consejo de Estado:</w:t>
      </w:r>
    </w:p>
    <w:p w14:paraId="11D4520A" w14:textId="77777777" w:rsidR="0067596F" w:rsidRPr="00377ED6" w:rsidRDefault="0067596F" w:rsidP="0067596F">
      <w:pPr>
        <w:spacing w:after="0" w:line="276" w:lineRule="auto"/>
        <w:jc w:val="both"/>
        <w:rPr>
          <w:rFonts w:ascii="Verdana" w:hAnsi="Verdana" w:cs="Arial"/>
          <w:color w:val="000000" w:themeColor="text1"/>
          <w:lang w:val="es-MX"/>
        </w:rPr>
      </w:pPr>
    </w:p>
    <w:p w14:paraId="195C0C19" w14:textId="77777777" w:rsidR="0067596F" w:rsidRPr="003E7CD1" w:rsidRDefault="0067596F" w:rsidP="0067596F">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7B48D2FA" w14:textId="7BB95D5F" w:rsidR="0067596F" w:rsidRPr="003E7CD1" w:rsidRDefault="0067596F" w:rsidP="0067596F">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 xml:space="preserve">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w:t>
      </w:r>
      <w:r w:rsidR="003E7CD1" w:rsidRPr="003E7CD1">
        <w:rPr>
          <w:rFonts w:ascii="Verdana" w:eastAsia="Calibri" w:hAnsi="Verdana" w:cs="Arial"/>
          <w:color w:val="000000" w:themeColor="text1"/>
          <w:sz w:val="20"/>
          <w:szCs w:val="20"/>
        </w:rPr>
        <w:t>sería,</w:t>
      </w:r>
      <w:r w:rsidRPr="003E7CD1">
        <w:rPr>
          <w:rFonts w:ascii="Verdana" w:eastAsia="Calibri" w:hAnsi="Verdana" w:cs="Arial"/>
          <w:color w:val="000000" w:themeColor="text1"/>
          <w:sz w:val="20"/>
          <w:szCs w:val="20"/>
        </w:rPr>
        <w:t xml:space="preserve">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8"/>
      </w:r>
      <w:r w:rsidRPr="003E7CD1">
        <w:rPr>
          <w:rFonts w:ascii="Verdana" w:eastAsia="Calibri" w:hAnsi="Verdana" w:cs="Arial"/>
          <w:color w:val="000000" w:themeColor="text1"/>
          <w:sz w:val="20"/>
          <w:szCs w:val="20"/>
        </w:rPr>
        <w:t>.</w:t>
      </w:r>
    </w:p>
    <w:p w14:paraId="33D2ADFE" w14:textId="77777777" w:rsidR="0067596F" w:rsidRPr="00377ED6" w:rsidRDefault="0067596F" w:rsidP="0067596F">
      <w:pPr>
        <w:spacing w:after="0" w:line="276" w:lineRule="auto"/>
        <w:ind w:firstLine="708"/>
        <w:jc w:val="both"/>
        <w:rPr>
          <w:rFonts w:ascii="Verdana" w:eastAsia="Calibri" w:hAnsi="Verdana" w:cs="Arial"/>
          <w:color w:val="000000" w:themeColor="text1"/>
        </w:rPr>
      </w:pPr>
      <w:bookmarkStart w:id="11" w:name="_Hlk95756200"/>
    </w:p>
    <w:p w14:paraId="3469B5C7" w14:textId="77777777" w:rsidR="0067596F" w:rsidRPr="00377ED6" w:rsidRDefault="0067596F" w:rsidP="0067596F">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11"/>
      <w:r w:rsidRPr="00377ED6">
        <w:rPr>
          <w:rFonts w:ascii="Verdana" w:eastAsia="Calibri" w:hAnsi="Verdana" w:cs="Arial"/>
          <w:color w:val="000000" w:themeColor="text1"/>
        </w:rPr>
        <w:t>Así lo reconoció la Corte Constitucional en la sentencia C-287 del 18 de abril de 2012, en la que sostuvo lo siguiente:</w:t>
      </w:r>
    </w:p>
    <w:p w14:paraId="566F583A" w14:textId="77777777" w:rsidR="0067596F" w:rsidRPr="00377ED6" w:rsidRDefault="0067596F" w:rsidP="0067596F">
      <w:pPr>
        <w:spacing w:after="0" w:line="276" w:lineRule="auto"/>
        <w:ind w:firstLine="708"/>
        <w:jc w:val="both"/>
        <w:rPr>
          <w:rFonts w:ascii="Verdana" w:eastAsia="Calibri" w:hAnsi="Verdana" w:cs="Arial"/>
          <w:color w:val="000000" w:themeColor="text1"/>
        </w:rPr>
      </w:pPr>
    </w:p>
    <w:p w14:paraId="0898871C" w14:textId="77777777" w:rsidR="0067596F" w:rsidRPr="003E7CD1" w:rsidRDefault="0067596F" w:rsidP="0067596F">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 xml:space="preserve">“Las corporaciones o asociaciones sin ánimo de lucro han sido definas por la doctrina como personas jurídicas que surgen de la voluntad de un grupo de individuos que vinculan un capital a la obtención de un fin de interés </w:t>
      </w:r>
      <w:r w:rsidRPr="003E7CD1">
        <w:rPr>
          <w:rFonts w:ascii="Verdana" w:eastAsia="Calibri" w:hAnsi="Verdana" w:cs="Arial"/>
          <w:color w:val="000000" w:themeColor="text1"/>
          <w:sz w:val="20"/>
          <w:szCs w:val="20"/>
        </w:rPr>
        <w:lastRenderedPageBreak/>
        <w:t>general o de bienestar común no lucrativo, de manera que tienen como finalidad propia la satisfacción de intereses públicos y sociales.</w:t>
      </w:r>
    </w:p>
    <w:p w14:paraId="5E83EF13" w14:textId="77777777" w:rsidR="0067596F" w:rsidRPr="003E7CD1" w:rsidRDefault="0067596F" w:rsidP="0067596F">
      <w:pPr>
        <w:spacing w:after="0"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3E7CD1">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067784B2" w14:textId="77777777" w:rsidR="0067596F" w:rsidRPr="00377ED6" w:rsidRDefault="0067596F" w:rsidP="0067596F">
      <w:pPr>
        <w:spacing w:after="0" w:line="276" w:lineRule="auto"/>
        <w:ind w:firstLine="709"/>
        <w:jc w:val="both"/>
        <w:rPr>
          <w:rFonts w:ascii="Verdana" w:eastAsia="Calibri" w:hAnsi="Verdana" w:cs="Arial"/>
          <w:color w:val="000000" w:themeColor="text1"/>
        </w:rPr>
      </w:pPr>
    </w:p>
    <w:p w14:paraId="322A5D82" w14:textId="77777777" w:rsidR="0067596F" w:rsidRPr="00377ED6" w:rsidRDefault="0067596F" w:rsidP="0067596F">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1E520A96" w14:textId="77777777" w:rsidR="0067596F" w:rsidRPr="00377ED6" w:rsidRDefault="0067596F" w:rsidP="0067596F">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w:t>
      </w:r>
      <w:r w:rsidRPr="00377ED6">
        <w:rPr>
          <w:rFonts w:ascii="Verdana" w:hAnsi="Verdana" w:cs="Arial"/>
          <w:color w:val="000000" w:themeColor="text1"/>
        </w:rPr>
        <w:lastRenderedPageBreak/>
        <w:t>a la educación, el derecho a la paz, las manifestaciones artísticas, culturales, 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14:paraId="4C6CE579" w14:textId="4F90270E" w:rsidR="0067596F" w:rsidRPr="00377ED6" w:rsidRDefault="003A2DB2" w:rsidP="0067596F">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esta manera</w:t>
      </w:r>
      <w:r w:rsidR="0067596F" w:rsidRPr="00377ED6">
        <w:rPr>
          <w:rFonts w:ascii="Verdana" w:eastAsia="Calibri" w:hAnsi="Verdana" w:cs="Arial"/>
          <w:color w:val="000000" w:themeColor="text1"/>
        </w:rPr>
        <w:t xml:space="preserve">, si se pretende realizar un </w:t>
      </w:r>
      <w:r w:rsidR="0067596F" w:rsidRPr="00377ED6">
        <w:rPr>
          <w:rFonts w:ascii="Verdana" w:eastAsia="Calibri" w:hAnsi="Verdana" w:cs="Arial"/>
          <w:i/>
          <w:iCs/>
          <w:color w:val="000000" w:themeColor="text1"/>
        </w:rPr>
        <w:t>convenio de asociación</w:t>
      </w:r>
      <w:r w:rsidR="0067596F"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deben estar sujetos a competencia, salvo en aquellos casos en que una entidad sin ánimo de lucro comprometa recursos en dinero por un valor igual o superior al 30% del valor total del convenio</w:t>
      </w:r>
      <w:r w:rsidR="0067596F" w:rsidRPr="00377ED6">
        <w:rPr>
          <w:rFonts w:ascii="Verdana" w:hAnsi="Verdana" w:cs="Arial"/>
          <w:color w:val="000000" w:themeColor="text1"/>
          <w:vertAlign w:val="superscript"/>
        </w:rPr>
        <w:footnoteReference w:id="9"/>
      </w:r>
      <w:r w:rsidR="0067596F"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sidR="0067596F" w:rsidRPr="00377ED6">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0067596F" w:rsidRPr="00377ED6">
        <w:rPr>
          <w:rFonts w:ascii="Verdana" w:eastAsia="Calibri" w:hAnsi="Verdana" w:cs="Arial"/>
          <w:color w:val="000000" w:themeColor="text1"/>
        </w:rPr>
        <w:t>.</w:t>
      </w:r>
    </w:p>
    <w:p w14:paraId="5B33B484" w14:textId="08AC29A7" w:rsidR="00C71956" w:rsidRDefault="00B715C6" w:rsidP="002A5172">
      <w:pPr>
        <w:spacing w:after="0" w:line="276" w:lineRule="auto"/>
        <w:ind w:firstLine="708"/>
        <w:jc w:val="both"/>
        <w:rPr>
          <w:rFonts w:ascii="Verdana" w:eastAsia="Calibri" w:hAnsi="Verdana" w:cs="Arial"/>
        </w:rPr>
      </w:pPr>
      <w:r w:rsidRPr="00B715C6">
        <w:rPr>
          <w:rFonts w:ascii="Verdana" w:eastAsia="Calibri" w:hAnsi="Verdana" w:cs="Arial"/>
        </w:rPr>
        <w:t xml:space="preserve"> </w:t>
      </w:r>
    </w:p>
    <w:p w14:paraId="7CC775AF" w14:textId="34F57715" w:rsidR="002A5172" w:rsidRDefault="004A4364" w:rsidP="004A4364">
      <w:pPr>
        <w:spacing w:after="0" w:line="276" w:lineRule="auto"/>
        <w:jc w:val="both"/>
        <w:rPr>
          <w:rFonts w:ascii="Verdana" w:eastAsia="Calibri" w:hAnsi="Verdana" w:cs="Arial"/>
          <w:color w:val="000000" w:themeColor="text1"/>
        </w:rPr>
      </w:pPr>
      <w:r>
        <w:rPr>
          <w:rFonts w:ascii="Verdana" w:eastAsia="Calibri" w:hAnsi="Verdana" w:cs="Arial"/>
          <w:color w:val="000000" w:themeColor="text1"/>
        </w:rPr>
        <w:t xml:space="preserve">ii). </w:t>
      </w:r>
      <w:r w:rsidR="00916E25" w:rsidRPr="001F4636">
        <w:rPr>
          <w:rFonts w:ascii="Verdana" w:eastAsia="Calibri" w:hAnsi="Verdana" w:cs="Arial"/>
          <w:color w:val="000000" w:themeColor="text1"/>
        </w:rPr>
        <w:t xml:space="preserve">Ahora bien, </w:t>
      </w:r>
      <w:r w:rsidR="00916E25">
        <w:rPr>
          <w:rFonts w:ascii="Verdana" w:eastAsia="Calibri" w:hAnsi="Verdana" w:cs="Arial"/>
          <w:color w:val="000000" w:themeColor="text1"/>
        </w:rPr>
        <w:t xml:space="preserve">en relación con el segundo problema jurídico planteado, </w:t>
      </w:r>
      <w:r w:rsidR="00916E25" w:rsidRPr="001F4636">
        <w:rPr>
          <w:rFonts w:ascii="Verdana" w:eastAsia="Calibri" w:hAnsi="Verdana" w:cs="Arial"/>
          <w:color w:val="000000" w:themeColor="text1"/>
        </w:rPr>
        <w:t>cabe precisar que mediante el auto del 15 de marzo de 2022 de la Sala Plena del Consejo de Estado únicamente se levantó la suspensión provisional de las normas desarrolladas hasta este lugar, por lo que, en lo demás, se confirmó la decisión de suspensión provisional de los demás apartes del Decreto 019 de 2017 dictada en el auto del 6 de agosto de 2019</w:t>
      </w:r>
      <w:r w:rsidR="00916E25">
        <w:rPr>
          <w:rFonts w:ascii="Verdana" w:eastAsia="Calibri" w:hAnsi="Verdana" w:cs="Arial"/>
          <w:color w:val="000000" w:themeColor="text1"/>
        </w:rPr>
        <w:t>.</w:t>
      </w:r>
    </w:p>
    <w:p w14:paraId="581CB3A8" w14:textId="77777777" w:rsidR="00916E25" w:rsidRDefault="00916E25" w:rsidP="002A5172">
      <w:pPr>
        <w:spacing w:after="0" w:line="276" w:lineRule="auto"/>
        <w:ind w:firstLine="708"/>
        <w:jc w:val="both"/>
        <w:rPr>
          <w:rFonts w:ascii="Verdana" w:eastAsia="Calibri" w:hAnsi="Verdana" w:cs="Arial"/>
          <w:color w:val="000000" w:themeColor="text1"/>
        </w:rPr>
      </w:pPr>
    </w:p>
    <w:p w14:paraId="197F9D40" w14:textId="2CA3556D" w:rsidR="00916E25" w:rsidRPr="001F4636" w:rsidRDefault="00916E25" w:rsidP="00916E25">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Una de estas normas estudiadas por</w:t>
      </w:r>
      <w:r w:rsidRPr="001F4636">
        <w:rPr>
          <w:rFonts w:ascii="Verdana" w:eastAsia="Calibri" w:hAnsi="Verdana" w:cs="Arial"/>
          <w:color w:val="000000" w:themeColor="text1"/>
        </w:rPr>
        <w:t xml:space="preserve"> el Consejo de Estado en el auto del 6 de agosto de 2019 fue el inciso final del artículo 4 del Decreto 092 de 2017, el cual hace referencia a la posibilidad de contratar directamente cuando el objeto del contrato esté relacionado con actividades artísticas, culturales, deportivas y de promoción de la diversidad étnica colombiana, que únicamente pueden ejecutar determinadas personas jurídicas o naturales</w:t>
      </w:r>
      <w:r w:rsidRPr="001F4636">
        <w:rPr>
          <w:rStyle w:val="Refdenotaalpie"/>
          <w:rFonts w:ascii="Verdana" w:eastAsia="Calibri" w:hAnsi="Verdana" w:cs="Arial"/>
          <w:color w:val="000000" w:themeColor="text1"/>
        </w:rPr>
        <w:footnoteReference w:id="10"/>
      </w:r>
      <w:r w:rsidRPr="001F4636">
        <w:rPr>
          <w:rFonts w:ascii="Verdana" w:eastAsia="Calibri" w:hAnsi="Verdana" w:cs="Arial"/>
          <w:color w:val="000000" w:themeColor="text1"/>
        </w:rPr>
        <w:t xml:space="preserve">. Para la Sala, esta norma </w:t>
      </w:r>
      <w:r w:rsidRPr="001F4636">
        <w:rPr>
          <w:rFonts w:ascii="Verdana" w:eastAsia="Calibri" w:hAnsi="Verdana" w:cs="Arial"/>
          <w:color w:val="000000" w:themeColor="text1"/>
        </w:rPr>
        <w:lastRenderedPageBreak/>
        <w:t xml:space="preserve">vulnera el principio de igualdad, por establecer un privilegio para determinadas personas jurídicas o naturales que ejecutaran únicamente las actividades allí previstas, contratándolas sin realizar un proceso competitivo. El Consejo de Estado se pronunció en los siguientes términos: </w:t>
      </w:r>
    </w:p>
    <w:p w14:paraId="4FC06CD3" w14:textId="77777777" w:rsidR="00916E25" w:rsidRPr="001F4636" w:rsidRDefault="00916E25" w:rsidP="00916E25">
      <w:pPr>
        <w:spacing w:after="0" w:line="276" w:lineRule="auto"/>
        <w:jc w:val="both"/>
        <w:rPr>
          <w:rFonts w:ascii="Verdana" w:eastAsia="Calibri" w:hAnsi="Verdana" w:cs="Arial"/>
          <w:color w:val="000000" w:themeColor="text1"/>
        </w:rPr>
      </w:pPr>
    </w:p>
    <w:p w14:paraId="241BCCEC" w14:textId="77777777" w:rsidR="00916E25" w:rsidRPr="001F4636" w:rsidRDefault="00916E25" w:rsidP="00916E25">
      <w:pPr>
        <w:spacing w:after="0" w:line="240" w:lineRule="auto"/>
        <w:ind w:left="708" w:right="709"/>
        <w:jc w:val="both"/>
        <w:rPr>
          <w:rFonts w:ascii="Verdana" w:eastAsia="Calibri" w:hAnsi="Verdana" w:cs="Arial"/>
          <w:color w:val="000000" w:themeColor="text1"/>
          <w:sz w:val="21"/>
          <w:szCs w:val="21"/>
        </w:rPr>
      </w:pPr>
      <w:r w:rsidRPr="001F4636">
        <w:rPr>
          <w:rFonts w:ascii="Verdana" w:eastAsia="Calibri" w:hAnsi="Verdana" w:cs="Arial"/>
          <w:color w:val="000000" w:themeColor="text1"/>
          <w:sz w:val="21"/>
          <w:szCs w:val="21"/>
        </w:rPr>
        <w:t>“</w:t>
      </w:r>
      <w:r w:rsidRPr="003E7CD1">
        <w:rPr>
          <w:rFonts w:ascii="Verdana" w:eastAsia="Calibri" w:hAnsi="Verdana" w:cs="Arial"/>
          <w:color w:val="000000" w:themeColor="text1"/>
          <w:sz w:val="20"/>
          <w:szCs w:val="20"/>
        </w:rPr>
        <w:t>Puestas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a la diversidad étnica) frente a las actividades de interés público de otra naturaleza”.</w:t>
      </w:r>
      <w:r w:rsidRPr="001F4636">
        <w:rPr>
          <w:rFonts w:ascii="Verdana" w:eastAsia="Calibri" w:hAnsi="Verdana" w:cs="Arial"/>
          <w:color w:val="000000" w:themeColor="text1"/>
          <w:sz w:val="21"/>
          <w:szCs w:val="21"/>
        </w:rPr>
        <w:t xml:space="preserve"> </w:t>
      </w:r>
    </w:p>
    <w:p w14:paraId="59912D49" w14:textId="77777777" w:rsidR="00916E25" w:rsidRPr="001F4636" w:rsidRDefault="00916E25" w:rsidP="00916E25">
      <w:pPr>
        <w:spacing w:after="0" w:line="276" w:lineRule="auto"/>
        <w:ind w:firstLine="709"/>
        <w:jc w:val="both"/>
        <w:rPr>
          <w:rFonts w:ascii="Verdana" w:eastAsia="Calibri" w:hAnsi="Verdana" w:cs="Arial"/>
          <w:color w:val="000000" w:themeColor="text1"/>
        </w:rPr>
      </w:pPr>
      <w:bookmarkStart w:id="12" w:name="_Hlk95756891"/>
    </w:p>
    <w:p w14:paraId="31832229" w14:textId="77777777" w:rsidR="00916E25" w:rsidRPr="001F4636" w:rsidRDefault="00916E25" w:rsidP="00916E25">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Por consiguiente, se suspendió provisionalmente el inciso final del artículo 4 por violar el principio de igualdad, de manera que la contratación de actividades y programas de interés público debe realizarse a través de un proceso competitivo para escoger a la entidad sin ánimo de lucro. </w:t>
      </w:r>
      <w:bookmarkEnd w:id="12"/>
      <w:r w:rsidRPr="001F4636">
        <w:rPr>
          <w:rFonts w:ascii="Verdana" w:eastAsia="Calibri" w:hAnsi="Verdana" w:cs="Arial"/>
          <w:color w:val="000000" w:themeColor="text1"/>
        </w:rPr>
        <w:t xml:space="preserve">En estos procesos, entonces, se debe acudir a los criterios aplicables a los otros negocios jurídicos que regula el Decreto 092 de 2017, particularmente las exigencias del artículo 2 </w:t>
      </w:r>
      <w:r w:rsidRPr="001F4636">
        <w:rPr>
          <w:rFonts w:ascii="Verdana" w:eastAsia="Calibri" w:hAnsi="Verdana" w:cs="Arial"/>
          <w:i/>
          <w:iCs/>
          <w:color w:val="000000" w:themeColor="text1"/>
        </w:rPr>
        <w:t>ibidem</w:t>
      </w:r>
      <w:r w:rsidRPr="001F4636">
        <w:rPr>
          <w:rFonts w:ascii="Verdana" w:eastAsia="Calibri" w:hAnsi="Verdana" w:cs="Arial"/>
          <w:color w:val="000000" w:themeColor="text1"/>
        </w:rPr>
        <w:t xml:space="preserve">. Incluso, habría que tener en cuenta las exigencias del inciso 2 del artículo 4 </w:t>
      </w:r>
      <w:r w:rsidRPr="001F4636">
        <w:rPr>
          <w:rFonts w:ascii="Verdana" w:eastAsia="Calibri" w:hAnsi="Verdana" w:cs="Arial"/>
          <w:i/>
          <w:iCs/>
          <w:color w:val="000000" w:themeColor="text1"/>
        </w:rPr>
        <w:t>íbídem</w:t>
      </w:r>
      <w:r w:rsidRPr="001F4636">
        <w:rPr>
          <w:rFonts w:ascii="Verdana" w:eastAsia="Calibri" w:hAnsi="Verdana" w:cs="Arial"/>
          <w:color w:val="000000" w:themeColor="text1"/>
        </w:rPr>
        <w:t>, siempre que se configuren los supuestos de aplicación de dicha normativa, esto es, siempre que exista más de una entidad sin ánimo de lucro de reconocida idoneidad.</w:t>
      </w:r>
    </w:p>
    <w:p w14:paraId="0560D383" w14:textId="7DE97676" w:rsidR="003E7CD1" w:rsidRDefault="004A4364" w:rsidP="004A4364">
      <w:pPr>
        <w:widowControl w:val="0"/>
        <w:spacing w:after="120" w:line="276" w:lineRule="auto"/>
        <w:jc w:val="both"/>
        <w:rPr>
          <w:rFonts w:ascii="Verdana" w:hAnsi="Verdana" w:cs="Arial"/>
          <w:iCs/>
          <w:color w:val="000000" w:themeColor="text1"/>
        </w:rPr>
      </w:pPr>
      <w:r>
        <w:rPr>
          <w:rFonts w:ascii="Verdana" w:hAnsi="Verdana" w:cs="Arial"/>
          <w:iCs/>
          <w:color w:val="000000" w:themeColor="text1"/>
        </w:rPr>
        <w:t xml:space="preserve">iii) </w:t>
      </w:r>
      <w:r w:rsidR="003E7CD1">
        <w:rPr>
          <w:rFonts w:ascii="Verdana" w:hAnsi="Verdana" w:cs="Arial"/>
          <w:iCs/>
          <w:color w:val="000000" w:themeColor="text1"/>
        </w:rPr>
        <w:t>Frente al tercer problema jurídico l</w:t>
      </w:r>
      <w:r w:rsidR="003E7CD1" w:rsidRPr="00A3577C">
        <w:rPr>
          <w:rFonts w:ascii="Verdana" w:hAnsi="Verdana" w:cs="Arial"/>
          <w:iCs/>
          <w:color w:val="000000" w:themeColor="text1"/>
        </w:rPr>
        <w:t>a Entidad Estatal debe</w:t>
      </w:r>
      <w:r w:rsidR="003E7CD1">
        <w:rPr>
          <w:rFonts w:ascii="Verdana" w:hAnsi="Verdana" w:cs="Arial"/>
          <w:iCs/>
          <w:color w:val="000000" w:themeColor="text1"/>
        </w:rPr>
        <w:t xml:space="preserve"> </w:t>
      </w:r>
      <w:r w:rsidR="003E7CD1" w:rsidRPr="00A3577C">
        <w:rPr>
          <w:rFonts w:ascii="Verdana" w:hAnsi="Verdana" w:cs="Arial"/>
          <w:iCs/>
          <w:color w:val="000000" w:themeColor="text1"/>
        </w:rPr>
        <w:t>aplicar un criterio de selección objetiva, que se centra en la naturaleza del objeto a contratar</w:t>
      </w:r>
      <w:r w:rsidR="003E7CD1">
        <w:rPr>
          <w:rFonts w:ascii="Verdana" w:hAnsi="Verdana" w:cs="Arial"/>
          <w:iCs/>
          <w:color w:val="000000" w:themeColor="text1"/>
        </w:rPr>
        <w:t xml:space="preserve">, </w:t>
      </w:r>
      <w:r w:rsidR="003E7CD1" w:rsidRPr="00A3577C">
        <w:rPr>
          <w:rFonts w:ascii="Verdana" w:hAnsi="Verdana" w:cs="Arial"/>
          <w:iCs/>
          <w:color w:val="000000" w:themeColor="text1"/>
        </w:rPr>
        <w:t xml:space="preserve">la cuantía del contrato y </w:t>
      </w:r>
      <w:r w:rsidR="003E7CD1">
        <w:rPr>
          <w:rFonts w:ascii="Verdana" w:hAnsi="Verdana" w:cs="Arial"/>
          <w:iCs/>
          <w:color w:val="000000" w:themeColor="text1"/>
        </w:rPr>
        <w:t xml:space="preserve">que </w:t>
      </w:r>
      <w:r w:rsidR="003E7CD1" w:rsidRPr="00A3577C">
        <w:rPr>
          <w:rFonts w:ascii="Verdana" w:hAnsi="Verdana" w:cs="Arial"/>
          <w:iCs/>
          <w:color w:val="000000" w:themeColor="text1"/>
        </w:rPr>
        <w:t xml:space="preserve">la finalidad de la actividad corresponda a las características y fines de la figura contractual prevista en la ley, conforme al régimen jurídico aplicable. Este análisis exige identificar la naturaleza del servicio o prestación, revisar el marco normativo que regula cada modalidad, evaluar su idoneidad para satisfacer el interés público y asegurar que no se utilice para </w:t>
      </w:r>
      <w:r w:rsidR="003E7CD1" w:rsidRPr="00A3577C">
        <w:rPr>
          <w:rFonts w:ascii="Verdana" w:hAnsi="Verdana" w:cs="Arial"/>
          <w:iCs/>
          <w:color w:val="000000" w:themeColor="text1"/>
        </w:rPr>
        <w:lastRenderedPageBreak/>
        <w:t>eludir procedimientos o requisitos, sustentando la decisión en una justificación técnica y jurídica.</w:t>
      </w:r>
    </w:p>
    <w:p w14:paraId="71C8EB30" w14:textId="69A107E3" w:rsidR="00C71956" w:rsidRPr="00C71956" w:rsidRDefault="00C71956" w:rsidP="00C71956">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06887B0" w14:textId="77777777" w:rsidR="00C71956" w:rsidRDefault="00C71956" w:rsidP="00C71956">
      <w:pPr>
        <w:widowControl w:val="0"/>
        <w:spacing w:after="120" w:line="276" w:lineRule="auto"/>
        <w:jc w:val="both"/>
        <w:rPr>
          <w:rFonts w:ascii="Verdana" w:eastAsia="Calibri" w:hAnsi="Verdana" w:cs="Arial"/>
          <w:lang w:eastAsia="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cs="Arial"/>
          <w:iCs/>
          <w:color w:val="000000" w:themeColor="text1"/>
        </w:rPr>
        <w:t xml:space="preserve">        </w:t>
      </w:r>
    </w:p>
    <w:p w14:paraId="395AECD0" w14:textId="77777777" w:rsidR="00B715C6" w:rsidRDefault="00B715C6" w:rsidP="000265BC">
      <w:pPr>
        <w:spacing w:after="120" w:line="276" w:lineRule="auto"/>
        <w:ind w:firstLine="708"/>
        <w:jc w:val="both"/>
        <w:rPr>
          <w:rFonts w:ascii="Verdana" w:eastAsia="Times New Roman" w:hAnsi="Verdana" w:cs="Arial"/>
          <w:lang w:val="es-ES_tradnl" w:eastAsia="es-ES_tradnl"/>
        </w:rPr>
      </w:pPr>
    </w:p>
    <w:p w14:paraId="10369344" w14:textId="0B6AEA76" w:rsidR="0087031A" w:rsidRPr="00B715C6" w:rsidRDefault="0087031A" w:rsidP="00B715C6">
      <w:pPr>
        <w:pStyle w:val="Prrafodelista"/>
        <w:numPr>
          <w:ilvl w:val="0"/>
          <w:numId w:val="16"/>
        </w:numPr>
        <w:spacing w:after="120" w:line="276" w:lineRule="auto"/>
        <w:ind w:left="426"/>
        <w:jc w:val="both"/>
        <w:rPr>
          <w:rFonts w:ascii="Verdana" w:eastAsia="Times New Roman" w:hAnsi="Verdana" w:cs="Arial"/>
          <w:lang w:val="es-ES_tradnl" w:eastAsia="es-ES_tradnl"/>
        </w:rPr>
      </w:pPr>
      <w:r w:rsidRPr="00B715C6">
        <w:rPr>
          <w:rFonts w:ascii="Verdana" w:eastAsia="Century Gothic" w:hAnsi="Verdana" w:cs="Century Gothic"/>
          <w:b/>
          <w:bCs/>
        </w:rPr>
        <w:t>Referencias normativas, jurisprudenciales y otras fuentes:</w:t>
      </w:r>
    </w:p>
    <w:p w14:paraId="18BC5F6A" w14:textId="77777777" w:rsidR="0087031A" w:rsidRPr="00593A5F" w:rsidRDefault="0087031A" w:rsidP="0087031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031A" w:rsidRPr="00593A5F" w14:paraId="42DD39C5" w14:textId="77777777" w:rsidTr="00580B7F">
        <w:trPr>
          <w:trHeight w:val="870"/>
        </w:trPr>
        <w:tc>
          <w:tcPr>
            <w:tcW w:w="8647" w:type="dxa"/>
          </w:tcPr>
          <w:p w14:paraId="6582C7F1" w14:textId="77777777" w:rsidR="00203AA5" w:rsidRPr="003E7CD1" w:rsidRDefault="00203AA5" w:rsidP="00203AA5">
            <w:pPr>
              <w:widowControl w:val="0"/>
              <w:numPr>
                <w:ilvl w:val="0"/>
                <w:numId w:val="30"/>
              </w:numPr>
              <w:autoSpaceDE w:val="0"/>
              <w:autoSpaceDN w:val="0"/>
              <w:jc w:val="both"/>
              <w:rPr>
                <w:rFonts w:ascii="Verdana" w:hAnsi="Verdana" w:cs="Arial"/>
                <w:sz w:val="24"/>
                <w:lang w:val="es-ES"/>
              </w:rPr>
            </w:pPr>
            <w:r w:rsidRPr="00377ED6">
              <w:rPr>
                <w:rFonts w:ascii="Verdana" w:hAnsi="Verdana" w:cs="Arial"/>
                <w:lang w:val="es-ES"/>
              </w:rPr>
              <w:t>Constitución Política de 1991, artículos 150 y 355.</w:t>
            </w:r>
          </w:p>
          <w:p w14:paraId="147B9C73" w14:textId="77777777" w:rsidR="003E7CD1" w:rsidRPr="00377ED6" w:rsidRDefault="003E7CD1" w:rsidP="003E7CD1">
            <w:pPr>
              <w:widowControl w:val="0"/>
              <w:autoSpaceDE w:val="0"/>
              <w:autoSpaceDN w:val="0"/>
              <w:ind w:left="720"/>
              <w:jc w:val="both"/>
              <w:rPr>
                <w:rFonts w:ascii="Verdana" w:hAnsi="Verdana" w:cs="Arial"/>
                <w:sz w:val="24"/>
                <w:lang w:val="es-ES"/>
              </w:rPr>
            </w:pPr>
          </w:p>
          <w:p w14:paraId="653D5E1C" w14:textId="77777777" w:rsidR="00203AA5" w:rsidRPr="003E7CD1" w:rsidRDefault="00203AA5" w:rsidP="00203AA5">
            <w:pPr>
              <w:widowControl w:val="0"/>
              <w:numPr>
                <w:ilvl w:val="0"/>
                <w:numId w:val="30"/>
              </w:numPr>
              <w:autoSpaceDE w:val="0"/>
              <w:autoSpaceDN w:val="0"/>
              <w:jc w:val="both"/>
              <w:rPr>
                <w:rFonts w:ascii="Verdana" w:hAnsi="Verdana" w:cs="Arial"/>
                <w:sz w:val="24"/>
                <w:lang w:val="es-ES"/>
              </w:rPr>
            </w:pPr>
            <w:r w:rsidRPr="00377ED6">
              <w:rPr>
                <w:rFonts w:ascii="Verdana" w:hAnsi="Verdana" w:cs="Arial"/>
                <w:lang w:val="es-ES"/>
              </w:rPr>
              <w:t>Ley 80 de 1993, artículos 3, 4, 5, 7, 8, 13, 14, 23, 24, 25, 26, 32, 40, 41, 44, 50 y 60.</w:t>
            </w:r>
          </w:p>
          <w:p w14:paraId="251976B7" w14:textId="77777777" w:rsidR="003E7CD1" w:rsidRPr="00377ED6" w:rsidRDefault="003E7CD1" w:rsidP="003E7CD1">
            <w:pPr>
              <w:widowControl w:val="0"/>
              <w:autoSpaceDE w:val="0"/>
              <w:autoSpaceDN w:val="0"/>
              <w:jc w:val="both"/>
              <w:rPr>
                <w:rFonts w:ascii="Verdana" w:hAnsi="Verdana" w:cs="Arial"/>
                <w:sz w:val="24"/>
                <w:lang w:val="es-ES"/>
              </w:rPr>
            </w:pPr>
          </w:p>
          <w:p w14:paraId="7E505825" w14:textId="77777777" w:rsidR="00203AA5" w:rsidRPr="003E7CD1" w:rsidRDefault="00203AA5" w:rsidP="00203AA5">
            <w:pPr>
              <w:widowControl w:val="0"/>
              <w:numPr>
                <w:ilvl w:val="0"/>
                <w:numId w:val="30"/>
              </w:numPr>
              <w:autoSpaceDE w:val="0"/>
              <w:autoSpaceDN w:val="0"/>
              <w:jc w:val="both"/>
              <w:rPr>
                <w:rFonts w:ascii="Verdana" w:hAnsi="Verdana" w:cs="Arial"/>
                <w:sz w:val="24"/>
                <w:lang w:val="es-ES"/>
              </w:rPr>
            </w:pPr>
            <w:r w:rsidRPr="00377ED6">
              <w:rPr>
                <w:rFonts w:ascii="Verdana" w:hAnsi="Verdana" w:cs="Arial"/>
                <w:lang w:val="es-ES"/>
              </w:rPr>
              <w:t>Ley 489 de 1998, artículo 96.</w:t>
            </w:r>
          </w:p>
          <w:p w14:paraId="20E8A4AE" w14:textId="77777777" w:rsidR="003E7CD1" w:rsidRPr="00377ED6" w:rsidRDefault="003E7CD1" w:rsidP="003E7CD1">
            <w:pPr>
              <w:widowControl w:val="0"/>
              <w:autoSpaceDE w:val="0"/>
              <w:autoSpaceDN w:val="0"/>
              <w:jc w:val="both"/>
              <w:rPr>
                <w:rFonts w:ascii="Verdana" w:hAnsi="Verdana" w:cs="Arial"/>
                <w:sz w:val="24"/>
                <w:lang w:val="es-ES"/>
              </w:rPr>
            </w:pPr>
          </w:p>
          <w:p w14:paraId="6B528CEF" w14:textId="77777777" w:rsidR="00203AA5" w:rsidRPr="003E7CD1" w:rsidRDefault="00203AA5" w:rsidP="00203AA5">
            <w:pPr>
              <w:widowControl w:val="0"/>
              <w:numPr>
                <w:ilvl w:val="0"/>
                <w:numId w:val="30"/>
              </w:numPr>
              <w:autoSpaceDE w:val="0"/>
              <w:autoSpaceDN w:val="0"/>
              <w:jc w:val="both"/>
              <w:rPr>
                <w:rFonts w:ascii="Verdana" w:hAnsi="Verdana" w:cs="Arial"/>
                <w:sz w:val="24"/>
                <w:lang w:val="es-ES"/>
              </w:rPr>
            </w:pPr>
            <w:r w:rsidRPr="00377ED6">
              <w:rPr>
                <w:rFonts w:ascii="Verdana" w:hAnsi="Verdana" w:cs="Arial"/>
                <w:lang w:val="es-ES"/>
              </w:rPr>
              <w:t>Ley 1150 de 2007, artículos 13 y 17.</w:t>
            </w:r>
          </w:p>
          <w:p w14:paraId="7BD3AB34" w14:textId="77777777" w:rsidR="003E7CD1" w:rsidRPr="007B5FD8" w:rsidRDefault="003E7CD1" w:rsidP="003E7CD1">
            <w:pPr>
              <w:widowControl w:val="0"/>
              <w:autoSpaceDE w:val="0"/>
              <w:autoSpaceDN w:val="0"/>
              <w:jc w:val="both"/>
              <w:rPr>
                <w:rFonts w:ascii="Verdana" w:hAnsi="Verdana" w:cs="Arial"/>
                <w:sz w:val="24"/>
                <w:lang w:val="es-ES"/>
              </w:rPr>
            </w:pPr>
          </w:p>
          <w:p w14:paraId="27B1EF40" w14:textId="77777777" w:rsidR="003E7CD1" w:rsidRPr="003E7CD1" w:rsidRDefault="00203AA5" w:rsidP="00203AA5">
            <w:pPr>
              <w:widowControl w:val="0"/>
              <w:numPr>
                <w:ilvl w:val="0"/>
                <w:numId w:val="30"/>
              </w:numPr>
              <w:autoSpaceDE w:val="0"/>
              <w:autoSpaceDN w:val="0"/>
              <w:jc w:val="both"/>
              <w:rPr>
                <w:rFonts w:ascii="Verdana" w:hAnsi="Verdana" w:cs="Arial"/>
                <w:sz w:val="24"/>
                <w:lang w:val="es-ES"/>
              </w:rPr>
            </w:pPr>
            <w:r w:rsidRPr="00377ED6">
              <w:rPr>
                <w:rFonts w:ascii="Verdana" w:hAnsi="Verdana" w:cs="Arial"/>
                <w:lang w:val="es-ES"/>
              </w:rPr>
              <w:t>Decreto 092 de 2017, artículos 2, 3, 5, 6, 7, 8, 9 y 10.</w:t>
            </w:r>
          </w:p>
          <w:p w14:paraId="58F592A7" w14:textId="1BD724F8" w:rsidR="00203AA5" w:rsidRPr="00377ED6" w:rsidRDefault="00203AA5" w:rsidP="003E7CD1">
            <w:pPr>
              <w:widowControl w:val="0"/>
              <w:autoSpaceDE w:val="0"/>
              <w:autoSpaceDN w:val="0"/>
              <w:ind w:left="720"/>
              <w:jc w:val="both"/>
              <w:rPr>
                <w:rFonts w:ascii="Verdana" w:hAnsi="Verdana" w:cs="Arial"/>
                <w:sz w:val="24"/>
                <w:lang w:val="es-ES"/>
              </w:rPr>
            </w:pPr>
            <w:r w:rsidRPr="00377ED6">
              <w:rPr>
                <w:rFonts w:ascii="Verdana" w:hAnsi="Verdana" w:cs="Arial"/>
                <w:lang w:val="es-ES"/>
              </w:rPr>
              <w:t xml:space="preserve"> </w:t>
            </w:r>
          </w:p>
          <w:p w14:paraId="7EB4AAF1" w14:textId="77777777" w:rsidR="003E7CD1" w:rsidRPr="003E7CD1" w:rsidRDefault="003E7CD1" w:rsidP="00203AA5">
            <w:pPr>
              <w:pStyle w:val="Prrafodelista"/>
              <w:numPr>
                <w:ilvl w:val="0"/>
                <w:numId w:val="30"/>
              </w:numPr>
              <w:jc w:val="both"/>
              <w:rPr>
                <w:rFonts w:ascii="Verdana" w:hAnsi="Verdana" w:cs="Arial"/>
              </w:rPr>
            </w:pPr>
            <w:r w:rsidRPr="001F4636">
              <w:rPr>
                <w:rFonts w:ascii="Verdana" w:eastAsia="Calibri" w:hAnsi="Verdana" w:cs="Arial"/>
                <w:color w:val="000000" w:themeColor="text1"/>
              </w:rPr>
              <w:t>Consejo de Estado en el auto del 6 de agosto de 2019</w:t>
            </w:r>
            <w:r>
              <w:rPr>
                <w:rFonts w:ascii="Verdana" w:eastAsia="Calibri" w:hAnsi="Verdana" w:cs="Arial"/>
                <w:color w:val="000000" w:themeColor="text1"/>
              </w:rPr>
              <w:t>.</w:t>
            </w:r>
          </w:p>
          <w:p w14:paraId="6CEA49AC" w14:textId="77777777" w:rsidR="003E7CD1" w:rsidRPr="003E7CD1" w:rsidRDefault="003E7CD1" w:rsidP="003E7CD1">
            <w:pPr>
              <w:pStyle w:val="Prrafodelista"/>
              <w:jc w:val="both"/>
              <w:rPr>
                <w:rFonts w:ascii="Verdana" w:hAnsi="Verdana" w:cs="Arial"/>
              </w:rPr>
            </w:pPr>
          </w:p>
          <w:p w14:paraId="1C1DEB6B" w14:textId="1D6AB1ED" w:rsidR="003E7CD1" w:rsidRPr="00797E96" w:rsidRDefault="003E7CD1" w:rsidP="00203AA5">
            <w:pPr>
              <w:pStyle w:val="Prrafodelista"/>
              <w:numPr>
                <w:ilvl w:val="0"/>
                <w:numId w:val="30"/>
              </w:numPr>
              <w:jc w:val="both"/>
              <w:rPr>
                <w:rFonts w:ascii="Verdana" w:hAnsi="Verdana" w:cs="Arial"/>
              </w:rPr>
            </w:pPr>
            <w:r w:rsidRPr="001F4636">
              <w:rPr>
                <w:rFonts w:ascii="Verdana" w:eastAsia="Calibri" w:hAnsi="Verdana" w:cs="Arial"/>
                <w:color w:val="000000" w:themeColor="text1"/>
              </w:rPr>
              <w:t>Consejo de Estado en Auto del 15 de marzo de 2022</w:t>
            </w:r>
            <w:r>
              <w:rPr>
                <w:rFonts w:ascii="Verdana" w:eastAsia="Calibri" w:hAnsi="Verdana" w:cs="Arial"/>
                <w:color w:val="000000" w:themeColor="text1"/>
              </w:rPr>
              <w:t>.</w:t>
            </w:r>
          </w:p>
        </w:tc>
      </w:tr>
    </w:tbl>
    <w:p w14:paraId="3BFE0280" w14:textId="77777777" w:rsidR="0087031A"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AB2AA5D" w14:textId="77777777" w:rsidR="0087031A" w:rsidRDefault="0087031A" w:rsidP="0087031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533E7EA9" w14:textId="77777777" w:rsidR="0087031A" w:rsidRPr="00593A5F"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50B4BB0" w14:textId="3579FD24" w:rsidR="004679CF" w:rsidRPr="000C14B8" w:rsidRDefault="00203AA5" w:rsidP="004679CF">
      <w:pPr>
        <w:widowControl w:val="0"/>
        <w:autoSpaceDE w:val="0"/>
        <w:autoSpaceDN w:val="0"/>
        <w:spacing w:after="0" w:line="276" w:lineRule="auto"/>
        <w:jc w:val="both"/>
        <w:rPr>
          <w:rFonts w:ascii="Verdana" w:hAnsi="Verdana" w:cs="Arial"/>
          <w:color w:val="000000" w:themeColor="text1"/>
          <w:shd w:val="clear" w:color="auto" w:fill="FFFFFF"/>
          <w:lang w:val="es-ES"/>
        </w:rPr>
      </w:pPr>
      <w:r w:rsidRPr="00377ED6">
        <w:rPr>
          <w:rFonts w:ascii="Verdana" w:hAnsi="Verdana" w:cs="Arial"/>
          <w:shd w:val="clear" w:color="auto" w:fill="FFFFFF"/>
          <w:lang w:val="es-ES"/>
        </w:rPr>
        <w:t>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w:t>
      </w:r>
      <w:r w:rsidR="00C4297D">
        <w:rPr>
          <w:rFonts w:ascii="Verdana" w:hAnsi="Verdana" w:cs="Arial"/>
          <w:shd w:val="clear" w:color="auto" w:fill="FFFFFF"/>
          <w:lang w:val="es-ES"/>
        </w:rPr>
        <w:t xml:space="preserve">, </w:t>
      </w:r>
      <w:r w:rsidRPr="00377ED6">
        <w:rPr>
          <w:rFonts w:ascii="Verdana" w:hAnsi="Verdana" w:cs="Arial"/>
          <w:shd w:val="clear" w:color="auto" w:fill="FFFFFF"/>
          <w:lang w:val="es-ES"/>
        </w:rPr>
        <w:t>C-281 del 29 de octubre de 2024</w:t>
      </w:r>
      <w:r w:rsidR="00536DDE">
        <w:rPr>
          <w:rFonts w:ascii="Verdana" w:eastAsia="Aptos" w:hAnsi="Verdana" w:cs="Arial"/>
          <w:shd w:val="clear" w:color="auto" w:fill="FFFFFF"/>
          <w:lang w:val="es-ES"/>
        </w:rPr>
        <w:t>,</w:t>
      </w:r>
      <w:r w:rsidR="00C4297D">
        <w:rPr>
          <w:rFonts w:ascii="Verdana" w:eastAsia="Aptos" w:hAnsi="Verdana" w:cs="Arial"/>
          <w:shd w:val="clear" w:color="auto" w:fill="FFFFFF"/>
          <w:lang w:val="es-ES"/>
        </w:rPr>
        <w:t xml:space="preserve"> C-1019 del 31 de diciembre de 2024 y C-967 del 01 de agosto de 2025,</w:t>
      </w:r>
      <w:r w:rsidR="00536DDE">
        <w:rPr>
          <w:rFonts w:ascii="Verdana" w:eastAsia="Aptos" w:hAnsi="Verdana" w:cs="Arial"/>
          <w:shd w:val="clear" w:color="auto" w:fill="FFFFFF"/>
          <w:lang w:val="es-ES"/>
        </w:rPr>
        <w:t xml:space="preserve"> e</w:t>
      </w:r>
      <w:r w:rsidR="00536DDE" w:rsidRPr="00406AA6">
        <w:rPr>
          <w:rFonts w:ascii="Verdana" w:eastAsia="Aptos" w:hAnsi="Verdana" w:cs="Arial"/>
          <w:shd w:val="clear" w:color="auto" w:fill="FFFFFF"/>
          <w:lang w:val="es-ES"/>
        </w:rPr>
        <w:t>ntre otros</w:t>
      </w:r>
      <w:r w:rsidR="00536DDE">
        <w:rPr>
          <w:rFonts w:ascii="Verdana" w:eastAsia="Aptos" w:hAnsi="Verdana" w:cs="Arial"/>
          <w:shd w:val="clear" w:color="auto" w:fill="FFFFFF"/>
          <w:lang w:val="es-ES"/>
        </w:rPr>
        <w:t xml:space="preserve">. </w:t>
      </w:r>
      <w:r w:rsidR="004679CF" w:rsidRPr="000C14B8">
        <w:rPr>
          <w:rFonts w:ascii="Verdana" w:eastAsia="Calibri" w:hAnsi="Verdana" w:cs="Arial"/>
          <w:lang w:val="es-ES" w:eastAsia="es-ES_tradnl"/>
        </w:rPr>
        <w:t>Estos</w:t>
      </w:r>
      <w:r w:rsidR="004679CF" w:rsidRPr="000C14B8">
        <w:rPr>
          <w:rFonts w:ascii="Verdana" w:hAnsi="Verdana"/>
        </w:rPr>
        <w:t xml:space="preserve"> y otros conceptos se encuentran disponibles para consulta en el Sistema de relatoría de la Agencia, al cual se puede acceder a través del siguiente enlace:</w:t>
      </w:r>
      <w:r w:rsidR="004679CF" w:rsidRPr="000C14B8">
        <w:rPr>
          <w:rFonts w:ascii="Verdana" w:hAnsi="Verdana" w:cs="Arial"/>
          <w:shd w:val="clear" w:color="auto" w:fill="FFFFFF"/>
          <w:lang w:val="es-ES"/>
        </w:rPr>
        <w:t xml:space="preserve"> </w:t>
      </w:r>
      <w:r w:rsidR="004679CF" w:rsidRPr="000C14B8">
        <w:rPr>
          <w:rFonts w:ascii="Verdana" w:hAnsi="Verdana" w:cs="Arial"/>
          <w:color w:val="0563C1" w:themeColor="hyperlink"/>
          <w:u w:val="single"/>
          <w:shd w:val="clear" w:color="auto" w:fill="FFFFFF"/>
          <w:lang w:val="es-ES"/>
        </w:rPr>
        <w:t>https://relatoria.colombiacompra.gov.co</w:t>
      </w:r>
      <w:r w:rsidR="00503135">
        <w:rPr>
          <w:rFonts w:ascii="Verdana" w:hAnsi="Verdana" w:cs="Arial"/>
          <w:color w:val="0563C1" w:themeColor="hyperlink"/>
          <w:u w:val="single"/>
          <w:shd w:val="clear" w:color="auto" w:fill="FFFFFF"/>
          <w:lang w:val="es-ES"/>
        </w:rPr>
        <w:t xml:space="preserve"> </w:t>
      </w:r>
      <w:r w:rsidR="004679CF" w:rsidRPr="000C14B8">
        <w:rPr>
          <w:rFonts w:ascii="Verdana" w:hAnsi="Verdana" w:cs="Arial"/>
          <w:color w:val="0563C1" w:themeColor="hyperlink"/>
          <w:u w:val="single"/>
          <w:shd w:val="clear" w:color="auto" w:fill="FFFFFF"/>
          <w:lang w:val="es-ES"/>
        </w:rPr>
        <w:t>/busqueda/conceptos</w:t>
      </w:r>
    </w:p>
    <w:p w14:paraId="0208491B" w14:textId="77777777" w:rsidR="0087031A" w:rsidRPr="00505CD6" w:rsidRDefault="0087031A" w:rsidP="0087031A">
      <w:pPr>
        <w:widowControl w:val="0"/>
        <w:autoSpaceDE w:val="0"/>
        <w:autoSpaceDN w:val="0"/>
        <w:spacing w:after="0" w:line="276" w:lineRule="auto"/>
        <w:jc w:val="both"/>
        <w:rPr>
          <w:rFonts w:ascii="Verdana" w:hAnsi="Verdana" w:cs="Arial"/>
          <w:color w:val="000000" w:themeColor="text1"/>
          <w:shd w:val="clear" w:color="auto" w:fill="FFFFFF"/>
        </w:rPr>
      </w:pPr>
    </w:p>
    <w:p w14:paraId="12E9336E" w14:textId="77777777" w:rsidR="0087031A" w:rsidRDefault="0087031A" w:rsidP="0087031A">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2"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1766B34B" w14:textId="77777777" w:rsidR="0087031A" w:rsidRDefault="0087031A" w:rsidP="0087031A">
      <w:pPr>
        <w:widowControl w:val="0"/>
        <w:autoSpaceDE w:val="0"/>
        <w:autoSpaceDN w:val="0"/>
        <w:spacing w:after="0" w:line="276" w:lineRule="auto"/>
        <w:jc w:val="both"/>
      </w:pPr>
    </w:p>
    <w:p w14:paraId="59F914CB" w14:textId="77777777" w:rsidR="0087031A" w:rsidRPr="00505CD6" w:rsidRDefault="0087031A" w:rsidP="0087031A">
      <w:pPr>
        <w:widowControl w:val="0"/>
        <w:autoSpaceDE w:val="0"/>
        <w:autoSpaceDN w:val="0"/>
        <w:spacing w:after="0" w:line="276" w:lineRule="auto"/>
        <w:jc w:val="both"/>
        <w:rPr>
          <w:rFonts w:ascii="Verdana" w:hAnsi="Verdana" w:cs="Arial"/>
          <w:lang w:val="es-ES_tradnl"/>
        </w:rPr>
      </w:pPr>
      <w:r w:rsidRPr="00505CD6">
        <w:rPr>
          <w:rFonts w:ascii="Verdana" w:hAnsi="Verdana" w:cs="Arial"/>
        </w:rPr>
        <w:lastRenderedPageBreak/>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39F93B3" w14:textId="77777777" w:rsidR="0087031A" w:rsidRPr="00505CD6" w:rsidRDefault="0087031A" w:rsidP="0087031A">
      <w:pPr>
        <w:widowControl w:val="0"/>
        <w:autoSpaceDE w:val="0"/>
        <w:autoSpaceDN w:val="0"/>
        <w:spacing w:after="0" w:line="276" w:lineRule="auto"/>
        <w:jc w:val="both"/>
        <w:rPr>
          <w:rFonts w:ascii="Verdana" w:hAnsi="Verdana" w:cs="Arial"/>
        </w:rPr>
      </w:pPr>
    </w:p>
    <w:p w14:paraId="5BF21FB4" w14:textId="77777777" w:rsidR="0087031A" w:rsidRDefault="0087031A" w:rsidP="0087031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7401C2E" w14:textId="00FD2386" w:rsidR="00620C7C" w:rsidRDefault="00620C7C" w:rsidP="0087031A">
      <w:pPr>
        <w:spacing w:line="276" w:lineRule="auto"/>
        <w:jc w:val="center"/>
        <w:rPr>
          <w:rFonts w:ascii="Verdana" w:hAnsi="Verdana"/>
          <w:noProof/>
        </w:rPr>
      </w:pPr>
      <w:r>
        <w:rPr>
          <w:noProof/>
        </w:rPr>
        <w:drawing>
          <wp:inline distT="0" distB="0" distL="0" distR="0" wp14:anchorId="396FDE1B" wp14:editId="2206F433">
            <wp:extent cx="3326130" cy="1427850"/>
            <wp:effectExtent l="0" t="0" r="7620" b="1270"/>
            <wp:docPr id="4567104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71042" name="Imagen 1" descr="Texto&#10;&#10;El contenido generado por IA puede ser incorrec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31902" cy="143032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031A" w:rsidRPr="00593A5F" w14:paraId="7952AB6B" w14:textId="77777777" w:rsidTr="00580B7F">
        <w:trPr>
          <w:trHeight w:val="315"/>
        </w:trPr>
        <w:tc>
          <w:tcPr>
            <w:tcW w:w="893" w:type="dxa"/>
            <w:vAlign w:val="center"/>
            <w:hideMark/>
          </w:tcPr>
          <w:p w14:paraId="12808F0D"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4D103E4" w14:textId="79D3CCBD" w:rsidR="00342D2B" w:rsidRDefault="00FD7C4D" w:rsidP="00342D2B">
            <w:pPr>
              <w:rPr>
                <w:rFonts w:ascii="Verdana" w:hAnsi="Verdana"/>
                <w:sz w:val="16"/>
                <w:szCs w:val="16"/>
              </w:rPr>
            </w:pPr>
            <w:r>
              <w:rPr>
                <w:rFonts w:ascii="Verdana" w:hAnsi="Verdana"/>
                <w:sz w:val="16"/>
                <w:szCs w:val="16"/>
              </w:rPr>
              <w:t>Daniel Eduardo Rojas</w:t>
            </w:r>
          </w:p>
          <w:p w14:paraId="3F59F682" w14:textId="77777777" w:rsidR="0087031A" w:rsidRPr="007911EE" w:rsidRDefault="0087031A" w:rsidP="00580B7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7031A" w:rsidRPr="00593A5F" w14:paraId="517166CF" w14:textId="77777777" w:rsidTr="00580B7F">
        <w:trPr>
          <w:trHeight w:val="330"/>
        </w:trPr>
        <w:tc>
          <w:tcPr>
            <w:tcW w:w="893" w:type="dxa"/>
            <w:vAlign w:val="center"/>
            <w:hideMark/>
          </w:tcPr>
          <w:p w14:paraId="73873209"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318AEE" w14:textId="4DBB5CC7" w:rsidR="00342D2B" w:rsidRDefault="000265BC" w:rsidP="00580B7F">
            <w:pPr>
              <w:pStyle w:val="paragraph"/>
              <w:spacing w:before="0" w:beforeAutospacing="0" w:after="0" w:afterAutospacing="0"/>
              <w:contextualSpacing/>
              <w:textAlignment w:val="baseline"/>
              <w:rPr>
                <w:rFonts w:ascii="Verdana" w:eastAsiaTheme="minorHAnsi" w:hAnsi="Verdana" w:cstheme="minorBidi"/>
                <w:sz w:val="16"/>
                <w:szCs w:val="16"/>
                <w:lang w:eastAsia="en-US"/>
              </w:rPr>
            </w:pPr>
            <w:r>
              <w:rPr>
                <w:rFonts w:ascii="Verdana" w:eastAsiaTheme="minorHAnsi" w:hAnsi="Verdana" w:cstheme="minorBidi"/>
                <w:sz w:val="16"/>
                <w:szCs w:val="16"/>
                <w:lang w:eastAsia="en-US"/>
              </w:rPr>
              <w:t>Diana Lucia Saavedra</w:t>
            </w:r>
          </w:p>
          <w:p w14:paraId="634B0E53" w14:textId="046148C6" w:rsidR="0087031A" w:rsidRPr="007911EE" w:rsidRDefault="00C33DBE" w:rsidP="00580B7F">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Contratista</w:t>
            </w:r>
            <w:r w:rsidR="0087031A" w:rsidRPr="007911EE">
              <w:rPr>
                <w:rStyle w:val="normaltextrun"/>
                <w:rFonts w:ascii="Verdana" w:eastAsia="Arial" w:hAnsi="Verdana" w:cs="Arial"/>
                <w:sz w:val="16"/>
                <w:szCs w:val="16"/>
              </w:rPr>
              <w:t xml:space="preserve"> Subdirección de Gestión Contractual</w:t>
            </w:r>
          </w:p>
        </w:tc>
      </w:tr>
      <w:tr w:rsidR="0087031A" w:rsidRPr="00593A5F" w14:paraId="656F6DA4" w14:textId="77777777" w:rsidTr="00580B7F">
        <w:trPr>
          <w:trHeight w:val="300"/>
        </w:trPr>
        <w:tc>
          <w:tcPr>
            <w:tcW w:w="893" w:type="dxa"/>
            <w:vAlign w:val="center"/>
          </w:tcPr>
          <w:p w14:paraId="0681F92E"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58BDCC" w14:textId="77777777" w:rsidR="004A3488" w:rsidRDefault="004A3488" w:rsidP="0084631C">
            <w:pPr>
              <w:contextualSpacing/>
              <w:rPr>
                <w:rFonts w:ascii="Verdana" w:eastAsia="Calibri" w:hAnsi="Verdana" w:cs="Arial"/>
                <w:sz w:val="16"/>
                <w:szCs w:val="16"/>
                <w:lang w:val="pt-BR" w:eastAsia="es-ES"/>
              </w:rPr>
            </w:pPr>
            <w:r w:rsidRPr="004A3488">
              <w:rPr>
                <w:rFonts w:ascii="Verdana" w:eastAsia="Calibri" w:hAnsi="Verdana" w:cs="Arial"/>
                <w:sz w:val="16"/>
                <w:szCs w:val="16"/>
                <w:lang w:val="pt-BR" w:eastAsia="es-ES"/>
              </w:rPr>
              <w:t xml:space="preserve">Carolina Quintero Gacharná </w:t>
            </w:r>
          </w:p>
          <w:p w14:paraId="32DD0E04" w14:textId="5A426CE7" w:rsidR="0087031A" w:rsidRPr="007911EE" w:rsidRDefault="0084631C" w:rsidP="0084631C">
            <w:pPr>
              <w:contextualSpacing/>
              <w:rPr>
                <w:rFonts w:ascii="Verdana" w:eastAsia="Calibri" w:hAnsi="Verdana" w:cs="Arial"/>
                <w:sz w:val="16"/>
                <w:szCs w:val="16"/>
                <w:lang w:val="pt-BR" w:eastAsia="es-ES"/>
              </w:rPr>
            </w:pPr>
            <w:r w:rsidRPr="007911EE">
              <w:rPr>
                <w:rFonts w:ascii="Verdana" w:eastAsia="Calibri" w:hAnsi="Verdana" w:cs="Arial"/>
                <w:sz w:val="16"/>
                <w:szCs w:val="16"/>
                <w:lang w:eastAsia="es-ES"/>
              </w:rPr>
              <w:t>Subdirectora</w:t>
            </w:r>
            <w:r w:rsidRPr="007911EE">
              <w:rPr>
                <w:rFonts w:ascii="Verdana" w:eastAsia="Calibri" w:hAnsi="Verdana" w:cs="Arial"/>
                <w:sz w:val="16"/>
                <w:szCs w:val="16"/>
                <w:lang w:val="pt-BR" w:eastAsia="es-ES"/>
              </w:rPr>
              <w:t xml:space="preserve"> de Gestión Contratual </w:t>
            </w:r>
            <w:r w:rsidR="00F32EC5">
              <w:rPr>
                <w:rFonts w:ascii="Verdana" w:eastAsia="Calibri" w:hAnsi="Verdana" w:cs="Arial"/>
                <w:sz w:val="16"/>
                <w:szCs w:val="16"/>
                <w:lang w:val="pt-BR" w:eastAsia="es-ES"/>
              </w:rPr>
              <w:t xml:space="preserve"> </w:t>
            </w:r>
            <w:r w:rsidRPr="007911EE">
              <w:rPr>
                <w:rFonts w:ascii="Verdana" w:eastAsia="Calibri" w:hAnsi="Verdana" w:cs="Arial"/>
                <w:sz w:val="16"/>
                <w:szCs w:val="16"/>
                <w:lang w:val="pt-BR" w:eastAsia="es-ES"/>
              </w:rPr>
              <w:t>ANCP – CCE</w:t>
            </w:r>
          </w:p>
        </w:tc>
      </w:tr>
      <w:bookmarkEnd w:id="1"/>
      <w:bookmarkEnd w:id="4"/>
      <w:bookmarkEnd w:id="5"/>
    </w:tbl>
    <w:p w14:paraId="7ECE23A3" w14:textId="77777777" w:rsidR="0087031A" w:rsidRPr="0044528D" w:rsidRDefault="0087031A" w:rsidP="0087031A">
      <w:pPr>
        <w:spacing w:after="0"/>
        <w:rPr>
          <w:rFonts w:ascii="Verdana" w:hAnsi="Verdana"/>
        </w:rPr>
      </w:pPr>
    </w:p>
    <w:p w14:paraId="453A161B" w14:textId="77777777" w:rsidR="0087031A" w:rsidRPr="00EA6F8B" w:rsidRDefault="0087031A" w:rsidP="0087031A"/>
    <w:bookmarkEnd w:id="2"/>
    <w:p w14:paraId="56912649" w14:textId="77777777" w:rsidR="00DE435A" w:rsidRPr="00DE435A" w:rsidRDefault="00DE435A" w:rsidP="00DE435A">
      <w:pPr>
        <w:rPr>
          <w:lang w:val="es-ES"/>
        </w:rPr>
      </w:pPr>
    </w:p>
    <w:sectPr w:rsidR="00DE435A" w:rsidRPr="00DE435A"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C36F6" w14:textId="77777777" w:rsidR="00DA4E75" w:rsidRDefault="00DA4E75" w:rsidP="004A1847">
      <w:pPr>
        <w:spacing w:after="0" w:line="240" w:lineRule="auto"/>
      </w:pPr>
      <w:r>
        <w:separator/>
      </w:r>
    </w:p>
  </w:endnote>
  <w:endnote w:type="continuationSeparator" w:id="0">
    <w:p w14:paraId="0A70213B" w14:textId="77777777" w:rsidR="00DA4E75" w:rsidRDefault="00DA4E7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7487F" w14:textId="77777777" w:rsidR="00DA4E75" w:rsidRDefault="00DA4E75" w:rsidP="004A1847">
      <w:pPr>
        <w:spacing w:after="0" w:line="240" w:lineRule="auto"/>
      </w:pPr>
      <w:r>
        <w:separator/>
      </w:r>
    </w:p>
  </w:footnote>
  <w:footnote w:type="continuationSeparator" w:id="0">
    <w:p w14:paraId="2C4A6611" w14:textId="77777777" w:rsidR="00DA4E75" w:rsidRDefault="00DA4E75" w:rsidP="004A1847">
      <w:pPr>
        <w:spacing w:after="0" w:line="240" w:lineRule="auto"/>
      </w:pPr>
      <w:r>
        <w:continuationSeparator/>
      </w:r>
    </w:p>
  </w:footnote>
  <w:footnote w:id="1">
    <w:p w14:paraId="3106D504" w14:textId="4EC72492" w:rsidR="0093633D" w:rsidRPr="0093633D" w:rsidRDefault="0093633D">
      <w:pPr>
        <w:pStyle w:val="Textonotapie"/>
        <w:rPr>
          <w:rFonts w:ascii="Verdana" w:hAnsi="Verdana"/>
          <w:sz w:val="16"/>
          <w:szCs w:val="16"/>
          <w:lang w:val="es-ES"/>
        </w:rPr>
      </w:pPr>
      <w:r w:rsidRPr="0093633D">
        <w:rPr>
          <w:rStyle w:val="Refdenotaalpie"/>
          <w:rFonts w:ascii="Verdana" w:hAnsi="Verdana"/>
          <w:sz w:val="16"/>
          <w:szCs w:val="16"/>
        </w:rPr>
        <w:footnoteRef/>
      </w:r>
      <w:r w:rsidRPr="0093633D">
        <w:rPr>
          <w:rFonts w:ascii="Verdana" w:hAnsi="Verdana"/>
          <w:sz w:val="16"/>
          <w:szCs w:val="16"/>
        </w:rPr>
        <w:t xml:space="preserve">  Ratificado por auto del 15 de marzo de 2022.</w:t>
      </w:r>
    </w:p>
  </w:footnote>
  <w:footnote w:id="2">
    <w:p w14:paraId="4FC6A536" w14:textId="77777777" w:rsidR="0067596F" w:rsidRPr="004E34CC" w:rsidRDefault="0067596F" w:rsidP="0067596F">
      <w:pPr>
        <w:pStyle w:val="Textonotapie"/>
        <w:ind w:firstLine="708"/>
        <w:jc w:val="both"/>
        <w:rPr>
          <w:rFonts w:ascii="Verdana" w:hAnsi="Verdana" w:cs="Arial"/>
          <w:sz w:val="16"/>
          <w:szCs w:val="16"/>
        </w:rPr>
      </w:pPr>
      <w:r w:rsidRPr="004E34CC">
        <w:rPr>
          <w:rStyle w:val="Refdenotaalpie"/>
          <w:rFonts w:ascii="Verdana" w:hAnsi="Verdana" w:cs="Arial"/>
          <w:sz w:val="16"/>
          <w:szCs w:val="16"/>
        </w:rPr>
        <w:footnoteRef/>
      </w:r>
      <w:r w:rsidRPr="004E34CC">
        <w:rPr>
          <w:rFonts w:ascii="Verdana" w:hAnsi="Verdana" w:cs="Arial"/>
          <w:sz w:val="16"/>
          <w:szCs w:val="16"/>
        </w:rPr>
        <w:t xml:space="preserve"> Sobre esta norma, consultar los conceptos del 8 de octubre de 2019, con radicado No. 2201913000007532, y del 20 de diciembre de 2019, con radicado No. 4201913000008240.</w:t>
      </w:r>
    </w:p>
  </w:footnote>
  <w:footnote w:id="3">
    <w:p w14:paraId="12BCF5A4" w14:textId="77777777" w:rsidR="0067596F" w:rsidRPr="004E34CC" w:rsidRDefault="0067596F" w:rsidP="0067596F">
      <w:pPr>
        <w:pStyle w:val="Textonotapie"/>
        <w:ind w:firstLine="708"/>
        <w:jc w:val="both"/>
        <w:rPr>
          <w:rFonts w:ascii="Verdana" w:hAnsi="Verdana" w:cs="Arial"/>
          <w:sz w:val="16"/>
          <w:szCs w:val="16"/>
        </w:rPr>
      </w:pPr>
      <w:r w:rsidRPr="004E34CC">
        <w:rPr>
          <w:rStyle w:val="Refdenotaalpie"/>
          <w:rFonts w:ascii="Verdana" w:hAnsi="Verdana"/>
          <w:sz w:val="16"/>
          <w:szCs w:val="16"/>
        </w:rPr>
        <w:footnoteRef/>
      </w:r>
      <w:r w:rsidRPr="004E34CC">
        <w:rPr>
          <w:rFonts w:ascii="Verdana" w:hAnsi="Verdana"/>
          <w:sz w:val="16"/>
          <w:szCs w:val="16"/>
        </w:rPr>
        <w:t xml:space="preserve"> </w:t>
      </w:r>
      <w:r w:rsidRPr="004E34CC">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76285311" w14:textId="77777777" w:rsidR="0067596F" w:rsidRPr="004E34CC" w:rsidRDefault="0067596F" w:rsidP="0067596F">
      <w:pPr>
        <w:pStyle w:val="Textonotapie"/>
        <w:ind w:firstLine="708"/>
        <w:jc w:val="both"/>
        <w:rPr>
          <w:rFonts w:ascii="Verdana" w:hAnsi="Verdana" w:cs="Arial"/>
          <w:sz w:val="16"/>
          <w:szCs w:val="16"/>
        </w:rPr>
      </w:pPr>
      <w:r w:rsidRPr="004E34CC">
        <w:rPr>
          <w:rFonts w:ascii="Verdana" w:hAnsi="Verdana" w:cs="Arial"/>
          <w:sz w:val="16"/>
          <w:szCs w:val="16"/>
        </w:rPr>
        <w:t xml:space="preserve">Los convenios de asociación a que se refiere el presente artículo </w:t>
      </w:r>
      <w:bookmarkStart w:id="8" w:name="_Hlk36023315"/>
      <w:r w:rsidRPr="004E34CC">
        <w:rPr>
          <w:rFonts w:ascii="Verdana" w:hAnsi="Verdana" w:cs="Arial"/>
          <w:sz w:val="16"/>
          <w:szCs w:val="16"/>
        </w:rPr>
        <w:t>se celebrarán de conformidad con lo dispuesto en el artículo 355 de la Constitución Política</w:t>
      </w:r>
      <w:bookmarkEnd w:id="8"/>
      <w:r w:rsidRPr="004E34CC">
        <w:rPr>
          <w:rFonts w:ascii="Verdana" w:hAnsi="Verdana" w:cs="Arial"/>
          <w:sz w:val="16"/>
          <w:szCs w:val="16"/>
        </w:rPr>
        <w:t>, en ellos se determinará con precisión su objeto, término, obligaciones de las partes, aportes, coordinación y todos aquellos aspectos que se consideren pertinentes”.</w:t>
      </w:r>
    </w:p>
  </w:footnote>
  <w:footnote w:id="4">
    <w:p w14:paraId="04079FC0" w14:textId="77777777" w:rsidR="0067596F" w:rsidRPr="004E34CC" w:rsidRDefault="0067596F" w:rsidP="0067596F">
      <w:pPr>
        <w:pStyle w:val="Textonotapie"/>
        <w:ind w:firstLine="708"/>
        <w:jc w:val="both"/>
        <w:rPr>
          <w:rFonts w:ascii="Verdana" w:hAnsi="Verdana" w:cs="Arial"/>
          <w:sz w:val="16"/>
          <w:szCs w:val="16"/>
        </w:rPr>
      </w:pPr>
      <w:r w:rsidRPr="004E34CC">
        <w:rPr>
          <w:rStyle w:val="Refdenotaalpie"/>
          <w:rFonts w:ascii="Verdana" w:hAnsi="Verdana" w:cs="Arial"/>
          <w:sz w:val="16"/>
          <w:szCs w:val="16"/>
        </w:rPr>
        <w:footnoteRef/>
      </w:r>
      <w:r w:rsidRPr="004E34CC">
        <w:rPr>
          <w:rFonts w:ascii="Verdana" w:hAnsi="Verdana" w:cs="Arial"/>
          <w:sz w:val="16"/>
          <w:szCs w:val="16"/>
        </w:rPr>
        <w:t xml:space="preserve"> CHÁVEZ MARÍN, Augusto Ramón, Los Convenios de la Administración. Entre la gestión pública y la actividad contractual. 4ta Ed. Bogotá, Temis. 2020, pp. 426-427. </w:t>
      </w:r>
    </w:p>
    <w:p w14:paraId="338843DF" w14:textId="77777777" w:rsidR="0067596F" w:rsidRPr="004E34CC" w:rsidRDefault="0067596F" w:rsidP="0067596F">
      <w:pPr>
        <w:pStyle w:val="Textonotapie"/>
        <w:ind w:firstLine="708"/>
        <w:jc w:val="both"/>
        <w:rPr>
          <w:rFonts w:ascii="Verdana" w:hAnsi="Verdana" w:cs="Arial"/>
          <w:sz w:val="16"/>
          <w:szCs w:val="16"/>
        </w:rPr>
      </w:pPr>
      <w:r w:rsidRPr="004E34CC">
        <w:rPr>
          <w:rFonts w:ascii="Verdana" w:hAnsi="Verdana" w:cs="Arial"/>
          <w:sz w:val="16"/>
          <w:szCs w:val="16"/>
        </w:rPr>
        <w:t xml:space="preserve"> </w:t>
      </w:r>
    </w:p>
  </w:footnote>
  <w:footnote w:id="5">
    <w:p w14:paraId="0DA0818E" w14:textId="77777777" w:rsidR="0067596F" w:rsidRPr="004E34CC" w:rsidRDefault="0067596F" w:rsidP="0067596F">
      <w:pPr>
        <w:pStyle w:val="Textonotapie"/>
        <w:ind w:firstLine="708"/>
        <w:jc w:val="both"/>
        <w:rPr>
          <w:rFonts w:ascii="Verdana" w:hAnsi="Verdana" w:cs="Arial"/>
          <w:sz w:val="16"/>
          <w:szCs w:val="16"/>
        </w:rPr>
      </w:pPr>
      <w:r w:rsidRPr="004E34CC">
        <w:rPr>
          <w:rStyle w:val="Refdenotaalpie"/>
          <w:rFonts w:ascii="Verdana" w:hAnsi="Verdana" w:cs="Arial"/>
          <w:sz w:val="16"/>
          <w:szCs w:val="16"/>
        </w:rPr>
        <w:footnoteRef/>
      </w:r>
      <w:r w:rsidRPr="004E34CC">
        <w:rPr>
          <w:rFonts w:ascii="Verdana" w:hAnsi="Verdana" w:cs="Arial"/>
          <w:sz w:val="16"/>
          <w:szCs w:val="16"/>
        </w:rPr>
        <w:t xml:space="preserve"> Concepto del 3 de septiembre de 2019, con radicado No. 2201913000006512.</w:t>
      </w:r>
    </w:p>
  </w:footnote>
  <w:footnote w:id="6">
    <w:p w14:paraId="6196D942" w14:textId="77777777" w:rsidR="0067596F" w:rsidRPr="004E34CC" w:rsidRDefault="0067596F" w:rsidP="0067596F">
      <w:pPr>
        <w:pStyle w:val="Textonotapie"/>
        <w:ind w:firstLine="708"/>
        <w:jc w:val="both"/>
        <w:rPr>
          <w:rFonts w:ascii="Verdana" w:hAnsi="Verdana" w:cs="Arial"/>
          <w:sz w:val="16"/>
          <w:szCs w:val="16"/>
        </w:rPr>
      </w:pPr>
      <w:r w:rsidRPr="004E34CC">
        <w:rPr>
          <w:rStyle w:val="Refdenotaalpie"/>
          <w:rFonts w:ascii="Verdana" w:hAnsi="Verdana" w:cs="Arial"/>
          <w:sz w:val="16"/>
          <w:szCs w:val="16"/>
        </w:rPr>
        <w:footnoteRef/>
      </w:r>
      <w:r w:rsidRPr="004E34CC">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7">
    <w:p w14:paraId="7319AD6A" w14:textId="77777777" w:rsidR="0067596F" w:rsidRPr="004E34CC" w:rsidRDefault="0067596F" w:rsidP="0067596F">
      <w:pPr>
        <w:pStyle w:val="Textonotapie"/>
        <w:ind w:firstLine="708"/>
        <w:jc w:val="both"/>
        <w:rPr>
          <w:rFonts w:ascii="Verdana" w:hAnsi="Verdana" w:cs="Arial"/>
          <w:color w:val="000000" w:themeColor="text1"/>
          <w:sz w:val="16"/>
          <w:szCs w:val="16"/>
        </w:rPr>
      </w:pPr>
      <w:r w:rsidRPr="004E34CC">
        <w:rPr>
          <w:rStyle w:val="Refdenotaalpie"/>
          <w:rFonts w:ascii="Verdana" w:hAnsi="Verdana" w:cs="Arial"/>
          <w:color w:val="000000" w:themeColor="text1"/>
          <w:sz w:val="16"/>
          <w:szCs w:val="16"/>
        </w:rPr>
        <w:footnoteRef/>
      </w:r>
      <w:r w:rsidRPr="004E34CC">
        <w:rPr>
          <w:rFonts w:ascii="Verdana" w:hAnsi="Verdana" w:cs="Arial"/>
          <w:color w:val="000000" w:themeColor="text1"/>
          <w:sz w:val="16"/>
          <w:szCs w:val="16"/>
        </w:rPr>
        <w:t xml:space="preserve"> Cfr. Concepto del 21 de agosto de 2019, dictado dentro del radicado No. 2201913000006047.</w:t>
      </w:r>
    </w:p>
  </w:footnote>
  <w:footnote w:id="8">
    <w:p w14:paraId="3B1E9FB0" w14:textId="77777777" w:rsidR="0067596F" w:rsidRPr="004E34CC" w:rsidRDefault="0067596F" w:rsidP="0067596F">
      <w:pPr>
        <w:pStyle w:val="Textonotapie"/>
        <w:ind w:firstLine="708"/>
        <w:jc w:val="both"/>
        <w:rPr>
          <w:rFonts w:ascii="Verdana" w:hAnsi="Verdana" w:cs="Arial"/>
          <w:color w:val="000000" w:themeColor="text1"/>
          <w:sz w:val="16"/>
          <w:szCs w:val="16"/>
          <w:lang w:val="es-ES"/>
        </w:rPr>
      </w:pPr>
      <w:r w:rsidRPr="004E34CC">
        <w:rPr>
          <w:rStyle w:val="Refdenotaalpie"/>
          <w:rFonts w:ascii="Verdana" w:hAnsi="Verdana" w:cs="Arial"/>
          <w:color w:val="000000" w:themeColor="text1"/>
          <w:sz w:val="16"/>
          <w:szCs w:val="16"/>
        </w:rPr>
        <w:footnoteRef/>
      </w:r>
      <w:r w:rsidRPr="004E34CC">
        <w:rPr>
          <w:rFonts w:ascii="Verdana" w:hAnsi="Verdana" w:cs="Arial"/>
          <w:color w:val="000000" w:themeColor="text1"/>
          <w:sz w:val="16"/>
          <w:szCs w:val="16"/>
        </w:rPr>
        <w:t xml:space="preserve"> Concepto del 24 de febrero de 2005, con radicado No. 1626, C.P. Dra. Gloria Duque Hernández</w:t>
      </w:r>
    </w:p>
  </w:footnote>
  <w:footnote w:id="9">
    <w:p w14:paraId="20E0F73C" w14:textId="77777777" w:rsidR="0067596F" w:rsidRPr="004E34CC" w:rsidRDefault="0067596F" w:rsidP="0067596F">
      <w:pPr>
        <w:pStyle w:val="Textonotapie"/>
        <w:ind w:firstLine="708"/>
        <w:jc w:val="both"/>
        <w:rPr>
          <w:rFonts w:ascii="Verdana" w:hAnsi="Verdana" w:cs="Arial"/>
          <w:color w:val="000000" w:themeColor="text1"/>
          <w:sz w:val="16"/>
          <w:szCs w:val="16"/>
        </w:rPr>
      </w:pPr>
      <w:r w:rsidRPr="004E34CC">
        <w:rPr>
          <w:rStyle w:val="Refdenotaalpie"/>
          <w:rFonts w:ascii="Verdana" w:hAnsi="Verdana" w:cs="Arial"/>
          <w:color w:val="000000" w:themeColor="text1"/>
          <w:sz w:val="16"/>
          <w:szCs w:val="16"/>
        </w:rPr>
        <w:footnoteRef/>
      </w:r>
      <w:r w:rsidRPr="004E34CC">
        <w:rPr>
          <w:rFonts w:ascii="Verdana" w:hAnsi="Verdana" w:cs="Arial"/>
          <w:color w:val="000000" w:themeColor="text1"/>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0">
    <w:p w14:paraId="0EC2542B" w14:textId="77777777" w:rsidR="00916E25" w:rsidRPr="001F4636" w:rsidRDefault="00916E25" w:rsidP="00916E25">
      <w:pPr>
        <w:pStyle w:val="Textonotapie"/>
        <w:ind w:firstLine="708"/>
        <w:jc w:val="both"/>
        <w:rPr>
          <w:rFonts w:ascii="Verdana" w:hAnsi="Verdana" w:cs="Arial"/>
          <w:color w:val="000000" w:themeColor="text1"/>
          <w:sz w:val="16"/>
          <w:szCs w:val="16"/>
          <w:lang w:val="es-ES"/>
        </w:rPr>
      </w:pPr>
      <w:r w:rsidRPr="001F4636">
        <w:rPr>
          <w:rStyle w:val="Refdenotaalpie"/>
          <w:rFonts w:ascii="Verdana" w:hAnsi="Verdana" w:cs="Arial"/>
          <w:color w:val="000000" w:themeColor="text1"/>
          <w:sz w:val="16"/>
          <w:szCs w:val="16"/>
        </w:rPr>
        <w:footnoteRef/>
      </w:r>
      <w:r w:rsidRPr="001F4636">
        <w:rPr>
          <w:rFonts w:ascii="Verdana" w:hAnsi="Verdana" w:cs="Arial"/>
          <w:color w:val="000000" w:themeColor="text1"/>
          <w:sz w:val="16"/>
          <w:szCs w:val="16"/>
        </w:rPr>
        <w:t xml:space="preserve"> Decreto 092 de 2017, artículo 4: “(…)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C3B35F" wp14:editId="770E7ECD">
          <wp:simplePos x="0" y="0"/>
          <wp:positionH relativeFrom="margin">
            <wp:align>center</wp:align>
          </wp:positionH>
          <wp:positionV relativeFrom="paragraph">
            <wp:posOffset>-138611</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6543F162" w14:textId="77777777" w:rsidR="002B5862" w:rsidRDefault="002B5862">
    <w:pPr>
      <w:pStyle w:val="Encabezado"/>
    </w:pPr>
  </w:p>
  <w:p w14:paraId="4711D484" w14:textId="77777777" w:rsidR="002B5862" w:rsidRDefault="002B5862">
    <w:pPr>
      <w:pStyle w:val="Encabezado"/>
    </w:pPr>
  </w:p>
  <w:p w14:paraId="3D79C711" w14:textId="77777777" w:rsidR="002B5862" w:rsidRDefault="002B586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0629B"/>
    <w:multiLevelType w:val="hybridMultilevel"/>
    <w:tmpl w:val="28E2EC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8BA6D35"/>
    <w:multiLevelType w:val="hybridMultilevel"/>
    <w:tmpl w:val="132012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CD31D0"/>
    <w:multiLevelType w:val="hybridMultilevel"/>
    <w:tmpl w:val="8C7022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76174A6"/>
    <w:multiLevelType w:val="hybridMultilevel"/>
    <w:tmpl w:val="AB64BA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8FF68BA"/>
    <w:multiLevelType w:val="hybridMultilevel"/>
    <w:tmpl w:val="DB783F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9973D6D"/>
    <w:multiLevelType w:val="hybridMultilevel"/>
    <w:tmpl w:val="9B1E669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88E5AE1"/>
    <w:multiLevelType w:val="hybridMultilevel"/>
    <w:tmpl w:val="98EAC2BA"/>
    <w:lvl w:ilvl="0" w:tplc="FFFFFFFF">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FB83800"/>
    <w:multiLevelType w:val="hybridMultilevel"/>
    <w:tmpl w:val="561C07B8"/>
    <w:lvl w:ilvl="0" w:tplc="F2E4A75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6446F6E"/>
    <w:multiLevelType w:val="hybridMultilevel"/>
    <w:tmpl w:val="6302B2F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0" w15:restartNumberingAfterBreak="0">
    <w:nsid w:val="5C753F83"/>
    <w:multiLevelType w:val="hybridMultilevel"/>
    <w:tmpl w:val="7528DA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E2B5288"/>
    <w:multiLevelType w:val="hybridMultilevel"/>
    <w:tmpl w:val="2690AA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E9844E6"/>
    <w:multiLevelType w:val="hybridMultilevel"/>
    <w:tmpl w:val="E25A24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30A419F"/>
    <w:multiLevelType w:val="hybridMultilevel"/>
    <w:tmpl w:val="8ABA74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5" w15:restartNumberingAfterBreak="0">
    <w:nsid w:val="6B2A6F6B"/>
    <w:multiLevelType w:val="hybridMultilevel"/>
    <w:tmpl w:val="F2CE68B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DC31758"/>
    <w:multiLevelType w:val="hybridMultilevel"/>
    <w:tmpl w:val="CE2020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F0422BB"/>
    <w:multiLevelType w:val="hybridMultilevel"/>
    <w:tmpl w:val="676AB1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2"/>
  </w:num>
  <w:num w:numId="2" w16cid:durableId="19822139">
    <w:abstractNumId w:val="3"/>
  </w:num>
  <w:num w:numId="3" w16cid:durableId="876742304">
    <w:abstractNumId w:val="10"/>
  </w:num>
  <w:num w:numId="4" w16cid:durableId="24518640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29"/>
  </w:num>
  <w:num w:numId="7" w16cid:durableId="1946422806">
    <w:abstractNumId w:val="11"/>
  </w:num>
  <w:num w:numId="8" w16cid:durableId="152644682">
    <w:abstractNumId w:val="27"/>
  </w:num>
  <w:num w:numId="9" w16cid:durableId="1317221377">
    <w:abstractNumId w:val="13"/>
  </w:num>
  <w:num w:numId="10" w16cid:durableId="1471245386">
    <w:abstractNumId w:val="26"/>
  </w:num>
  <w:num w:numId="11" w16cid:durableId="289172385">
    <w:abstractNumId w:val="14"/>
  </w:num>
  <w:num w:numId="12" w16cid:durableId="1470781324">
    <w:abstractNumId w:val="1"/>
  </w:num>
  <w:num w:numId="13" w16cid:durableId="1512908409">
    <w:abstractNumId w:val="5"/>
  </w:num>
  <w:num w:numId="14" w16cid:durableId="895897244">
    <w:abstractNumId w:val="30"/>
  </w:num>
  <w:num w:numId="15" w16cid:durableId="390349800">
    <w:abstractNumId w:val="24"/>
  </w:num>
  <w:num w:numId="16" w16cid:durableId="1380713882">
    <w:abstractNumId w:val="0"/>
  </w:num>
  <w:num w:numId="17" w16cid:durableId="1982299905">
    <w:abstractNumId w:val="31"/>
  </w:num>
  <w:num w:numId="18" w16cid:durableId="691802391">
    <w:abstractNumId w:val="16"/>
  </w:num>
  <w:num w:numId="19" w16cid:durableId="336813632">
    <w:abstractNumId w:val="4"/>
  </w:num>
  <w:num w:numId="20" w16cid:durableId="706025072">
    <w:abstractNumId w:val="32"/>
  </w:num>
  <w:num w:numId="21" w16cid:durableId="1140540125">
    <w:abstractNumId w:val="21"/>
  </w:num>
  <w:num w:numId="22" w16cid:durableId="1319575256">
    <w:abstractNumId w:val="25"/>
  </w:num>
  <w:num w:numId="23" w16cid:durableId="679350865">
    <w:abstractNumId w:val="23"/>
  </w:num>
  <w:num w:numId="24" w16cid:durableId="1903329049">
    <w:abstractNumId w:val="19"/>
  </w:num>
  <w:num w:numId="25" w16cid:durableId="456876961">
    <w:abstractNumId w:val="22"/>
  </w:num>
  <w:num w:numId="26" w16cid:durableId="1266187003">
    <w:abstractNumId w:val="15"/>
  </w:num>
  <w:num w:numId="27" w16cid:durableId="774180183">
    <w:abstractNumId w:val="2"/>
  </w:num>
  <w:num w:numId="28" w16cid:durableId="159540047">
    <w:abstractNumId w:val="6"/>
  </w:num>
  <w:num w:numId="29" w16cid:durableId="2051875400">
    <w:abstractNumId w:val="20"/>
  </w:num>
  <w:num w:numId="30" w16cid:durableId="153255849">
    <w:abstractNumId w:val="18"/>
  </w:num>
  <w:num w:numId="31" w16cid:durableId="1306426437">
    <w:abstractNumId w:val="9"/>
  </w:num>
  <w:num w:numId="32" w16cid:durableId="1538347731">
    <w:abstractNumId w:val="7"/>
  </w:num>
  <w:num w:numId="33" w16cid:durableId="865873773">
    <w:abstractNumId w:val="8"/>
  </w:num>
  <w:num w:numId="34" w16cid:durableId="2131128296">
    <w:abstractNumId w:val="28"/>
  </w:num>
  <w:num w:numId="35" w16cid:durableId="80415365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DE0"/>
    <w:rsid w:val="000064DB"/>
    <w:rsid w:val="00016F78"/>
    <w:rsid w:val="000265BC"/>
    <w:rsid w:val="00036DEB"/>
    <w:rsid w:val="00037477"/>
    <w:rsid w:val="00046945"/>
    <w:rsid w:val="00061B2A"/>
    <w:rsid w:val="00072655"/>
    <w:rsid w:val="0007444E"/>
    <w:rsid w:val="00077652"/>
    <w:rsid w:val="00082362"/>
    <w:rsid w:val="00091641"/>
    <w:rsid w:val="000A683E"/>
    <w:rsid w:val="000B19B9"/>
    <w:rsid w:val="000D0334"/>
    <w:rsid w:val="000F6486"/>
    <w:rsid w:val="00100536"/>
    <w:rsid w:val="00107BB2"/>
    <w:rsid w:val="00120D16"/>
    <w:rsid w:val="00125105"/>
    <w:rsid w:val="00127233"/>
    <w:rsid w:val="00135265"/>
    <w:rsid w:val="001511A0"/>
    <w:rsid w:val="001609E3"/>
    <w:rsid w:val="00162880"/>
    <w:rsid w:val="00174663"/>
    <w:rsid w:val="00177E18"/>
    <w:rsid w:val="001818A0"/>
    <w:rsid w:val="001B0A93"/>
    <w:rsid w:val="001C03F2"/>
    <w:rsid w:val="001E190F"/>
    <w:rsid w:val="001E4177"/>
    <w:rsid w:val="001F7DC6"/>
    <w:rsid w:val="00203AA5"/>
    <w:rsid w:val="0021522F"/>
    <w:rsid w:val="00231D13"/>
    <w:rsid w:val="00233586"/>
    <w:rsid w:val="00237609"/>
    <w:rsid w:val="002421BB"/>
    <w:rsid w:val="00247988"/>
    <w:rsid w:val="0025796E"/>
    <w:rsid w:val="00260213"/>
    <w:rsid w:val="002707A2"/>
    <w:rsid w:val="00275340"/>
    <w:rsid w:val="00275CFF"/>
    <w:rsid w:val="00285A4F"/>
    <w:rsid w:val="00290004"/>
    <w:rsid w:val="002951A0"/>
    <w:rsid w:val="002962BC"/>
    <w:rsid w:val="002965E2"/>
    <w:rsid w:val="002A093D"/>
    <w:rsid w:val="002A0DD0"/>
    <w:rsid w:val="002A2E4B"/>
    <w:rsid w:val="002A49AC"/>
    <w:rsid w:val="002A5172"/>
    <w:rsid w:val="002A64FD"/>
    <w:rsid w:val="002B5862"/>
    <w:rsid w:val="002C5070"/>
    <w:rsid w:val="002C7A84"/>
    <w:rsid w:val="002E0B66"/>
    <w:rsid w:val="002E3899"/>
    <w:rsid w:val="002E4FD9"/>
    <w:rsid w:val="002E64D0"/>
    <w:rsid w:val="00307BB8"/>
    <w:rsid w:val="00322A85"/>
    <w:rsid w:val="00324168"/>
    <w:rsid w:val="003251D7"/>
    <w:rsid w:val="0033493C"/>
    <w:rsid w:val="0034084B"/>
    <w:rsid w:val="00342D2B"/>
    <w:rsid w:val="003448F4"/>
    <w:rsid w:val="003476BD"/>
    <w:rsid w:val="00354D16"/>
    <w:rsid w:val="0036525B"/>
    <w:rsid w:val="00374F5E"/>
    <w:rsid w:val="00377E3E"/>
    <w:rsid w:val="003874D6"/>
    <w:rsid w:val="003A2DB2"/>
    <w:rsid w:val="003A779E"/>
    <w:rsid w:val="003A7F17"/>
    <w:rsid w:val="003D0F4D"/>
    <w:rsid w:val="003D2BE6"/>
    <w:rsid w:val="003D5B0D"/>
    <w:rsid w:val="003E0499"/>
    <w:rsid w:val="003E7CD1"/>
    <w:rsid w:val="003F1AD9"/>
    <w:rsid w:val="003F3941"/>
    <w:rsid w:val="003F5E97"/>
    <w:rsid w:val="003F65DF"/>
    <w:rsid w:val="00406575"/>
    <w:rsid w:val="00407174"/>
    <w:rsid w:val="00414C74"/>
    <w:rsid w:val="0042722E"/>
    <w:rsid w:val="0044228B"/>
    <w:rsid w:val="0044528D"/>
    <w:rsid w:val="00457ECE"/>
    <w:rsid w:val="0046173D"/>
    <w:rsid w:val="004679CF"/>
    <w:rsid w:val="00467D00"/>
    <w:rsid w:val="004A1847"/>
    <w:rsid w:val="004A305D"/>
    <w:rsid w:val="004A3488"/>
    <w:rsid w:val="004A4364"/>
    <w:rsid w:val="004D10C0"/>
    <w:rsid w:val="004D3F3A"/>
    <w:rsid w:val="004E1C9C"/>
    <w:rsid w:val="004E34CC"/>
    <w:rsid w:val="004E58E3"/>
    <w:rsid w:val="004F21C4"/>
    <w:rsid w:val="004F685F"/>
    <w:rsid w:val="00503135"/>
    <w:rsid w:val="00536DDE"/>
    <w:rsid w:val="005566E8"/>
    <w:rsid w:val="00561327"/>
    <w:rsid w:val="0056783A"/>
    <w:rsid w:val="00567A42"/>
    <w:rsid w:val="00574867"/>
    <w:rsid w:val="005760F1"/>
    <w:rsid w:val="00591460"/>
    <w:rsid w:val="005979D7"/>
    <w:rsid w:val="005A24A3"/>
    <w:rsid w:val="005B09C5"/>
    <w:rsid w:val="005B33E4"/>
    <w:rsid w:val="005B3816"/>
    <w:rsid w:val="005B451A"/>
    <w:rsid w:val="005C27A0"/>
    <w:rsid w:val="005C3777"/>
    <w:rsid w:val="005C5CDC"/>
    <w:rsid w:val="005D476C"/>
    <w:rsid w:val="005F5676"/>
    <w:rsid w:val="0060785D"/>
    <w:rsid w:val="00620171"/>
    <w:rsid w:val="00620C7C"/>
    <w:rsid w:val="006219F8"/>
    <w:rsid w:val="00626256"/>
    <w:rsid w:val="00651311"/>
    <w:rsid w:val="00652513"/>
    <w:rsid w:val="00657B9A"/>
    <w:rsid w:val="00663EF1"/>
    <w:rsid w:val="00665D70"/>
    <w:rsid w:val="00666B53"/>
    <w:rsid w:val="006676BD"/>
    <w:rsid w:val="0067596F"/>
    <w:rsid w:val="0068379D"/>
    <w:rsid w:val="006900D9"/>
    <w:rsid w:val="006A19FE"/>
    <w:rsid w:val="006D63A9"/>
    <w:rsid w:val="006E7F62"/>
    <w:rsid w:val="00706C16"/>
    <w:rsid w:val="00715004"/>
    <w:rsid w:val="0072759A"/>
    <w:rsid w:val="0073695B"/>
    <w:rsid w:val="007372F2"/>
    <w:rsid w:val="00741571"/>
    <w:rsid w:val="00756841"/>
    <w:rsid w:val="007649AB"/>
    <w:rsid w:val="00767A21"/>
    <w:rsid w:val="00771D0C"/>
    <w:rsid w:val="007833AC"/>
    <w:rsid w:val="007911EE"/>
    <w:rsid w:val="00797E96"/>
    <w:rsid w:val="007A6EAA"/>
    <w:rsid w:val="007B268C"/>
    <w:rsid w:val="007B3C65"/>
    <w:rsid w:val="007B7171"/>
    <w:rsid w:val="007C0C0F"/>
    <w:rsid w:val="007C3DC2"/>
    <w:rsid w:val="007E5497"/>
    <w:rsid w:val="007E5663"/>
    <w:rsid w:val="007E7889"/>
    <w:rsid w:val="007F662E"/>
    <w:rsid w:val="00800596"/>
    <w:rsid w:val="00806F5F"/>
    <w:rsid w:val="0081553D"/>
    <w:rsid w:val="00820278"/>
    <w:rsid w:val="008318DA"/>
    <w:rsid w:val="00837F12"/>
    <w:rsid w:val="00842788"/>
    <w:rsid w:val="00843CAD"/>
    <w:rsid w:val="0084631C"/>
    <w:rsid w:val="00865AE0"/>
    <w:rsid w:val="00866C2B"/>
    <w:rsid w:val="00867F95"/>
    <w:rsid w:val="0087031A"/>
    <w:rsid w:val="0087082B"/>
    <w:rsid w:val="00871A7A"/>
    <w:rsid w:val="00874B80"/>
    <w:rsid w:val="00880A26"/>
    <w:rsid w:val="008843B6"/>
    <w:rsid w:val="00891928"/>
    <w:rsid w:val="00894A6D"/>
    <w:rsid w:val="0089585A"/>
    <w:rsid w:val="008A446D"/>
    <w:rsid w:val="008C6C5F"/>
    <w:rsid w:val="008C7819"/>
    <w:rsid w:val="008D180B"/>
    <w:rsid w:val="008F0EA7"/>
    <w:rsid w:val="009024A5"/>
    <w:rsid w:val="00904654"/>
    <w:rsid w:val="00904F24"/>
    <w:rsid w:val="00905C1B"/>
    <w:rsid w:val="0091101B"/>
    <w:rsid w:val="00916E25"/>
    <w:rsid w:val="0092047B"/>
    <w:rsid w:val="009239D1"/>
    <w:rsid w:val="00923EEF"/>
    <w:rsid w:val="009266D6"/>
    <w:rsid w:val="0093633D"/>
    <w:rsid w:val="00937FE3"/>
    <w:rsid w:val="009419F9"/>
    <w:rsid w:val="0095685E"/>
    <w:rsid w:val="009616AD"/>
    <w:rsid w:val="00961B09"/>
    <w:rsid w:val="00965334"/>
    <w:rsid w:val="009653B1"/>
    <w:rsid w:val="0096584C"/>
    <w:rsid w:val="009673F0"/>
    <w:rsid w:val="0097093E"/>
    <w:rsid w:val="00986AC5"/>
    <w:rsid w:val="00995AB5"/>
    <w:rsid w:val="009A0DFA"/>
    <w:rsid w:val="009B2D26"/>
    <w:rsid w:val="009B5CFD"/>
    <w:rsid w:val="009C4461"/>
    <w:rsid w:val="009C71FA"/>
    <w:rsid w:val="009C72E7"/>
    <w:rsid w:val="009D3058"/>
    <w:rsid w:val="009E1CA3"/>
    <w:rsid w:val="009F3A13"/>
    <w:rsid w:val="009F4F7B"/>
    <w:rsid w:val="00A10165"/>
    <w:rsid w:val="00A122D3"/>
    <w:rsid w:val="00A17F13"/>
    <w:rsid w:val="00A20739"/>
    <w:rsid w:val="00A2570B"/>
    <w:rsid w:val="00A33C78"/>
    <w:rsid w:val="00A3577C"/>
    <w:rsid w:val="00A53EC9"/>
    <w:rsid w:val="00A550D0"/>
    <w:rsid w:val="00A66BCC"/>
    <w:rsid w:val="00A85A0D"/>
    <w:rsid w:val="00AA7EA3"/>
    <w:rsid w:val="00AB0ADB"/>
    <w:rsid w:val="00AB73F8"/>
    <w:rsid w:val="00AC51C2"/>
    <w:rsid w:val="00AD301C"/>
    <w:rsid w:val="00AD7A12"/>
    <w:rsid w:val="00AD7E01"/>
    <w:rsid w:val="00AD7FF6"/>
    <w:rsid w:val="00AE025B"/>
    <w:rsid w:val="00AE62A4"/>
    <w:rsid w:val="00AF3F0D"/>
    <w:rsid w:val="00B01B1A"/>
    <w:rsid w:val="00B15A84"/>
    <w:rsid w:val="00B16AC3"/>
    <w:rsid w:val="00B3353C"/>
    <w:rsid w:val="00B55F3C"/>
    <w:rsid w:val="00B631FD"/>
    <w:rsid w:val="00B66319"/>
    <w:rsid w:val="00B715C6"/>
    <w:rsid w:val="00B72CD3"/>
    <w:rsid w:val="00B72FFF"/>
    <w:rsid w:val="00B752E9"/>
    <w:rsid w:val="00B8227C"/>
    <w:rsid w:val="00B868EA"/>
    <w:rsid w:val="00B959F0"/>
    <w:rsid w:val="00B965EB"/>
    <w:rsid w:val="00BA1D91"/>
    <w:rsid w:val="00BC3D36"/>
    <w:rsid w:val="00BC54A9"/>
    <w:rsid w:val="00BD5505"/>
    <w:rsid w:val="00BD7F72"/>
    <w:rsid w:val="00BE7232"/>
    <w:rsid w:val="00BF3135"/>
    <w:rsid w:val="00C04FB3"/>
    <w:rsid w:val="00C330EB"/>
    <w:rsid w:val="00C33DBE"/>
    <w:rsid w:val="00C41061"/>
    <w:rsid w:val="00C4297D"/>
    <w:rsid w:val="00C7092B"/>
    <w:rsid w:val="00C71956"/>
    <w:rsid w:val="00C71A94"/>
    <w:rsid w:val="00C73FF9"/>
    <w:rsid w:val="00C754BE"/>
    <w:rsid w:val="00C76B1C"/>
    <w:rsid w:val="00C82FEE"/>
    <w:rsid w:val="00C97B93"/>
    <w:rsid w:val="00CB5217"/>
    <w:rsid w:val="00CB6357"/>
    <w:rsid w:val="00CC1B26"/>
    <w:rsid w:val="00CD077C"/>
    <w:rsid w:val="00CD0B4A"/>
    <w:rsid w:val="00CD7324"/>
    <w:rsid w:val="00CE4F67"/>
    <w:rsid w:val="00CF1C1D"/>
    <w:rsid w:val="00CF6E85"/>
    <w:rsid w:val="00D20938"/>
    <w:rsid w:val="00D423A2"/>
    <w:rsid w:val="00D520D8"/>
    <w:rsid w:val="00D63AC2"/>
    <w:rsid w:val="00D7383B"/>
    <w:rsid w:val="00D82F75"/>
    <w:rsid w:val="00D86E93"/>
    <w:rsid w:val="00DA231B"/>
    <w:rsid w:val="00DA4E75"/>
    <w:rsid w:val="00DA4EE6"/>
    <w:rsid w:val="00DA7C3A"/>
    <w:rsid w:val="00DC39FC"/>
    <w:rsid w:val="00DC6148"/>
    <w:rsid w:val="00DC68C5"/>
    <w:rsid w:val="00DD5FB0"/>
    <w:rsid w:val="00DE435A"/>
    <w:rsid w:val="00DF29BC"/>
    <w:rsid w:val="00DF5254"/>
    <w:rsid w:val="00E16408"/>
    <w:rsid w:val="00E20894"/>
    <w:rsid w:val="00E245AB"/>
    <w:rsid w:val="00E2764C"/>
    <w:rsid w:val="00E27F2E"/>
    <w:rsid w:val="00E50A80"/>
    <w:rsid w:val="00E50AFE"/>
    <w:rsid w:val="00E75C92"/>
    <w:rsid w:val="00E771DC"/>
    <w:rsid w:val="00E8772A"/>
    <w:rsid w:val="00E90F6B"/>
    <w:rsid w:val="00E92C27"/>
    <w:rsid w:val="00EA0E3D"/>
    <w:rsid w:val="00EB255D"/>
    <w:rsid w:val="00EB2CED"/>
    <w:rsid w:val="00EB756D"/>
    <w:rsid w:val="00EC38A7"/>
    <w:rsid w:val="00ED0CF6"/>
    <w:rsid w:val="00ED7384"/>
    <w:rsid w:val="00EE1AA8"/>
    <w:rsid w:val="00EE5478"/>
    <w:rsid w:val="00F31EDC"/>
    <w:rsid w:val="00F32EC5"/>
    <w:rsid w:val="00F3779B"/>
    <w:rsid w:val="00F44EEF"/>
    <w:rsid w:val="00F462B3"/>
    <w:rsid w:val="00F5664F"/>
    <w:rsid w:val="00F638F9"/>
    <w:rsid w:val="00F666C4"/>
    <w:rsid w:val="00F7427E"/>
    <w:rsid w:val="00F76AFC"/>
    <w:rsid w:val="00F83338"/>
    <w:rsid w:val="00FA47C0"/>
    <w:rsid w:val="00FB0145"/>
    <w:rsid w:val="00FB5DD1"/>
    <w:rsid w:val="00FB7DC7"/>
    <w:rsid w:val="00FC2B5D"/>
    <w:rsid w:val="00FD21F4"/>
    <w:rsid w:val="00FD3E8A"/>
    <w:rsid w:val="00FD7C4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6">
    <w:name w:val="heading 6"/>
    <w:basedOn w:val="Normal"/>
    <w:next w:val="Normal"/>
    <w:link w:val="Ttulo6Car"/>
    <w:uiPriority w:val="9"/>
    <w:semiHidden/>
    <w:unhideWhenUsed/>
    <w:qFormat/>
    <w:rsid w:val="00A3577C"/>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703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7031A"/>
    <w:rPr>
      <w:rFonts w:ascii="Geomanist Light" w:hAnsi="Geomanist Light"/>
      <w:lang w:val="es-ES"/>
    </w:rPr>
  </w:style>
  <w:style w:type="paragraph" w:styleId="Textoindependiente">
    <w:name w:val="Body Text"/>
    <w:basedOn w:val="Normal"/>
    <w:link w:val="TextoindependienteCar"/>
    <w:uiPriority w:val="1"/>
    <w:unhideWhenUsed/>
    <w:qFormat/>
    <w:rsid w:val="0087031A"/>
    <w:pPr>
      <w:spacing w:after="120"/>
    </w:pPr>
  </w:style>
  <w:style w:type="character" w:customStyle="1" w:styleId="TextoindependienteCar">
    <w:name w:val="Texto independiente Car"/>
    <w:basedOn w:val="Fuentedeprrafopredeter"/>
    <w:link w:val="Textoindependiente"/>
    <w:uiPriority w:val="1"/>
    <w:rsid w:val="0087031A"/>
  </w:style>
  <w:style w:type="paragraph" w:styleId="Sinespaciado">
    <w:name w:val="No Spacing"/>
    <w:aliases w:val="No Indent"/>
    <w:uiPriority w:val="3"/>
    <w:qFormat/>
    <w:rsid w:val="0044228B"/>
    <w:pPr>
      <w:spacing w:after="0" w:line="240" w:lineRule="auto"/>
    </w:pPr>
    <w:rPr>
      <w:sz w:val="24"/>
      <w:lang w:val="es-MX"/>
    </w:rPr>
  </w:style>
  <w:style w:type="paragraph" w:styleId="Subttulo">
    <w:name w:val="Subtitle"/>
    <w:basedOn w:val="Normal"/>
    <w:next w:val="Normal"/>
    <w:link w:val="SubttuloCar"/>
    <w:uiPriority w:val="11"/>
    <w:qFormat/>
    <w:rsid w:val="00DC68C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C68C5"/>
    <w:rPr>
      <w:rFonts w:eastAsiaTheme="majorEastAsia" w:cstheme="majorBidi"/>
      <w:color w:val="595959" w:themeColor="text1" w:themeTint="A6"/>
      <w:spacing w:val="15"/>
      <w:sz w:val="28"/>
      <w:szCs w:val="28"/>
    </w:rPr>
  </w:style>
  <w:style w:type="character" w:customStyle="1" w:styleId="Ttulo6Car">
    <w:name w:val="Título 6 Car"/>
    <w:basedOn w:val="Fuentedeprrafopredeter"/>
    <w:link w:val="Ttulo6"/>
    <w:uiPriority w:val="9"/>
    <w:semiHidden/>
    <w:rsid w:val="00A3577C"/>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99970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85077310">
      <w:bodyDiv w:val="1"/>
      <w:marLeft w:val="0"/>
      <w:marRight w:val="0"/>
      <w:marTop w:val="0"/>
      <w:marBottom w:val="0"/>
      <w:divBdr>
        <w:top w:val="none" w:sz="0" w:space="0" w:color="auto"/>
        <w:left w:val="none" w:sz="0" w:space="0" w:color="auto"/>
        <w:bottom w:val="none" w:sz="0" w:space="0" w:color="auto"/>
        <w:right w:val="none" w:sz="0" w:space="0" w:color="auto"/>
      </w:divBdr>
    </w:div>
    <w:div w:id="1626039320">
      <w:bodyDiv w:val="1"/>
      <w:marLeft w:val="0"/>
      <w:marRight w:val="0"/>
      <w:marTop w:val="0"/>
      <w:marBottom w:val="0"/>
      <w:divBdr>
        <w:top w:val="none" w:sz="0" w:space="0" w:color="auto"/>
        <w:left w:val="none" w:sz="0" w:space="0" w:color="auto"/>
        <w:bottom w:val="none" w:sz="0" w:space="0" w:color="auto"/>
        <w:right w:val="none" w:sz="0" w:space="0" w:color="auto"/>
      </w:divBdr>
    </w:div>
    <w:div w:id="1711343927">
      <w:bodyDiv w:val="1"/>
      <w:marLeft w:val="0"/>
      <w:marRight w:val="0"/>
      <w:marTop w:val="0"/>
      <w:marBottom w:val="0"/>
      <w:divBdr>
        <w:top w:val="none" w:sz="0" w:space="0" w:color="auto"/>
        <w:left w:val="none" w:sz="0" w:space="0" w:color="auto"/>
        <w:bottom w:val="none" w:sz="0" w:space="0" w:color="auto"/>
        <w:right w:val="none" w:sz="0" w:space="0" w:color="auto"/>
      </w:divBdr>
    </w:div>
    <w:div w:id="1980919643">
      <w:bodyDiv w:val="1"/>
      <w:marLeft w:val="0"/>
      <w:marRight w:val="0"/>
      <w:marTop w:val="0"/>
      <w:marBottom w:val="0"/>
      <w:divBdr>
        <w:top w:val="none" w:sz="0" w:space="0" w:color="auto"/>
        <w:left w:val="none" w:sz="0" w:space="0" w:color="auto"/>
        <w:bottom w:val="none" w:sz="0" w:space="0" w:color="auto"/>
        <w:right w:val="none" w:sz="0" w:space="0" w:color="auto"/>
      </w:divBdr>
    </w:div>
    <w:div w:id="1981613652">
      <w:bodyDiv w:val="1"/>
      <w:marLeft w:val="0"/>
      <w:marRight w:val="0"/>
      <w:marTop w:val="0"/>
      <w:marBottom w:val="0"/>
      <w:divBdr>
        <w:top w:val="none" w:sz="0" w:space="0" w:color="auto"/>
        <w:left w:val="none" w:sz="0" w:space="0" w:color="auto"/>
        <w:bottom w:val="none" w:sz="0" w:space="0" w:color="auto"/>
        <w:right w:val="none" w:sz="0" w:space="0" w:color="auto"/>
      </w:divBdr>
    </w:div>
    <w:div w:id="2072195802">
      <w:bodyDiv w:val="1"/>
      <w:marLeft w:val="0"/>
      <w:marRight w:val="0"/>
      <w:marTop w:val="0"/>
      <w:marBottom w:val="0"/>
      <w:divBdr>
        <w:top w:val="none" w:sz="0" w:space="0" w:color="auto"/>
        <w:left w:val="none" w:sz="0" w:space="0" w:color="auto"/>
        <w:bottom w:val="none" w:sz="0" w:space="0" w:color="auto"/>
        <w:right w:val="none" w:sz="0" w:space="0" w:color="auto"/>
      </w:divBdr>
      <w:divsChild>
        <w:div w:id="1164973239">
          <w:marLeft w:val="0"/>
          <w:marRight w:val="0"/>
          <w:marTop w:val="0"/>
          <w:marBottom w:val="0"/>
          <w:divBdr>
            <w:top w:val="none" w:sz="0" w:space="0" w:color="auto"/>
            <w:left w:val="none" w:sz="0" w:space="0" w:color="auto"/>
            <w:bottom w:val="none" w:sz="0" w:space="0" w:color="auto"/>
            <w:right w:val="none" w:sz="0" w:space="0" w:color="auto"/>
          </w:divBdr>
        </w:div>
        <w:div w:id="1270968462">
          <w:marLeft w:val="0"/>
          <w:marRight w:val="0"/>
          <w:marTop w:val="0"/>
          <w:marBottom w:val="0"/>
          <w:divBdr>
            <w:top w:val="none" w:sz="0" w:space="0" w:color="auto"/>
            <w:left w:val="none" w:sz="0" w:space="0" w:color="auto"/>
            <w:bottom w:val="none" w:sz="0" w:space="0" w:color="auto"/>
            <w:right w:val="none" w:sz="0" w:space="0" w:color="auto"/>
          </w:divBdr>
        </w:div>
        <w:div w:id="601569824">
          <w:marLeft w:val="0"/>
          <w:marRight w:val="0"/>
          <w:marTop w:val="0"/>
          <w:marBottom w:val="0"/>
          <w:divBdr>
            <w:top w:val="none" w:sz="0" w:space="0" w:color="auto"/>
            <w:left w:val="none" w:sz="0" w:space="0" w:color="auto"/>
            <w:bottom w:val="none" w:sz="0" w:space="0" w:color="auto"/>
            <w:right w:val="none" w:sz="0" w:space="0" w:color="auto"/>
          </w:divBdr>
        </w:div>
        <w:div w:id="62143960">
          <w:marLeft w:val="0"/>
          <w:marRight w:val="0"/>
          <w:marTop w:val="0"/>
          <w:marBottom w:val="0"/>
          <w:divBdr>
            <w:top w:val="none" w:sz="0" w:space="0" w:color="auto"/>
            <w:left w:val="none" w:sz="0" w:space="0" w:color="auto"/>
            <w:bottom w:val="none" w:sz="0" w:space="0" w:color="auto"/>
            <w:right w:val="none" w:sz="0" w:space="0" w:color="auto"/>
          </w:divBdr>
        </w:div>
        <w:div w:id="530991857">
          <w:marLeft w:val="0"/>
          <w:marRight w:val="0"/>
          <w:marTop w:val="0"/>
          <w:marBottom w:val="0"/>
          <w:divBdr>
            <w:top w:val="none" w:sz="0" w:space="0" w:color="auto"/>
            <w:left w:val="none" w:sz="0" w:space="0" w:color="auto"/>
            <w:bottom w:val="none" w:sz="0" w:space="0" w:color="auto"/>
            <w:right w:val="none" w:sz="0" w:space="0" w:color="auto"/>
          </w:divBdr>
        </w:div>
        <w:div w:id="464396306">
          <w:marLeft w:val="0"/>
          <w:marRight w:val="0"/>
          <w:marTop w:val="0"/>
          <w:marBottom w:val="0"/>
          <w:divBdr>
            <w:top w:val="none" w:sz="0" w:space="0" w:color="auto"/>
            <w:left w:val="none" w:sz="0" w:space="0" w:color="auto"/>
            <w:bottom w:val="none" w:sz="0" w:space="0" w:color="auto"/>
            <w:right w:val="none" w:sz="0" w:space="0" w:color="auto"/>
          </w:divBdr>
        </w:div>
        <w:div w:id="1708018743">
          <w:marLeft w:val="0"/>
          <w:marRight w:val="0"/>
          <w:marTop w:val="0"/>
          <w:marBottom w:val="0"/>
          <w:divBdr>
            <w:top w:val="none" w:sz="0" w:space="0" w:color="auto"/>
            <w:left w:val="none" w:sz="0" w:space="0" w:color="auto"/>
            <w:bottom w:val="none" w:sz="0" w:space="0" w:color="auto"/>
            <w:right w:val="none" w:sz="0" w:space="0" w:color="auto"/>
          </w:divBdr>
        </w:div>
        <w:div w:id="1897161891">
          <w:marLeft w:val="0"/>
          <w:marRight w:val="0"/>
          <w:marTop w:val="0"/>
          <w:marBottom w:val="0"/>
          <w:divBdr>
            <w:top w:val="none" w:sz="0" w:space="0" w:color="auto"/>
            <w:left w:val="none" w:sz="0" w:space="0" w:color="auto"/>
            <w:bottom w:val="none" w:sz="0" w:space="0" w:color="auto"/>
            <w:right w:val="none" w:sz="0" w:space="0" w:color="auto"/>
          </w:divBdr>
        </w:div>
        <w:div w:id="1667783752">
          <w:marLeft w:val="0"/>
          <w:marRight w:val="0"/>
          <w:marTop w:val="0"/>
          <w:marBottom w:val="0"/>
          <w:divBdr>
            <w:top w:val="none" w:sz="0" w:space="0" w:color="auto"/>
            <w:left w:val="none" w:sz="0" w:space="0" w:color="auto"/>
            <w:bottom w:val="none" w:sz="0" w:space="0" w:color="auto"/>
            <w:right w:val="none" w:sz="0" w:space="0" w:color="auto"/>
          </w:divBdr>
        </w:div>
        <w:div w:id="1609309645">
          <w:marLeft w:val="0"/>
          <w:marRight w:val="0"/>
          <w:marTop w:val="0"/>
          <w:marBottom w:val="0"/>
          <w:divBdr>
            <w:top w:val="none" w:sz="0" w:space="0" w:color="auto"/>
            <w:left w:val="none" w:sz="0" w:space="0" w:color="auto"/>
            <w:bottom w:val="none" w:sz="0" w:space="0" w:color="auto"/>
            <w:right w:val="none" w:sz="0" w:space="0" w:color="auto"/>
          </w:divBdr>
        </w:div>
        <w:div w:id="1074887772">
          <w:marLeft w:val="0"/>
          <w:marRight w:val="0"/>
          <w:marTop w:val="0"/>
          <w:marBottom w:val="0"/>
          <w:divBdr>
            <w:top w:val="none" w:sz="0" w:space="0" w:color="auto"/>
            <w:left w:val="none" w:sz="0" w:space="0" w:color="auto"/>
            <w:bottom w:val="none" w:sz="0" w:space="0" w:color="auto"/>
            <w:right w:val="none" w:sz="0" w:space="0" w:color="auto"/>
          </w:divBdr>
        </w:div>
      </w:divsChild>
    </w:div>
    <w:div w:id="2096129406">
      <w:bodyDiv w:val="1"/>
      <w:marLeft w:val="0"/>
      <w:marRight w:val="0"/>
      <w:marTop w:val="0"/>
      <w:marBottom w:val="0"/>
      <w:divBdr>
        <w:top w:val="none" w:sz="0" w:space="0" w:color="auto"/>
        <w:left w:val="none" w:sz="0" w:space="0" w:color="auto"/>
        <w:bottom w:val="none" w:sz="0" w:space="0" w:color="auto"/>
        <w:right w:val="none" w:sz="0" w:space="0" w:color="auto"/>
      </w:divBdr>
      <w:divsChild>
        <w:div w:id="368379825">
          <w:marLeft w:val="0"/>
          <w:marRight w:val="0"/>
          <w:marTop w:val="0"/>
          <w:marBottom w:val="0"/>
          <w:divBdr>
            <w:top w:val="none" w:sz="0" w:space="0" w:color="auto"/>
            <w:left w:val="none" w:sz="0" w:space="0" w:color="auto"/>
            <w:bottom w:val="none" w:sz="0" w:space="0" w:color="auto"/>
            <w:right w:val="none" w:sz="0" w:space="0" w:color="auto"/>
          </w:divBdr>
        </w:div>
        <w:div w:id="203251242">
          <w:marLeft w:val="0"/>
          <w:marRight w:val="0"/>
          <w:marTop w:val="0"/>
          <w:marBottom w:val="0"/>
          <w:divBdr>
            <w:top w:val="none" w:sz="0" w:space="0" w:color="auto"/>
            <w:left w:val="none" w:sz="0" w:space="0" w:color="auto"/>
            <w:bottom w:val="none" w:sz="0" w:space="0" w:color="auto"/>
            <w:right w:val="none" w:sz="0" w:space="0" w:color="auto"/>
          </w:divBdr>
        </w:div>
        <w:div w:id="188033022">
          <w:marLeft w:val="0"/>
          <w:marRight w:val="0"/>
          <w:marTop w:val="0"/>
          <w:marBottom w:val="0"/>
          <w:divBdr>
            <w:top w:val="none" w:sz="0" w:space="0" w:color="auto"/>
            <w:left w:val="none" w:sz="0" w:space="0" w:color="auto"/>
            <w:bottom w:val="none" w:sz="0" w:space="0" w:color="auto"/>
            <w:right w:val="none" w:sz="0" w:space="0" w:color="auto"/>
          </w:divBdr>
        </w:div>
        <w:div w:id="1562710006">
          <w:marLeft w:val="0"/>
          <w:marRight w:val="0"/>
          <w:marTop w:val="0"/>
          <w:marBottom w:val="0"/>
          <w:divBdr>
            <w:top w:val="none" w:sz="0" w:space="0" w:color="auto"/>
            <w:left w:val="none" w:sz="0" w:space="0" w:color="auto"/>
            <w:bottom w:val="none" w:sz="0" w:space="0" w:color="auto"/>
            <w:right w:val="none" w:sz="0" w:space="0" w:color="auto"/>
          </w:divBdr>
        </w:div>
        <w:div w:id="1441295057">
          <w:marLeft w:val="0"/>
          <w:marRight w:val="0"/>
          <w:marTop w:val="0"/>
          <w:marBottom w:val="0"/>
          <w:divBdr>
            <w:top w:val="none" w:sz="0" w:space="0" w:color="auto"/>
            <w:left w:val="none" w:sz="0" w:space="0" w:color="auto"/>
            <w:bottom w:val="none" w:sz="0" w:space="0" w:color="auto"/>
            <w:right w:val="none" w:sz="0" w:space="0" w:color="auto"/>
          </w:divBdr>
        </w:div>
        <w:div w:id="2108041355">
          <w:marLeft w:val="0"/>
          <w:marRight w:val="0"/>
          <w:marTop w:val="0"/>
          <w:marBottom w:val="0"/>
          <w:divBdr>
            <w:top w:val="none" w:sz="0" w:space="0" w:color="auto"/>
            <w:left w:val="none" w:sz="0" w:space="0" w:color="auto"/>
            <w:bottom w:val="none" w:sz="0" w:space="0" w:color="auto"/>
            <w:right w:val="none" w:sz="0" w:space="0" w:color="auto"/>
          </w:divBdr>
        </w:div>
        <w:div w:id="2058158128">
          <w:marLeft w:val="0"/>
          <w:marRight w:val="0"/>
          <w:marTop w:val="0"/>
          <w:marBottom w:val="0"/>
          <w:divBdr>
            <w:top w:val="none" w:sz="0" w:space="0" w:color="auto"/>
            <w:left w:val="none" w:sz="0" w:space="0" w:color="auto"/>
            <w:bottom w:val="none" w:sz="0" w:space="0" w:color="auto"/>
            <w:right w:val="none" w:sz="0" w:space="0" w:color="auto"/>
          </w:divBdr>
        </w:div>
        <w:div w:id="876508328">
          <w:marLeft w:val="0"/>
          <w:marRight w:val="0"/>
          <w:marTop w:val="0"/>
          <w:marBottom w:val="0"/>
          <w:divBdr>
            <w:top w:val="none" w:sz="0" w:space="0" w:color="auto"/>
            <w:left w:val="none" w:sz="0" w:space="0" w:color="auto"/>
            <w:bottom w:val="none" w:sz="0" w:space="0" w:color="auto"/>
            <w:right w:val="none" w:sz="0" w:space="0" w:color="auto"/>
          </w:divBdr>
        </w:div>
        <w:div w:id="2088376270">
          <w:marLeft w:val="0"/>
          <w:marRight w:val="0"/>
          <w:marTop w:val="0"/>
          <w:marBottom w:val="0"/>
          <w:divBdr>
            <w:top w:val="none" w:sz="0" w:space="0" w:color="auto"/>
            <w:left w:val="none" w:sz="0" w:space="0" w:color="auto"/>
            <w:bottom w:val="none" w:sz="0" w:space="0" w:color="auto"/>
            <w:right w:val="none" w:sz="0" w:space="0" w:color="auto"/>
          </w:divBdr>
        </w:div>
        <w:div w:id="1450901967">
          <w:marLeft w:val="0"/>
          <w:marRight w:val="0"/>
          <w:marTop w:val="0"/>
          <w:marBottom w:val="0"/>
          <w:divBdr>
            <w:top w:val="none" w:sz="0" w:space="0" w:color="auto"/>
            <w:left w:val="none" w:sz="0" w:space="0" w:color="auto"/>
            <w:bottom w:val="none" w:sz="0" w:space="0" w:color="auto"/>
            <w:right w:val="none" w:sz="0" w:space="0" w:color="auto"/>
          </w:divBdr>
        </w:div>
        <w:div w:id="1486118445">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FC06D1A-F6FF-4D7F-9522-BF2168F43E1F}"/>
</file>

<file path=customXml/itemProps3.xml><?xml version="1.0" encoding="utf-8"?>
<ds:datastoreItem xmlns:ds="http://schemas.openxmlformats.org/officeDocument/2006/customXml" ds:itemID="{9FAF2BF4-0EB2-4EF0-8236-E05227A2EC3E}">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4267</TotalTime>
  <Pages>17</Pages>
  <Words>5852</Words>
  <Characters>32659</Characters>
  <Application>Microsoft Office Word</Application>
  <DocSecurity>0</DocSecurity>
  <Lines>640</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106</cp:revision>
  <cp:lastPrinted>2023-01-10T21:18:00Z</cp:lastPrinted>
  <dcterms:created xsi:type="dcterms:W3CDTF">2025-07-01T23:16:00Z</dcterms:created>
  <dcterms:modified xsi:type="dcterms:W3CDTF">2026-03-03T16:01:00Z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