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A439A3" w14:textId="77777777" w:rsidR="003832C2" w:rsidRDefault="003832C2" w:rsidP="003832C2">
      <w:pPr>
        <w:spacing w:after="0" w:line="240" w:lineRule="auto"/>
        <w:rPr>
          <w:rFonts w:ascii="Verdana" w:eastAsia="Calibri" w:hAnsi="Verdana" w:cs="Arial"/>
          <w:b/>
          <w:bCs/>
          <w:color w:val="000000"/>
          <w:lang w:val="es-ES_tradnl"/>
        </w:rPr>
      </w:pPr>
      <w:bookmarkStart w:id="0" w:name="_Hlk181166130"/>
      <w:bookmarkStart w:id="1" w:name="_Hlk143780582"/>
      <w:r w:rsidRPr="009B1A62">
        <w:rPr>
          <w:rFonts w:ascii="Verdana" w:eastAsia="Calibri" w:hAnsi="Verdana" w:cs="Arial"/>
          <w:b/>
          <w:bCs/>
          <w:color w:val="000000"/>
          <w:lang w:val="es-ES_tradnl"/>
        </w:rPr>
        <w:t>INHABILIDADES E INCOMPATIBILIDADES ― Límites a la Capacidad Jurídica</w:t>
      </w:r>
    </w:p>
    <w:p w14:paraId="2943E9EC" w14:textId="77777777" w:rsidR="003832C2" w:rsidRDefault="003832C2" w:rsidP="003832C2">
      <w:pPr>
        <w:spacing w:after="0" w:line="240" w:lineRule="auto"/>
        <w:rPr>
          <w:rFonts w:ascii="Verdana" w:eastAsia="Calibri" w:hAnsi="Verdana" w:cs="Arial"/>
          <w:b/>
          <w:bCs/>
          <w:color w:val="000000"/>
          <w:lang w:val="es-ES_tradnl"/>
        </w:rPr>
      </w:pPr>
    </w:p>
    <w:p w14:paraId="2D71D60E" w14:textId="77777777" w:rsidR="003832C2" w:rsidRPr="009B1A62" w:rsidRDefault="003832C2" w:rsidP="003832C2">
      <w:pPr>
        <w:spacing w:after="0" w:line="240" w:lineRule="auto"/>
        <w:jc w:val="both"/>
        <w:rPr>
          <w:rFonts w:ascii="Verdana" w:eastAsia="Calibri" w:hAnsi="Verdana" w:cs="Arial"/>
          <w:b/>
          <w:bCs/>
          <w:color w:val="000000"/>
          <w:sz w:val="20"/>
          <w:szCs w:val="20"/>
          <w:lang w:val="es-ES_tradnl"/>
        </w:rPr>
      </w:pPr>
      <w:r w:rsidRPr="009B1A62">
        <w:rPr>
          <w:rFonts w:ascii="Verdana" w:eastAsia="Calibri" w:hAnsi="Verdana" w:cs="Arial"/>
          <w:color w:val="000000"/>
          <w:sz w:val="20"/>
          <w:szCs w:val="20"/>
          <w:lang w:val="es-ES_tradnl" w:eastAsia="es-ES_tradnl"/>
        </w:rPr>
        <w:t>Las inhabilidades e incompatibilidades, al ser restricciones o límites especiales a la capacidad para presentar ofertas y celebrar contratos estatales, solo pueden tipificarse en la ley o sea, deben satisfacer el principio de legalidad y su interpretación debe ser restrictiva</w:t>
      </w:r>
      <w:r w:rsidRPr="009B1A62">
        <w:rPr>
          <w:rFonts w:ascii="Verdana" w:eastAsia="Calibri" w:hAnsi="Verdana" w:cs="Arial"/>
          <w:b/>
          <w:bCs/>
          <w:color w:val="000000"/>
          <w:sz w:val="20"/>
          <w:szCs w:val="20"/>
          <w:lang w:val="es-ES_tradnl"/>
        </w:rPr>
        <w:t xml:space="preserve"> </w:t>
      </w:r>
      <w:r w:rsidRPr="009B1A62">
        <w:rPr>
          <w:rFonts w:ascii="Verdana" w:eastAsia="Calibri" w:hAnsi="Verdana" w:cs="Arial"/>
          <w:color w:val="000000"/>
          <w:sz w:val="20"/>
          <w:szCs w:val="20"/>
          <w:lang w:val="es-ES_tradnl" w:eastAsia="es-ES_tradnl"/>
        </w:rPr>
        <w:t>pues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w:t>
      </w:r>
    </w:p>
    <w:p w14:paraId="032DB054" w14:textId="77777777" w:rsidR="003832C2" w:rsidRPr="009B1A62" w:rsidRDefault="003832C2" w:rsidP="003832C2">
      <w:pPr>
        <w:spacing w:after="0" w:line="240" w:lineRule="auto"/>
        <w:rPr>
          <w:rFonts w:ascii="Verdana" w:eastAsia="Calibri" w:hAnsi="Verdana" w:cs="Arial"/>
          <w:b/>
          <w:bCs/>
          <w:color w:val="000000"/>
          <w:lang w:val="es-ES_tradnl"/>
        </w:rPr>
      </w:pPr>
    </w:p>
    <w:p w14:paraId="0AD246CF" w14:textId="77777777" w:rsidR="003832C2" w:rsidRDefault="003832C2" w:rsidP="003832C2">
      <w:pPr>
        <w:spacing w:after="0" w:line="240" w:lineRule="auto"/>
        <w:rPr>
          <w:rFonts w:ascii="Verdana" w:eastAsia="Calibri" w:hAnsi="Verdana" w:cs="Arial"/>
          <w:b/>
          <w:bCs/>
          <w:color w:val="000000"/>
          <w:lang w:val="es-ES_tradnl"/>
        </w:rPr>
      </w:pPr>
      <w:r w:rsidRPr="009B1A62">
        <w:rPr>
          <w:rFonts w:ascii="Verdana" w:eastAsia="Calibri" w:hAnsi="Verdana" w:cs="Arial"/>
          <w:b/>
          <w:bCs/>
          <w:color w:val="000000"/>
          <w:lang w:val="es-ES_tradnl"/>
        </w:rPr>
        <w:t xml:space="preserve">INHABILIDAD </w:t>
      </w:r>
      <w:r w:rsidRPr="009B1A62">
        <w:rPr>
          <w:rFonts w:ascii="Verdana" w:eastAsia="Times New Roman" w:hAnsi="Verdana" w:cs="Arial"/>
          <w:b/>
          <w:bCs/>
          <w:lang w:eastAsia="es-ES_tradnl"/>
        </w:rPr>
        <w:t>E INCOMPATIBILIDAD</w:t>
      </w:r>
      <w:r w:rsidRPr="009B1A62">
        <w:rPr>
          <w:rFonts w:ascii="Verdana" w:eastAsia="Calibri" w:hAnsi="Verdana" w:cs="Arial"/>
          <w:b/>
          <w:bCs/>
          <w:color w:val="000000"/>
          <w:lang w:val="es-ES_tradnl"/>
        </w:rPr>
        <w:t xml:space="preserve"> </w:t>
      </w:r>
      <w:r w:rsidRPr="009B1A62">
        <w:rPr>
          <w:rFonts w:ascii="Verdana" w:eastAsia="Times New Roman" w:hAnsi="Verdana" w:cs="Arial"/>
          <w:b/>
          <w:bCs/>
          <w:lang w:eastAsia="es-ES_tradnl"/>
        </w:rPr>
        <w:t>–</w:t>
      </w:r>
      <w:r w:rsidRPr="009B1A62">
        <w:rPr>
          <w:rFonts w:ascii="Verdana" w:eastAsia="Calibri" w:hAnsi="Verdana" w:cs="Arial"/>
          <w:b/>
          <w:bCs/>
          <w:color w:val="000000"/>
          <w:lang w:val="es-ES_tradnl"/>
        </w:rPr>
        <w:t xml:space="preserve"> Ley 1474 de 2011 </w:t>
      </w:r>
      <w:r w:rsidRPr="009B1A62">
        <w:rPr>
          <w:rFonts w:ascii="Verdana" w:eastAsia="Times New Roman" w:hAnsi="Verdana" w:cs="Arial"/>
          <w:b/>
          <w:bCs/>
          <w:lang w:eastAsia="es-ES_tradnl"/>
        </w:rPr>
        <w:t>–</w:t>
      </w:r>
      <w:r w:rsidRPr="009B1A62">
        <w:rPr>
          <w:rFonts w:ascii="Verdana" w:eastAsia="Calibri" w:hAnsi="Verdana" w:cs="Arial"/>
          <w:b/>
          <w:bCs/>
          <w:color w:val="000000"/>
          <w:lang w:val="es-ES_tradnl"/>
        </w:rPr>
        <w:t xml:space="preserve"> Artículo 4 </w:t>
      </w:r>
      <w:r w:rsidRPr="009B1A62">
        <w:rPr>
          <w:rFonts w:ascii="Verdana" w:eastAsia="Times New Roman" w:hAnsi="Verdana" w:cs="Arial"/>
          <w:b/>
          <w:bCs/>
          <w:lang w:eastAsia="es-ES_tradnl"/>
        </w:rPr>
        <w:t>–</w:t>
      </w:r>
      <w:r w:rsidRPr="009B1A62">
        <w:rPr>
          <w:rFonts w:ascii="Verdana" w:eastAsia="Calibri" w:hAnsi="Verdana" w:cs="Arial"/>
          <w:b/>
          <w:bCs/>
          <w:color w:val="000000"/>
          <w:lang w:val="es-ES_tradnl"/>
        </w:rPr>
        <w:t xml:space="preserve"> Ex Empleado Público</w:t>
      </w:r>
    </w:p>
    <w:p w14:paraId="3FF320D5" w14:textId="77777777" w:rsidR="003832C2" w:rsidRDefault="003832C2" w:rsidP="003832C2">
      <w:pPr>
        <w:spacing w:after="0" w:line="240" w:lineRule="auto"/>
        <w:rPr>
          <w:rFonts w:ascii="Verdana" w:eastAsia="Times New Roman" w:hAnsi="Verdana" w:cs="Arial"/>
          <w:color w:val="000000"/>
          <w:shd w:val="clear" w:color="auto" w:fill="FFFFFF"/>
          <w:lang w:val="es-ES" w:eastAsia="es-ES_tradnl"/>
        </w:rPr>
      </w:pPr>
    </w:p>
    <w:p w14:paraId="6D3F6D99" w14:textId="77777777" w:rsidR="003832C2" w:rsidRPr="009B1A62" w:rsidRDefault="003832C2" w:rsidP="003832C2">
      <w:pPr>
        <w:spacing w:after="0" w:line="240" w:lineRule="auto"/>
        <w:jc w:val="both"/>
        <w:rPr>
          <w:rFonts w:ascii="Verdana" w:eastAsia="Calibri" w:hAnsi="Verdana" w:cs="Arial"/>
          <w:b/>
          <w:bCs/>
          <w:color w:val="000000"/>
          <w:sz w:val="20"/>
          <w:szCs w:val="20"/>
          <w:lang w:val="es-ES_tradnl"/>
        </w:rPr>
      </w:pPr>
      <w:r w:rsidRPr="009B1A62">
        <w:rPr>
          <w:rFonts w:ascii="Verdana" w:eastAsia="Calibri" w:hAnsi="Verdana" w:cs="Arial"/>
          <w:color w:val="000000"/>
          <w:sz w:val="20"/>
          <w:szCs w:val="20"/>
          <w:lang w:val="es-ES_tradnl" w:eastAsia="es-ES_tradnl"/>
        </w:rPr>
        <w:t>La Ley 1474 de 2011, “Por la cual se dictan normas orientadas a fortalecer los mecanismos de prevención, investigación y sanción de actos de corrupción y la efectividad del control de la gestión pública”, prevé en el artículo 4 una restricción que prohíbe a los exempleados públicos celebrar contratos estatales tras la dejación del cargo, en un ámbito y en un período definidos por el legislador.</w:t>
      </w:r>
    </w:p>
    <w:p w14:paraId="355C7C85" w14:textId="77777777" w:rsidR="003832C2" w:rsidRPr="009B1A62" w:rsidRDefault="003832C2" w:rsidP="003832C2">
      <w:pPr>
        <w:spacing w:after="0" w:line="240" w:lineRule="auto"/>
        <w:rPr>
          <w:rFonts w:ascii="Verdana" w:eastAsia="Calibri" w:hAnsi="Verdana" w:cs="Arial"/>
          <w:b/>
          <w:bCs/>
          <w:color w:val="000000"/>
          <w:lang w:val="es-ES_tradnl"/>
        </w:rPr>
      </w:pPr>
    </w:p>
    <w:p w14:paraId="3821D08F" w14:textId="77777777" w:rsidR="003832C2" w:rsidRPr="009B1A62" w:rsidRDefault="003832C2" w:rsidP="003832C2">
      <w:pPr>
        <w:spacing w:after="0" w:line="240" w:lineRule="auto"/>
        <w:rPr>
          <w:rFonts w:ascii="Verdana" w:eastAsia="Times New Roman" w:hAnsi="Verdana" w:cs="Arial"/>
          <w:b/>
          <w:bCs/>
          <w:lang w:eastAsia="es-ES_tradnl"/>
        </w:rPr>
      </w:pPr>
      <w:r w:rsidRPr="009B1A62">
        <w:rPr>
          <w:rFonts w:ascii="Verdana" w:eastAsia="Times New Roman" w:hAnsi="Verdana" w:cs="Arial"/>
          <w:b/>
          <w:bCs/>
          <w:lang w:eastAsia="es-ES_tradnl"/>
        </w:rPr>
        <w:t>INHABILIDADES E INCOMPATIBILIDADES – Ley 80 de 1993 – Numeral 2, literal A) – Exservidor público –</w:t>
      </w:r>
      <w:r w:rsidRPr="009B1A62">
        <w:rPr>
          <w:rFonts w:ascii="Verdana" w:hAnsi="Verdana"/>
          <w:b/>
          <w:bCs/>
        </w:rPr>
        <w:t xml:space="preserve"> N</w:t>
      </w:r>
      <w:r w:rsidRPr="009B1A62">
        <w:rPr>
          <w:rFonts w:ascii="Verdana" w:eastAsia="Times New Roman" w:hAnsi="Verdana" w:cs="Arial"/>
          <w:b/>
          <w:bCs/>
          <w:lang w:eastAsia="es-ES_tradnl"/>
        </w:rPr>
        <w:t>iveles directivo, asesor o ejecutivo – Elemento temporal (1) un año</w:t>
      </w:r>
    </w:p>
    <w:p w14:paraId="044ADA6A" w14:textId="77777777" w:rsidR="003832C2" w:rsidRDefault="003832C2" w:rsidP="003832C2">
      <w:pPr>
        <w:spacing w:after="0" w:line="240" w:lineRule="auto"/>
        <w:rPr>
          <w:rFonts w:ascii="Verdana" w:eastAsia="Times New Roman" w:hAnsi="Verdana" w:cs="Arial"/>
          <w:b/>
          <w:bCs/>
          <w:lang w:eastAsia="es-ES_tradnl"/>
        </w:rPr>
      </w:pPr>
    </w:p>
    <w:p w14:paraId="46A9CD87" w14:textId="77777777" w:rsidR="003832C2" w:rsidRPr="009B1A62" w:rsidRDefault="003832C2" w:rsidP="003832C2">
      <w:pPr>
        <w:spacing w:after="0" w:line="240" w:lineRule="auto"/>
        <w:jc w:val="both"/>
        <w:rPr>
          <w:rFonts w:ascii="Verdana" w:eastAsia="Times New Roman" w:hAnsi="Verdana" w:cs="Arial"/>
          <w:b/>
          <w:bCs/>
          <w:sz w:val="20"/>
          <w:szCs w:val="20"/>
          <w:lang w:eastAsia="es-ES_tradnl"/>
        </w:rPr>
      </w:pPr>
      <w:r>
        <w:rPr>
          <w:rFonts w:ascii="Verdana" w:eastAsia="Arial MT" w:hAnsi="Verdana" w:cs="Arial"/>
          <w:sz w:val="20"/>
          <w:szCs w:val="20"/>
          <w:lang w:eastAsia="es-ES" w:bidi="es-ES"/>
        </w:rPr>
        <w:t>E</w:t>
      </w:r>
      <w:r w:rsidRPr="009B1A62">
        <w:rPr>
          <w:rFonts w:ascii="Verdana" w:eastAsia="Arial MT" w:hAnsi="Verdana" w:cs="Arial"/>
          <w:sz w:val="20"/>
          <w:szCs w:val="20"/>
          <w:lang w:eastAsia="es-ES" w:bidi="es-ES"/>
        </w:rPr>
        <w:t>l literal a) del numeral 2 del artículo 8 de la Ley 80 de 1993, y se configura incompatibilidad para contratar con una entidad determinada en quienes fueron miembros de junta o consejo directivo, así como en los exservidores públicos de los niveles directivo, asesor o ejecutivo. Esta restricción a la capacidad rige únicamente respecto de la entidad contratante a la que estuvo vinculado el respectivo miembro de junta o servidor, durante el año siguiente a la fecha de retiro.</w:t>
      </w:r>
    </w:p>
    <w:p w14:paraId="7B3E96A5" w14:textId="77777777" w:rsidR="003832C2" w:rsidRPr="009B1A62" w:rsidRDefault="003832C2" w:rsidP="003832C2">
      <w:pPr>
        <w:spacing w:after="0" w:line="240" w:lineRule="auto"/>
        <w:rPr>
          <w:rFonts w:ascii="Verdana" w:eastAsia="Times New Roman" w:hAnsi="Verdana" w:cs="Arial"/>
          <w:b/>
          <w:bCs/>
          <w:lang w:eastAsia="es-ES_tradnl"/>
        </w:rPr>
      </w:pPr>
    </w:p>
    <w:p w14:paraId="2B2639A5" w14:textId="77777777" w:rsidR="003832C2" w:rsidRDefault="003832C2" w:rsidP="003832C2">
      <w:pPr>
        <w:spacing w:after="0" w:line="240" w:lineRule="auto"/>
        <w:rPr>
          <w:rFonts w:ascii="Verdana" w:eastAsia="Times New Roman" w:hAnsi="Verdana" w:cs="Arial"/>
          <w:b/>
          <w:bCs/>
          <w:lang w:eastAsia="es-ES_tradnl"/>
        </w:rPr>
      </w:pPr>
      <w:r w:rsidRPr="009B1A62">
        <w:rPr>
          <w:rFonts w:ascii="Verdana" w:eastAsia="Times New Roman" w:hAnsi="Verdana" w:cs="Arial"/>
          <w:b/>
          <w:bCs/>
          <w:lang w:eastAsia="es-ES_tradnl"/>
        </w:rPr>
        <w:t xml:space="preserve">INHABILIDADES E INCOMPATIBILIDADES – Ley 80 de 1993 – Numeral 2, literal F) – Contratación directa e indirecta – Exservidor público – Cargo Directivo – Elemento temporal (2) dos años </w:t>
      </w:r>
    </w:p>
    <w:p w14:paraId="747E3299" w14:textId="77777777" w:rsidR="003832C2" w:rsidRDefault="003832C2" w:rsidP="003832C2">
      <w:pPr>
        <w:spacing w:after="0" w:line="240" w:lineRule="auto"/>
        <w:rPr>
          <w:rFonts w:ascii="Verdana" w:eastAsia="Times New Roman" w:hAnsi="Verdana" w:cs="Arial"/>
          <w:b/>
          <w:bCs/>
          <w:lang w:eastAsia="es-ES_tradnl"/>
        </w:rPr>
      </w:pPr>
    </w:p>
    <w:p w14:paraId="2868189C" w14:textId="77777777" w:rsidR="003832C2" w:rsidRPr="009B1A62" w:rsidRDefault="003832C2" w:rsidP="003832C2">
      <w:pPr>
        <w:spacing w:after="120" w:line="276" w:lineRule="auto"/>
        <w:jc w:val="both"/>
        <w:rPr>
          <w:rFonts w:ascii="Verdana" w:eastAsia="Arial MT" w:hAnsi="Verdana" w:cs="Arial"/>
          <w:sz w:val="20"/>
          <w:szCs w:val="20"/>
          <w:lang w:eastAsia="es-ES" w:bidi="es-ES"/>
        </w:rPr>
      </w:pPr>
      <w:r w:rsidRPr="009B1A62">
        <w:rPr>
          <w:rFonts w:ascii="Verdana" w:eastAsia="Arial MT" w:hAnsi="Verdana" w:cs="Arial"/>
          <w:sz w:val="20"/>
          <w:szCs w:val="20"/>
          <w:lang w:eastAsia="es-ES" w:bidi="es-ES"/>
        </w:rPr>
        <w:t xml:space="preserve">Por otro lado, de conformidad con el literal f) del numeral 2 del artículo 8 de la Ley 80 de 1993, adicionado por el artículo 4 de la Ley 1474 de 2011, se configura incompatibilidad de manera directa en las personas naturales que ejercieron cargos del nivel directivo en entidades del Estado, y, de manera indirecta, en las sociedades a las que se encuentren vinculados dichos exservidores públicos, a cualquier título. La restricción a la capacidad contractual que deviene de esta causal aplica solo respecto de objetos contractuales que desarrollen tenga relación con el sector al cual el ex </w:t>
      </w:r>
      <w:r w:rsidRPr="009B1A62">
        <w:rPr>
          <w:rFonts w:ascii="Verdana" w:eastAsia="Arial MT" w:hAnsi="Verdana" w:cs="Arial"/>
          <w:sz w:val="20"/>
          <w:szCs w:val="20"/>
          <w:lang w:eastAsia="es-ES" w:bidi="es-ES"/>
        </w:rPr>
        <w:lastRenderedPageBreak/>
        <w:t xml:space="preserve">funcionario del nivel directivo prestó sus servicios y se extenderá durante los dos años siguientes a su retiro.   </w:t>
      </w:r>
    </w:p>
    <w:p w14:paraId="3C84EA6B" w14:textId="77777777" w:rsidR="003832C2" w:rsidRPr="009B1A62" w:rsidRDefault="003832C2" w:rsidP="003832C2">
      <w:pPr>
        <w:spacing w:line="276" w:lineRule="auto"/>
        <w:jc w:val="both"/>
        <w:rPr>
          <w:rFonts w:ascii="Verdana" w:eastAsia="Arial MT" w:hAnsi="Verdana" w:cs="Arial"/>
          <w:sz w:val="20"/>
          <w:szCs w:val="20"/>
          <w:lang w:eastAsia="es-ES" w:bidi="es-ES"/>
        </w:rPr>
      </w:pPr>
      <w:r w:rsidRPr="009B1A62">
        <w:rPr>
          <w:rFonts w:ascii="Verdana" w:eastAsia="Arial MT" w:hAnsi="Verdana" w:cs="Arial"/>
          <w:sz w:val="20"/>
          <w:szCs w:val="20"/>
          <w:lang w:eastAsia="es-ES" w:bidi="es-ES"/>
        </w:rPr>
        <w:t>Adicionalmente, por expresa disposición del literal f) del artículo 8, numeral 2 de la Ley 80 de 1993, esta incompatibilidad también se extiende a las personas naturales que se encuentren dentro del primer grado de consanguinidad, primero de afinidad, o primero civil del exempleado público. Esto significa que personas con dicho tipo de vínculos con el exfuncionario del nivel directivo, tampoco podrán celebrar contratos estatales con objetos relacionados el sector donde este haya trabajado, hasta pasados dos años de su retiro del servicio.</w:t>
      </w:r>
    </w:p>
    <w:p w14:paraId="5221EB3A" w14:textId="77777777" w:rsidR="003832C2" w:rsidRPr="009B1A62" w:rsidRDefault="003832C2" w:rsidP="003832C2">
      <w:pPr>
        <w:spacing w:after="0" w:line="240" w:lineRule="auto"/>
        <w:rPr>
          <w:rFonts w:ascii="Verdana" w:eastAsia="Times New Roman" w:hAnsi="Verdana" w:cs="Arial"/>
          <w:b/>
          <w:bCs/>
          <w:lang w:eastAsia="es-ES_tradnl"/>
        </w:rPr>
      </w:pPr>
    </w:p>
    <w:p w14:paraId="7A4A0089" w14:textId="77777777" w:rsidR="003832C2" w:rsidRDefault="003832C2" w:rsidP="003832C2">
      <w:pPr>
        <w:spacing w:after="0" w:line="240" w:lineRule="auto"/>
        <w:rPr>
          <w:rStyle w:val="Textoennegrita"/>
          <w:rFonts w:ascii="Verdana" w:hAnsi="Verdana" w:cs="Segoe UI"/>
          <w:shd w:val="clear" w:color="auto" w:fill="FFFFFF"/>
        </w:rPr>
      </w:pPr>
      <w:r w:rsidRPr="009B1A62">
        <w:rPr>
          <w:rStyle w:val="Textoennegrita"/>
          <w:rFonts w:ascii="Verdana" w:hAnsi="Verdana" w:cs="Segoe UI"/>
          <w:shd w:val="clear" w:color="auto" w:fill="FFFFFF"/>
        </w:rPr>
        <w:t>INHABILIDADES E INCOMPATIBILIDADES – Artículo 8 de la Ley 80 de 1993, numeral 2, literal D) – Destinatarios</w:t>
      </w:r>
    </w:p>
    <w:p w14:paraId="04037A44" w14:textId="77777777" w:rsidR="003832C2" w:rsidRDefault="003832C2" w:rsidP="003832C2">
      <w:pPr>
        <w:spacing w:after="0" w:line="240" w:lineRule="auto"/>
        <w:rPr>
          <w:rStyle w:val="Textoennegrita"/>
          <w:rFonts w:ascii="Verdana" w:hAnsi="Verdana" w:cs="Segoe UI"/>
          <w:shd w:val="clear" w:color="auto" w:fill="FFFFFF"/>
        </w:rPr>
      </w:pPr>
    </w:p>
    <w:p w14:paraId="147624CC" w14:textId="77777777" w:rsidR="003832C2" w:rsidRPr="009B1A62" w:rsidRDefault="003832C2" w:rsidP="003832C2">
      <w:pPr>
        <w:spacing w:after="0" w:line="240" w:lineRule="auto"/>
        <w:jc w:val="both"/>
        <w:rPr>
          <w:rStyle w:val="Textoennegrita"/>
          <w:rFonts w:ascii="Verdana" w:hAnsi="Verdana" w:cs="Segoe UI"/>
          <w:sz w:val="20"/>
          <w:szCs w:val="20"/>
          <w:shd w:val="clear" w:color="auto" w:fill="FFFFFF"/>
        </w:rPr>
      </w:pPr>
      <w:r>
        <w:rPr>
          <w:rFonts w:ascii="Verdana" w:eastAsia="Arial MT" w:hAnsi="Verdana" w:cs="Arial"/>
          <w:sz w:val="20"/>
          <w:szCs w:val="20"/>
          <w:lang w:val="es-ES"/>
        </w:rPr>
        <w:t>E</w:t>
      </w:r>
      <w:r w:rsidRPr="009B1A62">
        <w:rPr>
          <w:rFonts w:ascii="Verdana" w:eastAsia="Arial MT" w:hAnsi="Verdana" w:cs="Arial"/>
          <w:sz w:val="20"/>
          <w:szCs w:val="20"/>
          <w:lang w:val="es-ES"/>
        </w:rPr>
        <w:t xml:space="preserve">l literal d) del numeral 2 del artículo 8 de la Ley 80 de 1993, menciona que </w:t>
      </w:r>
      <w:r w:rsidRPr="009B1A62">
        <w:rPr>
          <w:rFonts w:ascii="Verdana" w:hAnsi="Verdana"/>
          <w:w w:val="105"/>
          <w:sz w:val="20"/>
          <w:szCs w:val="20"/>
        </w:rPr>
        <w:t>tampoco podrán participar en licitaciones o concursos ni celebrar contratos estatales con la entidad respectiva,</w:t>
      </w:r>
      <w:r w:rsidRPr="009B1A62">
        <w:rPr>
          <w:rFonts w:ascii="Verdana" w:eastAsia="Arial MT" w:hAnsi="Verdana" w:cs="Arial"/>
          <w:sz w:val="20"/>
          <w:szCs w:val="20"/>
          <w:lang w:val="es-ES"/>
        </w:rPr>
        <w:t xml:space="preserve"> algunas sociedades, que estarán inhabilitadas para contratar con la</w:t>
      </w:r>
      <w:r w:rsidRPr="009B1A62">
        <w:rPr>
          <w:rFonts w:ascii="Verdana" w:eastAsia="Arial MT" w:hAnsi="Verdana" w:cs="Arial"/>
          <w:spacing w:val="1"/>
          <w:sz w:val="20"/>
          <w:szCs w:val="20"/>
          <w:lang w:val="es-ES"/>
        </w:rPr>
        <w:t xml:space="preserve"> </w:t>
      </w:r>
      <w:r w:rsidRPr="009B1A62">
        <w:rPr>
          <w:rFonts w:ascii="Verdana" w:eastAsia="Arial MT" w:hAnsi="Verdana" w:cs="Arial"/>
          <w:sz w:val="20"/>
          <w:szCs w:val="20"/>
          <w:lang w:val="es-ES"/>
        </w:rPr>
        <w:t>entidad</w:t>
      </w:r>
      <w:r w:rsidRPr="009B1A62">
        <w:rPr>
          <w:rFonts w:ascii="Verdana" w:eastAsia="Arial MT" w:hAnsi="Verdana" w:cs="Arial"/>
          <w:spacing w:val="-7"/>
          <w:sz w:val="20"/>
          <w:szCs w:val="20"/>
          <w:lang w:val="es-ES"/>
        </w:rPr>
        <w:t xml:space="preserve"> </w:t>
      </w:r>
      <w:r w:rsidRPr="009B1A62">
        <w:rPr>
          <w:rFonts w:ascii="Verdana" w:eastAsia="Arial MT" w:hAnsi="Verdana" w:cs="Arial"/>
          <w:sz w:val="20"/>
          <w:szCs w:val="20"/>
          <w:lang w:val="es-ES"/>
        </w:rPr>
        <w:t>a</w:t>
      </w:r>
      <w:r w:rsidRPr="009B1A62">
        <w:rPr>
          <w:rFonts w:ascii="Verdana" w:eastAsia="Arial MT" w:hAnsi="Verdana" w:cs="Arial"/>
          <w:spacing w:val="-8"/>
          <w:sz w:val="20"/>
          <w:szCs w:val="20"/>
          <w:lang w:val="es-ES"/>
        </w:rPr>
        <w:t xml:space="preserve"> </w:t>
      </w:r>
      <w:r w:rsidRPr="009B1A62">
        <w:rPr>
          <w:rFonts w:ascii="Verdana" w:eastAsia="Arial MT" w:hAnsi="Verdana" w:cs="Arial"/>
          <w:sz w:val="20"/>
          <w:szCs w:val="20"/>
          <w:lang w:val="es-ES"/>
        </w:rPr>
        <w:t>la</w:t>
      </w:r>
      <w:r w:rsidRPr="009B1A62">
        <w:rPr>
          <w:rFonts w:ascii="Verdana" w:eastAsia="Arial MT" w:hAnsi="Verdana" w:cs="Arial"/>
          <w:spacing w:val="-8"/>
          <w:sz w:val="20"/>
          <w:szCs w:val="20"/>
          <w:lang w:val="es-ES"/>
        </w:rPr>
        <w:t xml:space="preserve"> </w:t>
      </w:r>
      <w:r w:rsidRPr="009B1A62">
        <w:rPr>
          <w:rFonts w:ascii="Verdana" w:eastAsia="Arial MT" w:hAnsi="Verdana" w:cs="Arial"/>
          <w:sz w:val="20"/>
          <w:szCs w:val="20"/>
          <w:lang w:val="es-ES"/>
        </w:rPr>
        <w:t>que</w:t>
      </w:r>
      <w:r w:rsidRPr="009B1A62">
        <w:rPr>
          <w:rFonts w:ascii="Verdana" w:eastAsia="Arial MT" w:hAnsi="Verdana" w:cs="Arial"/>
          <w:spacing w:val="-7"/>
          <w:sz w:val="20"/>
          <w:szCs w:val="20"/>
          <w:lang w:val="es-ES"/>
        </w:rPr>
        <w:t xml:space="preserve"> </w:t>
      </w:r>
      <w:r w:rsidRPr="009B1A62">
        <w:rPr>
          <w:rFonts w:ascii="Verdana" w:eastAsia="Arial MT" w:hAnsi="Verdana" w:cs="Arial"/>
          <w:sz w:val="20"/>
          <w:szCs w:val="20"/>
          <w:lang w:val="es-ES"/>
        </w:rPr>
        <w:t>pertenezca</w:t>
      </w:r>
      <w:r w:rsidRPr="009B1A62">
        <w:rPr>
          <w:rFonts w:ascii="Verdana" w:eastAsia="Arial MT" w:hAnsi="Verdana" w:cs="Arial"/>
          <w:spacing w:val="-7"/>
          <w:sz w:val="20"/>
          <w:szCs w:val="20"/>
          <w:lang w:val="es-ES"/>
        </w:rPr>
        <w:t xml:space="preserve"> el</w:t>
      </w:r>
      <w:r w:rsidRPr="009B1A62">
        <w:rPr>
          <w:rFonts w:ascii="Verdana" w:eastAsia="Arial MT" w:hAnsi="Verdana" w:cs="Arial"/>
          <w:spacing w:val="-8"/>
          <w:sz w:val="20"/>
          <w:szCs w:val="20"/>
          <w:lang w:val="es-ES"/>
        </w:rPr>
        <w:t xml:space="preserve"> </w:t>
      </w:r>
      <w:r w:rsidRPr="009B1A62">
        <w:rPr>
          <w:rFonts w:ascii="Verdana" w:eastAsia="Arial MT" w:hAnsi="Verdana" w:cs="Arial"/>
          <w:sz w:val="20"/>
          <w:szCs w:val="20"/>
          <w:lang w:val="es-ES"/>
        </w:rPr>
        <w:t>servidor</w:t>
      </w:r>
      <w:r w:rsidRPr="009B1A62">
        <w:rPr>
          <w:rFonts w:ascii="Verdana" w:eastAsia="Arial MT" w:hAnsi="Verdana" w:cs="Arial"/>
          <w:spacing w:val="-7"/>
          <w:sz w:val="20"/>
          <w:szCs w:val="20"/>
          <w:lang w:val="es-ES"/>
        </w:rPr>
        <w:t xml:space="preserve"> </w:t>
      </w:r>
      <w:r w:rsidRPr="009B1A62">
        <w:rPr>
          <w:rFonts w:ascii="Verdana" w:eastAsia="Arial MT" w:hAnsi="Verdana" w:cs="Arial"/>
          <w:sz w:val="20"/>
          <w:szCs w:val="20"/>
          <w:lang w:val="es-ES"/>
        </w:rPr>
        <w:t>público</w:t>
      </w:r>
      <w:r w:rsidRPr="009B1A62">
        <w:rPr>
          <w:rFonts w:ascii="Verdana" w:eastAsia="Arial MT" w:hAnsi="Verdana" w:cs="Arial"/>
          <w:spacing w:val="-8"/>
          <w:sz w:val="20"/>
          <w:szCs w:val="20"/>
          <w:lang w:val="es-ES"/>
        </w:rPr>
        <w:t xml:space="preserve"> </w:t>
      </w:r>
      <w:r w:rsidRPr="009B1A62">
        <w:rPr>
          <w:rFonts w:ascii="Verdana" w:eastAsia="Arial MT" w:hAnsi="Verdana" w:cs="Arial"/>
          <w:sz w:val="20"/>
          <w:szCs w:val="20"/>
          <w:lang w:val="es-ES"/>
        </w:rPr>
        <w:t>que:</w:t>
      </w:r>
      <w:r w:rsidRPr="009B1A62">
        <w:rPr>
          <w:rFonts w:ascii="Verdana" w:eastAsia="Arial MT" w:hAnsi="Verdana" w:cs="Arial"/>
          <w:spacing w:val="-8"/>
          <w:sz w:val="20"/>
          <w:szCs w:val="20"/>
          <w:lang w:val="es-ES"/>
        </w:rPr>
        <w:t xml:space="preserve"> </w:t>
      </w:r>
      <w:r w:rsidRPr="009B1A62">
        <w:rPr>
          <w:rFonts w:ascii="Verdana" w:eastAsia="Arial MT" w:hAnsi="Verdana" w:cs="Arial"/>
          <w:sz w:val="20"/>
          <w:szCs w:val="20"/>
          <w:lang w:val="es-ES"/>
        </w:rPr>
        <w:t>i) corresponda</w:t>
      </w:r>
      <w:r w:rsidRPr="009B1A62">
        <w:rPr>
          <w:rFonts w:ascii="Verdana" w:eastAsia="Arial MT" w:hAnsi="Verdana" w:cs="Arial"/>
          <w:spacing w:val="-7"/>
          <w:sz w:val="20"/>
          <w:szCs w:val="20"/>
          <w:lang w:val="es-ES"/>
        </w:rPr>
        <w:t xml:space="preserve"> </w:t>
      </w:r>
      <w:r w:rsidRPr="009B1A62">
        <w:rPr>
          <w:rFonts w:ascii="Verdana" w:eastAsia="Arial MT" w:hAnsi="Verdana" w:cs="Arial"/>
          <w:sz w:val="20"/>
          <w:szCs w:val="20"/>
          <w:lang w:val="es-ES"/>
        </w:rPr>
        <w:t>al</w:t>
      </w:r>
      <w:r w:rsidRPr="009B1A62">
        <w:rPr>
          <w:rFonts w:ascii="Verdana" w:eastAsia="Arial MT" w:hAnsi="Verdana" w:cs="Arial"/>
          <w:spacing w:val="-8"/>
          <w:sz w:val="20"/>
          <w:szCs w:val="20"/>
          <w:lang w:val="es-ES"/>
        </w:rPr>
        <w:t xml:space="preserve"> </w:t>
      </w:r>
      <w:r w:rsidRPr="009B1A62">
        <w:rPr>
          <w:rFonts w:ascii="Verdana" w:eastAsia="Arial MT" w:hAnsi="Verdana" w:cs="Arial"/>
          <w:sz w:val="20"/>
          <w:szCs w:val="20"/>
          <w:lang w:val="es-ES"/>
        </w:rPr>
        <w:t>nivel</w:t>
      </w:r>
      <w:r w:rsidRPr="009B1A62">
        <w:rPr>
          <w:rFonts w:ascii="Verdana" w:eastAsia="Arial MT" w:hAnsi="Verdana" w:cs="Arial"/>
          <w:spacing w:val="-7"/>
          <w:sz w:val="20"/>
          <w:szCs w:val="20"/>
          <w:lang w:val="es-ES"/>
        </w:rPr>
        <w:t xml:space="preserve"> </w:t>
      </w:r>
      <w:r w:rsidRPr="009B1A62">
        <w:rPr>
          <w:rFonts w:ascii="Verdana" w:eastAsia="Arial MT" w:hAnsi="Verdana" w:cs="Arial"/>
          <w:sz w:val="20"/>
          <w:szCs w:val="20"/>
          <w:lang w:val="es-ES"/>
        </w:rPr>
        <w:t>directivo,</w:t>
      </w:r>
      <w:r w:rsidRPr="009B1A62">
        <w:rPr>
          <w:rFonts w:ascii="Verdana" w:eastAsia="Arial MT" w:hAnsi="Verdana" w:cs="Arial"/>
          <w:spacing w:val="1"/>
          <w:sz w:val="20"/>
          <w:szCs w:val="20"/>
          <w:lang w:val="es-ES"/>
        </w:rPr>
        <w:t xml:space="preserve"> </w:t>
      </w:r>
      <w:r w:rsidRPr="009B1A62">
        <w:rPr>
          <w:rFonts w:ascii="Verdana" w:eastAsia="Arial MT" w:hAnsi="Verdana" w:cs="Arial"/>
          <w:sz w:val="20"/>
          <w:szCs w:val="20"/>
          <w:lang w:val="es-ES"/>
        </w:rPr>
        <w:t>asesor,</w:t>
      </w:r>
      <w:r w:rsidRPr="009B1A62">
        <w:rPr>
          <w:rFonts w:ascii="Verdana" w:eastAsia="Arial MT" w:hAnsi="Verdana" w:cs="Arial"/>
          <w:spacing w:val="-9"/>
          <w:sz w:val="20"/>
          <w:szCs w:val="20"/>
          <w:lang w:val="es-ES"/>
        </w:rPr>
        <w:t xml:space="preserve"> </w:t>
      </w:r>
      <w:r w:rsidRPr="009B1A62">
        <w:rPr>
          <w:rFonts w:ascii="Verdana" w:eastAsia="Arial MT" w:hAnsi="Verdana" w:cs="Arial"/>
          <w:sz w:val="20"/>
          <w:szCs w:val="20"/>
          <w:lang w:val="es-ES"/>
        </w:rPr>
        <w:t>ejecutivo</w:t>
      </w:r>
      <w:r w:rsidRPr="009B1A62">
        <w:rPr>
          <w:rFonts w:ascii="Verdana" w:eastAsia="Arial MT" w:hAnsi="Verdana" w:cs="Arial"/>
          <w:spacing w:val="-8"/>
          <w:sz w:val="20"/>
          <w:szCs w:val="20"/>
          <w:lang w:val="es-ES"/>
        </w:rPr>
        <w:t xml:space="preserve"> </w:t>
      </w:r>
      <w:r w:rsidRPr="009B1A62">
        <w:rPr>
          <w:rFonts w:ascii="Verdana" w:eastAsia="Arial MT" w:hAnsi="Verdana" w:cs="Arial"/>
          <w:sz w:val="20"/>
          <w:szCs w:val="20"/>
          <w:lang w:val="es-ES"/>
        </w:rPr>
        <w:t>o</w:t>
      </w:r>
      <w:r w:rsidRPr="009B1A62">
        <w:rPr>
          <w:rFonts w:ascii="Verdana" w:eastAsia="Arial MT" w:hAnsi="Verdana" w:cs="Arial"/>
          <w:spacing w:val="-10"/>
          <w:sz w:val="20"/>
          <w:szCs w:val="20"/>
          <w:lang w:val="es-ES"/>
        </w:rPr>
        <w:t xml:space="preserve"> </w:t>
      </w:r>
      <w:r w:rsidRPr="009B1A62">
        <w:rPr>
          <w:rFonts w:ascii="Verdana" w:eastAsia="Arial MT" w:hAnsi="Verdana" w:cs="Arial"/>
          <w:sz w:val="20"/>
          <w:szCs w:val="20"/>
          <w:lang w:val="es-ES"/>
        </w:rPr>
        <w:t>miembro</w:t>
      </w:r>
      <w:r w:rsidRPr="009B1A62">
        <w:rPr>
          <w:rFonts w:ascii="Verdana" w:eastAsia="Arial MT" w:hAnsi="Verdana" w:cs="Arial"/>
          <w:spacing w:val="-9"/>
          <w:sz w:val="20"/>
          <w:szCs w:val="20"/>
          <w:lang w:val="es-ES"/>
        </w:rPr>
        <w:t xml:space="preserve"> </w:t>
      </w:r>
      <w:r w:rsidRPr="009B1A62">
        <w:rPr>
          <w:rFonts w:ascii="Verdana" w:eastAsia="Arial MT" w:hAnsi="Verdana" w:cs="Arial"/>
          <w:sz w:val="20"/>
          <w:szCs w:val="20"/>
          <w:lang w:val="es-ES"/>
        </w:rPr>
        <w:t>de</w:t>
      </w:r>
      <w:r w:rsidRPr="009B1A62">
        <w:rPr>
          <w:rFonts w:ascii="Verdana" w:eastAsia="Arial MT" w:hAnsi="Verdana" w:cs="Arial"/>
          <w:spacing w:val="-10"/>
          <w:sz w:val="20"/>
          <w:szCs w:val="20"/>
          <w:lang w:val="es-ES"/>
        </w:rPr>
        <w:t xml:space="preserve"> </w:t>
      </w:r>
      <w:r w:rsidRPr="009B1A62">
        <w:rPr>
          <w:rFonts w:ascii="Verdana" w:eastAsia="Arial MT" w:hAnsi="Verdana" w:cs="Arial"/>
          <w:sz w:val="20"/>
          <w:szCs w:val="20"/>
          <w:lang w:val="es-ES"/>
        </w:rPr>
        <w:t>la</w:t>
      </w:r>
      <w:r w:rsidRPr="009B1A62">
        <w:rPr>
          <w:rFonts w:ascii="Verdana" w:eastAsia="Arial MT" w:hAnsi="Verdana" w:cs="Arial"/>
          <w:spacing w:val="-9"/>
          <w:sz w:val="20"/>
          <w:szCs w:val="20"/>
          <w:lang w:val="es-ES"/>
        </w:rPr>
        <w:t xml:space="preserve"> </w:t>
      </w:r>
      <w:r w:rsidRPr="009B1A62">
        <w:rPr>
          <w:rFonts w:ascii="Verdana" w:eastAsia="Arial MT" w:hAnsi="Verdana" w:cs="Arial"/>
          <w:sz w:val="20"/>
          <w:szCs w:val="20"/>
          <w:lang w:val="es-ES"/>
        </w:rPr>
        <w:t>junta</w:t>
      </w:r>
      <w:r w:rsidRPr="009B1A62">
        <w:rPr>
          <w:rFonts w:ascii="Verdana" w:eastAsia="Arial MT" w:hAnsi="Verdana" w:cs="Arial"/>
          <w:spacing w:val="-10"/>
          <w:sz w:val="20"/>
          <w:szCs w:val="20"/>
          <w:lang w:val="es-ES"/>
        </w:rPr>
        <w:t xml:space="preserve"> </w:t>
      </w:r>
      <w:r w:rsidRPr="009B1A62">
        <w:rPr>
          <w:rFonts w:ascii="Verdana" w:eastAsia="Arial MT" w:hAnsi="Verdana" w:cs="Arial"/>
          <w:sz w:val="20"/>
          <w:szCs w:val="20"/>
          <w:lang w:val="es-ES"/>
        </w:rPr>
        <w:t>o</w:t>
      </w:r>
      <w:r w:rsidRPr="009B1A62">
        <w:rPr>
          <w:rFonts w:ascii="Verdana" w:eastAsia="Arial MT" w:hAnsi="Verdana" w:cs="Arial"/>
          <w:spacing w:val="-9"/>
          <w:sz w:val="20"/>
          <w:szCs w:val="20"/>
          <w:lang w:val="es-ES"/>
        </w:rPr>
        <w:t xml:space="preserve"> </w:t>
      </w:r>
      <w:r w:rsidRPr="009B1A62">
        <w:rPr>
          <w:rFonts w:ascii="Verdana" w:eastAsia="Arial MT" w:hAnsi="Verdana" w:cs="Arial"/>
          <w:sz w:val="20"/>
          <w:szCs w:val="20"/>
          <w:lang w:val="es-ES"/>
        </w:rPr>
        <w:t>consejo</w:t>
      </w:r>
      <w:r w:rsidRPr="009B1A62">
        <w:rPr>
          <w:rFonts w:ascii="Verdana" w:eastAsia="Arial MT" w:hAnsi="Verdana" w:cs="Arial"/>
          <w:spacing w:val="-10"/>
          <w:sz w:val="20"/>
          <w:szCs w:val="20"/>
          <w:lang w:val="es-ES"/>
        </w:rPr>
        <w:t xml:space="preserve"> </w:t>
      </w:r>
      <w:r w:rsidRPr="009B1A62">
        <w:rPr>
          <w:rFonts w:ascii="Verdana" w:eastAsia="Arial MT" w:hAnsi="Verdana" w:cs="Arial"/>
          <w:sz w:val="20"/>
          <w:szCs w:val="20"/>
          <w:lang w:val="es-ES"/>
        </w:rPr>
        <w:t>directivo</w:t>
      </w:r>
      <w:r w:rsidRPr="009B1A62">
        <w:rPr>
          <w:rFonts w:ascii="Verdana" w:eastAsia="Arial MT" w:hAnsi="Verdana" w:cs="Arial"/>
          <w:spacing w:val="-8"/>
          <w:sz w:val="20"/>
          <w:szCs w:val="20"/>
          <w:lang w:val="es-ES"/>
        </w:rPr>
        <w:t xml:space="preserve"> </w:t>
      </w:r>
      <w:r w:rsidRPr="009B1A62">
        <w:rPr>
          <w:rFonts w:ascii="Verdana" w:eastAsia="Arial MT" w:hAnsi="Verdana" w:cs="Arial"/>
          <w:sz w:val="20"/>
          <w:szCs w:val="20"/>
          <w:lang w:val="es-ES"/>
        </w:rPr>
        <w:t>de</w:t>
      </w:r>
      <w:r w:rsidRPr="009B1A62">
        <w:rPr>
          <w:rFonts w:ascii="Verdana" w:eastAsia="Arial MT" w:hAnsi="Verdana" w:cs="Arial"/>
          <w:spacing w:val="-9"/>
          <w:sz w:val="20"/>
          <w:szCs w:val="20"/>
          <w:lang w:val="es-ES"/>
        </w:rPr>
        <w:t xml:space="preserve"> </w:t>
      </w:r>
      <w:r w:rsidRPr="009B1A62">
        <w:rPr>
          <w:rFonts w:ascii="Verdana" w:eastAsia="Arial MT" w:hAnsi="Verdana" w:cs="Arial"/>
          <w:sz w:val="20"/>
          <w:szCs w:val="20"/>
          <w:lang w:val="es-ES"/>
        </w:rPr>
        <w:t>la</w:t>
      </w:r>
      <w:r w:rsidRPr="009B1A62">
        <w:rPr>
          <w:rFonts w:ascii="Verdana" w:eastAsia="Arial MT" w:hAnsi="Verdana" w:cs="Arial"/>
          <w:spacing w:val="-10"/>
          <w:sz w:val="20"/>
          <w:szCs w:val="20"/>
          <w:lang w:val="es-ES"/>
        </w:rPr>
        <w:t xml:space="preserve"> </w:t>
      </w:r>
      <w:r w:rsidRPr="009B1A62">
        <w:rPr>
          <w:rFonts w:ascii="Verdana" w:eastAsia="Arial MT" w:hAnsi="Verdana" w:cs="Arial"/>
          <w:sz w:val="20"/>
          <w:szCs w:val="20"/>
          <w:lang w:val="es-ES"/>
        </w:rPr>
        <w:t>entidad</w:t>
      </w:r>
      <w:r w:rsidRPr="009B1A62">
        <w:rPr>
          <w:rFonts w:ascii="Verdana" w:eastAsia="Arial MT" w:hAnsi="Verdana" w:cs="Arial"/>
          <w:spacing w:val="-8"/>
          <w:sz w:val="20"/>
          <w:szCs w:val="20"/>
          <w:lang w:val="es-ES"/>
        </w:rPr>
        <w:t xml:space="preserve"> </w:t>
      </w:r>
      <w:r w:rsidRPr="009B1A62">
        <w:rPr>
          <w:rFonts w:ascii="Verdana" w:eastAsia="Arial MT" w:hAnsi="Verdana" w:cs="Arial"/>
          <w:sz w:val="20"/>
          <w:szCs w:val="20"/>
          <w:lang w:val="es-ES"/>
        </w:rPr>
        <w:t>contratante</w:t>
      </w:r>
      <w:r w:rsidRPr="009B1A62">
        <w:rPr>
          <w:rFonts w:ascii="Verdana" w:eastAsia="Arial MT" w:hAnsi="Verdana" w:cs="Arial"/>
          <w:spacing w:val="-10"/>
          <w:sz w:val="20"/>
          <w:szCs w:val="20"/>
          <w:lang w:val="es-ES"/>
        </w:rPr>
        <w:t xml:space="preserve"> </w:t>
      </w:r>
      <w:r w:rsidRPr="009B1A62">
        <w:rPr>
          <w:rFonts w:ascii="Verdana" w:eastAsia="Arial MT" w:hAnsi="Verdana" w:cs="Arial"/>
          <w:sz w:val="20"/>
          <w:szCs w:val="20"/>
          <w:lang w:val="es-ES"/>
        </w:rPr>
        <w:t>y</w:t>
      </w:r>
      <w:r w:rsidRPr="009B1A62">
        <w:rPr>
          <w:rFonts w:ascii="Verdana" w:eastAsia="Arial MT" w:hAnsi="Verdana" w:cs="Arial"/>
          <w:spacing w:val="-9"/>
          <w:sz w:val="20"/>
          <w:szCs w:val="20"/>
          <w:lang w:val="es-ES"/>
        </w:rPr>
        <w:t xml:space="preserve"> </w:t>
      </w:r>
      <w:proofErr w:type="spellStart"/>
      <w:r w:rsidRPr="009B1A62">
        <w:rPr>
          <w:rFonts w:ascii="Verdana" w:eastAsia="Arial MT" w:hAnsi="Verdana" w:cs="Arial"/>
          <w:sz w:val="20"/>
          <w:szCs w:val="20"/>
          <w:lang w:val="es-ES"/>
        </w:rPr>
        <w:t>ii</w:t>
      </w:r>
      <w:proofErr w:type="spellEnd"/>
      <w:r w:rsidRPr="009B1A62">
        <w:rPr>
          <w:rFonts w:ascii="Verdana" w:eastAsia="Arial MT" w:hAnsi="Verdana" w:cs="Arial"/>
          <w:sz w:val="20"/>
          <w:szCs w:val="20"/>
          <w:lang w:val="es-ES"/>
        </w:rPr>
        <w:t>)</w:t>
      </w:r>
      <w:r w:rsidRPr="009B1A62">
        <w:rPr>
          <w:rFonts w:ascii="Verdana" w:eastAsia="Arial MT" w:hAnsi="Verdana" w:cs="Arial"/>
          <w:spacing w:val="-59"/>
          <w:sz w:val="20"/>
          <w:szCs w:val="20"/>
          <w:lang w:val="es-ES"/>
        </w:rPr>
        <w:t xml:space="preserve"> </w:t>
      </w:r>
      <w:r w:rsidRPr="009B1A62">
        <w:rPr>
          <w:rFonts w:ascii="Verdana" w:eastAsia="Arial MT" w:hAnsi="Verdana" w:cs="Arial"/>
          <w:sz w:val="20"/>
          <w:szCs w:val="20"/>
          <w:lang w:val="es-ES"/>
        </w:rPr>
        <w:t>que</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tenga</w:t>
      </w:r>
      <w:r w:rsidRPr="009B1A62">
        <w:rPr>
          <w:rFonts w:ascii="Verdana" w:eastAsia="Arial MT" w:hAnsi="Verdana" w:cs="Arial"/>
          <w:spacing w:val="-4"/>
          <w:sz w:val="20"/>
          <w:szCs w:val="20"/>
          <w:lang w:val="es-ES"/>
        </w:rPr>
        <w:t xml:space="preserve"> </w:t>
      </w:r>
      <w:r w:rsidRPr="009B1A62">
        <w:rPr>
          <w:rFonts w:ascii="Verdana" w:eastAsia="Arial MT" w:hAnsi="Verdana" w:cs="Arial"/>
          <w:sz w:val="20"/>
          <w:szCs w:val="20"/>
          <w:lang w:val="es-ES"/>
        </w:rPr>
        <w:t>participación</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en</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esas</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personas jurídicas</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o</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ejerza</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un</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cargo</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de</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dirección o</w:t>
      </w:r>
      <w:r w:rsidRPr="009B1A62">
        <w:rPr>
          <w:rFonts w:ascii="Verdana" w:eastAsia="Arial MT" w:hAnsi="Verdana" w:cs="Arial"/>
          <w:spacing w:val="-1"/>
          <w:sz w:val="20"/>
          <w:szCs w:val="20"/>
          <w:lang w:val="es-ES"/>
        </w:rPr>
        <w:t xml:space="preserve"> </w:t>
      </w:r>
      <w:r w:rsidRPr="009B1A62">
        <w:rPr>
          <w:rFonts w:ascii="Verdana" w:eastAsia="Arial MT" w:hAnsi="Verdana" w:cs="Arial"/>
          <w:sz w:val="20"/>
          <w:szCs w:val="20"/>
          <w:lang w:val="es-ES"/>
        </w:rPr>
        <w:t>manejo.</w:t>
      </w:r>
    </w:p>
    <w:p w14:paraId="136E7264" w14:textId="77777777" w:rsidR="003832C2" w:rsidRPr="009B1A62" w:rsidRDefault="003832C2" w:rsidP="003832C2">
      <w:pPr>
        <w:spacing w:after="0" w:line="240" w:lineRule="auto"/>
        <w:rPr>
          <w:rStyle w:val="Textoennegrita"/>
          <w:rFonts w:ascii="Verdana" w:hAnsi="Verdana" w:cs="Segoe UI"/>
          <w:shd w:val="clear" w:color="auto" w:fill="FFFFFF"/>
        </w:rPr>
      </w:pPr>
    </w:p>
    <w:p w14:paraId="0F27165C" w14:textId="77777777" w:rsidR="003832C2" w:rsidRDefault="003832C2" w:rsidP="003832C2">
      <w:pPr>
        <w:spacing w:after="0" w:line="240" w:lineRule="auto"/>
        <w:rPr>
          <w:rStyle w:val="Textoennegrita"/>
          <w:rFonts w:ascii="Verdana" w:hAnsi="Verdana" w:cs="Segoe UI"/>
          <w:shd w:val="clear" w:color="auto" w:fill="FFFFFF"/>
        </w:rPr>
      </w:pPr>
      <w:r w:rsidRPr="009B1A62">
        <w:rPr>
          <w:rStyle w:val="Textoennegrita"/>
          <w:rFonts w:ascii="Verdana" w:hAnsi="Verdana" w:cs="Segoe UI"/>
          <w:shd w:val="clear" w:color="auto" w:fill="FFFFFF"/>
        </w:rPr>
        <w:t>INHABILIDADES E INCOMPATIBILIDADES – Artículo 8 de la Ley 80 de 1993, numeral 2, literal E) – Miembros de las Juntas y Consejos Directivos – Sector Administrativo</w:t>
      </w:r>
    </w:p>
    <w:p w14:paraId="69918B74" w14:textId="77777777" w:rsidR="003832C2" w:rsidRDefault="003832C2" w:rsidP="003832C2">
      <w:pPr>
        <w:spacing w:after="0" w:line="240" w:lineRule="auto"/>
        <w:rPr>
          <w:rStyle w:val="Textoennegrita"/>
          <w:rFonts w:ascii="Verdana" w:hAnsi="Verdana" w:cs="Segoe UI"/>
          <w:shd w:val="clear" w:color="auto" w:fill="FFFFFF"/>
        </w:rPr>
      </w:pPr>
    </w:p>
    <w:p w14:paraId="0F9FDEA6" w14:textId="77777777" w:rsidR="003832C2" w:rsidRPr="009B1A62" w:rsidRDefault="003832C2" w:rsidP="003832C2">
      <w:pPr>
        <w:spacing w:line="276" w:lineRule="auto"/>
        <w:jc w:val="both"/>
        <w:rPr>
          <w:rFonts w:ascii="Verdana" w:hAnsi="Verdana"/>
          <w:w w:val="105"/>
          <w:sz w:val="20"/>
          <w:szCs w:val="20"/>
        </w:rPr>
      </w:pPr>
      <w:r w:rsidRPr="009B1A62">
        <w:rPr>
          <w:rFonts w:ascii="Verdana" w:eastAsia="Arial MT" w:hAnsi="Verdana" w:cs="Arial"/>
          <w:sz w:val="20"/>
          <w:szCs w:val="20"/>
          <w:lang w:val="es-ES"/>
        </w:rPr>
        <w:t xml:space="preserve">Seguidamente, el literal e) del numeral 2 ibidem, menciona que serán incompatibles </w:t>
      </w:r>
      <w:r w:rsidRPr="009B1A62">
        <w:rPr>
          <w:rFonts w:ascii="Verdana" w:hAnsi="Verdana"/>
          <w:w w:val="105"/>
          <w:sz w:val="20"/>
          <w:szCs w:val="20"/>
        </w:rPr>
        <w:t>los</w:t>
      </w:r>
      <w:r w:rsidRPr="009B1A62">
        <w:rPr>
          <w:rFonts w:ascii="Verdana" w:hAnsi="Verdana"/>
          <w:spacing w:val="-6"/>
          <w:w w:val="105"/>
          <w:sz w:val="20"/>
          <w:szCs w:val="20"/>
        </w:rPr>
        <w:t xml:space="preserve"> </w:t>
      </w:r>
      <w:r w:rsidRPr="009B1A62">
        <w:rPr>
          <w:rFonts w:ascii="Verdana" w:hAnsi="Verdana"/>
          <w:w w:val="105"/>
          <w:sz w:val="20"/>
          <w:szCs w:val="20"/>
        </w:rPr>
        <w:t>miembros</w:t>
      </w:r>
      <w:r w:rsidRPr="009B1A62">
        <w:rPr>
          <w:rFonts w:ascii="Verdana" w:hAnsi="Verdana"/>
          <w:spacing w:val="-6"/>
          <w:w w:val="105"/>
          <w:sz w:val="20"/>
          <w:szCs w:val="20"/>
        </w:rPr>
        <w:t xml:space="preserve"> </w:t>
      </w:r>
      <w:r w:rsidRPr="009B1A62">
        <w:rPr>
          <w:rFonts w:ascii="Verdana" w:hAnsi="Verdana"/>
          <w:w w:val="105"/>
          <w:sz w:val="20"/>
          <w:szCs w:val="20"/>
        </w:rPr>
        <w:t>de</w:t>
      </w:r>
      <w:r w:rsidRPr="009B1A62">
        <w:rPr>
          <w:rFonts w:ascii="Verdana" w:hAnsi="Verdana"/>
          <w:spacing w:val="-6"/>
          <w:w w:val="105"/>
          <w:sz w:val="20"/>
          <w:szCs w:val="20"/>
        </w:rPr>
        <w:t xml:space="preserve"> </w:t>
      </w:r>
      <w:r w:rsidRPr="009B1A62">
        <w:rPr>
          <w:rFonts w:ascii="Verdana" w:hAnsi="Verdana"/>
          <w:w w:val="105"/>
          <w:sz w:val="20"/>
          <w:szCs w:val="20"/>
        </w:rPr>
        <w:t>las</w:t>
      </w:r>
      <w:r w:rsidRPr="009B1A62">
        <w:rPr>
          <w:rFonts w:ascii="Verdana" w:hAnsi="Verdana"/>
          <w:spacing w:val="-6"/>
          <w:w w:val="105"/>
          <w:sz w:val="20"/>
          <w:szCs w:val="20"/>
        </w:rPr>
        <w:t xml:space="preserve"> </w:t>
      </w:r>
      <w:r w:rsidRPr="009B1A62">
        <w:rPr>
          <w:rFonts w:ascii="Verdana" w:hAnsi="Verdana"/>
          <w:w w:val="105"/>
          <w:sz w:val="20"/>
          <w:szCs w:val="20"/>
        </w:rPr>
        <w:t>juntas</w:t>
      </w:r>
      <w:r w:rsidRPr="009B1A62">
        <w:rPr>
          <w:rFonts w:ascii="Verdana" w:hAnsi="Verdana"/>
          <w:spacing w:val="-6"/>
          <w:w w:val="105"/>
          <w:sz w:val="20"/>
          <w:szCs w:val="20"/>
        </w:rPr>
        <w:t xml:space="preserve"> </w:t>
      </w:r>
      <w:r w:rsidRPr="009B1A62">
        <w:rPr>
          <w:rFonts w:ascii="Verdana" w:hAnsi="Verdana"/>
          <w:w w:val="105"/>
          <w:sz w:val="20"/>
          <w:szCs w:val="20"/>
        </w:rPr>
        <w:t>o</w:t>
      </w:r>
      <w:r w:rsidRPr="009B1A62">
        <w:rPr>
          <w:rFonts w:ascii="Verdana" w:hAnsi="Verdana"/>
          <w:spacing w:val="-5"/>
          <w:w w:val="105"/>
          <w:sz w:val="20"/>
          <w:szCs w:val="20"/>
        </w:rPr>
        <w:t xml:space="preserve"> </w:t>
      </w:r>
      <w:r w:rsidRPr="009B1A62">
        <w:rPr>
          <w:rFonts w:ascii="Verdana" w:hAnsi="Verdana"/>
          <w:w w:val="105"/>
          <w:sz w:val="20"/>
          <w:szCs w:val="20"/>
        </w:rPr>
        <w:t>consejos</w:t>
      </w:r>
      <w:r w:rsidRPr="009B1A62">
        <w:rPr>
          <w:rFonts w:ascii="Verdana" w:hAnsi="Verdana"/>
          <w:spacing w:val="-6"/>
          <w:w w:val="105"/>
          <w:sz w:val="20"/>
          <w:szCs w:val="20"/>
        </w:rPr>
        <w:t xml:space="preserve"> </w:t>
      </w:r>
      <w:r w:rsidRPr="009B1A62">
        <w:rPr>
          <w:rFonts w:ascii="Verdana" w:hAnsi="Verdana"/>
          <w:w w:val="105"/>
          <w:sz w:val="20"/>
          <w:szCs w:val="20"/>
        </w:rPr>
        <w:t>directivos.</w:t>
      </w:r>
      <w:r w:rsidRPr="009B1A62">
        <w:rPr>
          <w:rFonts w:ascii="Verdana" w:hAnsi="Verdana"/>
          <w:spacing w:val="-6"/>
          <w:w w:val="105"/>
          <w:sz w:val="20"/>
          <w:szCs w:val="20"/>
        </w:rPr>
        <w:t xml:space="preserve"> </w:t>
      </w:r>
      <w:r w:rsidRPr="009B1A62">
        <w:rPr>
          <w:rFonts w:ascii="Verdana" w:hAnsi="Verdana"/>
          <w:w w:val="105"/>
          <w:sz w:val="20"/>
          <w:szCs w:val="20"/>
        </w:rPr>
        <w:t>Esta</w:t>
      </w:r>
      <w:r w:rsidRPr="009B1A62">
        <w:rPr>
          <w:rFonts w:ascii="Verdana" w:hAnsi="Verdana"/>
          <w:spacing w:val="-6"/>
          <w:w w:val="105"/>
          <w:sz w:val="20"/>
          <w:szCs w:val="20"/>
        </w:rPr>
        <w:t xml:space="preserve"> </w:t>
      </w:r>
      <w:r w:rsidRPr="009B1A62">
        <w:rPr>
          <w:rFonts w:ascii="Verdana" w:hAnsi="Verdana"/>
          <w:w w:val="105"/>
          <w:sz w:val="20"/>
          <w:szCs w:val="20"/>
        </w:rPr>
        <w:t>incompatibilidad</w:t>
      </w:r>
      <w:r w:rsidRPr="009B1A62">
        <w:rPr>
          <w:rFonts w:ascii="Verdana" w:hAnsi="Verdana"/>
          <w:spacing w:val="-6"/>
          <w:w w:val="105"/>
          <w:sz w:val="20"/>
          <w:szCs w:val="20"/>
        </w:rPr>
        <w:t xml:space="preserve"> </w:t>
      </w:r>
      <w:r w:rsidRPr="009B1A62">
        <w:rPr>
          <w:rFonts w:ascii="Verdana" w:hAnsi="Verdana"/>
          <w:w w:val="105"/>
          <w:sz w:val="20"/>
          <w:szCs w:val="20"/>
        </w:rPr>
        <w:t>sólo</w:t>
      </w:r>
      <w:r w:rsidRPr="009B1A62">
        <w:rPr>
          <w:rFonts w:ascii="Verdana" w:hAnsi="Verdana"/>
          <w:spacing w:val="-6"/>
          <w:w w:val="105"/>
          <w:sz w:val="20"/>
          <w:szCs w:val="20"/>
        </w:rPr>
        <w:t xml:space="preserve"> </w:t>
      </w:r>
      <w:r w:rsidRPr="009B1A62">
        <w:rPr>
          <w:rFonts w:ascii="Verdana" w:hAnsi="Verdana"/>
          <w:w w:val="105"/>
          <w:sz w:val="20"/>
          <w:szCs w:val="20"/>
        </w:rPr>
        <w:t>se</w:t>
      </w:r>
      <w:r w:rsidRPr="009B1A62">
        <w:rPr>
          <w:rFonts w:ascii="Verdana" w:hAnsi="Verdana"/>
          <w:spacing w:val="-5"/>
          <w:w w:val="105"/>
          <w:sz w:val="20"/>
          <w:szCs w:val="20"/>
        </w:rPr>
        <w:t xml:space="preserve"> </w:t>
      </w:r>
      <w:r w:rsidRPr="009B1A62">
        <w:rPr>
          <w:rFonts w:ascii="Verdana" w:hAnsi="Verdana"/>
          <w:w w:val="105"/>
          <w:sz w:val="20"/>
          <w:szCs w:val="20"/>
        </w:rPr>
        <w:t>predica</w:t>
      </w:r>
      <w:r w:rsidRPr="009B1A62">
        <w:rPr>
          <w:rFonts w:ascii="Verdana" w:hAnsi="Verdana"/>
          <w:spacing w:val="-6"/>
          <w:w w:val="105"/>
          <w:sz w:val="20"/>
          <w:szCs w:val="20"/>
        </w:rPr>
        <w:t xml:space="preserve"> </w:t>
      </w:r>
      <w:r w:rsidRPr="009B1A62">
        <w:rPr>
          <w:rFonts w:ascii="Verdana" w:hAnsi="Verdana"/>
          <w:w w:val="105"/>
          <w:sz w:val="20"/>
          <w:szCs w:val="20"/>
        </w:rPr>
        <w:t>respecto</w:t>
      </w:r>
      <w:r w:rsidRPr="009B1A62">
        <w:rPr>
          <w:rFonts w:ascii="Verdana" w:hAnsi="Verdana"/>
          <w:spacing w:val="-6"/>
          <w:w w:val="105"/>
          <w:sz w:val="20"/>
          <w:szCs w:val="20"/>
        </w:rPr>
        <w:t xml:space="preserve"> </w:t>
      </w:r>
      <w:r w:rsidRPr="009B1A62">
        <w:rPr>
          <w:rFonts w:ascii="Verdana" w:hAnsi="Verdana"/>
          <w:w w:val="105"/>
          <w:sz w:val="20"/>
          <w:szCs w:val="20"/>
        </w:rPr>
        <w:t>de</w:t>
      </w:r>
      <w:r w:rsidRPr="009B1A62">
        <w:rPr>
          <w:rFonts w:ascii="Verdana" w:hAnsi="Verdana"/>
          <w:spacing w:val="-6"/>
          <w:w w:val="105"/>
          <w:sz w:val="20"/>
          <w:szCs w:val="20"/>
        </w:rPr>
        <w:t xml:space="preserve"> </w:t>
      </w:r>
      <w:r w:rsidRPr="009B1A62">
        <w:rPr>
          <w:rFonts w:ascii="Verdana" w:hAnsi="Verdana"/>
          <w:w w:val="105"/>
          <w:sz w:val="20"/>
          <w:szCs w:val="20"/>
        </w:rPr>
        <w:t>la</w:t>
      </w:r>
      <w:r w:rsidRPr="009B1A62">
        <w:rPr>
          <w:rFonts w:ascii="Verdana" w:hAnsi="Verdana"/>
          <w:spacing w:val="-6"/>
          <w:w w:val="105"/>
          <w:sz w:val="20"/>
          <w:szCs w:val="20"/>
        </w:rPr>
        <w:t xml:space="preserve"> </w:t>
      </w:r>
      <w:r w:rsidRPr="009B1A62">
        <w:rPr>
          <w:rFonts w:ascii="Verdana" w:hAnsi="Verdana"/>
          <w:w w:val="105"/>
          <w:sz w:val="20"/>
          <w:szCs w:val="20"/>
        </w:rPr>
        <w:t>entidad a</w:t>
      </w:r>
      <w:r w:rsidRPr="009B1A62">
        <w:rPr>
          <w:rFonts w:ascii="Verdana" w:hAnsi="Verdana"/>
          <w:spacing w:val="-5"/>
          <w:w w:val="105"/>
          <w:sz w:val="20"/>
          <w:szCs w:val="20"/>
        </w:rPr>
        <w:t xml:space="preserve"> </w:t>
      </w:r>
      <w:r w:rsidRPr="009B1A62">
        <w:rPr>
          <w:rFonts w:ascii="Verdana" w:hAnsi="Verdana"/>
          <w:w w:val="105"/>
          <w:sz w:val="20"/>
          <w:szCs w:val="20"/>
        </w:rPr>
        <w:t>la</w:t>
      </w:r>
      <w:r w:rsidRPr="009B1A62">
        <w:rPr>
          <w:rFonts w:ascii="Verdana" w:hAnsi="Verdana"/>
          <w:spacing w:val="-5"/>
          <w:w w:val="105"/>
          <w:sz w:val="20"/>
          <w:szCs w:val="20"/>
        </w:rPr>
        <w:t xml:space="preserve"> </w:t>
      </w:r>
      <w:r w:rsidRPr="009B1A62">
        <w:rPr>
          <w:rFonts w:ascii="Verdana" w:hAnsi="Verdana"/>
          <w:w w:val="105"/>
          <w:sz w:val="20"/>
          <w:szCs w:val="20"/>
        </w:rPr>
        <w:t>cual</w:t>
      </w:r>
      <w:r w:rsidRPr="009B1A62">
        <w:rPr>
          <w:rFonts w:ascii="Verdana" w:hAnsi="Verdana"/>
          <w:spacing w:val="-5"/>
          <w:w w:val="105"/>
          <w:sz w:val="20"/>
          <w:szCs w:val="20"/>
        </w:rPr>
        <w:t xml:space="preserve"> </w:t>
      </w:r>
      <w:r w:rsidRPr="009B1A62">
        <w:rPr>
          <w:rFonts w:ascii="Verdana" w:hAnsi="Verdana"/>
          <w:w w:val="105"/>
          <w:sz w:val="20"/>
          <w:szCs w:val="20"/>
        </w:rPr>
        <w:t>prestan</w:t>
      </w:r>
      <w:r w:rsidRPr="009B1A62">
        <w:rPr>
          <w:rFonts w:ascii="Verdana" w:hAnsi="Verdana"/>
          <w:spacing w:val="-4"/>
          <w:w w:val="105"/>
          <w:sz w:val="20"/>
          <w:szCs w:val="20"/>
        </w:rPr>
        <w:t xml:space="preserve"> </w:t>
      </w:r>
      <w:r w:rsidRPr="009B1A62">
        <w:rPr>
          <w:rFonts w:ascii="Verdana" w:hAnsi="Verdana"/>
          <w:w w:val="105"/>
          <w:sz w:val="20"/>
          <w:szCs w:val="20"/>
        </w:rPr>
        <w:t>sus</w:t>
      </w:r>
      <w:r w:rsidRPr="009B1A62">
        <w:rPr>
          <w:rFonts w:ascii="Verdana" w:hAnsi="Verdana"/>
          <w:spacing w:val="-5"/>
          <w:w w:val="105"/>
          <w:sz w:val="20"/>
          <w:szCs w:val="20"/>
        </w:rPr>
        <w:t xml:space="preserve"> </w:t>
      </w:r>
      <w:r w:rsidRPr="009B1A62">
        <w:rPr>
          <w:rFonts w:ascii="Verdana" w:hAnsi="Verdana"/>
          <w:w w:val="105"/>
          <w:sz w:val="20"/>
          <w:szCs w:val="20"/>
        </w:rPr>
        <w:t>servicios</w:t>
      </w:r>
      <w:r w:rsidRPr="009B1A62">
        <w:rPr>
          <w:rFonts w:ascii="Verdana" w:hAnsi="Verdana"/>
          <w:spacing w:val="-5"/>
          <w:w w:val="105"/>
          <w:sz w:val="20"/>
          <w:szCs w:val="20"/>
        </w:rPr>
        <w:t xml:space="preserve"> </w:t>
      </w:r>
      <w:r w:rsidRPr="009B1A62">
        <w:rPr>
          <w:rFonts w:ascii="Verdana" w:hAnsi="Verdana"/>
          <w:w w:val="105"/>
          <w:sz w:val="20"/>
          <w:szCs w:val="20"/>
        </w:rPr>
        <w:t>y</w:t>
      </w:r>
      <w:r w:rsidRPr="009B1A62">
        <w:rPr>
          <w:rFonts w:ascii="Verdana" w:hAnsi="Verdana"/>
          <w:spacing w:val="-4"/>
          <w:w w:val="105"/>
          <w:sz w:val="20"/>
          <w:szCs w:val="20"/>
        </w:rPr>
        <w:t xml:space="preserve"> </w:t>
      </w:r>
      <w:r w:rsidRPr="009B1A62">
        <w:rPr>
          <w:rFonts w:ascii="Verdana" w:hAnsi="Verdana"/>
          <w:w w:val="105"/>
          <w:sz w:val="20"/>
          <w:szCs w:val="20"/>
        </w:rPr>
        <w:t>de</w:t>
      </w:r>
      <w:r w:rsidRPr="009B1A62">
        <w:rPr>
          <w:rFonts w:ascii="Verdana" w:hAnsi="Verdana"/>
          <w:spacing w:val="-5"/>
          <w:w w:val="105"/>
          <w:sz w:val="20"/>
          <w:szCs w:val="20"/>
        </w:rPr>
        <w:t xml:space="preserve"> </w:t>
      </w:r>
      <w:r w:rsidRPr="009B1A62">
        <w:rPr>
          <w:rFonts w:ascii="Verdana" w:hAnsi="Verdana"/>
          <w:w w:val="105"/>
          <w:sz w:val="20"/>
          <w:szCs w:val="20"/>
        </w:rPr>
        <w:t>las</w:t>
      </w:r>
      <w:r w:rsidRPr="009B1A62">
        <w:rPr>
          <w:rFonts w:ascii="Verdana" w:hAnsi="Verdana"/>
          <w:spacing w:val="-5"/>
          <w:w w:val="105"/>
          <w:sz w:val="20"/>
          <w:szCs w:val="20"/>
        </w:rPr>
        <w:t xml:space="preserve"> </w:t>
      </w:r>
      <w:r w:rsidRPr="009B1A62">
        <w:rPr>
          <w:rFonts w:ascii="Verdana" w:hAnsi="Verdana"/>
          <w:w w:val="105"/>
          <w:sz w:val="20"/>
          <w:szCs w:val="20"/>
        </w:rPr>
        <w:t>del</w:t>
      </w:r>
      <w:r w:rsidRPr="009B1A62">
        <w:rPr>
          <w:rFonts w:ascii="Verdana" w:hAnsi="Verdana"/>
          <w:spacing w:val="-4"/>
          <w:w w:val="105"/>
          <w:sz w:val="20"/>
          <w:szCs w:val="20"/>
        </w:rPr>
        <w:t xml:space="preserve"> </w:t>
      </w:r>
      <w:r w:rsidRPr="009B1A62">
        <w:rPr>
          <w:rFonts w:ascii="Verdana" w:hAnsi="Verdana"/>
          <w:w w:val="105"/>
          <w:sz w:val="20"/>
          <w:szCs w:val="20"/>
        </w:rPr>
        <w:t>sector</w:t>
      </w:r>
      <w:r w:rsidRPr="009B1A62">
        <w:rPr>
          <w:rFonts w:ascii="Verdana" w:hAnsi="Verdana"/>
          <w:spacing w:val="-5"/>
          <w:w w:val="105"/>
          <w:sz w:val="20"/>
          <w:szCs w:val="20"/>
        </w:rPr>
        <w:t xml:space="preserve"> </w:t>
      </w:r>
      <w:r w:rsidRPr="009B1A62">
        <w:rPr>
          <w:rFonts w:ascii="Verdana" w:hAnsi="Verdana"/>
          <w:w w:val="105"/>
          <w:sz w:val="20"/>
          <w:szCs w:val="20"/>
        </w:rPr>
        <w:t>administrativo</w:t>
      </w:r>
      <w:r w:rsidRPr="009B1A62">
        <w:rPr>
          <w:rFonts w:ascii="Verdana" w:hAnsi="Verdana"/>
          <w:spacing w:val="-5"/>
          <w:w w:val="105"/>
          <w:sz w:val="20"/>
          <w:szCs w:val="20"/>
        </w:rPr>
        <w:t xml:space="preserve"> </w:t>
      </w:r>
      <w:r w:rsidRPr="009B1A62">
        <w:rPr>
          <w:rFonts w:ascii="Verdana" w:hAnsi="Verdana"/>
          <w:w w:val="105"/>
          <w:sz w:val="20"/>
          <w:szCs w:val="20"/>
        </w:rPr>
        <w:t>al</w:t>
      </w:r>
      <w:r w:rsidRPr="009B1A62">
        <w:rPr>
          <w:rFonts w:ascii="Verdana" w:hAnsi="Verdana"/>
          <w:spacing w:val="-4"/>
          <w:w w:val="105"/>
          <w:sz w:val="20"/>
          <w:szCs w:val="20"/>
        </w:rPr>
        <w:t xml:space="preserve"> </w:t>
      </w:r>
      <w:r w:rsidRPr="009B1A62">
        <w:rPr>
          <w:rFonts w:ascii="Verdana" w:hAnsi="Verdana"/>
          <w:w w:val="105"/>
          <w:sz w:val="20"/>
          <w:szCs w:val="20"/>
        </w:rPr>
        <w:t>que</w:t>
      </w:r>
      <w:r w:rsidRPr="009B1A62">
        <w:rPr>
          <w:rFonts w:ascii="Verdana" w:hAnsi="Verdana"/>
          <w:spacing w:val="-5"/>
          <w:w w:val="105"/>
          <w:sz w:val="20"/>
          <w:szCs w:val="20"/>
        </w:rPr>
        <w:t xml:space="preserve"> </w:t>
      </w:r>
      <w:r w:rsidRPr="009B1A62">
        <w:rPr>
          <w:rFonts w:ascii="Verdana" w:hAnsi="Verdana"/>
          <w:w w:val="105"/>
          <w:sz w:val="20"/>
          <w:szCs w:val="20"/>
        </w:rPr>
        <w:t>la</w:t>
      </w:r>
      <w:r w:rsidRPr="009B1A62">
        <w:rPr>
          <w:rFonts w:ascii="Verdana" w:hAnsi="Verdana"/>
          <w:spacing w:val="-5"/>
          <w:w w:val="105"/>
          <w:sz w:val="20"/>
          <w:szCs w:val="20"/>
        </w:rPr>
        <w:t xml:space="preserve"> </w:t>
      </w:r>
      <w:r w:rsidRPr="009B1A62">
        <w:rPr>
          <w:rFonts w:ascii="Verdana" w:hAnsi="Verdana"/>
          <w:w w:val="105"/>
          <w:sz w:val="20"/>
          <w:szCs w:val="20"/>
        </w:rPr>
        <w:t>misma</w:t>
      </w:r>
      <w:r w:rsidRPr="009B1A62">
        <w:rPr>
          <w:rFonts w:ascii="Verdana" w:hAnsi="Verdana"/>
          <w:spacing w:val="-5"/>
          <w:w w:val="105"/>
          <w:sz w:val="20"/>
          <w:szCs w:val="20"/>
        </w:rPr>
        <w:t xml:space="preserve"> </w:t>
      </w:r>
      <w:r w:rsidRPr="009B1A62">
        <w:rPr>
          <w:rFonts w:ascii="Verdana" w:hAnsi="Verdana"/>
          <w:w w:val="105"/>
          <w:sz w:val="20"/>
          <w:szCs w:val="20"/>
        </w:rPr>
        <w:t>esté</w:t>
      </w:r>
      <w:r w:rsidRPr="009B1A62">
        <w:rPr>
          <w:rFonts w:ascii="Verdana" w:hAnsi="Verdana"/>
          <w:spacing w:val="-4"/>
          <w:w w:val="105"/>
          <w:sz w:val="20"/>
          <w:szCs w:val="20"/>
        </w:rPr>
        <w:t xml:space="preserve"> </w:t>
      </w:r>
      <w:r w:rsidRPr="009B1A62">
        <w:rPr>
          <w:rFonts w:ascii="Verdana" w:hAnsi="Verdana"/>
          <w:w w:val="105"/>
          <w:sz w:val="20"/>
          <w:szCs w:val="20"/>
        </w:rPr>
        <w:t>adscrita</w:t>
      </w:r>
      <w:r w:rsidRPr="009B1A62">
        <w:rPr>
          <w:rFonts w:ascii="Verdana" w:hAnsi="Verdana"/>
          <w:spacing w:val="-5"/>
          <w:w w:val="105"/>
          <w:sz w:val="20"/>
          <w:szCs w:val="20"/>
        </w:rPr>
        <w:t xml:space="preserve"> </w:t>
      </w:r>
      <w:r w:rsidRPr="009B1A62">
        <w:rPr>
          <w:rFonts w:ascii="Verdana" w:hAnsi="Verdana"/>
          <w:w w:val="105"/>
          <w:sz w:val="20"/>
          <w:szCs w:val="20"/>
        </w:rPr>
        <w:t>o</w:t>
      </w:r>
      <w:r w:rsidRPr="009B1A62">
        <w:rPr>
          <w:rFonts w:ascii="Verdana" w:hAnsi="Verdana"/>
          <w:spacing w:val="-5"/>
          <w:w w:val="105"/>
          <w:sz w:val="20"/>
          <w:szCs w:val="20"/>
        </w:rPr>
        <w:t xml:space="preserve"> </w:t>
      </w:r>
      <w:r w:rsidRPr="009B1A62">
        <w:rPr>
          <w:rFonts w:ascii="Verdana" w:hAnsi="Verdana"/>
          <w:w w:val="105"/>
          <w:sz w:val="20"/>
          <w:szCs w:val="20"/>
        </w:rPr>
        <w:t>vinculada.</w:t>
      </w:r>
    </w:p>
    <w:p w14:paraId="032D434D" w14:textId="77777777" w:rsidR="003832C2" w:rsidRPr="009B1A62" w:rsidRDefault="003832C2" w:rsidP="003832C2">
      <w:pPr>
        <w:spacing w:after="0" w:line="240" w:lineRule="auto"/>
        <w:rPr>
          <w:rFonts w:ascii="Verdana" w:eastAsia="Geomanist Light" w:hAnsi="Verdana" w:cs="Arial"/>
          <w:b/>
          <w:bCs/>
          <w:color w:val="000000" w:themeColor="text1"/>
          <w:lang w:val="es-MX"/>
        </w:rPr>
      </w:pPr>
    </w:p>
    <w:p w14:paraId="7A7B8EE7" w14:textId="77777777" w:rsidR="003832C2" w:rsidRDefault="003832C2" w:rsidP="003832C2">
      <w:pPr>
        <w:spacing w:after="0" w:line="240" w:lineRule="auto"/>
        <w:rPr>
          <w:rFonts w:ascii="Verdana" w:eastAsia="Geomanist Light" w:hAnsi="Verdana" w:cs="Arial"/>
          <w:color w:val="000000" w:themeColor="text1"/>
          <w:lang w:val="es-MX"/>
        </w:rPr>
      </w:pPr>
    </w:p>
    <w:p w14:paraId="2A4E2D4E" w14:textId="77777777" w:rsidR="003832C2" w:rsidRDefault="003832C2" w:rsidP="003832C2">
      <w:pPr>
        <w:spacing w:after="0" w:line="240" w:lineRule="auto"/>
        <w:rPr>
          <w:rFonts w:ascii="Verdana" w:eastAsia="Geomanist Light" w:hAnsi="Verdana" w:cs="Arial"/>
          <w:color w:val="000000" w:themeColor="text1"/>
          <w:lang w:val="es-MX"/>
        </w:rPr>
      </w:pPr>
    </w:p>
    <w:p w14:paraId="18730E44" w14:textId="77777777" w:rsidR="003832C2" w:rsidRDefault="003832C2" w:rsidP="003832C2">
      <w:pPr>
        <w:spacing w:after="0" w:line="240" w:lineRule="auto"/>
        <w:rPr>
          <w:rFonts w:ascii="Verdana" w:eastAsia="Geomanist Light" w:hAnsi="Verdana" w:cs="Arial"/>
          <w:color w:val="000000" w:themeColor="text1"/>
          <w:lang w:val="es-MX"/>
        </w:rPr>
      </w:pPr>
    </w:p>
    <w:p w14:paraId="6DEE481F" w14:textId="77777777" w:rsidR="003832C2" w:rsidRDefault="003832C2" w:rsidP="003832C2">
      <w:pPr>
        <w:spacing w:after="0" w:line="240" w:lineRule="auto"/>
        <w:rPr>
          <w:rFonts w:ascii="Verdana" w:eastAsia="Geomanist Light" w:hAnsi="Verdana" w:cs="Arial"/>
          <w:color w:val="000000" w:themeColor="text1"/>
          <w:lang w:val="es-MX"/>
        </w:rPr>
      </w:pPr>
    </w:p>
    <w:p w14:paraId="00F6AEFC" w14:textId="77777777" w:rsidR="003832C2" w:rsidRDefault="003832C2" w:rsidP="003832C2">
      <w:pPr>
        <w:spacing w:after="0" w:line="240" w:lineRule="auto"/>
        <w:rPr>
          <w:rFonts w:ascii="Verdana" w:eastAsia="Geomanist Light" w:hAnsi="Verdana" w:cs="Arial"/>
          <w:color w:val="000000" w:themeColor="text1"/>
          <w:lang w:val="es-MX"/>
        </w:rPr>
      </w:pPr>
    </w:p>
    <w:p w14:paraId="2A12494C" w14:textId="77777777" w:rsidR="003832C2" w:rsidRDefault="003832C2" w:rsidP="003832C2">
      <w:pPr>
        <w:spacing w:after="0" w:line="240" w:lineRule="auto"/>
        <w:rPr>
          <w:rFonts w:ascii="Verdana" w:eastAsia="Geomanist Light" w:hAnsi="Verdana" w:cs="Arial"/>
          <w:color w:val="000000" w:themeColor="text1"/>
          <w:lang w:val="es-MX"/>
        </w:rPr>
      </w:pPr>
    </w:p>
    <w:p w14:paraId="08E0528C" w14:textId="77777777" w:rsidR="003832C2" w:rsidRDefault="003832C2" w:rsidP="003832C2">
      <w:pPr>
        <w:spacing w:after="0" w:line="240" w:lineRule="auto"/>
        <w:rPr>
          <w:rFonts w:ascii="Verdana" w:eastAsia="Geomanist Light" w:hAnsi="Verdana" w:cs="Arial"/>
          <w:color w:val="000000" w:themeColor="text1"/>
          <w:lang w:val="es-MX"/>
        </w:rPr>
      </w:pPr>
    </w:p>
    <w:p w14:paraId="38CA3D5E" w14:textId="77777777" w:rsidR="003832C2" w:rsidRDefault="003832C2" w:rsidP="003832C2">
      <w:pPr>
        <w:spacing w:after="0" w:line="240" w:lineRule="auto"/>
        <w:rPr>
          <w:rFonts w:ascii="Verdana" w:eastAsia="Geomanist Light" w:hAnsi="Verdana" w:cs="Arial"/>
          <w:color w:val="000000" w:themeColor="text1"/>
          <w:lang w:val="es-MX"/>
        </w:rPr>
      </w:pPr>
    </w:p>
    <w:p w14:paraId="6A05CB56" w14:textId="77777777" w:rsidR="004655F6" w:rsidRDefault="004655F6" w:rsidP="004655F6">
      <w:pPr>
        <w:spacing w:line="276" w:lineRule="auto"/>
        <w:jc w:val="both"/>
        <w:rPr>
          <w:rFonts w:ascii="Verdana" w:eastAsia="Aptos" w:hAnsi="Verdana" w:cs="Times New Roman"/>
          <w:sz w:val="20"/>
          <w:szCs w:val="20"/>
        </w:rPr>
      </w:pPr>
    </w:p>
    <w:p w14:paraId="5EBBDD14" w14:textId="77777777" w:rsidR="004655F6" w:rsidRDefault="004655F6" w:rsidP="004655F6">
      <w:pPr>
        <w:spacing w:after="0" w:line="240" w:lineRule="auto"/>
        <w:jc w:val="both"/>
        <w:rPr>
          <w:rFonts w:ascii="Verdana" w:eastAsia="Aptos" w:hAnsi="Verdana" w:cs="Times New Roman"/>
          <w:sz w:val="20"/>
          <w:szCs w:val="20"/>
        </w:rPr>
      </w:pPr>
    </w:p>
    <w:p w14:paraId="681D2B65" w14:textId="77777777" w:rsidR="004655F6" w:rsidRDefault="004655F6" w:rsidP="004655F6">
      <w:pPr>
        <w:spacing w:after="0" w:line="240" w:lineRule="auto"/>
        <w:jc w:val="both"/>
        <w:rPr>
          <w:rFonts w:ascii="Verdana" w:eastAsia="Aptos" w:hAnsi="Verdana" w:cs="Times New Roman"/>
          <w:sz w:val="20"/>
          <w:szCs w:val="20"/>
        </w:rPr>
      </w:pPr>
    </w:p>
    <w:p w14:paraId="4216A772" w14:textId="77777777" w:rsidR="004655F6" w:rsidRDefault="004655F6" w:rsidP="004655F6">
      <w:pPr>
        <w:spacing w:after="0" w:line="240" w:lineRule="auto"/>
        <w:jc w:val="both"/>
        <w:rPr>
          <w:rFonts w:ascii="Verdana" w:eastAsia="Aptos" w:hAnsi="Verdana" w:cs="Times New Roman"/>
          <w:sz w:val="20"/>
          <w:szCs w:val="20"/>
        </w:rPr>
      </w:pPr>
    </w:p>
    <w:p w14:paraId="71DC601F" w14:textId="7A1AAAC2" w:rsidR="004655F6" w:rsidRDefault="0093542D" w:rsidP="19DD9F42">
      <w:pPr>
        <w:spacing w:after="0"/>
        <w:rPr>
          <w:rFonts w:ascii="Verdana" w:hAnsi="Verdana"/>
        </w:rPr>
      </w:pPr>
      <w:r>
        <w:rPr>
          <w:noProof/>
        </w:rPr>
        <w:lastRenderedPageBreak/>
        <w:drawing>
          <wp:anchor distT="0" distB="0" distL="114300" distR="114300" simplePos="0" relativeHeight="251658240" behindDoc="0" locked="0" layoutInCell="1" allowOverlap="1" wp14:anchorId="57CA4D0C" wp14:editId="226EEC81">
            <wp:simplePos x="0" y="0"/>
            <wp:positionH relativeFrom="column">
              <wp:posOffset>2839250</wp:posOffset>
            </wp:positionH>
            <wp:positionV relativeFrom="paragraph">
              <wp:posOffset>-72831</wp:posOffset>
            </wp:positionV>
            <wp:extent cx="2685471" cy="855623"/>
            <wp:effectExtent l="0" t="0" r="635" b="1905"/>
            <wp:wrapNone/>
            <wp:docPr id="140985041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850413" name=""/>
                    <pic:cNvPicPr/>
                  </pic:nvPicPr>
                  <pic:blipFill>
                    <a:blip r:embed="rId11">
                      <a:extLst>
                        <a:ext uri="{28A0092B-C50C-407E-A947-70E740481C1C}">
                          <a14:useLocalDpi xmlns:a14="http://schemas.microsoft.com/office/drawing/2010/main" val="0"/>
                        </a:ext>
                      </a:extLst>
                    </a:blip>
                    <a:stretch>
                      <a:fillRect/>
                    </a:stretch>
                  </pic:blipFill>
                  <pic:spPr>
                    <a:xfrm>
                      <a:off x="0" y="0"/>
                      <a:ext cx="2685471" cy="855623"/>
                    </a:xfrm>
                    <a:prstGeom prst="rect">
                      <a:avLst/>
                    </a:prstGeom>
                  </pic:spPr>
                </pic:pic>
              </a:graphicData>
            </a:graphic>
            <wp14:sizeRelH relativeFrom="page">
              <wp14:pctWidth>0</wp14:pctWidth>
            </wp14:sizeRelH>
            <wp14:sizeRelV relativeFrom="page">
              <wp14:pctHeight>0</wp14:pctHeight>
            </wp14:sizeRelV>
          </wp:anchor>
        </w:drawing>
      </w:r>
      <w:r w:rsidR="004655F6" w:rsidRPr="19DD9F42">
        <w:rPr>
          <w:rFonts w:ascii="Verdana" w:hAnsi="Verdana"/>
        </w:rPr>
        <w:t xml:space="preserve">Bogotá D.C., </w:t>
      </w:r>
      <w:r w:rsidR="44587D06" w:rsidRPr="19DD9F42">
        <w:rPr>
          <w:rFonts w:ascii="Verdana" w:hAnsi="Verdana"/>
        </w:rPr>
        <w:t xml:space="preserve">15 </w:t>
      </w:r>
      <w:r>
        <w:rPr>
          <w:rFonts w:ascii="Verdana" w:hAnsi="Verdana"/>
        </w:rPr>
        <w:t>A</w:t>
      </w:r>
      <w:r w:rsidR="44587D06" w:rsidRPr="19DD9F42">
        <w:rPr>
          <w:rFonts w:ascii="Verdana" w:hAnsi="Verdana"/>
        </w:rPr>
        <w:t>gosto 2025</w:t>
      </w:r>
    </w:p>
    <w:bookmarkEnd w:id="0"/>
    <w:p w14:paraId="6A864E55" w14:textId="39DC3EBD" w:rsidR="004655F6" w:rsidRDefault="004655F6" w:rsidP="004655F6">
      <w:pPr>
        <w:spacing w:after="0"/>
        <w:rPr>
          <w:rFonts w:ascii="Verdana" w:hAnsi="Verdana"/>
        </w:rPr>
      </w:pPr>
    </w:p>
    <w:p w14:paraId="3E9C883A" w14:textId="452A91A0" w:rsidR="44587D06" w:rsidRDefault="44587D06" w:rsidP="19DD9F42">
      <w:pPr>
        <w:spacing w:after="0"/>
        <w:jc w:val="right"/>
      </w:pPr>
      <w:bookmarkStart w:id="2" w:name="_Hlk180638295"/>
    </w:p>
    <w:p w14:paraId="3D780ED0" w14:textId="77777777" w:rsidR="004655F6" w:rsidRDefault="004655F6" w:rsidP="004655F6">
      <w:pPr>
        <w:spacing w:after="0"/>
        <w:rPr>
          <w:rFonts w:ascii="Verdana" w:hAnsi="Verdana"/>
        </w:rPr>
      </w:pPr>
    </w:p>
    <w:p w14:paraId="41DD05AC" w14:textId="0746D214" w:rsidR="004655F6" w:rsidRDefault="004655F6" w:rsidP="004655F6">
      <w:pPr>
        <w:spacing w:after="0" w:line="240" w:lineRule="auto"/>
        <w:jc w:val="both"/>
        <w:rPr>
          <w:rFonts w:ascii="Verdana" w:eastAsia="Calibri" w:hAnsi="Verdana" w:cs="Arial"/>
          <w:lang w:eastAsia="es-ES"/>
        </w:rPr>
      </w:pPr>
      <w:bookmarkStart w:id="3" w:name="_Hlk181166167"/>
      <w:r w:rsidRPr="005E62E2">
        <w:rPr>
          <w:rFonts w:ascii="Verdana" w:eastAsia="Calibri" w:hAnsi="Verdana" w:cs="Arial"/>
          <w:lang w:eastAsia="es-ES"/>
        </w:rPr>
        <w:t>Señor</w:t>
      </w:r>
      <w:r w:rsidRPr="005E62E2">
        <w:rPr>
          <w:rFonts w:ascii="Verdana" w:eastAsia="Calibri" w:hAnsi="Verdana" w:cs="Arial"/>
          <w:lang w:eastAsia="es-ES"/>
        </w:rPr>
        <w:tab/>
      </w:r>
    </w:p>
    <w:p w14:paraId="3AC020D4" w14:textId="518F46FE" w:rsidR="000C21D5" w:rsidRDefault="0093542D" w:rsidP="004655F6">
      <w:pPr>
        <w:spacing w:after="0" w:line="240" w:lineRule="auto"/>
        <w:rPr>
          <w:rFonts w:ascii="Verdana" w:eastAsia="Calibri" w:hAnsi="Verdana" w:cs="Arial"/>
          <w:b/>
          <w:bCs/>
          <w:lang w:eastAsia="es-ES"/>
        </w:rPr>
      </w:pPr>
      <w:r>
        <w:rPr>
          <w:rFonts w:ascii="Verdana" w:eastAsia="Calibri" w:hAnsi="Verdana" w:cs="Arial"/>
          <w:b/>
          <w:bCs/>
          <w:lang w:eastAsia="es-ES"/>
        </w:rPr>
        <w:t xml:space="preserve">Jorge </w:t>
      </w:r>
      <w:proofErr w:type="spellStart"/>
      <w:r>
        <w:rPr>
          <w:rFonts w:ascii="Verdana" w:eastAsia="Calibri" w:hAnsi="Verdana" w:cs="Arial"/>
          <w:b/>
          <w:bCs/>
          <w:lang w:eastAsia="es-ES"/>
        </w:rPr>
        <w:t>Herlinto</w:t>
      </w:r>
      <w:proofErr w:type="spellEnd"/>
      <w:r>
        <w:rPr>
          <w:rFonts w:ascii="Verdana" w:eastAsia="Calibri" w:hAnsi="Verdana" w:cs="Arial"/>
          <w:b/>
          <w:bCs/>
          <w:lang w:eastAsia="es-ES"/>
        </w:rPr>
        <w:t xml:space="preserve"> </w:t>
      </w:r>
      <w:proofErr w:type="spellStart"/>
      <w:r>
        <w:rPr>
          <w:rFonts w:ascii="Verdana" w:eastAsia="Calibri" w:hAnsi="Verdana" w:cs="Arial"/>
          <w:b/>
          <w:bCs/>
          <w:lang w:eastAsia="es-ES"/>
        </w:rPr>
        <w:t>Garcia</w:t>
      </w:r>
      <w:proofErr w:type="spellEnd"/>
      <w:r>
        <w:rPr>
          <w:rFonts w:ascii="Verdana" w:eastAsia="Calibri" w:hAnsi="Verdana" w:cs="Arial"/>
          <w:b/>
          <w:bCs/>
          <w:lang w:eastAsia="es-ES"/>
        </w:rPr>
        <w:t xml:space="preserve"> </w:t>
      </w:r>
      <w:proofErr w:type="spellStart"/>
      <w:r>
        <w:rPr>
          <w:rFonts w:ascii="Verdana" w:eastAsia="Calibri" w:hAnsi="Verdana" w:cs="Arial"/>
          <w:b/>
          <w:bCs/>
          <w:lang w:eastAsia="es-ES"/>
        </w:rPr>
        <w:t>Lopez</w:t>
      </w:r>
      <w:proofErr w:type="spellEnd"/>
    </w:p>
    <w:p w14:paraId="00A34DED" w14:textId="435BC1CA" w:rsidR="0093542D" w:rsidRDefault="0093542D" w:rsidP="004655F6">
      <w:pPr>
        <w:spacing w:after="0" w:line="240" w:lineRule="auto"/>
        <w:rPr>
          <w:rFonts w:ascii="Verdana" w:eastAsia="Calibri" w:hAnsi="Verdana" w:cs="Arial"/>
          <w:b/>
          <w:bCs/>
          <w:lang w:eastAsia="es-ES"/>
        </w:rPr>
      </w:pPr>
      <w:r>
        <w:rPr>
          <w:rFonts w:ascii="Verdana" w:eastAsia="Calibri" w:hAnsi="Verdana" w:cs="Arial"/>
          <w:b/>
          <w:bCs/>
          <w:lang w:eastAsia="es-ES"/>
        </w:rPr>
        <w:t>Alcaldía de Puerto Asís</w:t>
      </w:r>
    </w:p>
    <w:p w14:paraId="798786D1" w14:textId="16A65CE7" w:rsidR="000C21D5" w:rsidRDefault="008209D5" w:rsidP="004655F6">
      <w:pPr>
        <w:spacing w:after="0" w:line="240" w:lineRule="auto"/>
        <w:rPr>
          <w:rFonts w:ascii="Verdana" w:hAnsi="Verdana"/>
        </w:rPr>
      </w:pPr>
      <w:hyperlink r:id="rId12" w:history="1">
        <w:r w:rsidR="000C21D5" w:rsidRPr="00732158">
          <w:rPr>
            <w:rStyle w:val="Hipervnculo"/>
            <w:rFonts w:ascii="Verdana" w:hAnsi="Verdana"/>
          </w:rPr>
          <w:t>oficinajuridica@puertoasis-putumayo.gov.co</w:t>
        </w:r>
      </w:hyperlink>
    </w:p>
    <w:p w14:paraId="0A5961D0" w14:textId="7969B14B" w:rsidR="004655F6" w:rsidRDefault="000C21D5" w:rsidP="004655F6">
      <w:pPr>
        <w:spacing w:after="0" w:line="240" w:lineRule="auto"/>
        <w:rPr>
          <w:rFonts w:ascii="Verdana" w:eastAsia="Calibri" w:hAnsi="Verdana" w:cs="Arial"/>
          <w:color w:val="000000"/>
          <w:lang w:val="es-ES_tradnl" w:eastAsia="es-ES_tradnl"/>
        </w:rPr>
      </w:pPr>
      <w:r>
        <w:rPr>
          <w:rFonts w:ascii="Verdana" w:eastAsia="Calibri" w:hAnsi="Verdana" w:cs="Arial"/>
          <w:color w:val="000000"/>
          <w:lang w:val="es-ES_tradnl" w:eastAsia="es-ES_tradnl"/>
        </w:rPr>
        <w:t>Puerto Asís</w:t>
      </w:r>
      <w:r w:rsidR="0093542D">
        <w:rPr>
          <w:rFonts w:ascii="Verdana" w:eastAsia="Calibri" w:hAnsi="Verdana" w:cs="Arial"/>
          <w:color w:val="000000"/>
          <w:lang w:val="es-ES_tradnl" w:eastAsia="es-ES_tradnl"/>
        </w:rPr>
        <w:t xml:space="preserve">, </w:t>
      </w:r>
      <w:r>
        <w:rPr>
          <w:rFonts w:ascii="Verdana" w:eastAsia="Calibri" w:hAnsi="Verdana" w:cs="Arial"/>
          <w:color w:val="000000"/>
          <w:lang w:val="es-ES_tradnl" w:eastAsia="es-ES_tradnl"/>
        </w:rPr>
        <w:t>Putumayo</w:t>
      </w:r>
    </w:p>
    <w:p w14:paraId="220A25C8" w14:textId="77777777" w:rsidR="004655F6" w:rsidRPr="00FE3DEC" w:rsidRDefault="004655F6" w:rsidP="004655F6">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4655F6" w:rsidRPr="00593A5F" w14:paraId="2746523B" w14:textId="77777777" w:rsidTr="003E6E41">
        <w:trPr>
          <w:trHeight w:val="919"/>
        </w:trPr>
        <w:tc>
          <w:tcPr>
            <w:tcW w:w="2295" w:type="dxa"/>
          </w:tcPr>
          <w:p w14:paraId="7A582C7D" w14:textId="77777777" w:rsidR="004655F6" w:rsidRPr="00E5644F" w:rsidRDefault="004655F6" w:rsidP="003E6E41">
            <w:pPr>
              <w:jc w:val="both"/>
              <w:rPr>
                <w:rFonts w:ascii="Verdana" w:eastAsia="Calibri" w:hAnsi="Verdana" w:cs="Arial"/>
                <w:b/>
                <w:bCs/>
                <w:color w:val="7030A0"/>
                <w:lang w:val="es-ES_tradnl" w:eastAsia="es-ES_tradnl"/>
              </w:rPr>
            </w:pPr>
          </w:p>
        </w:tc>
        <w:tc>
          <w:tcPr>
            <w:tcW w:w="6481" w:type="dxa"/>
            <w:gridSpan w:val="2"/>
          </w:tcPr>
          <w:p w14:paraId="23AFB883" w14:textId="493C158F" w:rsidR="004655F6" w:rsidRPr="00E5644F" w:rsidRDefault="004655F6" w:rsidP="003E6E41">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sidR="006C48B5">
              <w:rPr>
                <w:rFonts w:ascii="Verdana" w:eastAsia="Calibri" w:hAnsi="Verdana" w:cs="Arial"/>
                <w:b/>
                <w:bCs/>
                <w:lang w:val="es-ES" w:eastAsia="es-ES"/>
              </w:rPr>
              <w:t>8</w:t>
            </w:r>
            <w:r w:rsidR="000C21D5">
              <w:rPr>
                <w:rFonts w:ascii="Verdana" w:eastAsia="Calibri" w:hAnsi="Verdana" w:cs="Arial"/>
                <w:b/>
                <w:bCs/>
                <w:lang w:val="es-ES" w:eastAsia="es-ES"/>
              </w:rPr>
              <w:t>87</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tc>
      </w:tr>
      <w:tr w:rsidR="004655F6" w:rsidRPr="00A52DE7" w14:paraId="7B1BCB56" w14:textId="77777777" w:rsidTr="003E6E41">
        <w:trPr>
          <w:trHeight w:val="919"/>
        </w:trPr>
        <w:tc>
          <w:tcPr>
            <w:tcW w:w="2295" w:type="dxa"/>
          </w:tcPr>
          <w:p w14:paraId="4FCD76B4" w14:textId="77777777" w:rsidR="004655F6" w:rsidRPr="00593A5F" w:rsidRDefault="004655F6" w:rsidP="003E6E41">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429FC981" w14:textId="7143CFFB" w:rsidR="004655F6" w:rsidRPr="001568D6" w:rsidRDefault="003832C2" w:rsidP="003E6E41">
            <w:pPr>
              <w:spacing w:line="276" w:lineRule="auto"/>
              <w:jc w:val="both"/>
              <w:rPr>
                <w:rFonts w:ascii="Verdana" w:eastAsia="Calibri" w:hAnsi="Verdana" w:cs="Arial"/>
                <w:b/>
                <w:sz w:val="21"/>
                <w:szCs w:val="21"/>
              </w:rPr>
            </w:pPr>
            <w:r w:rsidRPr="00FB03DC">
              <w:rPr>
                <w:rFonts w:ascii="Verdana" w:eastAsia="Calibri" w:hAnsi="Verdana" w:cs="Arial"/>
                <w:color w:val="000000"/>
                <w:lang w:val="es-ES_tradnl"/>
              </w:rPr>
              <w:t xml:space="preserve">INHABILIDADES E INCOMPATIBILIDADES ― Límites a la Capacidad Jurídica / INHABILIDAD </w:t>
            </w:r>
            <w:r w:rsidRPr="00FB03DC">
              <w:rPr>
                <w:rFonts w:ascii="Verdana" w:eastAsia="Times New Roman" w:hAnsi="Verdana" w:cs="Arial"/>
                <w:lang w:eastAsia="es-ES_tradnl"/>
              </w:rPr>
              <w:t>E INCOMPATIBILIDAD</w:t>
            </w:r>
            <w:r w:rsidRPr="00FB03DC">
              <w:rPr>
                <w:rFonts w:ascii="Verdana" w:eastAsia="Calibri" w:hAnsi="Verdana" w:cs="Arial"/>
                <w:color w:val="000000"/>
                <w:lang w:val="es-ES_tradnl"/>
              </w:rPr>
              <w:t xml:space="preserve"> </w:t>
            </w:r>
            <w:r w:rsidRPr="00FB03DC">
              <w:rPr>
                <w:rFonts w:ascii="Verdana" w:eastAsia="Times New Roman" w:hAnsi="Verdana" w:cs="Arial"/>
                <w:lang w:eastAsia="es-ES_tradnl"/>
              </w:rPr>
              <w:t>–</w:t>
            </w:r>
            <w:r w:rsidRPr="00FB03DC">
              <w:rPr>
                <w:rFonts w:ascii="Verdana" w:eastAsia="Calibri" w:hAnsi="Verdana" w:cs="Arial"/>
                <w:color w:val="000000"/>
                <w:lang w:val="es-ES_tradnl"/>
              </w:rPr>
              <w:t xml:space="preserve"> Ley 1474 de 2011 </w:t>
            </w:r>
            <w:r w:rsidRPr="00FB03DC">
              <w:rPr>
                <w:rFonts w:ascii="Verdana" w:eastAsia="Times New Roman" w:hAnsi="Verdana" w:cs="Arial"/>
                <w:lang w:eastAsia="es-ES_tradnl"/>
              </w:rPr>
              <w:t>–</w:t>
            </w:r>
            <w:r w:rsidRPr="00FB03DC">
              <w:rPr>
                <w:rFonts w:ascii="Verdana" w:eastAsia="Calibri" w:hAnsi="Verdana" w:cs="Arial"/>
                <w:color w:val="000000"/>
                <w:lang w:val="es-ES_tradnl"/>
              </w:rPr>
              <w:t xml:space="preserve"> Artículo 4 </w:t>
            </w:r>
            <w:r w:rsidRPr="00FB03DC">
              <w:rPr>
                <w:rFonts w:ascii="Verdana" w:eastAsia="Times New Roman" w:hAnsi="Verdana" w:cs="Arial"/>
                <w:lang w:eastAsia="es-ES_tradnl"/>
              </w:rPr>
              <w:t>–</w:t>
            </w:r>
            <w:r w:rsidRPr="00FB03DC">
              <w:rPr>
                <w:rFonts w:ascii="Verdana" w:eastAsia="Calibri" w:hAnsi="Verdana" w:cs="Arial"/>
                <w:color w:val="000000"/>
                <w:lang w:val="es-ES_tradnl"/>
              </w:rPr>
              <w:t xml:space="preserve"> Ex Empleado Público / </w:t>
            </w:r>
            <w:r w:rsidRPr="00FB03DC">
              <w:rPr>
                <w:rFonts w:ascii="Verdana" w:eastAsia="Times New Roman" w:hAnsi="Verdana" w:cs="Arial"/>
                <w:lang w:eastAsia="es-ES_tradnl"/>
              </w:rPr>
              <w:t xml:space="preserve">INHABILIDADES E INCOMPATIBILIDADES – Ley 80 de 1993 – Numeral 2, literal F) – Contratación directa e indirecta – Exservidor público – Cargo Directivo – Elemento </w:t>
            </w:r>
            <w:r>
              <w:rPr>
                <w:rFonts w:ascii="Verdana" w:eastAsia="Times New Roman" w:hAnsi="Verdana" w:cs="Arial"/>
                <w:lang w:eastAsia="es-ES_tradnl"/>
              </w:rPr>
              <w:t>t</w:t>
            </w:r>
            <w:r w:rsidRPr="00FB03DC">
              <w:rPr>
                <w:rFonts w:ascii="Verdana" w:eastAsia="Times New Roman" w:hAnsi="Verdana" w:cs="Arial"/>
                <w:lang w:eastAsia="es-ES_tradnl"/>
              </w:rPr>
              <w:t xml:space="preserve">emporal (2) dos años </w:t>
            </w:r>
          </w:p>
          <w:p w14:paraId="0702379A" w14:textId="77777777" w:rsidR="004655F6" w:rsidRPr="00A52DE7" w:rsidRDefault="004655F6" w:rsidP="003E6E41">
            <w:pPr>
              <w:jc w:val="both"/>
              <w:rPr>
                <w:rFonts w:ascii="Verdana" w:eastAsia="Calibri" w:hAnsi="Verdana" w:cs="Arial"/>
                <w:b/>
                <w:highlight w:val="yellow"/>
                <w:lang w:val="es-ES" w:eastAsia="es-ES"/>
              </w:rPr>
            </w:pPr>
          </w:p>
        </w:tc>
      </w:tr>
      <w:tr w:rsidR="004655F6" w:rsidRPr="00593A5F" w14:paraId="451C8FC9" w14:textId="77777777" w:rsidTr="003E6E41">
        <w:trPr>
          <w:trHeight w:val="545"/>
        </w:trPr>
        <w:tc>
          <w:tcPr>
            <w:tcW w:w="2295" w:type="dxa"/>
          </w:tcPr>
          <w:p w14:paraId="74548B83" w14:textId="77777777" w:rsidR="004655F6" w:rsidRPr="006730E9" w:rsidRDefault="004655F6" w:rsidP="003E6E41">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6A7928BB" w14:textId="4B506AFE" w:rsidR="004655F6" w:rsidRPr="006730E9" w:rsidRDefault="004655F6" w:rsidP="003E6E41">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0C21D5" w:rsidRPr="000C21D5">
              <w:rPr>
                <w:rFonts w:ascii="Verdana" w:eastAsia="Calibri" w:hAnsi="Verdana" w:cs="Arial"/>
                <w:lang w:val="es-ES_tradnl" w:eastAsia="es-ES_tradnl"/>
              </w:rPr>
              <w:t>1_2025_07_07_006761</w:t>
            </w:r>
            <w:r>
              <w:rPr>
                <w:rFonts w:ascii="Verdana" w:eastAsia="Calibri" w:hAnsi="Verdana" w:cs="Arial"/>
                <w:lang w:val="es-ES_tradnl" w:eastAsia="es-ES_tradnl"/>
              </w:rPr>
              <w:t>.</w:t>
            </w:r>
          </w:p>
        </w:tc>
      </w:tr>
      <w:tr w:rsidR="004655F6" w:rsidRPr="00DB23D2" w14:paraId="635A16F2" w14:textId="77777777" w:rsidTr="003E6E41">
        <w:trPr>
          <w:gridAfter w:val="1"/>
          <w:wAfter w:w="319" w:type="dxa"/>
          <w:trHeight w:val="242"/>
        </w:trPr>
        <w:tc>
          <w:tcPr>
            <w:tcW w:w="8457" w:type="dxa"/>
            <w:gridSpan w:val="2"/>
          </w:tcPr>
          <w:p w14:paraId="73C4E38A" w14:textId="77777777" w:rsidR="004655F6" w:rsidRPr="00DB23D2" w:rsidRDefault="004655F6" w:rsidP="003E6E41">
            <w:pPr>
              <w:spacing w:after="120" w:line="276" w:lineRule="auto"/>
              <w:jc w:val="both"/>
              <w:rPr>
                <w:rFonts w:ascii="Verdana" w:eastAsia="Calibri" w:hAnsi="Verdana" w:cs="Arial"/>
                <w:lang w:val="es-ES_tradnl" w:eastAsia="es-ES"/>
              </w:rPr>
            </w:pPr>
          </w:p>
        </w:tc>
      </w:tr>
    </w:tbl>
    <w:p w14:paraId="122F3ED3" w14:textId="1354FDC3" w:rsidR="004655F6" w:rsidRPr="006730E9" w:rsidRDefault="004655F6" w:rsidP="004655F6">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0C21D5">
        <w:rPr>
          <w:rFonts w:ascii="Verdana" w:eastAsia="Calibri" w:hAnsi="Verdana" w:cs="Arial"/>
          <w:lang w:val="es-ES" w:eastAsia="es-ES"/>
        </w:rPr>
        <w:t>o</w:t>
      </w:r>
      <w:r>
        <w:rPr>
          <w:rFonts w:ascii="Verdana" w:eastAsia="Calibri" w:hAnsi="Verdana" w:cs="Arial"/>
          <w:lang w:val="es-ES" w:eastAsia="es-ES"/>
        </w:rPr>
        <w:t xml:space="preserve"> </w:t>
      </w:r>
      <w:r w:rsidRPr="006730E9">
        <w:rPr>
          <w:rFonts w:ascii="Verdana" w:eastAsia="Calibri" w:hAnsi="Verdana" w:cs="Arial"/>
          <w:lang w:val="es-ES" w:eastAsia="es-ES"/>
        </w:rPr>
        <w:t>señor</w:t>
      </w:r>
      <w:r>
        <w:rPr>
          <w:rFonts w:ascii="Verdana" w:eastAsia="Calibri" w:hAnsi="Verdana" w:cs="Arial"/>
          <w:lang w:val="es-ES" w:eastAsia="es-ES"/>
        </w:rPr>
        <w:t xml:space="preserve"> </w:t>
      </w:r>
      <w:r w:rsidR="000C21D5">
        <w:rPr>
          <w:rFonts w:ascii="Verdana" w:eastAsia="Calibri" w:hAnsi="Verdana" w:cs="Arial"/>
          <w:lang w:val="es-ES" w:eastAsia="es-ES"/>
        </w:rPr>
        <w:t>García</w:t>
      </w:r>
      <w:r>
        <w:rPr>
          <w:rFonts w:ascii="Verdana" w:eastAsia="Calibri" w:hAnsi="Verdana" w:cs="Arial"/>
          <w:lang w:val="es-ES" w:eastAsia="es-ES"/>
        </w:rPr>
        <w:t>;</w:t>
      </w:r>
    </w:p>
    <w:p w14:paraId="3989D043" w14:textId="77777777" w:rsidR="004655F6" w:rsidRDefault="004655F6" w:rsidP="004655F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707693C" w14:textId="4C7C7CAC" w:rsidR="004655F6" w:rsidRPr="006730E9" w:rsidRDefault="004655F6" w:rsidP="004655F6">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Pr>
          <w:rFonts w:ascii="Verdana" w:eastAsia="Calibri" w:hAnsi="Verdana" w:cs="Arial"/>
          <w:lang w:val="es-ES" w:eastAsia="es-ES"/>
        </w:rPr>
        <w:t xml:space="preserve">trasladada por competencia por el Departamento Administrativo de la Función Pública, radicada en esta entidad </w:t>
      </w:r>
      <w:r w:rsidRPr="00E5644F">
        <w:rPr>
          <w:rFonts w:ascii="Verdana" w:eastAsia="Calibri" w:hAnsi="Verdana" w:cs="Arial"/>
          <w:lang w:val="es-ES" w:eastAsia="es-ES"/>
        </w:rPr>
        <w:t xml:space="preserve">el </w:t>
      </w:r>
      <w:r w:rsidR="000C21D5">
        <w:rPr>
          <w:rFonts w:ascii="Verdana" w:eastAsia="Calibri" w:hAnsi="Verdana" w:cs="Arial"/>
          <w:lang w:val="es-ES" w:eastAsia="es-ES"/>
        </w:rPr>
        <w:t>0</w:t>
      </w:r>
      <w:r w:rsidR="009C0DA8">
        <w:rPr>
          <w:rFonts w:ascii="Verdana" w:eastAsia="Calibri" w:hAnsi="Verdana" w:cs="Arial"/>
          <w:lang w:val="es-ES" w:eastAsia="es-ES"/>
        </w:rPr>
        <w:t>7</w:t>
      </w:r>
      <w:r>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Pr>
          <w:rFonts w:ascii="Verdana" w:eastAsia="Calibri" w:hAnsi="Verdana" w:cs="Arial"/>
          <w:lang w:val="es-ES" w:eastAsia="es-ES"/>
        </w:rPr>
        <w:t>ju</w:t>
      </w:r>
      <w:r w:rsidR="000C21D5">
        <w:rPr>
          <w:rFonts w:ascii="Verdana" w:eastAsia="Calibri" w:hAnsi="Verdana" w:cs="Arial"/>
          <w:lang w:val="es-ES" w:eastAsia="es-ES"/>
        </w:rPr>
        <w:t>l</w:t>
      </w:r>
      <w:r>
        <w:rPr>
          <w:rFonts w:ascii="Verdana" w:eastAsia="Calibri" w:hAnsi="Verdana" w:cs="Arial"/>
          <w:lang w:val="es-ES" w:eastAsia="es-ES"/>
        </w:rPr>
        <w:t>io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25D2D43" w14:textId="77777777" w:rsidR="004655F6" w:rsidRPr="00326382" w:rsidRDefault="004655F6" w:rsidP="004655F6">
      <w:pPr>
        <w:spacing w:after="0" w:line="240" w:lineRule="auto"/>
        <w:ind w:left="709" w:right="474"/>
        <w:jc w:val="both"/>
        <w:rPr>
          <w:rFonts w:ascii="Verdana" w:hAnsi="Verdana" w:cs="Arial"/>
          <w:sz w:val="20"/>
          <w:szCs w:val="20"/>
          <w:shd w:val="clear" w:color="auto" w:fill="FFFFFF"/>
        </w:rPr>
      </w:pPr>
      <w:bookmarkStart w:id="4" w:name="_Hlk95313578"/>
    </w:p>
    <w:bookmarkEnd w:id="4"/>
    <w:p w14:paraId="7B9E56F3" w14:textId="77777777" w:rsidR="004655F6" w:rsidRDefault="004655F6" w:rsidP="004655F6">
      <w:pPr>
        <w:tabs>
          <w:tab w:val="left" w:pos="142"/>
          <w:tab w:val="left" w:pos="567"/>
        </w:tabs>
        <w:ind w:left="426" w:right="709"/>
        <w:jc w:val="both"/>
        <w:rPr>
          <w:rFonts w:ascii="Verdana" w:eastAsia="Century Gothic" w:hAnsi="Verdana" w:cs="Century Gothic"/>
          <w:i/>
          <w:iCs/>
          <w:sz w:val="20"/>
          <w:szCs w:val="20"/>
        </w:rPr>
      </w:pPr>
      <w:r>
        <w:rPr>
          <w:rFonts w:ascii="Verdana" w:eastAsia="Century Gothic" w:hAnsi="Verdana" w:cs="Century Gothic"/>
          <w:i/>
          <w:iCs/>
        </w:rPr>
        <w:t xml:space="preserve"> </w:t>
      </w:r>
      <w:r w:rsidRPr="00CD7324">
        <w:rPr>
          <w:rFonts w:ascii="Verdana" w:eastAsia="Century Gothic" w:hAnsi="Verdana" w:cs="Century Gothic"/>
          <w:i/>
          <w:iCs/>
          <w:sz w:val="20"/>
          <w:szCs w:val="20"/>
        </w:rPr>
        <w:t xml:space="preserve">“(…) </w:t>
      </w:r>
    </w:p>
    <w:p w14:paraId="12AF7492" w14:textId="5DF5827B" w:rsidR="000C21D5" w:rsidRPr="000C21D5" w:rsidRDefault="000C21D5" w:rsidP="000C21D5">
      <w:pPr>
        <w:tabs>
          <w:tab w:val="left" w:pos="142"/>
          <w:tab w:val="left" w:pos="567"/>
        </w:tabs>
        <w:ind w:left="426" w:right="709"/>
        <w:jc w:val="both"/>
        <w:rPr>
          <w:rFonts w:ascii="Verdana" w:eastAsia="Century Gothic" w:hAnsi="Verdana" w:cs="Century Gothic"/>
          <w:i/>
          <w:iCs/>
          <w:sz w:val="20"/>
          <w:szCs w:val="20"/>
        </w:rPr>
      </w:pPr>
      <w:r w:rsidRPr="000C21D5">
        <w:rPr>
          <w:rFonts w:ascii="Verdana" w:eastAsia="Century Gothic" w:hAnsi="Verdana" w:cs="Century Gothic"/>
          <w:i/>
          <w:iCs/>
          <w:sz w:val="20"/>
          <w:szCs w:val="20"/>
        </w:rPr>
        <w:t>Buenos días, realiza la siguiente consulta y/o pregunta: Se puede contratar a una</w:t>
      </w:r>
      <w:r>
        <w:rPr>
          <w:rFonts w:ascii="Verdana" w:eastAsia="Century Gothic" w:hAnsi="Verdana" w:cs="Century Gothic"/>
          <w:i/>
          <w:iCs/>
          <w:sz w:val="20"/>
          <w:szCs w:val="20"/>
        </w:rPr>
        <w:t xml:space="preserve"> </w:t>
      </w:r>
      <w:r w:rsidRPr="000C21D5">
        <w:rPr>
          <w:rFonts w:ascii="Verdana" w:eastAsia="Century Gothic" w:hAnsi="Verdana" w:cs="Century Gothic"/>
          <w:i/>
          <w:iCs/>
          <w:sz w:val="20"/>
          <w:szCs w:val="20"/>
        </w:rPr>
        <w:t>funcionaria pública que ejercerá el cargo de Secretaria de la Mujer Municipal, de</w:t>
      </w:r>
      <w:r>
        <w:rPr>
          <w:rFonts w:ascii="Verdana" w:eastAsia="Century Gothic" w:hAnsi="Verdana" w:cs="Century Gothic"/>
          <w:i/>
          <w:iCs/>
          <w:sz w:val="20"/>
          <w:szCs w:val="20"/>
        </w:rPr>
        <w:t xml:space="preserve"> </w:t>
      </w:r>
      <w:r w:rsidRPr="000C21D5">
        <w:rPr>
          <w:rFonts w:ascii="Verdana" w:eastAsia="Century Gothic" w:hAnsi="Verdana" w:cs="Century Gothic"/>
          <w:i/>
          <w:iCs/>
          <w:sz w:val="20"/>
          <w:szCs w:val="20"/>
        </w:rPr>
        <w:t>cargo directivo, hasta el 30 de junio del 2025, dicha persona es Abogada, el</w:t>
      </w:r>
      <w:r>
        <w:rPr>
          <w:rFonts w:ascii="Verdana" w:eastAsia="Century Gothic" w:hAnsi="Verdana" w:cs="Century Gothic"/>
          <w:i/>
          <w:iCs/>
          <w:sz w:val="20"/>
          <w:szCs w:val="20"/>
        </w:rPr>
        <w:t xml:space="preserve"> </w:t>
      </w:r>
      <w:r w:rsidRPr="000C21D5">
        <w:rPr>
          <w:rFonts w:ascii="Verdana" w:eastAsia="Century Gothic" w:hAnsi="Verdana" w:cs="Century Gothic"/>
          <w:i/>
          <w:iCs/>
          <w:sz w:val="20"/>
          <w:szCs w:val="20"/>
        </w:rPr>
        <w:t>contrato seria con el objeto: PRESTACIONES DE SERVICIOS PROFESIONALES</w:t>
      </w:r>
      <w:r>
        <w:rPr>
          <w:rFonts w:ascii="Verdana" w:eastAsia="Century Gothic" w:hAnsi="Verdana" w:cs="Century Gothic"/>
          <w:i/>
          <w:iCs/>
          <w:sz w:val="20"/>
          <w:szCs w:val="20"/>
        </w:rPr>
        <w:t xml:space="preserve"> </w:t>
      </w:r>
      <w:r w:rsidRPr="000C21D5">
        <w:rPr>
          <w:rFonts w:ascii="Verdana" w:eastAsia="Century Gothic" w:hAnsi="Verdana" w:cs="Century Gothic"/>
          <w:i/>
          <w:iCs/>
          <w:sz w:val="20"/>
          <w:szCs w:val="20"/>
        </w:rPr>
        <w:t>DE APOYO EN ASESORÍA JURÍDICA, ACOMPAÑAMIENTO Y</w:t>
      </w:r>
      <w:r>
        <w:rPr>
          <w:rFonts w:ascii="Verdana" w:eastAsia="Century Gothic" w:hAnsi="Verdana" w:cs="Century Gothic"/>
          <w:i/>
          <w:iCs/>
          <w:sz w:val="20"/>
          <w:szCs w:val="20"/>
        </w:rPr>
        <w:t xml:space="preserve"> </w:t>
      </w:r>
      <w:r w:rsidRPr="000C21D5">
        <w:rPr>
          <w:rFonts w:ascii="Verdana" w:eastAsia="Century Gothic" w:hAnsi="Verdana" w:cs="Century Gothic"/>
          <w:i/>
          <w:iCs/>
          <w:sz w:val="20"/>
          <w:szCs w:val="20"/>
        </w:rPr>
        <w:lastRenderedPageBreak/>
        <w:t>REPRESENTACIÓN JUDICIAL Y EXTRAJUDICIAL DE DEFENSA JUDICIAL AL</w:t>
      </w:r>
      <w:r>
        <w:rPr>
          <w:rFonts w:ascii="Verdana" w:eastAsia="Century Gothic" w:hAnsi="Verdana" w:cs="Century Gothic"/>
          <w:i/>
          <w:iCs/>
          <w:sz w:val="20"/>
          <w:szCs w:val="20"/>
        </w:rPr>
        <w:t xml:space="preserve"> </w:t>
      </w:r>
      <w:r w:rsidRPr="000C21D5">
        <w:rPr>
          <w:rFonts w:ascii="Verdana" w:eastAsia="Century Gothic" w:hAnsi="Verdana" w:cs="Century Gothic"/>
          <w:i/>
          <w:iCs/>
          <w:sz w:val="20"/>
          <w:szCs w:val="20"/>
        </w:rPr>
        <w:t xml:space="preserve">MUNICIPIO DE PUERTO ASÍS – PUTUMAYO, nuestra consulta </w:t>
      </w:r>
      <w:proofErr w:type="spellStart"/>
      <w:r w:rsidRPr="000C21D5">
        <w:rPr>
          <w:rFonts w:ascii="Verdana" w:eastAsia="Century Gothic" w:hAnsi="Verdana" w:cs="Century Gothic"/>
          <w:i/>
          <w:iCs/>
          <w:sz w:val="20"/>
          <w:szCs w:val="20"/>
        </w:rPr>
        <w:t>esta</w:t>
      </w:r>
      <w:proofErr w:type="spellEnd"/>
      <w:r w:rsidRPr="000C21D5">
        <w:rPr>
          <w:rFonts w:ascii="Verdana" w:eastAsia="Century Gothic" w:hAnsi="Verdana" w:cs="Century Gothic"/>
          <w:i/>
          <w:iCs/>
          <w:sz w:val="20"/>
          <w:szCs w:val="20"/>
        </w:rPr>
        <w:t xml:space="preserve"> dirigida es</w:t>
      </w:r>
    </w:p>
    <w:p w14:paraId="04AF8E34" w14:textId="0C917C3F" w:rsidR="00917196" w:rsidRDefault="000C21D5" w:rsidP="009C0DA8">
      <w:pPr>
        <w:tabs>
          <w:tab w:val="left" w:pos="142"/>
          <w:tab w:val="left" w:pos="567"/>
        </w:tabs>
        <w:ind w:left="426" w:right="709"/>
        <w:jc w:val="both"/>
        <w:rPr>
          <w:rFonts w:ascii="Verdana" w:eastAsia="Century Gothic" w:hAnsi="Verdana" w:cs="Century Gothic"/>
          <w:i/>
          <w:iCs/>
          <w:sz w:val="20"/>
          <w:szCs w:val="20"/>
        </w:rPr>
      </w:pPr>
      <w:r w:rsidRPr="000C21D5">
        <w:rPr>
          <w:rFonts w:ascii="Verdana" w:eastAsia="Century Gothic" w:hAnsi="Verdana" w:cs="Century Gothic"/>
          <w:i/>
          <w:iCs/>
          <w:sz w:val="20"/>
          <w:szCs w:val="20"/>
        </w:rPr>
        <w:t>que dentro de las diferentes obligaciones esta: Ejercer la representación judicial y</w:t>
      </w:r>
      <w:r>
        <w:rPr>
          <w:rFonts w:ascii="Verdana" w:eastAsia="Century Gothic" w:hAnsi="Verdana" w:cs="Century Gothic"/>
          <w:i/>
          <w:iCs/>
          <w:sz w:val="20"/>
          <w:szCs w:val="20"/>
        </w:rPr>
        <w:t xml:space="preserve"> </w:t>
      </w:r>
      <w:r w:rsidRPr="000C21D5">
        <w:rPr>
          <w:rFonts w:ascii="Verdana" w:eastAsia="Century Gothic" w:hAnsi="Verdana" w:cs="Century Gothic"/>
          <w:i/>
          <w:iCs/>
          <w:sz w:val="20"/>
          <w:szCs w:val="20"/>
        </w:rPr>
        <w:t xml:space="preserve">extrajudicial del municipio en todas sus diligencias , igualmente </w:t>
      </w:r>
      <w:proofErr w:type="spellStart"/>
      <w:r w:rsidRPr="000C21D5">
        <w:rPr>
          <w:rFonts w:ascii="Verdana" w:eastAsia="Century Gothic" w:hAnsi="Verdana" w:cs="Century Gothic"/>
          <w:i/>
          <w:iCs/>
          <w:sz w:val="20"/>
          <w:szCs w:val="20"/>
        </w:rPr>
        <w:t>esta</w:t>
      </w:r>
      <w:proofErr w:type="spellEnd"/>
      <w:r w:rsidRPr="000C21D5">
        <w:rPr>
          <w:rFonts w:ascii="Verdana" w:eastAsia="Century Gothic" w:hAnsi="Verdana" w:cs="Century Gothic"/>
          <w:i/>
          <w:iCs/>
          <w:sz w:val="20"/>
          <w:szCs w:val="20"/>
        </w:rPr>
        <w:t xml:space="preserve"> involucrado en</w:t>
      </w:r>
      <w:r>
        <w:rPr>
          <w:rFonts w:ascii="Verdana" w:eastAsia="Century Gothic" w:hAnsi="Verdana" w:cs="Century Gothic"/>
          <w:i/>
          <w:iCs/>
          <w:sz w:val="20"/>
          <w:szCs w:val="20"/>
        </w:rPr>
        <w:t xml:space="preserve"> </w:t>
      </w:r>
      <w:r w:rsidRPr="000C21D5">
        <w:rPr>
          <w:rFonts w:ascii="Verdana" w:eastAsia="Century Gothic" w:hAnsi="Verdana" w:cs="Century Gothic"/>
          <w:i/>
          <w:iCs/>
          <w:sz w:val="20"/>
          <w:szCs w:val="20"/>
        </w:rPr>
        <w:t>todos los asuntos de las secretarias y/u oficinas de la Alcaldía, teniendo en cuenta</w:t>
      </w:r>
      <w:r>
        <w:rPr>
          <w:rFonts w:ascii="Verdana" w:eastAsia="Century Gothic" w:hAnsi="Verdana" w:cs="Century Gothic"/>
          <w:i/>
          <w:iCs/>
          <w:sz w:val="20"/>
          <w:szCs w:val="20"/>
        </w:rPr>
        <w:t xml:space="preserve"> </w:t>
      </w:r>
      <w:r w:rsidRPr="000C21D5">
        <w:rPr>
          <w:rFonts w:ascii="Verdana" w:eastAsia="Century Gothic" w:hAnsi="Verdana" w:cs="Century Gothic"/>
          <w:i/>
          <w:iCs/>
          <w:sz w:val="20"/>
          <w:szCs w:val="20"/>
        </w:rPr>
        <w:t xml:space="preserve">que ella se </w:t>
      </w:r>
      <w:proofErr w:type="spellStart"/>
      <w:r w:rsidRPr="000C21D5">
        <w:rPr>
          <w:rFonts w:ascii="Verdana" w:eastAsia="Century Gothic" w:hAnsi="Verdana" w:cs="Century Gothic"/>
          <w:i/>
          <w:iCs/>
          <w:sz w:val="20"/>
          <w:szCs w:val="20"/>
        </w:rPr>
        <w:t>desempeño</w:t>
      </w:r>
      <w:proofErr w:type="spellEnd"/>
      <w:r w:rsidRPr="000C21D5">
        <w:rPr>
          <w:rFonts w:ascii="Verdana" w:eastAsia="Century Gothic" w:hAnsi="Verdana" w:cs="Century Gothic"/>
          <w:i/>
          <w:iCs/>
          <w:sz w:val="20"/>
          <w:szCs w:val="20"/>
        </w:rPr>
        <w:t xml:space="preserve"> como Secretaria de la Mujer, existiría alguna inhabilidad,</w:t>
      </w:r>
      <w:r>
        <w:rPr>
          <w:rFonts w:ascii="Verdana" w:eastAsia="Century Gothic" w:hAnsi="Verdana" w:cs="Century Gothic"/>
          <w:i/>
          <w:iCs/>
          <w:sz w:val="20"/>
          <w:szCs w:val="20"/>
        </w:rPr>
        <w:t xml:space="preserve"> </w:t>
      </w:r>
      <w:r w:rsidRPr="000C21D5">
        <w:rPr>
          <w:rFonts w:ascii="Verdana" w:eastAsia="Century Gothic" w:hAnsi="Verdana" w:cs="Century Gothic"/>
          <w:i/>
          <w:iCs/>
          <w:sz w:val="20"/>
          <w:szCs w:val="20"/>
        </w:rPr>
        <w:t>teniendo en cuenta lo citado: La Ley 1474 de 2011 adicionó el literal f) al numeral 2</w:t>
      </w:r>
      <w:r>
        <w:rPr>
          <w:rFonts w:ascii="Verdana" w:eastAsia="Century Gothic" w:hAnsi="Verdana" w:cs="Century Gothic"/>
          <w:i/>
          <w:iCs/>
          <w:sz w:val="20"/>
          <w:szCs w:val="20"/>
        </w:rPr>
        <w:t xml:space="preserve"> </w:t>
      </w:r>
      <w:r w:rsidRPr="000C21D5">
        <w:rPr>
          <w:rFonts w:ascii="Verdana" w:eastAsia="Century Gothic" w:hAnsi="Verdana" w:cs="Century Gothic"/>
          <w:i/>
          <w:iCs/>
          <w:sz w:val="20"/>
          <w:szCs w:val="20"/>
        </w:rPr>
        <w:t>del artículo 8 de la Ley 80 de 1993, De antemano gracias por su colaboración</w:t>
      </w:r>
      <w:r>
        <w:rPr>
          <w:rFonts w:ascii="Verdana" w:eastAsia="Century Gothic" w:hAnsi="Verdana" w:cs="Century Gothic"/>
          <w:i/>
          <w:iCs/>
          <w:sz w:val="20"/>
          <w:szCs w:val="20"/>
        </w:rPr>
        <w:t>.</w:t>
      </w:r>
    </w:p>
    <w:p w14:paraId="1D95E46F" w14:textId="1C5B3929" w:rsidR="004655F6" w:rsidRPr="00CD7324" w:rsidRDefault="004655F6" w:rsidP="004655F6">
      <w:pPr>
        <w:tabs>
          <w:tab w:val="left" w:pos="142"/>
          <w:tab w:val="left" w:pos="567"/>
        </w:tabs>
        <w:ind w:left="426" w:right="709"/>
        <w:jc w:val="both"/>
        <w:rPr>
          <w:rFonts w:ascii="Verdana" w:eastAsia="Century Gothic" w:hAnsi="Verdana" w:cs="Century Gothic"/>
          <w:i/>
          <w:iCs/>
          <w:sz w:val="20"/>
          <w:szCs w:val="20"/>
        </w:rPr>
      </w:pPr>
      <w:r>
        <w:rPr>
          <w:rFonts w:ascii="Verdana" w:eastAsia="Century Gothic" w:hAnsi="Verdana" w:cs="Century Gothic"/>
          <w:i/>
          <w:iCs/>
          <w:sz w:val="20"/>
          <w:szCs w:val="20"/>
        </w:rPr>
        <w:t>(</w:t>
      </w:r>
      <w:r w:rsidRPr="00CD7324">
        <w:rPr>
          <w:rFonts w:ascii="Verdana" w:eastAsia="Century Gothic" w:hAnsi="Verdana" w:cs="Century Gothic"/>
          <w:i/>
          <w:iCs/>
          <w:sz w:val="20"/>
          <w:szCs w:val="20"/>
        </w:rPr>
        <w:t>…)”</w:t>
      </w:r>
      <w:r>
        <w:rPr>
          <w:rFonts w:ascii="Verdana" w:eastAsia="Century Gothic" w:hAnsi="Verdana" w:cs="Century Gothic"/>
          <w:i/>
          <w:iCs/>
          <w:sz w:val="20"/>
          <w:szCs w:val="20"/>
        </w:rPr>
        <w:t>.</w:t>
      </w:r>
      <w:r w:rsidRPr="00CD7324">
        <w:rPr>
          <w:rFonts w:ascii="Verdana" w:eastAsia="Century Gothic" w:hAnsi="Verdana" w:cs="Century Gothic"/>
          <w:i/>
          <w:iCs/>
          <w:sz w:val="20"/>
          <w:szCs w:val="20"/>
        </w:rPr>
        <w:t xml:space="preserve"> </w:t>
      </w:r>
    </w:p>
    <w:p w14:paraId="1A692FB9" w14:textId="77777777" w:rsidR="004655F6" w:rsidRPr="00AA3B9F" w:rsidRDefault="004655F6" w:rsidP="004655F6">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505884ED" w14:textId="77777777" w:rsidR="004655F6" w:rsidRPr="00AA3B9F" w:rsidRDefault="004655F6" w:rsidP="004655F6">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14:paraId="6EF06531" w14:textId="77777777" w:rsidR="004655F6" w:rsidRDefault="004655F6" w:rsidP="004655F6">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1766F4A0" w14:textId="77777777" w:rsidR="004655F6" w:rsidRDefault="004655F6" w:rsidP="004655F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63C36049" w14:textId="77777777" w:rsidR="004655F6" w:rsidRDefault="004655F6" w:rsidP="004655F6">
      <w:pPr>
        <w:pStyle w:val="Prrafodelista"/>
        <w:tabs>
          <w:tab w:val="left" w:pos="142"/>
          <w:tab w:val="left" w:pos="284"/>
        </w:tabs>
        <w:spacing w:after="0" w:line="276" w:lineRule="auto"/>
        <w:ind w:left="0"/>
        <w:jc w:val="both"/>
        <w:rPr>
          <w:rFonts w:ascii="Verdana" w:eastAsia="Century Gothic" w:hAnsi="Verdana" w:cs="Century Gothic"/>
          <w:b/>
          <w:bCs/>
        </w:rPr>
      </w:pPr>
    </w:p>
    <w:p w14:paraId="7AED7A16" w14:textId="0BE8AB41" w:rsidR="007B78C6" w:rsidRPr="005F0F58" w:rsidRDefault="004655F6" w:rsidP="007B78C6">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5" w:name="_Hlk196737317"/>
      <w:r>
        <w:rPr>
          <w:rFonts w:ascii="Verdana" w:eastAsia="Calibri" w:hAnsi="Verdana" w:cs="Arial"/>
          <w:lang w:eastAsia="es-ES"/>
        </w:rPr>
        <w:t xml:space="preserve"> </w:t>
      </w:r>
      <w:r w:rsidR="007B78C6" w:rsidRPr="006C4D46">
        <w:rPr>
          <w:rFonts w:ascii="Verdana" w:eastAsia="Century Gothic" w:hAnsi="Verdana" w:cs="Century Gothic"/>
        </w:rPr>
        <w:t>¿</w:t>
      </w:r>
      <w:r w:rsidR="007B78C6" w:rsidRPr="006C4D46">
        <w:rPr>
          <w:rFonts w:ascii="Verdana" w:hAnsi="Verdana"/>
        </w:rPr>
        <w:t xml:space="preserve">Existen </w:t>
      </w:r>
      <w:r w:rsidR="007B78C6" w:rsidRPr="006C4D46">
        <w:rPr>
          <w:rFonts w:ascii="Verdana" w:eastAsia="Calibri" w:hAnsi="Verdana" w:cs="Arial"/>
          <w:color w:val="000000"/>
          <w:lang w:val="es-ES_tradnl" w:eastAsia="es-ES_tradnl"/>
        </w:rPr>
        <w:t>restricciones que prohíben a los ex</w:t>
      </w:r>
      <w:r w:rsidR="007B78C6">
        <w:rPr>
          <w:rFonts w:ascii="Verdana" w:eastAsia="Calibri" w:hAnsi="Verdana" w:cs="Arial"/>
          <w:color w:val="000000"/>
          <w:lang w:val="es-ES_tradnl" w:eastAsia="es-ES_tradnl"/>
        </w:rPr>
        <w:t>funcionarios</w:t>
      </w:r>
      <w:r w:rsidR="007B78C6" w:rsidRPr="006C4D46">
        <w:rPr>
          <w:rFonts w:ascii="Verdana" w:eastAsia="Calibri" w:hAnsi="Verdana" w:cs="Arial"/>
          <w:color w:val="000000"/>
          <w:lang w:val="es-ES_tradnl" w:eastAsia="es-ES_tradnl"/>
        </w:rPr>
        <w:t xml:space="preserve"> públicos que hayan ejercido cargos de nivel directivo celebrar directa o indirectamente contratos estatales</w:t>
      </w:r>
      <w:r w:rsidR="007B78C6" w:rsidRPr="006C4D46">
        <w:rPr>
          <w:rFonts w:ascii="Verdana" w:eastAsia="Century Gothic" w:hAnsi="Verdana" w:cs="Century Gothic"/>
        </w:rPr>
        <w:t>?</w:t>
      </w:r>
    </w:p>
    <w:p w14:paraId="2F3D635C" w14:textId="77777777" w:rsidR="004655F6" w:rsidRDefault="004655F6" w:rsidP="004655F6">
      <w:pPr>
        <w:pStyle w:val="Prrafodelista"/>
        <w:tabs>
          <w:tab w:val="left" w:pos="142"/>
          <w:tab w:val="left" w:pos="284"/>
        </w:tabs>
        <w:spacing w:after="0" w:line="276" w:lineRule="auto"/>
        <w:ind w:left="0"/>
        <w:jc w:val="both"/>
        <w:rPr>
          <w:rFonts w:ascii="Verdana" w:eastAsia="Century Gothic" w:hAnsi="Verdana" w:cs="Century Gothic"/>
        </w:rPr>
      </w:pPr>
    </w:p>
    <w:bookmarkEnd w:id="5"/>
    <w:p w14:paraId="61198B59" w14:textId="77777777" w:rsidR="004655F6" w:rsidRDefault="004655F6" w:rsidP="004655F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C03C7C0" w14:textId="77777777" w:rsidR="004655F6" w:rsidRPr="00593A5F" w:rsidRDefault="004655F6" w:rsidP="004655F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655F6" w:rsidRPr="00593A5F" w14:paraId="6761AECB" w14:textId="77777777" w:rsidTr="003E6E41">
        <w:tc>
          <w:tcPr>
            <w:tcW w:w="8828" w:type="dxa"/>
            <w:shd w:val="clear" w:color="auto" w:fill="auto"/>
          </w:tcPr>
          <w:p w14:paraId="3AF51634" w14:textId="1D46DAE0" w:rsidR="004655F6" w:rsidRPr="00E529C2" w:rsidRDefault="004655F6" w:rsidP="0078715D">
            <w:pPr>
              <w:spacing w:line="276" w:lineRule="auto"/>
              <w:jc w:val="both"/>
              <w:rPr>
                <w:rFonts w:ascii="Verdana" w:eastAsia="Calibri" w:hAnsi="Verdana" w:cs="Times New Roman"/>
                <w:lang w:val="es-ES"/>
              </w:rPr>
            </w:pPr>
          </w:p>
        </w:tc>
      </w:tr>
      <w:tr w:rsidR="004655F6" w:rsidRPr="00593A5F" w14:paraId="016EF919" w14:textId="77777777" w:rsidTr="003E6E41">
        <w:tc>
          <w:tcPr>
            <w:tcW w:w="8828" w:type="dxa"/>
            <w:shd w:val="clear" w:color="auto" w:fill="auto"/>
          </w:tcPr>
          <w:p w14:paraId="297B7CC9" w14:textId="77777777" w:rsidR="004655F6" w:rsidRPr="002973E9" w:rsidRDefault="004655F6" w:rsidP="003E6E41">
            <w:pPr>
              <w:spacing w:line="276" w:lineRule="auto"/>
              <w:jc w:val="both"/>
              <w:rPr>
                <w:rFonts w:ascii="Verdana" w:eastAsia="Calibri" w:hAnsi="Verdana" w:cs="Arial"/>
                <w:lang w:val="es-ES"/>
              </w:rPr>
            </w:pPr>
          </w:p>
        </w:tc>
      </w:tr>
      <w:tr w:rsidR="0093542D" w:rsidRPr="00E529C2" w14:paraId="53A6E531" w14:textId="77777777" w:rsidTr="009354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828" w:type="dxa"/>
          </w:tcPr>
          <w:p w14:paraId="41B025FE" w14:textId="77777777" w:rsidR="0093542D" w:rsidRPr="0093542D" w:rsidRDefault="0093542D" w:rsidP="0093542D">
            <w:pPr>
              <w:spacing w:after="120" w:line="276" w:lineRule="auto"/>
              <w:jc w:val="both"/>
              <w:rPr>
                <w:rFonts w:ascii="Verdana" w:hAnsi="Verdana"/>
              </w:rPr>
            </w:pPr>
            <w:r w:rsidRPr="0093542D">
              <w:rPr>
                <w:rFonts w:ascii="Verdana" w:eastAsia="Calibri" w:hAnsi="Verdana" w:cs="Arial"/>
                <w:lang w:val="es-MX"/>
              </w:rPr>
              <w:t xml:space="preserve">        </w:t>
            </w:r>
            <w:r w:rsidRPr="0093542D">
              <w:rPr>
                <w:rFonts w:ascii="Verdana" w:hAnsi="Verdana"/>
              </w:rPr>
              <w:t>Sí. Existen restricciones contempladas en el numeral 2 del artículo 8 de la Ley 80 de 1993. De conformidad con el literal f) del numeral 2 del artículo 8 de la</w:t>
            </w:r>
            <w:r w:rsidRPr="0093542D">
              <w:rPr>
                <w:rFonts w:ascii="Verdana" w:hAnsi="Verdana"/>
              </w:rPr>
              <w:t xml:space="preserve"> </w:t>
            </w:r>
            <w:r w:rsidRPr="0093542D">
              <w:rPr>
                <w:rFonts w:ascii="Verdana" w:hAnsi="Verdana"/>
              </w:rPr>
              <w:t xml:space="preserve">Ley 80 de 1993, adicionado por el artículo 4 de la Ley 1474 de 2011, se configura incompatibilidad de manera directa en las personas naturales que ejercieron cargos del nivel directivo en entidades del Estado, y, de manera indirecta, en las sociedades a las que se encuentren vinculados dichos exservidores públicos, a cualquier título. La restricción a la capacidad contractual que deviene de esta causal aplica solo respecto de objetos contractuales que desarrollen tenga relación con el sector al cual el ex funcionario del nivel directivo prestó sus servicios y se extenderá durante los dos años siguientes a su retiro. </w:t>
            </w:r>
          </w:p>
          <w:p w14:paraId="38E77341" w14:textId="77777777" w:rsidR="0093542D" w:rsidRPr="0093542D" w:rsidRDefault="0093542D" w:rsidP="0093542D">
            <w:pPr>
              <w:spacing w:after="120" w:line="276" w:lineRule="auto"/>
              <w:jc w:val="both"/>
              <w:rPr>
                <w:rFonts w:ascii="Verdana" w:hAnsi="Verdana"/>
              </w:rPr>
            </w:pPr>
            <w:r w:rsidRPr="0093542D">
              <w:rPr>
                <w:rFonts w:ascii="Verdana" w:hAnsi="Verdana"/>
              </w:rPr>
              <w:t xml:space="preserve">            </w:t>
            </w:r>
            <w:r w:rsidRPr="0093542D">
              <w:rPr>
                <w:rFonts w:ascii="Verdana" w:hAnsi="Verdana"/>
              </w:rPr>
              <w:t>Adicionalmente, por expresa disposición del literal f) del artículo 8, numeral 2 de la Ley 80 de 1993, esta incompatibilidad también se extiende a las personas naturales que se encuentren dentro del primer grado de consanguinidad, primero de afinidad, o primero civil del exempleado público. Esto significa que personas con dicho tipo de vínculos con el exfuncionario del nivel directivo, tampoco podrán celebrar contratos estatales con objetos relacionados el sector donde este haya trabajado, hasta pasados dos años de su retiro del servicio.</w:t>
            </w:r>
          </w:p>
          <w:p w14:paraId="43E1A17F" w14:textId="77777777" w:rsidR="0093542D" w:rsidRPr="0093542D" w:rsidRDefault="0093542D" w:rsidP="0093542D">
            <w:pPr>
              <w:spacing w:after="120" w:line="276" w:lineRule="auto"/>
              <w:jc w:val="both"/>
              <w:rPr>
                <w:rFonts w:ascii="Verdana" w:hAnsi="Verdana"/>
              </w:rPr>
            </w:pPr>
            <w:r w:rsidRPr="0093542D">
              <w:rPr>
                <w:rFonts w:ascii="Verdana" w:hAnsi="Verdana"/>
              </w:rPr>
              <w:t xml:space="preserve">             </w:t>
            </w:r>
            <w:r w:rsidRPr="0093542D">
              <w:rPr>
                <w:rFonts w:ascii="Verdana" w:hAnsi="Verdana"/>
              </w:rPr>
              <w:t xml:space="preserve">Consecuente con lo anterior, queda claro que no se pueden celebrar contratos estatales cuyo objeto se relacione con el sector en el cual se desempeñó el exempleado público durante los términos establecidos anteriormente. Dicho de otro modo, tras haber dejado el cargo el servidor público, comienza a correr el término en el cual se aplica la restricción. Esto significa que cuando tal período haya transcurrido, en principio, los sujetos a los que se refieren las causales mencionadas recobran la capacidad para celebrar contratos estatales, salvo que estén afectados por otras causales de inhabilidad o de incompatibilidad. </w:t>
            </w:r>
          </w:p>
          <w:p w14:paraId="5D7BE4DD" w14:textId="4845FECC" w:rsidR="0093542D" w:rsidRPr="0093542D" w:rsidRDefault="0093542D" w:rsidP="0093542D">
            <w:pPr>
              <w:spacing w:after="120" w:line="276" w:lineRule="auto"/>
              <w:jc w:val="both"/>
              <w:rPr>
                <w:rFonts w:ascii="Verdana" w:hAnsi="Verdana"/>
              </w:rPr>
            </w:pPr>
            <w:r w:rsidRPr="0093542D">
              <w:rPr>
                <w:rFonts w:ascii="Verdana" w:hAnsi="Verdana"/>
              </w:rPr>
              <w:t xml:space="preserve">              </w:t>
            </w:r>
            <w:r w:rsidRPr="0093542D">
              <w:rPr>
                <w:rFonts w:ascii="Verdana" w:hAnsi="Verdana"/>
              </w:rPr>
              <w:t xml:space="preserve">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w:t>
            </w:r>
            <w:r w:rsidRPr="0093542D">
              <w:rPr>
                <w:rFonts w:ascii="Verdana" w:hAnsi="Verdana"/>
              </w:rPr>
              <w:lastRenderedPageBreak/>
              <w:t>interesados de adoptar la decisión y, en caso de conflicto, a las autoridades judiciales, fiscales y disciplinarias.</w:t>
            </w:r>
          </w:p>
          <w:p w14:paraId="404CAD74" w14:textId="0757F787" w:rsidR="0093542D" w:rsidRPr="0093542D" w:rsidRDefault="0093542D" w:rsidP="0093542D">
            <w:pPr>
              <w:spacing w:after="120" w:line="276" w:lineRule="auto"/>
              <w:jc w:val="both"/>
              <w:rPr>
                <w:rFonts w:ascii="Verdana" w:hAnsi="Verdana"/>
              </w:rPr>
            </w:pPr>
            <w:r w:rsidRPr="0093542D">
              <w:rPr>
                <w:rFonts w:ascii="Verdana" w:hAnsi="Verdana"/>
              </w:rPr>
              <w:t xml:space="preserve">              </w:t>
            </w:r>
            <w:r w:rsidRPr="0093542D">
              <w:rPr>
                <w:rFonts w:ascii="Verdana" w:hAnsi="Verdana"/>
              </w:rPr>
              <w:t>En ese sentido, al tratarse de un análisis que debe realizarse en un procedimiento contractual específico, esta Agencia no puede definir un criterio</w:t>
            </w:r>
            <w:r w:rsidRPr="0093542D">
              <w:rPr>
                <w:rFonts w:ascii="Verdana" w:hAnsi="Verdana"/>
              </w:rPr>
              <w:t xml:space="preserve"> </w:t>
            </w:r>
            <w:r w:rsidRPr="0093542D">
              <w:rPr>
                <w:rFonts w:ascii="Verdana" w:hAnsi="Verdana"/>
              </w:rPr>
              <w:t>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sidRPr="0093542D">
              <w:rPr>
                <w:rFonts w:ascii="Verdana" w:hAnsi="Verdana"/>
              </w:rPr>
              <w:t>.</w:t>
            </w:r>
          </w:p>
          <w:p w14:paraId="4DB27E5F" w14:textId="6CE93CE3" w:rsidR="0093542D" w:rsidRPr="0093542D" w:rsidRDefault="0093542D" w:rsidP="0093542D">
            <w:pPr>
              <w:spacing w:line="276" w:lineRule="auto"/>
              <w:jc w:val="both"/>
              <w:rPr>
                <w:rFonts w:ascii="Verdana" w:eastAsia="Calibri" w:hAnsi="Verdana" w:cs="Times New Roman"/>
                <w:lang w:val="es-ES"/>
              </w:rPr>
            </w:pPr>
          </w:p>
        </w:tc>
      </w:tr>
    </w:tbl>
    <w:p w14:paraId="1956F1E7" w14:textId="77777777" w:rsidR="004655F6" w:rsidRDefault="004655F6" w:rsidP="004655F6">
      <w:pPr>
        <w:tabs>
          <w:tab w:val="left" w:pos="142"/>
          <w:tab w:val="left" w:pos="284"/>
        </w:tabs>
        <w:spacing w:after="0" w:line="276" w:lineRule="auto"/>
        <w:jc w:val="both"/>
        <w:rPr>
          <w:rFonts w:ascii="Verdana" w:eastAsia="Century Gothic" w:hAnsi="Verdana" w:cs="Century Gothic"/>
          <w:b/>
          <w:bCs/>
          <w:lang w:val="es-ES"/>
        </w:rPr>
      </w:pPr>
    </w:p>
    <w:p w14:paraId="378AD8C7" w14:textId="77777777" w:rsidR="004655F6" w:rsidRPr="00593A5F" w:rsidRDefault="004655F6" w:rsidP="004655F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4AB0F90" w14:textId="77777777" w:rsidR="004655F6" w:rsidRDefault="004655F6" w:rsidP="004655F6">
      <w:pPr>
        <w:spacing w:after="0" w:line="276" w:lineRule="auto"/>
        <w:ind w:firstLine="708"/>
        <w:jc w:val="both"/>
        <w:rPr>
          <w:rFonts w:ascii="Verdana" w:eastAsia="Calibri" w:hAnsi="Verdana" w:cs="Arial"/>
          <w:color w:val="000000" w:themeColor="text1"/>
        </w:rPr>
      </w:pPr>
    </w:p>
    <w:p w14:paraId="510EEFC2" w14:textId="4033F187" w:rsidR="0078715D" w:rsidRPr="001157F6" w:rsidRDefault="004655F6" w:rsidP="0078715D">
      <w:pPr>
        <w:spacing w:line="276" w:lineRule="auto"/>
        <w:jc w:val="both"/>
        <w:rPr>
          <w:rFonts w:ascii="Verdana" w:eastAsia="Calibri" w:hAnsi="Verdana" w:cs="Arial"/>
          <w:color w:val="000000"/>
          <w:lang w:val="es-ES_tradnl" w:eastAsia="es-ES_tradnl"/>
        </w:rPr>
      </w:pPr>
      <w:r w:rsidRPr="0023441C">
        <w:rPr>
          <w:rFonts w:ascii="Verdana" w:eastAsia="Times New Roman" w:hAnsi="Verdana" w:cs="Arial"/>
          <w:color w:val="000000" w:themeColor="text1"/>
          <w:lang w:val="es-ES_tradnl" w:eastAsia="es-CO"/>
        </w:rPr>
        <w:t xml:space="preserve">La contratación Estatal constituye un instrumento a través del cual las Entidades Públicas realizan el aprovisionamiento de sus bienes, obras y </w:t>
      </w:r>
      <w:r w:rsidR="0093542D">
        <w:rPr>
          <w:rFonts w:ascii="Verdana" w:eastAsia="Arial" w:hAnsi="Verdana" w:cs="Arial"/>
          <w:lang w:eastAsia="es-ES_tradnl"/>
        </w:rPr>
        <w:t>servicios.</w:t>
      </w:r>
      <w:r w:rsidR="0078715D">
        <w:rPr>
          <w:rFonts w:ascii="Verdana" w:eastAsia="Arial" w:hAnsi="Verdana" w:cs="Arial"/>
          <w:lang w:eastAsia="es-ES_tradnl"/>
        </w:rPr>
        <w:t xml:space="preserve"> </w:t>
      </w:r>
      <w:r w:rsidR="0078715D" w:rsidRPr="001157F6">
        <w:rPr>
          <w:rFonts w:ascii="Verdana" w:eastAsia="Calibri" w:hAnsi="Verdana" w:cs="Arial"/>
          <w:color w:val="000000"/>
          <w:lang w:val="es-ES_tradnl" w:eastAsia="es-ES_tradnl"/>
        </w:rPr>
        <w:t>En la contratación estatal</w:t>
      </w:r>
      <w:r w:rsidR="0093542D">
        <w:rPr>
          <w:rFonts w:ascii="Verdana" w:eastAsia="Calibri" w:hAnsi="Verdana" w:cs="Arial"/>
          <w:color w:val="000000"/>
          <w:lang w:val="es-ES_tradnl" w:eastAsia="es-ES_tradnl"/>
        </w:rPr>
        <w:t xml:space="preserve">, </w:t>
      </w:r>
      <w:proofErr w:type="spellStart"/>
      <w:r w:rsidR="0093542D">
        <w:rPr>
          <w:rFonts w:ascii="Verdana" w:eastAsia="Calibri" w:hAnsi="Verdana" w:cs="Arial"/>
          <w:color w:val="000000"/>
          <w:lang w:val="es-ES_tradnl" w:eastAsia="es-ES_tradnl"/>
        </w:rPr>
        <w:t>al</w:t>
      </w:r>
      <w:proofErr w:type="spellEnd"/>
      <w:r w:rsidR="0093542D">
        <w:rPr>
          <w:rFonts w:ascii="Verdana" w:eastAsia="Calibri" w:hAnsi="Verdana" w:cs="Arial"/>
          <w:color w:val="000000"/>
          <w:lang w:val="es-ES_tradnl" w:eastAsia="es-ES_tradnl"/>
        </w:rPr>
        <w:t xml:space="preserve"> igual que en el derecho privado,</w:t>
      </w:r>
      <w:r w:rsidR="0078715D" w:rsidRPr="001157F6">
        <w:rPr>
          <w:rFonts w:ascii="Verdana" w:eastAsia="Calibri" w:hAnsi="Verdana" w:cs="Arial"/>
          <w:color w:val="000000"/>
          <w:lang w:val="es-ES_tradnl" w:eastAsia="es-ES_tradnl"/>
        </w:rPr>
        <w:t xml:space="preserve"> la </w:t>
      </w:r>
      <w:r w:rsidR="0078715D" w:rsidRPr="008D4E30">
        <w:rPr>
          <w:rFonts w:ascii="Verdana" w:eastAsia="Calibri" w:hAnsi="Verdana" w:cs="Arial"/>
          <w:color w:val="000000"/>
          <w:lang w:val="es-ES_tradnl" w:eastAsia="es-ES_tradnl"/>
        </w:rPr>
        <w:t>capacidad</w:t>
      </w:r>
      <w:r w:rsidR="0078715D" w:rsidRPr="001157F6">
        <w:rPr>
          <w:rFonts w:ascii="Verdana" w:eastAsia="Calibri" w:hAnsi="Verdana" w:cs="Arial"/>
          <w:color w:val="000000"/>
          <w:lang w:val="es-ES_tradnl" w:eastAsia="es-ES_tradnl"/>
        </w:rPr>
        <w:t xml:space="preserve"> también es un requisito de validez de los contratos, tanto en el régimen de las entidades sujetas al Estatuto General de Contratación de la Administración Pública</w:t>
      </w:r>
      <w:r w:rsidR="0078715D" w:rsidRPr="001157F6">
        <w:rPr>
          <w:rFonts w:ascii="Verdana" w:eastAsia="Calibri" w:hAnsi="Verdana" w:cs="Arial"/>
          <w:color w:val="000000"/>
          <w:vertAlign w:val="superscript"/>
          <w:lang w:val="es-ES_tradnl" w:eastAsia="es-ES_tradnl"/>
        </w:rPr>
        <w:footnoteReference w:id="1"/>
      </w:r>
      <w:r w:rsidR="0078715D" w:rsidRPr="001157F6">
        <w:rPr>
          <w:rFonts w:ascii="Verdana" w:eastAsia="Calibri" w:hAnsi="Verdana" w:cs="Arial"/>
          <w:color w:val="000000"/>
          <w:lang w:val="es-ES_tradnl" w:eastAsia="es-ES_tradnl"/>
        </w:rPr>
        <w:t xml:space="preserve"> como en el de las entidades exceptuadas de aquel</w:t>
      </w:r>
      <w:r w:rsidR="0078715D" w:rsidRPr="001157F6">
        <w:rPr>
          <w:rFonts w:ascii="Verdana" w:eastAsia="Calibri" w:hAnsi="Verdana" w:cs="Arial"/>
          <w:color w:val="000000"/>
          <w:vertAlign w:val="superscript"/>
          <w:lang w:val="es-ES_tradnl" w:eastAsia="es-ES_tradnl"/>
        </w:rPr>
        <w:footnoteReference w:id="2"/>
      </w:r>
      <w:r w:rsidR="0078715D" w:rsidRPr="001157F6">
        <w:rPr>
          <w:rFonts w:ascii="Verdana" w:eastAsia="Calibri" w:hAnsi="Verdana" w:cs="Arial"/>
          <w:color w:val="000000"/>
          <w:lang w:val="es-ES_tradnl" w:eastAsia="es-ES_tradnl"/>
        </w:rPr>
        <w:t>.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w:t>
      </w:r>
      <w:r w:rsidR="0078715D" w:rsidRPr="001157F6">
        <w:rPr>
          <w:rFonts w:ascii="Verdana" w:eastAsia="Calibri" w:hAnsi="Verdana" w:cs="Arial"/>
          <w:color w:val="000000"/>
          <w:vertAlign w:val="superscript"/>
          <w:lang w:val="es-ES_tradnl" w:eastAsia="es-ES_tradnl"/>
        </w:rPr>
        <w:footnoteReference w:id="3"/>
      </w:r>
      <w:r w:rsidR="0078715D" w:rsidRPr="001157F6">
        <w:rPr>
          <w:rFonts w:ascii="Verdana" w:eastAsia="Calibri" w:hAnsi="Verdana" w:cs="Arial"/>
          <w:color w:val="000000"/>
          <w:lang w:val="es-ES_tradnl" w:eastAsia="es-ES_tradnl"/>
        </w:rPr>
        <w:t>–,</w:t>
      </w:r>
      <w:r w:rsidR="007A421B">
        <w:rPr>
          <w:rFonts w:ascii="Verdana" w:eastAsia="Calibri" w:hAnsi="Verdana" w:cs="Arial"/>
          <w:color w:val="000000"/>
          <w:lang w:val="es-ES_tradnl" w:eastAsia="es-ES_tradnl"/>
        </w:rPr>
        <w:t xml:space="preserve"> para el caso concreto s</w:t>
      </w:r>
      <w:r w:rsidR="0078715D" w:rsidRPr="001157F6">
        <w:rPr>
          <w:rFonts w:ascii="Verdana" w:eastAsia="Calibri" w:hAnsi="Verdana" w:cs="Arial"/>
          <w:color w:val="000000"/>
          <w:lang w:val="es-ES_tradnl" w:eastAsia="es-ES_tradnl"/>
        </w:rPr>
        <w:t xml:space="preserve">e destaca el </w:t>
      </w:r>
      <w:r w:rsidR="0078715D" w:rsidRPr="001157F6">
        <w:rPr>
          <w:rFonts w:ascii="Verdana" w:eastAsia="Calibri" w:hAnsi="Verdana" w:cs="Arial"/>
          <w:color w:val="000000"/>
          <w:lang w:val="es-ES_tradnl" w:eastAsia="es-ES_tradnl"/>
        </w:rPr>
        <w:lastRenderedPageBreak/>
        <w:t>régimen de inhabilidades e incompatibilidades</w:t>
      </w:r>
      <w:r w:rsidR="007A421B">
        <w:rPr>
          <w:rFonts w:ascii="Verdana" w:eastAsia="Calibri" w:hAnsi="Verdana" w:cs="Arial"/>
          <w:color w:val="000000"/>
          <w:lang w:val="es-ES_tradnl" w:eastAsia="es-ES_tradnl"/>
        </w:rPr>
        <w:t>. Este es entendido como</w:t>
      </w:r>
      <w:r w:rsidR="0078715D" w:rsidRPr="001157F6">
        <w:rPr>
          <w:rFonts w:ascii="Verdana" w:eastAsia="Calibri" w:hAnsi="Verdana" w:cs="Arial"/>
          <w:color w:val="000000"/>
          <w:lang w:val="es-ES_tradnl" w:eastAsia="es-ES_tradnl"/>
        </w:rPr>
        <w:t xml:space="preserve"> un conjunto de enunciados normativos que imponen restricciones para los sujetos que, eventualmente, pretendan participar en los procedimientos de selección o celebrar contratos con las entidades estatales</w:t>
      </w:r>
      <w:r w:rsidR="0078715D" w:rsidRPr="001157F6">
        <w:rPr>
          <w:rFonts w:ascii="Verdana" w:eastAsia="Calibri" w:hAnsi="Verdana" w:cs="Arial"/>
          <w:color w:val="000000"/>
          <w:vertAlign w:val="superscript"/>
          <w:lang w:val="es-ES_tradnl" w:eastAsia="es-ES_tradnl"/>
        </w:rPr>
        <w:footnoteReference w:id="4"/>
      </w:r>
      <w:r w:rsidR="0078715D" w:rsidRPr="001157F6">
        <w:rPr>
          <w:rFonts w:ascii="Verdana" w:eastAsia="Calibri" w:hAnsi="Verdana" w:cs="Arial"/>
          <w:color w:val="000000"/>
          <w:lang w:val="es-ES_tradnl" w:eastAsia="es-ES_tradnl"/>
        </w:rPr>
        <w:t>.</w:t>
      </w:r>
    </w:p>
    <w:p w14:paraId="4510BAD2" w14:textId="77777777" w:rsidR="0078715D" w:rsidRDefault="0078715D" w:rsidP="0078715D">
      <w:pPr>
        <w:spacing w:before="120" w:after="120" w:line="276" w:lineRule="auto"/>
        <w:ind w:firstLine="709"/>
        <w:jc w:val="both"/>
        <w:rPr>
          <w:rFonts w:ascii="Verdana" w:eastAsia="Calibri" w:hAnsi="Verdana" w:cs="Arial"/>
          <w:color w:val="000000"/>
          <w:lang w:val="es-ES" w:eastAsia="es-ES"/>
        </w:rPr>
      </w:pPr>
      <w:r w:rsidRPr="4552CAB1">
        <w:rPr>
          <w:rFonts w:ascii="Verdana" w:eastAsia="Calibri" w:hAnsi="Verdana" w:cs="Arial"/>
          <w:color w:val="000000"/>
          <w:lang w:val="es-ES" w:eastAsia="es-ES"/>
        </w:rPr>
        <w:t>Las inhabilidades son prohibiciones para concurrir a los procedimientos de selección y para contratar con el Estado, que se derivan: i) de la existencia de comportamientos reprochables o de sanciones anteriormente impuestas</w:t>
      </w:r>
      <w:r w:rsidRPr="4552CAB1">
        <w:rPr>
          <w:rFonts w:ascii="Verdana" w:eastAsia="Calibri" w:hAnsi="Verdana" w:cs="Arial"/>
          <w:color w:val="000000"/>
          <w:vertAlign w:val="superscript"/>
          <w:lang w:val="es-ES" w:eastAsia="es-ES"/>
        </w:rPr>
        <w:footnoteReference w:id="5"/>
      </w:r>
      <w:r w:rsidRPr="4552CAB1">
        <w:rPr>
          <w:rFonts w:ascii="Verdana" w:eastAsia="Calibri" w:hAnsi="Verdana" w:cs="Arial"/>
          <w:color w:val="000000"/>
          <w:lang w:val="es-ES" w:eastAsia="es-ES"/>
        </w:rPr>
        <w:t xml:space="preserve">, </w:t>
      </w:r>
      <w:proofErr w:type="spellStart"/>
      <w:r w:rsidRPr="4552CAB1">
        <w:rPr>
          <w:rFonts w:ascii="Verdana" w:eastAsia="Calibri" w:hAnsi="Verdana" w:cs="Arial"/>
          <w:color w:val="000000"/>
          <w:lang w:val="es-ES" w:eastAsia="es-ES"/>
        </w:rPr>
        <w:t>ii</w:t>
      </w:r>
      <w:proofErr w:type="spellEnd"/>
      <w:r w:rsidRPr="4552CAB1">
        <w:rPr>
          <w:rFonts w:ascii="Verdana" w:eastAsia="Calibri" w:hAnsi="Verdana" w:cs="Arial"/>
          <w:color w:val="000000"/>
          <w:lang w:val="es-ES" w:eastAsia="es-ES"/>
        </w:rPr>
        <w:t>) de vínculos personales relativos al parentesco o al estado civil</w:t>
      </w:r>
      <w:r w:rsidRPr="4552CAB1">
        <w:rPr>
          <w:rFonts w:ascii="Verdana" w:eastAsia="Calibri" w:hAnsi="Verdana" w:cs="Arial"/>
          <w:color w:val="000000"/>
          <w:vertAlign w:val="superscript"/>
          <w:lang w:val="es-ES" w:eastAsia="es-ES"/>
        </w:rPr>
        <w:footnoteReference w:id="6"/>
      </w:r>
      <w:r w:rsidRPr="4552CAB1">
        <w:rPr>
          <w:rFonts w:ascii="Verdana" w:eastAsia="Calibri" w:hAnsi="Verdana" w:cs="Arial"/>
          <w:color w:val="000000"/>
          <w:lang w:val="es-ES" w:eastAsia="es-ES"/>
        </w:rPr>
        <w:t xml:space="preserve"> o </w:t>
      </w:r>
      <w:proofErr w:type="spellStart"/>
      <w:r w:rsidRPr="4552CAB1">
        <w:rPr>
          <w:rFonts w:ascii="Verdana" w:eastAsia="Calibri" w:hAnsi="Verdana" w:cs="Arial"/>
          <w:color w:val="000000"/>
          <w:lang w:val="es-ES" w:eastAsia="es-ES"/>
        </w:rPr>
        <w:t>iii</w:t>
      </w:r>
      <w:proofErr w:type="spellEnd"/>
      <w:r w:rsidRPr="4552CAB1">
        <w:rPr>
          <w:rFonts w:ascii="Verdana" w:eastAsia="Calibri" w:hAnsi="Verdana" w:cs="Arial"/>
          <w:color w:val="000000"/>
          <w:lang w:val="es-ES" w:eastAsia="es-ES"/>
        </w:rPr>
        <w:t xml:space="preserve">) de una </w:t>
      </w:r>
      <w:r w:rsidRPr="4552CAB1">
        <w:rPr>
          <w:rFonts w:ascii="Verdana" w:eastAsia="Calibri" w:hAnsi="Verdana" w:cs="Arial"/>
          <w:color w:val="000000"/>
          <w:lang w:val="es-ES" w:eastAsia="es-ES"/>
        </w:rPr>
        <w:lastRenderedPageBreak/>
        <w:t>actividad u oficio que se desempeñó en el pasado</w:t>
      </w:r>
      <w:r w:rsidRPr="4552CAB1">
        <w:rPr>
          <w:rFonts w:ascii="Verdana" w:eastAsia="Calibri" w:hAnsi="Verdana" w:cs="Arial"/>
          <w:color w:val="000000"/>
          <w:vertAlign w:val="superscript"/>
          <w:lang w:val="es-ES" w:eastAsia="es-ES"/>
        </w:rPr>
        <w:footnoteReference w:id="7"/>
      </w:r>
      <w:r w:rsidRPr="4552CAB1">
        <w:rPr>
          <w:rFonts w:ascii="Verdana" w:eastAsia="Calibri" w:hAnsi="Verdana" w:cs="Arial"/>
          <w:color w:val="000000"/>
          <w:lang w:val="es-ES" w:eastAsia="es-ES"/>
        </w:rPr>
        <w:t>. De otro lado, las incompatibilidades son prohibiciones para participar en los procedimientos de selección y para celebrar contratos estatales, fundadas en la calidad que ostenta el sujeto interesado en realizar alguna de dichas actividades, que no puede coexistir con su calidad de proponente o contratista del Estado</w:t>
      </w:r>
      <w:r w:rsidRPr="4552CAB1">
        <w:rPr>
          <w:rFonts w:ascii="Verdana" w:eastAsia="Calibri" w:hAnsi="Verdana" w:cs="Arial"/>
          <w:color w:val="000000"/>
          <w:vertAlign w:val="superscript"/>
          <w:lang w:val="es-ES" w:eastAsia="es-ES"/>
        </w:rPr>
        <w:footnoteReference w:id="8"/>
      </w:r>
      <w:r w:rsidRPr="4552CAB1">
        <w:rPr>
          <w:rFonts w:ascii="Verdana" w:eastAsia="Calibri" w:hAnsi="Verdana" w:cs="Arial"/>
          <w:color w:val="000000"/>
          <w:lang w:val="es-ES" w:eastAsia="es-ES"/>
        </w:rPr>
        <w:t xml:space="preserve">. </w:t>
      </w:r>
    </w:p>
    <w:p w14:paraId="2DDBDFDC" w14:textId="77777777" w:rsidR="0078715D" w:rsidRDefault="0078715D" w:rsidP="0078715D">
      <w:pPr>
        <w:spacing w:before="120" w:after="120" w:line="276" w:lineRule="auto"/>
        <w:ind w:firstLine="709"/>
        <w:jc w:val="both"/>
        <w:rPr>
          <w:rFonts w:ascii="Verdana" w:eastAsia="Calibri" w:hAnsi="Verdana" w:cs="Arial"/>
          <w:color w:val="000000"/>
          <w:lang w:val="es-ES" w:eastAsia="es-ES"/>
        </w:rPr>
      </w:pPr>
      <w:r w:rsidRPr="4552CAB1">
        <w:rPr>
          <w:rFonts w:ascii="Verdana" w:eastAsia="Calibri" w:hAnsi="Verdana" w:cs="Arial"/>
          <w:color w:val="000000"/>
          <w:lang w:val="es-ES" w:eastAsia="es-ES"/>
        </w:rPr>
        <w:t xml:space="preserve">El régimen de inhabilidades e incompatibilidades en la contratación pública responde a la tendencia, vigente desde hace varias décadas en nuestro país, pero que se ha reforzado en los últimos años, de asegurar que la actividad de </w:t>
      </w:r>
      <w:r w:rsidRPr="4552CAB1">
        <w:rPr>
          <w:rFonts w:ascii="Verdana" w:eastAsia="Calibri" w:hAnsi="Verdana" w:cs="Arial"/>
          <w:color w:val="000000"/>
          <w:lang w:val="es-ES" w:eastAsia="es-ES"/>
        </w:rPr>
        <w:lastRenderedPageBreak/>
        <w:t>provisión de los bienes y servicios por parte de las entidades estatales se efectúe cumpliendo con los principios de la función administrativa y de la gestión fiscal, especialmente con probidad y transparencia. Es por ello que, como lo ha destacado la doctrina, las inhabilidades e incompatibilidades se han convertido en herramientas en la lucha contra la corrupción, adoptando paulatinamente un cariz sancionatorio o “</w:t>
      </w:r>
      <w:proofErr w:type="spellStart"/>
      <w:r w:rsidRPr="4552CAB1">
        <w:rPr>
          <w:rFonts w:ascii="Verdana" w:eastAsia="Calibri" w:hAnsi="Verdana" w:cs="Arial"/>
          <w:color w:val="000000"/>
          <w:lang w:val="es-ES" w:eastAsia="es-ES"/>
        </w:rPr>
        <w:t>neopunitivo</w:t>
      </w:r>
      <w:proofErr w:type="spellEnd"/>
      <w:r w:rsidRPr="4552CAB1">
        <w:rPr>
          <w:rFonts w:ascii="Verdana" w:eastAsia="Calibri" w:hAnsi="Verdana" w:cs="Arial"/>
          <w:color w:val="000000"/>
          <w:lang w:val="es-ES" w:eastAsia="es-ES"/>
        </w:rPr>
        <w:t>”</w:t>
      </w:r>
      <w:r w:rsidRPr="4552CAB1">
        <w:rPr>
          <w:rFonts w:ascii="Verdana" w:eastAsia="Calibri" w:hAnsi="Verdana" w:cs="Arial"/>
          <w:color w:val="000000"/>
          <w:vertAlign w:val="superscript"/>
          <w:lang w:val="es-ES" w:eastAsia="es-ES"/>
        </w:rPr>
        <w:footnoteReference w:id="9"/>
      </w:r>
      <w:r w:rsidRPr="4552CAB1">
        <w:rPr>
          <w:rFonts w:ascii="Verdana" w:eastAsia="Calibri" w:hAnsi="Verdana" w:cs="Arial"/>
          <w:color w:val="000000"/>
          <w:lang w:val="es-ES" w:eastAsia="es-ES"/>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6727BF08" w14:textId="508D5099" w:rsidR="0078715D" w:rsidRPr="00EC1259" w:rsidRDefault="0078715D" w:rsidP="0078715D">
      <w:pPr>
        <w:spacing w:before="120" w:after="120" w:line="276" w:lineRule="auto"/>
        <w:ind w:firstLine="709"/>
        <w:jc w:val="both"/>
        <w:rPr>
          <w:rFonts w:ascii="Verdana" w:eastAsia="Calibri" w:hAnsi="Verdana" w:cs="Arial"/>
          <w:color w:val="000000"/>
          <w:lang w:val="es-ES_tradnl" w:eastAsia="es-ES_tradnl"/>
        </w:rPr>
      </w:pPr>
      <w:r w:rsidRPr="002F166B">
        <w:rPr>
          <w:rFonts w:ascii="Verdana" w:eastAsia="Calibri" w:hAnsi="Verdana" w:cs="Arial"/>
          <w:color w:val="000000"/>
          <w:szCs w:val="24"/>
          <w:lang w:val="es-ES_tradnl" w:eastAsia="es-ES_tradnl"/>
        </w:rPr>
        <w:t>Ahora bien, las inhabilidades e incompatibilidades al ser restricciones o límites especiales a la capacidad para presentar ofertas y celebrar contratos estatales, solo pueden tipificarse en la ley o sea, deben satisfacer el principio de legalidad y su interpretación debe ser restrictiva</w:t>
      </w:r>
      <w:r w:rsidRPr="002F166B">
        <w:rPr>
          <w:rFonts w:ascii="Verdana" w:eastAsia="Calibri" w:hAnsi="Verdana" w:cs="Arial"/>
          <w:color w:val="000000"/>
          <w:szCs w:val="24"/>
          <w:vertAlign w:val="superscript"/>
          <w:lang w:val="es-ES_tradnl" w:eastAsia="es-ES_tradnl"/>
        </w:rPr>
        <w:footnoteReference w:id="10"/>
      </w:r>
      <w:r w:rsidR="00ED6FA7">
        <w:rPr>
          <w:rFonts w:ascii="Verdana" w:eastAsia="Calibri" w:hAnsi="Verdana" w:cs="Arial"/>
          <w:color w:val="000000"/>
          <w:szCs w:val="24"/>
          <w:lang w:val="es-ES_tradnl" w:eastAsia="es-ES_tradnl"/>
        </w:rPr>
        <w:t>. S</w:t>
      </w:r>
      <w:r w:rsidRPr="002F166B">
        <w:rPr>
          <w:rFonts w:ascii="Verdana" w:eastAsia="Calibri" w:hAnsi="Verdana" w:cs="Arial"/>
          <w:color w:val="000000"/>
          <w:szCs w:val="24"/>
          <w:lang w:val="es-ES_tradnl" w:eastAsia="es-ES_tradnl"/>
        </w:rPr>
        <w:t>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w:t>
      </w:r>
    </w:p>
    <w:p w14:paraId="7AD87403" w14:textId="77777777" w:rsidR="0078715D" w:rsidRDefault="0078715D" w:rsidP="0078715D">
      <w:pPr>
        <w:spacing w:before="120" w:after="120" w:line="276" w:lineRule="auto"/>
        <w:ind w:firstLine="709"/>
        <w:jc w:val="both"/>
        <w:rPr>
          <w:rFonts w:ascii="Verdana" w:eastAsia="Calibri" w:hAnsi="Verdana" w:cs="Arial"/>
          <w:color w:val="000000"/>
          <w:szCs w:val="24"/>
          <w:lang w:val="es-ES_tradnl" w:eastAsia="es-ES_tradnl"/>
        </w:rPr>
      </w:pPr>
      <w:r w:rsidRPr="002F166B">
        <w:rPr>
          <w:rFonts w:ascii="Verdana" w:eastAsia="Calibri" w:hAnsi="Verdana" w:cs="Arial"/>
          <w:color w:val="000000"/>
          <w:szCs w:val="24"/>
          <w:lang w:val="es-ES_tradnl" w:eastAsia="es-ES_tradnl"/>
        </w:rPr>
        <w:t>En efecto, el máximo tribunal constitucional ha indicado que, al precisar el sentido de este tipo de normas, “</w:t>
      </w:r>
      <w:r>
        <w:rPr>
          <w:rFonts w:ascii="Verdana" w:eastAsia="Calibri" w:hAnsi="Verdana" w:cs="Arial"/>
          <w:color w:val="000000"/>
          <w:szCs w:val="24"/>
          <w:lang w:val="es-ES_tradnl" w:eastAsia="es-ES_tradnl"/>
        </w:rPr>
        <w:t>(</w:t>
      </w:r>
      <w:r w:rsidRPr="002F166B">
        <w:rPr>
          <w:rFonts w:ascii="Verdana" w:eastAsia="Calibri" w:hAnsi="Verdana" w:cs="Arial"/>
          <w:color w:val="000000"/>
          <w:szCs w:val="24"/>
          <w:lang w:val="es-ES_tradnl" w:eastAsia="es-ES_tradnl"/>
        </w:rPr>
        <w:t>…</w:t>
      </w:r>
      <w:r>
        <w:rPr>
          <w:rFonts w:ascii="Verdana" w:eastAsia="Calibri" w:hAnsi="Verdana" w:cs="Arial"/>
          <w:color w:val="000000"/>
          <w:szCs w:val="24"/>
          <w:lang w:val="es-ES_tradnl" w:eastAsia="es-ES_tradnl"/>
        </w:rPr>
        <w:t>)</w:t>
      </w:r>
      <w:r w:rsidRPr="002F166B">
        <w:rPr>
          <w:rFonts w:ascii="Verdana" w:eastAsia="Calibri" w:hAnsi="Verdana" w:cs="Arial"/>
          <w:color w:val="000000"/>
          <w:szCs w:val="24"/>
          <w:lang w:val="es-ES_tradnl" w:eastAsia="es-ES_tradnl"/>
        </w:rPr>
        <w:t xml:space="preserve">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2F166B">
        <w:rPr>
          <w:rFonts w:ascii="Verdana" w:eastAsia="Calibri" w:hAnsi="Verdana" w:cs="Arial"/>
          <w:color w:val="000000"/>
          <w:szCs w:val="24"/>
          <w:vertAlign w:val="superscript"/>
          <w:lang w:val="es-ES_tradnl" w:eastAsia="es-ES_tradnl"/>
        </w:rPr>
        <w:footnoteReference w:id="11"/>
      </w:r>
      <w:r w:rsidRPr="002F166B">
        <w:rPr>
          <w:rFonts w:ascii="Verdana" w:eastAsia="Calibri" w:hAnsi="Verdana" w:cs="Arial"/>
          <w:color w:val="000000"/>
          <w:szCs w:val="24"/>
          <w:lang w:val="es-ES_tradnl" w:eastAsia="es-ES_tradnl"/>
        </w:rPr>
        <w:t xml:space="preserve">. Por su parte, el Consejo de Estado ha acogido también este criterio, considerando como expresa la Sala de Consulta y Servicio Civil que </w:t>
      </w:r>
      <w:r>
        <w:rPr>
          <w:rFonts w:ascii="Verdana" w:eastAsia="Calibri" w:hAnsi="Verdana" w:cs="Arial"/>
          <w:color w:val="000000"/>
          <w:szCs w:val="24"/>
          <w:lang w:val="es-ES_tradnl" w:eastAsia="es-ES_tradnl"/>
        </w:rPr>
        <w:t>l</w:t>
      </w:r>
      <w:r w:rsidRPr="002F166B">
        <w:rPr>
          <w:rFonts w:ascii="Verdana" w:eastAsia="Calibri" w:hAnsi="Verdana" w:cs="Arial"/>
          <w:color w:val="000000"/>
          <w:szCs w:val="24"/>
          <w:lang w:val="es-ES_tradnl" w:eastAsia="es-ES_tradnl"/>
        </w:rPr>
        <w:t xml:space="preserve">a interpretación restrictiva de las normas que establecen inhabilidades constituye una aplicación del principio </w:t>
      </w:r>
      <w:r w:rsidRPr="002F166B">
        <w:rPr>
          <w:rFonts w:ascii="Verdana" w:eastAsia="Calibri" w:hAnsi="Verdana" w:cs="Arial"/>
          <w:color w:val="000000"/>
          <w:szCs w:val="24"/>
          <w:lang w:val="es-ES_tradnl" w:eastAsia="es-ES_tradnl"/>
        </w:rPr>
        <w:lastRenderedPageBreak/>
        <w:t>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2F166B">
        <w:rPr>
          <w:rFonts w:ascii="Verdana" w:eastAsia="Calibri" w:hAnsi="Verdana" w:cs="Arial"/>
          <w:color w:val="000000"/>
          <w:szCs w:val="24"/>
          <w:vertAlign w:val="superscript"/>
          <w:lang w:val="es-ES_tradnl" w:eastAsia="es-ES_tradnl"/>
        </w:rPr>
        <w:footnoteReference w:id="12"/>
      </w:r>
      <w:r w:rsidRPr="002F166B">
        <w:rPr>
          <w:rFonts w:ascii="Verdana" w:eastAsia="Calibri" w:hAnsi="Verdana" w:cs="Arial"/>
          <w:color w:val="000000"/>
          <w:szCs w:val="24"/>
          <w:lang w:val="es-ES_tradnl" w:eastAsia="es-ES_tradnl"/>
        </w:rPr>
        <w:t>. En tal sentido, la Sección Tercera ha señalado que:</w:t>
      </w:r>
    </w:p>
    <w:p w14:paraId="5CE79CB0" w14:textId="77777777" w:rsidR="0078715D" w:rsidRPr="00EC1259" w:rsidRDefault="0078715D" w:rsidP="0078715D">
      <w:pPr>
        <w:spacing w:before="120" w:after="120" w:line="276" w:lineRule="auto"/>
        <w:ind w:left="709" w:right="709"/>
        <w:jc w:val="both"/>
        <w:rPr>
          <w:rFonts w:ascii="Verdana" w:eastAsia="Calibri" w:hAnsi="Verdana" w:cs="Arial"/>
          <w:color w:val="000000"/>
          <w:szCs w:val="24"/>
          <w:lang w:val="es-ES_tradnl" w:eastAsia="es-ES_tradnl"/>
        </w:rPr>
      </w:pPr>
      <w:r>
        <w:rPr>
          <w:rFonts w:ascii="Verdana" w:eastAsia="Times New Roman" w:hAnsi="Verdana" w:cs="Arial"/>
          <w:color w:val="000000"/>
          <w:sz w:val="20"/>
          <w:szCs w:val="20"/>
          <w:lang w:val="es-ES_tradnl" w:eastAsia="es-ES_tradnl"/>
        </w:rPr>
        <w:t>(</w:t>
      </w:r>
      <w:r w:rsidRPr="002F166B">
        <w:rPr>
          <w:rFonts w:ascii="Verdana" w:eastAsia="Times New Roman" w:hAnsi="Verdana" w:cs="Arial"/>
          <w:color w:val="000000"/>
          <w:sz w:val="20"/>
          <w:szCs w:val="20"/>
          <w:lang w:val="es-ES_tradnl" w:eastAsia="es-ES_tradnl"/>
        </w:rPr>
        <w:t>…</w:t>
      </w:r>
      <w:r>
        <w:rPr>
          <w:rFonts w:ascii="Verdana" w:eastAsia="Times New Roman" w:hAnsi="Verdana" w:cs="Arial"/>
          <w:color w:val="000000"/>
          <w:sz w:val="20"/>
          <w:szCs w:val="20"/>
          <w:lang w:val="es-ES_tradnl" w:eastAsia="es-ES_tradnl"/>
        </w:rPr>
        <w:t>)</w:t>
      </w:r>
      <w:r w:rsidRPr="002F166B">
        <w:rPr>
          <w:rFonts w:ascii="Verdana" w:eastAsia="Times New Roman" w:hAnsi="Verdana" w:cs="Arial"/>
          <w:color w:val="000000"/>
          <w:sz w:val="20"/>
          <w:szCs w:val="20"/>
          <w:lang w:val="es-ES_tradnl" w:eastAsia="es-ES_tradnl"/>
        </w:rPr>
        <w:t xml:space="preserve">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2F166B">
        <w:rPr>
          <w:rFonts w:ascii="Verdana" w:eastAsia="Times New Roman" w:hAnsi="Verdana" w:cs="Arial"/>
          <w:color w:val="000000"/>
          <w:sz w:val="20"/>
          <w:szCs w:val="20"/>
          <w:vertAlign w:val="superscript"/>
          <w:lang w:val="es-ES_tradnl" w:eastAsia="es-ES_tradnl"/>
        </w:rPr>
        <w:footnoteReference w:id="13"/>
      </w:r>
      <w:r w:rsidRPr="002F166B">
        <w:rPr>
          <w:rFonts w:ascii="Verdana" w:eastAsia="Times New Roman" w:hAnsi="Verdana" w:cs="Arial"/>
          <w:color w:val="000000"/>
          <w:sz w:val="20"/>
          <w:szCs w:val="20"/>
          <w:lang w:val="es-ES_tradnl" w:eastAsia="es-ES_tradnl"/>
        </w:rPr>
        <w:t>.</w:t>
      </w:r>
    </w:p>
    <w:p w14:paraId="3C72E0AF" w14:textId="77777777" w:rsidR="0078715D" w:rsidRPr="001A1E71" w:rsidRDefault="0078715D" w:rsidP="0078715D">
      <w:pPr>
        <w:spacing w:line="276" w:lineRule="auto"/>
        <w:jc w:val="both"/>
        <w:rPr>
          <w:rFonts w:ascii="Verdana" w:eastAsia="Calibri" w:hAnsi="Verdana" w:cs="Arial"/>
          <w:color w:val="000000"/>
          <w:szCs w:val="24"/>
          <w:lang w:val="es-ES_tradnl" w:eastAsia="es-ES_tradnl"/>
        </w:rPr>
      </w:pPr>
      <w:r w:rsidRPr="001A1E71">
        <w:rPr>
          <w:rFonts w:ascii="Verdana" w:eastAsia="Calibri" w:hAnsi="Verdana" w:cs="Arial"/>
          <w:color w:val="000000"/>
          <w:szCs w:val="24"/>
          <w:lang w:val="es-ES_tradnl" w:eastAsia="es-ES_tradnl"/>
        </w:rPr>
        <w:t>También ha dicho que:</w:t>
      </w:r>
    </w:p>
    <w:p w14:paraId="1E225DC3" w14:textId="77777777" w:rsidR="0078715D" w:rsidRDefault="0078715D" w:rsidP="0078715D">
      <w:pPr>
        <w:spacing w:before="120" w:after="120" w:line="276" w:lineRule="auto"/>
        <w:ind w:left="709" w:right="709"/>
        <w:jc w:val="both"/>
        <w:rPr>
          <w:rFonts w:ascii="Verdana" w:eastAsia="Times New Roman" w:hAnsi="Verdana" w:cs="Arial"/>
          <w:color w:val="000000"/>
          <w:sz w:val="20"/>
          <w:szCs w:val="20"/>
          <w:lang w:val="es-ES" w:eastAsia="es-ES"/>
        </w:rPr>
      </w:pPr>
      <w:r w:rsidRPr="4552CAB1">
        <w:rPr>
          <w:rFonts w:ascii="Verdana" w:eastAsia="Times New Roman" w:hAnsi="Verdana" w:cs="Arial"/>
          <w:color w:val="000000"/>
          <w:sz w:val="20"/>
          <w:szCs w:val="20"/>
          <w:lang w:val="es-ES" w:eastAsia="es-ES"/>
        </w:rPr>
        <w:t xml:space="preserve">(…) la aplicación de estos preceptos exige una interpretación restrictiva, dado que según el principio hermenéutico </w:t>
      </w:r>
      <w:r w:rsidRPr="4552CAB1">
        <w:rPr>
          <w:rFonts w:ascii="Verdana" w:eastAsia="Times New Roman" w:hAnsi="Verdana" w:cs="Arial"/>
          <w:i/>
          <w:color w:val="000000"/>
          <w:sz w:val="20"/>
          <w:szCs w:val="20"/>
          <w:lang w:val="es-ES" w:eastAsia="es-ES"/>
        </w:rPr>
        <w:t xml:space="preserve">pro </w:t>
      </w:r>
      <w:proofErr w:type="spellStart"/>
      <w:r w:rsidRPr="4552CAB1">
        <w:rPr>
          <w:rFonts w:ascii="Verdana" w:eastAsia="Times New Roman" w:hAnsi="Verdana" w:cs="Arial"/>
          <w:i/>
          <w:color w:val="000000"/>
          <w:sz w:val="20"/>
          <w:szCs w:val="20"/>
          <w:lang w:val="es-ES" w:eastAsia="es-ES"/>
        </w:rPr>
        <w:t>libertate</w:t>
      </w:r>
      <w:proofErr w:type="spellEnd"/>
      <w:r w:rsidRPr="4552CAB1">
        <w:rPr>
          <w:rFonts w:ascii="Verdana" w:eastAsia="Times New Roman" w:hAnsi="Verdana" w:cs="Arial"/>
          <w:color w:val="000000"/>
          <w:sz w:val="20"/>
          <w:szCs w:val="20"/>
          <w:lang w:val="es-ES" w:eastAsia="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4552CAB1">
        <w:rPr>
          <w:rFonts w:ascii="Verdana" w:eastAsia="Times New Roman" w:hAnsi="Verdana" w:cs="Arial"/>
          <w:color w:val="000000"/>
          <w:sz w:val="20"/>
          <w:szCs w:val="20"/>
          <w:vertAlign w:val="superscript"/>
          <w:lang w:val="es-ES" w:eastAsia="es-ES"/>
        </w:rPr>
        <w:footnoteReference w:id="14"/>
      </w:r>
      <w:r w:rsidRPr="4552CAB1">
        <w:rPr>
          <w:rFonts w:ascii="Verdana" w:eastAsia="Times New Roman" w:hAnsi="Verdana" w:cs="Arial"/>
          <w:color w:val="000000"/>
          <w:sz w:val="20"/>
          <w:szCs w:val="20"/>
          <w:lang w:val="es-ES" w:eastAsia="es-ES"/>
        </w:rPr>
        <w:t>.</w:t>
      </w:r>
    </w:p>
    <w:p w14:paraId="2773C08F" w14:textId="77777777" w:rsidR="0078715D" w:rsidRDefault="0078715D" w:rsidP="0078715D">
      <w:pPr>
        <w:spacing w:before="120" w:after="120" w:line="276" w:lineRule="auto"/>
        <w:ind w:firstLine="709"/>
        <w:jc w:val="both"/>
        <w:rPr>
          <w:rFonts w:ascii="Verdana" w:eastAsia="Times New Roman" w:hAnsi="Verdana" w:cs="Arial"/>
          <w:color w:val="000000"/>
          <w:shd w:val="clear" w:color="auto" w:fill="FFFFFF"/>
          <w:lang w:val="es-ES" w:eastAsia="es-ES_tradnl"/>
        </w:rPr>
      </w:pPr>
      <w:r w:rsidRPr="002F166B">
        <w:rPr>
          <w:rFonts w:ascii="Verdana" w:eastAsia="Calibri" w:hAnsi="Verdana" w:cs="Arial"/>
          <w:color w:val="000000"/>
          <w:szCs w:val="24"/>
          <w:lang w:val="es-ES_tradnl" w:eastAsia="es-ES_tradnl"/>
        </w:rPr>
        <w:t xml:space="preserve">Como se aprecia, el principio </w:t>
      </w:r>
      <w:r w:rsidRPr="002F166B">
        <w:rPr>
          <w:rFonts w:ascii="Verdana" w:eastAsia="Calibri" w:hAnsi="Verdana" w:cs="Arial"/>
          <w:i/>
          <w:iCs/>
          <w:color w:val="000000"/>
          <w:szCs w:val="24"/>
          <w:lang w:val="es-ES_tradnl" w:eastAsia="es-ES_tradnl"/>
        </w:rPr>
        <w:t xml:space="preserve">pro </w:t>
      </w:r>
      <w:proofErr w:type="spellStart"/>
      <w:r w:rsidRPr="002F166B">
        <w:rPr>
          <w:rFonts w:ascii="Verdana" w:eastAsia="Calibri" w:hAnsi="Verdana" w:cs="Arial"/>
          <w:i/>
          <w:iCs/>
          <w:color w:val="000000"/>
          <w:szCs w:val="24"/>
          <w:lang w:val="es-ES_tradnl" w:eastAsia="es-ES_tradnl"/>
        </w:rPr>
        <w:t>libertate</w:t>
      </w:r>
      <w:proofErr w:type="spellEnd"/>
      <w:r w:rsidRPr="002F166B">
        <w:rPr>
          <w:rFonts w:ascii="Verdana" w:eastAsia="Calibri" w:hAnsi="Verdana" w:cs="Arial"/>
          <w:color w:val="000000"/>
          <w:szCs w:val="24"/>
          <w:lang w:val="es-ES_tradnl" w:eastAsia="es-ES_tradnl"/>
        </w:rPr>
        <w:t xml:space="preserve"> es el que debe dirigir la interpretación de las disposiciones normativas que consagran restricciones de derechos, como sucede con las causales de inhabilidad e incompatibilidad en la contratación estatal. </w:t>
      </w:r>
      <w:r w:rsidRPr="002F166B">
        <w:rPr>
          <w:rFonts w:ascii="Verdana" w:eastAsia="Times New Roman" w:hAnsi="Verdana" w:cs="Arial"/>
          <w:color w:val="000000"/>
          <w:shd w:val="clear" w:color="auto" w:fill="FFFFFF"/>
          <w:lang w:val="es-ES" w:eastAsia="es-ES_tradnl"/>
        </w:rPr>
        <w:t>Por lo tanto, no es posible llevar a cabo la interpretación extensiva de estas, debiendo preferirse aquella que menos limita el derecho de las personas, salvaguardando el interés general en la contratación pública de manera que implique el menor sacrificio posible al derecho de igualdad.</w:t>
      </w:r>
    </w:p>
    <w:p w14:paraId="1EAEE2B3" w14:textId="569F45C3" w:rsidR="0078715D" w:rsidRPr="003F4FB4" w:rsidRDefault="0078715D" w:rsidP="0078715D">
      <w:pPr>
        <w:spacing w:before="120" w:after="120" w:line="276" w:lineRule="auto"/>
        <w:ind w:firstLine="709"/>
        <w:jc w:val="both"/>
        <w:rPr>
          <w:rFonts w:ascii="Verdana" w:eastAsia="Times New Roman" w:hAnsi="Verdana" w:cs="Arial"/>
          <w:color w:val="000000"/>
          <w:shd w:val="clear" w:color="auto" w:fill="FFFFFF"/>
          <w:lang w:val="es-ES" w:eastAsia="es-ES_tradnl"/>
        </w:rPr>
      </w:pPr>
      <w:r>
        <w:rPr>
          <w:rFonts w:ascii="Verdana" w:eastAsia="Times New Roman" w:hAnsi="Verdana" w:cs="Arial"/>
          <w:color w:val="000000"/>
          <w:shd w:val="clear" w:color="auto" w:fill="FFFFFF"/>
          <w:lang w:val="es-ES" w:eastAsia="es-ES_tradnl"/>
        </w:rPr>
        <w:t xml:space="preserve">En ese orden de ideas, </w:t>
      </w:r>
      <w:r w:rsidRPr="0022076A">
        <w:rPr>
          <w:rFonts w:ascii="Verdana" w:eastAsia="Calibri" w:hAnsi="Verdana" w:cs="Arial"/>
          <w:color w:val="000000"/>
          <w:lang w:val="es-ES_tradnl" w:eastAsia="es-ES_tradnl"/>
        </w:rPr>
        <w:t xml:space="preserve">La Ley 1474 de 2011, “Por la cual se dictan normas orientadas a fortalecer los mecanismos de prevención, investigación y sanción de actos de corrupción y la efectividad del control de la gestión pública”, en el </w:t>
      </w:r>
      <w:r w:rsidRPr="0022076A">
        <w:rPr>
          <w:rFonts w:ascii="Verdana" w:eastAsia="Calibri" w:hAnsi="Verdana" w:cs="Arial"/>
          <w:color w:val="000000"/>
          <w:lang w:val="es-ES_tradnl" w:eastAsia="es-ES_tradnl"/>
        </w:rPr>
        <w:lastRenderedPageBreak/>
        <w:t>artículo 4</w:t>
      </w:r>
      <w:r w:rsidR="00ED6FA7">
        <w:rPr>
          <w:rFonts w:ascii="Verdana" w:eastAsia="Calibri" w:hAnsi="Verdana" w:cs="Arial"/>
          <w:color w:val="000000"/>
          <w:lang w:val="es-ES_tradnl" w:eastAsia="es-ES_tradnl"/>
        </w:rPr>
        <w:t xml:space="preserve">, </w:t>
      </w:r>
      <w:r w:rsidR="00ED6FA7" w:rsidRPr="00ED6FA7">
        <w:rPr>
          <w:rFonts w:ascii="Verdana" w:hAnsi="Verdana"/>
        </w:rPr>
        <w:t>mediante el cual adicionó el literal f) del numeral 2° del artículo 8° de la Ley 80 de 1993, prevé</w:t>
      </w:r>
      <w:r w:rsidRPr="0022076A">
        <w:rPr>
          <w:rFonts w:ascii="Verdana" w:eastAsia="Calibri" w:hAnsi="Verdana" w:cs="Arial"/>
          <w:color w:val="000000"/>
          <w:lang w:val="es-ES_tradnl" w:eastAsia="es-ES_tradnl"/>
        </w:rPr>
        <w:t xml:space="preserve"> una restricción que prohíbe a los exempleados públicos celebrar contratos estatales tras la dejación del cargo, en un ámbito y en un período definidos por el legislador, extendiendo la prohibición a algunos otros sujetos vinculados a estos. La norma establece:</w:t>
      </w:r>
    </w:p>
    <w:p w14:paraId="363BC212" w14:textId="77777777" w:rsidR="0078715D" w:rsidRPr="0022076A" w:rsidRDefault="0078715D" w:rsidP="0078715D">
      <w:pPr>
        <w:ind w:left="709" w:right="709"/>
        <w:jc w:val="both"/>
        <w:rPr>
          <w:rFonts w:ascii="Verdana" w:eastAsia="Calibri" w:hAnsi="Verdana" w:cs="Arial"/>
          <w:color w:val="000000"/>
          <w:sz w:val="20"/>
          <w:szCs w:val="20"/>
          <w:lang w:val="es-ES_tradnl" w:eastAsia="es-ES_tradnl"/>
        </w:rPr>
      </w:pPr>
      <w:r w:rsidRPr="0022076A">
        <w:rPr>
          <w:rFonts w:ascii="Verdana" w:eastAsia="Calibri" w:hAnsi="Verdana" w:cs="Arial"/>
          <w:color w:val="000000"/>
          <w:sz w:val="20"/>
          <w:szCs w:val="20"/>
          <w:lang w:val="es-ES_tradnl" w:eastAsia="es-ES_tradnl"/>
        </w:rPr>
        <w:t>Adiciónese un literal f) al numeral 2 del artículo 8o de la Ley 80 de 1993, el cual quedará así:</w:t>
      </w:r>
    </w:p>
    <w:p w14:paraId="2D910C99" w14:textId="77777777" w:rsidR="0078715D" w:rsidRPr="0022076A" w:rsidRDefault="0078715D" w:rsidP="0078715D">
      <w:pPr>
        <w:ind w:left="709" w:right="709"/>
        <w:jc w:val="both"/>
        <w:rPr>
          <w:rFonts w:ascii="Verdana" w:eastAsia="Calibri" w:hAnsi="Verdana" w:cs="Arial"/>
          <w:color w:val="000000"/>
          <w:sz w:val="20"/>
          <w:szCs w:val="20"/>
          <w:lang w:val="es-ES_tradnl" w:eastAsia="es-ES_tradnl"/>
        </w:rPr>
      </w:pPr>
      <w:r w:rsidRPr="0022076A">
        <w:rPr>
          <w:rFonts w:ascii="Verdana" w:eastAsia="Calibri" w:hAnsi="Verdana" w:cs="Arial"/>
          <w:color w:val="000000"/>
          <w:sz w:val="20"/>
          <w:szCs w:val="20"/>
          <w:lang w:val="es-ES_tradnl" w:eastAsia="es-ES_tradnl"/>
        </w:rPr>
        <w:t>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w:t>
      </w:r>
    </w:p>
    <w:p w14:paraId="309D1E2D" w14:textId="77777777" w:rsidR="0078715D" w:rsidRDefault="0078715D" w:rsidP="0078715D">
      <w:pPr>
        <w:ind w:left="709" w:right="709"/>
        <w:jc w:val="both"/>
        <w:rPr>
          <w:rFonts w:ascii="Verdana" w:eastAsia="Calibri" w:hAnsi="Verdana" w:cs="Arial"/>
          <w:color w:val="000000"/>
          <w:sz w:val="20"/>
          <w:szCs w:val="20"/>
          <w:lang w:val="es-ES" w:eastAsia="es-ES"/>
        </w:rPr>
      </w:pPr>
      <w:r w:rsidRPr="4552CAB1">
        <w:rPr>
          <w:rFonts w:ascii="Verdana" w:eastAsia="Calibri" w:hAnsi="Verdana" w:cs="Arial"/>
          <w:color w:val="000000" w:themeColor="text1"/>
          <w:sz w:val="20"/>
          <w:szCs w:val="20"/>
          <w:lang w:val="es-ES" w:eastAsia="es-ES"/>
        </w:rPr>
        <w:t>Esta incompatibilidad también operará para las personas que se encuentren dentro del primer grado de consanguinidad, primero de afinidad, o primero civil del ex empleado público.</w:t>
      </w:r>
    </w:p>
    <w:p w14:paraId="169B80F6" w14:textId="77777777" w:rsidR="0078715D" w:rsidRDefault="0078715D" w:rsidP="0078715D">
      <w:pPr>
        <w:spacing w:before="120" w:after="120" w:line="276" w:lineRule="auto"/>
        <w:ind w:firstLine="709"/>
        <w:jc w:val="both"/>
        <w:rPr>
          <w:rFonts w:ascii="Verdana" w:eastAsia="Calibri" w:hAnsi="Verdana" w:cs="Arial"/>
          <w:color w:val="000000"/>
          <w:lang w:val="es-ES_tradnl" w:eastAsia="es-ES_tradnl"/>
        </w:rPr>
      </w:pPr>
      <w:r w:rsidRPr="0022076A">
        <w:rPr>
          <w:rFonts w:ascii="Verdana" w:eastAsia="Calibri" w:hAnsi="Verdana" w:cs="Arial"/>
          <w:color w:val="000000"/>
          <w:lang w:val="es-ES_tradnl" w:eastAsia="es-ES_tradnl"/>
        </w:rPr>
        <w:t>Como se observa, esta disposición normativa prevé una restricción para la contratación estatal, compuesta por los siguientes elementos:</w:t>
      </w:r>
    </w:p>
    <w:p w14:paraId="66AF2452" w14:textId="77777777" w:rsidR="0078715D" w:rsidRDefault="0078715D" w:rsidP="0078715D">
      <w:pPr>
        <w:spacing w:before="120" w:after="120" w:line="276" w:lineRule="auto"/>
        <w:ind w:firstLine="709"/>
        <w:jc w:val="both"/>
        <w:rPr>
          <w:rFonts w:ascii="Verdana" w:eastAsia="Calibri" w:hAnsi="Verdana" w:cs="Arial"/>
          <w:color w:val="000000"/>
          <w:lang w:val="es-ES_tradnl" w:eastAsia="es-ES_tradnl"/>
        </w:rPr>
      </w:pPr>
      <w:r w:rsidRPr="00E40972">
        <w:rPr>
          <w:rFonts w:ascii="Verdana" w:eastAsia="Calibri" w:hAnsi="Verdana" w:cs="Arial"/>
          <w:color w:val="000000"/>
          <w:lang w:val="es-ES_tradnl" w:eastAsia="es-ES_tradnl"/>
        </w:rPr>
        <w:t>Sus destinatarios. Es decir, los sujetos en los que radica la prohibición son: a) las personas naturales que hayan ejercido cargos en el nivel directivo en las entidades estatales a quienes el segundo inciso califica como exempleados públicos, b) las</w:t>
      </w:r>
      <w:r w:rsidRPr="0022076A">
        <w:rPr>
          <w:rFonts w:ascii="Verdana" w:eastAsia="Calibri" w:hAnsi="Verdana" w:cs="Arial"/>
          <w:color w:val="000000"/>
          <w:lang w:val="es-ES_tradnl" w:eastAsia="es-ES_tradnl"/>
        </w:rPr>
        <w:t xml:space="preserve"> sociedades de las cuales dichos exempleados públicos hagan parte o estén vinculados a cualquier título, y </w:t>
      </w:r>
      <w:r w:rsidRPr="00E40972">
        <w:rPr>
          <w:rFonts w:ascii="Verdana" w:eastAsia="Calibri" w:hAnsi="Verdana" w:cs="Arial"/>
          <w:color w:val="000000"/>
          <w:lang w:val="es-ES_tradnl" w:eastAsia="es-ES_tradnl"/>
        </w:rPr>
        <w:t>c) sus parientes dentro del primer grado de consanguinidad, primero de afinidad o primero civil. También cabe destacar que la norma en comento dice que a estos sujetos les aplica la prohibición cuando pretendan contratar directa o indirectamente; lo que implica que no pueden valerse de intermediarios para intentar eludir esta restricción.</w:t>
      </w:r>
    </w:p>
    <w:p w14:paraId="68115E84" w14:textId="77777777" w:rsidR="0078715D" w:rsidRDefault="0078715D" w:rsidP="0078715D">
      <w:pPr>
        <w:spacing w:before="120" w:after="120" w:line="276" w:lineRule="auto"/>
        <w:ind w:firstLine="709"/>
        <w:jc w:val="both"/>
        <w:rPr>
          <w:rFonts w:ascii="Verdana" w:eastAsia="Calibri" w:hAnsi="Verdana" w:cs="Arial"/>
          <w:color w:val="000000"/>
          <w:lang w:val="es-ES_tradnl" w:eastAsia="es-ES_tradnl"/>
        </w:rPr>
      </w:pPr>
      <w:r w:rsidRPr="0022076A">
        <w:rPr>
          <w:rFonts w:ascii="Verdana" w:eastAsia="Calibri" w:hAnsi="Verdana" w:cs="Arial"/>
          <w:color w:val="000000"/>
          <w:lang w:val="es-ES_tradnl" w:eastAsia="es-ES_tradnl"/>
        </w:rPr>
        <w:t>Ahora bien, la Corte Constitucional, en la Sentencia C-257 del 7 de mayo de 2013</w:t>
      </w:r>
      <w:r w:rsidRPr="0022076A">
        <w:rPr>
          <w:rFonts w:ascii="Verdana" w:eastAsia="Calibri" w:hAnsi="Verdana" w:cs="Arial"/>
          <w:color w:val="000000"/>
          <w:vertAlign w:val="superscript"/>
          <w:lang w:val="es-ES_tradnl" w:eastAsia="es-ES_tradnl"/>
        </w:rPr>
        <w:footnoteReference w:id="15"/>
      </w:r>
      <w:r w:rsidRPr="0022076A">
        <w:rPr>
          <w:rFonts w:ascii="Verdana" w:eastAsia="Calibri" w:hAnsi="Verdana" w:cs="Arial"/>
          <w:color w:val="000000"/>
          <w:lang w:val="es-ES_tradnl" w:eastAsia="es-ES_tradnl"/>
        </w:rPr>
        <w:t xml:space="preserve">, hizo una importante precisión en relación con las </w:t>
      </w:r>
      <w:r w:rsidRPr="00E40972">
        <w:rPr>
          <w:rFonts w:ascii="Verdana" w:eastAsia="Calibri" w:hAnsi="Verdana" w:cs="Arial"/>
          <w:color w:val="000000"/>
          <w:lang w:val="es-ES_tradnl" w:eastAsia="es-ES_tradnl"/>
        </w:rPr>
        <w:t>sociedades</w:t>
      </w:r>
      <w:r w:rsidRPr="0022076A">
        <w:rPr>
          <w:rFonts w:ascii="Verdana" w:eastAsia="Calibri" w:hAnsi="Verdana" w:cs="Arial"/>
          <w:color w:val="000000"/>
          <w:lang w:val="es-ES_tradnl" w:eastAsia="es-ES_tradnl"/>
        </w:rPr>
        <w:t>, como sujetos pasivos de la prohibición, en el sentido de que se debe tener en cuenta el nivel de influencia que puede ostentar el exempleado público o sus parientes, en los grados señalados en el artículo 4 de la Ley 1474 de 2011, para determinar si la restricción aplica o no al tipo societario. En tal sentido, el máximo tribunal indicó:</w:t>
      </w:r>
    </w:p>
    <w:p w14:paraId="7D63CA09" w14:textId="77777777" w:rsidR="0078715D" w:rsidRDefault="0078715D" w:rsidP="0078715D">
      <w:pPr>
        <w:ind w:left="709" w:right="709"/>
        <w:jc w:val="both"/>
        <w:rPr>
          <w:rFonts w:ascii="Verdana" w:eastAsia="Calibri" w:hAnsi="Verdana" w:cs="Arial"/>
          <w:color w:val="000000"/>
          <w:sz w:val="20"/>
          <w:szCs w:val="20"/>
          <w:lang w:val="es-ES" w:eastAsia="es-ES"/>
        </w:rPr>
      </w:pPr>
      <w:r w:rsidRPr="4552CAB1">
        <w:rPr>
          <w:rFonts w:ascii="Verdana" w:eastAsia="Calibri" w:hAnsi="Verdana" w:cs="Arial"/>
          <w:color w:val="000000" w:themeColor="text1"/>
          <w:sz w:val="20"/>
          <w:szCs w:val="20"/>
          <w:lang w:val="es-ES" w:eastAsia="es-ES"/>
        </w:rPr>
        <w:t xml:space="preserve">“(…) tratándose de sociedades anónimas por acciones, dadas sus características esenciales, la restricción no podría aplicarse, pues en estos </w:t>
      </w:r>
      <w:r w:rsidRPr="4552CAB1">
        <w:rPr>
          <w:rFonts w:ascii="Verdana" w:eastAsia="Calibri" w:hAnsi="Verdana" w:cs="Arial"/>
          <w:color w:val="000000" w:themeColor="text1"/>
          <w:sz w:val="20"/>
          <w:szCs w:val="20"/>
          <w:lang w:val="es-ES" w:eastAsia="es-ES"/>
        </w:rPr>
        <w:lastRenderedPageBreak/>
        <w:t xml:space="preserve">casos no existe posibilidad de control sobre los accionistas que puedan acceder a la compra de acciones, y que lo pueden hacer con plena libertad, incluso en el mercado bursátil abierto, en razón de la capacidad económica y voluntad del inversionista y no por sus condiciones personales y de manera particular por su condición de ex servidor público. Esta circunstancia de suyo no implica que la norma deba ser declarada inconstitucional o la necesidad de que la Corte profiera una sentencia condicionada, pues de lo que se trata en este caso es de fijar el alcance material de la proposición normativa objeto de control. </w:t>
      </w:r>
    </w:p>
    <w:p w14:paraId="784AC489" w14:textId="77777777" w:rsidR="0078715D" w:rsidRPr="00E40972" w:rsidRDefault="0078715D" w:rsidP="0078715D">
      <w:pPr>
        <w:ind w:left="709" w:right="709"/>
        <w:jc w:val="both"/>
        <w:rPr>
          <w:rFonts w:ascii="Verdana" w:eastAsia="Calibri" w:hAnsi="Verdana" w:cs="Arial"/>
          <w:color w:val="000000"/>
          <w:sz w:val="20"/>
          <w:szCs w:val="20"/>
          <w:lang w:val="es-ES_tradnl" w:eastAsia="es-ES_tradnl"/>
        </w:rPr>
      </w:pPr>
      <w:r w:rsidRPr="00E40972">
        <w:rPr>
          <w:rFonts w:ascii="Verdana" w:eastAsia="Calibri" w:hAnsi="Verdana" w:cs="Arial"/>
          <w:color w:val="000000"/>
          <w:sz w:val="20"/>
          <w:szCs w:val="20"/>
          <w:lang w:val="es-ES_tradnl" w:eastAsia="es-ES_tradnl"/>
        </w:rPr>
        <w:t>“Para la Corte es claro que la prohibición establecida en el artículo 4 de la ley 1474 de 2011, que adiciona el literal F al numeral 2 del artículo 8 de la Ley 80 de 1993, no aplica respecto de aquellos tipos societarios en donde la forma de vinculación de los socios hace imposible un control directo y efectivo sobre su ingreso y sobre las calidades personales de los mismos.</w:t>
      </w:r>
    </w:p>
    <w:p w14:paraId="6762B2FA" w14:textId="77777777" w:rsidR="0078715D" w:rsidRDefault="0078715D" w:rsidP="0078715D">
      <w:pPr>
        <w:ind w:left="709" w:right="709"/>
        <w:jc w:val="both"/>
        <w:rPr>
          <w:rFonts w:ascii="Verdana" w:eastAsia="Calibri" w:hAnsi="Verdana" w:cs="Arial"/>
          <w:color w:val="000000"/>
          <w:sz w:val="20"/>
          <w:szCs w:val="20"/>
          <w:lang w:val="es-ES" w:eastAsia="es-ES"/>
        </w:rPr>
      </w:pPr>
      <w:r w:rsidRPr="4552CAB1">
        <w:rPr>
          <w:rFonts w:ascii="Verdana" w:eastAsia="Calibri" w:hAnsi="Verdana" w:cs="Arial"/>
          <w:color w:val="000000" w:themeColor="text1"/>
          <w:sz w:val="20"/>
          <w:szCs w:val="20"/>
          <w:lang w:val="es-ES" w:eastAsia="es-ES"/>
        </w:rPr>
        <w:t>“Esta hipó tesis es distinta, se aclara, a la del ex servidor público que tiene la condición de directivo o representante legal de este tipo de sociedades y pretende en nombre de aquella contratar con la entidad a la cual estuvo vinculado y cuyo objeto tenga relación con las funciones públicas que desempeñó”.</w:t>
      </w:r>
    </w:p>
    <w:p w14:paraId="507920B9" w14:textId="77777777" w:rsidR="0078715D" w:rsidRDefault="0078715D" w:rsidP="0078715D">
      <w:pPr>
        <w:spacing w:before="120" w:after="120" w:line="276" w:lineRule="auto"/>
        <w:ind w:firstLine="709"/>
        <w:jc w:val="both"/>
        <w:rPr>
          <w:rFonts w:ascii="Verdana" w:eastAsia="Calibri" w:hAnsi="Verdana" w:cs="Arial"/>
          <w:color w:val="000000"/>
          <w:lang w:val="es-ES_tradnl" w:eastAsia="es-ES_tradnl"/>
        </w:rPr>
      </w:pPr>
      <w:r w:rsidRPr="00E40972">
        <w:rPr>
          <w:rFonts w:ascii="Verdana" w:eastAsia="Calibri" w:hAnsi="Verdana" w:cs="Arial"/>
          <w:color w:val="000000"/>
          <w:szCs w:val="24"/>
          <w:lang w:val="es-ES_tradnl" w:eastAsia="es-ES_tradnl"/>
        </w:rPr>
        <w:t>Más allá del lenguaje empleado por el legislador en torno a la consideración de inhabilidad o incompatibilidad de la causal analizada, lo importante es comprender el alcance de la restricción a la capacidad contractual prevista en la norma. En otras palabras, independientemente de la denominación, lo cierto es que luego de la dejación del cargo directivo en la entidad estatal, ni el exempleado público, ni las sociedades en las que haga parte con el matiz introducido por la Corte Constitucional, comentado previamente, ni sus parientes cercanos en las tipologías y grados referidos podrán contratar con la entidad en la cual aquel estuvo vinculado, ni con las demás del sector relacionado con el objeto del contrato.</w:t>
      </w:r>
    </w:p>
    <w:p w14:paraId="51E9355E" w14:textId="77777777" w:rsidR="0078715D" w:rsidRPr="003E006C" w:rsidRDefault="0078715D" w:rsidP="0078715D">
      <w:pPr>
        <w:spacing w:before="120" w:after="120" w:line="276" w:lineRule="auto"/>
        <w:ind w:firstLine="709"/>
        <w:jc w:val="both"/>
        <w:rPr>
          <w:rFonts w:ascii="Verdana" w:eastAsia="Calibri" w:hAnsi="Verdana" w:cs="Arial"/>
          <w:color w:val="000000"/>
          <w:lang w:val="es-ES" w:eastAsia="es-ES"/>
        </w:rPr>
      </w:pPr>
      <w:r w:rsidRPr="4552CAB1">
        <w:rPr>
          <w:rFonts w:ascii="Verdana" w:eastAsia="Calibri" w:hAnsi="Verdana" w:cs="Arial"/>
          <w:color w:val="000000" w:themeColor="text1"/>
          <w:lang w:val="es-ES" w:eastAsia="es-ES"/>
        </w:rPr>
        <w:t xml:space="preserve">La finalidad de la causal es evitar que las personas que han ejercido cargos directivos en las entidades estatales se valgan de esa circunstancia privilegiada para asegurarse para ellas, para las sociedades de las que hagan parte o para sus parientes cercanos un contrato con entidades del mismo sector una vez finalice su relación laboral. Así lo señaló la Corte Constitucional en la Sentencia C-257 de 2013 mencionada con anterioridad, en la cual se declaró exequible la norma que se analiza, es decir, el artículo 4 de la Ley 1474 de 2011, indicando que:  </w:t>
      </w:r>
    </w:p>
    <w:p w14:paraId="7AB14105" w14:textId="77777777" w:rsidR="0078715D" w:rsidRDefault="0078715D" w:rsidP="0078715D">
      <w:pPr>
        <w:ind w:left="709" w:right="709"/>
        <w:jc w:val="both"/>
        <w:rPr>
          <w:rFonts w:ascii="Verdana" w:eastAsia="Calibri" w:hAnsi="Verdana" w:cs="Arial"/>
          <w:color w:val="000000"/>
          <w:sz w:val="20"/>
          <w:szCs w:val="20"/>
          <w:lang w:val="es-ES_tradnl" w:eastAsia="es-ES_tradnl"/>
        </w:rPr>
      </w:pPr>
      <w:r w:rsidRPr="00E40972">
        <w:rPr>
          <w:rFonts w:ascii="Verdana" w:eastAsia="Calibri" w:hAnsi="Verdana" w:cs="Arial"/>
          <w:color w:val="000000"/>
          <w:sz w:val="20"/>
          <w:szCs w:val="20"/>
          <w:lang w:val="es-ES_tradnl" w:eastAsia="es-ES_tradnl"/>
        </w:rPr>
        <w:lastRenderedPageBreak/>
        <w:t xml:space="preserve"> “Es claro que la norma  señala que la inhabilidad se aplica  en relación con aquellos servidores públicos que desempeñaron funciones de dirección para  evitar  que puedan utilizar los vínculos, influencia y ascendencia que estos ex directivos –o sus familiares cercanos– puedan tener con la entidad y sus funcionarios encargados de los procesos de selección,  precisamente por el rol de jerarquía y mando que ejerció, con lo cual se trata de poner a salvo los principios constitucionales de la administración pública ya referidos”</w:t>
      </w:r>
      <w:r w:rsidRPr="00E40972">
        <w:rPr>
          <w:rFonts w:ascii="Verdana" w:eastAsia="Calibri" w:hAnsi="Verdana" w:cs="Arial"/>
          <w:color w:val="000000"/>
          <w:sz w:val="20"/>
          <w:szCs w:val="20"/>
          <w:vertAlign w:val="superscript"/>
          <w:lang w:val="es-ES_tradnl" w:eastAsia="es-ES_tradnl"/>
        </w:rPr>
        <w:footnoteReference w:id="16"/>
      </w:r>
      <w:r w:rsidRPr="00E40972">
        <w:rPr>
          <w:rFonts w:ascii="Verdana" w:eastAsia="Calibri" w:hAnsi="Verdana" w:cs="Arial"/>
          <w:color w:val="000000"/>
          <w:sz w:val="20"/>
          <w:szCs w:val="20"/>
          <w:lang w:val="es-ES_tradnl" w:eastAsia="es-ES_tradnl"/>
        </w:rPr>
        <w:t>.</w:t>
      </w:r>
    </w:p>
    <w:p w14:paraId="7D184FE7" w14:textId="33CAB34D" w:rsidR="0078715D" w:rsidRDefault="0078715D" w:rsidP="0078715D">
      <w:pPr>
        <w:spacing w:before="120" w:after="120" w:line="276" w:lineRule="auto"/>
        <w:ind w:firstLine="709"/>
        <w:jc w:val="both"/>
        <w:rPr>
          <w:rFonts w:ascii="Verdana" w:eastAsia="Calibri" w:hAnsi="Verdana" w:cs="Arial"/>
          <w:lang w:val="es-ES" w:eastAsia="es-ES"/>
        </w:rPr>
      </w:pPr>
      <w:r w:rsidRPr="00ED6FA7">
        <w:rPr>
          <w:rFonts w:ascii="Verdana" w:eastAsia="Calibri" w:hAnsi="Verdana" w:cs="Arial"/>
          <w:i/>
          <w:iCs/>
          <w:color w:val="000000"/>
          <w:lang w:val="es-ES" w:eastAsia="es-ES"/>
        </w:rPr>
        <w:t>El objeto de la causal</w:t>
      </w:r>
      <w:r w:rsidR="00ED6FA7" w:rsidRPr="00ED6FA7">
        <w:rPr>
          <w:rFonts w:ascii="Verdana" w:eastAsia="Calibri" w:hAnsi="Verdana" w:cs="Arial"/>
          <w:i/>
          <w:iCs/>
          <w:color w:val="000000"/>
          <w:lang w:val="es-ES" w:eastAsia="es-ES"/>
        </w:rPr>
        <w:t>:</w:t>
      </w:r>
      <w:r w:rsidRPr="4552CAB1">
        <w:rPr>
          <w:rFonts w:ascii="Verdana" w:eastAsia="Calibri" w:hAnsi="Verdana" w:cs="Arial"/>
          <w:color w:val="000000"/>
          <w:lang w:val="es-ES" w:eastAsia="es-ES"/>
        </w:rPr>
        <w:t xml:space="preserve"> es prohibir la celebración de contratos estatales por parte de los sujetos indicados, “cuando el objeto que desarrollen tenga relación con el sector al cual prestaron sus servicios”. Es decir, la norma consagra un criterio mixto funcional y orgánico, pues alude a la relación del objeto contractual con el sector en el que los exempleados se desempeñaron. Aunque la causal no define el concepto sector, el contexto normativo en el que se ubica permite concluir que por aquel debe entenderse “sector administrativo”. Ello a partir de una “interpretación contextual” o “sistemática”. </w:t>
      </w:r>
      <w:r w:rsidRPr="4552CAB1">
        <w:rPr>
          <w:rFonts w:ascii="Verdana" w:eastAsia="Calibri" w:hAnsi="Verdana" w:cs="Arial"/>
          <w:lang w:val="es-ES" w:eastAsia="es-ES"/>
        </w:rPr>
        <w:t xml:space="preserve">Como dice </w:t>
      </w:r>
      <w:proofErr w:type="spellStart"/>
      <w:r w:rsidRPr="4552CAB1">
        <w:rPr>
          <w:rFonts w:ascii="Verdana" w:eastAsia="Calibri" w:hAnsi="Verdana" w:cs="Arial"/>
          <w:lang w:val="es-ES" w:eastAsia="es-ES"/>
        </w:rPr>
        <w:t>Guastini</w:t>
      </w:r>
      <w:proofErr w:type="spellEnd"/>
      <w:r w:rsidRPr="4552CAB1">
        <w:rPr>
          <w:rFonts w:ascii="Verdana" w:eastAsia="Calibri" w:hAnsi="Verdana" w:cs="Arial"/>
          <w:lang w:val="es-ES" w:eastAsia="es-ES"/>
        </w:rPr>
        <w:t>, la interpretación literal suele ser una “(…) interpretación no contextual o a-contextual”</w:t>
      </w:r>
      <w:r w:rsidRPr="4552CAB1">
        <w:rPr>
          <w:rFonts w:ascii="Verdana" w:eastAsia="Calibri" w:hAnsi="Verdana" w:cs="Arial"/>
          <w:vertAlign w:val="superscript"/>
          <w:lang w:val="es-ES" w:eastAsia="es-ES"/>
        </w:rPr>
        <w:footnoteReference w:id="17"/>
      </w:r>
      <w:r w:rsidRPr="4552CAB1">
        <w:rPr>
          <w:rFonts w:ascii="Verdana" w:eastAsia="Calibri" w:hAnsi="Verdana" w:cs="Arial"/>
          <w:lang w:val="es-ES" w:eastAsia="es-ES"/>
        </w:rPr>
        <w:t>, es decir, una “(…) interpretación que, para acreditar el significado elegido (el significado “objetivo” del texto), no aduce más que las reglas semánticas y sintácticas de la lengua”</w:t>
      </w:r>
      <w:r w:rsidRPr="4552CAB1">
        <w:rPr>
          <w:rFonts w:ascii="Verdana" w:eastAsia="Calibri" w:hAnsi="Verdana" w:cs="Arial"/>
          <w:vertAlign w:val="superscript"/>
          <w:lang w:val="es-ES" w:eastAsia="es-ES"/>
        </w:rPr>
        <w:footnoteReference w:id="18"/>
      </w:r>
      <w:r w:rsidRPr="4552CAB1">
        <w:rPr>
          <w:rFonts w:ascii="Verdana" w:eastAsia="Calibri" w:hAnsi="Verdana" w:cs="Arial"/>
          <w:lang w:val="es-ES" w:eastAsia="es-ES"/>
        </w:rPr>
        <w:t xml:space="preserve">. Se diferencia de la “interpretación contextual”, es decir, de “(…) aquella interpretación que, para acreditar el significado elegido, aduce elementos </w:t>
      </w:r>
      <w:proofErr w:type="spellStart"/>
      <w:r w:rsidRPr="4552CAB1">
        <w:rPr>
          <w:rFonts w:ascii="Verdana" w:eastAsia="Calibri" w:hAnsi="Verdana" w:cs="Arial"/>
          <w:lang w:val="es-ES" w:eastAsia="es-ES"/>
        </w:rPr>
        <w:t>extra-textuales</w:t>
      </w:r>
      <w:proofErr w:type="spellEnd"/>
      <w:r w:rsidRPr="4552CAB1">
        <w:rPr>
          <w:rFonts w:ascii="Verdana" w:eastAsia="Calibri" w:hAnsi="Verdana" w:cs="Arial"/>
          <w:lang w:val="es-ES" w:eastAsia="es-ES"/>
        </w:rPr>
        <w:t>”</w:t>
      </w:r>
      <w:r w:rsidRPr="4552CAB1">
        <w:rPr>
          <w:rFonts w:ascii="Verdana" w:eastAsia="Calibri" w:hAnsi="Verdana" w:cs="Arial"/>
          <w:vertAlign w:val="superscript"/>
          <w:lang w:val="es-ES" w:eastAsia="es-ES"/>
        </w:rPr>
        <w:footnoteReference w:id="19"/>
      </w:r>
      <w:r w:rsidRPr="4552CAB1">
        <w:rPr>
          <w:rFonts w:ascii="Verdana" w:eastAsia="Calibri" w:hAnsi="Verdana" w:cs="Arial"/>
          <w:lang w:val="es-ES" w:eastAsia="es-ES"/>
        </w:rPr>
        <w:t>, como, por ejemplo, los antecedentes legislativos. Una exigencia de la interpretación contextual es el argumento de “interpretación sistemática”. Al respecto, el mencionado autor señala:</w:t>
      </w:r>
    </w:p>
    <w:p w14:paraId="28BE511F" w14:textId="77777777" w:rsidR="0078715D" w:rsidRDefault="0078715D" w:rsidP="0078715D">
      <w:pPr>
        <w:ind w:left="709" w:right="709"/>
        <w:jc w:val="both"/>
        <w:rPr>
          <w:rFonts w:ascii="Verdana" w:eastAsia="Calibri" w:hAnsi="Verdana" w:cs="Arial"/>
          <w:sz w:val="20"/>
          <w:szCs w:val="20"/>
          <w:lang w:val="es-ES_tradnl" w:eastAsia="es-ES_tradnl"/>
        </w:rPr>
      </w:pPr>
      <w:r w:rsidRPr="00C6544D">
        <w:rPr>
          <w:rFonts w:ascii="Verdana" w:eastAsia="Calibri" w:hAnsi="Verdana" w:cs="Arial"/>
          <w:sz w:val="20"/>
          <w:szCs w:val="20"/>
          <w:lang w:val="es-ES_tradnl" w:eastAsia="es-ES_tradnl"/>
        </w:rPr>
        <w:t xml:space="preserve"> “En la práctica, se usa un argumento de tipo sistemático siempre que, para acreditar la interpretación escogida, se alega no el texto de la disposición interpretada aisladamente considerada, sino algún elemento del contexto en el que la disposición está colocada. Tal contexto puede ser más o menos extenso: los otros apartados de un mismo artículo, los otros artículos de una misma ley, el conjunto de las leyes que se refieren a una </w:t>
      </w:r>
      <w:r w:rsidRPr="00C6544D">
        <w:rPr>
          <w:rFonts w:ascii="Verdana" w:eastAsia="Calibri" w:hAnsi="Verdana" w:cs="Arial"/>
          <w:sz w:val="20"/>
          <w:szCs w:val="20"/>
          <w:lang w:val="es-ES_tradnl" w:eastAsia="es-ES_tradnl"/>
        </w:rPr>
        <w:lastRenderedPageBreak/>
        <w:t>misma materia, etc., hasta llegar a la totalidad de las disposiciones que componen un ordenamiento jurídico”</w:t>
      </w:r>
      <w:r w:rsidRPr="00C6544D">
        <w:rPr>
          <w:rFonts w:ascii="Verdana" w:eastAsia="Calibri" w:hAnsi="Verdana" w:cs="Arial"/>
          <w:sz w:val="20"/>
          <w:szCs w:val="20"/>
          <w:vertAlign w:val="superscript"/>
          <w:lang w:val="es-ES_tradnl" w:eastAsia="es-ES_tradnl"/>
        </w:rPr>
        <w:footnoteReference w:id="20"/>
      </w:r>
      <w:r w:rsidRPr="00C6544D">
        <w:rPr>
          <w:rFonts w:ascii="Verdana" w:eastAsia="Calibri" w:hAnsi="Verdana" w:cs="Arial"/>
          <w:sz w:val="20"/>
          <w:szCs w:val="20"/>
          <w:lang w:val="es-ES_tradnl" w:eastAsia="es-ES_tradnl"/>
        </w:rPr>
        <w:t>.</w:t>
      </w:r>
    </w:p>
    <w:p w14:paraId="283AE403" w14:textId="77777777" w:rsidR="0078715D" w:rsidRDefault="0078715D" w:rsidP="00ED6FA7">
      <w:pPr>
        <w:spacing w:before="120" w:after="120" w:line="276" w:lineRule="auto"/>
        <w:ind w:left="708" w:firstLine="1"/>
        <w:jc w:val="both"/>
        <w:rPr>
          <w:rFonts w:ascii="Verdana" w:eastAsia="Calibri" w:hAnsi="Verdana" w:cs="Arial"/>
          <w:color w:val="000000"/>
          <w:lang w:val="es-ES_tradnl" w:eastAsia="es-ES_tradnl"/>
        </w:rPr>
      </w:pPr>
      <w:r w:rsidRPr="00C6544D">
        <w:rPr>
          <w:rFonts w:ascii="Verdana" w:eastAsia="Calibri" w:hAnsi="Verdana" w:cs="Arial"/>
          <w:lang w:val="es-ES_tradnl" w:eastAsia="es-ES_tradnl"/>
        </w:rPr>
        <w:t>El ordenamiento jurídico colombiano se acoge la posibilidad de la interpretación sistemática que es consecuencia, según se ha visto, de una interpretación contextual, cuando se presenten dudas en el sentido literal de un texto normativo. En esta línea, el artículo 30 del Código Civil señala que “El contexto de la ley servirá para ilustrar el sentido de cada una de sus partes, de manera que haya entre todas ellas la debida correspondencia y armonía” y que “Los pasajes oscuros de una ley pueden ser ilustrados por medio de otras leyes, particularmente si versan sobre el mismo asunto”</w:t>
      </w:r>
      <w:r w:rsidRPr="00C6544D">
        <w:rPr>
          <w:rFonts w:ascii="Verdana" w:eastAsia="Calibri" w:hAnsi="Verdana" w:cs="Arial"/>
          <w:vertAlign w:val="superscript"/>
          <w:lang w:val="es-ES_tradnl" w:eastAsia="es-ES_tradnl"/>
        </w:rPr>
        <w:footnoteReference w:id="21"/>
      </w:r>
      <w:r w:rsidRPr="00C6544D">
        <w:rPr>
          <w:rFonts w:ascii="Verdana" w:eastAsia="Calibri" w:hAnsi="Verdana" w:cs="Arial"/>
          <w:lang w:val="es-ES_tradnl" w:eastAsia="es-ES_tradnl"/>
        </w:rPr>
        <w:t>.</w:t>
      </w:r>
    </w:p>
    <w:p w14:paraId="764A0115" w14:textId="77777777" w:rsidR="0078715D" w:rsidRDefault="0078715D" w:rsidP="0078715D">
      <w:pPr>
        <w:spacing w:before="120" w:after="120" w:line="276" w:lineRule="auto"/>
        <w:ind w:firstLine="709"/>
        <w:jc w:val="both"/>
        <w:rPr>
          <w:rFonts w:ascii="Verdana" w:eastAsia="Calibri" w:hAnsi="Verdana" w:cs="Arial"/>
          <w:color w:val="000000"/>
          <w:lang w:val="es-ES_tradnl" w:eastAsia="es-ES_tradnl"/>
        </w:rPr>
      </w:pPr>
      <w:r w:rsidRPr="00C6544D">
        <w:rPr>
          <w:rFonts w:ascii="Verdana" w:eastAsia="Calibri" w:hAnsi="Verdana" w:cs="Arial"/>
          <w:color w:val="000000"/>
          <w:szCs w:val="24"/>
          <w:lang w:val="es-ES_tradnl" w:eastAsia="es-ES_tradnl"/>
        </w:rPr>
        <w:t>Pues bien, con fundamento en una interpretación contextual o sistemática, puede afirmarse que el literal f) que contiene la causal objeto de análisis se agregó al listado previsto en el numeral 2 del artículo 8 de la Ley 80 de 1993, y que el literal e) o sea, el literal inmediatamente anterior emplea el concepto “sector administrativo”</w:t>
      </w:r>
      <w:r w:rsidRPr="00C6544D">
        <w:rPr>
          <w:rFonts w:ascii="Verdana" w:eastAsia="Calibri" w:hAnsi="Verdana" w:cs="Arial"/>
          <w:color w:val="000000"/>
          <w:szCs w:val="24"/>
          <w:vertAlign w:val="superscript"/>
          <w:lang w:val="es-ES_tradnl" w:eastAsia="es-ES_tradnl"/>
        </w:rPr>
        <w:footnoteReference w:id="22"/>
      </w:r>
      <w:r w:rsidRPr="00C6544D">
        <w:rPr>
          <w:rFonts w:ascii="Verdana" w:eastAsia="Calibri" w:hAnsi="Verdana" w:cs="Arial"/>
          <w:color w:val="000000"/>
          <w:szCs w:val="24"/>
          <w:lang w:val="es-ES_tradnl" w:eastAsia="es-ES_tradnl"/>
        </w:rPr>
        <w:t>. Por tanto, si el artículo 4 de la Ley 1474 de 2011 adicionó una causal posterior a la del literal e), incluyendo la palabra sector, es legítimo interpretarla en el contexto normativo al cual fue agregada, para entender que dicha palabra debe entenderse como sector administrativo, pues es a este al que se refiere el legislador en el ámbito del artículo 8, numeral 2, de la Ley 80 de 1993</w:t>
      </w:r>
      <w:r w:rsidRPr="00C6544D">
        <w:rPr>
          <w:rFonts w:ascii="Verdana" w:eastAsia="Calibri" w:hAnsi="Verdana" w:cs="Arial"/>
          <w:color w:val="000000"/>
          <w:szCs w:val="24"/>
          <w:vertAlign w:val="superscript"/>
          <w:lang w:val="es-ES_tradnl" w:eastAsia="es-ES_tradnl"/>
        </w:rPr>
        <w:footnoteReference w:id="23"/>
      </w:r>
      <w:r w:rsidRPr="00C6544D">
        <w:rPr>
          <w:rFonts w:ascii="Verdana" w:eastAsia="Calibri" w:hAnsi="Verdana" w:cs="Arial"/>
          <w:color w:val="000000"/>
          <w:szCs w:val="24"/>
          <w:lang w:val="es-ES_tradnl" w:eastAsia="es-ES_tradnl"/>
        </w:rPr>
        <w:t>. Ahora bien, esta interpretación solo es posible prima facie para las entidades del orden o nivel nacional.</w:t>
      </w:r>
    </w:p>
    <w:p w14:paraId="10187319" w14:textId="5FBFEEE9" w:rsidR="0078715D" w:rsidRDefault="00ED6FA7" w:rsidP="0078715D">
      <w:pPr>
        <w:spacing w:before="120" w:after="120" w:line="276" w:lineRule="auto"/>
        <w:ind w:firstLine="708"/>
        <w:jc w:val="both"/>
        <w:rPr>
          <w:rFonts w:ascii="Verdana" w:eastAsia="Calibri" w:hAnsi="Verdana" w:cs="Arial"/>
          <w:color w:val="000000"/>
          <w:lang w:val="es-ES" w:eastAsia="es-ES"/>
        </w:rPr>
      </w:pPr>
      <w:r>
        <w:rPr>
          <w:rFonts w:ascii="Verdana" w:eastAsia="Calibri" w:hAnsi="Verdana" w:cs="Arial"/>
          <w:color w:val="000000" w:themeColor="text1"/>
          <w:lang w:val="es-ES" w:eastAsia="es-ES"/>
        </w:rPr>
        <w:lastRenderedPageBreak/>
        <w:t>E</w:t>
      </w:r>
      <w:r w:rsidR="0078715D" w:rsidRPr="4552CAB1">
        <w:rPr>
          <w:rFonts w:ascii="Verdana" w:eastAsia="Calibri" w:hAnsi="Verdana" w:cs="Arial"/>
          <w:color w:val="000000" w:themeColor="text1"/>
          <w:lang w:val="es-ES" w:eastAsia="es-ES"/>
        </w:rPr>
        <w:t xml:space="preserve">n cuanto al </w:t>
      </w:r>
      <w:r w:rsidR="0078715D" w:rsidRPr="00ED6FA7">
        <w:rPr>
          <w:rFonts w:ascii="Verdana" w:eastAsia="Calibri" w:hAnsi="Verdana" w:cs="Arial"/>
          <w:i/>
          <w:iCs/>
          <w:color w:val="000000" w:themeColor="text1"/>
          <w:lang w:val="es-ES" w:eastAsia="es-ES"/>
        </w:rPr>
        <w:t>período en el cual rige la prohibición</w:t>
      </w:r>
      <w:r w:rsidR="0078715D" w:rsidRPr="4552CAB1">
        <w:rPr>
          <w:rFonts w:ascii="Verdana" w:eastAsia="Calibri" w:hAnsi="Verdana" w:cs="Arial"/>
          <w:color w:val="000000" w:themeColor="text1"/>
          <w:lang w:val="es-ES" w:eastAsia="es-ES"/>
        </w:rPr>
        <w:t xml:space="preserve">, el segundo inciso del literal f) del artículo 8, numeral 2, de la Ley 80 de 1993, adicionado por el artículo 4 de la Ley 1474 de 2011, señala que, en tal caso, no se pueden celebrar contratos estatales cuyo objeto se relacione con el sector en el cual se desempeñó el exempleado público “durante los dos (2) años siguientes al retiro del ejercicio del cargo público”. Dicho de otro modo, tras haber dejado el cargo el servidor público, comienza a correr un término de dos </w:t>
      </w:r>
      <w:r>
        <w:rPr>
          <w:rFonts w:ascii="Verdana" w:eastAsia="Calibri" w:hAnsi="Verdana" w:cs="Arial"/>
          <w:color w:val="000000" w:themeColor="text1"/>
          <w:lang w:val="es-ES" w:eastAsia="es-ES"/>
        </w:rPr>
        <w:t xml:space="preserve">(2) </w:t>
      </w:r>
      <w:r w:rsidR="0078715D" w:rsidRPr="4552CAB1">
        <w:rPr>
          <w:rFonts w:ascii="Verdana" w:eastAsia="Calibri" w:hAnsi="Verdana" w:cs="Arial"/>
          <w:color w:val="000000" w:themeColor="text1"/>
          <w:lang w:val="es-ES" w:eastAsia="es-ES"/>
        </w:rPr>
        <w:t>años en el cual se aplica la restricción. Esto significa que cuando tal período haya transcurrido, en principio, los sujetos a los que se refiere la causal recobran la capacidad para celebrar contratos estatales, salvo que estén afectados por otras causales de inhabilidad o de incompatibilidad.</w:t>
      </w:r>
    </w:p>
    <w:p w14:paraId="2556258A" w14:textId="2B6E6686" w:rsidR="00DD1156" w:rsidRPr="00DB4737" w:rsidRDefault="00DD1156" w:rsidP="00DD1156">
      <w:pPr>
        <w:spacing w:after="0" w:line="276" w:lineRule="auto"/>
        <w:ind w:firstLine="360"/>
        <w:contextualSpacing/>
        <w:jc w:val="both"/>
        <w:rPr>
          <w:rFonts w:ascii="Verdana" w:eastAsia="Calibri" w:hAnsi="Verdana" w:cs="Times New Roman"/>
          <w:lang w:val="es-ES"/>
        </w:rPr>
      </w:pPr>
      <w:r>
        <w:rPr>
          <w:rFonts w:ascii="Verdana" w:eastAsia="Calibri" w:hAnsi="Verdana" w:cs="Times New Roman"/>
          <w:lang w:val="es-ES"/>
        </w:rPr>
        <w:t xml:space="preserve">     </w:t>
      </w: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74EAD83A" w14:textId="77777777" w:rsidR="00DD1156" w:rsidRPr="00DB4737" w:rsidRDefault="00DD1156" w:rsidP="00DD1156">
      <w:pPr>
        <w:spacing w:after="0"/>
        <w:ind w:left="720"/>
        <w:contextualSpacing/>
        <w:rPr>
          <w:rFonts w:ascii="Verdana" w:eastAsia="Calibri" w:hAnsi="Verdana" w:cs="Times New Roman"/>
          <w:lang w:val="es-ES"/>
        </w:rPr>
      </w:pPr>
    </w:p>
    <w:p w14:paraId="707612A4" w14:textId="793FE7FA" w:rsidR="00DD1156" w:rsidRDefault="00DD1156" w:rsidP="00DD1156">
      <w:pPr>
        <w:spacing w:after="12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2786A819" w14:textId="77777777" w:rsidR="004655F6" w:rsidRPr="0060676F" w:rsidRDefault="004655F6" w:rsidP="004655F6">
      <w:pPr>
        <w:pStyle w:val="Prrafodelista"/>
        <w:numPr>
          <w:ilvl w:val="0"/>
          <w:numId w:val="16"/>
        </w:numPr>
        <w:spacing w:after="12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3EB9095" w14:textId="77777777" w:rsidR="004655F6" w:rsidRPr="00593A5F" w:rsidRDefault="004655F6" w:rsidP="004655F6">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655F6" w:rsidRPr="00593A5F" w14:paraId="4B85DD9F" w14:textId="77777777" w:rsidTr="003E6E41">
        <w:trPr>
          <w:trHeight w:val="870"/>
        </w:trPr>
        <w:tc>
          <w:tcPr>
            <w:tcW w:w="8647" w:type="dxa"/>
          </w:tcPr>
          <w:p w14:paraId="3FBF6226" w14:textId="77777777" w:rsidR="00ED6FA7" w:rsidRDefault="00ED6FA7" w:rsidP="00C87608">
            <w:pPr>
              <w:widowControl w:val="0"/>
              <w:numPr>
                <w:ilvl w:val="0"/>
                <w:numId w:val="18"/>
              </w:numPr>
              <w:autoSpaceDE w:val="0"/>
              <w:autoSpaceDN w:val="0"/>
              <w:spacing w:after="160" w:line="276" w:lineRule="auto"/>
              <w:contextualSpacing/>
              <w:jc w:val="both"/>
              <w:rPr>
                <w:rFonts w:ascii="Verdana" w:hAnsi="Verdana" w:cs="Arial"/>
              </w:rPr>
            </w:pPr>
            <w:r w:rsidRPr="00ED6FA7">
              <w:rPr>
                <w:rFonts w:ascii="Verdana" w:hAnsi="Verdana" w:cs="Arial"/>
              </w:rPr>
              <w:t>Constitución Política - Artículo 29.</w:t>
            </w:r>
          </w:p>
          <w:p w14:paraId="29C0747F" w14:textId="77777777" w:rsidR="00ED6FA7" w:rsidRPr="00ED6FA7" w:rsidRDefault="00ED6FA7" w:rsidP="00ED6FA7">
            <w:pPr>
              <w:widowControl w:val="0"/>
              <w:numPr>
                <w:ilvl w:val="0"/>
                <w:numId w:val="18"/>
              </w:numPr>
              <w:autoSpaceDE w:val="0"/>
              <w:autoSpaceDN w:val="0"/>
              <w:spacing w:line="276" w:lineRule="auto"/>
              <w:contextualSpacing/>
              <w:jc w:val="both"/>
              <w:rPr>
                <w:rFonts w:ascii="Verdana" w:hAnsi="Verdana" w:cs="Arial"/>
              </w:rPr>
            </w:pPr>
            <w:r>
              <w:t xml:space="preserve">Código Civil - Artículo 1502. </w:t>
            </w:r>
          </w:p>
          <w:p w14:paraId="1C27E7CF" w14:textId="77777777" w:rsidR="00ED6FA7" w:rsidRPr="00ED6FA7" w:rsidRDefault="00ED6FA7" w:rsidP="00ED6FA7">
            <w:pPr>
              <w:widowControl w:val="0"/>
              <w:numPr>
                <w:ilvl w:val="0"/>
                <w:numId w:val="18"/>
              </w:numPr>
              <w:autoSpaceDE w:val="0"/>
              <w:autoSpaceDN w:val="0"/>
              <w:spacing w:line="276" w:lineRule="auto"/>
              <w:contextualSpacing/>
              <w:jc w:val="both"/>
              <w:rPr>
                <w:rFonts w:ascii="Verdana" w:hAnsi="Verdana" w:cs="Arial"/>
              </w:rPr>
            </w:pPr>
            <w:r>
              <w:t xml:space="preserve">Ley 1474 de 2011 - Artículo 4. </w:t>
            </w:r>
          </w:p>
          <w:p w14:paraId="45DF8BC1" w14:textId="77777777" w:rsidR="00ED6FA7" w:rsidRPr="00ED6FA7" w:rsidRDefault="00ED6FA7" w:rsidP="00ED6FA7">
            <w:pPr>
              <w:widowControl w:val="0"/>
              <w:numPr>
                <w:ilvl w:val="0"/>
                <w:numId w:val="18"/>
              </w:numPr>
              <w:autoSpaceDE w:val="0"/>
              <w:autoSpaceDN w:val="0"/>
              <w:spacing w:line="276" w:lineRule="auto"/>
              <w:contextualSpacing/>
              <w:jc w:val="both"/>
              <w:rPr>
                <w:rFonts w:ascii="Verdana" w:hAnsi="Verdana" w:cs="Arial"/>
              </w:rPr>
            </w:pPr>
            <w:r>
              <w:t xml:space="preserve">Ley 80 de 1993 - Artículo 6, Artículo 8 - Numeral 2, Literal a, d, e, f. </w:t>
            </w:r>
          </w:p>
          <w:p w14:paraId="7C924557" w14:textId="77777777" w:rsidR="00ED6FA7" w:rsidRPr="00ED6FA7" w:rsidRDefault="00ED6FA7" w:rsidP="00ED6FA7">
            <w:pPr>
              <w:widowControl w:val="0"/>
              <w:numPr>
                <w:ilvl w:val="0"/>
                <w:numId w:val="18"/>
              </w:numPr>
              <w:autoSpaceDE w:val="0"/>
              <w:autoSpaceDN w:val="0"/>
              <w:spacing w:line="276" w:lineRule="auto"/>
              <w:contextualSpacing/>
              <w:jc w:val="both"/>
              <w:rPr>
                <w:rFonts w:ascii="Verdana" w:hAnsi="Verdana" w:cs="Arial"/>
              </w:rPr>
            </w:pPr>
            <w:r>
              <w:t>Ley 1150 de 2007 - Artículo 6</w:t>
            </w:r>
          </w:p>
          <w:p w14:paraId="331B01AD" w14:textId="77777777" w:rsidR="00ED6FA7" w:rsidRDefault="0078715D" w:rsidP="00ED6FA7">
            <w:pPr>
              <w:widowControl w:val="0"/>
              <w:numPr>
                <w:ilvl w:val="0"/>
                <w:numId w:val="18"/>
              </w:numPr>
              <w:autoSpaceDE w:val="0"/>
              <w:autoSpaceDN w:val="0"/>
              <w:spacing w:line="276" w:lineRule="auto"/>
              <w:contextualSpacing/>
              <w:jc w:val="both"/>
              <w:rPr>
                <w:rFonts w:ascii="Verdana" w:hAnsi="Verdana" w:cs="Arial"/>
              </w:rPr>
            </w:pPr>
            <w:r w:rsidRPr="0070729B">
              <w:rPr>
                <w:rFonts w:ascii="Verdana" w:hAnsi="Verdana" w:cs="Arial"/>
              </w:rPr>
              <w:t>Corte Constitucional. Sentencia T-1039 de 2006. M</w:t>
            </w:r>
            <w:r>
              <w:rPr>
                <w:rFonts w:ascii="Verdana" w:hAnsi="Verdana" w:cs="Arial"/>
              </w:rPr>
              <w:t>.</w:t>
            </w:r>
            <w:r w:rsidRPr="0070729B">
              <w:rPr>
                <w:rFonts w:ascii="Verdana" w:hAnsi="Verdana" w:cs="Arial"/>
              </w:rPr>
              <w:t xml:space="preserve"> P</w:t>
            </w:r>
            <w:r>
              <w:rPr>
                <w:rFonts w:ascii="Verdana" w:hAnsi="Verdana" w:cs="Arial"/>
              </w:rPr>
              <w:t>.</w:t>
            </w:r>
            <w:r w:rsidRPr="0070729B">
              <w:rPr>
                <w:rFonts w:ascii="Verdana" w:hAnsi="Verdana" w:cs="Arial"/>
              </w:rPr>
              <w:t xml:space="preserve"> Humberto Sierra Porto.</w:t>
            </w:r>
            <w:r w:rsidR="00ED6FA7" w:rsidRPr="0070729B">
              <w:rPr>
                <w:rFonts w:ascii="Verdana" w:hAnsi="Verdana" w:cs="Arial"/>
              </w:rPr>
              <w:t xml:space="preserve"> </w:t>
            </w:r>
          </w:p>
          <w:p w14:paraId="591D6F8C" w14:textId="75348A64" w:rsidR="0078715D" w:rsidRPr="00ED6FA7" w:rsidRDefault="00ED6FA7" w:rsidP="00ED6FA7">
            <w:pPr>
              <w:widowControl w:val="0"/>
              <w:numPr>
                <w:ilvl w:val="0"/>
                <w:numId w:val="18"/>
              </w:numPr>
              <w:autoSpaceDE w:val="0"/>
              <w:autoSpaceDN w:val="0"/>
              <w:spacing w:line="276" w:lineRule="auto"/>
              <w:contextualSpacing/>
              <w:jc w:val="both"/>
              <w:rPr>
                <w:rFonts w:ascii="Verdana" w:hAnsi="Verdana" w:cs="Arial"/>
              </w:rPr>
            </w:pPr>
            <w:r w:rsidRPr="0070729B">
              <w:rPr>
                <w:rFonts w:ascii="Verdana" w:hAnsi="Verdana" w:cs="Arial"/>
              </w:rPr>
              <w:lastRenderedPageBreak/>
              <w:t>Corte Constitucional. Sentencia C-257 del 7 de mayo de 2013. M</w:t>
            </w:r>
            <w:r>
              <w:rPr>
                <w:rFonts w:ascii="Verdana" w:hAnsi="Verdana" w:cs="Arial"/>
              </w:rPr>
              <w:t>.</w:t>
            </w:r>
            <w:r w:rsidRPr="0070729B">
              <w:rPr>
                <w:rFonts w:ascii="Verdana" w:hAnsi="Verdana" w:cs="Arial"/>
              </w:rPr>
              <w:t>P: Jaime Córdoba Triviño</w:t>
            </w:r>
          </w:p>
          <w:p w14:paraId="594D2DD7" w14:textId="77777777" w:rsidR="0078715D" w:rsidRPr="0070729B" w:rsidRDefault="0078715D" w:rsidP="00ED6FA7">
            <w:pPr>
              <w:widowControl w:val="0"/>
              <w:numPr>
                <w:ilvl w:val="0"/>
                <w:numId w:val="18"/>
              </w:numPr>
              <w:autoSpaceDE w:val="0"/>
              <w:autoSpaceDN w:val="0"/>
              <w:spacing w:line="276" w:lineRule="auto"/>
              <w:contextualSpacing/>
              <w:jc w:val="both"/>
              <w:rPr>
                <w:rFonts w:ascii="Verdana" w:hAnsi="Verdana" w:cs="Arial"/>
              </w:rPr>
            </w:pPr>
            <w:r w:rsidRPr="0070729B">
              <w:rPr>
                <w:rFonts w:ascii="Verdana" w:hAnsi="Verdana" w:cs="Arial"/>
              </w:rPr>
              <w:t>Consejo de Estado. Sala de Consulta y Servicio Civil. Concepto del 30 de abril de 2015. Expediente: 2.251. C</w:t>
            </w:r>
            <w:r>
              <w:rPr>
                <w:rFonts w:ascii="Verdana" w:hAnsi="Verdana" w:cs="Arial"/>
              </w:rPr>
              <w:t>.</w:t>
            </w:r>
            <w:r w:rsidRPr="0070729B">
              <w:rPr>
                <w:rFonts w:ascii="Verdana" w:hAnsi="Verdana" w:cs="Arial"/>
              </w:rPr>
              <w:t xml:space="preserve"> P: Álvaro </w:t>
            </w:r>
            <w:proofErr w:type="spellStart"/>
            <w:r w:rsidRPr="0070729B">
              <w:rPr>
                <w:rFonts w:ascii="Verdana" w:hAnsi="Verdana" w:cs="Arial"/>
              </w:rPr>
              <w:t>Namén</w:t>
            </w:r>
            <w:proofErr w:type="spellEnd"/>
            <w:r w:rsidRPr="0070729B">
              <w:rPr>
                <w:rFonts w:ascii="Verdana" w:hAnsi="Verdana" w:cs="Arial"/>
              </w:rPr>
              <w:t xml:space="preserve"> Vargas.</w:t>
            </w:r>
          </w:p>
          <w:p w14:paraId="00E48519" w14:textId="77777777" w:rsidR="0078715D" w:rsidRPr="0070729B" w:rsidRDefault="0078715D" w:rsidP="00ED6FA7">
            <w:pPr>
              <w:widowControl w:val="0"/>
              <w:numPr>
                <w:ilvl w:val="0"/>
                <w:numId w:val="18"/>
              </w:numPr>
              <w:autoSpaceDE w:val="0"/>
              <w:autoSpaceDN w:val="0"/>
              <w:spacing w:line="276" w:lineRule="auto"/>
              <w:contextualSpacing/>
              <w:jc w:val="both"/>
              <w:rPr>
                <w:rFonts w:ascii="Verdana" w:hAnsi="Verdana" w:cs="Arial"/>
              </w:rPr>
            </w:pPr>
            <w:r w:rsidRPr="0070729B">
              <w:rPr>
                <w:rFonts w:ascii="Verdana" w:hAnsi="Verdana" w:cs="Arial"/>
              </w:rPr>
              <w:t xml:space="preserve">Consejo de Estado. Sección Tercera. Subsección A. Sentencia del 24 de junio de 2015. </w:t>
            </w:r>
            <w:proofErr w:type="spellStart"/>
            <w:r w:rsidRPr="0070729B">
              <w:rPr>
                <w:rFonts w:ascii="Verdana" w:hAnsi="Verdana" w:cs="Arial"/>
              </w:rPr>
              <w:t>Exp</w:t>
            </w:r>
            <w:proofErr w:type="spellEnd"/>
            <w:r w:rsidRPr="0070729B">
              <w:rPr>
                <w:rFonts w:ascii="Verdana" w:hAnsi="Verdana" w:cs="Arial"/>
              </w:rPr>
              <w:t>. 40.635. C</w:t>
            </w:r>
            <w:r>
              <w:rPr>
                <w:rFonts w:ascii="Verdana" w:hAnsi="Verdana" w:cs="Arial"/>
              </w:rPr>
              <w:t>.</w:t>
            </w:r>
            <w:r w:rsidRPr="0070729B">
              <w:rPr>
                <w:rFonts w:ascii="Verdana" w:hAnsi="Verdana" w:cs="Arial"/>
              </w:rPr>
              <w:t xml:space="preserve"> P</w:t>
            </w:r>
            <w:r>
              <w:rPr>
                <w:rFonts w:ascii="Verdana" w:hAnsi="Verdana" w:cs="Arial"/>
              </w:rPr>
              <w:t>.</w:t>
            </w:r>
            <w:r w:rsidRPr="0070729B">
              <w:rPr>
                <w:rFonts w:ascii="Verdana" w:hAnsi="Verdana" w:cs="Arial"/>
              </w:rPr>
              <w:t>: Hernán Andrade Rincón (E).</w:t>
            </w:r>
          </w:p>
          <w:p w14:paraId="59D2CA73" w14:textId="7D4EDA3E" w:rsidR="0078715D" w:rsidRDefault="0078715D" w:rsidP="00ED6FA7">
            <w:pPr>
              <w:widowControl w:val="0"/>
              <w:numPr>
                <w:ilvl w:val="0"/>
                <w:numId w:val="18"/>
              </w:numPr>
              <w:autoSpaceDE w:val="0"/>
              <w:autoSpaceDN w:val="0"/>
              <w:spacing w:after="160" w:line="276" w:lineRule="auto"/>
              <w:contextualSpacing/>
              <w:jc w:val="both"/>
              <w:rPr>
                <w:rFonts w:ascii="Verdana" w:hAnsi="Verdana" w:cs="Arial"/>
              </w:rPr>
            </w:pPr>
            <w:r w:rsidRPr="0070729B">
              <w:rPr>
                <w:rFonts w:ascii="Verdana" w:hAnsi="Verdana" w:cs="Arial"/>
              </w:rPr>
              <w:t xml:space="preserve">Consejo de Estado. Sección Tercera. Subsección C. Sentencia del 22 de mayo de 2013. </w:t>
            </w:r>
            <w:proofErr w:type="spellStart"/>
            <w:r w:rsidRPr="0070729B">
              <w:rPr>
                <w:rFonts w:ascii="Verdana" w:hAnsi="Verdana" w:cs="Arial"/>
              </w:rPr>
              <w:t>Exp</w:t>
            </w:r>
            <w:proofErr w:type="spellEnd"/>
            <w:r w:rsidRPr="0070729B">
              <w:rPr>
                <w:rFonts w:ascii="Verdana" w:hAnsi="Verdana" w:cs="Arial"/>
              </w:rPr>
              <w:t>. 24.057. C</w:t>
            </w:r>
            <w:r>
              <w:rPr>
                <w:rFonts w:ascii="Verdana" w:hAnsi="Verdana" w:cs="Arial"/>
              </w:rPr>
              <w:t>.</w:t>
            </w:r>
            <w:r w:rsidRPr="0070729B">
              <w:rPr>
                <w:rFonts w:ascii="Verdana" w:hAnsi="Verdana" w:cs="Arial"/>
              </w:rPr>
              <w:t xml:space="preserve"> P: Olga </w:t>
            </w:r>
            <w:proofErr w:type="spellStart"/>
            <w:r w:rsidRPr="0070729B">
              <w:rPr>
                <w:rFonts w:ascii="Verdana" w:hAnsi="Verdana" w:cs="Arial"/>
              </w:rPr>
              <w:t>Melida</w:t>
            </w:r>
            <w:proofErr w:type="spellEnd"/>
            <w:r w:rsidRPr="0070729B">
              <w:rPr>
                <w:rFonts w:ascii="Verdana" w:hAnsi="Verdana" w:cs="Arial"/>
              </w:rPr>
              <w:t xml:space="preserve"> Valle De La Hoz.</w:t>
            </w:r>
          </w:p>
          <w:p w14:paraId="4AAFC48E" w14:textId="335BEC2F" w:rsidR="0078715D" w:rsidRDefault="0078715D" w:rsidP="00ED6FA7">
            <w:pPr>
              <w:widowControl w:val="0"/>
              <w:numPr>
                <w:ilvl w:val="0"/>
                <w:numId w:val="18"/>
              </w:numPr>
              <w:autoSpaceDE w:val="0"/>
              <w:autoSpaceDN w:val="0"/>
              <w:spacing w:line="276" w:lineRule="auto"/>
              <w:contextualSpacing/>
              <w:jc w:val="both"/>
              <w:rPr>
                <w:rFonts w:ascii="Verdana" w:hAnsi="Verdana" w:cs="Arial"/>
              </w:rPr>
            </w:pPr>
            <w:r w:rsidRPr="0070729B">
              <w:rPr>
                <w:rFonts w:ascii="Verdana" w:hAnsi="Verdana" w:cs="Arial"/>
              </w:rPr>
              <w:t xml:space="preserve">GUASTINI, </w:t>
            </w:r>
            <w:proofErr w:type="spellStart"/>
            <w:r w:rsidRPr="0070729B">
              <w:rPr>
                <w:rFonts w:ascii="Verdana" w:hAnsi="Verdana" w:cs="Arial"/>
              </w:rPr>
              <w:t>Riccardo</w:t>
            </w:r>
            <w:proofErr w:type="spellEnd"/>
            <w:r w:rsidRPr="0070729B">
              <w:rPr>
                <w:rFonts w:ascii="Verdana" w:hAnsi="Verdana" w:cs="Arial"/>
              </w:rPr>
              <w:t>. Interpretar y argumentar. Madrid: Centro de Estudios Políticos y Constitucionales, 2017, p. 110.</w:t>
            </w:r>
          </w:p>
          <w:p w14:paraId="5E0045E2" w14:textId="1F102DC5" w:rsidR="004655F6" w:rsidRPr="00ED6FA7" w:rsidRDefault="00ED6FA7" w:rsidP="00ED6FA7">
            <w:pPr>
              <w:widowControl w:val="0"/>
              <w:numPr>
                <w:ilvl w:val="0"/>
                <w:numId w:val="18"/>
              </w:numPr>
              <w:autoSpaceDE w:val="0"/>
              <w:autoSpaceDN w:val="0"/>
              <w:spacing w:line="276" w:lineRule="auto"/>
              <w:contextualSpacing/>
              <w:jc w:val="both"/>
              <w:rPr>
                <w:rFonts w:ascii="Verdana" w:hAnsi="Verdana" w:cs="Arial"/>
              </w:rPr>
            </w:pPr>
            <w:r>
              <w:t>.</w:t>
            </w:r>
            <w:r w:rsidRPr="0070729B">
              <w:rPr>
                <w:rFonts w:ascii="Verdana" w:hAnsi="Verdana" w:cs="Arial"/>
              </w:rPr>
              <w:t xml:space="preserve">BARRETO ROZO, Antonio Alejandro. Inhabilidades de la contratación estatal, efectos y </w:t>
            </w:r>
            <w:proofErr w:type="spellStart"/>
            <w:r w:rsidRPr="0070729B">
              <w:rPr>
                <w:rFonts w:ascii="Verdana" w:hAnsi="Verdana" w:cs="Arial"/>
              </w:rPr>
              <w:t>neopunitivismo</w:t>
            </w:r>
            <w:proofErr w:type="spellEnd"/>
            <w:r w:rsidRPr="0070729B">
              <w:rPr>
                <w:rFonts w:ascii="Verdana" w:hAnsi="Verdana" w:cs="Arial"/>
              </w:rPr>
              <w:t xml:space="preserve"> en el Estatuto Anticorrupción. En: ALVIAR GARCÍA, Helena (Coordinadora). Nuevas tendencias del Derecho administrativo. Bogotá: Universidad de los Andes; Temis, 2016. pp. 63-99.</w:t>
            </w:r>
          </w:p>
        </w:tc>
      </w:tr>
    </w:tbl>
    <w:p w14:paraId="6993F387" w14:textId="77777777" w:rsidR="004655F6" w:rsidRDefault="004655F6" w:rsidP="004655F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BF268EB" w14:textId="77777777" w:rsidR="004655F6" w:rsidRDefault="004655F6" w:rsidP="004655F6">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DAFE845" w14:textId="77777777" w:rsidR="004655F6" w:rsidRPr="00593A5F" w:rsidRDefault="004655F6" w:rsidP="004655F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06E844B" w14:textId="126D2BD3" w:rsidR="004655F6" w:rsidRPr="00AE7E03" w:rsidRDefault="0078715D" w:rsidP="004655F6">
      <w:pPr>
        <w:widowControl w:val="0"/>
        <w:autoSpaceDE w:val="0"/>
        <w:autoSpaceDN w:val="0"/>
        <w:spacing w:after="0" w:line="276" w:lineRule="auto"/>
        <w:jc w:val="both"/>
        <w:rPr>
          <w:rFonts w:ascii="Verdana" w:eastAsia="Arial" w:hAnsi="Verdana" w:cs="Arial"/>
          <w:lang w:val="es-MX" w:eastAsia="es-ES"/>
        </w:rPr>
      </w:pPr>
      <w:r w:rsidRPr="00F668C2">
        <w:rPr>
          <w:rFonts w:ascii="Verdana" w:hAnsi="Verdana" w:cs="Arial"/>
        </w:rPr>
        <w:t>La Agencia Nacional de Contratación Pública – Colombia Compra Eficiente se ha pronunciado</w:t>
      </w:r>
      <w:r w:rsidRPr="00F668C2">
        <w:rPr>
          <w:rFonts w:ascii="Verdana" w:hAnsi="Verdana" w:cs="Arial"/>
          <w:shd w:val="clear" w:color="auto" w:fill="FFFFFF"/>
          <w:lang w:val="es-ES"/>
        </w:rPr>
        <w:t xml:space="preserve"> sobre</w:t>
      </w:r>
      <w:r>
        <w:rPr>
          <w:rFonts w:ascii="Verdana" w:hAnsi="Verdana" w:cs="Arial"/>
          <w:shd w:val="clear" w:color="auto" w:fill="FFFFFF"/>
          <w:lang w:val="es-ES"/>
        </w:rPr>
        <w:t xml:space="preserve"> las inhabilidades e incompatibilidades de los empleados públicos</w:t>
      </w:r>
      <w:r w:rsidRPr="00F668C2">
        <w:rPr>
          <w:rFonts w:ascii="Verdana" w:eastAsia="Century Gothic" w:hAnsi="Verdana" w:cs="Century Gothic"/>
          <w:color w:val="000000" w:themeColor="text1"/>
        </w:rPr>
        <w:t>,</w:t>
      </w:r>
      <w:r>
        <w:rPr>
          <w:rFonts w:ascii="Verdana" w:eastAsia="Century Gothic" w:hAnsi="Verdana" w:cs="Century Gothic"/>
          <w:color w:val="000000" w:themeColor="text1"/>
        </w:rPr>
        <w:t xml:space="preserve"> límites a la capacidad jurídica de los ex empleados públicos en los conceptos; </w:t>
      </w:r>
      <w:r w:rsidRPr="00BE151B">
        <w:rPr>
          <w:rFonts w:ascii="Verdana" w:eastAsia="Calibri" w:hAnsi="Verdana" w:cs="Arial"/>
        </w:rPr>
        <w:t xml:space="preserve">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w:t>
      </w:r>
      <w:r w:rsidRPr="00BE151B">
        <w:rPr>
          <w:rFonts w:ascii="Verdana" w:eastAsia="Calibri" w:hAnsi="Verdana" w:cs="Arial"/>
        </w:rPr>
        <w:lastRenderedPageBreak/>
        <w:t>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w:t>
      </w:r>
      <w:r>
        <w:rPr>
          <w:rFonts w:ascii="Verdana" w:eastAsia="Calibri" w:hAnsi="Verdana" w:cs="Arial"/>
        </w:rPr>
        <w:t xml:space="preserve">, </w:t>
      </w:r>
      <w:r w:rsidRPr="00BE151B">
        <w:rPr>
          <w:rFonts w:ascii="Verdana" w:eastAsia="Calibri" w:hAnsi="Verdana" w:cs="Arial"/>
        </w:rPr>
        <w:t>C-039 del 23 de abril de 2024</w:t>
      </w:r>
      <w:r>
        <w:rPr>
          <w:rFonts w:ascii="Verdana" w:hAnsi="Verdana" w:cs="Arial"/>
        </w:rPr>
        <w:t xml:space="preserve"> y C-624 del 30 de octubre de 2025, </w:t>
      </w:r>
      <w:r w:rsidRPr="00F668C2">
        <w:rPr>
          <w:rFonts w:ascii="Verdana" w:eastAsia="Century Gothic" w:hAnsi="Verdana" w:cs="Century Gothic"/>
          <w:color w:val="000000" w:themeColor="text1"/>
        </w:rPr>
        <w:t>entre otros</w:t>
      </w:r>
      <w:r w:rsidR="004655F6">
        <w:rPr>
          <w:rFonts w:ascii="Verdana" w:eastAsia="Calibri" w:hAnsi="Verdana" w:cs="Arial"/>
          <w:shd w:val="clear" w:color="auto" w:fill="FFFFFF"/>
        </w:rPr>
        <w:t>.</w:t>
      </w:r>
      <w:r w:rsidR="004655F6" w:rsidRPr="00185EE9">
        <w:rPr>
          <w:rFonts w:ascii="Verdana" w:eastAsia="Calibri" w:hAnsi="Verdana" w:cs="Times New Roman"/>
        </w:rPr>
        <w:t xml:space="preserve"> </w:t>
      </w:r>
      <w:r w:rsidR="004655F6">
        <w:rPr>
          <w:rFonts w:ascii="Verdana" w:eastAsia="Calibri" w:hAnsi="Verdana" w:cs="Times New Roman"/>
        </w:rPr>
        <w:t xml:space="preserve">Estos </w:t>
      </w:r>
      <w:r w:rsidR="004655F6"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AD61A4B" w14:textId="77777777" w:rsidR="004655F6" w:rsidRPr="0065720B" w:rsidRDefault="008209D5" w:rsidP="004655F6">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004655F6" w:rsidRPr="00191357">
          <w:rPr>
            <w:rStyle w:val="Hipervnculo"/>
            <w:rFonts w:ascii="Verdana" w:eastAsia="Calibri" w:hAnsi="Verdana" w:cs="Times New Roman"/>
            <w:lang w:val="es-ES"/>
          </w:rPr>
          <w:t>https://relatoria.colombiacompra.gov.co/busqueda/conceptos</w:t>
        </w:r>
      </w:hyperlink>
      <w:r w:rsidR="004655F6" w:rsidRPr="00185EE9">
        <w:rPr>
          <w:rFonts w:ascii="Verdana" w:eastAsia="Calibri" w:hAnsi="Verdana" w:cs="Times New Roman"/>
        </w:rPr>
        <w:t>.</w:t>
      </w:r>
    </w:p>
    <w:p w14:paraId="62BBA28F" w14:textId="77777777" w:rsidR="004655F6" w:rsidRPr="00505CD6" w:rsidRDefault="004655F6" w:rsidP="004655F6">
      <w:pPr>
        <w:widowControl w:val="0"/>
        <w:autoSpaceDE w:val="0"/>
        <w:autoSpaceDN w:val="0"/>
        <w:spacing w:after="0" w:line="276" w:lineRule="auto"/>
        <w:jc w:val="both"/>
        <w:rPr>
          <w:rFonts w:ascii="Verdana" w:hAnsi="Verdana" w:cs="Arial"/>
          <w:color w:val="000000" w:themeColor="text1"/>
          <w:shd w:val="clear" w:color="auto" w:fill="FFFFFF"/>
        </w:rPr>
      </w:pPr>
    </w:p>
    <w:p w14:paraId="535836B1" w14:textId="77777777" w:rsidR="004655F6" w:rsidRDefault="004655F6" w:rsidP="004655F6">
      <w:pPr>
        <w:widowControl w:val="0"/>
        <w:autoSpaceDE w:val="0"/>
        <w:autoSpaceDN w:val="0"/>
        <w:spacing w:after="0" w:line="276" w:lineRule="auto"/>
        <w:jc w:val="both"/>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t>.</w:t>
      </w:r>
    </w:p>
    <w:p w14:paraId="7A370FF8" w14:textId="77777777" w:rsidR="004655F6" w:rsidRDefault="004655F6" w:rsidP="004655F6">
      <w:pPr>
        <w:widowControl w:val="0"/>
        <w:autoSpaceDE w:val="0"/>
        <w:autoSpaceDN w:val="0"/>
        <w:spacing w:after="0" w:line="276" w:lineRule="auto"/>
        <w:jc w:val="both"/>
      </w:pPr>
    </w:p>
    <w:p w14:paraId="2D6C9DF9" w14:textId="77777777" w:rsidR="004655F6" w:rsidRPr="00505CD6" w:rsidRDefault="004655F6" w:rsidP="004655F6">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3AF51D1E" w14:textId="77777777" w:rsidR="004655F6" w:rsidRPr="00505CD6" w:rsidRDefault="004655F6" w:rsidP="004655F6">
      <w:pPr>
        <w:widowControl w:val="0"/>
        <w:autoSpaceDE w:val="0"/>
        <w:autoSpaceDN w:val="0"/>
        <w:spacing w:after="0" w:line="276" w:lineRule="auto"/>
        <w:jc w:val="both"/>
        <w:rPr>
          <w:rFonts w:ascii="Verdana" w:hAnsi="Verdana" w:cs="Arial"/>
        </w:rPr>
      </w:pPr>
    </w:p>
    <w:p w14:paraId="686AE28F" w14:textId="77777777" w:rsidR="004655F6" w:rsidRPr="00505CD6" w:rsidRDefault="004655F6" w:rsidP="004655F6">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67827FE8" w14:textId="77777777" w:rsidR="004655F6" w:rsidRDefault="004655F6" w:rsidP="004655F6">
      <w:pPr>
        <w:spacing w:line="276" w:lineRule="auto"/>
        <w:jc w:val="center"/>
        <w:rPr>
          <w:rFonts w:ascii="Verdana" w:hAnsi="Verdana"/>
          <w:noProof/>
        </w:rPr>
      </w:pPr>
    </w:p>
    <w:p w14:paraId="1471E012" w14:textId="2E290110" w:rsidR="004655F6" w:rsidRDefault="00BB1B48" w:rsidP="004655F6">
      <w:pPr>
        <w:spacing w:line="276" w:lineRule="auto"/>
        <w:jc w:val="center"/>
      </w:pPr>
      <w:r>
        <w:rPr>
          <w:noProof/>
        </w:rPr>
        <w:drawing>
          <wp:inline distT="0" distB="0" distL="0" distR="0" wp14:anchorId="761A8891" wp14:editId="72F626FF">
            <wp:extent cx="3768725" cy="1399540"/>
            <wp:effectExtent l="0" t="0" r="3175" b="0"/>
            <wp:docPr id="2" name="Imagen 2"/>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p w14:paraId="6FADBE85" w14:textId="77777777" w:rsidR="004655F6" w:rsidRDefault="004655F6" w:rsidP="004655F6">
      <w:pPr>
        <w:spacing w:line="276" w:lineRule="auto"/>
        <w:jc w:val="center"/>
        <w:rPr>
          <w:rFonts w:ascii="Verdana" w:hAnsi="Verdana"/>
          <w:noProof/>
          <w:color w:val="000000"/>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655F6" w:rsidRPr="00593A5F" w14:paraId="201A26B8" w14:textId="77777777" w:rsidTr="003E6E41">
        <w:trPr>
          <w:trHeight w:val="315"/>
        </w:trPr>
        <w:tc>
          <w:tcPr>
            <w:tcW w:w="893" w:type="dxa"/>
            <w:vAlign w:val="center"/>
            <w:hideMark/>
          </w:tcPr>
          <w:p w14:paraId="7772E60E" w14:textId="77777777" w:rsidR="004655F6" w:rsidRPr="003751C7" w:rsidRDefault="004655F6" w:rsidP="003E6E41">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0DF09D1A" w14:textId="77777777" w:rsidR="004655F6" w:rsidRPr="007911EE" w:rsidRDefault="004655F6" w:rsidP="003E6E41">
            <w:pPr>
              <w:contextualSpacing/>
              <w:rPr>
                <w:rFonts w:ascii="Verdana" w:hAnsi="Verdana"/>
                <w:sz w:val="16"/>
                <w:szCs w:val="16"/>
              </w:rPr>
            </w:pPr>
            <w:r w:rsidRPr="007911EE">
              <w:rPr>
                <w:rFonts w:ascii="Verdana" w:hAnsi="Verdana"/>
                <w:sz w:val="16"/>
                <w:szCs w:val="16"/>
              </w:rPr>
              <w:t xml:space="preserve">Nicolas Andrés Guzmán </w:t>
            </w:r>
          </w:p>
          <w:p w14:paraId="62C7A537" w14:textId="77777777" w:rsidR="004655F6" w:rsidRPr="007911EE" w:rsidRDefault="004655F6" w:rsidP="003E6E41">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4655F6" w:rsidRPr="00593A5F" w14:paraId="5711AC5F" w14:textId="77777777" w:rsidTr="003E6E41">
        <w:trPr>
          <w:trHeight w:val="330"/>
        </w:trPr>
        <w:tc>
          <w:tcPr>
            <w:tcW w:w="893" w:type="dxa"/>
            <w:vAlign w:val="center"/>
            <w:hideMark/>
          </w:tcPr>
          <w:p w14:paraId="264C1E5D" w14:textId="77777777" w:rsidR="004655F6" w:rsidRPr="003751C7" w:rsidRDefault="004655F6" w:rsidP="003E6E41">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1358E21" w14:textId="10E7C9BA" w:rsidR="004655F6" w:rsidRDefault="00C47531" w:rsidP="003E6E41">
            <w:pPr>
              <w:spacing w:line="276" w:lineRule="auto"/>
              <w:contextualSpacing/>
              <w:jc w:val="both"/>
              <w:rPr>
                <w:rFonts w:ascii="Verdana" w:hAnsi="Verdana"/>
                <w:sz w:val="16"/>
                <w:szCs w:val="16"/>
              </w:rPr>
            </w:pPr>
            <w:r>
              <w:rPr>
                <w:rFonts w:ascii="Verdana" w:hAnsi="Verdana"/>
                <w:sz w:val="16"/>
                <w:szCs w:val="16"/>
              </w:rPr>
              <w:t>Diana Lucia Saavedra</w:t>
            </w:r>
          </w:p>
          <w:p w14:paraId="0E9A789C" w14:textId="5870B045" w:rsidR="004655F6" w:rsidRPr="007911EE" w:rsidRDefault="004655F6" w:rsidP="003E6E41">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4655F6" w:rsidRPr="00593A5F" w14:paraId="0DA7A9D5" w14:textId="77777777" w:rsidTr="003E6E41">
        <w:trPr>
          <w:trHeight w:val="330"/>
        </w:trPr>
        <w:tc>
          <w:tcPr>
            <w:tcW w:w="893" w:type="dxa"/>
            <w:vAlign w:val="center"/>
          </w:tcPr>
          <w:p w14:paraId="5C0E9F16" w14:textId="77777777" w:rsidR="004655F6" w:rsidRPr="003751C7" w:rsidRDefault="004655F6" w:rsidP="003E6E41">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2FFFC5A" w14:textId="3F4A6926" w:rsidR="00DD1156" w:rsidRDefault="00BB1B48" w:rsidP="00DD1156">
            <w:pPr>
              <w:spacing w:line="276" w:lineRule="auto"/>
              <w:contextualSpacing/>
              <w:jc w:val="both"/>
              <w:rPr>
                <w:rFonts w:ascii="Verdana" w:hAnsi="Verdana"/>
                <w:sz w:val="16"/>
                <w:szCs w:val="16"/>
              </w:rPr>
            </w:pPr>
            <w:r>
              <w:rPr>
                <w:rFonts w:ascii="Verdana" w:hAnsi="Verdana"/>
                <w:sz w:val="16"/>
                <w:szCs w:val="16"/>
              </w:rPr>
              <w:t xml:space="preserve">Carolina Quintero </w:t>
            </w:r>
            <w:proofErr w:type="spellStart"/>
            <w:r>
              <w:rPr>
                <w:rFonts w:ascii="Verdana" w:hAnsi="Verdana"/>
                <w:sz w:val="16"/>
                <w:szCs w:val="16"/>
              </w:rPr>
              <w:t>Gacharná</w:t>
            </w:r>
            <w:proofErr w:type="spellEnd"/>
          </w:p>
          <w:p w14:paraId="0D3A38F4" w14:textId="2EB48999" w:rsidR="004655F6" w:rsidRDefault="004655F6" w:rsidP="003E6E41">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w:t>
            </w:r>
            <w:proofErr w:type="spellStart"/>
            <w:r w:rsidR="00870AF0" w:rsidRPr="00EB1CF7">
              <w:rPr>
                <w:rFonts w:ascii="Verdana" w:eastAsia="Calibri" w:hAnsi="Verdana" w:cs="Arial"/>
                <w:sz w:val="16"/>
                <w:szCs w:val="16"/>
                <w:lang w:val="pt-BR" w:eastAsia="es-ES"/>
              </w:rPr>
              <w:t>Contra</w:t>
            </w:r>
            <w:r w:rsidR="00ED6FA7">
              <w:rPr>
                <w:rFonts w:ascii="Verdana" w:eastAsia="Calibri" w:hAnsi="Verdana" w:cs="Arial"/>
                <w:sz w:val="16"/>
                <w:szCs w:val="16"/>
                <w:lang w:val="pt-BR" w:eastAsia="es-ES"/>
              </w:rPr>
              <w:t>c</w:t>
            </w:r>
            <w:r w:rsidR="00870AF0" w:rsidRPr="00EB1CF7">
              <w:rPr>
                <w:rFonts w:ascii="Verdana" w:eastAsia="Calibri" w:hAnsi="Verdana" w:cs="Arial"/>
                <w:sz w:val="16"/>
                <w:szCs w:val="16"/>
                <w:lang w:val="pt-BR" w:eastAsia="es-ES"/>
              </w:rPr>
              <w:t>tual</w:t>
            </w:r>
            <w:proofErr w:type="spellEnd"/>
            <w:r w:rsidRPr="00EB1CF7">
              <w:rPr>
                <w:rFonts w:ascii="Verdana" w:eastAsia="Calibri" w:hAnsi="Verdana" w:cs="Arial"/>
                <w:sz w:val="16"/>
                <w:szCs w:val="16"/>
                <w:lang w:val="pt-BR" w:eastAsia="es-ES"/>
              </w:rPr>
              <w:t xml:space="preserve"> </w:t>
            </w:r>
            <w:r w:rsidR="0077322C">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bookmarkEnd w:id="2"/>
      <w:bookmarkEnd w:id="3"/>
    </w:tbl>
    <w:p w14:paraId="742B04E7" w14:textId="77777777" w:rsidR="004655F6" w:rsidRPr="00EA6F8B" w:rsidRDefault="004655F6" w:rsidP="004655F6"/>
    <w:p w14:paraId="3167F86C" w14:textId="77777777" w:rsidR="004655F6" w:rsidRPr="00DE435A" w:rsidRDefault="004655F6" w:rsidP="004655F6">
      <w:pPr>
        <w:rPr>
          <w:lang w:val="es-ES"/>
        </w:rPr>
      </w:pPr>
    </w:p>
    <w:p w14:paraId="3900974D" w14:textId="77777777" w:rsidR="003D5B0D" w:rsidRPr="003C4416" w:rsidRDefault="003D5B0D" w:rsidP="003C4416"/>
    <w:sectPr w:rsidR="003D5B0D" w:rsidRPr="003C441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D5FE9F" w14:textId="77777777" w:rsidR="008209D5" w:rsidRDefault="008209D5" w:rsidP="004A1847">
      <w:pPr>
        <w:spacing w:after="0" w:line="240" w:lineRule="auto"/>
      </w:pPr>
      <w:r>
        <w:separator/>
      </w:r>
    </w:p>
  </w:endnote>
  <w:endnote w:type="continuationSeparator" w:id="0">
    <w:p w14:paraId="030511B9" w14:textId="77777777" w:rsidR="008209D5" w:rsidRDefault="008209D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F9E598" w14:textId="77777777" w:rsidR="008209D5" w:rsidRDefault="008209D5" w:rsidP="004A1847">
      <w:pPr>
        <w:spacing w:after="0" w:line="240" w:lineRule="auto"/>
      </w:pPr>
      <w:r>
        <w:separator/>
      </w:r>
    </w:p>
  </w:footnote>
  <w:footnote w:type="continuationSeparator" w:id="0">
    <w:p w14:paraId="651A6DEE" w14:textId="77777777" w:rsidR="008209D5" w:rsidRDefault="008209D5" w:rsidP="004A1847">
      <w:pPr>
        <w:spacing w:after="0" w:line="240" w:lineRule="auto"/>
      </w:pPr>
      <w:r>
        <w:continuationSeparator/>
      </w:r>
    </w:p>
  </w:footnote>
  <w:footnote w:id="1">
    <w:p w14:paraId="61D589F1" w14:textId="77777777" w:rsidR="0078715D" w:rsidRPr="0078715D" w:rsidRDefault="0078715D" w:rsidP="0078715D">
      <w:pPr>
        <w:pStyle w:val="Textonotapie"/>
        <w:ind w:firstLine="709"/>
        <w:jc w:val="both"/>
        <w:rPr>
          <w:rFonts w:ascii="Verdana" w:hAnsi="Verdana"/>
          <w:color w:val="000000"/>
          <w:sz w:val="16"/>
          <w:szCs w:val="16"/>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El artículo 6 de la Ley 80 de 1993 expresa: “Pueden celebrar contratos con las entidades estatales las personas consideradas legalmente capaces en las disposiciones vigentes. También podrán celebrar contratos con las entidades estatales, los consorcios y uniones temporales.</w:t>
      </w:r>
    </w:p>
    <w:p w14:paraId="5819D112" w14:textId="77777777" w:rsidR="0078715D" w:rsidRPr="0078715D" w:rsidRDefault="0078715D" w:rsidP="0078715D">
      <w:pPr>
        <w:pStyle w:val="Textonotapie"/>
        <w:ind w:firstLine="709"/>
        <w:jc w:val="both"/>
        <w:rPr>
          <w:rFonts w:ascii="Verdana" w:hAnsi="Verdana"/>
          <w:color w:val="000000"/>
          <w:sz w:val="16"/>
          <w:szCs w:val="16"/>
        </w:rPr>
      </w:pPr>
      <w:r w:rsidRPr="0078715D">
        <w:rPr>
          <w:rFonts w:ascii="Verdana" w:hAnsi="Verdana"/>
          <w:color w:val="000000"/>
          <w:sz w:val="16"/>
          <w:szCs w:val="16"/>
        </w:rPr>
        <w:t>Las personas jurídicas nacionales y extranjeras deberán acreditar que su duración no será inferior a la del plazo del contrato y un año más”.</w:t>
      </w:r>
    </w:p>
    <w:p w14:paraId="7176764E" w14:textId="77777777" w:rsidR="0078715D" w:rsidRPr="0078715D" w:rsidRDefault="0078715D" w:rsidP="0078715D">
      <w:pPr>
        <w:pStyle w:val="Textonotapie"/>
        <w:ind w:firstLine="709"/>
        <w:jc w:val="both"/>
        <w:rPr>
          <w:rFonts w:ascii="Verdana" w:hAnsi="Verdana"/>
          <w:color w:val="000000"/>
          <w:sz w:val="16"/>
          <w:szCs w:val="16"/>
        </w:rPr>
      </w:pPr>
    </w:p>
  </w:footnote>
  <w:footnote w:id="2">
    <w:p w14:paraId="68A57536" w14:textId="77777777" w:rsidR="0078715D" w:rsidRPr="0078715D" w:rsidRDefault="0078715D" w:rsidP="0078715D">
      <w:pPr>
        <w:pStyle w:val="Textonotapie"/>
        <w:ind w:firstLine="709"/>
        <w:jc w:val="both"/>
        <w:rPr>
          <w:rFonts w:ascii="Verdana" w:hAnsi="Verdana"/>
          <w:color w:val="000000"/>
          <w:sz w:val="16"/>
          <w:szCs w:val="16"/>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El artículo 1502 del Código Civil prevé la capacidad legal como requisito para obligarse contractualmente, en los siguientes términos: “Para que una persona se obligue a otra por un acto o declaración de voluntad, es necesario:</w:t>
      </w:r>
    </w:p>
    <w:p w14:paraId="2E8E8198" w14:textId="77777777" w:rsidR="0078715D" w:rsidRPr="0078715D" w:rsidRDefault="0078715D" w:rsidP="0078715D">
      <w:pPr>
        <w:pStyle w:val="Textonotapie"/>
        <w:ind w:firstLine="709"/>
        <w:jc w:val="both"/>
        <w:rPr>
          <w:rFonts w:ascii="Verdana" w:hAnsi="Verdana"/>
          <w:color w:val="000000"/>
          <w:sz w:val="16"/>
          <w:szCs w:val="16"/>
        </w:rPr>
      </w:pPr>
      <w:r w:rsidRPr="0078715D">
        <w:rPr>
          <w:rFonts w:ascii="Verdana" w:hAnsi="Verdana"/>
          <w:color w:val="000000"/>
          <w:sz w:val="16"/>
          <w:szCs w:val="16"/>
        </w:rPr>
        <w:t>1o.) que sea legalmente capaz.</w:t>
      </w:r>
    </w:p>
    <w:p w14:paraId="2C0E6A0E" w14:textId="77777777" w:rsidR="0078715D" w:rsidRPr="0078715D" w:rsidRDefault="0078715D" w:rsidP="0078715D">
      <w:pPr>
        <w:pStyle w:val="Textonotapie"/>
        <w:ind w:firstLine="709"/>
        <w:jc w:val="both"/>
        <w:rPr>
          <w:rFonts w:ascii="Verdana" w:hAnsi="Verdana"/>
          <w:color w:val="000000"/>
          <w:sz w:val="16"/>
          <w:szCs w:val="16"/>
        </w:rPr>
      </w:pPr>
      <w:r w:rsidRPr="0078715D">
        <w:rPr>
          <w:rFonts w:ascii="Verdana" w:hAnsi="Verdana"/>
          <w:color w:val="000000"/>
          <w:sz w:val="16"/>
          <w:szCs w:val="16"/>
        </w:rPr>
        <w:t>[…]</w:t>
      </w:r>
    </w:p>
    <w:p w14:paraId="400759A7" w14:textId="77777777" w:rsidR="0078715D" w:rsidRPr="0078715D" w:rsidRDefault="0078715D" w:rsidP="0078715D">
      <w:pPr>
        <w:pStyle w:val="Textonotapie"/>
        <w:ind w:firstLine="709"/>
        <w:jc w:val="both"/>
        <w:rPr>
          <w:rFonts w:ascii="Verdana" w:hAnsi="Verdana"/>
          <w:color w:val="000000"/>
          <w:sz w:val="16"/>
          <w:szCs w:val="16"/>
        </w:rPr>
      </w:pPr>
      <w:r w:rsidRPr="0078715D">
        <w:rPr>
          <w:rFonts w:ascii="Verdana" w:hAnsi="Verdana"/>
          <w:color w:val="000000"/>
          <w:sz w:val="16"/>
          <w:szCs w:val="16"/>
        </w:rPr>
        <w:t>La capacidad legal de una persona consiste en poderse obligar por sí misma, sin el ministerio o la autorización de otra”.</w:t>
      </w:r>
    </w:p>
  </w:footnote>
  <w:footnote w:id="3">
    <w:p w14:paraId="750728D7" w14:textId="77777777" w:rsidR="0078715D" w:rsidRPr="0078715D" w:rsidRDefault="0078715D" w:rsidP="0078715D">
      <w:pPr>
        <w:pStyle w:val="Textonotapie"/>
        <w:ind w:firstLine="709"/>
        <w:jc w:val="both"/>
        <w:rPr>
          <w:rFonts w:ascii="Verdana" w:hAnsi="Verdana"/>
          <w:color w:val="000000"/>
          <w:sz w:val="16"/>
          <w:szCs w:val="16"/>
        </w:rPr>
      </w:pPr>
    </w:p>
    <w:p w14:paraId="2EB6C3C2" w14:textId="77777777" w:rsidR="0078715D" w:rsidRPr="0078715D" w:rsidRDefault="0078715D" w:rsidP="0078715D">
      <w:pPr>
        <w:pStyle w:val="Textonotapie"/>
        <w:ind w:firstLine="709"/>
        <w:jc w:val="both"/>
        <w:rPr>
          <w:rFonts w:ascii="Verdana" w:hAnsi="Verdana"/>
          <w:color w:val="000000"/>
          <w:sz w:val="16"/>
          <w:szCs w:val="16"/>
          <w:lang w:val="es-ES"/>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Los incisos 1 y 2 de dicho artículo disponen: </w:t>
      </w:r>
      <w:r w:rsidRPr="0078715D">
        <w:rPr>
          <w:rFonts w:ascii="Verdana" w:hAnsi="Verdana"/>
          <w:color w:val="000000"/>
          <w:sz w:val="16"/>
          <w:szCs w:val="16"/>
          <w:lang w:val="es-ES"/>
        </w:rPr>
        <w:t>“Todas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3480A27F" w14:textId="77777777" w:rsidR="0078715D" w:rsidRPr="0078715D" w:rsidRDefault="0078715D" w:rsidP="0078715D">
      <w:pPr>
        <w:pStyle w:val="Textonotapie"/>
        <w:ind w:firstLine="709"/>
        <w:jc w:val="both"/>
        <w:rPr>
          <w:rFonts w:ascii="Verdana" w:hAnsi="Verdana"/>
          <w:color w:val="000000"/>
          <w:sz w:val="16"/>
          <w:szCs w:val="16"/>
          <w:lang w:val="es-ES"/>
        </w:rPr>
      </w:pPr>
      <w:r w:rsidRPr="0078715D">
        <w:rPr>
          <w:rFonts w:ascii="Verdana" w:hAnsi="Verdana"/>
          <w:color w:val="000000"/>
          <w:sz w:val="16"/>
          <w:szCs w:val="16"/>
          <w:lang w:val="es-ES"/>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45E6C4BE" w14:textId="77777777" w:rsidR="0078715D" w:rsidRPr="0078715D" w:rsidRDefault="0078715D" w:rsidP="0078715D">
      <w:pPr>
        <w:pStyle w:val="Textonotapie"/>
        <w:ind w:firstLine="709"/>
        <w:jc w:val="both"/>
        <w:rPr>
          <w:rFonts w:ascii="Verdana" w:hAnsi="Verdana"/>
          <w:color w:val="000000"/>
          <w:sz w:val="16"/>
          <w:szCs w:val="16"/>
        </w:rPr>
      </w:pPr>
    </w:p>
  </w:footnote>
  <w:footnote w:id="4">
    <w:p w14:paraId="4116885C" w14:textId="77777777" w:rsidR="0078715D" w:rsidRPr="0078715D" w:rsidRDefault="0078715D" w:rsidP="0078715D">
      <w:pPr>
        <w:pStyle w:val="Textonotapie"/>
        <w:ind w:firstLine="709"/>
        <w:jc w:val="both"/>
        <w:rPr>
          <w:rFonts w:ascii="Verdana" w:hAnsi="Verdana"/>
          <w:color w:val="000000"/>
          <w:sz w:val="16"/>
          <w:szCs w:val="16"/>
          <w:lang w:val="es-ES"/>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w:t>
      </w:r>
      <w:r w:rsidRPr="0078715D">
        <w:rPr>
          <w:rFonts w:ascii="Verdana" w:hAnsi="Verdana"/>
          <w:color w:val="000000"/>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78715D">
        <w:rPr>
          <w:rFonts w:ascii="Verdana" w:hAnsi="Verdana"/>
          <w:i/>
          <w:color w:val="000000"/>
          <w:sz w:val="16"/>
          <w:szCs w:val="16"/>
          <w:lang w:val="es-ES"/>
        </w:rPr>
        <w:t>el régimen de inhabilidades e incompatibilidades</w:t>
      </w:r>
      <w:r w:rsidRPr="0078715D">
        <w:rPr>
          <w:rFonts w:ascii="Verdana" w:hAnsi="Verdana"/>
          <w:color w:val="000000"/>
          <w:sz w:val="16"/>
          <w:szCs w:val="16"/>
          <w:lang w:val="es-ES"/>
        </w:rPr>
        <w:t xml:space="preserve"> (1) y la obligación de ciertos proponentes de inscribirse en el </w:t>
      </w:r>
      <w:r w:rsidRPr="0078715D">
        <w:rPr>
          <w:rFonts w:ascii="Verdana" w:hAnsi="Verdana"/>
          <w:i/>
          <w:color w:val="000000"/>
          <w:sz w:val="16"/>
          <w:szCs w:val="16"/>
          <w:lang w:val="es-ES"/>
        </w:rPr>
        <w:t>registro único</w:t>
      </w:r>
      <w:r w:rsidRPr="0078715D">
        <w:rPr>
          <w:rFonts w:ascii="Verdana" w:hAnsi="Verdana"/>
          <w:color w:val="000000"/>
          <w:sz w:val="16"/>
          <w:szCs w:val="16"/>
          <w:lang w:val="es-ES"/>
        </w:rPr>
        <w:t xml:space="preserve"> (2)” (BENAVIDES, José Luis. El contrato estatal. Entre el Derecho público y el Derecho privado. 2ª ed. Bogotá: Universidad Externado de Colombia, 2004. p. 278). </w:t>
      </w:r>
    </w:p>
    <w:p w14:paraId="187A1B60" w14:textId="77777777" w:rsidR="0078715D" w:rsidRPr="0078715D" w:rsidRDefault="0078715D" w:rsidP="0078715D">
      <w:pPr>
        <w:pStyle w:val="Textonotapie"/>
        <w:ind w:firstLine="709"/>
        <w:jc w:val="both"/>
        <w:rPr>
          <w:rFonts w:ascii="Verdana" w:hAnsi="Verdana"/>
          <w:color w:val="000000"/>
          <w:sz w:val="16"/>
          <w:szCs w:val="16"/>
          <w:lang w:val="es-ES"/>
        </w:rPr>
      </w:pPr>
    </w:p>
  </w:footnote>
  <w:footnote w:id="5">
    <w:p w14:paraId="1F78DF35" w14:textId="77777777" w:rsidR="0078715D" w:rsidRPr="0078715D" w:rsidRDefault="0078715D" w:rsidP="0078715D">
      <w:pPr>
        <w:ind w:firstLine="709"/>
        <w:jc w:val="both"/>
        <w:rPr>
          <w:rFonts w:ascii="Verdana" w:hAnsi="Verdana" w:cs="Arial"/>
          <w:color w:val="000000"/>
          <w:sz w:val="16"/>
          <w:szCs w:val="16"/>
          <w:lang w:val="es-ES"/>
        </w:rPr>
      </w:pPr>
      <w:r w:rsidRPr="0078715D">
        <w:rPr>
          <w:rStyle w:val="Refdenotaalpie"/>
          <w:rFonts w:ascii="Verdana" w:hAnsi="Verdana" w:cs="Arial"/>
          <w:color w:val="000000"/>
          <w:sz w:val="16"/>
          <w:szCs w:val="16"/>
        </w:rPr>
        <w:footnoteRef/>
      </w:r>
      <w:r w:rsidRPr="0078715D">
        <w:rPr>
          <w:rFonts w:ascii="Verdana" w:hAnsi="Verdana" w:cs="Arial"/>
          <w:color w:val="000000"/>
          <w:sz w:val="16"/>
          <w:szCs w:val="16"/>
        </w:rPr>
        <w:t xml:space="preserve"> </w:t>
      </w:r>
      <w:r w:rsidRPr="0078715D">
        <w:rPr>
          <w:rFonts w:ascii="Verdana" w:hAnsi="Verdana" w:cs="Arial"/>
          <w:color w:val="000000"/>
          <w:sz w:val="16"/>
          <w:szCs w:val="16"/>
          <w:lang w:val="es-ES"/>
        </w:rPr>
        <w:t xml:space="preserve">Son inhabilidades que responden a esta circunstancia, entre otras, las siguientes: “Quienes participaron en las licitaciones o celebraron los contratos de que trata el literal anterior estando inhabilitados” (art. 8, </w:t>
      </w:r>
      <w:proofErr w:type="spellStart"/>
      <w:r w:rsidRPr="0078715D">
        <w:rPr>
          <w:rFonts w:ascii="Verdana" w:hAnsi="Verdana" w:cs="Arial"/>
          <w:color w:val="000000"/>
          <w:sz w:val="16"/>
          <w:szCs w:val="16"/>
          <w:lang w:val="es-ES"/>
        </w:rPr>
        <w:t>num</w:t>
      </w:r>
      <w:proofErr w:type="spellEnd"/>
      <w:r w:rsidRPr="0078715D">
        <w:rPr>
          <w:rFonts w:ascii="Verdana" w:hAnsi="Verdana" w:cs="Arial"/>
          <w:color w:val="000000"/>
          <w:sz w:val="16"/>
          <w:szCs w:val="16"/>
          <w:lang w:val="es-ES"/>
        </w:rPr>
        <w:t xml:space="preserve">. 1º, </w:t>
      </w:r>
      <w:proofErr w:type="spellStart"/>
      <w:r w:rsidRPr="0078715D">
        <w:rPr>
          <w:rFonts w:ascii="Verdana" w:hAnsi="Verdana" w:cs="Arial"/>
          <w:color w:val="000000"/>
          <w:sz w:val="16"/>
          <w:szCs w:val="16"/>
          <w:lang w:val="es-ES"/>
        </w:rPr>
        <w:t>lit.</w:t>
      </w:r>
      <w:proofErr w:type="spellEnd"/>
      <w:r w:rsidRPr="0078715D">
        <w:rPr>
          <w:rFonts w:ascii="Verdana" w:hAnsi="Verdana" w:cs="Arial"/>
          <w:color w:val="000000"/>
          <w:sz w:val="16"/>
          <w:szCs w:val="16"/>
          <w:lang w:val="es-ES"/>
        </w:rPr>
        <w:t xml:space="preserve"> b, Ley 80/93); “Quienes dieron lugar a la declaratoria de caducidad” (art. 8, </w:t>
      </w:r>
      <w:proofErr w:type="spellStart"/>
      <w:r w:rsidRPr="0078715D">
        <w:rPr>
          <w:rFonts w:ascii="Verdana" w:hAnsi="Verdana" w:cs="Arial"/>
          <w:color w:val="000000"/>
          <w:sz w:val="16"/>
          <w:szCs w:val="16"/>
          <w:lang w:val="es-ES"/>
        </w:rPr>
        <w:t>num</w:t>
      </w:r>
      <w:proofErr w:type="spellEnd"/>
      <w:r w:rsidRPr="0078715D">
        <w:rPr>
          <w:rFonts w:ascii="Verdana" w:hAnsi="Verdana" w:cs="Arial"/>
          <w:color w:val="000000"/>
          <w:sz w:val="16"/>
          <w:szCs w:val="16"/>
          <w:lang w:val="es-ES"/>
        </w:rPr>
        <w:t xml:space="preserve">. 1º, </w:t>
      </w:r>
      <w:proofErr w:type="spellStart"/>
      <w:r w:rsidRPr="0078715D">
        <w:rPr>
          <w:rFonts w:ascii="Verdana" w:hAnsi="Verdana" w:cs="Arial"/>
          <w:color w:val="000000"/>
          <w:sz w:val="16"/>
          <w:szCs w:val="16"/>
          <w:lang w:val="es-ES"/>
        </w:rPr>
        <w:t>lit.</w:t>
      </w:r>
      <w:proofErr w:type="spellEnd"/>
      <w:r w:rsidRPr="0078715D">
        <w:rPr>
          <w:rFonts w:ascii="Verdana" w:hAnsi="Verdana" w:cs="Arial"/>
          <w:color w:val="000000"/>
          <w:sz w:val="16"/>
          <w:szCs w:val="16"/>
          <w:lang w:val="es-ES"/>
        </w:rPr>
        <w:t xml:space="preserve"> c), Ley 80/93); “Quienes en sentencia judicial hayan sido condenados a la pena accesoria de interdicción de derechos y funciones públicas y quienes hayan sido sancionados disciplinariamente con destitución” (art. 8, </w:t>
      </w:r>
      <w:proofErr w:type="spellStart"/>
      <w:r w:rsidRPr="0078715D">
        <w:rPr>
          <w:rFonts w:ascii="Verdana" w:hAnsi="Verdana" w:cs="Arial"/>
          <w:color w:val="000000"/>
          <w:sz w:val="16"/>
          <w:szCs w:val="16"/>
          <w:lang w:val="es-ES"/>
        </w:rPr>
        <w:t>num</w:t>
      </w:r>
      <w:proofErr w:type="spellEnd"/>
      <w:r w:rsidRPr="0078715D">
        <w:rPr>
          <w:rFonts w:ascii="Verdana" w:hAnsi="Verdana" w:cs="Arial"/>
          <w:color w:val="000000"/>
          <w:sz w:val="16"/>
          <w:szCs w:val="16"/>
          <w:lang w:val="es-ES"/>
        </w:rPr>
        <w:t xml:space="preserve">. 1º, </w:t>
      </w:r>
      <w:proofErr w:type="spellStart"/>
      <w:r w:rsidRPr="0078715D">
        <w:rPr>
          <w:rFonts w:ascii="Verdana" w:hAnsi="Verdana" w:cs="Arial"/>
          <w:color w:val="000000"/>
          <w:sz w:val="16"/>
          <w:szCs w:val="16"/>
          <w:lang w:val="es-ES"/>
        </w:rPr>
        <w:t>lit.</w:t>
      </w:r>
      <w:proofErr w:type="spellEnd"/>
      <w:r w:rsidRPr="0078715D">
        <w:rPr>
          <w:rFonts w:ascii="Verdana" w:hAnsi="Verdana" w:cs="Arial"/>
          <w:color w:val="000000"/>
          <w:sz w:val="16"/>
          <w:szCs w:val="16"/>
          <w:lang w:val="es-ES"/>
        </w:rPr>
        <w:t xml:space="preserve"> d), Ley 80/93); “Quienes sin justa causa se abstengan de suscribir el contrato estatal adjudicado” (art. 8, </w:t>
      </w:r>
      <w:proofErr w:type="spellStart"/>
      <w:r w:rsidRPr="0078715D">
        <w:rPr>
          <w:rFonts w:ascii="Verdana" w:hAnsi="Verdana" w:cs="Arial"/>
          <w:color w:val="000000"/>
          <w:sz w:val="16"/>
          <w:szCs w:val="16"/>
          <w:lang w:val="es-ES"/>
        </w:rPr>
        <w:t>num</w:t>
      </w:r>
      <w:proofErr w:type="spellEnd"/>
      <w:r w:rsidRPr="0078715D">
        <w:rPr>
          <w:rFonts w:ascii="Verdana" w:hAnsi="Verdana" w:cs="Arial"/>
          <w:color w:val="000000"/>
          <w:sz w:val="16"/>
          <w:szCs w:val="16"/>
          <w:lang w:val="es-ES"/>
        </w:rPr>
        <w:t xml:space="preserve">. 1º, </w:t>
      </w:r>
      <w:proofErr w:type="spellStart"/>
      <w:r w:rsidRPr="0078715D">
        <w:rPr>
          <w:rFonts w:ascii="Verdana" w:hAnsi="Verdana" w:cs="Arial"/>
          <w:color w:val="000000"/>
          <w:sz w:val="16"/>
          <w:szCs w:val="16"/>
          <w:lang w:val="es-ES"/>
        </w:rPr>
        <w:t>lit.</w:t>
      </w:r>
      <w:proofErr w:type="spellEnd"/>
      <w:r w:rsidRPr="0078715D">
        <w:rPr>
          <w:rFonts w:ascii="Verdana" w:hAnsi="Verdana" w:cs="Arial"/>
          <w:color w:val="000000"/>
          <w:sz w:val="16"/>
          <w:szCs w:val="16"/>
          <w:lang w:val="es-ES"/>
        </w:rPr>
        <w:t xml:space="preserve"> e), Ley 80/93); “i) Los socios de sociedades de personas a las cuales se haya declarado la caducidad, así como las sociedades de personas de las que aquellos formen parte con posterioridad a dicha declaratoria” (art. 8, </w:t>
      </w:r>
      <w:proofErr w:type="spellStart"/>
      <w:r w:rsidRPr="0078715D">
        <w:rPr>
          <w:rFonts w:ascii="Verdana" w:hAnsi="Verdana" w:cs="Arial"/>
          <w:color w:val="000000"/>
          <w:sz w:val="16"/>
          <w:szCs w:val="16"/>
          <w:lang w:val="es-ES"/>
        </w:rPr>
        <w:t>num</w:t>
      </w:r>
      <w:proofErr w:type="spellEnd"/>
      <w:r w:rsidRPr="0078715D">
        <w:rPr>
          <w:rFonts w:ascii="Verdana" w:hAnsi="Verdana" w:cs="Arial"/>
          <w:color w:val="000000"/>
          <w:sz w:val="16"/>
          <w:szCs w:val="16"/>
          <w:lang w:val="es-ES"/>
        </w:rPr>
        <w:t xml:space="preserve">. 1º, </w:t>
      </w:r>
      <w:proofErr w:type="spellStart"/>
      <w:r w:rsidRPr="0078715D">
        <w:rPr>
          <w:rFonts w:ascii="Verdana" w:hAnsi="Verdana" w:cs="Arial"/>
          <w:color w:val="000000"/>
          <w:sz w:val="16"/>
          <w:szCs w:val="16"/>
          <w:lang w:val="es-ES"/>
        </w:rPr>
        <w:t>lit.</w:t>
      </w:r>
      <w:proofErr w:type="spellEnd"/>
      <w:r w:rsidRPr="0078715D">
        <w:rPr>
          <w:rFonts w:ascii="Verdana" w:hAnsi="Verdana" w:cs="Arial"/>
          <w:color w:val="000000"/>
          <w:sz w:val="16"/>
          <w:szCs w:val="16"/>
          <w:lang w:val="es-ES"/>
        </w:rPr>
        <w:t xml:space="preserve">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w:t>
      </w:r>
      <w:proofErr w:type="spellStart"/>
      <w:r w:rsidRPr="0078715D">
        <w:rPr>
          <w:rFonts w:ascii="Verdana" w:hAnsi="Verdana" w:cs="Arial"/>
          <w:color w:val="000000"/>
          <w:sz w:val="16"/>
          <w:szCs w:val="16"/>
          <w:lang w:val="es-ES"/>
        </w:rPr>
        <w:t>num</w:t>
      </w:r>
      <w:proofErr w:type="spellEnd"/>
      <w:r w:rsidRPr="0078715D">
        <w:rPr>
          <w:rFonts w:ascii="Verdana" w:hAnsi="Verdana" w:cs="Arial"/>
          <w:color w:val="000000"/>
          <w:sz w:val="16"/>
          <w:szCs w:val="16"/>
          <w:lang w:val="es-ES"/>
        </w:rPr>
        <w:t xml:space="preserve">. 1º, </w:t>
      </w:r>
      <w:proofErr w:type="spellStart"/>
      <w:r w:rsidRPr="0078715D">
        <w:rPr>
          <w:rFonts w:ascii="Verdana" w:hAnsi="Verdana" w:cs="Arial"/>
          <w:color w:val="000000"/>
          <w:sz w:val="16"/>
          <w:szCs w:val="16"/>
          <w:lang w:val="es-ES"/>
        </w:rPr>
        <w:t>lit.</w:t>
      </w:r>
      <w:proofErr w:type="spellEnd"/>
      <w:r w:rsidRPr="0078715D">
        <w:rPr>
          <w:rFonts w:ascii="Verdana" w:hAnsi="Verdana" w:cs="Arial"/>
          <w:color w:val="000000"/>
          <w:sz w:val="16"/>
          <w:szCs w:val="16"/>
          <w:lang w:val="es-ES"/>
        </w:rPr>
        <w:t xml:space="preserve">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w:t>
      </w:r>
      <w:proofErr w:type="spellStart"/>
      <w:r w:rsidRPr="0078715D">
        <w:rPr>
          <w:rFonts w:ascii="Verdana" w:hAnsi="Verdana" w:cs="Arial"/>
          <w:color w:val="000000"/>
          <w:sz w:val="16"/>
          <w:szCs w:val="16"/>
          <w:lang w:val="es-ES"/>
        </w:rPr>
        <w:t>num</w:t>
      </w:r>
      <w:proofErr w:type="spellEnd"/>
      <w:r w:rsidRPr="0078715D">
        <w:rPr>
          <w:rFonts w:ascii="Verdana" w:hAnsi="Verdana" w:cs="Arial"/>
          <w:color w:val="000000"/>
          <w:sz w:val="16"/>
          <w:szCs w:val="16"/>
          <w:lang w:val="es-ES"/>
        </w:rPr>
        <w:t xml:space="preserve">. 1º, </w:t>
      </w:r>
      <w:proofErr w:type="spellStart"/>
      <w:r w:rsidRPr="0078715D">
        <w:rPr>
          <w:rFonts w:ascii="Verdana" w:hAnsi="Verdana" w:cs="Arial"/>
          <w:color w:val="000000"/>
          <w:sz w:val="16"/>
          <w:szCs w:val="16"/>
          <w:lang w:val="es-ES"/>
        </w:rPr>
        <w:t>lit.</w:t>
      </w:r>
      <w:proofErr w:type="spellEnd"/>
      <w:r w:rsidRPr="0078715D">
        <w:rPr>
          <w:rFonts w:ascii="Verdana" w:hAnsi="Verdana" w:cs="Arial"/>
          <w:color w:val="000000"/>
          <w:sz w:val="16"/>
          <w:szCs w:val="16"/>
          <w:lang w:val="es-ES"/>
        </w:rPr>
        <w:t xml:space="preserve">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w:t>
      </w:r>
      <w:proofErr w:type="spellStart"/>
      <w:r w:rsidRPr="0078715D">
        <w:rPr>
          <w:rFonts w:ascii="Verdana" w:hAnsi="Verdana" w:cs="Arial"/>
          <w:color w:val="000000"/>
          <w:sz w:val="16"/>
          <w:szCs w:val="16"/>
          <w:lang w:val="es-ES"/>
        </w:rPr>
        <w:t>lit.</w:t>
      </w:r>
      <w:proofErr w:type="spellEnd"/>
      <w:r w:rsidRPr="0078715D">
        <w:rPr>
          <w:rFonts w:ascii="Verdana" w:hAnsi="Verdana" w:cs="Arial"/>
          <w:color w:val="000000"/>
          <w:sz w:val="16"/>
          <w:szCs w:val="16"/>
          <w:lang w:val="es-ES"/>
        </w:rPr>
        <w:t xml:space="preserve"> a), b) y c), Ley 1474/11, modificado por el art. 43, Ley 1955/19).</w:t>
      </w:r>
    </w:p>
  </w:footnote>
  <w:footnote w:id="6">
    <w:p w14:paraId="7B17C9F8" w14:textId="77777777" w:rsidR="0078715D" w:rsidRPr="0078715D" w:rsidRDefault="0078715D" w:rsidP="0078715D">
      <w:pPr>
        <w:pStyle w:val="Textonotapie"/>
        <w:ind w:firstLine="709"/>
        <w:jc w:val="both"/>
        <w:rPr>
          <w:rFonts w:ascii="Verdana" w:hAnsi="Verdana"/>
          <w:color w:val="000000"/>
          <w:sz w:val="16"/>
          <w:szCs w:val="16"/>
          <w:lang w:val="es-ES"/>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w:t>
      </w:r>
      <w:r w:rsidRPr="0078715D">
        <w:rPr>
          <w:rFonts w:ascii="Verdana" w:hAnsi="Verdana"/>
          <w:color w:val="000000"/>
          <w:sz w:val="16"/>
          <w:szCs w:val="16"/>
          <w:lang w:val="es-ES"/>
        </w:rPr>
        <w:t xml:space="preserve">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w:t>
      </w:r>
      <w:proofErr w:type="spellStart"/>
      <w:r w:rsidRPr="0078715D">
        <w:rPr>
          <w:rFonts w:ascii="Verdana" w:hAnsi="Verdana"/>
          <w:color w:val="000000"/>
          <w:sz w:val="16"/>
          <w:szCs w:val="16"/>
          <w:lang w:val="es-ES"/>
        </w:rPr>
        <w:t>num</w:t>
      </w:r>
      <w:proofErr w:type="spellEnd"/>
      <w:r w:rsidRPr="0078715D">
        <w:rPr>
          <w:rFonts w:ascii="Verdana" w:hAnsi="Verdana"/>
          <w:color w:val="000000"/>
          <w:sz w:val="16"/>
          <w:szCs w:val="16"/>
          <w:lang w:val="es-ES"/>
        </w:rPr>
        <w:t xml:space="preserve">. 1º, </w:t>
      </w:r>
      <w:proofErr w:type="spellStart"/>
      <w:r w:rsidRPr="0078715D">
        <w:rPr>
          <w:rFonts w:ascii="Verdana" w:hAnsi="Verdana"/>
          <w:color w:val="000000"/>
          <w:sz w:val="16"/>
          <w:szCs w:val="16"/>
          <w:lang w:val="es-ES"/>
        </w:rPr>
        <w:t>lit.</w:t>
      </w:r>
      <w:proofErr w:type="spellEnd"/>
      <w:r w:rsidRPr="0078715D">
        <w:rPr>
          <w:rFonts w:ascii="Verdana" w:hAnsi="Verdana"/>
          <w:color w:val="000000"/>
          <w:sz w:val="16"/>
          <w:szCs w:val="16"/>
          <w:lang w:val="es-ES"/>
        </w:rPr>
        <w:t xml:space="preserve">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w:t>
      </w:r>
      <w:proofErr w:type="spellStart"/>
      <w:r w:rsidRPr="0078715D">
        <w:rPr>
          <w:rFonts w:ascii="Verdana" w:hAnsi="Verdana"/>
          <w:color w:val="000000"/>
          <w:sz w:val="16"/>
          <w:szCs w:val="16"/>
          <w:lang w:val="es-ES"/>
        </w:rPr>
        <w:t>num</w:t>
      </w:r>
      <w:proofErr w:type="spellEnd"/>
      <w:r w:rsidRPr="0078715D">
        <w:rPr>
          <w:rFonts w:ascii="Verdana" w:hAnsi="Verdana"/>
          <w:color w:val="000000"/>
          <w:sz w:val="16"/>
          <w:szCs w:val="16"/>
          <w:lang w:val="es-ES"/>
        </w:rPr>
        <w:t xml:space="preserve">. 1º, </w:t>
      </w:r>
      <w:proofErr w:type="spellStart"/>
      <w:r w:rsidRPr="0078715D">
        <w:rPr>
          <w:rFonts w:ascii="Verdana" w:hAnsi="Verdana"/>
          <w:color w:val="000000"/>
          <w:sz w:val="16"/>
          <w:szCs w:val="16"/>
          <w:lang w:val="es-ES"/>
        </w:rPr>
        <w:t>lit.</w:t>
      </w:r>
      <w:proofErr w:type="spellEnd"/>
      <w:r w:rsidRPr="0078715D">
        <w:rPr>
          <w:rFonts w:ascii="Verdana" w:hAnsi="Verdana"/>
          <w:color w:val="000000"/>
          <w:sz w:val="16"/>
          <w:szCs w:val="16"/>
          <w:lang w:val="es-ES"/>
        </w:rPr>
        <w:t xml:space="preserve">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w:t>
      </w:r>
      <w:proofErr w:type="spellStart"/>
      <w:r w:rsidRPr="0078715D">
        <w:rPr>
          <w:rFonts w:ascii="Verdana" w:hAnsi="Verdana"/>
          <w:color w:val="000000"/>
          <w:sz w:val="16"/>
          <w:szCs w:val="16"/>
          <w:lang w:val="es-ES"/>
        </w:rPr>
        <w:t>num</w:t>
      </w:r>
      <w:proofErr w:type="spellEnd"/>
      <w:r w:rsidRPr="0078715D">
        <w:rPr>
          <w:rFonts w:ascii="Verdana" w:hAnsi="Verdana"/>
          <w:color w:val="000000"/>
          <w:sz w:val="16"/>
          <w:szCs w:val="16"/>
          <w:lang w:val="es-ES"/>
        </w:rPr>
        <w:t xml:space="preserve">. 2º, </w:t>
      </w:r>
      <w:proofErr w:type="spellStart"/>
      <w:r w:rsidRPr="0078715D">
        <w:rPr>
          <w:rFonts w:ascii="Verdana" w:hAnsi="Verdana"/>
          <w:color w:val="000000"/>
          <w:sz w:val="16"/>
          <w:szCs w:val="16"/>
          <w:lang w:val="es-ES"/>
        </w:rPr>
        <w:t>lit.</w:t>
      </w:r>
      <w:proofErr w:type="spellEnd"/>
      <w:r w:rsidRPr="0078715D">
        <w:rPr>
          <w:rFonts w:ascii="Verdana" w:hAnsi="Verdana"/>
          <w:color w:val="000000"/>
          <w:sz w:val="16"/>
          <w:szCs w:val="16"/>
          <w:lang w:val="es-ES"/>
        </w:rPr>
        <w:t xml:space="preserve"> b), Ley 80/93); “El cónyuge, compañero o compañera permanente del servidor público en los niveles directivo, asesor, ejecutivo, o de un miembro de la junta o consejo directivo, o de quien ejerza funciones de control interno o de control fiscal” (art. 8, </w:t>
      </w:r>
      <w:proofErr w:type="spellStart"/>
      <w:r w:rsidRPr="0078715D">
        <w:rPr>
          <w:rFonts w:ascii="Verdana" w:hAnsi="Verdana"/>
          <w:color w:val="000000"/>
          <w:sz w:val="16"/>
          <w:szCs w:val="16"/>
          <w:lang w:val="es-ES"/>
        </w:rPr>
        <w:t>num</w:t>
      </w:r>
      <w:proofErr w:type="spellEnd"/>
      <w:r w:rsidRPr="0078715D">
        <w:rPr>
          <w:rFonts w:ascii="Verdana" w:hAnsi="Verdana"/>
          <w:color w:val="000000"/>
          <w:sz w:val="16"/>
          <w:szCs w:val="16"/>
          <w:lang w:val="es-ES"/>
        </w:rPr>
        <w:t xml:space="preserve">. 2º, </w:t>
      </w:r>
      <w:proofErr w:type="spellStart"/>
      <w:r w:rsidRPr="0078715D">
        <w:rPr>
          <w:rFonts w:ascii="Verdana" w:hAnsi="Verdana"/>
          <w:color w:val="000000"/>
          <w:sz w:val="16"/>
          <w:szCs w:val="16"/>
          <w:lang w:val="es-ES"/>
        </w:rPr>
        <w:t>lit.</w:t>
      </w:r>
      <w:proofErr w:type="spellEnd"/>
      <w:r w:rsidRPr="0078715D">
        <w:rPr>
          <w:rFonts w:ascii="Verdana" w:hAnsi="Verdana"/>
          <w:color w:val="000000"/>
          <w:sz w:val="16"/>
          <w:szCs w:val="16"/>
          <w:lang w:val="es-ES"/>
        </w:rPr>
        <w:t xml:space="preserve">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w:t>
      </w:r>
      <w:proofErr w:type="spellStart"/>
      <w:r w:rsidRPr="0078715D">
        <w:rPr>
          <w:rFonts w:ascii="Verdana" w:hAnsi="Verdana"/>
          <w:color w:val="000000"/>
          <w:sz w:val="16"/>
          <w:szCs w:val="16"/>
          <w:lang w:val="es-ES"/>
        </w:rPr>
        <w:t>num</w:t>
      </w:r>
      <w:proofErr w:type="spellEnd"/>
      <w:r w:rsidRPr="0078715D">
        <w:rPr>
          <w:rFonts w:ascii="Verdana" w:hAnsi="Verdana"/>
          <w:color w:val="000000"/>
          <w:sz w:val="16"/>
          <w:szCs w:val="16"/>
          <w:lang w:val="es-ES"/>
        </w:rPr>
        <w:t xml:space="preserve">. 2º, </w:t>
      </w:r>
      <w:proofErr w:type="spellStart"/>
      <w:r w:rsidRPr="0078715D">
        <w:rPr>
          <w:rFonts w:ascii="Verdana" w:hAnsi="Verdana"/>
          <w:color w:val="000000"/>
          <w:sz w:val="16"/>
          <w:szCs w:val="16"/>
          <w:lang w:val="es-ES"/>
        </w:rPr>
        <w:t>lit.</w:t>
      </w:r>
      <w:proofErr w:type="spellEnd"/>
      <w:r w:rsidRPr="0078715D">
        <w:rPr>
          <w:rFonts w:ascii="Verdana" w:hAnsi="Verdana"/>
          <w:color w:val="000000"/>
          <w:sz w:val="16"/>
          <w:szCs w:val="16"/>
          <w:lang w:val="es-ES"/>
        </w:rPr>
        <w:t xml:space="preserve"> d), Ley 80/93).</w:t>
      </w:r>
    </w:p>
    <w:p w14:paraId="5AAC2781" w14:textId="77777777" w:rsidR="0078715D" w:rsidRPr="0078715D" w:rsidRDefault="0078715D" w:rsidP="0078715D">
      <w:pPr>
        <w:pStyle w:val="Textonotapie"/>
        <w:ind w:firstLine="709"/>
        <w:jc w:val="both"/>
        <w:rPr>
          <w:rFonts w:ascii="Verdana" w:hAnsi="Verdana"/>
          <w:color w:val="000000"/>
          <w:sz w:val="16"/>
          <w:szCs w:val="16"/>
          <w:lang w:val="es-ES"/>
        </w:rPr>
      </w:pPr>
    </w:p>
  </w:footnote>
  <w:footnote w:id="7">
    <w:p w14:paraId="197455CF" w14:textId="77777777" w:rsidR="0078715D" w:rsidRPr="0078715D" w:rsidRDefault="0078715D" w:rsidP="0078715D">
      <w:pPr>
        <w:pStyle w:val="Textonotapie"/>
        <w:ind w:firstLine="709"/>
        <w:jc w:val="both"/>
        <w:rPr>
          <w:rFonts w:ascii="Verdana" w:hAnsi="Verdana"/>
          <w:color w:val="000000"/>
          <w:sz w:val="16"/>
          <w:szCs w:val="16"/>
          <w:lang w:val="es-ES"/>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w:t>
      </w:r>
      <w:r w:rsidRPr="0078715D">
        <w:rPr>
          <w:rFonts w:ascii="Verdana" w:hAnsi="Verdana"/>
          <w:color w:val="000000"/>
          <w:sz w:val="16"/>
          <w:szCs w:val="16"/>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w:t>
      </w:r>
      <w:proofErr w:type="spellStart"/>
      <w:r w:rsidRPr="0078715D">
        <w:rPr>
          <w:rFonts w:ascii="Verdana" w:hAnsi="Verdana"/>
          <w:color w:val="000000"/>
          <w:sz w:val="16"/>
          <w:szCs w:val="16"/>
          <w:lang w:val="es-ES"/>
        </w:rPr>
        <w:t>num</w:t>
      </w:r>
      <w:proofErr w:type="spellEnd"/>
      <w:r w:rsidRPr="0078715D">
        <w:rPr>
          <w:rFonts w:ascii="Verdana" w:hAnsi="Verdana"/>
          <w:color w:val="000000"/>
          <w:sz w:val="16"/>
          <w:szCs w:val="16"/>
          <w:lang w:val="es-ES"/>
        </w:rPr>
        <w:t xml:space="preserve">. 1º, </w:t>
      </w:r>
      <w:proofErr w:type="spellStart"/>
      <w:r w:rsidRPr="0078715D">
        <w:rPr>
          <w:rFonts w:ascii="Verdana" w:hAnsi="Verdana"/>
          <w:color w:val="000000"/>
          <w:sz w:val="16"/>
          <w:szCs w:val="16"/>
          <w:lang w:val="es-ES"/>
        </w:rPr>
        <w:t>lit.</w:t>
      </w:r>
      <w:proofErr w:type="spellEnd"/>
      <w:r w:rsidRPr="0078715D">
        <w:rPr>
          <w:rFonts w:ascii="Verdana" w:hAnsi="Verdana"/>
          <w:color w:val="000000"/>
          <w:sz w:val="16"/>
          <w:szCs w:val="16"/>
          <w:lang w:val="es-ES"/>
        </w:rPr>
        <w:t xml:space="preserve"> k), Ley 80/93, modificado por el art. 33, Ley 1778/16); “Quienes fueron miembros de la junta o consejo directivo o servidores públicos de la entidad contratante” (art. 8, </w:t>
      </w:r>
      <w:proofErr w:type="spellStart"/>
      <w:r w:rsidRPr="0078715D">
        <w:rPr>
          <w:rFonts w:ascii="Verdana" w:hAnsi="Verdana"/>
          <w:color w:val="000000"/>
          <w:sz w:val="16"/>
          <w:szCs w:val="16"/>
          <w:lang w:val="es-ES"/>
        </w:rPr>
        <w:t>num</w:t>
      </w:r>
      <w:proofErr w:type="spellEnd"/>
      <w:r w:rsidRPr="0078715D">
        <w:rPr>
          <w:rFonts w:ascii="Verdana" w:hAnsi="Verdana"/>
          <w:color w:val="000000"/>
          <w:sz w:val="16"/>
          <w:szCs w:val="16"/>
          <w:lang w:val="es-ES"/>
        </w:rPr>
        <w:t xml:space="preserve">. 2º, </w:t>
      </w:r>
      <w:proofErr w:type="spellStart"/>
      <w:r w:rsidRPr="0078715D">
        <w:rPr>
          <w:rFonts w:ascii="Verdana" w:hAnsi="Verdana"/>
          <w:color w:val="000000"/>
          <w:sz w:val="16"/>
          <w:szCs w:val="16"/>
          <w:lang w:val="es-ES"/>
        </w:rPr>
        <w:t>lit.</w:t>
      </w:r>
      <w:proofErr w:type="spellEnd"/>
      <w:r w:rsidRPr="0078715D">
        <w:rPr>
          <w:rFonts w:ascii="Verdana" w:hAnsi="Verdana"/>
          <w:color w:val="000000"/>
          <w:sz w:val="16"/>
          <w:szCs w:val="16"/>
          <w:lang w:val="es-ES"/>
        </w:rPr>
        <w:t xml:space="preserve">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w:t>
      </w:r>
      <w:proofErr w:type="spellStart"/>
      <w:r w:rsidRPr="0078715D">
        <w:rPr>
          <w:rFonts w:ascii="Verdana" w:hAnsi="Verdana"/>
          <w:color w:val="000000"/>
          <w:sz w:val="16"/>
          <w:szCs w:val="16"/>
          <w:lang w:val="es-ES"/>
        </w:rPr>
        <w:t>num</w:t>
      </w:r>
      <w:proofErr w:type="spellEnd"/>
      <w:r w:rsidRPr="0078715D">
        <w:rPr>
          <w:rFonts w:ascii="Verdana" w:hAnsi="Verdana"/>
          <w:color w:val="000000"/>
          <w:sz w:val="16"/>
          <w:szCs w:val="16"/>
          <w:lang w:val="es-ES"/>
        </w:rPr>
        <w:t xml:space="preserve">. 2º, </w:t>
      </w:r>
      <w:proofErr w:type="spellStart"/>
      <w:r w:rsidRPr="0078715D">
        <w:rPr>
          <w:rFonts w:ascii="Verdana" w:hAnsi="Verdana"/>
          <w:color w:val="000000"/>
          <w:sz w:val="16"/>
          <w:szCs w:val="16"/>
          <w:lang w:val="es-ES"/>
        </w:rPr>
        <w:t>lit.</w:t>
      </w:r>
      <w:proofErr w:type="spellEnd"/>
      <w:r w:rsidRPr="0078715D">
        <w:rPr>
          <w:rFonts w:ascii="Verdana" w:hAnsi="Verdana"/>
          <w:color w:val="000000"/>
          <w:sz w:val="16"/>
          <w:szCs w:val="16"/>
          <w:lang w:val="es-ES"/>
        </w:rPr>
        <w:t xml:space="preserve"> f), Ley 80/93, adicionado por el art. 4º, Ley 1474/2011) (a pesar de que la norma la califica como una incompatibilidad, en realidad se trata de una inhabilidad, ya que en dicha causal no existe concurrencia de calidades en un sujeto).  </w:t>
      </w:r>
    </w:p>
    <w:p w14:paraId="1F0CA6CA" w14:textId="77777777" w:rsidR="0078715D" w:rsidRPr="0078715D" w:rsidRDefault="0078715D" w:rsidP="0078715D">
      <w:pPr>
        <w:pStyle w:val="Textonotapie"/>
        <w:ind w:firstLine="709"/>
        <w:jc w:val="both"/>
        <w:rPr>
          <w:rFonts w:ascii="Verdana" w:hAnsi="Verdana"/>
          <w:color w:val="000000"/>
          <w:sz w:val="16"/>
          <w:szCs w:val="16"/>
          <w:lang w:val="es-ES"/>
        </w:rPr>
      </w:pPr>
    </w:p>
  </w:footnote>
  <w:footnote w:id="8">
    <w:p w14:paraId="43675CE3" w14:textId="77777777" w:rsidR="0078715D" w:rsidRPr="0078715D" w:rsidRDefault="0078715D" w:rsidP="0078715D">
      <w:pPr>
        <w:ind w:firstLine="709"/>
        <w:jc w:val="both"/>
        <w:rPr>
          <w:rFonts w:ascii="Verdana" w:hAnsi="Verdana" w:cs="Arial"/>
          <w:color w:val="000000"/>
          <w:sz w:val="16"/>
          <w:szCs w:val="16"/>
          <w:lang w:val="es-ES"/>
        </w:rPr>
      </w:pPr>
      <w:r w:rsidRPr="0078715D">
        <w:rPr>
          <w:rStyle w:val="Refdenotaalpie"/>
          <w:rFonts w:ascii="Verdana" w:hAnsi="Verdana" w:cs="Arial"/>
          <w:color w:val="000000"/>
          <w:sz w:val="16"/>
          <w:szCs w:val="16"/>
        </w:rPr>
        <w:footnoteRef/>
      </w:r>
      <w:r w:rsidRPr="0078715D">
        <w:rPr>
          <w:rFonts w:ascii="Verdana" w:hAnsi="Verdana" w:cs="Arial"/>
          <w:color w:val="000000"/>
          <w:sz w:val="16"/>
          <w:szCs w:val="16"/>
        </w:rPr>
        <w:t xml:space="preserve"> </w:t>
      </w:r>
      <w:r w:rsidRPr="0078715D">
        <w:rPr>
          <w:rFonts w:ascii="Verdana" w:hAnsi="Verdana" w:cs="Arial"/>
          <w:color w:val="000000"/>
          <w:sz w:val="16"/>
          <w:szCs w:val="16"/>
          <w:lang w:val="es-ES"/>
        </w:rPr>
        <w:t xml:space="preserve">Como las señaladas a continuación: “Los servidores públicos (art. 8, </w:t>
      </w:r>
      <w:proofErr w:type="spellStart"/>
      <w:r w:rsidRPr="0078715D">
        <w:rPr>
          <w:rFonts w:ascii="Verdana" w:hAnsi="Verdana" w:cs="Arial"/>
          <w:color w:val="000000"/>
          <w:sz w:val="16"/>
          <w:szCs w:val="16"/>
          <w:lang w:val="es-ES"/>
        </w:rPr>
        <w:t>num</w:t>
      </w:r>
      <w:proofErr w:type="spellEnd"/>
      <w:r w:rsidRPr="0078715D">
        <w:rPr>
          <w:rFonts w:ascii="Verdana" w:hAnsi="Verdana" w:cs="Arial"/>
          <w:color w:val="000000"/>
          <w:sz w:val="16"/>
          <w:szCs w:val="16"/>
          <w:lang w:val="es-ES"/>
        </w:rPr>
        <w:t xml:space="preserve">. 1º, </w:t>
      </w:r>
      <w:proofErr w:type="spellStart"/>
      <w:r w:rsidRPr="0078715D">
        <w:rPr>
          <w:rFonts w:ascii="Verdana" w:hAnsi="Verdana" w:cs="Arial"/>
          <w:color w:val="000000"/>
          <w:sz w:val="16"/>
          <w:szCs w:val="16"/>
          <w:lang w:val="es-ES"/>
        </w:rPr>
        <w:t>lit.</w:t>
      </w:r>
      <w:proofErr w:type="spellEnd"/>
      <w:r w:rsidRPr="0078715D">
        <w:rPr>
          <w:rFonts w:ascii="Verdana" w:hAnsi="Verdana" w:cs="Arial"/>
          <w:color w:val="000000"/>
          <w:sz w:val="16"/>
          <w:szCs w:val="16"/>
          <w:lang w:val="es-ES"/>
        </w:rPr>
        <w:t xml:space="preserve">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w:t>
      </w:r>
      <w:proofErr w:type="spellStart"/>
      <w:r w:rsidRPr="0078715D">
        <w:rPr>
          <w:rFonts w:ascii="Verdana" w:hAnsi="Verdana" w:cs="Arial"/>
          <w:color w:val="000000"/>
          <w:sz w:val="16"/>
          <w:szCs w:val="16"/>
          <w:lang w:val="es-ES"/>
        </w:rPr>
        <w:t>num</w:t>
      </w:r>
      <w:proofErr w:type="spellEnd"/>
      <w:r w:rsidRPr="0078715D">
        <w:rPr>
          <w:rFonts w:ascii="Verdana" w:hAnsi="Verdana" w:cs="Arial"/>
          <w:color w:val="000000"/>
          <w:sz w:val="16"/>
          <w:szCs w:val="16"/>
          <w:lang w:val="es-ES"/>
        </w:rPr>
        <w:t xml:space="preserve">. 2º, </w:t>
      </w:r>
      <w:proofErr w:type="spellStart"/>
      <w:r w:rsidRPr="0078715D">
        <w:rPr>
          <w:rFonts w:ascii="Verdana" w:hAnsi="Verdana" w:cs="Arial"/>
          <w:color w:val="000000"/>
          <w:sz w:val="16"/>
          <w:szCs w:val="16"/>
          <w:lang w:val="es-ES"/>
        </w:rPr>
        <w:t>lit.</w:t>
      </w:r>
      <w:proofErr w:type="spellEnd"/>
      <w:r w:rsidRPr="0078715D">
        <w:rPr>
          <w:rFonts w:ascii="Verdana" w:hAnsi="Verdana" w:cs="Arial"/>
          <w:color w:val="000000"/>
          <w:sz w:val="16"/>
          <w:szCs w:val="16"/>
          <w:lang w:val="es-ES"/>
        </w:rPr>
        <w:t xml:space="preserve"> d), Ley 80/93); “Los miembros de las juntas o consejos directivos. Esta incompatibilidad sólo se predica respecto de la entidad a la cual prestan sus servicios y de las del sector administrativo al que la misma esté adscrita o vinculada” (art. 8, </w:t>
      </w:r>
      <w:proofErr w:type="spellStart"/>
      <w:r w:rsidRPr="0078715D">
        <w:rPr>
          <w:rFonts w:ascii="Verdana" w:hAnsi="Verdana" w:cs="Arial"/>
          <w:color w:val="000000"/>
          <w:sz w:val="16"/>
          <w:szCs w:val="16"/>
          <w:lang w:val="es-ES"/>
        </w:rPr>
        <w:t>num</w:t>
      </w:r>
      <w:proofErr w:type="spellEnd"/>
      <w:r w:rsidRPr="0078715D">
        <w:rPr>
          <w:rFonts w:ascii="Verdana" w:hAnsi="Verdana" w:cs="Arial"/>
          <w:color w:val="000000"/>
          <w:sz w:val="16"/>
          <w:szCs w:val="16"/>
          <w:lang w:val="es-ES"/>
        </w:rPr>
        <w:t xml:space="preserve">. 2º, </w:t>
      </w:r>
      <w:proofErr w:type="spellStart"/>
      <w:r w:rsidRPr="0078715D">
        <w:rPr>
          <w:rFonts w:ascii="Verdana" w:hAnsi="Verdana" w:cs="Arial"/>
          <w:color w:val="000000"/>
          <w:sz w:val="16"/>
          <w:szCs w:val="16"/>
          <w:lang w:val="es-ES"/>
        </w:rPr>
        <w:t>lit.</w:t>
      </w:r>
      <w:proofErr w:type="spellEnd"/>
      <w:r w:rsidRPr="0078715D">
        <w:rPr>
          <w:rFonts w:ascii="Verdana" w:hAnsi="Verdana" w:cs="Arial"/>
          <w:color w:val="000000"/>
          <w:sz w:val="16"/>
          <w:szCs w:val="16"/>
          <w:lang w:val="es-ES"/>
        </w:rPr>
        <w:t xml:space="preserve"> e), Ley 80/93); “Quien haya celebrado un contrato estatal de obra pública, de concesión, suministro de medicamentos y de alimentos o su cónyuge, compañero o compañera permanente, pariente hasta el segundo grado de </w:t>
      </w:r>
      <w:proofErr w:type="spellStart"/>
      <w:r w:rsidRPr="0078715D">
        <w:rPr>
          <w:rFonts w:ascii="Verdana" w:hAnsi="Verdana" w:cs="Arial"/>
          <w:color w:val="000000"/>
          <w:sz w:val="16"/>
          <w:szCs w:val="16"/>
          <w:lang w:val="es-ES"/>
        </w:rPr>
        <w:t>consaguinidad</w:t>
      </w:r>
      <w:proofErr w:type="spellEnd"/>
      <w:r w:rsidRPr="0078715D">
        <w:rPr>
          <w:rFonts w:ascii="Verdana" w:hAnsi="Verdana" w:cs="Arial"/>
          <w:color w:val="000000"/>
          <w:sz w:val="16"/>
          <w:szCs w:val="16"/>
          <w:lang w:val="es-ES"/>
        </w:rPr>
        <w:t xml:space="preserve">,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footnote>
  <w:footnote w:id="9">
    <w:p w14:paraId="6F635192" w14:textId="77777777" w:rsidR="0078715D" w:rsidRPr="0078715D" w:rsidRDefault="0078715D" w:rsidP="0078715D">
      <w:pPr>
        <w:pStyle w:val="Textonotapie"/>
        <w:ind w:firstLine="709"/>
        <w:jc w:val="both"/>
        <w:rPr>
          <w:rFonts w:ascii="Verdana" w:hAnsi="Verdana"/>
          <w:color w:val="000000"/>
          <w:sz w:val="16"/>
          <w:szCs w:val="16"/>
          <w:lang w:val="es-ES"/>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w:t>
      </w:r>
      <w:r w:rsidRPr="0078715D">
        <w:rPr>
          <w:rFonts w:ascii="Verdana" w:hAnsi="Verdana"/>
          <w:color w:val="000000"/>
          <w:sz w:val="16"/>
          <w:szCs w:val="16"/>
          <w:lang w:val="es-ES"/>
        </w:rPr>
        <w:t xml:space="preserve">BARRETO ROZO, Antonio Alejandro. Inhabilidades de la contratación estatal, efectos y </w:t>
      </w:r>
      <w:proofErr w:type="spellStart"/>
      <w:r w:rsidRPr="0078715D">
        <w:rPr>
          <w:rFonts w:ascii="Verdana" w:hAnsi="Verdana"/>
          <w:color w:val="000000"/>
          <w:sz w:val="16"/>
          <w:szCs w:val="16"/>
          <w:lang w:val="es-ES"/>
        </w:rPr>
        <w:t>neopunitivismo</w:t>
      </w:r>
      <w:proofErr w:type="spellEnd"/>
      <w:r w:rsidRPr="0078715D">
        <w:rPr>
          <w:rFonts w:ascii="Verdana" w:hAnsi="Verdana"/>
          <w:color w:val="000000"/>
          <w:sz w:val="16"/>
          <w:szCs w:val="16"/>
          <w:lang w:val="es-ES"/>
        </w:rPr>
        <w:t xml:space="preserve"> en el Estatuto Anticorrupción. En: ALVIAR GARCÍA, Helena (Coordinadora). Nuevas tendencias del Derecho administrativo. Bogotá: Universidad de los Andes; Temis, 2016. pp. 63-99.</w:t>
      </w:r>
    </w:p>
    <w:p w14:paraId="503D3776" w14:textId="77777777" w:rsidR="0078715D" w:rsidRPr="0078715D" w:rsidRDefault="0078715D" w:rsidP="0078715D">
      <w:pPr>
        <w:pStyle w:val="Textonotapie"/>
        <w:ind w:firstLine="709"/>
        <w:jc w:val="both"/>
        <w:rPr>
          <w:rFonts w:ascii="Verdana" w:hAnsi="Verdana"/>
          <w:color w:val="000000"/>
          <w:sz w:val="16"/>
          <w:szCs w:val="16"/>
          <w:lang w:val="es-ES"/>
        </w:rPr>
      </w:pPr>
    </w:p>
  </w:footnote>
  <w:footnote w:id="10">
    <w:p w14:paraId="57859996" w14:textId="77777777" w:rsidR="0078715D" w:rsidRPr="0078715D" w:rsidRDefault="0078715D" w:rsidP="0078715D">
      <w:pPr>
        <w:pStyle w:val="Textonotapie"/>
        <w:ind w:firstLine="709"/>
        <w:jc w:val="both"/>
        <w:rPr>
          <w:rFonts w:ascii="Verdana" w:hAnsi="Verdana"/>
          <w:color w:val="000000"/>
          <w:sz w:val="16"/>
          <w:szCs w:val="16"/>
          <w:lang w:val="es-ES"/>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w:t>
      </w:r>
      <w:proofErr w:type="spellStart"/>
      <w:r w:rsidRPr="0078715D">
        <w:rPr>
          <w:rFonts w:ascii="Verdana" w:hAnsi="Verdana"/>
          <w:color w:val="000000"/>
          <w:sz w:val="16"/>
          <w:szCs w:val="16"/>
          <w:lang w:val="es-ES"/>
        </w:rPr>
        <w:t>Ibíd</w:t>
      </w:r>
      <w:proofErr w:type="spellEnd"/>
      <w:r w:rsidRPr="0078715D">
        <w:rPr>
          <w:rFonts w:ascii="Verdana" w:hAnsi="Verdana"/>
          <w:color w:val="000000"/>
          <w:sz w:val="16"/>
          <w:szCs w:val="16"/>
          <w:lang w:val="es-ES"/>
        </w:rPr>
        <w:t>., p. 69.</w:t>
      </w:r>
    </w:p>
  </w:footnote>
  <w:footnote w:id="11">
    <w:p w14:paraId="3B61E2AA" w14:textId="77777777" w:rsidR="0078715D" w:rsidRPr="0078715D" w:rsidRDefault="0078715D" w:rsidP="0078715D">
      <w:pPr>
        <w:pStyle w:val="Textonotapie"/>
        <w:ind w:firstLine="709"/>
        <w:jc w:val="both"/>
        <w:rPr>
          <w:rFonts w:ascii="Verdana" w:hAnsi="Verdana"/>
          <w:color w:val="000000"/>
          <w:sz w:val="16"/>
          <w:szCs w:val="16"/>
        </w:rPr>
      </w:pPr>
    </w:p>
    <w:p w14:paraId="35415F10" w14:textId="77777777" w:rsidR="0078715D" w:rsidRPr="0078715D" w:rsidRDefault="0078715D" w:rsidP="0078715D">
      <w:pPr>
        <w:pStyle w:val="Textonotapie"/>
        <w:ind w:firstLine="709"/>
        <w:jc w:val="both"/>
        <w:rPr>
          <w:rFonts w:ascii="Verdana" w:hAnsi="Verdana"/>
          <w:color w:val="000000"/>
          <w:sz w:val="16"/>
          <w:szCs w:val="16"/>
          <w:lang w:val="es-ES"/>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w:t>
      </w:r>
      <w:r w:rsidRPr="0078715D">
        <w:rPr>
          <w:rFonts w:ascii="Verdana" w:hAnsi="Verdana"/>
          <w:color w:val="000000"/>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footnote>
  <w:footnote w:id="12">
    <w:p w14:paraId="27E8B158" w14:textId="77777777" w:rsidR="0078715D" w:rsidRPr="0078715D" w:rsidRDefault="0078715D" w:rsidP="0078715D">
      <w:pPr>
        <w:pStyle w:val="Textonotapie"/>
        <w:ind w:firstLine="709"/>
        <w:jc w:val="both"/>
        <w:rPr>
          <w:rFonts w:ascii="Verdana" w:hAnsi="Verdana"/>
          <w:color w:val="000000"/>
          <w:sz w:val="16"/>
          <w:szCs w:val="16"/>
          <w:lang w:val="es-ES"/>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w:t>
      </w:r>
      <w:r w:rsidRPr="0078715D">
        <w:rPr>
          <w:rFonts w:ascii="Verdana" w:hAnsi="Verdana"/>
          <w:color w:val="000000"/>
          <w:sz w:val="16"/>
          <w:szCs w:val="16"/>
          <w:lang w:val="es-ES"/>
        </w:rPr>
        <w:t xml:space="preserve">Consejo de Estado. Sala de Consulta y Servicio Civil. Concepto del 30 de abril de 2015. Expediente: 2.251. Consejero Ponente: Álvaro </w:t>
      </w:r>
      <w:proofErr w:type="spellStart"/>
      <w:r w:rsidRPr="0078715D">
        <w:rPr>
          <w:rFonts w:ascii="Verdana" w:hAnsi="Verdana"/>
          <w:color w:val="000000"/>
          <w:sz w:val="16"/>
          <w:szCs w:val="16"/>
          <w:lang w:val="es-ES"/>
        </w:rPr>
        <w:t>Namén</w:t>
      </w:r>
      <w:proofErr w:type="spellEnd"/>
      <w:r w:rsidRPr="0078715D">
        <w:rPr>
          <w:rFonts w:ascii="Verdana" w:hAnsi="Verdana"/>
          <w:color w:val="000000"/>
          <w:sz w:val="16"/>
          <w:szCs w:val="16"/>
          <w:lang w:val="es-ES"/>
        </w:rPr>
        <w:t xml:space="preserve"> Vargas.</w:t>
      </w:r>
    </w:p>
    <w:p w14:paraId="24E85037" w14:textId="77777777" w:rsidR="0078715D" w:rsidRPr="0078715D" w:rsidRDefault="0078715D" w:rsidP="0078715D">
      <w:pPr>
        <w:pStyle w:val="Textonotapie"/>
        <w:ind w:firstLine="709"/>
        <w:jc w:val="both"/>
        <w:rPr>
          <w:rFonts w:ascii="Verdana" w:hAnsi="Verdana"/>
          <w:color w:val="000000"/>
          <w:sz w:val="16"/>
          <w:szCs w:val="16"/>
          <w:lang w:val="es-ES"/>
        </w:rPr>
      </w:pPr>
    </w:p>
  </w:footnote>
  <w:footnote w:id="13">
    <w:p w14:paraId="7F5A2040" w14:textId="77777777" w:rsidR="0078715D" w:rsidRPr="0078715D" w:rsidRDefault="0078715D" w:rsidP="0078715D">
      <w:pPr>
        <w:pStyle w:val="Textonotapie"/>
        <w:ind w:firstLine="709"/>
        <w:jc w:val="both"/>
        <w:rPr>
          <w:rFonts w:ascii="Verdana" w:hAnsi="Verdana"/>
          <w:color w:val="000000"/>
          <w:sz w:val="16"/>
          <w:szCs w:val="16"/>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Consejo de Estado. Sección Tercera. Subsección A. Sentencia del 24 de junio de 2015. </w:t>
      </w:r>
      <w:proofErr w:type="spellStart"/>
      <w:r w:rsidRPr="0078715D">
        <w:rPr>
          <w:rFonts w:ascii="Verdana" w:hAnsi="Verdana"/>
          <w:color w:val="000000"/>
          <w:sz w:val="16"/>
          <w:szCs w:val="16"/>
        </w:rPr>
        <w:t>Exp</w:t>
      </w:r>
      <w:proofErr w:type="spellEnd"/>
      <w:r w:rsidRPr="0078715D">
        <w:rPr>
          <w:rFonts w:ascii="Verdana" w:hAnsi="Verdana"/>
          <w:color w:val="000000"/>
          <w:sz w:val="16"/>
          <w:szCs w:val="16"/>
        </w:rPr>
        <w:t>. 40.635. Consejero Ponente: Hernán Andrade Rincón (E).</w:t>
      </w:r>
    </w:p>
    <w:p w14:paraId="3F942206" w14:textId="77777777" w:rsidR="0078715D" w:rsidRPr="0078715D" w:rsidRDefault="0078715D" w:rsidP="0078715D">
      <w:pPr>
        <w:pStyle w:val="Textonotapie"/>
        <w:ind w:firstLine="709"/>
        <w:jc w:val="both"/>
        <w:rPr>
          <w:rFonts w:ascii="Verdana" w:hAnsi="Verdana"/>
          <w:color w:val="000000"/>
          <w:sz w:val="16"/>
          <w:szCs w:val="16"/>
        </w:rPr>
      </w:pPr>
    </w:p>
  </w:footnote>
  <w:footnote w:id="14">
    <w:p w14:paraId="30EA13E0" w14:textId="77777777" w:rsidR="0078715D" w:rsidRPr="0078715D" w:rsidRDefault="0078715D" w:rsidP="0078715D">
      <w:pPr>
        <w:pStyle w:val="Textonotapie"/>
        <w:ind w:firstLine="709"/>
        <w:jc w:val="both"/>
        <w:rPr>
          <w:rFonts w:ascii="Verdana" w:hAnsi="Verdana"/>
          <w:color w:val="000000"/>
          <w:sz w:val="16"/>
          <w:szCs w:val="16"/>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Consejo de Estado. Sección Tercera. Subsección C. Sentencia del 22 de mayo de 2013. </w:t>
      </w:r>
      <w:proofErr w:type="spellStart"/>
      <w:r w:rsidRPr="0078715D">
        <w:rPr>
          <w:rFonts w:ascii="Verdana" w:hAnsi="Verdana"/>
          <w:color w:val="000000"/>
          <w:sz w:val="16"/>
          <w:szCs w:val="16"/>
        </w:rPr>
        <w:t>Exp</w:t>
      </w:r>
      <w:proofErr w:type="spellEnd"/>
      <w:r w:rsidRPr="0078715D">
        <w:rPr>
          <w:rFonts w:ascii="Verdana" w:hAnsi="Verdana"/>
          <w:color w:val="000000"/>
          <w:sz w:val="16"/>
          <w:szCs w:val="16"/>
        </w:rPr>
        <w:t xml:space="preserve">. 24.057. Consejera Ponente: Olga </w:t>
      </w:r>
      <w:proofErr w:type="spellStart"/>
      <w:r w:rsidRPr="0078715D">
        <w:rPr>
          <w:rFonts w:ascii="Verdana" w:hAnsi="Verdana"/>
          <w:color w:val="000000"/>
          <w:sz w:val="16"/>
          <w:szCs w:val="16"/>
        </w:rPr>
        <w:t>Melida</w:t>
      </w:r>
      <w:proofErr w:type="spellEnd"/>
      <w:r w:rsidRPr="0078715D">
        <w:rPr>
          <w:rFonts w:ascii="Verdana" w:hAnsi="Verdana"/>
          <w:color w:val="000000"/>
          <w:sz w:val="16"/>
          <w:szCs w:val="16"/>
        </w:rPr>
        <w:t xml:space="preserve"> Valle De </w:t>
      </w:r>
      <w:proofErr w:type="spellStart"/>
      <w:r w:rsidRPr="0078715D">
        <w:rPr>
          <w:rFonts w:ascii="Verdana" w:hAnsi="Verdana"/>
          <w:color w:val="000000"/>
          <w:sz w:val="16"/>
          <w:szCs w:val="16"/>
        </w:rPr>
        <w:t>De</w:t>
      </w:r>
      <w:proofErr w:type="spellEnd"/>
      <w:r w:rsidRPr="0078715D">
        <w:rPr>
          <w:rFonts w:ascii="Verdana" w:hAnsi="Verdana"/>
          <w:color w:val="000000"/>
          <w:sz w:val="16"/>
          <w:szCs w:val="16"/>
        </w:rPr>
        <w:t xml:space="preserve"> La Hoz.</w:t>
      </w:r>
    </w:p>
    <w:p w14:paraId="1F094E18" w14:textId="77777777" w:rsidR="0078715D" w:rsidRPr="0078715D" w:rsidRDefault="0078715D" w:rsidP="0078715D">
      <w:pPr>
        <w:pStyle w:val="Textonotapie"/>
        <w:ind w:firstLine="709"/>
        <w:jc w:val="both"/>
        <w:rPr>
          <w:rFonts w:ascii="Verdana" w:hAnsi="Verdana"/>
          <w:color w:val="000000"/>
          <w:sz w:val="16"/>
          <w:szCs w:val="16"/>
          <w:lang w:val="es-ES"/>
        </w:rPr>
      </w:pPr>
    </w:p>
  </w:footnote>
  <w:footnote w:id="15">
    <w:p w14:paraId="4305C0C4" w14:textId="77777777" w:rsidR="0078715D" w:rsidRPr="0078715D" w:rsidRDefault="0078715D" w:rsidP="0078715D">
      <w:pPr>
        <w:pStyle w:val="Textonotapie"/>
        <w:ind w:firstLine="709"/>
        <w:jc w:val="both"/>
        <w:rPr>
          <w:rFonts w:ascii="Verdana" w:hAnsi="Verdana"/>
          <w:sz w:val="16"/>
          <w:szCs w:val="16"/>
          <w:lang w:val="es-ES"/>
        </w:rPr>
      </w:pPr>
      <w:r w:rsidRPr="0078715D">
        <w:rPr>
          <w:rStyle w:val="Refdenotaalpie"/>
          <w:rFonts w:ascii="Verdana" w:hAnsi="Verdana"/>
          <w:sz w:val="16"/>
          <w:szCs w:val="16"/>
        </w:rPr>
        <w:footnoteRef/>
      </w:r>
      <w:r w:rsidRPr="0078715D">
        <w:rPr>
          <w:rFonts w:ascii="Verdana" w:hAnsi="Verdana"/>
          <w:sz w:val="16"/>
          <w:szCs w:val="16"/>
        </w:rPr>
        <w:t xml:space="preserve"> </w:t>
      </w:r>
      <w:r w:rsidRPr="0078715D">
        <w:rPr>
          <w:rFonts w:ascii="Verdana" w:hAnsi="Verdana"/>
          <w:sz w:val="16"/>
          <w:szCs w:val="16"/>
          <w:lang w:val="es-ES"/>
        </w:rPr>
        <w:t>Magistrado Ponente: Jaime Córdoba Triviño.</w:t>
      </w:r>
    </w:p>
  </w:footnote>
  <w:footnote w:id="16">
    <w:p w14:paraId="4EC0F512" w14:textId="77777777" w:rsidR="0078715D" w:rsidRPr="0078715D" w:rsidRDefault="0078715D" w:rsidP="0078715D">
      <w:pPr>
        <w:pStyle w:val="Textonotapie"/>
        <w:jc w:val="both"/>
        <w:rPr>
          <w:rFonts w:ascii="Verdana" w:hAnsi="Verdana"/>
          <w:sz w:val="16"/>
          <w:szCs w:val="16"/>
        </w:rPr>
      </w:pPr>
    </w:p>
    <w:p w14:paraId="5B869385" w14:textId="77777777" w:rsidR="0078715D" w:rsidRPr="0078715D" w:rsidRDefault="0078715D" w:rsidP="0078715D">
      <w:pPr>
        <w:pStyle w:val="Textonotapie"/>
        <w:ind w:firstLine="709"/>
        <w:jc w:val="both"/>
        <w:rPr>
          <w:rFonts w:ascii="Verdana" w:hAnsi="Verdana"/>
          <w:sz w:val="16"/>
          <w:szCs w:val="16"/>
          <w:lang w:val="es-ES"/>
        </w:rPr>
      </w:pPr>
      <w:r w:rsidRPr="0078715D">
        <w:rPr>
          <w:rStyle w:val="Refdenotaalpie"/>
          <w:rFonts w:ascii="Verdana" w:hAnsi="Verdana"/>
          <w:sz w:val="16"/>
          <w:szCs w:val="16"/>
        </w:rPr>
        <w:footnoteRef/>
      </w:r>
      <w:r w:rsidRPr="0078715D">
        <w:rPr>
          <w:rFonts w:ascii="Verdana" w:hAnsi="Verdana"/>
          <w:sz w:val="16"/>
          <w:szCs w:val="16"/>
        </w:rPr>
        <w:t xml:space="preserve"> </w:t>
      </w:r>
      <w:proofErr w:type="spellStart"/>
      <w:r w:rsidRPr="0078715D">
        <w:rPr>
          <w:rFonts w:ascii="Verdana" w:hAnsi="Verdana"/>
          <w:sz w:val="16"/>
          <w:szCs w:val="16"/>
          <w:lang w:val="es-ES"/>
        </w:rPr>
        <w:t>Ibíd</w:t>
      </w:r>
      <w:proofErr w:type="spellEnd"/>
      <w:r w:rsidRPr="0078715D">
        <w:rPr>
          <w:rFonts w:ascii="Verdana" w:hAnsi="Verdana"/>
          <w:sz w:val="16"/>
          <w:szCs w:val="16"/>
          <w:lang w:val="es-ES"/>
        </w:rPr>
        <w:t>.</w:t>
      </w:r>
    </w:p>
    <w:p w14:paraId="54D6494E" w14:textId="77777777" w:rsidR="0078715D" w:rsidRPr="0078715D" w:rsidRDefault="0078715D" w:rsidP="0078715D">
      <w:pPr>
        <w:pStyle w:val="Textonotapie"/>
        <w:ind w:firstLine="709"/>
        <w:jc w:val="both"/>
        <w:rPr>
          <w:rFonts w:ascii="Verdana" w:hAnsi="Verdana"/>
          <w:sz w:val="16"/>
          <w:szCs w:val="16"/>
          <w:lang w:val="es-ES"/>
        </w:rPr>
      </w:pPr>
    </w:p>
  </w:footnote>
  <w:footnote w:id="17">
    <w:p w14:paraId="3BC71612" w14:textId="77777777" w:rsidR="0078715D" w:rsidRPr="0078715D" w:rsidRDefault="0078715D" w:rsidP="0078715D">
      <w:pPr>
        <w:pStyle w:val="Textonotapie"/>
        <w:ind w:firstLine="709"/>
        <w:jc w:val="both"/>
        <w:rPr>
          <w:rFonts w:ascii="Verdana" w:hAnsi="Verdana"/>
          <w:sz w:val="16"/>
          <w:szCs w:val="16"/>
        </w:rPr>
      </w:pPr>
      <w:r w:rsidRPr="0078715D">
        <w:rPr>
          <w:rStyle w:val="Refdenotaalpie"/>
          <w:rFonts w:ascii="Verdana" w:hAnsi="Verdana"/>
          <w:sz w:val="16"/>
          <w:szCs w:val="16"/>
        </w:rPr>
        <w:footnoteRef/>
      </w:r>
      <w:r w:rsidRPr="0078715D">
        <w:rPr>
          <w:rFonts w:ascii="Verdana" w:hAnsi="Verdana"/>
          <w:sz w:val="16"/>
          <w:szCs w:val="16"/>
        </w:rPr>
        <w:t xml:space="preserve"> GUASTINI, </w:t>
      </w:r>
      <w:proofErr w:type="spellStart"/>
      <w:r w:rsidRPr="0078715D">
        <w:rPr>
          <w:rFonts w:ascii="Verdana" w:hAnsi="Verdana"/>
          <w:sz w:val="16"/>
          <w:szCs w:val="16"/>
        </w:rPr>
        <w:t>Riccardo</w:t>
      </w:r>
      <w:proofErr w:type="spellEnd"/>
      <w:r w:rsidRPr="0078715D">
        <w:rPr>
          <w:rFonts w:ascii="Verdana" w:hAnsi="Verdana"/>
          <w:sz w:val="16"/>
          <w:szCs w:val="16"/>
        </w:rPr>
        <w:t>. Interpretar y argumentar. Madrid: Centro de Estudios Políticos y Constitucionales, 2017, p. 110.</w:t>
      </w:r>
    </w:p>
  </w:footnote>
  <w:footnote w:id="18">
    <w:p w14:paraId="5FA6771F" w14:textId="77777777" w:rsidR="0078715D" w:rsidRPr="0078715D" w:rsidRDefault="0078715D" w:rsidP="0078715D">
      <w:pPr>
        <w:pStyle w:val="Textonotapie"/>
        <w:jc w:val="both"/>
        <w:rPr>
          <w:rFonts w:ascii="Verdana" w:hAnsi="Verdana"/>
          <w:sz w:val="16"/>
          <w:szCs w:val="16"/>
        </w:rPr>
      </w:pPr>
    </w:p>
    <w:p w14:paraId="1034BE26" w14:textId="77777777" w:rsidR="0078715D" w:rsidRPr="0078715D" w:rsidRDefault="0078715D" w:rsidP="0078715D">
      <w:pPr>
        <w:pStyle w:val="Textonotapie"/>
        <w:ind w:firstLine="709"/>
        <w:jc w:val="both"/>
        <w:rPr>
          <w:rFonts w:ascii="Verdana" w:hAnsi="Verdana"/>
          <w:sz w:val="16"/>
          <w:szCs w:val="16"/>
        </w:rPr>
      </w:pPr>
      <w:r w:rsidRPr="0078715D">
        <w:rPr>
          <w:rStyle w:val="Refdenotaalpie"/>
          <w:rFonts w:ascii="Verdana" w:hAnsi="Verdana"/>
          <w:sz w:val="16"/>
          <w:szCs w:val="16"/>
        </w:rPr>
        <w:footnoteRef/>
      </w:r>
      <w:r w:rsidRPr="0078715D">
        <w:rPr>
          <w:rFonts w:ascii="Verdana" w:hAnsi="Verdana"/>
          <w:sz w:val="16"/>
          <w:szCs w:val="16"/>
        </w:rPr>
        <w:t xml:space="preserve"> </w:t>
      </w:r>
      <w:proofErr w:type="spellStart"/>
      <w:r w:rsidRPr="0078715D">
        <w:rPr>
          <w:rFonts w:ascii="Verdana" w:hAnsi="Verdana"/>
          <w:sz w:val="16"/>
          <w:szCs w:val="16"/>
        </w:rPr>
        <w:t>Ibíd</w:t>
      </w:r>
      <w:proofErr w:type="spellEnd"/>
      <w:r w:rsidRPr="0078715D">
        <w:rPr>
          <w:rFonts w:ascii="Verdana" w:hAnsi="Verdana"/>
          <w:sz w:val="16"/>
          <w:szCs w:val="16"/>
        </w:rPr>
        <w:t>., p. 110.</w:t>
      </w:r>
    </w:p>
    <w:p w14:paraId="526F8222" w14:textId="77777777" w:rsidR="0078715D" w:rsidRPr="0078715D" w:rsidRDefault="0078715D" w:rsidP="0078715D">
      <w:pPr>
        <w:pStyle w:val="Textonotapie"/>
        <w:ind w:firstLine="709"/>
        <w:jc w:val="both"/>
        <w:rPr>
          <w:rFonts w:ascii="Verdana" w:hAnsi="Verdana"/>
          <w:sz w:val="16"/>
          <w:szCs w:val="16"/>
        </w:rPr>
      </w:pPr>
    </w:p>
  </w:footnote>
  <w:footnote w:id="19">
    <w:p w14:paraId="1AE03363" w14:textId="77777777" w:rsidR="0078715D" w:rsidRPr="0078715D" w:rsidRDefault="0078715D" w:rsidP="0078715D">
      <w:pPr>
        <w:pStyle w:val="Textonotapie"/>
        <w:ind w:firstLine="709"/>
        <w:jc w:val="both"/>
        <w:rPr>
          <w:rFonts w:ascii="Verdana" w:hAnsi="Verdana"/>
          <w:sz w:val="16"/>
          <w:szCs w:val="16"/>
        </w:rPr>
      </w:pPr>
      <w:r w:rsidRPr="0078715D">
        <w:rPr>
          <w:rStyle w:val="Refdenotaalpie"/>
          <w:rFonts w:ascii="Verdana" w:hAnsi="Verdana"/>
          <w:sz w:val="16"/>
          <w:szCs w:val="16"/>
        </w:rPr>
        <w:footnoteRef/>
      </w:r>
      <w:r w:rsidRPr="0078715D">
        <w:rPr>
          <w:rFonts w:ascii="Verdana" w:hAnsi="Verdana"/>
          <w:sz w:val="16"/>
          <w:szCs w:val="16"/>
        </w:rPr>
        <w:t xml:space="preserve"> </w:t>
      </w:r>
      <w:proofErr w:type="spellStart"/>
      <w:r w:rsidRPr="0078715D">
        <w:rPr>
          <w:rFonts w:ascii="Verdana" w:hAnsi="Verdana"/>
          <w:sz w:val="16"/>
          <w:szCs w:val="16"/>
        </w:rPr>
        <w:t>Ibíd</w:t>
      </w:r>
      <w:proofErr w:type="spellEnd"/>
      <w:r w:rsidRPr="0078715D">
        <w:rPr>
          <w:rFonts w:ascii="Verdana" w:hAnsi="Verdana"/>
          <w:sz w:val="16"/>
          <w:szCs w:val="16"/>
        </w:rPr>
        <w:t>., p. 110.</w:t>
      </w:r>
    </w:p>
  </w:footnote>
  <w:footnote w:id="20">
    <w:p w14:paraId="2620190F" w14:textId="77777777" w:rsidR="0078715D" w:rsidRPr="0078715D" w:rsidRDefault="0078715D" w:rsidP="0078715D">
      <w:pPr>
        <w:pStyle w:val="Textonotapie"/>
        <w:ind w:firstLine="709"/>
        <w:jc w:val="both"/>
        <w:rPr>
          <w:rFonts w:ascii="Verdana" w:hAnsi="Verdana"/>
          <w:sz w:val="16"/>
          <w:szCs w:val="16"/>
        </w:rPr>
      </w:pPr>
    </w:p>
    <w:p w14:paraId="386E21DA" w14:textId="77777777" w:rsidR="0078715D" w:rsidRPr="0078715D" w:rsidRDefault="0078715D" w:rsidP="0078715D">
      <w:pPr>
        <w:pStyle w:val="Textonotapie"/>
        <w:ind w:firstLine="709"/>
        <w:jc w:val="both"/>
        <w:rPr>
          <w:rFonts w:ascii="Verdana" w:hAnsi="Verdana"/>
          <w:sz w:val="16"/>
          <w:szCs w:val="16"/>
        </w:rPr>
      </w:pPr>
      <w:r w:rsidRPr="0078715D">
        <w:rPr>
          <w:rStyle w:val="Refdenotaalpie"/>
          <w:rFonts w:ascii="Verdana" w:hAnsi="Verdana"/>
          <w:sz w:val="16"/>
          <w:szCs w:val="16"/>
        </w:rPr>
        <w:footnoteRef/>
      </w:r>
      <w:r w:rsidRPr="0078715D">
        <w:rPr>
          <w:rFonts w:ascii="Verdana" w:hAnsi="Verdana"/>
          <w:sz w:val="16"/>
          <w:szCs w:val="16"/>
        </w:rPr>
        <w:t xml:space="preserve"> </w:t>
      </w:r>
      <w:proofErr w:type="spellStart"/>
      <w:r w:rsidRPr="0078715D">
        <w:rPr>
          <w:rFonts w:ascii="Verdana" w:hAnsi="Verdana"/>
          <w:sz w:val="16"/>
          <w:szCs w:val="16"/>
        </w:rPr>
        <w:t>Ibíd</w:t>
      </w:r>
      <w:proofErr w:type="spellEnd"/>
      <w:r w:rsidRPr="0078715D">
        <w:rPr>
          <w:rFonts w:ascii="Verdana" w:hAnsi="Verdana"/>
          <w:sz w:val="16"/>
          <w:szCs w:val="16"/>
        </w:rPr>
        <w:t>., p. 290.</w:t>
      </w:r>
    </w:p>
    <w:p w14:paraId="74157405" w14:textId="77777777" w:rsidR="0078715D" w:rsidRPr="0078715D" w:rsidRDefault="0078715D" w:rsidP="0078715D">
      <w:pPr>
        <w:pStyle w:val="Textonotapie"/>
        <w:ind w:firstLine="709"/>
        <w:jc w:val="both"/>
        <w:rPr>
          <w:rFonts w:ascii="Verdana" w:hAnsi="Verdana"/>
          <w:sz w:val="16"/>
          <w:szCs w:val="16"/>
        </w:rPr>
      </w:pPr>
    </w:p>
  </w:footnote>
  <w:footnote w:id="21">
    <w:p w14:paraId="7610DD1F" w14:textId="77777777" w:rsidR="0078715D" w:rsidRPr="0078715D" w:rsidRDefault="0078715D" w:rsidP="0078715D">
      <w:pPr>
        <w:pStyle w:val="Textonotapie"/>
        <w:ind w:firstLine="709"/>
        <w:jc w:val="both"/>
        <w:rPr>
          <w:rFonts w:ascii="Verdana" w:hAnsi="Verdana"/>
          <w:sz w:val="16"/>
          <w:szCs w:val="16"/>
        </w:rPr>
      </w:pPr>
      <w:r w:rsidRPr="0078715D">
        <w:rPr>
          <w:rStyle w:val="Refdenotaalpie"/>
          <w:rFonts w:ascii="Verdana" w:hAnsi="Verdana"/>
          <w:sz w:val="16"/>
          <w:szCs w:val="16"/>
        </w:rPr>
        <w:footnoteRef/>
      </w:r>
      <w:r w:rsidRPr="0078715D">
        <w:rPr>
          <w:rFonts w:ascii="Verdana" w:hAnsi="Verdana"/>
          <w:sz w:val="16"/>
          <w:szCs w:val="16"/>
        </w:rPr>
        <w:t xml:space="preserve"> Este criterio también ha sido admitido por la Corte Constitucional. Al respecto, puede verse la sentencia C-054 de 2016, M.P. Luis Ernesto Vargas Silva.</w:t>
      </w:r>
    </w:p>
  </w:footnote>
  <w:footnote w:id="22">
    <w:p w14:paraId="7FFFF175" w14:textId="77777777" w:rsidR="0078715D" w:rsidRPr="0078715D" w:rsidRDefault="0078715D" w:rsidP="0078715D">
      <w:pPr>
        <w:pStyle w:val="Textonotapie"/>
        <w:jc w:val="both"/>
        <w:rPr>
          <w:rFonts w:ascii="Verdana" w:hAnsi="Verdana"/>
          <w:sz w:val="16"/>
          <w:szCs w:val="16"/>
        </w:rPr>
      </w:pPr>
    </w:p>
    <w:p w14:paraId="18DF17CF" w14:textId="77777777" w:rsidR="0078715D" w:rsidRPr="0078715D" w:rsidRDefault="0078715D" w:rsidP="0078715D">
      <w:pPr>
        <w:pStyle w:val="Textonotapie"/>
        <w:ind w:firstLine="709"/>
        <w:jc w:val="both"/>
        <w:rPr>
          <w:rFonts w:ascii="Verdana" w:hAnsi="Verdana"/>
          <w:sz w:val="16"/>
          <w:szCs w:val="16"/>
          <w:lang w:val="es-CO"/>
        </w:rPr>
      </w:pPr>
      <w:r w:rsidRPr="0078715D">
        <w:rPr>
          <w:rStyle w:val="Refdenotaalpie"/>
          <w:rFonts w:ascii="Verdana" w:hAnsi="Verdana"/>
          <w:sz w:val="16"/>
          <w:szCs w:val="16"/>
        </w:rPr>
        <w:footnoteRef/>
      </w:r>
      <w:r w:rsidRPr="0078715D">
        <w:rPr>
          <w:rFonts w:ascii="Verdana" w:hAnsi="Verdana"/>
          <w:sz w:val="16"/>
          <w:szCs w:val="16"/>
        </w:rPr>
        <w:t xml:space="preserve"> </w:t>
      </w:r>
      <w:r w:rsidRPr="0078715D">
        <w:rPr>
          <w:rFonts w:ascii="Verdana" w:hAnsi="Verdana"/>
          <w:sz w:val="16"/>
          <w:szCs w:val="16"/>
          <w:lang w:val="es-ES"/>
        </w:rPr>
        <w:t>La causal prevista en el literal e) del numeral 2 del artículo 8 de la Ley 80 de 1993 dispone que tampoco podrán participar en procedimientos de selección ni celebrar contratos estatales: “</w:t>
      </w:r>
      <w:r w:rsidRPr="0078715D">
        <w:rPr>
          <w:rFonts w:ascii="Verdana" w:hAnsi="Verdana"/>
          <w:sz w:val="16"/>
          <w:szCs w:val="16"/>
          <w:lang w:val="es-CO"/>
        </w:rPr>
        <w:t>Los miembros de las juntas o consejos directivos. Esta incompatibilidad sólo se predica respecto de la entidad a la cual prestan sus servicios y de las del sector administrativo al que la misma esté adscrita o vinculada”.</w:t>
      </w:r>
    </w:p>
    <w:p w14:paraId="41A10EE1" w14:textId="77777777" w:rsidR="0078715D" w:rsidRPr="0078715D" w:rsidRDefault="0078715D" w:rsidP="0078715D">
      <w:pPr>
        <w:pStyle w:val="Textonotapie"/>
        <w:ind w:firstLine="709"/>
        <w:jc w:val="both"/>
        <w:rPr>
          <w:rFonts w:ascii="Verdana" w:hAnsi="Verdana"/>
          <w:sz w:val="16"/>
          <w:szCs w:val="16"/>
          <w:lang w:val="es-CO"/>
        </w:rPr>
      </w:pPr>
    </w:p>
  </w:footnote>
  <w:footnote w:id="23">
    <w:p w14:paraId="5AC4ADCC" w14:textId="77777777" w:rsidR="0078715D" w:rsidRPr="0078715D" w:rsidRDefault="0078715D" w:rsidP="0078715D">
      <w:pPr>
        <w:pStyle w:val="Textonotapie"/>
        <w:ind w:firstLine="709"/>
        <w:jc w:val="both"/>
        <w:rPr>
          <w:rFonts w:ascii="Verdana" w:hAnsi="Verdana"/>
          <w:sz w:val="16"/>
          <w:szCs w:val="16"/>
          <w:lang w:val="es-ES"/>
        </w:rPr>
      </w:pPr>
      <w:r w:rsidRPr="0078715D">
        <w:rPr>
          <w:rStyle w:val="Refdenotaalpie"/>
          <w:rFonts w:ascii="Verdana" w:hAnsi="Verdana"/>
          <w:sz w:val="16"/>
          <w:szCs w:val="16"/>
        </w:rPr>
        <w:footnoteRef/>
      </w:r>
      <w:r w:rsidRPr="0078715D">
        <w:rPr>
          <w:rFonts w:ascii="Verdana" w:hAnsi="Verdana"/>
          <w:sz w:val="16"/>
          <w:szCs w:val="16"/>
        </w:rPr>
        <w:t xml:space="preserve"> </w:t>
      </w:r>
      <w:r w:rsidRPr="0078715D">
        <w:rPr>
          <w:rFonts w:ascii="Verdana" w:hAnsi="Verdana"/>
          <w:sz w:val="16"/>
          <w:szCs w:val="16"/>
          <w:lang w:val="es-ES"/>
        </w:rPr>
        <w:t xml:space="preserve">Esta interpretación ha sido sostenida por la doctrina, al afirmar que el artículo 4 de la Ley 1474 de 2011 extendió la causal prevista en el artículo 8, numeral 2, literal a) de la Ley 80 de 1993 “[…] hasta dos años para contratos que tengan por objeto asuntos relacionados con el sector al cual prestaron sus servicios las personas que ocuparon cargos del nivel directivo exclusivamente, </w:t>
      </w:r>
      <w:r w:rsidRPr="0078715D">
        <w:rPr>
          <w:rFonts w:ascii="Verdana" w:hAnsi="Verdana"/>
          <w:i/>
          <w:sz w:val="16"/>
          <w:szCs w:val="16"/>
          <w:lang w:val="es-ES"/>
        </w:rPr>
        <w:t>entendiéndose por tal la concepción que se hizo en el anterior numeral cuando nos referíamos a lo que abarca el sector administrativo para efectos de la aplicación del literal e)</w:t>
      </w:r>
      <w:r w:rsidRPr="0078715D">
        <w:rPr>
          <w:rFonts w:ascii="Verdana" w:hAnsi="Verdana"/>
          <w:sz w:val="16"/>
          <w:szCs w:val="16"/>
          <w:lang w:val="es-ES"/>
        </w:rPr>
        <w:t>, numeral 2 del artículo 8º de la Ley 80 de 1993. Es decir, que el ex gerente del SENA, no podría suscribir ningún contrato con esa entidad ni con ninguna de las adscritas o vinculadas al Ministerio de Trabajo ni con este. […]” [énfasis fuera del texto original] (DÁVILA VINUEZA. Luis Guillermo. Régimen jurídico de la contratación estatal. 3ª ed. Bogotá: Legis, 2016. p. 192). Obsérvese que este autor interpreta el concepto de “sector”, contenido en el literal f), de la misma manera que en el literal e) es decir, como “sector administrativo”. Por otra parte, el ejemplo que brinda sobre la aplicación de la causal en el sector administrativo se refiere a entidades nacionales.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6A21AA3"/>
    <w:multiLevelType w:val="hybridMultilevel"/>
    <w:tmpl w:val="3A24D6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5"/>
  </w:num>
  <w:num w:numId="8">
    <w:abstractNumId w:val="13"/>
  </w:num>
  <w:num w:numId="9">
    <w:abstractNumId w:val="7"/>
  </w:num>
  <w:num w:numId="10">
    <w:abstractNumId w:val="12"/>
  </w:num>
  <w:num w:numId="11">
    <w:abstractNumId w:val="8"/>
  </w:num>
  <w:num w:numId="12">
    <w:abstractNumId w:val="1"/>
  </w:num>
  <w:num w:numId="13">
    <w:abstractNumId w:val="3"/>
  </w:num>
  <w:num w:numId="14">
    <w:abstractNumId w:val="15"/>
  </w:num>
  <w:num w:numId="15">
    <w:abstractNumId w:val="10"/>
  </w:num>
  <w:num w:numId="16">
    <w:abstractNumId w:val="0"/>
  </w:num>
  <w:num w:numId="17">
    <w:abstractNumId w:val="9"/>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213"/>
    <w:rsid w:val="00016F78"/>
    <w:rsid w:val="00036DEB"/>
    <w:rsid w:val="00046945"/>
    <w:rsid w:val="00061B2A"/>
    <w:rsid w:val="00082362"/>
    <w:rsid w:val="000A683E"/>
    <w:rsid w:val="000B19B9"/>
    <w:rsid w:val="000B48F7"/>
    <w:rsid w:val="000C21D5"/>
    <w:rsid w:val="000C6FFA"/>
    <w:rsid w:val="000D0334"/>
    <w:rsid w:val="000F6486"/>
    <w:rsid w:val="00125105"/>
    <w:rsid w:val="00127233"/>
    <w:rsid w:val="001511A0"/>
    <w:rsid w:val="001C7238"/>
    <w:rsid w:val="001E4177"/>
    <w:rsid w:val="001E4FF1"/>
    <w:rsid w:val="001F7DC6"/>
    <w:rsid w:val="00205642"/>
    <w:rsid w:val="00235592"/>
    <w:rsid w:val="002421BB"/>
    <w:rsid w:val="0025796E"/>
    <w:rsid w:val="002662E4"/>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832C2"/>
    <w:rsid w:val="003A779E"/>
    <w:rsid w:val="003C4416"/>
    <w:rsid w:val="003D0F4D"/>
    <w:rsid w:val="003D5B0D"/>
    <w:rsid w:val="003E0499"/>
    <w:rsid w:val="003F3941"/>
    <w:rsid w:val="00406575"/>
    <w:rsid w:val="00414C74"/>
    <w:rsid w:val="0042722E"/>
    <w:rsid w:val="0044528D"/>
    <w:rsid w:val="004655F6"/>
    <w:rsid w:val="004A1847"/>
    <w:rsid w:val="004A305D"/>
    <w:rsid w:val="004F21C4"/>
    <w:rsid w:val="004F685F"/>
    <w:rsid w:val="00507099"/>
    <w:rsid w:val="00525A7A"/>
    <w:rsid w:val="00537C44"/>
    <w:rsid w:val="005566E8"/>
    <w:rsid w:val="00565273"/>
    <w:rsid w:val="00574867"/>
    <w:rsid w:val="00591460"/>
    <w:rsid w:val="005B3816"/>
    <w:rsid w:val="005C3777"/>
    <w:rsid w:val="005C50E4"/>
    <w:rsid w:val="005C5CDC"/>
    <w:rsid w:val="005D476C"/>
    <w:rsid w:val="006219F8"/>
    <w:rsid w:val="006404B2"/>
    <w:rsid w:val="00665D70"/>
    <w:rsid w:val="006900D9"/>
    <w:rsid w:val="006C48B5"/>
    <w:rsid w:val="00706C16"/>
    <w:rsid w:val="00756841"/>
    <w:rsid w:val="007649AB"/>
    <w:rsid w:val="00771D0C"/>
    <w:rsid w:val="0077322C"/>
    <w:rsid w:val="00782E06"/>
    <w:rsid w:val="007833AC"/>
    <w:rsid w:val="00786697"/>
    <w:rsid w:val="0078715D"/>
    <w:rsid w:val="007A421B"/>
    <w:rsid w:val="007B268C"/>
    <w:rsid w:val="007B7171"/>
    <w:rsid w:val="007B78C6"/>
    <w:rsid w:val="007C0C0F"/>
    <w:rsid w:val="007C3DC2"/>
    <w:rsid w:val="007E3220"/>
    <w:rsid w:val="007E5497"/>
    <w:rsid w:val="00806F5F"/>
    <w:rsid w:val="00820278"/>
    <w:rsid w:val="008209D5"/>
    <w:rsid w:val="00867F95"/>
    <w:rsid w:val="00870AF0"/>
    <w:rsid w:val="008843B6"/>
    <w:rsid w:val="00891928"/>
    <w:rsid w:val="008A446D"/>
    <w:rsid w:val="008D180B"/>
    <w:rsid w:val="008F0EA7"/>
    <w:rsid w:val="0090263C"/>
    <w:rsid w:val="00917196"/>
    <w:rsid w:val="00923EEF"/>
    <w:rsid w:val="0093542D"/>
    <w:rsid w:val="009419F9"/>
    <w:rsid w:val="0095685E"/>
    <w:rsid w:val="00961B09"/>
    <w:rsid w:val="00965334"/>
    <w:rsid w:val="0097093E"/>
    <w:rsid w:val="00986AC5"/>
    <w:rsid w:val="009A0DFA"/>
    <w:rsid w:val="009B2D26"/>
    <w:rsid w:val="009C0DA8"/>
    <w:rsid w:val="009C71FA"/>
    <w:rsid w:val="009C72E7"/>
    <w:rsid w:val="009D3058"/>
    <w:rsid w:val="009F3A13"/>
    <w:rsid w:val="00A122D3"/>
    <w:rsid w:val="00A17F13"/>
    <w:rsid w:val="00A20739"/>
    <w:rsid w:val="00A33C78"/>
    <w:rsid w:val="00A42AFD"/>
    <w:rsid w:val="00AB0ADB"/>
    <w:rsid w:val="00B01B1A"/>
    <w:rsid w:val="00B66319"/>
    <w:rsid w:val="00B72CD3"/>
    <w:rsid w:val="00B72FFF"/>
    <w:rsid w:val="00BB1B48"/>
    <w:rsid w:val="00BB60F1"/>
    <w:rsid w:val="00BC3D36"/>
    <w:rsid w:val="00BD7F72"/>
    <w:rsid w:val="00C04FB3"/>
    <w:rsid w:val="00C330EB"/>
    <w:rsid w:val="00C41061"/>
    <w:rsid w:val="00C47531"/>
    <w:rsid w:val="00C6146D"/>
    <w:rsid w:val="00C754BE"/>
    <w:rsid w:val="00C76B1C"/>
    <w:rsid w:val="00CB6357"/>
    <w:rsid w:val="00CC1B26"/>
    <w:rsid w:val="00CD6E09"/>
    <w:rsid w:val="00D423A2"/>
    <w:rsid w:val="00D520D8"/>
    <w:rsid w:val="00D63AC2"/>
    <w:rsid w:val="00D7383B"/>
    <w:rsid w:val="00DA231B"/>
    <w:rsid w:val="00DC39FC"/>
    <w:rsid w:val="00DD1156"/>
    <w:rsid w:val="00DF5254"/>
    <w:rsid w:val="00E16408"/>
    <w:rsid w:val="00E20894"/>
    <w:rsid w:val="00E245AB"/>
    <w:rsid w:val="00E2764C"/>
    <w:rsid w:val="00E27F2E"/>
    <w:rsid w:val="00E50AFE"/>
    <w:rsid w:val="00E529C2"/>
    <w:rsid w:val="00E75C92"/>
    <w:rsid w:val="00E771DC"/>
    <w:rsid w:val="00E8772A"/>
    <w:rsid w:val="00E90F6B"/>
    <w:rsid w:val="00E92C27"/>
    <w:rsid w:val="00E95B3E"/>
    <w:rsid w:val="00EA0E3D"/>
    <w:rsid w:val="00EC38A7"/>
    <w:rsid w:val="00ED6FA7"/>
    <w:rsid w:val="00ED7384"/>
    <w:rsid w:val="00EE1AA8"/>
    <w:rsid w:val="00F31EDC"/>
    <w:rsid w:val="00F462B3"/>
    <w:rsid w:val="00F5664F"/>
    <w:rsid w:val="00F666C4"/>
    <w:rsid w:val="00F76AFC"/>
    <w:rsid w:val="00FA47C0"/>
    <w:rsid w:val="00FB5DD1"/>
    <w:rsid w:val="00FC2B5D"/>
    <w:rsid w:val="00FF1449"/>
    <w:rsid w:val="033B0BF5"/>
    <w:rsid w:val="0D832064"/>
    <w:rsid w:val="165E9519"/>
    <w:rsid w:val="19090AED"/>
    <w:rsid w:val="194438FE"/>
    <w:rsid w:val="1986E2E2"/>
    <w:rsid w:val="19DD9F42"/>
    <w:rsid w:val="1F188300"/>
    <w:rsid w:val="21E44367"/>
    <w:rsid w:val="2F35ACFC"/>
    <w:rsid w:val="382536D9"/>
    <w:rsid w:val="3A95F7A8"/>
    <w:rsid w:val="3B9ADDA9"/>
    <w:rsid w:val="44587D06"/>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655F6"/>
    <w:rPr>
      <w:rFonts w:ascii="Geomanist Light" w:hAnsi="Geomanist Light"/>
      <w:lang w:val="es-ES"/>
    </w:rPr>
  </w:style>
  <w:style w:type="paragraph" w:styleId="Textoindependiente">
    <w:name w:val="Body Text"/>
    <w:basedOn w:val="Normal"/>
    <w:link w:val="TextoindependienteCar"/>
    <w:uiPriority w:val="1"/>
    <w:unhideWhenUsed/>
    <w:qFormat/>
    <w:rsid w:val="004655F6"/>
    <w:pPr>
      <w:spacing w:after="120"/>
    </w:pPr>
  </w:style>
  <w:style w:type="character" w:customStyle="1" w:styleId="TextoindependienteCar">
    <w:name w:val="Texto independiente Car"/>
    <w:basedOn w:val="Fuentedeprrafopredeter"/>
    <w:link w:val="Textoindependiente"/>
    <w:uiPriority w:val="1"/>
    <w:rsid w:val="004655F6"/>
  </w:style>
  <w:style w:type="paragraph" w:styleId="Textocomentario">
    <w:name w:val="annotation text"/>
    <w:basedOn w:val="Normal"/>
    <w:link w:val="TextocomentarioCar"/>
    <w:uiPriority w:val="99"/>
    <w:semiHidden/>
    <w:unhideWhenUsed/>
    <w:rsid w:val="000C6FF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C6FFA"/>
    <w:rPr>
      <w:sz w:val="20"/>
      <w:szCs w:val="20"/>
    </w:rPr>
  </w:style>
  <w:style w:type="character" w:styleId="Refdecomentario">
    <w:name w:val="annotation reference"/>
    <w:basedOn w:val="Fuentedeprrafopredeter"/>
    <w:uiPriority w:val="99"/>
    <w:semiHidden/>
    <w:unhideWhenUsed/>
    <w:rsid w:val="000C6FFA"/>
    <w:rPr>
      <w:sz w:val="16"/>
      <w:szCs w:val="16"/>
    </w:rPr>
  </w:style>
  <w:style w:type="paragraph" w:customStyle="1" w:styleId="Appelnotedebasde">
    <w:name w:val="Appel note de bas de..."/>
    <w:basedOn w:val="Normal"/>
    <w:link w:val="Refdenotaalpie"/>
    <w:uiPriority w:val="99"/>
    <w:rsid w:val="00DD1156"/>
    <w:pPr>
      <w:spacing w:line="240" w:lineRule="exact"/>
    </w:pPr>
    <w:rPr>
      <w:vertAlign w:val="superscript"/>
    </w:rPr>
  </w:style>
  <w:style w:type="character" w:styleId="Textoennegrita">
    <w:name w:val="Strong"/>
    <w:basedOn w:val="Fuentedeprrafopredeter"/>
    <w:uiPriority w:val="22"/>
    <w:qFormat/>
    <w:rsid w:val="003832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23715873">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87861437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oficinajuridica@puertoasis-putumayo.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E9C0FE-28FB-43DD-8A8D-3F1BC38AFB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6E730C21-3293-4E85-83B3-F7087E9A52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18</Pages>
  <Words>5304</Words>
  <Characters>29174</Characters>
  <Application>Microsoft Office Word</Application>
  <DocSecurity>0</DocSecurity>
  <Lines>243</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12</cp:revision>
  <cp:lastPrinted>2023-01-10T21:18:00Z</cp:lastPrinted>
  <dcterms:created xsi:type="dcterms:W3CDTF">2025-07-24T00:17:00Z</dcterms:created>
  <dcterms:modified xsi:type="dcterms:W3CDTF">2025-10-11T02:46:00Z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