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0DE6A" w14:textId="77777777" w:rsidR="007C11D3" w:rsidRPr="007C11D3" w:rsidRDefault="007C11D3" w:rsidP="007C11D3">
      <w:pPr>
        <w:spacing w:after="0" w:line="240" w:lineRule="auto"/>
        <w:rPr>
          <w:rFonts w:ascii="Verdana" w:eastAsia="Calibri" w:hAnsi="Verdana" w:cs="Arial"/>
          <w:b/>
          <w:color w:val="000000" w:themeColor="text1"/>
          <w:lang w:val="es-ES_tradnl"/>
        </w:rPr>
      </w:pPr>
      <w:bookmarkStart w:id="0" w:name="_Hlk181166130"/>
      <w:bookmarkStart w:id="1" w:name="_Hlk143780582"/>
      <w:bookmarkStart w:id="2" w:name="_Hlk204353692"/>
      <w:r w:rsidRPr="007C11D3">
        <w:rPr>
          <w:rFonts w:ascii="Verdana" w:eastAsia="Calibri" w:hAnsi="Verdana" w:cs="Arial"/>
          <w:b/>
          <w:color w:val="000000" w:themeColor="text1"/>
          <w:lang w:val="es-ES_tradnl"/>
        </w:rPr>
        <w:t xml:space="preserve">LEY DE GARANTÍAS ELECTORALES ‒ Tipos de restricciones ‒ Ámbito temporal </w:t>
      </w:r>
    </w:p>
    <w:p w14:paraId="00D153BD" w14:textId="77777777" w:rsidR="007C11D3" w:rsidRPr="007C11D3" w:rsidRDefault="007C11D3" w:rsidP="007C11D3">
      <w:pPr>
        <w:spacing w:after="0" w:line="240" w:lineRule="auto"/>
        <w:rPr>
          <w:rFonts w:ascii="Verdana" w:eastAsia="Calibri" w:hAnsi="Verdana" w:cs="Arial"/>
          <w:b/>
          <w:color w:val="000000" w:themeColor="text1"/>
          <w:lang w:val="es-ES_tradnl"/>
        </w:rPr>
      </w:pPr>
    </w:p>
    <w:p w14:paraId="79863B38" w14:textId="77777777" w:rsidR="007C11D3" w:rsidRPr="007C11D3" w:rsidRDefault="007C11D3" w:rsidP="5B89E16D">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2D9AD113" w14:textId="77777777" w:rsidR="007C11D3" w:rsidRPr="007C11D3" w:rsidRDefault="007C11D3" w:rsidP="007C11D3">
      <w:pPr>
        <w:spacing w:after="0" w:line="240" w:lineRule="auto"/>
        <w:rPr>
          <w:rFonts w:ascii="Verdana" w:eastAsia="Calibri" w:hAnsi="Verdana" w:cs="Arial"/>
          <w:b/>
          <w:color w:val="000000" w:themeColor="text1"/>
          <w:lang w:val="es-ES_tradnl"/>
        </w:rPr>
      </w:pPr>
    </w:p>
    <w:p w14:paraId="2753A357" w14:textId="77777777" w:rsidR="007C11D3" w:rsidRPr="007C11D3" w:rsidRDefault="007C11D3" w:rsidP="007C11D3">
      <w:pPr>
        <w:spacing w:after="0" w:line="240" w:lineRule="auto"/>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 xml:space="preserve">LEY DE GARANTÍAS ELECTORALES ─ Prohibición ‒ Contratación directa ‒ Alcance – Excepciones </w:t>
      </w:r>
    </w:p>
    <w:p w14:paraId="4EAE077D" w14:textId="77777777" w:rsidR="007C11D3" w:rsidRPr="007C11D3" w:rsidRDefault="007C11D3" w:rsidP="007C11D3">
      <w:pPr>
        <w:spacing w:after="0" w:line="240" w:lineRule="auto"/>
        <w:rPr>
          <w:rFonts w:ascii="Verdana" w:eastAsia="Calibri" w:hAnsi="Verdana" w:cs="Arial"/>
          <w:b/>
          <w:color w:val="000000" w:themeColor="text1"/>
          <w:lang w:val="es-ES_tradnl"/>
        </w:rPr>
      </w:pPr>
    </w:p>
    <w:p w14:paraId="056219CF" w14:textId="77777777" w:rsidR="007C11D3" w:rsidRPr="007C11D3" w:rsidRDefault="007C11D3" w:rsidP="5B89E16D">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w:t>
      </w:r>
      <w:proofErr w:type="gramStart"/>
      <w:r w:rsidRPr="5B89E16D">
        <w:rPr>
          <w:rFonts w:ascii="Verdana" w:eastAsia="Calibri" w:hAnsi="Verdana" w:cs="Arial"/>
          <w:color w:val="000000" w:themeColor="text1"/>
          <w:sz w:val="20"/>
          <w:szCs w:val="20"/>
          <w:lang w:val="es-ES"/>
        </w:rPr>
        <w:t>méritos  y</w:t>
      </w:r>
      <w:proofErr w:type="gramEnd"/>
      <w:r w:rsidRPr="5B89E16D">
        <w:rPr>
          <w:rFonts w:ascii="Verdana" w:eastAsia="Calibri" w:hAnsi="Verdana" w:cs="Arial"/>
          <w:color w:val="000000" w:themeColor="text1"/>
          <w:sz w:val="20"/>
          <w:szCs w:val="20"/>
          <w:lang w:val="es-ES"/>
        </w:rPr>
        <w:t xml:space="preserve"> sistematizó las causales de contratación directa.</w:t>
      </w:r>
    </w:p>
    <w:p w14:paraId="1F84D40C" w14:textId="77777777" w:rsidR="007C11D3" w:rsidRPr="007C11D3" w:rsidRDefault="007C11D3" w:rsidP="007C11D3">
      <w:pPr>
        <w:spacing w:after="0" w:line="240" w:lineRule="auto"/>
        <w:jc w:val="both"/>
        <w:rPr>
          <w:rFonts w:ascii="Verdana" w:eastAsia="Calibri" w:hAnsi="Verdana" w:cs="Arial"/>
          <w:bCs/>
          <w:color w:val="000000" w:themeColor="text1"/>
          <w:sz w:val="20"/>
          <w:szCs w:val="20"/>
          <w:lang w:val="es-ES_tradnl"/>
        </w:rPr>
      </w:pPr>
    </w:p>
    <w:p w14:paraId="45C78C87" w14:textId="77777777" w:rsidR="007C11D3" w:rsidRPr="007C11D3" w:rsidRDefault="007C11D3" w:rsidP="5B89E16D">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5B89E16D">
        <w:rPr>
          <w:rFonts w:ascii="Verdana" w:eastAsia="Calibri" w:hAnsi="Verdana" w:cs="Arial"/>
          <w:color w:val="000000" w:themeColor="text1"/>
          <w:sz w:val="20"/>
          <w:szCs w:val="20"/>
          <w:lang w:val="es-ES"/>
        </w:rPr>
        <w:t>ii</w:t>
      </w:r>
      <w:proofErr w:type="spellEnd"/>
      <w:r w:rsidRPr="5B89E16D">
        <w:rPr>
          <w:rFonts w:ascii="Verdana" w:eastAsia="Calibri" w:hAnsi="Verdana" w:cs="Arial"/>
          <w:color w:val="000000" w:themeColor="text1"/>
          <w:sz w:val="20"/>
          <w:szCs w:val="20"/>
          <w:lang w:val="es-ES"/>
        </w:rPr>
        <w:t xml:space="preserve">) los contratos de crédito público; </w:t>
      </w:r>
      <w:proofErr w:type="spellStart"/>
      <w:r w:rsidRPr="5B89E16D">
        <w:rPr>
          <w:rFonts w:ascii="Verdana" w:eastAsia="Calibri" w:hAnsi="Verdana" w:cs="Arial"/>
          <w:color w:val="000000" w:themeColor="text1"/>
          <w:sz w:val="20"/>
          <w:szCs w:val="20"/>
          <w:lang w:val="es-ES"/>
        </w:rPr>
        <w:t>iii</w:t>
      </w:r>
      <w:proofErr w:type="spellEnd"/>
      <w:r w:rsidRPr="5B89E16D">
        <w:rPr>
          <w:rFonts w:ascii="Verdana" w:eastAsia="Calibri" w:hAnsi="Verdana" w:cs="Arial"/>
          <w:color w:val="000000" w:themeColor="text1"/>
          <w:sz w:val="20"/>
          <w:szCs w:val="20"/>
          <w:lang w:val="es-ES"/>
        </w:rPr>
        <w:t xml:space="preserve">) los requeridos para cubrir las emergencias educativas, sanitarias y desastres; </w:t>
      </w:r>
      <w:proofErr w:type="spellStart"/>
      <w:r w:rsidRPr="5B89E16D">
        <w:rPr>
          <w:rFonts w:ascii="Verdana" w:eastAsia="Calibri" w:hAnsi="Verdana" w:cs="Arial"/>
          <w:color w:val="000000" w:themeColor="text1"/>
          <w:sz w:val="20"/>
          <w:szCs w:val="20"/>
          <w:lang w:val="es-ES"/>
        </w:rPr>
        <w:t>iv</w:t>
      </w:r>
      <w:proofErr w:type="spellEnd"/>
      <w:r w:rsidRPr="5B89E16D">
        <w:rPr>
          <w:rFonts w:ascii="Verdana" w:eastAsia="Calibri" w:hAnsi="Verdana" w:cs="Arial"/>
          <w:color w:val="000000" w:themeColor="text1"/>
          <w:sz w:val="20"/>
          <w:szCs w:val="20"/>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366EB6A" w14:textId="77777777" w:rsidR="007C11D3" w:rsidRPr="007C11D3" w:rsidRDefault="007C11D3" w:rsidP="007C11D3">
      <w:pPr>
        <w:spacing w:after="0" w:line="240" w:lineRule="auto"/>
        <w:jc w:val="both"/>
        <w:rPr>
          <w:rFonts w:ascii="Verdana" w:eastAsia="Calibri" w:hAnsi="Verdana" w:cs="Arial"/>
          <w:b/>
          <w:color w:val="000000" w:themeColor="text1"/>
          <w:lang w:val="es-ES_tradnl"/>
        </w:rPr>
      </w:pPr>
    </w:p>
    <w:p w14:paraId="6E620936" w14:textId="77777777" w:rsidR="007C11D3" w:rsidRPr="007C11D3" w:rsidRDefault="007C11D3" w:rsidP="007C11D3">
      <w:pPr>
        <w:spacing w:after="0" w:line="240" w:lineRule="auto"/>
        <w:jc w:val="both"/>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LEY DE GARANTÍAS ELECTORALES ‒ Prohibición del artículo 33 ‒ Destinatarios</w:t>
      </w:r>
    </w:p>
    <w:p w14:paraId="4208564D" w14:textId="77777777" w:rsidR="007C11D3" w:rsidRPr="007C11D3" w:rsidRDefault="007C11D3" w:rsidP="007C11D3">
      <w:pPr>
        <w:spacing w:after="0" w:line="240" w:lineRule="auto"/>
        <w:jc w:val="both"/>
        <w:rPr>
          <w:rFonts w:ascii="Verdana" w:eastAsia="Calibri" w:hAnsi="Verdana" w:cs="Arial"/>
          <w:bCs/>
          <w:color w:val="000000" w:themeColor="text1"/>
          <w:lang w:val="es-ES_tradnl"/>
        </w:rPr>
      </w:pPr>
    </w:p>
    <w:p w14:paraId="54E3A136" w14:textId="77777777" w:rsidR="007C11D3" w:rsidRPr="007C11D3" w:rsidRDefault="007C11D3" w:rsidP="5B89E16D">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3BAC7B45" w14:textId="77777777" w:rsidR="007C11D3" w:rsidRPr="007C11D3" w:rsidRDefault="007C11D3" w:rsidP="007C11D3">
      <w:pPr>
        <w:spacing w:after="0" w:line="240" w:lineRule="auto"/>
        <w:jc w:val="both"/>
        <w:rPr>
          <w:rFonts w:ascii="Verdana" w:eastAsia="Calibri" w:hAnsi="Verdana" w:cs="Arial"/>
          <w:b/>
          <w:color w:val="000000" w:themeColor="text1"/>
          <w:lang w:val="es-ES_tradnl"/>
        </w:rPr>
      </w:pPr>
    </w:p>
    <w:p w14:paraId="6301DA0F" w14:textId="77777777" w:rsidR="007C11D3" w:rsidRPr="007C11D3" w:rsidRDefault="007C11D3" w:rsidP="007C11D3">
      <w:pPr>
        <w:spacing w:after="0" w:line="240" w:lineRule="auto"/>
        <w:jc w:val="both"/>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EMPRESAS DE SERVICIOS PÚBLICOS DOMICILIARIOS – Régimen jurídico – Entidades descentralizadas – Oficiales, mixtas y privadas</w:t>
      </w:r>
    </w:p>
    <w:p w14:paraId="5917630A" w14:textId="77777777" w:rsidR="007C11D3" w:rsidRPr="007C11D3" w:rsidRDefault="007C11D3" w:rsidP="007C11D3">
      <w:pPr>
        <w:spacing w:after="0" w:line="240" w:lineRule="auto"/>
        <w:jc w:val="both"/>
        <w:rPr>
          <w:rFonts w:ascii="Verdana" w:eastAsia="Calibri" w:hAnsi="Verdana" w:cs="Arial"/>
          <w:b/>
          <w:color w:val="000000" w:themeColor="text1"/>
          <w:lang w:val="es-ES_tradnl"/>
        </w:rPr>
      </w:pPr>
    </w:p>
    <w:p w14:paraId="713F5E8E" w14:textId="77777777" w:rsidR="007C11D3" w:rsidRPr="007C11D3" w:rsidRDefault="007C11D3" w:rsidP="5B89E16D">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El artículo 365 de la Constitución Política establece que los servicios públicos domiciliarios «podrán ser prestados por el Estado, directa o indirectamente, por comunidades organizadas o por particulares», pero que «[e]n todo caso, el Estado mantendrá la regulación, el control y la vigilancia de dichos servicios». En desarrollo de esta habilitación superior, el Congreso de la República dispuso, en el artículo 15 de la Ley 142 de 1994, que pueden actuar como operadores de servicios públicos domiciliarios: i) «Las empresas de servicios públicos» –oficiales, mixtas y privadas–, </w:t>
      </w:r>
      <w:proofErr w:type="spellStart"/>
      <w:r w:rsidRPr="5B89E16D">
        <w:rPr>
          <w:rFonts w:ascii="Verdana" w:eastAsia="Calibri" w:hAnsi="Verdana" w:cs="Arial"/>
          <w:color w:val="000000" w:themeColor="text1"/>
          <w:sz w:val="20"/>
          <w:szCs w:val="20"/>
          <w:lang w:val="es-ES"/>
        </w:rPr>
        <w:t>ii</w:t>
      </w:r>
      <w:proofErr w:type="spellEnd"/>
      <w:r w:rsidRPr="5B89E16D">
        <w:rPr>
          <w:rFonts w:ascii="Verdana" w:eastAsia="Calibri" w:hAnsi="Verdana" w:cs="Arial"/>
          <w:color w:val="000000" w:themeColor="text1"/>
          <w:sz w:val="20"/>
          <w:szCs w:val="20"/>
          <w:lang w:val="es-ES"/>
        </w:rPr>
        <w:t xml:space="preserve">) «Las personas naturales o jurídicas que produzcan para ellas mismas, o como consecuencia o complemento de su actividad principal, los bienes y servicios propios del objeto de las empresas de servicios públicos, </w:t>
      </w:r>
      <w:proofErr w:type="spellStart"/>
      <w:r w:rsidRPr="5B89E16D">
        <w:rPr>
          <w:rFonts w:ascii="Verdana" w:eastAsia="Calibri" w:hAnsi="Verdana" w:cs="Arial"/>
          <w:color w:val="000000" w:themeColor="text1"/>
          <w:sz w:val="20"/>
          <w:szCs w:val="20"/>
          <w:lang w:val="es-ES"/>
        </w:rPr>
        <w:t>iii</w:t>
      </w:r>
      <w:proofErr w:type="spellEnd"/>
      <w:r w:rsidRPr="5B89E16D">
        <w:rPr>
          <w:rFonts w:ascii="Verdana" w:eastAsia="Calibri" w:hAnsi="Verdana" w:cs="Arial"/>
          <w:color w:val="000000" w:themeColor="text1"/>
          <w:sz w:val="20"/>
          <w:szCs w:val="20"/>
          <w:lang w:val="es-ES"/>
        </w:rPr>
        <w:t xml:space="preserve">) «Los municipios cuando asuman en forma directa, a través de su administración central, la prestación de los servicios públicos, conforme a lo dispuesto en esta Ley», y </w:t>
      </w:r>
      <w:proofErr w:type="spellStart"/>
      <w:r w:rsidRPr="5B89E16D">
        <w:rPr>
          <w:rFonts w:ascii="Verdana" w:eastAsia="Calibri" w:hAnsi="Verdana" w:cs="Arial"/>
          <w:color w:val="000000" w:themeColor="text1"/>
          <w:sz w:val="20"/>
          <w:szCs w:val="20"/>
          <w:lang w:val="es-ES"/>
        </w:rPr>
        <w:t>iv</w:t>
      </w:r>
      <w:proofErr w:type="spellEnd"/>
      <w:r w:rsidRPr="5B89E16D">
        <w:rPr>
          <w:rFonts w:ascii="Verdana" w:eastAsia="Calibri" w:hAnsi="Verdana" w:cs="Arial"/>
          <w:color w:val="000000" w:themeColor="text1"/>
          <w:sz w:val="20"/>
          <w:szCs w:val="20"/>
          <w:lang w:val="es-ES"/>
        </w:rPr>
        <w:t>) «Las organizaciones autorizadas conforme a esta Ley para prestar servicios públicos en municipios menores en zonas rurales y en áreas o zonas urbanas específicas».</w:t>
      </w:r>
    </w:p>
    <w:p w14:paraId="271B6B51" w14:textId="77777777" w:rsidR="007C11D3" w:rsidRPr="007C11D3" w:rsidRDefault="007C11D3" w:rsidP="007C11D3">
      <w:pPr>
        <w:spacing w:after="0" w:line="240" w:lineRule="auto"/>
        <w:jc w:val="both"/>
        <w:rPr>
          <w:rFonts w:ascii="Verdana" w:eastAsia="Calibri" w:hAnsi="Verdana" w:cs="Arial"/>
          <w:bCs/>
          <w:color w:val="000000" w:themeColor="text1"/>
          <w:sz w:val="20"/>
          <w:szCs w:val="20"/>
          <w:lang w:val="es-ES_tradnl"/>
        </w:rPr>
      </w:pPr>
      <w:r w:rsidRPr="007C11D3">
        <w:rPr>
          <w:rFonts w:ascii="Verdana" w:eastAsia="Calibri" w:hAnsi="Verdana" w:cs="Arial"/>
          <w:bCs/>
          <w:color w:val="000000" w:themeColor="text1"/>
          <w:sz w:val="20"/>
          <w:szCs w:val="20"/>
          <w:lang w:val="es-ES_tradnl"/>
        </w:rPr>
        <w:t>[…]</w:t>
      </w:r>
    </w:p>
    <w:p w14:paraId="61F0D478" w14:textId="77777777" w:rsidR="007C11D3" w:rsidRPr="007C11D3" w:rsidRDefault="007C11D3" w:rsidP="007C11D3">
      <w:pPr>
        <w:spacing w:after="0" w:line="240" w:lineRule="auto"/>
        <w:jc w:val="both"/>
        <w:rPr>
          <w:rFonts w:ascii="Verdana" w:eastAsia="Calibri" w:hAnsi="Verdana" w:cs="Arial"/>
          <w:bCs/>
          <w:color w:val="000000" w:themeColor="text1"/>
          <w:sz w:val="20"/>
          <w:szCs w:val="20"/>
          <w:lang w:val="es-ES_tradnl"/>
        </w:rPr>
      </w:pPr>
      <w:r w:rsidRPr="007C11D3">
        <w:rPr>
          <w:rFonts w:ascii="Verdana" w:eastAsia="Calibri" w:hAnsi="Verdana" w:cs="Arial"/>
          <w:bCs/>
          <w:color w:val="000000" w:themeColor="text1"/>
          <w:sz w:val="20"/>
          <w:szCs w:val="20"/>
          <w:lang w:val="es-ES_tradnl"/>
        </w:rPr>
        <w:t>[…] la Corte Constitucional determinó que tanto las empresas de servicios públicos mixtas como las privadas hacían parte de la Rama Ejecutiva, toda vez que el literal g) del artículo 38 de la Ley 489 de 1998 aplica a «g) Las demás entidades administrativas nacionales con personería jurídica que cree, organice o autorice la ley para que formen parte de la Rama Ejecutiva del Poder Público».</w:t>
      </w:r>
    </w:p>
    <w:p w14:paraId="6F13FBD3" w14:textId="77777777" w:rsidR="007C11D3" w:rsidRPr="007C11D3" w:rsidRDefault="007C11D3" w:rsidP="007C11D3">
      <w:pPr>
        <w:spacing w:after="0" w:line="240" w:lineRule="auto"/>
        <w:jc w:val="both"/>
        <w:rPr>
          <w:rFonts w:ascii="Verdana" w:eastAsia="Calibri" w:hAnsi="Verdana" w:cs="Arial"/>
          <w:bCs/>
          <w:color w:val="000000" w:themeColor="text1"/>
          <w:sz w:val="20"/>
          <w:szCs w:val="20"/>
          <w:lang w:val="es-ES_tradnl"/>
        </w:rPr>
      </w:pPr>
    </w:p>
    <w:p w14:paraId="6CB0ADA2" w14:textId="77777777" w:rsidR="007C11D3" w:rsidRPr="007C11D3" w:rsidRDefault="007C11D3" w:rsidP="007C11D3">
      <w:pPr>
        <w:spacing w:after="0" w:line="240" w:lineRule="auto"/>
        <w:jc w:val="both"/>
        <w:rPr>
          <w:rFonts w:ascii="Verdana" w:eastAsia="Calibri" w:hAnsi="Verdana" w:cs="Arial"/>
          <w:bCs/>
          <w:color w:val="000000" w:themeColor="text1"/>
          <w:sz w:val="20"/>
          <w:szCs w:val="20"/>
          <w:lang w:val="es-ES_tradnl"/>
        </w:rPr>
      </w:pPr>
      <w:r w:rsidRPr="007C11D3">
        <w:rPr>
          <w:rFonts w:ascii="Verdana" w:eastAsia="Calibri" w:hAnsi="Verdana" w:cs="Arial"/>
          <w:bCs/>
          <w:color w:val="000000" w:themeColor="text1"/>
          <w:sz w:val="20"/>
          <w:szCs w:val="20"/>
          <w:lang w:val="es-ES_tradnl"/>
        </w:rPr>
        <w:t>La Corte Constitucional, además de señalar la pertenencia a la Rama Ejecutiva de las empresas de servicios públicos mixtas y privadas, también sostuvo que se trataba de entidades descentralizadas por servicios, en los términos del artículo 68 de la Ley 489 de 1998. […]</w:t>
      </w:r>
    </w:p>
    <w:p w14:paraId="510213EA" w14:textId="77777777" w:rsidR="007C11D3" w:rsidRPr="007C11D3" w:rsidRDefault="007C11D3" w:rsidP="007C11D3">
      <w:pPr>
        <w:spacing w:after="0" w:line="240" w:lineRule="auto"/>
        <w:jc w:val="both"/>
        <w:rPr>
          <w:rFonts w:ascii="Verdana" w:eastAsia="Calibri" w:hAnsi="Verdana" w:cs="Arial"/>
          <w:bCs/>
          <w:color w:val="000000" w:themeColor="text1"/>
          <w:sz w:val="20"/>
          <w:szCs w:val="20"/>
          <w:lang w:val="es-ES_tradnl"/>
        </w:rPr>
      </w:pPr>
    </w:p>
    <w:p w14:paraId="57C2DFC8" w14:textId="77777777" w:rsidR="007C11D3" w:rsidRPr="007C11D3" w:rsidRDefault="007C11D3" w:rsidP="007C11D3">
      <w:pPr>
        <w:spacing w:after="0" w:line="240" w:lineRule="auto"/>
        <w:jc w:val="both"/>
        <w:rPr>
          <w:rFonts w:ascii="Verdana" w:eastAsia="Calibri" w:hAnsi="Verdana" w:cs="Arial"/>
          <w:bCs/>
          <w:color w:val="000000" w:themeColor="text1"/>
          <w:sz w:val="20"/>
          <w:szCs w:val="20"/>
          <w:lang w:val="es-ES_tradnl"/>
        </w:rPr>
      </w:pPr>
    </w:p>
    <w:p w14:paraId="759A0B3E" w14:textId="6A0FEB72" w:rsidR="00DC68C5" w:rsidRDefault="007C11D3" w:rsidP="007C11D3">
      <w:pPr>
        <w:spacing w:after="0" w:line="240" w:lineRule="auto"/>
        <w:rPr>
          <w:rFonts w:ascii="Verdana" w:eastAsia="Times New Roman" w:hAnsi="Verdana" w:cs="Arial"/>
          <w:lang w:eastAsia="es-ES_tradnl"/>
        </w:rPr>
      </w:pPr>
      <w:r w:rsidRPr="007C11D3">
        <w:rPr>
          <w:rFonts w:ascii="Verdana" w:eastAsia="Calibri" w:hAnsi="Verdana" w:cs="Arial"/>
          <w:b/>
          <w:color w:val="000000" w:themeColor="text1"/>
          <w:lang w:val="es-ES_tradnl"/>
        </w:rPr>
        <w:t> </w:t>
      </w:r>
    </w:p>
    <w:p w14:paraId="04132FFB" w14:textId="77777777" w:rsidR="00DC68C5" w:rsidRDefault="00DC68C5" w:rsidP="00DC68C5">
      <w:pPr>
        <w:spacing w:after="0" w:line="240" w:lineRule="auto"/>
        <w:rPr>
          <w:rFonts w:ascii="Verdana" w:eastAsia="Times New Roman" w:hAnsi="Verdana" w:cs="Arial"/>
          <w:lang w:eastAsia="es-ES_tradnl"/>
        </w:rPr>
      </w:pPr>
    </w:p>
    <w:p w14:paraId="3852BB72" w14:textId="77777777" w:rsidR="007C11D3" w:rsidRDefault="007C11D3" w:rsidP="00DC68C5">
      <w:pPr>
        <w:spacing w:after="0" w:line="240" w:lineRule="auto"/>
        <w:rPr>
          <w:rFonts w:ascii="Verdana" w:eastAsia="Times New Roman" w:hAnsi="Verdana" w:cs="Arial"/>
          <w:lang w:eastAsia="es-ES_tradnl"/>
        </w:rPr>
      </w:pPr>
    </w:p>
    <w:p w14:paraId="6429A3E1" w14:textId="77777777" w:rsidR="00DC68C5" w:rsidRDefault="00DC68C5" w:rsidP="00DC68C5">
      <w:pPr>
        <w:spacing w:after="0" w:line="240" w:lineRule="auto"/>
        <w:rPr>
          <w:rFonts w:ascii="Verdana" w:eastAsia="Times New Roman" w:hAnsi="Verdana" w:cs="Arial"/>
          <w:lang w:eastAsia="es-ES_tradnl"/>
        </w:rPr>
      </w:pPr>
    </w:p>
    <w:p w14:paraId="68CBABB0" w14:textId="77777777" w:rsidR="00DC68C5" w:rsidRDefault="00DC68C5" w:rsidP="00DC68C5">
      <w:pPr>
        <w:spacing w:after="0" w:line="240" w:lineRule="auto"/>
        <w:rPr>
          <w:rFonts w:ascii="Verdana" w:eastAsia="Times New Roman" w:hAnsi="Verdana" w:cs="Arial"/>
          <w:lang w:eastAsia="es-ES_tradnl"/>
        </w:rPr>
      </w:pPr>
    </w:p>
    <w:p w14:paraId="61068EFA" w14:textId="225D79ED" w:rsidR="0087031A" w:rsidRDefault="0087031A" w:rsidP="0087031A">
      <w:pPr>
        <w:spacing w:after="0"/>
        <w:rPr>
          <w:rFonts w:ascii="Verdana" w:hAnsi="Verdana"/>
        </w:rPr>
      </w:pPr>
      <w:r>
        <w:rPr>
          <w:rFonts w:ascii="Verdana" w:hAnsi="Verdana"/>
        </w:rPr>
        <w:lastRenderedPageBreak/>
        <w:t>B</w:t>
      </w:r>
      <w:r w:rsidRPr="0044528D">
        <w:rPr>
          <w:rFonts w:ascii="Verdana" w:hAnsi="Verdana"/>
        </w:rPr>
        <w:t xml:space="preserve">ogotá D.C., </w:t>
      </w:r>
      <w:r w:rsidR="00137754">
        <w:rPr>
          <w:rFonts w:ascii="Verdana" w:hAnsi="Verdana"/>
        </w:rPr>
        <w:t>15 de agosto de 2015.</w:t>
      </w:r>
    </w:p>
    <w:p w14:paraId="53A7EAEE" w14:textId="77777777" w:rsidR="0087031A" w:rsidRDefault="0087031A" w:rsidP="0087031A">
      <w:pPr>
        <w:spacing w:after="0"/>
        <w:rPr>
          <w:rFonts w:ascii="Verdana" w:hAnsi="Verdana"/>
        </w:rPr>
      </w:pPr>
      <w:bookmarkStart w:id="3" w:name="_Hlk180638295"/>
      <w:bookmarkEnd w:id="0"/>
    </w:p>
    <w:p w14:paraId="7DF10919" w14:textId="7C9419E9" w:rsidR="00137754" w:rsidRDefault="00137754" w:rsidP="00DB193E">
      <w:pPr>
        <w:spacing w:after="0"/>
        <w:jc w:val="right"/>
        <w:rPr>
          <w:rFonts w:ascii="Verdana" w:hAnsi="Verdana"/>
        </w:rPr>
      </w:pPr>
      <w:r>
        <w:rPr>
          <w:rFonts w:ascii="Verdana" w:hAnsi="Verdana"/>
          <w:noProof/>
        </w:rPr>
        <w:drawing>
          <wp:inline distT="0" distB="0" distL="0" distR="0" wp14:anchorId="73C5825C" wp14:editId="6B216E5F">
            <wp:extent cx="2514600" cy="914400"/>
            <wp:effectExtent l="0" t="0" r="0" b="0"/>
            <wp:docPr id="683963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4600" cy="914400"/>
                    </a:xfrm>
                    <a:prstGeom prst="rect">
                      <a:avLst/>
                    </a:prstGeom>
                    <a:noFill/>
                    <a:ln>
                      <a:noFill/>
                    </a:ln>
                  </pic:spPr>
                </pic:pic>
              </a:graphicData>
            </a:graphic>
          </wp:inline>
        </w:drawing>
      </w:r>
    </w:p>
    <w:p w14:paraId="69F1A09B" w14:textId="507879F7" w:rsidR="0087031A" w:rsidRDefault="0087031A" w:rsidP="0087031A">
      <w:pPr>
        <w:spacing w:after="0" w:line="240" w:lineRule="auto"/>
        <w:jc w:val="both"/>
        <w:rPr>
          <w:rFonts w:ascii="Verdana" w:eastAsia="Calibri" w:hAnsi="Verdana" w:cs="Arial"/>
          <w:lang w:eastAsia="es-ES"/>
        </w:rPr>
      </w:pPr>
      <w:bookmarkStart w:id="4" w:name="_Hlk181166167"/>
      <w:r w:rsidRPr="005E62E2">
        <w:rPr>
          <w:rFonts w:ascii="Verdana" w:eastAsia="Calibri" w:hAnsi="Verdana" w:cs="Arial"/>
          <w:lang w:eastAsia="es-ES"/>
        </w:rPr>
        <w:t>Señor</w:t>
      </w:r>
    </w:p>
    <w:p w14:paraId="114CAF46" w14:textId="486E7482" w:rsidR="00D20938" w:rsidRDefault="0067780C" w:rsidP="0087031A">
      <w:pPr>
        <w:spacing w:after="0" w:line="240" w:lineRule="auto"/>
        <w:rPr>
          <w:rFonts w:ascii="Verdana" w:eastAsia="Calibri" w:hAnsi="Verdana" w:cs="Arial"/>
          <w:b/>
          <w:bCs/>
          <w:lang w:eastAsia="es-ES"/>
        </w:rPr>
      </w:pPr>
      <w:r>
        <w:rPr>
          <w:rFonts w:ascii="Verdana" w:eastAsia="Calibri" w:hAnsi="Verdana" w:cs="Arial"/>
          <w:b/>
          <w:bCs/>
          <w:lang w:eastAsia="es-ES"/>
        </w:rPr>
        <w:t>RAFAEL MAURICIO CALVO</w:t>
      </w:r>
      <w:r w:rsidR="00D20938" w:rsidRPr="00D20938">
        <w:rPr>
          <w:rFonts w:ascii="Verdana" w:eastAsia="Calibri" w:hAnsi="Verdana" w:cs="Arial"/>
          <w:b/>
          <w:bCs/>
          <w:lang w:eastAsia="es-ES"/>
        </w:rPr>
        <w:t xml:space="preserve"> </w:t>
      </w:r>
    </w:p>
    <w:p w14:paraId="34C105CC" w14:textId="3A286DD3" w:rsidR="0067780C" w:rsidRDefault="0067780C" w:rsidP="0087031A">
      <w:pPr>
        <w:spacing w:after="0" w:line="240" w:lineRule="auto"/>
        <w:rPr>
          <w:rFonts w:ascii="Verdana" w:hAnsi="Verdana"/>
        </w:rPr>
      </w:pPr>
      <w:hyperlink r:id="rId12" w:history="1">
        <w:r w:rsidRPr="00E263DE">
          <w:rPr>
            <w:rStyle w:val="Hipervnculo"/>
            <w:rFonts w:ascii="Verdana" w:hAnsi="Verdana"/>
          </w:rPr>
          <w:t>rcavlo123@hotmail.com</w:t>
        </w:r>
      </w:hyperlink>
    </w:p>
    <w:p w14:paraId="20ECB200" w14:textId="1B7D660F" w:rsidR="0087031A" w:rsidRDefault="0034084B" w:rsidP="0087031A">
      <w:pPr>
        <w:spacing w:after="0" w:line="240" w:lineRule="auto"/>
        <w:rPr>
          <w:rFonts w:ascii="Verdana" w:eastAsia="Calibri" w:hAnsi="Verdana" w:cs="Arial"/>
          <w:color w:val="000000"/>
          <w:lang w:val="es-ES_tradnl" w:eastAsia="es-ES_tradnl"/>
        </w:rPr>
      </w:pPr>
      <w:r w:rsidRPr="008C6C5F">
        <w:rPr>
          <w:rFonts w:ascii="Verdana" w:eastAsia="Calibri" w:hAnsi="Verdana" w:cs="Arial"/>
          <w:color w:val="000000"/>
          <w:lang w:val="es-ES_tradnl" w:eastAsia="es-ES_tradnl"/>
        </w:rPr>
        <w:t>Bogotá D.C.</w:t>
      </w:r>
    </w:p>
    <w:p w14:paraId="33757F92" w14:textId="77777777" w:rsidR="0087031A" w:rsidRPr="00FE3DEC" w:rsidRDefault="0087031A" w:rsidP="0087031A">
      <w:pPr>
        <w:spacing w:after="0" w:line="240" w:lineRule="auto"/>
        <w:rPr>
          <w:rFonts w:ascii="Verdana" w:eastAsia="Calibri" w:hAnsi="Verdana" w:cs="Arial"/>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87031A" w:rsidRPr="00593A5F" w14:paraId="28AFEB3E" w14:textId="77777777" w:rsidTr="00580B7F">
        <w:trPr>
          <w:trHeight w:val="884"/>
        </w:trPr>
        <w:tc>
          <w:tcPr>
            <w:tcW w:w="2410" w:type="dxa"/>
          </w:tcPr>
          <w:p w14:paraId="3DABC826" w14:textId="77777777" w:rsidR="0087031A" w:rsidRPr="00E5644F" w:rsidRDefault="0087031A" w:rsidP="00580B7F">
            <w:pPr>
              <w:jc w:val="both"/>
              <w:rPr>
                <w:rFonts w:ascii="Verdana" w:eastAsia="Calibri" w:hAnsi="Verdana" w:cs="Arial"/>
                <w:b/>
                <w:bCs/>
                <w:color w:val="7030A0"/>
                <w:lang w:val="es-ES_tradnl" w:eastAsia="es-ES_tradnl"/>
              </w:rPr>
            </w:pPr>
          </w:p>
        </w:tc>
        <w:tc>
          <w:tcPr>
            <w:tcW w:w="6804" w:type="dxa"/>
            <w:gridSpan w:val="2"/>
          </w:tcPr>
          <w:p w14:paraId="022A37EB" w14:textId="79F97D89" w:rsidR="0087031A" w:rsidRPr="0096584C" w:rsidRDefault="0087031A" w:rsidP="00580B7F">
            <w:pPr>
              <w:jc w:val="both"/>
              <w:rPr>
                <w:rFonts w:ascii="Verdana" w:eastAsia="Calibri" w:hAnsi="Verdana" w:cs="Arial"/>
                <w:b/>
                <w:bCs/>
                <w:color w:val="7030A0"/>
                <w:lang w:val="es-ES" w:eastAsia="es-ES"/>
              </w:rPr>
            </w:pPr>
            <w:r w:rsidRPr="0096584C">
              <w:rPr>
                <w:rFonts w:ascii="Verdana" w:eastAsia="Calibri" w:hAnsi="Verdana" w:cs="Arial"/>
                <w:b/>
                <w:bCs/>
                <w:lang w:val="es-ES" w:eastAsia="es-ES"/>
              </w:rPr>
              <w:t xml:space="preserve">Concepto C- </w:t>
            </w:r>
            <w:r w:rsidR="00B8227C">
              <w:rPr>
                <w:rFonts w:ascii="Verdana" w:eastAsia="Calibri" w:hAnsi="Verdana" w:cs="Arial"/>
                <w:b/>
                <w:bCs/>
                <w:lang w:val="es-ES" w:eastAsia="es-ES"/>
              </w:rPr>
              <w:t>8</w:t>
            </w:r>
            <w:r w:rsidR="0067780C">
              <w:rPr>
                <w:rFonts w:ascii="Verdana" w:eastAsia="Calibri" w:hAnsi="Verdana" w:cs="Arial"/>
                <w:b/>
                <w:bCs/>
                <w:lang w:val="es-ES" w:eastAsia="es-ES"/>
              </w:rPr>
              <w:t>91</w:t>
            </w:r>
            <w:r w:rsidRPr="0096584C">
              <w:rPr>
                <w:rFonts w:ascii="Verdana" w:eastAsia="Calibri" w:hAnsi="Verdana" w:cs="Arial"/>
                <w:b/>
                <w:bCs/>
                <w:lang w:val="es-ES" w:eastAsia="es-ES"/>
              </w:rPr>
              <w:t xml:space="preserve"> de 2025</w:t>
            </w:r>
          </w:p>
        </w:tc>
      </w:tr>
      <w:tr w:rsidR="0087031A" w:rsidRPr="00A52DE7" w14:paraId="38B6D2DC" w14:textId="77777777" w:rsidTr="00580B7F">
        <w:trPr>
          <w:trHeight w:val="884"/>
        </w:trPr>
        <w:tc>
          <w:tcPr>
            <w:tcW w:w="2410" w:type="dxa"/>
          </w:tcPr>
          <w:p w14:paraId="7FE07E31" w14:textId="77777777" w:rsidR="0087031A" w:rsidRPr="00593A5F" w:rsidRDefault="0087031A" w:rsidP="00580B7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06AEC502" w14:textId="6867601E" w:rsidR="00651311" w:rsidRDefault="007C11D3" w:rsidP="00580B7F">
            <w:pPr>
              <w:jc w:val="both"/>
              <w:rPr>
                <w:rFonts w:ascii="Verdana" w:hAnsi="Verdana" w:cs="Arial"/>
                <w:lang w:eastAsia="es-CO"/>
              </w:rPr>
            </w:pPr>
            <w:r w:rsidRPr="007C11D3">
              <w:rPr>
                <w:rFonts w:ascii="Verdana" w:eastAsia="Calibri" w:hAnsi="Verdana" w:cs="Arial"/>
                <w:lang w:val="es-ES" w:eastAsia="es-ES"/>
              </w:rPr>
              <w:t>LEY DE GARANTÍAS ELECTORALES ‒ Tipos de restricciones ‒ Ámbito temporal / LEY DE GARANTÍAS ELECTORALES ─ Prohibición ‒ Contratación directa ‒ Alcance – Excepciones / LEY DE GARANTÍAS ELECTORALES ‒ Prohibición del artículo 33 ‒ Destinatarios / EMPRESAS DE SERVICIOS PÚBLICOS DOMICILIARIOS – Régimen jurídico – Entidades descentralizadas – Oficiales, mixtas y privadas</w:t>
            </w:r>
            <w:r w:rsidR="00DC68C5" w:rsidRPr="007C11D3">
              <w:rPr>
                <w:rFonts w:ascii="Verdana" w:hAnsi="Verdana" w:cs="Arial"/>
                <w:lang w:eastAsia="es-CO"/>
              </w:rPr>
              <w:t>.</w:t>
            </w:r>
          </w:p>
          <w:p w14:paraId="1BF247BD" w14:textId="29AEA261" w:rsidR="00DC68C5" w:rsidRPr="00A52DE7" w:rsidRDefault="00DC68C5" w:rsidP="00580B7F">
            <w:pPr>
              <w:jc w:val="both"/>
              <w:rPr>
                <w:rFonts w:ascii="Verdana" w:eastAsia="Calibri" w:hAnsi="Verdana" w:cs="Arial"/>
                <w:b/>
                <w:highlight w:val="yellow"/>
                <w:lang w:val="es-ES" w:eastAsia="es-ES"/>
              </w:rPr>
            </w:pPr>
          </w:p>
        </w:tc>
      </w:tr>
      <w:tr w:rsidR="0087031A" w:rsidRPr="00593A5F" w14:paraId="14D6DDF3" w14:textId="77777777" w:rsidTr="00580B7F">
        <w:tc>
          <w:tcPr>
            <w:tcW w:w="2410" w:type="dxa"/>
          </w:tcPr>
          <w:p w14:paraId="58C41A69" w14:textId="77777777" w:rsidR="0087031A" w:rsidRPr="006730E9" w:rsidRDefault="0087031A" w:rsidP="00580B7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76361BD6" w14:textId="45B3951B" w:rsidR="0087031A" w:rsidRPr="006730E9" w:rsidRDefault="0087031A" w:rsidP="00580B7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67780C" w:rsidRPr="0067780C">
              <w:rPr>
                <w:rFonts w:ascii="Verdana" w:eastAsia="Calibri" w:hAnsi="Verdana" w:cs="Arial"/>
                <w:lang w:val="es-ES_tradnl" w:eastAsia="es-ES_tradnl"/>
              </w:rPr>
              <w:t>1_2025_07_07_006754</w:t>
            </w:r>
          </w:p>
        </w:tc>
      </w:tr>
      <w:tr w:rsidR="0087031A" w:rsidRPr="00DB23D2" w14:paraId="2A2E2921" w14:textId="77777777" w:rsidTr="00580B7F">
        <w:trPr>
          <w:gridAfter w:val="1"/>
          <w:wAfter w:w="336" w:type="dxa"/>
          <w:trHeight w:val="233"/>
        </w:trPr>
        <w:tc>
          <w:tcPr>
            <w:tcW w:w="8878" w:type="dxa"/>
            <w:gridSpan w:val="2"/>
          </w:tcPr>
          <w:p w14:paraId="120D7AD6" w14:textId="77777777" w:rsidR="0087031A" w:rsidRPr="00DB23D2" w:rsidRDefault="0087031A" w:rsidP="00580B7F">
            <w:pPr>
              <w:spacing w:after="120" w:line="276" w:lineRule="auto"/>
              <w:jc w:val="both"/>
              <w:rPr>
                <w:rFonts w:ascii="Verdana" w:eastAsia="Calibri" w:hAnsi="Verdana" w:cs="Arial"/>
                <w:lang w:val="es-ES_tradnl" w:eastAsia="es-ES"/>
              </w:rPr>
            </w:pPr>
          </w:p>
        </w:tc>
      </w:tr>
    </w:tbl>
    <w:p w14:paraId="47EC921B" w14:textId="23FA97E1" w:rsidR="0087031A" w:rsidRPr="006730E9" w:rsidRDefault="0087031A" w:rsidP="008703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67780C">
        <w:rPr>
          <w:rFonts w:ascii="Verdana" w:eastAsia="Calibri" w:hAnsi="Verdana" w:cs="Arial"/>
          <w:lang w:val="es-ES" w:eastAsia="es-ES"/>
        </w:rPr>
        <w:t>o</w:t>
      </w:r>
      <w:r w:rsidR="00B8227C">
        <w:rPr>
          <w:rFonts w:ascii="Verdana" w:eastAsia="Calibri" w:hAnsi="Verdana" w:cs="Arial"/>
          <w:lang w:val="es-ES" w:eastAsia="es-ES"/>
        </w:rPr>
        <w:t xml:space="preserve">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0067780C">
        <w:rPr>
          <w:rFonts w:ascii="Verdana" w:eastAsia="Calibri" w:hAnsi="Verdana" w:cs="Arial"/>
          <w:lang w:val="es-ES" w:eastAsia="es-ES"/>
        </w:rPr>
        <w:t>Calvo</w:t>
      </w:r>
      <w:r>
        <w:rPr>
          <w:rFonts w:ascii="Verdana" w:eastAsia="Calibri" w:hAnsi="Verdana" w:cs="Arial"/>
          <w:lang w:val="es-ES" w:eastAsia="es-ES"/>
        </w:rPr>
        <w:t>;</w:t>
      </w:r>
    </w:p>
    <w:p w14:paraId="59ADFBB6" w14:textId="77777777" w:rsidR="0087031A" w:rsidRDefault="0087031A" w:rsidP="0087031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29E5029" w14:textId="4ED5A2E4" w:rsidR="0087031A" w:rsidRPr="006730E9" w:rsidRDefault="0087031A" w:rsidP="008703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sidR="00866C2B">
        <w:rPr>
          <w:rFonts w:ascii="Verdana" w:eastAsia="Calibri" w:hAnsi="Verdana" w:cs="Arial"/>
          <w:lang w:val="es-ES" w:eastAsia="es-ES"/>
        </w:rPr>
        <w:t>0</w:t>
      </w:r>
      <w:r w:rsidR="002A5172">
        <w:rPr>
          <w:rFonts w:ascii="Verdana" w:eastAsia="Calibri" w:hAnsi="Verdana" w:cs="Arial"/>
          <w:lang w:val="es-ES" w:eastAsia="es-ES"/>
        </w:rPr>
        <w:t>7</w:t>
      </w:r>
      <w:r>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C33DBE">
        <w:rPr>
          <w:rFonts w:ascii="Verdana" w:eastAsia="Calibri" w:hAnsi="Verdana" w:cs="Arial"/>
          <w:lang w:val="es-ES" w:eastAsia="es-ES"/>
        </w:rPr>
        <w:t>ju</w:t>
      </w:r>
      <w:r w:rsidR="00866C2B">
        <w:rPr>
          <w:rFonts w:ascii="Verdana" w:eastAsia="Calibri" w:hAnsi="Verdana" w:cs="Arial"/>
          <w:lang w:val="es-ES" w:eastAsia="es-ES"/>
        </w:rPr>
        <w:t>l</w:t>
      </w:r>
      <w:r w:rsidR="00C33DBE">
        <w:rPr>
          <w:rFonts w:ascii="Verdana" w:eastAsia="Calibri" w:hAnsi="Verdana" w:cs="Arial"/>
          <w:lang w:val="es-ES" w:eastAsia="es-ES"/>
        </w:rPr>
        <w:t>io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0E75DC9C" w14:textId="77777777" w:rsidR="0087031A" w:rsidRPr="00326382" w:rsidRDefault="0087031A" w:rsidP="0087031A">
      <w:pPr>
        <w:spacing w:after="0" w:line="240" w:lineRule="auto"/>
        <w:ind w:left="709" w:right="474"/>
        <w:jc w:val="both"/>
        <w:rPr>
          <w:rFonts w:ascii="Verdana" w:hAnsi="Verdana" w:cs="Arial"/>
          <w:sz w:val="20"/>
          <w:szCs w:val="20"/>
          <w:shd w:val="clear" w:color="auto" w:fill="FFFFFF"/>
        </w:rPr>
      </w:pPr>
      <w:bookmarkStart w:id="5" w:name="_Hlk95313578"/>
    </w:p>
    <w:bookmarkEnd w:id="5"/>
    <w:p w14:paraId="37AA45FE" w14:textId="77777777" w:rsidR="002A5172" w:rsidRDefault="0087031A" w:rsidP="00D86E93">
      <w:pPr>
        <w:tabs>
          <w:tab w:val="left" w:pos="142"/>
          <w:tab w:val="left" w:pos="567"/>
        </w:tabs>
        <w:ind w:left="709" w:right="709"/>
        <w:jc w:val="both"/>
        <w:rPr>
          <w:rFonts w:ascii="Verdana" w:eastAsia="Century Gothic" w:hAnsi="Verdana" w:cs="Century Gothic"/>
          <w:i/>
          <w:iCs/>
          <w:sz w:val="20"/>
          <w:szCs w:val="20"/>
        </w:rPr>
      </w:pPr>
      <w:r w:rsidRPr="00C33DBE">
        <w:rPr>
          <w:rFonts w:ascii="Verdana" w:eastAsia="Century Gothic" w:hAnsi="Verdana" w:cs="Century Gothic"/>
          <w:i/>
          <w:iCs/>
          <w:sz w:val="20"/>
          <w:szCs w:val="20"/>
        </w:rPr>
        <w:t>“(…)</w:t>
      </w:r>
    </w:p>
    <w:p w14:paraId="2CDB00E2" w14:textId="77777777" w:rsidR="00DC15C6" w:rsidRPr="00DC15C6" w:rsidRDefault="00DC15C6" w:rsidP="0067780C">
      <w:pPr>
        <w:tabs>
          <w:tab w:val="left" w:pos="142"/>
          <w:tab w:val="left" w:pos="567"/>
        </w:tabs>
        <w:ind w:left="709" w:right="709"/>
        <w:jc w:val="both"/>
        <w:rPr>
          <w:rFonts w:ascii="Verdana" w:eastAsia="Century Gothic" w:hAnsi="Verdana" w:cs="Century Gothic"/>
          <w:i/>
          <w:iCs/>
        </w:rPr>
      </w:pPr>
      <w:r w:rsidRPr="00DC15C6">
        <w:rPr>
          <w:rFonts w:ascii="Verdana" w:eastAsia="Century Gothic" w:hAnsi="Verdana" w:cs="Century Gothic"/>
          <w:i/>
          <w:iCs/>
        </w:rPr>
        <w:t xml:space="preserve">Así las cosas y si bien, la Ley 996 de 2005, especialmente en su artículo 33 restringe durante los cuatro (4) meses anteriores a la elección presidencial y hasta la realización de la elección en la segunda vuelta, la contratación directa por parte de todos los entes </w:t>
      </w:r>
      <w:r w:rsidRPr="00DC15C6">
        <w:rPr>
          <w:rFonts w:ascii="Verdana" w:eastAsia="Century Gothic" w:hAnsi="Verdana" w:cs="Century Gothic"/>
          <w:i/>
          <w:iCs/>
        </w:rPr>
        <w:lastRenderedPageBreak/>
        <w:t>del Estado, planteamiento que ha sido reforzado por el Consejo de Estado incluso si las entidades estatales tienen régimen especial de contratación y están exceptuadas del ámbito de aplicación del Estatuto General de Contratación de la Administración Pública, tal como indicó la mencionada corporación a través de Concepto con radicado 1727 de fecha 20 de febrero de 2006, dado que las empresas de servicios públicos en muchos casos son constituidas como sociedades anónimas y prestadores exclusivos, no puede ser equiparadas bajo el mismo rasero de las entidades sometidas a la Ley 80 de 1993, dado que requieren estar en permanente competencia en un sistema de mercados, con lo cual frente a este tipo de entidades sui generis elevo las siguientes peticiones:</w:t>
      </w:r>
    </w:p>
    <w:p w14:paraId="5630FEE9" w14:textId="08FEFBE9" w:rsidR="0067780C" w:rsidRPr="0067780C" w:rsidRDefault="0067780C" w:rsidP="0067780C">
      <w:pPr>
        <w:tabs>
          <w:tab w:val="left" w:pos="142"/>
          <w:tab w:val="left" w:pos="567"/>
        </w:tabs>
        <w:ind w:left="709" w:right="709"/>
        <w:jc w:val="both"/>
        <w:rPr>
          <w:rFonts w:ascii="Verdana" w:eastAsia="Century Gothic" w:hAnsi="Verdana" w:cs="Century Gothic"/>
          <w:i/>
          <w:iCs/>
        </w:rPr>
      </w:pPr>
      <w:r w:rsidRPr="0067780C">
        <w:rPr>
          <w:rFonts w:ascii="Verdana" w:eastAsia="Century Gothic" w:hAnsi="Verdana" w:cs="Century Gothic"/>
          <w:b/>
          <w:bCs/>
          <w:i/>
          <w:iCs/>
        </w:rPr>
        <w:t>Peticiones</w:t>
      </w:r>
      <w:r>
        <w:rPr>
          <w:rFonts w:ascii="Verdana" w:eastAsia="Century Gothic" w:hAnsi="Verdana" w:cs="Century Gothic"/>
          <w:i/>
          <w:iCs/>
        </w:rPr>
        <w:t>:</w:t>
      </w:r>
    </w:p>
    <w:p w14:paraId="30B0137A" w14:textId="72525956" w:rsidR="0067780C" w:rsidRPr="0067780C" w:rsidRDefault="0067780C" w:rsidP="0067780C">
      <w:pPr>
        <w:tabs>
          <w:tab w:val="left" w:pos="142"/>
          <w:tab w:val="left" w:pos="567"/>
        </w:tabs>
        <w:ind w:left="709" w:right="709"/>
        <w:jc w:val="both"/>
        <w:rPr>
          <w:rFonts w:ascii="Verdana" w:eastAsia="Century Gothic" w:hAnsi="Verdana" w:cs="Century Gothic"/>
          <w:i/>
          <w:iCs/>
        </w:rPr>
      </w:pPr>
      <w:r w:rsidRPr="0067780C">
        <w:rPr>
          <w:rFonts w:ascii="Verdana" w:eastAsia="Century Gothic" w:hAnsi="Verdana" w:cs="Century Gothic"/>
          <w:i/>
          <w:iCs/>
        </w:rPr>
        <w:t>Sírvase informar cómo operan las restricciones de contratación de la Ley 996 de 2005 para las empresas de servicios públicos organizadas bajo la forma de sociedades anónimas y que además son prestadoras exclusivas del servicio en la jurisdicción en la que operan</w:t>
      </w:r>
      <w:r>
        <w:rPr>
          <w:rFonts w:ascii="Verdana" w:eastAsia="Century Gothic" w:hAnsi="Verdana" w:cs="Century Gothic"/>
          <w:i/>
          <w:iCs/>
        </w:rPr>
        <w:t>” (..</w:t>
      </w:r>
      <w:r w:rsidRPr="0067780C">
        <w:rPr>
          <w:rFonts w:ascii="Verdana" w:eastAsia="Century Gothic" w:hAnsi="Verdana" w:cs="Century Gothic"/>
          <w:i/>
          <w:iCs/>
        </w:rPr>
        <w:t>.</w:t>
      </w:r>
      <w:r>
        <w:rPr>
          <w:rFonts w:ascii="Verdana" w:eastAsia="Century Gothic" w:hAnsi="Verdana" w:cs="Century Gothic"/>
          <w:i/>
          <w:iCs/>
        </w:rPr>
        <w:t>)</w:t>
      </w:r>
      <w:r w:rsidRPr="0067780C">
        <w:rPr>
          <w:rFonts w:ascii="Verdana" w:eastAsia="Century Gothic" w:hAnsi="Verdana" w:cs="Century Gothic"/>
          <w:i/>
          <w:iCs/>
        </w:rPr>
        <w:t xml:space="preserve"> </w:t>
      </w:r>
    </w:p>
    <w:p w14:paraId="33F745EB" w14:textId="77777777" w:rsidR="0087031A" w:rsidRPr="00AA3B9F" w:rsidRDefault="0087031A" w:rsidP="0087031A">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304224C2" w14:textId="77777777" w:rsidR="0087031A" w:rsidRPr="00AA3B9F" w:rsidRDefault="0087031A" w:rsidP="0087031A">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7488FEE4" w14:textId="77777777" w:rsidR="0087031A" w:rsidRDefault="0087031A" w:rsidP="0087031A">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6A7578E" w14:textId="77777777" w:rsidR="0087031A" w:rsidRDefault="0087031A" w:rsidP="0087031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1CD6BDA0" w14:textId="77777777" w:rsidR="0087031A" w:rsidRDefault="0087031A" w:rsidP="0087031A">
      <w:pPr>
        <w:pStyle w:val="Prrafodelista"/>
        <w:tabs>
          <w:tab w:val="left" w:pos="142"/>
          <w:tab w:val="left" w:pos="284"/>
        </w:tabs>
        <w:spacing w:after="0" w:line="276" w:lineRule="auto"/>
        <w:ind w:left="0"/>
        <w:jc w:val="both"/>
        <w:rPr>
          <w:rFonts w:ascii="Verdana" w:eastAsia="Century Gothic" w:hAnsi="Verdana" w:cs="Century Gothic"/>
          <w:b/>
          <w:bCs/>
        </w:rPr>
      </w:pPr>
    </w:p>
    <w:p w14:paraId="6A1902E4" w14:textId="3234C659" w:rsidR="00FD3E8A" w:rsidRDefault="0087031A" w:rsidP="008C6C5F">
      <w:pPr>
        <w:pStyle w:val="Prrafodelista"/>
        <w:ind w:left="0" w:right="49"/>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sidR="007C11D3">
        <w:rPr>
          <w:rFonts w:ascii="Verdana" w:eastAsia="Calibri" w:hAnsi="Verdana" w:cs="Arial"/>
          <w:lang w:eastAsia="es-ES"/>
        </w:rPr>
        <w:t xml:space="preserve">el </w:t>
      </w:r>
      <w:proofErr w:type="gramStart"/>
      <w:r w:rsidRPr="00E21BD1">
        <w:rPr>
          <w:rFonts w:ascii="Verdana" w:eastAsia="Calibri" w:hAnsi="Verdana" w:cs="Arial"/>
          <w:lang w:eastAsia="es-ES"/>
        </w:rPr>
        <w:t>siguiente problema</w:t>
      </w:r>
      <w:r w:rsidR="007C11D3">
        <w:rPr>
          <w:rFonts w:ascii="Verdana" w:eastAsia="Calibri" w:hAnsi="Verdana" w:cs="Arial"/>
          <w:lang w:eastAsia="es-ES"/>
        </w:rPr>
        <w:t>s</w:t>
      </w:r>
      <w:proofErr w:type="gramEnd"/>
      <w:r w:rsidRPr="00E21BD1">
        <w:rPr>
          <w:rFonts w:ascii="Verdana" w:eastAsia="Calibri" w:hAnsi="Verdana" w:cs="Arial"/>
          <w:lang w:eastAsia="es-ES"/>
        </w:rPr>
        <w:t xml:space="preserve"> jurídico</w:t>
      </w:r>
      <w:bookmarkStart w:id="6" w:name="_Hlk196737317"/>
      <w:r w:rsidR="00B15A84">
        <w:rPr>
          <w:rFonts w:ascii="Verdana" w:eastAsia="Calibri" w:hAnsi="Verdana" w:cs="Arial"/>
          <w:lang w:eastAsia="es-ES"/>
        </w:rPr>
        <w:t>:</w:t>
      </w:r>
    </w:p>
    <w:p w14:paraId="3B7EAECC" w14:textId="77777777" w:rsidR="00FD3E8A" w:rsidRDefault="00FD3E8A" w:rsidP="008C6C5F">
      <w:pPr>
        <w:pStyle w:val="Prrafodelista"/>
        <w:ind w:left="0" w:right="49"/>
        <w:jc w:val="both"/>
        <w:rPr>
          <w:rFonts w:ascii="Verdana" w:eastAsia="Calibri" w:hAnsi="Verdana" w:cs="Arial"/>
          <w:lang w:eastAsia="es-ES"/>
        </w:rPr>
      </w:pPr>
    </w:p>
    <w:p w14:paraId="4F775E7D" w14:textId="07FD82B2" w:rsidR="00C97B93" w:rsidRPr="007E27A3" w:rsidRDefault="00D719C2" w:rsidP="008C6C5F">
      <w:pPr>
        <w:pStyle w:val="Prrafodelista"/>
        <w:ind w:left="0" w:right="49"/>
        <w:jc w:val="both"/>
        <w:rPr>
          <w:rFonts w:ascii="Verdana" w:eastAsia="Century Gothic" w:hAnsi="Verdana" w:cs="Century Gothic"/>
        </w:rPr>
      </w:pPr>
      <w:r>
        <w:rPr>
          <w:rFonts w:ascii="Verdana" w:eastAsia="Century Gothic" w:hAnsi="Verdana" w:cs="Century Gothic"/>
          <w:lang w:val="es-CO"/>
        </w:rPr>
        <w:t>¿Cómo aplican</w:t>
      </w:r>
      <w:r w:rsidRPr="00D719C2">
        <w:rPr>
          <w:rFonts w:ascii="Verdana" w:eastAsia="Century Gothic" w:hAnsi="Verdana" w:cs="Century Gothic"/>
          <w:lang w:val="es-CO"/>
        </w:rPr>
        <w:t xml:space="preserve"> las restricciones de contratación previstas en </w:t>
      </w:r>
      <w:r>
        <w:rPr>
          <w:rFonts w:ascii="Verdana" w:eastAsia="Century Gothic" w:hAnsi="Verdana" w:cs="Century Gothic"/>
          <w:lang w:val="es-CO"/>
        </w:rPr>
        <w:t xml:space="preserve">la </w:t>
      </w:r>
      <w:r w:rsidR="00134832">
        <w:rPr>
          <w:rFonts w:ascii="Verdana" w:eastAsia="Century Gothic" w:hAnsi="Verdana" w:cs="Century Gothic"/>
          <w:lang w:val="es-CO"/>
        </w:rPr>
        <w:t>L</w:t>
      </w:r>
      <w:r>
        <w:rPr>
          <w:rFonts w:ascii="Verdana" w:eastAsia="Century Gothic" w:hAnsi="Verdana" w:cs="Century Gothic"/>
          <w:lang w:val="es-CO"/>
        </w:rPr>
        <w:t xml:space="preserve">ey de </w:t>
      </w:r>
      <w:r w:rsidR="00134832">
        <w:rPr>
          <w:rFonts w:ascii="Verdana" w:eastAsia="Century Gothic" w:hAnsi="Verdana" w:cs="Century Gothic"/>
          <w:lang w:val="es-CO"/>
        </w:rPr>
        <w:t>G</w:t>
      </w:r>
      <w:r>
        <w:rPr>
          <w:rFonts w:ascii="Verdana" w:eastAsia="Century Gothic" w:hAnsi="Verdana" w:cs="Century Gothic"/>
          <w:lang w:val="es-CO"/>
        </w:rPr>
        <w:t xml:space="preserve">arantías </w:t>
      </w:r>
      <w:r w:rsidR="00134832">
        <w:rPr>
          <w:rFonts w:ascii="Verdana" w:eastAsia="Century Gothic" w:hAnsi="Verdana" w:cs="Century Gothic"/>
          <w:lang w:val="es-CO"/>
        </w:rPr>
        <w:t>E</w:t>
      </w:r>
      <w:r>
        <w:rPr>
          <w:rFonts w:ascii="Verdana" w:eastAsia="Century Gothic" w:hAnsi="Verdana" w:cs="Century Gothic"/>
          <w:lang w:val="es-CO"/>
        </w:rPr>
        <w:t>lectorales</w:t>
      </w:r>
      <w:r w:rsidRPr="00D719C2">
        <w:rPr>
          <w:rFonts w:ascii="Verdana" w:eastAsia="Century Gothic" w:hAnsi="Verdana" w:cs="Century Gothic"/>
          <w:lang w:val="es-CO"/>
        </w:rPr>
        <w:t xml:space="preserve"> a las empresas de servicios públicos domiciliarios, considerando su régimen especial de contratación de la Ley 142 de 1994</w:t>
      </w:r>
      <w:r w:rsidR="00C97B93" w:rsidRPr="007E27A3">
        <w:rPr>
          <w:rFonts w:ascii="Verdana" w:eastAsia="Century Gothic" w:hAnsi="Verdana" w:cs="Century Gothic"/>
        </w:rPr>
        <w:t xml:space="preserve">?  </w:t>
      </w:r>
    </w:p>
    <w:p w14:paraId="4FCB306C" w14:textId="1E5C03AB" w:rsidR="008C6C5F" w:rsidRDefault="008C6C5F" w:rsidP="005B09C5">
      <w:pPr>
        <w:pStyle w:val="Prrafodelista"/>
        <w:tabs>
          <w:tab w:val="left" w:pos="142"/>
          <w:tab w:val="left" w:pos="284"/>
        </w:tabs>
        <w:spacing w:after="0" w:line="276" w:lineRule="auto"/>
        <w:ind w:left="0"/>
        <w:jc w:val="both"/>
        <w:rPr>
          <w:rFonts w:ascii="Verdana" w:hAnsi="Verdana"/>
        </w:rPr>
      </w:pPr>
    </w:p>
    <w:bookmarkEnd w:id="6"/>
    <w:p w14:paraId="4830150C" w14:textId="77777777" w:rsidR="0087031A" w:rsidRPr="00593A5F" w:rsidRDefault="0087031A" w:rsidP="008703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7A45475" w14:textId="77777777" w:rsidR="0087031A" w:rsidRPr="00593A5F" w:rsidRDefault="0087031A" w:rsidP="0087031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031A" w:rsidRPr="00593A5F" w14:paraId="2EC3A9A4" w14:textId="77777777" w:rsidTr="00580B7F">
        <w:tc>
          <w:tcPr>
            <w:tcW w:w="8828" w:type="dxa"/>
          </w:tcPr>
          <w:p w14:paraId="0E6C8532" w14:textId="223CAEDA" w:rsidR="001063DA" w:rsidRPr="001063DA" w:rsidRDefault="001063DA" w:rsidP="001063DA">
            <w:pPr>
              <w:spacing w:before="120" w:after="120" w:line="276" w:lineRule="auto"/>
              <w:ind w:firstLine="709"/>
              <w:jc w:val="both"/>
              <w:rPr>
                <w:rFonts w:ascii="Verdana" w:eastAsia="Arial" w:hAnsi="Verdana" w:cs="Arial"/>
                <w:lang w:val="es-ES" w:eastAsia="es-ES" w:bidi="es-ES"/>
              </w:rPr>
            </w:pPr>
            <w:r w:rsidRPr="001063DA">
              <w:rPr>
                <w:rFonts w:ascii="Verdana" w:eastAsia="Arial" w:hAnsi="Verdana" w:cs="Arial"/>
                <w:lang w:val="es-ES" w:eastAsia="es-ES" w:bidi="es-ES"/>
              </w:rPr>
              <w:t>De manera preliminar resulta pertinente indicar que de la Ley 996 de 2005 se derivan dos prohibiciones diferentes aplicables a periodos preelectorales distintos. Una es la prohibición que se deriva de lo establecido en el artículo 33, respecto a las elecciones presidenciales, y otra la originada en el parágrafo del artículo 38 que aplica frente a elecciones para cualquier cargo de elección popular, lo que también incluye las presidenciales. Particularmente, la restricción del artículo 33 – a la cual hace referencia en su consulta – prohíbe la contratación directa por parte de todos los entes del Estado, durante los cuatro (4) meses anteriores a la elección presidencial y hasta la realización de la elección en la segunda vuelta, en caso de que se presente.</w:t>
            </w:r>
          </w:p>
          <w:p w14:paraId="39737C58" w14:textId="77777777" w:rsidR="001063DA" w:rsidRPr="001063DA" w:rsidRDefault="001063DA" w:rsidP="001063DA">
            <w:pPr>
              <w:spacing w:before="120" w:after="120" w:line="276" w:lineRule="auto"/>
              <w:ind w:firstLine="709"/>
              <w:jc w:val="both"/>
              <w:rPr>
                <w:rFonts w:ascii="Verdana" w:eastAsia="Arial" w:hAnsi="Verdana" w:cs="Arial"/>
                <w:lang w:val="es-ES" w:eastAsia="es-ES" w:bidi="es-ES"/>
              </w:rPr>
            </w:pPr>
            <w:r w:rsidRPr="001063DA">
              <w:rPr>
                <w:rFonts w:ascii="Verdana" w:eastAsia="Arial" w:hAnsi="Verdana" w:cs="Arial"/>
                <w:lang w:val="es-ES" w:eastAsia="es-ES" w:bidi="es-ES"/>
              </w:rPr>
              <w:t>Sin perjuicio de lo anterior, el inciso segundo de dicha disposición establece algunas excepciones a esta prohibición, en los siguientes términos: “Queda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78EBD31" w14:textId="77777777" w:rsidR="001063DA" w:rsidRPr="001063DA" w:rsidRDefault="001063DA" w:rsidP="001063DA">
            <w:pPr>
              <w:spacing w:before="120" w:after="120" w:line="276" w:lineRule="auto"/>
              <w:ind w:firstLine="709"/>
              <w:jc w:val="both"/>
              <w:rPr>
                <w:rFonts w:ascii="Verdana" w:eastAsia="Arial" w:hAnsi="Verdana" w:cs="Arial"/>
                <w:lang w:val="es-ES" w:eastAsia="es-ES" w:bidi="es-ES"/>
              </w:rPr>
            </w:pPr>
            <w:r w:rsidRPr="001063DA">
              <w:rPr>
                <w:rFonts w:ascii="Verdana" w:eastAsia="Arial" w:hAnsi="Verdana" w:cs="Arial"/>
                <w:lang w:val="es-ES" w:eastAsia="es-ES" w:bidi="es-ES"/>
              </w:rPr>
              <w:t xml:space="preserve">Por lo demás,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w:t>
            </w:r>
            <w:r w:rsidRPr="001063DA">
              <w:rPr>
                <w:rFonts w:ascii="Verdana" w:eastAsia="Arial" w:hAnsi="Verdana" w:cs="Arial"/>
                <w:lang w:val="es-ES" w:eastAsia="es-ES" w:bidi="es-ES"/>
              </w:rPr>
              <w:lastRenderedPageBreak/>
              <w:t>licitación pública, la selección abreviada y el concurso de méritos u otros previstos en normas especiales.</w:t>
            </w:r>
          </w:p>
          <w:p w14:paraId="37853795" w14:textId="77777777" w:rsidR="001063DA" w:rsidRPr="001063DA" w:rsidRDefault="001063DA" w:rsidP="001063DA">
            <w:pPr>
              <w:spacing w:before="120" w:after="120" w:line="276" w:lineRule="auto"/>
              <w:ind w:firstLine="709"/>
              <w:jc w:val="both"/>
              <w:rPr>
                <w:rFonts w:ascii="Verdana" w:eastAsia="Arial" w:hAnsi="Verdana" w:cs="Arial"/>
                <w:lang w:val="es-ES" w:eastAsia="es-ES" w:bidi="es-ES"/>
              </w:rPr>
            </w:pPr>
            <w:r w:rsidRPr="001063DA">
              <w:rPr>
                <w:rFonts w:ascii="Verdana" w:eastAsia="Arial" w:hAnsi="Verdana" w:cs="Arial"/>
                <w:lang w:val="es-ES" w:eastAsia="es-ES" w:bidi="es-ES"/>
              </w:rPr>
              <w:t xml:space="preserve">Teniendo en cuenta que la prohibición de contratación directa de que trata el artículo precitado se extiende a todos los entes del Estado, resulta forzoso concluir que esta también es aplicable a las Empresas de Servicios Públicos Domiciliarios de carácter oficial, privado y mixto, dada su especial naturaleza jurídica que las vincula a la Rama Ejecutiva del Poder Público. Esto supone que tales entidades, independientemente de estar exceptuadas del Estatuto General de Contratación de la Administración Pública, al estar cobijadas por la restricción, tienen restringida la celebración de contratos en el marco de modalidades de escogencia de proveedores en las que no exista pluralidad de oferentes, durante los cuatro (4) meses previos a las </w:t>
            </w:r>
            <w:r w:rsidRPr="001063DA">
              <w:rPr>
                <w:rFonts w:ascii="Verdana" w:eastAsia="Arial" w:hAnsi="Verdana" w:cs="Arial"/>
                <w:lang w:val="es-ES" w:eastAsia="es-ES" w:bidi="es-ES"/>
              </w:rPr>
              <w:t>elecciones presidenciales</w:t>
            </w:r>
            <w:r w:rsidRPr="001063DA">
              <w:rPr>
                <w:rFonts w:ascii="Verdana" w:eastAsia="Arial" w:hAnsi="Verdana" w:cs="Arial"/>
                <w:lang w:val="es-ES" w:eastAsia="es-ES" w:bidi="es-ES"/>
              </w:rPr>
              <w:t>. Esto sin perjuicio de la posibilidad de que se celebren contratos de manera directa al amparo de alguna de las mencionadas restricciones o tras el adelantamiento de procedimientos con convocatorias públicas.</w:t>
            </w:r>
          </w:p>
          <w:p w14:paraId="61663C7E" w14:textId="77777777" w:rsidR="001063DA" w:rsidRPr="001063DA" w:rsidRDefault="001063DA" w:rsidP="001063DA">
            <w:pPr>
              <w:spacing w:before="120" w:after="120" w:line="276" w:lineRule="auto"/>
              <w:ind w:firstLine="709"/>
              <w:jc w:val="both"/>
              <w:rPr>
                <w:rFonts w:ascii="Verdana" w:eastAsia="Arial" w:hAnsi="Verdana" w:cs="Arial"/>
                <w:lang w:val="es-ES" w:eastAsia="es-ES" w:bidi="es-ES"/>
              </w:rPr>
            </w:pPr>
            <w:r w:rsidRPr="001063DA">
              <w:rPr>
                <w:rFonts w:ascii="Verdana" w:eastAsia="Arial" w:hAnsi="Verdana" w:cs="Arial"/>
                <w:lang w:val="es-ES" w:eastAsia="es-ES" w:bidi="es-ES"/>
              </w:rPr>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46FE8F13" w14:textId="26E09828" w:rsidR="001063DA" w:rsidRPr="002973E9" w:rsidRDefault="001063DA" w:rsidP="001063DA">
            <w:pPr>
              <w:spacing w:before="120" w:after="120" w:line="276" w:lineRule="auto"/>
              <w:ind w:firstLine="709"/>
              <w:jc w:val="both"/>
              <w:rPr>
                <w:rFonts w:ascii="Verdana" w:eastAsia="Calibri" w:hAnsi="Verdana" w:cs="Arial"/>
                <w:lang w:val="es-ES"/>
              </w:rPr>
            </w:pPr>
            <w:r w:rsidRPr="001063DA">
              <w:rPr>
                <w:rFonts w:ascii="Verdana" w:eastAsia="Arial" w:hAnsi="Verdana" w:cs="Arial"/>
                <w:lang w:val="es-ES" w:eastAsia="es-ES" w:bidi="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40754F64" w14:textId="77777777" w:rsidR="00651311" w:rsidRDefault="00651311" w:rsidP="0087031A">
      <w:pPr>
        <w:tabs>
          <w:tab w:val="left" w:pos="142"/>
          <w:tab w:val="left" w:pos="284"/>
        </w:tabs>
        <w:spacing w:after="0" w:line="276" w:lineRule="auto"/>
        <w:jc w:val="both"/>
        <w:rPr>
          <w:rFonts w:ascii="Verdana" w:eastAsia="Century Gothic" w:hAnsi="Verdana" w:cs="Century Gothic"/>
          <w:b/>
          <w:bCs/>
          <w:lang w:val="es-ES"/>
        </w:rPr>
      </w:pPr>
    </w:p>
    <w:p w14:paraId="43DE775E" w14:textId="77777777" w:rsidR="0087031A" w:rsidRDefault="0087031A" w:rsidP="008703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94A904A" w14:textId="77777777" w:rsidR="0067596F" w:rsidRDefault="0067596F" w:rsidP="0067596F">
      <w:pPr>
        <w:spacing w:line="276" w:lineRule="auto"/>
        <w:jc w:val="both"/>
        <w:rPr>
          <w:rFonts w:ascii="Verdana" w:eastAsia="Calibri" w:hAnsi="Verdana" w:cs="Arial"/>
          <w:bCs/>
          <w:lang w:val="es-ES_tradnl"/>
        </w:rPr>
      </w:pPr>
    </w:p>
    <w:p w14:paraId="1C6B4C8E" w14:textId="77777777" w:rsidR="00F10E52" w:rsidRPr="00F10E52" w:rsidRDefault="0067596F" w:rsidP="00F10E52">
      <w:pPr>
        <w:tabs>
          <w:tab w:val="left" w:pos="426"/>
        </w:tabs>
        <w:spacing w:before="120" w:after="120" w:line="276" w:lineRule="auto"/>
        <w:jc w:val="both"/>
        <w:rPr>
          <w:rFonts w:ascii="Verdana" w:eastAsia="Times New Roman" w:hAnsi="Verdana" w:cs="Arial"/>
          <w:bCs/>
          <w:lang w:eastAsia="es-CO"/>
        </w:rPr>
      </w:pPr>
      <w:r w:rsidRPr="00F10E52">
        <w:rPr>
          <w:rFonts w:ascii="Verdana" w:eastAsia="Calibri" w:hAnsi="Verdana" w:cs="Arial"/>
          <w:bCs/>
          <w:lang w:val="es-ES_tradnl"/>
        </w:rPr>
        <w:lastRenderedPageBreak/>
        <w:t>El artículo 355 de la Constitución Política prohíbe a las ramas y órganos del poder público decretar auxilios o donaciones en favor de personas naturales</w:t>
      </w:r>
      <w:r w:rsidR="00F10E52" w:rsidRPr="00F10E52">
        <w:rPr>
          <w:rFonts w:ascii="Verdana" w:eastAsia="Calibri" w:hAnsi="Verdana" w:cs="Arial"/>
          <w:bCs/>
          <w:lang w:val="es-ES_tradnl"/>
        </w:rPr>
        <w:t xml:space="preserve"> </w:t>
      </w:r>
      <w:r w:rsidR="00F10E52" w:rsidRPr="00F10E52">
        <w:rPr>
          <w:rFonts w:ascii="Verdana" w:eastAsia="Calibri" w:hAnsi="Verdana" w:cs="Arial"/>
          <w:bCs/>
        </w:rPr>
        <w:t>El ordenamiento jurídico colombiano contempla previsiones claras para evitar la obtención de beneficios personales en asuntos propios de la administración pública</w:t>
      </w:r>
      <w:r w:rsidR="00F10E52" w:rsidRPr="00F10E52">
        <w:rPr>
          <w:rFonts w:ascii="Verdana" w:eastAsia="Calibri" w:hAnsi="Verdana" w:cs="Arial"/>
          <w:bCs/>
          <w:i/>
          <w:iCs/>
        </w:rPr>
        <w:t xml:space="preserve">. </w:t>
      </w:r>
      <w:r w:rsidR="00F10E52" w:rsidRPr="00F10E52">
        <w:rPr>
          <w:rFonts w:ascii="Verdana" w:eastAsia="Calibri" w:hAnsi="Verdana" w:cs="Arial"/>
          <w:bCs/>
        </w:rPr>
        <w:t>Por ejemplo, el artículo 127 de la Constitución Política establece una prohibición contractual a los servidores públicos y en cuanto a aspectos políticos establece restricciones a ciertos empleados del Estado, incluso en época no electoral</w:t>
      </w:r>
      <w:r w:rsidR="00F10E52" w:rsidRPr="00F10E52">
        <w:rPr>
          <w:rStyle w:val="Refdenotaalpie"/>
          <w:rFonts w:ascii="Verdana" w:eastAsia="Calibri" w:hAnsi="Verdana" w:cs="Arial"/>
          <w:bCs/>
        </w:rPr>
        <w:footnoteReference w:id="1"/>
      </w:r>
      <w:r w:rsidR="00F10E52" w:rsidRPr="00F10E52">
        <w:rPr>
          <w:rFonts w:ascii="Verdana" w:eastAsia="Calibri" w:hAnsi="Verdana" w:cs="Arial"/>
          <w:bCs/>
        </w:rPr>
        <w:t xml:space="preserve">. </w:t>
      </w:r>
    </w:p>
    <w:p w14:paraId="5B6492B7" w14:textId="37A36451" w:rsidR="00F10E52" w:rsidRPr="00F10E52" w:rsidRDefault="00F10E52" w:rsidP="00F10E52">
      <w:pPr>
        <w:tabs>
          <w:tab w:val="left" w:pos="426"/>
        </w:tabs>
        <w:spacing w:before="120"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el mismo sentido, la Ley 996 de 2005, conocida como </w:t>
      </w:r>
      <w:r w:rsidR="009B20C5">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sidR="009B20C5">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12B16814" w14:textId="77777777" w:rsidR="009B20C5" w:rsidRDefault="00F10E52" w:rsidP="00F10E52">
      <w:pPr>
        <w:spacing w:before="120" w:after="120" w:line="276" w:lineRule="auto"/>
        <w:ind w:left="709" w:right="709"/>
        <w:jc w:val="both"/>
        <w:rPr>
          <w:rFonts w:ascii="Verdana" w:eastAsia="Times New Roman" w:hAnsi="Verdana" w:cs="Arial"/>
          <w:lang w:val="es-ES" w:eastAsia="es-CO"/>
        </w:rPr>
      </w:pPr>
      <w:r w:rsidRPr="00F10E52">
        <w:rPr>
          <w:rFonts w:ascii="Verdana" w:eastAsia="Times New Roman" w:hAnsi="Verdana" w:cs="Arial"/>
          <w:lang w:val="es-ES" w:eastAsia="es-CO"/>
        </w:rPr>
        <w:t xml:space="preserve">[…] </w:t>
      </w:r>
    </w:p>
    <w:p w14:paraId="6451FAC7" w14:textId="559D35D4" w:rsidR="00F10E52" w:rsidRPr="009B20C5" w:rsidRDefault="009B20C5" w:rsidP="00F10E52">
      <w:pPr>
        <w:spacing w:before="120" w:after="120" w:line="276"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w:t>
      </w:r>
      <w:r w:rsidR="00F10E52" w:rsidRPr="009B20C5">
        <w:rPr>
          <w:rFonts w:ascii="Verdana" w:eastAsia="Times New Roman" w:hAnsi="Verdana" w:cs="Arial"/>
          <w:bCs/>
          <w:sz w:val="20"/>
          <w:szCs w:val="20"/>
          <w:lang w:eastAsia="es-CO"/>
        </w:rPr>
        <w:t>a definición de reglas claras que permitan acceder a los canales de expresión democrática de manera efectiva e igualitaria. El objetivo de una ley de garantías es definir esas reglas.</w:t>
      </w:r>
    </w:p>
    <w:p w14:paraId="38DB9F92" w14:textId="77777777" w:rsidR="009B20C5" w:rsidRPr="00F10E52" w:rsidRDefault="00F10E52" w:rsidP="009B20C5">
      <w:pPr>
        <w:spacing w:before="120" w:after="120" w:line="276" w:lineRule="auto"/>
        <w:ind w:left="709" w:right="709"/>
        <w:jc w:val="both"/>
        <w:rPr>
          <w:rFonts w:ascii="Verdana" w:eastAsia="Times New Roman" w:hAnsi="Verdana" w:cs="Arial"/>
          <w:bCs/>
          <w:lang w:eastAsia="es-CO"/>
        </w:rPr>
      </w:pPr>
      <w:r w:rsidRPr="009B20C5">
        <w:rPr>
          <w:rFonts w:ascii="Verdana" w:eastAsia="Times New Roman" w:hAnsi="Verdana" w:cs="Arial"/>
          <w:bCs/>
          <w:sz w:val="20"/>
          <w:szCs w:val="20"/>
          <w:lang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w:t>
      </w:r>
      <w:r w:rsidRPr="009B20C5">
        <w:rPr>
          <w:rFonts w:ascii="Verdana" w:eastAsia="Times New Roman" w:hAnsi="Verdana" w:cs="Arial"/>
          <w:bCs/>
          <w:sz w:val="20"/>
          <w:szCs w:val="20"/>
          <w:lang w:eastAsia="es-CO"/>
        </w:rPr>
        <w:lastRenderedPageBreak/>
        <w:t>una ley de garantías debe permitir que, en el debate democrático, sean las ideas y las propuestas las que definan el ascenso al poder, y no el músculo económico de los que se lo disputan.</w:t>
      </w:r>
      <w:r w:rsidRPr="009B20C5">
        <w:rPr>
          <w:rStyle w:val="Refdenotaalpie"/>
          <w:rFonts w:ascii="Verdana" w:hAnsi="Verdana" w:cs="Arial"/>
          <w:sz w:val="20"/>
          <w:szCs w:val="20"/>
        </w:rPr>
        <w:footnoteReference w:id="3"/>
      </w:r>
      <w:r w:rsidR="009B20C5">
        <w:rPr>
          <w:rFonts w:ascii="Verdana" w:eastAsia="Times New Roman" w:hAnsi="Verdana" w:cs="Arial"/>
          <w:bCs/>
          <w:sz w:val="20"/>
          <w:szCs w:val="20"/>
          <w:lang w:eastAsia="es-CO"/>
        </w:rPr>
        <w:t xml:space="preserve"> </w:t>
      </w:r>
      <w:r w:rsidR="009B20C5" w:rsidRPr="00F10E52">
        <w:rPr>
          <w:rFonts w:ascii="Verdana" w:eastAsia="Times New Roman" w:hAnsi="Verdana" w:cs="Arial"/>
          <w:bCs/>
          <w:lang w:eastAsia="es-CO"/>
        </w:rPr>
        <w:t xml:space="preserve">[…] </w:t>
      </w:r>
    </w:p>
    <w:p w14:paraId="2BFF3FDA" w14:textId="77777777" w:rsidR="00F10E52" w:rsidRPr="00F10E52" w:rsidRDefault="00F10E52" w:rsidP="00F10E52">
      <w:pPr>
        <w:spacing w:before="120" w:after="120" w:line="276" w:lineRule="auto"/>
        <w:ind w:firstLine="709"/>
        <w:jc w:val="both"/>
        <w:rPr>
          <w:rFonts w:ascii="Verdana" w:eastAsia="Times New Roman" w:hAnsi="Verdana" w:cs="Arial"/>
          <w:bCs/>
          <w:lang w:eastAsia="es-CO"/>
        </w:rPr>
      </w:pPr>
      <w:bookmarkStart w:id="7" w:name="_Hlk78818186"/>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7"/>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37473537" w14:textId="77777777" w:rsidR="00F10E52" w:rsidRPr="009B20C5" w:rsidRDefault="00F10E52" w:rsidP="00F10E52">
      <w:pPr>
        <w:spacing w:before="120" w:after="120" w:line="276"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1D143FD" w14:textId="77777777" w:rsidR="00F10E52" w:rsidRPr="009B20C5" w:rsidRDefault="00F10E52" w:rsidP="00F10E52">
      <w:pPr>
        <w:spacing w:before="120" w:after="120" w:line="276"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9B20C5">
        <w:rPr>
          <w:rFonts w:ascii="Verdana" w:eastAsia="Times New Roman" w:hAnsi="Verdana" w:cs="Arial"/>
          <w:bCs/>
          <w:sz w:val="20"/>
          <w:szCs w:val="20"/>
          <w:lang w:eastAsia="es-CO"/>
        </w:rPr>
        <w:lastRenderedPageBreak/>
        <w:t>o capacidad de obrar, sobrepasar sus precisos términos comporta el desconocimiento de la voluntad del legislador</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2FFD5627" w14:textId="77777777" w:rsidR="00F10E52" w:rsidRPr="00F10E52" w:rsidRDefault="00F10E52" w:rsidP="00F10E52">
      <w:pPr>
        <w:spacing w:before="120" w:after="120" w:line="276" w:lineRule="auto"/>
        <w:jc w:val="both"/>
        <w:rPr>
          <w:rFonts w:ascii="Verdana" w:eastAsia="Arial" w:hAnsi="Verdana" w:cs="Arial"/>
          <w:lang w:val="es-ES" w:eastAsia="es-ES" w:bidi="es-ES"/>
        </w:rPr>
      </w:pPr>
      <w:r w:rsidRPr="00F10E52">
        <w:rPr>
          <w:rFonts w:ascii="Verdana" w:eastAsia="Times New Roman" w:hAnsi="Verdana" w:cs="Arial"/>
          <w:bCs/>
          <w:lang w:eastAsia="es-CO"/>
        </w:rPr>
        <w:tab/>
        <w:t>De</w:t>
      </w:r>
      <w:r w:rsidRPr="00F10E52">
        <w:rPr>
          <w:rFonts w:ascii="Verdana" w:eastAsia="Arial" w:hAnsi="Verdana" w:cs="Arial"/>
          <w:lang w:val="es-ES" w:eastAsia="es-ES" w:bidi="es-ES"/>
        </w:rPr>
        <w:t xml:space="preserve"> conformidad con lo anterior, </w:t>
      </w:r>
      <w:bookmarkStart w:id="8" w:name="_Hlk77236098"/>
      <w:r w:rsidRPr="00F10E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8"/>
    </w:p>
    <w:p w14:paraId="24DEEF56" w14:textId="42D066D7" w:rsidR="00F10E52" w:rsidRPr="00F10E52" w:rsidRDefault="00F10E52" w:rsidP="00F10E52">
      <w:pPr>
        <w:spacing w:before="120"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sidR="009B20C5">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sidR="009B20C5">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sidR="009B20C5">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009B20C5">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17906F91" w14:textId="2A85CA42" w:rsidR="00F10E52" w:rsidRPr="00F10E52" w:rsidRDefault="00F10E52" w:rsidP="00F10E52">
      <w:pPr>
        <w:widowControl w:val="0"/>
        <w:autoSpaceDE w:val="0"/>
        <w:autoSpaceDN w:val="0"/>
        <w:spacing w:before="120" w:after="120" w:line="276" w:lineRule="auto"/>
        <w:ind w:right="113"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009B20C5">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F10E52">
        <w:rPr>
          <w:rFonts w:ascii="Verdana" w:eastAsia="Calibri" w:hAnsi="Verdana" w:cs="Arial"/>
        </w:rPr>
        <w:lastRenderedPageBreak/>
        <w:t>proselitista</w:t>
      </w:r>
      <w:r w:rsidR="009B20C5">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0600A9D1" w14:textId="77777777" w:rsidR="00F10E52" w:rsidRPr="009B20C5" w:rsidRDefault="00F10E52" w:rsidP="00F10E52">
      <w:pPr>
        <w:widowControl w:val="0"/>
        <w:autoSpaceDE w:val="0"/>
        <w:autoSpaceDN w:val="0"/>
        <w:spacing w:before="120" w:after="120" w:line="276" w:lineRule="auto"/>
        <w:ind w:left="709" w:right="709"/>
        <w:jc w:val="both"/>
        <w:rPr>
          <w:rFonts w:ascii="Verdana" w:eastAsia="Arial" w:hAnsi="Verdana" w:cs="Arial"/>
          <w:sz w:val="20"/>
          <w:szCs w:val="20"/>
          <w:lang w:val="es-ES" w:eastAsia="es-ES" w:bidi="es-ES"/>
        </w:rPr>
      </w:pP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11" w:name="_Hlk76109421"/>
      <w:r w:rsidRPr="009B20C5">
        <w:rPr>
          <w:rFonts w:ascii="Verdana" w:eastAsia="Arial" w:hAnsi="Verdana" w:cs="Arial"/>
          <w:sz w:val="20"/>
          <w:szCs w:val="20"/>
          <w:lang w:val="es-ES" w:eastAsia="es-ES" w:bidi="es-ES"/>
        </w:rPr>
        <w:t>se integran parcialmente</w:t>
      </w:r>
      <w:bookmarkEnd w:id="11"/>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sidRPr="009B20C5">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p>
    <w:p w14:paraId="712BB014" w14:textId="77777777" w:rsidR="009B20C5" w:rsidRDefault="009B20C5" w:rsidP="00F10E52">
      <w:pPr>
        <w:spacing w:before="120" w:after="120" w:line="276" w:lineRule="auto"/>
        <w:ind w:firstLine="709"/>
        <w:jc w:val="both"/>
        <w:rPr>
          <w:rFonts w:ascii="Verdana" w:eastAsia="Arial" w:hAnsi="Verdana" w:cs="Arial"/>
          <w:lang w:val="es-ES" w:eastAsia="es-ES" w:bidi="es-ES"/>
        </w:rPr>
      </w:pPr>
    </w:p>
    <w:p w14:paraId="4FC544B3" w14:textId="0BB67178" w:rsidR="00F10E52" w:rsidRPr="00F10E52" w:rsidRDefault="00F10E52" w:rsidP="00F10E52">
      <w:pPr>
        <w:spacing w:before="120"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12" w:name="_Hlk99438241"/>
      <w:r w:rsidRPr="00F10E52">
        <w:rPr>
          <w:rFonts w:ascii="Verdana" w:eastAsia="Arial" w:hAnsi="Verdana" w:cs="Arial"/>
          <w:lang w:val="es-ES" w:eastAsia="es-ES" w:bidi="es-ES"/>
        </w:rPr>
        <w:t xml:space="preserve">, </w:t>
      </w:r>
      <w:bookmarkStart w:id="13" w:name="_Hlk77236420"/>
      <w:bookmarkStart w:id="14" w:name="_Hlk78818435"/>
      <w:bookmarkStart w:id="15"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w:t>
      </w:r>
      <w:r w:rsidRPr="00F10E52">
        <w:rPr>
          <w:rFonts w:ascii="Verdana" w:eastAsia="Arial" w:hAnsi="Verdana" w:cs="Arial"/>
          <w:lang w:val="es-ES" w:eastAsia="es-ES" w:bidi="es-ES"/>
        </w:rPr>
        <w:lastRenderedPageBreak/>
        <w:t xml:space="preserve">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3"/>
    </w:p>
    <w:bookmarkEnd w:id="12"/>
    <w:bookmarkEnd w:id="14"/>
    <w:p w14:paraId="5DE9570D" w14:textId="77777777" w:rsidR="00F10E52" w:rsidRPr="00F10E52" w:rsidRDefault="00F10E52" w:rsidP="00F10E52">
      <w:pPr>
        <w:spacing w:before="120"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5"/>
    <w:p w14:paraId="5BBD6743" w14:textId="77777777" w:rsidR="00F10E52" w:rsidRPr="00F10E52" w:rsidRDefault="00F10E52" w:rsidP="00F10E52">
      <w:pPr>
        <w:spacing w:before="120" w:after="12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5A1D6DC8" w14:textId="1CC1C3BE" w:rsidR="00F10E52" w:rsidRPr="00F10E52" w:rsidRDefault="009B20C5" w:rsidP="009B20C5">
      <w:pPr>
        <w:spacing w:before="120" w:after="120" w:line="276" w:lineRule="auto"/>
        <w:ind w:firstLine="708"/>
        <w:jc w:val="both"/>
        <w:rPr>
          <w:rFonts w:ascii="Verdana" w:eastAsia="Times New Roman" w:hAnsi="Verdana" w:cs="Arial"/>
          <w:bCs/>
          <w:lang w:eastAsia="es-CO"/>
        </w:rPr>
      </w:pPr>
      <w:r>
        <w:rPr>
          <w:rFonts w:ascii="Verdana" w:eastAsia="Times New Roman" w:hAnsi="Verdana" w:cs="Arial"/>
          <w:bCs/>
          <w:lang w:val="es-ES" w:eastAsia="es-CO"/>
        </w:rPr>
        <w:t>Por otra parte, e</w:t>
      </w:r>
      <w:r w:rsidR="00F10E52" w:rsidRPr="00F10E52">
        <w:rPr>
          <w:rFonts w:ascii="Verdana" w:eastAsia="Times New Roman" w:hAnsi="Verdana" w:cs="Arial"/>
          <w:bCs/>
          <w:lang w:eastAsia="x-none"/>
        </w:rPr>
        <w:t xml:space="preserve">l ámbito material de la prohibición contenida </w:t>
      </w:r>
      <w:bookmarkStart w:id="16" w:name="_Hlk75628761"/>
      <w:r w:rsidR="00F10E52" w:rsidRPr="00F10E52">
        <w:rPr>
          <w:rFonts w:ascii="Verdana" w:eastAsia="Times New Roman" w:hAnsi="Verdana" w:cs="Arial"/>
          <w:bCs/>
          <w:lang w:eastAsia="x-none"/>
        </w:rPr>
        <w:t xml:space="preserve">en el artículo 33 de la ley 996 de 2005 </w:t>
      </w:r>
      <w:bookmarkEnd w:id="16"/>
      <w:r w:rsidR="00F10E52" w:rsidRPr="00F10E52">
        <w:rPr>
          <w:rFonts w:ascii="Verdana" w:eastAsia="Times New Roman" w:hAnsi="Verdana" w:cs="Arial"/>
          <w:bCs/>
          <w:lang w:eastAsia="x-none"/>
        </w:rPr>
        <w:t xml:space="preserve">está delimitado por la expresión </w:t>
      </w:r>
      <w:r>
        <w:rPr>
          <w:rFonts w:ascii="Verdana" w:eastAsia="Calibri" w:hAnsi="Verdana" w:cs="Arial"/>
          <w:bCs/>
        </w:rPr>
        <w:t>“</w:t>
      </w:r>
      <w:r w:rsidR="00F10E52" w:rsidRPr="00F10E52">
        <w:rPr>
          <w:rFonts w:ascii="Verdana" w:eastAsia="Times New Roman" w:hAnsi="Verdana" w:cs="Arial"/>
          <w:bCs/>
          <w:lang w:eastAsia="x-none"/>
        </w:rPr>
        <w:t>queda prohibida la contratación directa</w:t>
      </w:r>
      <w:r>
        <w:rPr>
          <w:rFonts w:ascii="Verdana" w:hAnsi="Verdana" w:cs="Arial"/>
        </w:rPr>
        <w:t>”</w:t>
      </w:r>
      <w:r w:rsidR="00F10E52" w:rsidRPr="00F10E52">
        <w:rPr>
          <w:rFonts w:ascii="Verdana" w:eastAsia="Times New Roman" w:hAnsi="Verdana" w:cs="Arial"/>
          <w:bCs/>
          <w:lang w:eastAsia="x-none"/>
        </w:rPr>
        <w:t>.</w:t>
      </w:r>
      <w:r w:rsidR="00F10E52" w:rsidRPr="00F10E52">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360989B1" w14:textId="77777777" w:rsidR="00F10E52" w:rsidRPr="00F10E52" w:rsidRDefault="00F10E52" w:rsidP="00F10E52">
      <w:pPr>
        <w:spacing w:before="120" w:after="120" w:line="276" w:lineRule="auto"/>
        <w:ind w:left="708" w:right="709"/>
        <w:jc w:val="both"/>
        <w:rPr>
          <w:rFonts w:ascii="Verdana" w:hAnsi="Verdana" w:cs="Arial"/>
        </w:rPr>
      </w:pPr>
    </w:p>
    <w:p w14:paraId="26F424B1" w14:textId="77777777" w:rsidR="00F10E52" w:rsidRPr="009B20C5" w:rsidRDefault="00F10E52" w:rsidP="00F10E52">
      <w:pPr>
        <w:spacing w:before="120" w:after="120" w:line="276" w:lineRule="auto"/>
        <w:ind w:left="709" w:right="709"/>
        <w:jc w:val="both"/>
        <w:rPr>
          <w:rFonts w:ascii="Verdana" w:hAnsi="Verdana" w:cs="Arial"/>
          <w:sz w:val="20"/>
          <w:szCs w:val="20"/>
        </w:rPr>
      </w:pPr>
      <w:r w:rsidRPr="009B20C5">
        <w:rPr>
          <w:rFonts w:ascii="Verdana" w:hAnsi="Verdana" w:cs="Arial"/>
          <w:sz w:val="20"/>
          <w:szCs w:val="20"/>
        </w:rPr>
        <w:t xml:space="preserve">La contratación directa es un mecanismo de selección de carácter excepcional, en virtud del cual las entidades públicas pueden contratar </w:t>
      </w:r>
      <w:r w:rsidRPr="009B20C5">
        <w:rPr>
          <w:rFonts w:ascii="Verdana" w:hAnsi="Verdana" w:cs="Arial"/>
          <w:sz w:val="20"/>
          <w:szCs w:val="20"/>
        </w:rPr>
        <w:lastRenderedPageBreak/>
        <w:t>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9B20C5">
        <w:rPr>
          <w:rFonts w:ascii="Verdana" w:eastAsia="Times New Roman" w:hAnsi="Verdana" w:cs="Arial"/>
          <w:sz w:val="20"/>
          <w:szCs w:val="20"/>
          <w:vertAlign w:val="superscript"/>
          <w:lang w:eastAsia="es-CO"/>
        </w:rPr>
        <w:footnoteReference w:id="10"/>
      </w:r>
      <w:r w:rsidRPr="009B20C5">
        <w:rPr>
          <w:rFonts w:ascii="Verdana" w:hAnsi="Verdana" w:cs="Arial"/>
          <w:sz w:val="20"/>
          <w:szCs w:val="20"/>
        </w:rPr>
        <w:t>.</w:t>
      </w:r>
    </w:p>
    <w:p w14:paraId="7F306886" w14:textId="77777777" w:rsidR="00F10E52" w:rsidRPr="009B20C5" w:rsidRDefault="00F10E52" w:rsidP="00F10E52">
      <w:pPr>
        <w:spacing w:before="120" w:after="120" w:line="276" w:lineRule="auto"/>
        <w:ind w:left="708" w:right="709"/>
        <w:jc w:val="both"/>
        <w:rPr>
          <w:rFonts w:ascii="Verdana" w:hAnsi="Verdana" w:cs="Arial"/>
          <w:sz w:val="20"/>
          <w:szCs w:val="20"/>
        </w:rPr>
      </w:pPr>
      <w:r w:rsidRPr="009B20C5">
        <w:rPr>
          <w:rFonts w:ascii="Verdana" w:hAnsi="Verdana" w:cs="Arial"/>
          <w:sz w:val="20"/>
          <w:szCs w:val="20"/>
        </w:rPr>
        <w:t xml:space="preserve">Esta Sala ha entendido </w:t>
      </w:r>
      <w:proofErr w:type="gramStart"/>
      <w:r w:rsidRPr="009B20C5">
        <w:rPr>
          <w:rFonts w:ascii="Verdana" w:hAnsi="Verdana" w:cs="Arial"/>
          <w:sz w:val="20"/>
          <w:szCs w:val="20"/>
        </w:rPr>
        <w:t>que</w:t>
      </w:r>
      <w:proofErr w:type="gramEnd"/>
      <w:r w:rsidRPr="009B20C5">
        <w:rPr>
          <w:rFonts w:ascii="Verdana" w:hAnsi="Verdana" w:cs="Arial"/>
          <w:sz w:val="20"/>
          <w:szCs w:val="20"/>
        </w:rPr>
        <w:t xml:space="preserve"> para los efectos de la ley de garantías, y dada su finalidad, el enunciado ´contratación directa´ es sinónimo </w:t>
      </w:r>
      <w:bookmarkStart w:id="19" w:name="_Hlk75741738"/>
      <w:r w:rsidRPr="009B20C5">
        <w:rPr>
          <w:rFonts w:ascii="Verdana" w:hAnsi="Verdana" w:cs="Arial"/>
          <w:sz w:val="20"/>
          <w:szCs w:val="20"/>
        </w:rPr>
        <w:t xml:space="preserve">de cualquier sistema que no implique convocatoria pública y posibilidad de pluralidad de oferentes, </w:t>
      </w:r>
      <w:bookmarkEnd w:id="19"/>
      <w:r w:rsidRPr="009B20C5">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9B20C5">
        <w:rPr>
          <w:rFonts w:ascii="Verdana" w:eastAsia="Times New Roman" w:hAnsi="Verdana" w:cs="Arial"/>
          <w:sz w:val="20"/>
          <w:szCs w:val="20"/>
          <w:vertAlign w:val="superscript"/>
        </w:rPr>
        <w:footnoteReference w:id="11"/>
      </w:r>
      <w:r w:rsidRPr="009B20C5">
        <w:rPr>
          <w:rFonts w:ascii="Verdana" w:eastAsia="Times New Roman" w:hAnsi="Verdana" w:cs="Arial"/>
          <w:sz w:val="20"/>
          <w:szCs w:val="20"/>
          <w:vertAlign w:val="superscript"/>
        </w:rPr>
        <w:t>.</w:t>
      </w:r>
      <w:r w:rsidRPr="009B20C5">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9B20C5">
        <w:rPr>
          <w:rFonts w:ascii="Verdana" w:eastAsia="Times New Roman" w:hAnsi="Verdana" w:cs="Arial"/>
          <w:sz w:val="20"/>
          <w:szCs w:val="20"/>
          <w:vertAlign w:val="superscript"/>
          <w:lang w:eastAsia="es-CO"/>
        </w:rPr>
        <w:footnoteReference w:id="12"/>
      </w:r>
      <w:r w:rsidRPr="009B20C5">
        <w:rPr>
          <w:rFonts w:ascii="Verdana" w:hAnsi="Verdana" w:cs="Arial"/>
          <w:sz w:val="20"/>
          <w:szCs w:val="20"/>
        </w:rPr>
        <w:t xml:space="preserve"> .</w:t>
      </w:r>
    </w:p>
    <w:p w14:paraId="0ED8342A" w14:textId="77777777" w:rsidR="00F10E52" w:rsidRPr="00F10E52" w:rsidRDefault="00F10E52" w:rsidP="00F10E52">
      <w:pPr>
        <w:spacing w:before="120" w:after="120" w:line="276" w:lineRule="auto"/>
        <w:ind w:firstLine="708"/>
        <w:jc w:val="both"/>
        <w:rPr>
          <w:rFonts w:ascii="Verdana" w:eastAsia="Times New Roman" w:hAnsi="Verdana" w:cs="Arial"/>
          <w:bCs/>
          <w:lang w:eastAsia="x-none"/>
        </w:rPr>
      </w:pPr>
      <w:bookmarkStart w:id="21" w:name="_Hlk94521748"/>
      <w:r w:rsidRPr="00F10E52">
        <w:rPr>
          <w:rFonts w:ascii="Verdana" w:eastAsia="Times New Roman" w:hAnsi="Verdana" w:cs="Arial"/>
          <w:lang w:eastAsia="x-none"/>
        </w:rPr>
        <w:t xml:space="preserve">De conformidad con el citado concepto, </w:t>
      </w:r>
      <w:bookmarkStart w:id="22" w:name="_Hlk78818702"/>
      <w:r w:rsidRPr="00F10E52">
        <w:rPr>
          <w:rFonts w:ascii="Verdana" w:eastAsia="Times New Roman" w:hAnsi="Verdana" w:cs="Arial"/>
          <w:lang w:eastAsia="x-none"/>
        </w:rPr>
        <w:t xml:space="preserve">la prohibición del artículo 33 de la Ley de Garantías Electorales se refiere a </w:t>
      </w:r>
      <w:bookmarkStart w:id="23" w:name="_Hlk74294635"/>
      <w:r w:rsidRPr="00F10E52">
        <w:rPr>
          <w:rFonts w:ascii="Verdana" w:eastAsia="Times New Roman" w:hAnsi="Verdana" w:cs="Arial"/>
          <w:lang w:eastAsia="en-GB"/>
        </w:rPr>
        <w:t>«</w:t>
      </w:r>
      <w:bookmarkEnd w:id="23"/>
      <w:r w:rsidRPr="00F10E52">
        <w:rPr>
          <w:rFonts w:ascii="Verdana" w:eastAsia="Times New Roman" w:hAnsi="Verdana" w:cs="Arial"/>
          <w:lang w:eastAsia="x-none"/>
        </w:rPr>
        <w:t>cualquier sistema que no implique convocatoria pública y posibilidad de pluralidad de oferentes</w:t>
      </w:r>
      <w:bookmarkStart w:id="24" w:name="_Hlk74404754"/>
      <w:r w:rsidRPr="00F10E52">
        <w:rPr>
          <w:rFonts w:ascii="Verdana" w:eastAsia="Times New Roman" w:hAnsi="Verdana" w:cs="Arial"/>
          <w:lang w:eastAsia="en-GB"/>
        </w:rPr>
        <w:t>»</w:t>
      </w:r>
      <w:bookmarkEnd w:id="24"/>
      <w:r w:rsidRPr="00F10E52">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21"/>
      <w:bookmarkEnd w:id="22"/>
      <w:r w:rsidRPr="00F10E52">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10E52">
        <w:rPr>
          <w:rFonts w:ascii="Verdana" w:eastAsia="Times New Roman" w:hAnsi="Verdana" w:cs="Arial"/>
          <w:vertAlign w:val="superscript"/>
          <w:lang w:val="en-GB" w:eastAsia="x-none"/>
        </w:rPr>
        <w:footnoteReference w:id="13"/>
      </w:r>
      <w:r w:rsidRPr="00F10E52">
        <w:rPr>
          <w:rFonts w:ascii="Verdana" w:eastAsia="Times New Roman" w:hAnsi="Verdana" w:cs="Arial"/>
          <w:lang w:eastAsia="x-none"/>
        </w:rPr>
        <w:t xml:space="preserve"> y sistematizó las causales de contratación directa</w:t>
      </w:r>
      <w:r w:rsidRPr="00F10E52">
        <w:rPr>
          <w:rFonts w:ascii="Verdana" w:eastAsia="Times New Roman" w:hAnsi="Verdana" w:cs="Arial"/>
          <w:vertAlign w:val="superscript"/>
          <w:lang w:val="en-GB" w:eastAsia="x-none"/>
        </w:rPr>
        <w:footnoteReference w:id="14"/>
      </w:r>
      <w:r w:rsidRPr="00F10E52">
        <w:rPr>
          <w:rFonts w:ascii="Verdana" w:eastAsia="Times New Roman" w:hAnsi="Verdana" w:cs="Arial"/>
          <w:lang w:eastAsia="x-none"/>
        </w:rPr>
        <w:t xml:space="preserve">. </w:t>
      </w:r>
    </w:p>
    <w:p w14:paraId="1755F0D3" w14:textId="77777777" w:rsidR="00F10E52" w:rsidRPr="00F10E52" w:rsidRDefault="00F10E52" w:rsidP="00F10E52">
      <w:pPr>
        <w:spacing w:before="120" w:after="120" w:line="276" w:lineRule="auto"/>
        <w:ind w:firstLine="708"/>
        <w:jc w:val="both"/>
        <w:rPr>
          <w:rFonts w:ascii="Verdana" w:eastAsia="Times New Roman" w:hAnsi="Verdana" w:cs="Arial"/>
          <w:lang w:eastAsia="x-none"/>
        </w:rPr>
      </w:pPr>
      <w:r w:rsidRPr="00F10E52">
        <w:rPr>
          <w:rFonts w:ascii="Verdana" w:eastAsia="Times New Roman" w:hAnsi="Verdana" w:cs="Arial"/>
          <w:lang w:eastAsia="x-none"/>
        </w:rPr>
        <w:t xml:space="preserve">De esta forma, se ha depurado la noción de </w:t>
      </w:r>
      <w:r w:rsidRPr="00F10E52">
        <w:rPr>
          <w:rFonts w:ascii="Verdana" w:eastAsia="Times New Roman" w:hAnsi="Verdana" w:cs="Arial"/>
          <w:lang w:eastAsia="en-GB"/>
        </w:rPr>
        <w:t>«</w:t>
      </w:r>
      <w:r w:rsidRPr="00F10E52">
        <w:rPr>
          <w:rFonts w:ascii="Verdana" w:eastAsia="Times New Roman" w:hAnsi="Verdana" w:cs="Arial"/>
          <w:lang w:eastAsia="x-none"/>
        </w:rPr>
        <w:t>contratación directa</w:t>
      </w:r>
      <w:r w:rsidRPr="00F10E52">
        <w:rPr>
          <w:rFonts w:ascii="Verdana" w:eastAsia="Times New Roman" w:hAnsi="Verdana" w:cs="Arial"/>
          <w:lang w:eastAsia="en-GB"/>
        </w:rPr>
        <w:t>»</w:t>
      </w:r>
      <w:r w:rsidRPr="00F10E52">
        <w:rPr>
          <w:rFonts w:ascii="Verdana" w:eastAsia="Times New Roman" w:hAnsi="Verdana" w:cs="Arial"/>
          <w:lang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w:t>
      </w:r>
      <w:r w:rsidRPr="00F10E52">
        <w:rPr>
          <w:rFonts w:ascii="Verdana" w:eastAsia="Times New Roman" w:hAnsi="Verdana" w:cs="Arial"/>
          <w:lang w:eastAsia="x-none"/>
        </w:rPr>
        <w:lastRenderedPageBreak/>
        <w:t>General de la Contratación de la Administración Pública, sino también en leyes especiales e, incluso, en el derecho privado</w:t>
      </w:r>
      <w:r w:rsidRPr="00F10E52">
        <w:rPr>
          <w:rFonts w:ascii="Verdana" w:eastAsia="Times New Roman" w:hAnsi="Verdana" w:cs="Arial"/>
          <w:vertAlign w:val="superscript"/>
          <w:lang w:val="en-GB" w:eastAsia="x-none"/>
        </w:rPr>
        <w:footnoteReference w:id="15"/>
      </w:r>
      <w:r w:rsidRPr="00F10E52">
        <w:rPr>
          <w:rFonts w:ascii="Verdana" w:eastAsia="Times New Roman" w:hAnsi="Verdana" w:cs="Arial"/>
          <w:lang w:eastAsia="x-none"/>
        </w:rPr>
        <w:t>, han establecido sistemas de contratación que implican convocatoria pública y participación de varios oferentes</w:t>
      </w:r>
      <w:r w:rsidRPr="00F10E52">
        <w:rPr>
          <w:rFonts w:ascii="Verdana" w:eastAsia="Times New Roman" w:hAnsi="Verdana" w:cs="Arial"/>
          <w:lang w:eastAsia="en-GB"/>
        </w:rPr>
        <w:t>»</w:t>
      </w:r>
      <w:r w:rsidRPr="00F10E52">
        <w:rPr>
          <w:rFonts w:ascii="Verdana" w:eastAsia="Times New Roman" w:hAnsi="Verdana" w:cs="Arial"/>
          <w:lang w:eastAsia="x-none"/>
        </w:rPr>
        <w:t xml:space="preserve">. </w:t>
      </w:r>
    </w:p>
    <w:p w14:paraId="57047FA8" w14:textId="77777777" w:rsidR="00F10E52" w:rsidRPr="00F10E52" w:rsidRDefault="00F10E52" w:rsidP="00F10E52">
      <w:pPr>
        <w:spacing w:before="120"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x-none"/>
        </w:rPr>
        <w:t>E</w:t>
      </w:r>
      <w:r w:rsidRPr="00F10E52">
        <w:rPr>
          <w:rFonts w:ascii="Verdana" w:eastAsia="Times New Roman" w:hAnsi="Verdana" w:cs="Arial"/>
          <w:lang w:eastAsia="x-none"/>
        </w:rPr>
        <w:t xml:space="preserve">n efecto, vale la pena mencionar que, </w:t>
      </w:r>
      <w:bookmarkStart w:id="26" w:name="_Hlk75636073"/>
      <w:r w:rsidRPr="00F10E52">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26"/>
      <w:r w:rsidRPr="00F10E52">
        <w:rPr>
          <w:rFonts w:ascii="Verdana" w:eastAsia="Times New Roman" w:hAnsi="Verdana" w:cs="Arial"/>
          <w:vertAlign w:val="superscript"/>
          <w:lang w:eastAsia="x-none"/>
        </w:rPr>
        <w:footnoteReference w:id="16"/>
      </w:r>
      <w:r w:rsidRPr="00F10E52">
        <w:rPr>
          <w:rFonts w:ascii="Verdana" w:eastAsia="Times New Roman" w:hAnsi="Verdana" w:cs="Arial"/>
          <w:lang w:eastAsia="x-none"/>
        </w:rPr>
        <w:t xml:space="preserve">. </w:t>
      </w:r>
    </w:p>
    <w:p w14:paraId="62A221ED" w14:textId="77777777" w:rsidR="00F10E52" w:rsidRPr="00F10E52" w:rsidRDefault="00F10E52" w:rsidP="00F10E52">
      <w:pPr>
        <w:spacing w:before="120"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00FC6F65" w14:textId="77777777" w:rsidR="00F10E52" w:rsidRPr="00F10E52" w:rsidRDefault="00F10E52" w:rsidP="00F10E52">
      <w:pPr>
        <w:spacing w:before="120" w:after="120" w:line="276" w:lineRule="auto"/>
        <w:ind w:firstLine="708"/>
        <w:jc w:val="both"/>
        <w:rPr>
          <w:rFonts w:ascii="Verdana" w:eastAsia="Times New Roman" w:hAnsi="Verdana" w:cs="Arial"/>
          <w:bCs/>
          <w:lang w:eastAsia="x-none"/>
        </w:rPr>
      </w:pPr>
      <w:bookmarkStart w:id="27" w:name="_Hlk78818796"/>
      <w:r w:rsidRPr="00F10E52">
        <w:rPr>
          <w:rFonts w:ascii="Verdana" w:eastAsia="Times New Roman"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10E52">
        <w:rPr>
          <w:rFonts w:ascii="Verdana" w:eastAsia="Times New Roman" w:hAnsi="Verdana" w:cs="Arial"/>
          <w:vertAlign w:val="superscript"/>
          <w:lang w:eastAsia="x-none"/>
        </w:rPr>
        <w:footnoteReference w:id="17"/>
      </w:r>
      <w:r w:rsidRPr="00F10E52">
        <w:rPr>
          <w:rFonts w:ascii="Verdana" w:eastAsia="Times New Roman" w:hAnsi="Verdana" w:cs="Arial"/>
          <w:bCs/>
          <w:lang w:eastAsia="x-none"/>
        </w:rPr>
        <w:t>.</w:t>
      </w:r>
      <w:r w:rsidRPr="00F10E52">
        <w:rPr>
          <w:rFonts w:ascii="Verdana" w:eastAsia="Times New Roman" w:hAnsi="Verdana" w:cs="Arial"/>
          <w:vertAlign w:val="superscript"/>
          <w:lang w:eastAsia="x-none"/>
        </w:rPr>
        <w:t xml:space="preserve"> </w:t>
      </w:r>
    </w:p>
    <w:bookmarkEnd w:id="27"/>
    <w:p w14:paraId="6F4A378D" w14:textId="77777777" w:rsidR="00F10E52" w:rsidRPr="00F10E52" w:rsidRDefault="00F10E52" w:rsidP="00F10E52">
      <w:pPr>
        <w:spacing w:before="120" w:after="120" w:line="276" w:lineRule="auto"/>
        <w:ind w:firstLine="708"/>
        <w:jc w:val="both"/>
        <w:rPr>
          <w:rFonts w:ascii="Verdana" w:eastAsia="Times New Roman" w:hAnsi="Verdana" w:cs="Arial"/>
          <w:lang w:eastAsia="x-none"/>
        </w:rPr>
      </w:pPr>
      <w:r w:rsidRPr="00F10E52">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F10E52">
        <w:rPr>
          <w:rFonts w:ascii="Verdana" w:eastAsia="Times New Roman" w:hAnsi="Verdana" w:cs="Arial"/>
          <w:lang w:eastAsia="x-none"/>
        </w:rPr>
        <w:t xml:space="preserve"> Por tanto, </w:t>
      </w:r>
      <w:r w:rsidRPr="00F10E52">
        <w:rPr>
          <w:rFonts w:ascii="Verdana" w:eastAsia="Times New Roman" w:hAnsi="Verdana" w:cs="Arial"/>
          <w:lang w:eastAsia="x-none"/>
        </w:rPr>
        <w:lastRenderedPageBreak/>
        <w:t>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0D420F78" w14:textId="77777777" w:rsidR="00F10E52" w:rsidRPr="00F10E52" w:rsidRDefault="00F10E52" w:rsidP="00F10E52">
      <w:pPr>
        <w:spacing w:before="120" w:after="120" w:line="276" w:lineRule="auto"/>
        <w:ind w:firstLine="708"/>
        <w:jc w:val="both"/>
        <w:rPr>
          <w:rFonts w:ascii="Verdana" w:eastAsia="Times New Roman" w:hAnsi="Verdana" w:cs="Arial"/>
          <w:bCs/>
          <w:lang w:eastAsia="x-none"/>
        </w:rPr>
      </w:pPr>
      <w:bookmarkStart w:id="28" w:name="_Hlk77237094"/>
      <w:r w:rsidRPr="00F10E52">
        <w:rPr>
          <w:rFonts w:ascii="Verdana" w:eastAsia="Times New Roman" w:hAnsi="Verdana" w:cs="Arial"/>
          <w:bCs/>
          <w:lang w:eastAsia="es-CO"/>
        </w:rPr>
        <w:t xml:space="preserve">Como en otras oportunidades lo ha manifestado esta Agencia, las prórrogas, modificaciones o adiciones de los contratos suscritos antes de la </w:t>
      </w:r>
      <w:proofErr w:type="gramStart"/>
      <w:r w:rsidRPr="00F10E52">
        <w:rPr>
          <w:rFonts w:ascii="Verdana" w:eastAsia="Times New Roman" w:hAnsi="Verdana" w:cs="Arial"/>
          <w:bCs/>
          <w:lang w:eastAsia="es-CO"/>
        </w:rPr>
        <w:t>entrada en vigencia</w:t>
      </w:r>
      <w:proofErr w:type="gramEnd"/>
      <w:r w:rsidRPr="00F10E52">
        <w:rPr>
          <w:rFonts w:ascii="Verdana" w:eastAsia="Times New Roman" w:hAnsi="Verdana" w:cs="Arial"/>
          <w:bCs/>
          <w:lang w:eastAsia="es-CO"/>
        </w:rPr>
        <w:t xml:space="preserve"> de las prohibiciones anotadas, así como la cesión de </w:t>
      </w:r>
      <w:proofErr w:type="gramStart"/>
      <w:r w:rsidRPr="00F10E52">
        <w:rPr>
          <w:rFonts w:ascii="Verdana" w:eastAsia="Times New Roman" w:hAnsi="Verdana" w:cs="Arial"/>
          <w:bCs/>
          <w:lang w:eastAsia="es-CO"/>
        </w:rPr>
        <w:t>los mismos</w:t>
      </w:r>
      <w:proofErr w:type="gramEnd"/>
      <w:r w:rsidRPr="00F10E52">
        <w:rPr>
          <w:rFonts w:ascii="Verdana" w:eastAsia="Times New Roman" w:hAnsi="Verdana" w:cs="Arial"/>
          <w:bCs/>
          <w:lang w:eastAsia="es-CO"/>
        </w:rPr>
        <w:t>, pueden tener lugar en el período de aplicación de la Ley de Garantías, sin que ello haga nugatoria la restricción de la contratación directa y siempre que cumplan los principios de planeación, transparencia y responsabilidad.</w:t>
      </w:r>
      <w:bookmarkEnd w:id="28"/>
    </w:p>
    <w:p w14:paraId="3A58152F" w14:textId="77777777" w:rsidR="00F10E52" w:rsidRPr="00F10E52" w:rsidRDefault="00F10E52" w:rsidP="00F10E52">
      <w:pPr>
        <w:spacing w:before="120"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10E52">
        <w:rPr>
          <w:rFonts w:ascii="Verdana" w:eastAsia="Times New Roman" w:hAnsi="Verdana" w:cs="Arial"/>
          <w:bCs/>
          <w:lang w:eastAsia="x-none"/>
        </w:rPr>
        <w:t>ii</w:t>
      </w:r>
      <w:proofErr w:type="spellEnd"/>
      <w:r w:rsidRPr="00F10E52">
        <w:rPr>
          <w:rFonts w:ascii="Verdana" w:eastAsia="Times New Roman" w:hAnsi="Verdana" w:cs="Arial"/>
          <w:bCs/>
          <w:lang w:eastAsia="x-none"/>
        </w:rPr>
        <w:t xml:space="preserve">) los contratos de crédito público; </w:t>
      </w:r>
      <w:proofErr w:type="spellStart"/>
      <w:r w:rsidRPr="00F10E52">
        <w:rPr>
          <w:rFonts w:ascii="Verdana" w:eastAsia="Times New Roman" w:hAnsi="Verdana" w:cs="Arial"/>
          <w:bCs/>
          <w:lang w:eastAsia="x-none"/>
        </w:rPr>
        <w:t>iii</w:t>
      </w:r>
      <w:proofErr w:type="spellEnd"/>
      <w:r w:rsidRPr="00F10E52">
        <w:rPr>
          <w:rFonts w:ascii="Verdana" w:eastAsia="Times New Roman" w:hAnsi="Verdana" w:cs="Arial"/>
          <w:bCs/>
          <w:lang w:eastAsia="x-none"/>
        </w:rPr>
        <w:t xml:space="preserve">) los requeridos para cubrir las emergencias educativas, sanitarias y desastres; </w:t>
      </w:r>
      <w:proofErr w:type="spellStart"/>
      <w:r w:rsidRPr="00F10E52">
        <w:rPr>
          <w:rFonts w:ascii="Verdana" w:eastAsia="Times New Roman" w:hAnsi="Verdana" w:cs="Arial"/>
          <w:bCs/>
          <w:lang w:eastAsia="x-none"/>
        </w:rPr>
        <w:t>iv</w:t>
      </w:r>
      <w:proofErr w:type="spellEnd"/>
      <w:r w:rsidRPr="00F10E52">
        <w:rPr>
          <w:rFonts w:ascii="Verdana" w:eastAsia="Times New Roman" w:hAnsi="Verdana" w:cs="Arial"/>
          <w:bCs/>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10E52">
        <w:rPr>
          <w:rFonts w:ascii="Verdana" w:eastAsia="Times New Roman" w:hAnsi="Verdana" w:cs="Arial"/>
          <w:bCs/>
          <w:lang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0317474" w14:textId="09C5F9BB" w:rsidR="00F10E52" w:rsidRPr="00F10E52" w:rsidRDefault="00F10E52" w:rsidP="00F10E52">
      <w:pPr>
        <w:spacing w:before="120" w:after="120" w:line="276" w:lineRule="auto"/>
        <w:ind w:firstLine="708"/>
        <w:jc w:val="both"/>
        <w:rPr>
          <w:rFonts w:ascii="Verdana" w:eastAsia="Times New Roman" w:hAnsi="Verdana" w:cs="Arial"/>
          <w:bCs/>
          <w:lang w:eastAsia="x-none"/>
        </w:rPr>
      </w:pPr>
      <w:r w:rsidRPr="00F10E52">
        <w:rPr>
          <w:rFonts w:ascii="Verdana" w:eastAsia="Times New Roman" w:hAnsi="Verdana" w:cs="Arial"/>
          <w:bCs/>
          <w:lang w:eastAsia="x-none"/>
        </w:rPr>
        <w:t>En esta labor es importante tener en cuenta, como lo anotó la Corte Constitucional, en Sentencia C-1153 de noviembre 11 de 2005</w:t>
      </w:r>
      <w:r w:rsidRPr="00F10E52">
        <w:rPr>
          <w:rStyle w:val="Refdenotaalpie"/>
          <w:rFonts w:ascii="Verdana" w:hAnsi="Verdana"/>
        </w:rPr>
        <w:t>,</w:t>
      </w:r>
      <w:r w:rsidRPr="00F10E52">
        <w:rPr>
          <w:rFonts w:ascii="Verdana" w:eastAsia="Times New Roman" w:hAnsi="Verdana" w:cs="Arial"/>
          <w:bCs/>
          <w:lang w:eastAsia="x-none"/>
        </w:rPr>
        <w:t xml:space="preserve"> </w:t>
      </w:r>
      <w:bookmarkStart w:id="29" w:name="_Hlk74309042"/>
      <w:r w:rsidRPr="00F10E52">
        <w:rPr>
          <w:rFonts w:ascii="Verdana" w:eastAsia="Times New Roman" w:hAnsi="Verdana" w:cs="Arial"/>
          <w:bCs/>
          <w:lang w:eastAsia="x-none"/>
        </w:rPr>
        <w:t xml:space="preserve">que </w:t>
      </w:r>
      <w:bookmarkEnd w:id="29"/>
      <w:r w:rsidR="009B20C5">
        <w:rPr>
          <w:rFonts w:ascii="Verdana" w:eastAsia="Times New Roman" w:hAnsi="Verdana" w:cs="Arial"/>
          <w:bCs/>
          <w:lang w:eastAsia="x-none"/>
        </w:rPr>
        <w:t>“</w:t>
      </w:r>
      <w:r w:rsidRPr="00F10E52">
        <w:rPr>
          <w:rFonts w:ascii="Verdana" w:eastAsia="Times New Roman" w:hAnsi="Verdana" w:cs="Arial"/>
          <w:bCs/>
          <w:lang w:eastAsia="x-none"/>
        </w:rPr>
        <w:t xml:space="preserve">si bien la limitación garantiza la igualdad de condiciones, también es necesario que tal limitación que pretende la igualdad </w:t>
      </w:r>
      <w:bookmarkStart w:id="30" w:name="_Hlk75768308"/>
      <w:r w:rsidRPr="00F10E52">
        <w:rPr>
          <w:rFonts w:ascii="Verdana" w:eastAsia="Times New Roman" w:hAnsi="Verdana" w:cs="Arial"/>
          <w:bCs/>
          <w:lang w:eastAsia="x-none"/>
        </w:rPr>
        <w:t>no termine yendo en detrimento de intereses públicos, cuya garantía está en cabeza del ejecutivo, como son los inmersos en las excepciones para la prohibición de contratación</w:t>
      </w:r>
      <w:r w:rsidR="009B20C5">
        <w:rPr>
          <w:rFonts w:ascii="Verdana" w:eastAsia="Times New Roman" w:hAnsi="Verdana" w:cs="Arial"/>
          <w:bCs/>
          <w:lang w:eastAsia="x-none"/>
        </w:rPr>
        <w:t>”</w:t>
      </w:r>
      <w:r w:rsidRPr="00F10E52">
        <w:rPr>
          <w:rStyle w:val="Refdenotaalpie"/>
          <w:rFonts w:ascii="Verdana" w:hAnsi="Verdana" w:cs="Arial"/>
        </w:rPr>
        <w:footnoteReference w:id="18"/>
      </w:r>
      <w:r w:rsidRPr="00F10E52">
        <w:rPr>
          <w:rFonts w:ascii="Verdana" w:eastAsia="Times New Roman" w:hAnsi="Verdana" w:cs="Arial"/>
          <w:bCs/>
          <w:lang w:eastAsia="x-none"/>
        </w:rPr>
        <w:t xml:space="preserve">. De ahí que la Corte haya hecho particular énfasis en que las excepciones a la restricción protegen diversos </w:t>
      </w:r>
      <w:r w:rsidRPr="00F10E52">
        <w:rPr>
          <w:rFonts w:ascii="Verdana" w:eastAsia="Times New Roman" w:hAnsi="Verdana" w:cs="Arial"/>
          <w:bCs/>
          <w:lang w:eastAsia="x-none"/>
        </w:rPr>
        <w:lastRenderedPageBreak/>
        <w:t>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Start w:id="31" w:name="_Hlk75783800"/>
      <w:bookmarkEnd w:id="30"/>
    </w:p>
    <w:p w14:paraId="2F7FC3C3" w14:textId="5DDF1DDE" w:rsidR="00F10E52" w:rsidRPr="00F10E52" w:rsidRDefault="009B20C5" w:rsidP="009B20C5">
      <w:pPr>
        <w:spacing w:before="120" w:after="120" w:line="276" w:lineRule="auto"/>
        <w:ind w:firstLine="708"/>
        <w:jc w:val="both"/>
        <w:rPr>
          <w:rFonts w:ascii="Verdana" w:eastAsia="Times New Roman" w:hAnsi="Verdana" w:cs="Arial"/>
          <w:bCs/>
          <w:lang w:eastAsia="x-none"/>
        </w:rPr>
      </w:pPr>
      <w:bookmarkStart w:id="32" w:name="_Hlk99438356"/>
      <w:r>
        <w:rPr>
          <w:rFonts w:ascii="Verdana" w:eastAsia="Times New Roman" w:hAnsi="Verdana" w:cs="Arial"/>
          <w:bCs/>
          <w:lang w:eastAsia="x-none"/>
        </w:rPr>
        <w:t>Ahora bien, e</w:t>
      </w:r>
      <w:r w:rsidR="00F10E52" w:rsidRPr="00F10E52">
        <w:rPr>
          <w:rFonts w:ascii="Verdana" w:eastAsia="Times New Roman" w:hAnsi="Verdana" w:cs="Arial"/>
          <w:bCs/>
          <w:lang w:eastAsia="x-none"/>
        </w:rPr>
        <w:t xml:space="preserve">l artículo 33 de la Ley 996 de 2005 señala expresamente a los destinatarios de la prohibición, en el sentido de que son </w:t>
      </w:r>
      <w:r>
        <w:rPr>
          <w:rFonts w:ascii="Verdana" w:eastAsia="Times New Roman" w:hAnsi="Verdana" w:cs="Arial"/>
          <w:bCs/>
          <w:lang w:eastAsia="x-none"/>
        </w:rPr>
        <w:t>“</w:t>
      </w:r>
      <w:r w:rsidR="00F10E52" w:rsidRPr="00F10E52">
        <w:rPr>
          <w:rFonts w:ascii="Verdana" w:eastAsia="Times New Roman" w:hAnsi="Verdana" w:cs="Arial"/>
          <w:bCs/>
          <w:lang w:eastAsia="x-none"/>
        </w:rPr>
        <w:t>todos los entes del Estado</w:t>
      </w:r>
      <w:r>
        <w:rPr>
          <w:rFonts w:ascii="Verdana" w:eastAsia="Times New Roman" w:hAnsi="Verdana" w:cs="Arial"/>
          <w:bCs/>
          <w:lang w:eastAsia="x-none"/>
        </w:rPr>
        <w:t>”</w:t>
      </w:r>
      <w:r w:rsidR="00F10E52" w:rsidRPr="00F10E52">
        <w:rPr>
          <w:rFonts w:ascii="Verdana" w:eastAsia="Times New Roman" w:hAnsi="Verdana" w:cs="Arial"/>
          <w:bCs/>
          <w:lang w:eastAsia="x-none"/>
        </w:rPr>
        <w:t>, expresión que contempla a los diferentes organismos o entidades autorizadas por la ley para suscribir contratos.</w:t>
      </w:r>
      <w:r w:rsidR="00F10E52" w:rsidRPr="00F10E52">
        <w:rPr>
          <w:rFonts w:ascii="Verdana" w:hAnsi="Verdana"/>
        </w:rPr>
        <w:t xml:space="preserve"> </w:t>
      </w:r>
      <w:r w:rsidR="00F10E52" w:rsidRPr="00F10E52">
        <w:rPr>
          <w:rFonts w:ascii="Verdana" w:eastAsia="Times New Roman" w:hAnsi="Verdana" w:cs="Arial"/>
          <w:bCs/>
          <w:lang w:eastAsia="x-none"/>
        </w:rPr>
        <w:t xml:space="preserve">En efecto, tal como lo ha sostenido el Consejo de Estado, el vocablo </w:t>
      </w:r>
      <w:r>
        <w:rPr>
          <w:rFonts w:ascii="Verdana" w:eastAsia="Times New Roman" w:hAnsi="Verdana" w:cs="Arial"/>
          <w:bCs/>
          <w:lang w:eastAsia="x-none"/>
        </w:rPr>
        <w:t>“</w:t>
      </w:r>
      <w:r w:rsidR="00F10E52" w:rsidRPr="00F10E52">
        <w:rPr>
          <w:rFonts w:ascii="Verdana" w:eastAsia="Times New Roman" w:hAnsi="Verdana" w:cs="Arial"/>
          <w:bCs/>
          <w:lang w:eastAsia="x-none"/>
        </w:rPr>
        <w:t>todos</w:t>
      </w:r>
      <w:r>
        <w:rPr>
          <w:rFonts w:ascii="Verdana" w:eastAsia="Times New Roman" w:hAnsi="Verdana" w:cs="Arial"/>
          <w:bCs/>
          <w:lang w:eastAsia="x-none"/>
        </w:rPr>
        <w:t>”</w:t>
      </w:r>
      <w:r w:rsidR="00F10E52" w:rsidRPr="00F10E52">
        <w:rPr>
          <w:rFonts w:ascii="Verdana" w:eastAsia="Times New Roman" w:hAnsi="Verdana" w:cs="Arial"/>
          <w:bCs/>
          <w:lang w:eastAsia="x-none"/>
        </w:rPr>
        <w:t xml:space="preserve"> utilizado por el legislador comprende</w:t>
      </w:r>
      <w:r w:rsidR="00F10E52" w:rsidRPr="00F10E52">
        <w:rPr>
          <w:rFonts w:ascii="Verdana" w:hAnsi="Verdana"/>
        </w:rPr>
        <w:t xml:space="preserve"> </w:t>
      </w:r>
      <w:r w:rsidR="00F10E52" w:rsidRPr="00F10E52">
        <w:rPr>
          <w:rFonts w:ascii="Verdana" w:eastAsia="Times New Roman" w:hAnsi="Verdana" w:cs="Arial"/>
          <w:bCs/>
          <w:lang w:eastAsia="x-none"/>
        </w:rPr>
        <w:t>a la totalidad de los entes del Estado, sin distinción del régimen jurídico, forma de organización o naturaleza, su pertenencia a una u otra rama del poder público o su autonomía</w:t>
      </w:r>
      <w:bookmarkEnd w:id="31"/>
      <w:r w:rsidR="00F10E52" w:rsidRPr="00F10E52">
        <w:rPr>
          <w:rFonts w:ascii="Verdana" w:eastAsia="Times New Roman" w:hAnsi="Verdana" w:cs="Arial"/>
          <w:bCs/>
          <w:lang w:eastAsia="x-none"/>
        </w:rPr>
        <w:t xml:space="preserve">, e incluso si las entidades estatales tienen régimen especial de contratación y están exceptuadas del ámbito de aplicación del Estatuto General de Contratación de la Administración Pública. </w:t>
      </w:r>
      <w:bookmarkEnd w:id="32"/>
      <w:r w:rsidR="00F10E52" w:rsidRPr="00F10E52">
        <w:rPr>
          <w:rFonts w:ascii="Verdana" w:eastAsia="Times New Roman" w:hAnsi="Verdana" w:cs="Arial"/>
          <w:bCs/>
          <w:lang w:eastAsia="x-none"/>
        </w:rPr>
        <w:t xml:space="preserve">El Consejo de Estado, en Concepto con radicado 1727 de fecha 20 de febrero de 2006, consideró que: </w:t>
      </w:r>
    </w:p>
    <w:p w14:paraId="5226581C" w14:textId="6AD46E45" w:rsidR="00F10E52" w:rsidRPr="009B20C5" w:rsidRDefault="009B20C5" w:rsidP="00F10E52">
      <w:pPr>
        <w:spacing w:before="120" w:after="120" w:line="276" w:lineRule="auto"/>
        <w:ind w:left="708"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x-none"/>
        </w:rPr>
        <w:t>“</w:t>
      </w:r>
      <w:r w:rsidR="00F10E52" w:rsidRPr="009B20C5">
        <w:rPr>
          <w:rFonts w:ascii="Verdana" w:eastAsia="Times New Roman" w:hAnsi="Verdana" w:cs="Arial"/>
          <w:bCs/>
          <w:sz w:val="20"/>
          <w:szCs w:val="20"/>
          <w:lang w:eastAsia="x-none"/>
        </w:rPr>
        <w:t xml:space="preserve">El artículo 33 de la ley 996 de 2005, </w:t>
      </w:r>
      <w:bookmarkStart w:id="33" w:name="_Hlk75787147"/>
      <w:r w:rsidR="00F10E52" w:rsidRPr="009B20C5">
        <w:rPr>
          <w:rFonts w:ascii="Verdana" w:eastAsia="Times New Roman" w:hAnsi="Verdana" w:cs="Arial"/>
          <w:bCs/>
          <w:sz w:val="20"/>
          <w:szCs w:val="20"/>
          <w:lang w:eastAsia="x-none"/>
        </w:rPr>
        <w:t xml:space="preserve">efectivamente se aplica </w:t>
      </w:r>
      <w:bookmarkStart w:id="34" w:name="_Hlk76074089"/>
      <w:r w:rsidR="00F10E52" w:rsidRPr="009B20C5">
        <w:rPr>
          <w:rFonts w:ascii="Verdana" w:eastAsia="Times New Roman" w:hAnsi="Verdana" w:cs="Arial"/>
          <w:bCs/>
          <w:sz w:val="20"/>
          <w:szCs w:val="20"/>
          <w:lang w:eastAsia="x-none"/>
        </w:rPr>
        <w:t>incluso a las entidades estatales con régimen especial de contratación y que están exceptuadas del ámbito de aplicación del Estatuto General de Contratación de la Administración Pública</w:t>
      </w:r>
      <w:bookmarkEnd w:id="34"/>
      <w:r w:rsidR="00F10E52" w:rsidRPr="009B20C5">
        <w:rPr>
          <w:rFonts w:ascii="Verdana" w:eastAsia="Times New Roman" w:hAnsi="Verdana" w:cs="Arial"/>
          <w:bCs/>
          <w:sz w:val="20"/>
          <w:szCs w:val="20"/>
          <w:lang w:eastAsia="x-none"/>
        </w:rPr>
        <w:t>,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00F10E52" w:rsidRPr="009B20C5">
        <w:rPr>
          <w:rStyle w:val="Refdenotaalpie"/>
          <w:rFonts w:ascii="Verdana" w:eastAsia="Times New Roman" w:hAnsi="Verdana" w:cs="Arial"/>
          <w:bCs/>
          <w:sz w:val="20"/>
          <w:szCs w:val="20"/>
          <w:lang w:eastAsia="x-none"/>
        </w:rPr>
        <w:footnoteReference w:id="19"/>
      </w:r>
      <w:r w:rsidR="00F10E52" w:rsidRPr="009B20C5">
        <w:rPr>
          <w:rFonts w:ascii="Verdana" w:eastAsia="Times New Roman" w:hAnsi="Verdana" w:cs="Arial"/>
          <w:bCs/>
          <w:sz w:val="20"/>
          <w:szCs w:val="20"/>
          <w:lang w:eastAsia="x-none"/>
        </w:rPr>
        <w:t>.</w:t>
      </w:r>
      <w:r w:rsidR="00F10E52" w:rsidRPr="009B20C5">
        <w:rPr>
          <w:rFonts w:ascii="Verdana" w:eastAsia="Times New Roman" w:hAnsi="Verdana" w:cs="Arial"/>
          <w:bCs/>
          <w:sz w:val="20"/>
          <w:szCs w:val="20"/>
          <w:lang w:eastAsia="es-CO"/>
        </w:rPr>
        <w:t xml:space="preserve"> </w:t>
      </w:r>
    </w:p>
    <w:p w14:paraId="6DFA45B1" w14:textId="5B4F2920" w:rsidR="00F10E52" w:rsidRPr="00F10E52" w:rsidRDefault="00F10E52" w:rsidP="00F10E52">
      <w:pPr>
        <w:spacing w:before="120" w:after="120" w:line="276" w:lineRule="auto"/>
        <w:ind w:firstLine="708"/>
        <w:jc w:val="both"/>
        <w:rPr>
          <w:rFonts w:ascii="Verdana" w:hAnsi="Verdana" w:cs="Arial"/>
        </w:rPr>
      </w:pPr>
      <w:r w:rsidRPr="00F10E52">
        <w:rPr>
          <w:rFonts w:ascii="Verdana" w:eastAsia="Times New Roman" w:hAnsi="Verdana" w:cs="Arial"/>
          <w:bCs/>
          <w:lang w:eastAsia="x-none"/>
        </w:rPr>
        <w:t xml:space="preserve">En Concepto con radicado 1738 de 6 de abril de 2006, esa misma Corporación manifestó que </w:t>
      </w:r>
      <w:r w:rsidR="009B20C5">
        <w:rPr>
          <w:rFonts w:ascii="Verdana" w:eastAsia="Times New Roman" w:hAnsi="Verdana" w:cs="Arial"/>
          <w:bCs/>
          <w:lang w:eastAsia="x-none"/>
        </w:rPr>
        <w:t>“</w:t>
      </w:r>
      <w:r w:rsidRPr="00F10E52">
        <w:rPr>
          <w:rFonts w:ascii="Verdana" w:eastAsia="Times New Roman" w:hAnsi="Verdana" w:cs="Arial"/>
          <w:bCs/>
          <w:lang w:eastAsia="x-none"/>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35" w:name="_Hlk75758868"/>
      <w:bookmarkStart w:id="36" w:name="_Hlk75741220"/>
      <w:r w:rsidR="009B20C5">
        <w:rPr>
          <w:rFonts w:ascii="Verdana" w:eastAsia="Times New Roman" w:hAnsi="Verdana" w:cs="Arial"/>
          <w:bCs/>
          <w:lang w:eastAsia="x-none"/>
        </w:rPr>
        <w:t>”</w:t>
      </w:r>
      <w:r w:rsidRPr="00F10E52">
        <w:rPr>
          <w:rStyle w:val="Refdenotaalpie"/>
          <w:rFonts w:ascii="Verdana" w:hAnsi="Verdana" w:cs="Arial"/>
        </w:rPr>
        <w:footnoteReference w:id="20"/>
      </w:r>
      <w:bookmarkEnd w:id="35"/>
      <w:bookmarkEnd w:id="36"/>
      <w:r w:rsidRPr="00F10E52">
        <w:rPr>
          <w:rFonts w:ascii="Verdana" w:eastAsia="Times New Roman" w:hAnsi="Verdana" w:cs="Arial"/>
          <w:bCs/>
          <w:lang w:eastAsia="x-none"/>
        </w:rPr>
        <w:t>.</w:t>
      </w:r>
      <w:r w:rsidRPr="00F10E52">
        <w:rPr>
          <w:rFonts w:ascii="Verdana" w:hAnsi="Verdana" w:cs="Arial"/>
        </w:rPr>
        <w:t xml:space="preserve"> Sin </w:t>
      </w:r>
      <w:r w:rsidRPr="00F10E52">
        <w:rPr>
          <w:rFonts w:ascii="Verdana" w:hAnsi="Verdana" w:cs="Arial"/>
        </w:rPr>
        <w:lastRenderedPageBreak/>
        <w:t>embargo, debe precisarse el siguiente aspecto que distinguió la Sala de Consulta y Servicio Civil:</w:t>
      </w:r>
    </w:p>
    <w:p w14:paraId="6E445374" w14:textId="170A45CD" w:rsidR="00F10E52" w:rsidRPr="009B20C5" w:rsidRDefault="009B20C5" w:rsidP="00F10E52">
      <w:pPr>
        <w:spacing w:before="120" w:after="120" w:line="276" w:lineRule="auto"/>
        <w:ind w:left="708" w:right="709"/>
        <w:jc w:val="both"/>
        <w:rPr>
          <w:rFonts w:ascii="Verdana" w:hAnsi="Verdana" w:cs="Arial"/>
          <w:sz w:val="20"/>
          <w:szCs w:val="20"/>
        </w:rPr>
      </w:pPr>
      <w:bookmarkStart w:id="38" w:name="_Hlk75811446"/>
      <w:r w:rsidRPr="009B20C5">
        <w:rPr>
          <w:rFonts w:ascii="Verdana" w:hAnsi="Verdana" w:cs="Arial"/>
          <w:sz w:val="20"/>
          <w:szCs w:val="20"/>
        </w:rPr>
        <w:t>“</w:t>
      </w:r>
      <w:r w:rsidR="00F10E52" w:rsidRPr="009B20C5">
        <w:rPr>
          <w:rFonts w:ascii="Verdana" w:hAnsi="Verdana" w:cs="Arial"/>
          <w:sz w:val="20"/>
          <w:szCs w:val="20"/>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38"/>
      <w:r w:rsidRPr="009B20C5">
        <w:rPr>
          <w:rFonts w:ascii="Verdana" w:hAnsi="Verdana" w:cs="Arial"/>
          <w:sz w:val="20"/>
          <w:szCs w:val="20"/>
        </w:rPr>
        <w:t>”</w:t>
      </w:r>
      <w:r w:rsidR="00F10E52" w:rsidRPr="009B20C5">
        <w:rPr>
          <w:rStyle w:val="Refdenotaalpie"/>
          <w:rFonts w:ascii="Verdana" w:hAnsi="Verdana" w:cs="Arial"/>
          <w:sz w:val="20"/>
          <w:szCs w:val="20"/>
        </w:rPr>
        <w:footnoteReference w:id="21"/>
      </w:r>
      <w:r w:rsidR="00F10E52" w:rsidRPr="009B20C5">
        <w:rPr>
          <w:rFonts w:ascii="Verdana" w:eastAsia="Times New Roman" w:hAnsi="Verdana" w:cs="Arial"/>
          <w:bCs/>
          <w:sz w:val="20"/>
          <w:szCs w:val="20"/>
          <w:lang w:eastAsia="x-none"/>
        </w:rPr>
        <w:t>.</w:t>
      </w:r>
    </w:p>
    <w:p w14:paraId="69932707" w14:textId="5E74BDF7" w:rsidR="00F10E52" w:rsidRPr="00F10E52" w:rsidRDefault="00F10E52" w:rsidP="00F10E52">
      <w:pPr>
        <w:spacing w:before="120" w:after="120" w:line="276" w:lineRule="auto"/>
        <w:ind w:firstLine="709"/>
        <w:jc w:val="both"/>
        <w:rPr>
          <w:rFonts w:ascii="Verdana" w:eastAsia="Times New Roman" w:hAnsi="Verdana" w:cs="Arial"/>
          <w:bCs/>
          <w:lang w:eastAsia="x-none"/>
        </w:rPr>
      </w:pPr>
      <w:r w:rsidRPr="00F10E52">
        <w:rPr>
          <w:rFonts w:ascii="Verdana" w:hAnsi="Verdana" w:cs="Arial"/>
        </w:rPr>
        <w:t>Aplicando este razonamiento,</w:t>
      </w:r>
      <w:bookmarkStart w:id="39" w:name="_Hlk75811096"/>
      <w:r w:rsidRPr="00F10E52">
        <w:rPr>
          <w:rFonts w:ascii="Verdana" w:hAnsi="Verdana" w:cs="Arial"/>
        </w:rPr>
        <w:t xml:space="preserve"> se tiene que las empresas industriales y comerciales del estado y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w:t>
      </w:r>
      <w:r w:rsidR="00596D81">
        <w:rPr>
          <w:rFonts w:ascii="Verdana" w:hAnsi="Verdana" w:cs="Arial"/>
        </w:rPr>
        <w:t>“</w:t>
      </w:r>
      <w:r w:rsidRPr="00F10E52">
        <w:rPr>
          <w:rFonts w:ascii="Verdana" w:hAnsi="Verdana" w:cs="Arial"/>
        </w:rPr>
        <w:t>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39"/>
      <w:r w:rsidR="00596D81">
        <w:rPr>
          <w:rFonts w:ascii="Verdana" w:hAnsi="Verdana" w:cs="Arial"/>
        </w:rPr>
        <w:t>”</w:t>
      </w:r>
      <w:r w:rsidRPr="00F10E52">
        <w:rPr>
          <w:rStyle w:val="Refdenotaalpie"/>
          <w:rFonts w:ascii="Verdana" w:hAnsi="Verdana" w:cs="Arial"/>
        </w:rPr>
        <w:t xml:space="preserve"> </w:t>
      </w:r>
      <w:r w:rsidRPr="00F10E52">
        <w:rPr>
          <w:rStyle w:val="Refdenotaalpie"/>
          <w:rFonts w:ascii="Verdana" w:hAnsi="Verdana" w:cs="Arial"/>
        </w:rPr>
        <w:footnoteReference w:id="22"/>
      </w:r>
      <w:r w:rsidRPr="00F10E52">
        <w:rPr>
          <w:rFonts w:ascii="Verdana" w:hAnsi="Verdana" w:cs="Arial"/>
        </w:rPr>
        <w:t>.</w:t>
      </w:r>
    </w:p>
    <w:p w14:paraId="4D4D1D4C" w14:textId="77777777" w:rsidR="00F10E52" w:rsidRPr="00F10E52" w:rsidRDefault="00F10E52" w:rsidP="00F10E52">
      <w:pPr>
        <w:spacing w:before="120" w:after="120" w:line="276" w:lineRule="auto"/>
        <w:ind w:firstLine="708"/>
        <w:jc w:val="both"/>
        <w:rPr>
          <w:rFonts w:ascii="Verdana" w:eastAsia="Times New Roman" w:hAnsi="Verdana" w:cs="Arial"/>
          <w:bCs/>
          <w:lang w:eastAsia="x-none"/>
        </w:rPr>
      </w:pPr>
      <w:bookmarkStart w:id="40" w:name="_Hlk77237229"/>
      <w:bookmarkEnd w:id="33"/>
      <w:r w:rsidRPr="00F10E52">
        <w:rPr>
          <w:rFonts w:ascii="Verdana" w:hAnsi="Verdana" w:cs="Arial"/>
        </w:rPr>
        <w:t>Por lo tanto, la restricción prevista en la Ley 996 de 200</w:t>
      </w:r>
      <w:bookmarkStart w:id="41" w:name="_Hlk75741539"/>
      <w:r w:rsidRPr="00F10E52">
        <w:rPr>
          <w:rFonts w:ascii="Verdana" w:hAnsi="Verdana" w:cs="Arial"/>
        </w:rPr>
        <w:t xml:space="preserve">5, </w:t>
      </w:r>
      <w:r w:rsidRPr="00F10E52">
        <w:rPr>
          <w:rFonts w:ascii="Verdana" w:eastAsia="Times New Roman" w:hAnsi="Verdana" w:cs="Arial"/>
          <w:bCs/>
          <w:lang w:eastAsia="x-none"/>
        </w:rPr>
        <w:t xml:space="preserve">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w:t>
      </w:r>
      <w:r w:rsidRPr="00F10E52">
        <w:rPr>
          <w:rFonts w:ascii="Verdana" w:eastAsia="Times New Roman" w:hAnsi="Verdana" w:cs="Arial"/>
          <w:bCs/>
          <w:lang w:eastAsia="x-none"/>
        </w:rPr>
        <w:lastRenderedPageBreak/>
        <w:t>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bookmarkEnd w:id="40"/>
    <w:bookmarkEnd w:id="41"/>
    <w:p w14:paraId="6963B160" w14:textId="46FF7D8C" w:rsidR="00F10E52" w:rsidRPr="00F10E52" w:rsidRDefault="00596D81" w:rsidP="00596D81">
      <w:pPr>
        <w:spacing w:before="120" w:after="120" w:line="276" w:lineRule="auto"/>
        <w:ind w:firstLine="708"/>
        <w:jc w:val="both"/>
        <w:rPr>
          <w:rFonts w:ascii="Verdana" w:eastAsia="Times New Roman" w:hAnsi="Verdana" w:cs="Arial"/>
          <w:color w:val="1A1A1A"/>
          <w:lang w:eastAsia="es-ES_tradnl"/>
        </w:rPr>
      </w:pPr>
      <w:r w:rsidRPr="00596D81">
        <w:rPr>
          <w:rFonts w:ascii="Verdana" w:eastAsia="Calibri" w:hAnsi="Verdana" w:cs="Arial"/>
          <w:bCs/>
        </w:rPr>
        <w:t>Por su parte</w:t>
      </w:r>
      <w:r>
        <w:rPr>
          <w:rFonts w:ascii="Verdana" w:eastAsia="Calibri" w:hAnsi="Verdana" w:cs="Arial"/>
          <w:bCs/>
        </w:rPr>
        <w:t>,</w:t>
      </w:r>
      <w:r w:rsidRPr="00596D81">
        <w:rPr>
          <w:rFonts w:ascii="Verdana" w:eastAsia="Calibri" w:hAnsi="Verdana" w:cs="Arial"/>
          <w:bCs/>
        </w:rPr>
        <w:t xml:space="preserve"> respecto a la</w:t>
      </w:r>
      <w:r w:rsidR="00F10E52" w:rsidRPr="00596D81">
        <w:rPr>
          <w:rFonts w:ascii="Verdana" w:eastAsia="Calibri" w:hAnsi="Verdana" w:cs="Arial"/>
          <w:bCs/>
        </w:rPr>
        <w:t xml:space="preserve"> </w:t>
      </w:r>
      <w:r w:rsidRPr="00596D81">
        <w:rPr>
          <w:rFonts w:ascii="Verdana" w:eastAsia="Calibri" w:hAnsi="Verdana" w:cs="Arial"/>
          <w:bCs/>
        </w:rPr>
        <w:t>n</w:t>
      </w:r>
      <w:r w:rsidR="00F10E52" w:rsidRPr="00596D81">
        <w:rPr>
          <w:rFonts w:ascii="Verdana" w:eastAsia="Calibri" w:hAnsi="Verdana" w:cs="Arial"/>
          <w:bCs/>
        </w:rPr>
        <w:t>aturaleza y régimen jurídico de las Empresas Prestadoras de Servicios Públicos Domiciliarios</w:t>
      </w:r>
      <w:r>
        <w:rPr>
          <w:rFonts w:ascii="Verdana" w:eastAsia="Calibri" w:hAnsi="Verdana" w:cs="Arial"/>
          <w:bCs/>
        </w:rPr>
        <w:t xml:space="preserve"> es de precisar que el </w:t>
      </w:r>
      <w:r w:rsidR="00F10E52" w:rsidRPr="00F10E52">
        <w:rPr>
          <w:rFonts w:ascii="Verdana" w:eastAsia="Times New Roman" w:hAnsi="Verdana" w:cs="Arial"/>
          <w:color w:val="1A1A1A"/>
          <w:lang w:eastAsia="es-ES_tradnl"/>
        </w:rPr>
        <w:t xml:space="preserve">artículo 365 de la Constitución Política establece que los servicios públicos domiciliarios «podrán ser prestados por el Estado, directa o indirectamente, por comunidades organizadas o por particulares», pero que </w:t>
      </w:r>
      <w:r>
        <w:rPr>
          <w:rFonts w:ascii="Verdana" w:eastAsia="Times New Roman" w:hAnsi="Verdana" w:cs="Arial"/>
          <w:color w:val="1A1A1A"/>
          <w:lang w:eastAsia="es-ES_tradnl"/>
        </w:rPr>
        <w:t>“</w:t>
      </w:r>
      <w:r w:rsidR="00F10E52" w:rsidRPr="00F10E52">
        <w:rPr>
          <w:rFonts w:ascii="Verdana" w:eastAsia="Times New Roman" w:hAnsi="Verdana" w:cs="Arial"/>
          <w:color w:val="1A1A1A"/>
          <w:lang w:eastAsia="es-ES_tradnl"/>
        </w:rPr>
        <w:t>[e]n todo caso, el Estado mantendrá la regulación, el control y la vigilancia de dichos servicios</w:t>
      </w:r>
      <w:r>
        <w:rPr>
          <w:rFonts w:ascii="Verdana" w:eastAsia="Times New Roman" w:hAnsi="Verdana" w:cs="Arial"/>
          <w:color w:val="1A1A1A"/>
          <w:lang w:eastAsia="es-ES_tradnl"/>
        </w:rPr>
        <w:t>”</w:t>
      </w:r>
      <w:r w:rsidR="00F10E52" w:rsidRPr="00F10E52">
        <w:rPr>
          <w:rFonts w:ascii="Verdana" w:eastAsia="Times New Roman" w:hAnsi="Verdana" w:cs="Arial"/>
          <w:color w:val="1A1A1A"/>
          <w:lang w:eastAsia="es-ES_tradnl"/>
        </w:rPr>
        <w:t xml:space="preserve">. En desarrollo de esta habilitación superior, el Congreso de la República dispuso, en el artículo 15 de la Ley 142 de 1994, que pueden actuar como operadores de servicios públicos domiciliarios: i) </w:t>
      </w:r>
      <w:r>
        <w:rPr>
          <w:rFonts w:ascii="Verdana" w:eastAsia="Times New Roman" w:hAnsi="Verdana" w:cs="Arial"/>
          <w:color w:val="1A1A1A"/>
          <w:lang w:eastAsia="es-ES_tradnl"/>
        </w:rPr>
        <w:t>“</w:t>
      </w:r>
      <w:r w:rsidR="00F10E52" w:rsidRPr="00F10E52">
        <w:rPr>
          <w:rFonts w:ascii="Verdana" w:eastAsia="Times New Roman" w:hAnsi="Verdana" w:cs="Arial"/>
          <w:color w:val="1A1A1A"/>
          <w:lang w:eastAsia="es-ES_tradnl"/>
        </w:rPr>
        <w:t>Las empresas de servicios públicos</w:t>
      </w:r>
      <w:r>
        <w:rPr>
          <w:rFonts w:ascii="Verdana" w:eastAsia="Times New Roman" w:hAnsi="Verdana" w:cs="Arial"/>
          <w:color w:val="1A1A1A"/>
          <w:lang w:eastAsia="es-ES_tradnl"/>
        </w:rPr>
        <w:t>”</w:t>
      </w:r>
      <w:r w:rsidR="00F10E52" w:rsidRPr="00F10E52">
        <w:rPr>
          <w:rFonts w:ascii="Verdana" w:eastAsia="Times New Roman" w:hAnsi="Verdana" w:cs="Arial"/>
          <w:color w:val="1A1A1A"/>
          <w:lang w:eastAsia="es-ES_tradnl"/>
        </w:rPr>
        <w:t xml:space="preserve"> –oficiales, mixtas y privadas–, </w:t>
      </w:r>
      <w:proofErr w:type="spellStart"/>
      <w:r w:rsidR="00F10E52" w:rsidRPr="00F10E52">
        <w:rPr>
          <w:rFonts w:ascii="Verdana" w:eastAsia="Times New Roman" w:hAnsi="Verdana" w:cs="Arial"/>
          <w:color w:val="1A1A1A"/>
          <w:lang w:eastAsia="es-ES_tradnl"/>
        </w:rPr>
        <w:t>ii</w:t>
      </w:r>
      <w:proofErr w:type="spellEnd"/>
      <w:r w:rsidR="00F10E52" w:rsidRPr="00F10E52">
        <w:rPr>
          <w:rFonts w:ascii="Verdana" w:eastAsia="Times New Roman" w:hAnsi="Verdana" w:cs="Arial"/>
          <w:color w:val="1A1A1A"/>
          <w:lang w:eastAsia="es-ES_tradnl"/>
        </w:rPr>
        <w:t xml:space="preserve">) </w:t>
      </w:r>
      <w:r>
        <w:rPr>
          <w:rFonts w:ascii="Verdana" w:eastAsia="Times New Roman" w:hAnsi="Verdana" w:cs="Arial"/>
          <w:color w:val="1A1A1A"/>
          <w:lang w:eastAsia="es-ES_tradnl"/>
        </w:rPr>
        <w:t>“</w:t>
      </w:r>
      <w:r w:rsidR="00F10E52" w:rsidRPr="00F10E52">
        <w:rPr>
          <w:rFonts w:ascii="Verdana" w:eastAsia="Times New Roman" w:hAnsi="Verdana" w:cs="Arial"/>
          <w:color w:val="1A1A1A"/>
          <w:lang w:eastAsia="es-ES_tradnl"/>
        </w:rPr>
        <w:t>Las personas naturales o jurídicas que produzcan para ellas mismas, o como consecuencia o complemento de su actividad principal, los bienes y servicios propios del objeto de las empresas de servicios públicos</w:t>
      </w:r>
      <w:r>
        <w:rPr>
          <w:rFonts w:ascii="Verdana" w:eastAsia="Times New Roman" w:hAnsi="Verdana" w:cs="Arial"/>
          <w:color w:val="1A1A1A"/>
          <w:lang w:eastAsia="es-ES_tradnl"/>
        </w:rPr>
        <w:t>”</w:t>
      </w:r>
      <w:r w:rsidR="00F10E52" w:rsidRPr="00F10E52">
        <w:rPr>
          <w:rFonts w:ascii="Verdana" w:eastAsia="Times New Roman" w:hAnsi="Verdana" w:cs="Arial"/>
          <w:color w:val="1A1A1A"/>
          <w:lang w:eastAsia="es-ES_tradnl"/>
        </w:rPr>
        <w:t>, </w:t>
      </w:r>
      <w:proofErr w:type="spellStart"/>
      <w:r w:rsidR="00F10E52" w:rsidRPr="00F10E52">
        <w:rPr>
          <w:rFonts w:ascii="Verdana" w:eastAsia="Times New Roman" w:hAnsi="Verdana" w:cs="Arial"/>
          <w:color w:val="1A1A1A"/>
          <w:lang w:eastAsia="es-ES_tradnl"/>
        </w:rPr>
        <w:t>iii</w:t>
      </w:r>
      <w:proofErr w:type="spellEnd"/>
      <w:r w:rsidR="00F10E52" w:rsidRPr="00F10E52">
        <w:rPr>
          <w:rFonts w:ascii="Verdana" w:eastAsia="Times New Roman" w:hAnsi="Verdana" w:cs="Arial"/>
          <w:color w:val="1A1A1A"/>
          <w:lang w:eastAsia="es-ES_tradnl"/>
        </w:rPr>
        <w:t xml:space="preserve">) </w:t>
      </w:r>
      <w:r>
        <w:rPr>
          <w:rFonts w:ascii="Verdana" w:eastAsia="Times New Roman" w:hAnsi="Verdana" w:cs="Arial"/>
          <w:color w:val="1A1A1A"/>
          <w:lang w:eastAsia="es-ES_tradnl"/>
        </w:rPr>
        <w:t>“</w:t>
      </w:r>
      <w:r w:rsidR="00F10E52" w:rsidRPr="00F10E52">
        <w:rPr>
          <w:rFonts w:ascii="Verdana" w:eastAsia="Times New Roman" w:hAnsi="Verdana" w:cs="Arial"/>
          <w:color w:val="1A1A1A"/>
          <w:lang w:eastAsia="es-ES_tradnl"/>
        </w:rPr>
        <w:t>Los municipios cuando asuman en forma directa, a través de su administración central, la prestación de los servicios públicos, conforme a lo dispuesto en esta Ley</w:t>
      </w:r>
      <w:r>
        <w:rPr>
          <w:rFonts w:ascii="Verdana" w:eastAsia="Times New Roman" w:hAnsi="Verdana" w:cs="Arial"/>
          <w:color w:val="1A1A1A"/>
          <w:lang w:eastAsia="es-ES_tradnl"/>
        </w:rPr>
        <w:t>”</w:t>
      </w:r>
      <w:r w:rsidR="00F10E52" w:rsidRPr="00F10E52">
        <w:rPr>
          <w:rFonts w:ascii="Verdana" w:eastAsia="Times New Roman" w:hAnsi="Verdana" w:cs="Arial"/>
          <w:color w:val="1A1A1A"/>
          <w:lang w:eastAsia="es-ES_tradnl"/>
        </w:rPr>
        <w:t>, y </w:t>
      </w:r>
      <w:proofErr w:type="spellStart"/>
      <w:r w:rsidR="00F10E52" w:rsidRPr="00F10E52">
        <w:rPr>
          <w:rFonts w:ascii="Verdana" w:eastAsia="Times New Roman" w:hAnsi="Verdana" w:cs="Arial"/>
          <w:color w:val="1A1A1A"/>
          <w:lang w:eastAsia="es-ES_tradnl"/>
        </w:rPr>
        <w:t>iv</w:t>
      </w:r>
      <w:proofErr w:type="spellEnd"/>
      <w:r w:rsidR="00F10E52" w:rsidRPr="00F10E52">
        <w:rPr>
          <w:rFonts w:ascii="Verdana" w:eastAsia="Times New Roman" w:hAnsi="Verdana" w:cs="Arial"/>
          <w:color w:val="1A1A1A"/>
          <w:lang w:eastAsia="es-ES_tradnl"/>
        </w:rPr>
        <w:t xml:space="preserve">) </w:t>
      </w:r>
      <w:r>
        <w:rPr>
          <w:rFonts w:ascii="Verdana" w:eastAsia="Times New Roman" w:hAnsi="Verdana" w:cs="Arial"/>
          <w:color w:val="1A1A1A"/>
          <w:lang w:eastAsia="es-ES_tradnl"/>
        </w:rPr>
        <w:t>“</w:t>
      </w:r>
      <w:r w:rsidR="00F10E52" w:rsidRPr="00F10E52">
        <w:rPr>
          <w:rFonts w:ascii="Verdana" w:eastAsia="Times New Roman" w:hAnsi="Verdana" w:cs="Arial"/>
          <w:color w:val="1A1A1A"/>
          <w:lang w:eastAsia="es-ES_tradnl"/>
        </w:rPr>
        <w:t>Las organizaciones autorizadas conforme a esta Ley para prestar servicios públicos en municipios menores en zonas rurales y en áreas o zonas urbanas específicas</w:t>
      </w:r>
      <w:r>
        <w:rPr>
          <w:rFonts w:ascii="Verdana" w:eastAsia="Times New Roman" w:hAnsi="Verdana" w:cs="Arial"/>
          <w:color w:val="1A1A1A"/>
          <w:lang w:eastAsia="es-ES_tradnl"/>
        </w:rPr>
        <w:t>”</w:t>
      </w:r>
      <w:r w:rsidR="00F10E52" w:rsidRPr="00F10E52">
        <w:rPr>
          <w:rFonts w:ascii="Verdana" w:eastAsia="Times New Roman" w:hAnsi="Verdana" w:cs="Arial"/>
          <w:color w:val="1A1A1A"/>
          <w:lang w:eastAsia="es-ES_tradnl"/>
        </w:rPr>
        <w:t>.</w:t>
      </w:r>
    </w:p>
    <w:p w14:paraId="309892DB" w14:textId="77777777" w:rsidR="00F10E52" w:rsidRPr="00F10E52" w:rsidRDefault="00F10E52" w:rsidP="00F10E52">
      <w:pPr>
        <w:spacing w:before="120" w:after="120" w:line="276" w:lineRule="auto"/>
        <w:ind w:firstLine="709"/>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Por su parte, el artículo 14 de la Ley 142 de 1994 contiene las definiciones para la correcta aplicación e interpretación del régimen de servicios públicos domiciliarios. Esta norma define las empresas de servicios públicos oficial, mixta y privada, en los siguientes términos: </w:t>
      </w:r>
    </w:p>
    <w:p w14:paraId="7B5C3F37" w14:textId="2183BAD2" w:rsidR="00F10E52" w:rsidRPr="00596D81" w:rsidRDefault="00596D81" w:rsidP="00F10E52">
      <w:pPr>
        <w:spacing w:before="120" w:after="120" w:line="276" w:lineRule="auto"/>
        <w:ind w:left="709" w:right="474"/>
        <w:jc w:val="both"/>
        <w:rPr>
          <w:rFonts w:ascii="Verdana" w:eastAsia="Times New Roman" w:hAnsi="Verdana" w:cs="Arial"/>
          <w:color w:val="1A1A1A"/>
          <w:sz w:val="20"/>
          <w:szCs w:val="20"/>
          <w:lang w:eastAsia="es-ES_tradnl"/>
        </w:rPr>
      </w:pPr>
      <w:r>
        <w:rPr>
          <w:rFonts w:ascii="Verdana" w:eastAsia="Times New Roman" w:hAnsi="Verdana" w:cs="Arial"/>
          <w:color w:val="1A1A1A"/>
          <w:sz w:val="20"/>
          <w:szCs w:val="20"/>
          <w:lang w:eastAsia="es-ES_tradnl"/>
        </w:rPr>
        <w:t>“</w:t>
      </w:r>
      <w:r w:rsidR="00F10E52" w:rsidRPr="00596D81">
        <w:rPr>
          <w:rFonts w:ascii="Verdana" w:eastAsia="Times New Roman" w:hAnsi="Verdana" w:cs="Arial"/>
          <w:color w:val="1A1A1A"/>
          <w:sz w:val="20"/>
          <w:szCs w:val="20"/>
          <w:lang w:eastAsia="es-ES_tradnl"/>
        </w:rPr>
        <w:t>14.5. Empresa de servicios públicos oficial. Es aquella en cuyo capital la Nación, las entidades territoriales, o las entidades descentralizadas de aquella o estas tienen el 100% de los aportes.</w:t>
      </w:r>
    </w:p>
    <w:p w14:paraId="1CF21CEA" w14:textId="77777777" w:rsidR="00F10E52" w:rsidRPr="00596D81" w:rsidRDefault="00F10E52" w:rsidP="00F10E52">
      <w:pPr>
        <w:spacing w:before="120" w:after="120" w:line="276" w:lineRule="auto"/>
        <w:ind w:left="709" w:right="474"/>
        <w:jc w:val="both"/>
        <w:rPr>
          <w:rFonts w:ascii="Verdana" w:eastAsia="Times New Roman" w:hAnsi="Verdana" w:cs="Arial"/>
          <w:color w:val="1A1A1A"/>
          <w:sz w:val="20"/>
          <w:szCs w:val="20"/>
          <w:lang w:eastAsia="es-ES_tradnl"/>
        </w:rPr>
      </w:pPr>
      <w:r w:rsidRPr="00596D81">
        <w:rPr>
          <w:rFonts w:ascii="Verdana" w:eastAsia="Times New Roman" w:hAnsi="Verdana" w:cs="Arial"/>
          <w:color w:val="1A1A1A"/>
          <w:sz w:val="20"/>
          <w:szCs w:val="20"/>
          <w:lang w:eastAsia="es-ES_tradnl"/>
        </w:rPr>
        <w:t>14.6. Empresa de servicios públicos mixta. Es aquella en cuyo capital la Nación, las entidades territoriales, o las entidades descentralizadas de aquella o éstas tienen aportes iguales o superiores al 50%. </w:t>
      </w:r>
    </w:p>
    <w:p w14:paraId="0F4C0145" w14:textId="080087DE" w:rsidR="00F10E52" w:rsidRPr="00596D81" w:rsidRDefault="00F10E52" w:rsidP="00F10E52">
      <w:pPr>
        <w:spacing w:before="120" w:after="120" w:line="276" w:lineRule="auto"/>
        <w:ind w:left="709" w:right="474"/>
        <w:jc w:val="both"/>
        <w:rPr>
          <w:rFonts w:ascii="Verdana" w:eastAsia="Times New Roman" w:hAnsi="Verdana" w:cs="Arial"/>
          <w:color w:val="1A1A1A"/>
          <w:sz w:val="20"/>
          <w:szCs w:val="20"/>
          <w:lang w:eastAsia="es-ES_tradnl"/>
        </w:rPr>
      </w:pPr>
      <w:r w:rsidRPr="00596D81">
        <w:rPr>
          <w:rFonts w:ascii="Verdana" w:eastAsia="Times New Roman" w:hAnsi="Verdana" w:cs="Arial"/>
          <w:color w:val="1A1A1A"/>
          <w:sz w:val="20"/>
          <w:szCs w:val="20"/>
          <w:lang w:eastAsia="es-ES_tradnl"/>
        </w:rPr>
        <w:t>14.7. Empresa de servicios públicos privada. Es aquella cuyo capital pertenece mayoritariamente a particulares, o a entidades surgidas de convenios internacionales que deseen someterse íntegramente para estos efectos a las reglas a las que se someten los particulares</w:t>
      </w:r>
      <w:r w:rsidR="00596D81">
        <w:rPr>
          <w:rFonts w:ascii="Verdana" w:eastAsia="Times New Roman" w:hAnsi="Verdana" w:cs="Arial"/>
          <w:color w:val="1A1A1A"/>
          <w:sz w:val="20"/>
          <w:szCs w:val="20"/>
          <w:lang w:eastAsia="es-ES_tradnl"/>
        </w:rPr>
        <w:t>”</w:t>
      </w:r>
      <w:r w:rsidRPr="00596D81">
        <w:rPr>
          <w:rFonts w:ascii="Verdana" w:eastAsia="Times New Roman" w:hAnsi="Verdana" w:cs="Arial"/>
          <w:color w:val="1A1A1A"/>
          <w:sz w:val="20"/>
          <w:szCs w:val="20"/>
          <w:lang w:eastAsia="es-ES_tradnl"/>
        </w:rPr>
        <w:t>. </w:t>
      </w:r>
    </w:p>
    <w:p w14:paraId="3F2091BE" w14:textId="3F15D859" w:rsidR="00F10E52" w:rsidRPr="00F10E52" w:rsidRDefault="00F10E52" w:rsidP="00F10E52">
      <w:pPr>
        <w:spacing w:before="120" w:after="120" w:line="276" w:lineRule="auto"/>
        <w:ind w:firstLine="708"/>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lastRenderedPageBreak/>
        <w:t xml:space="preserve">A su turno, el artículo 17 de la ley citada señala que </w:t>
      </w:r>
      <w:r w:rsidR="00596D81">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las empresas de servicios públicos son sociedades por acciones cuyo objeto es la prestación de los servicios públicos de que trata esta ley</w:t>
      </w:r>
      <w:r w:rsidR="00596D81">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 </w:t>
      </w:r>
    </w:p>
    <w:p w14:paraId="5F83FB84" w14:textId="77777777" w:rsidR="00F10E52" w:rsidRPr="00F10E52" w:rsidRDefault="00F10E52" w:rsidP="00F10E52">
      <w:pPr>
        <w:spacing w:before="120" w:after="120" w:line="276" w:lineRule="auto"/>
        <w:ind w:firstLine="708"/>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De otro lado, el artículo 38 de la Ley 489 de 1998 determina la integración de la Rama Ejecutiva del Poder Público en el orden nacional, y en su literal d) señala que las empresas sociales del Estado y las empresas oficiales de servicios públicos domiciliarios pertenecen a las entidades de la Rama Ejecutiva del sector descentralizado por servicios. El artículo 68 de esta ley, al listar las entidades descentralizadas del orden nacional, se refirió únicamente a las empresas oficiales de servicios públicos, esto es, aquellas en las que la participación del Estado es del 100%</w:t>
      </w:r>
      <w:r w:rsidRPr="00F10E52">
        <w:rPr>
          <w:rFonts w:ascii="Verdana" w:eastAsia="Times New Roman" w:hAnsi="Verdana" w:cs="Arial"/>
          <w:color w:val="1A1A1A"/>
          <w:vertAlign w:val="superscript"/>
          <w:lang w:eastAsia="es-ES_tradnl"/>
        </w:rPr>
        <w:footnoteReference w:id="23"/>
      </w:r>
      <w:r w:rsidRPr="00F10E52">
        <w:rPr>
          <w:rFonts w:ascii="Verdana" w:eastAsia="Times New Roman" w:hAnsi="Verdana" w:cs="Arial"/>
          <w:color w:val="1A1A1A"/>
          <w:lang w:eastAsia="es-ES_tradnl"/>
        </w:rPr>
        <w:t xml:space="preserve">. </w:t>
      </w:r>
    </w:p>
    <w:p w14:paraId="6554DA75" w14:textId="7DA29153" w:rsidR="00F10E52" w:rsidRPr="00F10E52" w:rsidRDefault="00F10E52" w:rsidP="00F10E52">
      <w:pPr>
        <w:spacing w:before="120" w:after="120" w:line="276" w:lineRule="auto"/>
        <w:ind w:firstLine="708"/>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Lo anterior llevó a pensar que el legislador excluyó de la Rama Ejecutiva a las empresas de servicios públicos mixtas –capital público superior al 50%– y las privadas –capital público inferior al 50%–. Sin embargo, la Corte Constitucional determinó que tanto las empresas de servicios públicos mixtas como las privadas hacían parte de la Rama Ejecutiva, toda vez que el literal g) del artículo 38 de la Ley 489 de 1998 aplica a </w:t>
      </w:r>
      <w:r w:rsidR="00596D81">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g) Las demás entidades administrativas nacionales con personería jurídica que cree, organice o autorice la ley para que formen parte de la Rama Ejecutiva del Poder Público</w:t>
      </w:r>
      <w:r w:rsidR="00596D81">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 </w:t>
      </w:r>
    </w:p>
    <w:p w14:paraId="034D9CBD" w14:textId="77777777" w:rsidR="00F10E52" w:rsidRPr="00F10E52" w:rsidRDefault="00F10E52" w:rsidP="00F10E52">
      <w:pPr>
        <w:spacing w:before="120" w:after="120" w:line="276" w:lineRule="auto"/>
        <w:ind w:firstLine="709"/>
        <w:jc w:val="both"/>
        <w:rPr>
          <w:rFonts w:ascii="Verdana" w:eastAsia="Times New Roman" w:hAnsi="Verdana" w:cs="Arial"/>
          <w:color w:val="1A1A1A"/>
          <w:lang w:eastAsia="es-CO"/>
        </w:rPr>
      </w:pPr>
      <w:r w:rsidRPr="00F10E52">
        <w:rPr>
          <w:rFonts w:ascii="Verdana" w:eastAsia="Times New Roman" w:hAnsi="Verdana" w:cs="Arial"/>
          <w:color w:val="1A1A1A"/>
          <w:lang w:eastAsia="es-ES_tradnl"/>
        </w:rPr>
        <w:t>La Corte Constitucional, además de señalar la pertenencia a la Rama Ejecutiva de las empresas de servicios públicos mixtas y privadas, también sostuvo que se trataba de entidades descentralizadas por servicios, en los términos del artículo 68 de la Ley 489 de 1998</w:t>
      </w:r>
      <w:r w:rsidRPr="00F10E52">
        <w:rPr>
          <w:rFonts w:ascii="Verdana" w:eastAsia="Times New Roman" w:hAnsi="Verdana" w:cs="Arial"/>
          <w:color w:val="1A1A1A"/>
          <w:vertAlign w:val="superscript"/>
          <w:lang w:eastAsia="es-ES_tradnl"/>
        </w:rPr>
        <w:footnoteReference w:id="24"/>
      </w:r>
      <w:r w:rsidRPr="00F10E52">
        <w:rPr>
          <w:rFonts w:ascii="Verdana" w:eastAsia="Times New Roman" w:hAnsi="Verdana" w:cs="Arial"/>
          <w:color w:val="1A1A1A"/>
          <w:lang w:eastAsia="es-ES_tradnl"/>
        </w:rPr>
        <w:t xml:space="preserve">. En esta providencia también aclaró que las empresas prestadoras de servicios públicos, de carácter mixto o </w:t>
      </w:r>
      <w:r w:rsidRPr="00F10E52">
        <w:rPr>
          <w:rFonts w:ascii="Verdana" w:eastAsia="Times New Roman" w:hAnsi="Verdana" w:cs="Arial"/>
          <w:color w:val="1A1A1A"/>
          <w:lang w:eastAsia="es-ES_tradnl"/>
        </w:rPr>
        <w:lastRenderedPageBreak/>
        <w:t>privado, no son empresas de economía mixta. La anterior conclusión fue fundamentada sobre la idea del carácter o naturaleza especial que la Constitución otorgó a las empresas de servicios públicos</w:t>
      </w:r>
      <w:r w:rsidRPr="00F10E52">
        <w:rPr>
          <w:rFonts w:ascii="Verdana" w:eastAsia="Times New Roman" w:hAnsi="Verdana" w:cs="Arial"/>
          <w:color w:val="1A1A1A"/>
          <w:vertAlign w:val="superscript"/>
          <w:lang w:eastAsia="es-CO"/>
        </w:rPr>
        <w:footnoteReference w:id="25"/>
      </w:r>
      <w:r w:rsidRPr="00F10E52">
        <w:rPr>
          <w:rFonts w:ascii="Verdana" w:eastAsia="Times New Roman" w:hAnsi="Verdana" w:cs="Arial"/>
          <w:color w:val="1A1A1A"/>
          <w:lang w:eastAsia="es-CO"/>
        </w:rPr>
        <w:t>.</w:t>
      </w:r>
    </w:p>
    <w:p w14:paraId="5382B728" w14:textId="77777777" w:rsidR="00F10E52" w:rsidRPr="00F10E52" w:rsidRDefault="00F10E52" w:rsidP="00F10E52">
      <w:pPr>
        <w:spacing w:before="120" w:after="120" w:line="276" w:lineRule="auto"/>
        <w:ind w:firstLine="708"/>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Así las cosas, las empresas de servicios públicos tienen una naturaleza jurídica especial que viene dada directamente por el artículo 356 de la Constitución Política, y el hecho de que su composición accionaria pueda estar compartida por recursos públicos y privados no las convierte en sociedades de economía mixta, pues las empresas en cuestión tienen su clasificación propia dependiendo de la composición de su capital accionario: empresas de servicios públicos oficiales, mixtas y privadas. Ahora, sin importar su clasificación, todas hacen parte de la Rama Ejecutiva del sector descentralizado por servicios. </w:t>
      </w:r>
    </w:p>
    <w:p w14:paraId="58B951B9" w14:textId="0A7B6C80" w:rsidR="00F10E52" w:rsidRPr="00F10E52" w:rsidRDefault="00F10E52" w:rsidP="00F10E52">
      <w:pPr>
        <w:spacing w:before="120" w:after="120" w:line="276" w:lineRule="auto"/>
        <w:ind w:firstLine="709"/>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En cuanto al régimen jurídico de contratación de las empresas de servicios públicos, el inciso primero del artículo 31 de la Ley 142 de 1994 señala que «[l]os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r w:rsidR="00596D81">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De esta manera, sin perjuicio de lo dispuesto en el artículo 13 de la Ley 1150 de 2007 sobre la aplicación de los principios de la función administrativa, la gestión fiscal, las inhabilidades e incompatibilidades, el régimen jurídico aplicable a los contratos que celebren las empresas de servicios públicos, incluso para las oficiales y las mixtas, es el contenido en el derecho civil y comercial, esto es, por regla general no están sometidas a la Ley 80 de 1993</w:t>
      </w:r>
      <w:r w:rsidRPr="00F10E52">
        <w:rPr>
          <w:rFonts w:ascii="Verdana" w:eastAsia="Times New Roman" w:hAnsi="Verdana" w:cs="Arial"/>
          <w:color w:val="1A1A1A"/>
          <w:vertAlign w:val="superscript"/>
          <w:lang w:eastAsia="es-ES_tradnl"/>
        </w:rPr>
        <w:footnoteReference w:id="26"/>
      </w:r>
      <w:r w:rsidRPr="00F10E52">
        <w:rPr>
          <w:rFonts w:ascii="Verdana" w:eastAsia="Times New Roman" w:hAnsi="Verdana" w:cs="Arial"/>
          <w:color w:val="1A1A1A"/>
          <w:lang w:eastAsia="es-ES_tradnl"/>
        </w:rPr>
        <w:t>.</w:t>
      </w:r>
    </w:p>
    <w:p w14:paraId="71C8EB30" w14:textId="3BF0BBE7" w:rsidR="00C71956" w:rsidRPr="00C71956" w:rsidRDefault="0067596F" w:rsidP="00596D81">
      <w:pPr>
        <w:spacing w:line="276" w:lineRule="auto"/>
        <w:ind w:firstLine="708"/>
        <w:jc w:val="both"/>
        <w:rPr>
          <w:rFonts w:ascii="Verdana" w:eastAsia="Aptos" w:hAnsi="Verdana" w:cs="Arial"/>
          <w:shd w:val="clear" w:color="auto" w:fill="FFFFFF"/>
        </w:rPr>
      </w:pPr>
      <w:r w:rsidRPr="00377ED6">
        <w:rPr>
          <w:rFonts w:ascii="Verdana" w:eastAsia="Calibri" w:hAnsi="Verdana" w:cs="Arial"/>
          <w:bCs/>
          <w:lang w:val="es-ES_tradnl"/>
        </w:rPr>
        <w:t xml:space="preserve"> </w:t>
      </w:r>
      <w:r w:rsidR="00C71956">
        <w:rPr>
          <w:rFonts w:ascii="Verdana" w:eastAsia="Calibri" w:hAnsi="Verdana" w:cs="Arial"/>
          <w:lang w:eastAsia="es-ES"/>
        </w:rPr>
        <w:t>Finalmente</w:t>
      </w:r>
      <w:r w:rsidR="00C71956">
        <w:rPr>
          <w:rFonts w:ascii="Verdana" w:eastAsia="Calibri" w:hAnsi="Verdana" w:cs="Times New Roman"/>
        </w:rPr>
        <w:t>,</w:t>
      </w:r>
      <w:r w:rsidR="00C71956" w:rsidRPr="00DB4737">
        <w:rPr>
          <w:rFonts w:ascii="Verdana" w:eastAsia="Calibri" w:hAnsi="Verdana" w:cs="Times New Roman"/>
        </w:rPr>
        <w:t xml:space="preserve"> debe advertirse que el análisis en torno </w:t>
      </w:r>
      <w:r w:rsidR="00C71956">
        <w:rPr>
          <w:rFonts w:ascii="Verdana" w:eastAsia="Calibri" w:hAnsi="Verdana" w:cs="Times New Roman"/>
        </w:rPr>
        <w:t>a un proceso de contratación especifico debe</w:t>
      </w:r>
      <w:r w:rsidR="00C71956" w:rsidRPr="0012388D">
        <w:rPr>
          <w:rFonts w:ascii="Verdana" w:eastAsia="Calibri" w:hAnsi="Verdana" w:cs="Times New Roman"/>
        </w:rPr>
        <w:t xml:space="preserve"> ser realizado por quienes tengan interés en ello.</w:t>
      </w:r>
      <w:r w:rsidR="00C71956" w:rsidRPr="00DB4737">
        <w:rPr>
          <w:rFonts w:ascii="Verdana" w:eastAsia="Calibri" w:hAnsi="Verdana" w:cs="Times New Roman"/>
        </w:rPr>
        <w:t xml:space="preserve"> De </w:t>
      </w:r>
      <w:r w:rsidR="00C71956" w:rsidRPr="00DB4737">
        <w:rPr>
          <w:rFonts w:ascii="Verdana" w:eastAsia="Calibri" w:hAnsi="Verdana" w:cs="Times New Roman"/>
        </w:rPr>
        <w:lastRenderedPageBreak/>
        <w:t>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C71956">
        <w:t xml:space="preserve"> </w:t>
      </w:r>
    </w:p>
    <w:p w14:paraId="706887B0" w14:textId="77777777" w:rsidR="00C71956" w:rsidRDefault="00C71956" w:rsidP="00C71956">
      <w:pPr>
        <w:widowControl w:val="0"/>
        <w:spacing w:after="120" w:line="276" w:lineRule="auto"/>
        <w:jc w:val="both"/>
        <w:rPr>
          <w:rFonts w:ascii="Verdana" w:eastAsia="Calibri" w:hAnsi="Verdana" w:cs="Arial"/>
          <w:lang w:eastAsia="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hAnsi="Verdana" w:cs="Arial"/>
          <w:iCs/>
          <w:color w:val="000000" w:themeColor="text1"/>
        </w:rPr>
        <w:t xml:space="preserve">        </w:t>
      </w:r>
    </w:p>
    <w:p w14:paraId="395AECD0" w14:textId="77777777" w:rsidR="00B715C6" w:rsidRDefault="00B715C6" w:rsidP="000265BC">
      <w:pPr>
        <w:spacing w:after="120" w:line="276" w:lineRule="auto"/>
        <w:ind w:firstLine="708"/>
        <w:jc w:val="both"/>
        <w:rPr>
          <w:rFonts w:ascii="Verdana" w:eastAsia="Times New Roman" w:hAnsi="Verdana" w:cs="Arial"/>
          <w:lang w:val="es-ES_tradnl" w:eastAsia="es-ES_tradnl"/>
        </w:rPr>
      </w:pPr>
    </w:p>
    <w:p w14:paraId="10369344" w14:textId="0B6AEA76" w:rsidR="0087031A" w:rsidRPr="00B715C6" w:rsidRDefault="0087031A" w:rsidP="00B715C6">
      <w:pPr>
        <w:pStyle w:val="Prrafodelista"/>
        <w:numPr>
          <w:ilvl w:val="0"/>
          <w:numId w:val="16"/>
        </w:numPr>
        <w:spacing w:after="120" w:line="276" w:lineRule="auto"/>
        <w:ind w:left="426"/>
        <w:jc w:val="both"/>
        <w:rPr>
          <w:rFonts w:ascii="Verdana" w:eastAsia="Times New Roman" w:hAnsi="Verdana" w:cs="Arial"/>
          <w:lang w:val="es-ES_tradnl" w:eastAsia="es-ES_tradnl"/>
        </w:rPr>
      </w:pPr>
      <w:r w:rsidRPr="00B715C6">
        <w:rPr>
          <w:rFonts w:ascii="Verdana" w:eastAsia="Century Gothic" w:hAnsi="Verdana" w:cs="Century Gothic"/>
          <w:b/>
          <w:bCs/>
        </w:rPr>
        <w:t>Referencias normativas, jurisprudenciales y otras fuentes:</w:t>
      </w:r>
    </w:p>
    <w:p w14:paraId="18BC5F6A" w14:textId="77777777" w:rsidR="0087031A" w:rsidRPr="00593A5F" w:rsidRDefault="0087031A" w:rsidP="0087031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031A" w:rsidRPr="00593A5F" w14:paraId="42DD39C5" w14:textId="77777777" w:rsidTr="00580B7F">
        <w:trPr>
          <w:trHeight w:val="870"/>
        </w:trPr>
        <w:tc>
          <w:tcPr>
            <w:tcW w:w="8647" w:type="dxa"/>
          </w:tcPr>
          <w:p w14:paraId="28808128" w14:textId="1A68C652" w:rsidR="00377B05" w:rsidRDefault="00377B05" w:rsidP="00377B05">
            <w:pPr>
              <w:widowControl w:val="0"/>
              <w:numPr>
                <w:ilvl w:val="0"/>
                <w:numId w:val="30"/>
              </w:numPr>
              <w:autoSpaceDE w:val="0"/>
              <w:autoSpaceDN w:val="0"/>
              <w:jc w:val="both"/>
              <w:rPr>
                <w:rFonts w:ascii="Verdana" w:hAnsi="Verdana" w:cs="Arial"/>
                <w:lang w:val="es-ES"/>
              </w:rPr>
            </w:pPr>
            <w:r w:rsidRPr="00377B05">
              <w:rPr>
                <w:rFonts w:ascii="Verdana" w:hAnsi="Verdana" w:cs="Arial"/>
                <w:lang w:val="es-ES"/>
              </w:rPr>
              <w:t>Constitución Política: Artículo 127.</w:t>
            </w:r>
          </w:p>
          <w:p w14:paraId="64E7ADA7" w14:textId="77777777" w:rsidR="00377B05" w:rsidRPr="00377B05" w:rsidRDefault="00377B05" w:rsidP="00377B05">
            <w:pPr>
              <w:widowControl w:val="0"/>
              <w:numPr>
                <w:ilvl w:val="0"/>
                <w:numId w:val="30"/>
              </w:numPr>
              <w:autoSpaceDE w:val="0"/>
              <w:autoSpaceDN w:val="0"/>
              <w:jc w:val="both"/>
              <w:rPr>
                <w:rFonts w:ascii="Verdana" w:hAnsi="Verdana" w:cs="Arial"/>
                <w:lang w:val="es-ES"/>
              </w:rPr>
            </w:pPr>
            <w:r w:rsidRPr="00377B05">
              <w:rPr>
                <w:rFonts w:ascii="Verdana" w:hAnsi="Verdana" w:cs="Arial"/>
                <w:lang w:val="es-ES"/>
              </w:rPr>
              <w:t xml:space="preserve">Ley 80 de 1993, artículos 39, 41. </w:t>
            </w:r>
          </w:p>
          <w:p w14:paraId="26FDBC82" w14:textId="77777777" w:rsidR="00377B05" w:rsidRPr="00377B05" w:rsidRDefault="00377B05" w:rsidP="00377B05">
            <w:pPr>
              <w:widowControl w:val="0"/>
              <w:numPr>
                <w:ilvl w:val="0"/>
                <w:numId w:val="30"/>
              </w:numPr>
              <w:autoSpaceDE w:val="0"/>
              <w:autoSpaceDN w:val="0"/>
              <w:jc w:val="both"/>
              <w:rPr>
                <w:rFonts w:ascii="Verdana" w:hAnsi="Verdana" w:cs="Arial"/>
                <w:lang w:val="es-ES"/>
              </w:rPr>
            </w:pPr>
            <w:r w:rsidRPr="00377B05">
              <w:rPr>
                <w:rFonts w:ascii="Verdana" w:hAnsi="Verdana" w:cs="Arial"/>
                <w:lang w:val="es-ES"/>
              </w:rPr>
              <w:t xml:space="preserve">Código Civil, artículo 1501. </w:t>
            </w:r>
          </w:p>
          <w:p w14:paraId="6F357CB9" w14:textId="77777777" w:rsidR="00377B05" w:rsidRPr="00377B05" w:rsidRDefault="00377B05" w:rsidP="00377B05">
            <w:pPr>
              <w:widowControl w:val="0"/>
              <w:numPr>
                <w:ilvl w:val="0"/>
                <w:numId w:val="30"/>
              </w:numPr>
              <w:autoSpaceDE w:val="0"/>
              <w:autoSpaceDN w:val="0"/>
              <w:jc w:val="both"/>
              <w:rPr>
                <w:rFonts w:ascii="Verdana" w:hAnsi="Verdana" w:cs="Arial"/>
                <w:lang w:val="es-ES"/>
              </w:rPr>
            </w:pPr>
            <w:r w:rsidRPr="00377B05">
              <w:rPr>
                <w:rFonts w:ascii="Verdana" w:hAnsi="Verdana" w:cs="Arial"/>
                <w:lang w:val="es-ES"/>
              </w:rPr>
              <w:t>Ley 996 de 2005: artículos 33 y 38 parágrafo.</w:t>
            </w:r>
          </w:p>
          <w:p w14:paraId="27C041EE" w14:textId="77777777" w:rsidR="0092765E" w:rsidRPr="0092765E" w:rsidRDefault="00377B05" w:rsidP="0092765E">
            <w:pPr>
              <w:widowControl w:val="0"/>
              <w:numPr>
                <w:ilvl w:val="0"/>
                <w:numId w:val="30"/>
              </w:numPr>
              <w:autoSpaceDE w:val="0"/>
              <w:autoSpaceDN w:val="0"/>
              <w:jc w:val="both"/>
              <w:rPr>
                <w:rFonts w:ascii="Verdana" w:hAnsi="Verdana" w:cs="Arial"/>
                <w:lang w:val="es-ES"/>
              </w:rPr>
            </w:pPr>
            <w:r w:rsidRPr="00377B05">
              <w:rPr>
                <w:rFonts w:ascii="Verdana" w:hAnsi="Verdana" w:cs="Arial"/>
                <w:lang w:val="es-ES"/>
              </w:rPr>
              <w:t xml:space="preserve">Ley 1150 de 2007, Artículo 2, numeral 4. </w:t>
            </w:r>
            <w:r w:rsidR="0092765E" w:rsidRPr="0092765E">
              <w:rPr>
                <w:rFonts w:ascii="Verdana" w:hAnsi="Verdana" w:cs="Arial"/>
                <w:lang w:val="es-ES"/>
              </w:rPr>
              <w:t xml:space="preserve">Corte Constitucional, Sentencia C-233 de 4 de abril de 2002, </w:t>
            </w:r>
            <w:proofErr w:type="spellStart"/>
            <w:r w:rsidR="0092765E" w:rsidRPr="0092765E">
              <w:rPr>
                <w:rFonts w:ascii="Verdana" w:hAnsi="Verdana" w:cs="Arial"/>
                <w:lang w:val="es-ES"/>
              </w:rPr>
              <w:t>Exp</w:t>
            </w:r>
            <w:proofErr w:type="spellEnd"/>
            <w:r w:rsidR="0092765E" w:rsidRPr="0092765E">
              <w:rPr>
                <w:rFonts w:ascii="Verdana" w:hAnsi="Verdana" w:cs="Arial"/>
                <w:lang w:val="es-ES"/>
              </w:rPr>
              <w:t>. D-3704.</w:t>
            </w:r>
          </w:p>
          <w:p w14:paraId="50D0C038"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20 de noviembre de 2001, </w:t>
            </w:r>
            <w:proofErr w:type="spellStart"/>
            <w:r w:rsidRPr="0092765E">
              <w:rPr>
                <w:rFonts w:ascii="Verdana" w:hAnsi="Verdana" w:cs="Arial"/>
                <w:lang w:val="es-ES"/>
              </w:rPr>
              <w:t>Exp</w:t>
            </w:r>
            <w:proofErr w:type="spellEnd"/>
            <w:r w:rsidRPr="0092765E">
              <w:rPr>
                <w:rFonts w:ascii="Verdana" w:hAnsi="Verdana" w:cs="Arial"/>
                <w:lang w:val="es-ES"/>
              </w:rPr>
              <w:t>. 2001-0130-01(PI).</w:t>
            </w:r>
          </w:p>
          <w:p w14:paraId="69D72C0E"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22 de enero de 2002, </w:t>
            </w:r>
            <w:proofErr w:type="spellStart"/>
            <w:r w:rsidRPr="0092765E">
              <w:rPr>
                <w:rFonts w:ascii="Verdana" w:hAnsi="Verdana" w:cs="Arial"/>
                <w:lang w:val="es-ES"/>
              </w:rPr>
              <w:t>Exp</w:t>
            </w:r>
            <w:proofErr w:type="spellEnd"/>
            <w:r w:rsidRPr="0092765E">
              <w:rPr>
                <w:rFonts w:ascii="Verdana" w:hAnsi="Verdana" w:cs="Arial"/>
                <w:lang w:val="es-ES"/>
              </w:rPr>
              <w:t>. 2001-0148-01.</w:t>
            </w:r>
          </w:p>
          <w:p w14:paraId="75251BA8"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 xml:space="preserve">Corte Constitucional, Sentencia C-551 de 9 de julio de 2003, </w:t>
            </w:r>
            <w:proofErr w:type="spellStart"/>
            <w:r w:rsidRPr="0092765E">
              <w:rPr>
                <w:rFonts w:ascii="Verdana" w:hAnsi="Verdana" w:cs="Arial"/>
                <w:lang w:val="es-ES"/>
              </w:rPr>
              <w:t>Exp</w:t>
            </w:r>
            <w:proofErr w:type="spellEnd"/>
            <w:r w:rsidRPr="0092765E">
              <w:rPr>
                <w:rFonts w:ascii="Verdana" w:hAnsi="Verdana" w:cs="Arial"/>
                <w:lang w:val="es-ES"/>
              </w:rPr>
              <w:t>. CRF-001 de 9 de julio de 2003.</w:t>
            </w:r>
          </w:p>
          <w:p w14:paraId="26E1597A"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 xml:space="preserve">Corte Constitucional, Sentencia C-652 de 5 de agosto de 2003, </w:t>
            </w:r>
            <w:proofErr w:type="spellStart"/>
            <w:r w:rsidRPr="0092765E">
              <w:rPr>
                <w:rFonts w:ascii="Verdana" w:hAnsi="Verdana" w:cs="Arial"/>
                <w:lang w:val="es-ES"/>
              </w:rPr>
              <w:t>Exp</w:t>
            </w:r>
            <w:proofErr w:type="spellEnd"/>
            <w:r w:rsidRPr="0092765E">
              <w:rPr>
                <w:rFonts w:ascii="Verdana" w:hAnsi="Verdana" w:cs="Arial"/>
                <w:lang w:val="es-ES"/>
              </w:rPr>
              <w:t>. D-4330.</w:t>
            </w:r>
          </w:p>
          <w:p w14:paraId="5DEA75E8"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 xml:space="preserve">Consejo de Estado, Sala de lo Contencioso Administrativo, Sección Primera, Sentencia de 3 de marzo de 2005, </w:t>
            </w:r>
            <w:proofErr w:type="spellStart"/>
            <w:r w:rsidRPr="0092765E">
              <w:rPr>
                <w:rFonts w:ascii="Verdana" w:hAnsi="Verdana" w:cs="Arial"/>
                <w:lang w:val="es-ES"/>
              </w:rPr>
              <w:t>Exp</w:t>
            </w:r>
            <w:proofErr w:type="spellEnd"/>
            <w:r w:rsidRPr="0092765E">
              <w:rPr>
                <w:rFonts w:ascii="Verdana" w:hAnsi="Verdana" w:cs="Arial"/>
                <w:lang w:val="es-ES"/>
              </w:rPr>
              <w:t>. 2004-00823-01(PI).</w:t>
            </w:r>
          </w:p>
          <w:p w14:paraId="2E488E6D"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Corte Constitucional, Sentencia C-1153 de 11 de noviembre de 2005, M.P. Marco Gerardo Monroy Cabra.</w:t>
            </w:r>
          </w:p>
          <w:p w14:paraId="2034F141"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Consejo de Estado, Sala de Consulta y Servicio Civil, Concepto de 2 de febrero de 2006, Rad. 1712.</w:t>
            </w:r>
          </w:p>
          <w:p w14:paraId="7824CB60"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lastRenderedPageBreak/>
              <w:t>Consejo de Estado, Sala de Consulta y Servicio Civil, Concepto de 20 de febrero de 2006, Rad. 1727, C.P. Enrique José Arboleda Perdomo.</w:t>
            </w:r>
          </w:p>
          <w:p w14:paraId="75C26A40"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Consejo de Estado, Sala de Consulta y Servicio Civil, Concepto de 6 de abril de 2006, Rad. 1738, C.P. Enrique José Arboleda Perdomo.</w:t>
            </w:r>
          </w:p>
          <w:p w14:paraId="6205D90E"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Corte Constitucional, Sentencia C-736 de 2007, M.P. Marco Gerardo Monroy Cabra.</w:t>
            </w:r>
          </w:p>
          <w:p w14:paraId="5722B796"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 xml:space="preserve">Corte Constitucional, Sentencia C-353 de 20 de mayo de 2009, </w:t>
            </w:r>
            <w:proofErr w:type="spellStart"/>
            <w:r w:rsidRPr="0092765E">
              <w:rPr>
                <w:rFonts w:ascii="Verdana" w:hAnsi="Verdana" w:cs="Arial"/>
                <w:lang w:val="es-ES"/>
              </w:rPr>
              <w:t>Exp</w:t>
            </w:r>
            <w:proofErr w:type="spellEnd"/>
            <w:r w:rsidRPr="0092765E">
              <w:rPr>
                <w:rFonts w:ascii="Verdana" w:hAnsi="Verdana" w:cs="Arial"/>
                <w:lang w:val="es-ES"/>
              </w:rPr>
              <w:t>. D-7518.</w:t>
            </w:r>
          </w:p>
          <w:p w14:paraId="4BD789A0"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 xml:space="preserve">Corte Constitucional, Sentencia C-541 de 30 de junio de 2010, </w:t>
            </w:r>
            <w:proofErr w:type="spellStart"/>
            <w:r w:rsidRPr="0092765E">
              <w:rPr>
                <w:rFonts w:ascii="Verdana" w:hAnsi="Verdana" w:cs="Arial"/>
                <w:lang w:val="es-ES"/>
              </w:rPr>
              <w:t>Exp</w:t>
            </w:r>
            <w:proofErr w:type="spellEnd"/>
            <w:r w:rsidRPr="0092765E">
              <w:rPr>
                <w:rFonts w:ascii="Verdana" w:hAnsi="Verdana" w:cs="Arial"/>
                <w:lang w:val="es-ES"/>
              </w:rPr>
              <w:t>. D-7966.</w:t>
            </w:r>
          </w:p>
          <w:p w14:paraId="52EDA5C5"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3 de diciembre de 2007, </w:t>
            </w:r>
            <w:proofErr w:type="spellStart"/>
            <w:r w:rsidRPr="0092765E">
              <w:rPr>
                <w:rFonts w:ascii="Verdana" w:hAnsi="Verdana" w:cs="Arial"/>
                <w:lang w:val="es-ES"/>
              </w:rPr>
              <w:t>Exp</w:t>
            </w:r>
            <w:proofErr w:type="spellEnd"/>
            <w:r w:rsidRPr="0092765E">
              <w:rPr>
                <w:rFonts w:ascii="Verdana" w:hAnsi="Verdana" w:cs="Arial"/>
                <w:lang w:val="es-ES"/>
              </w:rPr>
              <w:t>. 24.715, 25.206, 25.409, 24.524, 27.834, 25.410, 26.105, 28.244, 31.447 (acumulados).</w:t>
            </w:r>
          </w:p>
          <w:p w14:paraId="71BFAC63"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 xml:space="preserve">Consejo de Estado, Sala de Consulta y Servicio Civil, Concepto de 24 de julio de 2013, Rad. 2166,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p w14:paraId="36ED783B"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 xml:space="preserve">Consejo de Estado, Sala de Consulta y Servicio Civil, Concepto de 2 de septiembre de 2013, Rad. 2168,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p w14:paraId="24583375" w14:textId="77777777" w:rsidR="0092765E" w:rsidRPr="0092765E" w:rsidRDefault="0092765E" w:rsidP="0092765E">
            <w:pPr>
              <w:widowControl w:val="0"/>
              <w:numPr>
                <w:ilvl w:val="0"/>
                <w:numId w:val="30"/>
              </w:numPr>
              <w:autoSpaceDE w:val="0"/>
              <w:autoSpaceDN w:val="0"/>
              <w:jc w:val="both"/>
              <w:rPr>
                <w:rFonts w:ascii="Verdana" w:hAnsi="Verdana" w:cs="Arial"/>
                <w:lang w:val="es-ES"/>
              </w:rPr>
            </w:pPr>
            <w:r w:rsidRPr="0092765E">
              <w:rPr>
                <w:rFonts w:ascii="Verdana" w:hAnsi="Verdana" w:cs="Arial"/>
                <w:lang w:val="es-ES"/>
              </w:rPr>
              <w:t>Consejo de Estado, Sala de Consulta y Servicio Civil, Concepto de 17 de febrero de 2015, Rad. 2269, C.P. William Zambrano Cetina.</w:t>
            </w:r>
          </w:p>
          <w:p w14:paraId="1C1DEB6B" w14:textId="0A4DFF38" w:rsidR="0092765E" w:rsidRPr="00797E96" w:rsidRDefault="0092765E" w:rsidP="0092765E">
            <w:pPr>
              <w:widowControl w:val="0"/>
              <w:numPr>
                <w:ilvl w:val="0"/>
                <w:numId w:val="30"/>
              </w:numPr>
              <w:autoSpaceDE w:val="0"/>
              <w:autoSpaceDN w:val="0"/>
              <w:jc w:val="both"/>
              <w:rPr>
                <w:rFonts w:ascii="Verdana" w:hAnsi="Verdana" w:cs="Arial"/>
              </w:rPr>
            </w:pPr>
            <w:r w:rsidRPr="0092765E">
              <w:rPr>
                <w:rFonts w:ascii="Verdana" w:hAnsi="Verdana" w:cs="Arial"/>
                <w:lang w:val="es-ES"/>
              </w:rPr>
              <w:t xml:space="preserve">Consejo de Estado, Sala de Consulta y Servicio Civil, Concepto de 8 de mayo de 2018, Rad. 2382,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tc>
      </w:tr>
    </w:tbl>
    <w:p w14:paraId="3BFE0280" w14:textId="77777777" w:rsidR="0087031A" w:rsidRDefault="0087031A" w:rsidP="008703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AB2AA5D" w14:textId="77777777" w:rsidR="0087031A" w:rsidRDefault="0087031A" w:rsidP="0087031A">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33E7EA9" w14:textId="77777777" w:rsidR="0087031A" w:rsidRPr="00593A5F" w:rsidRDefault="0087031A" w:rsidP="008703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50B4BB0" w14:textId="69CE7401" w:rsidR="004679CF" w:rsidRPr="000C14B8" w:rsidRDefault="00596D81" w:rsidP="004679CF">
      <w:pPr>
        <w:widowControl w:val="0"/>
        <w:autoSpaceDE w:val="0"/>
        <w:autoSpaceDN w:val="0"/>
        <w:spacing w:after="0" w:line="276" w:lineRule="auto"/>
        <w:jc w:val="both"/>
        <w:rPr>
          <w:rFonts w:ascii="Verdana" w:hAnsi="Verdana" w:cs="Arial"/>
          <w:color w:val="000000" w:themeColor="text1"/>
          <w:shd w:val="clear" w:color="auto" w:fill="FFFFFF"/>
          <w:lang w:val="es-ES"/>
        </w:rPr>
      </w:pPr>
      <w:r w:rsidRPr="00EA47ED">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w:t>
      </w:r>
      <w:r w:rsidR="00377B05">
        <w:rPr>
          <w:rFonts w:ascii="Verdana" w:hAnsi="Verdana" w:cs="Arial"/>
          <w:shd w:val="clear" w:color="auto" w:fill="FFFFFF"/>
        </w:rPr>
        <w:t xml:space="preserve">C-163 del 29 de marzo de 2022, </w:t>
      </w:r>
      <w:r w:rsidRPr="00EA47ED">
        <w:rPr>
          <w:rFonts w:ascii="Verdana" w:hAnsi="Verdana" w:cs="Arial"/>
          <w:shd w:val="clear" w:color="auto" w:fill="FFFFFF"/>
        </w:rPr>
        <w:t xml:space="preserve">C-180 del 21 de marzo de 2025, C-317 del 25 de abril de 2025, C-510 del 4 de junio de 2025, C -635 del 27 de junio de 2025 y C–750 de 17 de julio </w:t>
      </w:r>
      <w:r w:rsidRPr="00EA47ED">
        <w:rPr>
          <w:rFonts w:ascii="Verdana" w:hAnsi="Verdana" w:cs="Arial"/>
          <w:shd w:val="clear" w:color="auto" w:fill="FFFFFF"/>
        </w:rPr>
        <w:lastRenderedPageBreak/>
        <w:t>2025</w:t>
      </w:r>
      <w:r>
        <w:rPr>
          <w:rFonts w:ascii="Verdana" w:hAnsi="Verdana" w:cs="Arial"/>
          <w:shd w:val="clear" w:color="auto" w:fill="FFFFFF"/>
        </w:rPr>
        <w:t xml:space="preserve">, </w:t>
      </w:r>
      <w:r w:rsidR="00536DDE">
        <w:rPr>
          <w:rFonts w:ascii="Verdana" w:eastAsia="Aptos" w:hAnsi="Verdana" w:cs="Arial"/>
          <w:shd w:val="clear" w:color="auto" w:fill="FFFFFF"/>
          <w:lang w:val="es-ES"/>
        </w:rPr>
        <w:t>e</w:t>
      </w:r>
      <w:r w:rsidR="00536DDE" w:rsidRPr="00406AA6">
        <w:rPr>
          <w:rFonts w:ascii="Verdana" w:eastAsia="Aptos" w:hAnsi="Verdana" w:cs="Arial"/>
          <w:shd w:val="clear" w:color="auto" w:fill="FFFFFF"/>
          <w:lang w:val="es-ES"/>
        </w:rPr>
        <w:t>ntre otros</w:t>
      </w:r>
      <w:r w:rsidR="00536DDE">
        <w:rPr>
          <w:rFonts w:ascii="Verdana" w:eastAsia="Aptos" w:hAnsi="Verdana" w:cs="Arial"/>
          <w:shd w:val="clear" w:color="auto" w:fill="FFFFFF"/>
          <w:lang w:val="es-ES"/>
        </w:rPr>
        <w:t xml:space="preserve">. </w:t>
      </w:r>
      <w:r w:rsidR="004679CF" w:rsidRPr="000C14B8">
        <w:rPr>
          <w:rFonts w:ascii="Verdana" w:eastAsia="Calibri" w:hAnsi="Verdana" w:cs="Arial"/>
          <w:lang w:val="es-ES" w:eastAsia="es-ES_tradnl"/>
        </w:rPr>
        <w:t>Estos</w:t>
      </w:r>
      <w:r w:rsidR="004679CF" w:rsidRPr="000C14B8">
        <w:rPr>
          <w:rFonts w:ascii="Verdana" w:hAnsi="Verdana"/>
        </w:rPr>
        <w:t xml:space="preserve"> y otros conceptos se encuentran disponibles para consulta en el Sistema de relatoría de la Agencia, al cual se puede acceder a través del siguiente enlace:</w:t>
      </w:r>
      <w:r w:rsidR="004679CF" w:rsidRPr="000C14B8">
        <w:rPr>
          <w:rFonts w:ascii="Verdana" w:hAnsi="Verdana" w:cs="Arial"/>
          <w:shd w:val="clear" w:color="auto" w:fill="FFFFFF"/>
          <w:lang w:val="es-ES"/>
        </w:rPr>
        <w:t xml:space="preserve"> </w:t>
      </w:r>
      <w:r w:rsidR="004679CF" w:rsidRPr="000C14B8">
        <w:rPr>
          <w:rFonts w:ascii="Verdana" w:hAnsi="Verdana" w:cs="Arial"/>
          <w:color w:val="0563C1" w:themeColor="hyperlink"/>
          <w:u w:val="single"/>
          <w:shd w:val="clear" w:color="auto" w:fill="FFFFFF"/>
          <w:lang w:val="es-ES"/>
        </w:rPr>
        <w:t>https://relatoria.colombiacompra.gov.co</w:t>
      </w:r>
      <w:r w:rsidR="00503135">
        <w:rPr>
          <w:rFonts w:ascii="Verdana" w:hAnsi="Verdana" w:cs="Arial"/>
          <w:color w:val="0563C1" w:themeColor="hyperlink"/>
          <w:u w:val="single"/>
          <w:shd w:val="clear" w:color="auto" w:fill="FFFFFF"/>
          <w:lang w:val="es-ES"/>
        </w:rPr>
        <w:t xml:space="preserve"> </w:t>
      </w:r>
      <w:r w:rsidR="004679CF" w:rsidRPr="000C14B8">
        <w:rPr>
          <w:rFonts w:ascii="Verdana" w:hAnsi="Verdana" w:cs="Arial"/>
          <w:color w:val="0563C1" w:themeColor="hyperlink"/>
          <w:u w:val="single"/>
          <w:shd w:val="clear" w:color="auto" w:fill="FFFFFF"/>
          <w:lang w:val="es-ES"/>
        </w:rPr>
        <w:t>/</w:t>
      </w:r>
      <w:proofErr w:type="spellStart"/>
      <w:r w:rsidR="004679CF" w:rsidRPr="000C14B8">
        <w:rPr>
          <w:rFonts w:ascii="Verdana" w:hAnsi="Verdana" w:cs="Arial"/>
          <w:color w:val="0563C1" w:themeColor="hyperlink"/>
          <w:u w:val="single"/>
          <w:shd w:val="clear" w:color="auto" w:fill="FFFFFF"/>
          <w:lang w:val="es-ES"/>
        </w:rPr>
        <w:t>busqueda</w:t>
      </w:r>
      <w:proofErr w:type="spellEnd"/>
      <w:r w:rsidR="004679CF" w:rsidRPr="000C14B8">
        <w:rPr>
          <w:rFonts w:ascii="Verdana" w:hAnsi="Verdana" w:cs="Arial"/>
          <w:color w:val="0563C1" w:themeColor="hyperlink"/>
          <w:u w:val="single"/>
          <w:shd w:val="clear" w:color="auto" w:fill="FFFFFF"/>
          <w:lang w:val="es-ES"/>
        </w:rPr>
        <w:t>/conceptos</w:t>
      </w:r>
    </w:p>
    <w:p w14:paraId="0208491B" w14:textId="77777777" w:rsidR="0087031A" w:rsidRPr="00505CD6" w:rsidRDefault="0087031A" w:rsidP="0087031A">
      <w:pPr>
        <w:widowControl w:val="0"/>
        <w:autoSpaceDE w:val="0"/>
        <w:autoSpaceDN w:val="0"/>
        <w:spacing w:after="0" w:line="276" w:lineRule="auto"/>
        <w:jc w:val="both"/>
        <w:rPr>
          <w:rFonts w:ascii="Verdana" w:hAnsi="Verdana" w:cs="Arial"/>
          <w:color w:val="000000" w:themeColor="text1"/>
          <w:shd w:val="clear" w:color="auto" w:fill="FFFFFF"/>
        </w:rPr>
      </w:pPr>
    </w:p>
    <w:p w14:paraId="12E9336E" w14:textId="77777777" w:rsidR="0087031A" w:rsidRDefault="0087031A" w:rsidP="0087031A">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14:paraId="1766B34B" w14:textId="77777777" w:rsidR="0087031A" w:rsidRDefault="0087031A" w:rsidP="0087031A">
      <w:pPr>
        <w:widowControl w:val="0"/>
        <w:autoSpaceDE w:val="0"/>
        <w:autoSpaceDN w:val="0"/>
        <w:spacing w:after="0" w:line="276" w:lineRule="auto"/>
        <w:jc w:val="both"/>
      </w:pPr>
    </w:p>
    <w:p w14:paraId="59F914CB" w14:textId="77777777" w:rsidR="0087031A" w:rsidRPr="00505CD6" w:rsidRDefault="0087031A" w:rsidP="0087031A">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39F93B3" w14:textId="77777777" w:rsidR="0087031A" w:rsidRPr="00505CD6" w:rsidRDefault="0087031A" w:rsidP="0087031A">
      <w:pPr>
        <w:widowControl w:val="0"/>
        <w:autoSpaceDE w:val="0"/>
        <w:autoSpaceDN w:val="0"/>
        <w:spacing w:after="0" w:line="276" w:lineRule="auto"/>
        <w:jc w:val="both"/>
        <w:rPr>
          <w:rFonts w:ascii="Verdana" w:hAnsi="Verdana" w:cs="Arial"/>
        </w:rPr>
      </w:pPr>
    </w:p>
    <w:p w14:paraId="5BF21FB4" w14:textId="77777777" w:rsidR="0087031A" w:rsidRDefault="0087031A" w:rsidP="0087031A">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1941BDB3" w14:textId="771B3C15" w:rsidR="00F7427E" w:rsidRDefault="00F7427E" w:rsidP="0087031A">
      <w:pPr>
        <w:spacing w:line="276" w:lineRule="auto"/>
        <w:jc w:val="center"/>
        <w:rPr>
          <w:noProof/>
        </w:rPr>
      </w:pPr>
    </w:p>
    <w:p w14:paraId="35AFB2BC" w14:textId="683146FC" w:rsidR="00137754" w:rsidRDefault="00137754" w:rsidP="0087031A">
      <w:pPr>
        <w:spacing w:line="276" w:lineRule="auto"/>
        <w:jc w:val="center"/>
        <w:rPr>
          <w:noProof/>
        </w:rPr>
      </w:pPr>
      <w:r>
        <w:rPr>
          <w:noProof/>
        </w:rPr>
        <w:drawing>
          <wp:inline distT="0" distB="0" distL="0" distR="0" wp14:anchorId="2ADBEB12" wp14:editId="43AA7B2C">
            <wp:extent cx="3278505" cy="1407405"/>
            <wp:effectExtent l="0" t="0" r="0" b="2540"/>
            <wp:docPr id="133665591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93127" cy="1413682"/>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031A" w:rsidRPr="00593A5F" w14:paraId="7952AB6B" w14:textId="77777777" w:rsidTr="00580B7F">
        <w:trPr>
          <w:trHeight w:val="315"/>
        </w:trPr>
        <w:tc>
          <w:tcPr>
            <w:tcW w:w="893" w:type="dxa"/>
            <w:vAlign w:val="center"/>
            <w:hideMark/>
          </w:tcPr>
          <w:p w14:paraId="12808F0D" w14:textId="77777777" w:rsidR="0087031A" w:rsidRPr="003751C7" w:rsidRDefault="0087031A" w:rsidP="00580B7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4D103E4" w14:textId="79D3CCBD" w:rsidR="00342D2B" w:rsidRDefault="00FD7C4D" w:rsidP="00342D2B">
            <w:pPr>
              <w:rPr>
                <w:rFonts w:ascii="Verdana" w:hAnsi="Verdana"/>
                <w:sz w:val="16"/>
                <w:szCs w:val="16"/>
              </w:rPr>
            </w:pPr>
            <w:r>
              <w:rPr>
                <w:rFonts w:ascii="Verdana" w:hAnsi="Verdana"/>
                <w:sz w:val="16"/>
                <w:szCs w:val="16"/>
              </w:rPr>
              <w:t>Daniel Eduardo Rojas</w:t>
            </w:r>
          </w:p>
          <w:p w14:paraId="3F59F682" w14:textId="77777777" w:rsidR="0087031A" w:rsidRPr="007911EE" w:rsidRDefault="0087031A" w:rsidP="00580B7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87031A" w:rsidRPr="00593A5F" w14:paraId="517166CF" w14:textId="77777777" w:rsidTr="00580B7F">
        <w:trPr>
          <w:trHeight w:val="330"/>
        </w:trPr>
        <w:tc>
          <w:tcPr>
            <w:tcW w:w="893" w:type="dxa"/>
            <w:vAlign w:val="center"/>
            <w:hideMark/>
          </w:tcPr>
          <w:p w14:paraId="73873209" w14:textId="77777777" w:rsidR="0087031A" w:rsidRPr="003751C7" w:rsidRDefault="0087031A" w:rsidP="00580B7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318AEE" w14:textId="4DBB5CC7" w:rsidR="00342D2B" w:rsidRDefault="000265BC" w:rsidP="00580B7F">
            <w:pPr>
              <w:pStyle w:val="paragraph"/>
              <w:spacing w:before="0" w:beforeAutospacing="0" w:after="0" w:afterAutospacing="0"/>
              <w:contextualSpacing/>
              <w:textAlignment w:val="baseline"/>
              <w:rPr>
                <w:rFonts w:ascii="Verdana" w:eastAsiaTheme="minorHAnsi" w:hAnsi="Verdana" w:cstheme="minorBidi"/>
                <w:sz w:val="16"/>
                <w:szCs w:val="16"/>
                <w:lang w:eastAsia="en-US"/>
              </w:rPr>
            </w:pPr>
            <w:r>
              <w:rPr>
                <w:rFonts w:ascii="Verdana" w:eastAsiaTheme="minorHAnsi" w:hAnsi="Verdana" w:cstheme="minorBidi"/>
                <w:sz w:val="16"/>
                <w:szCs w:val="16"/>
                <w:lang w:eastAsia="en-US"/>
              </w:rPr>
              <w:t>Diana Lucia Saavedra</w:t>
            </w:r>
          </w:p>
          <w:p w14:paraId="634B0E53" w14:textId="046148C6" w:rsidR="0087031A" w:rsidRPr="007911EE" w:rsidRDefault="00C33DBE" w:rsidP="00580B7F">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eastAsia="Arial" w:hAnsi="Verdana" w:cs="Arial"/>
                <w:sz w:val="16"/>
                <w:szCs w:val="16"/>
              </w:rPr>
              <w:t>Contratista</w:t>
            </w:r>
            <w:r w:rsidR="0087031A" w:rsidRPr="007911EE">
              <w:rPr>
                <w:rStyle w:val="normaltextrun"/>
                <w:rFonts w:ascii="Verdana" w:eastAsia="Arial" w:hAnsi="Verdana" w:cs="Arial"/>
                <w:sz w:val="16"/>
                <w:szCs w:val="16"/>
              </w:rPr>
              <w:t xml:space="preserve"> Subdirección de Gestión Contractual</w:t>
            </w:r>
          </w:p>
        </w:tc>
      </w:tr>
      <w:tr w:rsidR="0087031A" w:rsidRPr="00593A5F" w14:paraId="656F6DA4" w14:textId="77777777" w:rsidTr="00580B7F">
        <w:trPr>
          <w:trHeight w:val="300"/>
        </w:trPr>
        <w:tc>
          <w:tcPr>
            <w:tcW w:w="893" w:type="dxa"/>
            <w:vAlign w:val="center"/>
          </w:tcPr>
          <w:p w14:paraId="0681F92E" w14:textId="77777777" w:rsidR="0087031A" w:rsidRPr="003751C7" w:rsidRDefault="0087031A" w:rsidP="00580B7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E9327E0" w14:textId="68CDC34C" w:rsidR="0084631C" w:rsidRPr="007911EE" w:rsidRDefault="009B32AD" w:rsidP="0084631C">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Gacharnà</w:t>
            </w:r>
            <w:proofErr w:type="spellEnd"/>
          </w:p>
          <w:p w14:paraId="32DD0E04" w14:textId="2F548E6C" w:rsidR="0087031A" w:rsidRPr="007911EE" w:rsidRDefault="0084631C" w:rsidP="0084631C">
            <w:pPr>
              <w:contextualSpacing/>
              <w:rPr>
                <w:rFonts w:ascii="Verdana" w:eastAsia="Calibri" w:hAnsi="Verdana" w:cs="Arial"/>
                <w:sz w:val="16"/>
                <w:szCs w:val="16"/>
                <w:lang w:val="pt-BR" w:eastAsia="es-ES"/>
              </w:rPr>
            </w:pPr>
            <w:r w:rsidRPr="007911EE">
              <w:rPr>
                <w:rFonts w:ascii="Verdana" w:eastAsia="Calibri" w:hAnsi="Verdana" w:cs="Arial"/>
                <w:sz w:val="16"/>
                <w:szCs w:val="16"/>
                <w:lang w:eastAsia="es-ES"/>
              </w:rPr>
              <w:t>Subdirectora</w:t>
            </w:r>
            <w:r w:rsidRPr="007911EE">
              <w:rPr>
                <w:rFonts w:ascii="Verdana" w:eastAsia="Calibri" w:hAnsi="Verdana" w:cs="Arial"/>
                <w:sz w:val="16"/>
                <w:szCs w:val="16"/>
                <w:lang w:val="pt-BR" w:eastAsia="es-ES"/>
              </w:rPr>
              <w:t xml:space="preserve"> de Gestión Contratual ANCP – CCE</w:t>
            </w:r>
          </w:p>
        </w:tc>
      </w:tr>
      <w:bookmarkEnd w:id="1"/>
      <w:bookmarkEnd w:id="2"/>
      <w:bookmarkEnd w:id="3"/>
      <w:bookmarkEnd w:id="4"/>
    </w:tbl>
    <w:p w14:paraId="56912649" w14:textId="77777777" w:rsidR="00DE435A" w:rsidRPr="00DE435A" w:rsidRDefault="00DE435A" w:rsidP="00DE435A">
      <w:pPr>
        <w:rPr>
          <w:lang w:val="es-ES"/>
        </w:rPr>
      </w:pPr>
    </w:p>
    <w:sectPr w:rsidR="00DE435A" w:rsidRPr="00DE435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42C34" w14:textId="77777777" w:rsidR="00D3478D" w:rsidRDefault="00D3478D" w:rsidP="004A1847">
      <w:pPr>
        <w:spacing w:after="0" w:line="240" w:lineRule="auto"/>
      </w:pPr>
      <w:r>
        <w:separator/>
      </w:r>
    </w:p>
  </w:endnote>
  <w:endnote w:type="continuationSeparator" w:id="0">
    <w:p w14:paraId="02630203" w14:textId="77777777" w:rsidR="00D3478D" w:rsidRDefault="00D3478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B47E83" w14:textId="77777777" w:rsidR="00D3478D" w:rsidRDefault="00D3478D" w:rsidP="004A1847">
      <w:pPr>
        <w:spacing w:after="0" w:line="240" w:lineRule="auto"/>
      </w:pPr>
      <w:r>
        <w:separator/>
      </w:r>
    </w:p>
  </w:footnote>
  <w:footnote w:type="continuationSeparator" w:id="0">
    <w:p w14:paraId="55E3AD6C" w14:textId="77777777" w:rsidR="00D3478D" w:rsidRDefault="00D3478D" w:rsidP="004A1847">
      <w:pPr>
        <w:spacing w:after="0" w:line="240" w:lineRule="auto"/>
      </w:pPr>
      <w:r>
        <w:continuationSeparator/>
      </w:r>
    </w:p>
  </w:footnote>
  <w:footnote w:id="1">
    <w:p w14:paraId="6A2A842A" w14:textId="77777777" w:rsidR="00F10E52" w:rsidRPr="00A1428E" w:rsidRDefault="00F10E52" w:rsidP="009B20C5">
      <w:pPr>
        <w:pStyle w:val="Textonotapie"/>
        <w:ind w:firstLine="709"/>
        <w:jc w:val="both"/>
        <w:rPr>
          <w:rFonts w:ascii="Verdana" w:hAnsi="Verdana" w:cs="Arial"/>
          <w:sz w:val="14"/>
          <w:szCs w:val="14"/>
        </w:rPr>
      </w:pPr>
      <w:r w:rsidRPr="00A1428E">
        <w:rPr>
          <w:rStyle w:val="Refdenotaalpie"/>
          <w:rFonts w:ascii="Verdana" w:hAnsi="Verdana" w:cs="Arial"/>
          <w:sz w:val="14"/>
          <w:szCs w:val="14"/>
        </w:rPr>
        <w:footnoteRef/>
      </w:r>
      <w:r w:rsidRPr="00A1428E">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C1D2C6D" w14:textId="77777777" w:rsidR="00F10E52" w:rsidRPr="00A1428E" w:rsidRDefault="00F10E52" w:rsidP="009B20C5">
      <w:pPr>
        <w:pStyle w:val="Textonotapie"/>
        <w:ind w:firstLine="709"/>
        <w:jc w:val="both"/>
        <w:rPr>
          <w:rFonts w:ascii="Verdana" w:hAnsi="Verdana" w:cs="Arial"/>
          <w:sz w:val="14"/>
          <w:szCs w:val="14"/>
        </w:rPr>
      </w:pPr>
      <w:proofErr w:type="gramStart"/>
      <w:r w:rsidRPr="00A1428E">
        <w:rPr>
          <w:rFonts w:ascii="Verdana" w:hAnsi="Verdana" w:cs="Arial"/>
          <w:sz w:val="14"/>
          <w:szCs w:val="14"/>
        </w:rPr>
        <w:t>»A</w:t>
      </w:r>
      <w:proofErr w:type="gramEnd"/>
      <w:r w:rsidRPr="00A1428E">
        <w:rPr>
          <w:rFonts w:ascii="Verdana" w:hAnsi="Verdana" w:cs="Arial"/>
          <w:sz w:val="14"/>
          <w:szCs w:val="14"/>
        </w:rPr>
        <w:t xml:space="preserve">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063E4464" w14:textId="77777777" w:rsidR="00F10E52" w:rsidRPr="00A1428E" w:rsidRDefault="00F10E52" w:rsidP="009B20C5">
      <w:pPr>
        <w:pStyle w:val="Textonotapie"/>
        <w:ind w:firstLine="709"/>
        <w:jc w:val="both"/>
        <w:rPr>
          <w:rFonts w:ascii="Verdana" w:hAnsi="Verdana" w:cs="Arial"/>
          <w:sz w:val="14"/>
          <w:szCs w:val="14"/>
        </w:rPr>
      </w:pPr>
      <w:r w:rsidRPr="00A1428E">
        <w:rPr>
          <w:rStyle w:val="Refdenotaalpie"/>
          <w:rFonts w:ascii="Verdana" w:hAnsi="Verdana" w:cs="Arial"/>
          <w:sz w:val="14"/>
          <w:szCs w:val="14"/>
        </w:rPr>
        <w:footnoteRef/>
      </w:r>
      <w:r w:rsidRPr="00A1428E">
        <w:rPr>
          <w:rFonts w:ascii="Verdana" w:hAnsi="Verdana" w:cs="Arial"/>
          <w:sz w:val="14"/>
          <w:szCs w:val="14"/>
        </w:rPr>
        <w:t xml:space="preserve"> Gaceta del Congreso de la República No. 71 del 2005.</w:t>
      </w:r>
    </w:p>
    <w:p w14:paraId="1DD26E4C" w14:textId="77777777" w:rsidR="00F10E52" w:rsidRPr="009B20C5" w:rsidRDefault="00F10E52" w:rsidP="009B20C5">
      <w:pPr>
        <w:pStyle w:val="Textonotapie"/>
        <w:ind w:firstLine="709"/>
        <w:jc w:val="both"/>
        <w:rPr>
          <w:rFonts w:ascii="Verdana" w:hAnsi="Verdana" w:cs="Arial"/>
          <w:sz w:val="16"/>
          <w:szCs w:val="16"/>
        </w:rPr>
      </w:pPr>
    </w:p>
  </w:footnote>
  <w:footnote w:id="3">
    <w:p w14:paraId="2CDE1567" w14:textId="77777777" w:rsidR="00F10E52" w:rsidRPr="009B20C5" w:rsidRDefault="00F10E52" w:rsidP="009B20C5">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 C- 1153 de 2005, M.P. Marco Gerardo Monroy Cabra.</w:t>
      </w:r>
    </w:p>
  </w:footnote>
  <w:footnote w:id="4">
    <w:p w14:paraId="5EE7E84F" w14:textId="77777777" w:rsidR="00F10E52" w:rsidRPr="009B20C5" w:rsidRDefault="00F10E52" w:rsidP="009B20C5">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01C7FB04" w14:textId="77777777" w:rsidR="00F10E52" w:rsidRPr="009B20C5" w:rsidRDefault="00F10E52" w:rsidP="009B20C5">
      <w:pPr>
        <w:pStyle w:val="Textonotapie"/>
        <w:ind w:firstLine="709"/>
        <w:jc w:val="both"/>
        <w:rPr>
          <w:rFonts w:ascii="Verdana" w:hAnsi="Verdana" w:cs="Arial"/>
          <w:sz w:val="16"/>
          <w:szCs w:val="16"/>
          <w:lang w:val="es-CO"/>
        </w:rPr>
      </w:pPr>
      <w:r w:rsidRPr="009B20C5">
        <w:rPr>
          <w:rStyle w:val="Refdenotaalpie"/>
          <w:rFonts w:ascii="Verdana" w:hAnsi="Verdana" w:cs="Arial"/>
          <w:sz w:val="16"/>
          <w:szCs w:val="16"/>
        </w:rPr>
        <w:footnoteRef/>
      </w:r>
      <w:r w:rsidRPr="009B20C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6FF57389" w14:textId="77777777" w:rsidR="00F10E52" w:rsidRPr="009B20C5" w:rsidRDefault="00F10E52" w:rsidP="009B20C5">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de fecha 24 de julio de 2013, radicado 2166, Consejero Ponente: Álvaro Namén Vargas.  </w:t>
      </w:r>
    </w:p>
  </w:footnote>
  <w:footnote w:id="7">
    <w:p w14:paraId="365E399F" w14:textId="77777777" w:rsidR="00F10E52" w:rsidRPr="009B20C5" w:rsidRDefault="00F10E52" w:rsidP="009B20C5">
      <w:pPr>
        <w:spacing w:after="0" w:line="240" w:lineRule="auto"/>
        <w:ind w:firstLine="709"/>
        <w:jc w:val="both"/>
        <w:rPr>
          <w:rFonts w:ascii="Verdana" w:eastAsia="Times New Roman"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9" w:name="33"/>
      <w:r w:rsidRPr="009B20C5">
        <w:rPr>
          <w:rFonts w:ascii="Verdana" w:eastAsia="Calibri" w:hAnsi="Verdana" w:cs="Arial"/>
          <w:bCs/>
          <w:color w:val="000000"/>
          <w:sz w:val="16"/>
          <w:szCs w:val="16"/>
        </w:rPr>
        <w:t>«</w:t>
      </w:r>
      <w:r w:rsidRPr="009B20C5">
        <w:rPr>
          <w:rFonts w:ascii="Verdana" w:eastAsia="Times New Roman" w:hAnsi="Verdana" w:cs="Arial"/>
          <w:sz w:val="16"/>
          <w:szCs w:val="16"/>
        </w:rPr>
        <w:t>Artículo 33. Restricciones a la contratación pública.</w:t>
      </w:r>
      <w:bookmarkEnd w:id="9"/>
      <w:r w:rsidRPr="009B20C5">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57D55410" w14:textId="77777777" w:rsidR="00F10E52" w:rsidRPr="009B20C5" w:rsidRDefault="00F10E52" w:rsidP="009B20C5">
      <w:pPr>
        <w:spacing w:after="0" w:line="240" w:lineRule="auto"/>
        <w:ind w:firstLine="709"/>
        <w:jc w:val="both"/>
        <w:rPr>
          <w:rFonts w:ascii="Verdana" w:eastAsia="Times New Roman" w:hAnsi="Verdana" w:cs="Arial"/>
          <w:sz w:val="16"/>
          <w:szCs w:val="16"/>
        </w:rPr>
      </w:pPr>
      <w:r w:rsidRPr="009B20C5">
        <w:rPr>
          <w:rFonts w:ascii="Verdana" w:eastAsia="Calibri" w:hAnsi="Verdana" w:cs="Arial"/>
          <w:bCs/>
          <w:color w:val="000000"/>
          <w:sz w:val="16"/>
          <w:szCs w:val="16"/>
        </w:rPr>
        <w:t>»</w:t>
      </w:r>
      <w:r w:rsidRPr="009B20C5">
        <w:rPr>
          <w:rFonts w:ascii="Verdana" w:eastAsia="Times New Roman" w:hAnsi="Verdana" w:cs="Arial"/>
          <w:sz w:val="16"/>
          <w:szCs w:val="16"/>
        </w:rPr>
        <w:t xml:space="preserve"> 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9B20C5">
        <w:rPr>
          <w:rFonts w:ascii="Verdana" w:eastAsia="Calibri" w:hAnsi="Verdana" w:cs="Arial"/>
          <w:bCs/>
          <w:color w:val="000000"/>
          <w:sz w:val="16"/>
          <w:szCs w:val="16"/>
        </w:rPr>
        <w:t>»</w:t>
      </w:r>
      <w:r w:rsidRPr="009B20C5">
        <w:rPr>
          <w:rFonts w:ascii="Verdana" w:eastAsia="Times New Roman" w:hAnsi="Verdana" w:cs="Arial"/>
          <w:sz w:val="16"/>
          <w:szCs w:val="16"/>
        </w:rPr>
        <w:t>.</w:t>
      </w:r>
    </w:p>
  </w:footnote>
  <w:footnote w:id="8">
    <w:p w14:paraId="2E06D8B5" w14:textId="77777777" w:rsidR="00F10E52" w:rsidRPr="009B20C5" w:rsidRDefault="00F10E52" w:rsidP="009B20C5">
      <w:pPr>
        <w:pStyle w:val="NormalWeb"/>
        <w:spacing w:before="0" w:beforeAutospacing="0" w:after="0" w:afterAutospacing="0"/>
        <w:ind w:firstLine="709"/>
        <w:jc w:val="both"/>
        <w:rPr>
          <w:rFonts w:ascii="Verdana" w:hAnsi="Verdana" w:cs="Arial"/>
          <w:sz w:val="16"/>
          <w:szCs w:val="16"/>
          <w:lang w:val="es-MX"/>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10" w:name="38"/>
      <w:r w:rsidRPr="009B20C5">
        <w:rPr>
          <w:rFonts w:ascii="Verdana" w:eastAsia="Calibri" w:hAnsi="Verdana" w:cs="Arial"/>
          <w:bCs/>
          <w:color w:val="000000"/>
          <w:sz w:val="16"/>
          <w:szCs w:val="16"/>
        </w:rPr>
        <w:t>«</w:t>
      </w:r>
      <w:r w:rsidRPr="009B20C5">
        <w:rPr>
          <w:rFonts w:ascii="Verdana" w:hAnsi="Verdana" w:cs="Arial"/>
          <w:sz w:val="16"/>
          <w:szCs w:val="16"/>
          <w:lang w:val="es-MX"/>
        </w:rPr>
        <w:t>Artículo 38. Prohibiciones para los servidores públicos. A los empleados del Estado les está prohibido:</w:t>
      </w:r>
      <w:bookmarkEnd w:id="10"/>
    </w:p>
    <w:p w14:paraId="57B46B00" w14:textId="77777777" w:rsidR="00F10E52" w:rsidRPr="009B20C5" w:rsidRDefault="00F10E52" w:rsidP="009B20C5">
      <w:pPr>
        <w:pStyle w:val="NormalWeb"/>
        <w:spacing w:before="0" w:beforeAutospacing="0" w:after="0" w:afterAutospacing="0"/>
        <w:ind w:firstLine="709"/>
        <w:jc w:val="both"/>
        <w:rPr>
          <w:rFonts w:ascii="Verdana" w:hAnsi="Verdana" w:cs="Arial"/>
          <w:sz w:val="16"/>
          <w:szCs w:val="16"/>
          <w:lang w:val="es-MX"/>
        </w:rPr>
      </w:pPr>
      <w:r w:rsidRPr="009B20C5">
        <w:rPr>
          <w:rFonts w:ascii="Verdana" w:eastAsia="Calibri" w:hAnsi="Verdana" w:cs="Arial"/>
          <w:bCs/>
          <w:color w:val="000000"/>
          <w:sz w:val="16"/>
          <w:szCs w:val="16"/>
        </w:rPr>
        <w:t>»</w:t>
      </w:r>
      <w:r w:rsidRPr="009B20C5">
        <w:rPr>
          <w:rFonts w:ascii="Verdana" w:hAnsi="Verdana" w:cs="Arial"/>
          <w:sz w:val="16"/>
          <w:szCs w:val="16"/>
          <w:lang w:val="es-MX"/>
        </w:rPr>
        <w:t xml:space="preserve"> […]</w:t>
      </w:r>
    </w:p>
    <w:p w14:paraId="3F79B146" w14:textId="77777777" w:rsidR="00F10E52" w:rsidRPr="009B20C5" w:rsidRDefault="00F10E52" w:rsidP="009B20C5">
      <w:pPr>
        <w:pStyle w:val="NormalWeb"/>
        <w:spacing w:before="0" w:beforeAutospacing="0" w:after="0" w:afterAutospacing="0"/>
        <w:ind w:firstLine="709"/>
        <w:jc w:val="both"/>
        <w:rPr>
          <w:rFonts w:ascii="Verdana" w:hAnsi="Verdana" w:cs="Arial"/>
          <w:sz w:val="16"/>
          <w:szCs w:val="16"/>
          <w:lang w:val="es-MX"/>
        </w:rPr>
      </w:pPr>
      <w:r w:rsidRPr="009B20C5">
        <w:rPr>
          <w:rFonts w:ascii="Verdana" w:eastAsia="Calibri" w:hAnsi="Verdana" w:cs="Arial"/>
          <w:bCs/>
          <w:color w:val="000000"/>
          <w:sz w:val="16"/>
          <w:szCs w:val="16"/>
        </w:rPr>
        <w:t>»</w:t>
      </w:r>
      <w:r w:rsidRPr="009B20C5">
        <w:rPr>
          <w:rStyle w:val="baj"/>
          <w:rFonts w:ascii="Verdana" w:hAnsi="Verdana" w:cs="Arial"/>
          <w:sz w:val="16"/>
          <w:szCs w:val="16"/>
          <w:lang w:val="es-MX"/>
        </w:rPr>
        <w:t xml:space="preserve"> Parágrafo.</w:t>
      </w:r>
      <w:r w:rsidRPr="009B20C5">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B20C5">
        <w:rPr>
          <w:rFonts w:ascii="Verdana" w:eastAsia="Calibri" w:hAnsi="Verdana" w:cs="Arial"/>
          <w:bCs/>
          <w:color w:val="000000"/>
          <w:sz w:val="16"/>
          <w:szCs w:val="16"/>
        </w:rPr>
        <w:t>»</w:t>
      </w:r>
      <w:r w:rsidRPr="009B20C5">
        <w:rPr>
          <w:rFonts w:ascii="Verdana" w:hAnsi="Verdana" w:cs="Arial"/>
          <w:sz w:val="16"/>
          <w:szCs w:val="16"/>
          <w:lang w:val="es-MX"/>
        </w:rPr>
        <w:t>.</w:t>
      </w:r>
    </w:p>
  </w:footnote>
  <w:footnote w:id="9">
    <w:p w14:paraId="3A928ED7" w14:textId="77777777" w:rsidR="00F10E52" w:rsidRPr="009B20C5" w:rsidRDefault="00F10E52" w:rsidP="009B20C5">
      <w:pPr>
        <w:spacing w:after="0" w:line="240" w:lineRule="auto"/>
        <w:ind w:left="100" w:right="244"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4C0F2B52" w14:textId="7FE284A7" w:rsidR="00F10E52" w:rsidRPr="009B20C5" w:rsidRDefault="00F10E52" w:rsidP="009B20C5">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17" w:name="_Hlk74272731"/>
      <w:r w:rsidRPr="009B20C5">
        <w:rPr>
          <w:rFonts w:ascii="Verdana" w:hAnsi="Verdana" w:cs="Arial"/>
          <w:sz w:val="16"/>
          <w:szCs w:val="16"/>
        </w:rPr>
        <w:t>«</w:t>
      </w:r>
      <w:bookmarkEnd w:id="17"/>
      <w:r w:rsidRPr="009B20C5">
        <w:rPr>
          <w:rFonts w:ascii="Verdana" w:hAnsi="Verdana" w:cs="Arial"/>
          <w:sz w:val="16"/>
          <w:szCs w:val="16"/>
          <w:lang w:val="es-ES"/>
        </w:rPr>
        <w:t xml:space="preserve">[25] </w:t>
      </w:r>
      <w:r w:rsidRPr="009B20C5">
        <w:rPr>
          <w:rFonts w:ascii="Verdana" w:hAnsi="Verdana" w:cs="Arial"/>
          <w:sz w:val="16"/>
          <w:szCs w:val="16"/>
        </w:rPr>
        <w:t>Cfr. Consejo de Estado. Sección Tercera. Sentencia de 3 de diciembre de 2007. Radicados: 24.715, 25.206, 25.409, 24.524, 27.834, 25.410, 26.105, 28.244, 31.447 -acumulados-</w:t>
      </w:r>
      <w:bookmarkStart w:id="18" w:name="_Hlk74271358"/>
      <w:r w:rsidRPr="009B20C5">
        <w:rPr>
          <w:rFonts w:ascii="Verdana" w:hAnsi="Verdana" w:cs="Arial"/>
          <w:sz w:val="16"/>
          <w:szCs w:val="16"/>
        </w:rPr>
        <w:t>»</w:t>
      </w:r>
      <w:bookmarkEnd w:id="18"/>
      <w:r w:rsidRPr="009B20C5">
        <w:rPr>
          <w:rFonts w:ascii="Verdana" w:hAnsi="Verdana" w:cs="Arial"/>
          <w:sz w:val="16"/>
          <w:szCs w:val="16"/>
        </w:rPr>
        <w:t>.</w:t>
      </w:r>
    </w:p>
  </w:footnote>
  <w:footnote w:id="11">
    <w:p w14:paraId="7CFDBEF4" w14:textId="77777777" w:rsidR="00F10E52" w:rsidRPr="009B20C5" w:rsidRDefault="00F10E52" w:rsidP="009B20C5">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20" w:name="_Hlk74294506"/>
      <w:r w:rsidRPr="009B20C5">
        <w:rPr>
          <w:rFonts w:ascii="Verdana" w:hAnsi="Verdana" w:cs="Arial"/>
          <w:sz w:val="16"/>
          <w:szCs w:val="16"/>
        </w:rPr>
        <w:t>«</w:t>
      </w:r>
      <w:r w:rsidRPr="009B20C5">
        <w:rPr>
          <w:rFonts w:ascii="Verdana" w:hAnsi="Verdana" w:cs="Arial"/>
          <w:sz w:val="16"/>
          <w:szCs w:val="16"/>
          <w:lang w:val="es-ES"/>
        </w:rPr>
        <w:t xml:space="preserve">[26] </w:t>
      </w:r>
      <w:bookmarkEnd w:id="20"/>
      <w:r w:rsidRPr="009B20C5">
        <w:rPr>
          <w:rFonts w:ascii="Verdana" w:hAnsi="Verdana" w:cs="Arial"/>
          <w:sz w:val="16"/>
          <w:szCs w:val="16"/>
        </w:rPr>
        <w:t>Al respecto ver el concepto 1712 de 2 de febrero de 2006. Consejo de Estado Sala de Consulta y Servicio Civil».</w:t>
      </w:r>
    </w:p>
  </w:footnote>
  <w:footnote w:id="12">
    <w:p w14:paraId="2D939280" w14:textId="77777777" w:rsidR="00F10E52" w:rsidRPr="009B20C5" w:rsidRDefault="00F10E52" w:rsidP="009B20C5">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1167F5B8" w14:textId="30080057" w:rsidR="00F10E52" w:rsidRPr="009B20C5" w:rsidRDefault="00F10E52" w:rsidP="009B20C5">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sz w:val="16"/>
          <w:szCs w:val="16"/>
          <w:lang w:val="es-ES"/>
        </w:rPr>
        <w:t>Artículo 2.</w:t>
      </w:r>
    </w:p>
  </w:footnote>
  <w:footnote w:id="14">
    <w:p w14:paraId="2AEC2BF3" w14:textId="77777777" w:rsidR="00F10E52" w:rsidRPr="009B20C5" w:rsidRDefault="00F10E52" w:rsidP="009B20C5">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i/>
          <w:sz w:val="16"/>
          <w:szCs w:val="16"/>
          <w:lang w:val="es-ES"/>
        </w:rPr>
        <w:t>Ídem</w:t>
      </w:r>
      <w:r w:rsidRPr="009B20C5">
        <w:rPr>
          <w:rFonts w:ascii="Verdana" w:hAnsi="Verdana" w:cs="Arial"/>
          <w:sz w:val="16"/>
          <w:szCs w:val="16"/>
          <w:lang w:val="es-ES"/>
        </w:rPr>
        <w:t>.</w:t>
      </w:r>
    </w:p>
  </w:footnote>
  <w:footnote w:id="15">
    <w:p w14:paraId="415EE1D8" w14:textId="77777777" w:rsidR="00F10E52" w:rsidRPr="009B20C5" w:rsidRDefault="00F10E52" w:rsidP="009B20C5">
      <w:pPr>
        <w:pStyle w:val="Textonotapie"/>
        <w:jc w:val="both"/>
        <w:rPr>
          <w:rFonts w:ascii="Verdana" w:hAnsi="Verdana" w:cs="Arial"/>
          <w:sz w:val="16"/>
          <w:szCs w:val="16"/>
        </w:rPr>
      </w:pPr>
    </w:p>
    <w:p w14:paraId="700AE9C4" w14:textId="77777777" w:rsidR="00F10E52" w:rsidRPr="009B20C5" w:rsidRDefault="00F10E52" w:rsidP="009B20C5">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bookmarkStart w:id="25" w:name="_Hlk74297130"/>
      <w:r w:rsidRPr="009B20C5">
        <w:rPr>
          <w:rFonts w:ascii="Verdana" w:hAnsi="Verdana" w:cs="Arial"/>
          <w:sz w:val="16"/>
          <w:szCs w:val="16"/>
          <w:lang w:val="es-ES"/>
        </w:rPr>
        <w:t>«</w:t>
      </w:r>
      <w:bookmarkEnd w:id="25"/>
      <w:r w:rsidRPr="009B20C5">
        <w:rPr>
          <w:rFonts w:ascii="Verdana" w:hAnsi="Verdana" w:cs="Arial"/>
          <w:sz w:val="16"/>
          <w:szCs w:val="16"/>
          <w:lang w:val="es-ES"/>
        </w:rPr>
        <w:t xml:space="preserve">[…] A este respecto, cabe recordar que el artículo 860 del Código de Comercio regula la licitación en el derecho privado». </w:t>
      </w:r>
    </w:p>
  </w:footnote>
  <w:footnote w:id="16">
    <w:p w14:paraId="6DB6FD49" w14:textId="77777777" w:rsidR="00F10E52" w:rsidRPr="009B20C5" w:rsidRDefault="00F10E52" w:rsidP="009B20C5">
      <w:pPr>
        <w:shd w:val="clear" w:color="auto" w:fill="FFFFFF"/>
        <w:spacing w:after="0" w:line="240" w:lineRule="auto"/>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r w:rsidRPr="009B20C5">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201FC7BE" w14:textId="77777777" w:rsidR="00F10E52" w:rsidRPr="009B20C5" w:rsidRDefault="00F10E52" w:rsidP="009B20C5">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08 de mayo de 2018. Exp. 2.382. C.P. Álvaro Namén Vargas.</w:t>
      </w:r>
    </w:p>
  </w:footnote>
  <w:footnote w:id="18">
    <w:p w14:paraId="7E3E7EFD" w14:textId="77777777" w:rsidR="00F10E52" w:rsidRPr="009B20C5" w:rsidRDefault="00F10E52" w:rsidP="009B20C5">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3E9AAE3D" w14:textId="77777777" w:rsidR="00F10E52" w:rsidRPr="009B20C5" w:rsidRDefault="00F10E52" w:rsidP="009B20C5">
      <w:pPr>
        <w:spacing w:after="0" w:line="240" w:lineRule="auto"/>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0">
    <w:p w14:paraId="4F1B3D97" w14:textId="77777777" w:rsidR="00F10E52" w:rsidRPr="009B20C5" w:rsidRDefault="00F10E52" w:rsidP="009B20C5">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37" w:name="_Hlk75633115"/>
      <w:r w:rsidRPr="009B20C5">
        <w:rPr>
          <w:rFonts w:ascii="Verdana" w:hAnsi="Verdana" w:cs="Arial"/>
          <w:sz w:val="16"/>
          <w:szCs w:val="16"/>
        </w:rPr>
        <w:t xml:space="preserve">Consejo de Estado. Sala de Consulta y Servicio Civil. Concepto </w:t>
      </w:r>
      <w:bookmarkEnd w:id="37"/>
      <w:r w:rsidRPr="009B20C5">
        <w:rPr>
          <w:rFonts w:ascii="Verdana" w:hAnsi="Verdana" w:cs="Arial"/>
          <w:sz w:val="16"/>
          <w:szCs w:val="16"/>
        </w:rPr>
        <w:t>de 6 de abril de 2006. Radicación Número: 11001-03-06-000-2006-00038-00(1738). Consejero Ponente: Enrique José Arboleda Perdomo:</w:t>
      </w:r>
      <w:r w:rsidRPr="009B20C5">
        <w:rPr>
          <w:rFonts w:ascii="Verdana" w:eastAsia="Times New Roman" w:hAnsi="Verdana" w:cs="Arial"/>
          <w:bCs/>
          <w:sz w:val="16"/>
          <w:szCs w:val="16"/>
          <w:lang w:eastAsia="x-none"/>
        </w:rPr>
        <w:t xml:space="preserve"> «</w:t>
      </w:r>
      <w:r w:rsidRPr="009B20C5">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9B20C5">
        <w:rPr>
          <w:rFonts w:ascii="Verdana" w:eastAsia="Times New Roman" w:hAnsi="Verdana" w:cs="Arial"/>
          <w:bCs/>
          <w:sz w:val="16"/>
          <w:szCs w:val="16"/>
          <w:lang w:eastAsia="x-none"/>
        </w:rPr>
        <w:t>».</w:t>
      </w:r>
    </w:p>
  </w:footnote>
  <w:footnote w:id="21">
    <w:p w14:paraId="6316A51E" w14:textId="77777777" w:rsidR="00F10E52" w:rsidRPr="009B20C5" w:rsidRDefault="00F10E52" w:rsidP="009B20C5">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2">
    <w:p w14:paraId="76C952E0" w14:textId="77777777" w:rsidR="00F10E52" w:rsidRPr="009B20C5" w:rsidRDefault="00F10E52" w:rsidP="009B20C5">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ídem.</w:t>
      </w:r>
    </w:p>
  </w:footnote>
  <w:footnote w:id="23">
    <w:p w14:paraId="247D598E" w14:textId="77777777" w:rsidR="00F10E52" w:rsidRPr="009B20C5" w:rsidRDefault="00F10E52" w:rsidP="009B20C5">
      <w:pPr>
        <w:pStyle w:val="Textonotapie"/>
        <w:ind w:firstLine="708"/>
        <w:jc w:val="both"/>
        <w:rPr>
          <w:rFonts w:ascii="Verdana" w:hAnsi="Verdana" w:cs="Arial"/>
          <w:color w:val="000000"/>
          <w:sz w:val="16"/>
          <w:szCs w:val="16"/>
        </w:rPr>
      </w:pPr>
      <w:r w:rsidRPr="009B20C5">
        <w:rPr>
          <w:rStyle w:val="Refdenotaalpie"/>
          <w:rFonts w:ascii="Verdana" w:hAnsi="Verdana" w:cs="Arial"/>
          <w:color w:val="000000"/>
          <w:sz w:val="16"/>
          <w:szCs w:val="16"/>
        </w:rPr>
        <w:footnoteRef/>
      </w:r>
      <w:r w:rsidRPr="009B20C5">
        <w:rPr>
          <w:rFonts w:ascii="Verdana" w:hAnsi="Verdana" w:cs="Arial"/>
          <w:color w:val="000000"/>
          <w:sz w:val="16"/>
          <w:szCs w:val="16"/>
        </w:rPr>
        <w:t xml:space="preserve"> Ley 489 de 1998: «Artículo 68: Entidades descentralizadas.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w:t>
      </w:r>
      <w:r w:rsidRPr="009B20C5">
        <w:rPr>
          <w:rFonts w:ascii="Verdana" w:hAnsi="Verdana" w:cs="Arial"/>
          <w:bCs/>
          <w:i/>
          <w:iCs/>
          <w:color w:val="000000"/>
          <w:sz w:val="16"/>
          <w:szCs w:val="16"/>
        </w:rPr>
        <w:t>las empresas oficiales de servicios públicos</w:t>
      </w:r>
      <w:r w:rsidRPr="009B20C5">
        <w:rPr>
          <w:rFonts w:ascii="Verdana" w:hAnsi="Verdana" w:cs="Arial"/>
          <w:color w:val="000000"/>
          <w:sz w:val="16"/>
          <w:szCs w:val="16"/>
        </w:rPr>
        <w:t>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 (Énfasis fuera de texto).</w:t>
      </w:r>
    </w:p>
  </w:footnote>
  <w:footnote w:id="24">
    <w:p w14:paraId="77E171ED" w14:textId="77777777" w:rsidR="00F10E52" w:rsidRPr="009B20C5" w:rsidRDefault="00F10E52" w:rsidP="009B20C5">
      <w:pPr>
        <w:pStyle w:val="Textonotapie"/>
        <w:ind w:firstLine="708"/>
        <w:jc w:val="both"/>
        <w:rPr>
          <w:rFonts w:ascii="Verdana" w:hAnsi="Verdana" w:cs="Arial"/>
          <w:color w:val="000000"/>
          <w:sz w:val="16"/>
          <w:szCs w:val="16"/>
        </w:rPr>
      </w:pPr>
      <w:r w:rsidRPr="009B20C5">
        <w:rPr>
          <w:rStyle w:val="Refdenotaalpie"/>
          <w:rFonts w:ascii="Verdana" w:hAnsi="Verdana" w:cs="Arial"/>
          <w:color w:val="000000"/>
          <w:sz w:val="16"/>
          <w:szCs w:val="16"/>
        </w:rPr>
        <w:footnoteRef/>
      </w:r>
      <w:r w:rsidRPr="009B20C5">
        <w:rPr>
          <w:rFonts w:ascii="Verdana" w:hAnsi="Verdana" w:cs="Arial"/>
          <w:color w:val="000000"/>
          <w:sz w:val="16"/>
          <w:szCs w:val="16"/>
        </w:rPr>
        <w:t xml:space="preserve"> Corte Constitucional. Sentencia C-736 de 2007. C.P. Marco Gerardo Monroy Cabra: «Obsérvese que si bien el legislador sólo considera explícitamente como entidades descentralizadas a las empresas oficiales de servicios públicos, es decir a aquellas con un capital cien por ciento (100%) estatal, lo cual haría pensar que las mixtas y las privadas no ostentarían esta naturaleza jurídica, a continuación indica que también son entidades descentralizadas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Así las cosas, de manera implícita incluye a las empresas de servicios públicos mixtas o privadas como entidades descentralizadas, por lo cual la Corte no encuentra obstáculo para declarar su constitucionalidad».</w:t>
      </w:r>
    </w:p>
  </w:footnote>
  <w:footnote w:id="25">
    <w:p w14:paraId="1EDC8D08" w14:textId="77777777" w:rsidR="00F10E52" w:rsidRPr="009B20C5" w:rsidRDefault="00F10E52" w:rsidP="009B20C5">
      <w:pPr>
        <w:pStyle w:val="Textonotapie"/>
        <w:ind w:firstLine="708"/>
        <w:jc w:val="both"/>
        <w:rPr>
          <w:rFonts w:ascii="Verdana" w:hAnsi="Verdana" w:cs="Arial"/>
          <w:color w:val="000000"/>
          <w:sz w:val="16"/>
          <w:szCs w:val="16"/>
        </w:rPr>
      </w:pPr>
      <w:r w:rsidRPr="009B20C5">
        <w:rPr>
          <w:rStyle w:val="Refdenotaalpie"/>
          <w:rFonts w:ascii="Verdana" w:hAnsi="Verdana" w:cs="Arial"/>
          <w:color w:val="000000"/>
          <w:sz w:val="16"/>
          <w:szCs w:val="16"/>
        </w:rPr>
        <w:footnoteRef/>
      </w:r>
      <w:r w:rsidRPr="009B20C5">
        <w:rPr>
          <w:rFonts w:ascii="Verdana" w:hAnsi="Verdana" w:cs="Arial"/>
          <w:i/>
          <w:color w:val="000000"/>
          <w:sz w:val="16"/>
          <w:szCs w:val="16"/>
        </w:rPr>
        <w:t xml:space="preserve"> </w:t>
      </w:r>
      <w:r w:rsidRPr="009B20C5">
        <w:rPr>
          <w:rFonts w:ascii="Verdana" w:hAnsi="Verdana" w:cs="Arial"/>
          <w:i/>
          <w:iCs/>
          <w:color w:val="000000"/>
          <w:sz w:val="16"/>
          <w:szCs w:val="16"/>
        </w:rPr>
        <w:t>Ibídem.</w:t>
      </w:r>
      <w:r w:rsidRPr="009B20C5">
        <w:rPr>
          <w:rFonts w:ascii="Verdana" w:hAnsi="Verdana" w:cs="Arial"/>
          <w:color w:val="000000"/>
          <w:sz w:val="16"/>
          <w:szCs w:val="16"/>
        </w:rPr>
        <w:t>«No obstante, después de haber estudiado los conceptos de sociedad de economía mixta y de empresa de servicios públicos, la Corte estima que la naturaleza y el régimen jurídico especial de la prestación de los servicios públicos dispuesto por el constituyente en el artículo 365 de la Carta impiden considerar que las empresas de servicios públicos constituidas bajo la forma de sociedades por acciones, en las cuales concurran en cualquier proporción el capital público y el privado, sean “sociedades de economía mixta”. A juicio de la Corporación, y por lo dicho anteriormente, se trata de entidades de tipología especial expresamente definida por el legislador en desarrollo de las normas superiores antes mencionadas, que señalan las particularidades de esta actividad».</w:t>
      </w:r>
    </w:p>
  </w:footnote>
  <w:footnote w:id="26">
    <w:p w14:paraId="0E1B302B" w14:textId="77777777" w:rsidR="00F10E52" w:rsidRPr="009B20C5" w:rsidRDefault="00F10E52" w:rsidP="009B20C5">
      <w:pPr>
        <w:pStyle w:val="Textonotapie"/>
        <w:ind w:firstLine="708"/>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La Ley 1150 de 2007, en el artículo 13, dispone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4413A74E" w14:textId="77777777" w:rsidR="00F10E52" w:rsidRPr="00C9655E" w:rsidRDefault="00F10E52" w:rsidP="00F10E52">
      <w:pPr>
        <w:pStyle w:val="Textonotapie"/>
        <w:ind w:firstLine="708"/>
        <w:rPr>
          <w:rFonts w:ascii="Arial" w:hAnsi="Arial" w:cs="Arial"/>
          <w:sz w:val="18"/>
          <w:szCs w:val="18"/>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770E7ECD">
          <wp:simplePos x="0" y="0"/>
          <wp:positionH relativeFrom="margin">
            <wp:align>center</wp:align>
          </wp:positionH>
          <wp:positionV relativeFrom="paragraph">
            <wp:posOffset>-138611</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6543F162" w14:textId="77777777" w:rsidR="002B5862" w:rsidRDefault="002B5862">
    <w:pPr>
      <w:pStyle w:val="Encabezado"/>
    </w:pPr>
  </w:p>
  <w:p w14:paraId="4711D484" w14:textId="77777777" w:rsidR="002B5862" w:rsidRDefault="002B5862">
    <w:pPr>
      <w:pStyle w:val="Encabezado"/>
    </w:pPr>
  </w:p>
  <w:p w14:paraId="3D79C711" w14:textId="77777777" w:rsidR="002B5862" w:rsidRDefault="002B586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80629B"/>
    <w:multiLevelType w:val="hybridMultilevel"/>
    <w:tmpl w:val="28E2EC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8BA6D35"/>
    <w:multiLevelType w:val="hybridMultilevel"/>
    <w:tmpl w:val="132012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CD31D0"/>
    <w:multiLevelType w:val="hybridMultilevel"/>
    <w:tmpl w:val="8C70229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76174A6"/>
    <w:multiLevelType w:val="hybridMultilevel"/>
    <w:tmpl w:val="AB64BA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8FF68BA"/>
    <w:multiLevelType w:val="hybridMultilevel"/>
    <w:tmpl w:val="DB783F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9973D6D"/>
    <w:multiLevelType w:val="hybridMultilevel"/>
    <w:tmpl w:val="9B1E669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88E5AE1"/>
    <w:multiLevelType w:val="hybridMultilevel"/>
    <w:tmpl w:val="98EAC2BA"/>
    <w:lvl w:ilvl="0" w:tplc="FFFFFFFF">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FB83800"/>
    <w:multiLevelType w:val="hybridMultilevel"/>
    <w:tmpl w:val="561C07B8"/>
    <w:lvl w:ilvl="0" w:tplc="F2E4A75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46446F6E"/>
    <w:multiLevelType w:val="hybridMultilevel"/>
    <w:tmpl w:val="6302B2F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0" w15:restartNumberingAfterBreak="0">
    <w:nsid w:val="5C753F83"/>
    <w:multiLevelType w:val="hybridMultilevel"/>
    <w:tmpl w:val="7528DA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E2B5288"/>
    <w:multiLevelType w:val="hybridMultilevel"/>
    <w:tmpl w:val="2690AA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E9844E6"/>
    <w:multiLevelType w:val="hybridMultilevel"/>
    <w:tmpl w:val="E25A24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30A419F"/>
    <w:multiLevelType w:val="hybridMultilevel"/>
    <w:tmpl w:val="8ABA74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5" w15:restartNumberingAfterBreak="0">
    <w:nsid w:val="6B2A6F6B"/>
    <w:multiLevelType w:val="hybridMultilevel"/>
    <w:tmpl w:val="F2CE68B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DC31758"/>
    <w:multiLevelType w:val="hybridMultilevel"/>
    <w:tmpl w:val="CE2020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F0422BB"/>
    <w:multiLevelType w:val="hybridMultilevel"/>
    <w:tmpl w:val="676AB1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12"/>
  </w:num>
  <w:num w:numId="2" w16cid:durableId="19822139">
    <w:abstractNumId w:val="3"/>
  </w:num>
  <w:num w:numId="3" w16cid:durableId="876742304">
    <w:abstractNumId w:val="10"/>
  </w:num>
  <w:num w:numId="4" w16cid:durableId="24518640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29"/>
  </w:num>
  <w:num w:numId="7" w16cid:durableId="1946422806">
    <w:abstractNumId w:val="11"/>
  </w:num>
  <w:num w:numId="8" w16cid:durableId="152644682">
    <w:abstractNumId w:val="27"/>
  </w:num>
  <w:num w:numId="9" w16cid:durableId="1317221377">
    <w:abstractNumId w:val="13"/>
  </w:num>
  <w:num w:numId="10" w16cid:durableId="1471245386">
    <w:abstractNumId w:val="26"/>
  </w:num>
  <w:num w:numId="11" w16cid:durableId="289172385">
    <w:abstractNumId w:val="14"/>
  </w:num>
  <w:num w:numId="12" w16cid:durableId="1470781324">
    <w:abstractNumId w:val="1"/>
  </w:num>
  <w:num w:numId="13" w16cid:durableId="1512908409">
    <w:abstractNumId w:val="5"/>
  </w:num>
  <w:num w:numId="14" w16cid:durableId="895897244">
    <w:abstractNumId w:val="30"/>
  </w:num>
  <w:num w:numId="15" w16cid:durableId="390349800">
    <w:abstractNumId w:val="24"/>
  </w:num>
  <w:num w:numId="16" w16cid:durableId="1380713882">
    <w:abstractNumId w:val="0"/>
  </w:num>
  <w:num w:numId="17" w16cid:durableId="1982299905">
    <w:abstractNumId w:val="31"/>
  </w:num>
  <w:num w:numId="18" w16cid:durableId="691802391">
    <w:abstractNumId w:val="16"/>
  </w:num>
  <w:num w:numId="19" w16cid:durableId="336813632">
    <w:abstractNumId w:val="4"/>
  </w:num>
  <w:num w:numId="20" w16cid:durableId="706025072">
    <w:abstractNumId w:val="32"/>
  </w:num>
  <w:num w:numId="21" w16cid:durableId="1140540125">
    <w:abstractNumId w:val="21"/>
  </w:num>
  <w:num w:numId="22" w16cid:durableId="1319575256">
    <w:abstractNumId w:val="25"/>
  </w:num>
  <w:num w:numId="23" w16cid:durableId="679350865">
    <w:abstractNumId w:val="23"/>
  </w:num>
  <w:num w:numId="24" w16cid:durableId="1903329049">
    <w:abstractNumId w:val="19"/>
  </w:num>
  <w:num w:numId="25" w16cid:durableId="456876961">
    <w:abstractNumId w:val="22"/>
  </w:num>
  <w:num w:numId="26" w16cid:durableId="1266187003">
    <w:abstractNumId w:val="15"/>
  </w:num>
  <w:num w:numId="27" w16cid:durableId="774180183">
    <w:abstractNumId w:val="2"/>
  </w:num>
  <w:num w:numId="28" w16cid:durableId="159540047">
    <w:abstractNumId w:val="6"/>
  </w:num>
  <w:num w:numId="29" w16cid:durableId="2051875400">
    <w:abstractNumId w:val="20"/>
  </w:num>
  <w:num w:numId="30" w16cid:durableId="153255849">
    <w:abstractNumId w:val="18"/>
  </w:num>
  <w:num w:numId="31" w16cid:durableId="1306426437">
    <w:abstractNumId w:val="9"/>
  </w:num>
  <w:num w:numId="32" w16cid:durableId="1538347731">
    <w:abstractNumId w:val="7"/>
  </w:num>
  <w:num w:numId="33" w16cid:durableId="865873773">
    <w:abstractNumId w:val="8"/>
  </w:num>
  <w:num w:numId="34" w16cid:durableId="2131128296">
    <w:abstractNumId w:val="28"/>
  </w:num>
  <w:num w:numId="35" w16cid:durableId="80415365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DE0"/>
    <w:rsid w:val="000064DB"/>
    <w:rsid w:val="00016F78"/>
    <w:rsid w:val="000265BC"/>
    <w:rsid w:val="00036DEB"/>
    <w:rsid w:val="00037477"/>
    <w:rsid w:val="00046945"/>
    <w:rsid w:val="00061B2A"/>
    <w:rsid w:val="00072655"/>
    <w:rsid w:val="0007444E"/>
    <w:rsid w:val="00077652"/>
    <w:rsid w:val="00082362"/>
    <w:rsid w:val="00087DAD"/>
    <w:rsid w:val="000A683E"/>
    <w:rsid w:val="000B19B9"/>
    <w:rsid w:val="000D0334"/>
    <w:rsid w:val="000F6486"/>
    <w:rsid w:val="00100536"/>
    <w:rsid w:val="001063DA"/>
    <w:rsid w:val="00107BB2"/>
    <w:rsid w:val="00120D16"/>
    <w:rsid w:val="00125105"/>
    <w:rsid w:val="00127233"/>
    <w:rsid w:val="00134832"/>
    <w:rsid w:val="00135265"/>
    <w:rsid w:val="00136B00"/>
    <w:rsid w:val="00137754"/>
    <w:rsid w:val="001511A0"/>
    <w:rsid w:val="00162880"/>
    <w:rsid w:val="00174663"/>
    <w:rsid w:val="00177E18"/>
    <w:rsid w:val="001818A0"/>
    <w:rsid w:val="001B0A93"/>
    <w:rsid w:val="001C03F2"/>
    <w:rsid w:val="001E190F"/>
    <w:rsid w:val="001E4177"/>
    <w:rsid w:val="001F7DC6"/>
    <w:rsid w:val="00203AA5"/>
    <w:rsid w:val="0021522F"/>
    <w:rsid w:val="00231D13"/>
    <w:rsid w:val="00233586"/>
    <w:rsid w:val="00237609"/>
    <w:rsid w:val="002421BB"/>
    <w:rsid w:val="00247988"/>
    <w:rsid w:val="0025796E"/>
    <w:rsid w:val="00260213"/>
    <w:rsid w:val="002707A2"/>
    <w:rsid w:val="00275340"/>
    <w:rsid w:val="00275CFF"/>
    <w:rsid w:val="00285A4F"/>
    <w:rsid w:val="00290004"/>
    <w:rsid w:val="002951A0"/>
    <w:rsid w:val="002962BC"/>
    <w:rsid w:val="002965E2"/>
    <w:rsid w:val="002A093D"/>
    <w:rsid w:val="002A0DD0"/>
    <w:rsid w:val="002A2E4B"/>
    <w:rsid w:val="002A49AC"/>
    <w:rsid w:val="002A5172"/>
    <w:rsid w:val="002A64FD"/>
    <w:rsid w:val="002B5862"/>
    <w:rsid w:val="002C5070"/>
    <w:rsid w:val="002C7A84"/>
    <w:rsid w:val="002E0B66"/>
    <w:rsid w:val="002E3899"/>
    <w:rsid w:val="002E4FD9"/>
    <w:rsid w:val="002E64D0"/>
    <w:rsid w:val="00307BB8"/>
    <w:rsid w:val="00322A85"/>
    <w:rsid w:val="00324168"/>
    <w:rsid w:val="0033493C"/>
    <w:rsid w:val="0034084B"/>
    <w:rsid w:val="00342D2B"/>
    <w:rsid w:val="003448F4"/>
    <w:rsid w:val="003476BD"/>
    <w:rsid w:val="00354D16"/>
    <w:rsid w:val="0036525B"/>
    <w:rsid w:val="00374F5E"/>
    <w:rsid w:val="00377B05"/>
    <w:rsid w:val="00377E3E"/>
    <w:rsid w:val="003874D6"/>
    <w:rsid w:val="003A2DB2"/>
    <w:rsid w:val="003A779E"/>
    <w:rsid w:val="003A7F17"/>
    <w:rsid w:val="003D0F4D"/>
    <w:rsid w:val="003D2BE6"/>
    <w:rsid w:val="003D5B0D"/>
    <w:rsid w:val="003E0499"/>
    <w:rsid w:val="003E7CD1"/>
    <w:rsid w:val="003F1AD9"/>
    <w:rsid w:val="003F3941"/>
    <w:rsid w:val="003F65DF"/>
    <w:rsid w:val="00406575"/>
    <w:rsid w:val="00407174"/>
    <w:rsid w:val="00414C74"/>
    <w:rsid w:val="0042722E"/>
    <w:rsid w:val="0044228B"/>
    <w:rsid w:val="0044528D"/>
    <w:rsid w:val="0046173D"/>
    <w:rsid w:val="004679CF"/>
    <w:rsid w:val="004A1847"/>
    <w:rsid w:val="004A305D"/>
    <w:rsid w:val="004D10C0"/>
    <w:rsid w:val="004D3F3A"/>
    <w:rsid w:val="004E1C9C"/>
    <w:rsid w:val="004E34CC"/>
    <w:rsid w:val="004E58E3"/>
    <w:rsid w:val="004F21C4"/>
    <w:rsid w:val="004F685F"/>
    <w:rsid w:val="00503135"/>
    <w:rsid w:val="00536DDE"/>
    <w:rsid w:val="005566E8"/>
    <w:rsid w:val="0056783A"/>
    <w:rsid w:val="00567A42"/>
    <w:rsid w:val="00574867"/>
    <w:rsid w:val="00591460"/>
    <w:rsid w:val="00596D81"/>
    <w:rsid w:val="005979D7"/>
    <w:rsid w:val="005A24A3"/>
    <w:rsid w:val="005B09C5"/>
    <w:rsid w:val="005B33E4"/>
    <w:rsid w:val="005B3816"/>
    <w:rsid w:val="005B451A"/>
    <w:rsid w:val="005C27A0"/>
    <w:rsid w:val="005C3777"/>
    <w:rsid w:val="005C5CDC"/>
    <w:rsid w:val="005D476C"/>
    <w:rsid w:val="005F5676"/>
    <w:rsid w:val="0060785D"/>
    <w:rsid w:val="00620171"/>
    <w:rsid w:val="006219F8"/>
    <w:rsid w:val="00626256"/>
    <w:rsid w:val="00651311"/>
    <w:rsid w:val="00652513"/>
    <w:rsid w:val="00657B9A"/>
    <w:rsid w:val="00663EF1"/>
    <w:rsid w:val="00665D70"/>
    <w:rsid w:val="00666B53"/>
    <w:rsid w:val="006676BD"/>
    <w:rsid w:val="0067596F"/>
    <w:rsid w:val="0067780C"/>
    <w:rsid w:val="0068379D"/>
    <w:rsid w:val="006900D9"/>
    <w:rsid w:val="006A19FE"/>
    <w:rsid w:val="00706C16"/>
    <w:rsid w:val="0072759A"/>
    <w:rsid w:val="0073695B"/>
    <w:rsid w:val="007372F2"/>
    <w:rsid w:val="00741571"/>
    <w:rsid w:val="00743602"/>
    <w:rsid w:val="00756841"/>
    <w:rsid w:val="007649AB"/>
    <w:rsid w:val="00767A21"/>
    <w:rsid w:val="00771D0C"/>
    <w:rsid w:val="007833AC"/>
    <w:rsid w:val="007911EE"/>
    <w:rsid w:val="00797E96"/>
    <w:rsid w:val="007A6EAA"/>
    <w:rsid w:val="007B268C"/>
    <w:rsid w:val="007B3C65"/>
    <w:rsid w:val="007B7171"/>
    <w:rsid w:val="007C0C0F"/>
    <w:rsid w:val="007C11D3"/>
    <w:rsid w:val="007C3DC2"/>
    <w:rsid w:val="007E27A3"/>
    <w:rsid w:val="007E5497"/>
    <w:rsid w:val="007E5663"/>
    <w:rsid w:val="007E7889"/>
    <w:rsid w:val="007F662E"/>
    <w:rsid w:val="00800596"/>
    <w:rsid w:val="00806F5F"/>
    <w:rsid w:val="0081553D"/>
    <w:rsid w:val="00820278"/>
    <w:rsid w:val="008318DA"/>
    <w:rsid w:val="00837F12"/>
    <w:rsid w:val="00842788"/>
    <w:rsid w:val="00843CAD"/>
    <w:rsid w:val="0084631C"/>
    <w:rsid w:val="00865AE0"/>
    <w:rsid w:val="00866C2B"/>
    <w:rsid w:val="00867F95"/>
    <w:rsid w:val="0087031A"/>
    <w:rsid w:val="0087082B"/>
    <w:rsid w:val="00871A7A"/>
    <w:rsid w:val="00874B80"/>
    <w:rsid w:val="00880A26"/>
    <w:rsid w:val="008843B6"/>
    <w:rsid w:val="00891928"/>
    <w:rsid w:val="00894A6D"/>
    <w:rsid w:val="0089585A"/>
    <w:rsid w:val="008A446D"/>
    <w:rsid w:val="008C6C5F"/>
    <w:rsid w:val="008C7819"/>
    <w:rsid w:val="008D180B"/>
    <w:rsid w:val="008F0EA7"/>
    <w:rsid w:val="009024A5"/>
    <w:rsid w:val="00904654"/>
    <w:rsid w:val="00905C1B"/>
    <w:rsid w:val="0091101B"/>
    <w:rsid w:val="00916E25"/>
    <w:rsid w:val="0092047B"/>
    <w:rsid w:val="009239D1"/>
    <w:rsid w:val="00923EEF"/>
    <w:rsid w:val="009266D6"/>
    <w:rsid w:val="0092765E"/>
    <w:rsid w:val="0093633D"/>
    <w:rsid w:val="00937FE3"/>
    <w:rsid w:val="009419F9"/>
    <w:rsid w:val="0095685E"/>
    <w:rsid w:val="009616AD"/>
    <w:rsid w:val="00961B09"/>
    <w:rsid w:val="00965334"/>
    <w:rsid w:val="009653B1"/>
    <w:rsid w:val="0096584C"/>
    <w:rsid w:val="009673F0"/>
    <w:rsid w:val="0097093E"/>
    <w:rsid w:val="00986AC5"/>
    <w:rsid w:val="00995AB5"/>
    <w:rsid w:val="009A0DFA"/>
    <w:rsid w:val="009A0F6D"/>
    <w:rsid w:val="009B20C5"/>
    <w:rsid w:val="009B2D26"/>
    <w:rsid w:val="009B32AD"/>
    <w:rsid w:val="009B5CFD"/>
    <w:rsid w:val="009C4461"/>
    <w:rsid w:val="009C71FA"/>
    <w:rsid w:val="009C72E7"/>
    <w:rsid w:val="009D3058"/>
    <w:rsid w:val="009E1CA3"/>
    <w:rsid w:val="009F3A13"/>
    <w:rsid w:val="00A10165"/>
    <w:rsid w:val="00A122D3"/>
    <w:rsid w:val="00A1428E"/>
    <w:rsid w:val="00A17F13"/>
    <w:rsid w:val="00A20739"/>
    <w:rsid w:val="00A2570B"/>
    <w:rsid w:val="00A33C78"/>
    <w:rsid w:val="00A3577C"/>
    <w:rsid w:val="00A53EC9"/>
    <w:rsid w:val="00A550D0"/>
    <w:rsid w:val="00A66BCC"/>
    <w:rsid w:val="00AA7EA3"/>
    <w:rsid w:val="00AB0ADB"/>
    <w:rsid w:val="00AB73F8"/>
    <w:rsid w:val="00AC51C2"/>
    <w:rsid w:val="00AD301C"/>
    <w:rsid w:val="00AD7A12"/>
    <w:rsid w:val="00AD7E01"/>
    <w:rsid w:val="00AD7FF6"/>
    <w:rsid w:val="00AE025B"/>
    <w:rsid w:val="00AE62A4"/>
    <w:rsid w:val="00B01B1A"/>
    <w:rsid w:val="00B15A84"/>
    <w:rsid w:val="00B16AC3"/>
    <w:rsid w:val="00B174AE"/>
    <w:rsid w:val="00B3353C"/>
    <w:rsid w:val="00B55F3C"/>
    <w:rsid w:val="00B631FD"/>
    <w:rsid w:val="00B66319"/>
    <w:rsid w:val="00B715C6"/>
    <w:rsid w:val="00B72CD3"/>
    <w:rsid w:val="00B72FFF"/>
    <w:rsid w:val="00B752E9"/>
    <w:rsid w:val="00B8227C"/>
    <w:rsid w:val="00B868EA"/>
    <w:rsid w:val="00B959F0"/>
    <w:rsid w:val="00B965EB"/>
    <w:rsid w:val="00BA1D91"/>
    <w:rsid w:val="00BC3D36"/>
    <w:rsid w:val="00BC54A9"/>
    <w:rsid w:val="00BD5505"/>
    <w:rsid w:val="00BD7F72"/>
    <w:rsid w:val="00BE7232"/>
    <w:rsid w:val="00C04FB3"/>
    <w:rsid w:val="00C330EB"/>
    <w:rsid w:val="00C33DBE"/>
    <w:rsid w:val="00C41061"/>
    <w:rsid w:val="00C4297D"/>
    <w:rsid w:val="00C455FF"/>
    <w:rsid w:val="00C7092B"/>
    <w:rsid w:val="00C71956"/>
    <w:rsid w:val="00C71A94"/>
    <w:rsid w:val="00C73FF9"/>
    <w:rsid w:val="00C754BE"/>
    <w:rsid w:val="00C76B1C"/>
    <w:rsid w:val="00C81B0C"/>
    <w:rsid w:val="00C82FEE"/>
    <w:rsid w:val="00C97B93"/>
    <w:rsid w:val="00CA1068"/>
    <w:rsid w:val="00CB5217"/>
    <w:rsid w:val="00CB6357"/>
    <w:rsid w:val="00CC1B26"/>
    <w:rsid w:val="00CD0B4A"/>
    <w:rsid w:val="00CD7324"/>
    <w:rsid w:val="00CE4F67"/>
    <w:rsid w:val="00CF1C1D"/>
    <w:rsid w:val="00CF6E85"/>
    <w:rsid w:val="00D20938"/>
    <w:rsid w:val="00D3478D"/>
    <w:rsid w:val="00D423A2"/>
    <w:rsid w:val="00D520D8"/>
    <w:rsid w:val="00D63AC2"/>
    <w:rsid w:val="00D719C2"/>
    <w:rsid w:val="00D7383B"/>
    <w:rsid w:val="00D82F75"/>
    <w:rsid w:val="00D86E93"/>
    <w:rsid w:val="00DA231B"/>
    <w:rsid w:val="00DA4EE6"/>
    <w:rsid w:val="00DB193E"/>
    <w:rsid w:val="00DC15C6"/>
    <w:rsid w:val="00DC39FC"/>
    <w:rsid w:val="00DC6148"/>
    <w:rsid w:val="00DC68C5"/>
    <w:rsid w:val="00DD5FB0"/>
    <w:rsid w:val="00DD60E6"/>
    <w:rsid w:val="00DE435A"/>
    <w:rsid w:val="00DF29BC"/>
    <w:rsid w:val="00DF5254"/>
    <w:rsid w:val="00E16408"/>
    <w:rsid w:val="00E20894"/>
    <w:rsid w:val="00E245AB"/>
    <w:rsid w:val="00E2764C"/>
    <w:rsid w:val="00E27F2E"/>
    <w:rsid w:val="00E50A80"/>
    <w:rsid w:val="00E50AFE"/>
    <w:rsid w:val="00E75C92"/>
    <w:rsid w:val="00E771DC"/>
    <w:rsid w:val="00E8772A"/>
    <w:rsid w:val="00E90F6B"/>
    <w:rsid w:val="00E92C27"/>
    <w:rsid w:val="00EA0E3D"/>
    <w:rsid w:val="00EA5E67"/>
    <w:rsid w:val="00EB255D"/>
    <w:rsid w:val="00EB2CED"/>
    <w:rsid w:val="00EB756D"/>
    <w:rsid w:val="00EC38A7"/>
    <w:rsid w:val="00ED0CF6"/>
    <w:rsid w:val="00ED7384"/>
    <w:rsid w:val="00EE1AA8"/>
    <w:rsid w:val="00EE5478"/>
    <w:rsid w:val="00F10E52"/>
    <w:rsid w:val="00F31EDC"/>
    <w:rsid w:val="00F32EC5"/>
    <w:rsid w:val="00F3779B"/>
    <w:rsid w:val="00F462B3"/>
    <w:rsid w:val="00F5175E"/>
    <w:rsid w:val="00F5664F"/>
    <w:rsid w:val="00F638F9"/>
    <w:rsid w:val="00F666C4"/>
    <w:rsid w:val="00F73ADA"/>
    <w:rsid w:val="00F7427E"/>
    <w:rsid w:val="00F76AFC"/>
    <w:rsid w:val="00F83338"/>
    <w:rsid w:val="00FA47C0"/>
    <w:rsid w:val="00FB0145"/>
    <w:rsid w:val="00FB5DD1"/>
    <w:rsid w:val="00FB7DC7"/>
    <w:rsid w:val="00FC2B5D"/>
    <w:rsid w:val="00FD21F4"/>
    <w:rsid w:val="00FD3E8A"/>
    <w:rsid w:val="00FD7C4D"/>
    <w:rsid w:val="00FF1449"/>
    <w:rsid w:val="165E9519"/>
    <w:rsid w:val="382536D9"/>
    <w:rsid w:val="5B89E16D"/>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6">
    <w:name w:val="heading 6"/>
    <w:basedOn w:val="Normal"/>
    <w:next w:val="Normal"/>
    <w:link w:val="Ttulo6Car"/>
    <w:uiPriority w:val="9"/>
    <w:semiHidden/>
    <w:unhideWhenUsed/>
    <w:qFormat/>
    <w:rsid w:val="00A3577C"/>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7031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87031A"/>
    <w:rPr>
      <w:rFonts w:ascii="Geomanist Light" w:hAnsi="Geomanist Light"/>
      <w:lang w:val="es-ES"/>
    </w:rPr>
  </w:style>
  <w:style w:type="paragraph" w:styleId="Textoindependiente">
    <w:name w:val="Body Text"/>
    <w:basedOn w:val="Normal"/>
    <w:link w:val="TextoindependienteCar"/>
    <w:uiPriority w:val="1"/>
    <w:unhideWhenUsed/>
    <w:qFormat/>
    <w:rsid w:val="0087031A"/>
    <w:pPr>
      <w:spacing w:after="120"/>
    </w:pPr>
  </w:style>
  <w:style w:type="character" w:customStyle="1" w:styleId="TextoindependienteCar">
    <w:name w:val="Texto independiente Car"/>
    <w:basedOn w:val="Fuentedeprrafopredeter"/>
    <w:link w:val="Textoindependiente"/>
    <w:uiPriority w:val="1"/>
    <w:rsid w:val="0087031A"/>
  </w:style>
  <w:style w:type="paragraph" w:styleId="Sinespaciado">
    <w:name w:val="No Spacing"/>
    <w:aliases w:val="No Indent"/>
    <w:uiPriority w:val="3"/>
    <w:qFormat/>
    <w:rsid w:val="0044228B"/>
    <w:pPr>
      <w:spacing w:after="0" w:line="240" w:lineRule="auto"/>
    </w:pPr>
    <w:rPr>
      <w:sz w:val="24"/>
      <w:lang w:val="es-MX"/>
    </w:rPr>
  </w:style>
  <w:style w:type="paragraph" w:styleId="Subttulo">
    <w:name w:val="Subtitle"/>
    <w:basedOn w:val="Normal"/>
    <w:next w:val="Normal"/>
    <w:link w:val="SubttuloCar"/>
    <w:uiPriority w:val="11"/>
    <w:qFormat/>
    <w:rsid w:val="00DC68C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C68C5"/>
    <w:rPr>
      <w:rFonts w:eastAsiaTheme="majorEastAsia" w:cstheme="majorBidi"/>
      <w:color w:val="595959" w:themeColor="text1" w:themeTint="A6"/>
      <w:spacing w:val="15"/>
      <w:sz w:val="28"/>
      <w:szCs w:val="28"/>
    </w:rPr>
  </w:style>
  <w:style w:type="character" w:customStyle="1" w:styleId="Ttulo6Car">
    <w:name w:val="Título 6 Car"/>
    <w:basedOn w:val="Fuentedeprrafopredeter"/>
    <w:link w:val="Ttulo6"/>
    <w:uiPriority w:val="9"/>
    <w:semiHidden/>
    <w:rsid w:val="00A3577C"/>
    <w:rPr>
      <w:rFonts w:asciiTheme="majorHAnsi" w:eastAsiaTheme="majorEastAsia" w:hAnsiTheme="majorHAnsi" w:cstheme="majorBidi"/>
      <w:color w:val="1F3763" w:themeColor="accent1" w:themeShade="7F"/>
    </w:rPr>
  </w:style>
  <w:style w:type="character" w:customStyle="1" w:styleId="NormalWebCar">
    <w:name w:val="Normal (Web) Car"/>
    <w:link w:val="NormalWeb"/>
    <w:uiPriority w:val="99"/>
    <w:locked/>
    <w:rsid w:val="00F10E52"/>
    <w:rPr>
      <w:rFonts w:ascii="Times New Roman" w:eastAsia="Times New Roman" w:hAnsi="Times New Roman" w:cs="Times New Roman"/>
      <w:sz w:val="24"/>
      <w:szCs w:val="24"/>
      <w:lang w:eastAsia="es-CO"/>
    </w:rPr>
  </w:style>
  <w:style w:type="character" w:customStyle="1" w:styleId="baj">
    <w:name w:val="b_aj"/>
    <w:basedOn w:val="Fuentedeprrafopredeter"/>
    <w:rsid w:val="00F10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99970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85077310">
      <w:bodyDiv w:val="1"/>
      <w:marLeft w:val="0"/>
      <w:marRight w:val="0"/>
      <w:marTop w:val="0"/>
      <w:marBottom w:val="0"/>
      <w:divBdr>
        <w:top w:val="none" w:sz="0" w:space="0" w:color="auto"/>
        <w:left w:val="none" w:sz="0" w:space="0" w:color="auto"/>
        <w:bottom w:val="none" w:sz="0" w:space="0" w:color="auto"/>
        <w:right w:val="none" w:sz="0" w:space="0" w:color="auto"/>
      </w:divBdr>
    </w:div>
    <w:div w:id="1626039320">
      <w:bodyDiv w:val="1"/>
      <w:marLeft w:val="0"/>
      <w:marRight w:val="0"/>
      <w:marTop w:val="0"/>
      <w:marBottom w:val="0"/>
      <w:divBdr>
        <w:top w:val="none" w:sz="0" w:space="0" w:color="auto"/>
        <w:left w:val="none" w:sz="0" w:space="0" w:color="auto"/>
        <w:bottom w:val="none" w:sz="0" w:space="0" w:color="auto"/>
        <w:right w:val="none" w:sz="0" w:space="0" w:color="auto"/>
      </w:divBdr>
    </w:div>
    <w:div w:id="1711343927">
      <w:bodyDiv w:val="1"/>
      <w:marLeft w:val="0"/>
      <w:marRight w:val="0"/>
      <w:marTop w:val="0"/>
      <w:marBottom w:val="0"/>
      <w:divBdr>
        <w:top w:val="none" w:sz="0" w:space="0" w:color="auto"/>
        <w:left w:val="none" w:sz="0" w:space="0" w:color="auto"/>
        <w:bottom w:val="none" w:sz="0" w:space="0" w:color="auto"/>
        <w:right w:val="none" w:sz="0" w:space="0" w:color="auto"/>
      </w:divBdr>
    </w:div>
    <w:div w:id="1980919643">
      <w:bodyDiv w:val="1"/>
      <w:marLeft w:val="0"/>
      <w:marRight w:val="0"/>
      <w:marTop w:val="0"/>
      <w:marBottom w:val="0"/>
      <w:divBdr>
        <w:top w:val="none" w:sz="0" w:space="0" w:color="auto"/>
        <w:left w:val="none" w:sz="0" w:space="0" w:color="auto"/>
        <w:bottom w:val="none" w:sz="0" w:space="0" w:color="auto"/>
        <w:right w:val="none" w:sz="0" w:space="0" w:color="auto"/>
      </w:divBdr>
    </w:div>
    <w:div w:id="1981613652">
      <w:bodyDiv w:val="1"/>
      <w:marLeft w:val="0"/>
      <w:marRight w:val="0"/>
      <w:marTop w:val="0"/>
      <w:marBottom w:val="0"/>
      <w:divBdr>
        <w:top w:val="none" w:sz="0" w:space="0" w:color="auto"/>
        <w:left w:val="none" w:sz="0" w:space="0" w:color="auto"/>
        <w:bottom w:val="none" w:sz="0" w:space="0" w:color="auto"/>
        <w:right w:val="none" w:sz="0" w:space="0" w:color="auto"/>
      </w:divBdr>
    </w:div>
    <w:div w:id="2072195802">
      <w:bodyDiv w:val="1"/>
      <w:marLeft w:val="0"/>
      <w:marRight w:val="0"/>
      <w:marTop w:val="0"/>
      <w:marBottom w:val="0"/>
      <w:divBdr>
        <w:top w:val="none" w:sz="0" w:space="0" w:color="auto"/>
        <w:left w:val="none" w:sz="0" w:space="0" w:color="auto"/>
        <w:bottom w:val="none" w:sz="0" w:space="0" w:color="auto"/>
        <w:right w:val="none" w:sz="0" w:space="0" w:color="auto"/>
      </w:divBdr>
      <w:divsChild>
        <w:div w:id="1164973239">
          <w:marLeft w:val="0"/>
          <w:marRight w:val="0"/>
          <w:marTop w:val="0"/>
          <w:marBottom w:val="0"/>
          <w:divBdr>
            <w:top w:val="none" w:sz="0" w:space="0" w:color="auto"/>
            <w:left w:val="none" w:sz="0" w:space="0" w:color="auto"/>
            <w:bottom w:val="none" w:sz="0" w:space="0" w:color="auto"/>
            <w:right w:val="none" w:sz="0" w:space="0" w:color="auto"/>
          </w:divBdr>
        </w:div>
        <w:div w:id="1270968462">
          <w:marLeft w:val="0"/>
          <w:marRight w:val="0"/>
          <w:marTop w:val="0"/>
          <w:marBottom w:val="0"/>
          <w:divBdr>
            <w:top w:val="none" w:sz="0" w:space="0" w:color="auto"/>
            <w:left w:val="none" w:sz="0" w:space="0" w:color="auto"/>
            <w:bottom w:val="none" w:sz="0" w:space="0" w:color="auto"/>
            <w:right w:val="none" w:sz="0" w:space="0" w:color="auto"/>
          </w:divBdr>
        </w:div>
        <w:div w:id="601569824">
          <w:marLeft w:val="0"/>
          <w:marRight w:val="0"/>
          <w:marTop w:val="0"/>
          <w:marBottom w:val="0"/>
          <w:divBdr>
            <w:top w:val="none" w:sz="0" w:space="0" w:color="auto"/>
            <w:left w:val="none" w:sz="0" w:space="0" w:color="auto"/>
            <w:bottom w:val="none" w:sz="0" w:space="0" w:color="auto"/>
            <w:right w:val="none" w:sz="0" w:space="0" w:color="auto"/>
          </w:divBdr>
        </w:div>
        <w:div w:id="62143960">
          <w:marLeft w:val="0"/>
          <w:marRight w:val="0"/>
          <w:marTop w:val="0"/>
          <w:marBottom w:val="0"/>
          <w:divBdr>
            <w:top w:val="none" w:sz="0" w:space="0" w:color="auto"/>
            <w:left w:val="none" w:sz="0" w:space="0" w:color="auto"/>
            <w:bottom w:val="none" w:sz="0" w:space="0" w:color="auto"/>
            <w:right w:val="none" w:sz="0" w:space="0" w:color="auto"/>
          </w:divBdr>
        </w:div>
        <w:div w:id="530991857">
          <w:marLeft w:val="0"/>
          <w:marRight w:val="0"/>
          <w:marTop w:val="0"/>
          <w:marBottom w:val="0"/>
          <w:divBdr>
            <w:top w:val="none" w:sz="0" w:space="0" w:color="auto"/>
            <w:left w:val="none" w:sz="0" w:space="0" w:color="auto"/>
            <w:bottom w:val="none" w:sz="0" w:space="0" w:color="auto"/>
            <w:right w:val="none" w:sz="0" w:space="0" w:color="auto"/>
          </w:divBdr>
        </w:div>
        <w:div w:id="464396306">
          <w:marLeft w:val="0"/>
          <w:marRight w:val="0"/>
          <w:marTop w:val="0"/>
          <w:marBottom w:val="0"/>
          <w:divBdr>
            <w:top w:val="none" w:sz="0" w:space="0" w:color="auto"/>
            <w:left w:val="none" w:sz="0" w:space="0" w:color="auto"/>
            <w:bottom w:val="none" w:sz="0" w:space="0" w:color="auto"/>
            <w:right w:val="none" w:sz="0" w:space="0" w:color="auto"/>
          </w:divBdr>
        </w:div>
        <w:div w:id="1708018743">
          <w:marLeft w:val="0"/>
          <w:marRight w:val="0"/>
          <w:marTop w:val="0"/>
          <w:marBottom w:val="0"/>
          <w:divBdr>
            <w:top w:val="none" w:sz="0" w:space="0" w:color="auto"/>
            <w:left w:val="none" w:sz="0" w:space="0" w:color="auto"/>
            <w:bottom w:val="none" w:sz="0" w:space="0" w:color="auto"/>
            <w:right w:val="none" w:sz="0" w:space="0" w:color="auto"/>
          </w:divBdr>
        </w:div>
        <w:div w:id="1897161891">
          <w:marLeft w:val="0"/>
          <w:marRight w:val="0"/>
          <w:marTop w:val="0"/>
          <w:marBottom w:val="0"/>
          <w:divBdr>
            <w:top w:val="none" w:sz="0" w:space="0" w:color="auto"/>
            <w:left w:val="none" w:sz="0" w:space="0" w:color="auto"/>
            <w:bottom w:val="none" w:sz="0" w:space="0" w:color="auto"/>
            <w:right w:val="none" w:sz="0" w:space="0" w:color="auto"/>
          </w:divBdr>
        </w:div>
        <w:div w:id="1667783752">
          <w:marLeft w:val="0"/>
          <w:marRight w:val="0"/>
          <w:marTop w:val="0"/>
          <w:marBottom w:val="0"/>
          <w:divBdr>
            <w:top w:val="none" w:sz="0" w:space="0" w:color="auto"/>
            <w:left w:val="none" w:sz="0" w:space="0" w:color="auto"/>
            <w:bottom w:val="none" w:sz="0" w:space="0" w:color="auto"/>
            <w:right w:val="none" w:sz="0" w:space="0" w:color="auto"/>
          </w:divBdr>
        </w:div>
        <w:div w:id="1609309645">
          <w:marLeft w:val="0"/>
          <w:marRight w:val="0"/>
          <w:marTop w:val="0"/>
          <w:marBottom w:val="0"/>
          <w:divBdr>
            <w:top w:val="none" w:sz="0" w:space="0" w:color="auto"/>
            <w:left w:val="none" w:sz="0" w:space="0" w:color="auto"/>
            <w:bottom w:val="none" w:sz="0" w:space="0" w:color="auto"/>
            <w:right w:val="none" w:sz="0" w:space="0" w:color="auto"/>
          </w:divBdr>
        </w:div>
        <w:div w:id="1074887772">
          <w:marLeft w:val="0"/>
          <w:marRight w:val="0"/>
          <w:marTop w:val="0"/>
          <w:marBottom w:val="0"/>
          <w:divBdr>
            <w:top w:val="none" w:sz="0" w:space="0" w:color="auto"/>
            <w:left w:val="none" w:sz="0" w:space="0" w:color="auto"/>
            <w:bottom w:val="none" w:sz="0" w:space="0" w:color="auto"/>
            <w:right w:val="none" w:sz="0" w:space="0" w:color="auto"/>
          </w:divBdr>
        </w:div>
      </w:divsChild>
    </w:div>
    <w:div w:id="2096129406">
      <w:bodyDiv w:val="1"/>
      <w:marLeft w:val="0"/>
      <w:marRight w:val="0"/>
      <w:marTop w:val="0"/>
      <w:marBottom w:val="0"/>
      <w:divBdr>
        <w:top w:val="none" w:sz="0" w:space="0" w:color="auto"/>
        <w:left w:val="none" w:sz="0" w:space="0" w:color="auto"/>
        <w:bottom w:val="none" w:sz="0" w:space="0" w:color="auto"/>
        <w:right w:val="none" w:sz="0" w:space="0" w:color="auto"/>
      </w:divBdr>
      <w:divsChild>
        <w:div w:id="368379825">
          <w:marLeft w:val="0"/>
          <w:marRight w:val="0"/>
          <w:marTop w:val="0"/>
          <w:marBottom w:val="0"/>
          <w:divBdr>
            <w:top w:val="none" w:sz="0" w:space="0" w:color="auto"/>
            <w:left w:val="none" w:sz="0" w:space="0" w:color="auto"/>
            <w:bottom w:val="none" w:sz="0" w:space="0" w:color="auto"/>
            <w:right w:val="none" w:sz="0" w:space="0" w:color="auto"/>
          </w:divBdr>
        </w:div>
        <w:div w:id="203251242">
          <w:marLeft w:val="0"/>
          <w:marRight w:val="0"/>
          <w:marTop w:val="0"/>
          <w:marBottom w:val="0"/>
          <w:divBdr>
            <w:top w:val="none" w:sz="0" w:space="0" w:color="auto"/>
            <w:left w:val="none" w:sz="0" w:space="0" w:color="auto"/>
            <w:bottom w:val="none" w:sz="0" w:space="0" w:color="auto"/>
            <w:right w:val="none" w:sz="0" w:space="0" w:color="auto"/>
          </w:divBdr>
        </w:div>
        <w:div w:id="188033022">
          <w:marLeft w:val="0"/>
          <w:marRight w:val="0"/>
          <w:marTop w:val="0"/>
          <w:marBottom w:val="0"/>
          <w:divBdr>
            <w:top w:val="none" w:sz="0" w:space="0" w:color="auto"/>
            <w:left w:val="none" w:sz="0" w:space="0" w:color="auto"/>
            <w:bottom w:val="none" w:sz="0" w:space="0" w:color="auto"/>
            <w:right w:val="none" w:sz="0" w:space="0" w:color="auto"/>
          </w:divBdr>
        </w:div>
        <w:div w:id="1562710006">
          <w:marLeft w:val="0"/>
          <w:marRight w:val="0"/>
          <w:marTop w:val="0"/>
          <w:marBottom w:val="0"/>
          <w:divBdr>
            <w:top w:val="none" w:sz="0" w:space="0" w:color="auto"/>
            <w:left w:val="none" w:sz="0" w:space="0" w:color="auto"/>
            <w:bottom w:val="none" w:sz="0" w:space="0" w:color="auto"/>
            <w:right w:val="none" w:sz="0" w:space="0" w:color="auto"/>
          </w:divBdr>
        </w:div>
        <w:div w:id="1441295057">
          <w:marLeft w:val="0"/>
          <w:marRight w:val="0"/>
          <w:marTop w:val="0"/>
          <w:marBottom w:val="0"/>
          <w:divBdr>
            <w:top w:val="none" w:sz="0" w:space="0" w:color="auto"/>
            <w:left w:val="none" w:sz="0" w:space="0" w:color="auto"/>
            <w:bottom w:val="none" w:sz="0" w:space="0" w:color="auto"/>
            <w:right w:val="none" w:sz="0" w:space="0" w:color="auto"/>
          </w:divBdr>
        </w:div>
        <w:div w:id="2108041355">
          <w:marLeft w:val="0"/>
          <w:marRight w:val="0"/>
          <w:marTop w:val="0"/>
          <w:marBottom w:val="0"/>
          <w:divBdr>
            <w:top w:val="none" w:sz="0" w:space="0" w:color="auto"/>
            <w:left w:val="none" w:sz="0" w:space="0" w:color="auto"/>
            <w:bottom w:val="none" w:sz="0" w:space="0" w:color="auto"/>
            <w:right w:val="none" w:sz="0" w:space="0" w:color="auto"/>
          </w:divBdr>
        </w:div>
        <w:div w:id="2058158128">
          <w:marLeft w:val="0"/>
          <w:marRight w:val="0"/>
          <w:marTop w:val="0"/>
          <w:marBottom w:val="0"/>
          <w:divBdr>
            <w:top w:val="none" w:sz="0" w:space="0" w:color="auto"/>
            <w:left w:val="none" w:sz="0" w:space="0" w:color="auto"/>
            <w:bottom w:val="none" w:sz="0" w:space="0" w:color="auto"/>
            <w:right w:val="none" w:sz="0" w:space="0" w:color="auto"/>
          </w:divBdr>
        </w:div>
        <w:div w:id="876508328">
          <w:marLeft w:val="0"/>
          <w:marRight w:val="0"/>
          <w:marTop w:val="0"/>
          <w:marBottom w:val="0"/>
          <w:divBdr>
            <w:top w:val="none" w:sz="0" w:space="0" w:color="auto"/>
            <w:left w:val="none" w:sz="0" w:space="0" w:color="auto"/>
            <w:bottom w:val="none" w:sz="0" w:space="0" w:color="auto"/>
            <w:right w:val="none" w:sz="0" w:space="0" w:color="auto"/>
          </w:divBdr>
        </w:div>
        <w:div w:id="2088376270">
          <w:marLeft w:val="0"/>
          <w:marRight w:val="0"/>
          <w:marTop w:val="0"/>
          <w:marBottom w:val="0"/>
          <w:divBdr>
            <w:top w:val="none" w:sz="0" w:space="0" w:color="auto"/>
            <w:left w:val="none" w:sz="0" w:space="0" w:color="auto"/>
            <w:bottom w:val="none" w:sz="0" w:space="0" w:color="auto"/>
            <w:right w:val="none" w:sz="0" w:space="0" w:color="auto"/>
          </w:divBdr>
        </w:div>
        <w:div w:id="1450901967">
          <w:marLeft w:val="0"/>
          <w:marRight w:val="0"/>
          <w:marTop w:val="0"/>
          <w:marBottom w:val="0"/>
          <w:divBdr>
            <w:top w:val="none" w:sz="0" w:space="0" w:color="auto"/>
            <w:left w:val="none" w:sz="0" w:space="0" w:color="auto"/>
            <w:bottom w:val="none" w:sz="0" w:space="0" w:color="auto"/>
            <w:right w:val="none" w:sz="0" w:space="0" w:color="auto"/>
          </w:divBdr>
        </w:div>
        <w:div w:id="1486118445">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cavlo123@hot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AF2BF4-0EB2-4EF0-8236-E05227A2EC3E}">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4D2B680B-2FC2-4AB5-9ADE-8BFF7F5192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22</Pages>
  <Words>7521</Words>
  <Characters>41367</Characters>
  <Application>Microsoft Office Word</Application>
  <DocSecurity>0</DocSecurity>
  <Lines>344</Lines>
  <Paragraphs>97</Paragraphs>
  <ScaleCrop>false</ScaleCrop>
  <Company/>
  <LinksUpToDate>false</LinksUpToDate>
  <CharactersWithSpaces>48791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5</cp:revision>
  <cp:lastPrinted>2023-01-10T21:18:00Z</cp:lastPrinted>
  <dcterms:created xsi:type="dcterms:W3CDTF">2025-08-20T16:20:00Z</dcterms:created>
  <dcterms:modified xsi:type="dcterms:W3CDTF">2025-10-10T20:56:00Z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