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w:rsidR="00077445" w:rsidP="00077445" w:rsidRDefault="00077445" w14:paraId="43007AA6" w14:textId="77777777">
      <w:pPr>
        <w:spacing w:after="0" w:line="240" w:lineRule="auto"/>
        <w:jc w:val="both"/>
        <w:rPr>
          <w:rFonts w:ascii="Verdana" w:hAnsi="Verdana" w:eastAsia="Calibri" w:cs="Arial"/>
          <w:b/>
          <w:lang w:val="es-ES_tradnl"/>
        </w:rPr>
      </w:pPr>
      <w:bookmarkStart w:name="_Hlk189391789" w:id="0"/>
      <w:r w:rsidRPr="002A22E2">
        <w:rPr>
          <w:rFonts w:ascii="Verdana" w:hAnsi="Verdana" w:eastAsia="Calibri" w:cs="Arial"/>
          <w:b/>
          <w:lang w:val="es-ES_tradnl"/>
        </w:rPr>
        <w:t>ENTIDADES CON RÉGIMEN ESPECIAL – Definición</w:t>
      </w:r>
    </w:p>
    <w:p w:rsidRPr="002A22E2" w:rsidR="00077445" w:rsidP="00077445" w:rsidRDefault="00077445" w14:paraId="046E0B06" w14:textId="77777777">
      <w:pPr>
        <w:spacing w:after="0" w:line="240" w:lineRule="auto"/>
        <w:jc w:val="both"/>
        <w:rPr>
          <w:rFonts w:ascii="Verdana" w:hAnsi="Verdana" w:eastAsia="Calibri" w:cs="Arial"/>
          <w:b/>
          <w:lang w:val="es-ES_tradnl"/>
        </w:rPr>
      </w:pPr>
    </w:p>
    <w:p w:rsidR="00077445" w:rsidP="00077445" w:rsidRDefault="00077445" w14:paraId="0CA99B0E" w14:textId="77777777">
      <w:pPr>
        <w:spacing w:after="0" w:line="240" w:lineRule="auto"/>
        <w:jc w:val="both"/>
        <w:rPr>
          <w:rFonts w:ascii="Verdana" w:hAnsi="Verdana" w:eastAsia="Calibri" w:cs="Arial"/>
          <w:sz w:val="20"/>
          <w:szCs w:val="20"/>
          <w:lang w:val="es-ES"/>
        </w:rPr>
      </w:pPr>
      <w:r w:rsidRPr="107C5DB8">
        <w:rPr>
          <w:rFonts w:ascii="Verdana" w:hAnsi="Verdana" w:eastAsia="Calibri" w:cs="Arial"/>
          <w:sz w:val="20"/>
          <w:szCs w:val="20"/>
          <w:lang w:val="es-ES"/>
        </w:rPr>
        <w:t>En primer lugar, 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EGCAP– y, por ende, sus procedimientos contractuales se rigen por una normativa propia para su desarrollo, esto es, el derecho privado. Esta particularidad está establecida en las normas de creación de las entidades de régimen especial y en sus manuales de contratación.</w:t>
      </w:r>
    </w:p>
    <w:p w:rsidR="00077445" w:rsidP="00077445" w:rsidRDefault="00077445" w14:paraId="61AE3290" w14:textId="77777777">
      <w:pPr>
        <w:spacing w:after="0" w:line="240" w:lineRule="auto"/>
        <w:jc w:val="both"/>
        <w:rPr>
          <w:rFonts w:ascii="Verdana" w:hAnsi="Verdana" w:eastAsia="Calibri" w:cs="Arial"/>
          <w:sz w:val="20"/>
          <w:szCs w:val="20"/>
          <w:lang w:val="es-ES_tradnl"/>
        </w:rPr>
      </w:pPr>
    </w:p>
    <w:p w:rsidR="00077445" w:rsidP="00077445" w:rsidRDefault="00077445" w14:paraId="72D6AD47" w14:textId="77777777">
      <w:pPr>
        <w:spacing w:after="0" w:line="240" w:lineRule="auto"/>
        <w:jc w:val="both"/>
        <w:rPr>
          <w:rFonts w:ascii="Verdana" w:hAnsi="Verdana" w:eastAsia="Calibri" w:cs="Arial"/>
          <w:sz w:val="20"/>
          <w:szCs w:val="20"/>
          <w:lang w:val="es-ES_tradnl"/>
        </w:rPr>
      </w:pPr>
      <w:r>
        <w:rPr>
          <w:rFonts w:ascii="Verdana" w:hAnsi="Verdana" w:eastAsia="Calibri" w:cs="Arial"/>
          <w:sz w:val="20"/>
          <w:szCs w:val="20"/>
          <w:lang w:val="es-ES_tradnl"/>
        </w:rPr>
        <w:t>[…]</w:t>
      </w:r>
    </w:p>
    <w:p w:rsidR="00077445" w:rsidP="00077445" w:rsidRDefault="00077445" w14:paraId="30C27D5F" w14:textId="77777777">
      <w:pPr>
        <w:spacing w:after="0" w:line="240" w:lineRule="auto"/>
        <w:jc w:val="both"/>
        <w:rPr>
          <w:rFonts w:ascii="Verdana" w:hAnsi="Verdana" w:eastAsia="Calibri" w:cs="Arial"/>
          <w:sz w:val="20"/>
          <w:szCs w:val="20"/>
          <w:lang w:val="es-ES_tradnl"/>
        </w:rPr>
      </w:pPr>
    </w:p>
    <w:p w:rsidRPr="00CD70D4" w:rsidR="00077445" w:rsidP="00077445" w:rsidRDefault="00077445" w14:paraId="305073AA" w14:textId="77777777">
      <w:pPr>
        <w:spacing w:after="0" w:line="240" w:lineRule="auto"/>
        <w:jc w:val="both"/>
        <w:rPr>
          <w:rFonts w:ascii="Verdana" w:hAnsi="Verdana" w:eastAsia="Calibri" w:cs="Arial"/>
          <w:sz w:val="20"/>
          <w:szCs w:val="20"/>
          <w:lang w:val="es-ES"/>
        </w:rPr>
      </w:pPr>
      <w:r w:rsidRPr="00CD70D4">
        <w:rPr>
          <w:rFonts w:ascii="Verdana" w:hAnsi="Verdana" w:eastAsia="Calibri" w:cs="Arial"/>
          <w:sz w:val="20"/>
          <w:szCs w:val="20"/>
          <w:lang w:val="es-ES"/>
        </w:rPr>
        <w:t>Así las cosas, teniendo en cuenta que algunas de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rsidR="00077445" w:rsidP="00077445" w:rsidRDefault="00077445" w14:paraId="1972058B" w14:textId="77777777">
      <w:pPr>
        <w:spacing w:after="0" w:line="240" w:lineRule="auto"/>
        <w:jc w:val="both"/>
        <w:rPr>
          <w:rFonts w:ascii="Verdana" w:hAnsi="Verdana" w:eastAsia="Calibri" w:cs="Arial"/>
          <w:sz w:val="20"/>
          <w:szCs w:val="20"/>
          <w:lang w:val="es-ES_tradnl"/>
        </w:rPr>
      </w:pPr>
    </w:p>
    <w:p w:rsidRPr="002A22E2" w:rsidR="00077445" w:rsidP="00077445" w:rsidRDefault="00077445" w14:paraId="464B7598" w14:textId="77777777">
      <w:pPr>
        <w:contextualSpacing/>
        <w:jc w:val="both"/>
        <w:rPr>
          <w:rFonts w:ascii="Verdana" w:hAnsi="Verdana" w:eastAsia="Calibri" w:cs="Arial"/>
          <w:b/>
          <w:bCs/>
        </w:rPr>
      </w:pPr>
      <w:r w:rsidRPr="002A22E2">
        <w:rPr>
          <w:rFonts w:ascii="Verdana" w:hAnsi="Verdana" w:eastAsia="Calibri" w:cs="Arial"/>
          <w:b/>
          <w:bCs/>
        </w:rPr>
        <w:t>EMPRESAS SOCIALES DEL ESTADO – Régimen jurídico – Reglas aplicables</w:t>
      </w:r>
    </w:p>
    <w:p w:rsidRPr="002A22E2" w:rsidR="00077445" w:rsidP="00077445" w:rsidRDefault="00077445" w14:paraId="57EB28BA" w14:textId="77777777">
      <w:pPr>
        <w:spacing w:line="240" w:lineRule="auto"/>
        <w:contextualSpacing/>
        <w:jc w:val="both"/>
        <w:rPr>
          <w:rFonts w:ascii="Verdana" w:hAnsi="Verdana" w:eastAsia="Calibri" w:cs="Arial"/>
          <w:color w:val="EE0000"/>
          <w:sz w:val="20"/>
          <w:szCs w:val="20"/>
        </w:rPr>
      </w:pPr>
    </w:p>
    <w:p w:rsidR="00077445" w:rsidP="00077445" w:rsidRDefault="00077445" w14:paraId="73863F9C" w14:textId="77777777">
      <w:pPr>
        <w:spacing w:line="240" w:lineRule="auto"/>
        <w:contextualSpacing/>
        <w:jc w:val="both"/>
        <w:rPr>
          <w:rFonts w:ascii="Verdana" w:hAnsi="Verdana" w:eastAsia="Calibri" w:cs="Arial"/>
          <w:sz w:val="20"/>
          <w:szCs w:val="20"/>
        </w:rPr>
      </w:pPr>
      <w:r w:rsidRPr="002A22E2">
        <w:rPr>
          <w:rFonts w:ascii="Verdana" w:hAnsi="Verdana" w:eastAsia="Calibri" w:cs="Arial"/>
          <w:sz w:val="20"/>
          <w:szCs w:val="20"/>
        </w:rPr>
        <w:t xml:space="preserve">[…] </w:t>
      </w:r>
      <w:r w:rsidRPr="00CD70D4">
        <w:rPr>
          <w:rFonts w:ascii="Verdana" w:hAnsi="Verdana" w:eastAsia="Calibri" w:cs="Arial"/>
          <w:sz w:val="20"/>
          <w:szCs w:val="20"/>
        </w:rPr>
        <w:t>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administrativa. A través de ellas la Nación o las entidades territoriales prestan el servicio de salud de manera directa, es decir, las Empresas Sociales del Estado son, esencialmente, los hospitales públicos.</w:t>
      </w:r>
    </w:p>
    <w:p w:rsidR="00077445" w:rsidP="00077445" w:rsidRDefault="00077445" w14:paraId="00432DED" w14:textId="77777777">
      <w:pPr>
        <w:spacing w:line="240" w:lineRule="auto"/>
        <w:contextualSpacing/>
        <w:jc w:val="both"/>
        <w:rPr>
          <w:rFonts w:ascii="Verdana" w:hAnsi="Verdana" w:eastAsia="Calibri" w:cs="Arial"/>
          <w:sz w:val="20"/>
          <w:szCs w:val="20"/>
        </w:rPr>
      </w:pPr>
    </w:p>
    <w:p w:rsidR="00077445" w:rsidP="00077445" w:rsidRDefault="00077445" w14:paraId="2C458017" w14:textId="77777777">
      <w:pPr>
        <w:spacing w:line="240" w:lineRule="auto"/>
        <w:contextualSpacing/>
        <w:jc w:val="both"/>
        <w:rPr>
          <w:rFonts w:ascii="Verdana" w:hAnsi="Verdana" w:eastAsia="Calibri" w:cs="Arial"/>
          <w:sz w:val="20"/>
          <w:szCs w:val="20"/>
        </w:rPr>
      </w:pPr>
      <w:r>
        <w:rPr>
          <w:rFonts w:ascii="Verdana" w:hAnsi="Verdana" w:eastAsia="Calibri" w:cs="Arial"/>
          <w:sz w:val="20"/>
          <w:szCs w:val="20"/>
        </w:rPr>
        <w:t>[…]</w:t>
      </w:r>
    </w:p>
    <w:p w:rsidR="00077445" w:rsidP="00077445" w:rsidRDefault="00077445" w14:paraId="014FC588" w14:textId="77777777">
      <w:pPr>
        <w:spacing w:line="240" w:lineRule="auto"/>
        <w:contextualSpacing/>
        <w:jc w:val="both"/>
        <w:rPr>
          <w:rFonts w:ascii="Verdana" w:hAnsi="Verdana" w:eastAsia="Calibri" w:cs="Arial"/>
          <w:sz w:val="20"/>
          <w:szCs w:val="20"/>
        </w:rPr>
      </w:pPr>
    </w:p>
    <w:p w:rsidR="00077445" w:rsidP="00077445" w:rsidRDefault="00077445" w14:paraId="6C59A5BB" w14:textId="77777777">
      <w:pPr>
        <w:spacing w:line="240" w:lineRule="auto"/>
        <w:contextualSpacing/>
        <w:jc w:val="both"/>
        <w:rPr>
          <w:rFonts w:ascii="Verdana" w:hAnsi="Verdana" w:eastAsia="Calibri" w:cs="Arial"/>
          <w:sz w:val="20"/>
          <w:szCs w:val="20"/>
          <w:lang w:val="es-MX"/>
        </w:rPr>
      </w:pPr>
      <w:r w:rsidRPr="00030578">
        <w:rPr>
          <w:rFonts w:ascii="Verdana" w:hAnsi="Verdana" w:eastAsia="Calibri" w:cs="Arial"/>
          <w:sz w:val="20"/>
          <w:szCs w:val="20"/>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p>
    <w:p w:rsidR="00077445" w:rsidP="00077445" w:rsidRDefault="00077445" w14:paraId="4637E108" w14:textId="77777777">
      <w:pPr>
        <w:spacing w:line="240" w:lineRule="auto"/>
        <w:contextualSpacing/>
        <w:jc w:val="both"/>
        <w:rPr>
          <w:rFonts w:ascii="Verdana" w:hAnsi="Verdana" w:eastAsia="Calibri" w:cs="Arial"/>
          <w:sz w:val="20"/>
          <w:szCs w:val="20"/>
          <w:lang w:val="es-MX"/>
        </w:rPr>
      </w:pPr>
    </w:p>
    <w:p w:rsidR="00077445" w:rsidP="00077445" w:rsidRDefault="00077445" w14:paraId="68C0DD13" w14:textId="77777777">
      <w:pPr>
        <w:spacing w:line="240" w:lineRule="auto"/>
        <w:contextualSpacing/>
        <w:jc w:val="both"/>
        <w:rPr>
          <w:rFonts w:ascii="Verdana" w:hAnsi="Verdana" w:eastAsia="Calibri" w:cs="Arial"/>
          <w:sz w:val="20"/>
          <w:szCs w:val="20"/>
          <w:lang w:val="es-MX"/>
        </w:rPr>
      </w:pPr>
      <w:r>
        <w:rPr>
          <w:rFonts w:ascii="Verdana" w:hAnsi="Verdana" w:eastAsia="Calibri" w:cs="Arial"/>
          <w:sz w:val="20"/>
          <w:szCs w:val="20"/>
          <w:lang w:val="es-MX"/>
        </w:rPr>
        <w:t>[…]</w:t>
      </w:r>
    </w:p>
    <w:p w:rsidR="00077445" w:rsidP="00077445" w:rsidRDefault="00077445" w14:paraId="49EE14B1" w14:textId="77777777">
      <w:pPr>
        <w:spacing w:line="240" w:lineRule="auto"/>
        <w:contextualSpacing/>
        <w:jc w:val="both"/>
        <w:rPr>
          <w:rFonts w:ascii="Verdana" w:hAnsi="Verdana" w:eastAsia="Calibri" w:cs="Arial"/>
          <w:sz w:val="20"/>
          <w:szCs w:val="20"/>
          <w:lang w:val="es-MX"/>
        </w:rPr>
      </w:pPr>
    </w:p>
    <w:p w:rsidR="00077445" w:rsidP="00077445" w:rsidRDefault="00077445" w14:paraId="4D9CAEA1" w14:textId="77777777">
      <w:pPr>
        <w:spacing w:line="240" w:lineRule="auto"/>
        <w:contextualSpacing/>
        <w:jc w:val="both"/>
        <w:rPr>
          <w:rFonts w:ascii="Verdana" w:hAnsi="Verdana" w:eastAsia="Calibri" w:cs="Arial"/>
          <w:sz w:val="20"/>
          <w:szCs w:val="20"/>
        </w:rPr>
      </w:pPr>
      <w:r w:rsidRPr="00BE40C2">
        <w:rPr>
          <w:rFonts w:ascii="Verdana" w:hAnsi="Verdana" w:eastAsia="Calibri" w:cs="Arial"/>
          <w:sz w:val="20"/>
          <w:szCs w:val="20"/>
        </w:rPr>
        <w:t>Ahora bien, puede decirse que una de las reglas para las –ESE–,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rsidR="00077445" w:rsidP="00077445" w:rsidRDefault="00077445" w14:paraId="0EE438A6" w14:textId="77777777">
      <w:pPr>
        <w:spacing w:line="240" w:lineRule="auto"/>
        <w:contextualSpacing/>
        <w:jc w:val="both"/>
        <w:rPr>
          <w:rFonts w:ascii="Verdana" w:hAnsi="Verdana" w:eastAsia="Calibri" w:cs="Arial"/>
          <w:sz w:val="20"/>
          <w:szCs w:val="20"/>
        </w:rPr>
      </w:pPr>
    </w:p>
    <w:p w:rsidR="00077445" w:rsidP="00077445" w:rsidRDefault="00077445" w14:paraId="645DE9D5" w14:textId="77777777">
      <w:pPr>
        <w:spacing w:line="240" w:lineRule="auto"/>
        <w:contextualSpacing/>
        <w:jc w:val="both"/>
        <w:rPr>
          <w:rFonts w:ascii="Verdana" w:hAnsi="Verdana" w:eastAsia="Calibri" w:cs="Arial"/>
          <w:sz w:val="20"/>
          <w:szCs w:val="20"/>
        </w:rPr>
      </w:pPr>
      <w:r>
        <w:rPr>
          <w:rFonts w:ascii="Verdana" w:hAnsi="Verdana" w:eastAsia="Calibri" w:cs="Arial"/>
          <w:sz w:val="20"/>
          <w:szCs w:val="20"/>
        </w:rPr>
        <w:t>[…]</w:t>
      </w:r>
    </w:p>
    <w:p w:rsidR="00077445" w:rsidP="00077445" w:rsidRDefault="00077445" w14:paraId="01E06CB2" w14:textId="77777777">
      <w:pPr>
        <w:spacing w:line="240" w:lineRule="auto"/>
        <w:contextualSpacing/>
        <w:jc w:val="both"/>
        <w:rPr>
          <w:rFonts w:ascii="Verdana" w:hAnsi="Verdana" w:eastAsia="Calibri" w:cs="Arial"/>
          <w:sz w:val="20"/>
          <w:szCs w:val="20"/>
        </w:rPr>
      </w:pPr>
    </w:p>
    <w:p w:rsidR="00077445" w:rsidP="00077445" w:rsidRDefault="00077445" w14:paraId="19B693C0" w14:textId="77777777">
      <w:pPr>
        <w:spacing w:line="240" w:lineRule="auto"/>
        <w:contextualSpacing/>
        <w:jc w:val="both"/>
        <w:rPr>
          <w:rFonts w:ascii="Verdana" w:hAnsi="Verdana" w:eastAsia="Calibri" w:cs="Arial"/>
          <w:sz w:val="20"/>
          <w:szCs w:val="20"/>
          <w:lang w:val="es-ES_tradnl"/>
        </w:rPr>
      </w:pPr>
      <w:r w:rsidRPr="00734946">
        <w:rPr>
          <w:rFonts w:ascii="Verdana" w:hAnsi="Verdana" w:eastAsia="Calibri" w:cs="Arial"/>
          <w:sz w:val="20"/>
          <w:szCs w:val="20"/>
          <w:lang w:val="es-ES_tradnl"/>
        </w:rPr>
        <w:t>De esta forma, las reglas establecidas en los manuales o reglamentos internos de contratación son muy importantes, toda vez que las entidades se obligan a cumplir su contenido. Además, tratándose de un acto administrativo, concretamente de un reglamento, le aplican los atributos propios de estos tipos de actos, entre otras cosas, la presunción de legalidad y la regla de inderogabilidad singular del reglamento. En tal sentido, su contenido vincula a la propia entidad que lo expidió y no puede desconocerlo a su capricho en casos específicos; sin perjuicio de la posibilidad de expedir un nuevo manual o de modificar el existente.</w:t>
      </w:r>
    </w:p>
    <w:p w:rsidRPr="00734946" w:rsidR="00077445" w:rsidP="00077445" w:rsidRDefault="00077445" w14:paraId="0C4EF13E" w14:textId="77777777">
      <w:pPr>
        <w:spacing w:line="240" w:lineRule="auto"/>
        <w:contextualSpacing/>
        <w:jc w:val="both"/>
        <w:rPr>
          <w:rFonts w:ascii="Verdana" w:hAnsi="Verdana" w:eastAsia="Calibri" w:cs="Arial"/>
          <w:sz w:val="20"/>
          <w:szCs w:val="20"/>
          <w:lang w:val="es-ES_tradnl"/>
        </w:rPr>
      </w:pPr>
    </w:p>
    <w:p w:rsidR="00077445" w:rsidP="00077445" w:rsidRDefault="00077445" w14:paraId="4B897C63" w14:textId="77777777">
      <w:pPr>
        <w:spacing w:after="0" w:line="240" w:lineRule="auto"/>
        <w:contextualSpacing/>
        <w:jc w:val="both"/>
        <w:rPr>
          <w:rFonts w:ascii="Verdana" w:hAnsi="Verdana" w:eastAsia="Calibri" w:cs="Arial"/>
          <w:b/>
          <w:bCs/>
          <w:lang w:eastAsia="es-ES"/>
        </w:rPr>
      </w:pPr>
      <w:r w:rsidRPr="005E48A2">
        <w:rPr>
          <w:rFonts w:ascii="Verdana" w:hAnsi="Verdana" w:eastAsia="Calibri" w:cs="Arial"/>
          <w:b/>
          <w:bCs/>
          <w:lang w:eastAsia="es-ES"/>
        </w:rPr>
        <w:t xml:space="preserve">EMPRESAS SOCIALES DEL ESTADO </w:t>
      </w:r>
      <w:r>
        <w:rPr>
          <w:rFonts w:ascii="Verdana" w:hAnsi="Verdana" w:eastAsia="Calibri" w:cs="Arial"/>
          <w:b/>
          <w:bCs/>
          <w:lang w:eastAsia="es-ES"/>
        </w:rPr>
        <w:t>–</w:t>
      </w:r>
      <w:r w:rsidRPr="005E48A2">
        <w:rPr>
          <w:rFonts w:ascii="Verdana" w:hAnsi="Verdana" w:eastAsia="Calibri" w:cs="Arial"/>
          <w:b/>
          <w:bCs/>
          <w:lang w:eastAsia="es-ES"/>
        </w:rPr>
        <w:t xml:space="preserve"> </w:t>
      </w:r>
      <w:r>
        <w:rPr>
          <w:rFonts w:ascii="Verdana" w:hAnsi="Verdana" w:eastAsia="Calibri" w:cs="Arial"/>
          <w:b/>
          <w:bCs/>
          <w:lang w:eastAsia="es-ES"/>
        </w:rPr>
        <w:t xml:space="preserve">Resolución 5185 de 2013 – Lineamientos en la adopción del Estatuto de Contratación - </w:t>
      </w:r>
      <w:r w:rsidRPr="005E48A2">
        <w:rPr>
          <w:rFonts w:ascii="Verdana" w:hAnsi="Verdana" w:eastAsia="Calibri" w:cs="Arial"/>
          <w:b/>
          <w:bCs/>
          <w:lang w:eastAsia="es-ES"/>
        </w:rPr>
        <w:t>Manual de contratación –</w:t>
      </w:r>
      <w:r>
        <w:rPr>
          <w:rFonts w:ascii="Verdana" w:hAnsi="Verdana" w:eastAsia="Calibri" w:cs="Arial"/>
          <w:b/>
          <w:bCs/>
          <w:lang w:eastAsia="es-ES"/>
        </w:rPr>
        <w:t xml:space="preserve"> </w:t>
      </w:r>
      <w:r w:rsidRPr="005E48A2">
        <w:rPr>
          <w:rFonts w:ascii="Verdana" w:hAnsi="Verdana" w:eastAsia="Calibri" w:cs="Arial"/>
          <w:b/>
          <w:bCs/>
          <w:lang w:eastAsia="es-ES"/>
        </w:rPr>
        <w:t>Resolución 1440 de 2024</w:t>
      </w:r>
    </w:p>
    <w:p w:rsidR="00077445" w:rsidP="00077445" w:rsidRDefault="00077445" w14:paraId="7475C9E3" w14:textId="77777777">
      <w:pPr>
        <w:spacing w:after="0" w:line="240" w:lineRule="auto"/>
        <w:contextualSpacing/>
        <w:jc w:val="both"/>
        <w:rPr>
          <w:rFonts w:ascii="Verdana" w:hAnsi="Verdana" w:eastAsia="Calibri" w:cs="Arial"/>
          <w:b/>
          <w:bCs/>
          <w:lang w:eastAsia="es-ES"/>
        </w:rPr>
      </w:pPr>
    </w:p>
    <w:p w:rsidR="00077445" w:rsidP="00077445" w:rsidRDefault="00077445" w14:paraId="65CF0731" w14:textId="77777777">
      <w:pPr>
        <w:spacing w:line="240" w:lineRule="auto"/>
        <w:contextualSpacing/>
        <w:jc w:val="both"/>
        <w:rPr>
          <w:rFonts w:ascii="Verdana" w:hAnsi="Verdana" w:eastAsia="Calibri" w:cs="Arial"/>
          <w:sz w:val="20"/>
          <w:szCs w:val="20"/>
          <w:lang w:val="es-ES"/>
        </w:rPr>
      </w:pPr>
      <w:r w:rsidRPr="107C5DB8">
        <w:rPr>
          <w:rFonts w:ascii="Verdana" w:hAnsi="Verdana" w:eastAsia="Calibri" w:cs="Arial"/>
          <w:sz w:val="20"/>
          <w:szCs w:val="20"/>
          <w:lang w:val="es-ES"/>
        </w:rPr>
        <w:t xml:space="preserve">En lo referente a las –ESE–, el Ministerio de Salud y Protección Social, expidió la Resolución No. 5185 de 2013, modificada por la Resolución 1440 del 14 de agosto de 2024, mediante la cual se fijan los lineamientos para que tales entidades adopten los manuales de contratación que regirán su actividad contractual. Este acto administrativo, dictado en ejercicio de las facultades conferidas por el artículo 76 de la Ley 1438 de 2011, contiene varios criterios que se deberán cuenta a la hora de adoptar los manuales de contratación. </w:t>
      </w:r>
    </w:p>
    <w:p w:rsidR="00077445" w:rsidP="00077445" w:rsidRDefault="00077445" w14:paraId="5253DB36" w14:textId="77777777">
      <w:pPr>
        <w:spacing w:line="240" w:lineRule="auto"/>
        <w:contextualSpacing/>
        <w:jc w:val="both"/>
        <w:rPr>
          <w:rFonts w:ascii="Verdana" w:hAnsi="Verdana" w:eastAsia="Calibri" w:cs="Arial"/>
          <w:sz w:val="20"/>
          <w:szCs w:val="20"/>
          <w:lang w:val="es-ES_tradnl"/>
        </w:rPr>
      </w:pPr>
    </w:p>
    <w:p w:rsidRPr="003E796D" w:rsidR="00077445" w:rsidP="00077445" w:rsidRDefault="00077445" w14:paraId="760D7C7B" w14:textId="77777777">
      <w:pPr>
        <w:spacing w:line="240" w:lineRule="auto"/>
        <w:contextualSpacing/>
        <w:jc w:val="both"/>
        <w:rPr>
          <w:rFonts w:ascii="Verdana" w:hAnsi="Verdana" w:eastAsia="Calibri" w:cs="Arial"/>
          <w:sz w:val="20"/>
          <w:szCs w:val="20"/>
          <w:lang w:val="es-ES_tradnl"/>
        </w:rPr>
      </w:pPr>
      <w:r w:rsidRPr="003E796D">
        <w:rPr>
          <w:rFonts w:ascii="Verdana" w:hAnsi="Verdana" w:eastAsia="Calibri" w:cs="Arial"/>
          <w:sz w:val="20"/>
          <w:szCs w:val="20"/>
          <w:lang w:val="es-ES_tradnl"/>
        </w:rPr>
        <w:t>[...]</w:t>
      </w:r>
    </w:p>
    <w:p w:rsidRPr="002A22E2" w:rsidR="00077445" w:rsidP="00077445" w:rsidRDefault="00077445" w14:paraId="7E6D8107" w14:textId="77777777">
      <w:pPr>
        <w:spacing w:after="0" w:line="240" w:lineRule="auto"/>
        <w:contextualSpacing/>
        <w:jc w:val="both"/>
        <w:rPr>
          <w:rFonts w:ascii="Verdana" w:hAnsi="Verdana" w:eastAsia="Calibri" w:cs="Arial"/>
          <w:b/>
          <w:bCs/>
          <w:sz w:val="20"/>
          <w:szCs w:val="20"/>
          <w:lang w:eastAsia="es-ES"/>
        </w:rPr>
      </w:pPr>
    </w:p>
    <w:p w:rsidR="00077445" w:rsidP="00077445" w:rsidRDefault="00077445" w14:paraId="49FBDD9B" w14:textId="77777777">
      <w:pPr>
        <w:spacing w:line="240" w:lineRule="auto"/>
        <w:contextualSpacing/>
        <w:jc w:val="both"/>
        <w:rPr>
          <w:rFonts w:ascii="Verdana" w:hAnsi="Verdana" w:eastAsia="Calibri" w:cs="Arial"/>
          <w:sz w:val="20"/>
          <w:szCs w:val="20"/>
          <w:lang w:val="es-ES"/>
        </w:rPr>
      </w:pPr>
      <w:r w:rsidRPr="107C5DB8">
        <w:rPr>
          <w:rFonts w:ascii="Verdana" w:hAnsi="Verdana" w:eastAsia="Calibri" w:cs="Arial"/>
          <w:sz w:val="20"/>
          <w:szCs w:val="20"/>
          <w:lang w:val="es-ES"/>
        </w:rPr>
        <w:t xml:space="preserve">En las disposiciones de Resolución No. 5185 de 2013 se reitera el régimen de contratación de estas entidades –Art.2–, se alude a los fines de la contratación –Art. 3–, se establece –, se establece los principios a observarse en el desarrollo de la contratación –Art. 4–, se  hace referencia a las modalidades y mecanismos de selección –Art. 5–, se reitera la aplicabilidad del régimen de inhabilidades e incompatibilidades–Art. 6–, se establece la obligación de publicar un Plan Anual de Adquisiciones–Art. 7–, se alude al proceso de contratación –Art 8–, se refiere a la fase de planeación –Art 9–, se dispone sobre la fase de selección –Art 10–, sobre la fase de contratación, y se regulan otros aspectos. En cuanto a la contratación y ejecución de los contratos, son relevantes los artículos 11 y 12 de la citada resolución. Por su parte el artículo 14 de la resolución establece que las Empresas Sociales del Estado están obligadas a publicar oportunamente su actividad contractual en el SECOP.  </w:t>
      </w:r>
    </w:p>
    <w:p w:rsidR="00077445" w:rsidP="00077445" w:rsidRDefault="00077445" w14:paraId="5E716B15" w14:textId="77777777">
      <w:pPr>
        <w:spacing w:line="240" w:lineRule="auto"/>
        <w:contextualSpacing/>
        <w:jc w:val="both"/>
        <w:rPr>
          <w:rFonts w:ascii="Verdana" w:hAnsi="Verdana" w:eastAsia="Calibri" w:cs="Arial"/>
          <w:sz w:val="20"/>
          <w:szCs w:val="20"/>
          <w:lang w:val="es-ES_tradnl"/>
        </w:rPr>
      </w:pPr>
    </w:p>
    <w:p w:rsidR="00077445" w:rsidP="00077445" w:rsidRDefault="00077445" w14:paraId="4025F46C" w14:textId="77777777">
      <w:pPr>
        <w:spacing w:line="240" w:lineRule="auto"/>
        <w:contextualSpacing/>
        <w:jc w:val="both"/>
        <w:rPr>
          <w:rFonts w:ascii="Verdana" w:hAnsi="Verdana" w:eastAsia="Calibri" w:cs="Arial"/>
          <w:sz w:val="20"/>
          <w:szCs w:val="20"/>
          <w:lang w:val="es-ES_tradnl"/>
        </w:rPr>
      </w:pPr>
      <w:r w:rsidRPr="00C26D38">
        <w:rPr>
          <w:rFonts w:ascii="Verdana" w:hAnsi="Verdana" w:eastAsia="Calibri" w:cs="Arial"/>
          <w:sz w:val="20"/>
          <w:szCs w:val="20"/>
          <w:lang w:val="es-ES_tradnl"/>
        </w:rPr>
        <w:t xml:space="preserve">En efecto, la Resolución 1440 de 2024, expedida por el Ministerio de Salud y Protección Social, introdujo ajustes a la Resolución 5185 de 2013 con el propósito de fortalecer la </w:t>
      </w:r>
      <w:r w:rsidRPr="00C26D38">
        <w:rPr>
          <w:rFonts w:ascii="Verdana" w:hAnsi="Verdana" w:eastAsia="Calibri" w:cs="Arial"/>
          <w:sz w:val="20"/>
          <w:szCs w:val="20"/>
          <w:lang w:val="es-ES_tradnl"/>
        </w:rPr>
        <w:t>transparencia y la selección objetiva en los procesos contractuales de dichas entidades, especialmente en proyectos de alto impacto.</w:t>
      </w:r>
    </w:p>
    <w:p w:rsidR="00077445" w:rsidP="00077445" w:rsidRDefault="00077445" w14:paraId="0B1EAD60" w14:textId="77777777">
      <w:pPr>
        <w:spacing w:line="240" w:lineRule="auto"/>
        <w:contextualSpacing/>
        <w:jc w:val="both"/>
        <w:rPr>
          <w:rFonts w:ascii="Verdana" w:hAnsi="Verdana" w:eastAsia="Calibri" w:cs="Arial"/>
          <w:sz w:val="20"/>
          <w:szCs w:val="20"/>
          <w:lang w:val="es-ES_tradnl"/>
        </w:rPr>
      </w:pPr>
    </w:p>
    <w:p w:rsidR="00077445" w:rsidP="00077445" w:rsidRDefault="00077445" w14:paraId="32EE030F" w14:textId="77777777">
      <w:pPr>
        <w:spacing w:line="240" w:lineRule="auto"/>
        <w:contextualSpacing/>
        <w:jc w:val="both"/>
        <w:rPr>
          <w:rFonts w:ascii="Verdana" w:hAnsi="Verdana" w:eastAsia="Calibri" w:cs="Arial"/>
          <w:sz w:val="20"/>
          <w:szCs w:val="20"/>
          <w:lang w:val="es-ES_tradnl"/>
        </w:rPr>
      </w:pPr>
      <w:r>
        <w:rPr>
          <w:rFonts w:ascii="Verdana" w:hAnsi="Verdana" w:eastAsia="Calibri" w:cs="Arial"/>
          <w:sz w:val="20"/>
          <w:szCs w:val="20"/>
          <w:lang w:val="es-ES_tradnl"/>
        </w:rPr>
        <w:t>[…]</w:t>
      </w:r>
    </w:p>
    <w:p w:rsidR="00077445" w:rsidP="00077445" w:rsidRDefault="00077445" w14:paraId="6FF81F5A" w14:textId="77777777">
      <w:pPr>
        <w:spacing w:line="240" w:lineRule="auto"/>
        <w:contextualSpacing/>
        <w:jc w:val="both"/>
        <w:rPr>
          <w:rFonts w:ascii="Verdana" w:hAnsi="Verdana" w:eastAsia="Calibri" w:cs="Arial"/>
          <w:sz w:val="20"/>
          <w:szCs w:val="20"/>
          <w:lang w:val="es-ES_tradnl"/>
        </w:rPr>
      </w:pPr>
    </w:p>
    <w:p w:rsidR="00077445" w:rsidP="2FF8E668" w:rsidRDefault="00077445" w14:paraId="1CD7B5C9" w14:textId="77777777">
      <w:pPr>
        <w:spacing w:line="240" w:lineRule="auto"/>
        <w:contextualSpacing/>
        <w:jc w:val="both"/>
        <w:rPr>
          <w:rFonts w:ascii="Verdana" w:hAnsi="Verdana" w:eastAsia="Calibri" w:cs="Arial"/>
          <w:sz w:val="20"/>
          <w:szCs w:val="20"/>
          <w:lang w:val="es-ES"/>
        </w:rPr>
      </w:pPr>
      <w:r w:rsidRPr="2FF8E668" w:rsidR="00077445">
        <w:rPr>
          <w:rFonts w:ascii="Verdana" w:hAnsi="Verdana" w:eastAsia="Calibri" w:cs="Arial"/>
          <w:sz w:val="20"/>
          <w:szCs w:val="20"/>
          <w:lang w:val="es-ES"/>
        </w:rPr>
        <w:t>Entre los cambios más relevantes se encuentra lo dispuesto en el parágrafo 2 al cual usted alude en su consulta y, según el cual, los contratos relacionados con obras de adecuación, ampliación y construcción de infraestructura, así como con dotación biomédica, cuando sean financiados con recursos del Presupuesto General de la Nación, deben adelantarse obligatoriamente bajo la modalidad de convocatoria pública, sin importar la cuantía.</w:t>
      </w:r>
    </w:p>
    <w:p w:rsidR="00077445" w:rsidP="00077445" w:rsidRDefault="00077445" w14:paraId="1A659DB0" w14:textId="77777777">
      <w:pPr>
        <w:spacing w:line="240" w:lineRule="auto"/>
        <w:contextualSpacing/>
        <w:jc w:val="both"/>
        <w:rPr>
          <w:rFonts w:ascii="Verdana" w:hAnsi="Verdana" w:eastAsia="Calibri" w:cs="Arial"/>
          <w:sz w:val="20"/>
          <w:szCs w:val="20"/>
          <w:lang w:val="es-ES_tradnl"/>
        </w:rPr>
      </w:pPr>
    </w:p>
    <w:p w:rsidR="00077445" w:rsidP="00077445" w:rsidRDefault="00077445" w14:paraId="475F2F38" w14:textId="77777777">
      <w:pPr>
        <w:spacing w:line="240" w:lineRule="auto"/>
        <w:contextualSpacing/>
        <w:jc w:val="both"/>
        <w:rPr>
          <w:rFonts w:ascii="Verdana" w:hAnsi="Verdana" w:eastAsia="Calibri" w:cs="Arial"/>
          <w:sz w:val="20"/>
          <w:szCs w:val="20"/>
          <w:lang w:val="es-ES_tradnl"/>
        </w:rPr>
      </w:pPr>
      <w:r>
        <w:rPr>
          <w:rFonts w:ascii="Verdana" w:hAnsi="Verdana" w:eastAsia="Calibri" w:cs="Arial"/>
          <w:sz w:val="20"/>
          <w:szCs w:val="20"/>
          <w:lang w:val="es-ES_tradnl"/>
        </w:rPr>
        <w:t>[…]</w:t>
      </w:r>
    </w:p>
    <w:p w:rsidR="00077445" w:rsidP="00077445" w:rsidRDefault="00077445" w14:paraId="29A35FB8" w14:textId="77777777">
      <w:pPr>
        <w:spacing w:line="240" w:lineRule="auto"/>
        <w:contextualSpacing/>
        <w:jc w:val="both"/>
        <w:rPr>
          <w:rFonts w:ascii="Verdana" w:hAnsi="Verdana" w:eastAsia="Calibri" w:cs="Arial"/>
          <w:sz w:val="20"/>
          <w:szCs w:val="20"/>
          <w:lang w:val="es-ES_tradnl"/>
        </w:rPr>
      </w:pPr>
    </w:p>
    <w:p w:rsidRPr="00E43954" w:rsidR="00077445" w:rsidP="00077445" w:rsidRDefault="00077445" w14:paraId="7B9BF0A7" w14:textId="77777777">
      <w:pPr>
        <w:spacing w:line="240" w:lineRule="auto"/>
        <w:contextualSpacing/>
        <w:jc w:val="both"/>
        <w:rPr>
          <w:rFonts w:ascii="Verdana" w:hAnsi="Verdana" w:eastAsia="Calibri" w:cs="Arial"/>
          <w:sz w:val="20"/>
          <w:szCs w:val="20"/>
          <w:lang w:val="es-ES"/>
        </w:rPr>
      </w:pPr>
      <w:r w:rsidRPr="00E43954">
        <w:rPr>
          <w:rFonts w:ascii="Verdana" w:hAnsi="Verdana" w:eastAsia="Calibri" w:cs="Arial"/>
          <w:sz w:val="20"/>
          <w:szCs w:val="20"/>
          <w:lang w:val="es-ES"/>
        </w:rPr>
        <w:t>Aquí es bueno aclarar que, como se viene sosteniendo, aunque las Empresas Sociales del Estado cuentan con un régimen contractual de derecho privado, previsto en el artículo 195 de la Ley 100 de 1993, ello no significa que estén exentas de observar los principios de la contratación estatal. Al contrario, el ordenamiento jurídico ha sido enfático en señalar —a través de normas como el artículo 3 de la Ley 80 de 1993 y el artículo 13 de la Ley 1150 de 2007— que todas las entidades que administran recursos públicos, independientemente de su régimen, deben garantizar los principios de transparencia, selección objetiva, eficiencia, igualdad y responsabilidad. En este sentido, las disposiciones fijadas por el Ministerio de Salud y Protección Social se convierten en lineamientos obligatorios que las ESE deben incorporar en sus estatutos y manuales de contratación.</w:t>
      </w:r>
    </w:p>
    <w:p w:rsidRPr="002A22E2" w:rsidR="00077445" w:rsidP="00077445" w:rsidRDefault="00077445" w14:paraId="286C3C91" w14:textId="77777777">
      <w:pPr>
        <w:spacing w:after="0" w:line="240" w:lineRule="auto"/>
        <w:contextualSpacing/>
        <w:jc w:val="both"/>
        <w:rPr>
          <w:rFonts w:ascii="Verdana" w:hAnsi="Verdana" w:eastAsia="Calibri" w:cs="Arial"/>
          <w:b/>
          <w:bCs/>
          <w:sz w:val="20"/>
          <w:szCs w:val="20"/>
          <w:lang w:eastAsia="es-ES"/>
        </w:rPr>
      </w:pPr>
    </w:p>
    <w:p w:rsidR="00077445" w:rsidP="00077445" w:rsidRDefault="00077445" w14:paraId="5B5C50EE" w14:textId="77777777">
      <w:pPr>
        <w:spacing w:after="0" w:line="240" w:lineRule="auto"/>
        <w:contextualSpacing/>
        <w:jc w:val="both"/>
        <w:rPr>
          <w:rFonts w:ascii="Verdana" w:hAnsi="Verdana" w:eastAsia="Calibri" w:cs="Arial"/>
          <w:b/>
          <w:bCs/>
          <w:lang w:eastAsia="es-ES"/>
        </w:rPr>
      </w:pPr>
      <w:r>
        <w:rPr>
          <w:rFonts w:ascii="Verdana" w:hAnsi="Verdana" w:eastAsia="Calibri" w:cs="Arial"/>
          <w:b/>
          <w:bCs/>
          <w:lang w:eastAsia="es-ES"/>
        </w:rPr>
        <w:t xml:space="preserve">ADQUISICIÓN DE AMBULANCIAS </w:t>
      </w:r>
      <w:r w:rsidRPr="00BF6FFF">
        <w:rPr>
          <w:rFonts w:ascii="Verdana" w:hAnsi="Verdana" w:eastAsia="Calibri" w:cs="Arial"/>
          <w:b/>
          <w:bCs/>
          <w:lang w:eastAsia="es-ES"/>
        </w:rPr>
        <w:t>DE TRANSPORTE ASISTENCIAL MEDICALIZADO Y TRANSPORTE DE ASISTENCIA BÁSICA</w:t>
      </w:r>
      <w:r w:rsidRPr="005E48A2">
        <w:rPr>
          <w:rFonts w:ascii="Verdana" w:hAnsi="Verdana" w:eastAsia="Calibri" w:cs="Arial"/>
          <w:b/>
          <w:bCs/>
          <w:lang w:eastAsia="es-ES"/>
        </w:rPr>
        <w:t xml:space="preserve"> </w:t>
      </w:r>
      <w:r>
        <w:rPr>
          <w:rFonts w:ascii="Verdana" w:hAnsi="Verdana" w:eastAsia="Calibri" w:cs="Arial"/>
          <w:b/>
          <w:bCs/>
          <w:lang w:eastAsia="es-ES"/>
        </w:rPr>
        <w:t>–</w:t>
      </w:r>
      <w:r w:rsidRPr="005E48A2">
        <w:rPr>
          <w:rFonts w:ascii="Verdana" w:hAnsi="Verdana" w:eastAsia="Calibri" w:cs="Arial"/>
          <w:b/>
          <w:bCs/>
          <w:lang w:eastAsia="es-ES"/>
        </w:rPr>
        <w:t xml:space="preserve"> </w:t>
      </w:r>
      <w:r>
        <w:rPr>
          <w:rFonts w:ascii="Verdana" w:hAnsi="Verdana" w:eastAsia="Calibri" w:cs="Arial"/>
          <w:b/>
          <w:bCs/>
          <w:lang w:eastAsia="es-ES"/>
        </w:rPr>
        <w:t>Estudios y Documentos Previos –</w:t>
      </w:r>
      <w:r w:rsidRPr="005E48A2">
        <w:rPr>
          <w:rFonts w:ascii="Verdana" w:hAnsi="Verdana" w:eastAsia="Calibri" w:cs="Arial"/>
          <w:b/>
          <w:bCs/>
          <w:lang w:eastAsia="es-ES"/>
        </w:rPr>
        <w:t xml:space="preserve"> </w:t>
      </w:r>
      <w:r w:rsidRPr="00A414BB">
        <w:rPr>
          <w:rFonts w:ascii="Verdana" w:hAnsi="Verdana" w:eastAsia="Calibri" w:cs="Arial"/>
          <w:b/>
          <w:bCs/>
          <w:lang w:eastAsia="es-ES"/>
        </w:rPr>
        <w:t>Análisis Técnico y Normativo</w:t>
      </w:r>
      <w:r>
        <w:rPr>
          <w:rFonts w:ascii="Verdana" w:hAnsi="Verdana" w:eastAsia="Calibri" w:cs="Arial"/>
          <w:b/>
          <w:bCs/>
          <w:lang w:eastAsia="es-ES"/>
        </w:rPr>
        <w:t xml:space="preserve"> – Determinación Dotación Biomédica</w:t>
      </w:r>
    </w:p>
    <w:p w:rsidR="00077445" w:rsidP="00077445" w:rsidRDefault="00077445" w14:paraId="7F999485" w14:textId="77777777">
      <w:pPr>
        <w:spacing w:after="0" w:line="240" w:lineRule="auto"/>
        <w:rPr>
          <w:rFonts w:ascii="Verdana" w:hAnsi="Verdana"/>
        </w:rPr>
      </w:pPr>
    </w:p>
    <w:p w:rsidR="00077445" w:rsidP="00077445" w:rsidRDefault="00077445" w14:paraId="41E3BF42" w14:textId="77777777">
      <w:pPr>
        <w:spacing w:line="240" w:lineRule="auto"/>
        <w:contextualSpacing/>
        <w:jc w:val="both"/>
        <w:rPr>
          <w:rFonts w:ascii="Verdana" w:hAnsi="Verdana" w:eastAsia="Calibri" w:cs="Arial"/>
          <w:sz w:val="20"/>
          <w:szCs w:val="20"/>
          <w:lang w:val="es-ES"/>
        </w:rPr>
      </w:pPr>
      <w:r w:rsidRPr="00C16A94">
        <w:rPr>
          <w:rFonts w:ascii="Verdana" w:hAnsi="Verdana" w:eastAsia="Calibri" w:cs="Arial"/>
          <w:sz w:val="20"/>
          <w:szCs w:val="20"/>
          <w:lang w:val="es-ES"/>
        </w:rPr>
        <w:t>En lo que respecta a la adquisición de ambulancias, corresponde a cada ESE, en el marco de sus estudios previos, determinar si tales bienes se clasifican como dotación biomédica, lo cual exige un análisis técnico y normativo que soporte adecuadamente la decisión adoptada, en coherencia con las disposiciones que regulan la materia y con las necesidades institucionales que se pretende satisfacer.</w:t>
      </w:r>
    </w:p>
    <w:p w:rsidRPr="00C16A94" w:rsidR="00077445" w:rsidP="00077445" w:rsidRDefault="00077445" w14:paraId="592D1414" w14:textId="77777777">
      <w:pPr>
        <w:spacing w:line="240" w:lineRule="auto"/>
        <w:contextualSpacing/>
        <w:jc w:val="both"/>
        <w:rPr>
          <w:rFonts w:ascii="Verdana" w:hAnsi="Verdana" w:eastAsia="Calibri" w:cs="Arial"/>
          <w:sz w:val="20"/>
          <w:szCs w:val="20"/>
          <w:lang w:val="es-ES"/>
        </w:rPr>
      </w:pPr>
    </w:p>
    <w:p w:rsidR="00077445" w:rsidP="00077445" w:rsidRDefault="00077445" w14:paraId="31681996" w14:textId="77777777">
      <w:pPr>
        <w:spacing w:line="240" w:lineRule="auto"/>
        <w:contextualSpacing/>
        <w:jc w:val="both"/>
        <w:rPr>
          <w:rFonts w:ascii="Verdana" w:hAnsi="Verdana" w:eastAsia="Calibri" w:cs="Arial"/>
          <w:sz w:val="20"/>
          <w:szCs w:val="20"/>
          <w:lang w:val="es-ES"/>
        </w:rPr>
      </w:pPr>
      <w:r w:rsidRPr="00C16A94">
        <w:rPr>
          <w:rFonts w:ascii="Verdana" w:hAnsi="Verdana" w:eastAsia="Calibri" w:cs="Arial"/>
          <w:sz w:val="20"/>
          <w:szCs w:val="20"/>
          <w:lang w:val="es-ES"/>
        </w:rPr>
        <w:t>A primera vista, aunque una ambulancia es en apariencia un vehículo automotor, su verdadera naturaleza es la de un equipo integral de atención en salud, dado que incorpora de manera esencial equipos biomédicos. Estos dispositivos —como camillas, sistemas de oxigenación, desfibriladores y monitores— no son accesorios, sino elementos determinantes que diferencian a la ambulancia de un vehículo común y garantizan la prestación del servicio de urgencias y traslado asistencial.</w:t>
      </w:r>
    </w:p>
    <w:p w:rsidRPr="00C16A94" w:rsidR="00077445" w:rsidP="00077445" w:rsidRDefault="00077445" w14:paraId="01AA4C90" w14:textId="77777777">
      <w:pPr>
        <w:spacing w:line="240" w:lineRule="auto"/>
        <w:contextualSpacing/>
        <w:jc w:val="both"/>
        <w:rPr>
          <w:rFonts w:ascii="Verdana" w:hAnsi="Verdana" w:eastAsia="Calibri" w:cs="Arial"/>
          <w:sz w:val="20"/>
          <w:szCs w:val="20"/>
          <w:lang w:val="es-ES"/>
        </w:rPr>
      </w:pPr>
    </w:p>
    <w:p w:rsidR="00077445" w:rsidP="00077445" w:rsidRDefault="00077445" w14:paraId="7D47E535" w14:textId="77777777">
      <w:pPr>
        <w:spacing w:line="240" w:lineRule="auto"/>
        <w:contextualSpacing/>
        <w:jc w:val="both"/>
        <w:rPr>
          <w:rFonts w:ascii="Verdana" w:hAnsi="Verdana" w:eastAsia="Calibri" w:cs="Arial"/>
          <w:sz w:val="20"/>
          <w:szCs w:val="20"/>
          <w:lang w:val="es-ES"/>
        </w:rPr>
      </w:pPr>
      <w:r w:rsidRPr="00C16A94">
        <w:rPr>
          <w:rFonts w:ascii="Verdana" w:hAnsi="Verdana" w:eastAsia="Calibri" w:cs="Arial"/>
          <w:sz w:val="20"/>
          <w:szCs w:val="20"/>
          <w:lang w:val="es-ES"/>
        </w:rPr>
        <w:t xml:space="preserve">La normativa no define de forma exhaustiva la “dotación biomédica”, pero de acuerdo con la Resolución 485 de 2025 y la práctica sectorial, se entiende como los equipos y dispositivos destinados a la prevención, diagnóstico, tratamiento o rehabilitación. En este sentido, las ambulancias de transporte asistencial básico (TAB) y medicalizado </w:t>
      </w:r>
      <w:r w:rsidRPr="00C16A94">
        <w:rPr>
          <w:rFonts w:ascii="Verdana" w:hAnsi="Verdana" w:eastAsia="Calibri" w:cs="Arial"/>
          <w:sz w:val="20"/>
          <w:szCs w:val="20"/>
          <w:lang w:val="es-ES"/>
        </w:rPr>
        <w:t>(TAM) se configuran como bienes de naturaleza mixta, con prevalencia funcional de sus equipos biomédicos.</w:t>
      </w:r>
    </w:p>
    <w:p w:rsidRPr="00C16A94" w:rsidR="00077445" w:rsidP="00077445" w:rsidRDefault="00077445" w14:paraId="4A312B99" w14:textId="77777777">
      <w:pPr>
        <w:spacing w:line="240" w:lineRule="auto"/>
        <w:contextualSpacing/>
        <w:jc w:val="both"/>
        <w:rPr>
          <w:rFonts w:ascii="Verdana" w:hAnsi="Verdana" w:eastAsia="Calibri" w:cs="Arial"/>
          <w:sz w:val="20"/>
          <w:szCs w:val="20"/>
          <w:lang w:val="es-ES"/>
        </w:rPr>
      </w:pPr>
    </w:p>
    <w:p w:rsidR="00077445" w:rsidP="00077445" w:rsidRDefault="00077445" w14:paraId="5B627003" w14:textId="77777777">
      <w:pPr>
        <w:spacing w:line="240" w:lineRule="auto"/>
        <w:contextualSpacing/>
        <w:jc w:val="both"/>
        <w:rPr>
          <w:rFonts w:ascii="Verdana" w:hAnsi="Verdana" w:eastAsia="Calibri" w:cs="Arial"/>
          <w:sz w:val="20"/>
          <w:szCs w:val="20"/>
          <w:lang w:val="es-ES"/>
        </w:rPr>
      </w:pPr>
      <w:r w:rsidRPr="00C16A94">
        <w:rPr>
          <w:rFonts w:ascii="Verdana" w:hAnsi="Verdana" w:eastAsia="Calibri" w:cs="Arial"/>
          <w:sz w:val="20"/>
          <w:szCs w:val="20"/>
          <w:lang w:val="es-ES"/>
        </w:rPr>
        <w:t>Por lo tanto, si como resultado del análisis particular y concreto que haga la ESE se determina que la ambulancia requerida se enmarca en la categoría de “dotación biomédica” regulada en la Resolución 1440 de 2024, y pretenda ser adquirida con recursos del Presupuesto General de la Nación, deberán hacerlo mediante la modalidad de convocatoria pública, conforme a lo dispuesto en la Resolución 5185 de 2013 y en armonía con los principios de transparencia, competencia y selección objetiva.</w:t>
      </w:r>
    </w:p>
    <w:p w:rsidRPr="00C16A94" w:rsidR="00077445" w:rsidP="00077445" w:rsidRDefault="00077445" w14:paraId="6A6FFE5A" w14:textId="77777777">
      <w:pPr>
        <w:spacing w:line="240" w:lineRule="auto"/>
        <w:contextualSpacing/>
        <w:jc w:val="both"/>
        <w:rPr>
          <w:rFonts w:ascii="Verdana" w:hAnsi="Verdana" w:eastAsia="Calibri" w:cs="Arial"/>
          <w:sz w:val="20"/>
          <w:szCs w:val="20"/>
          <w:lang w:val="es-ES"/>
        </w:rPr>
      </w:pPr>
    </w:p>
    <w:p w:rsidR="00077445" w:rsidP="00077445" w:rsidRDefault="00077445" w14:paraId="657DA5AC" w14:textId="77777777">
      <w:pPr>
        <w:spacing w:line="240" w:lineRule="auto"/>
        <w:contextualSpacing/>
        <w:jc w:val="both"/>
        <w:rPr>
          <w:rFonts w:ascii="Verdana" w:hAnsi="Verdana" w:eastAsia="Calibri" w:cs="Arial"/>
          <w:sz w:val="20"/>
          <w:szCs w:val="20"/>
          <w:lang w:val="es-ES"/>
        </w:rPr>
      </w:pPr>
      <w:r w:rsidRPr="00C16A94">
        <w:rPr>
          <w:rFonts w:ascii="Verdana" w:hAnsi="Verdana" w:eastAsia="Calibri" w:cs="Arial"/>
          <w:sz w:val="20"/>
          <w:szCs w:val="20"/>
          <w:lang w:val="es-ES"/>
        </w:rPr>
        <w:t>En otras palabras, las ESE deben realizar un análisis cuidadoso en los estudios previos, pues allí se define la necesidad y la naturaleza jurídica y técnica del bien a adquirir, lo que determina la modalidad de selección aplicable. En el caso de las ambulancias, su carácter mixto —vehículo y equipo biomédico— exige que la entidad valore si la prevalencia de su componente médico las ubica como dotación biomédica. Esta clasificación en la fase de planeación asegura certeza jurídica, evita arbitrariedades y garantiza principios de igualdad, selección objetiva y publicidad.</w:t>
      </w:r>
    </w:p>
    <w:p w:rsidRPr="00C16A94" w:rsidR="00077445" w:rsidP="00077445" w:rsidRDefault="00077445" w14:paraId="2049B5AA" w14:textId="77777777">
      <w:pPr>
        <w:spacing w:line="240" w:lineRule="auto"/>
        <w:contextualSpacing/>
        <w:jc w:val="both"/>
        <w:rPr>
          <w:rFonts w:ascii="Verdana" w:hAnsi="Verdana" w:eastAsia="Calibri" w:cs="Arial"/>
          <w:sz w:val="20"/>
          <w:szCs w:val="20"/>
          <w:lang w:val="es-ES"/>
        </w:rPr>
      </w:pPr>
    </w:p>
    <w:p w:rsidRPr="00C16A94" w:rsidR="00077445" w:rsidP="00077445" w:rsidRDefault="00077445" w14:paraId="46CB101A" w14:textId="77777777">
      <w:pPr>
        <w:spacing w:line="240" w:lineRule="auto"/>
        <w:contextualSpacing/>
        <w:jc w:val="both"/>
        <w:rPr>
          <w:rFonts w:ascii="Verdana" w:hAnsi="Verdana" w:eastAsia="Calibri" w:cs="Arial"/>
          <w:sz w:val="20"/>
          <w:szCs w:val="20"/>
          <w:lang w:val="es-ES"/>
        </w:rPr>
      </w:pPr>
      <w:r w:rsidRPr="00C16A94">
        <w:rPr>
          <w:rFonts w:ascii="Verdana" w:hAnsi="Verdana" w:eastAsia="Calibri" w:cs="Arial"/>
          <w:sz w:val="20"/>
          <w:szCs w:val="20"/>
          <w:lang w:val="es-ES"/>
        </w:rPr>
        <w:t>Además, dejar explícito en los estudios previos esta naturaleza fortalece el control administrativo y fiscal, pues evidencia planeación adecuada, eficiencia en el gasto público y coherencia con la normatividad. Incluso, anticipar en los estudios previos la clasificación de las ambulancias como dotación biomédica se alinea con la Resolución 1440 de 2024, que prevé la expedición de una guía de buenas prácticas para orientar a las ESE en estos procesos, asegurando transparencia y calidad en la contratación.</w:t>
      </w:r>
    </w:p>
    <w:p w:rsidR="00077445" w:rsidP="00077445" w:rsidRDefault="00077445" w14:paraId="77358B03" w14:textId="77777777">
      <w:pPr>
        <w:spacing w:line="240" w:lineRule="auto"/>
        <w:contextualSpacing/>
        <w:jc w:val="both"/>
        <w:rPr>
          <w:rFonts w:ascii="Verdana" w:hAnsi="Verdana" w:eastAsia="Calibri" w:cs="Arial"/>
          <w:sz w:val="20"/>
          <w:szCs w:val="20"/>
          <w:lang w:val="es-ES"/>
        </w:rPr>
      </w:pPr>
    </w:p>
    <w:p w:rsidR="00077445" w:rsidP="00077445" w:rsidRDefault="00077445" w14:paraId="5C22DC90" w14:textId="77777777">
      <w:pPr>
        <w:spacing w:after="0" w:line="240" w:lineRule="auto"/>
        <w:contextualSpacing/>
        <w:jc w:val="both"/>
        <w:rPr>
          <w:rFonts w:ascii="Verdana" w:hAnsi="Verdana" w:eastAsia="Calibri" w:cs="Arial"/>
          <w:b/>
          <w:bCs/>
          <w:lang w:eastAsia="es-ES"/>
        </w:rPr>
      </w:pPr>
      <w:r w:rsidRPr="005A32DE">
        <w:rPr>
          <w:rFonts w:ascii="Verdana" w:hAnsi="Verdana" w:eastAsia="Calibri" w:cs="Arial"/>
          <w:b/>
          <w:bCs/>
          <w:lang w:eastAsia="es-ES"/>
        </w:rPr>
        <w:t xml:space="preserve">COMPETENCIA CONSULTIVA COLOMBIA COMPRA EFICIENTE – Limitación – Alcance </w:t>
      </w:r>
    </w:p>
    <w:p w:rsidRPr="005A32DE" w:rsidR="00077445" w:rsidP="00077445" w:rsidRDefault="00077445" w14:paraId="40745E7F" w14:textId="77777777">
      <w:pPr>
        <w:spacing w:after="0" w:line="240" w:lineRule="auto"/>
        <w:contextualSpacing/>
        <w:jc w:val="both"/>
        <w:rPr>
          <w:rFonts w:ascii="Verdana" w:hAnsi="Verdana" w:eastAsia="Calibri" w:cs="Arial"/>
          <w:b/>
          <w:bCs/>
          <w:lang w:eastAsia="es-ES"/>
        </w:rPr>
      </w:pPr>
    </w:p>
    <w:p w:rsidRPr="00C16A94" w:rsidR="00077445" w:rsidP="00077445" w:rsidRDefault="00077445" w14:paraId="4B5A1457" w14:textId="77777777">
      <w:pPr>
        <w:spacing w:line="240" w:lineRule="auto"/>
        <w:contextualSpacing/>
        <w:jc w:val="both"/>
        <w:rPr>
          <w:rFonts w:ascii="Verdana" w:hAnsi="Verdana" w:eastAsia="Calibri" w:cs="Arial"/>
          <w:sz w:val="20"/>
          <w:szCs w:val="20"/>
          <w:lang w:val="es-ES"/>
        </w:rPr>
      </w:pPr>
      <w:r w:rsidRPr="005311A1">
        <w:rPr>
          <w:rFonts w:ascii="Verdana" w:hAnsi="Verdana" w:eastAsia="Calibri" w:cs="Arial"/>
          <w:sz w:val="20"/>
          <w:szCs w:val="20"/>
          <w:lang w:val="es-ES"/>
        </w:rPr>
        <w:t xml:space="preserve">Finalmente, conviene precisar que el alcance de este pronunciamiento se limita a efectuar una interpretación general de las normas aplicables, sin que implique definición sobre situaciones particulares o concretas, en armonía con la competencia consultiva atribuida a esta </w:t>
      </w:r>
      <w:r w:rsidRPr="005A32DE">
        <w:rPr>
          <w:rFonts w:ascii="Verdana" w:hAnsi="Verdana" w:eastAsia="Calibri" w:cs="Arial"/>
          <w:sz w:val="20"/>
          <w:szCs w:val="20"/>
          <w:lang w:val="es-ES"/>
        </w:rPr>
        <w:t>Agencia</w:t>
      </w:r>
      <w:r w:rsidRPr="005311A1">
        <w:rPr>
          <w:rFonts w:ascii="Verdana" w:hAnsi="Verdana" w:eastAsia="Calibri" w:cs="Arial"/>
          <w:sz w:val="20"/>
          <w:szCs w:val="20"/>
          <w:lang w:val="es-ES"/>
        </w:rPr>
        <w:t>.</w:t>
      </w:r>
    </w:p>
    <w:p w:rsidR="00077445" w:rsidP="00077445" w:rsidRDefault="00077445" w14:paraId="59CB1E27" w14:textId="77777777">
      <w:pPr>
        <w:spacing w:line="240" w:lineRule="auto"/>
        <w:contextualSpacing/>
        <w:jc w:val="both"/>
        <w:rPr>
          <w:rFonts w:ascii="Verdana" w:hAnsi="Verdana" w:eastAsia="Calibri" w:cs="Arial"/>
          <w:sz w:val="20"/>
          <w:szCs w:val="20"/>
          <w:lang w:val="es-ES"/>
        </w:rPr>
      </w:pPr>
    </w:p>
    <w:p w:rsidRPr="00C16A94" w:rsidR="00077445" w:rsidP="00077445" w:rsidRDefault="00077445" w14:paraId="6050A21F" w14:textId="77777777">
      <w:pPr>
        <w:spacing w:line="240" w:lineRule="auto"/>
        <w:contextualSpacing/>
        <w:jc w:val="both"/>
        <w:rPr>
          <w:rFonts w:ascii="Verdana" w:hAnsi="Verdana" w:eastAsia="Calibri" w:cs="Arial"/>
          <w:sz w:val="20"/>
          <w:szCs w:val="20"/>
          <w:lang w:val="es-ES"/>
        </w:rPr>
      </w:pPr>
    </w:p>
    <w:p w:rsidRPr="00C16A94" w:rsidR="00077445" w:rsidP="00077445" w:rsidRDefault="00077445" w14:paraId="106864F1" w14:textId="77777777">
      <w:pPr>
        <w:spacing w:line="240" w:lineRule="auto"/>
        <w:contextualSpacing/>
        <w:jc w:val="both"/>
        <w:rPr>
          <w:rFonts w:ascii="Verdana" w:hAnsi="Verdana" w:eastAsia="Calibri" w:cs="Arial"/>
          <w:sz w:val="20"/>
          <w:szCs w:val="20"/>
          <w:lang w:val="es-ES"/>
        </w:rPr>
      </w:pPr>
    </w:p>
    <w:p w:rsidR="00077445" w:rsidP="00077445" w:rsidRDefault="00077445" w14:paraId="0FF537B0" w14:textId="77777777">
      <w:pPr>
        <w:spacing w:after="0" w:line="240" w:lineRule="auto"/>
        <w:rPr>
          <w:rFonts w:ascii="Verdana" w:hAnsi="Verdana"/>
        </w:rPr>
      </w:pPr>
    </w:p>
    <w:p w:rsidR="00077445" w:rsidP="00077445" w:rsidRDefault="00077445" w14:paraId="4D660F03" w14:textId="77777777">
      <w:pPr>
        <w:spacing w:after="0" w:line="240" w:lineRule="auto"/>
        <w:rPr>
          <w:rFonts w:ascii="Verdana" w:hAnsi="Verdana"/>
        </w:rPr>
      </w:pPr>
    </w:p>
    <w:p w:rsidR="00077445" w:rsidP="00077445" w:rsidRDefault="00077445" w14:paraId="5F5AC925" w14:textId="77777777">
      <w:pPr>
        <w:spacing w:after="0" w:line="240" w:lineRule="auto"/>
        <w:rPr>
          <w:rFonts w:ascii="Verdana" w:hAnsi="Verdana"/>
        </w:rPr>
      </w:pPr>
    </w:p>
    <w:p w:rsidR="00077445" w:rsidP="00077445" w:rsidRDefault="00077445" w14:paraId="38E36F3A" w14:textId="77777777">
      <w:pPr>
        <w:spacing w:after="0" w:line="240" w:lineRule="auto"/>
        <w:rPr>
          <w:rFonts w:ascii="Verdana" w:hAnsi="Verdana"/>
        </w:rPr>
      </w:pPr>
    </w:p>
    <w:p w:rsidR="00077445" w:rsidP="00077445" w:rsidRDefault="00077445" w14:paraId="082ED54C" w14:textId="77777777">
      <w:pPr>
        <w:spacing w:after="0" w:line="240" w:lineRule="auto"/>
        <w:rPr>
          <w:rFonts w:ascii="Verdana" w:hAnsi="Verdana"/>
        </w:rPr>
      </w:pPr>
    </w:p>
    <w:p w:rsidR="00077445" w:rsidP="00077445" w:rsidRDefault="00077445" w14:paraId="07B97431" w14:textId="77777777">
      <w:pPr>
        <w:spacing w:after="0" w:line="240" w:lineRule="auto"/>
        <w:rPr>
          <w:rFonts w:ascii="Verdana" w:hAnsi="Verdana"/>
        </w:rPr>
      </w:pPr>
    </w:p>
    <w:p w:rsidR="00077445" w:rsidP="00077445" w:rsidRDefault="00077445" w14:paraId="70AB3C63" w14:textId="77777777">
      <w:pPr>
        <w:spacing w:after="0" w:line="240" w:lineRule="auto"/>
        <w:rPr>
          <w:rFonts w:ascii="Verdana" w:hAnsi="Verdana"/>
        </w:rPr>
      </w:pPr>
    </w:p>
    <w:p w:rsidR="00077445" w:rsidP="00077445" w:rsidRDefault="00077445" w14:paraId="743891D4" w14:textId="77777777">
      <w:pPr>
        <w:spacing w:after="0" w:line="240" w:lineRule="auto"/>
        <w:rPr>
          <w:rFonts w:ascii="Verdana" w:hAnsi="Verdana"/>
        </w:rPr>
      </w:pPr>
    </w:p>
    <w:p w:rsidR="00077445" w:rsidP="00077445" w:rsidRDefault="00077445" w14:paraId="393F7990" w14:textId="77777777">
      <w:pPr>
        <w:spacing w:after="0" w:line="240" w:lineRule="auto"/>
        <w:rPr>
          <w:rFonts w:ascii="Verdana" w:hAnsi="Verdana"/>
        </w:rPr>
      </w:pPr>
    </w:p>
    <w:p w:rsidR="00077445" w:rsidP="00077445" w:rsidRDefault="00077445" w14:paraId="5327536A" w14:textId="77777777">
      <w:pPr>
        <w:spacing w:after="0" w:line="240" w:lineRule="auto"/>
        <w:rPr>
          <w:rFonts w:ascii="Verdana" w:hAnsi="Verdana"/>
        </w:rPr>
      </w:pPr>
    </w:p>
    <w:p w:rsidR="00077445" w:rsidP="00077445" w:rsidRDefault="00077445" w14:paraId="26B7FC00" w14:textId="77777777">
      <w:pPr>
        <w:spacing w:after="0" w:line="240" w:lineRule="auto"/>
        <w:rPr>
          <w:rFonts w:ascii="Verdana" w:hAnsi="Verdana"/>
        </w:rPr>
      </w:pPr>
    </w:p>
    <w:p w:rsidR="00077445" w:rsidP="00077445" w:rsidRDefault="00077445" w14:paraId="7B4B5474" w14:textId="77777777">
      <w:pPr>
        <w:spacing w:after="0" w:line="240" w:lineRule="auto"/>
        <w:rPr>
          <w:rFonts w:ascii="Verdana" w:hAnsi="Verdana"/>
        </w:rPr>
      </w:pPr>
    </w:p>
    <w:p w:rsidRPr="00AA03F5" w:rsidR="00077445" w:rsidP="00077445" w:rsidRDefault="00077445" w14:paraId="13F3D8C9" w14:textId="6375D9AD">
      <w:pPr>
        <w:spacing w:after="0" w:line="240" w:lineRule="auto"/>
        <w:rPr>
          <w:rFonts w:ascii="Verdana" w:hAnsi="Verdana" w:eastAsia="Times New Roman" w:cs="Arial"/>
          <w:lang w:val="pt-BR" w:eastAsia="es-ES_tradnl"/>
        </w:rPr>
      </w:pPr>
      <w:r w:rsidRPr="00AA03F5">
        <w:rPr>
          <w:rFonts w:ascii="Verdana" w:hAnsi="Verdana"/>
          <w:lang w:val="pt-BR"/>
        </w:rPr>
        <w:t xml:space="preserve">Bogotá D.C., </w:t>
      </w:r>
      <w:r w:rsidRPr="00AA03F5" w:rsidR="00173497">
        <w:rPr>
          <w:rFonts w:ascii="Verdana" w:hAnsi="Verdana"/>
          <w:lang w:val="pt-BR"/>
        </w:rPr>
        <w:t>21 de agosto de 2025</w:t>
      </w:r>
    </w:p>
    <w:p w:rsidRPr="00AA03F5" w:rsidR="00077445" w:rsidP="00077445" w:rsidRDefault="00077445" w14:paraId="0CD04734" w14:textId="77777777">
      <w:pPr>
        <w:spacing w:after="0" w:line="240" w:lineRule="auto"/>
        <w:jc w:val="right"/>
        <w:rPr>
          <w:rFonts w:ascii="Verdana" w:hAnsi="Verdana" w:eastAsia="Times New Roman" w:cs="Arial"/>
          <w:lang w:val="pt-BR" w:eastAsia="es-ES_tradnl"/>
        </w:rPr>
      </w:pPr>
    </w:p>
    <w:p w:rsidRPr="00E76CD6" w:rsidR="00077445" w:rsidP="00173497" w:rsidRDefault="00173497" w14:paraId="2D484180" w14:textId="69A847D5">
      <w:pPr>
        <w:spacing w:after="0" w:line="240" w:lineRule="auto"/>
        <w:jc w:val="right"/>
        <w:rPr>
          <w:rFonts w:ascii="Verdana" w:hAnsi="Verdana" w:eastAsia="Calibri" w:cs="Arial"/>
          <w:lang w:eastAsia="es-ES_tradnl"/>
        </w:rPr>
      </w:pPr>
      <w:r w:rsidRPr="00173497">
        <w:rPr>
          <w:rFonts w:ascii="Verdana" w:hAnsi="Verdana" w:eastAsia="Calibri" w:cs="Arial"/>
          <w:lang w:eastAsia="es-ES_tradnl"/>
        </w:rPr>
        <w:drawing>
          <wp:inline distT="0" distB="0" distL="0" distR="0" wp14:anchorId="77D8A74B" wp14:editId="2E56AEE6">
            <wp:extent cx="3719583" cy="97345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722694" cy="974269"/>
                    </a:xfrm>
                    <a:prstGeom prst="rect">
                      <a:avLst/>
                    </a:prstGeom>
                  </pic:spPr>
                </pic:pic>
              </a:graphicData>
            </a:graphic>
          </wp:inline>
        </w:drawing>
      </w:r>
    </w:p>
    <w:p w:rsidRPr="00E76CD6" w:rsidR="00077445" w:rsidP="00077445" w:rsidRDefault="00077445" w14:paraId="48059A66" w14:textId="77777777">
      <w:pPr>
        <w:spacing w:after="0" w:line="240" w:lineRule="auto"/>
        <w:jc w:val="both"/>
        <w:rPr>
          <w:rFonts w:ascii="Verdana" w:hAnsi="Verdana" w:eastAsia="Calibri" w:cs="Arial"/>
          <w:lang w:eastAsia="es-ES_tradnl"/>
        </w:rPr>
      </w:pPr>
      <w:r w:rsidRPr="00E76CD6">
        <w:rPr>
          <w:rFonts w:ascii="Verdana" w:hAnsi="Verdana" w:eastAsia="Calibri" w:cs="Arial"/>
          <w:lang w:eastAsia="es-ES_tradnl"/>
        </w:rPr>
        <w:t>Señor</w:t>
      </w:r>
    </w:p>
    <w:p w:rsidR="00077445" w:rsidP="00077445" w:rsidRDefault="00077445" w14:paraId="1A011F29" w14:textId="77777777">
      <w:pPr>
        <w:spacing w:after="0" w:line="240" w:lineRule="auto"/>
        <w:jc w:val="both"/>
        <w:rPr>
          <w:rFonts w:ascii="Verdana" w:hAnsi="Verdana" w:eastAsia="Calibri" w:cs="Arial"/>
          <w:b/>
          <w:lang w:eastAsia="es-ES_tradnl"/>
        </w:rPr>
      </w:pPr>
      <w:r w:rsidRPr="00487DB1">
        <w:rPr>
          <w:rFonts w:ascii="Verdana" w:hAnsi="Verdana" w:eastAsia="Calibri" w:cs="Arial"/>
          <w:b/>
          <w:lang w:eastAsia="es-ES_tradnl"/>
        </w:rPr>
        <w:t>Camilo</w:t>
      </w:r>
      <w:r>
        <w:rPr>
          <w:rFonts w:ascii="Verdana" w:hAnsi="Verdana" w:eastAsia="Calibri" w:cs="Arial"/>
          <w:b/>
          <w:lang w:eastAsia="es-ES_tradnl"/>
        </w:rPr>
        <w:t xml:space="preserve"> </w:t>
      </w:r>
      <w:r w:rsidRPr="00677FD5">
        <w:rPr>
          <w:rFonts w:ascii="Verdana" w:hAnsi="Verdana" w:eastAsia="Calibri" w:cs="Arial"/>
          <w:b/>
          <w:lang w:eastAsia="es-ES_tradnl"/>
        </w:rPr>
        <w:t>Arévalo</w:t>
      </w:r>
    </w:p>
    <w:p w:rsidRPr="00E76CD6" w:rsidR="00077445" w:rsidP="00077445" w:rsidRDefault="00957900" w14:paraId="38153525" w14:textId="5A48CD4E">
      <w:pPr>
        <w:spacing w:after="0" w:line="240" w:lineRule="auto"/>
        <w:jc w:val="both"/>
        <w:rPr>
          <w:rFonts w:ascii="Verdana" w:hAnsi="Verdana" w:eastAsia="Calibri" w:cs="Arial"/>
          <w:lang w:eastAsia="es-ES_tradnl"/>
        </w:rPr>
      </w:pPr>
      <w:hyperlink w:history="1" r:id="rId8">
        <w:r w:rsidRPr="001F4188" w:rsidR="00077445">
          <w:rPr>
            <w:rStyle w:val="Hipervnculo"/>
            <w:rFonts w:ascii="Verdana" w:hAnsi="Verdana" w:eastAsia="Calibri" w:cs="Arial"/>
            <w:lang w:eastAsia="es-ES_tradnl"/>
          </w:rPr>
          <w:t>juancamiloarevalo2@gmail.com</w:t>
        </w:r>
      </w:hyperlink>
    </w:p>
    <w:p w:rsidRPr="00E76CD6" w:rsidR="00077445" w:rsidP="00077445" w:rsidRDefault="00077445" w14:paraId="20A4B0B3" w14:textId="77777777">
      <w:pPr>
        <w:spacing w:after="0" w:line="240" w:lineRule="auto"/>
        <w:rPr>
          <w:rFonts w:ascii="Verdana" w:hAnsi="Verdana" w:eastAsia="Calibri" w:cs="Arial"/>
          <w:lang w:eastAsia="es-ES_tradnl"/>
        </w:rPr>
      </w:pPr>
      <w:r>
        <w:rPr>
          <w:rFonts w:ascii="Verdana" w:hAnsi="Verdana" w:eastAsia="Calibri" w:cs="Arial"/>
          <w:lang w:eastAsia="es-ES_tradnl"/>
        </w:rPr>
        <w:t>Bogotá, D.C.</w:t>
      </w:r>
    </w:p>
    <w:p w:rsidRPr="00E76CD6" w:rsidR="00077445" w:rsidP="00077445" w:rsidRDefault="00077445" w14:paraId="691B77DA" w14:textId="77777777">
      <w:pPr>
        <w:spacing w:after="0" w:line="240" w:lineRule="auto"/>
        <w:rPr>
          <w:rFonts w:ascii="Verdana" w:hAnsi="Verdana" w:eastAsia="Calibri" w:cs="Arial"/>
          <w:lang w:eastAsia="es-ES_tradnl"/>
        </w:rPr>
      </w:pPr>
    </w:p>
    <w:p w:rsidRPr="00E76CD6" w:rsidR="00077445" w:rsidP="00077445" w:rsidRDefault="00077445" w14:paraId="5DD1C235" w14:textId="77777777">
      <w:pPr>
        <w:spacing w:after="0" w:line="240" w:lineRule="auto"/>
        <w:rPr>
          <w:rFonts w:ascii="Verdana" w:hAnsi="Verdana" w:eastAsia="Calibri" w:cs="Arial"/>
          <w:lang w:eastAsia="es-ES_tradnl"/>
        </w:rPr>
      </w:pPr>
    </w:p>
    <w:p w:rsidRPr="00E76CD6" w:rsidR="00077445" w:rsidP="00077445" w:rsidRDefault="00077445" w14:paraId="53144731" w14:textId="77777777">
      <w:pPr>
        <w:spacing w:after="0" w:line="240" w:lineRule="auto"/>
        <w:ind w:left="2694"/>
        <w:rPr>
          <w:rFonts w:ascii="Verdana" w:hAnsi="Verdana" w:eastAsia="Calibri" w:cs="Arial"/>
          <w:b/>
          <w:bCs/>
          <w:lang w:eastAsia="es-ES_tradnl"/>
        </w:rPr>
      </w:pPr>
      <w:r w:rsidRPr="00E76CD6">
        <w:rPr>
          <w:rFonts w:ascii="Verdana" w:hAnsi="Verdana" w:eastAsia="Calibri" w:cs="Arial"/>
          <w:b/>
          <w:bCs/>
          <w:lang w:eastAsia="es-ES_tradnl"/>
        </w:rPr>
        <w:t>Concepto C-</w:t>
      </w:r>
      <w:r>
        <w:rPr>
          <w:rFonts w:ascii="Verdana" w:hAnsi="Verdana" w:eastAsia="Calibri" w:cs="Arial"/>
          <w:b/>
          <w:bCs/>
          <w:lang w:eastAsia="es-ES_tradnl"/>
        </w:rPr>
        <w:t>912</w:t>
      </w:r>
      <w:r w:rsidRPr="00E76CD6">
        <w:rPr>
          <w:rFonts w:ascii="Verdana" w:hAnsi="Verdana" w:eastAsia="Calibri" w:cs="Arial"/>
          <w:b/>
          <w:bCs/>
          <w:lang w:eastAsia="es-ES_tradnl"/>
        </w:rPr>
        <w:t xml:space="preserve"> de 2025</w:t>
      </w:r>
    </w:p>
    <w:p w:rsidRPr="00E76CD6" w:rsidR="00077445" w:rsidP="00077445" w:rsidRDefault="00077445" w14:paraId="4BFBF7C5" w14:textId="77777777">
      <w:pPr>
        <w:spacing w:after="0" w:line="240" w:lineRule="auto"/>
        <w:jc w:val="both"/>
        <w:rPr>
          <w:rFonts w:ascii="Verdana" w:hAnsi="Verdana" w:eastAsia="Calibri" w:cs="Arial"/>
          <w:lang w:eastAsia="es-ES_tradnl"/>
        </w:rPr>
      </w:pPr>
    </w:p>
    <w:tbl>
      <w:tblPr>
        <w:tblStyle w:val="Tablaconcuadrcula"/>
        <w:tblW w:w="878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547"/>
        <w:gridCol w:w="6237"/>
      </w:tblGrid>
      <w:tr w:rsidRPr="00E76CD6" w:rsidR="00077445" w:rsidTr="00E66DB3" w14:paraId="235CDD9B" w14:textId="77777777">
        <w:trPr>
          <w:trHeight w:val="1434"/>
          <w:jc w:val="right"/>
        </w:trPr>
        <w:tc>
          <w:tcPr>
            <w:tcW w:w="2547" w:type="dxa"/>
          </w:tcPr>
          <w:p w:rsidRPr="00E76CD6" w:rsidR="00077445" w:rsidP="00E66DB3" w:rsidRDefault="00077445" w14:paraId="1C5D19A9" w14:textId="77777777">
            <w:pPr>
              <w:jc w:val="center"/>
              <w:rPr>
                <w:rFonts w:ascii="Verdana" w:hAnsi="Verdana" w:eastAsia="Calibri" w:cs="Arial"/>
                <w:lang w:eastAsia="es-ES_tradnl"/>
              </w:rPr>
            </w:pPr>
            <w:r w:rsidRPr="00E76CD6">
              <w:rPr>
                <w:rFonts w:ascii="Verdana" w:hAnsi="Verdana" w:eastAsia="Calibri" w:cs="Arial"/>
                <w:b/>
                <w:lang w:eastAsia="es-ES_tradnl"/>
              </w:rPr>
              <w:t>Temas:</w:t>
            </w:r>
          </w:p>
        </w:tc>
        <w:tc>
          <w:tcPr>
            <w:tcW w:w="6237" w:type="dxa"/>
          </w:tcPr>
          <w:p w:rsidR="00077445" w:rsidP="00E66DB3" w:rsidRDefault="00077445" w14:paraId="3AAE1ABF" w14:textId="77777777">
            <w:pPr>
              <w:jc w:val="both"/>
              <w:rPr>
                <w:rFonts w:ascii="Verdana" w:hAnsi="Verdana" w:eastAsia="Calibri" w:cs="Arial"/>
                <w:bCs/>
                <w:lang w:val="es-ES_tradnl"/>
              </w:rPr>
            </w:pPr>
            <w:r w:rsidRPr="00E60D53">
              <w:rPr>
                <w:rFonts w:ascii="Verdana" w:hAnsi="Verdana" w:eastAsia="Calibri" w:cs="Arial"/>
                <w:bCs/>
                <w:lang w:val="es-ES_tradnl"/>
              </w:rPr>
              <w:t>ENTIDADES CON RÉGIMEN ESPECIAL – Definición</w:t>
            </w:r>
            <w:r>
              <w:rPr>
                <w:rFonts w:ascii="Verdana" w:hAnsi="Verdana" w:eastAsia="Calibri" w:cs="Arial"/>
                <w:bCs/>
                <w:lang w:val="es-ES_tradnl"/>
              </w:rPr>
              <w:t xml:space="preserve"> / </w:t>
            </w:r>
            <w:r w:rsidRPr="00E60D53">
              <w:rPr>
                <w:rFonts w:ascii="Verdana" w:hAnsi="Verdana" w:eastAsia="Calibri" w:cs="Arial"/>
                <w:bCs/>
                <w:lang w:val="es-ES_tradnl"/>
              </w:rPr>
              <w:t>EMPRESAS SOCIALES DEL ESTADO – Régimen jurídico – Reglas aplicables</w:t>
            </w:r>
            <w:r>
              <w:rPr>
                <w:rFonts w:ascii="Verdana" w:hAnsi="Verdana" w:eastAsia="Calibri" w:cs="Arial"/>
                <w:bCs/>
                <w:lang w:val="es-ES_tradnl"/>
              </w:rPr>
              <w:t xml:space="preserve"> / </w:t>
            </w:r>
            <w:r w:rsidRPr="00E60D53">
              <w:rPr>
                <w:rFonts w:ascii="Verdana" w:hAnsi="Verdana" w:eastAsia="Calibri" w:cs="Arial"/>
                <w:bCs/>
                <w:lang w:val="es-ES_tradnl"/>
              </w:rPr>
              <w:t>EMPRESAS SOCIALES DEL ESTADO – Resolución 5185 de 2013 – Lineamientos en la adopción del Estatuto de Contratación - Manual de contratación – Resolución 1440 de 2024</w:t>
            </w:r>
            <w:r>
              <w:rPr>
                <w:rFonts w:ascii="Verdana" w:hAnsi="Verdana" w:eastAsia="Calibri" w:cs="Arial"/>
                <w:bCs/>
                <w:lang w:val="es-ES_tradnl"/>
              </w:rPr>
              <w:t xml:space="preserve"> / </w:t>
            </w:r>
            <w:r w:rsidRPr="00E60D53">
              <w:rPr>
                <w:rFonts w:ascii="Verdana" w:hAnsi="Verdana" w:eastAsia="Calibri" w:cs="Arial"/>
                <w:bCs/>
                <w:lang w:val="es-ES_tradnl"/>
              </w:rPr>
              <w:t>ADQUISICIÓN DE AMBULANCIAS DE TRANSPORTE ASISTENCIAL MEDICALIZADO Y TRANSPORTE DE ASISTENCIA BÁSICA – Estudios y Documentos Previos – Análisis Técnico y Normativo – Determinación Dotación Biomédica</w:t>
            </w:r>
            <w:r>
              <w:rPr>
                <w:rFonts w:ascii="Verdana" w:hAnsi="Verdana" w:eastAsia="Calibri" w:cs="Arial"/>
                <w:bCs/>
                <w:lang w:val="es-ES_tradnl"/>
              </w:rPr>
              <w:t xml:space="preserve"> / </w:t>
            </w:r>
            <w:r w:rsidRPr="00E60D53">
              <w:rPr>
                <w:rFonts w:ascii="Verdana" w:hAnsi="Verdana" w:eastAsia="Calibri" w:cs="Arial"/>
                <w:bCs/>
                <w:lang w:val="es-ES_tradnl"/>
              </w:rPr>
              <w:t>COMPETENCIA CONSULTIVA COLOMBIA COMPRA EFICIENTE – Limitación – Alcance</w:t>
            </w:r>
          </w:p>
          <w:p w:rsidRPr="00E76CD6" w:rsidR="00077445" w:rsidP="00E66DB3" w:rsidRDefault="00077445" w14:paraId="4444EDA0" w14:textId="77777777">
            <w:pPr>
              <w:jc w:val="both"/>
              <w:rPr>
                <w:rFonts w:ascii="Verdana" w:hAnsi="Verdana" w:eastAsia="Times New Roman" w:cs="Arial"/>
                <w:lang w:eastAsia="es-ES_tradnl"/>
              </w:rPr>
            </w:pPr>
          </w:p>
        </w:tc>
      </w:tr>
      <w:tr w:rsidRPr="00E76CD6" w:rsidR="00077445" w:rsidTr="00E66DB3" w14:paraId="5F979ADB" w14:textId="77777777">
        <w:trPr>
          <w:jc w:val="right"/>
        </w:trPr>
        <w:tc>
          <w:tcPr>
            <w:tcW w:w="2547" w:type="dxa"/>
          </w:tcPr>
          <w:p w:rsidRPr="00E76CD6" w:rsidR="00077445" w:rsidP="00E66DB3" w:rsidRDefault="00077445" w14:paraId="3CAE4BEA" w14:textId="77777777">
            <w:pPr>
              <w:jc w:val="center"/>
              <w:rPr>
                <w:rFonts w:ascii="Verdana" w:hAnsi="Verdana" w:eastAsia="Calibri" w:cs="Arial"/>
                <w:b/>
                <w:lang w:eastAsia="es-ES_tradnl"/>
              </w:rPr>
            </w:pPr>
            <w:r w:rsidRPr="00E76CD6">
              <w:rPr>
                <w:rFonts w:ascii="Verdana" w:hAnsi="Verdana" w:eastAsia="Calibri" w:cs="Arial"/>
                <w:b/>
                <w:lang w:eastAsia="es-ES_tradnl"/>
              </w:rPr>
              <w:t>Radicación:</w:t>
            </w:r>
          </w:p>
        </w:tc>
        <w:tc>
          <w:tcPr>
            <w:tcW w:w="6237" w:type="dxa"/>
          </w:tcPr>
          <w:p w:rsidRPr="00E76CD6" w:rsidR="00077445" w:rsidP="00E66DB3" w:rsidRDefault="00077445" w14:paraId="05A32A3A" w14:textId="77777777">
            <w:pPr>
              <w:jc w:val="both"/>
              <w:rPr>
                <w:rFonts w:ascii="Verdana" w:hAnsi="Verdana" w:eastAsia="Calibri" w:cs="Arial"/>
                <w:lang w:eastAsia="es-ES_tradnl"/>
              </w:rPr>
            </w:pPr>
            <w:r w:rsidRPr="00E76CD6">
              <w:rPr>
                <w:rFonts w:ascii="Verdana" w:hAnsi="Verdana" w:eastAsia="Calibri" w:cs="Arial"/>
                <w:lang w:eastAsia="es-ES_tradnl"/>
              </w:rPr>
              <w:t xml:space="preserve">Respuesta a consulta radicado No. </w:t>
            </w:r>
            <w:r w:rsidRPr="00580FF2">
              <w:rPr>
                <w:rFonts w:ascii="Verdana" w:hAnsi="Verdana" w:eastAsia="Times New Roman" w:cs="Arial"/>
                <w:lang w:eastAsia="es-ES_tradnl"/>
              </w:rPr>
              <w:t>1_2025_07_</w:t>
            </w:r>
            <w:r w:rsidRPr="00C94D7F">
              <w:rPr>
                <w:rFonts w:ascii="Verdana" w:hAnsi="Verdana" w:eastAsia="Times New Roman" w:cs="Arial"/>
                <w:lang w:eastAsia="es-ES_tradnl"/>
              </w:rPr>
              <w:t>10_006984</w:t>
            </w:r>
          </w:p>
        </w:tc>
      </w:tr>
    </w:tbl>
    <w:p w:rsidRPr="00E76CD6" w:rsidR="00077445" w:rsidP="00077445" w:rsidRDefault="00077445" w14:paraId="561CAEB4" w14:textId="77777777">
      <w:pPr>
        <w:spacing w:after="0" w:line="240" w:lineRule="auto"/>
        <w:jc w:val="both"/>
        <w:rPr>
          <w:rFonts w:ascii="Verdana" w:hAnsi="Verdana" w:eastAsia="Calibri" w:cs="Arial"/>
          <w:lang w:eastAsia="es-ES_tradnl"/>
        </w:rPr>
      </w:pPr>
    </w:p>
    <w:p w:rsidRPr="00E76CD6" w:rsidR="00077445" w:rsidP="00077445" w:rsidRDefault="00077445" w14:paraId="256725DB" w14:textId="77777777">
      <w:pPr>
        <w:spacing w:after="0" w:line="240" w:lineRule="auto"/>
        <w:jc w:val="both"/>
        <w:rPr>
          <w:rFonts w:ascii="Verdana" w:hAnsi="Verdana" w:eastAsia="Calibri" w:cs="Arial"/>
          <w:lang w:eastAsia="es-ES_tradnl"/>
        </w:rPr>
      </w:pPr>
    </w:p>
    <w:p w:rsidRPr="00E76CD6" w:rsidR="00077445" w:rsidP="00077445" w:rsidRDefault="00077445" w14:paraId="0123FCB5" w14:textId="77777777">
      <w:pPr>
        <w:spacing w:after="0" w:line="276" w:lineRule="auto"/>
        <w:jc w:val="both"/>
        <w:rPr>
          <w:rFonts w:ascii="Verdana" w:hAnsi="Verdana" w:eastAsia="Calibri" w:cs="Arial"/>
          <w:bCs/>
          <w:lang w:eastAsia="es-ES_tradnl"/>
        </w:rPr>
      </w:pPr>
      <w:r w:rsidRPr="00E76CD6">
        <w:rPr>
          <w:rFonts w:ascii="Verdana" w:hAnsi="Verdana" w:eastAsia="Calibri" w:cs="Arial"/>
          <w:lang w:eastAsia="es-ES_tradnl"/>
        </w:rPr>
        <w:t xml:space="preserve">Estimado señor </w:t>
      </w:r>
      <w:r>
        <w:rPr>
          <w:rFonts w:ascii="Verdana" w:hAnsi="Verdana" w:eastAsia="Calibri" w:cs="Arial"/>
          <w:lang w:eastAsia="es-ES_tradnl"/>
        </w:rPr>
        <w:t>Arévalo</w:t>
      </w:r>
      <w:r w:rsidRPr="00E76CD6">
        <w:rPr>
          <w:rFonts w:ascii="Verdana" w:hAnsi="Verdana" w:eastAsia="Calibri" w:cs="Arial"/>
          <w:bCs/>
          <w:lang w:eastAsia="es-ES_tradnl"/>
        </w:rPr>
        <w:t xml:space="preserve">, </w:t>
      </w:r>
    </w:p>
    <w:p w:rsidRPr="00E76CD6" w:rsidR="00077445" w:rsidP="00077445" w:rsidRDefault="00077445" w14:paraId="5CA25D6E" w14:textId="77777777">
      <w:pPr>
        <w:spacing w:after="0" w:line="276" w:lineRule="auto"/>
        <w:jc w:val="both"/>
        <w:rPr>
          <w:rFonts w:ascii="Verdana" w:hAnsi="Verdana" w:eastAsia="Calibri" w:cs="Arial"/>
          <w:lang w:eastAsia="es-ES_tradnl"/>
        </w:rPr>
      </w:pPr>
    </w:p>
    <w:p w:rsidRPr="00E76CD6" w:rsidR="00077445" w:rsidP="00077445" w:rsidRDefault="00077445" w14:paraId="5BE72F36" w14:textId="77777777">
      <w:pPr>
        <w:spacing w:after="0" w:line="276" w:lineRule="auto"/>
        <w:jc w:val="both"/>
        <w:rPr>
          <w:rFonts w:ascii="Verdana" w:hAnsi="Verdana" w:eastAsia="Calibri" w:cs="Arial"/>
          <w:lang w:eastAsia="es-ES_tradnl"/>
        </w:rPr>
      </w:pPr>
      <w:r w:rsidRPr="00E76CD6">
        <w:rPr>
          <w:rFonts w:ascii="Verdana" w:hAnsi="Verdana" w:eastAsia="Calibri"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consulta radicada el </w:t>
      </w:r>
      <w:r w:rsidRPr="007204E2">
        <w:rPr>
          <w:rFonts w:ascii="Verdana" w:hAnsi="Verdana" w:eastAsia="Calibri" w:cs="Arial"/>
          <w:lang w:eastAsia="es-ES_tradnl"/>
        </w:rPr>
        <w:t>10</w:t>
      </w:r>
      <w:r w:rsidRPr="00E76CD6">
        <w:rPr>
          <w:rFonts w:ascii="Verdana" w:hAnsi="Verdana" w:eastAsia="Calibri" w:cs="Arial"/>
          <w:lang w:eastAsia="es-ES_tradnl"/>
        </w:rPr>
        <w:t xml:space="preserve"> de ju</w:t>
      </w:r>
      <w:r>
        <w:rPr>
          <w:rFonts w:ascii="Verdana" w:hAnsi="Verdana" w:eastAsia="Calibri" w:cs="Arial"/>
          <w:lang w:eastAsia="es-ES_tradnl"/>
        </w:rPr>
        <w:t>l</w:t>
      </w:r>
      <w:r w:rsidRPr="00E76CD6">
        <w:rPr>
          <w:rFonts w:ascii="Verdana" w:hAnsi="Verdana" w:eastAsia="Calibri" w:cs="Arial"/>
          <w:lang w:eastAsia="es-ES_tradnl"/>
        </w:rPr>
        <w:t xml:space="preserve">io de 2025, </w:t>
      </w:r>
      <w:r w:rsidRPr="007204E2">
        <w:rPr>
          <w:rFonts w:ascii="Verdana" w:hAnsi="Verdana" w:eastAsia="Calibri" w:cs="Arial"/>
          <w:lang w:eastAsia="es-ES_tradnl"/>
        </w:rPr>
        <w:t xml:space="preserve">relacionada con la Resolución 1440 del 14 de agosto de 2024 expedida por el Ministerio de Salud y Protección Social —acto administrativo que modifica la Resolución 5185 de 2013, por medio de la cual se fijan los lineamientos para que las Empresas Sociales del Estado adopten el </w:t>
      </w:r>
      <w:r w:rsidRPr="007204E2">
        <w:rPr>
          <w:rFonts w:ascii="Verdana" w:hAnsi="Verdana" w:eastAsia="Calibri" w:cs="Arial"/>
          <w:lang w:eastAsia="es-ES_tradnl"/>
        </w:rPr>
        <w:t>estatuto de contratación que regirá su actividad contractual—</w:t>
      </w:r>
      <w:r>
        <w:rPr>
          <w:rFonts w:ascii="Verdana" w:hAnsi="Verdana" w:eastAsia="Calibri" w:cs="Arial"/>
          <w:lang w:eastAsia="es-ES_tradnl"/>
        </w:rPr>
        <w:t xml:space="preserve">. Particularmente, usted hace hincapié en el artículo 1 de la primera resolución en cita, que modifica el artículo 9 de la segunda y que establece las actividades mínimas que deberán adelantar este tipo de empresas en la fase de planeación de su gestión contractual, dado que dicho artículo adiciona el parágrafo 2 donde se contemplan nuevas reglas para el desarrollo de proyectos financiados con recursos del Presupuesto General de la Nación, con ciertos objetos contractuales. Usted </w:t>
      </w:r>
      <w:r w:rsidRPr="007204E2">
        <w:rPr>
          <w:rFonts w:ascii="Verdana" w:hAnsi="Verdana" w:eastAsia="Calibri" w:cs="Arial"/>
          <w:lang w:eastAsia="es-ES_tradnl"/>
        </w:rPr>
        <w:t>formula varios interrogantes</w:t>
      </w:r>
      <w:r w:rsidRPr="00E76CD6">
        <w:rPr>
          <w:rFonts w:ascii="Verdana" w:hAnsi="Verdana" w:eastAsia="Calibri" w:cs="Arial"/>
          <w:lang w:eastAsia="es-ES_tradnl"/>
        </w:rPr>
        <w:t xml:space="preserve"> en los siguientes términos:</w:t>
      </w:r>
    </w:p>
    <w:p w:rsidRPr="00E76CD6" w:rsidR="00077445" w:rsidP="00077445" w:rsidRDefault="00077445" w14:paraId="4F0AFF49" w14:textId="77777777">
      <w:pPr>
        <w:spacing w:after="0" w:line="276" w:lineRule="auto"/>
        <w:jc w:val="both"/>
        <w:rPr>
          <w:rFonts w:ascii="Verdana" w:hAnsi="Verdana" w:eastAsia="Calibri" w:cs="Arial"/>
          <w:lang w:eastAsia="es-ES_tradnl"/>
        </w:rPr>
      </w:pPr>
    </w:p>
    <w:p w:rsidR="00077445" w:rsidP="00077445" w:rsidRDefault="00077445" w14:paraId="73F07719" w14:textId="77777777">
      <w:pPr>
        <w:spacing w:after="0" w:line="240" w:lineRule="auto"/>
        <w:ind w:left="709" w:right="709"/>
        <w:jc w:val="both"/>
        <w:rPr>
          <w:rFonts w:ascii="Verdana" w:hAnsi="Verdana" w:eastAsia="Times New Roman" w:cs="Arial"/>
          <w:iCs/>
          <w:lang w:eastAsia="es-ES_tradnl"/>
        </w:rPr>
      </w:pPr>
      <w:r w:rsidRPr="003D1B80">
        <w:rPr>
          <w:rFonts w:ascii="Verdana" w:hAnsi="Verdana" w:eastAsia="Times New Roman" w:cs="Arial"/>
          <w:iCs/>
          <w:lang w:eastAsia="es-ES_tradnl"/>
        </w:rPr>
        <w:t xml:space="preserve">“[…] </w:t>
      </w:r>
    </w:p>
    <w:p w:rsidR="00077445" w:rsidP="00077445" w:rsidRDefault="00077445" w14:paraId="6B15E347" w14:textId="77777777">
      <w:pPr>
        <w:spacing w:after="0" w:line="240" w:lineRule="auto"/>
        <w:ind w:left="709" w:right="709"/>
        <w:jc w:val="both"/>
        <w:rPr>
          <w:rFonts w:ascii="Verdana" w:hAnsi="Verdana" w:eastAsia="Times New Roman" w:cs="Arial"/>
          <w:iCs/>
          <w:lang w:eastAsia="es-ES_tradnl"/>
        </w:rPr>
      </w:pPr>
    </w:p>
    <w:p w:rsidR="00077445" w:rsidP="00077445" w:rsidRDefault="00077445" w14:paraId="41BD1BE5" w14:textId="77777777">
      <w:pPr>
        <w:spacing w:after="0" w:line="240" w:lineRule="auto"/>
        <w:ind w:left="709" w:right="709"/>
        <w:jc w:val="both"/>
        <w:rPr>
          <w:rFonts w:ascii="Verdana" w:hAnsi="Verdana"/>
          <w:i/>
          <w:iCs/>
        </w:rPr>
      </w:pPr>
      <w:r>
        <w:rPr>
          <w:rFonts w:ascii="Verdana" w:hAnsi="Verdana" w:eastAsia="Times New Roman" w:cs="Arial"/>
          <w:iCs/>
          <w:lang w:eastAsia="es-ES_tradnl"/>
        </w:rPr>
        <w:t xml:space="preserve">1. </w:t>
      </w:r>
      <w:r w:rsidRPr="00B26488">
        <w:rPr>
          <w:rFonts w:ascii="Verdana" w:hAnsi="Verdana"/>
          <w:i/>
          <w:iCs/>
        </w:rPr>
        <w:t xml:space="preserve">¿La adquisición de una ambulancia de transporte asistencial medicalizado y transporte de asistencia básica debe ser clasificada como "dotación biomédica" para los efectos del parágrafo 2 de la resolución 1440 del 2024? </w:t>
      </w:r>
    </w:p>
    <w:p w:rsidR="00077445" w:rsidP="00077445" w:rsidRDefault="00077445" w14:paraId="0EE3F8D6" w14:textId="77777777">
      <w:pPr>
        <w:spacing w:after="0" w:line="240" w:lineRule="auto"/>
        <w:ind w:left="709" w:right="709"/>
        <w:jc w:val="both"/>
        <w:rPr>
          <w:rFonts w:ascii="Verdana" w:hAnsi="Verdana"/>
          <w:i/>
          <w:iCs/>
        </w:rPr>
      </w:pPr>
    </w:p>
    <w:p w:rsidR="00077445" w:rsidP="00077445" w:rsidRDefault="00077445" w14:paraId="5ACDD8A5" w14:textId="77777777">
      <w:pPr>
        <w:spacing w:after="0" w:line="240" w:lineRule="auto"/>
        <w:ind w:left="709" w:right="709"/>
        <w:jc w:val="both"/>
        <w:rPr>
          <w:rFonts w:ascii="Verdana" w:hAnsi="Verdana"/>
          <w:i/>
          <w:iCs/>
        </w:rPr>
      </w:pPr>
      <w:r w:rsidRPr="00B26488">
        <w:rPr>
          <w:rFonts w:ascii="Verdana" w:hAnsi="Verdana"/>
          <w:i/>
          <w:iCs/>
        </w:rPr>
        <w:t xml:space="preserve">2. En caso de declararse la ambulancia un equipo mixto conforme la resolución 1440 del 2024 parágrafo 2 y al provenir su fuente de financiación de los recursos del presupuesto general de la nación, ¿debe de ser contratada de manera obligatoria por la modalidad convocatoria pública? </w:t>
      </w:r>
    </w:p>
    <w:p w:rsidR="00077445" w:rsidP="00077445" w:rsidRDefault="00077445" w14:paraId="25FD26E8" w14:textId="77777777">
      <w:pPr>
        <w:spacing w:after="0" w:line="240" w:lineRule="auto"/>
        <w:ind w:left="709" w:right="709"/>
        <w:jc w:val="both"/>
        <w:rPr>
          <w:rFonts w:ascii="Verdana" w:hAnsi="Verdana"/>
          <w:i/>
          <w:iCs/>
        </w:rPr>
      </w:pPr>
    </w:p>
    <w:p w:rsidRPr="003D1B80" w:rsidR="00077445" w:rsidP="00077445" w:rsidRDefault="00077445" w14:paraId="7BCA5A82" w14:textId="77777777">
      <w:pPr>
        <w:spacing w:after="0" w:line="240" w:lineRule="auto"/>
        <w:ind w:left="709" w:right="709"/>
        <w:jc w:val="both"/>
        <w:rPr>
          <w:rFonts w:ascii="Verdana" w:hAnsi="Verdana" w:eastAsia="Times New Roman" w:cs="Arial"/>
          <w:i/>
          <w:lang w:eastAsia="es-ES_tradnl"/>
        </w:rPr>
      </w:pPr>
      <w:r w:rsidRPr="00B26488">
        <w:rPr>
          <w:rFonts w:ascii="Verdana" w:hAnsi="Verdana"/>
          <w:i/>
          <w:iCs/>
        </w:rPr>
        <w:t>3. ¿Cómo se debe proceder con la modalidad de selección contractual para la adquisición de ambulancias de transporte asistencial medicalizado y transporte de asistencia básica, por parte de las Empresas Sociales del Estado, si los recursos provienen del Presupuesto General de la Nación, tomando en cuenta la prevalencia del componente vehicular y el objetivo de transparencia y competencia de la norma y teniendo en cuenta que las ESE cuentan con otros medios en su manual de contratación para satisfacer el proceso contractual?</w:t>
      </w:r>
      <w:r w:rsidRPr="003D1B80">
        <w:rPr>
          <w:rFonts w:ascii="Verdana" w:hAnsi="Verdana" w:eastAsia="Times New Roman" w:cs="Arial"/>
          <w:iCs/>
          <w:lang w:eastAsia="es-ES_tradnl"/>
        </w:rPr>
        <w:t>” [SIC].</w:t>
      </w:r>
    </w:p>
    <w:p w:rsidRPr="00E76CD6" w:rsidR="00077445" w:rsidP="00077445" w:rsidRDefault="00077445" w14:paraId="1CFF3154" w14:textId="77777777">
      <w:pPr>
        <w:spacing w:after="0" w:line="240" w:lineRule="auto"/>
        <w:ind w:left="709" w:right="709"/>
        <w:jc w:val="both"/>
        <w:rPr>
          <w:rFonts w:ascii="Verdana" w:hAnsi="Verdana" w:eastAsia="Times New Roman" w:cs="Arial"/>
          <w:i/>
          <w:lang w:eastAsia="es-ES_tradnl"/>
        </w:rPr>
      </w:pPr>
    </w:p>
    <w:p w:rsidRPr="00E76CD6" w:rsidR="00077445" w:rsidP="00077445" w:rsidRDefault="00077445" w14:paraId="05141FFD" w14:textId="77777777">
      <w:pPr>
        <w:spacing w:after="120" w:line="276" w:lineRule="auto"/>
        <w:ind w:firstLine="709"/>
        <w:jc w:val="both"/>
        <w:rPr>
          <w:rFonts w:ascii="Verdana" w:hAnsi="Verdana" w:eastAsia="Calibri" w:cs="Arial"/>
          <w:color w:val="000000"/>
          <w:szCs w:val="24"/>
          <w:lang w:eastAsia="es-ES_tradnl"/>
        </w:rPr>
      </w:pPr>
      <w:r w:rsidRPr="00E76CD6">
        <w:rPr>
          <w:rFonts w:ascii="Verdana" w:hAnsi="Verdana" w:eastAsia="Calibri"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E76CD6">
        <w:rPr>
          <w:rFonts w:ascii="Verdana" w:hAnsi="Verdana" w:eastAsia="Calibri" w:cs="Arial"/>
          <w:color w:val="000000"/>
          <w:lang w:eastAsia="es-ES"/>
        </w:rPr>
        <w:t xml:space="preserve">los demás participantes de la contratación pública. Esta competencia de interpretación de normas generales, por definición, no puede extenderse a la resolución de controversias, ni a brindar asesorías sobre casos puntuales. </w:t>
      </w:r>
      <w:r w:rsidRPr="00E76CD6">
        <w:rPr>
          <w:rFonts w:ascii="Verdana" w:hAnsi="Verdana" w:eastAsia="Calibri" w:cs="Arial"/>
          <w:color w:val="000000"/>
          <w:szCs w:val="24"/>
          <w:lang w:eastAsia="es-ES_tradnl"/>
        </w:rPr>
        <w:tab/>
      </w:r>
    </w:p>
    <w:p w:rsidRPr="00E76CD6" w:rsidR="00077445" w:rsidP="00077445" w:rsidRDefault="00077445" w14:paraId="701BD06C" w14:textId="77777777">
      <w:pPr>
        <w:spacing w:after="0" w:line="276" w:lineRule="auto"/>
        <w:ind w:firstLine="709"/>
        <w:jc w:val="both"/>
        <w:rPr>
          <w:rFonts w:ascii="Verdana" w:hAnsi="Verdana" w:eastAsia="Calibri" w:cs="Arial"/>
          <w:lang w:eastAsia="es-ES"/>
        </w:rPr>
      </w:pPr>
      <w:r w:rsidRPr="00E76CD6">
        <w:rPr>
          <w:rFonts w:ascii="Verdana" w:hAnsi="Verdana" w:eastAsia="Calibri"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exponiendo algunas consideraciones sobre las normas generales relacionadas con el problema jurídico de su consulta. </w:t>
      </w:r>
    </w:p>
    <w:p w:rsidRPr="00E76CD6" w:rsidR="00077445" w:rsidP="00077445" w:rsidRDefault="00077445" w14:paraId="7617C32E" w14:textId="77777777">
      <w:pPr>
        <w:spacing w:after="0" w:line="276" w:lineRule="auto"/>
        <w:contextualSpacing/>
        <w:jc w:val="both"/>
        <w:rPr>
          <w:rFonts w:ascii="Verdana" w:hAnsi="Verdana" w:eastAsia="Times New Roman" w:cs="Arial"/>
          <w:szCs w:val="24"/>
          <w:lang w:eastAsia="es-ES_tradnl"/>
        </w:rPr>
      </w:pPr>
    </w:p>
    <w:p w:rsidRPr="00E76CD6" w:rsidR="00077445" w:rsidP="00077445" w:rsidRDefault="00077445" w14:paraId="08A7B6F9" w14:textId="77777777">
      <w:pPr>
        <w:tabs>
          <w:tab w:val="left" w:pos="0"/>
          <w:tab w:val="left" w:pos="284"/>
        </w:tabs>
        <w:spacing w:after="0" w:line="276" w:lineRule="auto"/>
        <w:contextualSpacing/>
        <w:jc w:val="both"/>
        <w:rPr>
          <w:rFonts w:ascii="Verdana" w:hAnsi="Verdana" w:eastAsia="Calibri" w:cs="Arial"/>
          <w:b/>
        </w:rPr>
      </w:pPr>
      <w:r w:rsidRPr="00E76CD6">
        <w:rPr>
          <w:rFonts w:ascii="Verdana" w:hAnsi="Verdana" w:eastAsia="Calibri" w:cs="Arial"/>
          <w:b/>
        </w:rPr>
        <w:t>1. Problema planteado:</w:t>
      </w:r>
    </w:p>
    <w:p w:rsidRPr="00E76CD6" w:rsidR="00077445" w:rsidP="00077445" w:rsidRDefault="00077445" w14:paraId="25231A4B" w14:textId="77777777">
      <w:pPr>
        <w:tabs>
          <w:tab w:val="left" w:pos="0"/>
          <w:tab w:val="left" w:pos="284"/>
        </w:tabs>
        <w:spacing w:after="0" w:line="276" w:lineRule="auto"/>
        <w:contextualSpacing/>
        <w:jc w:val="both"/>
        <w:rPr>
          <w:rFonts w:ascii="Verdana" w:hAnsi="Verdana" w:eastAsia="Calibri" w:cs="Arial"/>
          <w:b/>
        </w:rPr>
      </w:pPr>
    </w:p>
    <w:p w:rsidR="00077445" w:rsidP="00077445" w:rsidRDefault="00077445" w14:paraId="4EB46CB0" w14:textId="77777777">
      <w:pPr>
        <w:spacing w:after="0" w:line="276" w:lineRule="auto"/>
        <w:jc w:val="both"/>
        <w:rPr>
          <w:rFonts w:ascii="Verdana" w:hAnsi="Verdana"/>
        </w:rPr>
      </w:pPr>
      <w:r w:rsidRPr="00E76CD6">
        <w:rPr>
          <w:rFonts w:ascii="Verdana" w:hAnsi="Verdana"/>
        </w:rPr>
        <w:t xml:space="preserve">De acuerdo con el contenido de su solicitud, esta Agencia resolverá </w:t>
      </w:r>
      <w:r>
        <w:rPr>
          <w:rFonts w:ascii="Verdana" w:hAnsi="Verdana"/>
        </w:rPr>
        <w:t>los</w:t>
      </w:r>
      <w:r w:rsidRPr="00E76CD6">
        <w:rPr>
          <w:rFonts w:ascii="Verdana" w:hAnsi="Verdana"/>
        </w:rPr>
        <w:t xml:space="preserve"> </w:t>
      </w:r>
      <w:r>
        <w:rPr>
          <w:rFonts w:ascii="Verdana" w:hAnsi="Verdana"/>
        </w:rPr>
        <w:t xml:space="preserve">siguientes </w:t>
      </w:r>
      <w:r w:rsidRPr="00E76CD6">
        <w:rPr>
          <w:rFonts w:ascii="Verdana" w:hAnsi="Verdana"/>
        </w:rPr>
        <w:t>interrogante</w:t>
      </w:r>
      <w:r>
        <w:rPr>
          <w:rFonts w:ascii="Verdana" w:hAnsi="Verdana"/>
        </w:rPr>
        <w:t>s</w:t>
      </w:r>
      <w:r w:rsidRPr="00E76CD6">
        <w:rPr>
          <w:rFonts w:ascii="Verdana" w:hAnsi="Verdana"/>
        </w:rPr>
        <w:t xml:space="preserve">: </w:t>
      </w:r>
    </w:p>
    <w:p w:rsidR="00077445" w:rsidP="00077445" w:rsidRDefault="00077445" w14:paraId="7ABA73AD" w14:textId="77777777">
      <w:pPr>
        <w:spacing w:after="0" w:line="276" w:lineRule="auto"/>
        <w:jc w:val="both"/>
        <w:rPr>
          <w:rFonts w:ascii="Verdana" w:hAnsi="Verdana"/>
        </w:rPr>
      </w:pPr>
    </w:p>
    <w:p w:rsidR="00077445" w:rsidP="00077445" w:rsidRDefault="00077445" w14:paraId="5DF4A896" w14:textId="77777777">
      <w:pPr>
        <w:spacing w:after="0" w:line="276" w:lineRule="auto"/>
        <w:jc w:val="both"/>
        <w:rPr>
          <w:rFonts w:ascii="Verdana" w:hAnsi="Verdana" w:eastAsia="Century Gothic" w:cs="Century Gothic"/>
        </w:rPr>
      </w:pPr>
      <w:r>
        <w:rPr>
          <w:rFonts w:ascii="Verdana" w:hAnsi="Verdana" w:eastAsia="Century Gothic" w:cs="Century Gothic"/>
        </w:rPr>
        <w:t xml:space="preserve">i. </w:t>
      </w:r>
      <w:r w:rsidRPr="005D10A5">
        <w:rPr>
          <w:rFonts w:ascii="Verdana" w:hAnsi="Verdana" w:eastAsia="Century Gothic" w:cs="Century Gothic"/>
        </w:rPr>
        <w:t>¿Debe la adquisición de ambulancias de transporte asistencial medicalizado y de transporte asistencial básico, financiadas con recursos del Presupuesto General de la Nación, ser clasificada como ‘dotación biomédica’ para efectos del parágrafo 2 de la Resolución 1440 de 2024 y, en consecuencia, someterse obligatoriamente a la modalidad de convocatoria pública prevista en</w:t>
      </w:r>
      <w:r>
        <w:rPr>
          <w:rFonts w:ascii="Verdana" w:hAnsi="Verdana" w:eastAsia="Century Gothic" w:cs="Century Gothic"/>
        </w:rPr>
        <w:t xml:space="preserve"> la Resolución 5185 de 2013 por medio de la cual se fijan</w:t>
      </w:r>
      <w:r w:rsidRPr="005D10A5">
        <w:rPr>
          <w:rFonts w:ascii="Verdana" w:hAnsi="Verdana" w:eastAsia="Century Gothic" w:cs="Century Gothic"/>
        </w:rPr>
        <w:t xml:space="preserve"> los lineamientos contractuales aplicables a las Empresas Sociales del Estado?</w:t>
      </w:r>
    </w:p>
    <w:p w:rsidRPr="00E76CD6" w:rsidR="00077445" w:rsidP="00077445" w:rsidRDefault="00077445" w14:paraId="0DF45C56" w14:textId="77777777">
      <w:pPr>
        <w:spacing w:after="0" w:line="276" w:lineRule="auto"/>
        <w:jc w:val="both"/>
        <w:rPr>
          <w:rFonts w:ascii="Verdana" w:hAnsi="Verdana" w:eastAsia="Calibri" w:cs="Arial"/>
          <w:lang w:eastAsia="es-ES_tradnl"/>
        </w:rPr>
      </w:pPr>
    </w:p>
    <w:p w:rsidRPr="00E76CD6" w:rsidR="00077445" w:rsidP="00077445" w:rsidRDefault="00077445" w14:paraId="7286FA8C" w14:textId="77777777">
      <w:pPr>
        <w:tabs>
          <w:tab w:val="left" w:pos="142"/>
          <w:tab w:val="left" w:pos="284"/>
        </w:tabs>
        <w:spacing w:after="0" w:line="276" w:lineRule="auto"/>
        <w:jc w:val="both"/>
        <w:rPr>
          <w:rFonts w:ascii="Verdana" w:hAnsi="Verdana" w:eastAsia="Century Gothic" w:cs="Century Gothic"/>
          <w:b/>
          <w:bCs/>
        </w:rPr>
      </w:pPr>
      <w:r w:rsidRPr="00E76CD6">
        <w:rPr>
          <w:rFonts w:ascii="Verdana" w:hAnsi="Verdana" w:eastAsia="Century Gothic" w:cs="Century Gothic"/>
          <w:b/>
          <w:bCs/>
        </w:rPr>
        <w:t>2. Respuesta:</w:t>
      </w:r>
    </w:p>
    <w:p w:rsidRPr="00E76CD6" w:rsidR="00077445" w:rsidP="00077445" w:rsidRDefault="00077445" w14:paraId="3F46CC9D" w14:textId="77777777">
      <w:pPr>
        <w:tabs>
          <w:tab w:val="left" w:pos="142"/>
          <w:tab w:val="left" w:pos="284"/>
        </w:tabs>
        <w:spacing w:after="0" w:line="276" w:lineRule="auto"/>
        <w:jc w:val="both"/>
        <w:rPr>
          <w:rFonts w:ascii="Verdana" w:hAnsi="Verdana" w:eastAsia="Century Gothic" w:cs="Century Gothic"/>
          <w:b/>
          <w:bC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E76CD6" w:rsidR="00077445" w:rsidTr="2FF8E668" w14:paraId="6638452B" w14:textId="77777777">
        <w:tc>
          <w:tcPr>
            <w:tcW w:w="8828" w:type="dxa"/>
            <w:tcMar/>
          </w:tcPr>
          <w:p w:rsidRPr="005311A1" w:rsidR="00077445" w:rsidP="00E66DB3" w:rsidRDefault="00077445" w14:paraId="1A247156" w14:textId="77777777">
            <w:pPr>
              <w:spacing w:after="120" w:line="276" w:lineRule="auto"/>
              <w:jc w:val="both"/>
              <w:rPr>
                <w:rFonts w:ascii="Verdana" w:hAnsi="Verdana" w:eastAsia="Arial" w:cs="Arial"/>
                <w:color w:val="000000"/>
              </w:rPr>
            </w:pPr>
            <w:r>
              <w:rPr>
                <w:rFonts w:ascii="Verdana" w:hAnsi="Verdana" w:eastAsia="Arial" w:cs="Arial"/>
                <w:color w:val="000000"/>
              </w:rPr>
              <w:t xml:space="preserve">i. </w:t>
            </w:r>
            <w:r w:rsidRPr="005311A1">
              <w:rPr>
                <w:rFonts w:ascii="Verdana" w:hAnsi="Verdana" w:eastAsia="Arial" w:cs="Arial"/>
                <w:color w:val="000000"/>
              </w:rPr>
              <w:t xml:space="preserve">En atención a la consulta formulada, esta </w:t>
            </w:r>
            <w:r>
              <w:rPr>
                <w:rFonts w:ascii="Verdana" w:hAnsi="Verdana" w:eastAsia="Arial" w:cs="Arial"/>
                <w:color w:val="000000"/>
              </w:rPr>
              <w:t>Subdirección</w:t>
            </w:r>
            <w:r w:rsidRPr="005311A1">
              <w:rPr>
                <w:rFonts w:ascii="Verdana" w:hAnsi="Verdana" w:eastAsia="Arial" w:cs="Arial"/>
                <w:color w:val="000000"/>
              </w:rPr>
              <w:t xml:space="preserve"> se permite señalar que la Resolución 5185 de 2013 del Ministerio de Salud y Protección Social, modificada por la Resolución 1440 de 2024, establece los lineamientos que deben observar las Empresas Sociales del Estado al momento de adoptar y aplicar sus estatutos de contratación.</w:t>
            </w:r>
          </w:p>
          <w:p w:rsidRPr="005311A1" w:rsidR="00077445" w:rsidP="00E66DB3" w:rsidRDefault="00077445" w14:paraId="031CC2F8" w14:textId="77777777">
            <w:pPr>
              <w:widowControl w:val="0"/>
              <w:autoSpaceDE w:val="0"/>
              <w:autoSpaceDN w:val="0"/>
              <w:spacing w:after="120" w:line="276" w:lineRule="auto"/>
              <w:ind w:firstLine="709"/>
              <w:jc w:val="both"/>
              <w:rPr>
                <w:rFonts w:ascii="Verdana" w:hAnsi="Verdana" w:eastAsia="Arial" w:cs="Arial"/>
                <w:color w:val="000000"/>
              </w:rPr>
            </w:pPr>
            <w:r w:rsidRPr="005311A1">
              <w:rPr>
                <w:rFonts w:ascii="Verdana" w:hAnsi="Verdana" w:eastAsia="Arial" w:cs="Arial"/>
                <w:color w:val="000000"/>
              </w:rPr>
              <w:t>De conformidad con dicho marco, en la fase de planeación resulta imperativo que los estudios y documentos previos contengan, entre otros aspectos, la definición de la necesidad a satisfacer, el objeto contractual con sus autorizaciones y documentos técnicos, la justificación de la modalidad de selección y los fundamentos jurídicos que la soportan, así como el valor estimado del contrato debidamente calculado y justificado, los criterios de selección objetivos, el análisis de riesgos y las garantías aplicables.</w:t>
            </w:r>
          </w:p>
          <w:p w:rsidR="00077445" w:rsidP="00E66DB3" w:rsidRDefault="00077445" w14:paraId="01704597" w14:textId="77777777">
            <w:pPr>
              <w:widowControl w:val="0"/>
              <w:autoSpaceDE w:val="0"/>
              <w:autoSpaceDN w:val="0"/>
              <w:spacing w:after="120" w:line="276" w:lineRule="auto"/>
              <w:ind w:firstLine="709"/>
              <w:jc w:val="both"/>
              <w:rPr>
                <w:rFonts w:ascii="Verdana" w:hAnsi="Verdana" w:eastAsia="Arial" w:cs="Arial"/>
                <w:color w:val="000000"/>
              </w:rPr>
            </w:pPr>
            <w:r w:rsidRPr="005311A1">
              <w:rPr>
                <w:rFonts w:ascii="Verdana" w:hAnsi="Verdana" w:eastAsia="Arial" w:cs="Arial"/>
                <w:color w:val="000000"/>
              </w:rPr>
              <w:t xml:space="preserve">En lo que respecta a la adquisición de ambulancias, corresponde a cada </w:t>
            </w:r>
            <w:r w:rsidRPr="005311A1">
              <w:rPr>
                <w:rFonts w:ascii="Verdana" w:hAnsi="Verdana" w:eastAsia="Arial" w:cs="Arial"/>
                <w:color w:val="000000"/>
              </w:rPr>
              <w:t>ESE, en el marco de sus estudios previos, determinar si tales bienes se clasifican como dotación biomédica, lo cual exige un análisis técnico y normativo que soporte adecuadamente la decisión adoptada, en coherencia con las disposiciones que regulan la materia y con las necesidades institucionales que se pretende satisfacer.</w:t>
            </w:r>
          </w:p>
          <w:p w:rsidRPr="00FE491A" w:rsidR="00077445" w:rsidP="00E66DB3" w:rsidRDefault="00077445" w14:paraId="4B2A6CC0" w14:textId="77777777">
            <w:pPr>
              <w:widowControl w:val="0"/>
              <w:autoSpaceDE w:val="0"/>
              <w:autoSpaceDN w:val="0"/>
              <w:spacing w:after="120" w:line="276" w:lineRule="auto"/>
              <w:ind w:firstLine="709"/>
              <w:jc w:val="both"/>
              <w:rPr>
                <w:rFonts w:ascii="Verdana" w:hAnsi="Verdana" w:eastAsia="Arial" w:cs="Arial"/>
                <w:color w:val="000000"/>
              </w:rPr>
            </w:pPr>
            <w:r>
              <w:rPr>
                <w:rFonts w:ascii="Verdana" w:hAnsi="Verdana" w:eastAsia="Arial" w:cs="Arial"/>
                <w:color w:val="000000"/>
              </w:rPr>
              <w:t>A primera vista, a</w:t>
            </w:r>
            <w:r w:rsidRPr="00FE491A">
              <w:rPr>
                <w:rFonts w:ascii="Verdana" w:hAnsi="Verdana" w:eastAsia="Arial" w:cs="Arial"/>
                <w:color w:val="000000"/>
              </w:rPr>
              <w:t>unque una ambulancia es en apariencia un vehículo automotor, su verdadera naturaleza es la de un equipo integral de atención en salud, dado que incorpora de manera esencial equipos biomédicos. Estos dispositivos —como camillas, sistemas de oxigenación, desfibriladores y monitores— no son accesorios, sino elementos determinantes que diferencian a la ambulancia de un vehículo común y garantizan la prestación del servicio de urgencias y traslado asistencial.</w:t>
            </w:r>
          </w:p>
          <w:p w:rsidRPr="00FE491A" w:rsidR="00077445" w:rsidP="00E66DB3" w:rsidRDefault="00077445" w14:paraId="359AE9BF" w14:textId="77777777">
            <w:pPr>
              <w:widowControl w:val="0"/>
              <w:autoSpaceDE w:val="0"/>
              <w:autoSpaceDN w:val="0"/>
              <w:spacing w:after="120" w:line="276" w:lineRule="auto"/>
              <w:ind w:firstLine="709"/>
              <w:jc w:val="both"/>
              <w:rPr>
                <w:rFonts w:ascii="Verdana" w:hAnsi="Verdana" w:eastAsia="Arial" w:cs="Arial"/>
                <w:color w:val="000000"/>
              </w:rPr>
            </w:pPr>
            <w:r w:rsidRPr="00FE491A">
              <w:rPr>
                <w:rFonts w:ascii="Verdana" w:hAnsi="Verdana" w:eastAsia="Arial" w:cs="Arial"/>
                <w:color w:val="000000"/>
              </w:rPr>
              <w:t>La normativa no define de forma exhaustiva la “dotación biomédica”, pero de acuerdo con la Resolución 485 de 2025 y la práctica sectorial, se entiende como los equipos y dispositivos destinados a la prevención, diagnóstico, tratamiento o rehabilitación. En este sentido, las ambulancias de transporte asistencial básico (TAB) y medicalizado (TAM) se configuran como bienes de naturaleza mixta, con prevalencia funcional de sus equipos biomédicos.</w:t>
            </w:r>
          </w:p>
          <w:p w:rsidR="00077445" w:rsidP="00E66DB3" w:rsidRDefault="00077445" w14:paraId="13060F9E" w14:textId="759F8298">
            <w:pPr>
              <w:widowControl w:val="0"/>
              <w:autoSpaceDE w:val="0"/>
              <w:autoSpaceDN w:val="0"/>
              <w:spacing w:after="120" w:line="276" w:lineRule="auto"/>
              <w:ind w:firstLine="709"/>
              <w:jc w:val="both"/>
              <w:rPr>
                <w:rFonts w:ascii="Verdana" w:hAnsi="Verdana" w:eastAsia="Arial" w:cs="Arial"/>
                <w:color w:val="000000"/>
              </w:rPr>
            </w:pPr>
            <w:r w:rsidRPr="2FF8E668" w:rsidR="084D0793">
              <w:rPr>
                <w:rFonts w:ascii="Verdana" w:hAnsi="Verdana" w:eastAsia="Arial" w:cs="Arial"/>
                <w:color w:val="000000" w:themeColor="text1" w:themeTint="FF" w:themeShade="FF"/>
              </w:rPr>
              <w:t>ii) S</w:t>
            </w:r>
            <w:r w:rsidRPr="2FF8E668" w:rsidR="00077445">
              <w:rPr>
                <w:rFonts w:ascii="Verdana" w:hAnsi="Verdana" w:eastAsia="Arial" w:cs="Arial"/>
                <w:color w:val="000000" w:themeColor="text1" w:themeTint="FF" w:themeShade="FF"/>
              </w:rPr>
              <w:t xml:space="preserve">i como resultado del análisis particular y concreto que haga la ESE se determina que la ambulancia requerida </w:t>
            </w:r>
            <w:r w:rsidRPr="2FF8E668" w:rsidR="00077445">
              <w:rPr>
                <w:rFonts w:ascii="Verdana" w:hAnsi="Verdana" w:eastAsia="Arial" w:cs="Arial"/>
                <w:color w:val="000000" w:themeColor="text1" w:themeTint="FF" w:themeShade="FF"/>
              </w:rPr>
              <w:t>se enmarca en la categoría de “dotación biomédica” regulada en la Resolución 1440 de 2024</w:t>
            </w:r>
            <w:r w:rsidRPr="2FF8E668" w:rsidR="00077445">
              <w:rPr>
                <w:rFonts w:ascii="Verdana" w:hAnsi="Verdana" w:eastAsia="Arial" w:cs="Arial"/>
                <w:color w:val="000000" w:themeColor="text1" w:themeTint="FF" w:themeShade="FF"/>
              </w:rPr>
              <w:t xml:space="preserve">, y pretenda ser </w:t>
            </w:r>
            <w:r w:rsidRPr="2FF8E668" w:rsidR="00077445">
              <w:rPr>
                <w:rFonts w:ascii="Verdana" w:hAnsi="Verdana" w:eastAsia="Arial" w:cs="Arial"/>
                <w:color w:val="000000" w:themeColor="text1" w:themeTint="FF" w:themeShade="FF"/>
              </w:rPr>
              <w:t>adqui</w:t>
            </w:r>
            <w:r w:rsidRPr="2FF8E668" w:rsidR="00077445">
              <w:rPr>
                <w:rFonts w:ascii="Verdana" w:hAnsi="Verdana" w:eastAsia="Arial" w:cs="Arial"/>
                <w:color w:val="000000" w:themeColor="text1" w:themeTint="FF" w:themeShade="FF"/>
              </w:rPr>
              <w:t>rida</w:t>
            </w:r>
            <w:r w:rsidRPr="2FF8E668" w:rsidR="00077445">
              <w:rPr>
                <w:rFonts w:ascii="Verdana" w:hAnsi="Verdana" w:eastAsia="Arial" w:cs="Arial"/>
                <w:color w:val="000000" w:themeColor="text1" w:themeTint="FF" w:themeShade="FF"/>
              </w:rPr>
              <w:t xml:space="preserve"> con recursos del Presupuesto General de la Nación, deberán hacerlo mediante la modalidad de convocatoria pública, conforme a lo dispuesto en la Resolución 5185 de 2013 y en armonía con los principios de transparencia, competencia y selección objetiva.</w:t>
            </w:r>
          </w:p>
          <w:p w:rsidRPr="00131457" w:rsidR="00077445" w:rsidP="00E66DB3" w:rsidRDefault="00077445" w14:paraId="6A91E1F5" w14:textId="77777777">
            <w:pPr>
              <w:widowControl w:val="0"/>
              <w:autoSpaceDE w:val="0"/>
              <w:autoSpaceDN w:val="0"/>
              <w:spacing w:after="120" w:line="276" w:lineRule="auto"/>
              <w:ind w:firstLine="709"/>
              <w:jc w:val="both"/>
              <w:rPr>
                <w:rFonts w:ascii="Verdana" w:hAnsi="Verdana" w:eastAsia="Arial" w:cs="Arial"/>
                <w:color w:val="000000"/>
              </w:rPr>
            </w:pPr>
            <w:r>
              <w:rPr>
                <w:rFonts w:ascii="Verdana" w:hAnsi="Verdana" w:eastAsia="Arial" w:cs="Arial"/>
                <w:color w:val="000000"/>
              </w:rPr>
              <w:t>En otras palabras, l</w:t>
            </w:r>
            <w:r w:rsidRPr="00131457">
              <w:rPr>
                <w:rFonts w:ascii="Verdana" w:hAnsi="Verdana" w:eastAsia="Arial" w:cs="Arial"/>
                <w:color w:val="000000"/>
              </w:rPr>
              <w:t>as ESE deben realizar un análisis cuidadoso en los estudios previos, pues allí se define la necesidad y la naturaleza jurídica y técnica del bien a adquirir, lo que determina la modalidad de selección aplicable.</w:t>
            </w:r>
            <w:r>
              <w:rPr>
                <w:rFonts w:ascii="Verdana" w:hAnsi="Verdana" w:eastAsia="Arial" w:cs="Arial"/>
                <w:color w:val="000000"/>
              </w:rPr>
              <w:t xml:space="preserve"> </w:t>
            </w:r>
            <w:r w:rsidRPr="00131457">
              <w:rPr>
                <w:rFonts w:ascii="Verdana" w:hAnsi="Verdana" w:eastAsia="Arial" w:cs="Arial"/>
                <w:color w:val="000000"/>
              </w:rPr>
              <w:t>En el caso de las ambulancias, su carácter mixto —vehículo y equipo biomédico— exige que la entidad valore si la prevalencia de su componente médico las ubica como dotación biomédica. Esta clasificación en la fase de planeación asegura certeza jurídica, evita arbitrariedades y garantiza principios de igualdad, selección objetiva y publicidad.</w:t>
            </w:r>
          </w:p>
          <w:p w:rsidRPr="00131457" w:rsidR="00077445" w:rsidP="00E66DB3" w:rsidRDefault="00077445" w14:paraId="799671BB" w14:textId="77777777">
            <w:pPr>
              <w:widowControl w:val="0"/>
              <w:autoSpaceDE w:val="0"/>
              <w:autoSpaceDN w:val="0"/>
              <w:spacing w:after="120" w:line="276" w:lineRule="auto"/>
              <w:ind w:firstLine="709"/>
              <w:jc w:val="both"/>
              <w:rPr>
                <w:rFonts w:ascii="Verdana" w:hAnsi="Verdana" w:eastAsia="Arial" w:cs="Arial"/>
                <w:color w:val="000000"/>
              </w:rPr>
            </w:pPr>
            <w:r w:rsidRPr="00131457">
              <w:rPr>
                <w:rFonts w:ascii="Verdana" w:hAnsi="Verdana" w:eastAsia="Arial" w:cs="Arial"/>
                <w:color w:val="000000"/>
              </w:rPr>
              <w:t xml:space="preserve">Además, dejar explícito en los estudios previos esta naturaleza fortalece el control administrativo y fiscal, pues evidencia planeación adecuada, </w:t>
            </w:r>
            <w:r w:rsidRPr="00131457">
              <w:rPr>
                <w:rFonts w:ascii="Verdana" w:hAnsi="Verdana" w:eastAsia="Arial" w:cs="Arial"/>
                <w:color w:val="000000"/>
              </w:rPr>
              <w:t>eficiencia en el gasto público y coherencia con la normatividad.</w:t>
            </w:r>
            <w:r>
              <w:rPr>
                <w:rFonts w:ascii="Verdana" w:hAnsi="Verdana" w:eastAsia="Arial" w:cs="Arial"/>
                <w:color w:val="000000"/>
              </w:rPr>
              <w:t xml:space="preserve"> Incluso</w:t>
            </w:r>
            <w:r w:rsidRPr="00131457">
              <w:rPr>
                <w:rFonts w:ascii="Verdana" w:hAnsi="Verdana" w:eastAsia="Arial" w:cs="Arial"/>
                <w:color w:val="000000"/>
              </w:rPr>
              <w:t>, anticipar en los estudios previos la clasificación de las ambulancias como dotación biomédica se alinea con la Resolución 1440 de 2024, que prevé la expedición de una guía de buenas prácticas para orientar a las ESE en estos procesos, asegurando transparencia y calidad en la contratación.</w:t>
            </w:r>
          </w:p>
          <w:p w:rsidRPr="005311A1" w:rsidR="00077445" w:rsidP="00E66DB3" w:rsidRDefault="00077445" w14:paraId="1B960B32" w14:textId="77777777">
            <w:pPr>
              <w:widowControl w:val="0"/>
              <w:autoSpaceDE w:val="0"/>
              <w:autoSpaceDN w:val="0"/>
              <w:spacing w:after="120" w:line="276" w:lineRule="auto"/>
              <w:ind w:firstLine="709"/>
              <w:jc w:val="both"/>
              <w:rPr>
                <w:rFonts w:ascii="Verdana" w:hAnsi="Verdana" w:eastAsia="Arial" w:cs="Arial"/>
                <w:color w:val="000000"/>
              </w:rPr>
            </w:pPr>
            <w:r w:rsidRPr="005311A1">
              <w:rPr>
                <w:rFonts w:ascii="Verdana" w:hAnsi="Verdana" w:eastAsia="Arial" w:cs="Arial"/>
                <w:color w:val="000000"/>
              </w:rPr>
              <w:t xml:space="preserve">Finalmente, conviene precisar que el alcance de este pronunciamiento se limita a efectuar una interpretación general de las normas aplicables, sin que implique definición sobre situaciones particulares o concretas, en armonía con la competencia consultiva atribuida a esta </w:t>
            </w:r>
            <w:r>
              <w:rPr>
                <w:rFonts w:ascii="Verdana" w:hAnsi="Verdana" w:eastAsia="Arial" w:cs="Arial"/>
                <w:color w:val="000000"/>
              </w:rPr>
              <w:t>Agencia</w:t>
            </w:r>
            <w:r w:rsidRPr="005311A1">
              <w:rPr>
                <w:rFonts w:ascii="Verdana" w:hAnsi="Verdana" w:eastAsia="Arial" w:cs="Arial"/>
                <w:color w:val="000000"/>
              </w:rPr>
              <w:t>.</w:t>
            </w:r>
          </w:p>
        </w:tc>
      </w:tr>
    </w:tbl>
    <w:p w:rsidRPr="00E76CD6" w:rsidR="00077445" w:rsidP="00077445" w:rsidRDefault="00077445" w14:paraId="17C271D1" w14:textId="77777777">
      <w:pPr>
        <w:spacing w:after="0" w:line="276" w:lineRule="auto"/>
        <w:jc w:val="both"/>
        <w:rPr>
          <w:rFonts w:ascii="Verdana" w:hAnsi="Verdana" w:eastAsia="Times New Roman" w:cs="Arial"/>
          <w:lang w:eastAsia="es-ES_tradnl"/>
        </w:rPr>
      </w:pPr>
    </w:p>
    <w:p w:rsidRPr="00E76CD6" w:rsidR="00077445" w:rsidP="00077445" w:rsidRDefault="00077445" w14:paraId="199527AF"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r w:rsidRPr="00E76CD6">
        <w:rPr>
          <w:rFonts w:ascii="Verdana" w:hAnsi="Verdana" w:eastAsia="Century Gothic" w:cs="Century Gothic"/>
          <w:b/>
          <w:bCs/>
        </w:rPr>
        <w:t>3. Razones de la respuesta:</w:t>
      </w:r>
    </w:p>
    <w:p w:rsidRPr="00E76CD6" w:rsidR="00077445" w:rsidP="00077445" w:rsidRDefault="00077445" w14:paraId="0A20265D" w14:textId="77777777">
      <w:pPr>
        <w:spacing w:after="0" w:line="276" w:lineRule="auto"/>
        <w:jc w:val="both"/>
        <w:rPr>
          <w:rFonts w:ascii="Verdana" w:hAnsi="Verdana" w:eastAsia="Calibri" w:cs="Arial"/>
          <w:color w:val="7030A0"/>
        </w:rPr>
      </w:pPr>
    </w:p>
    <w:p w:rsidRPr="00E76CD6" w:rsidR="00077445" w:rsidP="00077445" w:rsidRDefault="00077445" w14:paraId="0E6C83B2" w14:textId="77777777">
      <w:pPr>
        <w:spacing w:after="0" w:line="276" w:lineRule="auto"/>
        <w:jc w:val="both"/>
        <w:rPr>
          <w:rFonts w:ascii="Verdana" w:hAnsi="Verdana" w:eastAsia="Calibri" w:cs="Arial"/>
        </w:rPr>
      </w:pPr>
      <w:r w:rsidRPr="00E76CD6">
        <w:rPr>
          <w:rFonts w:ascii="Verdana" w:hAnsi="Verdana" w:eastAsia="Calibri" w:cs="Arial"/>
        </w:rPr>
        <w:t xml:space="preserve">Lo anterior se sustenta en las siguientes consideraciones: </w:t>
      </w:r>
    </w:p>
    <w:p w:rsidRPr="00E76CD6" w:rsidR="00077445" w:rsidP="00077445" w:rsidRDefault="00077445" w14:paraId="74050932" w14:textId="77777777">
      <w:pPr>
        <w:spacing w:after="0" w:line="276" w:lineRule="auto"/>
        <w:jc w:val="both"/>
        <w:rPr>
          <w:rFonts w:ascii="Verdana" w:hAnsi="Verdana" w:eastAsia="Calibri" w:cs="Arial"/>
        </w:rPr>
      </w:pPr>
    </w:p>
    <w:p w:rsidR="00077445" w:rsidP="00077445" w:rsidRDefault="00077445" w14:paraId="003EB296" w14:textId="77777777">
      <w:pPr>
        <w:spacing w:after="120" w:line="276" w:lineRule="auto"/>
        <w:jc w:val="both"/>
        <w:rPr>
          <w:rFonts w:ascii="Verdana" w:hAnsi="Verdana" w:eastAsia="Calibri" w:cs="Arial"/>
          <w:lang w:val="es-ES"/>
        </w:rPr>
      </w:pPr>
      <w:r w:rsidRPr="007F303A">
        <w:rPr>
          <w:rStyle w:val="normaltextrun"/>
          <w:rFonts w:ascii="Verdana" w:hAnsi="Verdana"/>
          <w:color w:val="000000"/>
          <w:shd w:val="clear" w:color="auto" w:fill="FFFFFF"/>
        </w:rPr>
        <w:t>Para dar respuesta a la consulta formulada, es necesario partir de</w:t>
      </w:r>
      <w:r>
        <w:rPr>
          <w:rStyle w:val="normaltextrun"/>
          <w:rFonts w:ascii="Verdana" w:hAnsi="Verdana"/>
          <w:color w:val="000000"/>
          <w:shd w:val="clear" w:color="auto" w:fill="FFFFFF"/>
        </w:rPr>
        <w:t>l i) precedente que define a las entidades de régimen especial, ii) el</w:t>
      </w:r>
      <w:r w:rsidRPr="007F303A">
        <w:rPr>
          <w:rStyle w:val="normaltextrun"/>
          <w:rFonts w:ascii="Verdana" w:hAnsi="Verdana"/>
          <w:color w:val="000000"/>
          <w:shd w:val="clear" w:color="auto" w:fill="FFFFFF"/>
        </w:rPr>
        <w:t xml:space="preserve"> marco normativo que regula la contratación de las Empresas Sociales del Estado (ESE)</w:t>
      </w:r>
      <w:r>
        <w:rPr>
          <w:rStyle w:val="normaltextrun"/>
          <w:rFonts w:ascii="Verdana" w:hAnsi="Verdana"/>
          <w:color w:val="000000"/>
          <w:shd w:val="clear" w:color="auto" w:fill="FFFFFF"/>
        </w:rPr>
        <w:t xml:space="preserve"> y iii) el ámbito de aplicación y propósito de las Resoluciones expedidas por el Ministerio de Salud y Protección Social, para así pasar a iv) analizar si la adquisición de </w:t>
      </w:r>
      <w:r w:rsidRPr="00331F50">
        <w:rPr>
          <w:rFonts w:ascii="Verdana" w:hAnsi="Verdana" w:eastAsia="Arial" w:cs="Arial"/>
          <w:color w:val="000000"/>
        </w:rPr>
        <w:t>ambulancias de transporte asistencial medicalizado y básico, en cuanto involucra dotación biomédica esencial para la prestación del servicio de salud, debe ser clasificada dentro de la categoría de “dotación biomédica” prevista en el parágrafo 2 de la Resolución 1440 de 2024</w:t>
      </w:r>
      <w:r>
        <w:rPr>
          <w:rFonts w:ascii="Verdana" w:hAnsi="Verdana" w:eastAsia="Arial" w:cs="Arial"/>
          <w:color w:val="000000"/>
        </w:rPr>
        <w:t xml:space="preserve">, sobre todo </w:t>
      </w:r>
      <w:r w:rsidRPr="00331F50">
        <w:rPr>
          <w:rFonts w:ascii="Verdana" w:hAnsi="Verdana" w:eastAsia="Arial" w:cs="Arial"/>
          <w:color w:val="000000"/>
        </w:rPr>
        <w:t xml:space="preserve">cuando tales adquisiciones </w:t>
      </w:r>
      <w:r>
        <w:rPr>
          <w:rFonts w:ascii="Verdana" w:hAnsi="Verdana" w:eastAsia="Arial" w:cs="Arial"/>
          <w:color w:val="000000"/>
        </w:rPr>
        <w:t>sean</w:t>
      </w:r>
      <w:r w:rsidRPr="00331F50">
        <w:rPr>
          <w:rFonts w:ascii="Verdana" w:hAnsi="Verdana" w:eastAsia="Arial" w:cs="Arial"/>
          <w:color w:val="000000"/>
        </w:rPr>
        <w:t xml:space="preserve"> financiadas con recursos del Presupuesto General de la Nación, </w:t>
      </w:r>
      <w:r>
        <w:rPr>
          <w:rFonts w:ascii="Verdana" w:hAnsi="Verdana" w:eastAsia="Arial" w:cs="Arial"/>
          <w:color w:val="000000"/>
        </w:rPr>
        <w:t>bajo la observancia de los lineamientos de</w:t>
      </w:r>
      <w:r w:rsidRPr="00331F50">
        <w:rPr>
          <w:rFonts w:ascii="Verdana" w:hAnsi="Verdana" w:eastAsia="Arial" w:cs="Arial"/>
          <w:color w:val="000000"/>
        </w:rPr>
        <w:t xml:space="preserve"> la Resolución 5185 de 2013 y los principios de la contratación estatal</w:t>
      </w:r>
      <w:r>
        <w:rPr>
          <w:rFonts w:ascii="Verdana" w:hAnsi="Verdana" w:eastAsia="Arial" w:cs="Arial"/>
          <w:color w:val="000000"/>
        </w:rPr>
        <w:t>:</w:t>
      </w:r>
    </w:p>
    <w:p w:rsidRPr="002A22E2" w:rsidR="00077445" w:rsidP="00077445" w:rsidRDefault="00077445" w14:paraId="0055DBDE" w14:textId="77777777">
      <w:pPr>
        <w:tabs>
          <w:tab w:val="left" w:pos="426"/>
        </w:tabs>
        <w:spacing w:after="120" w:line="276" w:lineRule="auto"/>
        <w:jc w:val="both"/>
        <w:rPr>
          <w:rFonts w:ascii="Verdana" w:hAnsi="Verdana" w:cs="Arial"/>
          <w:b/>
          <w:bCs/>
          <w:lang w:val="es-ES"/>
        </w:rPr>
      </w:pPr>
      <w:r w:rsidRPr="107C5DB8">
        <w:rPr>
          <w:rFonts w:ascii="Verdana" w:hAnsi="Verdana" w:cs="Arial"/>
          <w:lang w:val="es-ES"/>
        </w:rPr>
        <w:t xml:space="preserve">i) En primer lugar, 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name="_Hlk97724318" w:id="1"/>
      <w:r w:rsidRPr="107C5DB8">
        <w:rPr>
          <w:rFonts w:ascii="Verdana" w:hAnsi="Verdana" w:cs="Arial"/>
          <w:lang w:val="es-ES"/>
        </w:rPr>
        <w:t>EGCAP</w:t>
      </w:r>
      <w:bookmarkEnd w:id="1"/>
      <w:r w:rsidRPr="107C5DB8">
        <w:rPr>
          <w:rFonts w:ascii="Verdana" w:hAnsi="Verdana" w:cs="Arial"/>
          <w:lang w:val="es-ES"/>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rsidRPr="002A22E2" w:rsidR="00077445" w:rsidP="00077445" w:rsidRDefault="00077445" w14:paraId="78E0900A" w14:textId="77777777">
      <w:pPr>
        <w:spacing w:after="120" w:line="276" w:lineRule="auto"/>
        <w:ind w:firstLine="709"/>
        <w:jc w:val="both"/>
        <w:rPr>
          <w:rFonts w:ascii="Verdana" w:hAnsi="Verdana" w:cs="Arial"/>
          <w:lang w:val="es-ES"/>
        </w:rPr>
      </w:pPr>
      <w:r w:rsidRPr="002A22E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rsidRPr="00A46177" w:rsidR="00077445" w:rsidP="00077445" w:rsidRDefault="00077445" w14:paraId="5A02C748" w14:textId="77777777">
      <w:pPr>
        <w:spacing w:after="120" w:line="276" w:lineRule="auto"/>
        <w:ind w:firstLine="709"/>
        <w:jc w:val="both"/>
        <w:rPr>
          <w:rFonts w:ascii="Verdana" w:hAnsi="Verdana" w:cs="Arial"/>
          <w:bCs/>
          <w:lang w:val="es-ES"/>
        </w:rPr>
      </w:pPr>
      <w:r>
        <w:rPr>
          <w:rFonts w:ascii="Verdana" w:hAnsi="Verdana" w:cs="Arial"/>
          <w:lang w:val="es-ES"/>
        </w:rPr>
        <w:t>Por su parte, l</w:t>
      </w:r>
      <w:r w:rsidRPr="002A22E2">
        <w:rPr>
          <w:rFonts w:ascii="Verdana" w:hAnsi="Verdana" w:cs="Arial"/>
          <w:lang w:val="es-ES"/>
        </w:rPr>
        <w:t>a Agencia Nacional de Contratación Pública – Colombia Compra Eficiente expidió la “Guía para las Entidades Estatales con régimen especial de contratación”, que define a estas entidades como aquellas que contratan con un régimen distinto a las Leyes 80 de 1993 y 1150 de 2007</w:t>
      </w:r>
      <w:r w:rsidRPr="002A22E2">
        <w:rPr>
          <w:rFonts w:ascii="Verdana" w:hAnsi="Verdana" w:cs="Arial"/>
          <w:vertAlign w:val="superscript"/>
          <w:lang w:val="es-ES"/>
        </w:rPr>
        <w:footnoteReference w:id="1"/>
      </w:r>
      <w:r w:rsidRPr="002A22E2">
        <w:rPr>
          <w:rFonts w:ascii="Verdana" w:hAnsi="Verdana" w:cs="Arial"/>
          <w:lang w:val="es-ES"/>
        </w:rPr>
        <w:t xml:space="preserve">. </w:t>
      </w:r>
      <w:r w:rsidRPr="00A46177">
        <w:rPr>
          <w:rFonts w:ascii="Verdana" w:hAnsi="Verdana" w:cs="Arial"/>
          <w:bCs/>
          <w:lang w:val="es-ES"/>
        </w:rPr>
        <w:t xml:space="preserve">Por lo mismo, tanto uno como otro régimen están sometidos, en principio, al derecho privado, pero con algunas particularidades propias del derecho público. </w:t>
      </w:r>
    </w:p>
    <w:p w:rsidRPr="00A46177" w:rsidR="00077445" w:rsidP="00077445" w:rsidRDefault="00077445" w14:paraId="37A3EC73" w14:textId="77777777">
      <w:pPr>
        <w:spacing w:after="0" w:line="276" w:lineRule="auto"/>
        <w:ind w:firstLine="709"/>
        <w:jc w:val="both"/>
        <w:rPr>
          <w:rFonts w:ascii="Verdana" w:hAnsi="Verdana" w:cs="Arial"/>
          <w:bCs/>
          <w:lang w:val="es-ES"/>
        </w:rPr>
      </w:pPr>
      <w:r>
        <w:rPr>
          <w:rFonts w:ascii="Verdana" w:hAnsi="Verdana" w:cs="Arial"/>
          <w:lang w:val="es-ES"/>
        </w:rPr>
        <w:t>En ese orden, pese</w:t>
      </w:r>
      <w:r w:rsidRPr="002A22E2">
        <w:rPr>
          <w:rFonts w:ascii="Verdana" w:hAnsi="Verdana" w:cs="Arial"/>
          <w:lang w:val="es-ES"/>
        </w:rPr>
        <w:t xml:space="preserve"> a que</w:t>
      </w:r>
      <w:r w:rsidRPr="002A22E2">
        <w:rPr>
          <w:rFonts w:ascii="Verdana" w:hAnsi="Verdana" w:eastAsia="Calibri"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2A22E2">
        <w:rPr>
          <w:rFonts w:ascii="Verdana" w:hAnsi="Verdana" w:cs="Arial"/>
          <w:bCs/>
          <w:lang w:val="es-ES"/>
        </w:rPr>
        <w:t>de</w:t>
      </w:r>
      <w:r w:rsidRPr="00A46177">
        <w:rPr>
          <w:rFonts w:ascii="Verdana" w:hAnsi="Verdana" w:cs="Arial"/>
          <w:bCs/>
          <w:lang w:val="es-ES"/>
        </w:rPr>
        <w:t xml:space="preserve"> la Ley 1150 de 2007 preceptúa lo siguiente:</w:t>
      </w:r>
    </w:p>
    <w:p w:rsidRPr="00A46177" w:rsidR="00077445" w:rsidP="00077445" w:rsidRDefault="00077445" w14:paraId="26B2C2B5" w14:textId="77777777">
      <w:pPr>
        <w:spacing w:after="0" w:line="276" w:lineRule="auto"/>
        <w:ind w:firstLine="708"/>
        <w:jc w:val="both"/>
        <w:rPr>
          <w:rFonts w:ascii="Verdana" w:hAnsi="Verdana" w:cs="Arial"/>
          <w:bCs/>
          <w:lang w:val="es-ES"/>
        </w:rPr>
      </w:pPr>
      <w:r w:rsidRPr="00A46177">
        <w:rPr>
          <w:rFonts w:ascii="Verdana" w:hAnsi="Verdana" w:cs="Arial"/>
          <w:bCs/>
          <w:lang w:val="es-ES"/>
        </w:rPr>
        <w:t xml:space="preserve"> </w:t>
      </w:r>
    </w:p>
    <w:p w:rsidRPr="00896490" w:rsidR="00077445" w:rsidP="00077445" w:rsidRDefault="00077445" w14:paraId="32E465CF" w14:textId="77777777">
      <w:pPr>
        <w:spacing w:after="0" w:line="240" w:lineRule="auto"/>
        <w:ind w:left="708" w:right="709"/>
        <w:jc w:val="both"/>
        <w:rPr>
          <w:rFonts w:ascii="Verdana" w:hAnsi="Verdana" w:cs="Arial"/>
          <w:bCs/>
          <w:sz w:val="21"/>
          <w:szCs w:val="21"/>
          <w:lang w:val="es-ES"/>
        </w:rPr>
      </w:pPr>
      <w:r w:rsidRPr="00896490">
        <w:rPr>
          <w:rFonts w:ascii="Verdana" w:hAnsi="Verdana" w:cs="Arial"/>
          <w:bCs/>
          <w:sz w:val="21"/>
          <w:szCs w:val="21"/>
          <w:lang w:val="es-ES"/>
        </w:rPr>
        <w:t>“Artículo 13. Principios generales de la actividad contractual para entidades no sometidas al estatuto general de contratación de la administración pública.</w:t>
      </w:r>
      <w:r w:rsidRPr="00896490">
        <w:rPr>
          <w:rFonts w:ascii="Verdana" w:hAnsi="Verdana" w:cs="Arial"/>
          <w:b/>
          <w:sz w:val="21"/>
          <w:szCs w:val="21"/>
          <w:lang w:val="es-ES"/>
        </w:rPr>
        <w:t xml:space="preserve"> </w:t>
      </w:r>
      <w:r w:rsidRPr="00896490">
        <w:rPr>
          <w:rFonts w:ascii="Verdana" w:hAnsi="Verdana" w:cs="Arial"/>
          <w:bCs/>
          <w:sz w:val="21"/>
          <w:szCs w:val="21"/>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w:history="1" w:anchor="209" r:id="rId9">
        <w:r w:rsidRPr="00896490">
          <w:rPr>
            <w:rFonts w:ascii="Verdana" w:hAnsi="Verdana" w:cs="Arial"/>
            <w:bCs/>
            <w:sz w:val="21"/>
            <w:szCs w:val="21"/>
            <w:lang w:val="es-ES"/>
          </w:rPr>
          <w:t>209</w:t>
        </w:r>
      </w:hyperlink>
      <w:r w:rsidRPr="00896490">
        <w:rPr>
          <w:rFonts w:ascii="Verdana" w:hAnsi="Verdana" w:cs="Arial"/>
          <w:bCs/>
          <w:sz w:val="21"/>
          <w:szCs w:val="21"/>
          <w:lang w:val="es-ES"/>
        </w:rPr>
        <w:t> y </w:t>
      </w:r>
      <w:hyperlink w:history="1" w:anchor="267" r:id="rId10">
        <w:r w:rsidRPr="00896490">
          <w:rPr>
            <w:rFonts w:ascii="Verdana" w:hAnsi="Verdana" w:cs="Arial"/>
            <w:bCs/>
            <w:sz w:val="21"/>
            <w:szCs w:val="21"/>
            <w:lang w:val="es-ES"/>
          </w:rPr>
          <w:t>267</w:t>
        </w:r>
      </w:hyperlink>
      <w:r w:rsidRPr="00896490">
        <w:rPr>
          <w:rFonts w:ascii="Verdana" w:hAnsi="Verdana" w:cs="Arial"/>
          <w:bCs/>
          <w:sz w:val="21"/>
          <w:szCs w:val="21"/>
          <w:lang w:val="es-ES"/>
        </w:rPr>
        <w:t> de la Constitución Política, respectivamente según sea el caso y estarán sometidas al régimen de inhabilidades e incompatibilidades previsto legalmente para la contratación estatal”.</w:t>
      </w:r>
    </w:p>
    <w:p w:rsidRPr="002A22E2" w:rsidR="00077445" w:rsidP="00077445" w:rsidRDefault="00077445" w14:paraId="7F2277AF" w14:textId="77777777">
      <w:pPr>
        <w:spacing w:after="0" w:line="276" w:lineRule="auto"/>
        <w:ind w:firstLine="709"/>
        <w:jc w:val="both"/>
        <w:rPr>
          <w:rFonts w:ascii="Verdana" w:hAnsi="Verdana" w:eastAsia="Calibri" w:cs="Arial"/>
          <w:lang w:val="es-ES_tradnl"/>
        </w:rPr>
      </w:pPr>
    </w:p>
    <w:p w:rsidRPr="002A22E2" w:rsidR="00077445" w:rsidP="00077445" w:rsidRDefault="00077445" w14:paraId="68566B55" w14:textId="77777777">
      <w:pPr>
        <w:spacing w:after="0" w:line="276" w:lineRule="auto"/>
        <w:ind w:firstLine="709"/>
        <w:jc w:val="both"/>
        <w:rPr>
          <w:rFonts w:ascii="Verdana" w:hAnsi="Verdana" w:eastAsia="Calibri" w:cs="Arial"/>
          <w:lang w:val="es-ES_tradnl"/>
        </w:rPr>
      </w:pPr>
      <w:r w:rsidRPr="002A22E2">
        <w:rPr>
          <w:rFonts w:ascii="Verdana" w:hAnsi="Verdana" w:eastAsia="Calibri" w:cs="Arial"/>
          <w:lang w:val="es-ES_tradnl"/>
        </w:rPr>
        <w:t>Lo anterior es reafirmado por el Consejo de Estado, que destaca las reglas que sigue la contratación de las entidades de régimen especial:</w:t>
      </w:r>
    </w:p>
    <w:p w:rsidRPr="002A22E2" w:rsidR="00077445" w:rsidP="00077445" w:rsidRDefault="00077445" w14:paraId="56609855" w14:textId="77777777">
      <w:pPr>
        <w:spacing w:after="0" w:line="276" w:lineRule="auto"/>
        <w:ind w:firstLine="709"/>
        <w:jc w:val="both"/>
        <w:rPr>
          <w:rFonts w:ascii="Verdana" w:hAnsi="Verdana" w:eastAsia="Calibri" w:cs="Arial"/>
          <w:lang w:val="es-ES_tradnl"/>
        </w:rPr>
      </w:pPr>
    </w:p>
    <w:p w:rsidRPr="00896490" w:rsidR="00077445" w:rsidP="00077445" w:rsidRDefault="00077445" w14:paraId="52C0E9C4" w14:textId="77777777">
      <w:pPr>
        <w:spacing w:after="0" w:line="240" w:lineRule="auto"/>
        <w:ind w:left="709" w:right="709"/>
        <w:jc w:val="both"/>
        <w:rPr>
          <w:rFonts w:ascii="Verdana" w:hAnsi="Verdana" w:eastAsia="Calibri" w:cs="Arial"/>
          <w:sz w:val="21"/>
          <w:szCs w:val="21"/>
          <w:lang w:val="es-ES_tradnl"/>
        </w:rPr>
      </w:pPr>
      <w:r w:rsidRPr="00896490">
        <w:rPr>
          <w:rFonts w:ascii="Verdana" w:hAnsi="Verdana" w:eastAsia="Calibri" w:cs="Arial"/>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rsidRPr="00896490" w:rsidR="00077445" w:rsidP="00077445" w:rsidRDefault="00077445" w14:paraId="4DD4EBD4" w14:textId="77777777">
      <w:pPr>
        <w:spacing w:after="0" w:line="240" w:lineRule="auto"/>
        <w:ind w:left="709" w:right="709"/>
        <w:jc w:val="both"/>
        <w:rPr>
          <w:rFonts w:ascii="Verdana" w:hAnsi="Verdana" w:eastAsia="Calibri" w:cs="Arial"/>
          <w:sz w:val="21"/>
          <w:szCs w:val="21"/>
          <w:lang w:val="es-ES_tradnl"/>
        </w:rPr>
      </w:pPr>
    </w:p>
    <w:p w:rsidRPr="00896490" w:rsidR="00077445" w:rsidP="00077445" w:rsidRDefault="00077445" w14:paraId="7C6805DE" w14:textId="77777777">
      <w:pPr>
        <w:spacing w:after="0" w:line="240" w:lineRule="auto"/>
        <w:ind w:left="709" w:right="709"/>
        <w:jc w:val="both"/>
        <w:rPr>
          <w:rFonts w:ascii="Verdana" w:hAnsi="Verdana" w:eastAsia="Calibri" w:cs="Arial"/>
          <w:sz w:val="21"/>
          <w:szCs w:val="21"/>
          <w:lang w:val="es-ES_tradnl"/>
        </w:rPr>
      </w:pPr>
      <w:r w:rsidRPr="00896490">
        <w:rPr>
          <w:rFonts w:ascii="Verdana" w:hAnsi="Verdana" w:eastAsia="Calibri" w:cs="Arial"/>
          <w:sz w:val="21"/>
          <w:szCs w:val="21"/>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rsidRPr="00896490" w:rsidR="00077445" w:rsidP="00077445" w:rsidRDefault="00077445" w14:paraId="3DB61E65" w14:textId="77777777">
      <w:pPr>
        <w:spacing w:after="0" w:line="240" w:lineRule="auto"/>
        <w:ind w:left="709" w:right="709"/>
        <w:jc w:val="both"/>
        <w:rPr>
          <w:rFonts w:ascii="Verdana" w:hAnsi="Verdana" w:eastAsia="Calibri" w:cs="Arial"/>
          <w:sz w:val="21"/>
          <w:szCs w:val="21"/>
          <w:lang w:val="es-ES_tradnl"/>
        </w:rPr>
      </w:pPr>
    </w:p>
    <w:p w:rsidRPr="002A22E2" w:rsidR="00077445" w:rsidP="00077445" w:rsidRDefault="00077445" w14:paraId="0EB8CF34" w14:textId="77777777">
      <w:pPr>
        <w:spacing w:after="0" w:line="240" w:lineRule="auto"/>
        <w:ind w:left="709" w:right="709"/>
        <w:jc w:val="both"/>
        <w:rPr>
          <w:rFonts w:ascii="Verdana" w:hAnsi="Verdana" w:eastAsia="Calibri" w:cs="Arial"/>
          <w:sz w:val="20"/>
          <w:szCs w:val="20"/>
          <w:lang w:val="es-ES_tradnl"/>
        </w:rPr>
      </w:pPr>
      <w:r w:rsidRPr="00896490">
        <w:rPr>
          <w:rFonts w:ascii="Verdana" w:hAnsi="Verdana" w:eastAsia="Calibri" w:cs="Arial"/>
          <w:sz w:val="21"/>
          <w:szCs w:val="21"/>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A22E2">
        <w:rPr>
          <w:rFonts w:ascii="Verdana" w:hAnsi="Verdana" w:eastAsia="Calibri" w:cs="Arial"/>
          <w:sz w:val="20"/>
          <w:szCs w:val="20"/>
          <w:vertAlign w:val="superscript"/>
          <w:lang w:val="es-ES_tradnl"/>
        </w:rPr>
        <w:footnoteReference w:id="2"/>
      </w:r>
      <w:r w:rsidRPr="002A22E2">
        <w:rPr>
          <w:rFonts w:ascii="Verdana" w:hAnsi="Verdana" w:eastAsia="Calibri" w:cs="Arial"/>
          <w:sz w:val="20"/>
          <w:szCs w:val="20"/>
          <w:lang w:val="es-ES_tradnl"/>
        </w:rPr>
        <w:t>.</w:t>
      </w:r>
    </w:p>
    <w:p w:rsidRPr="00A46177" w:rsidR="00077445" w:rsidP="00077445" w:rsidRDefault="00077445" w14:paraId="62F1AE71" w14:textId="77777777">
      <w:pPr>
        <w:spacing w:after="0" w:line="276" w:lineRule="auto"/>
        <w:ind w:left="709" w:right="709"/>
        <w:jc w:val="both"/>
        <w:rPr>
          <w:rFonts w:ascii="Verdana" w:hAnsi="Verdana" w:eastAsia="Calibri" w:cs="Arial"/>
          <w:lang w:val="es-ES_tradnl"/>
        </w:rPr>
      </w:pPr>
    </w:p>
    <w:p w:rsidRPr="002A22E2" w:rsidR="00077445" w:rsidP="00077445" w:rsidRDefault="00077445" w14:paraId="6CBE19DD" w14:textId="77777777">
      <w:pPr>
        <w:spacing w:after="0" w:line="276" w:lineRule="auto"/>
        <w:ind w:firstLine="708"/>
        <w:jc w:val="both"/>
        <w:rPr>
          <w:rFonts w:ascii="Verdana" w:hAnsi="Verdana" w:eastAsia="Calibri" w:cs="Arial"/>
          <w:lang w:val="es-ES"/>
        </w:rPr>
      </w:pPr>
      <w:r w:rsidRPr="002A22E2">
        <w:rPr>
          <w:rFonts w:ascii="Verdana" w:hAnsi="Verdana" w:eastAsia="Calibri" w:cs="Arial"/>
          <w:lang w:val="es-ES"/>
        </w:rPr>
        <w:t>Así las cosas, teniendo en cuenta que algunas de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w:t>
      </w:r>
      <w:r>
        <w:rPr>
          <w:rFonts w:ascii="Verdana" w:hAnsi="Verdana" w:eastAsia="Calibri" w:cs="Arial"/>
          <w:lang w:val="es-ES"/>
        </w:rPr>
        <w:t>,</w:t>
      </w:r>
      <w:r w:rsidRPr="002A22E2">
        <w:rPr>
          <w:rFonts w:ascii="Verdana" w:hAnsi="Verdana" w:eastAsia="Calibri" w:cs="Arial"/>
          <w:lang w:val="es-ES"/>
        </w:rPr>
        <w:t xml:space="preserve">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rsidRPr="002A22E2" w:rsidR="00077445" w:rsidP="00077445" w:rsidRDefault="00077445" w14:paraId="53F313F1" w14:textId="77777777">
      <w:pPr>
        <w:spacing w:after="0" w:line="276" w:lineRule="auto"/>
        <w:jc w:val="both"/>
        <w:rPr>
          <w:rFonts w:ascii="Verdana" w:hAnsi="Verdana" w:cs="Arial"/>
          <w:lang w:val="es-MX"/>
        </w:rPr>
      </w:pPr>
    </w:p>
    <w:p w:rsidRPr="002A22E2" w:rsidR="00077445" w:rsidP="00077445" w:rsidRDefault="00077445" w14:paraId="2F50EAAE" w14:textId="77777777">
      <w:pPr>
        <w:spacing w:after="0" w:line="276" w:lineRule="auto"/>
        <w:jc w:val="both"/>
        <w:rPr>
          <w:rFonts w:ascii="Verdana" w:hAnsi="Verdana" w:cs="Arial"/>
          <w:lang w:val="es-MX"/>
        </w:rPr>
      </w:pPr>
      <w:r w:rsidRPr="002A22E2">
        <w:rPr>
          <w:rFonts w:ascii="Verdana" w:hAnsi="Verdana" w:cs="Arial"/>
          <w:lang w:val="es-MX"/>
        </w:rPr>
        <w:t>ii) Una de las Entidades Estatales con régimen especial son las Empresas Sociales del Estado – ESE</w:t>
      </w:r>
      <w:r>
        <w:rPr>
          <w:rFonts w:ascii="Verdana" w:hAnsi="Verdana" w:cs="Arial"/>
          <w:lang w:val="es-MX"/>
        </w:rPr>
        <w:t xml:space="preserve">, sobre las que redunda el objeto de su concepto. Estas empresas han sido </w:t>
      </w:r>
      <w:r w:rsidRPr="002A22E2">
        <w:rPr>
          <w:rFonts w:ascii="Verdana" w:hAnsi="Verdana" w:cs="Arial"/>
          <w:lang w:val="es-MX"/>
        </w:rPr>
        <w:t>entendidas como Entidades Públicas que, conforme al artículo 194 de la Ley 100 de 1993, constituyen una categoría especial, descentralizada por servicios, con personería jurídica, patrimonio propio y autonomía administrativa</w:t>
      </w:r>
      <w:r w:rsidRPr="002A22E2">
        <w:rPr>
          <w:rFonts w:ascii="Verdana" w:hAnsi="Verdana" w:cs="Arial"/>
          <w:vertAlign w:val="superscript"/>
          <w:lang w:val="es-MX"/>
        </w:rPr>
        <w:footnoteReference w:id="3"/>
      </w:r>
      <w:r w:rsidRPr="002A22E2">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rsidRPr="002A22E2" w:rsidR="00077445" w:rsidP="00077445" w:rsidRDefault="00077445" w14:paraId="4E47DECA" w14:textId="77777777">
      <w:pPr>
        <w:spacing w:after="0" w:line="276" w:lineRule="auto"/>
        <w:ind w:firstLine="709"/>
        <w:jc w:val="both"/>
        <w:rPr>
          <w:rFonts w:ascii="Verdana" w:hAnsi="Verdana" w:cs="Arial"/>
          <w:lang w:val="es-MX"/>
        </w:rPr>
      </w:pPr>
    </w:p>
    <w:p w:rsidRPr="002A22E2" w:rsidR="00077445" w:rsidP="00077445" w:rsidRDefault="00077445" w14:paraId="363AD376" w14:textId="77777777">
      <w:pPr>
        <w:spacing w:after="0" w:line="240" w:lineRule="auto"/>
        <w:ind w:left="709" w:right="709"/>
        <w:jc w:val="both"/>
        <w:rPr>
          <w:rFonts w:ascii="Verdana" w:hAnsi="Verdana" w:eastAsia="Calibri" w:cs="Arial"/>
          <w:sz w:val="20"/>
          <w:szCs w:val="20"/>
        </w:rPr>
      </w:pPr>
      <w:r>
        <w:rPr>
          <w:rFonts w:ascii="Verdana" w:hAnsi="Verdana" w:eastAsia="Calibri" w:cs="Arial"/>
          <w:sz w:val="20"/>
          <w:szCs w:val="20"/>
        </w:rPr>
        <w:t>“</w:t>
      </w:r>
      <w:r w:rsidRPr="002A22E2">
        <w:rPr>
          <w:rFonts w:ascii="Verdana" w:hAnsi="Verdana" w:eastAsia="Calibri"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Pr>
          <w:rFonts w:ascii="Verdana" w:hAnsi="Verdana" w:eastAsia="Calibri" w:cs="Arial"/>
          <w:sz w:val="20"/>
          <w:szCs w:val="20"/>
        </w:rPr>
        <w:t>”</w:t>
      </w:r>
      <w:r w:rsidRPr="002A22E2">
        <w:rPr>
          <w:rStyle w:val="Refdenotaalpie"/>
          <w:rFonts w:ascii="Verdana" w:hAnsi="Verdana" w:eastAsia="Calibri" w:cs="Arial"/>
          <w:sz w:val="20"/>
          <w:szCs w:val="20"/>
        </w:rPr>
        <w:footnoteReference w:id="4"/>
      </w:r>
      <w:r w:rsidRPr="002A22E2">
        <w:rPr>
          <w:rFonts w:ascii="Verdana" w:hAnsi="Verdana" w:eastAsia="Calibri" w:cs="Arial"/>
          <w:sz w:val="20"/>
          <w:szCs w:val="20"/>
        </w:rPr>
        <w:t xml:space="preserve">. </w:t>
      </w:r>
    </w:p>
    <w:p w:rsidRPr="002A22E2" w:rsidR="00077445" w:rsidP="00077445" w:rsidRDefault="00077445" w14:paraId="09CF14D0" w14:textId="77777777">
      <w:pPr>
        <w:spacing w:after="0" w:line="276" w:lineRule="auto"/>
        <w:ind w:left="709" w:right="709"/>
        <w:jc w:val="both"/>
        <w:rPr>
          <w:rFonts w:ascii="Verdana" w:hAnsi="Verdana" w:eastAsia="Calibri" w:cs="Arial"/>
        </w:rPr>
      </w:pPr>
    </w:p>
    <w:p w:rsidRPr="002A22E2" w:rsidR="00077445" w:rsidP="00077445" w:rsidRDefault="00077445" w14:paraId="685E12DA" w14:textId="77777777">
      <w:pPr>
        <w:pStyle w:val="Textoindependiente"/>
        <w:spacing w:after="120" w:line="276" w:lineRule="auto"/>
        <w:ind w:right="102" w:firstLine="709"/>
        <w:jc w:val="both"/>
        <w:rPr>
          <w:rFonts w:ascii="Verdana" w:hAnsi="Verdana"/>
        </w:rPr>
      </w:pPr>
      <w:r w:rsidRPr="002A22E2">
        <w:rPr>
          <w:rFonts w:ascii="Verdana" w:hAnsi="Verdana"/>
        </w:rPr>
        <w:t>De la cita precedente se puede concluir entonces que, las Empresas Sociales del Estado</w:t>
      </w:r>
      <w:r>
        <w:rPr>
          <w:rFonts w:ascii="Verdana" w:hAnsi="Verdana"/>
        </w:rPr>
        <w:t xml:space="preserve"> </w:t>
      </w:r>
      <w:r w:rsidRPr="002A22E2">
        <w:rPr>
          <w:rFonts w:ascii="Verdana" w:hAnsi="Verdana"/>
          <w:lang w:val="es-MX"/>
        </w:rPr>
        <w:t>–ESE–</w:t>
      </w:r>
      <w:r w:rsidRPr="002A22E2">
        <w:rPr>
          <w:rFonts w:ascii="Verdana" w:hAnsi="Verdana"/>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rsidRPr="002A22E2" w:rsidR="00077445" w:rsidP="00077445" w:rsidRDefault="00077445" w14:paraId="7C06243C" w14:textId="77777777">
      <w:pPr>
        <w:spacing w:after="120" w:line="276" w:lineRule="auto"/>
        <w:ind w:firstLine="709"/>
        <w:jc w:val="both"/>
        <w:rPr>
          <w:rFonts w:ascii="Verdana" w:hAnsi="Verdana" w:cs="Arial"/>
        </w:rPr>
      </w:pPr>
      <w:r w:rsidRPr="002A22E2">
        <w:rPr>
          <w:rFonts w:ascii="Verdana" w:hAnsi="Verdana" w:cs="Arial"/>
        </w:rPr>
        <w:t xml:space="preserve">Por su parte, </w:t>
      </w:r>
      <w:r>
        <w:rPr>
          <w:rFonts w:ascii="Verdana" w:hAnsi="Verdana" w:cs="Arial"/>
        </w:rPr>
        <w:t xml:space="preserve">en lo que a materia contractual se refiere, </w:t>
      </w:r>
      <w:r w:rsidRPr="002A22E2">
        <w:rPr>
          <w:rFonts w:ascii="Verdana" w:hAnsi="Verdana" w:cs="Arial"/>
        </w:rPr>
        <w:t xml:space="preserve">de conformidad con el numeral 6 del artículo 195 de la Ley 100 de 1993, el régimen de contratación de las </w:t>
      </w:r>
      <w:r w:rsidRPr="002A22E2">
        <w:rPr>
          <w:rFonts w:ascii="Verdana" w:hAnsi="Verdana" w:cs="Arial"/>
          <w:lang w:val="es-MX"/>
        </w:rPr>
        <w:t>–ESE–</w:t>
      </w:r>
      <w:r w:rsidRPr="002A22E2">
        <w:rPr>
          <w:rFonts w:ascii="Verdana" w:hAnsi="Verdana"/>
        </w:rPr>
        <w:t xml:space="preserve"> </w:t>
      </w:r>
      <w:r w:rsidRPr="002A22E2">
        <w:rPr>
          <w:rFonts w:ascii="Verdana" w:hAnsi="Verdana" w:cs="Arial"/>
        </w:rPr>
        <w:t xml:space="preserve">es el de derecho privado, es decir, se rige por las disposiciones contenidas en el Código de Comercio y en el Código Civil, aplicables en lo que resulten pertinentes, salvo en las materias particularmente reguladas </w:t>
      </w:r>
      <w:r w:rsidRPr="002A22E2">
        <w:rPr>
          <w:rFonts w:ascii="Verdana" w:hAnsi="Verdana" w:eastAsia="Calibri" w:cs="Arial"/>
        </w:rPr>
        <w:t xml:space="preserve">por el derecho público. </w:t>
      </w:r>
      <w:r w:rsidRPr="002A22E2">
        <w:rPr>
          <w:rFonts w:ascii="Verdana" w:hAnsi="Verdana" w:cs="Arial"/>
        </w:rPr>
        <w:t>La norma referida prescribe que</w:t>
      </w:r>
      <w:r>
        <w:rPr>
          <w:rFonts w:ascii="Verdana" w:hAnsi="Verdana" w:cs="Arial"/>
        </w:rPr>
        <w:t>:</w:t>
      </w:r>
      <w:r w:rsidRPr="002A22E2">
        <w:rPr>
          <w:rFonts w:ascii="Verdana" w:hAnsi="Verdana" w:cs="Arial"/>
        </w:rPr>
        <w:t xml:space="preserve"> “En materia contractual se regirá por el derecho privado, pero podrá discrecionalmente utilizar las cláusulas exorbitantes previstas en el estatuto general de contratación de la administración pública”.</w:t>
      </w:r>
    </w:p>
    <w:p w:rsidRPr="002A22E2" w:rsidR="00077445" w:rsidP="00077445" w:rsidRDefault="00077445" w14:paraId="12A91958" w14:textId="77777777">
      <w:pPr>
        <w:pStyle w:val="Textoindependiente"/>
        <w:spacing w:after="0" w:line="276" w:lineRule="auto"/>
        <w:ind w:right="102" w:firstLine="709"/>
        <w:jc w:val="both"/>
        <w:rPr>
          <w:rFonts w:ascii="Verdana" w:hAnsi="Verdana"/>
        </w:rPr>
      </w:pPr>
      <w:r w:rsidRPr="002A22E2">
        <w:rPr>
          <w:rFonts w:ascii="Verdana" w:hAnsi="Verdana"/>
        </w:rPr>
        <w:t xml:space="preserve">En consecuencia, </w:t>
      </w:r>
      <w:r w:rsidRPr="00A46177">
        <w:rPr>
          <w:rFonts w:ascii="Verdana" w:hAnsi="Verdana" w:eastAsia="Calibri"/>
          <w:color w:val="000000" w:themeColor="text1"/>
          <w:lang w:val="es-MX"/>
        </w:rPr>
        <w:t xml:space="preserve">las </w:t>
      </w:r>
      <w:r w:rsidRPr="002A22E2">
        <w:rPr>
          <w:rFonts w:ascii="Verdana" w:hAnsi="Verdana"/>
          <w:lang w:val="es-MX"/>
        </w:rPr>
        <w:t>–ESE–</w:t>
      </w:r>
      <w:r w:rsidRPr="002A22E2">
        <w:rPr>
          <w:rFonts w:ascii="Verdana" w:hAnsi="Verdana"/>
        </w:rPr>
        <w:t xml:space="preserve"> </w:t>
      </w:r>
      <w:r w:rsidRPr="00A46177">
        <w:rPr>
          <w:rFonts w:ascii="Verdana" w:hAnsi="Verdana" w:eastAsia="Calibri"/>
          <w:color w:val="000000" w:themeColor="text1"/>
          <w:lang w:val="es-MX"/>
        </w:rPr>
        <w:t xml:space="preserve">no están sometidas al EGCAP ni a las normas que lo reglamentan o complementan, ya que, por disposición expresa de la norma transcrita, sus </w:t>
      </w:r>
      <w:r w:rsidRPr="002A22E2">
        <w:rPr>
          <w:rFonts w:ascii="Verdana" w:hAnsi="Verdana"/>
        </w:rPr>
        <w:t>contratos se rigen por el derecho privado. Sin embargo, esta circunstancia no implica la inobservancia de los principios de la función administrativa y la gestión fiscal, teniendo en cuenta que su objeto, conforme a la Sentencia C-555 de 2000 de la Corte Constitucional, corresponde a la prestación del servicio de salud a cargo del Estado o como parte del servicio de seguridad social</w:t>
      </w:r>
      <w:r w:rsidRPr="002A22E2">
        <w:rPr>
          <w:rStyle w:val="Refdenotaalpie"/>
          <w:rFonts w:ascii="Verdana" w:hAnsi="Verdana"/>
        </w:rPr>
        <w:footnoteReference w:id="5"/>
      </w:r>
      <w:r w:rsidRPr="002A22E2">
        <w:rPr>
          <w:rFonts w:ascii="Verdana" w:hAnsi="Verdana"/>
        </w:rPr>
        <w:t>. En esta misma línea, el artículo 83 de la Ley 489 de 1998, dispuso lo</w:t>
      </w:r>
      <w:r w:rsidRPr="002A22E2">
        <w:rPr>
          <w:rFonts w:ascii="Verdana" w:hAnsi="Verdana"/>
          <w:spacing w:val="-12"/>
        </w:rPr>
        <w:t xml:space="preserve"> </w:t>
      </w:r>
      <w:r w:rsidRPr="002A22E2">
        <w:rPr>
          <w:rFonts w:ascii="Verdana" w:hAnsi="Verdana"/>
        </w:rPr>
        <w:t>siguiente:</w:t>
      </w:r>
    </w:p>
    <w:p w:rsidRPr="002A22E2" w:rsidR="00077445" w:rsidP="00077445" w:rsidRDefault="00077445" w14:paraId="7C3E0F12" w14:textId="77777777">
      <w:pPr>
        <w:pStyle w:val="Textoindependiente"/>
        <w:spacing w:after="0" w:line="276" w:lineRule="auto"/>
        <w:ind w:right="102" w:firstLine="709"/>
        <w:jc w:val="both"/>
        <w:rPr>
          <w:rFonts w:ascii="Verdana" w:hAnsi="Verdana"/>
        </w:rPr>
      </w:pPr>
    </w:p>
    <w:p w:rsidRPr="002A22E2" w:rsidR="00077445" w:rsidP="00077445" w:rsidRDefault="00077445" w14:paraId="73D51807" w14:textId="77777777">
      <w:pPr>
        <w:pStyle w:val="Textoindependiente"/>
        <w:spacing w:after="0" w:line="240" w:lineRule="auto"/>
        <w:ind w:left="709" w:right="709"/>
        <w:jc w:val="both"/>
        <w:rPr>
          <w:rFonts w:ascii="Verdana" w:hAnsi="Verdana"/>
          <w:sz w:val="20"/>
          <w:szCs w:val="20"/>
        </w:rPr>
      </w:pPr>
      <w:r w:rsidRPr="002A22E2">
        <w:rPr>
          <w:rFonts w:ascii="Verdana" w:hAnsi="Verdana"/>
          <w:sz w:val="20"/>
          <w:szCs w:val="20"/>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2A22E2">
        <w:rPr>
          <w:rFonts w:ascii="Verdana" w:hAnsi="Verdana"/>
          <w:spacing w:val="-1"/>
          <w:sz w:val="20"/>
          <w:szCs w:val="20"/>
        </w:rPr>
        <w:t xml:space="preserve"> </w:t>
      </w:r>
      <w:r w:rsidRPr="002A22E2">
        <w:rPr>
          <w:rFonts w:ascii="Verdana" w:hAnsi="Verdana"/>
          <w:sz w:val="20"/>
          <w:szCs w:val="20"/>
        </w:rPr>
        <w:t>adicionen.”</w:t>
      </w:r>
    </w:p>
    <w:p w:rsidRPr="002A22E2" w:rsidR="00077445" w:rsidP="00077445" w:rsidRDefault="00077445" w14:paraId="5107B35C" w14:textId="77777777">
      <w:pPr>
        <w:pStyle w:val="Textoindependiente"/>
        <w:spacing w:after="0" w:line="276" w:lineRule="auto"/>
        <w:jc w:val="both"/>
        <w:rPr>
          <w:rFonts w:ascii="Verdana" w:hAnsi="Verdana"/>
        </w:rPr>
      </w:pPr>
    </w:p>
    <w:p w:rsidRPr="00A46177" w:rsidR="00077445" w:rsidP="00077445" w:rsidRDefault="00077445" w14:paraId="2F78C323" w14:textId="77777777">
      <w:pPr>
        <w:tabs>
          <w:tab w:val="left" w:pos="709"/>
        </w:tabs>
        <w:spacing w:after="120" w:line="276" w:lineRule="auto"/>
        <w:jc w:val="both"/>
        <w:rPr>
          <w:rFonts w:ascii="Verdana" w:hAnsi="Verdana" w:eastAsia="Calibri" w:cs="Arial"/>
          <w:color w:val="000000" w:themeColor="text1"/>
        </w:rPr>
      </w:pPr>
      <w:r w:rsidRPr="00A46177">
        <w:rPr>
          <w:rFonts w:ascii="Verdana" w:hAnsi="Verdana" w:eastAsia="Calibri" w:cs="Arial"/>
          <w:color w:val="000000" w:themeColor="text1"/>
          <w:lang w:val="es-ES"/>
        </w:rPr>
        <w:tab/>
      </w:r>
      <w:r w:rsidRPr="00A46177">
        <w:rPr>
          <w:rFonts w:ascii="Verdana" w:hAnsi="Verdana" w:eastAsia="Calibri" w:cs="Arial"/>
          <w:color w:val="000000" w:themeColor="text1"/>
          <w:lang w:val="es-ES"/>
        </w:rPr>
        <w:t xml:space="preserve">Esta también ha sido la interpretación del Ministerio de Salud y Protección Social, que en el Concepto No. </w:t>
      </w:r>
      <w:r w:rsidRPr="00A46177">
        <w:rPr>
          <w:rFonts w:ascii="Verdana" w:hAnsi="Verdana" w:eastAsia="Calibri" w:cs="Arial"/>
          <w:color w:val="000000" w:themeColor="text1"/>
        </w:rPr>
        <w:t>201942301304712</w:t>
      </w:r>
      <w:r w:rsidRPr="00A46177">
        <w:rPr>
          <w:rFonts w:ascii="Verdana" w:hAnsi="Verdana" w:eastAsia="Calibri" w:cs="Arial"/>
          <w:color w:val="000000" w:themeColor="text1"/>
          <w:lang w:val="es-ES"/>
        </w:rPr>
        <w:t xml:space="preserve"> de 2019, reiterando lo expuesto por la Sala de Consulta y Servicio Civil del Consejo de Estado</w:t>
      </w:r>
      <w:r w:rsidRPr="00A46177">
        <w:rPr>
          <w:rFonts w:ascii="Verdana" w:hAnsi="Verdana" w:eastAsia="Calibri" w:cs="Arial"/>
          <w:color w:val="000000" w:themeColor="text1"/>
          <w:vertAlign w:val="superscript"/>
          <w:lang w:val="es-ES"/>
        </w:rPr>
        <w:footnoteReference w:id="6"/>
      </w:r>
      <w:r w:rsidRPr="00A46177">
        <w:rPr>
          <w:rFonts w:ascii="Verdana" w:hAnsi="Verdana" w:eastAsia="Calibri" w:cs="Arial"/>
          <w:color w:val="000000" w:themeColor="text1"/>
          <w:lang w:val="es-ES"/>
        </w:rPr>
        <w:t xml:space="preserve">, expresó que “[…] </w:t>
      </w:r>
      <w:r w:rsidRPr="00A46177">
        <w:rPr>
          <w:rFonts w:ascii="Verdana" w:hAnsi="Verdana" w:eastAsia="Calibri"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A46177">
        <w:rPr>
          <w:rFonts w:ascii="Verdana" w:hAnsi="Verdana" w:eastAsia="Calibri" w:cs="Arial"/>
          <w:color w:val="000000" w:themeColor="text1"/>
          <w:vertAlign w:val="superscript"/>
          <w:lang w:val="es-ES"/>
        </w:rPr>
        <w:footnoteReference w:id="7"/>
      </w:r>
      <w:r w:rsidRPr="00A46177">
        <w:rPr>
          <w:rFonts w:ascii="Verdana" w:hAnsi="Verdana" w:eastAsia="Calibri" w:cs="Arial"/>
          <w:color w:val="000000" w:themeColor="text1"/>
          <w:lang w:val="es-ES"/>
        </w:rPr>
        <w:t xml:space="preserve">. </w:t>
      </w:r>
    </w:p>
    <w:p w:rsidRPr="002A22E2" w:rsidR="00077445" w:rsidP="00077445" w:rsidRDefault="00077445" w14:paraId="46E2F313" w14:textId="77777777">
      <w:pPr>
        <w:spacing w:after="120" w:line="276" w:lineRule="auto"/>
        <w:ind w:firstLine="709"/>
        <w:jc w:val="both"/>
        <w:rPr>
          <w:rFonts w:ascii="Verdana" w:hAnsi="Verdana" w:cs="Arial"/>
          <w:lang w:val="es-ES"/>
        </w:rPr>
      </w:pPr>
      <w:r w:rsidRPr="002A22E2">
        <w:rPr>
          <w:rFonts w:ascii="Verdana" w:hAnsi="Verdana"/>
        </w:rPr>
        <w:t xml:space="preserve">En consecuencia, por mandato del legislador, el régimen jurídico de los contratos de las </w:t>
      </w:r>
      <w:r w:rsidRPr="002A22E2">
        <w:rPr>
          <w:rFonts w:ascii="Verdana" w:hAnsi="Verdana" w:cs="Arial"/>
          <w:lang w:val="es-MX"/>
        </w:rPr>
        <w:t>–ESE–</w:t>
      </w:r>
      <w:r w:rsidRPr="002A22E2">
        <w:rPr>
          <w:rFonts w:ascii="Verdana" w:hAnsi="Verdana"/>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2A22E2">
        <w:rPr>
          <w:rFonts w:ascii="Verdana" w:hAnsi="Verdana" w:cs="Arial"/>
          <w:lang w:val="es-MX"/>
        </w:rPr>
        <w:t>–ESE–</w:t>
      </w:r>
      <w:r w:rsidRPr="002A22E2">
        <w:rPr>
          <w:rFonts w:ascii="Verdana" w:hAnsi="Verdana"/>
        </w:rPr>
        <w:t xml:space="preserve">, frente al régimen jurídico contractual general de las Entidades Estatales, no ha sido absoluta, toda vez que intervienen en la prestación de servicios de salud, como actores dentro de un servicio público bajo responsabilidad del Estado, en los términos del artículo 49 de la </w:t>
      </w:r>
      <w:r w:rsidRPr="002A22E2">
        <w:rPr>
          <w:rFonts w:ascii="Verdana" w:hAnsi="Verdana"/>
        </w:rPr>
        <w:t>Constitución Política. Además, de tiempo atrás en el ordenamiento jurídico colombiano se reconoció que las entidades exceptuadas del EGCAP debían respetar los principios de la función administrativa, tesis que luego fue acogida por el legislador con la expedición de la Ley 1150 de 2007.</w:t>
      </w:r>
    </w:p>
    <w:p w:rsidRPr="002A22E2" w:rsidR="00077445" w:rsidP="00077445" w:rsidRDefault="00077445" w14:paraId="0B94062F" w14:textId="77777777">
      <w:pPr>
        <w:spacing w:after="120" w:line="276" w:lineRule="auto"/>
        <w:ind w:firstLine="709"/>
        <w:jc w:val="both"/>
        <w:rPr>
          <w:rFonts w:ascii="Verdana" w:hAnsi="Verdana" w:cs="Arial"/>
          <w:sz w:val="20"/>
          <w:szCs w:val="20"/>
          <w:lang w:val="es-MX"/>
        </w:rPr>
      </w:pPr>
      <w:r w:rsidRPr="002A22E2">
        <w:rPr>
          <w:rFonts w:ascii="Verdana" w:hAnsi="Verdana" w:cs="Arial"/>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2A22E2">
        <w:rPr>
          <w:rFonts w:ascii="Verdana" w:hAnsi="Verdana" w:cs="Arial"/>
          <w:sz w:val="20"/>
          <w:szCs w:val="20"/>
          <w:lang w:val="es-MX"/>
        </w:rPr>
        <w:t xml:space="preserve">. </w:t>
      </w:r>
    </w:p>
    <w:p w:rsidRPr="002A22E2" w:rsidR="00077445" w:rsidP="00077445" w:rsidRDefault="00077445" w14:paraId="48BDEA3A" w14:textId="77777777">
      <w:pPr>
        <w:spacing w:after="120" w:line="276" w:lineRule="auto"/>
        <w:ind w:firstLine="709"/>
        <w:jc w:val="both"/>
        <w:rPr>
          <w:rFonts w:ascii="Verdana" w:hAnsi="Verdana" w:cs="Arial"/>
          <w:lang w:val="es-MX"/>
        </w:rPr>
      </w:pPr>
      <w:r w:rsidRPr="002A22E2">
        <w:rPr>
          <w:rFonts w:ascii="Verdana" w:hAnsi="Verdana" w:cs="Arial"/>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2A22E2">
        <w:rPr>
          <w:rFonts w:ascii="Verdana" w:hAnsi="Verdana"/>
        </w:rPr>
        <w:t xml:space="preserve"> </w:t>
      </w:r>
      <w:r w:rsidRPr="002A22E2">
        <w:rPr>
          <w:rFonts w:ascii="Verdana" w:hAnsi="Verdana" w:cs="Arial"/>
          <w:lang w:val="es-MX"/>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w:t>
      </w:r>
    </w:p>
    <w:p w:rsidRPr="00A46177" w:rsidR="00077445" w:rsidP="00077445" w:rsidRDefault="00077445" w14:paraId="38CF92E8" w14:textId="77777777">
      <w:pPr>
        <w:spacing w:before="120" w:after="0" w:line="276" w:lineRule="auto"/>
        <w:ind w:firstLine="709"/>
        <w:jc w:val="both"/>
        <w:rPr>
          <w:rFonts w:ascii="Verdana" w:hAnsi="Verdana" w:eastAsia="Calibri" w:cs="Arial"/>
          <w:color w:val="000000" w:themeColor="text1"/>
          <w:lang w:val="es-ES_tradnl"/>
        </w:rPr>
      </w:pPr>
      <w:r w:rsidRPr="00A46177">
        <w:rPr>
          <w:rFonts w:ascii="Verdana" w:hAnsi="Verdana" w:eastAsia="Calibri" w:cs="Arial"/>
          <w:color w:val="000000" w:themeColor="text1"/>
          <w:lang w:val="es-ES_tradnl"/>
        </w:rPr>
        <w:t>Lo anterior es reafirmado por el Consejo de Estado en el caso particular de los manuales de contratación, que contiene algunas reglas que deben seguir las entidades con régimen especial en su actividad contractual:</w:t>
      </w:r>
    </w:p>
    <w:p w:rsidRPr="00A46177" w:rsidR="00077445" w:rsidP="00077445" w:rsidRDefault="00077445" w14:paraId="0E438DF9" w14:textId="77777777">
      <w:pPr>
        <w:spacing w:after="0" w:line="240" w:lineRule="auto"/>
        <w:jc w:val="both"/>
        <w:rPr>
          <w:rFonts w:ascii="Verdana" w:hAnsi="Verdana" w:eastAsia="Calibri" w:cs="Arial"/>
          <w:color w:val="000000" w:themeColor="text1"/>
          <w:lang w:val="es-ES_tradnl"/>
        </w:rPr>
      </w:pPr>
    </w:p>
    <w:p w:rsidRPr="009C0CC0" w:rsidR="00077445" w:rsidP="00077445" w:rsidRDefault="00077445" w14:paraId="50AA4C11" w14:textId="77777777">
      <w:pPr>
        <w:spacing w:after="0" w:line="240" w:lineRule="auto"/>
        <w:ind w:left="709" w:right="709"/>
        <w:jc w:val="both"/>
        <w:rPr>
          <w:rFonts w:ascii="Verdana" w:hAnsi="Verdana" w:eastAsia="Calibri" w:cs="Arial"/>
          <w:color w:val="000000" w:themeColor="text1"/>
          <w:sz w:val="21"/>
          <w:szCs w:val="21"/>
          <w:lang w:val="es-ES_tradnl"/>
        </w:rPr>
      </w:pPr>
      <w:r w:rsidRPr="009C0CC0">
        <w:rPr>
          <w:rFonts w:ascii="Verdana" w:hAnsi="Verdana" w:eastAsia="Calibri" w:cs="Arial"/>
          <w:color w:val="000000" w:themeColor="text1"/>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rsidRPr="009C0CC0" w:rsidR="00077445" w:rsidP="00077445" w:rsidRDefault="00077445" w14:paraId="30351460" w14:textId="77777777">
      <w:pPr>
        <w:spacing w:after="0" w:line="240" w:lineRule="auto"/>
        <w:ind w:left="709" w:right="709"/>
        <w:jc w:val="both"/>
        <w:rPr>
          <w:rFonts w:ascii="Verdana" w:hAnsi="Verdana" w:eastAsia="Calibri" w:cs="Arial"/>
          <w:color w:val="000000" w:themeColor="text1"/>
          <w:sz w:val="21"/>
          <w:szCs w:val="21"/>
          <w:lang w:val="es-ES_tradnl"/>
        </w:rPr>
      </w:pPr>
    </w:p>
    <w:p w:rsidRPr="009C0CC0" w:rsidR="00077445" w:rsidP="00077445" w:rsidRDefault="00077445" w14:paraId="7F5B6570" w14:textId="77777777">
      <w:pPr>
        <w:spacing w:after="0" w:line="240" w:lineRule="auto"/>
        <w:ind w:left="709" w:right="709"/>
        <w:jc w:val="both"/>
        <w:rPr>
          <w:rFonts w:ascii="Verdana" w:hAnsi="Verdana" w:eastAsia="Calibri" w:cs="Arial"/>
          <w:color w:val="000000" w:themeColor="text1"/>
          <w:sz w:val="21"/>
          <w:szCs w:val="21"/>
          <w:lang w:val="es-ES"/>
        </w:rPr>
      </w:pPr>
      <w:r w:rsidRPr="009C0CC0">
        <w:rPr>
          <w:rFonts w:ascii="Verdana" w:hAnsi="Verdana" w:eastAsia="Calibri" w:cs="Arial"/>
          <w:color w:val="000000" w:themeColor="text1"/>
          <w:sz w:val="21"/>
          <w:szCs w:val="21"/>
          <w:lang w:val="es-ES"/>
        </w:rPr>
        <w:t xml:space="preserve">La Sala entiende que el régimen preponderante domina y aporta el gran volumen de normas contractuales y que el régimen inspirador </w:t>
      </w:r>
      <w:r w:rsidRPr="009C0CC0">
        <w:rPr>
          <w:rFonts w:ascii="Verdana" w:hAnsi="Verdana" w:eastAsia="Calibri" w:cs="Arial"/>
          <w:color w:val="000000" w:themeColor="text1"/>
          <w:sz w:val="21"/>
          <w:szCs w:val="21"/>
          <w:lang w:val="es-ES"/>
        </w:rPr>
        <w:t>influye y ayuda a interpretar, pero también transforma parte de esas instituciones, porque se suma a ellas, lo que no siempre se logra conservando intacta la institución privada sino introduciéndole modificaciones”</w:t>
      </w:r>
      <w:r w:rsidRPr="009C0CC0">
        <w:rPr>
          <w:rFonts w:ascii="Verdana" w:hAnsi="Verdana" w:eastAsia="Calibri" w:cs="Arial"/>
          <w:color w:val="000000" w:themeColor="text1"/>
          <w:sz w:val="21"/>
          <w:szCs w:val="21"/>
          <w:vertAlign w:val="superscript"/>
          <w:lang w:val="es-ES_tradnl"/>
        </w:rPr>
        <w:footnoteReference w:id="8"/>
      </w:r>
      <w:r w:rsidRPr="009C0CC0">
        <w:rPr>
          <w:rFonts w:ascii="Verdana" w:hAnsi="Verdana" w:eastAsia="Calibri" w:cs="Arial"/>
          <w:color w:val="000000" w:themeColor="text1"/>
          <w:sz w:val="21"/>
          <w:szCs w:val="21"/>
          <w:lang w:val="es-ES"/>
        </w:rPr>
        <w:t>.</w:t>
      </w:r>
    </w:p>
    <w:p w:rsidRPr="00A46177" w:rsidR="00077445" w:rsidP="00077445" w:rsidRDefault="00077445" w14:paraId="704F6D39" w14:textId="77777777">
      <w:pPr>
        <w:spacing w:after="0" w:line="276" w:lineRule="auto"/>
        <w:ind w:firstLine="709"/>
        <w:jc w:val="both"/>
        <w:rPr>
          <w:rFonts w:ascii="Verdana" w:hAnsi="Verdana" w:cs="Arial"/>
          <w:lang w:val="es-ES_tradnl"/>
        </w:rPr>
      </w:pPr>
    </w:p>
    <w:p w:rsidRPr="002A22E2" w:rsidR="00077445" w:rsidP="00077445" w:rsidRDefault="00077445" w14:paraId="321E2782" w14:textId="77777777">
      <w:pPr>
        <w:spacing w:after="120" w:line="276" w:lineRule="auto"/>
        <w:ind w:firstLine="709"/>
        <w:jc w:val="both"/>
        <w:rPr>
          <w:rFonts w:ascii="Verdana" w:hAnsi="Verdana" w:eastAsia="Arial" w:cs="Arial"/>
        </w:rPr>
      </w:pPr>
      <w:r w:rsidRPr="002A22E2">
        <w:rPr>
          <w:rFonts w:ascii="Verdana" w:hAnsi="Verdana" w:eastAsia="Arial" w:cs="Arial"/>
        </w:rPr>
        <w:t xml:space="preserve">Ahora bien, puede decirse que una de las reglas para las </w:t>
      </w:r>
      <w:r w:rsidRPr="002A22E2">
        <w:rPr>
          <w:rFonts w:ascii="Verdana" w:hAnsi="Verdana" w:cs="Arial"/>
          <w:lang w:val="es-MX"/>
        </w:rPr>
        <w:t>–ESE–</w:t>
      </w:r>
      <w:r w:rsidRPr="002A22E2">
        <w:rPr>
          <w:rFonts w:ascii="Verdana" w:hAnsi="Verdana" w:eastAsia="Arial" w:cs="Arial"/>
        </w:rPr>
        <w:t>, deriva</w:t>
      </w:r>
      <w:r>
        <w:rPr>
          <w:rFonts w:ascii="Verdana" w:hAnsi="Verdana" w:eastAsia="Arial" w:cs="Arial"/>
        </w:rPr>
        <w:t>da</w:t>
      </w:r>
      <w:r w:rsidRPr="002A22E2">
        <w:rPr>
          <w:rFonts w:ascii="Verdana" w:hAnsi="Verdana" w:eastAsia="Arial" w:cs="Arial"/>
        </w:rPr>
        <w:t xml:space="preserve"> de las normas de derecho público estudiadas, consiste en el deber de expedir un manual de contratación</w:t>
      </w:r>
      <w:r>
        <w:rPr>
          <w:rFonts w:ascii="Verdana" w:hAnsi="Verdana" w:eastAsia="Arial" w:cs="Arial"/>
        </w:rPr>
        <w:t>. En este documento</w:t>
      </w:r>
      <w:r w:rsidRPr="002A22E2">
        <w:rPr>
          <w:rFonts w:ascii="Verdana" w:hAnsi="Verdana" w:eastAsia="Arial" w:cs="Arial"/>
        </w:rPr>
        <w:t xml:space="preserve"> deben concretarse los principios de la función administrativa y de la gestión fiscal, </w:t>
      </w:r>
      <w:r>
        <w:rPr>
          <w:rFonts w:ascii="Verdana" w:hAnsi="Verdana" w:eastAsia="Arial" w:cs="Arial"/>
        </w:rPr>
        <w:t>así como</w:t>
      </w:r>
      <w:r w:rsidRPr="002A22E2">
        <w:rPr>
          <w:rFonts w:ascii="Verdana" w:hAnsi="Verdana" w:eastAsia="Arial" w:cs="Arial"/>
        </w:rPr>
        <w:t xml:space="preserve"> determinarse la manera concreta como dichos principios </w:t>
      </w:r>
      <w:r>
        <w:rPr>
          <w:rFonts w:ascii="Verdana" w:hAnsi="Verdana" w:eastAsia="Arial" w:cs="Arial"/>
        </w:rPr>
        <w:t>orientarán</w:t>
      </w:r>
      <w:r w:rsidRPr="002A22E2">
        <w:rPr>
          <w:rFonts w:ascii="Verdana" w:hAnsi="Verdana" w:eastAsia="Arial" w:cs="Arial"/>
        </w:rPr>
        <w:t xml:space="preserve"> el derecho privado en el ejercicio de la actividad contractual. De esta manera, los potenciales oferentes podrán identificar las reglas que aplica la entidad en sus procesos contractuales.</w:t>
      </w:r>
    </w:p>
    <w:p w:rsidRPr="002A22E2" w:rsidR="00077445" w:rsidP="00077445" w:rsidRDefault="00077445" w14:paraId="49DE6D2F" w14:textId="77777777">
      <w:pPr>
        <w:spacing w:after="120" w:line="276" w:lineRule="auto"/>
        <w:ind w:firstLine="708"/>
        <w:jc w:val="both"/>
        <w:rPr>
          <w:rFonts w:ascii="Verdana" w:hAnsi="Verdana" w:eastAsia="Calibri" w:cs="Arial"/>
          <w:lang w:val="es-ES_tradnl"/>
        </w:rPr>
      </w:pPr>
      <w:r w:rsidRPr="002A22E2">
        <w:rPr>
          <w:rFonts w:ascii="Verdana" w:hAnsi="Verdana" w:eastAsia="Calibri" w:cs="Arial"/>
          <w:lang w:val="es-ES_tradnl"/>
        </w:rPr>
        <w:t>Sobre este punto particular es preciso destacar que</w:t>
      </w:r>
      <w:r>
        <w:rPr>
          <w:rFonts w:ascii="Verdana" w:hAnsi="Verdana" w:eastAsia="Calibri" w:cs="Arial"/>
          <w:lang w:val="es-ES_tradnl"/>
        </w:rPr>
        <w:t>,</w:t>
      </w:r>
      <w:r w:rsidRPr="002A22E2">
        <w:rPr>
          <w:rFonts w:ascii="Verdana" w:hAnsi="Verdana" w:eastAsia="Calibri" w:cs="Arial"/>
          <w:lang w:val="es-ES_tradnl"/>
        </w:rPr>
        <w:t xml:space="preserv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002A22E2">
        <w:rPr>
          <w:rStyle w:val="Refdenotaalpie"/>
          <w:rFonts w:ascii="Verdana" w:hAnsi="Verdana" w:eastAsia="Calibri" w:cs="Arial"/>
          <w:lang w:val="es-ES_tradnl"/>
        </w:rPr>
        <w:footnoteReference w:id="9"/>
      </w:r>
      <w:r w:rsidRPr="002A22E2">
        <w:rPr>
          <w:rFonts w:ascii="Verdana" w:hAnsi="Verdana" w:eastAsia="Calibri" w:cs="Arial"/>
          <w:lang w:val="es-ES_tradnl"/>
        </w:rPr>
        <w:t>. Ahora bien, dicha libertad es similar a la reconocida a los particulares por el derecho privado, pero no es idéntica a aquella, en la medida en que encuentra importantes limitantes.</w:t>
      </w:r>
    </w:p>
    <w:p w:rsidRPr="002A22E2" w:rsidR="00077445" w:rsidP="00077445" w:rsidRDefault="00077445" w14:paraId="750F7E6F" w14:textId="77777777">
      <w:pPr>
        <w:spacing w:after="120" w:line="276" w:lineRule="auto"/>
        <w:ind w:firstLine="709"/>
        <w:jc w:val="both"/>
        <w:rPr>
          <w:rFonts w:ascii="Verdana" w:hAnsi="Verdana" w:eastAsia="Calibri" w:cs="Arial"/>
          <w:lang w:val="es-ES"/>
        </w:rPr>
      </w:pPr>
      <w:r w:rsidRPr="002A22E2">
        <w:rPr>
          <w:rFonts w:ascii="Verdana" w:hAnsi="Verdana" w:eastAsia="Calibri"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w:t>
      </w:r>
      <w:r>
        <w:rPr>
          <w:rFonts w:ascii="Verdana" w:hAnsi="Verdana" w:eastAsia="Calibri" w:cs="Arial"/>
          <w:lang w:val="es-ES"/>
        </w:rPr>
        <w:t>.</w:t>
      </w:r>
      <w:r w:rsidRPr="002A22E2">
        <w:rPr>
          <w:rFonts w:ascii="Verdana" w:hAnsi="Verdana" w:eastAsia="Calibri" w:cs="Arial"/>
          <w:lang w:val="es-ES"/>
        </w:rPr>
        <w:t xml:space="preserve"> </w:t>
      </w:r>
      <w:r>
        <w:rPr>
          <w:rFonts w:ascii="Verdana" w:hAnsi="Verdana" w:eastAsia="Calibri" w:cs="Arial"/>
          <w:lang w:val="es-ES"/>
        </w:rPr>
        <w:t>E</w:t>
      </w:r>
      <w:r w:rsidRPr="002A22E2">
        <w:rPr>
          <w:rFonts w:ascii="Verdana" w:hAnsi="Verdana" w:eastAsia="Calibri" w:cs="Arial"/>
          <w:lang w:val="es-ES"/>
        </w:rPr>
        <w:t>s decir</w:t>
      </w:r>
      <w:r>
        <w:rPr>
          <w:rFonts w:ascii="Verdana" w:hAnsi="Verdana" w:eastAsia="Calibri" w:cs="Arial"/>
          <w:lang w:val="es-ES"/>
        </w:rPr>
        <w:t>, deben reflejar</w:t>
      </w:r>
      <w:r w:rsidRPr="002A22E2">
        <w:rPr>
          <w:rFonts w:ascii="Verdana" w:hAnsi="Verdana" w:eastAsia="Calibri" w:cs="Arial"/>
          <w:lang w:val="es-ES"/>
        </w:rPr>
        <w:t xml:space="preserve">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w:t>
      </w:r>
      <w:r>
        <w:rPr>
          <w:rFonts w:ascii="Verdana" w:hAnsi="Verdana" w:eastAsia="Calibri" w:cs="Arial"/>
          <w:lang w:val="es-ES"/>
        </w:rPr>
        <w:t>los manuales</w:t>
      </w:r>
      <w:r w:rsidRPr="002A22E2">
        <w:rPr>
          <w:rFonts w:ascii="Verdana" w:hAnsi="Verdana" w:eastAsia="Calibri" w:cs="Arial"/>
          <w:lang w:val="es-ES"/>
        </w:rPr>
        <w:t xml:space="preserve"> diseñad</w:t>
      </w:r>
      <w:r>
        <w:rPr>
          <w:rFonts w:ascii="Verdana" w:hAnsi="Verdana" w:eastAsia="Calibri" w:cs="Arial"/>
          <w:lang w:val="es-ES"/>
        </w:rPr>
        <w:t>os</w:t>
      </w:r>
      <w:r w:rsidRPr="002A22E2">
        <w:rPr>
          <w:rFonts w:ascii="Verdana" w:hAnsi="Verdana" w:eastAsia="Calibri" w:cs="Arial"/>
          <w:lang w:val="es-ES"/>
        </w:rPr>
        <w:t xml:space="preserve"> por la entidad se deben indicar cuáles son sus procedimientos de selección y una descripción de cada uno de ellos, al igual que las etapas que los componen, los cuales deben estar alineados con la garantía de los principios de la función administrativa</w:t>
      </w:r>
      <w:r w:rsidRPr="002A22E2">
        <w:rPr>
          <w:rStyle w:val="Refdenotaalpie"/>
          <w:rFonts w:ascii="Verdana" w:hAnsi="Verdana" w:eastAsia="Calibri" w:cs="Arial"/>
          <w:lang w:val="es-ES"/>
        </w:rPr>
        <w:footnoteReference w:id="10"/>
      </w:r>
      <w:r w:rsidRPr="002A22E2">
        <w:rPr>
          <w:rFonts w:ascii="Verdana" w:hAnsi="Verdana" w:eastAsia="Calibri" w:cs="Arial"/>
          <w:lang w:val="es-ES"/>
        </w:rPr>
        <w:t xml:space="preserve">. </w:t>
      </w:r>
    </w:p>
    <w:p w:rsidRPr="00A46177" w:rsidR="00077445" w:rsidP="00077445" w:rsidRDefault="00077445" w14:paraId="6E726AC6" w14:textId="77777777">
      <w:pPr>
        <w:pStyle w:val="Textoindependiente"/>
        <w:spacing w:after="120" w:line="276" w:lineRule="auto"/>
        <w:ind w:firstLine="608"/>
        <w:jc w:val="both"/>
        <w:rPr>
          <w:rFonts w:ascii="Verdana" w:hAnsi="Verdana"/>
        </w:rPr>
      </w:pPr>
      <w:r w:rsidRPr="00A46177">
        <w:rPr>
          <w:rFonts w:ascii="Verdana" w:hAnsi="Verdana"/>
        </w:rPr>
        <w:t>De esta forma, las</w:t>
      </w:r>
      <w:r w:rsidRPr="00A46177">
        <w:rPr>
          <w:rFonts w:ascii="Verdana" w:hAnsi="Verdana"/>
          <w:spacing w:val="-7"/>
        </w:rPr>
        <w:t xml:space="preserve"> </w:t>
      </w:r>
      <w:r w:rsidRPr="00A46177">
        <w:rPr>
          <w:rFonts w:ascii="Verdana" w:hAnsi="Verdana"/>
        </w:rPr>
        <w:t>reglas</w:t>
      </w:r>
      <w:r w:rsidRPr="00A46177">
        <w:rPr>
          <w:rFonts w:ascii="Verdana" w:hAnsi="Verdana"/>
          <w:spacing w:val="-6"/>
        </w:rPr>
        <w:t xml:space="preserve"> </w:t>
      </w:r>
      <w:r w:rsidRPr="00A46177">
        <w:rPr>
          <w:rFonts w:ascii="Verdana" w:hAnsi="Verdana"/>
        </w:rPr>
        <w:t>establecidas</w:t>
      </w:r>
      <w:r w:rsidRPr="00A46177">
        <w:rPr>
          <w:rFonts w:ascii="Verdana" w:hAnsi="Verdana"/>
          <w:spacing w:val="-5"/>
        </w:rPr>
        <w:t xml:space="preserve"> </w:t>
      </w:r>
      <w:r w:rsidRPr="00A46177">
        <w:rPr>
          <w:rFonts w:ascii="Verdana" w:hAnsi="Verdana"/>
        </w:rPr>
        <w:t>en</w:t>
      </w:r>
      <w:r w:rsidRPr="00A46177">
        <w:rPr>
          <w:rFonts w:ascii="Verdana" w:hAnsi="Verdana"/>
          <w:spacing w:val="-7"/>
        </w:rPr>
        <w:t xml:space="preserve"> </w:t>
      </w:r>
      <w:r w:rsidRPr="00A46177">
        <w:rPr>
          <w:rFonts w:ascii="Verdana" w:hAnsi="Verdana"/>
        </w:rPr>
        <w:t>los</w:t>
      </w:r>
      <w:r w:rsidRPr="00A46177">
        <w:rPr>
          <w:rFonts w:ascii="Verdana" w:hAnsi="Verdana"/>
          <w:spacing w:val="-6"/>
        </w:rPr>
        <w:t xml:space="preserve"> </w:t>
      </w:r>
      <w:r w:rsidRPr="00A46177">
        <w:rPr>
          <w:rFonts w:ascii="Verdana" w:hAnsi="Verdana"/>
        </w:rPr>
        <w:t>manuales</w:t>
      </w:r>
      <w:r w:rsidRPr="00A46177">
        <w:rPr>
          <w:rFonts w:ascii="Verdana" w:hAnsi="Verdana"/>
          <w:spacing w:val="-6"/>
        </w:rPr>
        <w:t xml:space="preserve"> </w:t>
      </w:r>
      <w:r w:rsidRPr="00A46177">
        <w:rPr>
          <w:rFonts w:ascii="Verdana" w:hAnsi="Verdana"/>
        </w:rPr>
        <w:t>o</w:t>
      </w:r>
      <w:r w:rsidRPr="00A46177">
        <w:rPr>
          <w:rFonts w:ascii="Verdana" w:hAnsi="Verdana"/>
          <w:spacing w:val="-6"/>
        </w:rPr>
        <w:t xml:space="preserve"> </w:t>
      </w:r>
      <w:r w:rsidRPr="00A46177">
        <w:rPr>
          <w:rFonts w:ascii="Verdana" w:hAnsi="Verdana"/>
        </w:rPr>
        <w:t>reglamentos</w:t>
      </w:r>
      <w:r w:rsidRPr="00A46177">
        <w:rPr>
          <w:rFonts w:ascii="Verdana" w:hAnsi="Verdana"/>
          <w:spacing w:val="-7"/>
        </w:rPr>
        <w:t xml:space="preserve"> </w:t>
      </w:r>
      <w:r w:rsidRPr="00A46177">
        <w:rPr>
          <w:rFonts w:ascii="Verdana" w:hAnsi="Verdana"/>
        </w:rPr>
        <w:t>internos</w:t>
      </w:r>
      <w:r w:rsidRPr="00A46177">
        <w:rPr>
          <w:rFonts w:ascii="Verdana" w:hAnsi="Verdana"/>
          <w:spacing w:val="-5"/>
        </w:rPr>
        <w:t xml:space="preserve"> </w:t>
      </w:r>
      <w:r w:rsidRPr="00A46177">
        <w:rPr>
          <w:rFonts w:ascii="Verdana" w:hAnsi="Verdana"/>
        </w:rPr>
        <w:t>de</w:t>
      </w:r>
      <w:r w:rsidRPr="00A46177">
        <w:rPr>
          <w:rFonts w:ascii="Verdana" w:hAnsi="Verdana"/>
          <w:spacing w:val="-6"/>
        </w:rPr>
        <w:t xml:space="preserve"> </w:t>
      </w:r>
      <w:r w:rsidRPr="00A46177">
        <w:rPr>
          <w:rFonts w:ascii="Verdana" w:hAnsi="Verdana"/>
        </w:rPr>
        <w:t>contratación</w:t>
      </w:r>
      <w:r>
        <w:rPr>
          <w:rFonts w:ascii="Verdana" w:hAnsi="Verdana"/>
        </w:rPr>
        <w:t xml:space="preserve"> </w:t>
      </w:r>
      <w:r w:rsidRPr="00A46177">
        <w:rPr>
          <w:rFonts w:ascii="Verdana" w:hAnsi="Verdana"/>
        </w:rPr>
        <w:t>son muy importantes, toda vez que las entidades se obligan a cumplir su contenido.</w:t>
      </w:r>
      <w:r w:rsidRPr="00A46177">
        <w:rPr>
          <w:rFonts w:ascii="Verdana" w:hAnsi="Verdana"/>
          <w:spacing w:val="1"/>
        </w:rPr>
        <w:t xml:space="preserve"> </w:t>
      </w:r>
      <w:r w:rsidRPr="00A46177">
        <w:rPr>
          <w:rFonts w:ascii="Verdana" w:hAnsi="Verdana"/>
        </w:rPr>
        <w:t>Además, tratándose de un acto administrativo, concretamente de un reglamento, le</w:t>
      </w:r>
      <w:r w:rsidRPr="00A46177">
        <w:rPr>
          <w:rFonts w:ascii="Verdana" w:hAnsi="Verdana"/>
          <w:spacing w:val="1"/>
        </w:rPr>
        <w:t xml:space="preserve"> </w:t>
      </w:r>
      <w:r w:rsidRPr="00A46177">
        <w:rPr>
          <w:rFonts w:ascii="Verdana" w:hAnsi="Verdana"/>
        </w:rPr>
        <w:t>aplican</w:t>
      </w:r>
      <w:r w:rsidRPr="00A46177">
        <w:rPr>
          <w:rFonts w:ascii="Verdana" w:hAnsi="Verdana"/>
          <w:spacing w:val="-10"/>
        </w:rPr>
        <w:t xml:space="preserve"> </w:t>
      </w:r>
      <w:r w:rsidRPr="00A46177">
        <w:rPr>
          <w:rFonts w:ascii="Verdana" w:hAnsi="Verdana"/>
        </w:rPr>
        <w:t>los</w:t>
      </w:r>
      <w:r w:rsidRPr="00A46177">
        <w:rPr>
          <w:rFonts w:ascii="Verdana" w:hAnsi="Verdana"/>
          <w:spacing w:val="-10"/>
        </w:rPr>
        <w:t xml:space="preserve"> </w:t>
      </w:r>
      <w:r w:rsidRPr="00A46177">
        <w:rPr>
          <w:rFonts w:ascii="Verdana" w:hAnsi="Verdana"/>
        </w:rPr>
        <w:t>atributos</w:t>
      </w:r>
      <w:r w:rsidRPr="00A46177">
        <w:rPr>
          <w:rFonts w:ascii="Verdana" w:hAnsi="Verdana"/>
          <w:spacing w:val="-10"/>
        </w:rPr>
        <w:t xml:space="preserve"> </w:t>
      </w:r>
      <w:r w:rsidRPr="00A46177">
        <w:rPr>
          <w:rFonts w:ascii="Verdana" w:hAnsi="Verdana"/>
        </w:rPr>
        <w:t>propios</w:t>
      </w:r>
      <w:r w:rsidRPr="00A46177">
        <w:rPr>
          <w:rFonts w:ascii="Verdana" w:hAnsi="Verdana"/>
          <w:spacing w:val="-10"/>
        </w:rPr>
        <w:t xml:space="preserve"> </w:t>
      </w:r>
      <w:r w:rsidRPr="00A46177">
        <w:rPr>
          <w:rFonts w:ascii="Verdana" w:hAnsi="Verdana"/>
        </w:rPr>
        <w:t>de</w:t>
      </w:r>
      <w:r w:rsidRPr="00A46177">
        <w:rPr>
          <w:rFonts w:ascii="Verdana" w:hAnsi="Verdana"/>
          <w:spacing w:val="-9"/>
        </w:rPr>
        <w:t xml:space="preserve"> </w:t>
      </w:r>
      <w:r w:rsidRPr="00A46177">
        <w:rPr>
          <w:rFonts w:ascii="Verdana" w:hAnsi="Verdana"/>
        </w:rPr>
        <w:t>estos</w:t>
      </w:r>
      <w:r w:rsidRPr="00A46177">
        <w:rPr>
          <w:rFonts w:ascii="Verdana" w:hAnsi="Verdana"/>
          <w:spacing w:val="-10"/>
        </w:rPr>
        <w:t xml:space="preserve"> </w:t>
      </w:r>
      <w:r w:rsidRPr="00A46177">
        <w:rPr>
          <w:rFonts w:ascii="Verdana" w:hAnsi="Verdana"/>
        </w:rPr>
        <w:t>tipos</w:t>
      </w:r>
      <w:r w:rsidRPr="00A46177">
        <w:rPr>
          <w:rFonts w:ascii="Verdana" w:hAnsi="Verdana"/>
          <w:spacing w:val="-10"/>
        </w:rPr>
        <w:t xml:space="preserve"> </w:t>
      </w:r>
      <w:r w:rsidRPr="00A46177">
        <w:rPr>
          <w:rFonts w:ascii="Verdana" w:hAnsi="Verdana"/>
        </w:rPr>
        <w:t>de</w:t>
      </w:r>
      <w:r w:rsidRPr="00A46177">
        <w:rPr>
          <w:rFonts w:ascii="Verdana" w:hAnsi="Verdana"/>
          <w:spacing w:val="-10"/>
        </w:rPr>
        <w:t xml:space="preserve"> </w:t>
      </w:r>
      <w:r w:rsidRPr="00A46177">
        <w:rPr>
          <w:rFonts w:ascii="Verdana" w:hAnsi="Verdana"/>
        </w:rPr>
        <w:t>actos,</w:t>
      </w:r>
      <w:r w:rsidRPr="00A46177">
        <w:rPr>
          <w:rFonts w:ascii="Verdana" w:hAnsi="Verdana"/>
          <w:spacing w:val="-9"/>
        </w:rPr>
        <w:t xml:space="preserve"> </w:t>
      </w:r>
      <w:r w:rsidRPr="00A46177">
        <w:rPr>
          <w:rFonts w:ascii="Verdana" w:hAnsi="Verdana"/>
        </w:rPr>
        <w:t>entre</w:t>
      </w:r>
      <w:r w:rsidRPr="00A46177">
        <w:rPr>
          <w:rFonts w:ascii="Verdana" w:hAnsi="Verdana"/>
          <w:spacing w:val="-10"/>
        </w:rPr>
        <w:t xml:space="preserve"> </w:t>
      </w:r>
      <w:r w:rsidRPr="00A46177">
        <w:rPr>
          <w:rFonts w:ascii="Verdana" w:hAnsi="Verdana"/>
        </w:rPr>
        <w:t>otras</w:t>
      </w:r>
      <w:r w:rsidRPr="00A46177">
        <w:rPr>
          <w:rFonts w:ascii="Verdana" w:hAnsi="Verdana"/>
          <w:spacing w:val="-10"/>
        </w:rPr>
        <w:t xml:space="preserve"> </w:t>
      </w:r>
      <w:r w:rsidRPr="00A46177">
        <w:rPr>
          <w:rFonts w:ascii="Verdana" w:hAnsi="Verdana"/>
        </w:rPr>
        <w:t>cosas,</w:t>
      </w:r>
      <w:r w:rsidRPr="00A46177">
        <w:rPr>
          <w:rFonts w:ascii="Verdana" w:hAnsi="Verdana"/>
          <w:spacing w:val="-10"/>
        </w:rPr>
        <w:t xml:space="preserve"> </w:t>
      </w:r>
      <w:r w:rsidRPr="00A46177">
        <w:rPr>
          <w:rFonts w:ascii="Verdana" w:hAnsi="Verdana"/>
        </w:rPr>
        <w:t>la</w:t>
      </w:r>
      <w:r w:rsidRPr="00A46177">
        <w:rPr>
          <w:rFonts w:ascii="Verdana" w:hAnsi="Verdana"/>
          <w:spacing w:val="-9"/>
        </w:rPr>
        <w:t xml:space="preserve"> </w:t>
      </w:r>
      <w:r w:rsidRPr="00A46177">
        <w:rPr>
          <w:rFonts w:ascii="Verdana" w:hAnsi="Verdana"/>
        </w:rPr>
        <w:t>presunción</w:t>
      </w:r>
      <w:r w:rsidRPr="00A46177">
        <w:rPr>
          <w:rFonts w:ascii="Verdana" w:hAnsi="Verdana"/>
          <w:spacing w:val="-10"/>
        </w:rPr>
        <w:t xml:space="preserve"> </w:t>
      </w:r>
      <w:r w:rsidRPr="00A46177">
        <w:rPr>
          <w:rFonts w:ascii="Verdana" w:hAnsi="Verdana"/>
        </w:rPr>
        <w:t xml:space="preserve">de legalidad y la regla de </w:t>
      </w:r>
      <w:r w:rsidRPr="00A46177">
        <w:rPr>
          <w:rFonts w:ascii="Verdana" w:hAnsi="Verdana"/>
          <w:i/>
        </w:rPr>
        <w:t>inderogabilidad singular del reglamento</w:t>
      </w:r>
      <w:r w:rsidRPr="00A46177">
        <w:rPr>
          <w:rStyle w:val="Refdenotaalpie"/>
          <w:rFonts w:ascii="Verdana" w:hAnsi="Verdana"/>
          <w:i/>
        </w:rPr>
        <w:footnoteReference w:id="11"/>
      </w:r>
      <w:r w:rsidRPr="00A46177">
        <w:rPr>
          <w:rFonts w:ascii="Verdana" w:hAnsi="Verdana"/>
        </w:rPr>
        <w:t>. En tal sentido, su</w:t>
      </w:r>
      <w:r w:rsidRPr="00A46177">
        <w:rPr>
          <w:rFonts w:ascii="Verdana" w:hAnsi="Verdana"/>
          <w:spacing w:val="1"/>
        </w:rPr>
        <w:t xml:space="preserve"> </w:t>
      </w:r>
      <w:r w:rsidRPr="00A46177">
        <w:rPr>
          <w:rFonts w:ascii="Verdana" w:hAnsi="Verdana"/>
        </w:rPr>
        <w:t>contenido vincula a la propia entidad que lo expidió y no puede desconocerlo a su</w:t>
      </w:r>
      <w:r w:rsidRPr="00A46177">
        <w:rPr>
          <w:rFonts w:ascii="Verdana" w:hAnsi="Verdana"/>
          <w:spacing w:val="1"/>
        </w:rPr>
        <w:t xml:space="preserve"> </w:t>
      </w:r>
      <w:r w:rsidRPr="00A46177">
        <w:rPr>
          <w:rFonts w:ascii="Verdana" w:hAnsi="Verdana"/>
          <w:spacing w:val="-1"/>
        </w:rPr>
        <w:t>capricho</w:t>
      </w:r>
      <w:r w:rsidRPr="00A46177">
        <w:rPr>
          <w:rFonts w:ascii="Verdana" w:hAnsi="Verdana"/>
          <w:spacing w:val="-15"/>
        </w:rPr>
        <w:t xml:space="preserve"> </w:t>
      </w:r>
      <w:r w:rsidRPr="00A46177">
        <w:rPr>
          <w:rFonts w:ascii="Verdana" w:hAnsi="Verdana"/>
          <w:spacing w:val="-1"/>
        </w:rPr>
        <w:t>en</w:t>
      </w:r>
      <w:r w:rsidRPr="00A46177">
        <w:rPr>
          <w:rFonts w:ascii="Verdana" w:hAnsi="Verdana"/>
          <w:spacing w:val="-14"/>
        </w:rPr>
        <w:t xml:space="preserve"> </w:t>
      </w:r>
      <w:r w:rsidRPr="00A46177">
        <w:rPr>
          <w:rFonts w:ascii="Verdana" w:hAnsi="Verdana"/>
          <w:spacing w:val="-1"/>
        </w:rPr>
        <w:t>casos</w:t>
      </w:r>
      <w:r w:rsidRPr="00A46177">
        <w:rPr>
          <w:rFonts w:ascii="Verdana" w:hAnsi="Verdana"/>
          <w:spacing w:val="-14"/>
        </w:rPr>
        <w:t xml:space="preserve"> </w:t>
      </w:r>
      <w:r w:rsidRPr="00A46177">
        <w:rPr>
          <w:rFonts w:ascii="Verdana" w:hAnsi="Verdana"/>
          <w:spacing w:val="-1"/>
        </w:rPr>
        <w:t>específicos;</w:t>
      </w:r>
      <w:r w:rsidRPr="00A46177">
        <w:rPr>
          <w:rFonts w:ascii="Verdana" w:hAnsi="Verdana"/>
          <w:spacing w:val="-15"/>
        </w:rPr>
        <w:t xml:space="preserve"> </w:t>
      </w:r>
      <w:r w:rsidRPr="00A46177">
        <w:rPr>
          <w:rFonts w:ascii="Verdana" w:hAnsi="Verdana"/>
          <w:spacing w:val="-1"/>
        </w:rPr>
        <w:t>sin</w:t>
      </w:r>
      <w:r w:rsidRPr="00A46177">
        <w:rPr>
          <w:rFonts w:ascii="Verdana" w:hAnsi="Verdana"/>
          <w:spacing w:val="-14"/>
        </w:rPr>
        <w:t xml:space="preserve"> </w:t>
      </w:r>
      <w:r w:rsidRPr="00A46177">
        <w:rPr>
          <w:rFonts w:ascii="Verdana" w:hAnsi="Verdana"/>
          <w:spacing w:val="-1"/>
        </w:rPr>
        <w:t>perjuicio</w:t>
      </w:r>
      <w:r w:rsidRPr="00A46177">
        <w:rPr>
          <w:rFonts w:ascii="Verdana" w:hAnsi="Verdana"/>
          <w:spacing w:val="-14"/>
        </w:rPr>
        <w:t xml:space="preserve"> </w:t>
      </w:r>
      <w:r w:rsidRPr="00A46177">
        <w:rPr>
          <w:rFonts w:ascii="Verdana" w:hAnsi="Verdana"/>
          <w:spacing w:val="-1"/>
        </w:rPr>
        <w:t>de</w:t>
      </w:r>
      <w:r w:rsidRPr="00A46177">
        <w:rPr>
          <w:rFonts w:ascii="Verdana" w:hAnsi="Verdana"/>
          <w:spacing w:val="-15"/>
        </w:rPr>
        <w:t xml:space="preserve"> </w:t>
      </w:r>
      <w:r w:rsidRPr="00A46177">
        <w:rPr>
          <w:rFonts w:ascii="Verdana" w:hAnsi="Verdana"/>
          <w:spacing w:val="-1"/>
        </w:rPr>
        <w:t>la</w:t>
      </w:r>
      <w:r w:rsidRPr="00A46177">
        <w:rPr>
          <w:rFonts w:ascii="Verdana" w:hAnsi="Verdana"/>
          <w:spacing w:val="-14"/>
        </w:rPr>
        <w:t xml:space="preserve"> </w:t>
      </w:r>
      <w:r w:rsidRPr="00A46177">
        <w:rPr>
          <w:rFonts w:ascii="Verdana" w:hAnsi="Verdana"/>
          <w:spacing w:val="-1"/>
        </w:rPr>
        <w:t>posibilidad</w:t>
      </w:r>
      <w:r w:rsidRPr="00A46177">
        <w:rPr>
          <w:rFonts w:ascii="Verdana" w:hAnsi="Verdana"/>
          <w:spacing w:val="-14"/>
        </w:rPr>
        <w:t xml:space="preserve"> </w:t>
      </w:r>
      <w:r w:rsidRPr="00A46177">
        <w:rPr>
          <w:rFonts w:ascii="Verdana" w:hAnsi="Verdana"/>
        </w:rPr>
        <w:t>de</w:t>
      </w:r>
      <w:r w:rsidRPr="00A46177">
        <w:rPr>
          <w:rFonts w:ascii="Verdana" w:hAnsi="Verdana"/>
          <w:spacing w:val="-14"/>
        </w:rPr>
        <w:t xml:space="preserve"> </w:t>
      </w:r>
      <w:r w:rsidRPr="00A46177">
        <w:rPr>
          <w:rFonts w:ascii="Verdana" w:hAnsi="Verdana"/>
        </w:rPr>
        <w:t>expedir</w:t>
      </w:r>
      <w:r w:rsidRPr="00A46177">
        <w:rPr>
          <w:rFonts w:ascii="Verdana" w:hAnsi="Verdana"/>
          <w:spacing w:val="-15"/>
        </w:rPr>
        <w:t xml:space="preserve"> </w:t>
      </w:r>
      <w:r w:rsidRPr="00A46177">
        <w:rPr>
          <w:rFonts w:ascii="Verdana" w:hAnsi="Verdana"/>
        </w:rPr>
        <w:t>un</w:t>
      </w:r>
      <w:r w:rsidRPr="00A46177">
        <w:rPr>
          <w:rFonts w:ascii="Verdana" w:hAnsi="Verdana"/>
          <w:spacing w:val="-14"/>
        </w:rPr>
        <w:t xml:space="preserve"> </w:t>
      </w:r>
      <w:r w:rsidRPr="00A46177">
        <w:rPr>
          <w:rFonts w:ascii="Verdana" w:hAnsi="Verdana"/>
        </w:rPr>
        <w:t>nuevo</w:t>
      </w:r>
      <w:r w:rsidRPr="00A46177">
        <w:rPr>
          <w:rFonts w:ascii="Verdana" w:hAnsi="Verdana"/>
          <w:spacing w:val="-14"/>
        </w:rPr>
        <w:t xml:space="preserve"> </w:t>
      </w:r>
      <w:r w:rsidRPr="00A46177">
        <w:rPr>
          <w:rFonts w:ascii="Verdana" w:hAnsi="Verdana"/>
        </w:rPr>
        <w:t>manual o</w:t>
      </w:r>
      <w:r w:rsidRPr="00A46177">
        <w:rPr>
          <w:rFonts w:ascii="Verdana" w:hAnsi="Verdana"/>
          <w:spacing w:val="-2"/>
        </w:rPr>
        <w:t xml:space="preserve"> </w:t>
      </w:r>
      <w:r w:rsidRPr="00A46177">
        <w:rPr>
          <w:rFonts w:ascii="Verdana" w:hAnsi="Verdana"/>
        </w:rPr>
        <w:t>de</w:t>
      </w:r>
      <w:r w:rsidRPr="00A46177">
        <w:rPr>
          <w:rFonts w:ascii="Verdana" w:hAnsi="Verdana"/>
          <w:spacing w:val="-1"/>
        </w:rPr>
        <w:t xml:space="preserve"> </w:t>
      </w:r>
      <w:r w:rsidRPr="00A46177">
        <w:rPr>
          <w:rFonts w:ascii="Verdana" w:hAnsi="Verdana"/>
        </w:rPr>
        <w:t>modificar</w:t>
      </w:r>
      <w:r w:rsidRPr="00A46177">
        <w:rPr>
          <w:rFonts w:ascii="Verdana" w:hAnsi="Verdana"/>
          <w:spacing w:val="-1"/>
        </w:rPr>
        <w:t xml:space="preserve"> </w:t>
      </w:r>
      <w:r w:rsidRPr="00A46177">
        <w:rPr>
          <w:rFonts w:ascii="Verdana" w:hAnsi="Verdana"/>
        </w:rPr>
        <w:t>el</w:t>
      </w:r>
      <w:r w:rsidRPr="00A46177">
        <w:rPr>
          <w:rFonts w:ascii="Verdana" w:hAnsi="Verdana"/>
          <w:spacing w:val="-1"/>
        </w:rPr>
        <w:t xml:space="preserve"> </w:t>
      </w:r>
      <w:r w:rsidRPr="00A46177">
        <w:rPr>
          <w:rFonts w:ascii="Verdana" w:hAnsi="Verdana"/>
        </w:rPr>
        <w:t>existente.</w:t>
      </w:r>
    </w:p>
    <w:p w:rsidRPr="00A46177" w:rsidR="00077445" w:rsidP="00077445" w:rsidRDefault="00077445" w14:paraId="367710E9" w14:textId="77777777">
      <w:pPr>
        <w:spacing w:after="120" w:line="276" w:lineRule="auto"/>
        <w:ind w:firstLine="709"/>
        <w:jc w:val="both"/>
        <w:rPr>
          <w:rFonts w:ascii="Verdana" w:hAnsi="Verdana" w:eastAsia="Calibri" w:cs="Arial"/>
          <w:color w:val="000000" w:themeColor="text1"/>
          <w:lang w:val="es-ES_tradnl"/>
        </w:rPr>
      </w:pPr>
      <w:r w:rsidRPr="00A46177">
        <w:rPr>
          <w:rFonts w:ascii="Verdana" w:hAnsi="Verdana" w:eastAsia="Calibri" w:cs="Arial"/>
          <w:color w:val="000000" w:themeColor="text1"/>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rsidRPr="00A46177" w:rsidR="00077445" w:rsidP="00077445" w:rsidRDefault="00077445" w14:paraId="10D0928A" w14:textId="77777777">
      <w:pPr>
        <w:spacing w:after="120" w:line="276" w:lineRule="auto"/>
        <w:ind w:firstLine="709"/>
        <w:jc w:val="both"/>
        <w:rPr>
          <w:rFonts w:ascii="Verdana" w:hAnsi="Verdana" w:eastAsia="Calibri" w:cs="Arial"/>
          <w:color w:val="000000" w:themeColor="text1"/>
          <w:lang w:val="es-ES"/>
        </w:rPr>
      </w:pPr>
      <w:r w:rsidRPr="00A46177">
        <w:rPr>
          <w:rFonts w:ascii="Verdana" w:hAnsi="Verdana" w:eastAsia="Calibri" w:cs="Arial"/>
          <w:color w:val="000000" w:themeColor="text1"/>
          <w:lang w:val="es-ES"/>
        </w:rPr>
        <w:t xml:space="preserve">De otro lado, existen ciertos contenidos determinados por el ordenamiento </w:t>
      </w:r>
      <w:r w:rsidRPr="5DE29535">
        <w:rPr>
          <w:rFonts w:ascii="Verdana" w:hAnsi="Verdana" w:eastAsia="Calibri" w:cs="Arial"/>
          <w:color w:val="000000" w:themeColor="text1"/>
          <w:lang w:val="es-ES"/>
        </w:rPr>
        <w:t xml:space="preserve">jurídico </w:t>
      </w:r>
      <w:r w:rsidRPr="00A46177">
        <w:rPr>
          <w:rFonts w:ascii="Verdana" w:hAnsi="Verdana" w:eastAsia="Calibri" w:cs="Arial"/>
          <w:color w:val="000000" w:themeColor="text1"/>
          <w:lang w:val="es-ES"/>
        </w:rPr>
        <w:t>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A46177">
        <w:rPr>
          <w:rFonts w:ascii="Verdana" w:hAnsi="Verdana" w:eastAsia="Calibri" w:cs="Arial"/>
          <w:color w:val="000000" w:themeColor="text1"/>
          <w:vertAlign w:val="superscript"/>
          <w:lang w:val="es-ES_tradnl"/>
        </w:rPr>
        <w:footnoteReference w:id="12"/>
      </w:r>
      <w:r w:rsidRPr="00A46177">
        <w:rPr>
          <w:rFonts w:ascii="Verdana" w:hAnsi="Verdana" w:eastAsia="Calibri" w:cs="Arial"/>
          <w:color w:val="000000" w:themeColor="text1"/>
          <w:lang w:val="es-ES"/>
        </w:rPr>
        <w:t>.</w:t>
      </w:r>
    </w:p>
    <w:p w:rsidRPr="00A46177" w:rsidR="00077445" w:rsidP="00077445" w:rsidRDefault="00077445" w14:paraId="2C926E15" w14:textId="77777777">
      <w:pPr>
        <w:spacing w:after="120" w:line="276" w:lineRule="auto"/>
        <w:ind w:firstLine="709"/>
        <w:jc w:val="both"/>
        <w:rPr>
          <w:rFonts w:ascii="Verdana" w:hAnsi="Verdana" w:eastAsia="Calibri" w:cs="Arial"/>
          <w:color w:val="000000" w:themeColor="text1"/>
          <w:lang w:val="es-ES"/>
        </w:rPr>
      </w:pPr>
      <w:r w:rsidRPr="00A46177">
        <w:rPr>
          <w:rFonts w:ascii="Verdana" w:hAnsi="Verdana" w:eastAsia="Calibri" w:cs="Arial"/>
          <w:color w:val="000000" w:themeColor="text1"/>
          <w:lang w:val="es-ES"/>
        </w:rPr>
        <w:t>Sin perjuicio de lo anterior, existen múltiples contenidos que pueden ser objeto de regulación en el manual de contratación, por hacer parte del ámbito de configuración en desarrollo de su autonomía contractual</w:t>
      </w:r>
      <w:r w:rsidRPr="5DE29535">
        <w:rPr>
          <w:rFonts w:ascii="Verdana" w:hAnsi="Verdana" w:eastAsia="Calibri" w:cs="Arial"/>
          <w:color w:val="000000" w:themeColor="text1"/>
          <w:lang w:val="es-ES"/>
        </w:rPr>
        <w:t>, siempre que no contravengan la Constitución ni</w:t>
      </w:r>
      <w:r w:rsidRPr="00A46177">
        <w:rPr>
          <w:rFonts w:ascii="Verdana" w:hAnsi="Verdana" w:eastAsia="Calibri" w:cs="Arial"/>
          <w:color w:val="000000" w:themeColor="text1"/>
          <w:lang w:val="es-ES"/>
        </w:rPr>
        <w:t xml:space="preserve"> la ley</w:t>
      </w:r>
      <w:r w:rsidRPr="5DE29535">
        <w:rPr>
          <w:rFonts w:ascii="Verdana" w:hAnsi="Verdana" w:eastAsia="Calibri" w:cs="Arial"/>
          <w:color w:val="000000" w:themeColor="text1"/>
          <w:lang w:val="es-ES"/>
        </w:rPr>
        <w:t>. Por ejemplo,</w:t>
      </w:r>
      <w:r w:rsidRPr="00A46177">
        <w:rPr>
          <w:rFonts w:ascii="Verdana" w:hAnsi="Verdana" w:eastAsia="Calibri" w:cs="Arial"/>
          <w:color w:val="000000" w:themeColor="text1"/>
          <w:lang w:val="es-ES"/>
        </w:rPr>
        <w:t xml:space="preserve"> la definición de algunos requisitos de ejecución del contrato, con excepción de los que la ley imponga, la </w:t>
      </w:r>
      <w:r w:rsidRPr="00A46177">
        <w:rPr>
          <w:rFonts w:ascii="Verdana" w:hAnsi="Verdana" w:eastAsia="Calibri" w:cs="Arial"/>
          <w:color w:val="000000" w:themeColor="text1"/>
          <w:lang w:val="es-ES"/>
        </w:rPr>
        <w:t>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w:t>
      </w:r>
    </w:p>
    <w:p w:rsidRPr="00A46177" w:rsidR="00077445" w:rsidP="00077445" w:rsidRDefault="00077445" w14:paraId="0895ED14" w14:textId="77777777">
      <w:pPr>
        <w:widowControl w:val="0"/>
        <w:autoSpaceDE w:val="0"/>
        <w:autoSpaceDN w:val="0"/>
        <w:spacing w:after="120" w:line="276" w:lineRule="auto"/>
        <w:jc w:val="both"/>
        <w:rPr>
          <w:rFonts w:ascii="Verdana" w:hAnsi="Verdana" w:eastAsia="Arial" w:cs="Arial"/>
          <w:lang w:val="es-ES"/>
        </w:rPr>
      </w:pPr>
      <w:r>
        <w:rPr>
          <w:rFonts w:ascii="Verdana" w:hAnsi="Verdana" w:eastAsia="Arial" w:cs="Arial"/>
          <w:lang w:val="es-ES"/>
        </w:rPr>
        <w:t xml:space="preserve">iii) </w:t>
      </w:r>
      <w:r w:rsidRPr="00A46177">
        <w:rPr>
          <w:rFonts w:ascii="Verdana" w:hAnsi="Verdana" w:eastAsia="Arial" w:cs="Arial"/>
          <w:lang w:val="es-ES"/>
        </w:rPr>
        <w:t xml:space="preserve">En lo referente a las </w:t>
      </w:r>
      <w:r w:rsidRPr="002A22E2">
        <w:rPr>
          <w:rFonts w:ascii="Verdana" w:hAnsi="Verdana" w:cs="Arial"/>
          <w:lang w:val="es-MX"/>
        </w:rPr>
        <w:t>–ESE–</w:t>
      </w:r>
      <w:r w:rsidRPr="00A46177">
        <w:rPr>
          <w:rFonts w:ascii="Verdana" w:hAnsi="Verdana" w:eastAsia="Arial" w:cs="Arial"/>
          <w:lang w:val="es-ES"/>
        </w:rPr>
        <w:t>, el Ministerio de Salud y</w:t>
      </w:r>
      <w:r w:rsidRPr="00A46177">
        <w:rPr>
          <w:rFonts w:ascii="Verdana" w:hAnsi="Verdana" w:eastAsia="Arial" w:cs="Arial"/>
          <w:spacing w:val="1"/>
          <w:lang w:val="es-ES"/>
        </w:rPr>
        <w:t xml:space="preserve"> </w:t>
      </w:r>
      <w:r w:rsidRPr="00A46177">
        <w:rPr>
          <w:rFonts w:ascii="Verdana" w:hAnsi="Verdana" w:eastAsia="Arial" w:cs="Arial"/>
          <w:lang w:val="es-ES"/>
        </w:rPr>
        <w:t xml:space="preserve">Protección Social, </w:t>
      </w:r>
      <w:r>
        <w:rPr>
          <w:rFonts w:ascii="Verdana" w:hAnsi="Verdana" w:eastAsia="Arial" w:cs="Arial"/>
          <w:lang w:val="es-ES"/>
        </w:rPr>
        <w:t>expidió</w:t>
      </w:r>
      <w:r w:rsidRPr="00A46177">
        <w:rPr>
          <w:rFonts w:ascii="Verdana" w:hAnsi="Verdana" w:eastAsia="Arial" w:cs="Arial"/>
          <w:lang w:val="es-ES"/>
        </w:rPr>
        <w:t xml:space="preserve"> la Resolución No. 5185 de 2013, modificad</w:t>
      </w:r>
      <w:r>
        <w:rPr>
          <w:rFonts w:ascii="Verdana" w:hAnsi="Verdana" w:eastAsia="Arial" w:cs="Arial"/>
          <w:lang w:val="es-ES"/>
        </w:rPr>
        <w:t>a</w:t>
      </w:r>
      <w:r w:rsidRPr="00A46177">
        <w:rPr>
          <w:rFonts w:ascii="Verdana" w:hAnsi="Verdana" w:eastAsia="Arial" w:cs="Arial"/>
          <w:lang w:val="es-ES"/>
        </w:rPr>
        <w:t xml:space="preserve"> por la Resolución 1440 del 14 de agosto de 2024</w:t>
      </w:r>
      <w:r>
        <w:rPr>
          <w:rStyle w:val="Refdenotaalpie"/>
          <w:rFonts w:ascii="Verdana" w:hAnsi="Verdana" w:eastAsia="Arial" w:cs="Arial"/>
          <w:lang w:val="es-ES"/>
        </w:rPr>
        <w:footnoteReference w:id="13"/>
      </w:r>
      <w:r w:rsidRPr="00A46177">
        <w:rPr>
          <w:rFonts w:ascii="Verdana" w:hAnsi="Verdana" w:eastAsia="Arial" w:cs="Arial"/>
          <w:lang w:val="es-ES"/>
        </w:rPr>
        <w:t xml:space="preserve">, </w:t>
      </w:r>
      <w:r>
        <w:rPr>
          <w:rFonts w:ascii="Verdana" w:hAnsi="Verdana" w:eastAsia="Arial" w:cs="Arial"/>
          <w:lang w:val="es-ES"/>
        </w:rPr>
        <w:t xml:space="preserve">mediante la cual se </w:t>
      </w:r>
      <w:r w:rsidRPr="00A46177">
        <w:rPr>
          <w:rFonts w:ascii="Verdana" w:hAnsi="Verdana" w:eastAsia="Arial" w:cs="Arial"/>
          <w:lang w:val="es-ES"/>
        </w:rPr>
        <w:t>fij</w:t>
      </w:r>
      <w:r>
        <w:rPr>
          <w:rFonts w:ascii="Verdana" w:hAnsi="Verdana" w:eastAsia="Arial" w:cs="Arial"/>
          <w:lang w:val="es-ES"/>
        </w:rPr>
        <w:t>an</w:t>
      </w:r>
      <w:r w:rsidRPr="00A46177">
        <w:rPr>
          <w:rFonts w:ascii="Verdana" w:hAnsi="Verdana" w:eastAsia="Arial" w:cs="Arial"/>
          <w:lang w:val="es-ES"/>
        </w:rPr>
        <w:t xml:space="preserve"> los lineamientos</w:t>
      </w:r>
      <w:r w:rsidRPr="00A46177">
        <w:rPr>
          <w:rFonts w:ascii="Verdana" w:hAnsi="Verdana" w:eastAsia="Arial" w:cs="Arial"/>
          <w:spacing w:val="1"/>
          <w:lang w:val="es-ES"/>
        </w:rPr>
        <w:t xml:space="preserve"> </w:t>
      </w:r>
      <w:r w:rsidRPr="00A46177">
        <w:rPr>
          <w:rFonts w:ascii="Verdana" w:hAnsi="Verdana" w:eastAsia="Arial" w:cs="Arial"/>
          <w:lang w:val="es-ES"/>
        </w:rPr>
        <w:t>para</w:t>
      </w:r>
      <w:r w:rsidRPr="00A46177">
        <w:rPr>
          <w:rFonts w:ascii="Verdana" w:hAnsi="Verdana" w:eastAsia="Arial" w:cs="Arial"/>
          <w:spacing w:val="-10"/>
          <w:lang w:val="es-ES"/>
        </w:rPr>
        <w:t xml:space="preserve"> </w:t>
      </w:r>
      <w:r w:rsidRPr="00A46177">
        <w:rPr>
          <w:rFonts w:ascii="Verdana" w:hAnsi="Verdana" w:eastAsia="Arial" w:cs="Arial"/>
          <w:lang w:val="es-ES"/>
        </w:rPr>
        <w:t>que</w:t>
      </w:r>
      <w:r w:rsidRPr="00A46177">
        <w:rPr>
          <w:rFonts w:ascii="Verdana" w:hAnsi="Verdana" w:eastAsia="Arial" w:cs="Arial"/>
          <w:spacing w:val="-10"/>
          <w:lang w:val="es-ES"/>
        </w:rPr>
        <w:t xml:space="preserve"> </w:t>
      </w:r>
      <w:r w:rsidRPr="00A46177">
        <w:rPr>
          <w:rFonts w:ascii="Verdana" w:hAnsi="Verdana" w:eastAsia="Arial" w:cs="Arial"/>
          <w:lang w:val="es-ES"/>
        </w:rPr>
        <w:t>tales</w:t>
      </w:r>
      <w:r w:rsidRPr="00A46177">
        <w:rPr>
          <w:rFonts w:ascii="Verdana" w:hAnsi="Verdana" w:eastAsia="Arial" w:cs="Arial"/>
          <w:spacing w:val="-10"/>
          <w:lang w:val="es-ES"/>
        </w:rPr>
        <w:t xml:space="preserve"> </w:t>
      </w:r>
      <w:r w:rsidRPr="00A46177">
        <w:rPr>
          <w:rFonts w:ascii="Verdana" w:hAnsi="Verdana" w:eastAsia="Arial" w:cs="Arial"/>
          <w:lang w:val="es-ES"/>
        </w:rPr>
        <w:t>entidades</w:t>
      </w:r>
      <w:r w:rsidRPr="00A46177">
        <w:rPr>
          <w:rFonts w:ascii="Verdana" w:hAnsi="Verdana" w:eastAsia="Arial" w:cs="Arial"/>
          <w:spacing w:val="-10"/>
          <w:lang w:val="es-ES"/>
        </w:rPr>
        <w:t xml:space="preserve"> </w:t>
      </w:r>
      <w:r w:rsidRPr="00A46177">
        <w:rPr>
          <w:rFonts w:ascii="Verdana" w:hAnsi="Verdana" w:eastAsia="Arial" w:cs="Arial"/>
          <w:lang w:val="es-ES"/>
        </w:rPr>
        <w:t>adopten</w:t>
      </w:r>
      <w:r w:rsidRPr="00A46177">
        <w:rPr>
          <w:rFonts w:ascii="Verdana" w:hAnsi="Verdana" w:eastAsia="Arial" w:cs="Arial"/>
          <w:spacing w:val="-10"/>
          <w:lang w:val="es-ES"/>
        </w:rPr>
        <w:t xml:space="preserve"> </w:t>
      </w:r>
      <w:r w:rsidRPr="00A46177">
        <w:rPr>
          <w:rFonts w:ascii="Verdana" w:hAnsi="Verdana" w:eastAsia="Arial" w:cs="Arial"/>
          <w:lang w:val="es-ES"/>
        </w:rPr>
        <w:t>los</w:t>
      </w:r>
      <w:r w:rsidRPr="00A46177">
        <w:rPr>
          <w:rFonts w:ascii="Verdana" w:hAnsi="Verdana" w:eastAsia="Arial" w:cs="Arial"/>
          <w:spacing w:val="-10"/>
          <w:lang w:val="es-ES"/>
        </w:rPr>
        <w:t xml:space="preserve"> </w:t>
      </w:r>
      <w:r w:rsidRPr="00A46177">
        <w:rPr>
          <w:rFonts w:ascii="Verdana" w:hAnsi="Verdana" w:eastAsia="Arial" w:cs="Arial"/>
          <w:lang w:val="es-ES"/>
        </w:rPr>
        <w:t>manuales</w:t>
      </w:r>
      <w:r w:rsidRPr="00A46177">
        <w:rPr>
          <w:rFonts w:ascii="Verdana" w:hAnsi="Verdana" w:eastAsia="Arial" w:cs="Arial"/>
          <w:spacing w:val="-10"/>
          <w:lang w:val="es-ES"/>
        </w:rPr>
        <w:t xml:space="preserve"> </w:t>
      </w:r>
      <w:r w:rsidRPr="00A46177">
        <w:rPr>
          <w:rFonts w:ascii="Verdana" w:hAnsi="Verdana" w:eastAsia="Arial" w:cs="Arial"/>
          <w:lang w:val="es-ES"/>
        </w:rPr>
        <w:t>de</w:t>
      </w:r>
      <w:r w:rsidRPr="00A46177">
        <w:rPr>
          <w:rFonts w:ascii="Verdana" w:hAnsi="Verdana" w:eastAsia="Arial" w:cs="Arial"/>
          <w:spacing w:val="-10"/>
          <w:lang w:val="es-ES"/>
        </w:rPr>
        <w:t xml:space="preserve"> </w:t>
      </w:r>
      <w:r w:rsidRPr="00A46177">
        <w:rPr>
          <w:rFonts w:ascii="Verdana" w:hAnsi="Verdana" w:eastAsia="Arial" w:cs="Arial"/>
          <w:lang w:val="es-ES"/>
        </w:rPr>
        <w:t>contratación</w:t>
      </w:r>
      <w:r w:rsidRPr="00A46177">
        <w:rPr>
          <w:rFonts w:ascii="Verdana" w:hAnsi="Verdana" w:eastAsia="Arial" w:cs="Arial"/>
          <w:spacing w:val="-10"/>
          <w:lang w:val="es-ES"/>
        </w:rPr>
        <w:t xml:space="preserve"> </w:t>
      </w:r>
      <w:r w:rsidRPr="00A46177">
        <w:rPr>
          <w:rFonts w:ascii="Verdana" w:hAnsi="Verdana" w:eastAsia="Arial" w:cs="Arial"/>
          <w:lang w:val="es-ES"/>
        </w:rPr>
        <w:t>que</w:t>
      </w:r>
      <w:r w:rsidRPr="00A46177">
        <w:rPr>
          <w:rFonts w:ascii="Verdana" w:hAnsi="Verdana" w:eastAsia="Arial" w:cs="Arial"/>
          <w:spacing w:val="-9"/>
          <w:lang w:val="es-ES"/>
        </w:rPr>
        <w:t xml:space="preserve"> </w:t>
      </w:r>
      <w:r w:rsidRPr="00A46177">
        <w:rPr>
          <w:rFonts w:ascii="Verdana" w:hAnsi="Verdana" w:eastAsia="Arial" w:cs="Arial"/>
          <w:lang w:val="es-ES"/>
        </w:rPr>
        <w:t>regirán</w:t>
      </w:r>
      <w:r w:rsidRPr="00A46177">
        <w:rPr>
          <w:rFonts w:ascii="Verdana" w:hAnsi="Verdana" w:eastAsia="Arial" w:cs="Arial"/>
          <w:spacing w:val="-10"/>
          <w:lang w:val="es-ES"/>
        </w:rPr>
        <w:t xml:space="preserve"> </w:t>
      </w:r>
      <w:r w:rsidRPr="00A46177">
        <w:rPr>
          <w:rFonts w:ascii="Verdana" w:hAnsi="Verdana" w:eastAsia="Arial" w:cs="Arial"/>
          <w:lang w:val="es-ES"/>
        </w:rPr>
        <w:t>su</w:t>
      </w:r>
      <w:r w:rsidRPr="00A46177">
        <w:rPr>
          <w:rFonts w:ascii="Verdana" w:hAnsi="Verdana" w:eastAsia="Arial" w:cs="Arial"/>
          <w:spacing w:val="-10"/>
          <w:lang w:val="es-ES"/>
        </w:rPr>
        <w:t xml:space="preserve"> </w:t>
      </w:r>
      <w:r w:rsidRPr="00A46177">
        <w:rPr>
          <w:rFonts w:ascii="Verdana" w:hAnsi="Verdana" w:eastAsia="Arial" w:cs="Arial"/>
          <w:lang w:val="es-ES"/>
        </w:rPr>
        <w:t>actividad</w:t>
      </w:r>
      <w:r w:rsidRPr="00A46177">
        <w:rPr>
          <w:rFonts w:ascii="Verdana" w:hAnsi="Verdana" w:eastAsia="Arial" w:cs="Arial"/>
          <w:spacing w:val="-59"/>
          <w:lang w:val="es-ES"/>
        </w:rPr>
        <w:t xml:space="preserve"> </w:t>
      </w:r>
      <w:r w:rsidRPr="00A46177">
        <w:rPr>
          <w:rFonts w:ascii="Verdana" w:hAnsi="Verdana" w:eastAsia="Arial" w:cs="Arial"/>
          <w:lang w:val="es-ES"/>
        </w:rPr>
        <w:t>contractual. Este acto administrativo, dictado en ejercicio de las facultades conferidas</w:t>
      </w:r>
      <w:r w:rsidRPr="00A46177">
        <w:rPr>
          <w:rFonts w:ascii="Verdana" w:hAnsi="Verdana" w:eastAsia="Arial" w:cs="Arial"/>
          <w:spacing w:val="1"/>
          <w:lang w:val="es-ES"/>
        </w:rPr>
        <w:t xml:space="preserve"> </w:t>
      </w:r>
      <w:r w:rsidRPr="00A46177">
        <w:rPr>
          <w:rFonts w:ascii="Verdana" w:hAnsi="Verdana" w:eastAsia="Arial" w:cs="Arial"/>
          <w:lang w:val="es-ES"/>
        </w:rPr>
        <w:t>por el artículo 76 de la Ley 1438 de 2011</w:t>
      </w:r>
      <w:r w:rsidRPr="00A46177">
        <w:rPr>
          <w:rStyle w:val="Refdenotaalpie"/>
          <w:rFonts w:ascii="Verdana" w:hAnsi="Verdana" w:eastAsia="Arial" w:cs="Arial"/>
          <w:lang w:val="es-ES"/>
        </w:rPr>
        <w:footnoteReference w:id="14"/>
      </w:r>
      <w:r w:rsidRPr="00A46177">
        <w:rPr>
          <w:rFonts w:ascii="Verdana" w:hAnsi="Verdana" w:eastAsia="Arial" w:cs="Arial"/>
          <w:lang w:val="es-ES"/>
        </w:rPr>
        <w:t>, contiene varios criterios que se deberán</w:t>
      </w:r>
      <w:r w:rsidRPr="00A46177">
        <w:rPr>
          <w:rFonts w:ascii="Verdana" w:hAnsi="Verdana" w:eastAsia="Arial" w:cs="Arial"/>
          <w:spacing w:val="1"/>
          <w:lang w:val="es-ES"/>
        </w:rPr>
        <w:t xml:space="preserve"> </w:t>
      </w:r>
      <w:r w:rsidRPr="00A46177">
        <w:rPr>
          <w:rFonts w:ascii="Verdana" w:hAnsi="Verdana" w:eastAsia="Arial" w:cs="Arial"/>
          <w:lang w:val="es-ES"/>
        </w:rPr>
        <w:t>cuenta</w:t>
      </w:r>
      <w:r w:rsidRPr="00A46177">
        <w:rPr>
          <w:rFonts w:ascii="Verdana" w:hAnsi="Verdana" w:eastAsia="Arial" w:cs="Arial"/>
          <w:spacing w:val="-2"/>
          <w:lang w:val="es-ES"/>
        </w:rPr>
        <w:t xml:space="preserve"> </w:t>
      </w:r>
      <w:r w:rsidRPr="00A46177">
        <w:rPr>
          <w:rFonts w:ascii="Verdana" w:hAnsi="Verdana" w:eastAsia="Arial" w:cs="Arial"/>
          <w:lang w:val="es-ES"/>
        </w:rPr>
        <w:t>a</w:t>
      </w:r>
      <w:r w:rsidRPr="00A46177">
        <w:rPr>
          <w:rFonts w:ascii="Verdana" w:hAnsi="Verdana" w:eastAsia="Arial" w:cs="Arial"/>
          <w:spacing w:val="-1"/>
          <w:lang w:val="es-ES"/>
        </w:rPr>
        <w:t xml:space="preserve"> </w:t>
      </w:r>
      <w:r w:rsidRPr="00A46177">
        <w:rPr>
          <w:rFonts w:ascii="Verdana" w:hAnsi="Verdana" w:eastAsia="Arial" w:cs="Arial"/>
          <w:lang w:val="es-ES"/>
        </w:rPr>
        <w:t>la</w:t>
      </w:r>
      <w:r w:rsidRPr="00A46177">
        <w:rPr>
          <w:rFonts w:ascii="Verdana" w:hAnsi="Verdana" w:eastAsia="Arial" w:cs="Arial"/>
          <w:spacing w:val="-1"/>
          <w:lang w:val="es-ES"/>
        </w:rPr>
        <w:t xml:space="preserve"> </w:t>
      </w:r>
      <w:r w:rsidRPr="00A46177">
        <w:rPr>
          <w:rFonts w:ascii="Verdana" w:hAnsi="Verdana" w:eastAsia="Arial" w:cs="Arial"/>
          <w:lang w:val="es-ES"/>
        </w:rPr>
        <w:t>hora</w:t>
      </w:r>
      <w:r w:rsidRPr="00A46177">
        <w:rPr>
          <w:rFonts w:ascii="Verdana" w:hAnsi="Verdana" w:eastAsia="Arial" w:cs="Arial"/>
          <w:spacing w:val="-1"/>
          <w:lang w:val="es-ES"/>
        </w:rPr>
        <w:t xml:space="preserve"> </w:t>
      </w:r>
      <w:r w:rsidRPr="00A46177">
        <w:rPr>
          <w:rFonts w:ascii="Verdana" w:hAnsi="Verdana" w:eastAsia="Arial" w:cs="Arial"/>
          <w:lang w:val="es-ES"/>
        </w:rPr>
        <w:t>de</w:t>
      </w:r>
      <w:r w:rsidRPr="00A46177">
        <w:rPr>
          <w:rFonts w:ascii="Verdana" w:hAnsi="Verdana" w:eastAsia="Arial" w:cs="Arial"/>
          <w:spacing w:val="-2"/>
          <w:lang w:val="es-ES"/>
        </w:rPr>
        <w:t xml:space="preserve"> </w:t>
      </w:r>
      <w:r w:rsidRPr="00A46177">
        <w:rPr>
          <w:rFonts w:ascii="Verdana" w:hAnsi="Verdana" w:eastAsia="Arial" w:cs="Arial"/>
          <w:lang w:val="es-ES"/>
        </w:rPr>
        <w:t>adoptar</w:t>
      </w:r>
      <w:r w:rsidRPr="00A46177">
        <w:rPr>
          <w:rFonts w:ascii="Verdana" w:hAnsi="Verdana" w:eastAsia="Arial" w:cs="Arial"/>
          <w:spacing w:val="-1"/>
          <w:lang w:val="es-ES"/>
        </w:rPr>
        <w:t xml:space="preserve"> </w:t>
      </w:r>
      <w:r w:rsidRPr="00A46177">
        <w:rPr>
          <w:rFonts w:ascii="Verdana" w:hAnsi="Verdana" w:eastAsia="Arial" w:cs="Arial"/>
          <w:lang w:val="es-ES"/>
        </w:rPr>
        <w:t>los</w:t>
      </w:r>
      <w:r w:rsidRPr="00A46177">
        <w:rPr>
          <w:rFonts w:ascii="Verdana" w:hAnsi="Verdana" w:eastAsia="Arial" w:cs="Arial"/>
          <w:spacing w:val="-1"/>
          <w:lang w:val="es-ES"/>
        </w:rPr>
        <w:t xml:space="preserve"> </w:t>
      </w:r>
      <w:r w:rsidRPr="00A46177">
        <w:rPr>
          <w:rFonts w:ascii="Verdana" w:hAnsi="Verdana" w:eastAsia="Arial" w:cs="Arial"/>
          <w:lang w:val="es-ES"/>
        </w:rPr>
        <w:t>manuales</w:t>
      </w:r>
      <w:r w:rsidRPr="00A46177">
        <w:rPr>
          <w:rFonts w:ascii="Verdana" w:hAnsi="Verdana" w:eastAsia="Arial" w:cs="Arial"/>
          <w:spacing w:val="-1"/>
          <w:lang w:val="es-ES"/>
        </w:rPr>
        <w:t xml:space="preserve"> </w:t>
      </w:r>
      <w:r w:rsidRPr="00A46177">
        <w:rPr>
          <w:rFonts w:ascii="Verdana" w:hAnsi="Verdana" w:eastAsia="Arial" w:cs="Arial"/>
          <w:lang w:val="es-ES"/>
        </w:rPr>
        <w:t>de</w:t>
      </w:r>
      <w:r w:rsidRPr="00A46177">
        <w:rPr>
          <w:rFonts w:ascii="Verdana" w:hAnsi="Verdana" w:eastAsia="Arial" w:cs="Arial"/>
          <w:spacing w:val="-2"/>
          <w:lang w:val="es-ES"/>
        </w:rPr>
        <w:t xml:space="preserve"> </w:t>
      </w:r>
      <w:r w:rsidRPr="00A46177">
        <w:rPr>
          <w:rFonts w:ascii="Verdana" w:hAnsi="Verdana" w:eastAsia="Arial" w:cs="Arial"/>
          <w:lang w:val="es-ES"/>
        </w:rPr>
        <w:t>contratación.</w:t>
      </w:r>
    </w:p>
    <w:p w:rsidR="00077445" w:rsidP="00077445" w:rsidRDefault="00077445" w14:paraId="7AB4DCBF" w14:textId="77777777">
      <w:pPr>
        <w:spacing w:after="120" w:line="276" w:lineRule="auto"/>
        <w:ind w:firstLine="708"/>
        <w:jc w:val="both"/>
        <w:rPr>
          <w:rFonts w:ascii="Verdana" w:hAnsi="Verdana" w:eastAsia="Calibri" w:cs="Arial"/>
          <w:lang w:val="es-ES"/>
        </w:rPr>
      </w:pPr>
      <w:r w:rsidRPr="00A46177">
        <w:rPr>
          <w:rFonts w:ascii="Verdana" w:hAnsi="Verdana" w:eastAsia="Arial" w:cs="Arial"/>
          <w:lang w:val="es-ES"/>
        </w:rPr>
        <w:t>En las disposiciones de Resolución No. 5185 de 2013 se reitera el régimen de</w:t>
      </w:r>
      <w:r w:rsidRPr="00A46177">
        <w:rPr>
          <w:rFonts w:ascii="Verdana" w:hAnsi="Verdana" w:eastAsia="Arial" w:cs="Arial"/>
          <w:spacing w:val="1"/>
          <w:lang w:val="es-ES"/>
        </w:rPr>
        <w:t xml:space="preserve"> </w:t>
      </w:r>
      <w:r w:rsidRPr="00A46177">
        <w:rPr>
          <w:rFonts w:ascii="Verdana" w:hAnsi="Verdana" w:eastAsia="Arial" w:cs="Arial"/>
          <w:lang w:val="es-ES"/>
        </w:rPr>
        <w:t>contratación</w:t>
      </w:r>
      <w:r w:rsidRPr="00A46177">
        <w:rPr>
          <w:rFonts w:ascii="Verdana" w:hAnsi="Verdana" w:eastAsia="Arial" w:cs="Arial"/>
          <w:spacing w:val="-12"/>
          <w:lang w:val="es-ES"/>
        </w:rPr>
        <w:t xml:space="preserve"> </w:t>
      </w:r>
      <w:r w:rsidRPr="00A46177">
        <w:rPr>
          <w:rFonts w:ascii="Verdana" w:hAnsi="Verdana" w:eastAsia="Arial" w:cs="Arial"/>
          <w:lang w:val="es-ES"/>
        </w:rPr>
        <w:t>de</w:t>
      </w:r>
      <w:r w:rsidRPr="00A46177">
        <w:rPr>
          <w:rFonts w:ascii="Verdana" w:hAnsi="Verdana" w:eastAsia="Arial" w:cs="Arial"/>
          <w:spacing w:val="-12"/>
          <w:lang w:val="es-ES"/>
        </w:rPr>
        <w:t xml:space="preserve"> </w:t>
      </w:r>
      <w:r w:rsidRPr="00A46177">
        <w:rPr>
          <w:rFonts w:ascii="Verdana" w:hAnsi="Verdana" w:eastAsia="Arial" w:cs="Arial"/>
          <w:lang w:val="es-ES"/>
        </w:rPr>
        <w:t>estas</w:t>
      </w:r>
      <w:r w:rsidRPr="00A46177">
        <w:rPr>
          <w:rFonts w:ascii="Verdana" w:hAnsi="Verdana" w:eastAsia="Arial" w:cs="Arial"/>
          <w:spacing w:val="-12"/>
          <w:lang w:val="es-ES"/>
        </w:rPr>
        <w:t xml:space="preserve"> </w:t>
      </w:r>
      <w:r w:rsidRPr="00A46177">
        <w:rPr>
          <w:rFonts w:ascii="Verdana" w:hAnsi="Verdana" w:eastAsia="Arial" w:cs="Arial"/>
          <w:lang w:val="es-ES"/>
        </w:rPr>
        <w:t>entidades</w:t>
      </w:r>
      <w:r w:rsidRPr="00A46177">
        <w:rPr>
          <w:rFonts w:ascii="Verdana" w:hAnsi="Verdana" w:eastAsia="Arial" w:cs="Arial"/>
          <w:spacing w:val="-12"/>
          <w:lang w:val="es-ES"/>
        </w:rPr>
        <w:t xml:space="preserve"> </w:t>
      </w:r>
      <w:r w:rsidRPr="00A46177">
        <w:rPr>
          <w:rFonts w:ascii="Verdana" w:hAnsi="Verdana" w:eastAsia="Arial" w:cs="Arial"/>
          <w:lang w:val="es-ES"/>
        </w:rPr>
        <w:t>–Art.2–,</w:t>
      </w:r>
      <w:r w:rsidRPr="00A46177">
        <w:rPr>
          <w:rFonts w:ascii="Verdana" w:hAnsi="Verdana" w:eastAsia="Arial" w:cs="Arial"/>
          <w:spacing w:val="-12"/>
          <w:lang w:val="es-ES"/>
        </w:rPr>
        <w:t xml:space="preserve"> </w:t>
      </w:r>
      <w:r w:rsidRPr="00A46177">
        <w:rPr>
          <w:rFonts w:ascii="Verdana" w:hAnsi="Verdana" w:eastAsia="Arial" w:cs="Arial"/>
          <w:lang w:val="es-ES"/>
        </w:rPr>
        <w:t>se</w:t>
      </w:r>
      <w:r w:rsidRPr="00A46177">
        <w:rPr>
          <w:rFonts w:ascii="Verdana" w:hAnsi="Verdana" w:eastAsia="Arial" w:cs="Arial"/>
          <w:spacing w:val="-12"/>
          <w:lang w:val="es-ES"/>
        </w:rPr>
        <w:t xml:space="preserve"> </w:t>
      </w:r>
      <w:r w:rsidRPr="00A46177">
        <w:rPr>
          <w:rFonts w:ascii="Verdana" w:hAnsi="Verdana" w:eastAsia="Arial" w:cs="Arial"/>
          <w:lang w:val="es-ES"/>
        </w:rPr>
        <w:t>alude</w:t>
      </w:r>
      <w:r w:rsidRPr="00A46177">
        <w:rPr>
          <w:rFonts w:ascii="Verdana" w:hAnsi="Verdana" w:eastAsia="Arial" w:cs="Arial"/>
          <w:spacing w:val="-12"/>
          <w:lang w:val="es-ES"/>
        </w:rPr>
        <w:t xml:space="preserve"> </w:t>
      </w:r>
      <w:r w:rsidRPr="00A46177">
        <w:rPr>
          <w:rFonts w:ascii="Verdana" w:hAnsi="Verdana" w:eastAsia="Arial" w:cs="Arial"/>
          <w:lang w:val="es-ES"/>
        </w:rPr>
        <w:t>a</w:t>
      </w:r>
      <w:r w:rsidRPr="00A46177">
        <w:rPr>
          <w:rFonts w:ascii="Verdana" w:hAnsi="Verdana" w:eastAsia="Arial" w:cs="Arial"/>
          <w:spacing w:val="-12"/>
          <w:lang w:val="es-ES"/>
        </w:rPr>
        <w:t xml:space="preserve"> </w:t>
      </w:r>
      <w:r w:rsidRPr="00A46177">
        <w:rPr>
          <w:rFonts w:ascii="Verdana" w:hAnsi="Verdana" w:eastAsia="Arial" w:cs="Arial"/>
          <w:lang w:val="es-ES"/>
        </w:rPr>
        <w:t>los</w:t>
      </w:r>
      <w:r w:rsidRPr="00A46177">
        <w:rPr>
          <w:rFonts w:ascii="Verdana" w:hAnsi="Verdana" w:eastAsia="Arial" w:cs="Arial"/>
          <w:spacing w:val="-12"/>
          <w:lang w:val="es-ES"/>
        </w:rPr>
        <w:t xml:space="preserve"> </w:t>
      </w:r>
      <w:r w:rsidRPr="00A46177">
        <w:rPr>
          <w:rFonts w:ascii="Verdana" w:hAnsi="Verdana" w:eastAsia="Arial" w:cs="Arial"/>
          <w:lang w:val="es-ES"/>
        </w:rPr>
        <w:t>fines</w:t>
      </w:r>
      <w:r w:rsidRPr="00A46177">
        <w:rPr>
          <w:rFonts w:ascii="Verdana" w:hAnsi="Verdana" w:eastAsia="Arial" w:cs="Arial"/>
          <w:spacing w:val="-11"/>
          <w:lang w:val="es-ES"/>
        </w:rPr>
        <w:t xml:space="preserve"> </w:t>
      </w:r>
      <w:r w:rsidRPr="00A46177">
        <w:rPr>
          <w:rFonts w:ascii="Verdana" w:hAnsi="Verdana" w:eastAsia="Arial" w:cs="Arial"/>
          <w:lang w:val="es-ES"/>
        </w:rPr>
        <w:t>de</w:t>
      </w:r>
      <w:r w:rsidRPr="00A46177">
        <w:rPr>
          <w:rFonts w:ascii="Verdana" w:hAnsi="Verdana" w:eastAsia="Arial" w:cs="Arial"/>
          <w:spacing w:val="-12"/>
          <w:lang w:val="es-ES"/>
        </w:rPr>
        <w:t xml:space="preserve"> </w:t>
      </w:r>
      <w:r w:rsidRPr="00A46177">
        <w:rPr>
          <w:rFonts w:ascii="Verdana" w:hAnsi="Verdana" w:eastAsia="Arial" w:cs="Arial"/>
          <w:lang w:val="es-ES"/>
        </w:rPr>
        <w:t>la</w:t>
      </w:r>
      <w:r w:rsidRPr="00A46177">
        <w:rPr>
          <w:rFonts w:ascii="Verdana" w:hAnsi="Verdana" w:eastAsia="Arial" w:cs="Arial"/>
          <w:spacing w:val="-12"/>
          <w:lang w:val="es-ES"/>
        </w:rPr>
        <w:t xml:space="preserve"> </w:t>
      </w:r>
      <w:r w:rsidRPr="00A46177">
        <w:rPr>
          <w:rFonts w:ascii="Verdana" w:hAnsi="Verdana" w:eastAsia="Arial" w:cs="Arial"/>
          <w:lang w:val="es-ES"/>
        </w:rPr>
        <w:t>contratación</w:t>
      </w:r>
      <w:r w:rsidRPr="00A46177">
        <w:rPr>
          <w:rFonts w:ascii="Verdana" w:hAnsi="Verdana" w:eastAsia="Arial" w:cs="Arial"/>
          <w:spacing w:val="-12"/>
          <w:lang w:val="es-ES"/>
        </w:rPr>
        <w:t xml:space="preserve"> </w:t>
      </w:r>
      <w:r w:rsidRPr="00A46177">
        <w:rPr>
          <w:rFonts w:ascii="Verdana" w:hAnsi="Verdana" w:eastAsia="Arial" w:cs="Arial"/>
          <w:lang w:val="es-ES"/>
        </w:rPr>
        <w:t>–Art.</w:t>
      </w:r>
      <w:r w:rsidRPr="00A46177">
        <w:rPr>
          <w:rFonts w:ascii="Verdana" w:hAnsi="Verdana" w:eastAsia="Arial" w:cs="Arial"/>
          <w:spacing w:val="-11"/>
          <w:lang w:val="es-ES"/>
        </w:rPr>
        <w:t xml:space="preserve"> </w:t>
      </w:r>
      <w:r w:rsidRPr="00A46177">
        <w:rPr>
          <w:rFonts w:ascii="Verdana" w:hAnsi="Verdana" w:eastAsia="Arial" w:cs="Arial"/>
          <w:lang w:val="es-ES"/>
        </w:rPr>
        <w:t>3–,</w:t>
      </w:r>
      <w:r w:rsidRPr="00A46177">
        <w:rPr>
          <w:rFonts w:ascii="Verdana" w:hAnsi="Verdana" w:eastAsia="Arial" w:cs="Arial"/>
          <w:spacing w:val="1"/>
          <w:lang w:val="es-ES"/>
        </w:rPr>
        <w:t xml:space="preserve"> </w:t>
      </w:r>
      <w:r w:rsidRPr="00A46177">
        <w:rPr>
          <w:rFonts w:ascii="Verdana" w:hAnsi="Verdana" w:eastAsia="Arial" w:cs="Arial"/>
          <w:lang w:val="es-ES"/>
        </w:rPr>
        <w:t>se establece los principios a observarse en el desarrollo de la contratación –Art. 4–, se</w:t>
      </w:r>
      <w:r w:rsidRPr="00A46177">
        <w:rPr>
          <w:rFonts w:ascii="Verdana" w:hAnsi="Verdana" w:eastAsia="Arial" w:cs="Arial"/>
          <w:spacing w:val="-59"/>
          <w:lang w:val="es-ES"/>
        </w:rPr>
        <w:t xml:space="preserve">  </w:t>
      </w:r>
      <w:r w:rsidRPr="00A46177">
        <w:rPr>
          <w:rFonts w:ascii="Verdana" w:hAnsi="Verdana" w:eastAsia="Arial" w:cs="Arial"/>
          <w:lang w:val="es-ES"/>
        </w:rPr>
        <w:t>hace referencia a las modalidades y mecanismos de selección –Art. 5–, se reitera la</w:t>
      </w:r>
      <w:r w:rsidRPr="00A46177">
        <w:rPr>
          <w:rFonts w:ascii="Verdana" w:hAnsi="Verdana" w:eastAsia="Arial" w:cs="Arial"/>
          <w:spacing w:val="1"/>
          <w:lang w:val="es-ES"/>
        </w:rPr>
        <w:t xml:space="preserve"> </w:t>
      </w:r>
      <w:r w:rsidRPr="00A46177">
        <w:rPr>
          <w:rFonts w:ascii="Verdana" w:hAnsi="Verdana" w:eastAsia="Arial" w:cs="Arial"/>
          <w:lang w:val="es-ES"/>
        </w:rPr>
        <w:t>aplicabilidad del régimen de inhabilidades e incompatibilidades–Art. 6–, se establece la</w:t>
      </w:r>
      <w:r w:rsidRPr="00A46177">
        <w:rPr>
          <w:rFonts w:ascii="Verdana" w:hAnsi="Verdana" w:eastAsia="Arial" w:cs="Arial"/>
          <w:spacing w:val="-59"/>
          <w:lang w:val="es-ES"/>
        </w:rPr>
        <w:t xml:space="preserve"> </w:t>
      </w:r>
      <w:r w:rsidRPr="00A46177">
        <w:rPr>
          <w:rFonts w:ascii="Verdana" w:hAnsi="Verdana" w:eastAsia="Arial" w:cs="Arial"/>
          <w:lang w:val="es-ES"/>
        </w:rPr>
        <w:t>obligación de publicar un Plan Anual de Adquisiciones–Art. 7–, se alude al proceso de contratación –Art 8–, se refiere a la fase de planeación –Art 9–, se dispone sobre la fase de selección –Art 10–, sobre la fase de contratación, y se regulan otros</w:t>
      </w:r>
      <w:r w:rsidRPr="00A46177">
        <w:rPr>
          <w:rFonts w:ascii="Verdana" w:hAnsi="Verdana" w:eastAsia="Arial" w:cs="Arial"/>
          <w:spacing w:val="1"/>
          <w:lang w:val="es-ES"/>
        </w:rPr>
        <w:t xml:space="preserve"> </w:t>
      </w:r>
      <w:r w:rsidRPr="00A46177">
        <w:rPr>
          <w:rFonts w:ascii="Verdana" w:hAnsi="Verdana" w:eastAsia="Arial" w:cs="Arial"/>
          <w:lang w:val="es-ES"/>
        </w:rPr>
        <w:t>aspectos. En cuanto a la contratación y ejecución de los contratos,</w:t>
      </w:r>
      <w:r w:rsidRPr="00A46177">
        <w:rPr>
          <w:rFonts w:ascii="Verdana" w:hAnsi="Verdana" w:eastAsia="Arial" w:cs="Arial"/>
          <w:spacing w:val="-2"/>
          <w:lang w:val="es-ES"/>
        </w:rPr>
        <w:t xml:space="preserve"> </w:t>
      </w:r>
      <w:r w:rsidRPr="00A46177">
        <w:rPr>
          <w:rFonts w:ascii="Verdana" w:hAnsi="Verdana" w:eastAsia="Arial" w:cs="Arial"/>
          <w:lang w:val="es-ES"/>
        </w:rPr>
        <w:t>son</w:t>
      </w:r>
      <w:r w:rsidRPr="00A46177">
        <w:rPr>
          <w:rFonts w:ascii="Verdana" w:hAnsi="Verdana" w:eastAsia="Arial" w:cs="Arial"/>
          <w:spacing w:val="-1"/>
          <w:lang w:val="es-ES"/>
        </w:rPr>
        <w:t xml:space="preserve"> </w:t>
      </w:r>
      <w:r w:rsidRPr="00A46177">
        <w:rPr>
          <w:rFonts w:ascii="Verdana" w:hAnsi="Verdana" w:eastAsia="Arial" w:cs="Arial"/>
          <w:lang w:val="es-ES"/>
        </w:rPr>
        <w:t>relevantes</w:t>
      </w:r>
      <w:r w:rsidRPr="00A46177">
        <w:rPr>
          <w:rFonts w:ascii="Verdana" w:hAnsi="Verdana" w:eastAsia="Arial" w:cs="Arial"/>
          <w:spacing w:val="-2"/>
          <w:lang w:val="es-ES"/>
        </w:rPr>
        <w:t xml:space="preserve"> </w:t>
      </w:r>
      <w:r w:rsidRPr="00A46177">
        <w:rPr>
          <w:rFonts w:ascii="Verdana" w:hAnsi="Verdana" w:eastAsia="Arial" w:cs="Arial"/>
          <w:lang w:val="es-ES"/>
        </w:rPr>
        <w:t>los</w:t>
      </w:r>
      <w:r w:rsidRPr="00A46177">
        <w:rPr>
          <w:rFonts w:ascii="Verdana" w:hAnsi="Verdana" w:eastAsia="Arial" w:cs="Arial"/>
          <w:spacing w:val="-2"/>
          <w:lang w:val="es-ES"/>
        </w:rPr>
        <w:t xml:space="preserve"> </w:t>
      </w:r>
      <w:r w:rsidRPr="00A46177">
        <w:rPr>
          <w:rFonts w:ascii="Verdana" w:hAnsi="Verdana" w:eastAsia="Arial" w:cs="Arial"/>
          <w:lang w:val="es-ES"/>
        </w:rPr>
        <w:t>artículos 11</w:t>
      </w:r>
      <w:r w:rsidRPr="00633DFF">
        <w:rPr>
          <w:rStyle w:val="Refdenotaalpie"/>
          <w:rFonts w:ascii="Verdana" w:hAnsi="Verdana" w:eastAsia="Arial" w:cs="Arial"/>
          <w:lang w:val="es-ES"/>
        </w:rPr>
        <w:footnoteReference w:id="15"/>
      </w:r>
      <w:r w:rsidRPr="00A46177">
        <w:rPr>
          <w:rFonts w:ascii="Verdana" w:hAnsi="Verdana" w:eastAsia="Arial" w:cs="Arial"/>
          <w:lang w:val="es-ES"/>
        </w:rPr>
        <w:t xml:space="preserve"> y 12</w:t>
      </w:r>
      <w:r w:rsidRPr="00633DFF">
        <w:rPr>
          <w:rStyle w:val="Refdenotaalpie"/>
          <w:rFonts w:ascii="Verdana" w:hAnsi="Verdana" w:eastAsia="Arial" w:cs="Arial"/>
          <w:lang w:val="es-ES"/>
        </w:rPr>
        <w:footnoteReference w:id="16"/>
      </w:r>
      <w:r w:rsidRPr="00A46177">
        <w:rPr>
          <w:rFonts w:ascii="Verdana" w:hAnsi="Verdana" w:eastAsia="Arial" w:cs="Arial"/>
          <w:lang w:val="es-ES"/>
        </w:rPr>
        <w:t xml:space="preserve"> </w:t>
      </w:r>
      <w:r w:rsidRPr="00A46177">
        <w:rPr>
          <w:rFonts w:ascii="Verdana" w:hAnsi="Verdana" w:eastAsia="Arial" w:cs="Arial"/>
          <w:lang w:val="es-ES"/>
        </w:rPr>
        <w:t>de la citada resolución. Por su parte el artículo 14</w:t>
      </w:r>
      <w:r w:rsidRPr="00A46177">
        <w:rPr>
          <w:rStyle w:val="Refdenotaalpie"/>
          <w:rFonts w:ascii="Verdana" w:hAnsi="Verdana" w:eastAsia="Arial" w:cs="Arial"/>
          <w:lang w:val="es-ES"/>
        </w:rPr>
        <w:footnoteReference w:id="17"/>
      </w:r>
      <w:r w:rsidRPr="00A46177">
        <w:rPr>
          <w:rFonts w:ascii="Verdana" w:hAnsi="Verdana" w:eastAsia="Arial" w:cs="Arial"/>
          <w:lang w:val="es-ES"/>
        </w:rPr>
        <w:t xml:space="preserve"> de la resolución establece que las Empresas Sociales del Estado están obligadas a publicar oportunamente su actividad contractual en el SECOP.  </w:t>
      </w:r>
    </w:p>
    <w:p w:rsidR="00077445" w:rsidP="00077445" w:rsidRDefault="00077445" w14:paraId="07858C58" w14:textId="77777777">
      <w:pPr>
        <w:spacing w:after="120" w:line="276" w:lineRule="auto"/>
        <w:ind w:firstLine="708"/>
        <w:jc w:val="both"/>
        <w:rPr>
          <w:rStyle w:val="normaltextrun"/>
          <w:rFonts w:ascii="Verdana" w:hAnsi="Verdana"/>
          <w:color w:val="000000"/>
          <w:shd w:val="clear" w:color="auto" w:fill="FFFFFF"/>
        </w:rPr>
      </w:pPr>
      <w:r w:rsidRPr="007F303A">
        <w:rPr>
          <w:rStyle w:val="normaltextrun"/>
          <w:rFonts w:ascii="Verdana" w:hAnsi="Verdana"/>
          <w:color w:val="000000"/>
          <w:shd w:val="clear" w:color="auto" w:fill="FFFFFF"/>
        </w:rPr>
        <w:t>En efecto, la Resolución 1440 de 2024, expedida por el Ministerio de Salud y Protección Social, introdujo ajustes a la Resolución 5185 de 2013 con el propósito de fortalecer la transparencia y la selección objetiva en los procesos contractuales de dichas entidades</w:t>
      </w:r>
      <w:r>
        <w:rPr>
          <w:rStyle w:val="normaltextrun"/>
          <w:rFonts w:ascii="Verdana" w:hAnsi="Verdana"/>
          <w:color w:val="000000"/>
          <w:shd w:val="clear" w:color="auto" w:fill="FFFFFF"/>
        </w:rPr>
        <w:t xml:space="preserve">, especialmente en proyectos de alto impacto. </w:t>
      </w:r>
      <w:r w:rsidRPr="0007366C">
        <w:rPr>
          <w:rStyle w:val="normaltextrun"/>
          <w:rFonts w:ascii="Verdana" w:hAnsi="Verdana"/>
          <w:color w:val="000000"/>
          <w:shd w:val="clear" w:color="auto" w:fill="FFFFFF"/>
        </w:rPr>
        <w:t>Entre los principales ajustes está la modificación del artículo 9, 10, 16 y 18 de la Resolución 5185 de 2013, que introduciría las siguientes modificaciones:</w:t>
      </w:r>
    </w:p>
    <w:p w:rsidR="00077445" w:rsidP="00077445" w:rsidRDefault="00077445" w14:paraId="2965B050" w14:textId="77777777">
      <w:pPr>
        <w:spacing w:after="120" w:line="276" w:lineRule="auto"/>
        <w:ind w:firstLine="708"/>
        <w:jc w:val="both"/>
        <w:rPr>
          <w:rFonts w:ascii="Verdana" w:hAnsi="Verdana"/>
          <w:color w:val="000000"/>
          <w:shd w:val="clear" w:color="auto" w:fill="FFFFFF"/>
        </w:rPr>
      </w:pPr>
      <w:r w:rsidRPr="00246F84">
        <w:rPr>
          <w:rFonts w:ascii="Verdana" w:hAnsi="Verdana"/>
          <w:color w:val="000000"/>
          <w:shd w:val="clear" w:color="auto" w:fill="FFFFFF"/>
        </w:rPr>
        <w:t>La Resolución enfatiza que, en la fase de planeación, los estudios y documentos previos constituyen un insumo esencial para la adecuada estructuración de los procesos de contratación de la entidad. Dichos documentos deben contener, de manera ordenada y suficiente, varios elementos fundamentales: en primer lugar, la definición clara de la necesidad que se busca atender mediante el proceso contractual; en segundo lugar, la descripción del objeto a contratar, acompañada de las autorizaciones, permisos y licencias que resulten necesarios para su ejecución; en tercer lugar, cuando se trate de contratos que incluyan actividades de diseño y construcción, la incorporación de los documentos técnicos indispensables para el desarrollo del proyecto; y, finalmente, la justificación de la modalidad de selección del contratista, sustentada en los fundamentos jurídicos aplicables.</w:t>
      </w:r>
    </w:p>
    <w:p w:rsidRPr="004D60EF" w:rsidR="00077445" w:rsidP="00077445" w:rsidRDefault="00077445" w14:paraId="3D29A436" w14:textId="77777777">
      <w:pPr>
        <w:spacing w:after="120" w:line="276" w:lineRule="auto"/>
        <w:ind w:firstLine="708"/>
        <w:jc w:val="both"/>
        <w:rPr>
          <w:rFonts w:ascii="Verdana" w:hAnsi="Verdana"/>
          <w:color w:val="000000"/>
          <w:shd w:val="clear" w:color="auto" w:fill="FFFFFF"/>
        </w:rPr>
      </w:pPr>
      <w:r w:rsidRPr="004D60EF">
        <w:rPr>
          <w:rFonts w:ascii="Verdana" w:hAnsi="Verdana"/>
          <w:color w:val="000000"/>
          <w:shd w:val="clear" w:color="auto" w:fill="FFFFFF"/>
        </w:rPr>
        <w:t>De otro lado, los estudios y documentos previos deben incorporar el valor estimado del contrato, el cual debe calcularse con rigor y sustentarse en criterios técnicos y financieros que justifiquen su razonabilidad. Igualmente, es necesario definir los criterios de selección de la oferta más favorable, de manera que se asegure un proceso transparente y ajustado a los principios de la contratación pública. A lo anterior se suma la obligación de realizar un análisis de riesgos, identificando los posibles escenarios que puedan afectar la ejecución contractual, así como las estrategias destinadas a mitigarlos y asignarlos adecuadamente entre las partes. De igual forma, debe establecerse el esquema de garantías contractuales, precisando su alcance y las condiciones en que resultan exigibles.</w:t>
      </w:r>
    </w:p>
    <w:p w:rsidR="00077445" w:rsidP="00077445" w:rsidRDefault="00077445" w14:paraId="018D7979" w14:textId="77777777">
      <w:pPr>
        <w:spacing w:after="120" w:line="276" w:lineRule="auto"/>
        <w:ind w:firstLine="708"/>
        <w:jc w:val="both"/>
        <w:rPr>
          <w:rFonts w:ascii="Verdana" w:hAnsi="Verdana" w:eastAsia="Calibri" w:cs="Arial"/>
        </w:rPr>
      </w:pPr>
      <w:r w:rsidRPr="004D60EF">
        <w:rPr>
          <w:rFonts w:ascii="Verdana" w:hAnsi="Verdana"/>
          <w:color w:val="000000"/>
          <w:shd w:val="clear" w:color="auto" w:fill="FFFFFF"/>
        </w:rPr>
        <w:t xml:space="preserve">Ahora bien, cuando se trate de convocatorias públicas, los términos de condiciones deben elaborarse con especial cuidado y precisión, abarcando, entre otros aspectos, la descripción técnica del bien o servicio a contratar; la </w:t>
      </w:r>
      <w:r w:rsidRPr="004D60EF">
        <w:rPr>
          <w:rFonts w:ascii="Verdana" w:hAnsi="Verdana"/>
          <w:color w:val="000000"/>
          <w:shd w:val="clear" w:color="auto" w:fill="FFFFFF"/>
        </w:rPr>
        <w:t>justificación clara de la modalidad de selección; los criterios de evaluación, los cuales deben ser completos, objetivos y diseñados de manera que no induzcan a error ni restrinjan injustificadamente la participación de posibles oferentes. Así mismo, deben señalarse las condiciones de costos y calidad que regirán la evaluación; las reglas de presentación y valoración de las ofertas, incluidas las de desempate y adjudicación; las causales específicas de rechazo, garantizando que no se excluya a un proponente por la ausencia de documentos no esenciales; así como las especificaciones relacionadas con el valor, plazo, cronograma de pagos y condiciones de anticipo. Finalmente, deben detallarse los certificados y requisitos habilitantes necesarios para la contratación y reiterarse la identificación y distribución de los riesgos contractuales, con el fin de asegurar equilibrio, claridad y seguridad jurídica en la ejecución del contrato.</w:t>
      </w:r>
    </w:p>
    <w:p w:rsidR="00077445" w:rsidP="00077445" w:rsidRDefault="00077445" w14:paraId="2B79BFDF" w14:textId="77777777">
      <w:pPr>
        <w:spacing w:after="0" w:line="276" w:lineRule="auto"/>
        <w:ind w:firstLine="708"/>
        <w:jc w:val="both"/>
        <w:rPr>
          <w:rStyle w:val="normaltextrun"/>
          <w:rFonts w:ascii="Verdana" w:hAnsi="Verdana"/>
          <w:color w:val="000000"/>
          <w:shd w:val="clear" w:color="auto" w:fill="FFFFFF"/>
        </w:rPr>
      </w:pPr>
      <w:r w:rsidRPr="007F303A">
        <w:rPr>
          <w:rStyle w:val="normaltextrun"/>
          <w:rFonts w:ascii="Verdana" w:hAnsi="Verdana"/>
          <w:color w:val="000000"/>
          <w:shd w:val="clear" w:color="auto" w:fill="FFFFFF"/>
        </w:rPr>
        <w:t>Entre los cambios más relevantes se encuentra lo dispuesto en el parágrafo 2</w:t>
      </w:r>
      <w:r>
        <w:rPr>
          <w:rStyle w:val="normaltextrun"/>
          <w:rFonts w:ascii="Verdana" w:hAnsi="Verdana"/>
          <w:color w:val="000000"/>
          <w:shd w:val="clear" w:color="auto" w:fill="FFFFFF"/>
        </w:rPr>
        <w:t xml:space="preserve"> al cual usted alude en su consulta y,</w:t>
      </w:r>
      <w:r w:rsidRPr="007F303A">
        <w:rPr>
          <w:rStyle w:val="normaltextrun"/>
          <w:rFonts w:ascii="Verdana" w:hAnsi="Verdana"/>
          <w:color w:val="000000"/>
          <w:shd w:val="clear" w:color="auto" w:fill="FFFFFF"/>
        </w:rPr>
        <w:t xml:space="preserve"> según el cual</w:t>
      </w:r>
      <w:r>
        <w:rPr>
          <w:rStyle w:val="normaltextrun"/>
          <w:rFonts w:ascii="Verdana" w:hAnsi="Verdana"/>
          <w:color w:val="000000"/>
          <w:shd w:val="clear" w:color="auto" w:fill="FFFFFF"/>
        </w:rPr>
        <w:t>,</w:t>
      </w:r>
      <w:r w:rsidRPr="007F303A">
        <w:rPr>
          <w:rStyle w:val="normaltextrun"/>
          <w:rFonts w:ascii="Verdana" w:hAnsi="Verdana"/>
          <w:color w:val="000000"/>
          <w:shd w:val="clear" w:color="auto" w:fill="FFFFFF"/>
        </w:rPr>
        <w:t xml:space="preserve"> los contratos relacionados con obras de adecuación, ampliación y construcción de infraestructura, así como con dotación biomédica, cuando sean financiados con recursos del Presupuesto General de la Nación, deben adelantarse obligatoriamente bajo la modalidad de convocatoria pública, sin importar la cuantía.</w:t>
      </w:r>
      <w:r>
        <w:rPr>
          <w:rStyle w:val="normaltextrun"/>
          <w:rFonts w:ascii="Verdana" w:hAnsi="Verdana"/>
          <w:color w:val="000000"/>
          <w:shd w:val="clear" w:color="auto" w:fill="FFFFFF"/>
        </w:rPr>
        <w:t xml:space="preserve"> El texto es el siguiente:</w:t>
      </w:r>
    </w:p>
    <w:p w:rsidR="00077445" w:rsidP="00077445" w:rsidRDefault="00077445" w14:paraId="78C2883B" w14:textId="77777777">
      <w:pPr>
        <w:spacing w:after="0" w:line="276" w:lineRule="auto"/>
        <w:ind w:firstLine="708"/>
        <w:jc w:val="both"/>
        <w:rPr>
          <w:rStyle w:val="normaltextrun"/>
          <w:rFonts w:ascii="Verdana" w:hAnsi="Verdana"/>
          <w:color w:val="000000"/>
          <w:shd w:val="clear" w:color="auto" w:fill="FFFFFF"/>
        </w:rPr>
      </w:pPr>
    </w:p>
    <w:p w:rsidR="00077445" w:rsidP="00077445" w:rsidRDefault="00077445" w14:paraId="59F129F1" w14:textId="77777777">
      <w:pPr>
        <w:spacing w:after="0" w:line="240" w:lineRule="auto"/>
        <w:ind w:left="709" w:right="709"/>
        <w:jc w:val="both"/>
        <w:rPr>
          <w:rFonts w:ascii="Verdana" w:hAnsi="Verdana" w:eastAsia="Calibri" w:cs="Arial"/>
          <w:sz w:val="21"/>
          <w:szCs w:val="21"/>
        </w:rPr>
      </w:pPr>
      <w:r w:rsidRPr="00DC425F">
        <w:rPr>
          <w:rFonts w:ascii="Verdana" w:hAnsi="Verdana" w:eastAsia="Calibri" w:cs="Arial"/>
          <w:sz w:val="21"/>
          <w:szCs w:val="21"/>
        </w:rPr>
        <w:t xml:space="preserve">Parágrafo 2. </w:t>
      </w:r>
      <w:r w:rsidRPr="00DC425F">
        <w:rPr>
          <w:rFonts w:ascii="Verdana" w:hAnsi="Verdana" w:eastAsia="Calibri" w:cs="Arial"/>
          <w:b/>
          <w:bCs/>
          <w:sz w:val="21"/>
          <w:szCs w:val="21"/>
          <w:u w:val="single"/>
        </w:rPr>
        <w:t>Para la contratación de</w:t>
      </w:r>
      <w:r w:rsidRPr="00DC425F">
        <w:rPr>
          <w:rFonts w:ascii="Verdana" w:hAnsi="Verdana" w:eastAsia="Calibri" w:cs="Arial"/>
          <w:sz w:val="21"/>
          <w:szCs w:val="21"/>
          <w:u w:val="single"/>
        </w:rPr>
        <w:t xml:space="preserve"> obras de adecuación, ampliación y construcción de infraestructura y de </w:t>
      </w:r>
      <w:r w:rsidRPr="00DC425F">
        <w:rPr>
          <w:rFonts w:ascii="Verdana" w:hAnsi="Verdana" w:eastAsia="Calibri" w:cs="Arial"/>
          <w:b/>
          <w:bCs/>
          <w:sz w:val="21"/>
          <w:szCs w:val="21"/>
          <w:u w:val="single"/>
        </w:rPr>
        <w:t>dotación biomédica cuya fuente de financiación sean recursos del Presupuesto General de la Nación, el proceso de selección se deberá realizar por convocatoria pública sin importar la cuantía</w:t>
      </w:r>
      <w:r w:rsidRPr="00DC425F">
        <w:rPr>
          <w:rFonts w:ascii="Verdana" w:hAnsi="Verdana" w:eastAsia="Calibri" w:cs="Arial"/>
          <w:sz w:val="21"/>
          <w:szCs w:val="21"/>
          <w:u w:val="single"/>
        </w:rPr>
        <w:t>.</w:t>
      </w:r>
      <w:r w:rsidRPr="00DC425F">
        <w:rPr>
          <w:rFonts w:ascii="Verdana" w:hAnsi="Verdana" w:eastAsia="Calibri" w:cs="Arial"/>
          <w:sz w:val="21"/>
          <w:szCs w:val="21"/>
        </w:rPr>
        <w:t xml:space="preserve"> El Ministerio de Salud y Protección Social expedirá una Guía que brinde a las Empresas Sociales del Estado elementos para la formulación y elaboración de términos de condiciones para buenas prácticas de contratación. Una vez sea expedida dicha guía, las Empresas Sociales del Estado deberán tenerla en cuenta para sus trámites contractuales.</w:t>
      </w:r>
      <w:r>
        <w:rPr>
          <w:rFonts w:ascii="Verdana" w:hAnsi="Verdana" w:eastAsia="Calibri" w:cs="Arial"/>
          <w:sz w:val="21"/>
          <w:szCs w:val="21"/>
        </w:rPr>
        <w:t xml:space="preserve"> </w:t>
      </w:r>
    </w:p>
    <w:p w:rsidR="00077445" w:rsidP="00077445" w:rsidRDefault="00077445" w14:paraId="13E2F75E" w14:textId="77777777">
      <w:pPr>
        <w:spacing w:after="0" w:line="240" w:lineRule="auto"/>
        <w:ind w:left="709" w:right="709"/>
        <w:jc w:val="both"/>
        <w:rPr>
          <w:rFonts w:ascii="Verdana" w:hAnsi="Verdana" w:eastAsia="Calibri" w:cs="Arial"/>
          <w:sz w:val="21"/>
          <w:szCs w:val="21"/>
        </w:rPr>
      </w:pPr>
    </w:p>
    <w:p w:rsidRPr="00DC425F" w:rsidR="00077445" w:rsidP="00077445" w:rsidRDefault="00077445" w14:paraId="05388B72" w14:textId="77777777">
      <w:pPr>
        <w:spacing w:after="0" w:line="240" w:lineRule="auto"/>
        <w:ind w:left="709" w:right="709"/>
        <w:jc w:val="both"/>
        <w:rPr>
          <w:rFonts w:ascii="Verdana" w:hAnsi="Verdana" w:eastAsia="Calibri" w:cs="Arial"/>
        </w:rPr>
      </w:pPr>
      <w:r w:rsidRPr="00DC425F">
        <w:rPr>
          <w:rFonts w:ascii="Verdana" w:hAnsi="Verdana" w:eastAsia="Calibri" w:cs="Arial"/>
        </w:rPr>
        <w:t>[Énfasis por fuera del texto legal]</w:t>
      </w:r>
    </w:p>
    <w:p w:rsidRPr="00DC425F" w:rsidR="00077445" w:rsidP="00077445" w:rsidRDefault="00077445" w14:paraId="654A5407" w14:textId="77777777">
      <w:pPr>
        <w:spacing w:after="0" w:line="240" w:lineRule="auto"/>
        <w:ind w:left="709" w:right="709"/>
        <w:jc w:val="both"/>
        <w:rPr>
          <w:rFonts w:ascii="Verdana" w:hAnsi="Verdana" w:eastAsia="Calibri" w:cs="Arial"/>
          <w:sz w:val="21"/>
          <w:szCs w:val="21"/>
          <w:lang w:val="es-ES"/>
        </w:rPr>
      </w:pPr>
    </w:p>
    <w:p w:rsidRPr="004942BC" w:rsidR="00077445" w:rsidP="00077445" w:rsidRDefault="00077445" w14:paraId="6F86728C" w14:textId="77777777">
      <w:pPr>
        <w:spacing w:after="120" w:line="276" w:lineRule="auto"/>
        <w:ind w:firstLine="708"/>
        <w:jc w:val="both"/>
        <w:rPr>
          <w:rFonts w:ascii="Verdana" w:hAnsi="Verdana" w:eastAsia="Calibri" w:cs="Arial"/>
          <w:lang w:val="es-ES"/>
        </w:rPr>
      </w:pPr>
      <w:r>
        <w:rPr>
          <w:rFonts w:ascii="Verdana" w:hAnsi="Verdana" w:eastAsia="Calibri" w:cs="Arial"/>
        </w:rPr>
        <w:t>Aquí es bueno aclarar que, como se viene sosteniendo, au</w:t>
      </w:r>
      <w:r w:rsidRPr="007F303A">
        <w:rPr>
          <w:rFonts w:ascii="Verdana" w:hAnsi="Verdana" w:eastAsia="Calibri" w:cs="Arial"/>
        </w:rPr>
        <w:t xml:space="preserve">nque las Empresas Sociales del Estado cuentan con un régimen contractual de derecho privado, previsto en el artículo 195 de la Ley 100 de 1993, ello no significa que estén exentas de observar los principios de la contratación estatal. Al contrario, el ordenamiento jurídico ha sido enfático en señalar —a través de normas como el artículo 3 de la Ley 80 de 1993 y el artículo 13 de la Ley 1150 de 2007— que </w:t>
      </w:r>
      <w:r w:rsidRPr="007F303A">
        <w:rPr>
          <w:rFonts w:ascii="Verdana" w:hAnsi="Verdana" w:eastAsia="Calibri" w:cs="Arial"/>
        </w:rPr>
        <w:t>todas las entidades que administran recursos públicos, independientemente de su régimen, deben garantizar los principios de transparencia, selección objetiva, eficiencia, igualdad y responsabilidad. En este sentido, las disposiciones fijadas por el Ministerio de Salud y Protección Social se convierten en lineamientos obligatorios que las ESE deben incorporar en sus estatutos y manuales de contratación.</w:t>
      </w:r>
    </w:p>
    <w:p w:rsidR="00077445" w:rsidP="00077445" w:rsidRDefault="00077445" w14:paraId="13E5552E" w14:textId="77777777">
      <w:pPr>
        <w:spacing w:after="120" w:line="276" w:lineRule="auto"/>
        <w:jc w:val="both"/>
        <w:rPr>
          <w:rFonts w:ascii="Verdana" w:hAnsi="Verdana" w:eastAsia="Calibri" w:cs="Arial"/>
        </w:rPr>
      </w:pPr>
      <w:r>
        <w:rPr>
          <w:rFonts w:ascii="Verdana" w:hAnsi="Verdana" w:eastAsia="Calibri" w:cs="Arial"/>
        </w:rPr>
        <w:t>iv) Dicho esto</w:t>
      </w:r>
      <w:r w:rsidRPr="006A74DA">
        <w:rPr>
          <w:rFonts w:ascii="Verdana" w:hAnsi="Verdana" w:eastAsia="Calibri" w:cs="Arial"/>
        </w:rPr>
        <w:t>, la cuestión central radica en determinar si la adquisición de ambulancias puede ser considerada una operación de “dotación biomédica” para los efectos del parágrafo 2 de la Resolución 1440 de 2024. A primera vista, podría pensarse que una ambulancia es ante todo un vehículo automotor y, por tanto, un bien de transporte. Sin embargo, una revisión más detenida permite concluir que la ambulancia no es un vehículo ordinario, sino que constituye un equipo integral de atención en salud, en el que el componente biomédico resulta determinante para su función.</w:t>
      </w:r>
    </w:p>
    <w:p w:rsidR="00077445" w:rsidP="00077445" w:rsidRDefault="00077445" w14:paraId="600183FA" w14:textId="77777777">
      <w:pPr>
        <w:spacing w:after="0" w:line="276" w:lineRule="auto"/>
        <w:ind w:firstLine="708"/>
        <w:jc w:val="both"/>
        <w:rPr>
          <w:rFonts w:ascii="Verdana" w:hAnsi="Verdana" w:eastAsia="Calibri" w:cs="Arial"/>
        </w:rPr>
      </w:pPr>
      <w:r>
        <w:rPr>
          <w:rFonts w:ascii="Verdana" w:hAnsi="Verdana" w:eastAsia="Calibri" w:cs="Arial"/>
        </w:rPr>
        <w:t xml:space="preserve">De la misma manera, al consultar la normativa se identifica que aquella no ofrece una definición </w:t>
      </w:r>
      <w:r w:rsidRPr="00545083">
        <w:rPr>
          <w:rFonts w:ascii="Verdana" w:hAnsi="Verdana" w:eastAsia="Calibri" w:cs="Arial"/>
        </w:rPr>
        <w:t>exhaustiva de “dotación biomédica”</w:t>
      </w:r>
      <w:r>
        <w:rPr>
          <w:rFonts w:ascii="Verdana" w:hAnsi="Verdana" w:eastAsia="Calibri" w:cs="Arial"/>
        </w:rPr>
        <w:t>.</w:t>
      </w:r>
      <w:r w:rsidRPr="00545083">
        <w:rPr>
          <w:rFonts w:ascii="Verdana" w:hAnsi="Verdana" w:eastAsia="Calibri" w:cs="Arial"/>
        </w:rPr>
        <w:t xml:space="preserve"> </w:t>
      </w:r>
      <w:r>
        <w:rPr>
          <w:rFonts w:ascii="Verdana" w:hAnsi="Verdana" w:eastAsia="Calibri" w:cs="Arial"/>
        </w:rPr>
        <w:t>No obstante</w:t>
      </w:r>
      <w:r w:rsidRPr="00545083">
        <w:rPr>
          <w:rFonts w:ascii="Verdana" w:hAnsi="Verdana" w:eastAsia="Calibri" w:cs="Arial"/>
        </w:rPr>
        <w:t>, conforme a la práctica sectorial y a los estándares del sistema de salud, se entiende como los equipos, dispositivos y elementos tecnológicos destinados a la prestación de servicios médicos.</w:t>
      </w:r>
      <w:r>
        <w:rPr>
          <w:rFonts w:ascii="Verdana" w:hAnsi="Verdana" w:eastAsia="Calibri" w:cs="Arial"/>
        </w:rPr>
        <w:t xml:space="preserve"> Por ejemplo, en la Resolución 485 del 27 de marzo de 2025 “</w:t>
      </w:r>
      <w:r w:rsidRPr="00F87B82">
        <w:rPr>
          <w:rFonts w:ascii="Verdana" w:hAnsi="Verdana" w:eastAsia="Calibri" w:cs="Arial"/>
          <w:i/>
          <w:iCs/>
        </w:rPr>
        <w:t>Por la cual se establecen los requisitos para la expedición de los conceptos técnicos de viabilidad de los proyectos de inversión cuya fuente de financiación o cofinanciación sea el Presupuesto General de la Nación - Ministerio de Salud y Protección Social y/o recursos de las entidades territoriales, y los proyectos de infraestructura física, equipamiento fijo y dotación biomédica, considerados de control especial de oferta para la prestación de servicios de salud, cuyo fin último es el fortalecimiento de la capacidad instalada para la prestación del servicio de salud, y se dictan otras disposiciones</w:t>
      </w:r>
      <w:r w:rsidRPr="00F87B82">
        <w:rPr>
          <w:rFonts w:ascii="Verdana" w:hAnsi="Verdana" w:eastAsia="Calibri" w:cs="Arial"/>
        </w:rPr>
        <w:t>”</w:t>
      </w:r>
      <w:r>
        <w:rPr>
          <w:rFonts w:ascii="Verdana" w:hAnsi="Verdana" w:eastAsia="Calibri" w:cs="Arial"/>
        </w:rPr>
        <w:t xml:space="preserve"> contempla en el artículo 3 definiciones que deben ser tenidas en cuenta para el cumplimiento de dicho acto administrativo, incluido el concepto de “</w:t>
      </w:r>
      <w:r w:rsidRPr="00696BFC">
        <w:rPr>
          <w:rFonts w:ascii="Verdana" w:hAnsi="Verdana" w:eastAsia="Calibri" w:cs="Arial"/>
        </w:rPr>
        <w:t>Equipo biomédico</w:t>
      </w:r>
      <w:r>
        <w:rPr>
          <w:rFonts w:ascii="Verdana" w:hAnsi="Verdana" w:eastAsia="Calibri" w:cs="Arial"/>
        </w:rPr>
        <w:t>”, dotándolo del siguiente significado:</w:t>
      </w:r>
    </w:p>
    <w:p w:rsidR="00077445" w:rsidP="00077445" w:rsidRDefault="00077445" w14:paraId="3530E57D" w14:textId="77777777">
      <w:pPr>
        <w:spacing w:after="0" w:line="276" w:lineRule="auto"/>
        <w:ind w:firstLine="708"/>
        <w:jc w:val="both"/>
        <w:rPr>
          <w:rFonts w:ascii="Verdana" w:hAnsi="Verdana" w:eastAsia="Calibri" w:cs="Arial"/>
        </w:rPr>
      </w:pPr>
    </w:p>
    <w:p w:rsidR="00077445" w:rsidP="00077445" w:rsidRDefault="00077445" w14:paraId="2FE0B3D1" w14:textId="77777777">
      <w:pPr>
        <w:spacing w:after="0" w:line="240" w:lineRule="auto"/>
        <w:ind w:left="709" w:right="709"/>
        <w:jc w:val="both"/>
        <w:rPr>
          <w:rFonts w:ascii="Verdana" w:hAnsi="Verdana" w:eastAsia="Calibri" w:cs="Arial"/>
          <w:sz w:val="21"/>
          <w:szCs w:val="21"/>
        </w:rPr>
      </w:pPr>
      <w:r w:rsidRPr="004968B1">
        <w:rPr>
          <w:rFonts w:ascii="Verdana" w:hAnsi="Verdana" w:eastAsia="Calibri" w:cs="Arial"/>
          <w:b/>
          <w:bCs/>
          <w:sz w:val="21"/>
          <w:szCs w:val="21"/>
        </w:rPr>
        <w:t>Equipo biomédico</w:t>
      </w:r>
      <w:r w:rsidRPr="004968B1">
        <w:rPr>
          <w:rFonts w:ascii="Verdana" w:hAnsi="Verdana" w:eastAsia="Calibri" w:cs="Arial"/>
          <w:sz w:val="21"/>
          <w:szCs w:val="21"/>
        </w:rPr>
        <w:t>: Dispositivo médico operacional y funcional que reúne sistemas y subsistemas eléctricos, electrónicos o hidráulicos, incluidos los programas informáticos que intervengan en su buen funcionamiento, destinado por el fabricante a ser usado en seres humanos con fines de prevención, diagnóstico, tratamiento o rehabilitación. No constituye equipo biomédico aquellos dispositivos médicos implantados en el ser humano o aquellos destinados para un sólo uso.</w:t>
      </w:r>
    </w:p>
    <w:p w:rsidRPr="006A74DA" w:rsidR="00077445" w:rsidP="00077445" w:rsidRDefault="00077445" w14:paraId="5A5F36BC" w14:textId="77777777">
      <w:pPr>
        <w:spacing w:after="0" w:line="240" w:lineRule="auto"/>
        <w:ind w:left="709" w:right="709"/>
        <w:jc w:val="both"/>
        <w:rPr>
          <w:rFonts w:ascii="Verdana" w:hAnsi="Verdana" w:eastAsia="Calibri" w:cs="Arial"/>
          <w:sz w:val="21"/>
          <w:szCs w:val="21"/>
        </w:rPr>
      </w:pPr>
    </w:p>
    <w:p w:rsidR="00077445" w:rsidP="00077445" w:rsidRDefault="00077445" w14:paraId="11C3B406" w14:textId="77777777">
      <w:pPr>
        <w:spacing w:after="120" w:line="276" w:lineRule="auto"/>
        <w:ind w:firstLine="708"/>
        <w:jc w:val="both"/>
        <w:rPr>
          <w:rFonts w:ascii="Verdana" w:hAnsi="Verdana" w:eastAsia="Calibri" w:cs="Arial"/>
        </w:rPr>
      </w:pPr>
      <w:r>
        <w:rPr>
          <w:rFonts w:ascii="Verdana" w:hAnsi="Verdana" w:eastAsia="Calibri" w:cs="Arial"/>
        </w:rPr>
        <w:t xml:space="preserve">Al revisar el concepto de </w:t>
      </w:r>
      <w:r w:rsidRPr="00FF04E4">
        <w:rPr>
          <w:rFonts w:ascii="Verdana" w:hAnsi="Verdana" w:eastAsia="Calibri" w:cs="Arial"/>
          <w:i/>
          <w:iCs/>
        </w:rPr>
        <w:t>equipo biomédico</w:t>
      </w:r>
      <w:r>
        <w:rPr>
          <w:rFonts w:ascii="Verdana" w:hAnsi="Verdana" w:eastAsia="Calibri" w:cs="Arial"/>
        </w:rPr>
        <w:t xml:space="preserve"> contemplado en la resolución en cita, se puede establecer que tales dispositivos son esenciales en una ambulancia de transporte asistencial medicalizado</w:t>
      </w:r>
      <w:r w:rsidRPr="000C303A">
        <w:rPr>
          <w:b/>
          <w:bCs/>
        </w:rPr>
        <w:t xml:space="preserve"> </w:t>
      </w:r>
      <w:r w:rsidRPr="000C303A">
        <w:rPr>
          <w:rFonts w:ascii="Verdana" w:hAnsi="Verdana" w:eastAsia="Calibri" w:cs="Arial"/>
        </w:rPr>
        <w:t>(TAM) y básico (TAB)</w:t>
      </w:r>
      <w:r>
        <w:rPr>
          <w:rFonts w:ascii="Verdana" w:hAnsi="Verdana" w:eastAsia="Calibri" w:cs="Arial"/>
        </w:rPr>
        <w:t xml:space="preserve">, pues estos vehículos </w:t>
      </w:r>
      <w:r w:rsidRPr="000C303A">
        <w:rPr>
          <w:rFonts w:ascii="Verdana" w:hAnsi="Verdana" w:eastAsia="Calibri" w:cs="Arial"/>
        </w:rPr>
        <w:t xml:space="preserve">no se reducen a un vehículo automotor, </w:t>
      </w:r>
      <w:r>
        <w:rPr>
          <w:rFonts w:ascii="Verdana" w:hAnsi="Verdana" w:eastAsia="Calibri" w:cs="Arial"/>
        </w:rPr>
        <w:t>dado que</w:t>
      </w:r>
      <w:r w:rsidRPr="000C303A">
        <w:rPr>
          <w:rFonts w:ascii="Verdana" w:hAnsi="Verdana" w:eastAsia="Calibri" w:cs="Arial"/>
        </w:rPr>
        <w:t xml:space="preserve"> integran de forma esencial equipos biomédicos que permiten la atención de pacientes en condiciones de urgencia o traslado.</w:t>
      </w:r>
      <w:r>
        <w:rPr>
          <w:rFonts w:ascii="Verdana" w:hAnsi="Verdana" w:eastAsia="Calibri" w:cs="Arial"/>
        </w:rPr>
        <w:t xml:space="preserve"> De manera que el análisis que busque establecer el procedimiento de adquisición de ambulancias de estas características no puede analizarse únicamente desde su componente vehicular, sino que debe atender a su naturaleza mixta, con prevalencia funcional de los equipos médicos en la prestación del servicio de salud.</w:t>
      </w:r>
    </w:p>
    <w:p w:rsidR="00077445" w:rsidP="00077445" w:rsidRDefault="00077445" w14:paraId="1BDE08F9" w14:textId="77777777">
      <w:pPr>
        <w:spacing w:after="120" w:line="276" w:lineRule="auto"/>
        <w:ind w:firstLine="708"/>
        <w:jc w:val="both"/>
        <w:rPr>
          <w:rFonts w:ascii="Verdana" w:hAnsi="Verdana" w:eastAsia="Calibri" w:cs="Arial"/>
        </w:rPr>
      </w:pPr>
      <w:r w:rsidRPr="006A74DA">
        <w:rPr>
          <w:rFonts w:ascii="Verdana" w:hAnsi="Verdana" w:eastAsia="Calibri" w:cs="Arial"/>
        </w:rPr>
        <w:t>En efecto, tanto las ambulancias de transporte asistencial básico como las de transporte asistencial medicalizado deben estar dotadas de equipos biomédicos específicos, que van desde camillas, sistemas de oxigenación y aspiración, hasta monitores, desfibriladores y otros dispositivos indispensables para la atención de emergencias durante el traslado de pacientes. Dichos equipos no son accesorios al vehículo, sino que definen su naturaleza y lo diferencian de cualquier otro medio de transporte. Por ello, la ambulancia se configura como un bien de carácter mixto, en el que conviven elementos vehiculares y biomédicos, pero con clara prevalencia funcional de estos últimos en la prestación del servicio público de salud.</w:t>
      </w:r>
    </w:p>
    <w:p w:rsidRPr="006A74DA" w:rsidR="00077445" w:rsidP="00077445" w:rsidRDefault="00077445" w14:paraId="300AF42D" w14:textId="77777777">
      <w:pPr>
        <w:spacing w:after="120" w:line="276" w:lineRule="auto"/>
        <w:ind w:firstLine="708"/>
        <w:jc w:val="both"/>
        <w:rPr>
          <w:rFonts w:ascii="Verdana" w:hAnsi="Verdana" w:eastAsia="Calibri" w:cs="Arial"/>
        </w:rPr>
      </w:pPr>
      <w:r w:rsidRPr="006A74DA">
        <w:rPr>
          <w:rFonts w:ascii="Verdana" w:hAnsi="Verdana" w:eastAsia="Calibri" w:cs="Arial"/>
        </w:rPr>
        <w:t xml:space="preserve">Desde esta perspectiva, </w:t>
      </w:r>
      <w:r>
        <w:rPr>
          <w:rFonts w:ascii="Verdana" w:hAnsi="Verdana" w:eastAsia="Calibri" w:cs="Arial"/>
        </w:rPr>
        <w:t xml:space="preserve">en principio, se puede decir que </w:t>
      </w:r>
      <w:r w:rsidRPr="006A74DA">
        <w:rPr>
          <w:rFonts w:ascii="Verdana" w:hAnsi="Verdana" w:eastAsia="Calibri" w:cs="Arial"/>
        </w:rPr>
        <w:t xml:space="preserve">la adquisición de ambulancias </w:t>
      </w:r>
      <w:r>
        <w:rPr>
          <w:rFonts w:ascii="Verdana" w:hAnsi="Verdana" w:eastAsia="Calibri" w:cs="Arial"/>
        </w:rPr>
        <w:t xml:space="preserve">con tales características </w:t>
      </w:r>
      <w:r w:rsidRPr="006A74DA">
        <w:rPr>
          <w:rFonts w:ascii="Verdana" w:hAnsi="Verdana" w:eastAsia="Calibri" w:cs="Arial"/>
        </w:rPr>
        <w:t>se subsume dentro de la categoría de “dotación biomédica” prevista en la Resolución 1440 de 2024. Esto significa que, cuando la compra de estos bienes se financie con recursos del Presupuesto General de la Nación, las Empresas Sociales del Estado deben adelantar el proceso contractual mediante la modalidad de convocatoria pública. Tal conclusión es coherente no solo con la letra de la norma, sino con su finalidad, orientada a garantizar que este tipo de adquisiciones estratégicas se tramiten bajo esquemas de máxima transparencia, competencia y selección objetiva.</w:t>
      </w:r>
    </w:p>
    <w:p w:rsidR="00077445" w:rsidP="00077445" w:rsidRDefault="00077445" w14:paraId="2F463346" w14:textId="77777777">
      <w:pPr>
        <w:spacing w:after="120" w:line="276" w:lineRule="auto"/>
        <w:ind w:firstLine="708"/>
        <w:jc w:val="both"/>
        <w:rPr>
          <w:rFonts w:ascii="Verdana" w:hAnsi="Verdana" w:eastAsia="Calibri" w:cs="Arial"/>
        </w:rPr>
      </w:pPr>
      <w:r>
        <w:rPr>
          <w:rFonts w:ascii="Verdana" w:hAnsi="Verdana" w:eastAsia="Calibri" w:cs="Arial"/>
        </w:rPr>
        <w:t>Lo anterior es así por cuanto</w:t>
      </w:r>
      <w:r w:rsidRPr="006A74DA">
        <w:rPr>
          <w:rFonts w:ascii="Verdana" w:hAnsi="Verdana" w:eastAsia="Calibri" w:cs="Arial"/>
        </w:rPr>
        <w:t xml:space="preserve"> la interpretación sistemática del marco normativo conduce a afirmar que las ambulancias, en cuanto bienes que integran dotación biomédica esencial para la prestación de servicios de salud, quedan sujetas a la regla del parágrafo 2 de la Resolución 1440 de 2024. En consecuencia, cuando sean financiadas con recursos del Presupuesto General de la Nación, la única modalidad procedente para su adquisición es la convocatoria </w:t>
      </w:r>
      <w:r w:rsidRPr="006A74DA">
        <w:rPr>
          <w:rFonts w:ascii="Verdana" w:hAnsi="Verdana" w:eastAsia="Calibri" w:cs="Arial"/>
        </w:rPr>
        <w:t>pública, de conformidad con lo previsto en la Resolución 5185 de 2013 y los principios que rigen la contratación estatal.</w:t>
      </w:r>
    </w:p>
    <w:p w:rsidR="00077445" w:rsidP="00077445" w:rsidRDefault="00077445" w14:paraId="3329BE80" w14:textId="77777777">
      <w:pPr>
        <w:spacing w:after="120" w:line="276" w:lineRule="auto"/>
        <w:ind w:firstLine="708"/>
        <w:jc w:val="both"/>
        <w:rPr>
          <w:rFonts w:ascii="Verdana" w:hAnsi="Verdana" w:eastAsia="Calibri" w:cs="Arial"/>
        </w:rPr>
      </w:pPr>
      <w:r>
        <w:rPr>
          <w:rFonts w:ascii="Verdana" w:hAnsi="Verdana" w:eastAsia="Calibri" w:cs="Arial"/>
        </w:rPr>
        <w:t>No obstante, se advierte que la</w:t>
      </w:r>
      <w:r w:rsidRPr="00783E16">
        <w:rPr>
          <w:rFonts w:ascii="Verdana" w:hAnsi="Verdana" w:eastAsia="Calibri" w:cs="Arial"/>
        </w:rPr>
        <w:t xml:space="preserve"> </w:t>
      </w:r>
      <w:r>
        <w:rPr>
          <w:rFonts w:ascii="Verdana" w:hAnsi="Verdana" w:eastAsia="Calibri" w:cs="Arial"/>
        </w:rPr>
        <w:t>m</w:t>
      </w:r>
      <w:r w:rsidRPr="006A74DA">
        <w:rPr>
          <w:rFonts w:ascii="Verdana" w:hAnsi="Verdana" w:eastAsia="Calibri" w:cs="Arial"/>
        </w:rPr>
        <w:t>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 </w:t>
      </w:r>
    </w:p>
    <w:p w:rsidR="00077445" w:rsidP="00077445" w:rsidRDefault="00077445" w14:paraId="637E0592" w14:textId="77777777">
      <w:pPr>
        <w:spacing w:after="120" w:line="276" w:lineRule="auto"/>
        <w:ind w:firstLine="708"/>
        <w:jc w:val="both"/>
        <w:rPr>
          <w:rFonts w:ascii="Verdana" w:hAnsi="Verdana" w:eastAsia="Calibri" w:cs="Arial"/>
        </w:rPr>
      </w:pPr>
      <w:r>
        <w:rPr>
          <w:rFonts w:ascii="Verdana" w:hAnsi="Verdana" w:eastAsia="Calibri" w:cs="Arial"/>
        </w:rPr>
        <w:t xml:space="preserve">En concordancia, vale resaltar la importancia y el deber de las ESE de elaborar el análisis concreto de cada caso particular y plasmarlo en </w:t>
      </w:r>
      <w:r w:rsidRPr="006A13AB">
        <w:rPr>
          <w:rFonts w:ascii="Verdana" w:hAnsi="Verdana" w:eastAsia="Calibri" w:cs="Arial"/>
        </w:rPr>
        <w:t>los estudios previos</w:t>
      </w:r>
      <w:r>
        <w:rPr>
          <w:rFonts w:ascii="Verdana" w:hAnsi="Verdana" w:eastAsia="Calibri" w:cs="Arial"/>
        </w:rPr>
        <w:t xml:space="preserve">, en la medida en que </w:t>
      </w:r>
      <w:r w:rsidRPr="006A13AB">
        <w:rPr>
          <w:rFonts w:ascii="Verdana" w:hAnsi="Verdana" w:eastAsia="Calibri" w:cs="Arial"/>
        </w:rPr>
        <w:t xml:space="preserve">no son un simple requisito formal, sino el espacio donde la entidad identifica y define de manera clara la necesidad que pretende satisfacer. </w:t>
      </w:r>
    </w:p>
    <w:p w:rsidR="00077445" w:rsidP="00077445" w:rsidRDefault="00077445" w14:paraId="74A8A068" w14:textId="77777777">
      <w:pPr>
        <w:spacing w:after="120" w:line="276" w:lineRule="auto"/>
        <w:ind w:firstLine="708"/>
        <w:jc w:val="both"/>
        <w:rPr>
          <w:rFonts w:ascii="Verdana" w:hAnsi="Verdana" w:eastAsia="Calibri" w:cs="Arial"/>
        </w:rPr>
      </w:pPr>
      <w:r w:rsidRPr="006A13AB">
        <w:rPr>
          <w:rFonts w:ascii="Verdana" w:hAnsi="Verdana" w:eastAsia="Calibri" w:cs="Arial"/>
        </w:rPr>
        <w:t>En el caso de la adquisición de ambulancias, corresponde a la ESE determinar no solo el bien que se requiere, sino también la naturaleza jurídica y técnica de dicho objeto. De esta definición dependerá la modalidad de selección aplicable. Así, el deber de establecer si la ambulancia constituye dotación biomédica no es accesorio, sino central para garantizar que el proceso se adelante conforme a los lineamientos legales y reglamentarios.</w:t>
      </w:r>
    </w:p>
    <w:p w:rsidR="00077445" w:rsidP="00077445" w:rsidRDefault="00077445" w14:paraId="041EA4FB" w14:textId="77777777">
      <w:pPr>
        <w:spacing w:after="120" w:line="276" w:lineRule="auto"/>
        <w:ind w:firstLine="708"/>
        <w:jc w:val="both"/>
        <w:rPr>
          <w:rFonts w:ascii="Verdana" w:hAnsi="Verdana" w:eastAsia="Calibri" w:cs="Arial"/>
        </w:rPr>
      </w:pPr>
      <w:r>
        <w:rPr>
          <w:rFonts w:ascii="Verdana" w:hAnsi="Verdana" w:eastAsia="Calibri" w:cs="Arial"/>
        </w:rPr>
        <w:t>En ese sentido, aun cuando se advierte que una</w:t>
      </w:r>
      <w:r w:rsidRPr="003E67DE">
        <w:rPr>
          <w:rFonts w:ascii="Verdana" w:hAnsi="Verdana" w:eastAsia="Calibri" w:cs="Arial"/>
        </w:rPr>
        <w:t xml:space="preserve"> ambulancia no puede entenderse como un simple vehículo de transporte</w:t>
      </w:r>
      <w:r>
        <w:rPr>
          <w:rFonts w:ascii="Verdana" w:hAnsi="Verdana" w:eastAsia="Calibri" w:cs="Arial"/>
        </w:rPr>
        <w:t>, por cuanto su</w:t>
      </w:r>
      <w:r w:rsidRPr="003E67DE">
        <w:rPr>
          <w:rFonts w:ascii="Verdana" w:hAnsi="Verdana" w:eastAsia="Calibri" w:cs="Arial"/>
        </w:rPr>
        <w:t xml:space="preserve"> esencia radica en ser un medio de atención en salud en movimiento, equipado con dispositivos médicos que permiten la estabilización de pacientes y la prestación de servicios durante el traslado</w:t>
      </w:r>
      <w:r>
        <w:rPr>
          <w:rFonts w:ascii="Verdana" w:hAnsi="Verdana" w:eastAsia="Calibri" w:cs="Arial"/>
        </w:rPr>
        <w:t>, en realidad resulta indispensable que en cada caso concreto las ESE desarrollen un análisis juicioso y exhaustivo que les permita establecer las particularidades propias del negocio jurídico pretendido</w:t>
      </w:r>
      <w:r w:rsidRPr="003E67DE">
        <w:rPr>
          <w:rFonts w:ascii="Verdana" w:hAnsi="Verdana" w:eastAsia="Calibri" w:cs="Arial"/>
        </w:rPr>
        <w:t xml:space="preserve">. </w:t>
      </w:r>
    </w:p>
    <w:p w:rsidR="00077445" w:rsidP="00077445" w:rsidRDefault="00077445" w14:paraId="26ABD394" w14:textId="77777777">
      <w:pPr>
        <w:spacing w:after="120" w:line="276" w:lineRule="auto"/>
        <w:ind w:firstLine="708"/>
        <w:jc w:val="both"/>
        <w:rPr>
          <w:rFonts w:ascii="Verdana" w:hAnsi="Verdana" w:eastAsia="Calibri" w:cs="Arial"/>
        </w:rPr>
      </w:pPr>
      <w:r>
        <w:rPr>
          <w:rFonts w:ascii="Verdana" w:hAnsi="Verdana" w:eastAsia="Calibri" w:cs="Arial"/>
        </w:rPr>
        <w:t>Evidentemente, e</w:t>
      </w:r>
      <w:r w:rsidRPr="003E67DE">
        <w:rPr>
          <w:rFonts w:ascii="Verdana" w:hAnsi="Verdana" w:eastAsia="Calibri" w:cs="Arial"/>
        </w:rPr>
        <w:t xml:space="preserve">sa naturaleza mixta </w:t>
      </w:r>
      <w:r>
        <w:rPr>
          <w:rFonts w:ascii="Verdana" w:hAnsi="Verdana" w:eastAsia="Calibri" w:cs="Arial"/>
        </w:rPr>
        <w:t xml:space="preserve">de las ambulancias </w:t>
      </w:r>
      <w:r w:rsidRPr="003E67DE">
        <w:rPr>
          <w:rFonts w:ascii="Verdana" w:hAnsi="Verdana" w:eastAsia="Calibri" w:cs="Arial"/>
        </w:rPr>
        <w:t xml:space="preserve">obliga a que la ESE, en la fase de estudios previos, </w:t>
      </w:r>
      <w:r w:rsidRPr="00894AD1">
        <w:rPr>
          <w:rFonts w:ascii="Verdana" w:hAnsi="Verdana" w:eastAsia="Calibri" w:cs="Arial"/>
        </w:rPr>
        <w:t>exponga de manera razonada</w:t>
      </w:r>
      <w:r w:rsidRPr="003E67DE">
        <w:rPr>
          <w:rFonts w:ascii="Verdana" w:hAnsi="Verdana" w:eastAsia="Calibri" w:cs="Arial"/>
        </w:rPr>
        <w:t xml:space="preserve"> si la prevalencia de su componente biomédico ubica la adquisición dentro de la categoría de “dotación biomédica”. De esta manera, se evita que el proceso contractual sea visto como la compra de un vehículo ordinario, desconociendo el verdadero propósito del bien.</w:t>
      </w:r>
    </w:p>
    <w:p w:rsidR="00077445" w:rsidP="00077445" w:rsidRDefault="00077445" w14:paraId="28E0968E" w14:textId="77777777">
      <w:pPr>
        <w:spacing w:after="120" w:line="276" w:lineRule="auto"/>
        <w:ind w:firstLine="708"/>
        <w:jc w:val="both"/>
        <w:rPr>
          <w:rFonts w:ascii="Verdana" w:hAnsi="Verdana" w:eastAsia="Calibri" w:cs="Arial"/>
        </w:rPr>
      </w:pPr>
      <w:r>
        <w:rPr>
          <w:rFonts w:ascii="Verdana" w:hAnsi="Verdana" w:eastAsia="Calibri" w:cs="Arial"/>
        </w:rPr>
        <w:t>En consecuencia, c</w:t>
      </w:r>
      <w:r w:rsidRPr="00DC0042">
        <w:rPr>
          <w:rFonts w:ascii="Verdana" w:hAnsi="Verdana" w:eastAsia="Calibri" w:cs="Arial"/>
        </w:rPr>
        <w:t>uando una ESE documenta en los estudios previos que la adquisición corresponde a dotación biomédica, no solo cumple con una exigencia normativa, sino que también genera certeza jurídica sobre la modalidad de selección aplicable. Esto impide decisiones arbitrarias y asegura que todos los oferentes conozcan las reglas claras del proceso. En este sentido, la clasificación en la fase de planeación se convierte en una salvaguarda de los principios de igualdad, selección objetiva y publicidad, previstos tanto en la Ley 80 de 1993 como en la Ley 1150 de 2007.</w:t>
      </w:r>
    </w:p>
    <w:p w:rsidR="00077445" w:rsidP="00077445" w:rsidRDefault="00077445" w14:paraId="4AFC8B7E" w14:textId="77777777">
      <w:pPr>
        <w:spacing w:after="120" w:line="276" w:lineRule="auto"/>
        <w:ind w:firstLine="708"/>
        <w:jc w:val="both"/>
        <w:rPr>
          <w:rFonts w:ascii="Verdana" w:hAnsi="Verdana" w:eastAsia="Calibri" w:cs="Arial"/>
        </w:rPr>
      </w:pPr>
      <w:r>
        <w:rPr>
          <w:rFonts w:ascii="Verdana" w:hAnsi="Verdana" w:eastAsia="Calibri" w:cs="Arial"/>
        </w:rPr>
        <w:t>De la misma manera, l</w:t>
      </w:r>
      <w:r w:rsidRPr="00114646">
        <w:rPr>
          <w:rFonts w:ascii="Verdana" w:hAnsi="Verdana" w:eastAsia="Calibri" w:cs="Arial"/>
        </w:rPr>
        <w:t>a etapa de estudios previos también cumple una función de control. Al dejar explícito si la adquisición corresponde a dotación biomédica, la ESE se ajusta a los principios de la función administrativa y de la gestión fiscal (artículos 209 y 267 de la Constitución Política). De este modo, se fortalece la rendición de cuentas frente a órganos de control, ya que la entidad podrá demostrar que actuó con criterios de planeación adecuada, eficiencia en el uso de los recursos públicos y coherencia con la normatividad sectorial.</w:t>
      </w:r>
    </w:p>
    <w:p w:rsidR="00077445" w:rsidP="00077445" w:rsidRDefault="00077445" w14:paraId="55804CAB" w14:textId="77777777">
      <w:pPr>
        <w:spacing w:after="0" w:line="276" w:lineRule="auto"/>
        <w:ind w:firstLine="708"/>
        <w:jc w:val="both"/>
        <w:rPr>
          <w:rFonts w:ascii="Verdana" w:hAnsi="Verdana" w:eastAsia="Calibri" w:cs="Arial"/>
        </w:rPr>
      </w:pPr>
      <w:r w:rsidRPr="007153B7">
        <w:rPr>
          <w:rFonts w:ascii="Verdana" w:hAnsi="Verdana" w:eastAsia="Calibri" w:cs="Arial"/>
        </w:rPr>
        <w:t>Finalmente, debe resaltarse que la propia Resolución 1440 de 2024 anuncia que el Ministerio expedirá una guía para orientar a las ESE en la formulación de términos de condiciones bajo buenas prácticas de contratación. Anticiparse a esa directriz y establecer desde ya, en los estudios previos, si la adquisición de ambulancias corresponde a dotación biomédica es una medida de planeación proactiva</w:t>
      </w:r>
      <w:r>
        <w:rPr>
          <w:rFonts w:ascii="Verdana" w:hAnsi="Verdana" w:eastAsia="Calibri" w:cs="Arial"/>
        </w:rPr>
        <w:t xml:space="preserve"> que permite asegurar</w:t>
      </w:r>
      <w:r w:rsidRPr="007153B7">
        <w:rPr>
          <w:rFonts w:ascii="Verdana" w:hAnsi="Verdana" w:eastAsia="Calibri" w:cs="Arial"/>
        </w:rPr>
        <w:t xml:space="preserve"> que los procesos contractuales de las ESE no solo cumplan con la norma, sino que se adelanten con altos estándares de transparencia y calidad.</w:t>
      </w:r>
    </w:p>
    <w:p w:rsidR="00077445" w:rsidP="00077445" w:rsidRDefault="00077445" w14:paraId="360A2B8A" w14:textId="77777777">
      <w:pPr>
        <w:spacing w:after="0" w:line="276" w:lineRule="auto"/>
        <w:ind w:firstLine="708"/>
        <w:jc w:val="both"/>
        <w:rPr>
          <w:rFonts w:ascii="Verdana" w:hAnsi="Verdana" w:eastAsia="Calibri" w:cs="Arial"/>
        </w:rPr>
      </w:pPr>
    </w:p>
    <w:p w:rsidRPr="00E76CD6" w:rsidR="00077445" w:rsidP="00077445" w:rsidRDefault="00077445" w14:paraId="3F352ACB" w14:textId="77777777">
      <w:pPr>
        <w:tabs>
          <w:tab w:val="left" w:pos="142"/>
          <w:tab w:val="left" w:pos="284"/>
        </w:tabs>
        <w:spacing w:after="0" w:line="276" w:lineRule="auto"/>
        <w:jc w:val="both"/>
        <w:rPr>
          <w:rFonts w:ascii="Verdana" w:hAnsi="Verdana" w:eastAsia="Century Gothic" w:cs="Century Gothic"/>
          <w:b/>
          <w:bCs/>
        </w:rPr>
      </w:pPr>
      <w:r w:rsidRPr="00E76CD6">
        <w:rPr>
          <w:rFonts w:ascii="Verdana" w:hAnsi="Verdana" w:eastAsia="Century Gothic" w:cs="Century Gothic"/>
          <w:b/>
          <w:bCs/>
        </w:rPr>
        <w:t>4. Referencias normativas, jurisprudenciales y otras fuentes:</w:t>
      </w:r>
    </w:p>
    <w:p w:rsidRPr="00E76CD6" w:rsidR="00077445" w:rsidP="00077445" w:rsidRDefault="00077445" w14:paraId="75B78988"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E76CD6" w:rsidR="00077445" w:rsidTr="00E66DB3" w14:paraId="10E45386" w14:textId="77777777">
        <w:trPr>
          <w:trHeight w:val="870"/>
        </w:trPr>
        <w:tc>
          <w:tcPr>
            <w:tcW w:w="8647" w:type="dxa"/>
          </w:tcPr>
          <w:p w:rsidRPr="00C95CD8" w:rsidR="00077445" w:rsidP="00077445" w:rsidRDefault="00077445" w14:paraId="1D2413CE" w14:textId="77777777">
            <w:pPr>
              <w:widowControl w:val="0"/>
              <w:numPr>
                <w:ilvl w:val="0"/>
                <w:numId w:val="1"/>
              </w:numPr>
              <w:autoSpaceDE w:val="0"/>
              <w:autoSpaceDN w:val="0"/>
              <w:spacing w:line="276" w:lineRule="auto"/>
              <w:contextualSpacing/>
              <w:jc w:val="both"/>
              <w:rPr>
                <w:rFonts w:ascii="Verdana" w:hAnsi="Verdana" w:eastAsia="Aptos" w:cs="Arial"/>
                <w:sz w:val="20"/>
                <w:szCs w:val="20"/>
              </w:rPr>
            </w:pPr>
            <w:r w:rsidRPr="00C95CD8">
              <w:rPr>
                <w:rFonts w:ascii="Verdana" w:hAnsi="Verdana" w:eastAsia="Aptos" w:cs="Arial"/>
                <w:sz w:val="20"/>
                <w:szCs w:val="20"/>
              </w:rPr>
              <w:t>Constitución Política de Colombia, artículo 209 y 267.</w:t>
            </w:r>
          </w:p>
          <w:p w:rsidRPr="00C95CD8" w:rsidR="00077445" w:rsidP="00077445" w:rsidRDefault="00077445" w14:paraId="0C1880CF" w14:textId="77777777">
            <w:pPr>
              <w:widowControl w:val="0"/>
              <w:numPr>
                <w:ilvl w:val="0"/>
                <w:numId w:val="1"/>
              </w:numPr>
              <w:autoSpaceDE w:val="0"/>
              <w:autoSpaceDN w:val="0"/>
              <w:spacing w:line="276" w:lineRule="auto"/>
              <w:contextualSpacing/>
              <w:jc w:val="both"/>
              <w:rPr>
                <w:rFonts w:ascii="Verdana" w:hAnsi="Verdana" w:eastAsia="Aptos" w:cs="Arial"/>
                <w:sz w:val="20"/>
                <w:szCs w:val="20"/>
              </w:rPr>
            </w:pPr>
            <w:r w:rsidRPr="00C95CD8">
              <w:rPr>
                <w:rFonts w:ascii="Verdana" w:hAnsi="Verdana" w:eastAsia="Aptos" w:cs="Arial"/>
                <w:sz w:val="20"/>
                <w:szCs w:val="20"/>
              </w:rPr>
              <w:t>Ley 100 de 1993, artículo 194.</w:t>
            </w:r>
          </w:p>
          <w:p w:rsidRPr="00C95CD8" w:rsidR="00077445" w:rsidP="00077445" w:rsidRDefault="00077445" w14:paraId="231236CE" w14:textId="77777777">
            <w:pPr>
              <w:widowControl w:val="0"/>
              <w:numPr>
                <w:ilvl w:val="0"/>
                <w:numId w:val="1"/>
              </w:numPr>
              <w:autoSpaceDE w:val="0"/>
              <w:autoSpaceDN w:val="0"/>
              <w:spacing w:line="276" w:lineRule="auto"/>
              <w:contextualSpacing/>
              <w:jc w:val="both"/>
              <w:rPr>
                <w:rFonts w:ascii="Verdana" w:hAnsi="Verdana" w:eastAsia="Aptos" w:cs="Arial"/>
                <w:sz w:val="20"/>
                <w:szCs w:val="20"/>
              </w:rPr>
            </w:pPr>
            <w:r w:rsidRPr="00C95CD8">
              <w:rPr>
                <w:rFonts w:ascii="Verdana" w:hAnsi="Verdana" w:eastAsia="Aptos" w:cs="Arial"/>
                <w:sz w:val="20"/>
                <w:szCs w:val="20"/>
              </w:rPr>
              <w:t>Ley 80 de 1993, artículos 1, 2 y 23.</w:t>
            </w:r>
          </w:p>
          <w:p w:rsidRPr="00C95CD8" w:rsidR="00077445" w:rsidP="00077445" w:rsidRDefault="00077445" w14:paraId="0CCD39C2" w14:textId="77777777">
            <w:pPr>
              <w:widowControl w:val="0"/>
              <w:numPr>
                <w:ilvl w:val="0"/>
                <w:numId w:val="1"/>
              </w:numPr>
              <w:autoSpaceDE w:val="0"/>
              <w:autoSpaceDN w:val="0"/>
              <w:spacing w:line="276" w:lineRule="auto"/>
              <w:contextualSpacing/>
              <w:jc w:val="both"/>
              <w:rPr>
                <w:rFonts w:ascii="Verdana" w:hAnsi="Verdana" w:eastAsia="Aptos" w:cs="Arial"/>
                <w:sz w:val="20"/>
                <w:szCs w:val="20"/>
              </w:rPr>
            </w:pPr>
            <w:r w:rsidRPr="00C95CD8">
              <w:rPr>
                <w:rFonts w:ascii="Verdana" w:hAnsi="Verdana" w:eastAsia="Aptos" w:cs="Arial"/>
                <w:sz w:val="20"/>
                <w:szCs w:val="20"/>
              </w:rPr>
              <w:t>Ley 1150 de 2007, artículo 13.</w:t>
            </w:r>
          </w:p>
          <w:p w:rsidRPr="00C95CD8" w:rsidR="00077445" w:rsidP="00077445" w:rsidRDefault="00077445" w14:paraId="382D6E71" w14:textId="77777777">
            <w:pPr>
              <w:widowControl w:val="0"/>
              <w:numPr>
                <w:ilvl w:val="0"/>
                <w:numId w:val="1"/>
              </w:numPr>
              <w:autoSpaceDE w:val="0"/>
              <w:autoSpaceDN w:val="0"/>
              <w:spacing w:line="276" w:lineRule="auto"/>
              <w:contextualSpacing/>
              <w:jc w:val="both"/>
              <w:rPr>
                <w:rFonts w:ascii="Verdana" w:hAnsi="Verdana" w:eastAsia="Aptos" w:cs="Arial"/>
                <w:sz w:val="20"/>
                <w:szCs w:val="20"/>
              </w:rPr>
            </w:pPr>
            <w:r w:rsidRPr="00C95CD8">
              <w:rPr>
                <w:rFonts w:ascii="Verdana" w:hAnsi="Verdana" w:eastAsia="Aptos" w:cs="Arial"/>
                <w:sz w:val="20"/>
                <w:szCs w:val="20"/>
              </w:rPr>
              <w:t xml:space="preserve">Resolución No. 5185 de 2013, modificada por la Resolución 1440 de 2024, artículo 10. </w:t>
            </w:r>
          </w:p>
          <w:p w:rsidRPr="00C95CD8" w:rsidR="00077445" w:rsidP="00077445" w:rsidRDefault="00077445" w14:paraId="41F2A9E9" w14:textId="77777777">
            <w:pPr>
              <w:widowControl w:val="0"/>
              <w:numPr>
                <w:ilvl w:val="0"/>
                <w:numId w:val="1"/>
              </w:numPr>
              <w:autoSpaceDE w:val="0"/>
              <w:autoSpaceDN w:val="0"/>
              <w:spacing w:line="276" w:lineRule="auto"/>
              <w:contextualSpacing/>
              <w:jc w:val="both"/>
              <w:rPr>
                <w:rFonts w:ascii="Verdana" w:hAnsi="Verdana" w:eastAsia="Aptos" w:cs="Arial"/>
                <w:sz w:val="20"/>
                <w:szCs w:val="20"/>
              </w:rPr>
            </w:pPr>
            <w:r w:rsidRPr="00C95CD8">
              <w:rPr>
                <w:rFonts w:ascii="Verdana" w:hAnsi="Verdana" w:eastAsia="Aptos" w:cs="Arial"/>
                <w:sz w:val="20"/>
                <w:szCs w:val="20"/>
              </w:rPr>
              <w:t xml:space="preserve">Resolución </w:t>
            </w:r>
            <w:r w:rsidRPr="00C95CD8">
              <w:rPr>
                <w:rFonts w:ascii="Verdana" w:hAnsi="Verdana" w:eastAsia="Calibri" w:cs="Arial"/>
                <w:sz w:val="20"/>
                <w:szCs w:val="20"/>
              </w:rPr>
              <w:t>485 del 27 de marzo de 2025 “</w:t>
            </w:r>
            <w:r w:rsidRPr="00C95CD8">
              <w:rPr>
                <w:rFonts w:ascii="Verdana" w:hAnsi="Verdana" w:eastAsia="Calibri" w:cs="Arial"/>
                <w:i/>
                <w:iCs/>
                <w:sz w:val="20"/>
                <w:szCs w:val="20"/>
              </w:rPr>
              <w:t xml:space="preserve">Por la cual se establecen los requisitos para la expedición de los conceptos técnicos de viabilidad de los proyectos de inversión cuya fuente de financiación o cofinanciación sea el Presupuesto General de la Nación - Ministerio de Salud y Protección Social y/o recursos de las entidades territoriales, y los proyectos de infraestructura física, equipamiento fijo y dotación biomédica, considerados de control </w:t>
            </w:r>
            <w:r w:rsidRPr="00C95CD8">
              <w:rPr>
                <w:rFonts w:ascii="Verdana" w:hAnsi="Verdana" w:eastAsia="Calibri" w:cs="Arial"/>
                <w:i/>
                <w:iCs/>
                <w:sz w:val="20"/>
                <w:szCs w:val="20"/>
              </w:rPr>
              <w:t>especial de oferta para la prestación de servicios de salud, cuyo fin último es el fortalecimiento de la capacidad instalada para la prestación del servicio de salud, y se dictan otras disposiciones</w:t>
            </w:r>
            <w:r w:rsidRPr="00C95CD8">
              <w:rPr>
                <w:rFonts w:ascii="Verdana" w:hAnsi="Verdana" w:eastAsia="Calibri" w:cs="Arial"/>
                <w:sz w:val="20"/>
                <w:szCs w:val="20"/>
              </w:rPr>
              <w:t>”, artículo 3</w:t>
            </w:r>
          </w:p>
          <w:p w:rsidRPr="00C95CD8" w:rsidR="00077445" w:rsidP="00077445" w:rsidRDefault="00077445" w14:paraId="156D26B7" w14:textId="77777777">
            <w:pPr>
              <w:widowControl w:val="0"/>
              <w:numPr>
                <w:ilvl w:val="0"/>
                <w:numId w:val="1"/>
              </w:numPr>
              <w:autoSpaceDE w:val="0"/>
              <w:autoSpaceDN w:val="0"/>
              <w:spacing w:line="276" w:lineRule="auto"/>
              <w:contextualSpacing/>
              <w:jc w:val="both"/>
              <w:rPr>
                <w:rFonts w:ascii="Verdana" w:hAnsi="Verdana" w:eastAsia="Aptos" w:cs="Arial"/>
                <w:sz w:val="20"/>
                <w:szCs w:val="20"/>
              </w:rPr>
            </w:pPr>
            <w:r w:rsidRPr="00C95CD8">
              <w:rPr>
                <w:rFonts w:ascii="Verdana" w:hAnsi="Verdana" w:eastAsia="Aptos" w:cs="Arial"/>
                <w:sz w:val="20"/>
                <w:szCs w:val="20"/>
              </w:rPr>
              <w:t xml:space="preserve">Agencia Nacional de Contratación Pública - Colombia Compra Eficiente. Guía para las Entidades Estatales con Régimen Especial de Contratación. </w:t>
            </w:r>
            <w:hyperlink w:history="1" r:id="rId11">
              <w:r w:rsidRPr="00C95CD8">
                <w:rPr>
                  <w:rStyle w:val="Hipervnculo"/>
                  <w:rFonts w:ascii="Verdana" w:hAnsi="Verdana" w:eastAsia="Aptos" w:cs="Arial"/>
                  <w:sz w:val="20"/>
                  <w:szCs w:val="20"/>
                </w:rPr>
                <w:t>https://www.colombiacompra.gov.co/archivos/manual/guia-para-entidades-estatales-con-regimen-especial-de-contratacion</w:t>
              </w:r>
            </w:hyperlink>
            <w:r w:rsidRPr="00C95CD8">
              <w:rPr>
                <w:rFonts w:ascii="Verdana" w:hAnsi="Verdana" w:eastAsia="Aptos" w:cs="Arial"/>
                <w:sz w:val="20"/>
                <w:szCs w:val="20"/>
              </w:rPr>
              <w:t xml:space="preserve"> </w:t>
            </w:r>
          </w:p>
          <w:p w:rsidRPr="00C95CD8" w:rsidR="00077445" w:rsidP="00077445" w:rsidRDefault="00077445" w14:paraId="1772F082" w14:textId="77777777">
            <w:pPr>
              <w:widowControl w:val="0"/>
              <w:numPr>
                <w:ilvl w:val="0"/>
                <w:numId w:val="1"/>
              </w:numPr>
              <w:autoSpaceDE w:val="0"/>
              <w:autoSpaceDN w:val="0"/>
              <w:spacing w:line="276" w:lineRule="auto"/>
              <w:contextualSpacing/>
              <w:jc w:val="both"/>
              <w:rPr>
                <w:rFonts w:ascii="Verdana" w:hAnsi="Verdana" w:eastAsia="Aptos" w:cs="Arial"/>
                <w:sz w:val="20"/>
                <w:szCs w:val="20"/>
              </w:rPr>
            </w:pPr>
            <w:r w:rsidRPr="00C95CD8">
              <w:rPr>
                <w:rFonts w:ascii="Verdana" w:hAnsi="Verdana" w:eastAsia="Aptos" w:cs="Arial"/>
                <w:sz w:val="20"/>
                <w:szCs w:val="20"/>
              </w:rPr>
              <w:t>Agencia Nacional de Contratación Pública - Colombia Compra Eficiente. Lineamientos Generales para la Expedición de Manuales de Contratación. Lineamientos generales para la expedición de manuales de contratación | Colombia Compra Eficiente | Agencia Nacional de Contratación Pública</w:t>
            </w:r>
          </w:p>
          <w:p w:rsidRPr="00E76CD6" w:rsidR="00077445" w:rsidP="00077445" w:rsidRDefault="00077445" w14:paraId="2F815D48" w14:textId="77777777">
            <w:pPr>
              <w:widowControl w:val="0"/>
              <w:numPr>
                <w:ilvl w:val="0"/>
                <w:numId w:val="1"/>
              </w:numPr>
              <w:autoSpaceDE w:val="0"/>
              <w:autoSpaceDN w:val="0"/>
              <w:spacing w:line="276" w:lineRule="auto"/>
              <w:contextualSpacing/>
              <w:jc w:val="both"/>
              <w:rPr>
                <w:rFonts w:ascii="Verdana" w:hAnsi="Verdana" w:cs="Arial"/>
              </w:rPr>
            </w:pPr>
            <w:r w:rsidRPr="00C95CD8">
              <w:rPr>
                <w:rFonts w:ascii="Verdana" w:hAnsi="Verdana" w:eastAsia="Aptos" w:cs="Arial"/>
                <w:sz w:val="20"/>
                <w:szCs w:val="20"/>
              </w:rPr>
              <w:t>Consejo de Estado. Sección Tercera. Subsección C. 24 de octubre de 2016, M.P: María Nubia Velásquez Rico. Exp. 45.607.</w:t>
            </w:r>
          </w:p>
        </w:tc>
      </w:tr>
    </w:tbl>
    <w:p w:rsidRPr="00E76CD6" w:rsidR="00077445" w:rsidP="00077445" w:rsidRDefault="00077445" w14:paraId="2264F048"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Pr="00E76CD6" w:rsidR="00077445" w:rsidP="00077445" w:rsidRDefault="00077445" w14:paraId="1562C144"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r w:rsidRPr="00E76CD6">
        <w:rPr>
          <w:rFonts w:ascii="Verdana" w:hAnsi="Verdana" w:eastAsia="Century Gothic" w:cs="Century Gothic"/>
          <w:b/>
          <w:bCs/>
        </w:rPr>
        <w:t>5. Doctrina de la Agencia Nacional de Contratación Pública:</w:t>
      </w:r>
    </w:p>
    <w:p w:rsidRPr="00E76CD6" w:rsidR="00077445" w:rsidP="00077445" w:rsidRDefault="00077445" w14:paraId="089D0FA5" w14:textId="77777777">
      <w:pPr>
        <w:spacing w:after="0" w:line="276" w:lineRule="auto"/>
        <w:ind w:firstLine="709"/>
        <w:jc w:val="both"/>
        <w:rPr>
          <w:rFonts w:ascii="Verdana" w:hAnsi="Verdana" w:eastAsia="Times New Roman" w:cs="Arial"/>
          <w:lang w:eastAsia="es-ES_tradnl"/>
        </w:rPr>
      </w:pPr>
    </w:p>
    <w:p w:rsidRPr="00E76CD6" w:rsidR="00077445" w:rsidP="00077445" w:rsidRDefault="00077445" w14:paraId="0C6DDA6D" w14:textId="77777777">
      <w:pPr>
        <w:widowControl w:val="0"/>
        <w:autoSpaceDE w:val="0"/>
        <w:autoSpaceDN w:val="0"/>
        <w:spacing w:after="0" w:line="276" w:lineRule="auto"/>
        <w:jc w:val="both"/>
        <w:rPr>
          <w:rFonts w:ascii="Verdana" w:hAnsi="Verdana"/>
        </w:rPr>
      </w:pPr>
      <w:r w:rsidRPr="002A22E2">
        <w:rPr>
          <w:rFonts w:ascii="Verdana" w:hAnsi="Verdana" w:eastAsia="Calibri" w:cs="Arial"/>
          <w:color w:val="000000" w:themeColor="text1"/>
          <w:lang w:val="es-ES_tradnl" w:eastAsia="es-ES_tradnl"/>
        </w:rPr>
        <w:t>Sobre las Empresas Sociales del Estado esta Agencia se pronunció en los conceptos con radicado 2201913000007228 de 30 de septiembre de 2019, 2201913000007955 24 de octubre de 2019, 2201913000009314 17 de diciembre de 2020, 2201913000009591 24 de diciembre de 2019, 2201913000009469 20 de diciembre de 2019, CU-003 del 15 de enero de 2020, C-079 de 5 de febrero de 2020, C-168 de 31 de marzo de 2020, C-658 de 2020, C-038 del 23 de abril de 2024</w:t>
      </w:r>
      <w:r>
        <w:rPr>
          <w:rFonts w:ascii="Verdana" w:hAnsi="Verdana" w:eastAsia="Calibri" w:cs="Arial"/>
          <w:color w:val="000000" w:themeColor="text1"/>
          <w:lang w:val="es-ES_tradnl" w:eastAsia="es-ES_tradnl"/>
        </w:rPr>
        <w:t xml:space="preserve"> y C-673 del 8 de julio de 2025</w:t>
      </w:r>
      <w:r w:rsidRPr="002A22E2">
        <w:rPr>
          <w:rFonts w:ascii="Verdana" w:hAnsi="Verdana" w:eastAsia="Calibri" w:cs="Arial"/>
          <w:color w:val="000000" w:themeColor="text1"/>
          <w:lang w:val="es-ES_tradnl" w:eastAsia="es-ES_tradnl"/>
        </w:rPr>
        <w:t>.</w:t>
      </w:r>
      <w:r>
        <w:rPr>
          <w:rFonts w:ascii="Verdana" w:hAnsi="Verdana" w:cs="Arial"/>
          <w:shd w:val="clear" w:color="auto" w:fill="FFFFFF"/>
          <w:lang w:val="es-ES"/>
        </w:rPr>
        <w:t xml:space="preserve"> </w:t>
      </w:r>
      <w:r w:rsidRPr="00C661E5">
        <w:rPr>
          <w:rFonts w:ascii="Verdana" w:hAnsi="Verdana" w:cs="Arial"/>
          <w:shd w:val="clear" w:color="auto" w:fill="FFFFFF"/>
          <w:lang w:val="es-ES"/>
        </w:rPr>
        <w:t>entre otros</w:t>
      </w:r>
      <w:r w:rsidRPr="00E76CD6">
        <w:rPr>
          <w:rFonts w:ascii="Verdana" w:hAnsi="Verdana" w:cs="Arial"/>
        </w:rPr>
        <w:t xml:space="preserve">. </w:t>
      </w:r>
      <w:r w:rsidRPr="00E76CD6">
        <w:rPr>
          <w:rFonts w:ascii="Verdana" w:hAnsi="Verdana" w:eastAsia="Calibri"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p>
    <w:p w:rsidRPr="00E76CD6" w:rsidR="00077445" w:rsidP="00077445" w:rsidRDefault="00077445" w14:paraId="6D6144E3" w14:textId="77777777">
      <w:pPr>
        <w:widowControl w:val="0"/>
        <w:autoSpaceDE w:val="0"/>
        <w:autoSpaceDN w:val="0"/>
        <w:spacing w:after="0" w:line="276" w:lineRule="auto"/>
        <w:jc w:val="both"/>
        <w:rPr>
          <w:rStyle w:val="normaltextrun"/>
          <w:rFonts w:ascii="Verdana" w:hAnsi="Verdana"/>
          <w:color w:val="000000"/>
        </w:rPr>
      </w:pPr>
    </w:p>
    <w:p w:rsidRPr="00E76CD6" w:rsidR="00077445" w:rsidP="00077445" w:rsidRDefault="00957900" w14:paraId="479CA8A2" w14:textId="77777777">
      <w:pPr>
        <w:widowControl w:val="0"/>
        <w:autoSpaceDE w:val="0"/>
        <w:autoSpaceDN w:val="0"/>
        <w:spacing w:after="0" w:line="276" w:lineRule="auto"/>
        <w:jc w:val="both"/>
        <w:rPr>
          <w:rFonts w:ascii="Verdana" w:hAnsi="Verdana" w:eastAsia="Calibri" w:cs="Arial"/>
          <w:lang w:eastAsia="es-ES_tradnl"/>
        </w:rPr>
      </w:pPr>
      <w:hyperlink w:history="1" r:id="rId12">
        <w:r w:rsidRPr="00E76CD6" w:rsidR="00077445">
          <w:rPr>
            <w:rStyle w:val="Hipervnculo"/>
            <w:rFonts w:ascii="Verdana" w:hAnsi="Verdana" w:eastAsia="Calibri" w:cs="Arial"/>
            <w:lang w:eastAsia="es-ES_tradnl"/>
          </w:rPr>
          <w:t>https://relatoria.colombiacompra.gov.co/</w:t>
        </w:r>
      </w:hyperlink>
      <w:r w:rsidRPr="00E76CD6" w:rsidR="00077445">
        <w:rPr>
          <w:rFonts w:ascii="Verdana" w:hAnsi="Verdana" w:eastAsia="Calibri" w:cs="Arial"/>
          <w:lang w:eastAsia="es-ES_tradnl"/>
        </w:rPr>
        <w:t> </w:t>
      </w:r>
    </w:p>
    <w:p w:rsidRPr="00E76CD6" w:rsidR="00077445" w:rsidP="00077445" w:rsidRDefault="00077445" w14:paraId="5FFE258B" w14:textId="77777777">
      <w:pPr>
        <w:widowControl w:val="0"/>
        <w:autoSpaceDE w:val="0"/>
        <w:autoSpaceDN w:val="0"/>
        <w:spacing w:after="0" w:line="276" w:lineRule="auto"/>
        <w:jc w:val="both"/>
        <w:rPr>
          <w:rFonts w:ascii="Verdana" w:hAnsi="Verdana" w:eastAsia="Calibri" w:cs="Arial"/>
          <w:lang w:eastAsia="es-ES_tradnl"/>
        </w:rPr>
      </w:pPr>
    </w:p>
    <w:p w:rsidRPr="00E76CD6" w:rsidR="00077445" w:rsidP="00077445" w:rsidRDefault="00077445" w14:paraId="33F32568" w14:textId="77777777">
      <w:pPr>
        <w:widowControl w:val="0"/>
        <w:autoSpaceDE w:val="0"/>
        <w:autoSpaceDN w:val="0"/>
        <w:spacing w:after="0" w:line="276" w:lineRule="auto"/>
        <w:jc w:val="both"/>
        <w:rPr>
          <w:rFonts w:ascii="Verdana" w:hAnsi="Verdana" w:eastAsia="Times New Roman" w:cs="Times New Roman"/>
          <w:color w:val="000000"/>
          <w:bdr w:val="none" w:color="auto" w:sz="0" w:space="0" w:frame="1"/>
          <w:lang w:eastAsia="es-CO"/>
        </w:rPr>
      </w:pPr>
      <w:r w:rsidRPr="00E76CD6">
        <w:rPr>
          <w:rFonts w:ascii="Verdana" w:hAnsi="Verdana" w:eastAsia="Times New Roman" w:cs="Times New Roman"/>
          <w:color w:val="000000"/>
          <w:bdr w:val="none" w:color="auto" w:sz="0" w:space="0" w:frame="1"/>
          <w:lang w:eastAsia="es-CO"/>
        </w:rPr>
        <w:t xml:space="preserve">También le contamos que ya se encuentra disponible la </w:t>
      </w:r>
      <w:r w:rsidRPr="00E76CD6">
        <w:rPr>
          <w:rFonts w:ascii="Verdana" w:hAnsi="Verdana" w:eastAsia="Times New Roman" w:cs="Times New Roman"/>
          <w:b/>
          <w:bCs/>
          <w:color w:val="000000"/>
          <w:bdr w:val="none" w:color="auto" w:sz="0" w:space="0" w:frame="1"/>
          <w:lang w:eastAsia="es-CO"/>
        </w:rPr>
        <w:t xml:space="preserve">Guía de lineamientos de transparencia y selección objetiva para el departamento de La Guajira – Objetivo sexto constitucional de la Sentencia T-302 del 2017. </w:t>
      </w:r>
      <w:r w:rsidRPr="00E76CD6">
        <w:rPr>
          <w:rFonts w:ascii="Verdana" w:hAnsi="Verdana" w:eastAsia="Times New Roman" w:cs="Times New Roman"/>
          <w:color w:val="000000"/>
          <w:bdr w:val="none" w:color="auto" w:sz="0" w:space="0"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w:t>
      </w:r>
      <w:r w:rsidRPr="00E76CD6">
        <w:rPr>
          <w:rFonts w:ascii="Verdana" w:hAnsi="Verdana" w:eastAsia="Times New Roman" w:cs="Times New Roman"/>
          <w:color w:val="000000"/>
          <w:bdr w:val="none" w:color="auto" w:sz="0" w:space="0" w:frame="1"/>
          <w:lang w:eastAsia="es-CO"/>
        </w:rPr>
        <w:t xml:space="preserve">Puede consultar la guía en el siguiente enlace: </w:t>
      </w:r>
    </w:p>
    <w:p w:rsidRPr="00E76CD6" w:rsidR="00077445" w:rsidP="00077445" w:rsidRDefault="00077445" w14:paraId="11EECD71" w14:textId="77777777">
      <w:pPr>
        <w:widowControl w:val="0"/>
        <w:autoSpaceDE w:val="0"/>
        <w:autoSpaceDN w:val="0"/>
        <w:spacing w:after="0" w:line="276" w:lineRule="auto"/>
        <w:jc w:val="both"/>
        <w:rPr>
          <w:rFonts w:ascii="Verdana" w:hAnsi="Verdana" w:eastAsia="Times New Roman" w:cs="Times New Roman"/>
          <w:color w:val="000000"/>
          <w:bdr w:val="none" w:color="auto" w:sz="0" w:space="0" w:frame="1"/>
          <w:lang w:eastAsia="es-CO"/>
        </w:rPr>
      </w:pPr>
    </w:p>
    <w:p w:rsidRPr="00E76CD6" w:rsidR="00077445" w:rsidP="00077445" w:rsidRDefault="00957900" w14:paraId="114C268B" w14:textId="77777777">
      <w:pPr>
        <w:widowControl w:val="0"/>
        <w:autoSpaceDE w:val="0"/>
        <w:autoSpaceDN w:val="0"/>
        <w:spacing w:after="0" w:line="276" w:lineRule="auto"/>
        <w:jc w:val="both"/>
        <w:rPr>
          <w:rFonts w:ascii="Verdana" w:hAnsi="Verdana" w:eastAsia="Times New Roman" w:cs="Times New Roman"/>
          <w:color w:val="000000"/>
          <w:bdr w:val="none" w:color="auto" w:sz="0" w:space="0" w:frame="1"/>
          <w:lang w:eastAsia="es-CO"/>
        </w:rPr>
      </w:pPr>
      <w:hyperlink w:tgtFrame="_blank" w:tooltip="Dirección URL original: https://www.colombiacompra.gov.co/wp-content/uploads/2025/05/GUIA-DE-LINEAMIENTOS-DE-TRANSPARENCIA-Y-SELECCION-OBJETIVA-1.0.pdf. Haga clic o pulse si confía en este vínculo." w:history="1" r:id="rId13">
        <w:r w:rsidRPr="00E76CD6" w:rsidR="00077445">
          <w:rPr>
            <w:rStyle w:val="Hipervnculo"/>
            <w:rFonts w:ascii="Verdana" w:hAnsi="Verdana" w:eastAsia="Times New Roman"/>
            <w:bdr w:val="none" w:color="auto" w:sz="0" w:space="0" w:frame="1"/>
            <w:lang w:eastAsia="es-CO"/>
          </w:rPr>
          <w:t>Guía de lineamientos de transparencia y selección objetiva para el departamento de La Guajira – Objetivo sexto constitucional de la Sentencia T-302 del 2017</w:t>
        </w:r>
      </w:hyperlink>
    </w:p>
    <w:p w:rsidRPr="00E76CD6" w:rsidR="00077445" w:rsidP="00077445" w:rsidRDefault="00077445" w14:paraId="316F68B5" w14:textId="77777777">
      <w:pPr>
        <w:widowControl w:val="0"/>
        <w:autoSpaceDE w:val="0"/>
        <w:autoSpaceDN w:val="0"/>
        <w:spacing w:after="0" w:line="276" w:lineRule="auto"/>
        <w:jc w:val="both"/>
        <w:rPr>
          <w:rFonts w:ascii="Verdana" w:hAnsi="Verdana" w:cs="Arial"/>
        </w:rPr>
      </w:pPr>
    </w:p>
    <w:p w:rsidRPr="00E76CD6" w:rsidR="00077445" w:rsidP="00077445" w:rsidRDefault="00077445" w14:paraId="1A10A2CD" w14:textId="77777777">
      <w:pPr>
        <w:spacing w:after="0" w:line="276" w:lineRule="auto"/>
        <w:jc w:val="both"/>
        <w:rPr>
          <w:rFonts w:ascii="Verdana" w:hAnsi="Verdana"/>
        </w:rPr>
      </w:pPr>
      <w:r w:rsidRPr="00E76CD6">
        <w:rPr>
          <w:rFonts w:ascii="Verdana" w:hAnsi="Verdana"/>
        </w:rPr>
        <w:t xml:space="preserve">Por último, lo invitamos a seguirnos en las redes sociales en las cuales se difunde información institucional: </w:t>
      </w:r>
    </w:p>
    <w:p w:rsidRPr="00E76CD6" w:rsidR="00077445" w:rsidP="00077445" w:rsidRDefault="00077445" w14:paraId="0B424B0C" w14:textId="77777777">
      <w:pPr>
        <w:spacing w:after="0" w:line="276" w:lineRule="auto"/>
        <w:jc w:val="both"/>
        <w:rPr>
          <w:rFonts w:ascii="Verdana" w:hAnsi="Verdana"/>
        </w:rPr>
      </w:pPr>
    </w:p>
    <w:p w:rsidRPr="00E76CD6" w:rsidR="00077445" w:rsidP="00077445" w:rsidRDefault="00077445" w14:paraId="0945C429" w14:textId="77777777">
      <w:pPr>
        <w:spacing w:after="0" w:line="276" w:lineRule="auto"/>
        <w:jc w:val="both"/>
        <w:rPr>
          <w:rFonts w:ascii="Verdana" w:hAnsi="Verdana"/>
        </w:rPr>
      </w:pPr>
      <w:r w:rsidRPr="00E76CD6">
        <w:rPr>
          <w:rFonts w:ascii="Verdana" w:hAnsi="Verdana"/>
        </w:rPr>
        <w:t xml:space="preserve">Twitter: </w:t>
      </w:r>
      <w:r w:rsidRPr="00E76CD6">
        <w:rPr>
          <w:rStyle w:val="Hipervnculo"/>
          <w:rFonts w:ascii="Verdana" w:hAnsi="Verdana"/>
          <w:color w:val="4472C4" w:themeColor="accent1"/>
        </w:rPr>
        <w:t>@colombiacompra</w:t>
      </w:r>
      <w:r w:rsidRPr="00E76CD6">
        <w:rPr>
          <w:rFonts w:ascii="Verdana" w:hAnsi="Verdana"/>
          <w:color w:val="4472C4" w:themeColor="accent1"/>
        </w:rPr>
        <w:t xml:space="preserve"> </w:t>
      </w:r>
    </w:p>
    <w:p w:rsidRPr="00E76CD6" w:rsidR="00077445" w:rsidP="00077445" w:rsidRDefault="00077445" w14:paraId="5483003B" w14:textId="77777777">
      <w:pPr>
        <w:spacing w:after="0" w:line="276" w:lineRule="auto"/>
        <w:jc w:val="both"/>
        <w:rPr>
          <w:rFonts w:ascii="Verdana" w:hAnsi="Verdana"/>
        </w:rPr>
      </w:pPr>
      <w:r w:rsidRPr="00E76CD6">
        <w:rPr>
          <w:rFonts w:ascii="Verdana" w:hAnsi="Verdana"/>
        </w:rPr>
        <w:t xml:space="preserve">Facebook: </w:t>
      </w:r>
      <w:r w:rsidRPr="00E76CD6">
        <w:rPr>
          <w:rStyle w:val="Hipervnculo"/>
          <w:rFonts w:ascii="Verdana" w:hAnsi="Verdana"/>
          <w:color w:val="4472C4" w:themeColor="accent1"/>
        </w:rPr>
        <w:t>ColombiaCompraEficiente</w:t>
      </w:r>
    </w:p>
    <w:p w:rsidRPr="00E76CD6" w:rsidR="00077445" w:rsidP="00077445" w:rsidRDefault="00077445" w14:paraId="40ACBF22" w14:textId="77777777">
      <w:pPr>
        <w:spacing w:after="0" w:line="276" w:lineRule="auto"/>
        <w:jc w:val="both"/>
        <w:rPr>
          <w:rFonts w:ascii="Verdana" w:hAnsi="Verdana"/>
        </w:rPr>
      </w:pPr>
      <w:r w:rsidRPr="00E76CD6">
        <w:rPr>
          <w:rFonts w:ascii="Verdana" w:hAnsi="Verdana"/>
        </w:rPr>
        <w:t xml:space="preserve">LinkedIn: </w:t>
      </w:r>
      <w:r w:rsidRPr="00E76CD6">
        <w:rPr>
          <w:rStyle w:val="Hipervnculo"/>
          <w:rFonts w:ascii="Verdana" w:hAnsi="Verdana"/>
          <w:color w:val="4472C4" w:themeColor="accent1"/>
        </w:rPr>
        <w:t>Agencia Nacional de Contratación Pública - Colombia Compra Eficiente</w:t>
      </w:r>
      <w:r w:rsidRPr="00E76CD6">
        <w:rPr>
          <w:rFonts w:ascii="Verdana" w:hAnsi="Verdana"/>
          <w:color w:val="4472C4" w:themeColor="accent1"/>
        </w:rPr>
        <w:t xml:space="preserve"> </w:t>
      </w:r>
      <w:r w:rsidRPr="00E76CD6">
        <w:rPr>
          <w:rFonts w:ascii="Verdana" w:hAnsi="Verdana"/>
        </w:rPr>
        <w:t xml:space="preserve">Instagram: </w:t>
      </w:r>
      <w:r w:rsidRPr="00E76CD6">
        <w:rPr>
          <w:rStyle w:val="Hipervnculo"/>
          <w:rFonts w:ascii="Verdana" w:hAnsi="Verdana"/>
          <w:color w:val="4472C4" w:themeColor="accent1"/>
        </w:rPr>
        <w:t>@colombiacompraeficiente_cce</w:t>
      </w:r>
    </w:p>
    <w:p w:rsidRPr="00E76CD6" w:rsidR="00077445" w:rsidP="00077445" w:rsidRDefault="00077445" w14:paraId="3E2D642D" w14:textId="77777777">
      <w:pPr>
        <w:widowControl w:val="0"/>
        <w:autoSpaceDE w:val="0"/>
        <w:autoSpaceDN w:val="0"/>
        <w:spacing w:after="0" w:line="276" w:lineRule="auto"/>
        <w:jc w:val="both"/>
        <w:rPr>
          <w:rFonts w:ascii="Verdana" w:hAnsi="Verdana"/>
        </w:rPr>
      </w:pPr>
    </w:p>
    <w:p w:rsidRPr="00E76CD6" w:rsidR="00077445" w:rsidP="00077445" w:rsidRDefault="00077445" w14:paraId="6E68F09B" w14:textId="77777777">
      <w:pPr>
        <w:widowControl w:val="0"/>
        <w:autoSpaceDE w:val="0"/>
        <w:autoSpaceDN w:val="0"/>
        <w:spacing w:after="0" w:line="276" w:lineRule="auto"/>
        <w:jc w:val="both"/>
        <w:rPr>
          <w:rFonts w:ascii="Verdana" w:hAnsi="Verdana" w:cs="Arial"/>
        </w:rPr>
      </w:pPr>
      <w:r w:rsidRPr="00E76CD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E76CD6" w:rsidR="00077445" w:rsidP="00077445" w:rsidRDefault="00077445" w14:paraId="4AE3577B" w14:textId="77777777">
      <w:pPr>
        <w:spacing w:after="0" w:line="276" w:lineRule="auto"/>
        <w:ind w:firstLine="709"/>
        <w:jc w:val="both"/>
        <w:rPr>
          <w:rFonts w:ascii="Verdana" w:hAnsi="Verdana" w:eastAsia="Times New Roman" w:cs="Arial"/>
          <w:lang w:eastAsia="es-ES_tradnl"/>
        </w:rPr>
      </w:pPr>
    </w:p>
    <w:p w:rsidRPr="00E76CD6" w:rsidR="00077445" w:rsidP="00077445" w:rsidRDefault="00077445" w14:paraId="0E9FD630" w14:textId="77777777">
      <w:pPr>
        <w:spacing w:after="0" w:line="276" w:lineRule="auto"/>
        <w:jc w:val="both"/>
        <w:rPr>
          <w:rFonts w:ascii="Verdana" w:hAnsi="Verdana" w:eastAsia="Times New Roman" w:cs="Arial"/>
          <w:lang w:eastAsia="es-CO"/>
        </w:rPr>
      </w:pPr>
      <w:bookmarkStart w:name="_Hlk117695077" w:id="2"/>
      <w:r w:rsidRPr="00E76CD6">
        <w:rPr>
          <w:rFonts w:ascii="Verdana" w:hAnsi="Verdana" w:eastAsia="Times New Roman" w:cs="Arial"/>
          <w:lang w:eastAsia="es-CO"/>
        </w:rPr>
        <w:t>Atentamente,</w:t>
      </w:r>
      <w:bookmarkEnd w:id="2"/>
    </w:p>
    <w:p w:rsidRPr="00E76CD6" w:rsidR="00077445" w:rsidP="00077445" w:rsidRDefault="00957900" w14:paraId="24E8B460" w14:textId="50E98749">
      <w:pPr>
        <w:spacing w:after="18" w:line="240" w:lineRule="auto"/>
        <w:jc w:val="center"/>
        <w:rPr>
          <w:rFonts w:ascii="Verdana" w:hAnsi="Verdana" w:eastAsia="Times New Roman" w:cs="Arial"/>
          <w:sz w:val="24"/>
          <w:szCs w:val="24"/>
          <w:lang w:eastAsia="es-CO"/>
        </w:rPr>
      </w:pPr>
      <w:r w:rsidRPr="004D5C25">
        <w:rPr>
          <w:rFonts w:ascii="Century Gothic" w:hAnsi="Century Gothic"/>
          <w:noProof/>
        </w:rPr>
        <w:drawing>
          <wp:inline distT="0" distB="0" distL="0" distR="0" wp14:anchorId="29F7E672" wp14:editId="26505E9C">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E76CD6" w:rsidR="00077445" w:rsidTr="00E66DB3" w14:paraId="26717AB7" w14:textId="77777777">
        <w:trPr>
          <w:trHeight w:val="315"/>
        </w:trPr>
        <w:tc>
          <w:tcPr>
            <w:tcW w:w="893" w:type="dxa"/>
            <w:vAlign w:val="center"/>
            <w:hideMark/>
          </w:tcPr>
          <w:bookmarkEnd w:id="0"/>
          <w:p w:rsidRPr="00E76CD6" w:rsidR="00077445" w:rsidP="00E66DB3" w:rsidRDefault="00077445" w14:paraId="0E5C7E8D" w14:textId="77777777">
            <w:pPr>
              <w:contextualSpacing/>
              <w:rPr>
                <w:rFonts w:ascii="Verdana" w:hAnsi="Verdana" w:cs="Arial"/>
                <w:sz w:val="16"/>
                <w:szCs w:val="16"/>
                <w:lang w:eastAsia="es-ES"/>
              </w:rPr>
            </w:pPr>
            <w:r w:rsidRPr="00E76CD6">
              <w:rPr>
                <w:rFonts w:ascii="Verdana" w:hAnsi="Verdana" w:cs="Arial"/>
                <w:sz w:val="16"/>
                <w:szCs w:val="16"/>
                <w:lang w:eastAsia="es-ES"/>
              </w:rPr>
              <w:t>Elaboró:</w:t>
            </w:r>
          </w:p>
        </w:tc>
        <w:tc>
          <w:tcPr>
            <w:tcW w:w="5628" w:type="dxa"/>
            <w:tcBorders>
              <w:top w:val="nil"/>
              <w:left w:val="nil"/>
              <w:bottom w:val="dotted" w:color="7F7F7F" w:themeColor="text1" w:themeTint="80" w:sz="4" w:space="0"/>
              <w:right w:val="nil"/>
            </w:tcBorders>
            <w:vAlign w:val="center"/>
            <w:hideMark/>
          </w:tcPr>
          <w:p w:rsidRPr="00E76CD6" w:rsidR="00077445" w:rsidP="00E66DB3" w:rsidRDefault="00077445" w14:paraId="0D6F9921" w14:textId="77777777">
            <w:pPr>
              <w:contextualSpacing/>
              <w:rPr>
                <w:rFonts w:ascii="Verdana" w:hAnsi="Verdana"/>
                <w:sz w:val="16"/>
                <w:szCs w:val="16"/>
              </w:rPr>
            </w:pPr>
            <w:r w:rsidRPr="00E76CD6">
              <w:rPr>
                <w:rFonts w:ascii="Verdana" w:hAnsi="Verdana"/>
                <w:sz w:val="16"/>
                <w:szCs w:val="16"/>
              </w:rPr>
              <w:t>Sergio Enrique Caballero Lesmes</w:t>
            </w:r>
          </w:p>
          <w:p w:rsidRPr="00E76CD6" w:rsidR="00077445" w:rsidP="00E66DB3" w:rsidRDefault="00077445" w14:paraId="0D52396B" w14:textId="77777777">
            <w:pPr>
              <w:contextualSpacing/>
              <w:rPr>
                <w:rFonts w:ascii="Verdana" w:hAnsi="Verdana" w:eastAsia="Arial" w:cs="Arial"/>
                <w:sz w:val="16"/>
                <w:szCs w:val="16"/>
              </w:rPr>
            </w:pPr>
            <w:r w:rsidRPr="00E76CD6">
              <w:rPr>
                <w:rFonts w:ascii="Verdana" w:hAnsi="Verdana"/>
                <w:sz w:val="16"/>
                <w:szCs w:val="16"/>
              </w:rPr>
              <w:t>Analista T2-02 de la Subdirección de Gestión Contractual</w:t>
            </w:r>
          </w:p>
        </w:tc>
      </w:tr>
      <w:tr w:rsidRPr="00E76CD6" w:rsidR="00077445" w:rsidTr="00E66DB3" w14:paraId="13B5D08F" w14:textId="77777777">
        <w:trPr>
          <w:trHeight w:val="330"/>
        </w:trPr>
        <w:tc>
          <w:tcPr>
            <w:tcW w:w="893" w:type="dxa"/>
            <w:vAlign w:val="center"/>
            <w:hideMark/>
          </w:tcPr>
          <w:p w:rsidRPr="00E76CD6" w:rsidR="00077445" w:rsidP="00E66DB3" w:rsidRDefault="00077445" w14:paraId="6A7D84D6" w14:textId="77777777">
            <w:pPr>
              <w:contextualSpacing/>
              <w:rPr>
                <w:rFonts w:ascii="Verdana" w:hAnsi="Verdana" w:cs="Arial"/>
                <w:sz w:val="16"/>
                <w:szCs w:val="16"/>
                <w:lang w:eastAsia="es-ES"/>
              </w:rPr>
            </w:pPr>
            <w:r w:rsidRPr="00E76CD6">
              <w:rPr>
                <w:rFonts w:ascii="Verdana" w:hAnsi="Verdana" w:cs="Arial"/>
                <w:sz w:val="16"/>
                <w:szCs w:val="16"/>
                <w:lang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E76CD6" w:rsidR="00077445" w:rsidP="00E66DB3" w:rsidRDefault="00077445" w14:paraId="6C5DF515" w14:textId="77777777">
            <w:pPr>
              <w:contextualSpacing/>
              <w:rPr>
                <w:rFonts w:ascii="Verdana" w:hAnsi="Verdana"/>
                <w:sz w:val="16"/>
                <w:szCs w:val="16"/>
              </w:rPr>
            </w:pPr>
            <w:r w:rsidRPr="00E76CD6">
              <w:rPr>
                <w:rFonts w:ascii="Verdana" w:hAnsi="Verdana"/>
                <w:sz w:val="16"/>
                <w:szCs w:val="16"/>
              </w:rPr>
              <w:t>Diana Lucía Saavedra Castañeda</w:t>
            </w:r>
          </w:p>
          <w:p w:rsidRPr="00E76CD6" w:rsidR="00077445" w:rsidP="00E66DB3" w:rsidRDefault="00077445" w14:paraId="6B9023AF" w14:textId="77777777">
            <w:pPr>
              <w:pStyle w:val="paragraph"/>
              <w:spacing w:before="0" w:beforeAutospacing="0" w:after="0" w:afterAutospacing="0"/>
              <w:contextualSpacing/>
              <w:textAlignment w:val="baseline"/>
              <w:rPr>
                <w:rFonts w:ascii="Verdana" w:hAnsi="Verdana" w:cs="Segoe UI"/>
                <w:sz w:val="16"/>
                <w:szCs w:val="16"/>
              </w:rPr>
            </w:pPr>
            <w:r w:rsidRPr="00E76CD6">
              <w:rPr>
                <w:rStyle w:val="normaltextrun"/>
                <w:rFonts w:ascii="Verdana" w:hAnsi="Verdana" w:cs="Arial"/>
                <w:sz w:val="16"/>
                <w:szCs w:val="16"/>
              </w:rPr>
              <w:t>Contratista de la Subdirección de Gestión Contractual</w:t>
            </w:r>
            <w:r w:rsidRPr="00E76CD6">
              <w:rPr>
                <w:rStyle w:val="eop"/>
                <w:rFonts w:ascii="Verdana" w:hAnsi="Verdana" w:eastAsiaTheme="majorEastAsia"/>
                <w:sz w:val="16"/>
                <w:szCs w:val="16"/>
              </w:rPr>
              <w:t> </w:t>
            </w:r>
          </w:p>
        </w:tc>
      </w:tr>
      <w:tr w:rsidRPr="00E76CD6" w:rsidR="00077445" w:rsidTr="00E66DB3" w14:paraId="714081C5" w14:textId="77777777">
        <w:trPr>
          <w:trHeight w:val="300"/>
        </w:trPr>
        <w:tc>
          <w:tcPr>
            <w:tcW w:w="893" w:type="dxa"/>
            <w:vAlign w:val="center"/>
          </w:tcPr>
          <w:p w:rsidRPr="00E76CD6" w:rsidR="00077445" w:rsidP="00E66DB3" w:rsidRDefault="00077445" w14:paraId="410ECBA6" w14:textId="77777777">
            <w:pPr>
              <w:contextualSpacing/>
              <w:rPr>
                <w:rFonts w:ascii="Verdana" w:hAnsi="Verdana" w:cs="Arial"/>
                <w:sz w:val="16"/>
                <w:szCs w:val="16"/>
                <w:lang w:eastAsia="es-ES"/>
              </w:rPr>
            </w:pPr>
            <w:r w:rsidRPr="00E76CD6">
              <w:rPr>
                <w:rFonts w:ascii="Verdana" w:hAnsi="Verdana" w:cs="Arial"/>
                <w:sz w:val="16"/>
                <w:szCs w:val="16"/>
                <w:lang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E76CD6" w:rsidR="00077445" w:rsidP="00E66DB3" w:rsidRDefault="00077445" w14:paraId="6FA78701" w14:textId="77777777">
            <w:r w:rsidRPr="00E76CD6">
              <w:rPr>
                <w:rFonts w:ascii="Verdana" w:hAnsi="Verdana" w:eastAsia="Calibri" w:cs="Arial"/>
                <w:sz w:val="16"/>
                <w:szCs w:val="16"/>
                <w:lang w:eastAsia="es-ES"/>
              </w:rPr>
              <w:t>Carolina Quintero Gacharná</w:t>
            </w:r>
          </w:p>
          <w:p w:rsidRPr="00E76CD6" w:rsidR="00077445" w:rsidP="00E66DB3" w:rsidRDefault="00077445" w14:paraId="08F31A31" w14:textId="77777777">
            <w:pPr>
              <w:contextualSpacing/>
              <w:rPr>
                <w:rFonts w:ascii="Verdana" w:hAnsi="Verdana" w:eastAsia="Calibri" w:cs="Arial"/>
                <w:sz w:val="16"/>
                <w:szCs w:val="16"/>
                <w:lang w:eastAsia="es-ES"/>
              </w:rPr>
            </w:pPr>
            <w:r w:rsidRPr="00E76CD6">
              <w:rPr>
                <w:rFonts w:ascii="Verdana" w:hAnsi="Verdana" w:eastAsia="Calibri" w:cs="Arial"/>
                <w:sz w:val="16"/>
                <w:szCs w:val="16"/>
                <w:lang w:eastAsia="es-ES"/>
              </w:rPr>
              <w:t xml:space="preserve">Subdirectora de Gestión Contractual ANCP – CCE </w:t>
            </w:r>
          </w:p>
        </w:tc>
      </w:tr>
    </w:tbl>
    <w:p w:rsidRPr="00B1507F" w:rsidR="00077445" w:rsidP="00077445" w:rsidRDefault="00077445" w14:paraId="52BF56B4" w14:textId="77777777"/>
    <w:p w:rsidR="00274079" w:rsidRDefault="00274079" w14:paraId="5728FEAD" w14:textId="77777777"/>
    <w:sectPr w:rsidR="00274079" w:rsidSect="00077445">
      <w:headerReference w:type="default" r:id="rId15"/>
      <w:footerReference w:type="default" r:id="rId16"/>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77445" w:rsidP="00077445" w:rsidRDefault="00077445" w14:paraId="58FD090C" w14:textId="77777777">
      <w:pPr>
        <w:spacing w:after="0" w:line="240" w:lineRule="auto"/>
      </w:pPr>
      <w:r>
        <w:separator/>
      </w:r>
    </w:p>
  </w:endnote>
  <w:endnote w:type="continuationSeparator" w:id="0">
    <w:p w:rsidR="00077445" w:rsidP="00077445" w:rsidRDefault="00077445" w14:paraId="40A3E33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7445" w:rsidRDefault="00077445" w14:paraId="17EDE15B" w14:textId="77777777">
    <w:pPr>
      <w:pStyle w:val="Piedepgina"/>
    </w:pPr>
  </w:p>
  <w:p w:rsidRPr="00174B77" w:rsidR="00077445" w:rsidP="00D520D8" w:rsidRDefault="00077445" w14:paraId="1BEB0B85"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077445" w:rsidP="00D520D8" w:rsidRDefault="00077445" w14:paraId="2325AE48"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077445" w:rsidP="00D520D8" w:rsidRDefault="00077445" w14:paraId="779BC623" w14:textId="77777777">
    <w:pPr>
      <w:spacing w:after="0"/>
      <w:jc w:val="both"/>
      <w:rPr>
        <w:rFonts w:ascii="Verdana" w:hAnsi="Verdana"/>
        <w:sz w:val="18"/>
        <w:szCs w:val="18"/>
      </w:rPr>
    </w:pPr>
    <w:r w:rsidRPr="00E41027">
      <w:rPr>
        <w:rFonts w:ascii="Verdana" w:hAnsi="Verdana"/>
        <w:sz w:val="18"/>
        <w:szCs w:val="18"/>
      </w:rPr>
      <w:t>Mesa de servicio: (+57) 601 7456788</w:t>
    </w:r>
  </w:p>
  <w:p w:rsidR="00077445" w:rsidP="0025796E" w:rsidRDefault="00077445" w14:paraId="2E0D1F95" w14:textId="77777777">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hAnsi="Century Gothic" w:eastAsia="Geo" w:cs="Geo"/>
        <w:b/>
        <w:color w:val="000000"/>
        <w:sz w:val="16"/>
        <w:szCs w:val="16"/>
        <w:lang w:eastAsia="es-CO"/>
      </w:rPr>
      <w:t xml:space="preserve">Código: </w:t>
    </w:r>
    <w:r w:rsidRPr="004A305D">
      <w:rPr>
        <w:rFonts w:ascii="Century Gothic" w:hAnsi="Century Gothic" w:eastAsia="Geo" w:cs="Geo"/>
        <w:bCs/>
        <w:color w:val="000000"/>
        <w:sz w:val="16"/>
        <w:szCs w:val="16"/>
        <w:lang w:eastAsia="es-CO"/>
      </w:rPr>
      <w:t>CCE-</w:t>
    </w:r>
    <w:r>
      <w:rPr>
        <w:rFonts w:ascii="Century Gothic" w:hAnsi="Century Gothic" w:eastAsia="Geo" w:cs="Geo"/>
        <w:bCs/>
        <w:color w:val="000000"/>
        <w:sz w:val="16"/>
        <w:szCs w:val="16"/>
        <w:lang w:eastAsia="es-CO"/>
      </w:rPr>
      <w:t>REC</w:t>
    </w:r>
    <w:r w:rsidRPr="004A305D">
      <w:rPr>
        <w:rFonts w:ascii="Century Gothic" w:hAnsi="Century Gothic" w:eastAsia="Geo" w:cs="Geo"/>
        <w:bCs/>
        <w:color w:val="000000"/>
        <w:sz w:val="16"/>
        <w:szCs w:val="16"/>
        <w:lang w:eastAsia="es-CO"/>
      </w:rPr>
      <w:t>-FM-</w:t>
    </w:r>
    <w:r>
      <w:rPr>
        <w:rFonts w:ascii="Century Gothic" w:hAnsi="Century Gothic" w:eastAsia="Geo" w:cs="Geo"/>
        <w:bCs/>
        <w:color w:val="000000"/>
        <w:sz w:val="16"/>
        <w:szCs w:val="16"/>
        <w:lang w:eastAsia="es-CO"/>
      </w:rPr>
      <w:t xml:space="preserve">17 </w:t>
    </w:r>
    <w:r w:rsidRPr="004A305D">
      <w:rPr>
        <w:rFonts w:ascii="Century Gothic" w:hAnsi="Century Gothic" w:eastAsia="Geo" w:cs="Geo"/>
        <w:b/>
        <w:color w:val="000000"/>
        <w:sz w:val="16"/>
        <w:szCs w:val="16"/>
        <w:lang w:eastAsia="es-CO"/>
      </w:rPr>
      <w:t>Versión</w:t>
    </w:r>
    <w:r w:rsidRPr="004A305D">
      <w:rPr>
        <w:rFonts w:ascii="Century Gothic" w:hAnsi="Century Gothic" w:eastAsia="Arial Nova" w:cs="Arial Nova"/>
        <w:b/>
        <w:color w:val="000000"/>
        <w:sz w:val="16"/>
        <w:szCs w:val="16"/>
        <w:lang w:eastAsia="es-CO"/>
      </w:rPr>
      <w:t xml:space="preserve">: </w:t>
    </w:r>
    <w:r w:rsidRPr="004A305D">
      <w:rPr>
        <w:rFonts w:ascii="Century Gothic" w:hAnsi="Century Gothic" w:eastAsia="Geo" w:cs="Geo"/>
        <w:sz w:val="16"/>
        <w:szCs w:val="16"/>
        <w:lang w:eastAsia="es-CO"/>
      </w:rPr>
      <w:t>0</w:t>
    </w:r>
    <w:r>
      <w:rPr>
        <w:rFonts w:ascii="Century Gothic" w:hAnsi="Century Gothic" w:eastAsia="Geo" w:cs="Geo"/>
        <w:sz w:val="16"/>
        <w:szCs w:val="16"/>
        <w:lang w:eastAsia="es-CO"/>
      </w:rPr>
      <w:t>2</w:t>
    </w:r>
    <w:r w:rsidRPr="004A305D">
      <w:rPr>
        <w:rFonts w:ascii="Century Gothic" w:hAnsi="Century Gothic" w:eastAsia="Geo" w:cs="Geo"/>
        <w:sz w:val="16"/>
        <w:szCs w:val="16"/>
        <w:lang w:eastAsia="es-CO"/>
      </w:rPr>
      <w:t xml:space="preserve"> </w:t>
    </w:r>
    <w:r>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77445" w:rsidP="00077445" w:rsidRDefault="00077445" w14:paraId="6BB3ED16" w14:textId="77777777">
      <w:pPr>
        <w:spacing w:after="0" w:line="240" w:lineRule="auto"/>
      </w:pPr>
      <w:r>
        <w:separator/>
      </w:r>
    </w:p>
  </w:footnote>
  <w:footnote w:type="continuationSeparator" w:id="0">
    <w:p w:rsidR="00077445" w:rsidP="00077445" w:rsidRDefault="00077445" w14:paraId="38164487" w14:textId="77777777">
      <w:pPr>
        <w:spacing w:after="0" w:line="240" w:lineRule="auto"/>
      </w:pPr>
      <w:r>
        <w:continuationSeparator/>
      </w:r>
    </w:p>
  </w:footnote>
  <w:footnote w:id="1">
    <w:p w:rsidRPr="00C95CD8" w:rsidR="00077445" w:rsidP="00077445" w:rsidRDefault="00077445" w14:paraId="67017495" w14:textId="77777777">
      <w:pPr>
        <w:pStyle w:val="Textonotapie"/>
        <w:ind w:firstLine="709"/>
        <w:jc w:val="both"/>
        <w:rPr>
          <w:rFonts w:ascii="Verdana" w:hAnsi="Verdana" w:cs="Arial"/>
          <w:color w:val="000000"/>
          <w:sz w:val="12"/>
          <w:szCs w:val="12"/>
        </w:rPr>
      </w:pPr>
      <w:r w:rsidRPr="00C95CD8">
        <w:rPr>
          <w:rStyle w:val="Refdenotaalpie"/>
          <w:rFonts w:ascii="Verdana" w:hAnsi="Verdana" w:cs="Arial"/>
          <w:color w:val="000000"/>
          <w:sz w:val="12"/>
          <w:szCs w:val="12"/>
        </w:rPr>
        <w:footnoteRef/>
      </w:r>
      <w:r w:rsidRPr="00C95CD8">
        <w:rPr>
          <w:rFonts w:ascii="Verdana" w:hAnsi="Verdana" w:cs="Arial"/>
          <w:color w:val="000000"/>
          <w:sz w:val="12"/>
          <w:szCs w:val="12"/>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rsidRPr="00C95CD8" w:rsidR="00077445" w:rsidP="00077445" w:rsidRDefault="00077445" w14:paraId="3DE26287" w14:textId="77777777">
      <w:pPr>
        <w:pStyle w:val="Textonotapie"/>
        <w:ind w:firstLine="709"/>
        <w:jc w:val="both"/>
        <w:rPr>
          <w:rFonts w:ascii="Verdana" w:hAnsi="Verdana" w:cs="Arial"/>
          <w:color w:val="000000"/>
          <w:sz w:val="12"/>
          <w:szCs w:val="12"/>
        </w:rPr>
      </w:pPr>
    </w:p>
  </w:footnote>
  <w:footnote w:id="2">
    <w:p w:rsidRPr="00C95CD8" w:rsidR="00077445" w:rsidP="00077445" w:rsidRDefault="00077445" w14:paraId="30EAAC30" w14:textId="77777777">
      <w:pPr>
        <w:pStyle w:val="Textonotapie"/>
        <w:ind w:firstLine="709"/>
        <w:jc w:val="both"/>
        <w:rPr>
          <w:rFonts w:ascii="Verdana" w:hAnsi="Verdana" w:cs="Arial"/>
          <w:color w:val="000000"/>
          <w:sz w:val="12"/>
          <w:szCs w:val="12"/>
        </w:rPr>
      </w:pPr>
      <w:r w:rsidRPr="00C95CD8">
        <w:rPr>
          <w:rStyle w:val="Refdenotaalpie"/>
          <w:rFonts w:ascii="Verdana" w:hAnsi="Verdana" w:cs="Arial"/>
          <w:color w:val="000000"/>
          <w:sz w:val="12"/>
          <w:szCs w:val="12"/>
        </w:rPr>
        <w:footnoteRef/>
      </w:r>
      <w:r w:rsidRPr="00C95CD8">
        <w:rPr>
          <w:rFonts w:ascii="Verdana" w:hAnsi="Verdana" w:cs="Arial"/>
          <w:color w:val="000000"/>
          <w:sz w:val="12"/>
          <w:szCs w:val="12"/>
        </w:rPr>
        <w:t xml:space="preserve"> Consejo de Estado. Sección Tercera. Radicado No. 45.607 del 24 de octubre de 2016. Consejera Ponente: María Nubia Velásquez Rico.</w:t>
      </w:r>
    </w:p>
    <w:p w:rsidRPr="00C95CD8" w:rsidR="00077445" w:rsidP="00077445" w:rsidRDefault="00077445" w14:paraId="35DC6A6E" w14:textId="77777777">
      <w:pPr>
        <w:pStyle w:val="Textonotapie"/>
        <w:ind w:firstLine="709"/>
        <w:jc w:val="both"/>
        <w:rPr>
          <w:rFonts w:ascii="Verdana" w:hAnsi="Verdana" w:cs="Arial"/>
          <w:color w:val="000000"/>
          <w:sz w:val="12"/>
          <w:szCs w:val="12"/>
          <w:lang w:val="es-ES"/>
        </w:rPr>
      </w:pPr>
    </w:p>
  </w:footnote>
  <w:footnote w:id="3">
    <w:p w:rsidRPr="00C95CD8" w:rsidR="00077445" w:rsidP="00077445" w:rsidRDefault="00077445" w14:paraId="63EBD241" w14:textId="77777777">
      <w:pPr>
        <w:pStyle w:val="Textonotapie"/>
        <w:ind w:firstLine="709"/>
        <w:jc w:val="both"/>
        <w:rPr>
          <w:rFonts w:ascii="Verdana" w:hAnsi="Verdana" w:cs="Arial"/>
          <w:sz w:val="12"/>
          <w:szCs w:val="12"/>
          <w:lang w:val="es-ES"/>
        </w:rPr>
      </w:pPr>
      <w:r w:rsidRPr="00C95CD8">
        <w:rPr>
          <w:rStyle w:val="Refdenotaalpie"/>
          <w:rFonts w:ascii="Verdana" w:hAnsi="Verdana" w:cs="Arial"/>
          <w:sz w:val="12"/>
          <w:szCs w:val="12"/>
        </w:rPr>
        <w:footnoteRef/>
      </w:r>
      <w:r w:rsidRPr="00C95CD8">
        <w:rPr>
          <w:rFonts w:ascii="Verdana" w:hAnsi="Verdana" w:cs="Arial"/>
          <w:sz w:val="12"/>
          <w:szCs w:val="12"/>
        </w:rPr>
        <w:t xml:space="preserve"> </w:t>
      </w:r>
      <w:r w:rsidRPr="00C95CD8">
        <w:rPr>
          <w:rFonts w:ascii="Verdana" w:hAnsi="Verdana" w:cs="Arial"/>
          <w:sz w:val="12"/>
          <w:szCs w:val="12"/>
          <w:lang w:val="es-ES"/>
        </w:rPr>
        <w:t>“</w:t>
      </w:r>
      <w:r w:rsidRPr="00C95CD8">
        <w:rPr>
          <w:rFonts w:ascii="Verdana" w:hAnsi="Verdana" w:cs="Arial"/>
          <w:sz w:val="12"/>
          <w:szCs w:val="12"/>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C95CD8">
        <w:rPr>
          <w:rFonts w:ascii="Verdana" w:hAnsi="Verdana" w:cs="Arial"/>
          <w:sz w:val="12"/>
          <w:szCs w:val="12"/>
          <w:lang w:val="es-ES"/>
        </w:rPr>
        <w:t>”.</w:t>
      </w:r>
    </w:p>
    <w:p w:rsidRPr="00C95CD8" w:rsidR="00077445" w:rsidP="00077445" w:rsidRDefault="00077445" w14:paraId="68EDEEB6" w14:textId="77777777">
      <w:pPr>
        <w:pStyle w:val="Textonotapie"/>
        <w:ind w:firstLine="709"/>
        <w:jc w:val="both"/>
        <w:rPr>
          <w:rFonts w:ascii="Verdana" w:hAnsi="Verdana" w:cs="Arial"/>
          <w:sz w:val="12"/>
          <w:szCs w:val="12"/>
        </w:rPr>
      </w:pPr>
    </w:p>
  </w:footnote>
  <w:footnote w:id="4">
    <w:p w:rsidRPr="00C95CD8" w:rsidR="00077445" w:rsidP="00077445" w:rsidRDefault="00077445" w14:paraId="0AEBB9ED" w14:textId="77777777">
      <w:pPr>
        <w:pStyle w:val="Textonotapie"/>
        <w:ind w:firstLine="709"/>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Consejo de Estado. Sección Tercera. Sentencia 18 de febrero de 2010. Rad: 11001-03-26-000-2009-00058-00(37004). CP: Enrique Gil Botero. </w:t>
      </w:r>
    </w:p>
    <w:p w:rsidRPr="00C95CD8" w:rsidR="00077445" w:rsidP="00077445" w:rsidRDefault="00077445" w14:paraId="10486B9A" w14:textId="77777777">
      <w:pPr>
        <w:pStyle w:val="Textonotapie"/>
        <w:ind w:firstLine="709"/>
        <w:jc w:val="both"/>
        <w:rPr>
          <w:rFonts w:ascii="Verdana" w:hAnsi="Verdana" w:cs="Arial"/>
          <w:sz w:val="12"/>
          <w:szCs w:val="12"/>
        </w:rPr>
      </w:pPr>
    </w:p>
  </w:footnote>
  <w:footnote w:id="5">
    <w:p w:rsidRPr="00C95CD8" w:rsidR="00077445" w:rsidP="00077445" w:rsidRDefault="00077445" w14:paraId="4554B6C1" w14:textId="77777777">
      <w:pPr>
        <w:pStyle w:val="Textonotapie"/>
        <w:ind w:firstLine="709"/>
        <w:jc w:val="both"/>
        <w:rPr>
          <w:rFonts w:ascii="Verdana" w:hAnsi="Verdana" w:cs="Arial"/>
          <w:color w:val="000000"/>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En sentencia C-655 de 2000, la Corte Constitucional se pronunció, así: </w:t>
      </w:r>
      <w:r w:rsidRPr="00C95CD8">
        <w:rPr>
          <w:rFonts w:ascii="Verdana" w:hAnsi="Verdana" w:cs="Arial"/>
          <w:sz w:val="12"/>
          <w:szCs w:val="12"/>
          <w:lang w:val="es-ES_tradnl"/>
        </w:rPr>
        <w:t>“</w:t>
      </w:r>
      <w:r w:rsidRPr="00C95CD8">
        <w:rPr>
          <w:rFonts w:ascii="Verdana" w:hAnsi="Verdana" w:cs="Arial"/>
          <w:color w:val="000000"/>
          <w:sz w:val="12"/>
          <w:szCs w:val="12"/>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C95CD8">
        <w:rPr>
          <w:rFonts w:ascii="Verdana" w:hAnsi="Verdana" w:cs="Arial"/>
          <w:sz w:val="12"/>
          <w:szCs w:val="12"/>
          <w:lang w:val="es-ES_tradnl"/>
        </w:rPr>
        <w:t>”</w:t>
      </w:r>
      <w:r w:rsidRPr="00C95CD8">
        <w:rPr>
          <w:rFonts w:ascii="Verdana" w:hAnsi="Verdana" w:cs="Arial"/>
          <w:color w:val="000000"/>
          <w:sz w:val="12"/>
          <w:szCs w:val="12"/>
        </w:rPr>
        <w:t>.</w:t>
      </w:r>
    </w:p>
    <w:p w:rsidRPr="00C95CD8" w:rsidR="00077445" w:rsidP="00077445" w:rsidRDefault="00077445" w14:paraId="5DF3F2B6" w14:textId="77777777">
      <w:pPr>
        <w:pStyle w:val="Textonotapie"/>
        <w:ind w:firstLine="709"/>
        <w:jc w:val="both"/>
        <w:rPr>
          <w:rFonts w:ascii="Verdana" w:hAnsi="Verdana" w:cs="Arial"/>
          <w:sz w:val="12"/>
          <w:szCs w:val="12"/>
        </w:rPr>
      </w:pPr>
    </w:p>
  </w:footnote>
  <w:footnote w:id="6">
    <w:p w:rsidRPr="00C95CD8" w:rsidR="00077445" w:rsidP="00077445" w:rsidRDefault="00077445" w14:paraId="72B31FD5" w14:textId="77777777">
      <w:pPr>
        <w:pStyle w:val="Textonotapie"/>
        <w:ind w:firstLine="708"/>
        <w:jc w:val="both"/>
        <w:rPr>
          <w:rFonts w:ascii="Verdana" w:hAnsi="Verdana" w:cs="Arial"/>
          <w:color w:val="000000" w:themeColor="text1"/>
          <w:sz w:val="12"/>
          <w:szCs w:val="12"/>
          <w:lang w:val="es-CO"/>
        </w:rPr>
      </w:pPr>
      <w:r w:rsidRPr="00C95CD8">
        <w:rPr>
          <w:rStyle w:val="Refdenotaalpie"/>
          <w:rFonts w:ascii="Verdana" w:hAnsi="Verdana" w:cs="Arial"/>
          <w:color w:val="000000" w:themeColor="text1"/>
          <w:sz w:val="12"/>
          <w:szCs w:val="12"/>
        </w:rPr>
        <w:footnoteRef/>
      </w:r>
      <w:r w:rsidRPr="00C95CD8">
        <w:rPr>
          <w:rFonts w:ascii="Verdana" w:hAnsi="Verdana" w:cs="Arial"/>
          <w:color w:val="000000" w:themeColor="text1"/>
          <w:sz w:val="12"/>
          <w:szCs w:val="12"/>
        </w:rPr>
        <w:t xml:space="preserve"> Consejo de Estado. Sala de Consulta y Servicio Civil. Concepto del 27 de agosto de 1998, radicación No. 1.127, M.P. Javier Henao Hidrón; y </w:t>
      </w:r>
      <w:r w:rsidRPr="00C95CD8">
        <w:rPr>
          <w:rFonts w:ascii="Verdana" w:hAnsi="Verdana" w:cs="Arial"/>
          <w:color w:val="000000" w:themeColor="text1"/>
          <w:sz w:val="12"/>
          <w:szCs w:val="12"/>
          <w:lang w:val="es-CO"/>
        </w:rPr>
        <w:t>concepto del 6 de abril de 2000. Radicación No. 1.263, M.P. Flavio Augusto Rodriguez Arce</w:t>
      </w:r>
    </w:p>
    <w:p w:rsidRPr="00C95CD8" w:rsidR="00077445" w:rsidP="00077445" w:rsidRDefault="00077445" w14:paraId="5CD927E9" w14:textId="77777777">
      <w:pPr>
        <w:pStyle w:val="Textonotapie"/>
        <w:jc w:val="both"/>
        <w:rPr>
          <w:rFonts w:ascii="Verdana" w:hAnsi="Verdana" w:cs="Arial"/>
          <w:color w:val="000000" w:themeColor="text1"/>
          <w:sz w:val="12"/>
          <w:szCs w:val="12"/>
        </w:rPr>
      </w:pPr>
    </w:p>
  </w:footnote>
  <w:footnote w:id="7">
    <w:p w:rsidRPr="00C95CD8" w:rsidR="00077445" w:rsidP="00077445" w:rsidRDefault="00077445" w14:paraId="11DD0777" w14:textId="77777777">
      <w:pPr>
        <w:pStyle w:val="Textonotapie"/>
        <w:ind w:firstLine="709"/>
        <w:jc w:val="both"/>
        <w:rPr>
          <w:rFonts w:ascii="Verdana" w:hAnsi="Verdana" w:cs="Arial"/>
          <w:color w:val="000000" w:themeColor="text1"/>
          <w:sz w:val="12"/>
          <w:szCs w:val="12"/>
        </w:rPr>
      </w:pPr>
      <w:r w:rsidRPr="00C95CD8">
        <w:rPr>
          <w:rStyle w:val="Refdenotaalpie"/>
          <w:rFonts w:ascii="Verdana" w:hAnsi="Verdana" w:cs="Arial"/>
          <w:color w:val="000000" w:themeColor="text1"/>
          <w:sz w:val="12"/>
          <w:szCs w:val="12"/>
        </w:rPr>
        <w:footnoteRef/>
      </w:r>
      <w:r w:rsidRPr="00C95CD8">
        <w:rPr>
          <w:rFonts w:ascii="Verdana" w:hAnsi="Verdana" w:cs="Arial"/>
          <w:color w:val="000000" w:themeColor="text1"/>
          <w:sz w:val="12"/>
          <w:szCs w:val="12"/>
        </w:rPr>
        <w:t xml:space="preserve"> Ministerio de Salud y la Protección Social. Concepto del 16 de agosto de 2019. Expediente No. 201942301304712. </w:t>
      </w:r>
    </w:p>
    <w:p w:rsidRPr="00C95CD8" w:rsidR="00077445" w:rsidP="00077445" w:rsidRDefault="00077445" w14:paraId="67741055" w14:textId="77777777">
      <w:pPr>
        <w:pStyle w:val="Textonotapie"/>
        <w:ind w:firstLine="709"/>
        <w:jc w:val="both"/>
        <w:rPr>
          <w:rFonts w:ascii="Verdana" w:hAnsi="Verdana" w:cs="Arial"/>
          <w:color w:val="000000" w:themeColor="text1"/>
          <w:sz w:val="12"/>
          <w:szCs w:val="12"/>
        </w:rPr>
      </w:pPr>
    </w:p>
  </w:footnote>
  <w:footnote w:id="8">
    <w:p w:rsidRPr="00C95CD8" w:rsidR="00077445" w:rsidP="00077445" w:rsidRDefault="00077445" w14:paraId="6AA37E3E" w14:textId="77777777">
      <w:pPr>
        <w:pStyle w:val="Textonotapie"/>
        <w:ind w:firstLine="709"/>
        <w:jc w:val="both"/>
        <w:rPr>
          <w:rFonts w:ascii="Verdana" w:hAnsi="Verdana" w:cs="Arial"/>
          <w:color w:val="000000" w:themeColor="text1"/>
          <w:sz w:val="12"/>
          <w:szCs w:val="12"/>
        </w:rPr>
      </w:pPr>
      <w:r w:rsidRPr="00C95CD8">
        <w:rPr>
          <w:rStyle w:val="Refdenotaalpie"/>
          <w:rFonts w:ascii="Verdana" w:hAnsi="Verdana" w:cs="Arial"/>
          <w:color w:val="000000" w:themeColor="text1"/>
          <w:sz w:val="12"/>
          <w:szCs w:val="12"/>
        </w:rPr>
        <w:footnoteRef/>
      </w:r>
      <w:r w:rsidRPr="00C95CD8">
        <w:rPr>
          <w:rFonts w:ascii="Verdana" w:hAnsi="Verdana" w:cs="Arial"/>
          <w:color w:val="000000" w:themeColor="text1"/>
          <w:sz w:val="12"/>
          <w:szCs w:val="12"/>
        </w:rPr>
        <w:t xml:space="preserve"> CONSEJO DE ESTADO. Sección Tercera. Subsección A. Sentencia del 24 de octubre de 2016. Exp. 45.607. C.P. Marta Nubia Velásquez Rico.</w:t>
      </w:r>
    </w:p>
    <w:p w:rsidRPr="00C95CD8" w:rsidR="00077445" w:rsidP="00077445" w:rsidRDefault="00077445" w14:paraId="1D2F09E9" w14:textId="77777777">
      <w:pPr>
        <w:pStyle w:val="Textonotapie"/>
        <w:ind w:firstLine="709"/>
        <w:jc w:val="both"/>
        <w:rPr>
          <w:rFonts w:ascii="Verdana" w:hAnsi="Verdana" w:cs="Arial"/>
          <w:color w:val="000000" w:themeColor="text1"/>
          <w:sz w:val="12"/>
          <w:szCs w:val="12"/>
          <w:lang w:val="es-ES"/>
        </w:rPr>
      </w:pPr>
    </w:p>
  </w:footnote>
  <w:footnote w:id="9">
    <w:p w:rsidRPr="00C95CD8" w:rsidR="00077445" w:rsidP="00077445" w:rsidRDefault="00077445" w14:paraId="309BED03" w14:textId="77777777">
      <w:pPr>
        <w:pStyle w:val="Textonotapie"/>
        <w:ind w:firstLine="708"/>
        <w:jc w:val="both"/>
        <w:rPr>
          <w:rFonts w:ascii="Verdana" w:hAnsi="Verdana" w:cs="Arial"/>
          <w:color w:val="000000" w:themeColor="text1"/>
          <w:sz w:val="12"/>
          <w:szCs w:val="12"/>
        </w:rPr>
      </w:pPr>
      <w:r w:rsidRPr="00C95CD8">
        <w:rPr>
          <w:rStyle w:val="Refdenotaalpie"/>
          <w:rFonts w:ascii="Verdana" w:hAnsi="Verdana" w:cs="Arial"/>
          <w:color w:val="000000" w:themeColor="text1"/>
          <w:sz w:val="12"/>
          <w:szCs w:val="12"/>
        </w:rPr>
        <w:footnoteRef/>
      </w:r>
      <w:r w:rsidRPr="00C95CD8">
        <w:rPr>
          <w:rFonts w:ascii="Verdana" w:hAnsi="Verdana" w:cs="Arial"/>
          <w:color w:val="000000" w:themeColor="text1"/>
          <w:sz w:val="12"/>
          <w:szCs w:val="12"/>
        </w:rPr>
        <w:t xml:space="preserve"> HINESTROSA FORERO, Fernando. Tratado de las Obligaciones II. De las fuentes de las obligaciones: el negocio jurídico. Volumen I. Bogotá: Universidad Externado de Colombia, 2015. p. 116.  </w:t>
      </w:r>
    </w:p>
    <w:p w:rsidRPr="00C95CD8" w:rsidR="00077445" w:rsidP="00077445" w:rsidRDefault="00077445" w14:paraId="68E05CDC" w14:textId="77777777">
      <w:pPr>
        <w:pStyle w:val="Textonotapie"/>
        <w:ind w:firstLine="708"/>
        <w:jc w:val="both"/>
        <w:rPr>
          <w:rFonts w:ascii="Verdana" w:hAnsi="Verdana" w:cs="Arial"/>
          <w:color w:val="000000" w:themeColor="text1"/>
          <w:sz w:val="12"/>
          <w:szCs w:val="12"/>
        </w:rPr>
      </w:pPr>
    </w:p>
  </w:footnote>
  <w:footnote w:id="10">
    <w:p w:rsidRPr="00C95CD8" w:rsidR="00077445" w:rsidP="00077445" w:rsidRDefault="00077445" w14:paraId="02575CC9" w14:textId="77777777">
      <w:pPr>
        <w:pStyle w:val="Textonotapie"/>
        <w:ind w:firstLine="708"/>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Cfr. Colombia Compra Eficiente. Subdirección de Gestión Contractual. Concepto C-362 del 3 de julio de 2020. Pág. 9.</w:t>
      </w:r>
    </w:p>
    <w:p w:rsidRPr="00C95CD8" w:rsidR="00077445" w:rsidP="00077445" w:rsidRDefault="00077445" w14:paraId="6C8F3DF8" w14:textId="77777777">
      <w:pPr>
        <w:pStyle w:val="Textonotapie"/>
        <w:ind w:firstLine="708"/>
        <w:jc w:val="both"/>
        <w:rPr>
          <w:rFonts w:ascii="Verdana" w:hAnsi="Verdana" w:cs="Arial"/>
          <w:sz w:val="12"/>
          <w:szCs w:val="12"/>
        </w:rPr>
      </w:pPr>
    </w:p>
  </w:footnote>
  <w:footnote w:id="11">
    <w:p w:rsidRPr="00C95CD8" w:rsidR="00077445" w:rsidP="00077445" w:rsidRDefault="00077445" w14:paraId="4E4940B7" w14:textId="77777777">
      <w:pPr>
        <w:spacing w:after="0" w:line="240" w:lineRule="auto"/>
        <w:ind w:firstLine="708"/>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“La</w:t>
      </w:r>
      <w:r w:rsidRPr="00C95CD8">
        <w:rPr>
          <w:rFonts w:ascii="Verdana" w:hAnsi="Verdana" w:cs="Arial"/>
          <w:spacing w:val="-12"/>
          <w:sz w:val="12"/>
          <w:szCs w:val="12"/>
        </w:rPr>
        <w:t xml:space="preserve"> </w:t>
      </w:r>
      <w:r w:rsidRPr="00C95CD8">
        <w:rPr>
          <w:rFonts w:ascii="Verdana" w:hAnsi="Verdana" w:cs="Arial"/>
          <w:sz w:val="12"/>
          <w:szCs w:val="12"/>
        </w:rPr>
        <w:t>fuerza</w:t>
      </w:r>
      <w:r w:rsidRPr="00C95CD8">
        <w:rPr>
          <w:rFonts w:ascii="Verdana" w:hAnsi="Verdana" w:cs="Arial"/>
          <w:spacing w:val="-12"/>
          <w:sz w:val="12"/>
          <w:szCs w:val="12"/>
        </w:rPr>
        <w:t xml:space="preserve"> </w:t>
      </w:r>
      <w:r w:rsidRPr="00C95CD8">
        <w:rPr>
          <w:rFonts w:ascii="Verdana" w:hAnsi="Verdana" w:cs="Arial"/>
          <w:sz w:val="12"/>
          <w:szCs w:val="12"/>
        </w:rPr>
        <w:t>vinculante</w:t>
      </w:r>
      <w:r w:rsidRPr="00C95CD8">
        <w:rPr>
          <w:rFonts w:ascii="Verdana" w:hAnsi="Verdana" w:cs="Arial"/>
          <w:spacing w:val="-12"/>
          <w:sz w:val="12"/>
          <w:szCs w:val="12"/>
        </w:rPr>
        <w:t xml:space="preserve"> </w:t>
      </w:r>
      <w:r w:rsidRPr="00C95CD8">
        <w:rPr>
          <w:rFonts w:ascii="Verdana" w:hAnsi="Verdana" w:cs="Arial"/>
          <w:sz w:val="12"/>
          <w:szCs w:val="12"/>
        </w:rPr>
        <w:t>de</w:t>
      </w:r>
      <w:r w:rsidRPr="00C95CD8">
        <w:rPr>
          <w:rFonts w:ascii="Verdana" w:hAnsi="Verdana" w:cs="Arial"/>
          <w:spacing w:val="-11"/>
          <w:sz w:val="12"/>
          <w:szCs w:val="12"/>
        </w:rPr>
        <w:t xml:space="preserve"> </w:t>
      </w:r>
      <w:r w:rsidRPr="00C95CD8">
        <w:rPr>
          <w:rFonts w:ascii="Verdana" w:hAnsi="Verdana" w:cs="Arial"/>
          <w:sz w:val="12"/>
          <w:szCs w:val="12"/>
        </w:rPr>
        <w:t>los</w:t>
      </w:r>
      <w:r w:rsidRPr="00C95CD8">
        <w:rPr>
          <w:rFonts w:ascii="Verdana" w:hAnsi="Verdana" w:cs="Arial"/>
          <w:spacing w:val="-12"/>
          <w:sz w:val="12"/>
          <w:szCs w:val="12"/>
        </w:rPr>
        <w:t xml:space="preserve"> </w:t>
      </w:r>
      <w:r w:rsidRPr="00C95CD8">
        <w:rPr>
          <w:rFonts w:ascii="Verdana" w:hAnsi="Verdana" w:cs="Arial"/>
          <w:sz w:val="12"/>
          <w:szCs w:val="12"/>
        </w:rPr>
        <w:t>reglamentos</w:t>
      </w:r>
      <w:r w:rsidRPr="00C95CD8">
        <w:rPr>
          <w:rFonts w:ascii="Verdana" w:hAnsi="Verdana" w:cs="Arial"/>
          <w:spacing w:val="-12"/>
          <w:sz w:val="12"/>
          <w:szCs w:val="12"/>
        </w:rPr>
        <w:t xml:space="preserve"> </w:t>
      </w:r>
      <w:r w:rsidRPr="00C95CD8">
        <w:rPr>
          <w:rFonts w:ascii="Verdana" w:hAnsi="Verdana" w:cs="Arial"/>
          <w:sz w:val="12"/>
          <w:szCs w:val="12"/>
        </w:rPr>
        <w:t>–tanto</w:t>
      </w:r>
      <w:r w:rsidRPr="00C95CD8">
        <w:rPr>
          <w:rFonts w:ascii="Verdana" w:hAnsi="Verdana" w:cs="Arial"/>
          <w:spacing w:val="-12"/>
          <w:sz w:val="12"/>
          <w:szCs w:val="12"/>
        </w:rPr>
        <w:t xml:space="preserve"> </w:t>
      </w:r>
      <w:r w:rsidRPr="00C95CD8">
        <w:rPr>
          <w:rFonts w:ascii="Verdana" w:hAnsi="Verdana" w:cs="Arial"/>
          <w:sz w:val="12"/>
          <w:szCs w:val="12"/>
        </w:rPr>
        <w:t>para</w:t>
      </w:r>
      <w:r w:rsidRPr="00C95CD8">
        <w:rPr>
          <w:rFonts w:ascii="Verdana" w:hAnsi="Verdana" w:cs="Arial"/>
          <w:spacing w:val="-12"/>
          <w:sz w:val="12"/>
          <w:szCs w:val="12"/>
        </w:rPr>
        <w:t xml:space="preserve"> </w:t>
      </w:r>
      <w:r w:rsidRPr="00C95CD8">
        <w:rPr>
          <w:rFonts w:ascii="Verdana" w:hAnsi="Verdana" w:cs="Arial"/>
          <w:sz w:val="12"/>
          <w:szCs w:val="12"/>
        </w:rPr>
        <w:t>los</w:t>
      </w:r>
      <w:r w:rsidRPr="00C95CD8">
        <w:rPr>
          <w:rFonts w:ascii="Verdana" w:hAnsi="Verdana" w:cs="Arial"/>
          <w:spacing w:val="-11"/>
          <w:sz w:val="12"/>
          <w:szCs w:val="12"/>
        </w:rPr>
        <w:t xml:space="preserve"> </w:t>
      </w:r>
      <w:r w:rsidRPr="00C95CD8">
        <w:rPr>
          <w:rFonts w:ascii="Verdana" w:hAnsi="Verdana" w:cs="Arial"/>
          <w:sz w:val="12"/>
          <w:szCs w:val="12"/>
        </w:rPr>
        <w:t>administrados</w:t>
      </w:r>
      <w:r w:rsidRPr="00C95CD8">
        <w:rPr>
          <w:rFonts w:ascii="Verdana" w:hAnsi="Verdana" w:cs="Arial"/>
          <w:spacing w:val="-12"/>
          <w:sz w:val="12"/>
          <w:szCs w:val="12"/>
        </w:rPr>
        <w:t xml:space="preserve"> </w:t>
      </w:r>
      <w:r w:rsidRPr="00C95CD8">
        <w:rPr>
          <w:rFonts w:ascii="Verdana" w:hAnsi="Verdana" w:cs="Arial"/>
          <w:sz w:val="12"/>
          <w:szCs w:val="12"/>
        </w:rPr>
        <w:t>como</w:t>
      </w:r>
      <w:r w:rsidRPr="00C95CD8">
        <w:rPr>
          <w:rFonts w:ascii="Verdana" w:hAnsi="Verdana" w:cs="Arial"/>
          <w:spacing w:val="-12"/>
          <w:sz w:val="12"/>
          <w:szCs w:val="12"/>
        </w:rPr>
        <w:t xml:space="preserve"> </w:t>
      </w:r>
      <w:r w:rsidRPr="00C95CD8">
        <w:rPr>
          <w:rFonts w:ascii="Verdana" w:hAnsi="Verdana" w:cs="Arial"/>
          <w:sz w:val="12"/>
          <w:szCs w:val="12"/>
        </w:rPr>
        <w:t>para</w:t>
      </w:r>
      <w:r w:rsidRPr="00C95CD8">
        <w:rPr>
          <w:rFonts w:ascii="Verdana" w:hAnsi="Verdana" w:cs="Arial"/>
          <w:spacing w:val="-12"/>
          <w:sz w:val="12"/>
          <w:szCs w:val="12"/>
        </w:rPr>
        <w:t xml:space="preserve"> </w:t>
      </w:r>
      <w:r w:rsidRPr="00C95CD8">
        <w:rPr>
          <w:rFonts w:ascii="Verdana" w:hAnsi="Verdana" w:cs="Arial"/>
          <w:sz w:val="12"/>
          <w:szCs w:val="12"/>
        </w:rPr>
        <w:t>la</w:t>
      </w:r>
      <w:r w:rsidRPr="00C95CD8">
        <w:rPr>
          <w:rFonts w:ascii="Verdana" w:hAnsi="Verdana" w:cs="Arial"/>
          <w:spacing w:val="-12"/>
          <w:sz w:val="12"/>
          <w:szCs w:val="12"/>
        </w:rPr>
        <w:t xml:space="preserve"> </w:t>
      </w:r>
      <w:r w:rsidRPr="00C95CD8">
        <w:rPr>
          <w:rFonts w:ascii="Verdana" w:hAnsi="Verdana" w:cs="Arial"/>
          <w:sz w:val="12"/>
          <w:szCs w:val="12"/>
        </w:rPr>
        <w:t>propia</w:t>
      </w:r>
      <w:r w:rsidRPr="00C95CD8">
        <w:rPr>
          <w:rFonts w:ascii="Verdana" w:hAnsi="Verdana" w:cs="Arial"/>
          <w:spacing w:val="-50"/>
          <w:sz w:val="12"/>
          <w:szCs w:val="12"/>
        </w:rPr>
        <w:t xml:space="preserve"> </w:t>
      </w:r>
      <w:r w:rsidRPr="00C95CD8">
        <w:rPr>
          <w:rFonts w:ascii="Verdana" w:hAnsi="Verdana" w:cs="Arial"/>
          <w:sz w:val="12"/>
          <w:szCs w:val="12"/>
        </w:rPr>
        <w:t>administración– surge del hecho de ser una norma jurídica, y de compartir la naturaleza del acto</w:t>
      </w:r>
      <w:r w:rsidRPr="00C95CD8">
        <w:rPr>
          <w:rFonts w:ascii="Verdana" w:hAnsi="Verdana" w:cs="Arial"/>
          <w:spacing w:val="1"/>
          <w:sz w:val="12"/>
          <w:szCs w:val="12"/>
        </w:rPr>
        <w:t xml:space="preserve"> </w:t>
      </w:r>
      <w:r w:rsidRPr="00C95CD8">
        <w:rPr>
          <w:rFonts w:ascii="Verdana" w:hAnsi="Verdana" w:cs="Arial"/>
          <w:sz w:val="12"/>
          <w:szCs w:val="12"/>
        </w:rPr>
        <w:t>administrativo,</w:t>
      </w:r>
      <w:r w:rsidRPr="00C95CD8">
        <w:rPr>
          <w:rFonts w:ascii="Verdana" w:hAnsi="Verdana" w:cs="Arial"/>
          <w:spacing w:val="-4"/>
          <w:sz w:val="12"/>
          <w:szCs w:val="12"/>
        </w:rPr>
        <w:t xml:space="preserve"> </w:t>
      </w:r>
      <w:r w:rsidRPr="00C95CD8">
        <w:rPr>
          <w:rFonts w:ascii="Verdana" w:hAnsi="Verdana" w:cs="Arial"/>
          <w:sz w:val="12"/>
          <w:szCs w:val="12"/>
        </w:rPr>
        <w:t>luego,</w:t>
      </w:r>
      <w:r w:rsidRPr="00C95CD8">
        <w:rPr>
          <w:rFonts w:ascii="Verdana" w:hAnsi="Verdana" w:cs="Arial"/>
          <w:spacing w:val="-4"/>
          <w:sz w:val="12"/>
          <w:szCs w:val="12"/>
        </w:rPr>
        <w:t xml:space="preserve"> </w:t>
      </w:r>
      <w:r w:rsidRPr="00C95CD8">
        <w:rPr>
          <w:rFonts w:ascii="Verdana" w:hAnsi="Verdana" w:cs="Arial"/>
          <w:sz w:val="12"/>
          <w:szCs w:val="12"/>
        </w:rPr>
        <w:t>de</w:t>
      </w:r>
      <w:r w:rsidRPr="00C95CD8">
        <w:rPr>
          <w:rFonts w:ascii="Verdana" w:hAnsi="Verdana" w:cs="Arial"/>
          <w:spacing w:val="-4"/>
          <w:sz w:val="12"/>
          <w:szCs w:val="12"/>
        </w:rPr>
        <w:t xml:space="preserve"> </w:t>
      </w:r>
      <w:r w:rsidRPr="00C95CD8">
        <w:rPr>
          <w:rFonts w:ascii="Verdana" w:hAnsi="Verdana" w:cs="Arial"/>
          <w:sz w:val="12"/>
          <w:szCs w:val="12"/>
        </w:rPr>
        <w:t>allí</w:t>
      </w:r>
      <w:r w:rsidRPr="00C95CD8">
        <w:rPr>
          <w:rFonts w:ascii="Verdana" w:hAnsi="Verdana" w:cs="Arial"/>
          <w:spacing w:val="-4"/>
          <w:sz w:val="12"/>
          <w:szCs w:val="12"/>
        </w:rPr>
        <w:t xml:space="preserve"> </w:t>
      </w:r>
      <w:r w:rsidRPr="00C95CD8">
        <w:rPr>
          <w:rFonts w:ascii="Verdana" w:hAnsi="Verdana" w:cs="Arial"/>
          <w:sz w:val="12"/>
          <w:szCs w:val="12"/>
        </w:rPr>
        <w:t>también</w:t>
      </w:r>
      <w:r w:rsidRPr="00C95CD8">
        <w:rPr>
          <w:rFonts w:ascii="Verdana" w:hAnsi="Verdana" w:cs="Arial"/>
          <w:spacing w:val="-4"/>
          <w:sz w:val="12"/>
          <w:szCs w:val="12"/>
        </w:rPr>
        <w:t xml:space="preserve"> </w:t>
      </w:r>
      <w:r w:rsidRPr="00C95CD8">
        <w:rPr>
          <w:rFonts w:ascii="Verdana" w:hAnsi="Verdana" w:cs="Arial"/>
          <w:sz w:val="12"/>
          <w:szCs w:val="12"/>
        </w:rPr>
        <w:t>se</w:t>
      </w:r>
      <w:r w:rsidRPr="00C95CD8">
        <w:rPr>
          <w:rFonts w:ascii="Verdana" w:hAnsi="Verdana" w:cs="Arial"/>
          <w:spacing w:val="-4"/>
          <w:sz w:val="12"/>
          <w:szCs w:val="12"/>
        </w:rPr>
        <w:t xml:space="preserve"> </w:t>
      </w:r>
      <w:r w:rsidRPr="00C95CD8">
        <w:rPr>
          <w:rFonts w:ascii="Verdana" w:hAnsi="Verdana" w:cs="Arial"/>
          <w:sz w:val="12"/>
          <w:szCs w:val="12"/>
        </w:rPr>
        <w:t>desprende</w:t>
      </w:r>
      <w:r w:rsidRPr="00C95CD8">
        <w:rPr>
          <w:rFonts w:ascii="Verdana" w:hAnsi="Verdana" w:cs="Arial"/>
          <w:spacing w:val="-4"/>
          <w:sz w:val="12"/>
          <w:szCs w:val="12"/>
        </w:rPr>
        <w:t xml:space="preserve"> </w:t>
      </w:r>
      <w:r w:rsidRPr="00C95CD8">
        <w:rPr>
          <w:rFonts w:ascii="Verdana" w:hAnsi="Verdana" w:cs="Arial"/>
          <w:sz w:val="12"/>
          <w:szCs w:val="12"/>
        </w:rPr>
        <w:t>que</w:t>
      </w:r>
      <w:r w:rsidRPr="00C95CD8">
        <w:rPr>
          <w:rFonts w:ascii="Verdana" w:hAnsi="Verdana" w:cs="Arial"/>
          <w:spacing w:val="-3"/>
          <w:sz w:val="12"/>
          <w:szCs w:val="12"/>
        </w:rPr>
        <w:t xml:space="preserve"> </w:t>
      </w:r>
      <w:r w:rsidRPr="00C95CD8">
        <w:rPr>
          <w:rFonts w:ascii="Verdana" w:hAnsi="Verdana" w:cs="Arial"/>
          <w:sz w:val="12"/>
          <w:szCs w:val="12"/>
        </w:rPr>
        <w:t>se</w:t>
      </w:r>
      <w:r w:rsidRPr="00C95CD8">
        <w:rPr>
          <w:rFonts w:ascii="Verdana" w:hAnsi="Verdana" w:cs="Arial"/>
          <w:spacing w:val="-4"/>
          <w:sz w:val="12"/>
          <w:szCs w:val="12"/>
        </w:rPr>
        <w:t xml:space="preserve"> </w:t>
      </w:r>
      <w:r w:rsidRPr="00C95CD8">
        <w:rPr>
          <w:rFonts w:ascii="Verdana" w:hAnsi="Verdana" w:cs="Arial"/>
          <w:sz w:val="12"/>
          <w:szCs w:val="12"/>
        </w:rPr>
        <w:t>presuman</w:t>
      </w:r>
      <w:r w:rsidRPr="00C95CD8">
        <w:rPr>
          <w:rFonts w:ascii="Verdana" w:hAnsi="Verdana" w:cs="Arial"/>
          <w:spacing w:val="-4"/>
          <w:sz w:val="12"/>
          <w:szCs w:val="12"/>
        </w:rPr>
        <w:t xml:space="preserve"> </w:t>
      </w:r>
      <w:r w:rsidRPr="00C95CD8">
        <w:rPr>
          <w:rFonts w:ascii="Verdana" w:hAnsi="Verdana" w:cs="Arial"/>
          <w:sz w:val="12"/>
          <w:szCs w:val="12"/>
        </w:rPr>
        <w:t>legales</w:t>
      </w:r>
      <w:r w:rsidRPr="00C95CD8">
        <w:rPr>
          <w:rFonts w:ascii="Verdana" w:hAnsi="Verdana" w:cs="Arial"/>
          <w:spacing w:val="-4"/>
          <w:sz w:val="12"/>
          <w:szCs w:val="12"/>
        </w:rPr>
        <w:t xml:space="preserve"> </w:t>
      </w:r>
      <w:r w:rsidRPr="00C95CD8">
        <w:rPr>
          <w:rFonts w:ascii="Verdana" w:hAnsi="Verdana" w:cs="Arial"/>
          <w:sz w:val="12"/>
          <w:szCs w:val="12"/>
        </w:rPr>
        <w:t>y</w:t>
      </w:r>
      <w:r w:rsidRPr="00C95CD8">
        <w:rPr>
          <w:rFonts w:ascii="Verdana" w:hAnsi="Verdana" w:cs="Arial"/>
          <w:spacing w:val="-4"/>
          <w:sz w:val="12"/>
          <w:szCs w:val="12"/>
        </w:rPr>
        <w:t xml:space="preserve"> </w:t>
      </w:r>
      <w:r w:rsidRPr="00C95CD8">
        <w:rPr>
          <w:rFonts w:ascii="Verdana" w:hAnsi="Verdana" w:cs="Arial"/>
          <w:sz w:val="12"/>
          <w:szCs w:val="12"/>
        </w:rPr>
        <w:t>sean</w:t>
      </w:r>
      <w:r w:rsidRPr="00C95CD8">
        <w:rPr>
          <w:rFonts w:ascii="Verdana" w:hAnsi="Verdana" w:cs="Arial"/>
          <w:spacing w:val="-4"/>
          <w:sz w:val="12"/>
          <w:szCs w:val="12"/>
        </w:rPr>
        <w:t xml:space="preserve"> </w:t>
      </w:r>
      <w:r w:rsidRPr="00C95CD8">
        <w:rPr>
          <w:rFonts w:ascii="Verdana" w:hAnsi="Verdana" w:cs="Arial"/>
          <w:sz w:val="12"/>
          <w:szCs w:val="12"/>
        </w:rPr>
        <w:t>ejecutorios.</w:t>
      </w:r>
    </w:p>
    <w:p w:rsidRPr="00C95CD8" w:rsidR="00077445" w:rsidP="00077445" w:rsidRDefault="00077445" w14:paraId="6B44935B" w14:textId="77777777">
      <w:pPr>
        <w:spacing w:after="0" w:line="240" w:lineRule="auto"/>
        <w:ind w:firstLine="708"/>
        <w:jc w:val="both"/>
        <w:rPr>
          <w:rFonts w:ascii="Verdana" w:hAnsi="Verdana" w:cs="Arial"/>
          <w:sz w:val="12"/>
          <w:szCs w:val="12"/>
        </w:rPr>
      </w:pPr>
      <w:r w:rsidRPr="00C95CD8">
        <w:rPr>
          <w:rFonts w:ascii="Verdana" w:hAnsi="Verdana" w:cs="Arial"/>
          <w:sz w:val="12"/>
          <w:szCs w:val="12"/>
        </w:rPr>
        <w:t>Por esta misma razón, la doctrina española –con especial fuerza– ha señalado que su</w:t>
      </w:r>
      <w:r w:rsidRPr="00C95CD8">
        <w:rPr>
          <w:rFonts w:ascii="Verdana" w:hAnsi="Verdana" w:cs="Arial"/>
          <w:spacing w:val="1"/>
          <w:sz w:val="12"/>
          <w:szCs w:val="12"/>
        </w:rPr>
        <w:t xml:space="preserve"> </w:t>
      </w:r>
      <w:r w:rsidRPr="00C95CD8">
        <w:rPr>
          <w:rFonts w:ascii="Verdana" w:hAnsi="Verdana" w:cs="Arial"/>
          <w:sz w:val="12"/>
          <w:szCs w:val="12"/>
        </w:rPr>
        <w:t>observancia</w:t>
      </w:r>
      <w:r w:rsidRPr="00C95CD8">
        <w:rPr>
          <w:rFonts w:ascii="Verdana" w:hAnsi="Verdana" w:cs="Arial"/>
          <w:spacing w:val="-5"/>
          <w:sz w:val="12"/>
          <w:szCs w:val="12"/>
        </w:rPr>
        <w:t xml:space="preserve"> </w:t>
      </w:r>
      <w:r w:rsidRPr="00C95CD8">
        <w:rPr>
          <w:rFonts w:ascii="Verdana" w:hAnsi="Verdana" w:cs="Arial"/>
          <w:sz w:val="12"/>
          <w:szCs w:val="12"/>
        </w:rPr>
        <w:t>no</w:t>
      </w:r>
      <w:r w:rsidRPr="00C95CD8">
        <w:rPr>
          <w:rFonts w:ascii="Verdana" w:hAnsi="Verdana" w:cs="Arial"/>
          <w:spacing w:val="-4"/>
          <w:sz w:val="12"/>
          <w:szCs w:val="12"/>
        </w:rPr>
        <w:t xml:space="preserve"> </w:t>
      </w:r>
      <w:r w:rsidRPr="00C95CD8">
        <w:rPr>
          <w:rFonts w:ascii="Verdana" w:hAnsi="Verdana" w:cs="Arial"/>
          <w:sz w:val="12"/>
          <w:szCs w:val="12"/>
        </w:rPr>
        <w:t>queda</w:t>
      </w:r>
      <w:r w:rsidRPr="00C95CD8">
        <w:rPr>
          <w:rFonts w:ascii="Verdana" w:hAnsi="Verdana" w:cs="Arial"/>
          <w:spacing w:val="-5"/>
          <w:sz w:val="12"/>
          <w:szCs w:val="12"/>
        </w:rPr>
        <w:t xml:space="preserve"> </w:t>
      </w:r>
      <w:r w:rsidRPr="00C95CD8">
        <w:rPr>
          <w:rFonts w:ascii="Verdana" w:hAnsi="Verdana" w:cs="Arial"/>
          <w:sz w:val="12"/>
          <w:szCs w:val="12"/>
        </w:rPr>
        <w:t>al</w:t>
      </w:r>
      <w:r w:rsidRPr="00C95CD8">
        <w:rPr>
          <w:rFonts w:ascii="Verdana" w:hAnsi="Verdana" w:cs="Arial"/>
          <w:spacing w:val="-4"/>
          <w:sz w:val="12"/>
          <w:szCs w:val="12"/>
        </w:rPr>
        <w:t xml:space="preserve"> </w:t>
      </w:r>
      <w:r w:rsidRPr="00C95CD8">
        <w:rPr>
          <w:rFonts w:ascii="Verdana" w:hAnsi="Verdana" w:cs="Arial"/>
          <w:sz w:val="12"/>
          <w:szCs w:val="12"/>
        </w:rPr>
        <w:t>capricho</w:t>
      </w:r>
      <w:r w:rsidRPr="00C95CD8">
        <w:rPr>
          <w:rFonts w:ascii="Verdana" w:hAnsi="Verdana" w:cs="Arial"/>
          <w:spacing w:val="-5"/>
          <w:sz w:val="12"/>
          <w:szCs w:val="12"/>
        </w:rPr>
        <w:t xml:space="preserve"> </w:t>
      </w:r>
      <w:r w:rsidRPr="00C95CD8">
        <w:rPr>
          <w:rFonts w:ascii="Verdana" w:hAnsi="Verdana" w:cs="Arial"/>
          <w:sz w:val="12"/>
          <w:szCs w:val="12"/>
        </w:rPr>
        <w:t>del</w:t>
      </w:r>
      <w:r w:rsidRPr="00C95CD8">
        <w:rPr>
          <w:rFonts w:ascii="Verdana" w:hAnsi="Verdana" w:cs="Arial"/>
          <w:spacing w:val="-4"/>
          <w:sz w:val="12"/>
          <w:szCs w:val="12"/>
        </w:rPr>
        <w:t xml:space="preserve"> </w:t>
      </w:r>
      <w:r w:rsidRPr="00C95CD8">
        <w:rPr>
          <w:rFonts w:ascii="Verdana" w:hAnsi="Verdana" w:cs="Arial"/>
          <w:sz w:val="12"/>
          <w:szCs w:val="12"/>
        </w:rPr>
        <w:t>órgano</w:t>
      </w:r>
      <w:r w:rsidRPr="00C95CD8">
        <w:rPr>
          <w:rFonts w:ascii="Verdana" w:hAnsi="Verdana" w:cs="Arial"/>
          <w:spacing w:val="-5"/>
          <w:sz w:val="12"/>
          <w:szCs w:val="12"/>
        </w:rPr>
        <w:t xml:space="preserve"> </w:t>
      </w:r>
      <w:r w:rsidRPr="00C95CD8">
        <w:rPr>
          <w:rFonts w:ascii="Verdana" w:hAnsi="Verdana" w:cs="Arial"/>
          <w:sz w:val="12"/>
          <w:szCs w:val="12"/>
        </w:rPr>
        <w:t>que</w:t>
      </w:r>
      <w:r w:rsidRPr="00C95CD8">
        <w:rPr>
          <w:rFonts w:ascii="Verdana" w:hAnsi="Verdana" w:cs="Arial"/>
          <w:spacing w:val="-4"/>
          <w:sz w:val="12"/>
          <w:szCs w:val="12"/>
        </w:rPr>
        <w:t xml:space="preserve"> </w:t>
      </w:r>
      <w:r w:rsidRPr="00C95CD8">
        <w:rPr>
          <w:rFonts w:ascii="Verdana" w:hAnsi="Verdana" w:cs="Arial"/>
          <w:sz w:val="12"/>
          <w:szCs w:val="12"/>
        </w:rPr>
        <w:t>la</w:t>
      </w:r>
      <w:r w:rsidRPr="00C95CD8">
        <w:rPr>
          <w:rFonts w:ascii="Verdana" w:hAnsi="Verdana" w:cs="Arial"/>
          <w:spacing w:val="-5"/>
          <w:sz w:val="12"/>
          <w:szCs w:val="12"/>
        </w:rPr>
        <w:t xml:space="preserve"> </w:t>
      </w:r>
      <w:r w:rsidRPr="00C95CD8">
        <w:rPr>
          <w:rFonts w:ascii="Verdana" w:hAnsi="Verdana" w:cs="Arial"/>
          <w:sz w:val="12"/>
          <w:szCs w:val="12"/>
        </w:rPr>
        <w:t>expidió,</w:t>
      </w:r>
      <w:r w:rsidRPr="00C95CD8">
        <w:rPr>
          <w:rFonts w:ascii="Verdana" w:hAnsi="Verdana" w:cs="Arial"/>
          <w:spacing w:val="-4"/>
          <w:sz w:val="12"/>
          <w:szCs w:val="12"/>
        </w:rPr>
        <w:t xml:space="preserve"> </w:t>
      </w:r>
      <w:r w:rsidRPr="00C95CD8">
        <w:rPr>
          <w:rFonts w:ascii="Verdana" w:hAnsi="Verdana" w:cs="Arial"/>
          <w:sz w:val="12"/>
          <w:szCs w:val="12"/>
        </w:rPr>
        <w:t>pues</w:t>
      </w:r>
      <w:r w:rsidRPr="00C95CD8">
        <w:rPr>
          <w:rFonts w:ascii="Verdana" w:hAnsi="Verdana" w:cs="Arial"/>
          <w:spacing w:val="-5"/>
          <w:sz w:val="12"/>
          <w:szCs w:val="12"/>
        </w:rPr>
        <w:t xml:space="preserve"> </w:t>
      </w:r>
      <w:r w:rsidRPr="00C95CD8">
        <w:rPr>
          <w:rFonts w:ascii="Verdana" w:hAnsi="Verdana" w:cs="Arial"/>
          <w:sz w:val="12"/>
          <w:szCs w:val="12"/>
        </w:rPr>
        <w:t>si</w:t>
      </w:r>
      <w:r w:rsidRPr="00C95CD8">
        <w:rPr>
          <w:rFonts w:ascii="Verdana" w:hAnsi="Verdana" w:cs="Arial"/>
          <w:spacing w:val="-4"/>
          <w:sz w:val="12"/>
          <w:szCs w:val="12"/>
        </w:rPr>
        <w:t xml:space="preserve"> </w:t>
      </w:r>
      <w:r w:rsidRPr="00C95CD8">
        <w:rPr>
          <w:rFonts w:ascii="Verdana" w:hAnsi="Verdana" w:cs="Arial"/>
          <w:sz w:val="12"/>
          <w:szCs w:val="12"/>
        </w:rPr>
        <w:t>quisiera</w:t>
      </w:r>
      <w:r w:rsidRPr="00C95CD8">
        <w:rPr>
          <w:rFonts w:ascii="Verdana" w:hAnsi="Verdana" w:cs="Arial"/>
          <w:spacing w:val="-5"/>
          <w:sz w:val="12"/>
          <w:szCs w:val="12"/>
        </w:rPr>
        <w:t xml:space="preserve"> </w:t>
      </w:r>
      <w:r w:rsidRPr="00C95CD8">
        <w:rPr>
          <w:rFonts w:ascii="Verdana" w:hAnsi="Verdana" w:cs="Arial"/>
          <w:sz w:val="12"/>
          <w:szCs w:val="12"/>
        </w:rPr>
        <w:t>él</w:t>
      </w:r>
      <w:r w:rsidRPr="00C95CD8">
        <w:rPr>
          <w:rFonts w:ascii="Verdana" w:hAnsi="Verdana" w:cs="Arial"/>
          <w:spacing w:val="-4"/>
          <w:sz w:val="12"/>
          <w:szCs w:val="12"/>
        </w:rPr>
        <w:t xml:space="preserve"> </w:t>
      </w:r>
      <w:r w:rsidRPr="00C95CD8">
        <w:rPr>
          <w:rFonts w:ascii="Verdana" w:hAnsi="Verdana" w:cs="Arial"/>
          <w:sz w:val="12"/>
          <w:szCs w:val="12"/>
        </w:rPr>
        <w:t>lo</w:t>
      </w:r>
      <w:r w:rsidRPr="00C95CD8">
        <w:rPr>
          <w:rFonts w:ascii="Verdana" w:hAnsi="Verdana" w:cs="Arial"/>
          <w:spacing w:val="-4"/>
          <w:sz w:val="12"/>
          <w:szCs w:val="12"/>
        </w:rPr>
        <w:t xml:space="preserve"> </w:t>
      </w:r>
      <w:r w:rsidRPr="00C95CD8">
        <w:rPr>
          <w:rFonts w:ascii="Verdana" w:hAnsi="Verdana" w:cs="Arial"/>
          <w:sz w:val="12"/>
          <w:szCs w:val="12"/>
        </w:rPr>
        <w:t>puede</w:t>
      </w:r>
      <w:r w:rsidRPr="00C95CD8">
        <w:rPr>
          <w:rFonts w:ascii="Verdana" w:hAnsi="Verdana" w:cs="Arial"/>
          <w:spacing w:val="-5"/>
          <w:sz w:val="12"/>
          <w:szCs w:val="12"/>
        </w:rPr>
        <w:t xml:space="preserve"> </w:t>
      </w:r>
      <w:r w:rsidRPr="00C95CD8">
        <w:rPr>
          <w:rFonts w:ascii="Verdana" w:hAnsi="Verdana" w:cs="Arial"/>
          <w:sz w:val="12"/>
          <w:szCs w:val="12"/>
        </w:rPr>
        <w:t>desconocer.</w:t>
      </w:r>
      <w:r w:rsidRPr="00C95CD8">
        <w:rPr>
          <w:rFonts w:ascii="Verdana" w:hAnsi="Verdana" w:cs="Arial"/>
          <w:spacing w:val="1"/>
          <w:sz w:val="12"/>
          <w:szCs w:val="12"/>
        </w:rPr>
        <w:t xml:space="preserve"> </w:t>
      </w:r>
      <w:r w:rsidRPr="00C95CD8">
        <w:rPr>
          <w:rFonts w:ascii="Verdana" w:hAnsi="Verdana" w:cs="Arial"/>
          <w:sz w:val="12"/>
          <w:szCs w:val="12"/>
        </w:rPr>
        <w:t>De algún modo, como acontece con todo acto administrativo, el acto cobra vida propia, y autonomía</w:t>
      </w:r>
      <w:r w:rsidRPr="00C95CD8">
        <w:rPr>
          <w:rFonts w:ascii="Verdana" w:hAnsi="Verdana" w:cs="Arial"/>
          <w:spacing w:val="1"/>
          <w:sz w:val="12"/>
          <w:szCs w:val="12"/>
        </w:rPr>
        <w:t xml:space="preserve"> </w:t>
      </w:r>
      <w:r w:rsidRPr="00C95CD8">
        <w:rPr>
          <w:rFonts w:ascii="Verdana" w:hAnsi="Verdana" w:cs="Arial"/>
          <w:sz w:val="12"/>
          <w:szCs w:val="12"/>
        </w:rPr>
        <w:t>en</w:t>
      </w:r>
      <w:r w:rsidRPr="00C95CD8">
        <w:rPr>
          <w:rFonts w:ascii="Verdana" w:hAnsi="Verdana" w:cs="Arial"/>
          <w:spacing w:val="-7"/>
          <w:sz w:val="12"/>
          <w:szCs w:val="12"/>
        </w:rPr>
        <w:t xml:space="preserve"> </w:t>
      </w:r>
      <w:r w:rsidRPr="00C95CD8">
        <w:rPr>
          <w:rFonts w:ascii="Verdana" w:hAnsi="Verdana" w:cs="Arial"/>
          <w:sz w:val="12"/>
          <w:szCs w:val="12"/>
        </w:rPr>
        <w:t>relación</w:t>
      </w:r>
      <w:r w:rsidRPr="00C95CD8">
        <w:rPr>
          <w:rFonts w:ascii="Verdana" w:hAnsi="Verdana" w:cs="Arial"/>
          <w:spacing w:val="-7"/>
          <w:sz w:val="12"/>
          <w:szCs w:val="12"/>
        </w:rPr>
        <w:t xml:space="preserve"> </w:t>
      </w:r>
      <w:r w:rsidRPr="00C95CD8">
        <w:rPr>
          <w:rFonts w:ascii="Verdana" w:hAnsi="Verdana" w:cs="Arial"/>
          <w:sz w:val="12"/>
          <w:szCs w:val="12"/>
        </w:rPr>
        <w:t>con</w:t>
      </w:r>
      <w:r w:rsidRPr="00C95CD8">
        <w:rPr>
          <w:rFonts w:ascii="Verdana" w:hAnsi="Verdana" w:cs="Arial"/>
          <w:spacing w:val="-6"/>
          <w:sz w:val="12"/>
          <w:szCs w:val="12"/>
        </w:rPr>
        <w:t xml:space="preserve"> </w:t>
      </w:r>
      <w:r w:rsidRPr="00C95CD8">
        <w:rPr>
          <w:rFonts w:ascii="Verdana" w:hAnsi="Verdana" w:cs="Arial"/>
          <w:sz w:val="12"/>
          <w:szCs w:val="12"/>
        </w:rPr>
        <w:t>su</w:t>
      </w:r>
      <w:r w:rsidRPr="00C95CD8">
        <w:rPr>
          <w:rFonts w:ascii="Verdana" w:hAnsi="Verdana" w:cs="Arial"/>
          <w:spacing w:val="-7"/>
          <w:sz w:val="12"/>
          <w:szCs w:val="12"/>
        </w:rPr>
        <w:t xml:space="preserve"> </w:t>
      </w:r>
      <w:r w:rsidRPr="00C95CD8">
        <w:rPr>
          <w:rFonts w:ascii="Verdana" w:hAnsi="Verdana" w:cs="Arial"/>
          <w:sz w:val="12"/>
          <w:szCs w:val="12"/>
        </w:rPr>
        <w:t>propio</w:t>
      </w:r>
      <w:r w:rsidRPr="00C95CD8">
        <w:rPr>
          <w:rFonts w:ascii="Verdana" w:hAnsi="Verdana" w:cs="Arial"/>
          <w:spacing w:val="-7"/>
          <w:sz w:val="12"/>
          <w:szCs w:val="12"/>
        </w:rPr>
        <w:t xml:space="preserve"> </w:t>
      </w:r>
      <w:r w:rsidRPr="00C95CD8">
        <w:rPr>
          <w:rFonts w:ascii="Verdana" w:hAnsi="Verdana" w:cs="Arial"/>
          <w:sz w:val="12"/>
          <w:szCs w:val="12"/>
        </w:rPr>
        <w:t>creador.</w:t>
      </w:r>
      <w:r w:rsidRPr="00C95CD8">
        <w:rPr>
          <w:rFonts w:ascii="Verdana" w:hAnsi="Verdana" w:cs="Arial"/>
          <w:spacing w:val="-6"/>
          <w:sz w:val="12"/>
          <w:szCs w:val="12"/>
        </w:rPr>
        <w:t xml:space="preserve"> </w:t>
      </w:r>
      <w:r w:rsidRPr="00C95CD8">
        <w:rPr>
          <w:rFonts w:ascii="Verdana" w:hAnsi="Verdana" w:cs="Arial"/>
          <w:sz w:val="12"/>
          <w:szCs w:val="12"/>
        </w:rPr>
        <w:t>A</w:t>
      </w:r>
      <w:r w:rsidRPr="00C95CD8">
        <w:rPr>
          <w:rFonts w:ascii="Verdana" w:hAnsi="Verdana" w:cs="Arial"/>
          <w:spacing w:val="-7"/>
          <w:sz w:val="12"/>
          <w:szCs w:val="12"/>
        </w:rPr>
        <w:t xml:space="preserve"> </w:t>
      </w:r>
      <w:r w:rsidRPr="00C95CD8">
        <w:rPr>
          <w:rFonts w:ascii="Verdana" w:hAnsi="Verdana" w:cs="Arial"/>
          <w:sz w:val="12"/>
          <w:szCs w:val="12"/>
        </w:rPr>
        <w:t>este</w:t>
      </w:r>
      <w:r w:rsidRPr="00C95CD8">
        <w:rPr>
          <w:rFonts w:ascii="Verdana" w:hAnsi="Verdana" w:cs="Arial"/>
          <w:spacing w:val="-6"/>
          <w:sz w:val="12"/>
          <w:szCs w:val="12"/>
        </w:rPr>
        <w:t xml:space="preserve"> </w:t>
      </w:r>
      <w:r w:rsidRPr="00C95CD8">
        <w:rPr>
          <w:rFonts w:ascii="Verdana" w:hAnsi="Verdana" w:cs="Arial"/>
          <w:sz w:val="12"/>
          <w:szCs w:val="12"/>
        </w:rPr>
        <w:t>último</w:t>
      </w:r>
      <w:r w:rsidRPr="00C95CD8">
        <w:rPr>
          <w:rFonts w:ascii="Verdana" w:hAnsi="Verdana" w:cs="Arial"/>
          <w:spacing w:val="-7"/>
          <w:sz w:val="12"/>
          <w:szCs w:val="12"/>
        </w:rPr>
        <w:t xml:space="preserve"> </w:t>
      </w:r>
      <w:r w:rsidRPr="00C95CD8">
        <w:rPr>
          <w:rFonts w:ascii="Verdana" w:hAnsi="Verdana" w:cs="Arial"/>
          <w:sz w:val="12"/>
          <w:szCs w:val="12"/>
        </w:rPr>
        <w:t>evento</w:t>
      </w:r>
      <w:r w:rsidRPr="00C95CD8">
        <w:rPr>
          <w:rFonts w:ascii="Verdana" w:hAnsi="Verdana" w:cs="Arial"/>
          <w:spacing w:val="-7"/>
          <w:sz w:val="12"/>
          <w:szCs w:val="12"/>
        </w:rPr>
        <w:t xml:space="preserve"> </w:t>
      </w:r>
      <w:r w:rsidRPr="00C95CD8">
        <w:rPr>
          <w:rFonts w:ascii="Verdana" w:hAnsi="Verdana" w:cs="Arial"/>
          <w:sz w:val="12"/>
          <w:szCs w:val="12"/>
        </w:rPr>
        <w:t>se</w:t>
      </w:r>
      <w:r w:rsidRPr="00C95CD8">
        <w:rPr>
          <w:rFonts w:ascii="Verdana" w:hAnsi="Verdana" w:cs="Arial"/>
          <w:spacing w:val="-6"/>
          <w:sz w:val="12"/>
          <w:szCs w:val="12"/>
        </w:rPr>
        <w:t xml:space="preserve"> </w:t>
      </w:r>
      <w:r w:rsidRPr="00C95CD8">
        <w:rPr>
          <w:rFonts w:ascii="Verdana" w:hAnsi="Verdana" w:cs="Arial"/>
          <w:sz w:val="12"/>
          <w:szCs w:val="12"/>
        </w:rPr>
        <w:t>le</w:t>
      </w:r>
      <w:r w:rsidRPr="00C95CD8">
        <w:rPr>
          <w:rFonts w:ascii="Verdana" w:hAnsi="Verdana" w:cs="Arial"/>
          <w:spacing w:val="-7"/>
          <w:sz w:val="12"/>
          <w:szCs w:val="12"/>
        </w:rPr>
        <w:t xml:space="preserve"> </w:t>
      </w:r>
      <w:r w:rsidRPr="00C95CD8">
        <w:rPr>
          <w:rFonts w:ascii="Verdana" w:hAnsi="Verdana" w:cs="Arial"/>
          <w:sz w:val="12"/>
          <w:szCs w:val="12"/>
        </w:rPr>
        <w:t>denomina</w:t>
      </w:r>
      <w:r w:rsidRPr="00C95CD8">
        <w:rPr>
          <w:rFonts w:ascii="Verdana" w:hAnsi="Verdana" w:cs="Arial"/>
          <w:spacing w:val="-6"/>
          <w:sz w:val="12"/>
          <w:szCs w:val="12"/>
        </w:rPr>
        <w:t xml:space="preserve"> </w:t>
      </w:r>
      <w:r w:rsidRPr="00C95CD8">
        <w:rPr>
          <w:rFonts w:ascii="Verdana" w:hAnsi="Verdana" w:cs="Arial"/>
          <w:sz w:val="12"/>
          <w:szCs w:val="12"/>
        </w:rPr>
        <w:t>la</w:t>
      </w:r>
      <w:r w:rsidRPr="00C95CD8">
        <w:rPr>
          <w:rFonts w:ascii="Verdana" w:hAnsi="Verdana" w:cs="Arial"/>
          <w:spacing w:val="-6"/>
          <w:sz w:val="12"/>
          <w:szCs w:val="12"/>
        </w:rPr>
        <w:t xml:space="preserve"> </w:t>
      </w:r>
      <w:r w:rsidRPr="00C95CD8">
        <w:rPr>
          <w:rFonts w:ascii="Verdana" w:hAnsi="Verdana" w:cs="Arial"/>
          <w:sz w:val="12"/>
          <w:szCs w:val="12"/>
        </w:rPr>
        <w:t>inderogabilidad</w:t>
      </w:r>
      <w:r w:rsidRPr="00C95CD8">
        <w:rPr>
          <w:rFonts w:ascii="Verdana" w:hAnsi="Verdana" w:cs="Arial"/>
          <w:spacing w:val="-6"/>
          <w:sz w:val="12"/>
          <w:szCs w:val="12"/>
        </w:rPr>
        <w:t xml:space="preserve"> </w:t>
      </w:r>
      <w:r w:rsidRPr="00C95CD8">
        <w:rPr>
          <w:rFonts w:ascii="Verdana" w:hAnsi="Verdana" w:cs="Arial"/>
          <w:sz w:val="12"/>
          <w:szCs w:val="12"/>
        </w:rPr>
        <w:t>singular</w:t>
      </w:r>
      <w:r w:rsidRPr="00C95CD8">
        <w:rPr>
          <w:rFonts w:ascii="Verdana" w:hAnsi="Verdana" w:cs="Arial"/>
          <w:spacing w:val="-6"/>
          <w:sz w:val="12"/>
          <w:szCs w:val="12"/>
        </w:rPr>
        <w:t xml:space="preserve"> </w:t>
      </w:r>
      <w:r w:rsidRPr="00C95CD8">
        <w:rPr>
          <w:rFonts w:ascii="Verdana" w:hAnsi="Verdana" w:cs="Arial"/>
          <w:sz w:val="12"/>
          <w:szCs w:val="12"/>
        </w:rPr>
        <w:t>del</w:t>
      </w:r>
      <w:r w:rsidRPr="00C95CD8">
        <w:rPr>
          <w:rFonts w:ascii="Verdana" w:hAnsi="Verdana" w:cs="Arial"/>
          <w:spacing w:val="1"/>
          <w:sz w:val="12"/>
          <w:szCs w:val="12"/>
        </w:rPr>
        <w:t xml:space="preserve"> </w:t>
      </w:r>
      <w:r w:rsidRPr="00C95CD8">
        <w:rPr>
          <w:rFonts w:ascii="Verdana" w:hAnsi="Verdana" w:cs="Arial"/>
          <w:sz w:val="12"/>
          <w:szCs w:val="12"/>
        </w:rPr>
        <w:t>reglamento,</w:t>
      </w:r>
      <w:r w:rsidRPr="00C95CD8">
        <w:rPr>
          <w:rFonts w:ascii="Verdana" w:hAnsi="Verdana" w:cs="Arial"/>
          <w:spacing w:val="-3"/>
          <w:sz w:val="12"/>
          <w:szCs w:val="12"/>
        </w:rPr>
        <w:t xml:space="preserve"> </w:t>
      </w:r>
      <w:r w:rsidRPr="00C95CD8">
        <w:rPr>
          <w:rFonts w:ascii="Verdana" w:hAnsi="Verdana" w:cs="Arial"/>
          <w:sz w:val="12"/>
          <w:szCs w:val="12"/>
        </w:rPr>
        <w:t>que</w:t>
      </w:r>
      <w:r w:rsidRPr="00C95CD8">
        <w:rPr>
          <w:rFonts w:ascii="Verdana" w:hAnsi="Verdana" w:cs="Arial"/>
          <w:spacing w:val="-2"/>
          <w:sz w:val="12"/>
          <w:szCs w:val="12"/>
        </w:rPr>
        <w:t xml:space="preserve"> </w:t>
      </w:r>
      <w:r w:rsidRPr="00C95CD8">
        <w:rPr>
          <w:rFonts w:ascii="Verdana" w:hAnsi="Verdana" w:cs="Arial"/>
          <w:sz w:val="12"/>
          <w:szCs w:val="12"/>
        </w:rPr>
        <w:t>no</w:t>
      </w:r>
      <w:r w:rsidRPr="00C95CD8">
        <w:rPr>
          <w:rFonts w:ascii="Verdana" w:hAnsi="Verdana" w:cs="Arial"/>
          <w:spacing w:val="-2"/>
          <w:sz w:val="12"/>
          <w:szCs w:val="12"/>
        </w:rPr>
        <w:t xml:space="preserve"> </w:t>
      </w:r>
      <w:r w:rsidRPr="00C95CD8">
        <w:rPr>
          <w:rFonts w:ascii="Verdana" w:hAnsi="Verdana" w:cs="Arial"/>
          <w:sz w:val="12"/>
          <w:szCs w:val="12"/>
        </w:rPr>
        <w:t>es</w:t>
      </w:r>
      <w:r w:rsidRPr="00C95CD8">
        <w:rPr>
          <w:rFonts w:ascii="Verdana" w:hAnsi="Verdana" w:cs="Arial"/>
          <w:spacing w:val="-2"/>
          <w:sz w:val="12"/>
          <w:szCs w:val="12"/>
        </w:rPr>
        <w:t xml:space="preserve"> </w:t>
      </w:r>
      <w:r w:rsidRPr="00C95CD8">
        <w:rPr>
          <w:rFonts w:ascii="Verdana" w:hAnsi="Verdana" w:cs="Arial"/>
          <w:sz w:val="12"/>
          <w:szCs w:val="12"/>
        </w:rPr>
        <w:t>otra</w:t>
      </w:r>
      <w:r w:rsidRPr="00C95CD8">
        <w:rPr>
          <w:rFonts w:ascii="Verdana" w:hAnsi="Verdana" w:cs="Arial"/>
          <w:spacing w:val="-2"/>
          <w:sz w:val="12"/>
          <w:szCs w:val="12"/>
        </w:rPr>
        <w:t xml:space="preserve"> </w:t>
      </w:r>
      <w:r w:rsidRPr="00C95CD8">
        <w:rPr>
          <w:rFonts w:ascii="Verdana" w:hAnsi="Verdana" w:cs="Arial"/>
          <w:sz w:val="12"/>
          <w:szCs w:val="12"/>
        </w:rPr>
        <w:t>cosa</w:t>
      </w:r>
      <w:r w:rsidRPr="00C95CD8">
        <w:rPr>
          <w:rFonts w:ascii="Verdana" w:hAnsi="Verdana" w:cs="Arial"/>
          <w:spacing w:val="-2"/>
          <w:sz w:val="12"/>
          <w:szCs w:val="12"/>
        </w:rPr>
        <w:t xml:space="preserve"> </w:t>
      </w:r>
      <w:r w:rsidRPr="00C95CD8">
        <w:rPr>
          <w:rFonts w:ascii="Verdana" w:hAnsi="Verdana" w:cs="Arial"/>
          <w:sz w:val="12"/>
          <w:szCs w:val="12"/>
        </w:rPr>
        <w:t>que</w:t>
      </w:r>
      <w:r w:rsidRPr="00C95CD8">
        <w:rPr>
          <w:rFonts w:ascii="Verdana" w:hAnsi="Verdana" w:cs="Arial"/>
          <w:spacing w:val="-2"/>
          <w:sz w:val="12"/>
          <w:szCs w:val="12"/>
        </w:rPr>
        <w:t xml:space="preserve"> </w:t>
      </w:r>
      <w:r w:rsidRPr="00C95CD8">
        <w:rPr>
          <w:rFonts w:ascii="Verdana" w:hAnsi="Verdana" w:cs="Arial"/>
          <w:sz w:val="12"/>
          <w:szCs w:val="12"/>
        </w:rPr>
        <w:t>la</w:t>
      </w:r>
      <w:r w:rsidRPr="00C95CD8">
        <w:rPr>
          <w:rFonts w:ascii="Verdana" w:hAnsi="Verdana" w:cs="Arial"/>
          <w:spacing w:val="-2"/>
          <w:sz w:val="12"/>
          <w:szCs w:val="12"/>
        </w:rPr>
        <w:t xml:space="preserve"> </w:t>
      </w:r>
      <w:r w:rsidRPr="00C95CD8">
        <w:rPr>
          <w:rFonts w:ascii="Verdana" w:hAnsi="Verdana" w:cs="Arial"/>
          <w:sz w:val="12"/>
          <w:szCs w:val="12"/>
        </w:rPr>
        <w:t>prohibición</w:t>
      </w:r>
      <w:r w:rsidRPr="00C95CD8">
        <w:rPr>
          <w:rFonts w:ascii="Verdana" w:hAnsi="Verdana" w:cs="Arial"/>
          <w:spacing w:val="-2"/>
          <w:sz w:val="12"/>
          <w:szCs w:val="12"/>
        </w:rPr>
        <w:t xml:space="preserve"> </w:t>
      </w:r>
      <w:r w:rsidRPr="00C95CD8">
        <w:rPr>
          <w:rFonts w:ascii="Verdana" w:hAnsi="Verdana" w:cs="Arial"/>
          <w:sz w:val="12"/>
          <w:szCs w:val="12"/>
        </w:rPr>
        <w:t>de</w:t>
      </w:r>
      <w:r w:rsidRPr="00C95CD8">
        <w:rPr>
          <w:rFonts w:ascii="Verdana" w:hAnsi="Verdana" w:cs="Arial"/>
          <w:spacing w:val="-2"/>
          <w:sz w:val="12"/>
          <w:szCs w:val="12"/>
        </w:rPr>
        <w:t xml:space="preserve"> </w:t>
      </w:r>
      <w:r w:rsidRPr="00C95CD8">
        <w:rPr>
          <w:rFonts w:ascii="Verdana" w:hAnsi="Verdana" w:cs="Arial"/>
          <w:sz w:val="12"/>
          <w:szCs w:val="12"/>
        </w:rPr>
        <w:t>insertarlo</w:t>
      </w:r>
      <w:r w:rsidRPr="00C95CD8">
        <w:rPr>
          <w:rFonts w:ascii="Verdana" w:hAnsi="Verdana" w:cs="Arial"/>
          <w:spacing w:val="-2"/>
          <w:sz w:val="12"/>
          <w:szCs w:val="12"/>
        </w:rPr>
        <w:t xml:space="preserve"> </w:t>
      </w:r>
      <w:r w:rsidRPr="00C95CD8">
        <w:rPr>
          <w:rFonts w:ascii="Verdana" w:hAnsi="Verdana" w:cs="Arial"/>
          <w:sz w:val="12"/>
          <w:szCs w:val="12"/>
        </w:rPr>
        <w:t>en</w:t>
      </w:r>
      <w:r w:rsidRPr="00C95CD8">
        <w:rPr>
          <w:rFonts w:ascii="Verdana" w:hAnsi="Verdana" w:cs="Arial"/>
          <w:spacing w:val="-3"/>
          <w:sz w:val="12"/>
          <w:szCs w:val="12"/>
        </w:rPr>
        <w:t xml:space="preserve"> </w:t>
      </w:r>
      <w:r w:rsidRPr="00C95CD8">
        <w:rPr>
          <w:rFonts w:ascii="Verdana" w:hAnsi="Verdana" w:cs="Arial"/>
          <w:sz w:val="12"/>
          <w:szCs w:val="12"/>
        </w:rPr>
        <w:t>un</w:t>
      </w:r>
      <w:r w:rsidRPr="00C95CD8">
        <w:rPr>
          <w:rFonts w:ascii="Verdana" w:hAnsi="Verdana" w:cs="Arial"/>
          <w:spacing w:val="-2"/>
          <w:sz w:val="12"/>
          <w:szCs w:val="12"/>
        </w:rPr>
        <w:t xml:space="preserve"> </w:t>
      </w:r>
      <w:r w:rsidRPr="00C95CD8">
        <w:rPr>
          <w:rFonts w:ascii="Verdana" w:hAnsi="Verdana" w:cs="Arial"/>
          <w:sz w:val="12"/>
          <w:szCs w:val="12"/>
        </w:rPr>
        <w:t>caso</w:t>
      </w:r>
      <w:r w:rsidRPr="00C95CD8">
        <w:rPr>
          <w:rFonts w:ascii="Verdana" w:hAnsi="Verdana" w:cs="Arial"/>
          <w:spacing w:val="-2"/>
          <w:sz w:val="12"/>
          <w:szCs w:val="12"/>
        </w:rPr>
        <w:t xml:space="preserve"> </w:t>
      </w:r>
      <w:r w:rsidRPr="00C95CD8">
        <w:rPr>
          <w:rFonts w:ascii="Verdana" w:hAnsi="Verdana" w:cs="Arial"/>
          <w:sz w:val="12"/>
          <w:szCs w:val="12"/>
        </w:rPr>
        <w:t>particular.</w:t>
      </w:r>
    </w:p>
    <w:p w:rsidRPr="00C95CD8" w:rsidR="00077445" w:rsidP="00077445" w:rsidRDefault="00077445" w14:paraId="40D5F2F5" w14:textId="77777777">
      <w:pPr>
        <w:spacing w:after="0" w:line="240" w:lineRule="auto"/>
        <w:ind w:firstLine="708"/>
        <w:jc w:val="both"/>
        <w:rPr>
          <w:rFonts w:ascii="Verdana" w:hAnsi="Verdana" w:cs="Arial"/>
          <w:sz w:val="12"/>
          <w:szCs w:val="12"/>
        </w:rPr>
      </w:pPr>
      <w:r w:rsidRPr="00C95CD8">
        <w:rPr>
          <w:rFonts w:ascii="Verdana" w:hAnsi="Verdana" w:cs="Arial"/>
          <w:sz w:val="12"/>
          <w:szCs w:val="12"/>
        </w:rPr>
        <w:t>Esta tesis –de absoluta razonabilidad–, protege tanto al ciudadano como al ordenamiento</w:t>
      </w:r>
      <w:r w:rsidRPr="00C95CD8">
        <w:rPr>
          <w:rFonts w:ascii="Verdana" w:hAnsi="Verdana" w:cs="Arial"/>
          <w:spacing w:val="1"/>
          <w:sz w:val="12"/>
          <w:szCs w:val="12"/>
        </w:rPr>
        <w:t xml:space="preserve"> </w:t>
      </w:r>
      <w:r w:rsidRPr="00C95CD8">
        <w:rPr>
          <w:rFonts w:ascii="Verdana" w:hAnsi="Verdana" w:cs="Arial"/>
          <w:sz w:val="12"/>
          <w:szCs w:val="12"/>
        </w:rPr>
        <w:t>jurídico en general, de la arbitrariedad de la administración, pues si se admitiera que pese a estar en</w:t>
      </w:r>
      <w:r w:rsidRPr="00C95CD8">
        <w:rPr>
          <w:rFonts w:ascii="Verdana" w:hAnsi="Verdana" w:cs="Arial"/>
          <w:spacing w:val="-50"/>
          <w:sz w:val="12"/>
          <w:szCs w:val="12"/>
        </w:rPr>
        <w:t xml:space="preserve"> </w:t>
      </w:r>
      <w:r w:rsidRPr="00C95CD8">
        <w:rPr>
          <w:rFonts w:ascii="Verdana" w:hAnsi="Verdana" w:cs="Arial"/>
          <w:sz w:val="12"/>
          <w:szCs w:val="12"/>
        </w:rPr>
        <w:t>vigencia</w:t>
      </w:r>
      <w:r w:rsidRPr="00C95CD8">
        <w:rPr>
          <w:rFonts w:ascii="Verdana" w:hAnsi="Verdana" w:cs="Arial"/>
          <w:spacing w:val="-10"/>
          <w:sz w:val="12"/>
          <w:szCs w:val="12"/>
        </w:rPr>
        <w:t xml:space="preserve"> </w:t>
      </w:r>
      <w:r w:rsidRPr="00C95CD8">
        <w:rPr>
          <w:rFonts w:ascii="Verdana" w:hAnsi="Verdana" w:cs="Arial"/>
          <w:sz w:val="12"/>
          <w:szCs w:val="12"/>
        </w:rPr>
        <w:t>un</w:t>
      </w:r>
      <w:r w:rsidRPr="00C95CD8">
        <w:rPr>
          <w:rFonts w:ascii="Verdana" w:hAnsi="Verdana" w:cs="Arial"/>
          <w:spacing w:val="-9"/>
          <w:sz w:val="12"/>
          <w:szCs w:val="12"/>
        </w:rPr>
        <w:t xml:space="preserve"> </w:t>
      </w:r>
      <w:r w:rsidRPr="00C95CD8">
        <w:rPr>
          <w:rFonts w:ascii="Verdana" w:hAnsi="Verdana" w:cs="Arial"/>
          <w:sz w:val="12"/>
          <w:szCs w:val="12"/>
        </w:rPr>
        <w:t>reglamento</w:t>
      </w:r>
      <w:r w:rsidRPr="00C95CD8">
        <w:rPr>
          <w:rFonts w:ascii="Verdana" w:hAnsi="Verdana" w:cs="Arial"/>
          <w:spacing w:val="-10"/>
          <w:sz w:val="12"/>
          <w:szCs w:val="12"/>
        </w:rPr>
        <w:t xml:space="preserve"> </w:t>
      </w:r>
      <w:r w:rsidRPr="00C95CD8">
        <w:rPr>
          <w:rFonts w:ascii="Verdana" w:hAnsi="Verdana" w:cs="Arial"/>
          <w:sz w:val="12"/>
          <w:szCs w:val="12"/>
        </w:rPr>
        <w:t>la</w:t>
      </w:r>
      <w:r w:rsidRPr="00C95CD8">
        <w:rPr>
          <w:rFonts w:ascii="Verdana" w:hAnsi="Verdana" w:cs="Arial"/>
          <w:spacing w:val="-9"/>
          <w:sz w:val="12"/>
          <w:szCs w:val="12"/>
        </w:rPr>
        <w:t xml:space="preserve"> </w:t>
      </w:r>
      <w:r w:rsidRPr="00C95CD8">
        <w:rPr>
          <w:rFonts w:ascii="Verdana" w:hAnsi="Verdana" w:cs="Arial"/>
          <w:sz w:val="12"/>
          <w:szCs w:val="12"/>
        </w:rPr>
        <w:t>propia</w:t>
      </w:r>
      <w:r w:rsidRPr="00C95CD8">
        <w:rPr>
          <w:rFonts w:ascii="Verdana" w:hAnsi="Verdana" w:cs="Arial"/>
          <w:spacing w:val="-10"/>
          <w:sz w:val="12"/>
          <w:szCs w:val="12"/>
        </w:rPr>
        <w:t xml:space="preserve"> </w:t>
      </w:r>
      <w:r w:rsidRPr="00C95CD8">
        <w:rPr>
          <w:rFonts w:ascii="Verdana" w:hAnsi="Verdana" w:cs="Arial"/>
          <w:sz w:val="12"/>
          <w:szCs w:val="12"/>
        </w:rPr>
        <w:t>administración</w:t>
      </w:r>
      <w:r w:rsidRPr="00C95CD8">
        <w:rPr>
          <w:rFonts w:ascii="Verdana" w:hAnsi="Verdana" w:cs="Arial"/>
          <w:spacing w:val="-9"/>
          <w:sz w:val="12"/>
          <w:szCs w:val="12"/>
        </w:rPr>
        <w:t xml:space="preserve"> </w:t>
      </w:r>
      <w:r w:rsidRPr="00C95CD8">
        <w:rPr>
          <w:rFonts w:ascii="Verdana" w:hAnsi="Verdana" w:cs="Arial"/>
          <w:sz w:val="12"/>
          <w:szCs w:val="12"/>
        </w:rPr>
        <w:t>que</w:t>
      </w:r>
      <w:r w:rsidRPr="00C95CD8">
        <w:rPr>
          <w:rFonts w:ascii="Verdana" w:hAnsi="Verdana" w:cs="Arial"/>
          <w:spacing w:val="-10"/>
          <w:sz w:val="12"/>
          <w:szCs w:val="12"/>
        </w:rPr>
        <w:t xml:space="preserve"> </w:t>
      </w:r>
      <w:r w:rsidRPr="00C95CD8">
        <w:rPr>
          <w:rFonts w:ascii="Verdana" w:hAnsi="Verdana" w:cs="Arial"/>
          <w:sz w:val="12"/>
          <w:szCs w:val="12"/>
        </w:rPr>
        <w:t>lo</w:t>
      </w:r>
      <w:r w:rsidRPr="00C95CD8">
        <w:rPr>
          <w:rFonts w:ascii="Verdana" w:hAnsi="Verdana" w:cs="Arial"/>
          <w:spacing w:val="-9"/>
          <w:sz w:val="12"/>
          <w:szCs w:val="12"/>
        </w:rPr>
        <w:t xml:space="preserve"> </w:t>
      </w:r>
      <w:r w:rsidRPr="00C95CD8">
        <w:rPr>
          <w:rFonts w:ascii="Verdana" w:hAnsi="Verdana" w:cs="Arial"/>
          <w:sz w:val="12"/>
          <w:szCs w:val="12"/>
        </w:rPr>
        <w:t>dictó</w:t>
      </w:r>
      <w:r w:rsidRPr="00C95CD8">
        <w:rPr>
          <w:rFonts w:ascii="Verdana" w:hAnsi="Verdana" w:cs="Arial"/>
          <w:spacing w:val="-10"/>
          <w:sz w:val="12"/>
          <w:szCs w:val="12"/>
        </w:rPr>
        <w:t xml:space="preserve"> </w:t>
      </w:r>
      <w:r w:rsidRPr="00C95CD8">
        <w:rPr>
          <w:rFonts w:ascii="Verdana" w:hAnsi="Verdana" w:cs="Arial"/>
          <w:sz w:val="12"/>
          <w:szCs w:val="12"/>
        </w:rPr>
        <w:t>lo</w:t>
      </w:r>
      <w:r w:rsidRPr="00C95CD8">
        <w:rPr>
          <w:rFonts w:ascii="Verdana" w:hAnsi="Verdana" w:cs="Arial"/>
          <w:spacing w:val="-9"/>
          <w:sz w:val="12"/>
          <w:szCs w:val="12"/>
        </w:rPr>
        <w:t xml:space="preserve"> </w:t>
      </w:r>
      <w:r w:rsidRPr="00C95CD8">
        <w:rPr>
          <w:rFonts w:ascii="Verdana" w:hAnsi="Verdana" w:cs="Arial"/>
          <w:sz w:val="12"/>
          <w:szCs w:val="12"/>
        </w:rPr>
        <w:t>pudiera</w:t>
      </w:r>
      <w:r w:rsidRPr="00C95CD8">
        <w:rPr>
          <w:rFonts w:ascii="Verdana" w:hAnsi="Verdana" w:cs="Arial"/>
          <w:spacing w:val="-10"/>
          <w:sz w:val="12"/>
          <w:szCs w:val="12"/>
        </w:rPr>
        <w:t xml:space="preserve"> </w:t>
      </w:r>
      <w:r w:rsidRPr="00C95CD8">
        <w:rPr>
          <w:rFonts w:ascii="Verdana" w:hAnsi="Verdana" w:cs="Arial"/>
          <w:sz w:val="12"/>
          <w:szCs w:val="12"/>
        </w:rPr>
        <w:t>inaplicar,</w:t>
      </w:r>
      <w:r w:rsidRPr="00C95CD8">
        <w:rPr>
          <w:rFonts w:ascii="Verdana" w:hAnsi="Verdana" w:cs="Arial"/>
          <w:spacing w:val="-9"/>
          <w:sz w:val="12"/>
          <w:szCs w:val="12"/>
        </w:rPr>
        <w:t xml:space="preserve"> </w:t>
      </w:r>
      <w:r w:rsidRPr="00C95CD8">
        <w:rPr>
          <w:rFonts w:ascii="Verdana" w:hAnsi="Verdana" w:cs="Arial"/>
          <w:sz w:val="12"/>
          <w:szCs w:val="12"/>
        </w:rPr>
        <w:t>aduciendo</w:t>
      </w:r>
      <w:r w:rsidRPr="00C95CD8">
        <w:rPr>
          <w:rFonts w:ascii="Verdana" w:hAnsi="Verdana" w:cs="Arial"/>
          <w:spacing w:val="-10"/>
          <w:sz w:val="12"/>
          <w:szCs w:val="12"/>
        </w:rPr>
        <w:t xml:space="preserve"> </w:t>
      </w:r>
      <w:r w:rsidRPr="00C95CD8">
        <w:rPr>
          <w:rFonts w:ascii="Verdana" w:hAnsi="Verdana" w:cs="Arial"/>
          <w:sz w:val="12"/>
          <w:szCs w:val="12"/>
        </w:rPr>
        <w:t>que</w:t>
      </w:r>
      <w:r w:rsidRPr="00C95CD8">
        <w:rPr>
          <w:rFonts w:ascii="Verdana" w:hAnsi="Verdana" w:cs="Arial"/>
          <w:spacing w:val="-9"/>
          <w:sz w:val="12"/>
          <w:szCs w:val="12"/>
        </w:rPr>
        <w:t xml:space="preserve"> </w:t>
      </w:r>
      <w:r w:rsidRPr="00C95CD8">
        <w:rPr>
          <w:rFonts w:ascii="Verdana" w:hAnsi="Verdana" w:cs="Arial"/>
          <w:sz w:val="12"/>
          <w:szCs w:val="12"/>
        </w:rPr>
        <w:t>si</w:t>
      </w:r>
      <w:r w:rsidRPr="00C95CD8">
        <w:rPr>
          <w:rFonts w:ascii="Verdana" w:hAnsi="Verdana" w:cs="Arial"/>
          <w:spacing w:val="-10"/>
          <w:sz w:val="12"/>
          <w:szCs w:val="12"/>
        </w:rPr>
        <w:t xml:space="preserve"> </w:t>
      </w:r>
      <w:r w:rsidRPr="00C95CD8">
        <w:rPr>
          <w:rFonts w:ascii="Verdana" w:hAnsi="Verdana" w:cs="Arial"/>
          <w:sz w:val="12"/>
          <w:szCs w:val="12"/>
        </w:rPr>
        <w:t>ella</w:t>
      </w:r>
      <w:r w:rsidRPr="00C95CD8">
        <w:rPr>
          <w:rFonts w:ascii="Verdana" w:hAnsi="Verdana" w:cs="Arial"/>
          <w:spacing w:val="1"/>
          <w:sz w:val="12"/>
          <w:szCs w:val="12"/>
        </w:rPr>
        <w:t xml:space="preserve"> </w:t>
      </w:r>
      <w:r w:rsidRPr="00C95CD8">
        <w:rPr>
          <w:rFonts w:ascii="Verdana" w:hAnsi="Verdana" w:cs="Arial"/>
          <w:sz w:val="12"/>
          <w:szCs w:val="12"/>
        </w:rPr>
        <w:t>lo</w:t>
      </w:r>
      <w:r w:rsidRPr="00C95CD8">
        <w:rPr>
          <w:rFonts w:ascii="Verdana" w:hAnsi="Verdana" w:cs="Arial"/>
          <w:spacing w:val="-13"/>
          <w:sz w:val="12"/>
          <w:szCs w:val="12"/>
        </w:rPr>
        <w:t xml:space="preserve"> </w:t>
      </w:r>
      <w:r w:rsidRPr="00C95CD8">
        <w:rPr>
          <w:rFonts w:ascii="Verdana" w:hAnsi="Verdana" w:cs="Arial"/>
          <w:sz w:val="12"/>
          <w:szCs w:val="12"/>
        </w:rPr>
        <w:t>produjo</w:t>
      </w:r>
      <w:r w:rsidRPr="00C95CD8">
        <w:rPr>
          <w:rFonts w:ascii="Verdana" w:hAnsi="Verdana" w:cs="Arial"/>
          <w:spacing w:val="-12"/>
          <w:sz w:val="12"/>
          <w:szCs w:val="12"/>
        </w:rPr>
        <w:t xml:space="preserve"> </w:t>
      </w:r>
      <w:r w:rsidRPr="00C95CD8">
        <w:rPr>
          <w:rFonts w:ascii="Verdana" w:hAnsi="Verdana" w:cs="Arial"/>
          <w:sz w:val="12"/>
          <w:szCs w:val="12"/>
        </w:rPr>
        <w:t>entonces</w:t>
      </w:r>
      <w:r w:rsidRPr="00C95CD8">
        <w:rPr>
          <w:rFonts w:ascii="Verdana" w:hAnsi="Verdana" w:cs="Arial"/>
          <w:spacing w:val="-12"/>
          <w:sz w:val="12"/>
          <w:szCs w:val="12"/>
        </w:rPr>
        <w:t xml:space="preserve"> </w:t>
      </w:r>
      <w:r w:rsidRPr="00C95CD8">
        <w:rPr>
          <w:rFonts w:ascii="Verdana" w:hAnsi="Verdana" w:cs="Arial"/>
          <w:sz w:val="12"/>
          <w:szCs w:val="12"/>
        </w:rPr>
        <w:t>cuenta</w:t>
      </w:r>
      <w:r w:rsidRPr="00C95CD8">
        <w:rPr>
          <w:rFonts w:ascii="Verdana" w:hAnsi="Verdana" w:cs="Arial"/>
          <w:spacing w:val="-12"/>
          <w:sz w:val="12"/>
          <w:szCs w:val="12"/>
        </w:rPr>
        <w:t xml:space="preserve"> </w:t>
      </w:r>
      <w:r w:rsidRPr="00C95CD8">
        <w:rPr>
          <w:rFonts w:ascii="Verdana" w:hAnsi="Verdana" w:cs="Arial"/>
          <w:sz w:val="12"/>
          <w:szCs w:val="12"/>
        </w:rPr>
        <w:t>con</w:t>
      </w:r>
      <w:r w:rsidRPr="00C95CD8">
        <w:rPr>
          <w:rFonts w:ascii="Verdana" w:hAnsi="Verdana" w:cs="Arial"/>
          <w:spacing w:val="-12"/>
          <w:sz w:val="12"/>
          <w:szCs w:val="12"/>
        </w:rPr>
        <w:t xml:space="preserve"> </w:t>
      </w:r>
      <w:r w:rsidRPr="00C95CD8">
        <w:rPr>
          <w:rFonts w:ascii="Verdana" w:hAnsi="Verdana" w:cs="Arial"/>
          <w:sz w:val="12"/>
          <w:szCs w:val="12"/>
        </w:rPr>
        <w:t>la</w:t>
      </w:r>
      <w:r w:rsidRPr="00C95CD8">
        <w:rPr>
          <w:rFonts w:ascii="Verdana" w:hAnsi="Verdana" w:cs="Arial"/>
          <w:spacing w:val="-12"/>
          <w:sz w:val="12"/>
          <w:szCs w:val="12"/>
        </w:rPr>
        <w:t xml:space="preserve"> </w:t>
      </w:r>
      <w:r w:rsidRPr="00C95CD8">
        <w:rPr>
          <w:rFonts w:ascii="Verdana" w:hAnsi="Verdana" w:cs="Arial"/>
          <w:sz w:val="12"/>
          <w:szCs w:val="12"/>
        </w:rPr>
        <w:t>autoridad</w:t>
      </w:r>
      <w:r w:rsidRPr="00C95CD8">
        <w:rPr>
          <w:rFonts w:ascii="Verdana" w:hAnsi="Verdana" w:cs="Arial"/>
          <w:spacing w:val="-12"/>
          <w:sz w:val="12"/>
          <w:szCs w:val="12"/>
        </w:rPr>
        <w:t xml:space="preserve"> </w:t>
      </w:r>
      <w:r w:rsidRPr="00C95CD8">
        <w:rPr>
          <w:rFonts w:ascii="Verdana" w:hAnsi="Verdana" w:cs="Arial"/>
          <w:sz w:val="12"/>
          <w:szCs w:val="12"/>
        </w:rPr>
        <w:t>para</w:t>
      </w:r>
      <w:r w:rsidRPr="00C95CD8">
        <w:rPr>
          <w:rFonts w:ascii="Verdana" w:hAnsi="Verdana" w:cs="Arial"/>
          <w:spacing w:val="-12"/>
          <w:sz w:val="12"/>
          <w:szCs w:val="12"/>
        </w:rPr>
        <w:t xml:space="preserve"> </w:t>
      </w:r>
      <w:r w:rsidRPr="00C95CD8">
        <w:rPr>
          <w:rFonts w:ascii="Verdana" w:hAnsi="Verdana" w:cs="Arial"/>
          <w:sz w:val="12"/>
          <w:szCs w:val="12"/>
        </w:rPr>
        <w:t>desconocerlo,</w:t>
      </w:r>
      <w:r w:rsidRPr="00C95CD8">
        <w:rPr>
          <w:rFonts w:ascii="Verdana" w:hAnsi="Verdana" w:cs="Arial"/>
          <w:spacing w:val="-12"/>
          <w:sz w:val="12"/>
          <w:szCs w:val="12"/>
        </w:rPr>
        <w:t xml:space="preserve"> </w:t>
      </w:r>
      <w:r w:rsidRPr="00C95CD8">
        <w:rPr>
          <w:rFonts w:ascii="Verdana" w:hAnsi="Verdana" w:cs="Arial"/>
          <w:sz w:val="12"/>
          <w:szCs w:val="12"/>
        </w:rPr>
        <w:t>los</w:t>
      </w:r>
      <w:r w:rsidRPr="00C95CD8">
        <w:rPr>
          <w:rFonts w:ascii="Verdana" w:hAnsi="Verdana" w:cs="Arial"/>
          <w:spacing w:val="-12"/>
          <w:sz w:val="12"/>
          <w:szCs w:val="12"/>
        </w:rPr>
        <w:t xml:space="preserve"> </w:t>
      </w:r>
      <w:r w:rsidRPr="00C95CD8">
        <w:rPr>
          <w:rFonts w:ascii="Verdana" w:hAnsi="Verdana" w:cs="Arial"/>
          <w:sz w:val="12"/>
          <w:szCs w:val="12"/>
        </w:rPr>
        <w:t>abusos</w:t>
      </w:r>
      <w:r w:rsidRPr="00C95CD8">
        <w:rPr>
          <w:rFonts w:ascii="Verdana" w:hAnsi="Verdana" w:cs="Arial"/>
          <w:spacing w:val="-12"/>
          <w:sz w:val="12"/>
          <w:szCs w:val="12"/>
        </w:rPr>
        <w:t xml:space="preserve"> </w:t>
      </w:r>
      <w:r w:rsidRPr="00C95CD8">
        <w:rPr>
          <w:rFonts w:ascii="Verdana" w:hAnsi="Verdana" w:cs="Arial"/>
          <w:sz w:val="12"/>
          <w:szCs w:val="12"/>
        </w:rPr>
        <w:t>y</w:t>
      </w:r>
      <w:r w:rsidRPr="00C95CD8">
        <w:rPr>
          <w:rFonts w:ascii="Verdana" w:hAnsi="Verdana" w:cs="Arial"/>
          <w:spacing w:val="-12"/>
          <w:sz w:val="12"/>
          <w:szCs w:val="12"/>
        </w:rPr>
        <w:t xml:space="preserve"> </w:t>
      </w:r>
      <w:r w:rsidRPr="00C95CD8">
        <w:rPr>
          <w:rFonts w:ascii="Verdana" w:hAnsi="Verdana" w:cs="Arial"/>
          <w:sz w:val="12"/>
          <w:szCs w:val="12"/>
        </w:rPr>
        <w:t>la</w:t>
      </w:r>
      <w:r w:rsidRPr="00C95CD8">
        <w:rPr>
          <w:rFonts w:ascii="Verdana" w:hAnsi="Verdana" w:cs="Arial"/>
          <w:spacing w:val="-12"/>
          <w:sz w:val="12"/>
          <w:szCs w:val="12"/>
        </w:rPr>
        <w:t xml:space="preserve"> </w:t>
      </w:r>
      <w:r w:rsidRPr="00C95CD8">
        <w:rPr>
          <w:rFonts w:ascii="Verdana" w:hAnsi="Verdana" w:cs="Arial"/>
          <w:sz w:val="12"/>
          <w:szCs w:val="12"/>
        </w:rPr>
        <w:t>violación</w:t>
      </w:r>
      <w:r w:rsidRPr="00C95CD8">
        <w:rPr>
          <w:rFonts w:ascii="Verdana" w:hAnsi="Verdana" w:cs="Arial"/>
          <w:spacing w:val="-12"/>
          <w:sz w:val="12"/>
          <w:szCs w:val="12"/>
        </w:rPr>
        <w:t xml:space="preserve"> </w:t>
      </w:r>
      <w:r w:rsidRPr="00C95CD8">
        <w:rPr>
          <w:rFonts w:ascii="Verdana" w:hAnsi="Verdana" w:cs="Arial"/>
          <w:sz w:val="12"/>
          <w:szCs w:val="12"/>
        </w:rPr>
        <w:t>a</w:t>
      </w:r>
      <w:r w:rsidRPr="00C95CD8">
        <w:rPr>
          <w:rFonts w:ascii="Verdana" w:hAnsi="Verdana" w:cs="Arial"/>
          <w:spacing w:val="-12"/>
          <w:sz w:val="12"/>
          <w:szCs w:val="12"/>
        </w:rPr>
        <w:t xml:space="preserve"> </w:t>
      </w:r>
      <w:r w:rsidRPr="00C95CD8">
        <w:rPr>
          <w:rFonts w:ascii="Verdana" w:hAnsi="Verdana" w:cs="Arial"/>
          <w:sz w:val="12"/>
          <w:szCs w:val="12"/>
        </w:rPr>
        <w:t>sus</w:t>
      </w:r>
      <w:r w:rsidRPr="00C95CD8">
        <w:rPr>
          <w:rFonts w:ascii="Verdana" w:hAnsi="Verdana" w:cs="Arial"/>
          <w:spacing w:val="-12"/>
          <w:sz w:val="12"/>
          <w:szCs w:val="12"/>
        </w:rPr>
        <w:t xml:space="preserve"> </w:t>
      </w:r>
      <w:r w:rsidRPr="00C95CD8">
        <w:rPr>
          <w:rFonts w:ascii="Verdana" w:hAnsi="Verdana" w:cs="Arial"/>
          <w:sz w:val="12"/>
          <w:szCs w:val="12"/>
        </w:rPr>
        <w:t>propias</w:t>
      </w:r>
      <w:r w:rsidRPr="00C95CD8">
        <w:rPr>
          <w:rFonts w:ascii="Verdana" w:hAnsi="Verdana" w:cs="Arial"/>
          <w:spacing w:val="1"/>
          <w:sz w:val="12"/>
          <w:szCs w:val="12"/>
        </w:rPr>
        <w:t xml:space="preserve"> </w:t>
      </w:r>
      <w:r w:rsidRPr="00C95CD8">
        <w:rPr>
          <w:rFonts w:ascii="Verdana" w:hAnsi="Verdana" w:cs="Arial"/>
          <w:sz w:val="12"/>
          <w:szCs w:val="12"/>
        </w:rPr>
        <w:t>reglas propiciaría el atropello y la corrupción”. (MARÍN CORTÉS, Fabián G. El reglamento como</w:t>
      </w:r>
      <w:r w:rsidRPr="00C95CD8">
        <w:rPr>
          <w:rFonts w:ascii="Verdana" w:hAnsi="Verdana" w:cs="Arial"/>
          <w:spacing w:val="1"/>
          <w:sz w:val="12"/>
          <w:szCs w:val="12"/>
        </w:rPr>
        <w:t xml:space="preserve"> </w:t>
      </w:r>
      <w:r w:rsidRPr="00C95CD8">
        <w:rPr>
          <w:rFonts w:ascii="Verdana" w:hAnsi="Verdana" w:cs="Arial"/>
          <w:sz w:val="12"/>
          <w:szCs w:val="12"/>
        </w:rPr>
        <w:t>fuente</w:t>
      </w:r>
      <w:r w:rsidRPr="00C95CD8">
        <w:rPr>
          <w:rFonts w:ascii="Verdana" w:hAnsi="Verdana" w:cs="Arial"/>
          <w:spacing w:val="-12"/>
          <w:sz w:val="12"/>
          <w:szCs w:val="12"/>
        </w:rPr>
        <w:t xml:space="preserve"> </w:t>
      </w:r>
      <w:r w:rsidRPr="00C95CD8">
        <w:rPr>
          <w:rFonts w:ascii="Verdana" w:hAnsi="Verdana" w:cs="Arial"/>
          <w:sz w:val="12"/>
          <w:szCs w:val="12"/>
        </w:rPr>
        <w:t>del</w:t>
      </w:r>
      <w:r w:rsidRPr="00C95CD8">
        <w:rPr>
          <w:rFonts w:ascii="Verdana" w:hAnsi="Verdana" w:cs="Arial"/>
          <w:spacing w:val="-12"/>
          <w:sz w:val="12"/>
          <w:szCs w:val="12"/>
        </w:rPr>
        <w:t xml:space="preserve"> </w:t>
      </w:r>
      <w:r w:rsidRPr="00C95CD8">
        <w:rPr>
          <w:rFonts w:ascii="Verdana" w:hAnsi="Verdana" w:cs="Arial"/>
          <w:sz w:val="12"/>
          <w:szCs w:val="12"/>
        </w:rPr>
        <w:t>derecho</w:t>
      </w:r>
      <w:r w:rsidRPr="00C95CD8">
        <w:rPr>
          <w:rFonts w:ascii="Verdana" w:hAnsi="Verdana" w:cs="Arial"/>
          <w:spacing w:val="-12"/>
          <w:sz w:val="12"/>
          <w:szCs w:val="12"/>
        </w:rPr>
        <w:t xml:space="preserve"> </w:t>
      </w:r>
      <w:r w:rsidRPr="00C95CD8">
        <w:rPr>
          <w:rFonts w:ascii="Verdana" w:hAnsi="Verdana" w:cs="Arial"/>
          <w:sz w:val="12"/>
          <w:szCs w:val="12"/>
        </w:rPr>
        <w:t>administrativo.</w:t>
      </w:r>
      <w:r w:rsidRPr="00C95CD8">
        <w:rPr>
          <w:rFonts w:ascii="Verdana" w:hAnsi="Verdana" w:cs="Arial"/>
          <w:spacing w:val="-11"/>
          <w:sz w:val="12"/>
          <w:szCs w:val="12"/>
        </w:rPr>
        <w:t xml:space="preserve"> </w:t>
      </w:r>
      <w:r w:rsidRPr="00C95CD8">
        <w:rPr>
          <w:rFonts w:ascii="Verdana" w:hAnsi="Verdana" w:cs="Arial"/>
          <w:sz w:val="12"/>
          <w:szCs w:val="12"/>
        </w:rPr>
        <w:t>En:</w:t>
      </w:r>
      <w:r w:rsidRPr="00C95CD8">
        <w:rPr>
          <w:rFonts w:ascii="Verdana" w:hAnsi="Verdana" w:cs="Arial"/>
          <w:spacing w:val="-12"/>
          <w:sz w:val="12"/>
          <w:szCs w:val="12"/>
        </w:rPr>
        <w:t xml:space="preserve"> </w:t>
      </w:r>
      <w:r w:rsidRPr="00C95CD8">
        <w:rPr>
          <w:rFonts w:ascii="Verdana" w:hAnsi="Verdana" w:cs="Arial"/>
          <w:sz w:val="12"/>
          <w:szCs w:val="12"/>
        </w:rPr>
        <w:t>Las</w:t>
      </w:r>
      <w:r w:rsidRPr="00C95CD8">
        <w:rPr>
          <w:rFonts w:ascii="Verdana" w:hAnsi="Verdana" w:cs="Arial"/>
          <w:spacing w:val="-12"/>
          <w:sz w:val="12"/>
          <w:szCs w:val="12"/>
        </w:rPr>
        <w:t xml:space="preserve"> </w:t>
      </w:r>
      <w:r w:rsidRPr="00C95CD8">
        <w:rPr>
          <w:rFonts w:ascii="Verdana" w:hAnsi="Verdana" w:cs="Arial"/>
          <w:sz w:val="12"/>
          <w:szCs w:val="12"/>
        </w:rPr>
        <w:t>fuentes</w:t>
      </w:r>
      <w:r w:rsidRPr="00C95CD8">
        <w:rPr>
          <w:rFonts w:ascii="Verdana" w:hAnsi="Verdana" w:cs="Arial"/>
          <w:spacing w:val="-11"/>
          <w:sz w:val="12"/>
          <w:szCs w:val="12"/>
        </w:rPr>
        <w:t xml:space="preserve"> </w:t>
      </w:r>
      <w:r w:rsidRPr="00C95CD8">
        <w:rPr>
          <w:rFonts w:ascii="Verdana" w:hAnsi="Verdana" w:cs="Arial"/>
          <w:sz w:val="12"/>
          <w:szCs w:val="12"/>
        </w:rPr>
        <w:t>del</w:t>
      </w:r>
      <w:r w:rsidRPr="00C95CD8">
        <w:rPr>
          <w:rFonts w:ascii="Verdana" w:hAnsi="Verdana" w:cs="Arial"/>
          <w:spacing w:val="-12"/>
          <w:sz w:val="12"/>
          <w:szCs w:val="12"/>
        </w:rPr>
        <w:t xml:space="preserve"> </w:t>
      </w:r>
      <w:r w:rsidRPr="00C95CD8">
        <w:rPr>
          <w:rFonts w:ascii="Verdana" w:hAnsi="Verdana" w:cs="Arial"/>
          <w:sz w:val="12"/>
          <w:szCs w:val="12"/>
        </w:rPr>
        <w:t>derecho</w:t>
      </w:r>
      <w:r w:rsidRPr="00C95CD8">
        <w:rPr>
          <w:rFonts w:ascii="Verdana" w:hAnsi="Verdana" w:cs="Arial"/>
          <w:spacing w:val="-12"/>
          <w:sz w:val="12"/>
          <w:szCs w:val="12"/>
        </w:rPr>
        <w:t xml:space="preserve"> </w:t>
      </w:r>
      <w:r w:rsidRPr="00C95CD8">
        <w:rPr>
          <w:rFonts w:ascii="Verdana" w:hAnsi="Verdana" w:cs="Arial"/>
          <w:sz w:val="12"/>
          <w:szCs w:val="12"/>
        </w:rPr>
        <w:t>administrativo.</w:t>
      </w:r>
      <w:r w:rsidRPr="00C95CD8">
        <w:rPr>
          <w:rFonts w:ascii="Verdana" w:hAnsi="Verdana" w:cs="Arial"/>
          <w:spacing w:val="-12"/>
          <w:sz w:val="12"/>
          <w:szCs w:val="12"/>
        </w:rPr>
        <w:t xml:space="preserve"> </w:t>
      </w:r>
      <w:r w:rsidRPr="00C95CD8">
        <w:rPr>
          <w:rFonts w:ascii="Verdana" w:hAnsi="Verdana" w:cs="Arial"/>
          <w:sz w:val="12"/>
          <w:szCs w:val="12"/>
        </w:rPr>
        <w:t>Texto</w:t>
      </w:r>
      <w:r w:rsidRPr="00C95CD8">
        <w:rPr>
          <w:rFonts w:ascii="Verdana" w:hAnsi="Verdana" w:cs="Arial"/>
          <w:spacing w:val="-11"/>
          <w:sz w:val="12"/>
          <w:szCs w:val="12"/>
        </w:rPr>
        <w:t xml:space="preserve"> </w:t>
      </w:r>
      <w:r w:rsidRPr="00C95CD8">
        <w:rPr>
          <w:rFonts w:ascii="Verdana" w:hAnsi="Verdana" w:cs="Arial"/>
          <w:sz w:val="12"/>
          <w:szCs w:val="12"/>
        </w:rPr>
        <w:t>inédito.</w:t>
      </w:r>
      <w:r w:rsidRPr="00C95CD8">
        <w:rPr>
          <w:rFonts w:ascii="Verdana" w:hAnsi="Verdana" w:cs="Arial"/>
          <w:spacing w:val="-12"/>
          <w:sz w:val="12"/>
          <w:szCs w:val="12"/>
        </w:rPr>
        <w:t xml:space="preserve"> </w:t>
      </w:r>
      <w:r w:rsidRPr="00C95CD8">
        <w:rPr>
          <w:rFonts w:ascii="Verdana" w:hAnsi="Verdana" w:cs="Arial"/>
          <w:sz w:val="12"/>
          <w:szCs w:val="12"/>
        </w:rPr>
        <w:t>2010.</w:t>
      </w:r>
      <w:r w:rsidRPr="00C95CD8">
        <w:rPr>
          <w:rFonts w:ascii="Verdana" w:hAnsi="Verdana" w:cs="Arial"/>
          <w:spacing w:val="-12"/>
          <w:sz w:val="12"/>
          <w:szCs w:val="12"/>
        </w:rPr>
        <w:t xml:space="preserve"> </w:t>
      </w:r>
      <w:r w:rsidRPr="00C95CD8">
        <w:rPr>
          <w:rFonts w:ascii="Verdana" w:hAnsi="Verdana" w:cs="Arial"/>
          <w:sz w:val="12"/>
          <w:szCs w:val="12"/>
        </w:rPr>
        <w:t>pp.</w:t>
      </w:r>
      <w:r w:rsidRPr="00C95CD8">
        <w:rPr>
          <w:rFonts w:ascii="Verdana" w:hAnsi="Verdana" w:cs="Arial"/>
          <w:spacing w:val="1"/>
          <w:sz w:val="12"/>
          <w:szCs w:val="12"/>
        </w:rPr>
        <w:t xml:space="preserve"> </w:t>
      </w:r>
      <w:r w:rsidRPr="00C95CD8">
        <w:rPr>
          <w:rFonts w:ascii="Verdana" w:hAnsi="Verdana" w:cs="Arial"/>
          <w:sz w:val="12"/>
          <w:szCs w:val="12"/>
        </w:rPr>
        <w:t>200-201).</w:t>
      </w:r>
    </w:p>
    <w:p w:rsidRPr="00C95CD8" w:rsidR="00077445" w:rsidP="00077445" w:rsidRDefault="00077445" w14:paraId="6AD6863B" w14:textId="77777777">
      <w:pPr>
        <w:spacing w:after="0" w:line="240" w:lineRule="auto"/>
        <w:ind w:firstLine="708"/>
        <w:jc w:val="both"/>
        <w:rPr>
          <w:rFonts w:ascii="Verdana" w:hAnsi="Verdana" w:cs="Arial"/>
          <w:sz w:val="12"/>
          <w:szCs w:val="12"/>
        </w:rPr>
      </w:pPr>
    </w:p>
  </w:footnote>
  <w:footnote w:id="12">
    <w:p w:rsidRPr="00C95CD8" w:rsidR="00077445" w:rsidP="00077445" w:rsidRDefault="00077445" w14:paraId="42E86E7C" w14:textId="77777777">
      <w:pPr>
        <w:pStyle w:val="Textonotapie"/>
        <w:ind w:firstLine="708"/>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Ibíd. </w:t>
      </w:r>
    </w:p>
    <w:p w:rsidRPr="00C95CD8" w:rsidR="00077445" w:rsidP="00077445" w:rsidRDefault="00077445" w14:paraId="69E357FF" w14:textId="77777777">
      <w:pPr>
        <w:pStyle w:val="Textonotapie"/>
        <w:ind w:firstLine="708"/>
        <w:jc w:val="both"/>
        <w:rPr>
          <w:rFonts w:ascii="Verdana" w:hAnsi="Verdana" w:cs="Arial"/>
          <w:sz w:val="12"/>
          <w:szCs w:val="12"/>
        </w:rPr>
      </w:pPr>
    </w:p>
  </w:footnote>
  <w:footnote w:id="13">
    <w:p w:rsidRPr="00C95CD8" w:rsidR="00077445" w:rsidP="00077445" w:rsidRDefault="00077445" w14:paraId="51B3C061" w14:textId="77777777">
      <w:pPr>
        <w:pStyle w:val="Textonotapie"/>
        <w:ind w:firstLine="708"/>
        <w:jc w:val="both"/>
        <w:rPr>
          <w:rFonts w:ascii="Verdana" w:hAnsi="Verdana" w:eastAsia="Arial" w:cs="Arial"/>
          <w:sz w:val="12"/>
          <w:szCs w:val="12"/>
          <w:lang w:val="es-ES"/>
        </w:rPr>
      </w:pPr>
      <w:r w:rsidRPr="00C95CD8">
        <w:rPr>
          <w:rStyle w:val="Refdenotaalpie"/>
          <w:rFonts w:ascii="Verdana" w:hAnsi="Verdana"/>
          <w:sz w:val="12"/>
          <w:szCs w:val="12"/>
        </w:rPr>
        <w:footnoteRef/>
      </w:r>
      <w:r w:rsidRPr="00C95CD8">
        <w:rPr>
          <w:rFonts w:ascii="Verdana" w:hAnsi="Verdana"/>
          <w:sz w:val="12"/>
          <w:szCs w:val="12"/>
        </w:rPr>
        <w:t xml:space="preserve"> </w:t>
      </w:r>
      <w:r w:rsidRPr="00C95CD8">
        <w:rPr>
          <w:rFonts w:ascii="Verdana" w:hAnsi="Verdana" w:eastAsia="Arial" w:cs="Arial"/>
          <w:sz w:val="12"/>
          <w:szCs w:val="12"/>
          <w:lang w:val="es-ES"/>
        </w:rPr>
        <w:t xml:space="preserve">La Resolución 1440 del 14 de agosto de 2024 se encuentra disponible en: </w:t>
      </w:r>
      <w:hyperlink w:history="1" r:id="rId1">
        <w:r w:rsidRPr="00C95CD8">
          <w:rPr>
            <w:rStyle w:val="Hipervnculo"/>
            <w:rFonts w:ascii="Verdana" w:hAnsi="Verdana" w:eastAsia="Arial" w:cs="Arial"/>
            <w:sz w:val="12"/>
            <w:szCs w:val="12"/>
            <w:lang w:val="es-ES"/>
          </w:rPr>
          <w:t>https://www.minsalud.gov.co/Normatividad_Nuevo/Resoluci%C3%B3n%20No%201440%20de%202024.pdf</w:t>
        </w:r>
      </w:hyperlink>
      <w:r w:rsidRPr="00C95CD8">
        <w:rPr>
          <w:rFonts w:ascii="Verdana" w:hAnsi="Verdana" w:eastAsia="Arial" w:cs="Arial"/>
          <w:sz w:val="12"/>
          <w:szCs w:val="12"/>
          <w:lang w:val="es-ES"/>
        </w:rPr>
        <w:t xml:space="preserve"> </w:t>
      </w:r>
    </w:p>
    <w:p w:rsidRPr="00C95CD8" w:rsidR="00077445" w:rsidP="00077445" w:rsidRDefault="00077445" w14:paraId="77E834E8" w14:textId="77777777">
      <w:pPr>
        <w:pStyle w:val="Textonotapie"/>
        <w:ind w:firstLine="708"/>
        <w:jc w:val="both"/>
        <w:rPr>
          <w:rFonts w:ascii="Verdana" w:hAnsi="Verdana"/>
          <w:sz w:val="12"/>
          <w:szCs w:val="12"/>
        </w:rPr>
      </w:pPr>
    </w:p>
  </w:footnote>
  <w:footnote w:id="14">
    <w:p w:rsidRPr="00C95CD8" w:rsidR="00077445" w:rsidP="00077445" w:rsidRDefault="00077445" w14:paraId="2242A929" w14:textId="77777777">
      <w:pPr>
        <w:spacing w:after="0" w:line="240" w:lineRule="auto"/>
        <w:ind w:firstLine="708"/>
        <w:jc w:val="both"/>
        <w:rPr>
          <w:rFonts w:ascii="Verdana" w:hAnsi="Verdana" w:cs="Arial"/>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Ley 1438 de 2011: “Artículo 76. Eficiencia y transparencia en contratación, adquisiciones</w:t>
      </w:r>
      <w:r w:rsidRPr="00C95CD8">
        <w:rPr>
          <w:rFonts w:ascii="Verdana" w:hAnsi="Verdana" w:cs="Arial"/>
          <w:spacing w:val="1"/>
          <w:sz w:val="12"/>
          <w:szCs w:val="12"/>
        </w:rPr>
        <w:t xml:space="preserve"> </w:t>
      </w:r>
      <w:r w:rsidRPr="00C95CD8">
        <w:rPr>
          <w:rFonts w:ascii="Verdana" w:hAnsi="Verdana" w:cs="Arial"/>
          <w:sz w:val="12"/>
          <w:szCs w:val="12"/>
        </w:rPr>
        <w:t>y compras de las Empresas Sociales del Estado. Con el propósito de promover la eficiencia y</w:t>
      </w:r>
      <w:r w:rsidRPr="00C95CD8">
        <w:rPr>
          <w:rFonts w:ascii="Verdana" w:hAnsi="Verdana" w:cs="Arial"/>
          <w:spacing w:val="1"/>
          <w:sz w:val="12"/>
          <w:szCs w:val="12"/>
        </w:rPr>
        <w:t xml:space="preserve"> </w:t>
      </w:r>
      <w:r w:rsidRPr="00C95CD8">
        <w:rPr>
          <w:rFonts w:ascii="Verdana" w:hAnsi="Verdana" w:cs="Arial"/>
          <w:sz w:val="12"/>
          <w:szCs w:val="12"/>
        </w:rPr>
        <w:t>transparencia</w:t>
      </w:r>
      <w:r w:rsidRPr="00C95CD8">
        <w:rPr>
          <w:rFonts w:ascii="Verdana" w:hAnsi="Verdana" w:cs="Arial"/>
          <w:spacing w:val="1"/>
          <w:sz w:val="12"/>
          <w:szCs w:val="12"/>
        </w:rPr>
        <w:t xml:space="preserve"> </w:t>
      </w:r>
      <w:r w:rsidRPr="00C95CD8">
        <w:rPr>
          <w:rFonts w:ascii="Verdana" w:hAnsi="Verdana" w:cs="Arial"/>
          <w:sz w:val="12"/>
          <w:szCs w:val="12"/>
        </w:rPr>
        <w:t>en la contratación las Empresas Sociales del Estado podrán asociarse entre sí,</w:t>
      </w:r>
      <w:r w:rsidRPr="00C95CD8">
        <w:rPr>
          <w:rFonts w:ascii="Verdana" w:hAnsi="Verdana" w:cs="Arial"/>
          <w:spacing w:val="1"/>
          <w:sz w:val="12"/>
          <w:szCs w:val="12"/>
        </w:rPr>
        <w:t xml:space="preserve"> </w:t>
      </w:r>
      <w:r w:rsidRPr="00C95CD8">
        <w:rPr>
          <w:rFonts w:ascii="Verdana" w:hAnsi="Verdana" w:cs="Arial"/>
          <w:sz w:val="12"/>
          <w:szCs w:val="12"/>
        </w:rPr>
        <w:t>constituir cooperativas o utilizar sistemas de compras electrónicas o cualquier otro mecanismo que</w:t>
      </w:r>
      <w:r w:rsidRPr="00C95CD8">
        <w:rPr>
          <w:rFonts w:ascii="Verdana" w:hAnsi="Verdana" w:cs="Arial"/>
          <w:spacing w:val="1"/>
          <w:sz w:val="12"/>
          <w:szCs w:val="12"/>
        </w:rPr>
        <w:t xml:space="preserve"> </w:t>
      </w:r>
      <w:r w:rsidRPr="00C95CD8">
        <w:rPr>
          <w:rFonts w:ascii="Verdana" w:hAnsi="Verdana" w:cs="Arial"/>
          <w:sz w:val="12"/>
          <w:szCs w:val="12"/>
        </w:rPr>
        <w:t>beneficie a las entidades con economías de escala, calidad, oportunidad y eficiencia, respetando los</w:t>
      </w:r>
      <w:r w:rsidRPr="00C95CD8">
        <w:rPr>
          <w:rFonts w:ascii="Verdana" w:hAnsi="Verdana" w:cs="Arial"/>
          <w:spacing w:val="-50"/>
          <w:sz w:val="12"/>
          <w:szCs w:val="12"/>
        </w:rPr>
        <w:t xml:space="preserve"> </w:t>
      </w:r>
      <w:r w:rsidRPr="00C95CD8">
        <w:rPr>
          <w:rFonts w:ascii="Verdana" w:hAnsi="Verdana" w:cs="Arial"/>
          <w:sz w:val="12"/>
          <w:szCs w:val="12"/>
        </w:rPr>
        <w:t>principios de la actuación administrativa y la contratación pública. Para lo anterior la Junta Directiva</w:t>
      </w:r>
      <w:r w:rsidRPr="00C95CD8">
        <w:rPr>
          <w:rFonts w:ascii="Verdana" w:hAnsi="Verdana" w:cs="Arial"/>
          <w:spacing w:val="1"/>
          <w:sz w:val="12"/>
          <w:szCs w:val="12"/>
        </w:rPr>
        <w:t xml:space="preserve"> </w:t>
      </w:r>
      <w:r w:rsidRPr="00C95CD8">
        <w:rPr>
          <w:rFonts w:ascii="Verdana" w:hAnsi="Verdana" w:cs="Arial"/>
          <w:sz w:val="12"/>
          <w:szCs w:val="12"/>
        </w:rPr>
        <w:t>deberá adoptar un estatuto de contratación de acuerdo con los lineamientos que defina el Ministerio</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2"/>
          <w:sz w:val="12"/>
          <w:szCs w:val="12"/>
        </w:rPr>
        <w:t xml:space="preserve"> </w:t>
      </w:r>
      <w:r w:rsidRPr="00C95CD8">
        <w:rPr>
          <w:rFonts w:ascii="Verdana" w:hAnsi="Verdana" w:cs="Arial"/>
          <w:sz w:val="12"/>
          <w:szCs w:val="12"/>
        </w:rPr>
        <w:t>la</w:t>
      </w:r>
      <w:r w:rsidRPr="00C95CD8">
        <w:rPr>
          <w:rFonts w:ascii="Verdana" w:hAnsi="Verdana" w:cs="Arial"/>
          <w:spacing w:val="-1"/>
          <w:sz w:val="12"/>
          <w:szCs w:val="12"/>
        </w:rPr>
        <w:t xml:space="preserve"> </w:t>
      </w:r>
      <w:r w:rsidRPr="00C95CD8">
        <w:rPr>
          <w:rFonts w:ascii="Verdana" w:hAnsi="Verdana" w:cs="Arial"/>
          <w:sz w:val="12"/>
          <w:szCs w:val="12"/>
        </w:rPr>
        <w:t>Protección</w:t>
      </w:r>
      <w:r w:rsidRPr="00C95CD8">
        <w:rPr>
          <w:rFonts w:ascii="Verdana" w:hAnsi="Verdana" w:cs="Arial"/>
          <w:spacing w:val="-1"/>
          <w:sz w:val="12"/>
          <w:szCs w:val="12"/>
        </w:rPr>
        <w:t xml:space="preserve"> </w:t>
      </w:r>
      <w:r w:rsidRPr="00C95CD8">
        <w:rPr>
          <w:rFonts w:ascii="Verdana" w:hAnsi="Verdana" w:cs="Arial"/>
          <w:sz w:val="12"/>
          <w:szCs w:val="12"/>
        </w:rPr>
        <w:t>Social.</w:t>
      </w:r>
    </w:p>
    <w:p w:rsidRPr="00C95CD8" w:rsidR="00077445" w:rsidP="00077445" w:rsidRDefault="00077445" w14:paraId="72604D8D" w14:textId="77777777">
      <w:pPr>
        <w:spacing w:after="0" w:line="240" w:lineRule="auto"/>
        <w:ind w:firstLine="708"/>
        <w:jc w:val="both"/>
        <w:rPr>
          <w:rFonts w:ascii="Verdana" w:hAnsi="Verdana" w:cs="Arial"/>
          <w:sz w:val="12"/>
          <w:szCs w:val="12"/>
        </w:rPr>
      </w:pPr>
    </w:p>
    <w:p w:rsidRPr="00C95CD8" w:rsidR="00077445" w:rsidP="00077445" w:rsidRDefault="00077445" w14:paraId="738C1B3F" w14:textId="77777777">
      <w:pPr>
        <w:spacing w:after="0" w:line="240" w:lineRule="auto"/>
        <w:ind w:firstLine="708"/>
        <w:jc w:val="both"/>
        <w:rPr>
          <w:rFonts w:ascii="Verdana" w:hAnsi="Verdana" w:cs="Arial"/>
          <w:sz w:val="12"/>
          <w:szCs w:val="12"/>
        </w:rPr>
      </w:pPr>
      <w:r w:rsidRPr="00C95CD8">
        <w:rPr>
          <w:rFonts w:ascii="Verdana" w:hAnsi="Verdana" w:cs="Arial"/>
          <w:sz w:val="12"/>
          <w:szCs w:val="12"/>
        </w:rPr>
        <w:t>Igualmente,</w:t>
      </w:r>
      <w:r w:rsidRPr="00C95CD8">
        <w:rPr>
          <w:rFonts w:ascii="Verdana" w:hAnsi="Verdana" w:cs="Arial"/>
          <w:spacing w:val="1"/>
          <w:sz w:val="12"/>
          <w:szCs w:val="12"/>
        </w:rPr>
        <w:t xml:space="preserve"> </w:t>
      </w:r>
      <w:r w:rsidRPr="00C95CD8">
        <w:rPr>
          <w:rFonts w:ascii="Verdana" w:hAnsi="Verdana" w:cs="Arial"/>
          <w:sz w:val="12"/>
          <w:szCs w:val="12"/>
        </w:rPr>
        <w:t>las</w:t>
      </w:r>
      <w:r w:rsidRPr="00C95CD8">
        <w:rPr>
          <w:rFonts w:ascii="Verdana" w:hAnsi="Verdana" w:cs="Arial"/>
          <w:spacing w:val="1"/>
          <w:sz w:val="12"/>
          <w:szCs w:val="12"/>
        </w:rPr>
        <w:t xml:space="preserve"> </w:t>
      </w:r>
      <w:r w:rsidRPr="00C95CD8">
        <w:rPr>
          <w:rFonts w:ascii="Verdana" w:hAnsi="Verdana" w:cs="Arial"/>
          <w:sz w:val="12"/>
          <w:szCs w:val="12"/>
        </w:rPr>
        <w:t>Empresas</w:t>
      </w:r>
      <w:r w:rsidRPr="00C95CD8">
        <w:rPr>
          <w:rFonts w:ascii="Verdana" w:hAnsi="Verdana" w:cs="Arial"/>
          <w:spacing w:val="1"/>
          <w:sz w:val="12"/>
          <w:szCs w:val="12"/>
        </w:rPr>
        <w:t xml:space="preserve"> </w:t>
      </w:r>
      <w:r w:rsidRPr="00C95CD8">
        <w:rPr>
          <w:rFonts w:ascii="Verdana" w:hAnsi="Verdana" w:cs="Arial"/>
          <w:sz w:val="12"/>
          <w:szCs w:val="12"/>
        </w:rPr>
        <w:t>Sociales</w:t>
      </w:r>
      <w:r w:rsidRPr="00C95CD8">
        <w:rPr>
          <w:rFonts w:ascii="Verdana" w:hAnsi="Verdana" w:cs="Arial"/>
          <w:spacing w:val="1"/>
          <w:sz w:val="12"/>
          <w:szCs w:val="12"/>
        </w:rPr>
        <w:t xml:space="preserve"> </w:t>
      </w:r>
      <w:r w:rsidRPr="00C95CD8">
        <w:rPr>
          <w:rFonts w:ascii="Verdana" w:hAnsi="Verdana" w:cs="Arial"/>
          <w:sz w:val="12"/>
          <w:szCs w:val="12"/>
        </w:rPr>
        <w:t>del</w:t>
      </w:r>
      <w:r w:rsidRPr="00C95CD8">
        <w:rPr>
          <w:rFonts w:ascii="Verdana" w:hAnsi="Verdana" w:cs="Arial"/>
          <w:spacing w:val="1"/>
          <w:sz w:val="12"/>
          <w:szCs w:val="12"/>
        </w:rPr>
        <w:t xml:space="preserve"> </w:t>
      </w:r>
      <w:r w:rsidRPr="00C95CD8">
        <w:rPr>
          <w:rFonts w:ascii="Verdana" w:hAnsi="Verdana" w:cs="Arial"/>
          <w:sz w:val="12"/>
          <w:szCs w:val="12"/>
        </w:rPr>
        <w:t>Estado</w:t>
      </w:r>
      <w:r w:rsidRPr="00C95CD8">
        <w:rPr>
          <w:rFonts w:ascii="Verdana" w:hAnsi="Verdana" w:cs="Arial"/>
          <w:spacing w:val="1"/>
          <w:sz w:val="12"/>
          <w:szCs w:val="12"/>
        </w:rPr>
        <w:t xml:space="preserve"> </w:t>
      </w:r>
      <w:r w:rsidRPr="00C95CD8">
        <w:rPr>
          <w:rFonts w:ascii="Verdana" w:hAnsi="Verdana" w:cs="Arial"/>
          <w:sz w:val="12"/>
          <w:szCs w:val="12"/>
        </w:rPr>
        <w:t>podrán</w:t>
      </w:r>
      <w:r w:rsidRPr="00C95CD8">
        <w:rPr>
          <w:rFonts w:ascii="Verdana" w:hAnsi="Verdana" w:cs="Arial"/>
          <w:spacing w:val="1"/>
          <w:sz w:val="12"/>
          <w:szCs w:val="12"/>
        </w:rPr>
        <w:t xml:space="preserve"> </w:t>
      </w:r>
      <w:r w:rsidRPr="00C95CD8">
        <w:rPr>
          <w:rFonts w:ascii="Verdana" w:hAnsi="Verdana" w:cs="Arial"/>
          <w:sz w:val="12"/>
          <w:szCs w:val="12"/>
        </w:rPr>
        <w:t>contratar</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1"/>
          <w:sz w:val="12"/>
          <w:szCs w:val="12"/>
        </w:rPr>
        <w:t xml:space="preserve"> </w:t>
      </w:r>
      <w:r w:rsidRPr="00C95CD8">
        <w:rPr>
          <w:rFonts w:ascii="Verdana" w:hAnsi="Verdana" w:cs="Arial"/>
          <w:sz w:val="12"/>
          <w:szCs w:val="12"/>
        </w:rPr>
        <w:t>manera</w:t>
      </w:r>
      <w:r w:rsidRPr="00C95CD8">
        <w:rPr>
          <w:rFonts w:ascii="Verdana" w:hAnsi="Verdana" w:cs="Arial"/>
          <w:spacing w:val="1"/>
          <w:sz w:val="12"/>
          <w:szCs w:val="12"/>
        </w:rPr>
        <w:t xml:space="preserve"> </w:t>
      </w:r>
      <w:r w:rsidRPr="00C95CD8">
        <w:rPr>
          <w:rFonts w:ascii="Verdana" w:hAnsi="Verdana" w:cs="Arial"/>
          <w:sz w:val="12"/>
          <w:szCs w:val="12"/>
        </w:rPr>
        <w:t>conjunta</w:t>
      </w:r>
      <w:r w:rsidRPr="00C95CD8">
        <w:rPr>
          <w:rFonts w:ascii="Verdana" w:hAnsi="Verdana" w:cs="Arial"/>
          <w:spacing w:val="1"/>
          <w:sz w:val="12"/>
          <w:szCs w:val="12"/>
        </w:rPr>
        <w:t xml:space="preserve"> </w:t>
      </w:r>
      <w:r w:rsidRPr="00C95CD8">
        <w:rPr>
          <w:rFonts w:ascii="Verdana" w:hAnsi="Verdana" w:cs="Arial"/>
          <w:sz w:val="12"/>
          <w:szCs w:val="12"/>
        </w:rPr>
        <w:t>sistemas</w:t>
      </w:r>
      <w:r w:rsidRPr="00C95CD8">
        <w:rPr>
          <w:rFonts w:ascii="Verdana" w:hAnsi="Verdana" w:cs="Arial"/>
          <w:spacing w:val="-10"/>
          <w:sz w:val="12"/>
          <w:szCs w:val="12"/>
        </w:rPr>
        <w:t xml:space="preserve"> </w:t>
      </w:r>
      <w:r w:rsidRPr="00C95CD8">
        <w:rPr>
          <w:rFonts w:ascii="Verdana" w:hAnsi="Verdana" w:cs="Arial"/>
          <w:sz w:val="12"/>
          <w:szCs w:val="12"/>
        </w:rPr>
        <w:t>de</w:t>
      </w:r>
      <w:r w:rsidRPr="00C95CD8">
        <w:rPr>
          <w:rFonts w:ascii="Verdana" w:hAnsi="Verdana" w:cs="Arial"/>
          <w:spacing w:val="-10"/>
          <w:sz w:val="12"/>
          <w:szCs w:val="12"/>
        </w:rPr>
        <w:t xml:space="preserve"> </w:t>
      </w:r>
      <w:r w:rsidRPr="00C95CD8">
        <w:rPr>
          <w:rFonts w:ascii="Verdana" w:hAnsi="Verdana" w:cs="Arial"/>
          <w:sz w:val="12"/>
          <w:szCs w:val="12"/>
        </w:rPr>
        <w:t>información,</w:t>
      </w:r>
      <w:r w:rsidRPr="00C95CD8">
        <w:rPr>
          <w:rFonts w:ascii="Verdana" w:hAnsi="Verdana" w:cs="Arial"/>
          <w:spacing w:val="-10"/>
          <w:sz w:val="12"/>
          <w:szCs w:val="12"/>
        </w:rPr>
        <w:t xml:space="preserve"> </w:t>
      </w:r>
      <w:r w:rsidRPr="00C95CD8">
        <w:rPr>
          <w:rFonts w:ascii="Verdana" w:hAnsi="Verdana" w:cs="Arial"/>
          <w:sz w:val="12"/>
          <w:szCs w:val="12"/>
        </w:rPr>
        <w:t>sistema</w:t>
      </w:r>
      <w:r w:rsidRPr="00C95CD8">
        <w:rPr>
          <w:rFonts w:ascii="Verdana" w:hAnsi="Verdana" w:cs="Arial"/>
          <w:spacing w:val="-9"/>
          <w:sz w:val="12"/>
          <w:szCs w:val="12"/>
        </w:rPr>
        <w:t xml:space="preserve"> </w:t>
      </w:r>
      <w:r w:rsidRPr="00C95CD8">
        <w:rPr>
          <w:rFonts w:ascii="Verdana" w:hAnsi="Verdana" w:cs="Arial"/>
          <w:sz w:val="12"/>
          <w:szCs w:val="12"/>
        </w:rPr>
        <w:t>de</w:t>
      </w:r>
      <w:r w:rsidRPr="00C95CD8">
        <w:rPr>
          <w:rFonts w:ascii="Verdana" w:hAnsi="Verdana" w:cs="Arial"/>
          <w:spacing w:val="-10"/>
          <w:sz w:val="12"/>
          <w:szCs w:val="12"/>
        </w:rPr>
        <w:t xml:space="preserve"> </w:t>
      </w:r>
      <w:r w:rsidRPr="00C95CD8">
        <w:rPr>
          <w:rFonts w:ascii="Verdana" w:hAnsi="Verdana" w:cs="Arial"/>
          <w:sz w:val="12"/>
          <w:szCs w:val="12"/>
        </w:rPr>
        <w:t>control</w:t>
      </w:r>
      <w:r w:rsidRPr="00C95CD8">
        <w:rPr>
          <w:rFonts w:ascii="Verdana" w:hAnsi="Verdana" w:cs="Arial"/>
          <w:spacing w:val="-10"/>
          <w:sz w:val="12"/>
          <w:szCs w:val="12"/>
        </w:rPr>
        <w:t xml:space="preserve"> </w:t>
      </w:r>
      <w:r w:rsidRPr="00C95CD8">
        <w:rPr>
          <w:rFonts w:ascii="Verdana" w:hAnsi="Verdana" w:cs="Arial"/>
          <w:sz w:val="12"/>
          <w:szCs w:val="12"/>
        </w:rPr>
        <w:t>interno,</w:t>
      </w:r>
      <w:r w:rsidRPr="00C95CD8">
        <w:rPr>
          <w:rFonts w:ascii="Verdana" w:hAnsi="Verdana" w:cs="Arial"/>
          <w:spacing w:val="-9"/>
          <w:sz w:val="12"/>
          <w:szCs w:val="12"/>
        </w:rPr>
        <w:t xml:space="preserve"> </w:t>
      </w:r>
      <w:r w:rsidRPr="00C95CD8">
        <w:rPr>
          <w:rFonts w:ascii="Verdana" w:hAnsi="Verdana" w:cs="Arial"/>
          <w:sz w:val="12"/>
          <w:szCs w:val="12"/>
        </w:rPr>
        <w:t>de</w:t>
      </w:r>
      <w:r w:rsidRPr="00C95CD8">
        <w:rPr>
          <w:rFonts w:ascii="Verdana" w:hAnsi="Verdana" w:cs="Arial"/>
          <w:spacing w:val="-10"/>
          <w:sz w:val="12"/>
          <w:szCs w:val="12"/>
        </w:rPr>
        <w:t xml:space="preserve"> </w:t>
      </w:r>
      <w:r w:rsidRPr="00C95CD8">
        <w:rPr>
          <w:rFonts w:ascii="Verdana" w:hAnsi="Verdana" w:cs="Arial"/>
          <w:sz w:val="12"/>
          <w:szCs w:val="12"/>
        </w:rPr>
        <w:t>interventorías,</w:t>
      </w:r>
      <w:r w:rsidRPr="00C95CD8">
        <w:rPr>
          <w:rFonts w:ascii="Verdana" w:hAnsi="Verdana" w:cs="Arial"/>
          <w:spacing w:val="-10"/>
          <w:sz w:val="12"/>
          <w:szCs w:val="12"/>
        </w:rPr>
        <w:t xml:space="preserve"> </w:t>
      </w:r>
      <w:r w:rsidRPr="00C95CD8">
        <w:rPr>
          <w:rFonts w:ascii="Verdana" w:hAnsi="Verdana" w:cs="Arial"/>
          <w:sz w:val="12"/>
          <w:szCs w:val="12"/>
        </w:rPr>
        <w:t>gestión</w:t>
      </w:r>
      <w:r w:rsidRPr="00C95CD8">
        <w:rPr>
          <w:rFonts w:ascii="Verdana" w:hAnsi="Verdana" w:cs="Arial"/>
          <w:spacing w:val="-10"/>
          <w:sz w:val="12"/>
          <w:szCs w:val="12"/>
        </w:rPr>
        <w:t xml:space="preserve"> </w:t>
      </w:r>
      <w:r w:rsidRPr="00C95CD8">
        <w:rPr>
          <w:rFonts w:ascii="Verdana" w:hAnsi="Verdana" w:cs="Arial"/>
          <w:sz w:val="12"/>
          <w:szCs w:val="12"/>
        </w:rPr>
        <w:t>de</w:t>
      </w:r>
      <w:r w:rsidRPr="00C95CD8">
        <w:rPr>
          <w:rFonts w:ascii="Verdana" w:hAnsi="Verdana" w:cs="Arial"/>
          <w:spacing w:val="-9"/>
          <w:sz w:val="12"/>
          <w:szCs w:val="12"/>
        </w:rPr>
        <w:t xml:space="preserve"> </w:t>
      </w:r>
      <w:r w:rsidRPr="00C95CD8">
        <w:rPr>
          <w:rFonts w:ascii="Verdana" w:hAnsi="Verdana" w:cs="Arial"/>
          <w:sz w:val="12"/>
          <w:szCs w:val="12"/>
        </w:rPr>
        <w:t>calidad</w:t>
      </w:r>
      <w:r w:rsidRPr="00C95CD8">
        <w:rPr>
          <w:rFonts w:ascii="Verdana" w:hAnsi="Verdana" w:cs="Arial"/>
          <w:spacing w:val="-10"/>
          <w:sz w:val="12"/>
          <w:szCs w:val="12"/>
        </w:rPr>
        <w:t xml:space="preserve"> </w:t>
      </w:r>
      <w:r w:rsidRPr="00C95CD8">
        <w:rPr>
          <w:rFonts w:ascii="Verdana" w:hAnsi="Verdana" w:cs="Arial"/>
          <w:sz w:val="12"/>
          <w:szCs w:val="12"/>
        </w:rPr>
        <w:t>y</w:t>
      </w:r>
      <w:r w:rsidRPr="00C95CD8">
        <w:rPr>
          <w:rFonts w:ascii="Verdana" w:hAnsi="Verdana" w:cs="Arial"/>
          <w:spacing w:val="-10"/>
          <w:sz w:val="12"/>
          <w:szCs w:val="12"/>
        </w:rPr>
        <w:t xml:space="preserve"> </w:t>
      </w:r>
      <w:r w:rsidRPr="00C95CD8">
        <w:rPr>
          <w:rFonts w:ascii="Verdana" w:hAnsi="Verdana" w:cs="Arial"/>
          <w:sz w:val="12"/>
          <w:szCs w:val="12"/>
        </w:rPr>
        <w:t>auditorías,</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1"/>
          <w:sz w:val="12"/>
          <w:szCs w:val="12"/>
        </w:rPr>
        <w:t xml:space="preserve"> </w:t>
      </w:r>
      <w:r w:rsidRPr="00C95CD8">
        <w:rPr>
          <w:rFonts w:ascii="Verdana" w:hAnsi="Verdana" w:cs="Arial"/>
          <w:sz w:val="12"/>
          <w:szCs w:val="12"/>
        </w:rPr>
        <w:t>recurso</w:t>
      </w:r>
      <w:r w:rsidRPr="00C95CD8">
        <w:rPr>
          <w:rFonts w:ascii="Verdana" w:hAnsi="Verdana" w:cs="Arial"/>
          <w:spacing w:val="1"/>
          <w:sz w:val="12"/>
          <w:szCs w:val="12"/>
        </w:rPr>
        <w:t xml:space="preserve"> </w:t>
      </w:r>
      <w:r w:rsidRPr="00C95CD8">
        <w:rPr>
          <w:rFonts w:ascii="Verdana" w:hAnsi="Verdana" w:cs="Arial"/>
          <w:sz w:val="12"/>
          <w:szCs w:val="12"/>
        </w:rPr>
        <w:t>humano</w:t>
      </w:r>
      <w:r w:rsidRPr="00C95CD8">
        <w:rPr>
          <w:rFonts w:ascii="Verdana" w:hAnsi="Verdana" w:cs="Arial"/>
          <w:spacing w:val="1"/>
          <w:sz w:val="12"/>
          <w:szCs w:val="12"/>
        </w:rPr>
        <w:t xml:space="preserve"> </w:t>
      </w:r>
      <w:r w:rsidRPr="00C95CD8">
        <w:rPr>
          <w:rFonts w:ascii="Verdana" w:hAnsi="Verdana" w:cs="Arial"/>
          <w:sz w:val="12"/>
          <w:szCs w:val="12"/>
        </w:rPr>
        <w:t>y</w:t>
      </w:r>
      <w:r w:rsidRPr="00C95CD8">
        <w:rPr>
          <w:rFonts w:ascii="Verdana" w:hAnsi="Verdana" w:cs="Arial"/>
          <w:spacing w:val="1"/>
          <w:sz w:val="12"/>
          <w:szCs w:val="12"/>
        </w:rPr>
        <w:t xml:space="preserve"> </w:t>
      </w:r>
      <w:r w:rsidRPr="00C95CD8">
        <w:rPr>
          <w:rFonts w:ascii="Verdana" w:hAnsi="Verdana" w:cs="Arial"/>
          <w:sz w:val="12"/>
          <w:szCs w:val="12"/>
        </w:rPr>
        <w:t>demás</w:t>
      </w:r>
      <w:r w:rsidRPr="00C95CD8">
        <w:rPr>
          <w:rFonts w:ascii="Verdana" w:hAnsi="Verdana" w:cs="Arial"/>
          <w:spacing w:val="1"/>
          <w:sz w:val="12"/>
          <w:szCs w:val="12"/>
        </w:rPr>
        <w:t xml:space="preserve"> </w:t>
      </w:r>
      <w:r w:rsidRPr="00C95CD8">
        <w:rPr>
          <w:rFonts w:ascii="Verdana" w:hAnsi="Verdana" w:cs="Arial"/>
          <w:sz w:val="12"/>
          <w:szCs w:val="12"/>
        </w:rPr>
        <w:t>funciones</w:t>
      </w:r>
      <w:r w:rsidRPr="00C95CD8">
        <w:rPr>
          <w:rFonts w:ascii="Verdana" w:hAnsi="Verdana" w:cs="Arial"/>
          <w:spacing w:val="1"/>
          <w:sz w:val="12"/>
          <w:szCs w:val="12"/>
        </w:rPr>
        <w:t xml:space="preserve"> </w:t>
      </w:r>
      <w:r w:rsidRPr="00C95CD8">
        <w:rPr>
          <w:rFonts w:ascii="Verdana" w:hAnsi="Verdana" w:cs="Arial"/>
          <w:sz w:val="12"/>
          <w:szCs w:val="12"/>
        </w:rPr>
        <w:t>administrativas,</w:t>
      </w:r>
      <w:r w:rsidRPr="00C95CD8">
        <w:rPr>
          <w:rFonts w:ascii="Verdana" w:hAnsi="Verdana" w:cs="Arial"/>
          <w:spacing w:val="1"/>
          <w:sz w:val="12"/>
          <w:szCs w:val="12"/>
        </w:rPr>
        <w:t xml:space="preserve"> </w:t>
      </w:r>
      <w:r w:rsidRPr="00C95CD8">
        <w:rPr>
          <w:rFonts w:ascii="Verdana" w:hAnsi="Verdana" w:cs="Arial"/>
          <w:sz w:val="12"/>
          <w:szCs w:val="12"/>
        </w:rPr>
        <w:t>para</w:t>
      </w:r>
      <w:r w:rsidRPr="00C95CD8">
        <w:rPr>
          <w:rFonts w:ascii="Verdana" w:hAnsi="Verdana" w:cs="Arial"/>
          <w:spacing w:val="1"/>
          <w:sz w:val="12"/>
          <w:szCs w:val="12"/>
        </w:rPr>
        <w:t xml:space="preserve"> </w:t>
      </w:r>
      <w:r w:rsidRPr="00C95CD8">
        <w:rPr>
          <w:rFonts w:ascii="Verdana" w:hAnsi="Verdana" w:cs="Arial"/>
          <w:sz w:val="12"/>
          <w:szCs w:val="12"/>
        </w:rPr>
        <w:t>el</w:t>
      </w:r>
      <w:r w:rsidRPr="00C95CD8">
        <w:rPr>
          <w:rFonts w:ascii="Verdana" w:hAnsi="Verdana" w:cs="Arial"/>
          <w:spacing w:val="1"/>
          <w:sz w:val="12"/>
          <w:szCs w:val="12"/>
        </w:rPr>
        <w:t xml:space="preserve"> </w:t>
      </w:r>
      <w:r w:rsidRPr="00C95CD8">
        <w:rPr>
          <w:rFonts w:ascii="Verdana" w:hAnsi="Verdana" w:cs="Arial"/>
          <w:sz w:val="12"/>
          <w:szCs w:val="12"/>
        </w:rPr>
        <w:t>desarrollo</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1"/>
          <w:sz w:val="12"/>
          <w:szCs w:val="12"/>
        </w:rPr>
        <w:t xml:space="preserve"> </w:t>
      </w:r>
      <w:r w:rsidRPr="00C95CD8">
        <w:rPr>
          <w:rFonts w:ascii="Verdana" w:hAnsi="Verdana" w:cs="Arial"/>
          <w:sz w:val="12"/>
          <w:szCs w:val="12"/>
        </w:rPr>
        <w:t>actividades</w:t>
      </w:r>
      <w:r w:rsidRPr="00C95CD8">
        <w:rPr>
          <w:rFonts w:ascii="Verdana" w:hAnsi="Verdana" w:cs="Arial"/>
          <w:spacing w:val="1"/>
          <w:sz w:val="12"/>
          <w:szCs w:val="12"/>
        </w:rPr>
        <w:t xml:space="preserve"> </w:t>
      </w:r>
      <w:r w:rsidRPr="00C95CD8">
        <w:rPr>
          <w:rFonts w:ascii="Verdana" w:hAnsi="Verdana" w:cs="Arial"/>
          <w:sz w:val="12"/>
          <w:szCs w:val="12"/>
        </w:rPr>
        <w:t>especializadas, de tipo operativo y de apoyo que puedan cubrir las necesidades de la empresa, de</w:t>
      </w:r>
      <w:r w:rsidRPr="00C95CD8">
        <w:rPr>
          <w:rFonts w:ascii="Verdana" w:hAnsi="Verdana" w:cs="Arial"/>
          <w:spacing w:val="1"/>
          <w:sz w:val="12"/>
          <w:szCs w:val="12"/>
        </w:rPr>
        <w:t xml:space="preserve"> </w:t>
      </w:r>
      <w:r w:rsidRPr="00C95CD8">
        <w:rPr>
          <w:rFonts w:ascii="Verdana" w:hAnsi="Verdana" w:cs="Arial"/>
          <w:sz w:val="12"/>
          <w:szCs w:val="12"/>
        </w:rPr>
        <w:t>forma</w:t>
      </w:r>
      <w:r w:rsidRPr="00C95CD8">
        <w:rPr>
          <w:rFonts w:ascii="Verdana" w:hAnsi="Verdana" w:cs="Arial"/>
          <w:spacing w:val="-2"/>
          <w:sz w:val="12"/>
          <w:szCs w:val="12"/>
        </w:rPr>
        <w:t xml:space="preserve"> </w:t>
      </w:r>
      <w:r w:rsidRPr="00C95CD8">
        <w:rPr>
          <w:rFonts w:ascii="Verdana" w:hAnsi="Verdana" w:cs="Arial"/>
          <w:sz w:val="12"/>
          <w:szCs w:val="12"/>
        </w:rPr>
        <w:t>tal</w:t>
      </w:r>
      <w:r w:rsidRPr="00C95CD8">
        <w:rPr>
          <w:rFonts w:ascii="Verdana" w:hAnsi="Verdana" w:cs="Arial"/>
          <w:spacing w:val="-2"/>
          <w:sz w:val="12"/>
          <w:szCs w:val="12"/>
        </w:rPr>
        <w:t xml:space="preserve"> </w:t>
      </w:r>
      <w:r w:rsidRPr="00C95CD8">
        <w:rPr>
          <w:rFonts w:ascii="Verdana" w:hAnsi="Verdana" w:cs="Arial"/>
          <w:sz w:val="12"/>
          <w:szCs w:val="12"/>
        </w:rPr>
        <w:t>que</w:t>
      </w:r>
      <w:r w:rsidRPr="00C95CD8">
        <w:rPr>
          <w:rFonts w:ascii="Verdana" w:hAnsi="Verdana" w:cs="Arial"/>
          <w:spacing w:val="-2"/>
          <w:sz w:val="12"/>
          <w:szCs w:val="12"/>
        </w:rPr>
        <w:t xml:space="preserve"> </w:t>
      </w:r>
      <w:r w:rsidRPr="00C95CD8">
        <w:rPr>
          <w:rFonts w:ascii="Verdana" w:hAnsi="Verdana" w:cs="Arial"/>
          <w:sz w:val="12"/>
          <w:szCs w:val="12"/>
        </w:rPr>
        <w:t>la</w:t>
      </w:r>
      <w:r w:rsidRPr="00C95CD8">
        <w:rPr>
          <w:rFonts w:ascii="Verdana" w:hAnsi="Verdana" w:cs="Arial"/>
          <w:spacing w:val="-1"/>
          <w:sz w:val="12"/>
          <w:szCs w:val="12"/>
        </w:rPr>
        <w:t xml:space="preserve"> </w:t>
      </w:r>
      <w:r w:rsidRPr="00C95CD8">
        <w:rPr>
          <w:rFonts w:ascii="Verdana" w:hAnsi="Verdana" w:cs="Arial"/>
          <w:sz w:val="12"/>
          <w:szCs w:val="12"/>
        </w:rPr>
        <w:t>gestión</w:t>
      </w:r>
      <w:r w:rsidRPr="00C95CD8">
        <w:rPr>
          <w:rFonts w:ascii="Verdana" w:hAnsi="Verdana" w:cs="Arial"/>
          <w:spacing w:val="-2"/>
          <w:sz w:val="12"/>
          <w:szCs w:val="12"/>
        </w:rPr>
        <w:t xml:space="preserve"> </w:t>
      </w:r>
      <w:r w:rsidRPr="00C95CD8">
        <w:rPr>
          <w:rFonts w:ascii="Verdana" w:hAnsi="Verdana" w:cs="Arial"/>
          <w:sz w:val="12"/>
          <w:szCs w:val="12"/>
        </w:rPr>
        <w:t>resulte</w:t>
      </w:r>
      <w:r w:rsidRPr="00C95CD8">
        <w:rPr>
          <w:rFonts w:ascii="Verdana" w:hAnsi="Verdana" w:cs="Arial"/>
          <w:spacing w:val="-2"/>
          <w:sz w:val="12"/>
          <w:szCs w:val="12"/>
        </w:rPr>
        <w:t xml:space="preserve"> </w:t>
      </w:r>
      <w:r w:rsidRPr="00C95CD8">
        <w:rPr>
          <w:rFonts w:ascii="Verdana" w:hAnsi="Verdana" w:cs="Arial"/>
          <w:sz w:val="12"/>
          <w:szCs w:val="12"/>
        </w:rPr>
        <w:t>más</w:t>
      </w:r>
      <w:r w:rsidRPr="00C95CD8">
        <w:rPr>
          <w:rFonts w:ascii="Verdana" w:hAnsi="Verdana" w:cs="Arial"/>
          <w:spacing w:val="-1"/>
          <w:sz w:val="12"/>
          <w:szCs w:val="12"/>
        </w:rPr>
        <w:t xml:space="preserve"> </w:t>
      </w:r>
      <w:r w:rsidRPr="00C95CD8">
        <w:rPr>
          <w:rFonts w:ascii="Verdana" w:hAnsi="Verdana" w:cs="Arial"/>
          <w:sz w:val="12"/>
          <w:szCs w:val="12"/>
        </w:rPr>
        <w:t>eficiente,</w:t>
      </w:r>
      <w:r w:rsidRPr="00C95CD8">
        <w:rPr>
          <w:rFonts w:ascii="Verdana" w:hAnsi="Verdana" w:cs="Arial"/>
          <w:spacing w:val="-2"/>
          <w:sz w:val="12"/>
          <w:szCs w:val="12"/>
        </w:rPr>
        <w:t xml:space="preserve"> </w:t>
      </w:r>
      <w:r w:rsidRPr="00C95CD8">
        <w:rPr>
          <w:rFonts w:ascii="Verdana" w:hAnsi="Verdana" w:cs="Arial"/>
          <w:sz w:val="12"/>
          <w:szCs w:val="12"/>
        </w:rPr>
        <w:t>con</w:t>
      </w:r>
      <w:r w:rsidRPr="00C95CD8">
        <w:rPr>
          <w:rFonts w:ascii="Verdana" w:hAnsi="Verdana" w:cs="Arial"/>
          <w:spacing w:val="-2"/>
          <w:sz w:val="12"/>
          <w:szCs w:val="12"/>
        </w:rPr>
        <w:t xml:space="preserve"> </w:t>
      </w:r>
      <w:r w:rsidRPr="00C95CD8">
        <w:rPr>
          <w:rFonts w:ascii="Verdana" w:hAnsi="Verdana" w:cs="Arial"/>
          <w:sz w:val="12"/>
          <w:szCs w:val="12"/>
        </w:rPr>
        <w:t>calidad</w:t>
      </w:r>
      <w:r w:rsidRPr="00C95CD8">
        <w:rPr>
          <w:rFonts w:ascii="Verdana" w:hAnsi="Verdana" w:cs="Arial"/>
          <w:spacing w:val="-1"/>
          <w:sz w:val="12"/>
          <w:szCs w:val="12"/>
        </w:rPr>
        <w:t xml:space="preserve"> </w:t>
      </w:r>
      <w:r w:rsidRPr="00C95CD8">
        <w:rPr>
          <w:rFonts w:ascii="Verdana" w:hAnsi="Verdana" w:cs="Arial"/>
          <w:sz w:val="12"/>
          <w:szCs w:val="12"/>
        </w:rPr>
        <w:t>e</w:t>
      </w:r>
      <w:r w:rsidRPr="00C95CD8">
        <w:rPr>
          <w:rFonts w:ascii="Verdana" w:hAnsi="Verdana" w:cs="Arial"/>
          <w:spacing w:val="-2"/>
          <w:sz w:val="12"/>
          <w:szCs w:val="12"/>
        </w:rPr>
        <w:t xml:space="preserve"> </w:t>
      </w:r>
      <w:r w:rsidRPr="00C95CD8">
        <w:rPr>
          <w:rFonts w:ascii="Verdana" w:hAnsi="Verdana" w:cs="Arial"/>
          <w:sz w:val="12"/>
          <w:szCs w:val="12"/>
        </w:rPr>
        <w:t>implique</w:t>
      </w:r>
      <w:r w:rsidRPr="00C95CD8">
        <w:rPr>
          <w:rFonts w:ascii="Verdana" w:hAnsi="Verdana" w:cs="Arial"/>
          <w:spacing w:val="-2"/>
          <w:sz w:val="12"/>
          <w:szCs w:val="12"/>
        </w:rPr>
        <w:t xml:space="preserve"> </w:t>
      </w:r>
      <w:r w:rsidRPr="00C95CD8">
        <w:rPr>
          <w:rFonts w:ascii="Verdana" w:hAnsi="Verdana" w:cs="Arial"/>
          <w:sz w:val="12"/>
          <w:szCs w:val="12"/>
        </w:rPr>
        <w:t>menor</w:t>
      </w:r>
      <w:r w:rsidRPr="00C95CD8">
        <w:rPr>
          <w:rFonts w:ascii="Verdana" w:hAnsi="Verdana" w:cs="Arial"/>
          <w:spacing w:val="-2"/>
          <w:sz w:val="12"/>
          <w:szCs w:val="12"/>
        </w:rPr>
        <w:t xml:space="preserve"> </w:t>
      </w:r>
      <w:r w:rsidRPr="00C95CD8">
        <w:rPr>
          <w:rFonts w:ascii="Verdana" w:hAnsi="Verdana" w:cs="Arial"/>
          <w:sz w:val="12"/>
          <w:szCs w:val="12"/>
        </w:rPr>
        <w:t>costo.</w:t>
      </w:r>
    </w:p>
    <w:p w:rsidRPr="00C95CD8" w:rsidR="00077445" w:rsidP="00077445" w:rsidRDefault="00077445" w14:paraId="60FE37FF" w14:textId="77777777">
      <w:pPr>
        <w:spacing w:after="0" w:line="240" w:lineRule="auto"/>
        <w:ind w:firstLine="708"/>
        <w:jc w:val="both"/>
        <w:rPr>
          <w:rFonts w:ascii="Verdana" w:hAnsi="Verdana" w:cs="Arial"/>
          <w:sz w:val="12"/>
          <w:szCs w:val="12"/>
        </w:rPr>
      </w:pPr>
    </w:p>
    <w:p w:rsidRPr="00C95CD8" w:rsidR="00077445" w:rsidP="00077445" w:rsidRDefault="00077445" w14:paraId="13B71213" w14:textId="77777777">
      <w:pPr>
        <w:spacing w:after="0" w:line="240" w:lineRule="auto"/>
        <w:ind w:firstLine="708"/>
        <w:jc w:val="both"/>
        <w:rPr>
          <w:rFonts w:ascii="Verdana" w:hAnsi="Verdana" w:cs="Arial"/>
          <w:sz w:val="12"/>
          <w:szCs w:val="12"/>
        </w:rPr>
      </w:pPr>
      <w:r w:rsidRPr="00C95CD8">
        <w:rPr>
          <w:rFonts w:ascii="Verdana" w:hAnsi="Verdana" w:cs="Arial"/>
          <w:sz w:val="12"/>
          <w:szCs w:val="12"/>
        </w:rPr>
        <w:t>Estas</w:t>
      </w:r>
      <w:r w:rsidRPr="00C95CD8">
        <w:rPr>
          <w:rFonts w:ascii="Verdana" w:hAnsi="Verdana" w:cs="Arial"/>
          <w:spacing w:val="1"/>
          <w:sz w:val="12"/>
          <w:szCs w:val="12"/>
        </w:rPr>
        <w:t xml:space="preserve"> </w:t>
      </w:r>
      <w:r w:rsidRPr="00C95CD8">
        <w:rPr>
          <w:rFonts w:ascii="Verdana" w:hAnsi="Verdana" w:cs="Arial"/>
          <w:sz w:val="12"/>
          <w:szCs w:val="12"/>
        </w:rPr>
        <w:t>instituciones</w:t>
      </w:r>
      <w:r w:rsidRPr="00C95CD8">
        <w:rPr>
          <w:rFonts w:ascii="Verdana" w:hAnsi="Verdana" w:cs="Arial"/>
          <w:spacing w:val="1"/>
          <w:sz w:val="12"/>
          <w:szCs w:val="12"/>
        </w:rPr>
        <w:t xml:space="preserve"> </w:t>
      </w:r>
      <w:r w:rsidRPr="00C95CD8">
        <w:rPr>
          <w:rFonts w:ascii="Verdana" w:hAnsi="Verdana" w:cs="Arial"/>
          <w:sz w:val="12"/>
          <w:szCs w:val="12"/>
        </w:rPr>
        <w:t>podrán</w:t>
      </w:r>
      <w:r w:rsidRPr="00C95CD8">
        <w:rPr>
          <w:rFonts w:ascii="Verdana" w:hAnsi="Verdana" w:cs="Arial"/>
          <w:spacing w:val="1"/>
          <w:sz w:val="12"/>
          <w:szCs w:val="12"/>
        </w:rPr>
        <w:t xml:space="preserve"> </w:t>
      </w:r>
      <w:r w:rsidRPr="00C95CD8">
        <w:rPr>
          <w:rFonts w:ascii="Verdana" w:hAnsi="Verdana" w:cs="Arial"/>
          <w:sz w:val="12"/>
          <w:szCs w:val="12"/>
        </w:rPr>
        <w:t>utilizar</w:t>
      </w:r>
      <w:r w:rsidRPr="00C95CD8">
        <w:rPr>
          <w:rFonts w:ascii="Verdana" w:hAnsi="Verdana" w:cs="Arial"/>
          <w:spacing w:val="1"/>
          <w:sz w:val="12"/>
          <w:szCs w:val="12"/>
        </w:rPr>
        <w:t xml:space="preserve"> </w:t>
      </w:r>
      <w:r w:rsidRPr="00C95CD8">
        <w:rPr>
          <w:rFonts w:ascii="Verdana" w:hAnsi="Verdana" w:cs="Arial"/>
          <w:sz w:val="12"/>
          <w:szCs w:val="12"/>
        </w:rPr>
        <w:t>mecanismos</w:t>
      </w:r>
      <w:r w:rsidRPr="00C95CD8">
        <w:rPr>
          <w:rFonts w:ascii="Verdana" w:hAnsi="Verdana" w:cs="Arial"/>
          <w:spacing w:val="1"/>
          <w:sz w:val="12"/>
          <w:szCs w:val="12"/>
        </w:rPr>
        <w:t xml:space="preserve"> </w:t>
      </w:r>
      <w:r w:rsidRPr="00C95CD8">
        <w:rPr>
          <w:rFonts w:ascii="Verdana" w:hAnsi="Verdana" w:cs="Arial"/>
          <w:sz w:val="12"/>
          <w:szCs w:val="12"/>
        </w:rPr>
        <w:t>de</w:t>
      </w:r>
      <w:r w:rsidRPr="00C95CD8">
        <w:rPr>
          <w:rFonts w:ascii="Verdana" w:hAnsi="Verdana" w:cs="Arial"/>
          <w:spacing w:val="1"/>
          <w:sz w:val="12"/>
          <w:szCs w:val="12"/>
        </w:rPr>
        <w:t xml:space="preserve"> </w:t>
      </w:r>
      <w:r w:rsidRPr="00C95CD8">
        <w:rPr>
          <w:rFonts w:ascii="Verdana" w:hAnsi="Verdana" w:cs="Arial"/>
          <w:sz w:val="12"/>
          <w:szCs w:val="12"/>
        </w:rPr>
        <w:t>subasta</w:t>
      </w:r>
      <w:r w:rsidRPr="00C95CD8">
        <w:rPr>
          <w:rFonts w:ascii="Verdana" w:hAnsi="Verdana" w:cs="Arial"/>
          <w:spacing w:val="1"/>
          <w:sz w:val="12"/>
          <w:szCs w:val="12"/>
        </w:rPr>
        <w:t xml:space="preserve"> </w:t>
      </w:r>
      <w:r w:rsidRPr="00C95CD8">
        <w:rPr>
          <w:rFonts w:ascii="Verdana" w:hAnsi="Verdana" w:cs="Arial"/>
          <w:sz w:val="12"/>
          <w:szCs w:val="12"/>
        </w:rPr>
        <w:t>inversa</w:t>
      </w:r>
      <w:r w:rsidRPr="00C95CD8">
        <w:rPr>
          <w:rFonts w:ascii="Verdana" w:hAnsi="Verdana" w:cs="Arial"/>
          <w:spacing w:val="1"/>
          <w:sz w:val="12"/>
          <w:szCs w:val="12"/>
        </w:rPr>
        <w:t xml:space="preserve"> </w:t>
      </w:r>
      <w:r w:rsidRPr="00C95CD8">
        <w:rPr>
          <w:rFonts w:ascii="Verdana" w:hAnsi="Verdana" w:cs="Arial"/>
          <w:sz w:val="12"/>
          <w:szCs w:val="12"/>
        </w:rPr>
        <w:t>para</w:t>
      </w:r>
      <w:r w:rsidRPr="00C95CD8">
        <w:rPr>
          <w:rFonts w:ascii="Verdana" w:hAnsi="Verdana" w:cs="Arial"/>
          <w:spacing w:val="1"/>
          <w:sz w:val="12"/>
          <w:szCs w:val="12"/>
        </w:rPr>
        <w:t xml:space="preserve"> </w:t>
      </w:r>
      <w:r w:rsidRPr="00C95CD8">
        <w:rPr>
          <w:rFonts w:ascii="Verdana" w:hAnsi="Verdana" w:cs="Arial"/>
          <w:sz w:val="12"/>
          <w:szCs w:val="12"/>
        </w:rPr>
        <w:t>lograr</w:t>
      </w:r>
      <w:r w:rsidRPr="00C95CD8">
        <w:rPr>
          <w:rFonts w:ascii="Verdana" w:hAnsi="Verdana" w:cs="Arial"/>
          <w:spacing w:val="1"/>
          <w:sz w:val="12"/>
          <w:szCs w:val="12"/>
        </w:rPr>
        <w:t xml:space="preserve"> </w:t>
      </w:r>
      <w:r w:rsidRPr="00C95CD8">
        <w:rPr>
          <w:rFonts w:ascii="Verdana" w:hAnsi="Verdana" w:cs="Arial"/>
          <w:sz w:val="12"/>
          <w:szCs w:val="12"/>
        </w:rPr>
        <w:t>mayor</w:t>
      </w:r>
      <w:r w:rsidRPr="00C95CD8">
        <w:rPr>
          <w:rFonts w:ascii="Verdana" w:hAnsi="Verdana" w:cs="Arial"/>
          <w:spacing w:val="-50"/>
          <w:sz w:val="12"/>
          <w:szCs w:val="12"/>
        </w:rPr>
        <w:t xml:space="preserve"> </w:t>
      </w:r>
      <w:r w:rsidRPr="00C95CD8">
        <w:rPr>
          <w:rFonts w:ascii="Verdana" w:hAnsi="Verdana" w:cs="Arial"/>
          <w:sz w:val="12"/>
          <w:szCs w:val="12"/>
        </w:rPr>
        <w:t>eficiencia</w:t>
      </w:r>
      <w:r w:rsidRPr="00C95CD8">
        <w:rPr>
          <w:rFonts w:ascii="Verdana" w:hAnsi="Verdana" w:cs="Arial"/>
          <w:spacing w:val="-2"/>
          <w:sz w:val="12"/>
          <w:szCs w:val="12"/>
        </w:rPr>
        <w:t xml:space="preserve"> </w:t>
      </w:r>
      <w:r w:rsidRPr="00C95CD8">
        <w:rPr>
          <w:rFonts w:ascii="Verdana" w:hAnsi="Verdana" w:cs="Arial"/>
          <w:sz w:val="12"/>
          <w:szCs w:val="12"/>
        </w:rPr>
        <w:t>en</w:t>
      </w:r>
      <w:r w:rsidRPr="00C95CD8">
        <w:rPr>
          <w:rFonts w:ascii="Verdana" w:hAnsi="Verdana" w:cs="Arial"/>
          <w:spacing w:val="-1"/>
          <w:sz w:val="12"/>
          <w:szCs w:val="12"/>
        </w:rPr>
        <w:t xml:space="preserve"> </w:t>
      </w:r>
      <w:r w:rsidRPr="00C95CD8">
        <w:rPr>
          <w:rFonts w:ascii="Verdana" w:hAnsi="Verdana" w:cs="Arial"/>
          <w:sz w:val="12"/>
          <w:szCs w:val="12"/>
        </w:rPr>
        <w:t>sus</w:t>
      </w:r>
      <w:r w:rsidRPr="00C95CD8">
        <w:rPr>
          <w:rFonts w:ascii="Verdana" w:hAnsi="Verdana" w:cs="Arial"/>
          <w:spacing w:val="-1"/>
          <w:sz w:val="12"/>
          <w:szCs w:val="12"/>
        </w:rPr>
        <w:t xml:space="preserve"> </w:t>
      </w:r>
      <w:r w:rsidRPr="00C95CD8">
        <w:rPr>
          <w:rFonts w:ascii="Verdana" w:hAnsi="Verdana" w:cs="Arial"/>
          <w:sz w:val="12"/>
          <w:szCs w:val="12"/>
        </w:rPr>
        <w:t>adquisiciones”.</w:t>
      </w:r>
    </w:p>
    <w:p w:rsidRPr="00C95CD8" w:rsidR="00077445" w:rsidP="00077445" w:rsidRDefault="00077445" w14:paraId="713D0D9C" w14:textId="77777777">
      <w:pPr>
        <w:spacing w:after="0" w:line="240" w:lineRule="auto"/>
        <w:ind w:firstLine="708"/>
        <w:jc w:val="both"/>
        <w:rPr>
          <w:rFonts w:ascii="Verdana" w:hAnsi="Verdana" w:cs="Arial"/>
          <w:sz w:val="12"/>
          <w:szCs w:val="12"/>
        </w:rPr>
      </w:pPr>
    </w:p>
  </w:footnote>
  <w:footnote w:id="15">
    <w:p w:rsidRPr="00C95CD8" w:rsidR="00077445" w:rsidP="00077445" w:rsidRDefault="00077445" w14:paraId="4E40080A" w14:textId="77777777">
      <w:pPr>
        <w:pStyle w:val="NormalWeb"/>
        <w:shd w:val="clear" w:color="auto" w:fill="FFFFFF"/>
        <w:spacing w:before="0" w:beforeAutospacing="0" w:after="0" w:afterAutospacing="0"/>
        <w:ind w:firstLine="708"/>
        <w:jc w:val="both"/>
        <w:rPr>
          <w:rFonts w:ascii="Verdana" w:hAnsi="Verdana" w:cs="Arial"/>
          <w:color w:val="333333"/>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w:t>
      </w:r>
      <w:r w:rsidRPr="00C95CD8">
        <w:rPr>
          <w:rFonts w:ascii="Verdana" w:hAnsi="Verdana" w:cs="Arial"/>
          <w:color w:val="333333"/>
          <w:sz w:val="12"/>
          <w:szCs w:val="12"/>
        </w:rPr>
        <w:t>Artículo 11. </w:t>
      </w:r>
      <w:r w:rsidRPr="00C95CD8">
        <w:rPr>
          <w:rFonts w:ascii="Verdana" w:hAnsi="Verdana" w:cs="Arial"/>
          <w:i/>
          <w:iCs/>
          <w:color w:val="333333"/>
          <w:sz w:val="12"/>
          <w:szCs w:val="12"/>
        </w:rPr>
        <w:t>Fase de contratación</w:t>
      </w:r>
      <w:r w:rsidRPr="00C95CD8">
        <w:rPr>
          <w:rFonts w:ascii="Verdana" w:hAnsi="Verdana" w:cs="Arial"/>
          <w:color w:val="333333"/>
          <w:sz w:val="12"/>
          <w:szCs w:val="12"/>
        </w:rPr>
        <w:t>. Corresponde al período comprendido entre la sus</w:t>
      </w:r>
      <w:r w:rsidRPr="00C95CD8">
        <w:rPr>
          <w:rFonts w:ascii="Verdana" w:hAnsi="Verdana" w:cs="Arial"/>
          <w:color w:val="333333"/>
          <w:sz w:val="12"/>
          <w:szCs w:val="12"/>
        </w:rPr>
        <w:softHyphen/>
        <w:t>cripción del contrato y la publicación en el Secop, pasando por la obtención del registro presupuestal y la aprobación de las garantías si las hay.</w:t>
      </w:r>
    </w:p>
    <w:p w:rsidRPr="00C95CD8" w:rsidR="00077445" w:rsidP="00077445" w:rsidRDefault="00077445" w14:paraId="098156E8" w14:textId="77777777">
      <w:pPr>
        <w:shd w:val="clear" w:color="auto" w:fill="FFFFFF"/>
        <w:spacing w:after="0" w:line="240" w:lineRule="auto"/>
        <w:ind w:firstLine="708"/>
        <w:jc w:val="both"/>
        <w:rPr>
          <w:rFonts w:ascii="Verdana" w:hAnsi="Verdana" w:eastAsia="Times New Roman" w:cs="Arial"/>
          <w:color w:val="333333"/>
          <w:sz w:val="12"/>
          <w:szCs w:val="12"/>
          <w:lang w:eastAsia="es-CO"/>
        </w:rPr>
      </w:pPr>
      <w:r w:rsidRPr="00C95CD8">
        <w:rPr>
          <w:rFonts w:ascii="Verdana" w:hAnsi="Verdana" w:eastAsia="Times New Roman" w:cs="Arial"/>
          <w:color w:val="333333"/>
          <w:sz w:val="12"/>
          <w:szCs w:val="12"/>
          <w:lang w:eastAsia="es-CO"/>
        </w:rPr>
        <w:t>En el estatuto de contratación se deberán definir las garantías que deberá solicitar la Empresa Social del Estado de acuerdo con la modalidad, naturaleza, objeto, riesgos y cuantía del contrato, con ocasión de la presentación de las ofertas, los contratos y su liquidación y los riesgos a los que se encuentra expuesta la entidad.</w:t>
      </w:r>
    </w:p>
    <w:p w:rsidRPr="00C95CD8" w:rsidR="00077445" w:rsidP="00077445" w:rsidRDefault="00077445" w14:paraId="41EFABA4" w14:textId="77777777">
      <w:pPr>
        <w:shd w:val="clear" w:color="auto" w:fill="FFFFFF"/>
        <w:spacing w:after="0" w:line="240" w:lineRule="auto"/>
        <w:ind w:firstLine="708"/>
        <w:jc w:val="both"/>
        <w:rPr>
          <w:rFonts w:ascii="Verdana" w:hAnsi="Verdana" w:cs="Arial"/>
          <w:sz w:val="12"/>
          <w:szCs w:val="12"/>
        </w:rPr>
      </w:pPr>
    </w:p>
  </w:footnote>
  <w:footnote w:id="16">
    <w:p w:rsidRPr="00C95CD8" w:rsidR="00077445" w:rsidP="00077445" w:rsidRDefault="00077445" w14:paraId="2298969C" w14:textId="77777777">
      <w:pPr>
        <w:pStyle w:val="NormalWeb"/>
        <w:shd w:val="clear" w:color="auto" w:fill="FFFFFF"/>
        <w:spacing w:before="0" w:beforeAutospacing="0" w:after="0" w:afterAutospacing="0"/>
        <w:ind w:firstLine="708"/>
        <w:jc w:val="both"/>
        <w:rPr>
          <w:rFonts w:ascii="Verdana" w:hAnsi="Verdana" w:cs="Arial"/>
          <w:color w:val="333333"/>
          <w:sz w:val="12"/>
          <w:szCs w:val="12"/>
        </w:rPr>
      </w:pPr>
      <w:r w:rsidRPr="00C95CD8">
        <w:rPr>
          <w:rStyle w:val="Refdenotaalpie"/>
          <w:rFonts w:ascii="Verdana" w:hAnsi="Verdana" w:cs="Arial"/>
          <w:sz w:val="12"/>
          <w:szCs w:val="12"/>
        </w:rPr>
        <w:footnoteRef/>
      </w:r>
      <w:r w:rsidRPr="00C95CD8">
        <w:rPr>
          <w:rFonts w:ascii="Verdana" w:hAnsi="Verdana" w:cs="Arial"/>
          <w:sz w:val="12"/>
          <w:szCs w:val="12"/>
        </w:rPr>
        <w:t xml:space="preserve"> </w:t>
      </w:r>
      <w:r w:rsidRPr="00C95CD8">
        <w:rPr>
          <w:rFonts w:ascii="Verdana" w:hAnsi="Verdana" w:cs="Arial"/>
          <w:color w:val="333333"/>
          <w:sz w:val="12"/>
          <w:szCs w:val="12"/>
        </w:rPr>
        <w:t>Artículo 12. </w:t>
      </w:r>
      <w:r w:rsidRPr="00C95CD8">
        <w:rPr>
          <w:rFonts w:ascii="Verdana" w:hAnsi="Verdana" w:cs="Arial"/>
          <w:i/>
          <w:iCs/>
          <w:color w:val="333333"/>
          <w:sz w:val="12"/>
          <w:szCs w:val="12"/>
        </w:rPr>
        <w:t>Fase de ejecución. </w:t>
      </w:r>
      <w:r w:rsidRPr="00C95CD8">
        <w:rPr>
          <w:rFonts w:ascii="Verdana" w:hAnsi="Verdana" w:cs="Arial"/>
          <w:color w:val="333333"/>
          <w:sz w:val="12"/>
          <w:szCs w:val="12"/>
        </w:rPr>
        <w:t>Corresponde al período comprendido entre la legalización del contrato hasta su liquidación. El estatuto de contratación deberá regular las siguientes acciones:</w:t>
      </w:r>
    </w:p>
    <w:p w:rsidRPr="00C95CD8" w:rsidR="00077445" w:rsidP="00077445" w:rsidRDefault="00077445" w14:paraId="52D6A4F4" w14:textId="77777777">
      <w:pPr>
        <w:shd w:val="clear" w:color="auto" w:fill="FFFFFF"/>
        <w:spacing w:after="0" w:line="240" w:lineRule="auto"/>
        <w:ind w:firstLine="708"/>
        <w:jc w:val="both"/>
        <w:rPr>
          <w:rFonts w:ascii="Verdana" w:hAnsi="Verdana" w:eastAsia="Times New Roman" w:cs="Arial"/>
          <w:color w:val="333333"/>
          <w:sz w:val="12"/>
          <w:szCs w:val="12"/>
          <w:lang w:eastAsia="es-CO"/>
        </w:rPr>
      </w:pPr>
      <w:r w:rsidRPr="00C95CD8">
        <w:rPr>
          <w:rFonts w:ascii="Verdana" w:hAnsi="Verdana" w:eastAsia="Times New Roman" w:cs="Arial"/>
          <w:color w:val="333333"/>
          <w:sz w:val="12"/>
          <w:szCs w:val="12"/>
          <w:lang w:eastAsia="es-CO"/>
        </w:rPr>
        <w:t>12.1. La forma de designación de la persona responsable encargada de las labores de supervisión e interventoría del contrato y del seguimiento a la ejecución del mismo dentro de una correcta actividad gerencial y adecuados criterios de gestión.</w:t>
      </w:r>
    </w:p>
    <w:p w:rsidRPr="00C95CD8" w:rsidR="00077445" w:rsidP="00077445" w:rsidRDefault="00077445" w14:paraId="0F830D05" w14:textId="77777777">
      <w:pPr>
        <w:shd w:val="clear" w:color="auto" w:fill="FFFFFF"/>
        <w:spacing w:after="0" w:line="240" w:lineRule="auto"/>
        <w:ind w:firstLine="708"/>
        <w:jc w:val="both"/>
        <w:rPr>
          <w:rFonts w:ascii="Verdana" w:hAnsi="Verdana" w:eastAsia="Times New Roman" w:cs="Arial"/>
          <w:color w:val="333333"/>
          <w:sz w:val="12"/>
          <w:szCs w:val="12"/>
          <w:lang w:eastAsia="es-CO"/>
        </w:rPr>
      </w:pPr>
      <w:r w:rsidRPr="00C95CD8">
        <w:rPr>
          <w:rFonts w:ascii="Verdana" w:hAnsi="Verdana" w:eastAsia="Times New Roman" w:cs="Arial"/>
          <w:color w:val="333333"/>
          <w:sz w:val="12"/>
          <w:szCs w:val="12"/>
          <w:lang w:eastAsia="es-CO"/>
        </w:rPr>
        <w:t>12.2. Las alertas en materia de vencimiento del contrato en el marco de la planeación.</w:t>
      </w:r>
    </w:p>
    <w:p w:rsidRPr="00C95CD8" w:rsidR="00077445" w:rsidP="00077445" w:rsidRDefault="00077445" w14:paraId="31972D44" w14:textId="77777777">
      <w:pPr>
        <w:shd w:val="clear" w:color="auto" w:fill="FFFFFF"/>
        <w:spacing w:after="0" w:line="240" w:lineRule="auto"/>
        <w:ind w:firstLine="708"/>
        <w:jc w:val="both"/>
        <w:rPr>
          <w:rFonts w:ascii="Verdana" w:hAnsi="Verdana" w:eastAsia="Times New Roman" w:cs="Arial"/>
          <w:color w:val="333333"/>
          <w:sz w:val="12"/>
          <w:szCs w:val="12"/>
          <w:lang w:eastAsia="es-CO"/>
        </w:rPr>
      </w:pPr>
      <w:r w:rsidRPr="00C95CD8">
        <w:rPr>
          <w:rFonts w:ascii="Verdana" w:hAnsi="Verdana" w:eastAsia="Times New Roman" w:cs="Arial"/>
          <w:color w:val="333333"/>
          <w:sz w:val="12"/>
          <w:szCs w:val="12"/>
          <w:lang w:eastAsia="es-CO"/>
        </w:rPr>
        <w:t>12.3. La obligación de hacer efectivas las cláusulas excepcionales, en caso de haberlas pactado en los contratos, cuando haya lugar a ello, dentro del plazo del contrato.</w:t>
      </w:r>
    </w:p>
    <w:p w:rsidRPr="00C95CD8" w:rsidR="00077445" w:rsidP="00077445" w:rsidRDefault="00077445" w14:paraId="0FB0693D" w14:textId="77777777">
      <w:pPr>
        <w:shd w:val="clear" w:color="auto" w:fill="FFFFFF"/>
        <w:spacing w:after="0" w:line="240" w:lineRule="auto"/>
        <w:ind w:firstLine="708"/>
        <w:jc w:val="both"/>
        <w:rPr>
          <w:rFonts w:ascii="Verdana" w:hAnsi="Verdana" w:eastAsia="Times New Roman" w:cs="Arial"/>
          <w:color w:val="333333"/>
          <w:sz w:val="12"/>
          <w:szCs w:val="12"/>
          <w:lang w:eastAsia="es-CO"/>
        </w:rPr>
      </w:pPr>
      <w:r w:rsidRPr="00C95CD8">
        <w:rPr>
          <w:rFonts w:ascii="Verdana" w:hAnsi="Verdana" w:eastAsia="Times New Roman" w:cs="Arial"/>
          <w:color w:val="333333"/>
          <w:sz w:val="12"/>
          <w:szCs w:val="12"/>
          <w:lang w:eastAsia="es-CO"/>
        </w:rPr>
        <w:t>12.4. La necesidad de suscribir las actas de inicio del contrato, así como las prórrogas y adiciones si las hay, y las de suspensión del contrato en caso de presentarse dicha situación.</w:t>
      </w:r>
    </w:p>
    <w:p w:rsidRPr="00C95CD8" w:rsidR="00077445" w:rsidP="00077445" w:rsidRDefault="00077445" w14:paraId="7DC21356" w14:textId="77777777">
      <w:pPr>
        <w:shd w:val="clear" w:color="auto" w:fill="FFFFFF"/>
        <w:spacing w:after="0" w:line="240" w:lineRule="auto"/>
        <w:ind w:firstLine="708"/>
        <w:jc w:val="both"/>
        <w:rPr>
          <w:rFonts w:ascii="Verdana" w:hAnsi="Verdana" w:eastAsia="Times New Roman" w:cs="Arial"/>
          <w:color w:val="333333"/>
          <w:sz w:val="12"/>
          <w:szCs w:val="12"/>
          <w:lang w:eastAsia="es-CO"/>
        </w:rPr>
      </w:pPr>
      <w:r w:rsidRPr="00C95CD8">
        <w:rPr>
          <w:rFonts w:ascii="Verdana" w:hAnsi="Verdana" w:eastAsia="Times New Roman" w:cs="Arial"/>
          <w:color w:val="333333"/>
          <w:sz w:val="12"/>
          <w:szCs w:val="12"/>
          <w:lang w:eastAsia="es-CO"/>
        </w:rPr>
        <w:t>12.5. Las demás disposiciones por medio de las cuales se desarrolle la dirección general del contrato con el fin de garantizar su ejecución y las medidas para evitar su incumplimiento.</w:t>
      </w:r>
    </w:p>
    <w:p w:rsidRPr="00C95CD8" w:rsidR="00077445" w:rsidP="00077445" w:rsidRDefault="00077445" w14:paraId="196CC3B4" w14:textId="77777777">
      <w:pPr>
        <w:shd w:val="clear" w:color="auto" w:fill="FFFFFF"/>
        <w:spacing w:after="0" w:line="240" w:lineRule="auto"/>
        <w:ind w:firstLine="708"/>
        <w:jc w:val="both"/>
        <w:rPr>
          <w:rFonts w:ascii="Verdana" w:hAnsi="Verdana" w:cs="Arial"/>
          <w:sz w:val="12"/>
          <w:szCs w:val="12"/>
        </w:rPr>
      </w:pPr>
    </w:p>
  </w:footnote>
  <w:footnote w:id="17">
    <w:p w:rsidRPr="00C95CD8" w:rsidR="00077445" w:rsidP="00077445" w:rsidRDefault="00077445" w14:paraId="7C9C94CC" w14:textId="77777777">
      <w:pPr>
        <w:pStyle w:val="Textonotapie"/>
        <w:ind w:firstLine="708"/>
        <w:jc w:val="both"/>
        <w:rPr>
          <w:rFonts w:ascii="Verdana" w:hAnsi="Verdana" w:cs="Arial"/>
          <w:sz w:val="12"/>
          <w:szCs w:val="12"/>
          <w:lang w:val="es-CO" w:eastAsia="es-CO"/>
        </w:rPr>
      </w:pPr>
      <w:r w:rsidRPr="00C95CD8">
        <w:rPr>
          <w:rStyle w:val="Refdenotaalpie"/>
          <w:rFonts w:ascii="Verdana" w:hAnsi="Verdana" w:cs="Arial"/>
          <w:sz w:val="12"/>
          <w:szCs w:val="12"/>
        </w:rPr>
        <w:footnoteRef/>
      </w:r>
      <w:r w:rsidRPr="00C95CD8">
        <w:rPr>
          <w:rFonts w:ascii="Verdana" w:hAnsi="Verdana" w:cs="Arial"/>
          <w:sz w:val="12"/>
          <w:szCs w:val="12"/>
        </w:rPr>
        <w:t xml:space="preserve"> </w:t>
      </w:r>
      <w:r w:rsidRPr="00C95CD8">
        <w:rPr>
          <w:rFonts w:ascii="Verdana" w:hAnsi="Verdana" w:cs="Arial"/>
          <w:sz w:val="12"/>
          <w:szCs w:val="12"/>
          <w:lang w:val="es-CO" w:eastAsia="es-CO"/>
        </w:rPr>
        <w:t>Artículo 14. Publicación. Las Empresas Sociales del Estado están obligadas a publicar oportunamente su actividad contractual en el Secop.</w:t>
      </w:r>
    </w:p>
    <w:p w:rsidRPr="00C95CD8" w:rsidR="00077445" w:rsidP="00077445" w:rsidRDefault="00077445" w14:paraId="1E055018" w14:textId="77777777">
      <w:pPr>
        <w:pStyle w:val="Textonotapie"/>
        <w:ind w:firstLine="708"/>
        <w:jc w:val="both"/>
        <w:rPr>
          <w:rFonts w:ascii="Verdana" w:hAnsi="Verdana" w:cs="Arial"/>
          <w:sz w:val="12"/>
          <w:szCs w:val="12"/>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077445" w:rsidRDefault="00077445" w14:paraId="4CDE7778" w14:textId="77777777">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5B88FB8" wp14:editId="346E59FD">
          <wp:simplePos x="0" y="0"/>
          <wp:positionH relativeFrom="margin">
            <wp:align>center</wp:align>
          </wp:positionH>
          <wp:positionV relativeFrom="paragraph">
            <wp:posOffset>-345440</wp:posOffset>
          </wp:positionV>
          <wp:extent cx="1924050" cy="856004"/>
          <wp:effectExtent l="0" t="0" r="0" b="1270"/>
          <wp:wrapNone/>
          <wp:docPr id="1309089902" name="Imagen 1309089902"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87F1814" wp14:editId="0ECB709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077445" w:rsidRDefault="00077445" w14:paraId="0D9A0CC4" w14:textId="77777777">
    <w:pPr>
      <w:pStyle w:val="Encabezado"/>
    </w:pPr>
  </w:p>
  <w:p w:rsidR="00077445" w:rsidP="004A305D" w:rsidRDefault="00077445" w14:paraId="69E86A55" w14:textId="77777777">
    <w:pPr>
      <w:spacing w:after="0"/>
      <w:rPr>
        <w:rFonts w:ascii="Verdana" w:hAnsi="Verdana"/>
        <w:b/>
        <w:bCs/>
      </w:rPr>
    </w:pPr>
  </w:p>
  <w:p w:rsidRPr="004A305D" w:rsidR="00077445" w:rsidP="00B01B1A" w:rsidRDefault="00077445" w14:paraId="14442263" w14:textId="77777777">
    <w:pPr>
      <w:spacing w:after="0" w:line="120" w:lineRule="auto"/>
      <w:rPr>
        <w:rFonts w:ascii="Century Gothic" w:hAnsi="Century Gothic" w:eastAsia="Geo" w:cs="Geo"/>
        <w:sz w:val="16"/>
        <w:szCs w:val="16"/>
        <w:lang w:eastAsia="es-CO"/>
      </w:rPr>
    </w:pPr>
  </w:p>
  <w:p w:rsidR="00077445" w:rsidP="00061B2A" w:rsidRDefault="00077445" w14:paraId="14E7EBD6" w14:textId="77777777">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D726F5"/>
    <w:multiLevelType w:val="hybridMultilevel"/>
    <w:tmpl w:val="A77E2442"/>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num w:numId="1" w16cid:durableId="67908957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445"/>
    <w:rsid w:val="00077445"/>
    <w:rsid w:val="00173497"/>
    <w:rsid w:val="00274079"/>
    <w:rsid w:val="00957900"/>
    <w:rsid w:val="00AA03F5"/>
    <w:rsid w:val="084D0793"/>
    <w:rsid w:val="2FF8E66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802BE"/>
  <w15:chartTrackingRefBased/>
  <w15:docId w15:val="{B44B5005-2260-4048-9146-DC30EC3A223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77445"/>
    <w:rPr>
      <w:kern w:val="0"/>
      <w14:ligatures w14:val="none"/>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077445"/>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077445"/>
    <w:rPr>
      <w:kern w:val="0"/>
      <w14:ligatures w14:val="none"/>
    </w:rPr>
  </w:style>
  <w:style w:type="paragraph" w:styleId="Piedepgina">
    <w:name w:val="footer"/>
    <w:basedOn w:val="Normal"/>
    <w:link w:val="PiedepginaCar"/>
    <w:uiPriority w:val="99"/>
    <w:unhideWhenUsed/>
    <w:rsid w:val="00077445"/>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077445"/>
    <w:rPr>
      <w:kern w:val="0"/>
      <w14:ligatures w14:val="none"/>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7744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77445"/>
    <w:pPr>
      <w:spacing w:after="0" w:line="240" w:lineRule="auto"/>
    </w:pPr>
    <w:rPr>
      <w:kern w:val="2"/>
      <w:sz w:val="20"/>
      <w:szCs w:val="20"/>
      <w:lang w:val="es-MX"/>
      <w14:ligatures w14:val="standardContextual"/>
    </w:rPr>
  </w:style>
  <w:style w:type="character" w:styleId="TextonotapieCar1" w:customStyle="1">
    <w:name w:val="Texto nota pie Car1"/>
    <w:basedOn w:val="Fuentedeprrafopredeter"/>
    <w:uiPriority w:val="99"/>
    <w:semiHidden/>
    <w:rsid w:val="0007744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77445"/>
    <w:rPr>
      <w:vertAlign w:val="superscript"/>
    </w:rPr>
  </w:style>
  <w:style w:type="character" w:styleId="normaltextrun" w:customStyle="1">
    <w:name w:val="normaltextrun"/>
    <w:basedOn w:val="Fuentedeprrafopredeter"/>
    <w:rsid w:val="00077445"/>
  </w:style>
  <w:style w:type="table" w:styleId="Tablaconcuadrcula">
    <w:name w:val="Table Grid"/>
    <w:basedOn w:val="Tablanormal"/>
    <w:uiPriority w:val="39"/>
    <w:qFormat/>
    <w:rsid w:val="00077445"/>
    <w:pPr>
      <w:spacing w:after="0" w:line="240" w:lineRule="auto"/>
    </w:pPr>
    <w:rPr>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077445"/>
    <w:pPr>
      <w:ind w:left="720"/>
      <w:contextualSpacing/>
    </w:pPr>
    <w:rPr>
      <w:rFonts w:ascii="Geomanist Light" w:hAnsi="Geomanist Light"/>
      <w:lang w:val="es-ES"/>
    </w:rPr>
  </w:style>
  <w:style w:type="character" w:styleId="Hipervnculo">
    <w:name w:val="Hyperlink"/>
    <w:basedOn w:val="Fuentedeprrafopredeter"/>
    <w:uiPriority w:val="99"/>
    <w:unhideWhenUsed/>
    <w:rsid w:val="00077445"/>
    <w:rPr>
      <w:color w:val="0000FF"/>
      <w:u w:val="single"/>
    </w:rPr>
  </w:style>
  <w:style w:type="paragraph" w:styleId="paragraph" w:customStyle="1">
    <w:name w:val="paragraph"/>
    <w:basedOn w:val="Normal"/>
    <w:rsid w:val="0007744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eop" w:customStyle="1">
    <w:name w:val="eop"/>
    <w:basedOn w:val="Fuentedeprrafopredeter"/>
    <w:rsid w:val="00077445"/>
  </w:style>
  <w:style w:type="paragraph" w:styleId="NormalWeb">
    <w:name w:val="Normal (Web)"/>
    <w:basedOn w:val="Normal"/>
    <w:uiPriority w:val="99"/>
    <w:unhideWhenUsed/>
    <w:rsid w:val="00077445"/>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Appelnotedebasde" w:customStyle="1">
    <w:name w:val="Appel note de bas de..."/>
    <w:basedOn w:val="Normal"/>
    <w:link w:val="Refdenotaalpie"/>
    <w:uiPriority w:val="99"/>
    <w:rsid w:val="00077445"/>
    <w:pPr>
      <w:spacing w:line="240" w:lineRule="exact"/>
    </w:pPr>
    <w:rPr>
      <w:kern w:val="2"/>
      <w:vertAlign w:val="superscript"/>
      <w14:ligatures w14:val="standardContextual"/>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77445"/>
    <w:rPr>
      <w:rFonts w:ascii="Geomanist Light" w:hAnsi="Geomanist Light"/>
      <w:kern w:val="0"/>
      <w:lang w:val="es-ES"/>
      <w14:ligatures w14:val="none"/>
    </w:rPr>
  </w:style>
  <w:style w:type="paragraph" w:styleId="Textoindependiente">
    <w:name w:val="Body Text"/>
    <w:basedOn w:val="Normal"/>
    <w:link w:val="TextoindependienteCar"/>
    <w:uiPriority w:val="1"/>
    <w:unhideWhenUsed/>
    <w:rsid w:val="00077445"/>
    <w:pPr>
      <w:widowControl w:val="0"/>
      <w:autoSpaceDE w:val="0"/>
      <w:autoSpaceDN w:val="0"/>
    </w:pPr>
    <w:rPr>
      <w:rFonts w:ascii="Arial" w:hAnsi="Arial" w:eastAsia="Arial" w:cs="Arial"/>
      <w:lang w:val="es-ES"/>
    </w:rPr>
  </w:style>
  <w:style w:type="character" w:styleId="TextoindependienteCar" w:customStyle="1">
    <w:name w:val="Texto independiente Car"/>
    <w:basedOn w:val="Fuentedeprrafopredeter"/>
    <w:link w:val="Textoindependiente"/>
    <w:uiPriority w:val="1"/>
    <w:rsid w:val="00077445"/>
    <w:rPr>
      <w:rFonts w:ascii="Arial" w:hAnsi="Arial" w:eastAsia="Arial" w:cs="Arial"/>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juancamiloarevalo2@gmail.com" TargetMode="External" Id="rId8" /><Relationship Type="http://schemas.openxmlformats.org/officeDocument/2006/relationships/hyperlink" Target="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 TargetMode="External" Id="rId13" /><Relationship Type="http://schemas.openxmlformats.org/officeDocument/2006/relationships/theme" Target="theme/theme1.xml" Id="rId18" /><Relationship Type="http://schemas.openxmlformats.org/officeDocument/2006/relationships/settings" Target="settings.xml" Id="rId3" /><Relationship Type="http://schemas.openxmlformats.org/officeDocument/2006/relationships/customXml" Target="../customXml/item3.xml" Id="rId21" /><Relationship Type="http://schemas.openxmlformats.org/officeDocument/2006/relationships/image" Target="media/image1.png" Id="rId7" /><Relationship Type="http://schemas.openxmlformats.org/officeDocument/2006/relationships/hyperlink" Target="https://relatoria.colombiacompra.gov.co/" TargetMode="External" Id="rId12" /><Relationship Type="http://schemas.openxmlformats.org/officeDocument/2006/relationships/fontTable" Target="fontTable.xml" Id="rId17" /><Relationship Type="http://schemas.openxmlformats.org/officeDocument/2006/relationships/styles" Target="styles.xml" Id="rId2" /><Relationship Type="http://schemas.openxmlformats.org/officeDocument/2006/relationships/footer" Target="footer1.xml" Id="rId16" /><Relationship Type="http://schemas.openxmlformats.org/officeDocument/2006/relationships/customXml" Target="../customXml/item2.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www.colombiacompra.gov.co/archivos/manual/guia-para-entidades-estatales-con-regimen-especial-de-contratacion" TargetMode="External" Id="rId11" /><Relationship Type="http://schemas.openxmlformats.org/officeDocument/2006/relationships/footnotes" Target="footnotes.xml" Id="rId5" /><Relationship Type="http://schemas.openxmlformats.org/officeDocument/2006/relationships/header" Target="header1.xml" Id="rId15" /><Relationship Type="http://schemas.openxmlformats.org/officeDocument/2006/relationships/hyperlink" Target="about:blank" TargetMode="External" Id="rId10" /><Relationship Type="http://schemas.openxmlformats.org/officeDocument/2006/relationships/customXml" Target="../customXml/item1.xml" Id="rId19" /><Relationship Type="http://schemas.openxmlformats.org/officeDocument/2006/relationships/webSettings" Target="webSettings.xml" Id="rId4" /><Relationship Type="http://schemas.openxmlformats.org/officeDocument/2006/relationships/hyperlink" Target="about:blank" TargetMode="External" Id="rId9" /><Relationship Type="http://schemas.openxmlformats.org/officeDocument/2006/relationships/image" Target="media/image2.png" Id="rId14" /></Relationships>
</file>

<file path=word/_rels/footnotes.xml.rels><?xml version="1.0" encoding="UTF-8" standalone="yes"?>
<Relationships xmlns="http://schemas.openxmlformats.org/package/2006/relationships"><Relationship Id="rId1" Type="http://schemas.openxmlformats.org/officeDocument/2006/relationships/hyperlink" Target="https://www.minsalud.gov.co/Normatividad_Nuevo/Resoluci%C3%B3n%20No%201440%20de%20202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1E50BEA-363A-4654-B3B5-E517B2A094EB}"/>
</file>

<file path=customXml/itemProps2.xml><?xml version="1.0" encoding="utf-8"?>
<ds:datastoreItem xmlns:ds="http://schemas.openxmlformats.org/officeDocument/2006/customXml" ds:itemID="{6358EE70-F452-4114-B367-B3650C82BC8B}"/>
</file>

<file path=customXml/itemProps3.xml><?xml version="1.0" encoding="utf-8"?>
<ds:datastoreItem xmlns:ds="http://schemas.openxmlformats.org/officeDocument/2006/customXml" ds:itemID="{B4C29481-D8D1-4466-A506-44132DD49C9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5</cp:revision>
  <dcterms:created xsi:type="dcterms:W3CDTF">2025-08-19T05:10:00Z</dcterms:created>
  <dcterms:modified xsi:type="dcterms:W3CDTF">2025-10-07T00:30:50Z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