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90E7C" w14:textId="77777777" w:rsidR="00854D71" w:rsidRPr="009A3FB5" w:rsidRDefault="00854D71" w:rsidP="00854D71">
      <w:pPr>
        <w:spacing w:after="0"/>
        <w:jc w:val="both"/>
        <w:rPr>
          <w:rFonts w:ascii="Verdana" w:hAnsi="Verdana"/>
          <w:b/>
          <w:bCs/>
        </w:rPr>
      </w:pPr>
      <w:r w:rsidRPr="009A3FB5">
        <w:rPr>
          <w:rFonts w:ascii="Verdana" w:hAnsi="Verdana"/>
          <w:b/>
          <w:bCs/>
        </w:rPr>
        <w:t xml:space="preserve">ENTIDADES DE RÉGIMEN ESPECIAL – Procedimientos contractuales – DERECHO PRIVADO </w:t>
      </w:r>
    </w:p>
    <w:p w14:paraId="4FFD6830" w14:textId="77777777" w:rsidR="00854D71" w:rsidRPr="00C61891" w:rsidRDefault="00854D71" w:rsidP="00854D71">
      <w:pPr>
        <w:spacing w:after="0"/>
        <w:rPr>
          <w:rFonts w:ascii="Verdana" w:hAnsi="Verdana"/>
          <w:b/>
          <w:bCs/>
          <w:sz w:val="20"/>
          <w:szCs w:val="20"/>
        </w:rPr>
      </w:pPr>
    </w:p>
    <w:p w14:paraId="4792DBAB" w14:textId="77777777" w:rsidR="00854D71" w:rsidRPr="00C61891" w:rsidRDefault="00854D71" w:rsidP="00854D71">
      <w:pPr>
        <w:spacing w:after="0"/>
        <w:jc w:val="both"/>
        <w:rPr>
          <w:rFonts w:ascii="Verdana" w:hAnsi="Verdana"/>
          <w:sz w:val="20"/>
          <w:szCs w:val="20"/>
        </w:rPr>
      </w:pPr>
      <w:r w:rsidRPr="00C61891">
        <w:rPr>
          <w:rFonts w:ascii="Verdana" w:hAnsi="Verdana"/>
          <w:sz w:val="20"/>
          <w:szCs w:val="20"/>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68020DFA" w14:textId="77777777" w:rsidR="00854D71" w:rsidRPr="00C61891" w:rsidRDefault="00854D71" w:rsidP="00854D71">
      <w:pPr>
        <w:spacing w:after="0"/>
        <w:jc w:val="both"/>
        <w:rPr>
          <w:rFonts w:ascii="Verdana" w:hAnsi="Verdana"/>
          <w:sz w:val="20"/>
          <w:szCs w:val="20"/>
        </w:rPr>
      </w:pPr>
    </w:p>
    <w:p w14:paraId="31DF2E60" w14:textId="77777777" w:rsidR="00854D71" w:rsidRPr="009A3FB5" w:rsidRDefault="00854D71" w:rsidP="00854D71">
      <w:pPr>
        <w:spacing w:after="0"/>
        <w:jc w:val="both"/>
        <w:rPr>
          <w:rFonts w:ascii="Verdana" w:hAnsi="Verdana"/>
          <w:b/>
          <w:bCs/>
        </w:rPr>
      </w:pPr>
      <w:r w:rsidRPr="009A3FB5">
        <w:rPr>
          <w:rFonts w:ascii="Verdana" w:hAnsi="Verdana"/>
          <w:b/>
          <w:bCs/>
        </w:rPr>
        <w:t xml:space="preserve">ENTIDADES CON RÉGIMEN ESPECIAL – Aplicación de los principios de la función pública y control fiscal  </w:t>
      </w:r>
    </w:p>
    <w:p w14:paraId="5A02EAB2" w14:textId="77777777" w:rsidR="00854D71" w:rsidRPr="00C61891" w:rsidRDefault="00854D71" w:rsidP="00854D71">
      <w:pPr>
        <w:spacing w:after="0"/>
        <w:jc w:val="both"/>
        <w:rPr>
          <w:rFonts w:ascii="Verdana" w:hAnsi="Verdana"/>
          <w:sz w:val="20"/>
          <w:szCs w:val="20"/>
        </w:rPr>
      </w:pPr>
    </w:p>
    <w:p w14:paraId="3CF295FE" w14:textId="77777777" w:rsidR="00854D71" w:rsidRPr="00C61891" w:rsidRDefault="00854D71" w:rsidP="00854D71">
      <w:pPr>
        <w:spacing w:after="0"/>
        <w:jc w:val="both"/>
        <w:rPr>
          <w:rFonts w:ascii="Verdana" w:hAnsi="Verdana"/>
          <w:sz w:val="20"/>
          <w:szCs w:val="20"/>
        </w:rPr>
      </w:pPr>
      <w:r w:rsidRPr="00C61891">
        <w:rPr>
          <w:rFonts w:ascii="Verdana" w:hAnsi="Verdana"/>
          <w:sz w:val="20"/>
          <w:szCs w:val="20"/>
        </w:rPr>
        <w:t xml:space="preserve">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w:t>
      </w:r>
    </w:p>
    <w:p w14:paraId="4170F742" w14:textId="77777777" w:rsidR="00854D71" w:rsidRPr="00C61891" w:rsidRDefault="00854D71" w:rsidP="00854D71">
      <w:pPr>
        <w:spacing w:after="0"/>
        <w:jc w:val="both"/>
        <w:rPr>
          <w:rFonts w:ascii="Verdana" w:hAnsi="Verdana"/>
          <w:sz w:val="20"/>
          <w:szCs w:val="20"/>
        </w:rPr>
      </w:pPr>
    </w:p>
    <w:p w14:paraId="25CA6B7B" w14:textId="4F1FFA7B" w:rsidR="00854D71" w:rsidRPr="009A3FB5" w:rsidRDefault="00854D71" w:rsidP="00854D71">
      <w:pPr>
        <w:spacing w:after="0"/>
        <w:jc w:val="both"/>
        <w:rPr>
          <w:rFonts w:ascii="Verdana" w:hAnsi="Verdana"/>
          <w:b/>
          <w:bCs/>
        </w:rPr>
      </w:pPr>
      <w:r w:rsidRPr="009A3FB5">
        <w:rPr>
          <w:rFonts w:ascii="Verdana" w:hAnsi="Verdana"/>
          <w:b/>
          <w:bCs/>
        </w:rPr>
        <w:t xml:space="preserve">ENTIDADES CON RÉGIMEN ESPECIAL – Aplicación de las cláusulas excepcionales – CLÁUSULAS EXCEPCIONALES – Terminación del contrato o sanción </w:t>
      </w:r>
      <w:r w:rsidR="008B0B6F" w:rsidRPr="008B0B6F">
        <w:rPr>
          <w:rFonts w:ascii="Verdana" w:hAnsi="Verdana"/>
          <w:b/>
          <w:bCs/>
          <w:lang w:val="es-ES"/>
        </w:rPr>
        <w:t>–</w:t>
      </w:r>
      <w:r w:rsidRPr="009A3FB5">
        <w:rPr>
          <w:rFonts w:ascii="Verdana" w:hAnsi="Verdana"/>
          <w:b/>
          <w:bCs/>
        </w:rPr>
        <w:t xml:space="preserve"> Juez competente</w:t>
      </w:r>
    </w:p>
    <w:p w14:paraId="618A129E" w14:textId="77777777" w:rsidR="00854D71" w:rsidRPr="00C61891" w:rsidRDefault="00854D71" w:rsidP="00854D71">
      <w:pPr>
        <w:spacing w:after="0"/>
        <w:jc w:val="both"/>
        <w:rPr>
          <w:rFonts w:ascii="Verdana" w:hAnsi="Verdana"/>
          <w:sz w:val="20"/>
          <w:szCs w:val="20"/>
        </w:rPr>
      </w:pPr>
    </w:p>
    <w:p w14:paraId="08F91570" w14:textId="77777777" w:rsidR="00854D71" w:rsidRPr="00C61891" w:rsidRDefault="00854D71" w:rsidP="00854D71">
      <w:pPr>
        <w:spacing w:after="0"/>
        <w:jc w:val="both"/>
        <w:rPr>
          <w:rFonts w:ascii="Verdana" w:hAnsi="Verdana"/>
          <w:sz w:val="20"/>
          <w:szCs w:val="20"/>
        </w:rPr>
      </w:pPr>
      <w:r w:rsidRPr="00C61891">
        <w:rPr>
          <w:rFonts w:ascii="Verdana" w:hAnsi="Verdana"/>
          <w:sz w:val="20"/>
          <w:szCs w:val="20"/>
        </w:rPr>
        <w:t>En torno a la aplicabilidad de las cláusulas excepcionales, se debe tener en cuenta que éstas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debe acudir al juez competente.</w:t>
      </w:r>
    </w:p>
    <w:p w14:paraId="56B81B97" w14:textId="77777777" w:rsidR="00854D71" w:rsidRPr="00EA7EA8" w:rsidRDefault="00854D71" w:rsidP="00854D71">
      <w:pPr>
        <w:spacing w:after="0" w:line="240" w:lineRule="auto"/>
        <w:rPr>
          <w:rFonts w:ascii="Verdana" w:eastAsia="Geomanist Light" w:hAnsi="Verdana" w:cs="Arial"/>
          <w:lang w:val="es-MX"/>
        </w:rPr>
      </w:pPr>
    </w:p>
    <w:p w14:paraId="700748A5" w14:textId="77777777" w:rsidR="00854D71" w:rsidRDefault="00854D71" w:rsidP="00854D71">
      <w:pPr>
        <w:spacing w:after="0"/>
        <w:rPr>
          <w:rFonts w:ascii="Verdana" w:hAnsi="Verdana"/>
          <w:lang w:val="es-ES"/>
        </w:rPr>
      </w:pPr>
    </w:p>
    <w:p w14:paraId="627AC525" w14:textId="77777777" w:rsidR="00854D71" w:rsidRDefault="00854D71" w:rsidP="00854D71">
      <w:pPr>
        <w:spacing w:after="0"/>
        <w:rPr>
          <w:rFonts w:ascii="Verdana" w:hAnsi="Verdana"/>
          <w:lang w:val="es-ES"/>
        </w:rPr>
      </w:pPr>
    </w:p>
    <w:p w14:paraId="1AEA092A" w14:textId="77777777" w:rsidR="00854D71" w:rsidRDefault="00854D71" w:rsidP="00854D71">
      <w:pPr>
        <w:spacing w:after="0"/>
        <w:rPr>
          <w:rFonts w:ascii="Verdana" w:hAnsi="Verdana"/>
          <w:lang w:val="es-ES"/>
        </w:rPr>
      </w:pPr>
    </w:p>
    <w:p w14:paraId="1F6E593E" w14:textId="77777777" w:rsidR="00854D71" w:rsidRDefault="00854D71" w:rsidP="00854D71">
      <w:pPr>
        <w:spacing w:after="0"/>
        <w:rPr>
          <w:rFonts w:ascii="Verdana" w:hAnsi="Verdana"/>
          <w:lang w:val="es-ES"/>
        </w:rPr>
      </w:pPr>
    </w:p>
    <w:p w14:paraId="67624FDA" w14:textId="77777777" w:rsidR="00854D71" w:rsidRDefault="00854D71" w:rsidP="00854D71">
      <w:pPr>
        <w:spacing w:after="0"/>
        <w:rPr>
          <w:rFonts w:ascii="Verdana" w:hAnsi="Verdana"/>
          <w:lang w:val="es-ES"/>
        </w:rPr>
      </w:pPr>
    </w:p>
    <w:p w14:paraId="419E3E1B" w14:textId="77777777" w:rsidR="00854D71" w:rsidRDefault="00854D71" w:rsidP="00854D71">
      <w:pPr>
        <w:spacing w:after="0"/>
        <w:rPr>
          <w:rFonts w:ascii="Verdana" w:hAnsi="Verdana"/>
          <w:lang w:val="es-ES"/>
        </w:rPr>
      </w:pPr>
    </w:p>
    <w:p w14:paraId="6EC15877" w14:textId="77777777" w:rsidR="00854D71" w:rsidRDefault="00854D71" w:rsidP="00854D71">
      <w:pPr>
        <w:spacing w:after="0"/>
        <w:rPr>
          <w:rFonts w:ascii="Verdana" w:hAnsi="Verdana"/>
          <w:lang w:val="es-ES"/>
        </w:rPr>
      </w:pPr>
    </w:p>
    <w:p w14:paraId="0A6BB216" w14:textId="77777777" w:rsidR="00854D71" w:rsidRDefault="00854D71" w:rsidP="00854D71">
      <w:pPr>
        <w:spacing w:after="0"/>
        <w:rPr>
          <w:rFonts w:ascii="Verdana" w:hAnsi="Verdana"/>
          <w:lang w:val="es-ES"/>
        </w:rPr>
      </w:pPr>
    </w:p>
    <w:p w14:paraId="609BBC59" w14:textId="77777777" w:rsidR="00854D71" w:rsidRDefault="00854D71" w:rsidP="00854D71">
      <w:pPr>
        <w:spacing w:after="0"/>
        <w:rPr>
          <w:rFonts w:ascii="Verdana" w:hAnsi="Verdana"/>
          <w:lang w:val="es-ES"/>
        </w:rPr>
      </w:pPr>
    </w:p>
    <w:p w14:paraId="519591AD" w14:textId="77777777" w:rsidR="00854D71" w:rsidRDefault="00854D71" w:rsidP="00854D71">
      <w:pPr>
        <w:spacing w:after="0"/>
        <w:rPr>
          <w:rFonts w:ascii="Verdana" w:hAnsi="Verdana"/>
          <w:lang w:val="es-ES"/>
        </w:rPr>
      </w:pPr>
    </w:p>
    <w:p w14:paraId="72027089" w14:textId="77777777" w:rsidR="00854D71" w:rsidRDefault="00854D71" w:rsidP="00854D71">
      <w:pPr>
        <w:spacing w:after="0"/>
        <w:rPr>
          <w:rFonts w:ascii="Verdana" w:hAnsi="Verdana"/>
          <w:lang w:val="es-ES"/>
        </w:rPr>
      </w:pPr>
    </w:p>
    <w:p w14:paraId="62A43E0A" w14:textId="77777777" w:rsidR="00854D71" w:rsidRDefault="00854D71" w:rsidP="00854D71">
      <w:pPr>
        <w:spacing w:after="0"/>
        <w:rPr>
          <w:rFonts w:ascii="Verdana" w:hAnsi="Verdana"/>
          <w:lang w:val="es-ES"/>
        </w:rPr>
      </w:pPr>
    </w:p>
    <w:p w14:paraId="51ECF2A7" w14:textId="72157314" w:rsidR="00854D71" w:rsidRPr="00EA7EA8" w:rsidRDefault="00854D71" w:rsidP="00854D71">
      <w:pPr>
        <w:spacing w:after="0" w:line="240" w:lineRule="auto"/>
        <w:rPr>
          <w:rFonts w:ascii="Verdana" w:eastAsia="Geomanist Light" w:hAnsi="Verdana" w:cs="Arial"/>
          <w:lang w:val="es-MX"/>
        </w:rPr>
      </w:pPr>
      <w:r w:rsidRPr="00EA7EA8">
        <w:rPr>
          <w:rFonts w:ascii="Verdana" w:eastAsia="Geomanist Light" w:hAnsi="Verdana" w:cs="Arial"/>
          <w:lang w:val="es-MX"/>
        </w:rPr>
        <w:t>Bogotá D.C., [Día] de [</w:t>
      </w:r>
      <w:proofErr w:type="spellStart"/>
      <w:r w:rsidRPr="00EA7EA8">
        <w:rPr>
          <w:rFonts w:ascii="Verdana" w:eastAsia="Geomanist Light" w:hAnsi="Verdana" w:cs="Arial"/>
          <w:lang w:val="es-MX"/>
        </w:rPr>
        <w:t>Mes.NombreCapitalizado</w:t>
      </w:r>
      <w:proofErr w:type="spellEnd"/>
      <w:r w:rsidRPr="00EA7EA8">
        <w:rPr>
          <w:rFonts w:ascii="Verdana" w:eastAsia="Geomanist Light" w:hAnsi="Verdana" w:cs="Arial"/>
          <w:lang w:val="es-MX"/>
        </w:rPr>
        <w:t>] de [Año]</w:t>
      </w:r>
    </w:p>
    <w:p w14:paraId="0A25D586" w14:textId="5378FB96" w:rsidR="00854D71" w:rsidRPr="00EA7EA8" w:rsidRDefault="0073290E" w:rsidP="00854D71">
      <w:pPr>
        <w:spacing w:after="0" w:line="240" w:lineRule="auto"/>
        <w:jc w:val="both"/>
        <w:rPr>
          <w:rFonts w:ascii="Verdana" w:eastAsia="Calibri" w:hAnsi="Verdana" w:cs="Arial"/>
          <w:lang w:val="es-ES"/>
        </w:rPr>
      </w:pPr>
      <w:r w:rsidRPr="007C71FC">
        <w:rPr>
          <w:rFonts w:ascii="Verdana" w:eastAsia="Calibri" w:hAnsi="Verdana" w:cs="Arial"/>
          <w:noProof/>
          <w:lang w:val="es-ES" w:eastAsia="es-ES"/>
        </w:rPr>
        <w:drawing>
          <wp:anchor distT="0" distB="0" distL="114300" distR="114300" simplePos="0" relativeHeight="251657216" behindDoc="1" locked="0" layoutInCell="1" allowOverlap="1" wp14:anchorId="626E2B81" wp14:editId="23F8F250">
            <wp:simplePos x="0" y="0"/>
            <wp:positionH relativeFrom="margin">
              <wp:posOffset>2847340</wp:posOffset>
            </wp:positionH>
            <wp:positionV relativeFrom="paragraph">
              <wp:posOffset>57785</wp:posOffset>
            </wp:positionV>
            <wp:extent cx="2759075" cy="1004570"/>
            <wp:effectExtent l="0" t="0" r="3175" b="5080"/>
            <wp:wrapSquare wrapText="bothSides"/>
            <wp:docPr id="1595345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34576" name=""/>
                    <pic:cNvPicPr/>
                  </pic:nvPicPr>
                  <pic:blipFill>
                    <a:blip r:embed="rId10">
                      <a:extLst>
                        <a:ext uri="{28A0092B-C50C-407E-A947-70E740481C1C}">
                          <a14:useLocalDpi xmlns:a14="http://schemas.microsoft.com/office/drawing/2010/main" val="0"/>
                        </a:ext>
                      </a:extLst>
                    </a:blip>
                    <a:stretch>
                      <a:fillRect/>
                    </a:stretch>
                  </pic:blipFill>
                  <pic:spPr>
                    <a:xfrm>
                      <a:off x="0" y="0"/>
                      <a:ext cx="2759075" cy="1004570"/>
                    </a:xfrm>
                    <a:prstGeom prst="rect">
                      <a:avLst/>
                    </a:prstGeom>
                  </pic:spPr>
                </pic:pic>
              </a:graphicData>
            </a:graphic>
            <wp14:sizeRelH relativeFrom="page">
              <wp14:pctWidth>0</wp14:pctWidth>
            </wp14:sizeRelH>
            <wp14:sizeRelV relativeFrom="page">
              <wp14:pctHeight>0</wp14:pctHeight>
            </wp14:sizeRelV>
          </wp:anchor>
        </w:drawing>
      </w:r>
    </w:p>
    <w:p w14:paraId="687D3BE3" w14:textId="3203B664" w:rsidR="00854D71" w:rsidRDefault="00854D71" w:rsidP="00854D71">
      <w:pPr>
        <w:spacing w:after="0" w:line="240" w:lineRule="auto"/>
        <w:jc w:val="both"/>
        <w:rPr>
          <w:rFonts w:ascii="Verdana" w:eastAsia="Calibri" w:hAnsi="Verdana" w:cs="Arial"/>
          <w:lang w:val="es-ES" w:eastAsia="es-ES"/>
        </w:rPr>
      </w:pPr>
      <w:r w:rsidRPr="00EA7EA8">
        <w:rPr>
          <w:rFonts w:ascii="Verdana" w:eastAsia="Calibri" w:hAnsi="Verdana" w:cs="Arial"/>
          <w:lang w:val="es-ES" w:eastAsia="es-ES"/>
        </w:rPr>
        <w:t>Señor</w:t>
      </w:r>
    </w:p>
    <w:p w14:paraId="276F54E0" w14:textId="71B7B81A" w:rsidR="00854D71" w:rsidRDefault="00854D71" w:rsidP="00854D71">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 xml:space="preserve">David Ospina </w:t>
      </w:r>
      <w:proofErr w:type="spellStart"/>
      <w:r>
        <w:rPr>
          <w:rFonts w:ascii="Verdana" w:eastAsia="Calibri" w:hAnsi="Verdana" w:cs="Arial"/>
          <w:b/>
          <w:bCs/>
          <w:lang w:val="es-ES" w:eastAsia="es-ES"/>
        </w:rPr>
        <w:t>Ospina</w:t>
      </w:r>
      <w:proofErr w:type="spellEnd"/>
    </w:p>
    <w:p w14:paraId="7517CDF1" w14:textId="77777777" w:rsidR="00854D71" w:rsidRPr="009B7998" w:rsidRDefault="00854D71" w:rsidP="00854D71">
      <w:pPr>
        <w:spacing w:after="0" w:line="240" w:lineRule="auto"/>
        <w:jc w:val="both"/>
        <w:rPr>
          <w:rFonts w:ascii="Verdana" w:eastAsia="Calibri" w:hAnsi="Verdana" w:cs="Arial"/>
          <w:lang w:val="es-ES" w:eastAsia="es-ES"/>
        </w:rPr>
      </w:pPr>
      <w:r>
        <w:rPr>
          <w:rFonts w:ascii="Verdana" w:eastAsia="Calibri" w:hAnsi="Verdana" w:cs="Arial"/>
          <w:lang w:val="es-ES" w:eastAsia="es-ES"/>
        </w:rPr>
        <w:t>Davidaloh91@gmail.com</w:t>
      </w:r>
    </w:p>
    <w:p w14:paraId="2D449C13" w14:textId="52FE1F80" w:rsidR="00854D71" w:rsidRPr="00EA7EA8" w:rsidRDefault="00854D71" w:rsidP="00854D71">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Medellín, Antioquia. </w:t>
      </w:r>
    </w:p>
    <w:p w14:paraId="3C2452C1" w14:textId="77777777" w:rsidR="00854D71" w:rsidRPr="00EA7EA8" w:rsidRDefault="00854D71" w:rsidP="00854D71">
      <w:pPr>
        <w:spacing w:after="0" w:line="240" w:lineRule="auto"/>
        <w:rPr>
          <w:rFonts w:ascii="Verdana" w:eastAsia="Calibri" w:hAnsi="Verdana" w:cs="Arial"/>
          <w:b/>
          <w:bCs/>
          <w:lang w:val="es-ES_tradnl" w:eastAsia="es-ES_tradnl"/>
        </w:rPr>
      </w:pPr>
    </w:p>
    <w:p w14:paraId="58878563" w14:textId="77777777" w:rsidR="00854D71" w:rsidRPr="00EA7EA8" w:rsidRDefault="00854D71" w:rsidP="00854D7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54D71" w:rsidRPr="00EA7EA8" w14:paraId="23D561E0" w14:textId="77777777" w:rsidTr="00854D71">
        <w:trPr>
          <w:trHeight w:val="190"/>
        </w:trPr>
        <w:tc>
          <w:tcPr>
            <w:tcW w:w="2689" w:type="dxa"/>
          </w:tcPr>
          <w:p w14:paraId="6215078C" w14:textId="77777777" w:rsidR="00854D71" w:rsidRPr="00EA7EA8" w:rsidRDefault="00854D71" w:rsidP="00854D71">
            <w:pPr>
              <w:jc w:val="both"/>
              <w:rPr>
                <w:rFonts w:ascii="Verdana" w:eastAsia="Calibri" w:hAnsi="Verdana" w:cs="Arial"/>
                <w:b/>
                <w:bCs/>
                <w:lang w:val="es-ES_tradnl" w:eastAsia="es-ES_tradnl"/>
              </w:rPr>
            </w:pPr>
          </w:p>
        </w:tc>
        <w:tc>
          <w:tcPr>
            <w:tcW w:w="6100" w:type="dxa"/>
          </w:tcPr>
          <w:p w14:paraId="5BCF64DE" w14:textId="2F9CBB1E" w:rsidR="00854D71" w:rsidRPr="00780323" w:rsidRDefault="00854D71" w:rsidP="00854D71">
            <w:pPr>
              <w:jc w:val="both"/>
              <w:rPr>
                <w:rFonts w:ascii="Verdana" w:eastAsia="Calibri" w:hAnsi="Verdana" w:cs="Arial"/>
                <w:b/>
                <w:bCs/>
                <w:lang w:val="es-ES" w:eastAsia="es-ES"/>
              </w:rPr>
            </w:pPr>
            <w:r w:rsidRPr="00EA7EA8">
              <w:rPr>
                <w:rFonts w:ascii="Verdana" w:eastAsia="Calibri" w:hAnsi="Verdana" w:cs="Arial"/>
                <w:b/>
                <w:bCs/>
                <w:lang w:val="es-ES" w:eastAsia="es-ES"/>
              </w:rPr>
              <w:t xml:space="preserve">Concepto C- </w:t>
            </w:r>
            <w:r>
              <w:rPr>
                <w:rFonts w:ascii="Verdana" w:eastAsia="Calibri" w:hAnsi="Verdana" w:cs="Arial"/>
                <w:b/>
                <w:bCs/>
                <w:lang w:val="es-ES" w:eastAsia="es-ES"/>
              </w:rPr>
              <w:t>9</w:t>
            </w:r>
            <w:r w:rsidR="00EF2E98">
              <w:rPr>
                <w:rFonts w:ascii="Verdana" w:eastAsia="Calibri" w:hAnsi="Verdana" w:cs="Arial"/>
                <w:b/>
                <w:bCs/>
                <w:lang w:val="es-ES" w:eastAsia="es-ES"/>
              </w:rPr>
              <w:t>9</w:t>
            </w:r>
            <w:r>
              <w:rPr>
                <w:rFonts w:ascii="Verdana" w:eastAsia="Calibri" w:hAnsi="Verdana" w:cs="Arial"/>
                <w:b/>
                <w:bCs/>
                <w:lang w:val="es-ES" w:eastAsia="es-ES"/>
              </w:rPr>
              <w:t xml:space="preserve">7 </w:t>
            </w:r>
            <w:r w:rsidRPr="00EA7EA8">
              <w:rPr>
                <w:rFonts w:ascii="Verdana" w:eastAsia="Calibri" w:hAnsi="Verdana" w:cs="Arial"/>
                <w:b/>
                <w:bCs/>
                <w:lang w:val="es-ES" w:eastAsia="es-ES"/>
              </w:rPr>
              <w:t>de 202</w:t>
            </w:r>
            <w:r>
              <w:rPr>
                <w:rFonts w:ascii="Verdana" w:eastAsia="Calibri" w:hAnsi="Verdana" w:cs="Arial"/>
                <w:b/>
                <w:bCs/>
                <w:lang w:val="es-ES" w:eastAsia="es-ES"/>
              </w:rPr>
              <w:t>5</w:t>
            </w:r>
          </w:p>
          <w:p w14:paraId="3E5D7EC7" w14:textId="77777777" w:rsidR="00854D71" w:rsidRPr="00EA7EA8" w:rsidRDefault="00854D71" w:rsidP="00854D71">
            <w:pPr>
              <w:jc w:val="both"/>
              <w:rPr>
                <w:rFonts w:ascii="Verdana" w:eastAsia="Calibri" w:hAnsi="Verdana" w:cs="Arial"/>
                <w:b/>
                <w:bCs/>
                <w:lang w:val="es-ES" w:eastAsia="es-ES"/>
              </w:rPr>
            </w:pPr>
          </w:p>
        </w:tc>
      </w:tr>
      <w:tr w:rsidR="00854D71" w:rsidRPr="00EA7EA8" w14:paraId="296B9B63" w14:textId="77777777" w:rsidTr="00854D71">
        <w:trPr>
          <w:trHeight w:val="884"/>
        </w:trPr>
        <w:tc>
          <w:tcPr>
            <w:tcW w:w="2689" w:type="dxa"/>
          </w:tcPr>
          <w:p w14:paraId="4C189016" w14:textId="77777777" w:rsidR="00854D71" w:rsidRPr="00740B33" w:rsidRDefault="00854D71" w:rsidP="00854D71">
            <w:pPr>
              <w:jc w:val="both"/>
              <w:rPr>
                <w:rFonts w:ascii="Verdana" w:eastAsia="Calibri" w:hAnsi="Verdana" w:cs="Arial"/>
                <w:lang w:val="es-ES_tradnl" w:eastAsia="es-ES_tradnl"/>
              </w:rPr>
            </w:pPr>
            <w:r w:rsidRPr="00740B33">
              <w:rPr>
                <w:rFonts w:ascii="Verdana" w:eastAsia="Calibri" w:hAnsi="Verdana" w:cs="Arial"/>
                <w:b/>
                <w:lang w:val="es-ES_tradnl" w:eastAsia="es-ES_tradnl"/>
              </w:rPr>
              <w:t>Temas:</w:t>
            </w:r>
            <w:r w:rsidRPr="00740B33">
              <w:rPr>
                <w:rFonts w:ascii="Verdana" w:eastAsia="Calibri" w:hAnsi="Verdana" w:cs="Arial"/>
                <w:lang w:val="es-ES_tradnl" w:eastAsia="es-ES_tradnl"/>
              </w:rPr>
              <w:t xml:space="preserve">                   </w:t>
            </w:r>
          </w:p>
        </w:tc>
        <w:tc>
          <w:tcPr>
            <w:tcW w:w="6100" w:type="dxa"/>
          </w:tcPr>
          <w:p w14:paraId="28D90A44" w14:textId="51702900" w:rsidR="00854D71" w:rsidRPr="00740B33" w:rsidRDefault="00854D71" w:rsidP="00854D71">
            <w:pPr>
              <w:jc w:val="both"/>
              <w:rPr>
                <w:rFonts w:ascii="Verdana" w:eastAsia="Calibri" w:hAnsi="Verdana" w:cs="Arial"/>
                <w:lang w:val="es-ES" w:eastAsia="es-ES"/>
              </w:rPr>
            </w:pPr>
            <w:r w:rsidRPr="008C27ED">
              <w:rPr>
                <w:rFonts w:ascii="Verdana" w:eastAsia="Calibri" w:hAnsi="Verdana" w:cs="Arial"/>
                <w:lang w:val="es-ES" w:eastAsia="es-ES"/>
              </w:rPr>
              <w:t>ENTIDADES DE RÉGIMEN ESPECIAL – Procedimientos contractuales – DERECHO PRIVADO</w:t>
            </w:r>
            <w:r>
              <w:rPr>
                <w:rFonts w:ascii="Verdana" w:eastAsia="Calibri" w:hAnsi="Verdana" w:cs="Arial"/>
                <w:lang w:val="es-ES" w:eastAsia="es-ES"/>
              </w:rPr>
              <w:t>/</w:t>
            </w:r>
            <w:r>
              <w:t xml:space="preserve"> </w:t>
            </w:r>
            <w:r w:rsidRPr="008C27ED">
              <w:rPr>
                <w:rFonts w:ascii="Verdana" w:eastAsia="Calibri" w:hAnsi="Verdana" w:cs="Arial"/>
                <w:lang w:val="es-ES" w:eastAsia="es-ES"/>
              </w:rPr>
              <w:t xml:space="preserve">ENTIDADES CON RÉGIMEN ESPECIAL – Aplicación de los principios de la función pública y control fiscal </w:t>
            </w:r>
            <w:r>
              <w:rPr>
                <w:rFonts w:ascii="Verdana" w:eastAsia="Calibri" w:hAnsi="Verdana" w:cs="Arial"/>
                <w:lang w:val="es-ES" w:eastAsia="es-ES"/>
              </w:rPr>
              <w:t>/</w:t>
            </w:r>
            <w:r>
              <w:t xml:space="preserve"> </w:t>
            </w:r>
            <w:r w:rsidRPr="008C27ED">
              <w:rPr>
                <w:rFonts w:ascii="Verdana" w:eastAsia="Calibri" w:hAnsi="Verdana" w:cs="Arial"/>
                <w:lang w:val="es-ES" w:eastAsia="es-ES"/>
              </w:rPr>
              <w:t>ENTIDADES CON RÉGIMEN ESPECIAL – Aplicación de las cláusulas excepcionales – CLÁUSULAS EXCEPCIONALES – Terminación del contrato o sanción - Juez competente</w:t>
            </w:r>
          </w:p>
        </w:tc>
      </w:tr>
      <w:tr w:rsidR="00854D71" w:rsidRPr="00EA7EA8" w14:paraId="0B6173E3" w14:textId="77777777" w:rsidTr="00854D71">
        <w:tc>
          <w:tcPr>
            <w:tcW w:w="2689" w:type="dxa"/>
          </w:tcPr>
          <w:p w14:paraId="2034DFC9" w14:textId="77777777" w:rsidR="00854D71" w:rsidRPr="00EA7EA8" w:rsidRDefault="00854D71" w:rsidP="00854D71">
            <w:pPr>
              <w:jc w:val="both"/>
              <w:rPr>
                <w:rFonts w:ascii="Verdana" w:eastAsia="Calibri" w:hAnsi="Verdana" w:cs="Arial"/>
                <w:b/>
                <w:lang w:val="es-ES_tradnl" w:eastAsia="es-ES_tradnl"/>
              </w:rPr>
            </w:pPr>
            <w:r w:rsidRPr="00EA7EA8">
              <w:rPr>
                <w:rFonts w:ascii="Verdana" w:eastAsia="Calibri" w:hAnsi="Verdana" w:cs="Arial"/>
                <w:b/>
                <w:lang w:val="es-ES_tradnl" w:eastAsia="es-ES_tradnl"/>
              </w:rPr>
              <w:t>Radicación:</w:t>
            </w:r>
            <w:r w:rsidRPr="00EA7EA8">
              <w:rPr>
                <w:rFonts w:ascii="Verdana" w:eastAsia="Calibri" w:hAnsi="Verdana" w:cs="Arial"/>
                <w:lang w:val="es-ES_tradnl" w:eastAsia="es-ES_tradnl"/>
              </w:rPr>
              <w:t xml:space="preserve">               </w:t>
            </w:r>
          </w:p>
        </w:tc>
        <w:tc>
          <w:tcPr>
            <w:tcW w:w="6100" w:type="dxa"/>
          </w:tcPr>
          <w:p w14:paraId="2779EC0D" w14:textId="77777777" w:rsidR="00854D71" w:rsidRPr="00EA7EA8" w:rsidRDefault="00854D71" w:rsidP="00854D71">
            <w:pPr>
              <w:jc w:val="both"/>
              <w:rPr>
                <w:rFonts w:ascii="Verdana" w:eastAsia="Calibri" w:hAnsi="Verdana" w:cs="Arial"/>
                <w:lang w:val="es-ES_tradnl" w:eastAsia="es-ES_tradnl"/>
              </w:rPr>
            </w:pPr>
            <w:r w:rsidRPr="00EA7EA8">
              <w:rPr>
                <w:rFonts w:ascii="Verdana" w:eastAsia="Calibri" w:hAnsi="Verdana" w:cs="Arial"/>
                <w:lang w:val="es-ES_tradnl" w:eastAsia="es-ES_tradnl"/>
              </w:rPr>
              <w:t xml:space="preserve">Respuesta a consulta con radicado </w:t>
            </w:r>
            <w:r w:rsidRPr="00780323">
              <w:rPr>
                <w:rFonts w:ascii="Verdana" w:eastAsia="Calibri" w:hAnsi="Verdana" w:cs="Arial"/>
                <w:lang w:val="es-ES_tradnl" w:eastAsia="es-ES_tradnl"/>
              </w:rPr>
              <w:t xml:space="preserve">No. </w:t>
            </w:r>
            <w:r w:rsidRPr="00484652">
              <w:rPr>
                <w:rFonts w:ascii="Verdana" w:eastAsia="Calibri" w:hAnsi="Verdana" w:cs="Arial"/>
                <w:lang w:eastAsia="es-ES_tradnl"/>
              </w:rPr>
              <w:t>1_2025_07_22_007503</w:t>
            </w:r>
          </w:p>
        </w:tc>
      </w:tr>
    </w:tbl>
    <w:p w14:paraId="34A771AE" w14:textId="77777777" w:rsidR="00854D71" w:rsidRPr="00EA7EA8" w:rsidRDefault="00854D71" w:rsidP="00854D71">
      <w:pPr>
        <w:spacing w:after="0" w:line="276" w:lineRule="auto"/>
        <w:jc w:val="both"/>
        <w:rPr>
          <w:rFonts w:ascii="Verdana" w:eastAsia="Calibri" w:hAnsi="Verdana" w:cs="Arial"/>
          <w:lang w:val="es-ES_tradnl" w:eastAsia="es-ES_tradnl"/>
        </w:rPr>
      </w:pPr>
    </w:p>
    <w:p w14:paraId="16C0EC1E" w14:textId="77777777" w:rsidR="00854D71" w:rsidRPr="00EA7EA8" w:rsidRDefault="00854D71" w:rsidP="00854D71">
      <w:pPr>
        <w:spacing w:after="0" w:line="276" w:lineRule="auto"/>
        <w:jc w:val="both"/>
        <w:rPr>
          <w:rFonts w:ascii="Verdana" w:eastAsia="Calibri" w:hAnsi="Verdana" w:cs="Arial"/>
          <w:lang w:val="es-ES_tradnl" w:eastAsia="es-ES_tradnl"/>
        </w:rPr>
      </w:pPr>
    </w:p>
    <w:p w14:paraId="022EEE74" w14:textId="77777777" w:rsidR="00854D71" w:rsidRPr="00EA7EA8" w:rsidRDefault="00854D71" w:rsidP="00854D71">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 xml:space="preserve">Estimado señor </w:t>
      </w:r>
      <w:r>
        <w:rPr>
          <w:rFonts w:ascii="Verdana" w:eastAsia="Calibri" w:hAnsi="Verdana" w:cs="Arial"/>
          <w:lang w:val="es-ES" w:eastAsia="es-ES"/>
        </w:rPr>
        <w:t>Ospina</w:t>
      </w:r>
      <w:r w:rsidRPr="00EA7EA8">
        <w:rPr>
          <w:rFonts w:ascii="Verdana" w:eastAsia="Calibri" w:hAnsi="Verdana" w:cs="Arial"/>
          <w:lang w:val="es-ES" w:eastAsia="es-ES"/>
        </w:rPr>
        <w:t xml:space="preserve">: </w:t>
      </w:r>
    </w:p>
    <w:p w14:paraId="5D7E8A6B" w14:textId="77777777" w:rsidR="00854D71" w:rsidRPr="00EA7EA8" w:rsidRDefault="00854D71" w:rsidP="00854D71">
      <w:pPr>
        <w:tabs>
          <w:tab w:val="left" w:pos="3768"/>
        </w:tabs>
        <w:spacing w:after="0" w:line="276" w:lineRule="auto"/>
        <w:jc w:val="both"/>
        <w:rPr>
          <w:rFonts w:ascii="Verdana" w:eastAsia="Calibri" w:hAnsi="Verdana" w:cs="Arial"/>
          <w:lang w:val="es-ES" w:eastAsia="es-ES"/>
        </w:rPr>
      </w:pPr>
    </w:p>
    <w:p w14:paraId="5A910024" w14:textId="77777777" w:rsidR="00854D71" w:rsidRDefault="00854D71" w:rsidP="00854D71">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En ejercicio de la competencia otorgada por los artículos 3, numeral 5º, y 11, numeral 8º, del Decreto Ley 4170 de 2011,</w:t>
      </w:r>
      <w:r w:rsidRPr="00EA7EA8">
        <w:rPr>
          <w:rFonts w:ascii="Verdana" w:eastAsia="Arial MT" w:hAnsi="Verdana" w:cs="Arial MT"/>
          <w:lang w:val="es-ES" w:eastAsia="es-ES"/>
        </w:rPr>
        <w:t xml:space="preserve"> </w:t>
      </w:r>
      <w:r w:rsidRPr="00EA7EA8">
        <w:rPr>
          <w:rFonts w:ascii="Verdana" w:hAnsi="Verdana" w:cs="Arial"/>
        </w:rPr>
        <w:t xml:space="preserve">así como lo establecido en el artículo 4 de la Resolución 1707 de 2018 expedida por esta Entidad, </w:t>
      </w:r>
      <w:r w:rsidRPr="00EA7EA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22</w:t>
      </w:r>
      <w:r w:rsidRPr="00ED1294">
        <w:rPr>
          <w:rFonts w:ascii="Verdana" w:eastAsia="Calibri" w:hAnsi="Verdana" w:cs="Arial"/>
          <w:lang w:val="es-ES" w:eastAsia="es-ES"/>
        </w:rPr>
        <w:t xml:space="preserve"> de julio de 2025</w:t>
      </w:r>
      <w:r w:rsidRPr="00EA7EA8">
        <w:rPr>
          <w:rFonts w:ascii="Verdana" w:eastAsia="Calibri" w:hAnsi="Verdana" w:cs="Arial"/>
          <w:lang w:val="es-ES" w:eastAsia="es-ES"/>
        </w:rPr>
        <w:t xml:space="preserve">, en la cual manifiesta lo siguiente: </w:t>
      </w:r>
    </w:p>
    <w:p w14:paraId="07BF4AAF" w14:textId="77777777" w:rsidR="00854D71" w:rsidRDefault="00854D71" w:rsidP="00854D71">
      <w:pPr>
        <w:spacing w:after="0" w:line="276" w:lineRule="auto"/>
        <w:jc w:val="both"/>
        <w:rPr>
          <w:rFonts w:ascii="Verdana" w:eastAsia="Calibri" w:hAnsi="Verdana" w:cs="Arial"/>
          <w:lang w:val="es-ES" w:eastAsia="es-ES"/>
        </w:rPr>
      </w:pPr>
    </w:p>
    <w:p w14:paraId="50A0DABD" w14:textId="77777777" w:rsidR="00854D71" w:rsidRPr="009B7998" w:rsidRDefault="00854D71" w:rsidP="00854D71">
      <w:pPr>
        <w:spacing w:after="0" w:line="276" w:lineRule="auto"/>
        <w:ind w:left="708" w:right="616" w:firstLine="2"/>
        <w:jc w:val="both"/>
        <w:rPr>
          <w:rFonts w:ascii="Verdana" w:eastAsia="Calibri" w:hAnsi="Verdana" w:cs="Arial"/>
          <w:sz w:val="20"/>
          <w:szCs w:val="20"/>
          <w:lang w:val="es-ES" w:eastAsia="es-ES"/>
        </w:rPr>
      </w:pPr>
      <w:r w:rsidRPr="009B7998">
        <w:rPr>
          <w:rFonts w:ascii="Verdana" w:eastAsia="Calibri" w:hAnsi="Verdana" w:cs="Arial"/>
          <w:sz w:val="20"/>
          <w:szCs w:val="20"/>
          <w:lang w:val="es-ES" w:eastAsia="es-ES"/>
        </w:rPr>
        <w:t xml:space="preserve">… </w:t>
      </w:r>
      <w:proofErr w:type="gramStart"/>
      <w:r>
        <w:rPr>
          <w:rFonts w:ascii="Verdana" w:eastAsia="Calibri" w:hAnsi="Verdana" w:cs="Arial"/>
          <w:sz w:val="20"/>
          <w:szCs w:val="20"/>
          <w:lang w:val="es-ES" w:eastAsia="es-ES"/>
        </w:rPr>
        <w:t>¿</w:t>
      </w:r>
      <w:r w:rsidRPr="00BE08D9">
        <w:rPr>
          <w:rFonts w:ascii="Verdana" w:eastAsia="Calibri" w:hAnsi="Verdana" w:cs="Arial"/>
          <w:sz w:val="20"/>
          <w:szCs w:val="20"/>
          <w:lang w:val="es-ES" w:eastAsia="es-ES"/>
        </w:rPr>
        <w:t>Para hacer efectiva la garantía única de cumplimiento del artículo 2.</w:t>
      </w:r>
      <w:proofErr w:type="gramEnd"/>
      <w:r w:rsidRPr="00BE08D9">
        <w:rPr>
          <w:rFonts w:ascii="Verdana" w:eastAsia="Calibri" w:hAnsi="Verdana" w:cs="Arial"/>
          <w:sz w:val="20"/>
          <w:szCs w:val="20"/>
          <w:lang w:val="es-ES" w:eastAsia="es-ES"/>
        </w:rPr>
        <w:t>2.1.2.3.1.7. del</w:t>
      </w:r>
      <w:r>
        <w:rPr>
          <w:rFonts w:ascii="Verdana" w:eastAsia="Calibri" w:hAnsi="Verdana" w:cs="Arial"/>
          <w:sz w:val="20"/>
          <w:szCs w:val="20"/>
          <w:lang w:val="es-ES" w:eastAsia="es-ES"/>
        </w:rPr>
        <w:t xml:space="preserve"> </w:t>
      </w:r>
      <w:r w:rsidRPr="00BE08D9">
        <w:rPr>
          <w:rFonts w:ascii="Verdana" w:eastAsia="Calibri" w:hAnsi="Verdana" w:cs="Arial"/>
          <w:sz w:val="20"/>
          <w:szCs w:val="20"/>
          <w:lang w:val="es-ES" w:eastAsia="es-ES"/>
        </w:rPr>
        <w:t>Decreto 1082 de 2015 con ocasión de la terminación unilateral del contrato por</w:t>
      </w:r>
      <w:r>
        <w:rPr>
          <w:rFonts w:ascii="Verdana" w:eastAsia="Calibri" w:hAnsi="Verdana" w:cs="Arial"/>
          <w:sz w:val="20"/>
          <w:szCs w:val="20"/>
          <w:lang w:val="es-ES" w:eastAsia="es-ES"/>
        </w:rPr>
        <w:t xml:space="preserve"> </w:t>
      </w:r>
      <w:r w:rsidRPr="00BE08D9">
        <w:rPr>
          <w:rFonts w:ascii="Verdana" w:eastAsia="Calibri" w:hAnsi="Verdana" w:cs="Arial"/>
          <w:sz w:val="20"/>
          <w:szCs w:val="20"/>
          <w:lang w:val="es-ES" w:eastAsia="es-ES"/>
        </w:rPr>
        <w:t>incumplimiento. Una entidad estatal NO sometida al EGCAP, debe expedir Acto</w:t>
      </w:r>
      <w:r>
        <w:rPr>
          <w:rFonts w:ascii="Verdana" w:eastAsia="Calibri" w:hAnsi="Verdana" w:cs="Arial"/>
          <w:sz w:val="20"/>
          <w:szCs w:val="20"/>
          <w:lang w:val="es-ES" w:eastAsia="es-ES"/>
        </w:rPr>
        <w:t xml:space="preserve"> </w:t>
      </w:r>
      <w:r w:rsidRPr="00BE08D9">
        <w:rPr>
          <w:rFonts w:ascii="Verdana" w:eastAsia="Calibri" w:hAnsi="Verdana" w:cs="Arial"/>
          <w:sz w:val="20"/>
          <w:szCs w:val="20"/>
          <w:lang w:val="es-ES" w:eastAsia="es-ES"/>
        </w:rPr>
        <w:t xml:space="preserve">Administrativo conforme al </w:t>
      </w:r>
      <w:proofErr w:type="spellStart"/>
      <w:r w:rsidRPr="00BE08D9">
        <w:rPr>
          <w:rFonts w:ascii="Verdana" w:eastAsia="Calibri" w:hAnsi="Verdana" w:cs="Arial"/>
          <w:sz w:val="20"/>
          <w:szCs w:val="20"/>
          <w:lang w:val="es-ES" w:eastAsia="es-ES"/>
        </w:rPr>
        <w:t>articulo</w:t>
      </w:r>
      <w:proofErr w:type="spellEnd"/>
      <w:r w:rsidRPr="00BE08D9">
        <w:rPr>
          <w:rFonts w:ascii="Verdana" w:eastAsia="Calibri" w:hAnsi="Verdana" w:cs="Arial"/>
          <w:sz w:val="20"/>
          <w:szCs w:val="20"/>
          <w:lang w:val="es-ES" w:eastAsia="es-ES"/>
        </w:rPr>
        <w:t xml:space="preserve"> 2.2.1.2.3.1.19. del mismo Decreto, o el Act</w:t>
      </w:r>
      <w:r>
        <w:rPr>
          <w:rFonts w:ascii="Verdana" w:eastAsia="Calibri" w:hAnsi="Verdana" w:cs="Arial"/>
          <w:sz w:val="20"/>
          <w:szCs w:val="20"/>
          <w:lang w:val="es-ES" w:eastAsia="es-ES"/>
        </w:rPr>
        <w:t xml:space="preserve">o </w:t>
      </w:r>
      <w:r w:rsidRPr="00BE08D9">
        <w:rPr>
          <w:rFonts w:ascii="Verdana" w:eastAsia="Calibri" w:hAnsi="Verdana" w:cs="Arial"/>
          <w:sz w:val="20"/>
          <w:szCs w:val="20"/>
          <w:lang w:val="es-ES" w:eastAsia="es-ES"/>
        </w:rPr>
        <w:t xml:space="preserve">Jurídico Contractual de Derecho Privado hace las veces </w:t>
      </w:r>
      <w:proofErr w:type="gramStart"/>
      <w:r w:rsidRPr="00BE08D9">
        <w:rPr>
          <w:rFonts w:ascii="Verdana" w:eastAsia="Calibri" w:hAnsi="Verdana" w:cs="Arial"/>
          <w:sz w:val="20"/>
          <w:szCs w:val="20"/>
          <w:lang w:val="es-ES" w:eastAsia="es-ES"/>
        </w:rPr>
        <w:t>del mismo</w:t>
      </w:r>
      <w:proofErr w:type="gramEnd"/>
      <w:r w:rsidRPr="00BE08D9">
        <w:rPr>
          <w:rFonts w:ascii="Verdana" w:eastAsia="Calibri" w:hAnsi="Verdana" w:cs="Arial"/>
          <w:sz w:val="20"/>
          <w:szCs w:val="20"/>
          <w:lang w:val="es-ES" w:eastAsia="es-ES"/>
        </w:rPr>
        <w:t>?:</w:t>
      </w:r>
      <w:r w:rsidRPr="009B7998">
        <w:rPr>
          <w:rFonts w:ascii="Verdana" w:eastAsia="Calibri" w:hAnsi="Verdana" w:cs="Arial"/>
          <w:sz w:val="20"/>
          <w:szCs w:val="20"/>
          <w:lang w:val="es-ES" w:eastAsia="es-ES"/>
        </w:rPr>
        <w:t xml:space="preserve"> </w:t>
      </w:r>
    </w:p>
    <w:p w14:paraId="45F46338" w14:textId="77777777" w:rsidR="00854D71" w:rsidRPr="00EA7EA8" w:rsidRDefault="00854D71" w:rsidP="00854D71">
      <w:pPr>
        <w:spacing w:after="0" w:line="276" w:lineRule="auto"/>
        <w:jc w:val="both"/>
      </w:pPr>
    </w:p>
    <w:p w14:paraId="4B8F3E06" w14:textId="77777777" w:rsidR="00854D71" w:rsidRPr="00EA7EA8" w:rsidRDefault="00854D71" w:rsidP="00854D71">
      <w:pPr>
        <w:spacing w:after="120" w:line="276" w:lineRule="auto"/>
        <w:ind w:firstLine="709"/>
        <w:jc w:val="both"/>
        <w:rPr>
          <w:rFonts w:ascii="Verdana" w:eastAsia="Calibri" w:hAnsi="Verdana" w:cs="Arial"/>
          <w:szCs w:val="24"/>
          <w:lang w:val="es-ES_tradnl" w:eastAsia="es-ES_tradnl"/>
        </w:rPr>
      </w:pPr>
      <w:r w:rsidRPr="00EA7EA8">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EA7EA8">
        <w:rPr>
          <w:rFonts w:ascii="Verdana" w:eastAsia="Calibri" w:hAnsi="Verdana" w:cs="Arial"/>
          <w:lang w:val="es-ES" w:eastAsia="es-ES"/>
        </w:rPr>
        <w:t>Colombia</w:t>
      </w:r>
      <w:r>
        <w:rPr>
          <w:rFonts w:ascii="Verdana" w:eastAsia="Calibri" w:hAnsi="Verdana" w:cs="Arial"/>
          <w:lang w:val="es-ES" w:eastAsia="es-ES"/>
        </w:rPr>
        <w:t xml:space="preserve"> </w:t>
      </w:r>
      <w:r w:rsidRPr="00EA7EA8">
        <w:rPr>
          <w:rFonts w:ascii="Verdana" w:eastAsia="Calibri" w:hAnsi="Verdana" w:cs="Arial"/>
          <w:lang w:val="es-ES" w:eastAsia="es-ES"/>
        </w:rPr>
        <w:t xml:space="preserve">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7EA8">
        <w:rPr>
          <w:rFonts w:ascii="Verdana" w:eastAsia="Calibri" w:hAnsi="Verdana" w:cs="Arial"/>
          <w:szCs w:val="24"/>
          <w:lang w:val="es-ES_tradnl" w:eastAsia="es-ES_tradnl"/>
        </w:rPr>
        <w:tab/>
      </w:r>
    </w:p>
    <w:p w14:paraId="514B4E7C" w14:textId="77777777" w:rsidR="00854D71" w:rsidRPr="00EA7EA8" w:rsidRDefault="00854D71" w:rsidP="00854D71">
      <w:pPr>
        <w:spacing w:after="0" w:line="276" w:lineRule="auto"/>
        <w:ind w:firstLine="709"/>
        <w:jc w:val="both"/>
        <w:rPr>
          <w:rFonts w:ascii="Verdana" w:eastAsia="Calibri" w:hAnsi="Verdana" w:cs="Arial"/>
          <w:lang w:val="es-ES" w:eastAsia="es-ES"/>
        </w:rPr>
      </w:pPr>
      <w:r w:rsidRPr="00EA7EA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10ED0E0" w14:textId="77777777" w:rsidR="00854D71" w:rsidRPr="00EA7EA8" w:rsidRDefault="00854D71" w:rsidP="00854D71">
      <w:pPr>
        <w:spacing w:after="0" w:line="276" w:lineRule="auto"/>
        <w:ind w:firstLine="709"/>
        <w:jc w:val="both"/>
        <w:rPr>
          <w:rFonts w:ascii="Verdana" w:eastAsia="Calibri" w:hAnsi="Verdana" w:cs="Arial"/>
          <w:lang w:val="es-ES" w:eastAsia="es-ES"/>
        </w:rPr>
      </w:pPr>
    </w:p>
    <w:p w14:paraId="406FF572" w14:textId="77777777" w:rsidR="00854D71" w:rsidRPr="00EA7EA8" w:rsidRDefault="00854D71" w:rsidP="00854D7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EA7EA8">
        <w:rPr>
          <w:rFonts w:ascii="Verdana" w:eastAsia="Century Gothic" w:hAnsi="Verdana" w:cs="Century Gothic"/>
          <w:b/>
          <w:bCs/>
        </w:rPr>
        <w:t>Problema planteado:</w:t>
      </w:r>
    </w:p>
    <w:p w14:paraId="2227E89D" w14:textId="77777777" w:rsidR="00854D71" w:rsidRPr="00EA7EA8" w:rsidRDefault="00854D71" w:rsidP="00854D71">
      <w:pPr>
        <w:tabs>
          <w:tab w:val="left" w:pos="426"/>
        </w:tabs>
        <w:spacing w:after="0" w:line="276" w:lineRule="auto"/>
        <w:jc w:val="both"/>
        <w:rPr>
          <w:rFonts w:ascii="Verdana" w:eastAsia="Century Gothic" w:hAnsi="Verdana" w:cs="Century Gothic"/>
          <w:lang w:val="es-ES"/>
        </w:rPr>
      </w:pPr>
    </w:p>
    <w:p w14:paraId="70138C79" w14:textId="77777777" w:rsidR="00854D71" w:rsidRDefault="00854D71" w:rsidP="00854D71">
      <w:pPr>
        <w:spacing w:after="0" w:line="276" w:lineRule="auto"/>
        <w:jc w:val="both"/>
        <w:rPr>
          <w:rFonts w:ascii="Verdana" w:eastAsia="Century Gothic" w:hAnsi="Verdana" w:cs="Century Gothic"/>
        </w:rPr>
      </w:pPr>
      <w:r w:rsidRPr="00EA7EA8">
        <w:rPr>
          <w:rFonts w:ascii="Verdana" w:eastAsia="Century Gothic" w:hAnsi="Verdana" w:cs="Century Gothic"/>
        </w:rPr>
        <w:t xml:space="preserve">De acuerdo con el contenido de su solicitud, esta Agencia resolverá el siguiente problema jurídico: </w:t>
      </w:r>
      <w:proofErr w:type="gramStart"/>
      <w:r w:rsidRPr="005A2185">
        <w:rPr>
          <w:rFonts w:ascii="Verdana" w:eastAsia="Century Gothic" w:hAnsi="Verdana" w:cs="Century Gothic"/>
        </w:rPr>
        <w:t>¿</w:t>
      </w:r>
      <w:r w:rsidRPr="00BE08D9">
        <w:rPr>
          <w:rFonts w:ascii="Verdana" w:eastAsia="Century Gothic" w:hAnsi="Verdana" w:cs="Century Gothic"/>
        </w:rPr>
        <w:t>Para hacer efectiva la garantía única de cumplimiento en caso de terminación unilateral por incumplimiento, una entidad estatal no sometida al EGCAP debe expedir un acto administrativo conforme al artículo 2</w:t>
      </w:r>
      <w:r>
        <w:rPr>
          <w:rFonts w:ascii="Verdana" w:eastAsia="Century Gothic" w:hAnsi="Verdana" w:cs="Century Gothic"/>
        </w:rPr>
        <w:t>.</w:t>
      </w:r>
      <w:proofErr w:type="gramEnd"/>
      <w:r w:rsidRPr="00BE08D9">
        <w:rPr>
          <w:rFonts w:ascii="Verdana" w:eastAsia="Century Gothic" w:hAnsi="Verdana" w:cs="Century Gothic"/>
        </w:rPr>
        <w:t>2.1.2.3.1.19 del Decreto 1082 de 2015, o basta con el acto jurídico contractual de derecho privado?</w:t>
      </w:r>
    </w:p>
    <w:p w14:paraId="3900FC10" w14:textId="77777777" w:rsidR="00854D71" w:rsidRPr="00070C1E" w:rsidRDefault="00854D71" w:rsidP="00854D71">
      <w:pPr>
        <w:spacing w:after="0" w:line="276" w:lineRule="auto"/>
        <w:jc w:val="both"/>
        <w:rPr>
          <w:rFonts w:ascii="Verdana" w:eastAsia="Century Gothic" w:hAnsi="Verdana" w:cs="Century Gothic"/>
        </w:rPr>
      </w:pPr>
    </w:p>
    <w:p w14:paraId="75D2C042" w14:textId="77777777" w:rsidR="00854D71" w:rsidRPr="00EA7EA8" w:rsidRDefault="00854D71" w:rsidP="00854D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Respuesta:</w:t>
      </w:r>
    </w:p>
    <w:p w14:paraId="3126AB00" w14:textId="77777777" w:rsidR="00854D71" w:rsidRPr="00EA7EA8" w:rsidRDefault="00854D71" w:rsidP="00854D7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54D71" w:rsidRPr="00EA7EA8" w14:paraId="1B74093D" w14:textId="77777777" w:rsidTr="00854D71">
        <w:tc>
          <w:tcPr>
            <w:tcW w:w="8828" w:type="dxa"/>
          </w:tcPr>
          <w:p w14:paraId="337ADEC4" w14:textId="77777777" w:rsidR="00854D71" w:rsidRDefault="00854D71" w:rsidP="00854D71">
            <w:pPr>
              <w:spacing w:after="120" w:line="276" w:lineRule="auto"/>
              <w:ind w:firstLine="709"/>
              <w:jc w:val="both"/>
              <w:rPr>
                <w:rFonts w:ascii="Verdana" w:eastAsia="Calibri" w:hAnsi="Verdana" w:cs="Arial"/>
              </w:rPr>
            </w:pPr>
            <w:r>
              <w:rPr>
                <w:rFonts w:ascii="Verdana" w:eastAsia="Calibri" w:hAnsi="Verdana" w:cs="Arial"/>
              </w:rPr>
              <w:t>En atención al problema jurídico planteado, debe precisarse qu</w:t>
            </w:r>
            <w:r w:rsidRPr="00BE08D9">
              <w:rPr>
                <w:rFonts w:ascii="Verdana" w:eastAsia="Calibri" w:hAnsi="Verdana" w:cs="Arial"/>
              </w:rPr>
              <w:t xml:space="preserve">e </w:t>
            </w:r>
            <w:r>
              <w:rPr>
                <w:rFonts w:ascii="Verdana" w:eastAsia="Calibri" w:hAnsi="Verdana" w:cs="Arial"/>
              </w:rPr>
              <w:t xml:space="preserve">de </w:t>
            </w:r>
            <w:r w:rsidRPr="00BE08D9">
              <w:rPr>
                <w:rFonts w:ascii="Verdana" w:eastAsia="Calibri" w:hAnsi="Verdana" w:cs="Arial"/>
              </w:rPr>
              <w:t xml:space="preserve">conformidad con lo previsto en los artículos 2.2.1.2.3.1.7 y 2.2.1.2.3.1.19 del Decreto 1082 de 2015, la efectividad de la garantía única de cumplimiento en los contratos sometidos al Estatuto General de Contratación de la Administración Pública –EGCAP– debe realizarse mediante acto administrativo motivado, el cual constituye título ejecutivo frente a la aseguradora. Sin embargo, en el caso de las entidades estatales no sometidas al EGCAP, como </w:t>
            </w:r>
            <w:r w:rsidRPr="00BE08D9">
              <w:rPr>
                <w:rFonts w:ascii="Verdana" w:eastAsia="Calibri" w:hAnsi="Verdana" w:cs="Arial"/>
              </w:rPr>
              <w:lastRenderedPageBreak/>
              <w:t>ocurre con aquellas que desarrollan su actividad contractual bajo un régimen exceptuado o en competencia y, por tanto, se rigen por el derecho privado, no resulta jurídicamente procedente la expedición de actos administrativos para tal efecto, toda vez que sus decisiones contractuales tienen naturaleza de actos jurídicos de derecho privado.</w:t>
            </w:r>
          </w:p>
          <w:p w14:paraId="0BC0CEC9" w14:textId="77777777" w:rsidR="00854D71" w:rsidRDefault="00854D71" w:rsidP="00854D71">
            <w:pPr>
              <w:spacing w:after="120" w:line="276" w:lineRule="auto"/>
              <w:ind w:firstLine="709"/>
              <w:jc w:val="both"/>
              <w:rPr>
                <w:rFonts w:ascii="Verdana" w:eastAsia="Calibri" w:hAnsi="Verdana" w:cs="Arial"/>
              </w:rPr>
            </w:pPr>
            <w:r>
              <w:rPr>
                <w:rFonts w:ascii="Verdana" w:eastAsia="Calibri" w:hAnsi="Verdana" w:cs="Arial"/>
              </w:rPr>
              <w:t xml:space="preserve">Lo anterior, atendiendo a que </w:t>
            </w:r>
            <w:r w:rsidRPr="00BE08D9">
              <w:rPr>
                <w:rFonts w:ascii="Verdana" w:eastAsia="Calibri" w:hAnsi="Verdana" w:cs="Arial"/>
              </w:rPr>
              <w:t>las entidades de régimen especial no cuentan con potestades exorbitantes previstas en la Ley 80 de 1993 y la Ley 1150 de 2007, y que las decisiones que adopten en desarrollo de sus contratos son actos contractuales y no administrativos. En consecuencia, para hacer efectiva la garantía única de cumplimiento con ocasión de la terminación unilateral del contrato por incumplimiento, una entidad estatal no sometida al EGCAP deberá acudir al acto jurídico contractual de derecho privado como soporte idóneo, y no a un acto administrativo, el cual solo procede en el marco del Estatuto General de Contratación.</w:t>
            </w:r>
          </w:p>
          <w:p w14:paraId="2591CF3F" w14:textId="1806BF5D" w:rsidR="00FD22FA" w:rsidRPr="005C280F" w:rsidRDefault="00854D71" w:rsidP="00FD22FA">
            <w:pPr>
              <w:spacing w:after="120" w:line="276" w:lineRule="auto"/>
              <w:ind w:firstLine="708"/>
              <w:jc w:val="both"/>
              <w:rPr>
                <w:rFonts w:ascii="Verdana" w:eastAsia="Calibri" w:hAnsi="Verdana" w:cs="Arial"/>
              </w:rPr>
            </w:pPr>
            <w:r w:rsidRPr="00BE08D9">
              <w:rPr>
                <w:rFonts w:ascii="Verdana" w:eastAsia="Calibri" w:hAnsi="Verdana" w:cs="Arial"/>
              </w:rPr>
              <w:t xml:space="preserve"> En tal escenario, la exigibilidad de la garantía se fundamenta en las cláusulas pactadas y en las reglas del derecho privado, particularmente lo dispuesto en los artículos </w:t>
            </w:r>
            <w:r w:rsidRPr="00BB74BF">
              <w:rPr>
                <w:rFonts w:ascii="Verdana" w:eastAsia="Calibri" w:hAnsi="Verdana" w:cs="Arial"/>
              </w:rPr>
              <w:t>1075 y 1077 del Código de</w:t>
            </w:r>
            <w:r w:rsidRPr="00BE08D9">
              <w:rPr>
                <w:rFonts w:ascii="Verdana" w:eastAsia="Calibri" w:hAnsi="Verdana" w:cs="Arial"/>
              </w:rPr>
              <w:t xml:space="preserve"> Comercio sobre la reclamación de siniestros.</w:t>
            </w:r>
            <w:r>
              <w:rPr>
                <w:rFonts w:ascii="Verdana" w:eastAsia="Calibri" w:hAnsi="Verdana" w:cs="Arial"/>
              </w:rPr>
              <w:t xml:space="preserve"> </w:t>
            </w:r>
            <w:r w:rsidR="00FD22FA">
              <w:rPr>
                <w:rFonts w:ascii="Verdana" w:eastAsia="Calibri" w:hAnsi="Verdana" w:cs="Arial"/>
              </w:rPr>
              <w:t>C</w:t>
            </w:r>
            <w:r w:rsidR="00FD22FA" w:rsidRPr="00BE4E34">
              <w:rPr>
                <w:rFonts w:ascii="Verdana" w:eastAsia="Calibri" w:hAnsi="Verdana" w:cs="Arial"/>
              </w:rPr>
              <w:t>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d</w:t>
            </w:r>
            <w:r w:rsidR="00FD22FA">
              <w:rPr>
                <w:rFonts w:ascii="Verdana" w:eastAsia="Calibri" w:hAnsi="Verdana" w:cs="Arial"/>
              </w:rPr>
              <w:t>é</w:t>
            </w:r>
            <w:r w:rsidR="00FD22FA" w:rsidRPr="00BE4E34">
              <w:rPr>
                <w:rFonts w:ascii="Verdana" w:eastAsia="Calibri" w:hAnsi="Verdana" w:cs="Arial"/>
              </w:rPr>
              <w:t xml:space="preserve"> cumplimiento a los derechos y obligaciones derivados del contrato asegurado.</w:t>
            </w:r>
            <w:r w:rsidR="00FD22FA">
              <w:rPr>
                <w:rFonts w:ascii="Verdana" w:eastAsia="Calibri" w:hAnsi="Verdana" w:cs="Arial"/>
              </w:rPr>
              <w:t xml:space="preserve"> </w:t>
            </w:r>
            <w:r w:rsidR="00FD22FA"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7EC9B6BA" w14:textId="65C864B3" w:rsidR="00854D71" w:rsidRPr="00CE1580" w:rsidRDefault="00854D71" w:rsidP="00854D71">
            <w:pPr>
              <w:spacing w:after="120" w:line="276" w:lineRule="auto"/>
              <w:ind w:firstLine="709"/>
              <w:jc w:val="both"/>
              <w:rPr>
                <w:rFonts w:ascii="Verdana" w:eastAsia="Calibri" w:hAnsi="Verdana" w:cs="Arial"/>
              </w:rPr>
            </w:pPr>
          </w:p>
        </w:tc>
      </w:tr>
    </w:tbl>
    <w:p w14:paraId="4D9332D0" w14:textId="77777777" w:rsidR="00854D71" w:rsidRPr="00EA7EA8" w:rsidRDefault="00854D71" w:rsidP="00854D71">
      <w:pPr>
        <w:tabs>
          <w:tab w:val="left" w:pos="142"/>
          <w:tab w:val="left" w:pos="284"/>
        </w:tabs>
        <w:spacing w:after="0" w:line="276" w:lineRule="auto"/>
        <w:jc w:val="both"/>
        <w:rPr>
          <w:rFonts w:ascii="Verdana" w:eastAsia="Century Gothic" w:hAnsi="Verdana" w:cs="Century Gothic"/>
          <w:b/>
          <w:bCs/>
          <w:lang w:val="es-ES"/>
        </w:rPr>
      </w:pPr>
    </w:p>
    <w:p w14:paraId="2311449C" w14:textId="77777777" w:rsidR="00854D71" w:rsidRPr="00EA7EA8" w:rsidRDefault="00854D71" w:rsidP="00854D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Razones de la respuesta:</w:t>
      </w:r>
    </w:p>
    <w:p w14:paraId="6881CF7D" w14:textId="77777777" w:rsidR="00854D71" w:rsidRPr="00EA7EA8" w:rsidRDefault="00854D71" w:rsidP="00854D71">
      <w:pPr>
        <w:spacing w:after="0" w:line="276" w:lineRule="auto"/>
        <w:jc w:val="both"/>
        <w:rPr>
          <w:rFonts w:ascii="Verdana" w:eastAsia="Calibri" w:hAnsi="Verdana" w:cs="Arial"/>
          <w:lang w:val="es-ES"/>
        </w:rPr>
      </w:pPr>
    </w:p>
    <w:p w14:paraId="5701DECD" w14:textId="77777777" w:rsidR="00854D71" w:rsidRDefault="00854D71" w:rsidP="00854D71">
      <w:pPr>
        <w:spacing w:after="0" w:line="276" w:lineRule="auto"/>
        <w:jc w:val="both"/>
        <w:rPr>
          <w:rFonts w:ascii="Verdana" w:eastAsia="Calibri" w:hAnsi="Verdana" w:cs="Arial"/>
          <w:lang w:val="es-ES"/>
        </w:rPr>
      </w:pPr>
      <w:r w:rsidRPr="00EA7EA8">
        <w:rPr>
          <w:rFonts w:ascii="Verdana" w:eastAsia="Calibri" w:hAnsi="Verdana" w:cs="Arial"/>
          <w:lang w:val="es-ES"/>
        </w:rPr>
        <w:t xml:space="preserve">Lo anterior se sustenta en las siguientes consideraciones: </w:t>
      </w:r>
    </w:p>
    <w:p w14:paraId="7DCD49FE" w14:textId="77777777" w:rsidR="00854D71" w:rsidRDefault="00854D71" w:rsidP="00854D71">
      <w:pPr>
        <w:spacing w:after="0" w:line="276" w:lineRule="auto"/>
        <w:jc w:val="both"/>
        <w:rPr>
          <w:rFonts w:ascii="Verdana" w:eastAsia="Calibri" w:hAnsi="Verdana" w:cs="Arial"/>
          <w:lang w:val="es-ES"/>
        </w:rPr>
      </w:pPr>
    </w:p>
    <w:p w14:paraId="479C8837" w14:textId="77777777" w:rsidR="00854D71" w:rsidRPr="00C47EB4" w:rsidRDefault="00854D71" w:rsidP="00854D71">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lastRenderedPageBreak/>
        <w:t>En primer lugar, l</w:t>
      </w:r>
      <w:r w:rsidRPr="00C47EB4">
        <w:rPr>
          <w:rFonts w:ascii="Verdana" w:hAnsi="Verdana" w:cs="Arial"/>
          <w:lang w:val="es-MX"/>
        </w:rPr>
        <w:t>as</w:t>
      </w:r>
      <w:r w:rsidRPr="00C47EB4">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5B227208" w14:textId="77777777" w:rsidR="00854D71" w:rsidRPr="00CC7195" w:rsidRDefault="00854D71" w:rsidP="00854D71">
      <w:pPr>
        <w:spacing w:before="120" w:after="120" w:line="276" w:lineRule="auto"/>
        <w:ind w:firstLine="709"/>
        <w:jc w:val="both"/>
        <w:rPr>
          <w:rFonts w:ascii="Verdana" w:eastAsia="Calibri" w:hAnsi="Verdana" w:cs="Arial"/>
          <w:color w:val="000000" w:themeColor="text1"/>
          <w:lang w:val="es-ES"/>
        </w:rPr>
      </w:pPr>
      <w:r w:rsidRPr="3957B322">
        <w:rPr>
          <w:rFonts w:ascii="Verdana" w:eastAsia="Calibri" w:hAnsi="Verdana" w:cs="Arial"/>
          <w:color w:val="000000" w:themeColor="text1"/>
          <w:lang w:val="es-ES"/>
        </w:rPr>
        <w:t>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2"/>
      </w:r>
      <w:r w:rsidRPr="3957B322">
        <w:rPr>
          <w:rFonts w:ascii="Verdana" w:eastAsia="Calibri" w:hAnsi="Verdana" w:cs="Arial"/>
          <w:color w:val="000000" w:themeColor="text1"/>
          <w:lang w:val="es-ES"/>
        </w:rPr>
        <w:t>.</w:t>
      </w:r>
    </w:p>
    <w:p w14:paraId="537D84C2" w14:textId="77777777" w:rsidR="00854D71" w:rsidRPr="00CC7195" w:rsidRDefault="00854D71" w:rsidP="00854D71">
      <w:pPr>
        <w:spacing w:line="276" w:lineRule="auto"/>
        <w:ind w:firstLine="709"/>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115AD6E1" w14:textId="77777777" w:rsidR="00854D71" w:rsidRPr="003E2347" w:rsidRDefault="00854D71" w:rsidP="00854D71">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4F22564" w14:textId="77777777" w:rsidR="00854D71" w:rsidRPr="003E2347" w:rsidRDefault="00854D71" w:rsidP="00854D71">
      <w:pPr>
        <w:spacing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w:t>
      </w:r>
      <w:proofErr w:type="gramStart"/>
      <w:r w:rsidRPr="003E2347">
        <w:rPr>
          <w:rFonts w:ascii="Verdana" w:eastAsia="Calibri" w:hAnsi="Verdana" w:cs="Arial"/>
          <w:color w:val="000000" w:themeColor="text1"/>
          <w:sz w:val="20"/>
          <w:szCs w:val="20"/>
          <w:lang w:val="es-ES"/>
        </w:rPr>
        <w:t>interpretar</w:t>
      </w:r>
      <w:proofErr w:type="gramEnd"/>
      <w:r w:rsidRPr="003E2347">
        <w:rPr>
          <w:rFonts w:ascii="Verdana" w:eastAsia="Calibri" w:hAnsi="Verdana" w:cs="Arial"/>
          <w:color w:val="000000" w:themeColor="text1"/>
          <w:sz w:val="20"/>
          <w:szCs w:val="20"/>
          <w:lang w:val="es-ES"/>
        </w:rPr>
        <w:t xml:space="preserve"> pero también transforma parte de esas instituciones, porque se suma a ellas, lo que no siempre se logra conservando intacta la institución privada sino introduciéndole modificaciones. </w:t>
      </w:r>
    </w:p>
    <w:p w14:paraId="38915B40" w14:textId="77777777" w:rsidR="00854D71" w:rsidRPr="003E2347" w:rsidRDefault="00854D71" w:rsidP="00854D71">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lastRenderedPageBreak/>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3E2347">
        <w:rPr>
          <w:rStyle w:val="Refdenotaalpie"/>
          <w:rFonts w:ascii="Verdana" w:eastAsia="Calibri" w:hAnsi="Verdana" w:cs="Arial"/>
          <w:color w:val="000000" w:themeColor="text1"/>
          <w:sz w:val="20"/>
          <w:szCs w:val="20"/>
          <w:lang w:val="es-ES_tradnl"/>
        </w:rPr>
        <w:footnoteReference w:id="3"/>
      </w:r>
      <w:r w:rsidRPr="003E2347">
        <w:rPr>
          <w:rFonts w:ascii="Verdana" w:eastAsia="Calibri" w:hAnsi="Verdana" w:cs="Arial"/>
          <w:color w:val="000000" w:themeColor="text1"/>
          <w:sz w:val="20"/>
          <w:szCs w:val="20"/>
          <w:lang w:val="es-ES_tradnl"/>
        </w:rPr>
        <w:t>.</w:t>
      </w:r>
    </w:p>
    <w:p w14:paraId="3B666BA2" w14:textId="77777777" w:rsidR="00854D71" w:rsidRPr="00CC7195" w:rsidRDefault="00854D71" w:rsidP="00854D71">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torno a la aplicabilidad de las cláusulas excepcionales</w:t>
      </w:r>
      <w:r w:rsidRPr="3957B322">
        <w:rPr>
          <w:rFonts w:ascii="Verdana" w:eastAsia="Calibri" w:hAnsi="Verdana" w:cs="Arial"/>
          <w:color w:val="000000" w:themeColor="text1"/>
          <w:lang w:val="es-ES"/>
        </w:rPr>
        <w:t xml:space="preserve">, se debe tener en cuenta que </w:t>
      </w:r>
      <w:r>
        <w:rPr>
          <w:rFonts w:ascii="Verdana" w:eastAsia="Calibri" w:hAnsi="Verdana" w:cs="Arial"/>
          <w:color w:val="000000" w:themeColor="text1"/>
          <w:lang w:val="es-ES"/>
        </w:rPr>
        <w:t xml:space="preserve">éstas </w:t>
      </w:r>
      <w:r w:rsidRPr="3957B322">
        <w:rPr>
          <w:rFonts w:ascii="Verdana" w:eastAsia="Calibri" w:hAnsi="Verdana" w:cs="Arial"/>
          <w:color w:val="000000" w:themeColor="text1"/>
          <w:lang w:val="es-ES"/>
        </w:rPr>
        <w:t>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w:t>
      </w:r>
      <w:r>
        <w:rPr>
          <w:rFonts w:ascii="Verdana" w:eastAsia="Calibri" w:hAnsi="Verdana" w:cs="Arial"/>
          <w:color w:val="000000" w:themeColor="text1"/>
          <w:lang w:val="es-ES"/>
        </w:rPr>
        <w:t>s</w:t>
      </w:r>
      <w:r w:rsidRPr="3957B322">
        <w:rPr>
          <w:rFonts w:ascii="Verdana" w:eastAsia="Calibri" w:hAnsi="Verdana" w:cs="Arial"/>
          <w:color w:val="000000" w:themeColor="text1"/>
          <w:lang w:val="es-ES"/>
        </w:rPr>
        <w:t xml:space="preserve"> su norma de creación lo establece. De modo que si una Entidad sujeta al régimen especial requiere sancionar o dar por terminado el contrato debe acudir al juez competente</w:t>
      </w:r>
      <w:r w:rsidRPr="3957B322">
        <w:rPr>
          <w:rStyle w:val="Refdenotaalpie"/>
          <w:rFonts w:ascii="Verdana" w:eastAsia="Calibri" w:hAnsi="Verdana" w:cs="Arial"/>
          <w:color w:val="000000" w:themeColor="text1"/>
          <w:lang w:val="es-ES"/>
        </w:rPr>
        <w:footnoteReference w:id="4"/>
      </w:r>
      <w:r w:rsidRPr="3957B322">
        <w:rPr>
          <w:rFonts w:ascii="Verdana" w:eastAsia="Calibri" w:hAnsi="Verdana" w:cs="Arial"/>
          <w:color w:val="000000" w:themeColor="text1"/>
          <w:lang w:val="es-ES"/>
        </w:rPr>
        <w:t>.</w:t>
      </w:r>
    </w:p>
    <w:p w14:paraId="633C0755" w14:textId="77777777" w:rsidR="00854D71" w:rsidRPr="003E2347" w:rsidRDefault="00854D71" w:rsidP="00854D71">
      <w:pPr>
        <w:spacing w:line="276" w:lineRule="auto"/>
        <w:ind w:firstLine="708"/>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w:t>
      </w:r>
      <w:r>
        <w:rPr>
          <w:rFonts w:ascii="Verdana" w:eastAsia="Calibri" w:hAnsi="Verdana" w:cs="Arial"/>
          <w:color w:val="000000" w:themeColor="text1"/>
        </w:rPr>
        <w:t>,</w:t>
      </w:r>
      <w:r w:rsidRPr="003E2347">
        <w:rPr>
          <w:rFonts w:ascii="Verdana" w:eastAsia="Calibri" w:hAnsi="Verdana" w:cs="Arial"/>
          <w:color w:val="000000" w:themeColor="text1"/>
        </w:rPr>
        <w:t xml:space="preserve"> en particular, el</w:t>
      </w:r>
      <w:r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w:t>
      </w:r>
      <w:r w:rsidRPr="003E2347">
        <w:rPr>
          <w:rStyle w:val="Refdenotaalpie"/>
          <w:rFonts w:ascii="Verdana" w:eastAsia="Calibri" w:hAnsi="Verdana" w:cs="Arial"/>
          <w:color w:val="000000" w:themeColor="text1"/>
          <w:lang w:val="es-ES_tradnl"/>
        </w:rPr>
        <w:footnoteReference w:id="5"/>
      </w:r>
      <w:r w:rsidRPr="003E2347">
        <w:rPr>
          <w:rFonts w:ascii="Verdana" w:eastAsia="Calibri" w:hAnsi="Verdana" w:cs="Arial"/>
          <w:color w:val="000000" w:themeColor="text1"/>
          <w:lang w:val="es-ES_tradnl"/>
        </w:rPr>
        <w:t xml:space="preserve">. Así se desprende del primer inciso de aquel artículo, que </w:t>
      </w:r>
      <w:r>
        <w:rPr>
          <w:rFonts w:ascii="Verdana" w:eastAsia="Calibri" w:hAnsi="Verdana" w:cs="Arial"/>
          <w:color w:val="000000" w:themeColor="text1"/>
          <w:lang w:val="es-ES_tradnl"/>
        </w:rPr>
        <w:t>dispone</w:t>
      </w:r>
      <w:r w:rsidRPr="003E2347">
        <w:rPr>
          <w:rFonts w:ascii="Verdana" w:eastAsia="Calibri" w:hAnsi="Verdana" w:cs="Arial"/>
          <w:color w:val="000000" w:themeColor="text1"/>
          <w:lang w:val="es-ES_tradnl"/>
        </w:rPr>
        <w:t>: “</w:t>
      </w:r>
      <w:r w:rsidRPr="003E2347">
        <w:rPr>
          <w:rFonts w:ascii="Verdana" w:eastAsia="Calibri" w:hAnsi="Verdana" w:cs="Arial"/>
          <w:i/>
          <w:color w:val="000000" w:themeColor="text1"/>
          <w:lang w:val="es-ES_tradnl"/>
        </w:rPr>
        <w:t>Las entidades sometidas al Estatuto General de Contratación de la Administración Pública</w:t>
      </w:r>
      <w:r w:rsidRPr="003E2347">
        <w:rPr>
          <w:rFonts w:ascii="Verdana" w:eastAsia="Calibri" w:hAnsi="Verdana" w:cs="Arial"/>
          <w:color w:val="000000" w:themeColor="text1"/>
          <w:lang w:val="es-ES_tradnl"/>
        </w:rPr>
        <w:t xml:space="preserve"> podrán declarar el incumplimiento, cuantificando los perjuicios </w:t>
      </w:r>
      <w:proofErr w:type="gramStart"/>
      <w:r w:rsidRPr="003E2347">
        <w:rPr>
          <w:rFonts w:ascii="Verdana" w:eastAsia="Calibri" w:hAnsi="Verdana" w:cs="Arial"/>
          <w:color w:val="000000" w:themeColor="text1"/>
          <w:lang w:val="es-ES_tradnl"/>
        </w:rPr>
        <w:t>del mismo</w:t>
      </w:r>
      <w:proofErr w:type="gramEnd"/>
      <w:r w:rsidRPr="003E2347">
        <w:rPr>
          <w:rFonts w:ascii="Verdana" w:eastAsia="Calibri" w:hAnsi="Verdana" w:cs="Arial"/>
          <w:color w:val="000000" w:themeColor="text1"/>
          <w:lang w:val="es-ES_tradnl"/>
        </w:rPr>
        <w:t xml:space="preserve">, imponer las multas y sanciones pactadas en el contrato, y hacer efectiva la cláusula penal. Para tal efecto observarán el siguiente procedimiento […]”. De ahí que, solo por esta razón, las entidades de régimen especial en materia contractual no pueden aplicar el procedimiento administrativo sancionatorio regulado en el artículo 86 de la Ley 1474 de 2011, al no ser entidades sometidas al Estatuto General de Contratación de la </w:t>
      </w:r>
      <w:r w:rsidRPr="003E2347">
        <w:rPr>
          <w:rFonts w:ascii="Verdana" w:eastAsia="Calibri" w:hAnsi="Verdana" w:cs="Arial"/>
          <w:color w:val="000000" w:themeColor="text1"/>
          <w:lang w:val="es-ES_tradnl"/>
        </w:rPr>
        <w:lastRenderedPageBreak/>
        <w:t>Administración Pública</w:t>
      </w:r>
      <w:r w:rsidRPr="003E2347">
        <w:rPr>
          <w:rStyle w:val="Refdenotaalpie"/>
          <w:rFonts w:ascii="Verdana" w:eastAsia="Calibri" w:hAnsi="Verdana" w:cs="Arial"/>
          <w:color w:val="000000" w:themeColor="text1"/>
          <w:lang w:val="es-ES_tradnl"/>
        </w:rPr>
        <w:footnoteReference w:id="6"/>
      </w:r>
      <w:r w:rsidRPr="003E2347">
        <w:rPr>
          <w:rFonts w:ascii="Verdana" w:eastAsia="Calibri" w:hAnsi="Verdana" w:cs="Arial"/>
          <w:color w:val="000000" w:themeColor="text1"/>
          <w:lang w:val="es-ES_tradnl"/>
        </w:rPr>
        <w:t xml:space="preserve">, sino, por el contrario, entidades exceptuadas de este. </w:t>
      </w:r>
      <w:r>
        <w:rPr>
          <w:rFonts w:ascii="Verdana" w:eastAsia="Calibri" w:hAnsi="Verdana" w:cs="Arial"/>
          <w:color w:val="000000" w:themeColor="text1"/>
          <w:lang w:val="es-ES_tradnl"/>
        </w:rPr>
        <w:t>Así pues</w:t>
      </w:r>
      <w:r w:rsidRPr="003E2347">
        <w:rPr>
          <w:rFonts w:ascii="Verdana" w:eastAsia="Calibri" w:hAnsi="Verdana" w:cs="Arial"/>
          <w:color w:val="000000" w:themeColor="text1"/>
          <w:lang w:val="es-ES_tradnl"/>
        </w:rPr>
        <w:t>, si bien, hay entidades de régimen especial que tienen la competencia para hacer uso de cláusulas excepcionales, como las empresas prestadoras de servicios públicos domiciliarios</w:t>
      </w:r>
      <w:r w:rsidRPr="003E2347">
        <w:rPr>
          <w:rStyle w:val="Refdenotaalpie"/>
          <w:rFonts w:ascii="Verdana" w:eastAsia="Calibri" w:hAnsi="Verdana" w:cs="Arial"/>
          <w:color w:val="000000" w:themeColor="text1"/>
          <w:lang w:val="es-ES_tradnl"/>
        </w:rPr>
        <w:footnoteReference w:id="7"/>
      </w:r>
      <w:r w:rsidRPr="003E2347">
        <w:rPr>
          <w:rFonts w:ascii="Verdana" w:eastAsia="Calibri" w:hAnsi="Verdana" w:cs="Arial"/>
          <w:color w:val="000000" w:themeColor="text1"/>
          <w:lang w:val="es-ES_tradnl"/>
        </w:rPr>
        <w:t xml:space="preserve"> y las empresas sociales del Estado</w:t>
      </w:r>
      <w:r w:rsidRPr="003E2347">
        <w:rPr>
          <w:rStyle w:val="Refdenotaalpie"/>
          <w:rFonts w:ascii="Verdana" w:eastAsia="Calibri" w:hAnsi="Verdana" w:cs="Arial"/>
          <w:color w:val="000000" w:themeColor="text1"/>
          <w:lang w:val="es-ES_tradnl"/>
        </w:rPr>
        <w:footnoteReference w:id="8"/>
      </w:r>
      <w:r>
        <w:rPr>
          <w:rFonts w:ascii="Verdana" w:eastAsia="Calibri" w:hAnsi="Verdana" w:cs="Arial"/>
          <w:color w:val="000000" w:themeColor="text1"/>
          <w:lang w:val="es-ES_tradnl"/>
        </w:rPr>
        <w:t>.</w:t>
      </w:r>
    </w:p>
    <w:p w14:paraId="10F22DC9" w14:textId="77777777" w:rsidR="00854D71" w:rsidRPr="003E2347" w:rsidRDefault="00854D71" w:rsidP="00854D71">
      <w:pPr>
        <w:spacing w:before="120" w:line="276" w:lineRule="auto"/>
        <w:ind w:right="49" w:firstLine="709"/>
        <w:jc w:val="both"/>
        <w:rPr>
          <w:rFonts w:ascii="Verdana" w:eastAsia="Calibri" w:hAnsi="Verdana" w:cs="Arial"/>
          <w:color w:val="000000" w:themeColor="text1"/>
          <w:lang w:val="es-ES_tradnl"/>
        </w:rPr>
      </w:pPr>
      <w:r w:rsidRPr="003E2347">
        <w:rPr>
          <w:rFonts w:ascii="Verdana" w:eastAsia="Calibri" w:hAnsi="Verdana" w:cs="Arial"/>
          <w:color w:val="000000" w:themeColor="text1"/>
          <w:lang w:val="es-ES_tradnl"/>
        </w:rPr>
        <w:t xml:space="preserve">Desde hace cierto tiempo se ha presentado un intenso debate al interior de la Sección Tercera del Consejo de Estado, acerca de la posibilidad de que las entidades con régimen especial de contratación pacten </w:t>
      </w:r>
      <w:r>
        <w:rPr>
          <w:rFonts w:ascii="Verdana" w:eastAsia="Calibri" w:hAnsi="Verdana" w:cs="Arial"/>
          <w:color w:val="000000" w:themeColor="text1"/>
          <w:lang w:val="es-ES_tradnl"/>
        </w:rPr>
        <w:t>cláusulas</w:t>
      </w:r>
      <w:r w:rsidRPr="003E2347">
        <w:rPr>
          <w:rFonts w:ascii="Verdana" w:eastAsia="Calibri" w:hAnsi="Verdana" w:cs="Arial"/>
          <w:color w:val="000000" w:themeColor="text1"/>
          <w:lang w:val="es-ES_tradnl"/>
        </w:rPr>
        <w:t xml:space="preserve"> unilaterales y ejerzan autotutela declarativa, imponiendo las sanciones pactadas en el contrato</w:t>
      </w:r>
      <w:r w:rsidRPr="003E2347">
        <w:rPr>
          <w:rStyle w:val="Refdenotaalpie"/>
          <w:rFonts w:ascii="Verdana" w:eastAsia="Calibri" w:hAnsi="Verdana" w:cs="Arial"/>
          <w:color w:val="000000" w:themeColor="text1"/>
          <w:lang w:val="es-ES_tradnl"/>
        </w:rPr>
        <w:footnoteReference w:id="9"/>
      </w:r>
      <w:r w:rsidRPr="003E2347">
        <w:rPr>
          <w:rFonts w:ascii="Verdana" w:eastAsia="Calibri" w:hAnsi="Verdana" w:cs="Arial"/>
          <w:color w:val="000000" w:themeColor="text1"/>
          <w:lang w:val="es-ES_tradnl"/>
        </w:rPr>
        <w:t xml:space="preserve">. No obstante, dicho debate se ha ido zanjando en la jurisprudencia </w:t>
      </w:r>
      <w:r w:rsidRPr="003E2347">
        <w:rPr>
          <w:rFonts w:ascii="Verdana" w:eastAsia="Calibri" w:hAnsi="Verdana" w:cs="Arial"/>
          <w:color w:val="000000" w:themeColor="text1"/>
          <w:lang w:val="es-ES_tradnl"/>
        </w:rPr>
        <w:lastRenderedPageBreak/>
        <w:t xml:space="preserve">reciente, la cual ha reconocido la validez de pactar cláusulas de ejercicio unilateral, conforme indica la Sentencia de Unificación del 9 de mayo de 2024 expedida por la Sección Tercera de la referida corporación judicial, en la que se realizaron las siguientes consideraciones: </w:t>
      </w:r>
    </w:p>
    <w:p w14:paraId="35D32CB2" w14:textId="77777777" w:rsidR="00854D71" w:rsidRPr="003E2347" w:rsidRDefault="00854D71" w:rsidP="00854D71">
      <w:pPr>
        <w:spacing w:before="120" w:after="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 xml:space="preserve">“52. 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Pr="003E2347">
        <w:rPr>
          <w:rFonts w:ascii="Verdana" w:eastAsia="Calibri" w:hAnsi="Verdana" w:cs="Arial"/>
          <w:i/>
          <w:iCs/>
          <w:color w:val="000000" w:themeColor="text1"/>
          <w:sz w:val="20"/>
          <w:szCs w:val="20"/>
        </w:rPr>
        <w:t xml:space="preserve">lex </w:t>
      </w:r>
      <w:proofErr w:type="spellStart"/>
      <w:r w:rsidRPr="003E2347">
        <w:rPr>
          <w:rFonts w:ascii="Verdana" w:eastAsia="Calibri" w:hAnsi="Verdana" w:cs="Arial"/>
          <w:i/>
          <w:iCs/>
          <w:color w:val="000000" w:themeColor="text1"/>
          <w:sz w:val="20"/>
          <w:szCs w:val="20"/>
        </w:rPr>
        <w:t>privata</w:t>
      </w:r>
      <w:proofErr w:type="spellEnd"/>
      <w:r w:rsidRPr="003E2347">
        <w:rPr>
          <w:rFonts w:ascii="Verdana" w:eastAsia="Calibri" w:hAnsi="Verdana" w:cs="Arial"/>
          <w:color w:val="000000" w:themeColor="text1"/>
          <w:sz w:val="20"/>
          <w:szCs w:val="20"/>
        </w:rPr>
        <w:t xml:space="preserve">. </w:t>
      </w:r>
    </w:p>
    <w:p w14:paraId="016676BE" w14:textId="77777777" w:rsidR="00854D71" w:rsidRPr="003E2347" w:rsidRDefault="00854D71" w:rsidP="00854D71">
      <w:pPr>
        <w:spacing w:before="120" w:after="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53. 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Pr="003E2347">
        <w:rPr>
          <w:rFonts w:ascii="Verdana" w:eastAsia="Calibri" w:hAnsi="Verdana" w:cs="Arial"/>
          <w:i/>
          <w:iCs/>
          <w:color w:val="000000" w:themeColor="text1"/>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Pr="003E2347">
        <w:rPr>
          <w:rFonts w:ascii="Verdana" w:eastAsia="Calibri" w:hAnsi="Verdana" w:cs="Arial"/>
          <w:color w:val="000000" w:themeColor="text1"/>
          <w:sz w:val="20"/>
          <w:szCs w:val="20"/>
        </w:rPr>
        <w:t xml:space="preserve">[por lo que] </w:t>
      </w:r>
      <w:r w:rsidRPr="003E2347">
        <w:rPr>
          <w:rFonts w:ascii="Verdana" w:eastAsia="Calibri" w:hAnsi="Verdana" w:cs="Arial"/>
          <w:i/>
          <w:iCs/>
          <w:color w:val="000000" w:themeColor="text1"/>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Pr="003E2347">
        <w:rPr>
          <w:rFonts w:ascii="Verdana" w:eastAsia="Calibri" w:hAnsi="Verdana" w:cs="Arial"/>
          <w:color w:val="000000" w:themeColor="text1"/>
          <w:sz w:val="20"/>
          <w:szCs w:val="20"/>
        </w:rPr>
        <w:t xml:space="preserve">” </w:t>
      </w:r>
    </w:p>
    <w:p w14:paraId="52E614D7" w14:textId="77777777" w:rsidR="00854D71" w:rsidRPr="003E2347" w:rsidRDefault="00854D71" w:rsidP="00854D71">
      <w:pPr>
        <w:spacing w:before="120" w:after="120" w:line="240" w:lineRule="auto"/>
        <w:ind w:left="709" w:right="709"/>
        <w:jc w:val="both"/>
        <w:rPr>
          <w:rFonts w:ascii="Verdana" w:eastAsia="Calibri" w:hAnsi="Verdana" w:cs="Arial"/>
          <w:color w:val="000000" w:themeColor="text1"/>
          <w:lang w:val="es-ES_tradnl"/>
        </w:rPr>
      </w:pPr>
      <w:r w:rsidRPr="003E2347">
        <w:rPr>
          <w:rFonts w:ascii="Verdana" w:eastAsia="Calibri" w:hAnsi="Verdana" w:cs="Arial"/>
          <w:color w:val="000000" w:themeColor="text1"/>
          <w:sz w:val="20"/>
          <w:szCs w:val="20"/>
        </w:rPr>
        <w:t xml:space="preserve">54. De manera que cuando una entidad estatal celebra un contrato que se rige por las normas del derecho privado, es legalmente admisible que se pacten cláusulas cuya ejecución corresponda a una de ellas, aunque el ejercicio de tales facultades no tenga origen en una prerrogativa atribuida por ley a la contratante, sino en la libertad contractual en la que se </w:t>
      </w:r>
      <w:r w:rsidRPr="003E2347">
        <w:rPr>
          <w:rFonts w:ascii="Verdana" w:eastAsia="Calibri" w:hAnsi="Verdana" w:cs="Arial"/>
          <w:color w:val="000000" w:themeColor="text1"/>
          <w:sz w:val="20"/>
          <w:szCs w:val="20"/>
        </w:rPr>
        <w:lastRenderedPageBreak/>
        <w:t>fundamentó dicho acuerdo, de modo que si la entidad materializa las atribuciones unilaterales pactadas a través de éstos, se trata de actos contractuales y no administrativos”</w:t>
      </w:r>
      <w:r>
        <w:rPr>
          <w:rStyle w:val="Refdenotaalpie"/>
          <w:rFonts w:ascii="Verdana" w:eastAsia="Calibri" w:hAnsi="Verdana" w:cs="Arial"/>
          <w:color w:val="000000" w:themeColor="text1"/>
          <w:sz w:val="20"/>
          <w:szCs w:val="20"/>
        </w:rPr>
        <w:footnoteReference w:id="10"/>
      </w:r>
      <w:r w:rsidRPr="003E2347">
        <w:rPr>
          <w:rFonts w:ascii="Verdana" w:eastAsia="Calibri" w:hAnsi="Verdana" w:cs="Arial"/>
          <w:i/>
          <w:iCs/>
          <w:color w:val="000000" w:themeColor="text1"/>
          <w:sz w:val="20"/>
          <w:szCs w:val="20"/>
        </w:rPr>
        <w:t>.</w:t>
      </w:r>
    </w:p>
    <w:p w14:paraId="5FBA5053" w14:textId="77777777" w:rsidR="00854D71" w:rsidRDefault="00854D71" w:rsidP="00854D71">
      <w:pPr>
        <w:spacing w:before="120" w:line="276" w:lineRule="auto"/>
        <w:ind w:right="49" w:firstLine="709"/>
        <w:jc w:val="both"/>
        <w:rPr>
          <w:rFonts w:ascii="Verdana" w:hAnsi="Verdana" w:cs="Arial"/>
          <w:iCs/>
          <w:color w:val="000000" w:themeColor="text1"/>
        </w:rPr>
      </w:pPr>
      <w:r>
        <w:rPr>
          <w:rFonts w:ascii="Verdana" w:hAnsi="Verdana" w:cs="Arial"/>
          <w:iCs/>
          <w:color w:val="000000" w:themeColor="text1"/>
        </w:rPr>
        <w:t xml:space="preserve">De acuerdo con el criterio establecido en la providencia en cita, resulta claro que las entidades estatales sometidas regímenes especiales de contratación, si bien no tienen potestad sancionatoria por mérito de la ley, tienen la posibilidad de acudir a la autonomía de la voluntad para pactar el ejercicio de potestades unilateral. Sin embargo, los actos a través de los cuales se materialice el ejercicio de potestades unilaterales emanadas del ejercicio de la autonomía de la voluntad, en el marco de contratos estatales exceptuados del EGCAP, no pueden ser equiparados a actos administrativos, conforme lo precisa la providencia de unificación en cita al indicar que: </w:t>
      </w:r>
    </w:p>
    <w:p w14:paraId="09A86BC1" w14:textId="77777777" w:rsidR="00854D71" w:rsidRPr="003E2347" w:rsidRDefault="00854D71" w:rsidP="00854D71">
      <w:pPr>
        <w:spacing w:before="120" w:line="240" w:lineRule="auto"/>
        <w:ind w:left="709" w:right="709"/>
        <w:jc w:val="both"/>
        <w:rPr>
          <w:rFonts w:ascii="Verdana" w:hAnsi="Verdana" w:cs="Arial"/>
          <w:iCs/>
          <w:color w:val="000000" w:themeColor="text1"/>
          <w:sz w:val="20"/>
          <w:szCs w:val="20"/>
        </w:rPr>
      </w:pPr>
      <w:r w:rsidRPr="003E2347">
        <w:rPr>
          <w:rFonts w:ascii="Verdana" w:hAnsi="Verdana" w:cs="Arial"/>
          <w:iCs/>
          <w:color w:val="000000" w:themeColor="text1"/>
          <w:sz w:val="20"/>
          <w:szCs w:val="20"/>
        </w:rPr>
        <w:t xml:space="preserve">“55. En esta línea, conviene enfatizar que </w:t>
      </w:r>
      <w:r w:rsidRPr="003E2347">
        <w:rPr>
          <w:rFonts w:ascii="Verdana" w:hAnsi="Verdana" w:cs="Arial"/>
          <w:i/>
          <w:iCs/>
          <w:color w:val="000000" w:themeColor="text1"/>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Pr="003E2347">
        <w:rPr>
          <w:rFonts w:ascii="Verdana" w:hAnsi="Verdana" w:cs="Arial"/>
          <w:iCs/>
          <w:color w:val="000000" w:themeColor="text1"/>
          <w:sz w:val="20"/>
          <w:szCs w:val="20"/>
        </w:rPr>
        <w:t xml:space="preserve">”. </w:t>
      </w:r>
    </w:p>
    <w:p w14:paraId="1D3A784C" w14:textId="77777777" w:rsidR="00854D71" w:rsidRPr="003E2347" w:rsidRDefault="00854D71" w:rsidP="00854D71">
      <w:pPr>
        <w:spacing w:before="120" w:line="240" w:lineRule="auto"/>
        <w:ind w:left="709" w:right="709"/>
        <w:jc w:val="both"/>
        <w:rPr>
          <w:rFonts w:ascii="Verdana" w:hAnsi="Verdana" w:cs="Arial"/>
          <w:iCs/>
          <w:color w:val="000000" w:themeColor="text1"/>
        </w:rPr>
      </w:pPr>
      <w:r w:rsidRPr="003E2347">
        <w:rPr>
          <w:rFonts w:ascii="Verdana" w:hAnsi="Verdana" w:cs="Arial"/>
          <w:iCs/>
          <w:color w:val="000000" w:themeColor="text1"/>
          <w:sz w:val="20"/>
          <w:szCs w:val="20"/>
        </w:rPr>
        <w:t>56. Como fruto de tal entendimiento, esta Corporación puntualizó que “</w:t>
      </w:r>
      <w:r w:rsidRPr="003E2347">
        <w:rPr>
          <w:rFonts w:ascii="Verdana" w:hAnsi="Verdana" w:cs="Arial"/>
          <w:i/>
          <w:iCs/>
          <w:color w:val="000000" w:themeColor="text1"/>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3E2347">
        <w:rPr>
          <w:rFonts w:ascii="Verdana" w:hAnsi="Verdana" w:cs="Arial"/>
          <w:iCs/>
          <w:color w:val="000000" w:themeColor="text1"/>
          <w:sz w:val="20"/>
          <w:szCs w:val="20"/>
        </w:rPr>
        <w:t>”</w:t>
      </w:r>
      <w:r w:rsidRPr="003E2347">
        <w:rPr>
          <w:rStyle w:val="Refdenotaalpie"/>
          <w:rFonts w:ascii="Verdana" w:hAnsi="Verdana" w:cs="Arial"/>
          <w:iCs/>
          <w:color w:val="000000" w:themeColor="text1"/>
          <w:sz w:val="20"/>
          <w:szCs w:val="20"/>
        </w:rPr>
        <w:footnoteReference w:id="11"/>
      </w:r>
      <w:r w:rsidRPr="003E2347">
        <w:rPr>
          <w:rFonts w:ascii="Verdana" w:hAnsi="Verdana" w:cs="Arial"/>
          <w:iCs/>
          <w:color w:val="000000" w:themeColor="text1"/>
          <w:sz w:val="20"/>
          <w:szCs w:val="20"/>
        </w:rPr>
        <w:t>; postura que ha venido siendo reiterada</w:t>
      </w:r>
      <w:r w:rsidRPr="003E2347">
        <w:rPr>
          <w:rStyle w:val="Refdenotaalpie"/>
          <w:rFonts w:ascii="Verdana" w:hAnsi="Verdana" w:cs="Arial"/>
          <w:iCs/>
          <w:color w:val="000000" w:themeColor="text1"/>
          <w:sz w:val="20"/>
          <w:szCs w:val="20"/>
        </w:rPr>
        <w:footnoteReference w:id="12"/>
      </w:r>
      <w:r w:rsidRPr="003E2347">
        <w:rPr>
          <w:rFonts w:ascii="Verdana" w:hAnsi="Verdana" w:cs="Arial"/>
          <w:iCs/>
          <w:color w:val="000000" w:themeColor="text1"/>
          <w:sz w:val="20"/>
          <w:szCs w:val="20"/>
        </w:rPr>
        <w:t xml:space="preserve"> y bajo la cual es posible indicar que la naturaleza de los actos unilaterales que emite una entidad estatal en desarrollo de contratos regidos por el derecho privado, se afilia a la categoría de actos contractuales y no a la de actos administrativos</w:t>
      </w:r>
      <w:r w:rsidRPr="003E2347">
        <w:rPr>
          <w:rStyle w:val="Refdenotaalpie"/>
          <w:rFonts w:ascii="Verdana" w:hAnsi="Verdana" w:cs="Arial"/>
          <w:iCs/>
          <w:color w:val="000000" w:themeColor="text1"/>
          <w:sz w:val="20"/>
          <w:szCs w:val="20"/>
        </w:rPr>
        <w:footnoteReference w:id="13"/>
      </w:r>
      <w:r w:rsidRPr="00BD3F94">
        <w:rPr>
          <w:rFonts w:ascii="Verdana" w:hAnsi="Verdana" w:cs="Arial"/>
          <w:iCs/>
          <w:color w:val="000000" w:themeColor="text1"/>
          <w:sz w:val="20"/>
          <w:szCs w:val="20"/>
          <w:vertAlign w:val="superscript"/>
        </w:rPr>
        <w:t>39.</w:t>
      </w:r>
      <w:r w:rsidRPr="003E2347">
        <w:rPr>
          <w:rFonts w:ascii="Verdana" w:hAnsi="Verdana" w:cs="Arial"/>
          <w:iCs/>
          <w:color w:val="000000" w:themeColor="text1"/>
          <w:sz w:val="20"/>
          <w:szCs w:val="20"/>
        </w:rPr>
        <w:t xml:space="preserve"> En estos términos, cuando una entidad pública está sometida al régimen de derecho común </w:t>
      </w:r>
      <w:r w:rsidRPr="003E2347">
        <w:rPr>
          <w:rFonts w:ascii="Verdana" w:hAnsi="Verdana" w:cs="Arial"/>
          <w:iCs/>
          <w:color w:val="000000" w:themeColor="text1"/>
          <w:sz w:val="20"/>
          <w:szCs w:val="20"/>
        </w:rPr>
        <w:lastRenderedPageBreak/>
        <w:t>debe “</w:t>
      </w:r>
      <w:r w:rsidRPr="003E2347">
        <w:rPr>
          <w:rFonts w:ascii="Verdana" w:hAnsi="Verdana" w:cs="Arial"/>
          <w:i/>
          <w:iCs/>
          <w:color w:val="000000" w:themeColor="text1"/>
          <w:sz w:val="20"/>
          <w:szCs w:val="20"/>
        </w:rPr>
        <w:t>actuar en las mismas condiciones que un particular, por lo cual no estaba habilitada para expedir un acto administrativo</w:t>
      </w:r>
      <w:r w:rsidRPr="003E2347">
        <w:rPr>
          <w:rFonts w:ascii="Verdana" w:hAnsi="Verdana" w:cs="Arial"/>
          <w:iCs/>
          <w:color w:val="000000" w:themeColor="text1"/>
          <w:sz w:val="20"/>
          <w:szCs w:val="20"/>
        </w:rPr>
        <w:t>”</w:t>
      </w:r>
      <w:r w:rsidRPr="003E2347">
        <w:rPr>
          <w:rStyle w:val="Refdenotaalpie"/>
          <w:rFonts w:ascii="Verdana" w:hAnsi="Verdana" w:cs="Arial"/>
          <w:iCs/>
          <w:color w:val="000000" w:themeColor="text1"/>
          <w:sz w:val="20"/>
          <w:szCs w:val="20"/>
        </w:rPr>
        <w:footnoteReference w:id="14"/>
      </w:r>
      <w:r w:rsidRPr="003E2347">
        <w:rPr>
          <w:rFonts w:ascii="Verdana" w:hAnsi="Verdana" w:cs="Arial"/>
          <w:iCs/>
          <w:color w:val="000000" w:themeColor="text1"/>
          <w:sz w:val="20"/>
          <w:szCs w:val="20"/>
        </w:rPr>
        <w:t>, ni puede adjudicarse, por sí misma, competencias que son de rango legal</w:t>
      </w:r>
      <w:r w:rsidRPr="003E2347">
        <w:rPr>
          <w:rStyle w:val="Refdenotaalpie"/>
          <w:rFonts w:ascii="Verdana" w:hAnsi="Verdana" w:cs="Arial"/>
          <w:iCs/>
          <w:color w:val="000000" w:themeColor="text1"/>
          <w:sz w:val="20"/>
          <w:szCs w:val="20"/>
        </w:rPr>
        <w:footnoteReference w:id="15"/>
      </w:r>
      <w:r w:rsidRPr="003E2347">
        <w:rPr>
          <w:rFonts w:ascii="Verdana" w:hAnsi="Verdana" w:cs="Arial"/>
          <w:iCs/>
          <w:color w:val="000000" w:themeColor="text1"/>
          <w:sz w:val="20"/>
          <w:szCs w:val="20"/>
        </w:rPr>
        <w:t xml:space="preserve"> -sin perjuicio de aquellas hipótesis en que el legislador ha autorizado de manera excepcional la posibilidad de que las ESP puedan expedir actos administrativos</w:t>
      </w:r>
      <w:proofErr w:type="gramStart"/>
      <w:r w:rsidRPr="003E2347">
        <w:rPr>
          <w:rFonts w:ascii="Verdana" w:hAnsi="Verdana" w:cs="Arial"/>
          <w:iCs/>
          <w:color w:val="000000" w:themeColor="text1"/>
          <w:sz w:val="20"/>
          <w:szCs w:val="20"/>
        </w:rPr>
        <w:t>-</w:t>
      </w:r>
      <w:r>
        <w:rPr>
          <w:rFonts w:ascii="Verdana" w:hAnsi="Verdana" w:cs="Arial"/>
          <w:iCs/>
          <w:color w:val="000000" w:themeColor="text1"/>
          <w:sz w:val="20"/>
          <w:szCs w:val="20"/>
        </w:rPr>
        <w:t>“</w:t>
      </w:r>
      <w:proofErr w:type="gramEnd"/>
      <w:r>
        <w:rPr>
          <w:rFonts w:ascii="Verdana" w:hAnsi="Verdana" w:cs="Arial"/>
          <w:iCs/>
          <w:color w:val="000000" w:themeColor="text1"/>
          <w:sz w:val="20"/>
          <w:szCs w:val="20"/>
        </w:rPr>
        <w:t xml:space="preserve">. </w:t>
      </w:r>
      <w:r w:rsidRPr="003E2347">
        <w:rPr>
          <w:rFonts w:ascii="Verdana" w:hAnsi="Verdana" w:cs="Arial"/>
          <w:iCs/>
          <w:color w:val="000000" w:themeColor="text1"/>
          <w:sz w:val="20"/>
          <w:szCs w:val="20"/>
        </w:rPr>
        <w:t xml:space="preserve"> </w:t>
      </w:r>
      <w:r>
        <w:rPr>
          <w:rFonts w:ascii="Verdana" w:hAnsi="Verdana" w:cs="Arial"/>
          <w:iCs/>
          <w:color w:val="000000" w:themeColor="text1"/>
        </w:rPr>
        <w:t xml:space="preserve"> </w:t>
      </w:r>
    </w:p>
    <w:p w14:paraId="6725C363" w14:textId="77777777" w:rsidR="00854D71" w:rsidRPr="008853DE" w:rsidRDefault="00854D71" w:rsidP="00854D71">
      <w:pPr>
        <w:spacing w:before="120" w:after="120" w:line="276" w:lineRule="auto"/>
        <w:ind w:firstLine="709"/>
        <w:jc w:val="both"/>
        <w:rPr>
          <w:rFonts w:ascii="Arial" w:eastAsia="Calibri" w:hAnsi="Arial" w:cs="Arial"/>
          <w:color w:val="000000" w:themeColor="text1"/>
          <w:lang w:val="es-ES_tradnl"/>
        </w:rPr>
      </w:pPr>
      <w:r w:rsidRPr="003E2347">
        <w:rPr>
          <w:rFonts w:ascii="Verdana" w:hAnsi="Verdana" w:cs="Arial"/>
          <w:iCs/>
          <w:color w:val="000000" w:themeColor="text1"/>
        </w:rPr>
        <w:t xml:space="preserve">Conforme </w:t>
      </w:r>
      <w:r>
        <w:rPr>
          <w:rFonts w:ascii="Verdana" w:hAnsi="Verdana" w:cs="Arial"/>
          <w:iCs/>
          <w:color w:val="000000" w:themeColor="text1"/>
        </w:rPr>
        <w:t>con</w:t>
      </w:r>
      <w:r w:rsidRPr="003E2347">
        <w:rPr>
          <w:rFonts w:ascii="Verdana" w:hAnsi="Verdana" w:cs="Arial"/>
          <w:iCs/>
          <w:color w:val="000000" w:themeColor="text1"/>
        </w:rPr>
        <w:t xml:space="preserve"> lo anterior, es claro que, de acuerdo con la jurisprudencia de la </w:t>
      </w:r>
      <w:r>
        <w:rPr>
          <w:rFonts w:ascii="Verdana" w:hAnsi="Verdana" w:cs="Arial"/>
          <w:iCs/>
          <w:color w:val="000000" w:themeColor="text1"/>
        </w:rPr>
        <w:t xml:space="preserve">Sala Plena de la </w:t>
      </w:r>
      <w:r w:rsidRPr="003E2347">
        <w:rPr>
          <w:rFonts w:ascii="Verdana" w:hAnsi="Verdana" w:cs="Arial"/>
          <w:iCs/>
          <w:color w:val="000000" w:themeColor="text1"/>
        </w:rPr>
        <w:t>Sección Tercera del Consejo de Estado, es viable que entidades estatales exceptuadas del EGCP, ejerzan la autonomía de la voluntad estableciendo potestades de ejercicio unilateral</w:t>
      </w:r>
      <w:r>
        <w:rPr>
          <w:rFonts w:ascii="Verdana" w:hAnsi="Verdana" w:cs="Arial"/>
          <w:iCs/>
          <w:color w:val="000000" w:themeColor="text1"/>
        </w:rPr>
        <w:t xml:space="preserve"> y fijando </w:t>
      </w:r>
      <w:r w:rsidRPr="003E2347">
        <w:rPr>
          <w:rFonts w:ascii="Verdana" w:hAnsi="Verdana" w:cs="Arial"/>
          <w:iCs/>
          <w:color w:val="000000" w:themeColor="text1"/>
        </w:rPr>
        <w:t>los mecanismos para hacerlas efectivas. No obstante, a diferencia de lo que sucede con los actos que se expiden como consecuencia del procedimiento establecido en el artículo 86 de la Ley 1474 de 2011, los actos que resultan del ejercicio de estas potestades no son considerados actos administrativos sino contractuales, lo cual tiene distintas consecuencia, como por ejemplo, la inviabilidad de ser cuestionados a través del medio de control de nulidad y restablecimiento del derecho establecido en el artículo 137 de la Ley 1437 de 2011, sin perjuicio de la procedencia del de controversias contractuales contemplado en el artículo 141 de dicho cuerpo normativo</w:t>
      </w:r>
      <w:r>
        <w:rPr>
          <w:rFonts w:ascii="Verdana" w:hAnsi="Verdana" w:cs="Arial"/>
          <w:iCs/>
          <w:color w:val="000000" w:themeColor="text1"/>
        </w:rPr>
        <w:t>,</w:t>
      </w:r>
      <w:r w:rsidRPr="00272295">
        <w:rPr>
          <w:rFonts w:ascii="Verdana" w:hAnsi="Verdana" w:cs="Arial"/>
          <w:iCs/>
          <w:color w:val="000000" w:themeColor="text1"/>
        </w:rPr>
        <w:t xml:space="preserve"> </w:t>
      </w:r>
      <w:r w:rsidRPr="00272295">
        <w:rPr>
          <w:rFonts w:ascii="Verdana" w:eastAsia="Calibri" w:hAnsi="Verdana" w:cs="Arial"/>
          <w:color w:val="000000" w:themeColor="text1"/>
          <w:lang w:val="es-ES_tradnl"/>
        </w:rPr>
        <w:t xml:space="preserve">que, como lo ha indicado la jurisprudencia, es un medio de control </w:t>
      </w:r>
      <w:r>
        <w:rPr>
          <w:rFonts w:ascii="Verdana" w:eastAsia="Calibri" w:hAnsi="Verdana" w:cs="Arial"/>
          <w:color w:val="000000" w:themeColor="text1"/>
          <w:lang w:val="es-ES_tradnl"/>
        </w:rPr>
        <w:t>“</w:t>
      </w:r>
      <w:proofErr w:type="spellStart"/>
      <w:r w:rsidRPr="00272295">
        <w:rPr>
          <w:rFonts w:ascii="Verdana" w:eastAsia="Calibri" w:hAnsi="Verdana" w:cs="Arial"/>
          <w:color w:val="000000" w:themeColor="text1"/>
          <w:lang w:val="es-ES_tradnl"/>
        </w:rPr>
        <w:t>pluripretensional</w:t>
      </w:r>
      <w:proofErr w:type="spellEnd"/>
      <w:r>
        <w:rPr>
          <w:rFonts w:ascii="Verdana" w:eastAsia="Calibri" w:hAnsi="Verdana" w:cs="Arial"/>
          <w:color w:val="000000" w:themeColor="text1"/>
          <w:lang w:val="es-ES_tradnl"/>
        </w:rPr>
        <w:t>”</w:t>
      </w:r>
      <w:r w:rsidRPr="00272295">
        <w:rPr>
          <w:rStyle w:val="Refdenotaalpie"/>
          <w:rFonts w:ascii="Verdana" w:eastAsia="Calibri" w:hAnsi="Verdana" w:cs="Arial"/>
          <w:color w:val="000000" w:themeColor="text1"/>
          <w:lang w:val="es-ES_tradnl"/>
        </w:rPr>
        <w:footnoteReference w:id="16"/>
      </w:r>
      <w:r w:rsidRPr="00272295">
        <w:rPr>
          <w:rFonts w:ascii="Verdana" w:eastAsia="Calibri" w:hAnsi="Verdana" w:cs="Arial"/>
          <w:color w:val="000000" w:themeColor="text1"/>
          <w:lang w:val="es-ES_tradnl"/>
        </w:rPr>
        <w:t xml:space="preserve">, pues admite canalizar a través de él múltiples pretensiones, como la solicitud de declaratoria de incumplimiento y consecuencialmente la imposición de las sanciones estipuladas en el contrato. En efecto, dicho artículo establece que en la demanda se puede pedir </w:t>
      </w:r>
      <w:r>
        <w:rPr>
          <w:rFonts w:ascii="Verdana" w:eastAsia="Calibri" w:hAnsi="Verdana" w:cs="Arial"/>
          <w:color w:val="000000" w:themeColor="text1"/>
          <w:lang w:val="es-ES_tradnl"/>
        </w:rPr>
        <w:t>“</w:t>
      </w:r>
      <w:r w:rsidRPr="00272295">
        <w:rPr>
          <w:rFonts w:ascii="Verdana" w:eastAsia="Calibri" w:hAnsi="Verdana" w:cs="Arial"/>
          <w:color w:val="000000" w:themeColor="text1"/>
          <w:lang w:val="es-ES_tradnl"/>
        </w:rPr>
        <w:t>que se declare su existencia o su nulidad, que se ordene su revisión, que se declare su incumplimiento, que se declare la nulidad de los actos administrativos contractuales, que se condene al responsable a indemnizar los perjuicios, y que se hagan otras declaraciones y condenas</w:t>
      </w:r>
      <w:r>
        <w:rPr>
          <w:rFonts w:ascii="Verdana" w:eastAsia="Calibri" w:hAnsi="Verdana" w:cs="Arial"/>
          <w:color w:val="000000" w:themeColor="text1"/>
          <w:lang w:val="es-ES_tradnl"/>
        </w:rPr>
        <w:t>”</w:t>
      </w:r>
      <w:r w:rsidRPr="00272295">
        <w:rPr>
          <w:rFonts w:ascii="Verdana" w:eastAsia="Calibri" w:hAnsi="Verdana" w:cs="Arial"/>
          <w:color w:val="000000" w:themeColor="text1"/>
          <w:lang w:val="es-ES_tradnl"/>
        </w:rPr>
        <w:t>.</w:t>
      </w:r>
      <w:r w:rsidRPr="008853DE">
        <w:rPr>
          <w:rFonts w:ascii="Arial" w:eastAsia="Calibri" w:hAnsi="Arial" w:cs="Arial"/>
          <w:color w:val="000000" w:themeColor="text1"/>
          <w:lang w:val="es-ES_tradnl"/>
        </w:rPr>
        <w:t xml:space="preserve"> </w:t>
      </w:r>
    </w:p>
    <w:p w14:paraId="2EC5AD9E" w14:textId="77777777" w:rsidR="00854D71" w:rsidRPr="00BE4E34" w:rsidRDefault="00854D71" w:rsidP="00854D71">
      <w:pPr>
        <w:spacing w:after="120" w:line="276" w:lineRule="auto"/>
        <w:ind w:firstLine="709"/>
        <w:jc w:val="both"/>
        <w:rPr>
          <w:rFonts w:ascii="Verdana" w:eastAsia="Calibri" w:hAnsi="Verdana" w:cs="Arial"/>
        </w:rPr>
      </w:pPr>
      <w:r w:rsidRPr="003E2347">
        <w:rPr>
          <w:rFonts w:ascii="Verdana" w:hAnsi="Verdana" w:cs="Arial"/>
          <w:iCs/>
          <w:color w:val="000000" w:themeColor="text1"/>
        </w:rPr>
        <w:t xml:space="preserve"> </w:t>
      </w:r>
      <w:r>
        <w:rPr>
          <w:rFonts w:ascii="Verdana" w:eastAsia="Calibri" w:hAnsi="Verdana" w:cs="Arial"/>
          <w:lang w:val="es-ES_tradnl"/>
        </w:rPr>
        <w:t>Esto resulta coherente con la jurisprudencia de</w:t>
      </w:r>
      <w:r w:rsidRPr="00BE4E34">
        <w:rPr>
          <w:rFonts w:ascii="Verdana" w:eastAsia="Calibri" w:hAnsi="Verdana" w:cs="Arial"/>
          <w:lang w:val="es-ES_tradnl"/>
        </w:rPr>
        <w:t xml:space="preserve"> </w:t>
      </w:r>
      <w:r w:rsidRPr="00BE4E34">
        <w:rPr>
          <w:rFonts w:ascii="Verdana" w:eastAsia="Calibri" w:hAnsi="Verdana" w:cs="Arial"/>
        </w:rPr>
        <w:t xml:space="preserve">la </w:t>
      </w:r>
      <w:r>
        <w:rPr>
          <w:rFonts w:ascii="Verdana" w:eastAsia="Calibri" w:hAnsi="Verdana" w:cs="Arial"/>
        </w:rPr>
        <w:t xml:space="preserve">Sala de Casación Civil de la </w:t>
      </w:r>
      <w:r w:rsidRPr="00BE4E34">
        <w:rPr>
          <w:rFonts w:ascii="Verdana" w:eastAsia="Calibri" w:hAnsi="Verdana" w:cs="Arial"/>
        </w:rPr>
        <w:t xml:space="preserve">Corte Suprema de Justicia </w:t>
      </w:r>
      <w:r>
        <w:rPr>
          <w:rFonts w:ascii="Verdana" w:eastAsia="Calibri" w:hAnsi="Verdana" w:cs="Arial"/>
        </w:rPr>
        <w:t xml:space="preserve">que </w:t>
      </w:r>
      <w:r w:rsidRPr="00BE4E34">
        <w:rPr>
          <w:rFonts w:ascii="Verdana" w:eastAsia="Calibri" w:hAnsi="Verdana" w:cs="Arial"/>
        </w:rPr>
        <w:t>confirm</w:t>
      </w:r>
      <w:r>
        <w:rPr>
          <w:rFonts w:ascii="Verdana" w:eastAsia="Calibri" w:hAnsi="Verdana" w:cs="Arial"/>
        </w:rPr>
        <w:t>a</w:t>
      </w:r>
      <w:r w:rsidRPr="00BE4E34">
        <w:rPr>
          <w:rFonts w:ascii="Verdana" w:eastAsia="Calibri" w:hAnsi="Verdana" w:cs="Arial"/>
        </w:rPr>
        <w:t xml:space="preserve"> la validez del pacto de poderes unilaterales en el marco de los contratos de derecho privado, </w:t>
      </w:r>
      <w:r>
        <w:rPr>
          <w:rFonts w:ascii="Verdana" w:eastAsia="Calibri" w:hAnsi="Verdana" w:cs="Arial"/>
        </w:rPr>
        <w:t xml:space="preserve">como expresión de </w:t>
      </w:r>
      <w:r w:rsidRPr="00BE4E34">
        <w:rPr>
          <w:rFonts w:ascii="Verdana" w:eastAsia="Calibri" w:hAnsi="Verdana" w:cs="Arial"/>
        </w:rPr>
        <w:lastRenderedPageBreak/>
        <w:t xml:space="preserve">la capacidad negocial de las partes </w:t>
      </w:r>
      <w:r>
        <w:rPr>
          <w:rFonts w:ascii="Verdana" w:eastAsia="Calibri" w:hAnsi="Verdana" w:cs="Arial"/>
        </w:rPr>
        <w:t>amparada</w:t>
      </w:r>
      <w:r w:rsidRPr="00BE4E34">
        <w:rPr>
          <w:rFonts w:ascii="Verdana" w:eastAsia="Calibri" w:hAnsi="Verdana" w:cs="Arial"/>
        </w:rPr>
        <w:t xml:space="preserve"> su autonomía de la voluntad</w:t>
      </w:r>
      <w:r>
        <w:rPr>
          <w:rFonts w:ascii="Verdana" w:eastAsia="Calibri" w:hAnsi="Verdana" w:cs="Arial"/>
        </w:rPr>
        <w:t xml:space="preserve">, que se materializa a través </w:t>
      </w:r>
      <w:r w:rsidRPr="00BE4E34">
        <w:rPr>
          <w:rFonts w:ascii="Verdana" w:eastAsia="Calibri" w:hAnsi="Verdana" w:cs="Arial"/>
        </w:rPr>
        <w:t>actos</w:t>
      </w:r>
      <w:r>
        <w:rPr>
          <w:rFonts w:ascii="Verdana" w:eastAsia="Calibri" w:hAnsi="Verdana" w:cs="Arial"/>
        </w:rPr>
        <w:t xml:space="preserve"> </w:t>
      </w:r>
      <w:r w:rsidRPr="00BE4E34">
        <w:rPr>
          <w:rFonts w:ascii="Verdana" w:eastAsia="Calibri" w:hAnsi="Verdana" w:cs="Arial"/>
        </w:rPr>
        <w:t>jurídicos unilaterales de derecho privado</w:t>
      </w:r>
      <w:r w:rsidRPr="00BE4E34">
        <w:rPr>
          <w:rStyle w:val="Refdenotaalpie"/>
          <w:rFonts w:ascii="Verdana" w:eastAsia="Calibri" w:hAnsi="Verdana" w:cs="Arial"/>
        </w:rPr>
        <w:footnoteReference w:id="17"/>
      </w:r>
      <w:r w:rsidRPr="00BE4E34">
        <w:rPr>
          <w:rFonts w:ascii="Verdana" w:eastAsia="Calibri" w:hAnsi="Verdana" w:cs="Arial"/>
        </w:rPr>
        <w:t>.</w:t>
      </w:r>
    </w:p>
    <w:p w14:paraId="70A25B84" w14:textId="77777777" w:rsidR="00854D71" w:rsidRDefault="00854D71" w:rsidP="00854D71">
      <w:pPr>
        <w:spacing w:before="120" w:after="120" w:line="276" w:lineRule="auto"/>
        <w:ind w:firstLine="709"/>
        <w:jc w:val="both"/>
        <w:rPr>
          <w:rFonts w:ascii="Verdana" w:eastAsia="Calibri" w:hAnsi="Verdana" w:cs="Arial"/>
          <w:color w:val="000000" w:themeColor="text1"/>
        </w:rPr>
      </w:pPr>
      <w:r w:rsidRPr="003C4BBC">
        <w:rPr>
          <w:rFonts w:ascii="Verdana" w:eastAsia="Calibri" w:hAnsi="Verdana" w:cs="Arial"/>
          <w:color w:val="000000" w:themeColor="text1"/>
        </w:rPr>
        <w:t xml:space="preserve">En ese orden, si bien el ejercicio de potestades unilaterales no se encuentra previsto </w:t>
      </w:r>
      <w:r>
        <w:rPr>
          <w:rFonts w:ascii="Verdana" w:eastAsia="Calibri" w:hAnsi="Verdana" w:cs="Arial"/>
          <w:color w:val="000000" w:themeColor="text1"/>
        </w:rPr>
        <w:t xml:space="preserve">para las entidades con </w:t>
      </w:r>
      <w:r w:rsidRPr="003C4BBC">
        <w:rPr>
          <w:rFonts w:ascii="Verdana" w:eastAsia="Calibri" w:hAnsi="Verdana" w:cs="Arial"/>
          <w:color w:val="000000" w:themeColor="text1"/>
        </w:rPr>
        <w:t>régimen de contratación</w:t>
      </w:r>
      <w:r>
        <w:rPr>
          <w:rFonts w:ascii="Verdana" w:eastAsia="Calibri" w:hAnsi="Verdana" w:cs="Arial"/>
          <w:color w:val="000000" w:themeColor="text1"/>
        </w:rPr>
        <w:t xml:space="preserve"> especial, salvo excepciones ya descritas</w:t>
      </w:r>
      <w:r w:rsidRPr="003C4BBC">
        <w:rPr>
          <w:rFonts w:ascii="Verdana" w:eastAsia="Calibri" w:hAnsi="Verdana" w:cs="Arial"/>
          <w:color w:val="000000" w:themeColor="text1"/>
        </w:rPr>
        <w:t>, pueden hacer uso de la autonomía de la voluntad estableciendo estipulaciones que de manera expresa reconozcan la posibilidad de acudir a este tipo de facultades. En todo caso, al no tener origen en la ley sino en la autonomía de la voluntad, los actos que se expidan en ejercicio de tales potestades no tendrían el carácter de actos administrativos sino de actos contractuales.</w:t>
      </w:r>
    </w:p>
    <w:p w14:paraId="1F9DBDFB" w14:textId="77777777" w:rsidR="00854D71" w:rsidRPr="003E2347" w:rsidRDefault="00854D71" w:rsidP="00854D71">
      <w:pPr>
        <w:spacing w:before="120" w:line="276" w:lineRule="auto"/>
        <w:jc w:val="both"/>
        <w:rPr>
          <w:rFonts w:ascii="Verdana" w:hAnsi="Verdana" w:cs="Arial"/>
          <w:color w:val="000000" w:themeColor="text1"/>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3E2347">
        <w:rPr>
          <w:rFonts w:ascii="Verdana" w:eastAsia="Calibri" w:hAnsi="Verdana" w:cs="Arial"/>
          <w:color w:val="000000" w:themeColor="text1"/>
        </w:rPr>
        <w:t xml:space="preserve">De otra parte, en cuanto a </w:t>
      </w:r>
      <w:r w:rsidRPr="003E2347">
        <w:rPr>
          <w:rFonts w:ascii="Verdana" w:hAnsi="Verdana" w:cs="Arial"/>
          <w:color w:val="000000" w:themeColor="text1"/>
        </w:rPr>
        <w:t>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018E16BC" w14:textId="77777777" w:rsidR="00854D71" w:rsidRPr="003E2347" w:rsidRDefault="00854D71" w:rsidP="00854D71">
      <w:pPr>
        <w:spacing w:before="120" w:line="276" w:lineRule="auto"/>
        <w:ind w:firstLine="708"/>
        <w:jc w:val="both"/>
        <w:rPr>
          <w:rFonts w:ascii="Verdana" w:hAnsi="Verdana" w:cs="Arial"/>
          <w:color w:val="000000" w:themeColor="text1"/>
        </w:rPr>
      </w:pPr>
      <w:r w:rsidRPr="003E2347">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430AE7E3" w14:textId="77777777" w:rsidR="00854D71" w:rsidRPr="003E2347" w:rsidRDefault="00854D71" w:rsidP="00854D71">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proofErr w:type="spellStart"/>
      <w:r w:rsidRPr="003E2347">
        <w:rPr>
          <w:rFonts w:ascii="Verdana" w:hAnsi="Verdana" w:cs="Arial"/>
        </w:rPr>
        <w:t>ii</w:t>
      </w:r>
      <w:proofErr w:type="spellEnd"/>
      <w:r w:rsidRPr="003E2347">
        <w:rPr>
          <w:rFonts w:ascii="Verdana" w:hAnsi="Verdana" w:cs="Arial"/>
        </w:rPr>
        <w:t xml:space="preserve">) fiducia mercantil de garantía, que es un contrato que suscribe el oferente, </w:t>
      </w:r>
      <w:r w:rsidRPr="003E2347">
        <w:rPr>
          <w:rFonts w:ascii="Verdana" w:hAnsi="Verdana" w:cs="Arial"/>
        </w:rPr>
        <w:lastRenderedPageBreak/>
        <w:t>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18"/>
      </w:r>
      <w:r w:rsidRPr="003E2347">
        <w:rPr>
          <w:rFonts w:ascii="Verdana" w:hAnsi="Verdana" w:cs="Arial"/>
        </w:rPr>
        <w:t xml:space="preserve">;  </w:t>
      </w:r>
      <w:proofErr w:type="spellStart"/>
      <w:r w:rsidRPr="003E2347">
        <w:rPr>
          <w:rFonts w:ascii="Verdana" w:hAnsi="Verdana" w:cs="Arial"/>
        </w:rPr>
        <w:t>iii</w:t>
      </w:r>
      <w:proofErr w:type="spellEnd"/>
      <w:r w:rsidRPr="003E2347">
        <w:rPr>
          <w:rFonts w:ascii="Verdana" w:hAnsi="Verdana" w:cs="Arial"/>
        </w:rPr>
        <w:t xml:space="preserve">) garantías bancarias o cartas de crédito </w:t>
      </w:r>
      <w:r w:rsidRPr="003E2347">
        <w:rPr>
          <w:rFonts w:ascii="Verdana" w:hAnsi="Verdana" w:cs="Arial"/>
          <w:i/>
          <w:iCs/>
        </w:rPr>
        <w:t>stand</w:t>
      </w:r>
      <w:r w:rsidRPr="003E2347">
        <w:rPr>
          <w:rFonts w:ascii="Verdana" w:hAnsi="Verdana" w:cs="Arial"/>
        </w:rPr>
        <w:t xml:space="preserve"> </w:t>
      </w:r>
      <w:proofErr w:type="spellStart"/>
      <w:r w:rsidRPr="003E2347">
        <w:rPr>
          <w:rFonts w:ascii="Verdana" w:hAnsi="Verdana" w:cs="Arial"/>
          <w:i/>
          <w:iCs/>
        </w:rPr>
        <w:t>by</w:t>
      </w:r>
      <w:proofErr w:type="spellEnd"/>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19"/>
      </w:r>
      <w:r w:rsidRPr="003E2347">
        <w:rPr>
          <w:rFonts w:ascii="Verdana" w:hAnsi="Verdana" w:cs="Arial"/>
        </w:rPr>
        <w:t>. La suficiencia y la vigencia de las garantías deben ser las reguladas en los artículos 2.2.1.2.3.1.9 a 2.2.1.2.3.1.16 del Decreto 1082 de 2015.</w:t>
      </w:r>
    </w:p>
    <w:p w14:paraId="146ED526" w14:textId="77777777" w:rsidR="00854D71" w:rsidRPr="003E2347" w:rsidRDefault="00854D71" w:rsidP="00854D71">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t xml:space="preserve">Con todo, en respuesta a la consulta de la referencia, se debe indicar que este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aplicables a las entidades estatales que están sometidas a regímenes especiales, dado que están llamadas a aplicar los mecanismos de cobertura del riesgo que resulten pertinentes de acuerdo con lo establecidos en estatuto interno de contratación.</w:t>
      </w:r>
    </w:p>
    <w:p w14:paraId="7AF3BE09" w14:textId="77777777" w:rsidR="00854D71" w:rsidRDefault="00854D71" w:rsidP="00854D71">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Pr="00BE4E34">
        <w:rPr>
          <w:rFonts w:ascii="Verdana" w:eastAsia="Calibri" w:hAnsi="Verdana" w:cs="Arial"/>
        </w:rPr>
        <w:t>, frente a la</w:t>
      </w:r>
      <w:r>
        <w:rPr>
          <w:rFonts w:ascii="Verdana" w:eastAsia="Calibri" w:hAnsi="Verdana" w:cs="Arial"/>
        </w:rPr>
        <w:t xml:space="preserve"> implementación de mecanismos de cobertura del riesgo como el contrato de seguro, su aplicación por parte de entidades de régimen especial implica ciertas distinciones en comparación con el régimen de contratación general. Por ejemplo, para la </w:t>
      </w:r>
      <w:r w:rsidRPr="00BE4E34">
        <w:rPr>
          <w:rFonts w:ascii="Verdana" w:eastAsia="Calibri" w:hAnsi="Verdana" w:cs="Arial"/>
        </w:rPr>
        <w:t>declaratoria del siniestro que da lugar al cobro de la póliza de cumplimiento, las entidades de régimen especial debe</w:t>
      </w:r>
      <w:r>
        <w:rPr>
          <w:rFonts w:ascii="Verdana" w:eastAsia="Calibri" w:hAnsi="Verdana" w:cs="Arial"/>
        </w:rPr>
        <w:t>n</w:t>
      </w:r>
      <w:r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 resulta particularmente relevante, considerando que, de acuerdo con lo antes explicado,</w:t>
      </w:r>
      <w:r w:rsidRPr="00BE4E34">
        <w:rPr>
          <w:rFonts w:ascii="Verdana" w:eastAsia="Calibri" w:hAnsi="Verdana" w:cs="Arial"/>
        </w:rPr>
        <w:t xml:space="preserve"> </w:t>
      </w:r>
      <w:r>
        <w:rPr>
          <w:rFonts w:ascii="Verdana" w:eastAsia="Calibri" w:hAnsi="Verdana" w:cs="Arial"/>
        </w:rPr>
        <w:t xml:space="preserve">las entidades estatales de régimen especial no tienen la posibilidad de </w:t>
      </w:r>
      <w:r w:rsidRPr="00BE4E34">
        <w:rPr>
          <w:rFonts w:ascii="Verdana" w:eastAsia="Calibri" w:hAnsi="Verdana" w:cs="Arial"/>
        </w:rPr>
        <w:t xml:space="preserve">expedir actos administrativos </w:t>
      </w:r>
      <w:r>
        <w:rPr>
          <w:rFonts w:ascii="Verdana" w:eastAsia="Calibri" w:hAnsi="Verdana" w:cs="Arial"/>
        </w:rPr>
        <w:t>tendientes</w:t>
      </w:r>
      <w:r w:rsidRPr="00BE4E34">
        <w:rPr>
          <w:rFonts w:ascii="Verdana" w:eastAsia="Calibri" w:hAnsi="Verdana" w:cs="Arial"/>
        </w:rPr>
        <w:t xml:space="preserve"> declarar el incumplimiento</w:t>
      </w:r>
      <w:r>
        <w:rPr>
          <w:rFonts w:ascii="Verdana" w:eastAsia="Calibri" w:hAnsi="Verdana" w:cs="Arial"/>
        </w:rPr>
        <w:t>, materializar el siniestro</w:t>
      </w:r>
      <w:r w:rsidRPr="00BE4E34">
        <w:rPr>
          <w:rFonts w:ascii="Verdana" w:eastAsia="Calibri" w:hAnsi="Verdana" w:cs="Arial"/>
        </w:rPr>
        <w:t xml:space="preserve"> y hacer efectivo el amparo de la póliza del seguro de cumplimiento.</w:t>
      </w:r>
      <w:r>
        <w:rPr>
          <w:rFonts w:ascii="Verdana" w:eastAsia="Calibri" w:hAnsi="Verdana" w:cs="Arial"/>
        </w:rPr>
        <w:t xml:space="preserve"> </w:t>
      </w:r>
    </w:p>
    <w:p w14:paraId="73CE580D" w14:textId="77777777" w:rsidR="00854D71" w:rsidRDefault="00854D71" w:rsidP="00854D71">
      <w:pPr>
        <w:tabs>
          <w:tab w:val="left" w:pos="567"/>
        </w:tabs>
        <w:spacing w:after="120" w:line="276" w:lineRule="auto"/>
        <w:ind w:firstLine="567"/>
        <w:jc w:val="both"/>
        <w:rPr>
          <w:rFonts w:ascii="Verdana" w:eastAsia="Calibri" w:hAnsi="Verdana" w:cs="Arial"/>
        </w:rPr>
      </w:pPr>
      <w:r>
        <w:rPr>
          <w:rFonts w:ascii="Verdana" w:eastAsia="Calibri" w:hAnsi="Verdana" w:cs="Arial"/>
        </w:rPr>
        <w:lastRenderedPageBreak/>
        <w:t xml:space="preserve">Por lo tanto, </w:t>
      </w:r>
      <w:r w:rsidRPr="00CB471F">
        <w:rPr>
          <w:rFonts w:ascii="Verdana" w:eastAsia="Calibri" w:hAnsi="Verdana" w:cs="Arial"/>
        </w:rPr>
        <w:t xml:space="preserve">una entidad estatal cuyos actos y contratos se rijan por el derecho privado, deberá realizar las mismas actuaciones que el resto de los sujetos de derecho privado; así, para el caso del contrato de seguros, deberá acudir a la aseguradora </w:t>
      </w:r>
      <w:r>
        <w:rPr>
          <w:rFonts w:ascii="Verdana" w:eastAsia="Calibri" w:hAnsi="Verdana" w:cs="Arial"/>
        </w:rPr>
        <w:t>con el fin de</w:t>
      </w:r>
      <w:r w:rsidRPr="00CB471F">
        <w:rPr>
          <w:rFonts w:ascii="Verdana" w:eastAsia="Calibri" w:hAnsi="Verdana" w:cs="Arial"/>
        </w:rPr>
        <w:t xml:space="preserve"> demostrar la ocurrencia del siniestro y la cuantía de los perjuicios</w:t>
      </w:r>
      <w:r>
        <w:rPr>
          <w:rStyle w:val="Refdenotaalpie"/>
          <w:rFonts w:ascii="Verdana" w:eastAsia="Calibri" w:hAnsi="Verdana" w:cs="Arial"/>
        </w:rPr>
        <w:footnoteReference w:id="20"/>
      </w:r>
      <w:r w:rsidRPr="00CB471F">
        <w:rPr>
          <w:rFonts w:ascii="Verdana" w:eastAsia="Calibri" w:hAnsi="Verdana" w:cs="Arial"/>
        </w:rPr>
        <w:t xml:space="preserve">.  </w:t>
      </w:r>
    </w:p>
    <w:p w14:paraId="4E14E36E" w14:textId="77777777" w:rsidR="00854D71" w:rsidRPr="005C280F" w:rsidRDefault="00854D71" w:rsidP="00854D71">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Por último, </w:t>
      </w:r>
      <w:r w:rsidRPr="00BE4E34">
        <w:rPr>
          <w:rFonts w:ascii="Verdana" w:eastAsia="Calibri" w:hAnsi="Verdana" w:cs="Arial"/>
        </w:rPr>
        <w:t>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d</w:t>
      </w:r>
      <w:r>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1265E4C8" w14:textId="77777777" w:rsidR="00854D71" w:rsidRPr="00EA7EA8" w:rsidRDefault="00854D71" w:rsidP="00854D71">
      <w:pPr>
        <w:spacing w:after="120" w:line="276" w:lineRule="auto"/>
        <w:ind w:firstLine="708"/>
        <w:jc w:val="both"/>
        <w:rPr>
          <w:rFonts w:ascii="Verdana" w:eastAsia="Calibri" w:hAnsi="Verdana" w:cs="Arial"/>
        </w:rPr>
      </w:pPr>
      <w:r>
        <w:rPr>
          <w:rFonts w:ascii="Verdana" w:eastAsia="Calibri" w:hAnsi="Verdana" w:cs="Arial"/>
        </w:rPr>
        <w:t xml:space="preserve">Sin perjuicio de lo anterior, en el marco de la discrecionalidad que les asiste para configurar el contenidas en sus manuales de contratación, los órganos de decisión que al interior de dichas entidades tengan la competencia para establecer el estatuto interno o manual de contratación, pueden optar por establecer mecanismos de cobertura de los riesgos similares a los establecidos por el artículo 7 de la Ley 1150 de 2007 o incorporar los consideren adecuados a los negocios jurídicos que suscriben. De cualquier modo, los mecanismos que adopten deberán necesariamente enmarcarse en el derecho privado y actuar como particular, lo anterior enmarcado en la autonomía de la voluntad que imprime las cláusulas pactadas en los contratos o convenios a celebrar.   </w:t>
      </w:r>
    </w:p>
    <w:p w14:paraId="6A067CC2" w14:textId="77777777" w:rsidR="00854D71" w:rsidRPr="00593A5F" w:rsidRDefault="00854D71" w:rsidP="00854D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5ED0FD9" w14:textId="77777777" w:rsidR="00854D71" w:rsidRPr="00593A5F" w:rsidRDefault="00854D71" w:rsidP="00854D7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54D71" w:rsidRPr="0065682A" w14:paraId="6C7C71F6" w14:textId="77777777" w:rsidTr="00854D71">
        <w:trPr>
          <w:trHeight w:val="870"/>
        </w:trPr>
        <w:tc>
          <w:tcPr>
            <w:tcW w:w="8647" w:type="dxa"/>
          </w:tcPr>
          <w:p w14:paraId="4285A47D" w14:textId="77777777" w:rsidR="00854D71" w:rsidRPr="001C3332" w:rsidRDefault="00854D71" w:rsidP="00854D71">
            <w:pPr>
              <w:widowControl w:val="0"/>
              <w:numPr>
                <w:ilvl w:val="0"/>
                <w:numId w:val="17"/>
              </w:numPr>
              <w:autoSpaceDE w:val="0"/>
              <w:autoSpaceDN w:val="0"/>
              <w:spacing w:before="120" w:after="120" w:line="276" w:lineRule="auto"/>
              <w:contextualSpacing/>
              <w:jc w:val="both"/>
              <w:rPr>
                <w:rFonts w:ascii="Verdana" w:eastAsia="Aptos" w:hAnsi="Verdana" w:cs="Arial"/>
                <w:lang w:val="es-ES"/>
              </w:rPr>
            </w:pPr>
            <w:r w:rsidRPr="001C3332">
              <w:rPr>
                <w:rFonts w:ascii="Verdana" w:eastAsia="Aptos" w:hAnsi="Verdana" w:cs="Arial"/>
                <w:lang w:val="es-ES"/>
              </w:rPr>
              <w:t>Constitución Política, artículos 209 y 267.</w:t>
            </w:r>
          </w:p>
          <w:p w14:paraId="1C043324" w14:textId="77777777" w:rsidR="00854D71" w:rsidRPr="001C3332" w:rsidRDefault="00854D71" w:rsidP="00854D71">
            <w:pPr>
              <w:widowControl w:val="0"/>
              <w:numPr>
                <w:ilvl w:val="0"/>
                <w:numId w:val="17"/>
              </w:numPr>
              <w:autoSpaceDE w:val="0"/>
              <w:autoSpaceDN w:val="0"/>
              <w:spacing w:before="120" w:after="120" w:line="276" w:lineRule="auto"/>
              <w:contextualSpacing/>
              <w:jc w:val="both"/>
              <w:rPr>
                <w:rFonts w:ascii="Verdana" w:eastAsia="Aptos" w:hAnsi="Verdana" w:cs="Arial"/>
                <w:lang w:val="es-ES"/>
              </w:rPr>
            </w:pPr>
            <w:r w:rsidRPr="001C3332">
              <w:rPr>
                <w:rFonts w:ascii="Verdana" w:eastAsia="Aptos" w:hAnsi="Verdana" w:cs="Arial"/>
                <w:lang w:val="es-ES"/>
              </w:rPr>
              <w:t>Ley 80 de 1993, artículos 2, 14, 32</w:t>
            </w:r>
          </w:p>
          <w:p w14:paraId="682ABCD9" w14:textId="77777777" w:rsidR="00854D71" w:rsidRPr="001C3332" w:rsidRDefault="00854D71" w:rsidP="00854D71">
            <w:pPr>
              <w:widowControl w:val="0"/>
              <w:numPr>
                <w:ilvl w:val="0"/>
                <w:numId w:val="17"/>
              </w:numPr>
              <w:autoSpaceDE w:val="0"/>
              <w:autoSpaceDN w:val="0"/>
              <w:spacing w:before="120" w:after="120" w:line="276" w:lineRule="auto"/>
              <w:contextualSpacing/>
              <w:jc w:val="both"/>
              <w:rPr>
                <w:rFonts w:ascii="Verdana" w:eastAsia="Aptos" w:hAnsi="Verdana" w:cs="Arial"/>
                <w:lang w:val="es-ES"/>
              </w:rPr>
            </w:pPr>
            <w:r w:rsidRPr="001C3332">
              <w:rPr>
                <w:rFonts w:ascii="Verdana" w:eastAsia="Aptos" w:hAnsi="Verdana" w:cs="Arial"/>
                <w:lang w:val="es-ES"/>
              </w:rPr>
              <w:t>Ley 1150 de 2007, artículos 2, 11, 13, 14 y 17.</w:t>
            </w:r>
          </w:p>
          <w:p w14:paraId="4A9BC9B1" w14:textId="77777777" w:rsidR="00854D71" w:rsidRPr="001C3332" w:rsidRDefault="00854D71" w:rsidP="00854D71">
            <w:pPr>
              <w:widowControl w:val="0"/>
              <w:numPr>
                <w:ilvl w:val="0"/>
                <w:numId w:val="17"/>
              </w:numPr>
              <w:autoSpaceDE w:val="0"/>
              <w:autoSpaceDN w:val="0"/>
              <w:spacing w:before="120" w:after="120" w:line="276" w:lineRule="auto"/>
              <w:contextualSpacing/>
              <w:jc w:val="both"/>
              <w:rPr>
                <w:rFonts w:ascii="Verdana" w:eastAsia="Aptos" w:hAnsi="Verdana" w:cs="Arial"/>
                <w:lang w:val="es-ES"/>
              </w:rPr>
            </w:pPr>
            <w:r w:rsidRPr="001C3332">
              <w:rPr>
                <w:rFonts w:ascii="Verdana" w:hAnsi="Verdana" w:cs="Arial"/>
                <w:color w:val="000000" w:themeColor="text1"/>
                <w:lang w:val="es-ES"/>
              </w:rPr>
              <w:t>Ley 1474 de 2011, artículos 86 y 93.</w:t>
            </w:r>
          </w:p>
          <w:p w14:paraId="5595649D" w14:textId="77777777" w:rsidR="00854D71" w:rsidRPr="001C3332" w:rsidRDefault="00854D71" w:rsidP="00854D71">
            <w:pPr>
              <w:widowControl w:val="0"/>
              <w:numPr>
                <w:ilvl w:val="0"/>
                <w:numId w:val="17"/>
              </w:numPr>
              <w:autoSpaceDE w:val="0"/>
              <w:autoSpaceDN w:val="0"/>
              <w:spacing w:before="120" w:after="120" w:line="276" w:lineRule="auto"/>
              <w:contextualSpacing/>
              <w:jc w:val="both"/>
              <w:rPr>
                <w:rFonts w:ascii="Verdana" w:eastAsia="Aptos" w:hAnsi="Verdana" w:cs="Arial"/>
                <w:lang w:val="es-ES"/>
              </w:rPr>
            </w:pPr>
            <w:r w:rsidRPr="001C3332">
              <w:rPr>
                <w:rFonts w:ascii="Verdana" w:hAnsi="Verdana" w:cs="Arial"/>
                <w:color w:val="000000" w:themeColor="text1"/>
                <w:lang w:val="es-ES"/>
              </w:rPr>
              <w:lastRenderedPageBreak/>
              <w:t>Ley 1437 de 2011, artículos 137 y 141.</w:t>
            </w:r>
          </w:p>
          <w:p w14:paraId="5F41C8A7"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cs="Arial"/>
                <w:lang w:val="es-ES"/>
              </w:rPr>
              <w:t xml:space="preserve">Consejo de Estado. Sección Tercera, Sentencia del 19 de agosto de 2004 </w:t>
            </w:r>
            <w:proofErr w:type="spellStart"/>
            <w:r w:rsidRPr="001C3332">
              <w:rPr>
                <w:rFonts w:ascii="Verdana" w:hAnsi="Verdana" w:cs="Arial"/>
                <w:lang w:val="es-ES"/>
              </w:rPr>
              <w:t>Exp</w:t>
            </w:r>
            <w:proofErr w:type="spellEnd"/>
            <w:r w:rsidRPr="001C3332">
              <w:rPr>
                <w:rFonts w:ascii="Verdana" w:hAnsi="Verdana" w:cs="Arial"/>
                <w:lang w:val="es-ES"/>
              </w:rPr>
              <w:t xml:space="preserve">. 12.342, reiterada en sentencia de 6 de febrero de 2006, </w:t>
            </w:r>
            <w:proofErr w:type="spellStart"/>
            <w:r w:rsidRPr="001C3332">
              <w:rPr>
                <w:rFonts w:ascii="Verdana" w:hAnsi="Verdana" w:cs="Arial"/>
                <w:lang w:val="es-ES"/>
              </w:rPr>
              <w:t>Exp</w:t>
            </w:r>
            <w:proofErr w:type="spellEnd"/>
            <w:r w:rsidRPr="001C3332">
              <w:rPr>
                <w:rFonts w:ascii="Verdana" w:hAnsi="Verdana" w:cs="Arial"/>
                <w:lang w:val="es-ES"/>
              </w:rPr>
              <w:t>. 13.414.</w:t>
            </w:r>
          </w:p>
          <w:p w14:paraId="79BBA4E7"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Plena. Sección Tercera. Sentencia de Unificación del 9 de mayo de 2024, C.P. José Roberto Sáchica Méndez, </w:t>
            </w:r>
            <w:proofErr w:type="spellStart"/>
            <w:r w:rsidRPr="001C3332">
              <w:rPr>
                <w:rFonts w:ascii="Verdana" w:hAnsi="Verdana"/>
                <w:lang w:val="es-ES"/>
              </w:rPr>
              <w:t>Exp</w:t>
            </w:r>
            <w:proofErr w:type="spellEnd"/>
            <w:r w:rsidRPr="001C3332">
              <w:rPr>
                <w:rFonts w:ascii="Verdana" w:hAnsi="Verdana"/>
                <w:lang w:val="es-ES"/>
              </w:rPr>
              <w:t>. No. 53.962.</w:t>
            </w:r>
          </w:p>
          <w:p w14:paraId="2EB223E3"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de lo Contenciosos Administrativo. Sección Tercera. Subsección B, sentencia del 19 de junio de 2019, </w:t>
            </w:r>
            <w:proofErr w:type="spellStart"/>
            <w:r w:rsidRPr="001C3332">
              <w:rPr>
                <w:rFonts w:ascii="Verdana" w:hAnsi="Verdana"/>
                <w:lang w:val="es-ES"/>
              </w:rPr>
              <w:t>Exp</w:t>
            </w:r>
            <w:proofErr w:type="spellEnd"/>
            <w:r w:rsidRPr="001C3332">
              <w:rPr>
                <w:rFonts w:ascii="Verdana" w:hAnsi="Verdana"/>
                <w:lang w:val="es-ES"/>
              </w:rPr>
              <w:t xml:space="preserve">. No. 39.800.   </w:t>
            </w:r>
          </w:p>
          <w:p w14:paraId="03177996"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de lo Contenciosos Administrativo. Sección Tercera. Subsección B, sentencia del 23 de noviembre de 2022, </w:t>
            </w:r>
            <w:proofErr w:type="spellStart"/>
            <w:r w:rsidRPr="001C3332">
              <w:rPr>
                <w:rFonts w:ascii="Verdana" w:hAnsi="Verdana"/>
                <w:lang w:val="es-ES"/>
              </w:rPr>
              <w:t>Exp</w:t>
            </w:r>
            <w:proofErr w:type="spellEnd"/>
            <w:r w:rsidRPr="001C3332">
              <w:rPr>
                <w:rFonts w:ascii="Verdana" w:hAnsi="Verdana"/>
                <w:lang w:val="es-ES"/>
              </w:rPr>
              <w:t xml:space="preserve">. No. 66.700.  </w:t>
            </w:r>
          </w:p>
          <w:p w14:paraId="36A012DC"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de lo Contenciosos Administrativo. Sección Tercera, Subsección C, sentencia del 21 de octubre de 2021, </w:t>
            </w:r>
            <w:proofErr w:type="spellStart"/>
            <w:r w:rsidRPr="001C3332">
              <w:rPr>
                <w:rFonts w:ascii="Verdana" w:hAnsi="Verdana"/>
                <w:lang w:val="es-ES"/>
              </w:rPr>
              <w:t>Exp</w:t>
            </w:r>
            <w:proofErr w:type="spellEnd"/>
            <w:r w:rsidRPr="001C3332">
              <w:rPr>
                <w:rFonts w:ascii="Verdana" w:hAnsi="Verdana"/>
                <w:lang w:val="es-ES"/>
              </w:rPr>
              <w:t>. No. 36697.</w:t>
            </w:r>
          </w:p>
          <w:p w14:paraId="36005193"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de lo Contenciosos Administrativo. Sección Tercera, Subsección A, Sentencia del 24 de septiembre de 2020, </w:t>
            </w:r>
            <w:proofErr w:type="spellStart"/>
            <w:r w:rsidRPr="001C3332">
              <w:rPr>
                <w:rFonts w:ascii="Verdana" w:hAnsi="Verdana"/>
                <w:lang w:val="es-ES"/>
              </w:rPr>
              <w:t>Exp</w:t>
            </w:r>
            <w:proofErr w:type="spellEnd"/>
            <w:r w:rsidRPr="001C3332">
              <w:rPr>
                <w:rFonts w:ascii="Verdana" w:hAnsi="Verdana"/>
                <w:lang w:val="es-ES"/>
              </w:rPr>
              <w:t xml:space="preserve">. No. 44707.  </w:t>
            </w:r>
          </w:p>
          <w:p w14:paraId="4546421A"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1C3332">
              <w:rPr>
                <w:rFonts w:ascii="Verdana" w:hAnsi="Verdana"/>
                <w:lang w:val="es-ES"/>
              </w:rPr>
              <w:t xml:space="preserve">Consejo de Estado. Sala de lo Contenciosos Administrativo. Tercera, Subsección A, Sentencia del 21 de mayo de 2021, </w:t>
            </w:r>
            <w:proofErr w:type="spellStart"/>
            <w:r w:rsidRPr="001C3332">
              <w:rPr>
                <w:rFonts w:ascii="Verdana" w:hAnsi="Verdana"/>
                <w:lang w:val="es-ES"/>
              </w:rPr>
              <w:t>Exp</w:t>
            </w:r>
            <w:proofErr w:type="spellEnd"/>
            <w:r w:rsidRPr="001C3332">
              <w:rPr>
                <w:rFonts w:ascii="Verdana" w:hAnsi="Verdana"/>
                <w:lang w:val="es-ES"/>
              </w:rPr>
              <w:t xml:space="preserve">. No. 57822.  </w:t>
            </w:r>
          </w:p>
          <w:p w14:paraId="3362C726" w14:textId="77777777" w:rsidR="00854D71" w:rsidRPr="001C3332" w:rsidRDefault="00854D71" w:rsidP="00854D71">
            <w:pPr>
              <w:widowControl w:val="0"/>
              <w:numPr>
                <w:ilvl w:val="0"/>
                <w:numId w:val="17"/>
              </w:numPr>
              <w:autoSpaceDE w:val="0"/>
              <w:autoSpaceDN w:val="0"/>
              <w:spacing w:before="120" w:after="120" w:line="276" w:lineRule="auto"/>
              <w:ind w:left="714" w:hanging="357"/>
              <w:contextualSpacing/>
              <w:jc w:val="both"/>
              <w:rPr>
                <w:rFonts w:ascii="Verdana" w:hAnsi="Verdana" w:cs="Arial"/>
                <w:color w:val="000000" w:themeColor="text1"/>
                <w:lang w:val="es-ES"/>
              </w:rPr>
            </w:pPr>
            <w:r w:rsidRPr="00974DD1">
              <w:rPr>
                <w:rFonts w:ascii="Verdana" w:hAnsi="Verdana" w:cs="Arial"/>
                <w:color w:val="000000" w:themeColor="text1"/>
                <w:lang w:val="es-ES"/>
              </w:rPr>
              <w:t xml:space="preserve">Consejo de Estado. Sala de lo Contencioso Administrativo. Sección Tercera. Auto del 12 de diciembre de 2017. </w:t>
            </w:r>
            <w:proofErr w:type="spellStart"/>
            <w:r w:rsidRPr="001C3332">
              <w:rPr>
                <w:rFonts w:ascii="Verdana" w:hAnsi="Verdana" w:cs="Arial"/>
                <w:color w:val="000000" w:themeColor="text1"/>
                <w:lang w:val="es-ES"/>
              </w:rPr>
              <w:t>Exp</w:t>
            </w:r>
            <w:proofErr w:type="spellEnd"/>
            <w:r w:rsidRPr="001C3332">
              <w:rPr>
                <w:rFonts w:ascii="Verdana" w:hAnsi="Verdana" w:cs="Arial"/>
                <w:color w:val="000000" w:themeColor="text1"/>
                <w:lang w:val="es-ES"/>
              </w:rPr>
              <w:t>. 60.477. C.P. Jaime Orlando Santofimio Gamboa.</w:t>
            </w:r>
          </w:p>
          <w:p w14:paraId="6F7EBF43" w14:textId="77777777" w:rsidR="00854D71" w:rsidRPr="00445C26" w:rsidRDefault="00854D71" w:rsidP="00854D71">
            <w:pPr>
              <w:pStyle w:val="Prrafodelista"/>
              <w:widowControl w:val="0"/>
              <w:numPr>
                <w:ilvl w:val="0"/>
                <w:numId w:val="17"/>
              </w:numPr>
              <w:autoSpaceDE w:val="0"/>
              <w:autoSpaceDN w:val="0"/>
              <w:spacing w:line="276" w:lineRule="auto"/>
              <w:jc w:val="both"/>
              <w:rPr>
                <w:rFonts w:ascii="Verdana" w:hAnsi="Verdana" w:cs="Arial"/>
              </w:rPr>
            </w:pPr>
            <w:r w:rsidRPr="001C3332">
              <w:rPr>
                <w:rFonts w:ascii="Verdana" w:hAnsi="Verdana" w:cs="Arial"/>
              </w:rPr>
              <w:t>Corte Suprema de Justicia. Sala de Casación Civil, sentencia de 30 de agosto de 2011, expediente 11001-3103-012-1999-01957-01</w:t>
            </w:r>
          </w:p>
        </w:tc>
      </w:tr>
    </w:tbl>
    <w:p w14:paraId="7D2CD7AF" w14:textId="77777777" w:rsidR="00854D71" w:rsidRPr="00EA7EA8" w:rsidRDefault="00854D71" w:rsidP="00854D71">
      <w:pPr>
        <w:widowControl w:val="0"/>
        <w:autoSpaceDE w:val="0"/>
        <w:autoSpaceDN w:val="0"/>
        <w:spacing w:after="0" w:line="276" w:lineRule="auto"/>
        <w:jc w:val="both"/>
        <w:rPr>
          <w:rFonts w:ascii="Verdana" w:hAnsi="Verdana" w:cs="Arial"/>
        </w:rPr>
      </w:pPr>
    </w:p>
    <w:p w14:paraId="3C5B5560" w14:textId="77777777" w:rsidR="00854D71" w:rsidRPr="00EA7EA8" w:rsidRDefault="00854D71" w:rsidP="00854D7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A7EA8">
        <w:rPr>
          <w:rFonts w:ascii="Verdana" w:eastAsia="Century Gothic" w:hAnsi="Verdana" w:cs="Century Gothic"/>
          <w:b/>
          <w:bCs/>
        </w:rPr>
        <w:t>Doctrina de la Agencia Nacional de Contratación Pública:</w:t>
      </w:r>
    </w:p>
    <w:p w14:paraId="16E72702" w14:textId="77777777" w:rsidR="00854D71" w:rsidRPr="00EA7EA8" w:rsidRDefault="00854D71" w:rsidP="00854D71">
      <w:pPr>
        <w:widowControl w:val="0"/>
        <w:autoSpaceDE w:val="0"/>
        <w:autoSpaceDN w:val="0"/>
        <w:spacing w:after="0" w:line="276" w:lineRule="auto"/>
        <w:jc w:val="both"/>
        <w:rPr>
          <w:rFonts w:ascii="Verdana" w:hAnsi="Verdana" w:cs="Arial"/>
        </w:rPr>
      </w:pPr>
    </w:p>
    <w:p w14:paraId="3CD0371E" w14:textId="77777777" w:rsidR="00854D71" w:rsidRPr="001C3332" w:rsidRDefault="00854D71" w:rsidP="00854D71">
      <w:pPr>
        <w:widowControl w:val="0"/>
        <w:autoSpaceDE w:val="0"/>
        <w:autoSpaceDN w:val="0"/>
        <w:spacing w:after="0" w:line="276" w:lineRule="auto"/>
        <w:jc w:val="both"/>
        <w:rPr>
          <w:rStyle w:val="normaltextrun"/>
          <w:rFonts w:ascii="Verdana" w:eastAsia="Times New Roman" w:hAnsi="Verdana" w:cs="Times New Roman"/>
          <w:lang w:val="es-ES" w:eastAsia="es-CO"/>
        </w:rPr>
      </w:pPr>
      <w:r w:rsidRPr="00DC2922">
        <w:rPr>
          <w:rStyle w:val="normaltextrun"/>
          <w:rFonts w:ascii="Verdana" w:hAnsi="Verdana" w:cs="Arial"/>
          <w:color w:val="000000" w:themeColor="text1"/>
          <w:shd w:val="clear" w:color="auto" w:fill="FFFFFF"/>
          <w:lang w:val="es-ES"/>
        </w:rPr>
        <w:t xml:space="preserve">La Agencia Nacional de Contratación Pública – Colombia Compra Eficiente ha analizado </w:t>
      </w:r>
      <w:r w:rsidRPr="001C3332">
        <w:rPr>
          <w:rFonts w:ascii="Verdana" w:eastAsia="Calibri" w:hAnsi="Verdana" w:cs="Times New Roman"/>
          <w:lang w:val="es-ES" w:eastAsia="es-ES"/>
        </w:rPr>
        <w:t xml:space="preserve">la naturaleza jurídica y el régimen de contratación de las empresas industriales y comerciales del Estado en los </w:t>
      </w:r>
      <w:r w:rsidRPr="001C3332">
        <w:rPr>
          <w:rFonts w:ascii="Verdana" w:eastAsia="Calibri" w:hAnsi="Verdana" w:cs="Arial"/>
          <w:lang w:val="es-ES"/>
        </w:rPr>
        <w:t>conceptos 2201913000009314 del 17 de diciembre de 2019 –dentro del radicado 4201913000001662–, C-251 del 27 de mayo de 2020, C-280 del 6 de julio de 2020, C–253 de 2 de junio de 2021, C-280 del 6 de julio de 2020, C-616 de 3 de noviembre de 2021</w:t>
      </w:r>
      <w:r w:rsidRPr="001C3332">
        <w:rPr>
          <w:rFonts w:ascii="Verdana" w:eastAsia="Times New Roman" w:hAnsi="Verdana" w:cs="Times New Roman"/>
          <w:lang w:val="es-ES" w:eastAsia="es-CO"/>
        </w:rPr>
        <w:t xml:space="preserve">, C-176 del 6 de abril de 2022 , C-857 de 13 diciembre de 2022, </w:t>
      </w:r>
      <w:r w:rsidRPr="0031249B">
        <w:rPr>
          <w:rFonts w:ascii="Verdana" w:eastAsia="Times New Roman" w:hAnsi="Verdana" w:cs="Times New Roman"/>
          <w:lang w:val="es-ES" w:eastAsia="es-CO"/>
        </w:rPr>
        <w:t xml:space="preserve">C -424 del 25 de octubre de 2023, </w:t>
      </w:r>
      <w:r w:rsidRPr="001C3332">
        <w:rPr>
          <w:rFonts w:ascii="Verdana" w:eastAsia="Times New Roman" w:hAnsi="Verdana" w:cs="Times New Roman"/>
          <w:lang w:val="es-ES" w:eastAsia="es-CO"/>
        </w:rPr>
        <w:t>C-501 de 30 de septiembre de 2024</w:t>
      </w:r>
      <w:r w:rsidRPr="001C3332">
        <w:rPr>
          <w:rFonts w:ascii="Verdana" w:hAnsi="Verdana" w:cs="Arial"/>
          <w:color w:val="000000" w:themeColor="text1"/>
          <w:shd w:val="clear" w:color="auto" w:fill="FFFFFF"/>
          <w:lang w:val="es-ES"/>
        </w:rPr>
        <w:t xml:space="preserve"> y </w:t>
      </w:r>
      <w:r w:rsidRPr="00DC2922">
        <w:rPr>
          <w:rFonts w:ascii="Verdana" w:eastAsia="Calibri" w:hAnsi="Verdana" w:cs="Arial"/>
          <w:lang w:val="es-ES" w:eastAsia="es-ES"/>
        </w:rPr>
        <w:t xml:space="preserve">C-155 del 7 de marzo de 2025, </w:t>
      </w:r>
      <w:r w:rsidRPr="001C3332">
        <w:rPr>
          <w:rFonts w:ascii="Verdana" w:hAnsi="Verdana" w:cs="Arial"/>
          <w:color w:val="000000" w:themeColor="text1"/>
          <w:shd w:val="clear" w:color="auto" w:fill="FFFFFF"/>
          <w:lang w:val="es-ES"/>
        </w:rPr>
        <w:lastRenderedPageBreak/>
        <w:t>entre otros. Adicionalmente, se ha referido a la aplicación de potestades excepcionales y del procedimiento administrativo sancionatorio por entidades de régimen especial en los conceptos</w:t>
      </w:r>
      <w:r w:rsidRPr="001C3332">
        <w:rPr>
          <w:rFonts w:ascii="Verdana" w:eastAsia="Calibri" w:hAnsi="Verdana" w:cs="Arial"/>
          <w:color w:val="000000" w:themeColor="text1"/>
          <w:lang w:val="es-ES"/>
        </w:rPr>
        <w:t xml:space="preserve"> C-219 del 29 de abril de 2020, C-434 del 29 de julio de 2020, C- 365 del 8 de junio de 2022, C- 492 del 9 de octubre de 2024, C-1005 de 2024, emitido el 13 de enero del 2025</w:t>
      </w:r>
      <w:r>
        <w:rPr>
          <w:rFonts w:ascii="Verdana" w:eastAsia="Calibri" w:hAnsi="Verdana" w:cs="Arial"/>
          <w:color w:val="000000" w:themeColor="text1"/>
          <w:lang w:val="es-ES"/>
        </w:rPr>
        <w:t>,</w:t>
      </w:r>
      <w:r w:rsidRPr="00DC2922">
        <w:rPr>
          <w:rFonts w:ascii="Verdana" w:hAnsi="Verdana" w:cs="Arial"/>
          <w:lang w:val="es-ES"/>
        </w:rPr>
        <w:t xml:space="preserve"> y</w:t>
      </w:r>
      <w:r w:rsidRPr="001C3332">
        <w:rPr>
          <w:rFonts w:ascii="Verdana" w:hAnsi="Verdana" w:cs="Arial"/>
          <w:lang w:val="es-ES"/>
        </w:rPr>
        <w:t xml:space="preserve"> el</w:t>
      </w:r>
      <w:r w:rsidRPr="001C3332">
        <w:rPr>
          <w:rFonts w:ascii="Verdana" w:eastAsia="Calibri" w:hAnsi="Verdana" w:cs="Arial"/>
          <w:lang w:val="es-ES" w:eastAsia="es-ES"/>
        </w:rPr>
        <w:t xml:space="preserve"> C-332 del 28 de abril de 2025</w:t>
      </w:r>
      <w:r>
        <w:rPr>
          <w:rFonts w:ascii="Verdana" w:eastAsia="Calibri" w:hAnsi="Verdana" w:cs="Arial"/>
          <w:lang w:val="es-ES" w:eastAsia="es-ES"/>
        </w:rPr>
        <w:t>, C-449 de 2025</w:t>
      </w:r>
      <w:r w:rsidRPr="001C3332">
        <w:rPr>
          <w:rFonts w:ascii="Verdana" w:eastAsia="Calibri" w:hAnsi="Verdana" w:cs="Arial"/>
          <w:lang w:val="es-ES" w:eastAsia="es-ES"/>
        </w:rPr>
        <w:t xml:space="preserve">. </w:t>
      </w:r>
      <w:r w:rsidRPr="001C3332">
        <w:rPr>
          <w:rFonts w:ascii="Verdana" w:hAnsi="Verdana" w:cs="Arial"/>
          <w:color w:val="000000" w:themeColor="text1"/>
          <w:shd w:val="clear" w:color="auto" w:fill="FFFFFF"/>
          <w:lang w:val="es-ES"/>
        </w:rPr>
        <w:t xml:space="preserve">Estos </w:t>
      </w:r>
      <w:r w:rsidRPr="001C3332">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1" w:history="1">
        <w:r w:rsidRPr="001C3332">
          <w:rPr>
            <w:rStyle w:val="Hipervnculo"/>
            <w:rFonts w:ascii="Verdana" w:hAnsi="Verdana" w:cs="Arial"/>
            <w:shd w:val="clear" w:color="auto" w:fill="FFFFFF"/>
            <w:lang w:val="es-ES"/>
          </w:rPr>
          <w:t>https://relatoria.colombiacompra.gov.co/busqueda/conceptos</w:t>
        </w:r>
      </w:hyperlink>
      <w:r w:rsidRPr="001C3332">
        <w:rPr>
          <w:rStyle w:val="Hipervnculo"/>
          <w:rFonts w:ascii="Verdana" w:hAnsi="Verdana"/>
          <w:lang w:val="es-ES"/>
        </w:rPr>
        <w:t>.</w:t>
      </w:r>
      <w:r w:rsidRPr="001C3332">
        <w:rPr>
          <w:rStyle w:val="normaltextrun"/>
          <w:rFonts w:ascii="Verdana" w:hAnsi="Verdana" w:cs="Arial"/>
          <w:color w:val="000000" w:themeColor="text1"/>
          <w:shd w:val="clear" w:color="auto" w:fill="FFFFFF"/>
          <w:lang w:val="es-ES"/>
        </w:rPr>
        <w:t xml:space="preserve"> </w:t>
      </w:r>
      <w:r w:rsidRPr="00DC2922">
        <w:rPr>
          <w:rStyle w:val="normaltextrun"/>
          <w:rFonts w:ascii="Verdana" w:hAnsi="Verdana" w:cs="Arial"/>
          <w:color w:val="000000" w:themeColor="text1"/>
          <w:shd w:val="clear" w:color="auto" w:fill="FFFFFF"/>
          <w:lang w:val="es-ES"/>
        </w:rPr>
        <w:t xml:space="preserve"> </w:t>
      </w:r>
    </w:p>
    <w:p w14:paraId="1ADF4701" w14:textId="77777777" w:rsidR="00854D71" w:rsidRDefault="00854D71" w:rsidP="00854D7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2B3A152" w14:textId="77777777" w:rsidR="00854D71" w:rsidRPr="001B29FE" w:rsidRDefault="00854D71" w:rsidP="00854D71">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B29FE">
        <w:rPr>
          <w:rFonts w:ascii="Verdana" w:hAnsi="Verdana"/>
        </w:rPr>
        <w:t>.</w:t>
      </w:r>
    </w:p>
    <w:p w14:paraId="404083DB" w14:textId="77777777" w:rsidR="00854D71" w:rsidRPr="001B29FE" w:rsidRDefault="00854D71" w:rsidP="00854D71">
      <w:pPr>
        <w:widowControl w:val="0"/>
        <w:autoSpaceDE w:val="0"/>
        <w:autoSpaceDN w:val="0"/>
        <w:spacing w:after="0" w:line="276" w:lineRule="auto"/>
        <w:jc w:val="both"/>
        <w:rPr>
          <w:rFonts w:ascii="Verdana" w:hAnsi="Verdana"/>
        </w:rPr>
      </w:pPr>
    </w:p>
    <w:p w14:paraId="060F43D4" w14:textId="77777777" w:rsidR="00854D71" w:rsidRPr="00505CD6" w:rsidRDefault="00854D71" w:rsidP="00854D7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2A9C947" w14:textId="77777777" w:rsidR="00854D71" w:rsidRPr="00505CD6" w:rsidRDefault="00854D71" w:rsidP="00854D71">
      <w:pPr>
        <w:widowControl w:val="0"/>
        <w:autoSpaceDE w:val="0"/>
        <w:autoSpaceDN w:val="0"/>
        <w:spacing w:after="0" w:line="276" w:lineRule="auto"/>
        <w:jc w:val="both"/>
        <w:rPr>
          <w:rFonts w:ascii="Verdana" w:hAnsi="Verdana" w:cs="Arial"/>
        </w:rPr>
      </w:pPr>
    </w:p>
    <w:p w14:paraId="169B512F" w14:textId="77777777" w:rsidR="00854D71" w:rsidRDefault="00854D71" w:rsidP="00854D71">
      <w:pPr>
        <w:spacing w:after="0" w:line="276" w:lineRule="auto"/>
        <w:jc w:val="both"/>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6AE1EC3" w14:textId="77777777" w:rsidR="001D17A4" w:rsidRDefault="001D17A4" w:rsidP="00854D71">
      <w:pPr>
        <w:spacing w:line="276" w:lineRule="auto"/>
        <w:jc w:val="center"/>
        <w:rPr>
          <w:rFonts w:ascii="Verdana" w:hAnsi="Verdana"/>
          <w:noProof/>
        </w:rPr>
      </w:pPr>
    </w:p>
    <w:p w14:paraId="37330326" w14:textId="070A32FE" w:rsidR="001D17A4" w:rsidRDefault="001D17A4" w:rsidP="00854D71">
      <w:pPr>
        <w:spacing w:line="276" w:lineRule="auto"/>
        <w:jc w:val="center"/>
        <w:rPr>
          <w:rFonts w:ascii="Verdana" w:hAnsi="Verdana"/>
          <w:noProof/>
        </w:rPr>
      </w:pPr>
      <w:r>
        <w:rPr>
          <w:rFonts w:ascii="Verdana" w:hAnsi="Verdana"/>
          <w:noProof/>
        </w:rPr>
        <w:drawing>
          <wp:anchor distT="0" distB="0" distL="114300" distR="114300" simplePos="0" relativeHeight="251659264" behindDoc="0" locked="0" layoutInCell="1" allowOverlap="1" wp14:anchorId="66DC8319" wp14:editId="2D52F1DF">
            <wp:simplePos x="0" y="0"/>
            <wp:positionH relativeFrom="margin">
              <wp:align>center</wp:align>
            </wp:positionH>
            <wp:positionV relativeFrom="paragraph">
              <wp:posOffset>5329</wp:posOffset>
            </wp:positionV>
            <wp:extent cx="3639058" cy="1343212"/>
            <wp:effectExtent l="0" t="0" r="0" b="0"/>
            <wp:wrapSquare wrapText="bothSides"/>
            <wp:docPr id="6504630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463097"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anchor>
        </w:drawing>
      </w:r>
    </w:p>
    <w:p w14:paraId="6C8F3F38" w14:textId="19686AF1" w:rsidR="001D17A4" w:rsidRDefault="001D17A4" w:rsidP="00854D71">
      <w:pPr>
        <w:spacing w:line="276" w:lineRule="auto"/>
        <w:jc w:val="center"/>
        <w:rPr>
          <w:rFonts w:ascii="Verdana" w:hAnsi="Verdana"/>
          <w:noProof/>
        </w:rPr>
      </w:pPr>
    </w:p>
    <w:p w14:paraId="5F8627E0" w14:textId="42B07877" w:rsidR="00854D71" w:rsidRDefault="00854D71" w:rsidP="00854D71">
      <w:pPr>
        <w:spacing w:line="276" w:lineRule="auto"/>
        <w:jc w:val="center"/>
        <w:rPr>
          <w:rFonts w:ascii="Verdana" w:hAnsi="Verdana"/>
          <w:noProof/>
        </w:rPr>
      </w:pPr>
    </w:p>
    <w:p w14:paraId="78D8B89B" w14:textId="77777777" w:rsidR="001D17A4" w:rsidRDefault="001D17A4" w:rsidP="00854D71">
      <w:pPr>
        <w:spacing w:line="276" w:lineRule="auto"/>
        <w:jc w:val="center"/>
        <w:rPr>
          <w:rFonts w:ascii="Verdana" w:hAnsi="Verdana"/>
          <w:noProof/>
        </w:rPr>
      </w:pPr>
    </w:p>
    <w:p w14:paraId="62D96F89" w14:textId="77777777" w:rsidR="001D17A4" w:rsidRDefault="001D17A4" w:rsidP="00854D71">
      <w:pPr>
        <w:spacing w:line="276" w:lineRule="auto"/>
        <w:jc w:val="center"/>
        <w:rPr>
          <w:rFonts w:ascii="Verdana" w:hAnsi="Verdana"/>
          <w:noProof/>
        </w:rPr>
      </w:pPr>
    </w:p>
    <w:p w14:paraId="6160BECE" w14:textId="77777777" w:rsidR="001D17A4" w:rsidRDefault="001D17A4" w:rsidP="00854D71">
      <w:pPr>
        <w:spacing w:line="276" w:lineRule="auto"/>
        <w:jc w:val="center"/>
        <w:rPr>
          <w:rFonts w:ascii="Verdana" w:hAnsi="Verdana"/>
          <w:noProof/>
        </w:rPr>
      </w:pPr>
    </w:p>
    <w:p w14:paraId="1D17A78E" w14:textId="77777777" w:rsidR="001D17A4" w:rsidRDefault="001D17A4" w:rsidP="00854D71">
      <w:pPr>
        <w:spacing w:line="276" w:lineRule="auto"/>
        <w:jc w:val="center"/>
        <w:rPr>
          <w:rFonts w:ascii="Verdana" w:hAnsi="Verdana"/>
          <w:noProof/>
        </w:rPr>
      </w:pPr>
    </w:p>
    <w:p w14:paraId="68194A66" w14:textId="77777777" w:rsidR="001D17A4" w:rsidRPr="00AC6E46" w:rsidRDefault="001D17A4" w:rsidP="00854D71">
      <w:pPr>
        <w:spacing w:line="276" w:lineRule="auto"/>
        <w:jc w:val="center"/>
        <w:rPr>
          <w:rFonts w:ascii="Verdana" w:hAnsi="Verdana"/>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54D71" w:rsidRPr="00593A5F" w14:paraId="43BA5EBB" w14:textId="77777777" w:rsidTr="00854D71">
        <w:trPr>
          <w:trHeight w:val="315"/>
        </w:trPr>
        <w:tc>
          <w:tcPr>
            <w:tcW w:w="893" w:type="dxa"/>
            <w:vAlign w:val="center"/>
            <w:hideMark/>
          </w:tcPr>
          <w:p w14:paraId="38B4B83B" w14:textId="77777777" w:rsidR="00854D71" w:rsidRPr="003751C7" w:rsidRDefault="00854D71" w:rsidP="00854D7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80C92F1" w14:textId="77777777" w:rsidR="00854D71" w:rsidRPr="007911EE" w:rsidRDefault="00854D71" w:rsidP="00854D71">
            <w:pPr>
              <w:contextualSpacing/>
              <w:rPr>
                <w:rFonts w:ascii="Verdana" w:hAnsi="Verdana"/>
                <w:sz w:val="16"/>
                <w:szCs w:val="16"/>
              </w:rPr>
            </w:pPr>
            <w:r>
              <w:rPr>
                <w:rFonts w:ascii="Verdana" w:hAnsi="Verdana"/>
                <w:sz w:val="16"/>
                <w:szCs w:val="16"/>
              </w:rPr>
              <w:t>Gloria Elizabeth Arango Builes</w:t>
            </w:r>
          </w:p>
          <w:p w14:paraId="656DE36B" w14:textId="77777777" w:rsidR="00854D71" w:rsidRPr="007911EE" w:rsidRDefault="00854D71" w:rsidP="00854D71">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54D71" w:rsidRPr="00593A5F" w14:paraId="43682415" w14:textId="77777777" w:rsidTr="00854D71">
        <w:trPr>
          <w:trHeight w:val="330"/>
        </w:trPr>
        <w:tc>
          <w:tcPr>
            <w:tcW w:w="893" w:type="dxa"/>
            <w:vAlign w:val="center"/>
            <w:hideMark/>
          </w:tcPr>
          <w:p w14:paraId="5FD1041F" w14:textId="77777777" w:rsidR="00854D71" w:rsidRPr="003751C7" w:rsidRDefault="00854D71" w:rsidP="00854D7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981172" w14:textId="77777777" w:rsidR="00854D71" w:rsidRPr="00041F05" w:rsidRDefault="00854D71" w:rsidP="00854D71">
            <w:pPr>
              <w:spacing w:line="276" w:lineRule="auto"/>
              <w:contextualSpacing/>
              <w:jc w:val="both"/>
              <w:rPr>
                <w:rFonts w:ascii="Verdana" w:hAnsi="Verdana"/>
                <w:sz w:val="16"/>
                <w:szCs w:val="16"/>
              </w:rPr>
            </w:pPr>
            <w:r>
              <w:rPr>
                <w:rFonts w:ascii="Verdana" w:hAnsi="Verdana"/>
                <w:sz w:val="16"/>
                <w:szCs w:val="16"/>
              </w:rPr>
              <w:t>Alejandro Sarmiento Cantillo</w:t>
            </w:r>
          </w:p>
          <w:p w14:paraId="14E229BE" w14:textId="77777777" w:rsidR="00854D71" w:rsidRPr="007911EE" w:rsidRDefault="00854D71" w:rsidP="00854D71">
            <w:pPr>
              <w:spacing w:line="276" w:lineRule="auto"/>
              <w:contextualSpacing/>
              <w:jc w:val="both"/>
              <w:rPr>
                <w:rFonts w:ascii="Verdana" w:hAnsi="Verdana" w:cstheme="minorHAnsi"/>
                <w:sz w:val="16"/>
                <w:szCs w:val="16"/>
              </w:rPr>
            </w:pPr>
            <w:r w:rsidRPr="008558D0">
              <w:rPr>
                <w:rFonts w:ascii="Verdana" w:hAnsi="Verdana" w:cs="Arial"/>
                <w:sz w:val="16"/>
                <w:szCs w:val="16"/>
                <w:lang w:val="es-ES"/>
              </w:rPr>
              <w:t>Gestor T1 ‒ 15 de la Subdirección de Gestión Contractual</w:t>
            </w:r>
          </w:p>
        </w:tc>
      </w:tr>
      <w:tr w:rsidR="00854D71" w:rsidRPr="00593A5F" w14:paraId="6325BBB5" w14:textId="77777777" w:rsidTr="00854D71">
        <w:trPr>
          <w:trHeight w:val="330"/>
        </w:trPr>
        <w:tc>
          <w:tcPr>
            <w:tcW w:w="893" w:type="dxa"/>
            <w:vAlign w:val="center"/>
          </w:tcPr>
          <w:p w14:paraId="0D3D0D1A" w14:textId="77777777" w:rsidR="00854D71" w:rsidRPr="003751C7" w:rsidRDefault="00854D71" w:rsidP="00854D71">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2C5F41" w14:textId="77777777" w:rsidR="00854D71" w:rsidRPr="00EB1CF7" w:rsidRDefault="00854D71" w:rsidP="00854D71">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34F4564" w14:textId="77777777" w:rsidR="00854D71" w:rsidRDefault="00854D71" w:rsidP="00854D71">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 xml:space="preserve"> ANCP – CCE</w:t>
            </w:r>
          </w:p>
        </w:tc>
      </w:tr>
    </w:tbl>
    <w:p w14:paraId="399EF94D" w14:textId="77777777" w:rsidR="00854D71" w:rsidRPr="00EA6F8B" w:rsidRDefault="00854D71" w:rsidP="001D17A4"/>
    <w:sectPr w:rsidR="00854D71" w:rsidRPr="00EA6F8B"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E2384E" w14:textId="77777777" w:rsidR="00C870FC" w:rsidRDefault="00C870FC" w:rsidP="004A1847">
      <w:pPr>
        <w:spacing w:after="0" w:line="240" w:lineRule="auto"/>
      </w:pPr>
      <w:r>
        <w:separator/>
      </w:r>
    </w:p>
  </w:endnote>
  <w:endnote w:type="continuationSeparator" w:id="0">
    <w:p w14:paraId="2AAE903B" w14:textId="77777777" w:rsidR="00C870FC" w:rsidRDefault="00C870FC" w:rsidP="004A1847">
      <w:pPr>
        <w:spacing w:after="0" w:line="240" w:lineRule="auto"/>
      </w:pPr>
      <w:r>
        <w:continuationSeparator/>
      </w:r>
    </w:p>
  </w:endnote>
  <w:endnote w:type="continuationNotice" w:id="1">
    <w:p w14:paraId="7BCEE0EB" w14:textId="77777777" w:rsidR="00C870FC" w:rsidRDefault="00C870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13A0B" w14:textId="77777777" w:rsidR="00C870FC" w:rsidRDefault="00C870FC" w:rsidP="004A1847">
      <w:pPr>
        <w:spacing w:after="0" w:line="240" w:lineRule="auto"/>
      </w:pPr>
      <w:r>
        <w:separator/>
      </w:r>
    </w:p>
  </w:footnote>
  <w:footnote w:type="continuationSeparator" w:id="0">
    <w:p w14:paraId="4226BCE7" w14:textId="77777777" w:rsidR="00C870FC" w:rsidRDefault="00C870FC" w:rsidP="004A1847">
      <w:pPr>
        <w:spacing w:after="0" w:line="240" w:lineRule="auto"/>
      </w:pPr>
      <w:r>
        <w:continuationSeparator/>
      </w:r>
    </w:p>
  </w:footnote>
  <w:footnote w:type="continuationNotice" w:id="1">
    <w:p w14:paraId="53F17F07" w14:textId="77777777" w:rsidR="00C870FC" w:rsidRDefault="00C870FC">
      <w:pPr>
        <w:spacing w:after="0" w:line="240" w:lineRule="auto"/>
      </w:pPr>
    </w:p>
  </w:footnote>
  <w:footnote w:id="2">
    <w:p w14:paraId="05A50B94" w14:textId="77777777" w:rsidR="00854D71" w:rsidRPr="003E2347" w:rsidRDefault="00854D71" w:rsidP="00854D71">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27B9DBAC"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p>
  </w:footnote>
  <w:footnote w:id="3">
    <w:p w14:paraId="202D2416"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0" w:name="_Hlk178103192"/>
      <w:r>
        <w:rPr>
          <w:rFonts w:ascii="Verdana" w:hAnsi="Verdana" w:cs="Arial"/>
          <w:color w:val="000000" w:themeColor="text1"/>
          <w:sz w:val="16"/>
          <w:szCs w:val="16"/>
        </w:rPr>
        <w:t>Consejo de Estado</w:t>
      </w:r>
      <w:r w:rsidRPr="003E2347">
        <w:rPr>
          <w:rFonts w:ascii="Verdana" w:hAnsi="Verdana" w:cs="Arial"/>
          <w:color w:val="000000" w:themeColor="text1"/>
          <w:sz w:val="16"/>
          <w:szCs w:val="16"/>
        </w:rPr>
        <w:t>.</w:t>
      </w:r>
      <w:r>
        <w:rPr>
          <w:rFonts w:ascii="Verdana" w:hAnsi="Verdana" w:cs="Arial"/>
          <w:color w:val="000000" w:themeColor="text1"/>
          <w:sz w:val="16"/>
          <w:szCs w:val="16"/>
        </w:rPr>
        <w:t xml:space="preserve"> Sala de lo Contencioso Administrativo. </w:t>
      </w:r>
      <w:r w:rsidRPr="003E2347">
        <w:rPr>
          <w:rFonts w:ascii="Verdana" w:hAnsi="Verdana" w:cs="Arial"/>
          <w:color w:val="000000" w:themeColor="text1"/>
          <w:sz w:val="16"/>
          <w:szCs w:val="16"/>
        </w:rPr>
        <w:t>Sección Tercera.</w:t>
      </w:r>
      <w:r>
        <w:rPr>
          <w:rFonts w:ascii="Verdana" w:hAnsi="Verdana" w:cs="Arial"/>
          <w:color w:val="000000" w:themeColor="text1"/>
          <w:sz w:val="16"/>
          <w:szCs w:val="16"/>
        </w:rPr>
        <w:t xml:space="preserve"> Subsección A.</w:t>
      </w:r>
      <w:r w:rsidRPr="003E2347">
        <w:rPr>
          <w:rFonts w:ascii="Verdana" w:hAnsi="Verdana" w:cs="Arial"/>
          <w:color w:val="000000" w:themeColor="text1"/>
          <w:sz w:val="16"/>
          <w:szCs w:val="16"/>
        </w:rPr>
        <w:t xml:space="preserve"> </w:t>
      </w:r>
      <w:r>
        <w:rPr>
          <w:rFonts w:ascii="Verdana" w:hAnsi="Verdana" w:cs="Arial"/>
          <w:color w:val="000000" w:themeColor="text1"/>
          <w:sz w:val="16"/>
          <w:szCs w:val="16"/>
        </w:rPr>
        <w:t xml:space="preserve">Sentencia del </w:t>
      </w:r>
      <w:r w:rsidRPr="003E2347">
        <w:rPr>
          <w:rFonts w:ascii="Verdana" w:hAnsi="Verdana" w:cs="Arial"/>
          <w:color w:val="000000" w:themeColor="text1"/>
          <w:sz w:val="16"/>
          <w:szCs w:val="16"/>
        </w:rPr>
        <w:t>24 de octubre de 2016.</w:t>
      </w:r>
      <w:r>
        <w:rPr>
          <w:rFonts w:ascii="Verdana" w:hAnsi="Verdana" w:cs="Arial"/>
          <w:color w:val="000000" w:themeColor="text1"/>
          <w:sz w:val="16"/>
          <w:szCs w:val="16"/>
        </w:rPr>
        <w:t xml:space="preserve"> </w:t>
      </w:r>
      <w:r w:rsidRPr="003E2347">
        <w:rPr>
          <w:rFonts w:ascii="Verdana" w:hAnsi="Verdana" w:cs="Arial"/>
          <w:color w:val="000000" w:themeColor="text1"/>
          <w:sz w:val="16"/>
          <w:szCs w:val="16"/>
        </w:rPr>
        <w:t>Radicado No. 45.607</w:t>
      </w:r>
      <w:r>
        <w:rPr>
          <w:rFonts w:ascii="Verdana" w:hAnsi="Verdana" w:cs="Arial"/>
          <w:color w:val="000000" w:themeColor="text1"/>
          <w:sz w:val="16"/>
          <w:szCs w:val="16"/>
        </w:rPr>
        <w:t xml:space="preserve">. </w:t>
      </w:r>
      <w:r w:rsidRPr="003E2347">
        <w:rPr>
          <w:rFonts w:ascii="Verdana" w:hAnsi="Verdana" w:cs="Arial"/>
          <w:color w:val="000000" w:themeColor="text1"/>
          <w:sz w:val="16"/>
          <w:szCs w:val="16"/>
        </w:rPr>
        <w:t>Consejera Ponente: María Nubia Velásquez Rico.</w:t>
      </w:r>
      <w:bookmarkEnd w:id="0"/>
    </w:p>
  </w:footnote>
  <w:footnote w:id="4">
    <w:p w14:paraId="7ECE2838"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Sobre las entidades de régimen especial, se puede consultar su definición y un listado aproximado de este tipo de entidades en: BARRETO MORENO, Antonio A. El derecho de la compra pública. Legis - Universidad de la Sabana, primera edición, Bogotá, 2019. </w:t>
      </w:r>
    </w:p>
  </w:footnote>
  <w:footnote w:id="5">
    <w:p w14:paraId="45E9F071"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En efecto, el artículo 86 de la Ley 1474 de 2011 dispone: “</w:t>
      </w:r>
      <w:r w:rsidRPr="003E2347">
        <w:rPr>
          <w:rFonts w:ascii="Verdana" w:hAnsi="Verdana" w:cs="Arial"/>
          <w:i/>
          <w:color w:val="000000" w:themeColor="text1"/>
          <w:sz w:val="16"/>
          <w:szCs w:val="16"/>
          <w:lang w:val="es-ES"/>
        </w:rPr>
        <w:t>Las entidades sometidas al Estatuto General de Contratación de la Administración Pública</w:t>
      </w:r>
      <w:r w:rsidRPr="003E2347">
        <w:rPr>
          <w:rFonts w:ascii="Verdana" w:hAnsi="Verdana" w:cs="Arial"/>
          <w:color w:val="000000" w:themeColor="text1"/>
          <w:sz w:val="16"/>
          <w:szCs w:val="16"/>
          <w:lang w:val="es-ES"/>
        </w:rPr>
        <w:t xml:space="preserve"> podrán declarar el incumplimiento, cuantificando los perjuicios del mismo, imponer las multas y sanciones pactadas en el contrato, y hacer efectiva la cláusula penal</w:t>
      </w:r>
      <w:r>
        <w:rPr>
          <w:rFonts w:ascii="Verdana" w:hAnsi="Verdana" w:cs="Arial"/>
          <w:color w:val="000000" w:themeColor="text1"/>
          <w:sz w:val="16"/>
          <w:szCs w:val="16"/>
          <w:lang w:val="es-ES"/>
        </w:rPr>
        <w:t xml:space="preserve"> (…)</w:t>
      </w:r>
      <w:r w:rsidRPr="003E2347">
        <w:rPr>
          <w:rFonts w:ascii="Verdana" w:hAnsi="Verdana" w:cs="Arial"/>
          <w:color w:val="000000" w:themeColor="text1"/>
          <w:sz w:val="16"/>
          <w:szCs w:val="16"/>
          <w:lang w:val="es-ES"/>
        </w:rPr>
        <w:t xml:space="preserve">. </w:t>
      </w:r>
    </w:p>
    <w:p w14:paraId="3ABA01E2"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p>
  </w:footnote>
  <w:footnote w:id="6">
    <w:p w14:paraId="0CE704FC"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Debe recordarse que las entidades sometidas al Estatuto General de Contratación de la Administración Pública son las que se señalan en el artículo 2 de la Ley 80 de 1993. Esta disposición establece: “Para los solos efectos de esta ley:</w:t>
      </w:r>
    </w:p>
    <w:p w14:paraId="15B6EEC6"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1o. Se denominan entidades estatales:</w:t>
      </w:r>
    </w:p>
    <w:p w14:paraId="25F2D063"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CB471F">
        <w:rPr>
          <w:rFonts w:ascii="Verdana" w:hAnsi="Verdana"/>
          <w:sz w:val="16"/>
          <w:szCs w:val="16"/>
        </w:rPr>
        <w:t>i</w:t>
      </w:r>
      <w:r w:rsidRPr="00CB471F">
        <w:rPr>
          <w:rFonts w:ascii="Verdana" w:hAnsi="Verdana" w:cs="Arial"/>
          <w:color w:val="000000" w:themeColor="text1"/>
          <w:sz w:val="16"/>
          <w:szCs w:val="16"/>
          <w:lang w:val="es-ES"/>
        </w:rPr>
        <w:t>cha participación pública mayoritaria, cualquiera sea la denominación que ellas adopten, en todos los órdenes y niveles.</w:t>
      </w:r>
    </w:p>
    <w:p w14:paraId="6F31311E"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7">
    <w:p w14:paraId="4D362CDB"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El artículo 31 de la Ley 142 de 1994, modificado por el artículo 3 de la Ley 689 de 2001, indica: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3263A932"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345EC2A0" w14:textId="77777777" w:rsidR="00854D71" w:rsidRPr="00CB471F" w:rsidRDefault="00854D71" w:rsidP="00854D71">
      <w:pPr>
        <w:pStyle w:val="Textonotapie"/>
        <w:ind w:firstLine="709"/>
        <w:jc w:val="both"/>
        <w:rPr>
          <w:rFonts w:ascii="Verdana" w:hAnsi="Verdana" w:cs="Arial"/>
          <w:color w:val="000000" w:themeColor="text1"/>
          <w:sz w:val="16"/>
          <w:szCs w:val="16"/>
          <w:lang w:val="es-ES"/>
        </w:rPr>
      </w:pPr>
      <w:r w:rsidRPr="00CB471F">
        <w:rPr>
          <w:rFonts w:ascii="Verdana" w:hAnsi="Verdana" w:cs="Arial"/>
          <w:color w:val="000000" w:themeColor="text1"/>
          <w:sz w:val="16"/>
          <w:szCs w:val="16"/>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footnote>
  <w:footnote w:id="8">
    <w:p w14:paraId="325D3756" w14:textId="77777777" w:rsidR="00854D71" w:rsidRPr="003E2347" w:rsidRDefault="00854D71" w:rsidP="00854D71">
      <w:pPr>
        <w:pStyle w:val="Textonotapie"/>
        <w:ind w:firstLine="709"/>
        <w:jc w:val="both"/>
        <w:rPr>
          <w:rFonts w:ascii="Verdana" w:hAnsi="Verdana" w:cs="Arial"/>
          <w:color w:val="000000" w:themeColor="text1"/>
          <w:sz w:val="16"/>
          <w:szCs w:val="16"/>
          <w:lang w:val="es-ES"/>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El artículo 195, numeral 6 de la Ley 100 de 1993 establece que las empresas sociales del Estado: “En materia contractual se regirá por el derecho privado, pero podrá discrecionalmente utilizar las cláusulas exorbitantes previstas en el estatuto general de contratación de la administración pública”.</w:t>
      </w:r>
    </w:p>
  </w:footnote>
  <w:footnote w:id="9">
    <w:p w14:paraId="3D20B576" w14:textId="77777777" w:rsidR="00854D71" w:rsidRPr="003E2347" w:rsidRDefault="00854D71" w:rsidP="00854D71">
      <w:pPr>
        <w:ind w:firstLine="709"/>
        <w:jc w:val="both"/>
        <w:rPr>
          <w:rFonts w:ascii="Verdana" w:hAnsi="Verdana" w:cs="Arial"/>
          <w:color w:val="000000" w:themeColor="text1"/>
          <w:sz w:val="16"/>
          <w:szCs w:val="16"/>
          <w:lang w:val="es-ES_tradnl"/>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Providencias que avalaron dicha tesis fueron las siguientes: Consejo de Estado. </w:t>
      </w:r>
      <w:r>
        <w:rPr>
          <w:rFonts w:ascii="Verdana" w:hAnsi="Verdana" w:cs="Arial"/>
          <w:color w:val="000000" w:themeColor="text1"/>
          <w:sz w:val="16"/>
          <w:szCs w:val="16"/>
          <w:lang w:val="es-ES"/>
        </w:rPr>
        <w:t xml:space="preserve">Sala de lo Contencioso Administrativo. </w:t>
      </w:r>
      <w:r w:rsidRPr="003E2347">
        <w:rPr>
          <w:rFonts w:ascii="Verdana" w:hAnsi="Verdana" w:cs="Arial"/>
          <w:color w:val="000000" w:themeColor="text1"/>
          <w:sz w:val="16"/>
          <w:szCs w:val="16"/>
          <w:lang w:val="es-ES"/>
        </w:rPr>
        <w:t xml:space="preserve">Sección Tercera. </w:t>
      </w:r>
      <w:r>
        <w:rPr>
          <w:rFonts w:ascii="Verdana" w:hAnsi="Verdana" w:cs="Arial"/>
          <w:color w:val="000000" w:themeColor="text1"/>
          <w:sz w:val="16"/>
          <w:szCs w:val="16"/>
          <w:lang w:val="es-ES"/>
        </w:rPr>
        <w:t xml:space="preserve">Subsección C. </w:t>
      </w:r>
      <w:r w:rsidRPr="003E2347">
        <w:rPr>
          <w:rFonts w:ascii="Verdana" w:hAnsi="Verdana" w:cs="Arial"/>
          <w:color w:val="000000" w:themeColor="text1"/>
          <w:sz w:val="16"/>
          <w:szCs w:val="16"/>
          <w:lang w:val="es-ES"/>
        </w:rPr>
        <w:t xml:space="preserve">Sentencias del 20 de febrero de 2017. Consejero Ponente: Jaime Orlando Santofimio Gamboa. Expedientes: </w:t>
      </w:r>
      <w:r w:rsidRPr="003E2347">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w:t>
      </w:r>
      <w:r>
        <w:rPr>
          <w:rFonts w:ascii="Verdana" w:hAnsi="Verdana" w:cs="Arial"/>
          <w:color w:val="000000" w:themeColor="text1"/>
          <w:sz w:val="16"/>
          <w:szCs w:val="16"/>
          <w:lang w:val="es-ES_tradnl"/>
        </w:rPr>
        <w:t xml:space="preserve"> Sala de lo Contencioso Administrativo. </w:t>
      </w:r>
      <w:r w:rsidRPr="003E2347">
        <w:rPr>
          <w:rFonts w:ascii="Verdana" w:hAnsi="Verdana" w:cs="Arial"/>
          <w:color w:val="000000" w:themeColor="text1"/>
          <w:sz w:val="16"/>
          <w:szCs w:val="16"/>
          <w:lang w:val="es-ES_tradnl"/>
        </w:rPr>
        <w:t>Sección Tercera.</w:t>
      </w:r>
      <w:r>
        <w:rPr>
          <w:rFonts w:ascii="Verdana" w:hAnsi="Verdana" w:cs="Arial"/>
          <w:color w:val="000000" w:themeColor="text1"/>
          <w:sz w:val="16"/>
          <w:szCs w:val="16"/>
          <w:lang w:val="es-ES_tradnl"/>
        </w:rPr>
        <w:t xml:space="preserve"> Subsección B. </w:t>
      </w:r>
      <w:r w:rsidRPr="003E2347">
        <w:rPr>
          <w:rFonts w:ascii="Verdana" w:hAnsi="Verdana" w:cs="Arial"/>
          <w:color w:val="000000" w:themeColor="text1"/>
          <w:sz w:val="16"/>
          <w:szCs w:val="16"/>
          <w:lang w:val="es-ES_tradnl"/>
        </w:rPr>
        <w:t>1 de agosto de 2018. Consejera Ponente: Stella Conto Díaz del Castillo. Expediente: 39277</w:t>
      </w:r>
      <w:r>
        <w:rPr>
          <w:rFonts w:ascii="Verdana" w:hAnsi="Verdana" w:cs="Arial"/>
          <w:color w:val="000000" w:themeColor="text1"/>
          <w:sz w:val="16"/>
          <w:szCs w:val="16"/>
          <w:lang w:val="es-ES_tradnl"/>
        </w:rPr>
        <w:t>.</w:t>
      </w:r>
      <w:r w:rsidRPr="003E2347">
        <w:rPr>
          <w:rFonts w:ascii="Verdana" w:hAnsi="Verdana" w:cs="Arial"/>
          <w:color w:val="000000" w:themeColor="text1"/>
          <w:sz w:val="16"/>
          <w:szCs w:val="16"/>
          <w:lang w:val="es-ES_tradnl"/>
        </w:rPr>
        <w:t xml:space="preserve"> Consejo de Estado.</w:t>
      </w:r>
      <w:r>
        <w:rPr>
          <w:rFonts w:ascii="Verdana" w:hAnsi="Verdana" w:cs="Arial"/>
          <w:color w:val="000000" w:themeColor="text1"/>
          <w:sz w:val="16"/>
          <w:szCs w:val="16"/>
          <w:lang w:val="es-ES_tradnl"/>
        </w:rPr>
        <w:t xml:space="preserve"> Sala de lo Contencioso Administrativo. </w:t>
      </w:r>
      <w:r w:rsidRPr="003E2347">
        <w:rPr>
          <w:rFonts w:ascii="Verdana" w:hAnsi="Verdana" w:cs="Arial"/>
          <w:color w:val="000000" w:themeColor="text1"/>
          <w:sz w:val="16"/>
          <w:szCs w:val="16"/>
          <w:lang w:val="es-ES_tradnl"/>
        </w:rPr>
        <w:t>Sección Tercera.</w:t>
      </w:r>
      <w:r>
        <w:rPr>
          <w:rFonts w:ascii="Verdana" w:hAnsi="Verdana" w:cs="Arial"/>
          <w:color w:val="000000" w:themeColor="text1"/>
          <w:sz w:val="16"/>
          <w:szCs w:val="16"/>
          <w:lang w:val="es-ES_tradnl"/>
        </w:rPr>
        <w:t xml:space="preserve"> Subsección B</w:t>
      </w:r>
      <w:r w:rsidRPr="003E2347">
        <w:rPr>
          <w:rFonts w:ascii="Verdana" w:hAnsi="Verdana" w:cs="Arial"/>
          <w:color w:val="000000" w:themeColor="text1"/>
          <w:sz w:val="16"/>
          <w:szCs w:val="16"/>
          <w:lang w:val="es-ES_tradnl"/>
        </w:rPr>
        <w:t xml:space="preserve"> </w:t>
      </w:r>
      <w:r>
        <w:rPr>
          <w:rFonts w:ascii="Verdana" w:hAnsi="Verdana" w:cs="Arial"/>
          <w:color w:val="000000" w:themeColor="text1"/>
          <w:sz w:val="16"/>
          <w:szCs w:val="16"/>
          <w:lang w:val="es-ES_tradnl"/>
        </w:rPr>
        <w:t xml:space="preserve">sentencia </w:t>
      </w:r>
      <w:r w:rsidRPr="003E2347">
        <w:rPr>
          <w:rFonts w:ascii="Verdana" w:hAnsi="Verdana" w:cs="Arial"/>
          <w:color w:val="000000" w:themeColor="text1"/>
          <w:sz w:val="16"/>
          <w:szCs w:val="16"/>
          <w:lang w:val="es-ES_tradnl"/>
        </w:rPr>
        <w:t>del 14 de febrero de 2019. Consejero Ponente: Carlos Alberto Zambrano Barrera. Expediente: 38937.</w:t>
      </w:r>
    </w:p>
    <w:p w14:paraId="2ADE33D4" w14:textId="77777777" w:rsidR="00854D71" w:rsidRPr="003E2347" w:rsidRDefault="00854D71" w:rsidP="00854D71">
      <w:pPr>
        <w:pStyle w:val="Textonotapie"/>
        <w:jc w:val="both"/>
        <w:rPr>
          <w:rFonts w:ascii="Verdana" w:hAnsi="Verdana" w:cs="Arial"/>
          <w:color w:val="000000" w:themeColor="text1"/>
          <w:sz w:val="16"/>
          <w:szCs w:val="16"/>
          <w:lang w:val="es-ES_tradnl"/>
        </w:rPr>
      </w:pPr>
    </w:p>
  </w:footnote>
  <w:footnote w:id="10">
    <w:p w14:paraId="29771C31" w14:textId="77777777" w:rsidR="00854D71" w:rsidRPr="003E2347" w:rsidRDefault="00854D71" w:rsidP="00854D71">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C</w:t>
      </w:r>
      <w:r>
        <w:rPr>
          <w:rFonts w:ascii="Verdana" w:hAnsi="Verdana"/>
          <w:sz w:val="16"/>
          <w:szCs w:val="16"/>
        </w:rPr>
        <w:t>onsejo de Estado</w:t>
      </w:r>
      <w:r w:rsidRPr="003E2347">
        <w:rPr>
          <w:rFonts w:ascii="Verdana" w:hAnsi="Verdana"/>
          <w:sz w:val="16"/>
          <w:szCs w:val="16"/>
        </w:rPr>
        <w:t xml:space="preserve">. </w:t>
      </w:r>
      <w:r>
        <w:rPr>
          <w:rFonts w:ascii="Verdana" w:hAnsi="Verdana"/>
          <w:sz w:val="16"/>
          <w:szCs w:val="16"/>
        </w:rPr>
        <w:t xml:space="preserve">Sala Plena. </w:t>
      </w:r>
      <w:r w:rsidRPr="003E2347">
        <w:rPr>
          <w:rFonts w:ascii="Verdana" w:hAnsi="Verdana"/>
          <w:sz w:val="16"/>
          <w:szCs w:val="16"/>
        </w:rPr>
        <w:t>Sección Tercera</w:t>
      </w:r>
      <w:r>
        <w:rPr>
          <w:rFonts w:ascii="Verdana" w:hAnsi="Verdana"/>
          <w:sz w:val="16"/>
          <w:szCs w:val="16"/>
        </w:rPr>
        <w:t xml:space="preserve">. </w:t>
      </w:r>
      <w:r w:rsidRPr="003E2347">
        <w:rPr>
          <w:rFonts w:ascii="Verdana" w:hAnsi="Verdana"/>
          <w:sz w:val="16"/>
          <w:szCs w:val="16"/>
        </w:rPr>
        <w:t>Sentencia de Unificación del 9 de mayo de 2024, C.P. José Roberto Sáchica Méndez, Exp. No. 53.962.</w:t>
      </w:r>
    </w:p>
  </w:footnote>
  <w:footnote w:id="11">
    <w:p w14:paraId="598144EA" w14:textId="77777777" w:rsidR="00854D71" w:rsidRPr="00CB471F" w:rsidRDefault="00854D71" w:rsidP="00854D71">
      <w:pPr>
        <w:pStyle w:val="Textonotapie"/>
        <w:ind w:firstLine="708"/>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Sección Tercera. Subsección B, sentencia del 19 de junio de 2019, Exp. No. 39.800.  </w:t>
      </w:r>
      <w:r w:rsidRPr="00CB471F">
        <w:rPr>
          <w:rFonts w:ascii="Verdana" w:hAnsi="Verdana"/>
          <w:sz w:val="16"/>
          <w:szCs w:val="16"/>
        </w:rPr>
        <w:t xml:space="preserve"> </w:t>
      </w:r>
    </w:p>
  </w:footnote>
  <w:footnote w:id="12">
    <w:p w14:paraId="4F3D98ED" w14:textId="77777777" w:rsidR="00854D71" w:rsidRPr="00CB471F" w:rsidRDefault="00854D71" w:rsidP="00854D71">
      <w:pPr>
        <w:pStyle w:val="Textonotapie"/>
        <w:ind w:firstLine="708"/>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 Consejo de Estado. Sala de lo Contenciosos Administrativo. Sección Tercera. Subsección B, sentencia del 23 de noviembre de 2022, Exp. No. 66.700.  </w:t>
      </w:r>
    </w:p>
  </w:footnote>
  <w:footnote w:id="13">
    <w:p w14:paraId="0920A6B9" w14:textId="77777777" w:rsidR="00854D71" w:rsidRPr="00CB471F" w:rsidRDefault="00854D71" w:rsidP="00854D71">
      <w:pPr>
        <w:pStyle w:val="Textonotapie"/>
        <w:jc w:val="both"/>
        <w:rPr>
          <w:rFonts w:ascii="Verdana" w:hAnsi="Verdana"/>
          <w:sz w:val="16"/>
          <w:szCs w:val="16"/>
        </w:rPr>
      </w:pP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Consejo de Estado. Sala de lo Contenciosos Administrativo. Sección Tercera, Subsección C, sentencia del 21 de octubre de 2021, Exp. No. 36697.</w:t>
      </w:r>
    </w:p>
  </w:footnote>
  <w:footnote w:id="14">
    <w:p w14:paraId="44A8CCE4" w14:textId="77777777" w:rsidR="00854D71" w:rsidRPr="00CB471F" w:rsidRDefault="00854D71" w:rsidP="00854D71">
      <w:pPr>
        <w:pStyle w:val="Textonotapie"/>
        <w:jc w:val="both"/>
        <w:rPr>
          <w:rFonts w:ascii="Verdana" w:hAnsi="Verdana"/>
          <w:sz w:val="16"/>
          <w:szCs w:val="16"/>
        </w:rPr>
      </w:pPr>
      <w:r>
        <w:rPr>
          <w:rFonts w:ascii="Verdana" w:hAnsi="Verdana"/>
          <w:sz w:val="16"/>
          <w:szCs w:val="16"/>
        </w:rPr>
        <w:tab/>
      </w: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Sección Tercera, Subsección A, Sentencia del 24 de septiembre de 2020, Exp. No. 44707.  </w:t>
      </w:r>
    </w:p>
  </w:footnote>
  <w:footnote w:id="15">
    <w:p w14:paraId="1AC91DD3" w14:textId="77777777" w:rsidR="00854D71" w:rsidRPr="00CB471F" w:rsidRDefault="00854D71" w:rsidP="00854D71">
      <w:pPr>
        <w:pStyle w:val="Textonotapie"/>
        <w:jc w:val="both"/>
        <w:rPr>
          <w:rFonts w:ascii="Verdana" w:hAnsi="Verdana"/>
          <w:sz w:val="16"/>
          <w:szCs w:val="16"/>
        </w:rPr>
      </w:pPr>
      <w:r>
        <w:rPr>
          <w:rFonts w:ascii="Verdana" w:hAnsi="Verdana"/>
          <w:sz w:val="16"/>
          <w:szCs w:val="16"/>
        </w:rPr>
        <w:tab/>
      </w:r>
      <w:r w:rsidRPr="00CB471F">
        <w:rPr>
          <w:rStyle w:val="Refdenotaalpie"/>
          <w:rFonts w:ascii="Verdana" w:hAnsi="Verdana"/>
          <w:sz w:val="16"/>
          <w:szCs w:val="16"/>
        </w:rPr>
        <w:footnoteRef/>
      </w:r>
      <w:r w:rsidRPr="00CB471F">
        <w:rPr>
          <w:rFonts w:ascii="Verdana" w:hAnsi="Verdana"/>
          <w:sz w:val="16"/>
          <w:szCs w:val="16"/>
        </w:rPr>
        <w:t xml:space="preserve"> </w:t>
      </w:r>
      <w:r w:rsidRPr="00CB471F">
        <w:rPr>
          <w:rFonts w:ascii="Verdana" w:hAnsi="Verdana"/>
          <w:sz w:val="16"/>
          <w:szCs w:val="16"/>
          <w:lang w:val="es-CO"/>
        </w:rPr>
        <w:t xml:space="preserve">Consejo de Estado. Sala de lo Contenciosos Administrativo. Tercera, Subsección A, Sentencia del 21 de mayo de 2021, Exp. No. 57822.  </w:t>
      </w:r>
    </w:p>
  </w:footnote>
  <w:footnote w:id="16">
    <w:p w14:paraId="3089D6B5" w14:textId="77777777" w:rsidR="00854D71" w:rsidRPr="009C400E" w:rsidRDefault="00854D71" w:rsidP="00854D71">
      <w:pPr>
        <w:pStyle w:val="Textonotapie"/>
        <w:jc w:val="both"/>
        <w:rPr>
          <w:rFonts w:ascii="Verdana" w:hAnsi="Verdana" w:cs="Arial"/>
          <w:color w:val="000000" w:themeColor="text1"/>
          <w:sz w:val="16"/>
          <w:szCs w:val="16"/>
          <w:lang w:val="pt-PT"/>
        </w:rPr>
      </w:pPr>
      <w:r w:rsidRPr="00CB471F">
        <w:rPr>
          <w:rStyle w:val="Refdenotaalpie"/>
          <w:rFonts w:ascii="Verdana" w:hAnsi="Verdana" w:cs="Arial"/>
          <w:color w:val="000000" w:themeColor="text1"/>
          <w:sz w:val="16"/>
          <w:szCs w:val="16"/>
        </w:rPr>
        <w:footnoteRef/>
      </w:r>
      <w:r w:rsidRPr="00CB471F">
        <w:rPr>
          <w:rFonts w:ascii="Verdana" w:hAnsi="Verdana" w:cs="Arial"/>
          <w:color w:val="000000" w:themeColor="text1"/>
          <w:sz w:val="16"/>
          <w:szCs w:val="16"/>
        </w:rPr>
        <w:t xml:space="preserve"> </w:t>
      </w:r>
      <w:r w:rsidRPr="00CB471F">
        <w:rPr>
          <w:rFonts w:ascii="Verdana" w:hAnsi="Verdana" w:cs="Arial"/>
          <w:color w:val="000000" w:themeColor="text1"/>
          <w:sz w:val="16"/>
          <w:szCs w:val="16"/>
          <w:lang w:val="es-ES"/>
        </w:rPr>
        <w:t xml:space="preserve">Consejo de Estado. Sala de lo Contencioso Administrativo. Sección Tercera. Auto del 12 de diciembre de 2017. </w:t>
      </w:r>
      <w:r w:rsidRPr="009C400E">
        <w:rPr>
          <w:rFonts w:ascii="Verdana" w:hAnsi="Verdana" w:cs="Arial"/>
          <w:color w:val="000000" w:themeColor="text1"/>
          <w:sz w:val="16"/>
          <w:szCs w:val="16"/>
          <w:lang w:val="pt-PT"/>
        </w:rPr>
        <w:t>Exp. 60.477. C.P. Jaime Orlando Santofimio Gamboa.</w:t>
      </w:r>
    </w:p>
    <w:p w14:paraId="32FEBA4B" w14:textId="77777777" w:rsidR="00854D71" w:rsidRPr="009C400E" w:rsidRDefault="00854D71" w:rsidP="00854D71">
      <w:pPr>
        <w:pStyle w:val="Textonotapie"/>
        <w:ind w:firstLine="709"/>
        <w:jc w:val="both"/>
        <w:rPr>
          <w:rFonts w:ascii="Verdana" w:hAnsi="Verdana" w:cs="Arial"/>
          <w:color w:val="000000" w:themeColor="text1"/>
          <w:sz w:val="16"/>
          <w:szCs w:val="16"/>
          <w:lang w:val="pt-PT"/>
        </w:rPr>
      </w:pPr>
    </w:p>
  </w:footnote>
  <w:footnote w:id="17">
    <w:p w14:paraId="713D8F3B" w14:textId="77777777" w:rsidR="00854D71" w:rsidRPr="00375291" w:rsidRDefault="00854D71" w:rsidP="00854D71">
      <w:pPr>
        <w:pStyle w:val="Textonotapie"/>
        <w:ind w:firstLine="709"/>
        <w:jc w:val="both"/>
        <w:rPr>
          <w:rFonts w:ascii="Verdana" w:hAnsi="Verdana" w:cs="Arial"/>
          <w:sz w:val="16"/>
          <w:szCs w:val="16"/>
        </w:rPr>
      </w:pPr>
      <w:r w:rsidRPr="00375291">
        <w:rPr>
          <w:rStyle w:val="Refdenotaalpie"/>
          <w:rFonts w:ascii="Verdana" w:hAnsi="Verdana" w:cs="Arial"/>
          <w:sz w:val="16"/>
          <w:szCs w:val="16"/>
        </w:rPr>
        <w:footnoteRef/>
      </w:r>
      <w:r w:rsidRPr="009C400E">
        <w:rPr>
          <w:rFonts w:ascii="Verdana" w:hAnsi="Verdana" w:cs="Arial"/>
          <w:sz w:val="16"/>
          <w:szCs w:val="16"/>
          <w:lang w:val="pt-PT"/>
        </w:rPr>
        <w:t xml:space="preserve"> Corte Suprema de Justicia. </w:t>
      </w:r>
      <w:r w:rsidRPr="00375291">
        <w:rPr>
          <w:rFonts w:ascii="Verdana" w:hAnsi="Verdana" w:cs="Arial"/>
          <w:sz w:val="16"/>
          <w:szCs w:val="16"/>
        </w:rPr>
        <w:t>Sala de Casación Civil, sentencia de 30 de agosto de 2011, expediente 11001-3103-012-1999-01957-01</w:t>
      </w:r>
      <w:r>
        <w:rPr>
          <w:rFonts w:ascii="Verdana" w:hAnsi="Verdana" w:cs="Arial"/>
          <w:sz w:val="16"/>
          <w:szCs w:val="16"/>
        </w:rPr>
        <w:t>.</w:t>
      </w:r>
    </w:p>
  </w:footnote>
  <w:footnote w:id="18">
    <w:p w14:paraId="61ACCF48" w14:textId="77777777" w:rsidR="00854D71" w:rsidRPr="00CF5D78" w:rsidRDefault="00854D71" w:rsidP="00854D71">
      <w:pPr>
        <w:pStyle w:val="Textonotapie"/>
        <w:ind w:firstLine="708"/>
        <w:jc w:val="both"/>
        <w:rPr>
          <w:rFonts w:ascii="Verdana" w:hAnsi="Verdana" w:cs="Arial"/>
          <w:sz w:val="16"/>
          <w:szCs w:val="16"/>
        </w:rPr>
      </w:pPr>
      <w:r w:rsidRPr="00CB471F">
        <w:rPr>
          <w:rStyle w:val="Refdenotaalpie"/>
          <w:rFonts w:ascii="Verdana" w:hAnsi="Verdana" w:cs="Arial"/>
          <w:sz w:val="16"/>
          <w:szCs w:val="16"/>
        </w:rPr>
        <w:footnoteRef/>
      </w:r>
      <w:r w:rsidRPr="00CB471F">
        <w:rPr>
          <w:rFonts w:ascii="Verdana" w:hAnsi="Verdana" w:cs="Arial"/>
          <w:sz w:val="16"/>
          <w:szCs w:val="16"/>
        </w:rPr>
        <w:t xml:space="preserve"> Agencia Nacional de Contratación Pública –Colombia Compra Eficiente–. Guía de garantías en procesos de contratación. p. 12. Disponible en: </w:t>
      </w:r>
      <w:hyperlink r:id="rId1" w:history="1">
        <w:r w:rsidRPr="00CB471F">
          <w:rPr>
            <w:rStyle w:val="Hipervnculo"/>
            <w:rFonts w:ascii="Verdana" w:hAnsi="Verdana"/>
            <w:sz w:val="16"/>
            <w:szCs w:val="16"/>
          </w:rPr>
          <w:t>https://www.colombiacompra.gov.co/manuales-guias-y-pliegos-tipo/manuales-y-guias</w:t>
        </w:r>
      </w:hyperlink>
      <w:r w:rsidRPr="00CB471F">
        <w:rPr>
          <w:rFonts w:ascii="Verdana" w:hAnsi="Verdana" w:cs="Arial"/>
          <w:sz w:val="16"/>
          <w:szCs w:val="16"/>
        </w:rPr>
        <w:t xml:space="preserve">. </w:t>
      </w:r>
    </w:p>
  </w:footnote>
  <w:footnote w:id="19">
    <w:p w14:paraId="3D98D8F2" w14:textId="77777777" w:rsidR="00854D71" w:rsidRPr="00CB471F" w:rsidRDefault="00854D71" w:rsidP="00854D71">
      <w:pPr>
        <w:pStyle w:val="Textonotapie"/>
        <w:ind w:firstLine="708"/>
        <w:jc w:val="both"/>
        <w:rPr>
          <w:rFonts w:ascii="Verdana" w:hAnsi="Verdana" w:cs="Arial"/>
          <w:sz w:val="16"/>
          <w:szCs w:val="16"/>
        </w:rPr>
      </w:pPr>
      <w:r w:rsidRPr="00CB471F">
        <w:rPr>
          <w:rStyle w:val="Refdenotaalpie"/>
          <w:rFonts w:ascii="Verdana" w:hAnsi="Verdana" w:cs="Arial"/>
          <w:sz w:val="16"/>
          <w:szCs w:val="16"/>
        </w:rPr>
        <w:footnoteRef/>
      </w:r>
      <w:r w:rsidRPr="00CB471F">
        <w:rPr>
          <w:rFonts w:ascii="Verdana" w:hAnsi="Verdana" w:cs="Arial"/>
          <w:sz w:val="16"/>
          <w:szCs w:val="16"/>
        </w:rPr>
        <w:t xml:space="preserve"> Ibidem.,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20">
    <w:p w14:paraId="2BC782F3" w14:textId="77777777" w:rsidR="00854D71" w:rsidRPr="00CB471F" w:rsidRDefault="00854D71" w:rsidP="00854D71">
      <w:pPr>
        <w:pStyle w:val="Textonotapie"/>
        <w:ind w:firstLine="709"/>
        <w:jc w:val="both"/>
        <w:rPr>
          <w:rFonts w:ascii="Verdana" w:hAnsi="Verdana"/>
          <w:sz w:val="16"/>
          <w:szCs w:val="16"/>
          <w:lang w:val="es-ES"/>
        </w:rPr>
      </w:pPr>
      <w:r w:rsidRPr="00CB471F">
        <w:rPr>
          <w:rStyle w:val="Refdenotaalpie"/>
          <w:rFonts w:ascii="Verdana" w:hAnsi="Verdana"/>
          <w:sz w:val="16"/>
          <w:szCs w:val="16"/>
        </w:rPr>
        <w:footnoteRef/>
      </w:r>
      <w:r w:rsidRPr="00CB471F">
        <w:rPr>
          <w:rFonts w:ascii="Verdana" w:hAnsi="Verdana"/>
          <w:sz w:val="16"/>
          <w:szCs w:val="16"/>
        </w:rPr>
        <w:t xml:space="preserve"> </w:t>
      </w:r>
      <w:r>
        <w:rPr>
          <w:rFonts w:ascii="Verdana" w:hAnsi="Verdana"/>
          <w:sz w:val="16"/>
          <w:szCs w:val="16"/>
        </w:rPr>
        <w:t xml:space="preserve">Así se sostuvo en la sentencia del </w:t>
      </w:r>
      <w:r w:rsidRPr="00CB471F">
        <w:rPr>
          <w:rFonts w:ascii="Verdana" w:hAnsi="Verdana"/>
          <w:sz w:val="16"/>
          <w:szCs w:val="16"/>
          <w:lang w:val="es-ES"/>
        </w:rPr>
        <w:t>Consejo de Estado. Sala de lo Contencioso Administrativo. Sección Tercera. 19 de junio de 2019. Radicado: 85001-23-31-001-2008-00076-01(39800). C.P. Alberto Montaña Plata.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4B26"/>
    <w:rsid w:val="000A683E"/>
    <w:rsid w:val="000B19B9"/>
    <w:rsid w:val="000B4DAD"/>
    <w:rsid w:val="000D0334"/>
    <w:rsid w:val="000F6486"/>
    <w:rsid w:val="00125105"/>
    <w:rsid w:val="00127233"/>
    <w:rsid w:val="001511A0"/>
    <w:rsid w:val="001D17A4"/>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35C54"/>
    <w:rsid w:val="003448F4"/>
    <w:rsid w:val="003559F1"/>
    <w:rsid w:val="00374F5E"/>
    <w:rsid w:val="00377E3E"/>
    <w:rsid w:val="003A779E"/>
    <w:rsid w:val="003A7C42"/>
    <w:rsid w:val="003D0F4D"/>
    <w:rsid w:val="003D5B0D"/>
    <w:rsid w:val="003E0499"/>
    <w:rsid w:val="003F3941"/>
    <w:rsid w:val="00406575"/>
    <w:rsid w:val="00414C74"/>
    <w:rsid w:val="0042722E"/>
    <w:rsid w:val="0044528D"/>
    <w:rsid w:val="004A1847"/>
    <w:rsid w:val="004A305D"/>
    <w:rsid w:val="004C0D3C"/>
    <w:rsid w:val="004F21C4"/>
    <w:rsid w:val="004F685F"/>
    <w:rsid w:val="005566E8"/>
    <w:rsid w:val="0057191D"/>
    <w:rsid w:val="00574709"/>
    <w:rsid w:val="00574867"/>
    <w:rsid w:val="00575E6A"/>
    <w:rsid w:val="00591460"/>
    <w:rsid w:val="005B3816"/>
    <w:rsid w:val="005C3777"/>
    <w:rsid w:val="005C5CDC"/>
    <w:rsid w:val="005D476C"/>
    <w:rsid w:val="006219F8"/>
    <w:rsid w:val="00665D70"/>
    <w:rsid w:val="006900D9"/>
    <w:rsid w:val="006F648A"/>
    <w:rsid w:val="00706C16"/>
    <w:rsid w:val="0073290E"/>
    <w:rsid w:val="00756841"/>
    <w:rsid w:val="007649AB"/>
    <w:rsid w:val="00771D0C"/>
    <w:rsid w:val="007833AC"/>
    <w:rsid w:val="00797F7D"/>
    <w:rsid w:val="007B268C"/>
    <w:rsid w:val="007B2CFB"/>
    <w:rsid w:val="007B7171"/>
    <w:rsid w:val="007C0C0F"/>
    <w:rsid w:val="007C3DC2"/>
    <w:rsid w:val="007C71FC"/>
    <w:rsid w:val="007E5497"/>
    <w:rsid w:val="00806F5F"/>
    <w:rsid w:val="00820278"/>
    <w:rsid w:val="0082131C"/>
    <w:rsid w:val="00854D71"/>
    <w:rsid w:val="00867F95"/>
    <w:rsid w:val="008843B6"/>
    <w:rsid w:val="00891928"/>
    <w:rsid w:val="008A446D"/>
    <w:rsid w:val="008B0B6F"/>
    <w:rsid w:val="008D180B"/>
    <w:rsid w:val="008D3AE3"/>
    <w:rsid w:val="008F0EA7"/>
    <w:rsid w:val="00923EEF"/>
    <w:rsid w:val="00925A20"/>
    <w:rsid w:val="009419F9"/>
    <w:rsid w:val="0095685E"/>
    <w:rsid w:val="00961B09"/>
    <w:rsid w:val="00965334"/>
    <w:rsid w:val="0097093E"/>
    <w:rsid w:val="00986AC5"/>
    <w:rsid w:val="009A0DFA"/>
    <w:rsid w:val="009A2309"/>
    <w:rsid w:val="009A3FB5"/>
    <w:rsid w:val="009B2D26"/>
    <w:rsid w:val="009C71FA"/>
    <w:rsid w:val="009C72E7"/>
    <w:rsid w:val="009D3058"/>
    <w:rsid w:val="009F3A13"/>
    <w:rsid w:val="00A122D3"/>
    <w:rsid w:val="00A17F13"/>
    <w:rsid w:val="00A20739"/>
    <w:rsid w:val="00A33C78"/>
    <w:rsid w:val="00AB0ADB"/>
    <w:rsid w:val="00AE39D4"/>
    <w:rsid w:val="00B01B1A"/>
    <w:rsid w:val="00B66319"/>
    <w:rsid w:val="00B72CD3"/>
    <w:rsid w:val="00B72FFF"/>
    <w:rsid w:val="00BC3D36"/>
    <w:rsid w:val="00BD7F72"/>
    <w:rsid w:val="00C04FB3"/>
    <w:rsid w:val="00C330EB"/>
    <w:rsid w:val="00C41061"/>
    <w:rsid w:val="00C74235"/>
    <w:rsid w:val="00C754BE"/>
    <w:rsid w:val="00C76B1C"/>
    <w:rsid w:val="00C870FC"/>
    <w:rsid w:val="00CB6357"/>
    <w:rsid w:val="00CC1B26"/>
    <w:rsid w:val="00CF00B4"/>
    <w:rsid w:val="00D423A2"/>
    <w:rsid w:val="00D520D8"/>
    <w:rsid w:val="00D63AC2"/>
    <w:rsid w:val="00D7383B"/>
    <w:rsid w:val="00D83E64"/>
    <w:rsid w:val="00D97802"/>
    <w:rsid w:val="00DA231B"/>
    <w:rsid w:val="00DC39FC"/>
    <w:rsid w:val="00DF5254"/>
    <w:rsid w:val="00E16408"/>
    <w:rsid w:val="00E20894"/>
    <w:rsid w:val="00E2288F"/>
    <w:rsid w:val="00E245AB"/>
    <w:rsid w:val="00E2764C"/>
    <w:rsid w:val="00E27F2E"/>
    <w:rsid w:val="00E364A7"/>
    <w:rsid w:val="00E50AFE"/>
    <w:rsid w:val="00E75C92"/>
    <w:rsid w:val="00E771DC"/>
    <w:rsid w:val="00E8772A"/>
    <w:rsid w:val="00E90F6B"/>
    <w:rsid w:val="00E92C27"/>
    <w:rsid w:val="00EA0E3D"/>
    <w:rsid w:val="00EC38A7"/>
    <w:rsid w:val="00ED7384"/>
    <w:rsid w:val="00EE1AA8"/>
    <w:rsid w:val="00EF2E98"/>
    <w:rsid w:val="00F03EB4"/>
    <w:rsid w:val="00F31EDC"/>
    <w:rsid w:val="00F462B3"/>
    <w:rsid w:val="00F5664F"/>
    <w:rsid w:val="00F666C4"/>
    <w:rsid w:val="00F76AFC"/>
    <w:rsid w:val="00FA47C0"/>
    <w:rsid w:val="00FB5DD1"/>
    <w:rsid w:val="00FC2B5D"/>
    <w:rsid w:val="00FD22FA"/>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672DFB09-A6E8-4033-9553-0DA92390D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54D7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54D7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a6cb9e4b-f1d1-4245-83ec-6cad768d538a"/>
    <ds:schemaRef ds:uri="http://schemas.microsoft.com/office/2006/documentManagement/types"/>
    <ds:schemaRef ds:uri="9d85dbaf-23eb-4e57-a637-93dcacc8b1a1"/>
    <ds:schemaRef ds:uri="http://www.w3.org/XML/1998/namespace"/>
    <ds:schemaRef ds:uri="http://purl.org/dc/terms/"/>
  </ds:schemaRefs>
</ds:datastoreItem>
</file>

<file path=customXml/itemProps2.xml><?xml version="1.0" encoding="utf-8"?>
<ds:datastoreItem xmlns:ds="http://schemas.openxmlformats.org/officeDocument/2006/customXml" ds:itemID="{FA293A24-AC22-4F8C-9EDE-20E72038B5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4889</Words>
  <Characters>26892</Characters>
  <Application>Microsoft Office Word</Application>
  <DocSecurity>0</DocSecurity>
  <Lines>224</Lines>
  <Paragraphs>63</Paragraphs>
  <ScaleCrop>false</ScaleCrop>
  <Company/>
  <LinksUpToDate>false</LinksUpToDate>
  <CharactersWithSpaces>31718</CharactersWithSpaces>
  <SharedDoc>false</SharedDoc>
  <HLinks>
    <vt:vector size="18" baseType="variant">
      <vt:variant>
        <vt:i4>7733357</vt:i4>
      </vt:variant>
      <vt:variant>
        <vt:i4>3</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2025-08-25T18:38:00Z</dcterms:created>
  <dcterms:modified xsi:type="dcterms:W3CDTF">2025-08-25T18:38:00Z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