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4316D" w14:textId="77777777" w:rsidR="00FA7FE6" w:rsidRDefault="00FA7FE6" w:rsidP="00DB158E">
      <w:pPr>
        <w:spacing w:after="0" w:line="240" w:lineRule="auto"/>
        <w:rPr>
          <w:rFonts w:ascii="Verdana" w:hAnsi="Verdana"/>
        </w:rPr>
      </w:pPr>
      <w:bookmarkStart w:id="0" w:name="_Hlk181166130"/>
    </w:p>
    <w:p w14:paraId="64F84450" w14:textId="391E7928" w:rsidR="00FA7FE6" w:rsidRPr="004113A9" w:rsidRDefault="00FA7FE6" w:rsidP="00FA7FE6">
      <w:pPr>
        <w:spacing w:after="0" w:line="240" w:lineRule="auto"/>
        <w:jc w:val="both"/>
        <w:rPr>
          <w:rFonts w:ascii="Verdana" w:eastAsia="Geomanist Light" w:hAnsi="Verdana" w:cs="Arial"/>
          <w:b/>
          <w:bCs/>
          <w:lang w:val="es-MX"/>
        </w:rPr>
      </w:pPr>
      <w:r w:rsidRPr="004113A9">
        <w:rPr>
          <w:rFonts w:ascii="Verdana" w:eastAsia="Geomanist Light" w:hAnsi="Verdana" w:cs="Arial"/>
          <w:b/>
          <w:bCs/>
          <w:lang w:val="es-MX"/>
        </w:rPr>
        <w:t xml:space="preserve">PROPONENTE PLURAL ‒ Consorcio ‒ Unión temporal ‒ Concepto </w:t>
      </w:r>
    </w:p>
    <w:p w14:paraId="2361A778" w14:textId="77777777" w:rsidR="00FA7FE6" w:rsidRPr="004113A9" w:rsidRDefault="00FA7FE6" w:rsidP="00FA7FE6">
      <w:pPr>
        <w:spacing w:after="0" w:line="240" w:lineRule="auto"/>
        <w:jc w:val="both"/>
        <w:rPr>
          <w:rFonts w:ascii="Verdana" w:eastAsia="Geomanist Light" w:hAnsi="Verdana" w:cs="Arial"/>
          <w:lang w:val="es-MX"/>
        </w:rPr>
      </w:pPr>
    </w:p>
    <w:p w14:paraId="74627843" w14:textId="77777777" w:rsidR="00FA7FE6" w:rsidRPr="00A777FB" w:rsidRDefault="00FA7FE6" w:rsidP="00FA7FE6">
      <w:pPr>
        <w:spacing w:after="0" w:line="240" w:lineRule="auto"/>
        <w:jc w:val="both"/>
        <w:rPr>
          <w:rFonts w:ascii="Verdana" w:eastAsia="Geomanist Light" w:hAnsi="Verdana" w:cs="Arial"/>
          <w:sz w:val="20"/>
          <w:szCs w:val="20"/>
          <w:lang w:val="es-MX"/>
        </w:rPr>
      </w:pPr>
      <w:r w:rsidRPr="00A777FB">
        <w:rPr>
          <w:rFonts w:ascii="Verdana" w:eastAsia="Geomanist Light" w:hAnsi="Verdana" w:cs="Arial"/>
          <w:sz w:val="20"/>
          <w:szCs w:val="20"/>
          <w:lang w:val="es-MX"/>
        </w:rPr>
        <w:t xml:space="preserve">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00ACA219" w14:textId="77777777" w:rsidR="00FA7FE6" w:rsidRPr="004113A9" w:rsidRDefault="00FA7FE6" w:rsidP="00FA7FE6">
      <w:pPr>
        <w:spacing w:after="0" w:line="240" w:lineRule="auto"/>
        <w:jc w:val="both"/>
        <w:rPr>
          <w:rFonts w:ascii="Verdana" w:eastAsia="Geomanist Light" w:hAnsi="Verdana" w:cs="Arial"/>
          <w:b/>
          <w:bCs/>
          <w:lang w:val="es-MX"/>
        </w:rPr>
      </w:pPr>
    </w:p>
    <w:p w14:paraId="38722F8A" w14:textId="32080EF8" w:rsidR="00FA7FE6" w:rsidRPr="00FA7FE6" w:rsidRDefault="00FA7FE6" w:rsidP="00FA7FE6">
      <w:pPr>
        <w:spacing w:after="0" w:line="240" w:lineRule="auto"/>
        <w:jc w:val="both"/>
        <w:rPr>
          <w:rFonts w:ascii="Verdana" w:eastAsia="Calibri" w:hAnsi="Verdana" w:cs="Arial"/>
          <w:b/>
          <w:bCs/>
          <w:color w:val="000000"/>
          <w:lang w:val="es-MX" w:eastAsia="es-ES"/>
        </w:rPr>
      </w:pPr>
      <w:r w:rsidRPr="00FA7FE6">
        <w:rPr>
          <w:rFonts w:ascii="Verdana" w:eastAsia="Calibri" w:hAnsi="Verdana" w:cs="Arial"/>
          <w:b/>
          <w:bCs/>
          <w:lang w:val="es-ES" w:eastAsia="es-ES"/>
        </w:rPr>
        <w:t xml:space="preserve">MIPYME– </w:t>
      </w:r>
      <w:r w:rsidRPr="00FA7FE6">
        <w:rPr>
          <w:rFonts w:ascii="Verdana" w:eastAsia="Calibri" w:hAnsi="Verdana" w:cs="Arial"/>
          <w:b/>
          <w:bCs/>
          <w:color w:val="000000"/>
          <w:lang w:val="es-MX" w:eastAsia="es-ES"/>
        </w:rPr>
        <w:t>CONVOCATORIAS LIMITADAS A MIPYMES – Limitación nacional y territorial – Trato preferencial</w:t>
      </w:r>
    </w:p>
    <w:p w14:paraId="11B6A2B2" w14:textId="77777777" w:rsidR="00FA7FE6" w:rsidRPr="004113A9" w:rsidRDefault="00FA7FE6" w:rsidP="00FA7FE6">
      <w:pPr>
        <w:spacing w:after="0" w:line="240" w:lineRule="auto"/>
        <w:jc w:val="both"/>
        <w:rPr>
          <w:rFonts w:ascii="Verdana" w:eastAsia="Geomanist Light" w:hAnsi="Verdana" w:cs="Arial"/>
          <w:lang w:val="es-MX"/>
        </w:rPr>
      </w:pPr>
    </w:p>
    <w:p w14:paraId="0F969488" w14:textId="77777777" w:rsidR="00FA7FE6" w:rsidRPr="00A777FB" w:rsidRDefault="00FA7FE6" w:rsidP="00FA7FE6">
      <w:pPr>
        <w:spacing w:after="0" w:line="240" w:lineRule="auto"/>
        <w:jc w:val="both"/>
        <w:rPr>
          <w:rFonts w:ascii="Verdana" w:eastAsia="Geomanist Light" w:hAnsi="Verdana" w:cs="Arial"/>
          <w:sz w:val="20"/>
          <w:szCs w:val="20"/>
          <w:lang w:val="es-MX"/>
        </w:rPr>
      </w:pPr>
      <w:r w:rsidRPr="00A777FB">
        <w:rPr>
          <w:rFonts w:ascii="Verdana" w:eastAsia="Geomanist Light" w:hAnsi="Verdana" w:cs="Arial"/>
          <w:sz w:val="20"/>
          <w:szCs w:val="20"/>
          <w:lang w:val="es-MX"/>
        </w:rPr>
        <w:t xml:space="preserve">Para efectos de las convocatorias limitadas a </w:t>
      </w:r>
      <w:proofErr w:type="spellStart"/>
      <w:r w:rsidRPr="00A777FB">
        <w:rPr>
          <w:rFonts w:ascii="Verdana" w:eastAsia="Geomanist Light" w:hAnsi="Verdana" w:cs="Arial"/>
          <w:sz w:val="20"/>
          <w:szCs w:val="20"/>
          <w:lang w:val="es-MX"/>
        </w:rPr>
        <w:t>Mipyme</w:t>
      </w:r>
      <w:proofErr w:type="spellEnd"/>
      <w:r w:rsidRPr="00A777FB">
        <w:rPr>
          <w:rFonts w:ascii="Verdana" w:eastAsia="Geomanist Light" w:hAnsi="Verdana" w:cs="Arial"/>
          <w:sz w:val="20"/>
          <w:szCs w:val="20"/>
          <w:lang w:val="es-MX"/>
        </w:rPr>
        <w:t xml:space="preserve"> colombianas del sistema de compras públicas, el 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w:t>
      </w:r>
      <w:proofErr w:type="spellStart"/>
      <w:r w:rsidRPr="00A777FB">
        <w:rPr>
          <w:rFonts w:ascii="Verdana" w:eastAsia="Geomanist Light" w:hAnsi="Verdana" w:cs="Arial"/>
          <w:sz w:val="20"/>
          <w:szCs w:val="20"/>
          <w:lang w:val="es-MX"/>
        </w:rPr>
        <w:t>Mipyme</w:t>
      </w:r>
      <w:proofErr w:type="spellEnd"/>
      <w:r w:rsidRPr="00A777FB">
        <w:rPr>
          <w:rFonts w:ascii="Verdana" w:eastAsia="Geomanist Light" w:hAnsi="Verdana" w:cs="Arial"/>
          <w:sz w:val="20"/>
          <w:szCs w:val="20"/>
          <w:lang w:val="es-MX"/>
        </w:rPr>
        <w:t xml:space="preserve">. </w:t>
      </w:r>
    </w:p>
    <w:p w14:paraId="1ECCDF41" w14:textId="77777777" w:rsidR="00FA7FE6" w:rsidRPr="004113A9" w:rsidRDefault="00FA7FE6" w:rsidP="00FA7FE6">
      <w:pPr>
        <w:spacing w:after="0" w:line="240" w:lineRule="auto"/>
        <w:jc w:val="both"/>
        <w:rPr>
          <w:rFonts w:ascii="Verdana" w:eastAsia="Geomanist Light" w:hAnsi="Verdana" w:cs="Arial"/>
          <w:lang w:val="es-MX"/>
        </w:rPr>
      </w:pPr>
    </w:p>
    <w:p w14:paraId="6C3AA93F" w14:textId="77777777" w:rsidR="00FA7FE6" w:rsidRPr="00A777FB" w:rsidRDefault="00FA7FE6" w:rsidP="00FA7FE6">
      <w:pPr>
        <w:spacing w:after="0" w:line="240" w:lineRule="auto"/>
        <w:jc w:val="both"/>
        <w:rPr>
          <w:rFonts w:ascii="Verdana" w:eastAsia="Geomanist Light" w:hAnsi="Verdana" w:cs="Arial"/>
          <w:color w:val="000000"/>
          <w:sz w:val="20"/>
          <w:szCs w:val="20"/>
        </w:rPr>
      </w:pPr>
      <w:r w:rsidRPr="00A777FB">
        <w:rPr>
          <w:rFonts w:ascii="Verdana" w:eastAsia="Geomanist Light" w:hAnsi="Verdana" w:cs="Arial"/>
          <w:bCs/>
          <w:color w:val="000000"/>
          <w:sz w:val="20"/>
          <w:szCs w:val="20"/>
        </w:rPr>
        <w:t xml:space="preserve">La Ley 2069 de 2020 contiene normas que modifican algunos aspectos de la contratación estatal para promover el emprendimiento. Concretamente, aquellas se encuentran en el Capítulo III – artículos 30 al 36 –. En su orden, tales artículos consagran: i) reglas sobre la participación de las </w:t>
      </w:r>
      <w:proofErr w:type="spellStart"/>
      <w:r w:rsidRPr="00A777FB">
        <w:rPr>
          <w:rFonts w:ascii="Verdana" w:eastAsia="Geomanist Light" w:hAnsi="Verdana" w:cs="Arial"/>
          <w:bCs/>
          <w:color w:val="000000"/>
          <w:sz w:val="20"/>
          <w:szCs w:val="20"/>
        </w:rPr>
        <w:t>mipymes</w:t>
      </w:r>
      <w:proofErr w:type="spellEnd"/>
      <w:r w:rsidRPr="00A777FB">
        <w:rPr>
          <w:rFonts w:ascii="Verdana" w:eastAsia="Geomanist Light" w:hAnsi="Verdana" w:cs="Arial"/>
          <w:bCs/>
          <w:color w:val="000000"/>
          <w:sz w:val="20"/>
          <w:szCs w:val="20"/>
        </w:rPr>
        <w:t xml:space="preserve"> en el procedimiento de mínima cuantía, </w:t>
      </w:r>
      <w:proofErr w:type="spellStart"/>
      <w:r w:rsidRPr="00A777FB">
        <w:rPr>
          <w:rFonts w:ascii="Verdana" w:eastAsia="Geomanist Light" w:hAnsi="Verdana" w:cs="Arial"/>
          <w:bCs/>
          <w:color w:val="000000"/>
          <w:sz w:val="20"/>
          <w:szCs w:val="20"/>
        </w:rPr>
        <w:t>ii</w:t>
      </w:r>
      <w:proofErr w:type="spellEnd"/>
      <w:r w:rsidRPr="00A777FB">
        <w:rPr>
          <w:rFonts w:ascii="Verdana" w:eastAsia="Geomanist Light" w:hAnsi="Verdana" w:cs="Arial"/>
          <w:bCs/>
          <w:color w:val="000000"/>
          <w:sz w:val="20"/>
          <w:szCs w:val="20"/>
        </w:rPr>
        <w:t xml:space="preserve"> ) criterios diferenciales para </w:t>
      </w:r>
      <w:proofErr w:type="spellStart"/>
      <w:r w:rsidRPr="00A777FB">
        <w:rPr>
          <w:rFonts w:ascii="Verdana" w:eastAsia="Geomanist Light" w:hAnsi="Verdana" w:cs="Arial"/>
          <w:bCs/>
          <w:color w:val="000000"/>
          <w:sz w:val="20"/>
          <w:szCs w:val="20"/>
        </w:rPr>
        <w:t>mipymes</w:t>
      </w:r>
      <w:proofErr w:type="spellEnd"/>
      <w:r w:rsidRPr="00A777FB">
        <w:rPr>
          <w:rFonts w:ascii="Verdana" w:eastAsia="Geomanist Light" w:hAnsi="Verdana" w:cs="Arial"/>
          <w:bCs/>
          <w:color w:val="000000"/>
          <w:sz w:val="20"/>
          <w:szCs w:val="20"/>
        </w:rPr>
        <w:t xml:space="preserve"> en el sistema de compras públicas, </w:t>
      </w:r>
      <w:proofErr w:type="spellStart"/>
      <w:r w:rsidRPr="00A777FB">
        <w:rPr>
          <w:rFonts w:ascii="Verdana" w:eastAsia="Geomanist Light" w:hAnsi="Verdana" w:cs="Arial"/>
          <w:bCs/>
          <w:color w:val="000000"/>
          <w:sz w:val="20"/>
          <w:szCs w:val="20"/>
        </w:rPr>
        <w:t>iii</w:t>
      </w:r>
      <w:proofErr w:type="spellEnd"/>
      <w:r w:rsidRPr="00A777FB">
        <w:rPr>
          <w:rFonts w:ascii="Verdana" w:eastAsia="Geomanist Light" w:hAnsi="Verdana" w:cs="Arial"/>
          <w:bCs/>
          <w:color w:val="000000"/>
          <w:sz w:val="20"/>
          <w:szCs w:val="20"/>
        </w:rPr>
        <w:t xml:space="preserve"> ) criterios diferenciales para emprendimientos y empresas de mujeres en el sistema de compras públicas, </w:t>
      </w:r>
      <w:proofErr w:type="spellStart"/>
      <w:r w:rsidRPr="00A777FB">
        <w:rPr>
          <w:rFonts w:ascii="Verdana" w:eastAsia="Geomanist Light" w:hAnsi="Verdana" w:cs="Arial"/>
          <w:bCs/>
          <w:color w:val="000000"/>
          <w:sz w:val="20"/>
          <w:szCs w:val="20"/>
        </w:rPr>
        <w:t>iv</w:t>
      </w:r>
      <w:proofErr w:type="spellEnd"/>
      <w:r w:rsidRPr="00A777FB">
        <w:rPr>
          <w:rFonts w:ascii="Verdana" w:eastAsia="Geomanist Light" w:hAnsi="Verdana" w:cs="Arial"/>
          <w:bCs/>
          <w:color w:val="000000"/>
          <w:sz w:val="20"/>
          <w:szCs w:val="20"/>
        </w:rPr>
        <w:t xml:space="preserve"> ) promoción del acceso de las </w:t>
      </w:r>
      <w:proofErr w:type="spellStart"/>
      <w:r w:rsidRPr="00A777FB">
        <w:rPr>
          <w:rFonts w:ascii="Verdana" w:eastAsia="Geomanist Light" w:hAnsi="Verdana" w:cs="Arial"/>
          <w:bCs/>
          <w:color w:val="000000"/>
          <w:sz w:val="20"/>
          <w:szCs w:val="20"/>
        </w:rPr>
        <w:t>mipymes</w:t>
      </w:r>
      <w:proofErr w:type="spellEnd"/>
      <w:r w:rsidRPr="00A777FB">
        <w:rPr>
          <w:rFonts w:ascii="Verdana" w:eastAsia="Geomanist Light" w:hAnsi="Verdana" w:cs="Arial"/>
          <w:bCs/>
          <w:color w:val="000000"/>
          <w:sz w:val="20"/>
          <w:szCs w:val="20"/>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w:t>
      </w:r>
    </w:p>
    <w:p w14:paraId="217BCF93" w14:textId="77777777" w:rsidR="00FA7FE6" w:rsidRPr="004113A9" w:rsidRDefault="00FA7FE6" w:rsidP="00FA7FE6">
      <w:pPr>
        <w:spacing w:after="0" w:line="240" w:lineRule="auto"/>
        <w:jc w:val="both"/>
        <w:rPr>
          <w:rFonts w:ascii="Verdana" w:eastAsia="Geomanist Light" w:hAnsi="Verdana" w:cs="Arial"/>
          <w:lang w:val="es-MX"/>
        </w:rPr>
      </w:pPr>
    </w:p>
    <w:p w14:paraId="25D6ED48" w14:textId="77777777" w:rsidR="00FA7FE6" w:rsidRPr="00E97FEB" w:rsidRDefault="00FA7FE6" w:rsidP="00FA7FE6">
      <w:pPr>
        <w:spacing w:after="0" w:line="240" w:lineRule="auto"/>
        <w:jc w:val="both"/>
        <w:rPr>
          <w:rFonts w:ascii="Verdana" w:eastAsia="Geomanist Light" w:hAnsi="Verdana" w:cs="Arial"/>
          <w:sz w:val="20"/>
          <w:szCs w:val="20"/>
          <w:lang w:val="es-MX"/>
        </w:rPr>
      </w:pPr>
      <w:r w:rsidRPr="00E97FEB">
        <w:rPr>
          <w:rFonts w:ascii="Verdana" w:eastAsia="Geomanist Light" w:hAnsi="Verdana" w:cs="Arial"/>
          <w:sz w:val="20"/>
          <w:szCs w:val="20"/>
          <w:lang w:val="es-MX"/>
        </w:rPr>
        <w:t xml:space="preserve">Si la convocatoria se limita a </w:t>
      </w:r>
      <w:proofErr w:type="spellStart"/>
      <w:r w:rsidRPr="00E97FEB">
        <w:rPr>
          <w:rFonts w:ascii="Verdana" w:eastAsia="Geomanist Light" w:hAnsi="Verdana" w:cs="Arial"/>
          <w:sz w:val="20"/>
          <w:szCs w:val="20"/>
          <w:lang w:val="es-MX"/>
        </w:rPr>
        <w:t>Mipymes</w:t>
      </w:r>
      <w:proofErr w:type="spellEnd"/>
      <w:r w:rsidRPr="00E97FEB">
        <w:rPr>
          <w:rFonts w:ascii="Verdana" w:eastAsia="Geomanist Light" w:hAnsi="Verdana" w:cs="Arial"/>
          <w:sz w:val="20"/>
          <w:szCs w:val="20"/>
          <w:lang w:val="es-MX"/>
        </w:rPr>
        <w:t xml:space="preserve"> nacionales, quedan excluidos no solo las grandes empresas ubicadas en el territorio colombiano sino también los proponentes extranjeros. En otras palabras, el inciso primero del artículo 12 de la Ley 1150 de 2007 y el artículo 2.2.1.2.4.2.2 del Decreto 1082 de 2015 establece un trato preferencial </w:t>
      </w:r>
      <w:proofErr w:type="gramStart"/>
      <w:r w:rsidRPr="00E97FEB">
        <w:rPr>
          <w:rFonts w:ascii="Verdana" w:eastAsia="Geomanist Light" w:hAnsi="Verdana" w:cs="Arial"/>
          <w:sz w:val="20"/>
          <w:szCs w:val="20"/>
          <w:lang w:val="es-MX"/>
        </w:rPr>
        <w:t>en razón de</w:t>
      </w:r>
      <w:proofErr w:type="gramEnd"/>
      <w:r w:rsidRPr="00E97FEB">
        <w:rPr>
          <w:rFonts w:ascii="Verdana" w:eastAsia="Geomanist Light" w:hAnsi="Verdana" w:cs="Arial"/>
          <w:sz w:val="20"/>
          <w:szCs w:val="20"/>
          <w:lang w:val="es-MX"/>
        </w:rPr>
        <w:t xml:space="preserve"> la nacionalidad. En contraste, si la convocatoria limitada beneficia a las </w:t>
      </w:r>
      <w:proofErr w:type="spellStart"/>
      <w:r w:rsidRPr="00E97FEB">
        <w:rPr>
          <w:rFonts w:ascii="Verdana" w:eastAsia="Geomanist Light" w:hAnsi="Verdana" w:cs="Arial"/>
          <w:sz w:val="20"/>
          <w:szCs w:val="20"/>
          <w:lang w:val="es-MX"/>
        </w:rPr>
        <w:t>Mipymes</w:t>
      </w:r>
      <w:proofErr w:type="spellEnd"/>
      <w:r w:rsidRPr="00E97FEB">
        <w:rPr>
          <w:rFonts w:ascii="Verdana" w:eastAsia="Geomanist Light" w:hAnsi="Verdana" w:cs="Arial"/>
          <w:sz w:val="20"/>
          <w:szCs w:val="20"/>
          <w:lang w:val="es-MX"/>
        </w:rPr>
        <w:t xml:space="preserve"> del municipio o departamento correspondiente al de la ejecución del contrato, también quedan excluidas –además de los anteriores– las </w:t>
      </w:r>
      <w:proofErr w:type="spellStart"/>
      <w:r w:rsidRPr="00E97FEB">
        <w:rPr>
          <w:rFonts w:ascii="Verdana" w:eastAsia="Geomanist Light" w:hAnsi="Verdana" w:cs="Arial"/>
          <w:sz w:val="20"/>
          <w:szCs w:val="20"/>
          <w:lang w:val="es-MX"/>
        </w:rPr>
        <w:t>Mipymes</w:t>
      </w:r>
      <w:proofErr w:type="spellEnd"/>
      <w:r w:rsidRPr="00E97FEB">
        <w:rPr>
          <w:rFonts w:ascii="Verdana" w:eastAsia="Geomanist Light" w:hAnsi="Verdana" w:cs="Arial"/>
          <w:sz w:val="20"/>
          <w:szCs w:val="20"/>
          <w:lang w:val="es-MX"/>
        </w:rPr>
        <w:t xml:space="preserve"> de otros lugares de Colombia. Es decir, el parágrafo 1 del artículo 12 de la Ley 1150 de 2007 y el artículo 2.2.1.2.4.2.3 del Decreto 1082 de 2015 establece un trato privilegiado que se fundamenta en el territorio.</w:t>
      </w:r>
    </w:p>
    <w:p w14:paraId="4159A372" w14:textId="77777777" w:rsidR="00FA7FE6" w:rsidRPr="004113A9" w:rsidRDefault="00FA7FE6" w:rsidP="00FA7FE6">
      <w:pPr>
        <w:spacing w:after="0" w:line="240" w:lineRule="auto"/>
        <w:jc w:val="both"/>
        <w:rPr>
          <w:rFonts w:ascii="Verdana" w:eastAsia="Geomanist Light" w:hAnsi="Verdana" w:cs="Arial"/>
          <w:lang w:val="es-MX"/>
        </w:rPr>
      </w:pPr>
    </w:p>
    <w:p w14:paraId="2AC0E64E" w14:textId="77777777" w:rsidR="00B54535" w:rsidRDefault="00B54535" w:rsidP="00B54535">
      <w:pPr>
        <w:spacing w:after="0" w:line="240" w:lineRule="auto"/>
        <w:jc w:val="both"/>
        <w:rPr>
          <w:rFonts w:ascii="Verdana" w:eastAsia="Geomanist Light" w:hAnsi="Verdana" w:cs="Arial"/>
          <w:b/>
          <w:bCs/>
          <w:lang w:val="es-MX"/>
        </w:rPr>
      </w:pPr>
      <w:r w:rsidRPr="00FA7FE6">
        <w:rPr>
          <w:rFonts w:ascii="Verdana" w:eastAsia="Geomanist Light" w:hAnsi="Verdana" w:cs="Arial"/>
          <w:b/>
          <w:bCs/>
          <w:lang w:val="es-MX"/>
        </w:rPr>
        <w:lastRenderedPageBreak/>
        <w:t>CONVOCATORIAS LIMITADAS A MIPYMES – Legitimación – Integrantes del consorcio o unión temporal</w:t>
      </w:r>
      <w:r>
        <w:rPr>
          <w:rFonts w:ascii="Verdana" w:eastAsia="Geomanist Light" w:hAnsi="Verdana" w:cs="Arial"/>
          <w:b/>
          <w:bCs/>
          <w:lang w:val="es-MX"/>
        </w:rPr>
        <w:t>.</w:t>
      </w:r>
    </w:p>
    <w:p w14:paraId="5743225E" w14:textId="77777777" w:rsidR="00FA7FE6" w:rsidRDefault="00FA7FE6" w:rsidP="00FA7FE6">
      <w:pPr>
        <w:spacing w:after="0" w:line="240" w:lineRule="auto"/>
        <w:jc w:val="both"/>
        <w:rPr>
          <w:rFonts w:ascii="Verdana" w:eastAsia="Calibri" w:hAnsi="Verdana" w:cs="Arial"/>
          <w:lang w:eastAsia="es-ES"/>
        </w:rPr>
      </w:pPr>
    </w:p>
    <w:p w14:paraId="6BDBD18B" w14:textId="77777777" w:rsidR="00FA7FE6" w:rsidRDefault="00FA7FE6" w:rsidP="00FA7FE6">
      <w:pPr>
        <w:spacing w:after="0" w:line="240" w:lineRule="auto"/>
        <w:jc w:val="both"/>
        <w:rPr>
          <w:rFonts w:ascii="Verdana" w:eastAsia="Calibri" w:hAnsi="Verdana" w:cs="Arial"/>
          <w:lang w:eastAsia="es-ES"/>
        </w:rPr>
      </w:pPr>
    </w:p>
    <w:p w14:paraId="5FBD3097" w14:textId="68AD789C" w:rsidR="00FA7FE6" w:rsidRPr="00B54535" w:rsidRDefault="00B54535" w:rsidP="00FA7FE6">
      <w:pPr>
        <w:spacing w:after="0" w:line="240" w:lineRule="auto"/>
        <w:jc w:val="both"/>
        <w:rPr>
          <w:rFonts w:ascii="Verdana" w:eastAsia="Calibri" w:hAnsi="Verdana" w:cs="Arial"/>
          <w:sz w:val="20"/>
          <w:szCs w:val="20"/>
          <w:lang w:eastAsia="es-ES"/>
        </w:rPr>
      </w:pPr>
      <w:r>
        <w:rPr>
          <w:rFonts w:ascii="Verdana" w:eastAsia="Calibri" w:hAnsi="Verdana" w:cs="Arial"/>
          <w:sz w:val="20"/>
          <w:szCs w:val="20"/>
          <w:lang w:eastAsia="es-ES_tradnl"/>
        </w:rPr>
        <w:t>T</w:t>
      </w:r>
      <w:r w:rsidRPr="00B54535">
        <w:rPr>
          <w:rFonts w:ascii="Verdana" w:eastAsia="Calibri" w:hAnsi="Verdana" w:cs="Arial"/>
          <w:sz w:val="20"/>
          <w:szCs w:val="20"/>
          <w:lang w:eastAsia="es-ES_tradnl"/>
        </w:rPr>
        <w:t xml:space="preserve">eniendo en cuenta que los consorcios y uniones temporales no cuentan con personería jurídica ni pueden acreditarse como empresa, no resulta necesario que el consorcio esté registrado como </w:t>
      </w:r>
      <w:proofErr w:type="spellStart"/>
      <w:r w:rsidRPr="00B54535">
        <w:rPr>
          <w:rFonts w:ascii="Verdana" w:eastAsia="Calibri" w:hAnsi="Verdana" w:cs="Arial"/>
          <w:sz w:val="20"/>
          <w:szCs w:val="20"/>
          <w:lang w:eastAsia="es-ES_tradnl"/>
        </w:rPr>
        <w:t>Mipyme</w:t>
      </w:r>
      <w:proofErr w:type="spellEnd"/>
      <w:r w:rsidRPr="00B54535">
        <w:rPr>
          <w:rFonts w:ascii="Verdana" w:eastAsia="Calibri" w:hAnsi="Verdana" w:cs="Arial"/>
          <w:sz w:val="20"/>
          <w:szCs w:val="20"/>
          <w:lang w:eastAsia="es-ES_tradnl"/>
        </w:rPr>
        <w:t xml:space="preserve"> para poder participar en convocatorias limitadas a este tipo de proponentes; lo que exige la norma es que cada integrante que lo conforma acredite individualmente su condición de </w:t>
      </w:r>
      <w:proofErr w:type="spellStart"/>
      <w:r w:rsidRPr="00B54535">
        <w:rPr>
          <w:rFonts w:ascii="Verdana" w:eastAsia="Calibri" w:hAnsi="Verdana" w:cs="Arial"/>
          <w:sz w:val="20"/>
          <w:szCs w:val="20"/>
          <w:lang w:eastAsia="es-ES_tradnl"/>
        </w:rPr>
        <w:t>Mipyme</w:t>
      </w:r>
      <w:proofErr w:type="spellEnd"/>
      <w:r w:rsidRPr="00B54535">
        <w:rPr>
          <w:rFonts w:ascii="Verdana" w:eastAsia="Calibri" w:hAnsi="Verdana" w:cs="Arial"/>
          <w:sz w:val="20"/>
          <w:szCs w:val="20"/>
          <w:lang w:eastAsia="es-ES_tradnl"/>
        </w:rPr>
        <w:t>, mediante RUP o certificación según corresponda.</w:t>
      </w:r>
      <w:r w:rsidRPr="00B54535">
        <w:rPr>
          <w:sz w:val="20"/>
          <w:szCs w:val="20"/>
        </w:rPr>
        <w:t xml:space="preserve"> </w:t>
      </w:r>
      <w:r w:rsidRPr="00B54535">
        <w:rPr>
          <w:rFonts w:ascii="Verdana" w:eastAsia="Calibri" w:hAnsi="Verdana" w:cs="Arial"/>
          <w:sz w:val="20"/>
          <w:szCs w:val="20"/>
          <w:lang w:eastAsia="es-ES_tradnl"/>
        </w:rPr>
        <w:t>En todo caso, corresponderá a los equipos jurídicos de la entidad estatal verificar el cumplimiento de estas disposiciones en cada proceso de selección y definir la procedencia de la oferta presentada por el consorcio</w:t>
      </w:r>
    </w:p>
    <w:p w14:paraId="6377BC74" w14:textId="77777777" w:rsidR="00FA7FE6" w:rsidRDefault="00FA7FE6" w:rsidP="00FA7FE6">
      <w:pPr>
        <w:spacing w:after="0" w:line="240" w:lineRule="auto"/>
        <w:jc w:val="both"/>
        <w:rPr>
          <w:rFonts w:ascii="Verdana" w:eastAsia="Calibri" w:hAnsi="Verdana" w:cs="Arial"/>
          <w:lang w:eastAsia="es-ES"/>
        </w:rPr>
      </w:pPr>
    </w:p>
    <w:p w14:paraId="39254729" w14:textId="77777777" w:rsidR="00FA7FE6" w:rsidRDefault="00FA7FE6" w:rsidP="00FA7FE6">
      <w:pPr>
        <w:spacing w:after="0" w:line="240" w:lineRule="auto"/>
        <w:jc w:val="both"/>
        <w:rPr>
          <w:rFonts w:ascii="Verdana" w:eastAsia="Calibri" w:hAnsi="Verdana" w:cs="Arial"/>
          <w:lang w:eastAsia="es-ES"/>
        </w:rPr>
      </w:pPr>
    </w:p>
    <w:p w14:paraId="1EC0CAFD" w14:textId="77777777" w:rsidR="00FA7FE6" w:rsidRDefault="00FA7FE6" w:rsidP="00FA7FE6">
      <w:pPr>
        <w:spacing w:after="0" w:line="240" w:lineRule="auto"/>
        <w:jc w:val="both"/>
        <w:rPr>
          <w:rFonts w:ascii="Verdana" w:eastAsia="Calibri" w:hAnsi="Verdana" w:cs="Arial"/>
          <w:lang w:eastAsia="es-ES"/>
        </w:rPr>
      </w:pPr>
    </w:p>
    <w:p w14:paraId="34079FB4" w14:textId="77777777" w:rsidR="00FA7FE6" w:rsidRDefault="00FA7FE6" w:rsidP="00FA7FE6">
      <w:pPr>
        <w:spacing w:after="0" w:line="240" w:lineRule="auto"/>
        <w:jc w:val="both"/>
        <w:rPr>
          <w:rFonts w:ascii="Verdana" w:eastAsia="Calibri" w:hAnsi="Verdana" w:cs="Arial"/>
          <w:lang w:eastAsia="es-ES"/>
        </w:rPr>
      </w:pPr>
    </w:p>
    <w:p w14:paraId="795B93D9" w14:textId="77777777" w:rsidR="00FA7FE6" w:rsidRDefault="00FA7FE6" w:rsidP="00FA7FE6">
      <w:pPr>
        <w:spacing w:after="0" w:line="240" w:lineRule="auto"/>
        <w:jc w:val="both"/>
        <w:rPr>
          <w:rFonts w:ascii="Verdana" w:eastAsia="Calibri" w:hAnsi="Verdana" w:cs="Arial"/>
          <w:lang w:eastAsia="es-ES"/>
        </w:rPr>
      </w:pPr>
    </w:p>
    <w:p w14:paraId="4EA8DCAB" w14:textId="77777777" w:rsidR="00FA7FE6" w:rsidRDefault="00FA7FE6" w:rsidP="00FA7FE6">
      <w:pPr>
        <w:spacing w:after="0" w:line="240" w:lineRule="auto"/>
        <w:jc w:val="both"/>
        <w:rPr>
          <w:rFonts w:ascii="Verdana" w:eastAsia="Calibri" w:hAnsi="Verdana" w:cs="Arial"/>
          <w:lang w:eastAsia="es-ES"/>
        </w:rPr>
      </w:pPr>
    </w:p>
    <w:p w14:paraId="427259E3" w14:textId="77777777" w:rsidR="00FA7FE6" w:rsidRDefault="00FA7FE6" w:rsidP="00FA7FE6">
      <w:pPr>
        <w:spacing w:after="0" w:line="240" w:lineRule="auto"/>
        <w:jc w:val="both"/>
        <w:rPr>
          <w:rFonts w:ascii="Verdana" w:eastAsia="Calibri" w:hAnsi="Verdana" w:cs="Arial"/>
          <w:lang w:eastAsia="es-ES"/>
        </w:rPr>
      </w:pPr>
    </w:p>
    <w:p w14:paraId="7047D538" w14:textId="77777777" w:rsidR="00FA7FE6" w:rsidRDefault="00FA7FE6" w:rsidP="00FA7FE6">
      <w:pPr>
        <w:spacing w:after="0" w:line="240" w:lineRule="auto"/>
        <w:jc w:val="both"/>
        <w:rPr>
          <w:rFonts w:ascii="Verdana" w:eastAsia="Calibri" w:hAnsi="Verdana" w:cs="Arial"/>
          <w:lang w:eastAsia="es-ES"/>
        </w:rPr>
      </w:pPr>
    </w:p>
    <w:p w14:paraId="37D41B4C" w14:textId="77777777" w:rsidR="00FA7FE6" w:rsidRDefault="00FA7FE6" w:rsidP="00FA7FE6">
      <w:pPr>
        <w:spacing w:after="0" w:line="240" w:lineRule="auto"/>
        <w:jc w:val="both"/>
        <w:rPr>
          <w:rFonts w:ascii="Verdana" w:eastAsia="Calibri" w:hAnsi="Verdana" w:cs="Arial"/>
          <w:lang w:eastAsia="es-ES"/>
        </w:rPr>
      </w:pPr>
    </w:p>
    <w:p w14:paraId="1E2A8CAF" w14:textId="77777777" w:rsidR="00FA7FE6" w:rsidRDefault="00FA7FE6" w:rsidP="00FA7FE6">
      <w:pPr>
        <w:spacing w:after="0" w:line="240" w:lineRule="auto"/>
        <w:jc w:val="both"/>
        <w:rPr>
          <w:rFonts w:ascii="Verdana" w:eastAsia="Calibri" w:hAnsi="Verdana" w:cs="Arial"/>
          <w:lang w:eastAsia="es-ES"/>
        </w:rPr>
      </w:pPr>
    </w:p>
    <w:p w14:paraId="50047CC7" w14:textId="77777777" w:rsidR="00FA7FE6" w:rsidRDefault="00FA7FE6" w:rsidP="00FA7FE6">
      <w:pPr>
        <w:spacing w:after="0" w:line="240" w:lineRule="auto"/>
        <w:jc w:val="both"/>
        <w:rPr>
          <w:rFonts w:ascii="Verdana" w:eastAsia="Calibri" w:hAnsi="Verdana" w:cs="Arial"/>
          <w:lang w:eastAsia="es-ES"/>
        </w:rPr>
      </w:pPr>
    </w:p>
    <w:p w14:paraId="75C166CE" w14:textId="77777777" w:rsidR="00FA7FE6" w:rsidRPr="004113A9" w:rsidRDefault="00FA7FE6" w:rsidP="00FA7FE6">
      <w:pPr>
        <w:spacing w:after="0" w:line="240" w:lineRule="auto"/>
        <w:jc w:val="both"/>
        <w:rPr>
          <w:rFonts w:ascii="Verdana" w:eastAsia="Calibri" w:hAnsi="Verdana" w:cs="Arial"/>
          <w:lang w:eastAsia="es-ES"/>
        </w:rPr>
      </w:pPr>
    </w:p>
    <w:p w14:paraId="458A58C0" w14:textId="77777777" w:rsidR="00FA7FE6" w:rsidRPr="004113A9" w:rsidRDefault="00FA7FE6" w:rsidP="00FA7FE6">
      <w:pPr>
        <w:spacing w:after="0" w:line="240" w:lineRule="auto"/>
        <w:jc w:val="both"/>
        <w:rPr>
          <w:rFonts w:ascii="Verdana" w:eastAsia="Geomanist Light" w:hAnsi="Verdana" w:cs="Arial"/>
          <w:lang w:val="es-MX"/>
        </w:rPr>
      </w:pPr>
    </w:p>
    <w:p w14:paraId="677B871A" w14:textId="77777777" w:rsidR="00FA7FE6" w:rsidRPr="004113A9" w:rsidRDefault="00FA7FE6" w:rsidP="00FA7FE6">
      <w:pPr>
        <w:spacing w:after="0" w:line="240" w:lineRule="auto"/>
        <w:jc w:val="both"/>
        <w:rPr>
          <w:rFonts w:ascii="Verdana" w:eastAsia="Geomanist Light" w:hAnsi="Verdana" w:cs="Arial"/>
          <w:lang w:val="es-MX"/>
        </w:rPr>
      </w:pPr>
    </w:p>
    <w:p w14:paraId="08FAE9FC" w14:textId="77777777" w:rsidR="00FA7FE6" w:rsidRPr="004113A9" w:rsidRDefault="00FA7FE6" w:rsidP="00FA7FE6">
      <w:pPr>
        <w:spacing w:after="0" w:line="240" w:lineRule="auto"/>
        <w:jc w:val="both"/>
        <w:rPr>
          <w:rFonts w:ascii="Verdana" w:eastAsia="Geomanist Light" w:hAnsi="Verdana" w:cs="Arial"/>
          <w:lang w:val="es-MX"/>
        </w:rPr>
      </w:pPr>
    </w:p>
    <w:p w14:paraId="1CEF0D7D" w14:textId="77777777" w:rsidR="00FA7FE6" w:rsidRPr="004113A9" w:rsidRDefault="00FA7FE6" w:rsidP="00FA7FE6">
      <w:pPr>
        <w:spacing w:after="0" w:line="240" w:lineRule="auto"/>
        <w:jc w:val="both"/>
        <w:rPr>
          <w:rFonts w:ascii="Verdana" w:eastAsia="Geomanist Light" w:hAnsi="Verdana" w:cs="Arial"/>
          <w:lang w:val="es-MX"/>
        </w:rPr>
      </w:pPr>
    </w:p>
    <w:p w14:paraId="19E53CF2" w14:textId="77777777" w:rsidR="00FA7FE6" w:rsidRPr="004113A9" w:rsidRDefault="00FA7FE6" w:rsidP="00FA7FE6">
      <w:pPr>
        <w:spacing w:after="0" w:line="240" w:lineRule="auto"/>
        <w:jc w:val="both"/>
        <w:rPr>
          <w:rFonts w:ascii="Verdana" w:eastAsia="Geomanist Light" w:hAnsi="Verdana" w:cs="Arial"/>
          <w:lang w:val="es-MX"/>
        </w:rPr>
      </w:pPr>
    </w:p>
    <w:p w14:paraId="0A5FBCCD" w14:textId="77777777" w:rsidR="00FA7FE6" w:rsidRDefault="00FA7FE6" w:rsidP="00FA7FE6">
      <w:pPr>
        <w:spacing w:after="0" w:line="240" w:lineRule="auto"/>
        <w:rPr>
          <w:rFonts w:ascii="Verdana" w:eastAsia="Geomanist Light" w:hAnsi="Verdana" w:cs="Arial"/>
          <w:color w:val="000000" w:themeColor="text1"/>
          <w:lang w:val="es-MX"/>
        </w:rPr>
      </w:pPr>
    </w:p>
    <w:p w14:paraId="15DAB062" w14:textId="77777777" w:rsidR="00FA7FE6" w:rsidRDefault="00FA7FE6" w:rsidP="00FA7FE6">
      <w:pPr>
        <w:spacing w:after="0" w:line="240" w:lineRule="auto"/>
        <w:rPr>
          <w:rFonts w:ascii="Verdana" w:eastAsia="Geomanist Light" w:hAnsi="Verdana" w:cs="Arial"/>
          <w:color w:val="000000" w:themeColor="text1"/>
          <w:lang w:val="es-MX"/>
        </w:rPr>
      </w:pPr>
    </w:p>
    <w:p w14:paraId="01AD6404" w14:textId="77777777" w:rsidR="00FA7FE6" w:rsidRDefault="00FA7FE6" w:rsidP="00FA7FE6">
      <w:pPr>
        <w:spacing w:after="0" w:line="240" w:lineRule="auto"/>
        <w:rPr>
          <w:rFonts w:ascii="Verdana" w:eastAsia="Geomanist Light" w:hAnsi="Verdana" w:cs="Arial"/>
          <w:color w:val="000000" w:themeColor="text1"/>
          <w:lang w:val="es-MX"/>
        </w:rPr>
      </w:pPr>
    </w:p>
    <w:p w14:paraId="73E29AB5" w14:textId="77777777" w:rsidR="00FA7FE6" w:rsidRDefault="00FA7FE6" w:rsidP="00FA7FE6">
      <w:pPr>
        <w:spacing w:after="0" w:line="240" w:lineRule="auto"/>
        <w:rPr>
          <w:rFonts w:ascii="Verdana" w:eastAsia="Geomanist Light" w:hAnsi="Verdana" w:cs="Arial"/>
          <w:color w:val="000000" w:themeColor="text1"/>
          <w:lang w:val="es-MX"/>
        </w:rPr>
      </w:pPr>
    </w:p>
    <w:p w14:paraId="575606DE" w14:textId="77777777" w:rsidR="00FA7FE6" w:rsidRDefault="00FA7FE6" w:rsidP="00FA7FE6">
      <w:pPr>
        <w:spacing w:after="0" w:line="240" w:lineRule="auto"/>
        <w:rPr>
          <w:rFonts w:ascii="Verdana" w:eastAsia="Geomanist Light" w:hAnsi="Verdana" w:cs="Arial"/>
          <w:color w:val="000000" w:themeColor="text1"/>
          <w:lang w:val="es-MX"/>
        </w:rPr>
      </w:pPr>
    </w:p>
    <w:p w14:paraId="1A525FD2" w14:textId="77777777" w:rsidR="00FA7FE6" w:rsidRDefault="00FA7FE6" w:rsidP="00FA7FE6">
      <w:pPr>
        <w:spacing w:after="0" w:line="240" w:lineRule="auto"/>
        <w:rPr>
          <w:rFonts w:ascii="Verdana" w:eastAsia="Geomanist Light" w:hAnsi="Verdana" w:cs="Arial"/>
          <w:color w:val="000000" w:themeColor="text1"/>
          <w:lang w:val="es-MX"/>
        </w:rPr>
      </w:pPr>
    </w:p>
    <w:p w14:paraId="6532C7B7" w14:textId="77777777" w:rsidR="00FA7FE6" w:rsidRDefault="00FA7FE6" w:rsidP="00FA7FE6">
      <w:pPr>
        <w:spacing w:line="276" w:lineRule="auto"/>
        <w:jc w:val="both"/>
        <w:rPr>
          <w:rFonts w:ascii="Verdana" w:eastAsia="Aptos" w:hAnsi="Verdana" w:cs="Times New Roman"/>
          <w:sz w:val="20"/>
          <w:szCs w:val="20"/>
        </w:rPr>
      </w:pPr>
    </w:p>
    <w:p w14:paraId="68249BCF" w14:textId="77777777" w:rsidR="00FA7FE6" w:rsidRDefault="00FA7FE6" w:rsidP="00FA7FE6">
      <w:pPr>
        <w:spacing w:after="0" w:line="240" w:lineRule="auto"/>
        <w:jc w:val="both"/>
        <w:rPr>
          <w:rFonts w:ascii="Verdana" w:eastAsia="Aptos" w:hAnsi="Verdana" w:cs="Times New Roman"/>
          <w:sz w:val="20"/>
          <w:szCs w:val="20"/>
        </w:rPr>
      </w:pPr>
    </w:p>
    <w:p w14:paraId="5F7A365B" w14:textId="77777777" w:rsidR="00FA7FE6" w:rsidRDefault="00FA7FE6" w:rsidP="00FA7FE6">
      <w:pPr>
        <w:spacing w:after="0" w:line="240" w:lineRule="auto"/>
        <w:jc w:val="both"/>
        <w:rPr>
          <w:rFonts w:ascii="Verdana" w:eastAsia="Aptos" w:hAnsi="Verdana" w:cs="Times New Roman"/>
          <w:sz w:val="20"/>
          <w:szCs w:val="20"/>
        </w:rPr>
      </w:pPr>
    </w:p>
    <w:p w14:paraId="6E8418F2" w14:textId="77777777" w:rsidR="00FA7FE6" w:rsidRDefault="00FA7FE6" w:rsidP="00FA7FE6">
      <w:pPr>
        <w:spacing w:after="0" w:line="240" w:lineRule="auto"/>
        <w:jc w:val="both"/>
        <w:rPr>
          <w:rFonts w:ascii="Verdana" w:eastAsia="Aptos" w:hAnsi="Verdana" w:cs="Times New Roman"/>
          <w:sz w:val="20"/>
          <w:szCs w:val="20"/>
        </w:rPr>
      </w:pPr>
    </w:p>
    <w:p w14:paraId="5CBDFE96" w14:textId="77777777" w:rsidR="00FA7FE6" w:rsidRDefault="00FA7FE6" w:rsidP="00FA7FE6">
      <w:pPr>
        <w:spacing w:after="0" w:line="240" w:lineRule="auto"/>
        <w:jc w:val="both"/>
        <w:rPr>
          <w:rFonts w:ascii="Verdana" w:eastAsia="Aptos" w:hAnsi="Verdana" w:cs="Times New Roman"/>
          <w:sz w:val="20"/>
          <w:szCs w:val="20"/>
        </w:rPr>
      </w:pPr>
    </w:p>
    <w:p w14:paraId="7FDCB84D" w14:textId="77777777" w:rsidR="00FA7FE6" w:rsidRDefault="00FA7FE6" w:rsidP="00FA7FE6">
      <w:pPr>
        <w:spacing w:after="0" w:line="240" w:lineRule="auto"/>
        <w:jc w:val="both"/>
        <w:rPr>
          <w:rFonts w:ascii="Verdana" w:eastAsia="Aptos" w:hAnsi="Verdana" w:cs="Times New Roman"/>
          <w:sz w:val="20"/>
          <w:szCs w:val="20"/>
        </w:rPr>
      </w:pPr>
    </w:p>
    <w:p w14:paraId="51974CD2" w14:textId="77777777" w:rsidR="00FA7FE6" w:rsidRDefault="00FA7FE6" w:rsidP="00FA7FE6">
      <w:pPr>
        <w:spacing w:after="0" w:line="240" w:lineRule="auto"/>
        <w:jc w:val="both"/>
        <w:rPr>
          <w:rFonts w:ascii="Verdana" w:eastAsia="Aptos" w:hAnsi="Verdana" w:cs="Times New Roman"/>
          <w:sz w:val="20"/>
          <w:szCs w:val="20"/>
        </w:rPr>
      </w:pPr>
    </w:p>
    <w:p w14:paraId="346AEF07" w14:textId="77777777" w:rsidR="00FA7FE6" w:rsidRDefault="00FA7FE6" w:rsidP="00FA7FE6">
      <w:pPr>
        <w:spacing w:after="0" w:line="240" w:lineRule="auto"/>
        <w:jc w:val="both"/>
        <w:rPr>
          <w:rFonts w:ascii="Verdana" w:eastAsia="Aptos" w:hAnsi="Verdana" w:cs="Times New Roman"/>
          <w:sz w:val="20"/>
          <w:szCs w:val="20"/>
        </w:rPr>
      </w:pPr>
    </w:p>
    <w:p w14:paraId="496C0F72" w14:textId="337C437E" w:rsidR="00DB158E" w:rsidRPr="00D877F3" w:rsidRDefault="00DB158E" w:rsidP="00DB158E">
      <w:pPr>
        <w:spacing w:after="0" w:line="240" w:lineRule="auto"/>
        <w:rPr>
          <w:rFonts w:ascii="Verdana" w:hAnsi="Verdana"/>
        </w:rPr>
      </w:pPr>
      <w:r w:rsidRPr="00D877F3">
        <w:rPr>
          <w:rFonts w:ascii="Verdana" w:hAnsi="Verdana"/>
        </w:rPr>
        <w:lastRenderedPageBreak/>
        <w:t xml:space="preserve">Bogotá D.C., </w:t>
      </w:r>
      <w:r>
        <w:rPr>
          <w:rFonts w:ascii="Verdana" w:hAnsi="Verdana"/>
        </w:rPr>
        <w:t>9 de septiembre de 2025</w:t>
      </w:r>
      <w:r w:rsidRPr="00D877F3">
        <w:rPr>
          <w:rFonts w:ascii="Verdana" w:hAnsi="Verdana"/>
        </w:rPr>
        <w:t>.</w:t>
      </w:r>
    </w:p>
    <w:bookmarkEnd w:id="0"/>
    <w:p w14:paraId="51995AC2" w14:textId="77777777" w:rsidR="00DB158E" w:rsidRPr="00D877F3" w:rsidRDefault="00DB158E" w:rsidP="00DB158E">
      <w:pPr>
        <w:spacing w:after="0" w:line="240" w:lineRule="auto"/>
        <w:rPr>
          <w:rFonts w:ascii="Verdana" w:hAnsi="Verdana"/>
        </w:rPr>
      </w:pPr>
    </w:p>
    <w:p w14:paraId="033BB639" w14:textId="77777777" w:rsidR="00DB158E" w:rsidRPr="00D877F3" w:rsidRDefault="00DB158E" w:rsidP="00DB158E">
      <w:pPr>
        <w:spacing w:after="0" w:line="240" w:lineRule="auto"/>
        <w:jc w:val="both"/>
        <w:rPr>
          <w:rFonts w:ascii="Verdana" w:eastAsia="Calibri" w:hAnsi="Verdana" w:cs="Arial"/>
          <w:lang w:eastAsia="es-ES"/>
        </w:rPr>
      </w:pPr>
      <w:r w:rsidRPr="00D877F3">
        <w:rPr>
          <w:rFonts w:ascii="Verdana" w:eastAsia="Calibri" w:hAnsi="Verdana" w:cs="Arial"/>
          <w:lang w:eastAsia="es-ES"/>
        </w:rPr>
        <w:t>Señor</w:t>
      </w:r>
      <w:r w:rsidRPr="00D877F3">
        <w:rPr>
          <w:rFonts w:ascii="Verdana" w:eastAsia="Calibri" w:hAnsi="Verdana" w:cs="Arial"/>
          <w:lang w:eastAsia="es-ES"/>
        </w:rPr>
        <w:tab/>
      </w:r>
    </w:p>
    <w:p w14:paraId="24CA51D8" w14:textId="77777777" w:rsidR="00DB158E" w:rsidRPr="00D877F3" w:rsidRDefault="00DB158E" w:rsidP="00DB158E">
      <w:pPr>
        <w:spacing w:after="0" w:line="240" w:lineRule="auto"/>
        <w:rPr>
          <w:rFonts w:ascii="Verdana" w:eastAsia="Calibri" w:hAnsi="Verdana" w:cs="Arial"/>
          <w:b/>
          <w:bCs/>
          <w:lang w:eastAsia="es-ES"/>
        </w:rPr>
      </w:pPr>
      <w:r w:rsidRPr="00D877F3">
        <w:rPr>
          <w:rFonts w:ascii="Verdana" w:eastAsia="Calibri" w:hAnsi="Verdana" w:cs="Arial"/>
          <w:b/>
          <w:bCs/>
          <w:lang w:eastAsia="es-ES"/>
        </w:rPr>
        <w:t>Freddy Anderson Chacón Rosales</w:t>
      </w:r>
    </w:p>
    <w:p w14:paraId="00B29A99" w14:textId="77777777" w:rsidR="00DB158E" w:rsidRPr="00D877F3" w:rsidRDefault="00DB158E" w:rsidP="00DB158E">
      <w:pPr>
        <w:spacing w:after="0" w:line="240" w:lineRule="auto"/>
        <w:rPr>
          <w:rFonts w:ascii="Verdana" w:hAnsi="Verdana"/>
        </w:rPr>
      </w:pPr>
      <w:r w:rsidRPr="00D877F3">
        <w:rPr>
          <w:rFonts w:ascii="Verdana" w:hAnsi="Verdana"/>
        </w:rPr>
        <w:t>INGENIERÍA CON BIENESTAR SOCIAL SAS BIC</w:t>
      </w:r>
    </w:p>
    <w:p w14:paraId="5EE1A2DE" w14:textId="77777777" w:rsidR="00DB158E" w:rsidRPr="00D877F3" w:rsidRDefault="00DB158E" w:rsidP="00DB158E">
      <w:pPr>
        <w:spacing w:after="0" w:line="240" w:lineRule="auto"/>
        <w:rPr>
          <w:rFonts w:ascii="Verdana" w:hAnsi="Verdana"/>
        </w:rPr>
      </w:pPr>
      <w:hyperlink r:id="rId10" w:history="1">
        <w:r w:rsidRPr="00D877F3">
          <w:rPr>
            <w:rStyle w:val="Hipervnculo"/>
            <w:rFonts w:ascii="Verdana" w:hAnsi="Verdana"/>
          </w:rPr>
          <w:t>proyectos1.ingebiosoc@gmail.com</w:t>
        </w:r>
      </w:hyperlink>
      <w:r w:rsidRPr="00D877F3">
        <w:rPr>
          <w:rFonts w:ascii="Verdana" w:hAnsi="Verdana"/>
        </w:rPr>
        <w:t xml:space="preserve">  </w:t>
      </w:r>
    </w:p>
    <w:p w14:paraId="1131FCD6" w14:textId="77777777" w:rsidR="00DB158E" w:rsidRPr="00D877F3" w:rsidRDefault="00DB158E" w:rsidP="00DB158E">
      <w:pPr>
        <w:spacing w:after="0" w:line="240" w:lineRule="auto"/>
        <w:rPr>
          <w:rFonts w:ascii="Verdana" w:hAnsi="Verdana"/>
        </w:rPr>
      </w:pPr>
      <w:r w:rsidRPr="00D877F3">
        <w:rPr>
          <w:rFonts w:ascii="Verdana" w:hAnsi="Verdana"/>
        </w:rPr>
        <w:t>Yumbo (Valle del Cauca)</w:t>
      </w:r>
    </w:p>
    <w:p w14:paraId="45BD690C" w14:textId="77777777" w:rsidR="00DB158E" w:rsidRDefault="00DB158E" w:rsidP="00DB158E">
      <w:pPr>
        <w:spacing w:after="0" w:line="240" w:lineRule="auto"/>
        <w:rPr>
          <w:rFonts w:ascii="Verdana" w:eastAsia="Calibri" w:hAnsi="Verdana" w:cs="Arial"/>
          <w:color w:val="000000"/>
          <w:lang w:val="es-ES_tradnl" w:eastAsia="es-ES_tradnl"/>
        </w:rPr>
      </w:pPr>
    </w:p>
    <w:p w14:paraId="0E73B9E5" w14:textId="38B41CC7" w:rsidR="00DB158E" w:rsidRDefault="00A300FF" w:rsidP="00A300FF">
      <w:pPr>
        <w:spacing w:after="0" w:line="240" w:lineRule="auto"/>
        <w:jc w:val="right"/>
        <w:rPr>
          <w:rFonts w:ascii="Verdana" w:eastAsia="Calibri" w:hAnsi="Verdana" w:cs="Arial"/>
          <w:color w:val="000000"/>
          <w:lang w:val="es-ES_tradnl" w:eastAsia="es-ES_tradnl"/>
        </w:rPr>
      </w:pPr>
      <w:r>
        <w:rPr>
          <w:rFonts w:ascii="Verdana" w:eastAsia="Calibri" w:hAnsi="Verdana" w:cs="Arial"/>
          <w:noProof/>
          <w:color w:val="000000"/>
          <w:lang w:val="es-ES_tradnl" w:eastAsia="es-ES_tradnl"/>
        </w:rPr>
        <w:drawing>
          <wp:inline distT="0" distB="0" distL="0" distR="0" wp14:anchorId="77A3ADD4" wp14:editId="341C31ED">
            <wp:extent cx="2171700" cy="666750"/>
            <wp:effectExtent l="0" t="0" r="0" b="0"/>
            <wp:docPr id="3509230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666750"/>
                    </a:xfrm>
                    <a:prstGeom prst="rect">
                      <a:avLst/>
                    </a:prstGeom>
                    <a:noFill/>
                    <a:ln>
                      <a:noFill/>
                    </a:ln>
                  </pic:spPr>
                </pic:pic>
              </a:graphicData>
            </a:graphic>
          </wp:inline>
        </w:drawing>
      </w:r>
    </w:p>
    <w:p w14:paraId="3B6B6F0E" w14:textId="77777777" w:rsidR="00A300FF" w:rsidRDefault="00A300FF" w:rsidP="00DB158E">
      <w:pPr>
        <w:spacing w:after="0" w:line="240" w:lineRule="auto"/>
        <w:rPr>
          <w:rFonts w:ascii="Verdana" w:eastAsia="Calibri" w:hAnsi="Verdana" w:cs="Arial"/>
          <w:color w:val="000000"/>
          <w:lang w:val="es-ES_tradnl" w:eastAsia="es-ES_tradnl"/>
        </w:rPr>
      </w:pPr>
    </w:p>
    <w:p w14:paraId="6E452462" w14:textId="77777777" w:rsidR="00A300FF" w:rsidRPr="00D877F3" w:rsidRDefault="00A300FF" w:rsidP="00DB158E">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DB158E" w:rsidRPr="00D877F3" w14:paraId="505C6219" w14:textId="77777777" w:rsidTr="00BE3E77">
        <w:trPr>
          <w:trHeight w:val="273"/>
        </w:trPr>
        <w:tc>
          <w:tcPr>
            <w:tcW w:w="2295" w:type="dxa"/>
          </w:tcPr>
          <w:p w14:paraId="08AF3314" w14:textId="77777777" w:rsidR="00DB158E" w:rsidRPr="00D877F3" w:rsidRDefault="00DB158E" w:rsidP="00BE3E77">
            <w:pPr>
              <w:jc w:val="both"/>
              <w:rPr>
                <w:rFonts w:ascii="Verdana" w:eastAsia="Calibri" w:hAnsi="Verdana" w:cs="Arial"/>
                <w:b/>
                <w:bCs/>
                <w:color w:val="7030A0"/>
                <w:lang w:val="es-ES_tradnl" w:eastAsia="es-ES_tradnl"/>
              </w:rPr>
            </w:pPr>
          </w:p>
        </w:tc>
        <w:tc>
          <w:tcPr>
            <w:tcW w:w="6481" w:type="dxa"/>
            <w:gridSpan w:val="2"/>
          </w:tcPr>
          <w:p w14:paraId="4447322C" w14:textId="20D3C369" w:rsidR="00DB158E" w:rsidRPr="00D877F3" w:rsidRDefault="00DB158E" w:rsidP="00BE3E77">
            <w:pPr>
              <w:jc w:val="both"/>
              <w:rPr>
                <w:rFonts w:ascii="Verdana" w:eastAsia="Calibri" w:hAnsi="Verdana" w:cs="Arial"/>
                <w:b/>
                <w:bCs/>
                <w:lang w:val="es-ES" w:eastAsia="es-ES"/>
              </w:rPr>
            </w:pPr>
            <w:r w:rsidRPr="00D877F3">
              <w:rPr>
                <w:rFonts w:ascii="Verdana" w:eastAsia="Calibri" w:hAnsi="Verdana" w:cs="Arial"/>
                <w:b/>
                <w:bCs/>
                <w:lang w:val="es-ES" w:eastAsia="es-ES"/>
              </w:rPr>
              <w:t>Concepto C- 10</w:t>
            </w:r>
            <w:r w:rsidR="00412DD0">
              <w:rPr>
                <w:rFonts w:ascii="Verdana" w:eastAsia="Calibri" w:hAnsi="Verdana" w:cs="Arial"/>
                <w:b/>
                <w:bCs/>
                <w:lang w:val="es-ES" w:eastAsia="es-ES"/>
              </w:rPr>
              <w:t>59</w:t>
            </w:r>
            <w:r w:rsidRPr="00D877F3">
              <w:rPr>
                <w:rFonts w:ascii="Verdana" w:eastAsia="Calibri" w:hAnsi="Verdana" w:cs="Arial"/>
                <w:b/>
                <w:bCs/>
                <w:lang w:val="es-ES" w:eastAsia="es-ES"/>
              </w:rPr>
              <w:t xml:space="preserve"> de 2025</w:t>
            </w:r>
          </w:p>
          <w:p w14:paraId="7A5CACC1" w14:textId="77777777" w:rsidR="00DB158E" w:rsidRPr="00D877F3" w:rsidRDefault="00DB158E" w:rsidP="00BE3E77">
            <w:pPr>
              <w:jc w:val="both"/>
              <w:rPr>
                <w:rFonts w:ascii="Verdana" w:eastAsia="Calibri" w:hAnsi="Verdana" w:cs="Arial"/>
                <w:b/>
                <w:bCs/>
                <w:color w:val="7030A0"/>
                <w:lang w:val="es-ES" w:eastAsia="es-ES"/>
              </w:rPr>
            </w:pPr>
          </w:p>
        </w:tc>
      </w:tr>
      <w:tr w:rsidR="00DB158E" w:rsidRPr="00D877F3" w14:paraId="0E385335" w14:textId="77777777" w:rsidTr="00BE3E77">
        <w:trPr>
          <w:trHeight w:val="1583"/>
        </w:trPr>
        <w:tc>
          <w:tcPr>
            <w:tcW w:w="2295" w:type="dxa"/>
          </w:tcPr>
          <w:p w14:paraId="032C27D6" w14:textId="77777777" w:rsidR="00DB158E" w:rsidRPr="00D877F3" w:rsidRDefault="00DB158E" w:rsidP="00BE3E77">
            <w:pPr>
              <w:jc w:val="both"/>
              <w:rPr>
                <w:rFonts w:ascii="Verdana" w:eastAsia="Calibri" w:hAnsi="Verdana" w:cs="Arial"/>
                <w:color w:val="000000"/>
                <w:lang w:val="es-ES_tradnl" w:eastAsia="es-ES_tradnl"/>
              </w:rPr>
            </w:pPr>
            <w:r w:rsidRPr="00D877F3">
              <w:rPr>
                <w:rFonts w:ascii="Verdana" w:eastAsia="Calibri" w:hAnsi="Verdana" w:cs="Arial"/>
                <w:b/>
                <w:color w:val="000000"/>
                <w:lang w:val="es-ES_tradnl" w:eastAsia="es-ES_tradnl"/>
              </w:rPr>
              <w:t>Temas:</w:t>
            </w:r>
            <w:r w:rsidRPr="00D877F3">
              <w:rPr>
                <w:rFonts w:ascii="Verdana" w:eastAsia="Calibri" w:hAnsi="Verdana" w:cs="Arial"/>
                <w:color w:val="000000"/>
                <w:lang w:val="es-ES_tradnl" w:eastAsia="es-ES_tradnl"/>
              </w:rPr>
              <w:t xml:space="preserve">                   </w:t>
            </w:r>
          </w:p>
        </w:tc>
        <w:tc>
          <w:tcPr>
            <w:tcW w:w="6481" w:type="dxa"/>
            <w:gridSpan w:val="2"/>
          </w:tcPr>
          <w:p w14:paraId="5000EC8C" w14:textId="77777777" w:rsidR="00DB158E" w:rsidRPr="00E74941" w:rsidRDefault="00DB158E" w:rsidP="00BE3E77">
            <w:pPr>
              <w:jc w:val="both"/>
              <w:rPr>
                <w:rFonts w:ascii="Verdana" w:eastAsia="Calibri" w:hAnsi="Verdana" w:cs="Arial"/>
                <w:color w:val="000000"/>
                <w:lang w:val="es-MX" w:eastAsia="es-ES"/>
              </w:rPr>
            </w:pPr>
            <w:r w:rsidRPr="00D877F3">
              <w:rPr>
                <w:rFonts w:ascii="Verdana" w:eastAsia="Calibri" w:hAnsi="Verdana" w:cs="Arial"/>
                <w:lang w:val="es-ES" w:eastAsia="es-ES"/>
              </w:rPr>
              <w:t xml:space="preserve">PROPONENTE PLURAL ‒ Consorcio ‒ Unión temporal ‒ Concepto /   MIPYME– </w:t>
            </w:r>
            <w:r w:rsidRPr="001F1115">
              <w:rPr>
                <w:rFonts w:ascii="Verdana" w:eastAsia="Calibri" w:hAnsi="Verdana" w:cs="Arial"/>
                <w:color w:val="000000"/>
                <w:lang w:val="es-MX" w:eastAsia="es-ES"/>
              </w:rPr>
              <w:t>CONVOCATORIAS LIMITADAS A MIPYMES – Limitación nacional y territorial – Trato preferencial</w:t>
            </w:r>
            <w:r w:rsidRPr="004113A9">
              <w:rPr>
                <w:rFonts w:ascii="Verdana" w:eastAsia="Geomanist Light" w:hAnsi="Verdana" w:cs="Arial"/>
                <w:b/>
                <w:bCs/>
                <w:lang w:val="es-MX"/>
              </w:rPr>
              <w:t xml:space="preserve"> </w:t>
            </w:r>
            <w:r>
              <w:rPr>
                <w:rFonts w:ascii="Verdana" w:eastAsia="Calibri" w:hAnsi="Verdana" w:cs="Arial"/>
                <w:color w:val="000000"/>
                <w:lang w:val="es-MX" w:eastAsia="es-ES"/>
              </w:rPr>
              <w:t xml:space="preserve">/ </w:t>
            </w:r>
            <w:r w:rsidRPr="00E74941">
              <w:rPr>
                <w:rFonts w:ascii="Verdana" w:eastAsia="Calibri" w:hAnsi="Verdana" w:cs="Arial"/>
                <w:color w:val="000000"/>
                <w:lang w:val="es-MX" w:eastAsia="es-ES"/>
              </w:rPr>
              <w:t>CONVOCATORIAS LIMITADAS A MIPYMES – Legitimación – Integrantes del consorcio o unión temporal</w:t>
            </w:r>
            <w:r>
              <w:rPr>
                <w:rFonts w:ascii="Verdana" w:eastAsia="Calibri" w:hAnsi="Verdana" w:cs="Arial"/>
                <w:color w:val="000000"/>
                <w:lang w:val="es-MX" w:eastAsia="es-ES"/>
              </w:rPr>
              <w:t>.</w:t>
            </w:r>
            <w:r w:rsidRPr="00E74941">
              <w:rPr>
                <w:rFonts w:ascii="Verdana" w:eastAsia="Calibri" w:hAnsi="Verdana" w:cs="Arial"/>
                <w:color w:val="000000"/>
                <w:lang w:val="es-MX" w:eastAsia="es-ES"/>
              </w:rPr>
              <w:t xml:space="preserve">  </w:t>
            </w:r>
          </w:p>
          <w:p w14:paraId="4E7F8C5B" w14:textId="77777777" w:rsidR="00DB158E" w:rsidRPr="00D877F3" w:rsidRDefault="00DB158E" w:rsidP="00BE3E77">
            <w:pPr>
              <w:jc w:val="both"/>
              <w:rPr>
                <w:rFonts w:ascii="Verdana" w:eastAsia="Calibri" w:hAnsi="Verdana" w:cs="Arial"/>
                <w:b/>
                <w:highlight w:val="yellow"/>
                <w:lang w:val="es-ES" w:eastAsia="es-ES"/>
              </w:rPr>
            </w:pPr>
          </w:p>
        </w:tc>
      </w:tr>
      <w:tr w:rsidR="00DB158E" w:rsidRPr="00D877F3" w14:paraId="35A4D8AF" w14:textId="77777777" w:rsidTr="00BE3E77">
        <w:trPr>
          <w:trHeight w:val="545"/>
        </w:trPr>
        <w:tc>
          <w:tcPr>
            <w:tcW w:w="2295" w:type="dxa"/>
          </w:tcPr>
          <w:p w14:paraId="21DCCB0F" w14:textId="77777777" w:rsidR="00DB158E" w:rsidRPr="00D877F3" w:rsidRDefault="00DB158E" w:rsidP="00BE3E77">
            <w:pPr>
              <w:jc w:val="both"/>
              <w:rPr>
                <w:rFonts w:ascii="Verdana" w:eastAsia="Calibri" w:hAnsi="Verdana" w:cs="Arial"/>
                <w:b/>
                <w:lang w:val="es-ES_tradnl" w:eastAsia="es-ES_tradnl"/>
              </w:rPr>
            </w:pPr>
            <w:r w:rsidRPr="00D877F3">
              <w:rPr>
                <w:rFonts w:ascii="Verdana" w:eastAsia="Calibri" w:hAnsi="Verdana" w:cs="Arial"/>
                <w:b/>
                <w:lang w:val="es-ES_tradnl" w:eastAsia="es-ES_tradnl"/>
              </w:rPr>
              <w:t>Radicación:</w:t>
            </w:r>
            <w:r w:rsidRPr="00D877F3">
              <w:rPr>
                <w:rFonts w:ascii="Verdana" w:eastAsia="Calibri" w:hAnsi="Verdana" w:cs="Arial"/>
                <w:lang w:val="es-ES_tradnl" w:eastAsia="es-ES_tradnl"/>
              </w:rPr>
              <w:t xml:space="preserve">               </w:t>
            </w:r>
          </w:p>
        </w:tc>
        <w:tc>
          <w:tcPr>
            <w:tcW w:w="6481" w:type="dxa"/>
            <w:gridSpan w:val="2"/>
          </w:tcPr>
          <w:p w14:paraId="2E66B7C5" w14:textId="77777777" w:rsidR="00DB158E" w:rsidRPr="00D877F3" w:rsidRDefault="00DB158E" w:rsidP="00BE3E77">
            <w:pPr>
              <w:jc w:val="both"/>
              <w:rPr>
                <w:rFonts w:ascii="Verdana" w:eastAsia="Calibri" w:hAnsi="Verdana" w:cs="Arial"/>
                <w:lang w:val="es-ES_tradnl" w:eastAsia="es-ES_tradnl"/>
              </w:rPr>
            </w:pPr>
            <w:r w:rsidRPr="00D877F3">
              <w:rPr>
                <w:rFonts w:ascii="Verdana" w:eastAsia="Calibri" w:hAnsi="Verdana" w:cs="Arial"/>
                <w:lang w:val="es-ES_tradnl" w:eastAsia="es-ES_tradnl"/>
              </w:rPr>
              <w:t>Respuesta a consulta con radicado No. 1_2025_07_31_007956</w:t>
            </w:r>
          </w:p>
        </w:tc>
      </w:tr>
      <w:tr w:rsidR="00DB158E" w:rsidRPr="00DB23D2" w14:paraId="44E38AF8" w14:textId="77777777" w:rsidTr="00BE3E77">
        <w:trPr>
          <w:gridAfter w:val="1"/>
          <w:wAfter w:w="319" w:type="dxa"/>
          <w:trHeight w:val="242"/>
        </w:trPr>
        <w:tc>
          <w:tcPr>
            <w:tcW w:w="8457" w:type="dxa"/>
            <w:gridSpan w:val="2"/>
          </w:tcPr>
          <w:p w14:paraId="10197C6E" w14:textId="77777777" w:rsidR="00DB158E" w:rsidRDefault="00DB158E" w:rsidP="00BE3E77">
            <w:pPr>
              <w:spacing w:line="276" w:lineRule="auto"/>
              <w:jc w:val="both"/>
              <w:rPr>
                <w:rFonts w:ascii="Verdana" w:eastAsia="Calibri" w:hAnsi="Verdana" w:cs="Arial"/>
                <w:lang w:val="es-ES_tradnl" w:eastAsia="es-ES"/>
              </w:rPr>
            </w:pPr>
          </w:p>
          <w:p w14:paraId="3CC74D0C" w14:textId="77777777" w:rsidR="00DB158E" w:rsidRPr="00DB23D2" w:rsidRDefault="00DB158E" w:rsidP="00BE3E77">
            <w:pPr>
              <w:spacing w:line="276" w:lineRule="auto"/>
              <w:jc w:val="both"/>
              <w:rPr>
                <w:rFonts w:ascii="Verdana" w:eastAsia="Calibri" w:hAnsi="Verdana" w:cs="Arial"/>
                <w:lang w:val="es-ES_tradnl" w:eastAsia="es-ES"/>
              </w:rPr>
            </w:pPr>
          </w:p>
        </w:tc>
      </w:tr>
    </w:tbl>
    <w:p w14:paraId="68571C1D" w14:textId="77777777" w:rsidR="00DB158E" w:rsidRPr="006730E9" w:rsidRDefault="00DB158E" w:rsidP="00DB158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Chacón:</w:t>
      </w:r>
    </w:p>
    <w:p w14:paraId="70DE846F" w14:textId="77777777" w:rsidR="00DB158E" w:rsidRDefault="00DB158E" w:rsidP="00DB158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38B98DA" w14:textId="77777777" w:rsidR="00DB158E" w:rsidRPr="006730E9" w:rsidRDefault="00DB158E" w:rsidP="00DB158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Pr>
          <w:rFonts w:ascii="Verdana" w:eastAsia="Calibri" w:hAnsi="Verdana" w:cs="Arial"/>
          <w:lang w:val="es-ES" w:eastAsia="es-ES"/>
        </w:rPr>
        <w:t xml:space="preserve">31 </w:t>
      </w:r>
      <w:r w:rsidRPr="00E5644F">
        <w:rPr>
          <w:rFonts w:ascii="Verdana" w:eastAsia="Calibri" w:hAnsi="Verdana" w:cs="Arial"/>
          <w:lang w:val="es-ES" w:eastAsia="es-ES"/>
        </w:rPr>
        <w:t xml:space="preserve">de </w:t>
      </w:r>
      <w:r>
        <w:rPr>
          <w:rFonts w:ascii="Verdana" w:eastAsia="Calibri" w:hAnsi="Verdana" w:cs="Arial"/>
          <w:lang w:val="es-ES" w:eastAsia="es-ES"/>
        </w:rPr>
        <w:t>julio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3D73A6DB" w14:textId="77777777" w:rsidR="00DB158E" w:rsidRPr="00326382" w:rsidRDefault="00DB158E" w:rsidP="00DB158E">
      <w:pPr>
        <w:spacing w:after="0" w:line="276" w:lineRule="auto"/>
        <w:ind w:left="709" w:right="474"/>
        <w:jc w:val="both"/>
        <w:rPr>
          <w:rFonts w:ascii="Verdana" w:hAnsi="Verdana" w:cs="Arial"/>
          <w:sz w:val="20"/>
          <w:szCs w:val="20"/>
          <w:shd w:val="clear" w:color="auto" w:fill="FFFFFF"/>
        </w:rPr>
      </w:pPr>
      <w:bookmarkStart w:id="1" w:name="_Hlk95313578"/>
    </w:p>
    <w:bookmarkEnd w:id="1"/>
    <w:p w14:paraId="18D4FA39" w14:textId="77777777" w:rsidR="00DB158E" w:rsidRPr="00F720AC" w:rsidRDefault="00DB158E" w:rsidP="00DB158E">
      <w:pPr>
        <w:tabs>
          <w:tab w:val="left" w:pos="142"/>
          <w:tab w:val="left" w:pos="567"/>
        </w:tabs>
        <w:spacing w:after="0" w:line="240" w:lineRule="auto"/>
        <w:ind w:left="709" w:right="709"/>
        <w:jc w:val="both"/>
        <w:rPr>
          <w:rFonts w:ascii="Verdana" w:eastAsia="Century Gothic" w:hAnsi="Verdana" w:cs="Century Gothic"/>
          <w:sz w:val="20"/>
          <w:szCs w:val="20"/>
        </w:rPr>
      </w:pPr>
      <w:r w:rsidRPr="00F720AC">
        <w:rPr>
          <w:rFonts w:ascii="Verdana" w:eastAsia="Century Gothic" w:hAnsi="Verdana" w:cs="Century Gothic"/>
          <w:sz w:val="20"/>
          <w:szCs w:val="20"/>
        </w:rPr>
        <w:t xml:space="preserve">“(…) </w:t>
      </w:r>
    </w:p>
    <w:p w14:paraId="3D902E4E" w14:textId="77777777" w:rsidR="00DB158E" w:rsidRPr="00EA70F7" w:rsidRDefault="00DB158E" w:rsidP="00DB158E">
      <w:pPr>
        <w:tabs>
          <w:tab w:val="left" w:pos="142"/>
          <w:tab w:val="left" w:pos="567"/>
        </w:tabs>
        <w:spacing w:after="0" w:line="240" w:lineRule="auto"/>
        <w:ind w:left="709" w:right="709"/>
        <w:jc w:val="both"/>
        <w:rPr>
          <w:rFonts w:ascii="Verdana" w:eastAsia="Century Gothic" w:hAnsi="Verdana" w:cs="Century Gothic"/>
          <w:i/>
          <w:iCs/>
          <w:sz w:val="20"/>
          <w:szCs w:val="20"/>
        </w:rPr>
      </w:pPr>
      <w:r w:rsidRPr="00F720AC">
        <w:rPr>
          <w:rFonts w:ascii="Verdana" w:eastAsia="Century Gothic" w:hAnsi="Verdana" w:cs="Century Gothic"/>
          <w:sz w:val="20"/>
          <w:szCs w:val="20"/>
        </w:rPr>
        <w:t xml:space="preserve">La presente solicitud es para realizar una consulta de aclaración para realizar presentación de ofertas en procesos que han sido limitados a </w:t>
      </w:r>
      <w:proofErr w:type="spellStart"/>
      <w:r w:rsidRPr="00F720AC">
        <w:rPr>
          <w:rFonts w:ascii="Verdana" w:eastAsia="Century Gothic" w:hAnsi="Verdana" w:cs="Century Gothic"/>
          <w:sz w:val="20"/>
          <w:szCs w:val="20"/>
        </w:rPr>
        <w:t>Mipymes</w:t>
      </w:r>
      <w:proofErr w:type="spellEnd"/>
      <w:r w:rsidRPr="00F720AC">
        <w:rPr>
          <w:rFonts w:ascii="Verdana" w:eastAsia="Century Gothic" w:hAnsi="Verdana" w:cs="Century Gothic"/>
          <w:sz w:val="20"/>
          <w:szCs w:val="20"/>
        </w:rPr>
        <w:t xml:space="preserve"> y la propuesta se desea presentar desde el perfil de un consorcio. Si este consorcio no se encuentra registrado como una </w:t>
      </w:r>
      <w:proofErr w:type="spellStart"/>
      <w:r w:rsidRPr="00F720AC">
        <w:rPr>
          <w:rFonts w:ascii="Verdana" w:eastAsia="Century Gothic" w:hAnsi="Verdana" w:cs="Century Gothic"/>
          <w:sz w:val="20"/>
          <w:szCs w:val="20"/>
        </w:rPr>
        <w:t>Mipyme</w:t>
      </w:r>
      <w:proofErr w:type="spellEnd"/>
      <w:r w:rsidRPr="00F720AC">
        <w:rPr>
          <w:rFonts w:ascii="Verdana" w:eastAsia="Century Gothic" w:hAnsi="Verdana" w:cs="Century Gothic"/>
          <w:sz w:val="20"/>
          <w:szCs w:val="20"/>
        </w:rPr>
        <w:t xml:space="preserve">, entonces no se puede realizar la presentación de la oferta, a pesar de que los integrantes del consorcio sí acrediten la calidad de </w:t>
      </w:r>
      <w:proofErr w:type="spellStart"/>
      <w:r w:rsidRPr="00F720AC">
        <w:rPr>
          <w:rFonts w:ascii="Verdana" w:eastAsia="Century Gothic" w:hAnsi="Verdana" w:cs="Century Gothic"/>
          <w:sz w:val="20"/>
          <w:szCs w:val="20"/>
        </w:rPr>
        <w:t>Mipyme</w:t>
      </w:r>
      <w:proofErr w:type="spellEnd"/>
      <w:r w:rsidRPr="00F720AC">
        <w:rPr>
          <w:rFonts w:ascii="Verdana" w:eastAsia="Century Gothic" w:hAnsi="Verdana" w:cs="Century Gothic"/>
          <w:sz w:val="20"/>
          <w:szCs w:val="20"/>
        </w:rPr>
        <w:t xml:space="preserve">, por lo que nos </w:t>
      </w:r>
      <w:r w:rsidRPr="00F720AC">
        <w:rPr>
          <w:rFonts w:ascii="Verdana" w:eastAsia="Century Gothic" w:hAnsi="Verdana" w:cs="Century Gothic"/>
          <w:sz w:val="20"/>
          <w:szCs w:val="20"/>
        </w:rPr>
        <w:lastRenderedPageBreak/>
        <w:t>gustaría saber cuál es el procedimiento correcto para presentar las ofertas desde el perfil consorcial en ese caso (…)”.</w:t>
      </w:r>
      <w:r w:rsidRPr="00EA70F7">
        <w:rPr>
          <w:rFonts w:ascii="Verdana" w:eastAsia="Century Gothic" w:hAnsi="Verdana" w:cs="Century Gothic"/>
          <w:i/>
          <w:iCs/>
          <w:sz w:val="20"/>
          <w:szCs w:val="20"/>
        </w:rPr>
        <w:t xml:space="preserve"> </w:t>
      </w:r>
    </w:p>
    <w:p w14:paraId="5F4D38C1" w14:textId="77777777" w:rsidR="00DB158E" w:rsidRDefault="00DB158E" w:rsidP="00DB158E">
      <w:pPr>
        <w:spacing w:after="0" w:line="276" w:lineRule="auto"/>
        <w:ind w:firstLine="709"/>
        <w:jc w:val="both"/>
        <w:rPr>
          <w:rFonts w:ascii="Verdana" w:eastAsia="Calibri" w:hAnsi="Verdana" w:cs="Arial"/>
          <w:lang w:val="es-ES" w:eastAsia="es-ES"/>
        </w:rPr>
      </w:pPr>
    </w:p>
    <w:p w14:paraId="30873CD3" w14:textId="77777777" w:rsidR="00DB158E" w:rsidRPr="00AA3B9F" w:rsidRDefault="00DB158E" w:rsidP="00DB158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4F353608" w14:textId="77777777" w:rsidR="00DB158E" w:rsidRPr="00AA3B9F" w:rsidRDefault="00DB158E" w:rsidP="00DB158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w:t>
      </w:r>
      <w:r>
        <w:rPr>
          <w:rFonts w:ascii="Verdana" w:eastAsia="Calibri" w:hAnsi="Verdana" w:cs="Arial"/>
          <w:lang w:val="es-ES" w:eastAsia="es-ES"/>
        </w:rPr>
        <w:t>e</w:t>
      </w:r>
      <w:r w:rsidRPr="00AA3B9F">
        <w:rPr>
          <w:rFonts w:ascii="Verdana" w:eastAsia="Calibri" w:hAnsi="Verdana" w:cs="Arial"/>
          <w:lang w:val="es-ES" w:eastAsia="es-ES"/>
        </w:rPr>
        <w:t>l problema jurídico de su consulta.</w:t>
      </w:r>
      <w:r w:rsidRPr="00E21BD1">
        <w:t xml:space="preserve"> </w:t>
      </w:r>
    </w:p>
    <w:p w14:paraId="4766A068" w14:textId="77777777" w:rsidR="00DB158E" w:rsidRDefault="00DB158E" w:rsidP="00DB158E">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72484E8" w14:textId="77777777" w:rsidR="00DB158E" w:rsidRDefault="00DB158E" w:rsidP="00DB158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F0B8AED" w14:textId="77777777" w:rsidR="00DB158E" w:rsidRDefault="00DB158E" w:rsidP="00DB158E">
      <w:pPr>
        <w:pStyle w:val="Prrafodelista"/>
        <w:tabs>
          <w:tab w:val="left" w:pos="142"/>
          <w:tab w:val="left" w:pos="284"/>
        </w:tabs>
        <w:spacing w:after="0" w:line="276" w:lineRule="auto"/>
        <w:ind w:left="0"/>
        <w:jc w:val="both"/>
        <w:rPr>
          <w:rFonts w:ascii="Verdana" w:eastAsia="Century Gothic" w:hAnsi="Verdana" w:cs="Century Gothic"/>
          <w:b/>
          <w:bCs/>
        </w:rPr>
      </w:pPr>
    </w:p>
    <w:p w14:paraId="58DD8D59" w14:textId="77777777" w:rsidR="00DB158E" w:rsidRPr="005F0F58" w:rsidRDefault="00DB158E" w:rsidP="00DB158E">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2" w:name="_Hlk196737317"/>
      <w:r>
        <w:rPr>
          <w:rFonts w:ascii="Verdana" w:eastAsia="Calibri" w:hAnsi="Verdana" w:cs="Arial"/>
          <w:lang w:eastAsia="es-ES"/>
        </w:rPr>
        <w:t xml:space="preserve"> </w:t>
      </w:r>
      <w:r w:rsidRPr="00CA01D8">
        <w:rPr>
          <w:rFonts w:ascii="Verdana" w:eastAsia="Century Gothic" w:hAnsi="Verdana" w:cs="Century Gothic"/>
        </w:rPr>
        <w:t xml:space="preserve">¿Es jurídicamente viable que un consorcio participe en un proceso de selección limitado a </w:t>
      </w:r>
      <w:proofErr w:type="spellStart"/>
      <w:r w:rsidRPr="00CA01D8">
        <w:rPr>
          <w:rFonts w:ascii="Verdana" w:eastAsia="Century Gothic" w:hAnsi="Verdana" w:cs="Century Gothic"/>
        </w:rPr>
        <w:t>Mipymes</w:t>
      </w:r>
      <w:proofErr w:type="spellEnd"/>
      <w:r w:rsidRPr="00CA01D8">
        <w:rPr>
          <w:rFonts w:ascii="Verdana" w:eastAsia="Century Gothic" w:hAnsi="Verdana" w:cs="Century Gothic"/>
        </w:rPr>
        <w:t xml:space="preserve"> cuando éste no se encuentra registrado como tal, pero sus integrantes acreditan individualmente dicha condición?</w:t>
      </w:r>
      <w:r>
        <w:rPr>
          <w:rFonts w:ascii="Verdana" w:eastAsia="Century Gothic" w:hAnsi="Verdana" w:cs="Century Gothic"/>
        </w:rPr>
        <w:t xml:space="preserve"> </w:t>
      </w:r>
    </w:p>
    <w:p w14:paraId="468474B6" w14:textId="77777777" w:rsidR="00DB158E" w:rsidRDefault="00DB158E" w:rsidP="00DB158E">
      <w:pPr>
        <w:pStyle w:val="Prrafodelista"/>
        <w:tabs>
          <w:tab w:val="left" w:pos="142"/>
          <w:tab w:val="left" w:pos="284"/>
        </w:tabs>
        <w:spacing w:after="0" w:line="276" w:lineRule="auto"/>
        <w:ind w:left="0"/>
        <w:jc w:val="both"/>
        <w:rPr>
          <w:rFonts w:ascii="Verdana" w:eastAsia="Century Gothic" w:hAnsi="Verdana" w:cs="Century Gothic"/>
        </w:rPr>
      </w:pPr>
    </w:p>
    <w:bookmarkEnd w:id="2"/>
    <w:p w14:paraId="627E3ABD" w14:textId="77777777" w:rsidR="00DB158E" w:rsidRDefault="00DB158E" w:rsidP="00DB15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FA04F96" w14:textId="77777777" w:rsidR="00DB158E" w:rsidRPr="00593A5F" w:rsidRDefault="00DB158E" w:rsidP="00DB158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158E" w:rsidRPr="00593A5F" w14:paraId="48AF682C" w14:textId="77777777" w:rsidTr="00BE3E77">
        <w:tc>
          <w:tcPr>
            <w:tcW w:w="8828" w:type="dxa"/>
          </w:tcPr>
          <w:p w14:paraId="6419E8AF" w14:textId="77777777" w:rsidR="00DB158E" w:rsidRDefault="00DB158E" w:rsidP="00BE3E77">
            <w:pPr>
              <w:spacing w:after="120" w:line="276" w:lineRule="auto"/>
              <w:jc w:val="both"/>
              <w:rPr>
                <w:rFonts w:ascii="Verdana" w:eastAsia="Arial" w:hAnsi="Verdana" w:cs="Arial"/>
              </w:rPr>
            </w:pPr>
            <w:r>
              <w:rPr>
                <w:rFonts w:ascii="Verdana" w:eastAsia="Arial" w:hAnsi="Verdana" w:cs="Arial"/>
              </w:rPr>
              <w:t xml:space="preserve">Frente al problema jurídico, debe señalarse que </w:t>
            </w:r>
            <w:r w:rsidRPr="004113A9">
              <w:rPr>
                <w:rFonts w:ascii="Verdana" w:hAnsi="Verdana" w:cs="Arial"/>
              </w:rPr>
              <w:t xml:space="preserve">el artículo 2.2.1.2.4.2.4, parágrafo 3, del Decreto 1082 de 2015 dispone que “En las convocatorias limitadas, las entidades estatales independientemente de su régimen de contratación, los patrimonios autónomos constituidos por Entidades Estatales y los particulares que ejecuten recursos públicos, solo deberán aceptar las </w:t>
            </w:r>
            <w:r w:rsidRPr="004113A9">
              <w:rPr>
                <w:rFonts w:ascii="Verdana" w:hAnsi="Verdana" w:cs="Arial"/>
              </w:rPr>
              <w:lastRenderedPageBreak/>
              <w:t xml:space="preserve">ofertas de </w:t>
            </w:r>
            <w:proofErr w:type="spellStart"/>
            <w:r w:rsidRPr="004113A9">
              <w:rPr>
                <w:rFonts w:ascii="Verdana" w:hAnsi="Verdana" w:cs="Arial"/>
              </w:rPr>
              <w:t>Mipyme</w:t>
            </w:r>
            <w:proofErr w:type="spellEnd"/>
            <w:r w:rsidRPr="004113A9">
              <w:rPr>
                <w:rFonts w:ascii="Verdana" w:hAnsi="Verdana" w:cs="Arial"/>
              </w:rPr>
              <w:t xml:space="preserve"> o de </w:t>
            </w:r>
            <w:r w:rsidRPr="00C82B67">
              <w:rPr>
                <w:rFonts w:ascii="Verdana" w:hAnsi="Verdana" w:cs="Arial"/>
                <w:i/>
                <w:iCs/>
              </w:rPr>
              <w:t xml:space="preserve">proponentes plurales integrados únicamente por </w:t>
            </w:r>
            <w:proofErr w:type="spellStart"/>
            <w:r w:rsidRPr="00C82B67">
              <w:rPr>
                <w:rFonts w:ascii="Verdana" w:hAnsi="Verdana" w:cs="Arial"/>
                <w:i/>
                <w:iCs/>
              </w:rPr>
              <w:t>Mipyme</w:t>
            </w:r>
            <w:proofErr w:type="spellEnd"/>
            <w:r w:rsidRPr="004113A9">
              <w:rPr>
                <w:rFonts w:ascii="Verdana" w:hAnsi="Verdana" w:cs="Arial"/>
              </w:rPr>
              <w:t>” [Énfasis fuera del texto original].</w:t>
            </w:r>
          </w:p>
          <w:p w14:paraId="51006E72" w14:textId="77777777" w:rsidR="00DB158E" w:rsidRDefault="00DB158E" w:rsidP="00BE3E77">
            <w:pPr>
              <w:spacing w:after="120" w:line="276" w:lineRule="auto"/>
              <w:jc w:val="both"/>
              <w:rPr>
                <w:rFonts w:ascii="Verdana" w:eastAsia="Calibri" w:hAnsi="Verdana" w:cs="Arial"/>
                <w:lang w:eastAsia="es-ES_tradnl"/>
              </w:rPr>
            </w:pPr>
            <w:r>
              <w:rPr>
                <w:rFonts w:ascii="Verdana" w:eastAsia="Calibri" w:hAnsi="Verdana" w:cs="Arial"/>
                <w:lang w:eastAsia="es-ES_tradnl"/>
              </w:rPr>
              <w:t xml:space="preserve">       Ahora bien, </w:t>
            </w:r>
            <w:r w:rsidRPr="00B45CE8">
              <w:rPr>
                <w:rFonts w:ascii="Verdana" w:eastAsia="Calibri" w:hAnsi="Verdana" w:cs="Arial"/>
                <w:lang w:eastAsia="es-ES_tradnl"/>
              </w:rPr>
              <w:t>teniendo</w:t>
            </w:r>
            <w:r>
              <w:rPr>
                <w:rFonts w:ascii="Verdana" w:eastAsia="Calibri" w:hAnsi="Verdana" w:cs="Arial"/>
                <w:lang w:eastAsia="es-ES_tradnl"/>
              </w:rPr>
              <w:t xml:space="preserve"> en cuenta que </w:t>
            </w:r>
            <w:r w:rsidRPr="00B45CE8">
              <w:rPr>
                <w:rFonts w:ascii="Verdana" w:eastAsia="Calibri" w:hAnsi="Verdana" w:cs="Arial"/>
                <w:lang w:eastAsia="es-ES_tradnl"/>
              </w:rPr>
              <w:t xml:space="preserve">los consorcios y uniones temporales no </w:t>
            </w:r>
            <w:r>
              <w:rPr>
                <w:rFonts w:ascii="Verdana" w:eastAsia="Calibri" w:hAnsi="Verdana" w:cs="Arial"/>
                <w:lang w:eastAsia="es-ES_tradnl"/>
              </w:rPr>
              <w:t xml:space="preserve">cuentan con </w:t>
            </w:r>
            <w:r w:rsidRPr="00B45CE8">
              <w:rPr>
                <w:rFonts w:ascii="Verdana" w:eastAsia="Calibri" w:hAnsi="Verdana" w:cs="Arial"/>
                <w:lang w:eastAsia="es-ES_tradnl"/>
              </w:rPr>
              <w:t xml:space="preserve">personería jurídica ni pueden acreditarse como empresa, no resulta necesario que el consorcio esté registrado como </w:t>
            </w:r>
            <w:proofErr w:type="spellStart"/>
            <w:r w:rsidRPr="00B45CE8">
              <w:rPr>
                <w:rFonts w:ascii="Verdana" w:eastAsia="Calibri" w:hAnsi="Verdana" w:cs="Arial"/>
                <w:lang w:eastAsia="es-ES_tradnl"/>
              </w:rPr>
              <w:t>Mipyme</w:t>
            </w:r>
            <w:proofErr w:type="spellEnd"/>
            <w:r>
              <w:rPr>
                <w:rFonts w:ascii="Verdana" w:eastAsia="Calibri" w:hAnsi="Verdana" w:cs="Arial"/>
                <w:lang w:eastAsia="es-ES_tradnl"/>
              </w:rPr>
              <w:t xml:space="preserve"> para poder participar en convocatorias limitadas a este tipo de proponentes</w:t>
            </w:r>
            <w:r w:rsidRPr="00B45CE8">
              <w:rPr>
                <w:rFonts w:ascii="Verdana" w:eastAsia="Calibri" w:hAnsi="Verdana" w:cs="Arial"/>
                <w:lang w:eastAsia="es-ES_tradnl"/>
              </w:rPr>
              <w:t xml:space="preserve">; lo que exige la norma es que cada integrante que lo conforma acredite individualmente su condición de </w:t>
            </w:r>
            <w:proofErr w:type="spellStart"/>
            <w:r w:rsidRPr="00B45CE8">
              <w:rPr>
                <w:rFonts w:ascii="Verdana" w:eastAsia="Calibri" w:hAnsi="Verdana" w:cs="Arial"/>
                <w:lang w:eastAsia="es-ES_tradnl"/>
              </w:rPr>
              <w:t>Mipyme</w:t>
            </w:r>
            <w:proofErr w:type="spellEnd"/>
            <w:r w:rsidRPr="00B45CE8">
              <w:rPr>
                <w:rFonts w:ascii="Verdana" w:eastAsia="Calibri" w:hAnsi="Verdana" w:cs="Arial"/>
                <w:lang w:eastAsia="es-ES_tradnl"/>
              </w:rPr>
              <w:t>, mediante RUP o certificación según corresponda</w:t>
            </w:r>
            <w:r>
              <w:rPr>
                <w:rFonts w:ascii="Verdana" w:eastAsia="Calibri" w:hAnsi="Verdana" w:cs="Arial"/>
                <w:lang w:eastAsia="es-ES_tradnl"/>
              </w:rPr>
              <w:t>.</w:t>
            </w:r>
            <w:r w:rsidRPr="00B45CE8">
              <w:t xml:space="preserve"> </w:t>
            </w:r>
            <w:r w:rsidRPr="00B45CE8">
              <w:rPr>
                <w:rFonts w:ascii="Verdana" w:eastAsia="Calibri" w:hAnsi="Verdana" w:cs="Arial"/>
                <w:lang w:eastAsia="es-ES_tradnl"/>
              </w:rPr>
              <w:t>En todo caso, corresponderá a los equipos jurídicos de la entidad estatal verificar el cumplimiento de estas disposiciones en cada proceso de selección y definir la procedencia de la oferta presentada por el consorcio.</w:t>
            </w:r>
          </w:p>
          <w:p w14:paraId="1899E255" w14:textId="77777777" w:rsidR="00DB158E" w:rsidRPr="00C71956" w:rsidRDefault="00DB158E" w:rsidP="00BE3E77">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28CA554" w14:textId="77777777" w:rsidR="00DB158E" w:rsidRPr="00E529C2" w:rsidRDefault="00DB158E" w:rsidP="00BE3E77">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0C3C45F7" w14:textId="77777777" w:rsidR="00DB158E" w:rsidRDefault="00DB158E" w:rsidP="00DB158E">
      <w:pPr>
        <w:tabs>
          <w:tab w:val="left" w:pos="142"/>
          <w:tab w:val="left" w:pos="284"/>
        </w:tabs>
        <w:spacing w:after="0" w:line="276" w:lineRule="auto"/>
        <w:jc w:val="both"/>
        <w:rPr>
          <w:rFonts w:ascii="Verdana" w:eastAsia="Century Gothic" w:hAnsi="Verdana" w:cs="Century Gothic"/>
          <w:b/>
          <w:bCs/>
          <w:lang w:val="es-ES"/>
        </w:rPr>
      </w:pPr>
    </w:p>
    <w:p w14:paraId="7F54D05F" w14:textId="77777777" w:rsidR="00DB158E" w:rsidRPr="00593A5F" w:rsidRDefault="00DB158E" w:rsidP="00DB15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3CABCD4" w14:textId="77777777" w:rsidR="00DB158E" w:rsidRDefault="00DB158E" w:rsidP="00DB158E">
      <w:pPr>
        <w:spacing w:after="0" w:line="276" w:lineRule="auto"/>
        <w:ind w:firstLine="708"/>
        <w:jc w:val="both"/>
        <w:rPr>
          <w:rFonts w:ascii="Verdana" w:eastAsia="Calibri" w:hAnsi="Verdana" w:cs="Arial"/>
          <w:color w:val="000000" w:themeColor="text1"/>
        </w:rPr>
      </w:pPr>
    </w:p>
    <w:p w14:paraId="43BAF5A5" w14:textId="77777777" w:rsidR="00DB158E" w:rsidRPr="00480395" w:rsidRDefault="00DB158E" w:rsidP="00DB158E">
      <w:pPr>
        <w:widowControl w:val="0"/>
        <w:autoSpaceDE w:val="0"/>
        <w:autoSpaceDN w:val="0"/>
        <w:spacing w:after="120" w:line="276" w:lineRule="auto"/>
        <w:jc w:val="both"/>
        <w:rPr>
          <w:rFonts w:ascii="Verdana" w:hAnsi="Verdana" w:cs="Arial"/>
        </w:rPr>
      </w:pPr>
      <w:r>
        <w:rPr>
          <w:rFonts w:ascii="Verdana" w:eastAsia="Calibri" w:hAnsi="Verdana" w:cs="Arial"/>
        </w:rPr>
        <w:t xml:space="preserve">De manera preliminar es pertinente indicar que </w:t>
      </w:r>
      <w:r>
        <w:rPr>
          <w:rFonts w:ascii="Verdana" w:hAnsi="Verdana" w:cs="Arial"/>
        </w:rPr>
        <w:t>l</w:t>
      </w:r>
      <w:r w:rsidRPr="004113A9">
        <w:rPr>
          <w:rFonts w:ascii="Verdana" w:hAnsi="Verdana" w:cs="Arial"/>
        </w:rPr>
        <w:t xml:space="preserve">a capacidad jurídica es uno de los presupuestos del contrato estatal, pues se entiende como la aptitud de un sujeto para ser titular de derechos y obligaciones, de ejercer o exigir los primeros y contraer las segundas en forma personal, sumada la posibilidad de comparecer en juicio. La capacidad jurídica permite crear, modificar o extinguir relaciones jurídicas de forma voluntaria y autónoma. </w:t>
      </w:r>
    </w:p>
    <w:p w14:paraId="766E92AE"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lastRenderedPageBreak/>
        <w:t xml:space="preserve">De acuerdo con el Código Civil, la capacidad se refiere a la facultad que la ley le confiere a la persona para ejercer derechos y contraer obligaciones, partiendo del supuesto de que todas las personas naturales mayores de edad son capaces, con excepción de aquellas que la ley expresamente excluye de esta presunción –artículos 1502, 1503 y 1504 ibidem, y de que la capacidad de las personas jurídicas se circunscribe a su objeto social –artículo 99 del Código de Comercio–. </w:t>
      </w:r>
    </w:p>
    <w:p w14:paraId="0AFE11F4"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En el ámbito de la contratación estatal,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w:t>
      </w:r>
      <w:r w:rsidRPr="00BE3E77">
        <w:rPr>
          <w:rFonts w:ascii="Verdana" w:hAnsi="Verdana" w:cs="Arial"/>
          <w:i/>
          <w:iCs/>
        </w:rPr>
        <w:t>los consorcios y uniones temporales</w:t>
      </w:r>
      <w:r w:rsidRPr="004113A9">
        <w:rPr>
          <w:rFonts w:ascii="Verdana" w:hAnsi="Verdana" w:cs="Arial"/>
        </w:rPr>
        <w:t>”.</w:t>
      </w:r>
    </w:p>
    <w:p w14:paraId="5003711E"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En consecuencia, pueden celebrar contratos estatales las personas naturales mayores de edad, las personas jurídicas que tengan dentro de su objeto social actividades relacionadas con el objeto a contratar y, en virtud de la ley, también pueden hacerlo los </w:t>
      </w:r>
      <w:r w:rsidRPr="00FA3C1F">
        <w:rPr>
          <w:rFonts w:ascii="Verdana" w:hAnsi="Verdana" w:cs="Arial"/>
          <w:i/>
          <w:iCs/>
        </w:rPr>
        <w:t>consorcios y las uniones temporales</w:t>
      </w:r>
      <w:r w:rsidRPr="004113A9">
        <w:rPr>
          <w:rFonts w:ascii="Verdana" w:hAnsi="Verdana" w:cs="Arial"/>
        </w:rPr>
        <w:t xml:space="preserve">. </w:t>
      </w:r>
    </w:p>
    <w:p w14:paraId="2F175D92" w14:textId="77777777" w:rsidR="00DB158E" w:rsidRPr="004113A9" w:rsidRDefault="00DB158E" w:rsidP="00DB158E">
      <w:pPr>
        <w:widowControl w:val="0"/>
        <w:autoSpaceDE w:val="0"/>
        <w:autoSpaceDN w:val="0"/>
        <w:spacing w:after="0" w:line="276" w:lineRule="auto"/>
        <w:ind w:firstLine="708"/>
        <w:jc w:val="both"/>
        <w:rPr>
          <w:rFonts w:ascii="Verdana" w:hAnsi="Verdana" w:cs="Arial"/>
        </w:rPr>
      </w:pPr>
      <w:r w:rsidRPr="004113A9">
        <w:rPr>
          <w:rFonts w:ascii="Verdana" w:hAnsi="Verdana" w:cs="Arial"/>
        </w:rPr>
        <w:t>Si bien los consorcios</w:t>
      </w:r>
      <w:r>
        <w:rPr>
          <w:rFonts w:ascii="Verdana" w:hAnsi="Verdana" w:cs="Arial"/>
        </w:rPr>
        <w:t>,</w:t>
      </w:r>
      <w:r w:rsidRPr="004113A9">
        <w:rPr>
          <w:rFonts w:ascii="Verdana" w:hAnsi="Verdana" w:cs="Arial"/>
        </w:rPr>
        <w:t xml:space="preserve"> a los que se refiere en su consulta, no son personas jurídicas, el artículo 7 de la Ley 80 de 1993 define estos sujetos para la presentación de ofertas por un número plural de interesados. En lo pertinente, con las modificaciones del artículo 3 de la Ley 2160 de 2021, la norma dispone lo siguiente:</w:t>
      </w:r>
    </w:p>
    <w:p w14:paraId="2E6D836E" w14:textId="77777777" w:rsidR="00DB158E" w:rsidRPr="004113A9" w:rsidRDefault="00DB158E" w:rsidP="00DB158E">
      <w:pPr>
        <w:widowControl w:val="0"/>
        <w:autoSpaceDE w:val="0"/>
        <w:autoSpaceDN w:val="0"/>
        <w:spacing w:after="0" w:line="276" w:lineRule="auto"/>
        <w:jc w:val="both"/>
        <w:rPr>
          <w:rFonts w:ascii="Verdana" w:hAnsi="Verdana" w:cs="Arial"/>
        </w:rPr>
      </w:pPr>
    </w:p>
    <w:p w14:paraId="3A57E130" w14:textId="77777777" w:rsidR="00DB158E" w:rsidRDefault="00DB158E" w:rsidP="00DB158E">
      <w:pPr>
        <w:widowControl w:val="0"/>
        <w:autoSpaceDE w:val="0"/>
        <w:autoSpaceDN w:val="0"/>
        <w:spacing w:after="0" w:line="240" w:lineRule="auto"/>
        <w:ind w:firstLine="708"/>
        <w:jc w:val="both"/>
        <w:rPr>
          <w:rFonts w:ascii="Verdana" w:hAnsi="Verdana" w:cs="Arial"/>
          <w:sz w:val="20"/>
          <w:szCs w:val="20"/>
        </w:rPr>
      </w:pPr>
      <w:r w:rsidRPr="004113A9">
        <w:rPr>
          <w:rFonts w:ascii="Verdana" w:hAnsi="Verdana" w:cs="Arial"/>
          <w:sz w:val="20"/>
          <w:szCs w:val="20"/>
        </w:rPr>
        <w:t>“Para los efectos de esta ley se entiende por:</w:t>
      </w:r>
    </w:p>
    <w:p w14:paraId="5866BA30" w14:textId="77777777" w:rsidR="00DB158E" w:rsidRPr="004113A9" w:rsidRDefault="00DB158E" w:rsidP="00DB158E">
      <w:pPr>
        <w:widowControl w:val="0"/>
        <w:autoSpaceDE w:val="0"/>
        <w:autoSpaceDN w:val="0"/>
        <w:spacing w:after="0" w:line="240" w:lineRule="auto"/>
        <w:ind w:firstLine="708"/>
        <w:jc w:val="both"/>
        <w:rPr>
          <w:rFonts w:ascii="Verdana" w:hAnsi="Verdana" w:cs="Arial"/>
          <w:sz w:val="20"/>
          <w:szCs w:val="20"/>
        </w:rPr>
      </w:pPr>
    </w:p>
    <w:p w14:paraId="7801B5C6"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r w:rsidRPr="004113A9">
        <w:rPr>
          <w:rFonts w:ascii="Verdana" w:hAnsi="Verdana" w:cs="Arial"/>
          <w:sz w:val="20"/>
          <w:szCs w:val="20"/>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74A7742C"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p>
    <w:p w14:paraId="5720B6F1"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r w:rsidRPr="004113A9">
        <w:rPr>
          <w:rFonts w:ascii="Verdana" w:hAnsi="Verdana" w:cs="Arial"/>
          <w:sz w:val="20"/>
          <w:szCs w:val="20"/>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p w14:paraId="1D17183D"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p>
    <w:p w14:paraId="1A09AA17"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r w:rsidRPr="004113A9">
        <w:rPr>
          <w:rFonts w:ascii="Verdana" w:hAnsi="Verdana" w:cs="Arial"/>
          <w:sz w:val="20"/>
          <w:szCs w:val="20"/>
        </w:rPr>
        <w:lastRenderedPageBreak/>
        <w:t>[…]”.</w:t>
      </w:r>
    </w:p>
    <w:p w14:paraId="7FCEE43B" w14:textId="77777777" w:rsidR="00DB158E" w:rsidRPr="00FA3C1F" w:rsidRDefault="00DB158E" w:rsidP="00DB158E">
      <w:pPr>
        <w:widowControl w:val="0"/>
        <w:autoSpaceDE w:val="0"/>
        <w:autoSpaceDN w:val="0"/>
        <w:spacing w:after="0" w:line="276" w:lineRule="auto"/>
        <w:jc w:val="both"/>
        <w:rPr>
          <w:rFonts w:ascii="Verdana" w:hAnsi="Verdana" w:cs="Arial"/>
        </w:rPr>
      </w:pPr>
    </w:p>
    <w:p w14:paraId="3F16AE42"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w:t>
      </w:r>
      <w:r w:rsidRPr="004113A9">
        <w:rPr>
          <w:rStyle w:val="Refdenotaalpie"/>
          <w:rFonts w:ascii="Verdana" w:hAnsi="Verdana"/>
        </w:rPr>
        <w:footnoteReference w:id="1"/>
      </w:r>
      <w:r w:rsidRPr="004113A9">
        <w:rPr>
          <w:rFonts w:ascii="Verdana" w:hAnsi="Verdana" w:cs="Arial"/>
        </w:rPr>
        <w:t>.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r w:rsidRPr="004113A9">
        <w:rPr>
          <w:rStyle w:val="Refdenotaalpie"/>
          <w:rFonts w:ascii="Verdana" w:hAnsi="Verdana"/>
        </w:rPr>
        <w:footnoteReference w:id="2"/>
      </w:r>
    </w:p>
    <w:p w14:paraId="6427F982" w14:textId="77777777" w:rsidR="00DB158E"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En la medida en que los consorcios y las uniones temporales no son personas jurídicas, su creación depende de un acuerdo privado en el que concurre la voluntad de sus integrantes para regular su objeto, la participación de los miembros, las obligaciones frente al proyecto, la responsabilidad de los miembros, la forma en que regirán sus relaciones internas y el relacionamiento con la entidad contratante, mediante la designación de un representante, conforme el parágrafo 1 del artículo 7 de la Ley 80 de 1993. </w:t>
      </w:r>
    </w:p>
    <w:p w14:paraId="6C9BE0C4" w14:textId="77777777" w:rsidR="00DB158E"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Por lo anterior, la constitución del consorcio o unión temporal supone la </w:t>
      </w:r>
      <w:r w:rsidRPr="004113A9">
        <w:rPr>
          <w:rFonts w:ascii="Verdana" w:hAnsi="Verdana" w:cs="Arial"/>
        </w:rPr>
        <w:lastRenderedPageBreak/>
        <w:t xml:space="preserve">asignación de facultades al “representante” del proponente plural, pues –para efectos del artículo 1505 del Código Civil– “Lo que una persona ejecuta a nombre de otra, estando facultada por ella o por la ley para representarla, produce respecto del representado iguales efectos que si hubiese contratado él mismo”.                                                                                                                                                                                                                                                                                                                                                                                                                                                                                                                                                                                                                                                                                                                                                                                                                                                                                                                                                                                                                                                                                                                                                                                                                                                                                                                                                                                                                                                                    </w:t>
      </w:r>
      <w:r w:rsidRPr="004113A9">
        <w:rPr>
          <w:rFonts w:ascii="Verdana" w:hAnsi="Verdana" w:cs="Arial"/>
        </w:rPr>
        <w:tab/>
        <w:t>En el derecho privado, el acuerdo de voluntades que constituye el consorcio o unión temporal es un contrato principal, oneroso, conmutativo, bilateral o plurilateral</w:t>
      </w:r>
      <w:r w:rsidRPr="004113A9">
        <w:rPr>
          <w:rStyle w:val="Refdenotaalpie"/>
          <w:rFonts w:ascii="Verdana" w:hAnsi="Verdana"/>
        </w:rPr>
        <w:footnoteReference w:id="3"/>
      </w:r>
      <w:r w:rsidRPr="004113A9">
        <w:rPr>
          <w:rFonts w:ascii="Verdana" w:hAnsi="Verdana" w:cs="Arial"/>
        </w:rPr>
        <w:t>. En el derecho público, el ente debidamente constituido será un sujeto con capacidad para contratar, para ejecutar las obligaciones y ejercer los derechos que derivan del contrato, así como para interrelacionarse con la entidad estatal contratante en todo lo referente a la ejecución del objeto contractual. Inclusive, los consorcios y uniones temporales, a través de su representante, tienen capacidad y están legitimados para comparecer al proceso, en orden de proteger sus derechos o responder por el incumplimiento de sus obligaciones</w:t>
      </w:r>
      <w:r w:rsidRPr="004113A9">
        <w:rPr>
          <w:rStyle w:val="Refdenotaalpie"/>
          <w:rFonts w:ascii="Verdana" w:hAnsi="Verdana"/>
        </w:rPr>
        <w:footnoteReference w:id="4"/>
      </w:r>
      <w:r w:rsidRPr="004113A9">
        <w:rPr>
          <w:rFonts w:ascii="Verdana" w:hAnsi="Verdana" w:cs="Arial"/>
        </w:rPr>
        <w:t xml:space="preserve">. </w:t>
      </w:r>
    </w:p>
    <w:p w14:paraId="330AB8AA"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En conclusión, los consorcios y uniones temporales no son personas jurídicas, pero son entes creados por el acuerdo de voluntades de sus miembros que están facultados, en virtud de la ley, para celebrar y ejecutar contratos con entidades estatales y para ser parte en procesos administrativos y judiciales derivados de su celebración y ejecución. </w:t>
      </w:r>
    </w:p>
    <w:p w14:paraId="3D5B162B" w14:textId="77777777" w:rsidR="00DB158E" w:rsidRDefault="00DB158E" w:rsidP="00DB158E">
      <w:pPr>
        <w:spacing w:after="120" w:line="276" w:lineRule="auto"/>
        <w:ind w:firstLine="708"/>
        <w:jc w:val="both"/>
        <w:rPr>
          <w:rFonts w:ascii="Verdana" w:eastAsia="Calibri" w:hAnsi="Verdana" w:cs="Arial"/>
          <w:lang w:val="es-ES"/>
        </w:rPr>
      </w:pPr>
      <w:r w:rsidRPr="004113A9">
        <w:rPr>
          <w:rFonts w:ascii="Verdana" w:hAnsi="Verdana" w:cs="Arial"/>
        </w:rPr>
        <w:t xml:space="preserve">Ahora bien, </w:t>
      </w:r>
      <w:r w:rsidRPr="00E74941">
        <w:rPr>
          <w:rFonts w:ascii="Verdana" w:eastAsia="Calibri" w:hAnsi="Verdana" w:cs="Arial"/>
          <w:lang w:eastAsia="es-MX"/>
        </w:rPr>
        <w:t xml:space="preserve">en lo concerniente a la limitación de un proceso contractual a </w:t>
      </w:r>
      <w:proofErr w:type="spellStart"/>
      <w:r w:rsidRPr="00E74941">
        <w:rPr>
          <w:rFonts w:ascii="Verdana" w:eastAsia="Calibri" w:hAnsi="Verdana" w:cs="Arial"/>
          <w:lang w:eastAsia="es-MX"/>
        </w:rPr>
        <w:t>Mipymes</w:t>
      </w:r>
      <w:proofErr w:type="spellEnd"/>
      <w:r w:rsidRPr="00E74941">
        <w:rPr>
          <w:rFonts w:ascii="Verdana" w:eastAsia="Calibri" w:hAnsi="Verdana" w:cs="Arial"/>
          <w:lang w:eastAsia="es-MX"/>
        </w:rPr>
        <w:t xml:space="preserve">, se tiene que </w:t>
      </w:r>
      <w:r w:rsidRPr="26B2A2AC">
        <w:rPr>
          <w:rFonts w:ascii="Verdana" w:hAnsi="Verdana" w:cs="Arial"/>
          <w:color w:val="000000" w:themeColor="text1"/>
          <w:lang w:val="es-ES"/>
        </w:rPr>
        <w:t xml:space="preserve">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6A6E433D" w14:textId="77777777" w:rsidR="00DB158E" w:rsidRDefault="00DB158E" w:rsidP="00DB158E">
      <w:pPr>
        <w:spacing w:after="120" w:line="276" w:lineRule="auto"/>
        <w:ind w:firstLine="708"/>
        <w:jc w:val="both"/>
        <w:rPr>
          <w:rFonts w:ascii="Verdana" w:eastAsia="Calibri" w:hAnsi="Verdana" w:cs="Arial"/>
          <w:lang w:val="es-ES"/>
        </w:rPr>
      </w:pPr>
      <w:r>
        <w:rPr>
          <w:rFonts w:ascii="Verdana" w:hAnsi="Verdana" w:cs="Arial"/>
          <w:color w:val="000000" w:themeColor="text1"/>
          <w:lang w:val="es-ES"/>
        </w:rPr>
        <w:lastRenderedPageBreak/>
        <w:t xml:space="preserve">Con miras a lograr </w:t>
      </w:r>
      <w:r w:rsidRPr="26B2A2AC">
        <w:rPr>
          <w:rFonts w:ascii="Verdana" w:hAnsi="Verdana" w:cs="Arial"/>
          <w:color w:val="000000" w:themeColor="text1"/>
          <w:lang w:val="es-ES"/>
        </w:rPr>
        <w:t xml:space="preserve">esta finalidad, se establecen medidas de apoyo para las </w:t>
      </w:r>
      <w:proofErr w:type="spellStart"/>
      <w:r w:rsidRPr="26B2A2AC">
        <w:rPr>
          <w:rFonts w:ascii="Verdana" w:hAnsi="Verdana" w:cs="Arial"/>
          <w:color w:val="000000" w:themeColor="text1"/>
          <w:lang w:val="es-ES"/>
        </w:rPr>
        <w:t>Mipymes</w:t>
      </w:r>
      <w:proofErr w:type="spellEnd"/>
      <w:r w:rsidRPr="26B2A2AC">
        <w:rPr>
          <w:rFonts w:ascii="Verdana" w:hAnsi="Verdana" w:cs="Arial"/>
          <w:color w:val="000000" w:themeColor="text1"/>
          <w:lang w:val="es-ES"/>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23167046" w14:textId="77777777" w:rsidR="00DB158E" w:rsidRDefault="00DB158E" w:rsidP="00DB158E">
      <w:pPr>
        <w:spacing w:after="120" w:line="276" w:lineRule="auto"/>
        <w:ind w:firstLine="708"/>
        <w:jc w:val="both"/>
        <w:rPr>
          <w:rFonts w:ascii="Verdana" w:eastAsia="Calibri" w:hAnsi="Verdana" w:cs="Arial"/>
        </w:rPr>
      </w:pPr>
      <w:r w:rsidRPr="00D55A06">
        <w:rPr>
          <w:rFonts w:ascii="Verdana" w:eastAsia="Calibri" w:hAnsi="Verdana" w:cs="Arial"/>
        </w:rPr>
        <w:t xml:space="preserve">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D55A06">
        <w:rPr>
          <w:rFonts w:ascii="Verdana" w:eastAsia="Calibri" w:hAnsi="Verdana" w:cs="Arial"/>
        </w:rPr>
        <w:t>Mi</w:t>
      </w:r>
      <w:r>
        <w:rPr>
          <w:rFonts w:ascii="Verdana" w:eastAsia="Calibri" w:hAnsi="Verdana" w:cs="Arial"/>
        </w:rPr>
        <w:t>p</w:t>
      </w:r>
      <w:r w:rsidRPr="00D55A06">
        <w:rPr>
          <w:rFonts w:ascii="Verdana" w:eastAsia="Calibri" w:hAnsi="Verdana" w:cs="Arial"/>
        </w:rPr>
        <w:t>ymes</w:t>
      </w:r>
      <w:proofErr w:type="spellEnd"/>
      <w:r w:rsidRPr="00D55A06">
        <w:rPr>
          <w:rFonts w:ascii="Verdana" w:eastAsia="Calibri" w:hAnsi="Verdana" w:cs="Arial"/>
        </w:rPr>
        <w:t>, a continuación de se estudiará el contenido y alcance del artículo 34.</w:t>
      </w:r>
    </w:p>
    <w:p w14:paraId="2EDE0399" w14:textId="77777777" w:rsidR="00DB158E" w:rsidRDefault="00DB158E" w:rsidP="00DB158E">
      <w:pPr>
        <w:spacing w:after="120" w:line="276" w:lineRule="auto"/>
        <w:ind w:firstLine="708"/>
        <w:jc w:val="both"/>
        <w:rPr>
          <w:rFonts w:ascii="Verdana" w:hAnsi="Verdana" w:cs="Arial"/>
        </w:rPr>
      </w:pPr>
      <w:r w:rsidRPr="00D55A06">
        <w:rPr>
          <w:rFonts w:ascii="Verdana" w:eastAsia="Calibri" w:hAnsi="Verdana" w:cs="Arial"/>
        </w:rPr>
        <w:t xml:space="preserve">El artículo 34 de la Ley 2069 de 2020 modificó el artículo 12 de la Ley 1150 de 2007, el cual regula la promoción del desarrollo en la contratación pública, cambiando </w:t>
      </w:r>
      <w:r w:rsidRPr="00D55A06">
        <w:rPr>
          <w:rFonts w:ascii="Verdana" w:eastAsia="Calibri" w:hAnsi="Verdana" w:cs="Arial"/>
          <w:bdr w:val="none" w:sz="0" w:space="0" w:color="auto" w:frame="1"/>
        </w:rPr>
        <w:t xml:space="preserve">los requisitos esenciales para que procedan las convocatorias limitadas a </w:t>
      </w:r>
      <w:proofErr w:type="spellStart"/>
      <w:r w:rsidRPr="00D55A06">
        <w:rPr>
          <w:rFonts w:ascii="Verdana" w:eastAsia="Calibri" w:hAnsi="Verdana" w:cs="Arial"/>
          <w:bdr w:val="none" w:sz="0" w:space="0" w:color="auto" w:frame="1"/>
        </w:rPr>
        <w:t>Mi</w:t>
      </w:r>
      <w:r>
        <w:rPr>
          <w:rFonts w:ascii="Verdana" w:eastAsia="Calibri" w:hAnsi="Verdana" w:cs="Arial"/>
          <w:bdr w:val="none" w:sz="0" w:space="0" w:color="auto" w:frame="1"/>
        </w:rPr>
        <w:t>p</w:t>
      </w:r>
      <w:r w:rsidRPr="00D55A06">
        <w:rPr>
          <w:rFonts w:ascii="Verdana" w:eastAsia="Calibri" w:hAnsi="Verdana" w:cs="Arial"/>
          <w:bdr w:val="none" w:sz="0" w:space="0" w:color="auto" w:frame="1"/>
        </w:rPr>
        <w:t>ymes</w:t>
      </w:r>
      <w:proofErr w:type="spellEnd"/>
      <w:r w:rsidRPr="00D55A06">
        <w:rPr>
          <w:rFonts w:ascii="Verdana" w:eastAsia="Calibri" w:hAnsi="Verdana" w:cs="Arial"/>
          <w:bdr w:val="none" w:sz="0" w:space="0" w:color="auto" w:frame="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D55A06">
        <w:rPr>
          <w:rFonts w:ascii="Verdana" w:eastAsia="Calibri" w:hAnsi="Verdana" w:cs="Arial"/>
          <w:bdr w:val="none" w:sz="0" w:space="0" w:color="auto" w:frame="1"/>
        </w:rPr>
        <w:t>ii</w:t>
      </w:r>
      <w:proofErr w:type="spellEnd"/>
      <w:r w:rsidRPr="00D55A06">
        <w:rPr>
          <w:rFonts w:ascii="Verdana" w:eastAsia="Calibri" w:hAnsi="Verdana" w:cs="Arial"/>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D55A06">
        <w:rPr>
          <w:rFonts w:ascii="Verdana" w:eastAsia="Calibri" w:hAnsi="Verdana" w:cs="Arial"/>
          <w:bdr w:val="none" w:sz="0" w:space="0" w:color="auto" w:frame="1"/>
        </w:rPr>
        <w:t>iii</w:t>
      </w:r>
      <w:proofErr w:type="spellEnd"/>
      <w:r w:rsidRPr="00D55A06">
        <w:rPr>
          <w:rFonts w:ascii="Verdana" w:eastAsia="Calibri" w:hAnsi="Verdana" w:cs="Arial"/>
          <w:bdr w:val="none" w:sz="0" w:space="0" w:color="auto" w:frame="1"/>
        </w:rPr>
        <w:t xml:space="preserve">) indicó que para que pueda haber convocatorias limitadas a </w:t>
      </w:r>
      <w:proofErr w:type="spellStart"/>
      <w:r w:rsidRPr="00D55A06">
        <w:rPr>
          <w:rFonts w:ascii="Verdana" w:eastAsia="Calibri" w:hAnsi="Verdana" w:cs="Arial"/>
          <w:bdr w:val="none" w:sz="0" w:space="0" w:color="auto" w:frame="1"/>
        </w:rPr>
        <w:t>Mi</w:t>
      </w:r>
      <w:r>
        <w:rPr>
          <w:rFonts w:ascii="Verdana" w:eastAsia="Calibri" w:hAnsi="Verdana" w:cs="Arial"/>
          <w:bdr w:val="none" w:sz="0" w:space="0" w:color="auto" w:frame="1"/>
        </w:rPr>
        <w:t>p</w:t>
      </w:r>
      <w:r w:rsidRPr="00D55A06">
        <w:rPr>
          <w:rFonts w:ascii="Verdana" w:eastAsia="Calibri" w:hAnsi="Verdana" w:cs="Arial"/>
          <w:bdr w:val="none" w:sz="0" w:space="0" w:color="auto" w:frame="1"/>
        </w:rPr>
        <w:t>ymes</w:t>
      </w:r>
      <w:proofErr w:type="spellEnd"/>
      <w:r w:rsidRPr="00D55A06">
        <w:rPr>
          <w:rFonts w:ascii="Verdana" w:eastAsia="Calibri" w:hAnsi="Verdana" w:cs="Arial"/>
          <w:bdr w:val="none" w:sz="0" w:space="0" w:color="auto" w:frame="1"/>
        </w:rPr>
        <w:t>, dos (2) de ellas deben manifestar su interés</w:t>
      </w:r>
      <w:r>
        <w:rPr>
          <w:rFonts w:ascii="Verdana" w:eastAsia="Calibri" w:hAnsi="Verdana" w:cs="Arial"/>
          <w:bdr w:val="none" w:sz="0" w:space="0" w:color="auto" w:frame="1"/>
        </w:rPr>
        <w:t xml:space="preserve">. </w:t>
      </w:r>
    </w:p>
    <w:p w14:paraId="163CDA14" w14:textId="77777777" w:rsidR="00DB158E" w:rsidRPr="004113A9" w:rsidRDefault="00DB158E" w:rsidP="00DB158E">
      <w:pPr>
        <w:widowControl w:val="0"/>
        <w:autoSpaceDE w:val="0"/>
        <w:autoSpaceDN w:val="0"/>
        <w:spacing w:after="0" w:line="276" w:lineRule="auto"/>
        <w:ind w:firstLine="708"/>
        <w:jc w:val="both"/>
        <w:rPr>
          <w:rFonts w:ascii="Verdana" w:hAnsi="Verdana" w:cs="Arial"/>
        </w:rPr>
      </w:pPr>
      <w:r>
        <w:rPr>
          <w:rFonts w:ascii="Verdana" w:hAnsi="Verdana" w:cs="Arial"/>
        </w:rPr>
        <w:t>E</w:t>
      </w:r>
      <w:r w:rsidRPr="004113A9">
        <w:rPr>
          <w:rFonts w:ascii="Verdana" w:hAnsi="Verdana" w:cs="Arial"/>
        </w:rPr>
        <w:t xml:space="preserve">n desarrollo del artículo 12 de la Ley 1150 de 2007, el artículo 2.2.1.2.4.2.2 del Decreto 1082 de 2015 –modificado por el Decreto 1860 de 2021– establece los requisitos que se deben acreditar en las “convocatorias limitadas a </w:t>
      </w:r>
      <w:proofErr w:type="spellStart"/>
      <w:r w:rsidRPr="004113A9">
        <w:rPr>
          <w:rFonts w:ascii="Verdana" w:hAnsi="Verdana" w:cs="Arial"/>
        </w:rPr>
        <w:t>Mipymes</w:t>
      </w:r>
      <w:proofErr w:type="spellEnd"/>
      <w:r w:rsidRPr="004113A9">
        <w:rPr>
          <w:rFonts w:ascii="Verdana" w:hAnsi="Verdana" w:cs="Arial"/>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4113A9">
        <w:rPr>
          <w:rFonts w:ascii="Verdana" w:hAnsi="Verdana" w:cs="Arial"/>
        </w:rPr>
        <w:t>Mipyme</w:t>
      </w:r>
      <w:proofErr w:type="spellEnd"/>
      <w:r w:rsidRPr="004113A9">
        <w:rPr>
          <w:rFonts w:ascii="Verdana" w:hAnsi="Verdana" w:cs="Arial"/>
        </w:rPr>
        <w:t xml:space="preserve"> colombianas con mínimo un (1) año de existencia, siempre que se cumplan los requisitos señalados allí. Al respecto indica lo siguiente: </w:t>
      </w:r>
    </w:p>
    <w:p w14:paraId="3786EE68" w14:textId="77777777" w:rsidR="00DB158E" w:rsidRPr="004113A9" w:rsidRDefault="00DB158E" w:rsidP="00DB158E">
      <w:pPr>
        <w:widowControl w:val="0"/>
        <w:autoSpaceDE w:val="0"/>
        <w:autoSpaceDN w:val="0"/>
        <w:spacing w:after="0" w:line="276" w:lineRule="auto"/>
        <w:jc w:val="both"/>
        <w:rPr>
          <w:rFonts w:ascii="Verdana" w:hAnsi="Verdana" w:cs="Arial"/>
        </w:rPr>
      </w:pPr>
    </w:p>
    <w:p w14:paraId="4E74EE03"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r w:rsidRPr="004113A9">
        <w:rPr>
          <w:rFonts w:ascii="Verdana" w:hAnsi="Verdana" w:cs="Arial"/>
          <w:sz w:val="20"/>
          <w:szCs w:val="20"/>
        </w:rPr>
        <w:t xml:space="preserve">“Artículo 2.2.1.2.4.2.2. Convocatorias Imitadas a </w:t>
      </w:r>
      <w:proofErr w:type="spellStart"/>
      <w:r w:rsidRPr="004113A9">
        <w:rPr>
          <w:rFonts w:ascii="Verdana" w:hAnsi="Verdana" w:cs="Arial"/>
          <w:sz w:val="20"/>
          <w:szCs w:val="20"/>
        </w:rPr>
        <w:t>Mipyme</w:t>
      </w:r>
      <w:proofErr w:type="spellEnd"/>
      <w:r w:rsidRPr="004113A9">
        <w:rPr>
          <w:rFonts w:ascii="Verdana" w:hAnsi="Verdana" w:cs="Arial"/>
          <w:sz w:val="20"/>
          <w:szCs w:val="20"/>
        </w:rPr>
        <w:t xml:space="preserve">. Las Entidades Estatales independientemente de su régimen de contratación, los patrimonios autónomos constituidos por Entidades Estatales y los </w:t>
      </w:r>
      <w:r w:rsidRPr="004113A9">
        <w:rPr>
          <w:rFonts w:ascii="Verdana" w:hAnsi="Verdana" w:cs="Arial"/>
          <w:sz w:val="20"/>
          <w:szCs w:val="20"/>
        </w:rPr>
        <w:lastRenderedPageBreak/>
        <w:t xml:space="preserve">particulares que ejecuten recursos públicos, deben limitar la convocatoria de los Procesos de Contratación con pluralidad de oferentes a las </w:t>
      </w:r>
      <w:proofErr w:type="spellStart"/>
      <w:r w:rsidRPr="004113A9">
        <w:rPr>
          <w:rFonts w:ascii="Verdana" w:hAnsi="Verdana" w:cs="Arial"/>
          <w:sz w:val="20"/>
          <w:szCs w:val="20"/>
        </w:rPr>
        <w:t>Mipyme</w:t>
      </w:r>
      <w:proofErr w:type="spellEnd"/>
      <w:r w:rsidRPr="004113A9">
        <w:rPr>
          <w:rFonts w:ascii="Verdana" w:hAnsi="Verdana" w:cs="Arial"/>
          <w:sz w:val="20"/>
          <w:szCs w:val="20"/>
        </w:rPr>
        <w:t xml:space="preserve"> colombianas con mínimo un (1) año de existencia, cuando concurran los siguientes requisitos:</w:t>
      </w:r>
    </w:p>
    <w:p w14:paraId="76DBC7F2"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p>
    <w:p w14:paraId="68928D77"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r w:rsidRPr="004113A9">
        <w:rPr>
          <w:rFonts w:ascii="Verdana" w:hAnsi="Verdana" w:cs="Arial"/>
          <w:sz w:val="20"/>
          <w:szCs w:val="20"/>
        </w:rPr>
        <w:t>1. El valor del Proceso de Contratación sea menor a ciento veinticinco mil dólares de los Estados Unidos de América (US$125.000), liquidados con la tasa de cambio que para el efecto determina cada dos años el Ministerio de Comercio, Industria y Turismo.</w:t>
      </w:r>
    </w:p>
    <w:p w14:paraId="594A067D"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p>
    <w:p w14:paraId="07E7D7B5" w14:textId="77777777" w:rsidR="00DB158E" w:rsidRDefault="00DB158E" w:rsidP="00DB158E">
      <w:pPr>
        <w:widowControl w:val="0"/>
        <w:autoSpaceDE w:val="0"/>
        <w:autoSpaceDN w:val="0"/>
        <w:spacing w:after="0" w:line="240" w:lineRule="auto"/>
        <w:ind w:left="709" w:right="709"/>
        <w:jc w:val="both"/>
        <w:rPr>
          <w:rFonts w:ascii="Verdana" w:hAnsi="Verdana" w:cs="Arial"/>
          <w:sz w:val="20"/>
          <w:szCs w:val="20"/>
        </w:rPr>
      </w:pPr>
      <w:r w:rsidRPr="004113A9">
        <w:rPr>
          <w:rFonts w:ascii="Verdana" w:hAnsi="Verdana" w:cs="Arial"/>
          <w:sz w:val="20"/>
          <w:szCs w:val="20"/>
        </w:rPr>
        <w:t xml:space="preserve">2. Se hayan recibido solicitudes de por lo menos dos (2) </w:t>
      </w:r>
      <w:proofErr w:type="spellStart"/>
      <w:r w:rsidRPr="004113A9">
        <w:rPr>
          <w:rFonts w:ascii="Verdana" w:hAnsi="Verdana" w:cs="Arial"/>
          <w:sz w:val="20"/>
          <w:szCs w:val="20"/>
        </w:rPr>
        <w:t>Mipyme</w:t>
      </w:r>
      <w:proofErr w:type="spellEnd"/>
      <w:r w:rsidRPr="004113A9">
        <w:rPr>
          <w:rFonts w:ascii="Verdana" w:hAnsi="Verdana" w:cs="Arial"/>
          <w:sz w:val="20"/>
          <w:szCs w:val="20"/>
        </w:rPr>
        <w:t xml:space="preserve"> colombianas para limitar la convocatoria a </w:t>
      </w:r>
      <w:proofErr w:type="spellStart"/>
      <w:r w:rsidRPr="004113A9">
        <w:rPr>
          <w:rFonts w:ascii="Verdana" w:hAnsi="Verdana" w:cs="Arial"/>
          <w:sz w:val="20"/>
          <w:szCs w:val="20"/>
        </w:rPr>
        <w:t>Mipyme</w:t>
      </w:r>
      <w:proofErr w:type="spellEnd"/>
      <w:r w:rsidRPr="004113A9">
        <w:rPr>
          <w:rFonts w:ascii="Verdana" w:hAnsi="Verdana" w:cs="Arial"/>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4113A9">
        <w:rPr>
          <w:rFonts w:ascii="Verdana" w:hAnsi="Verdana" w:cs="Arial"/>
          <w:sz w:val="20"/>
          <w:szCs w:val="20"/>
        </w:rPr>
        <w:t>Mipyme</w:t>
      </w:r>
      <w:proofErr w:type="spellEnd"/>
      <w:r w:rsidRPr="004113A9">
        <w:rPr>
          <w:rFonts w:ascii="Verdana" w:hAnsi="Verdana" w:cs="Arial"/>
          <w:sz w:val="20"/>
          <w:szCs w:val="20"/>
        </w:rPr>
        <w:t>, cuyo objeto social les permita ejecutar el contrato relacionado con el proceso contractual.</w:t>
      </w:r>
    </w:p>
    <w:p w14:paraId="644AFC9D"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p>
    <w:p w14:paraId="2BCA0647" w14:textId="77777777" w:rsidR="00DB158E" w:rsidRPr="004113A9" w:rsidRDefault="00DB158E" w:rsidP="00DB158E">
      <w:pPr>
        <w:widowControl w:val="0"/>
        <w:autoSpaceDE w:val="0"/>
        <w:autoSpaceDN w:val="0"/>
        <w:spacing w:after="0" w:line="240" w:lineRule="auto"/>
        <w:ind w:left="709" w:right="709"/>
        <w:jc w:val="both"/>
        <w:rPr>
          <w:rFonts w:ascii="Verdana" w:hAnsi="Verdana" w:cs="Arial"/>
          <w:sz w:val="20"/>
          <w:szCs w:val="20"/>
        </w:rPr>
      </w:pPr>
      <w:r w:rsidRPr="004113A9">
        <w:rPr>
          <w:rFonts w:ascii="Verdana" w:hAnsi="Verdana" w:cs="Arial"/>
          <w:sz w:val="20"/>
          <w:szCs w:val="20"/>
        </w:rPr>
        <w:t xml:space="preserve">Parágrafo. Las cooperativas y demás entidades de economía solidaria, siempre que tengan la calidad de </w:t>
      </w:r>
      <w:proofErr w:type="spellStart"/>
      <w:r w:rsidRPr="004113A9">
        <w:rPr>
          <w:rFonts w:ascii="Verdana" w:hAnsi="Verdana" w:cs="Arial"/>
          <w:sz w:val="20"/>
          <w:szCs w:val="20"/>
        </w:rPr>
        <w:t>Mipyme</w:t>
      </w:r>
      <w:proofErr w:type="spellEnd"/>
      <w:r w:rsidRPr="004113A9">
        <w:rPr>
          <w:rFonts w:ascii="Verdana" w:hAnsi="Verdana" w:cs="Arial"/>
          <w:sz w:val="20"/>
          <w:szCs w:val="20"/>
        </w:rPr>
        <w:t>, podrán solicitar y participar en las convocatorias limitadas en las mismas condiciones dispuestas en el presente artículo”.</w:t>
      </w:r>
    </w:p>
    <w:p w14:paraId="005F9336" w14:textId="77777777" w:rsidR="00DB158E" w:rsidRPr="004113A9" w:rsidRDefault="00DB158E" w:rsidP="00DB158E">
      <w:pPr>
        <w:widowControl w:val="0"/>
        <w:autoSpaceDE w:val="0"/>
        <w:autoSpaceDN w:val="0"/>
        <w:spacing w:after="0" w:line="276" w:lineRule="auto"/>
        <w:jc w:val="both"/>
        <w:rPr>
          <w:rFonts w:ascii="Verdana" w:hAnsi="Verdana" w:cs="Arial"/>
        </w:rPr>
      </w:pPr>
    </w:p>
    <w:p w14:paraId="6D9F21AE" w14:textId="77777777" w:rsidR="00DB158E"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Según se evidencia, el numeral primero limita cuantitativamente los procesos contractuales para las convocatorias limitadas a </w:t>
      </w:r>
      <w:proofErr w:type="spellStart"/>
      <w:r w:rsidRPr="004113A9">
        <w:rPr>
          <w:rFonts w:ascii="Verdana" w:hAnsi="Verdana" w:cs="Arial"/>
        </w:rPr>
        <w:t>Mipyme</w:t>
      </w:r>
      <w:proofErr w:type="spellEnd"/>
      <w:r w:rsidRPr="004113A9">
        <w:rPr>
          <w:rFonts w:ascii="Verdana" w:hAnsi="Verdana" w:cs="Arial"/>
        </w:rPr>
        <w:t xml:space="preserve">, puesto que el valor del proceso de contratación debe ser “menor a ciento veinticinco mil dólares de los Estados Unidos de América”. Esto de acuerdo con la tasa que determine cada dos años el Ministerio de Comercio, Industria y Turismo. </w:t>
      </w:r>
    </w:p>
    <w:p w14:paraId="0CDC10B8" w14:textId="77777777" w:rsidR="00DB158E"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Por su parte, el numeral segundo establece que al menos dos (2) </w:t>
      </w:r>
      <w:proofErr w:type="spellStart"/>
      <w:r w:rsidRPr="004113A9">
        <w:rPr>
          <w:rFonts w:ascii="Verdana" w:hAnsi="Verdana" w:cs="Arial"/>
        </w:rPr>
        <w:t>Mipymes</w:t>
      </w:r>
      <w:proofErr w:type="spellEnd"/>
      <w:r w:rsidRPr="004113A9">
        <w:rPr>
          <w:rFonts w:ascii="Verdana" w:hAnsi="Verdana" w:cs="Arial"/>
        </w:rPr>
        <w:t xml:space="preserve">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Asimismo, la norma señala que, tratándose de personas jurídicas, las solicitudes solo las podrán realizar la </w:t>
      </w:r>
      <w:proofErr w:type="spellStart"/>
      <w:r w:rsidRPr="004113A9">
        <w:rPr>
          <w:rFonts w:ascii="Verdana" w:hAnsi="Verdana" w:cs="Arial"/>
        </w:rPr>
        <w:t>Mipyme</w:t>
      </w:r>
      <w:proofErr w:type="spellEnd"/>
      <w:r w:rsidRPr="004113A9">
        <w:rPr>
          <w:rFonts w:ascii="Verdana" w:hAnsi="Verdana" w:cs="Arial"/>
        </w:rPr>
        <w:t xml:space="preserve">, cuyo objeto social les permita ejecutar el contrato relacionado con el proceso contractual. </w:t>
      </w:r>
    </w:p>
    <w:p w14:paraId="717A121F"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Por lo demás, este artículo incluye a las cooperativas y demás entidades de economía solidaria dentro de los sujetos que pueden solicitar y participar en las convocatorias limitadas a </w:t>
      </w:r>
      <w:proofErr w:type="spellStart"/>
      <w:r w:rsidRPr="004113A9">
        <w:rPr>
          <w:rFonts w:ascii="Verdana" w:hAnsi="Verdana" w:cs="Arial"/>
        </w:rPr>
        <w:t>Mipyme</w:t>
      </w:r>
      <w:proofErr w:type="spellEnd"/>
      <w:r w:rsidRPr="004113A9">
        <w:rPr>
          <w:rFonts w:ascii="Verdana" w:hAnsi="Verdana" w:cs="Arial"/>
        </w:rPr>
        <w:t xml:space="preserve">, siempre que estas cumplan con las </w:t>
      </w:r>
      <w:r w:rsidRPr="004113A9">
        <w:rPr>
          <w:rFonts w:ascii="Verdana" w:hAnsi="Verdana" w:cs="Arial"/>
        </w:rPr>
        <w:lastRenderedPageBreak/>
        <w:t xml:space="preserve">condiciones señaladas en el artículo. </w:t>
      </w:r>
    </w:p>
    <w:p w14:paraId="731620B3"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sidRPr="004113A9">
        <w:rPr>
          <w:rFonts w:ascii="Verdana" w:hAnsi="Verdana" w:cs="Arial"/>
        </w:rPr>
        <w:t xml:space="preserve">Como se desprende del tenor literal de la disposición transcrita, cuando se cumplen las condiciones de los numerales 1 y 2, la convocatoria de los Procesos de Contratación con pluralidad de oferentes se limita a las </w:t>
      </w:r>
      <w:proofErr w:type="spellStart"/>
      <w:r w:rsidRPr="004113A9">
        <w:rPr>
          <w:rFonts w:ascii="Verdana" w:hAnsi="Verdana" w:cs="Arial"/>
        </w:rPr>
        <w:t>Mipyme</w:t>
      </w:r>
      <w:proofErr w:type="spellEnd"/>
      <w:r w:rsidRPr="004113A9">
        <w:rPr>
          <w:rFonts w:ascii="Verdana" w:hAnsi="Verdana" w:cs="Arial"/>
        </w:rPr>
        <w:t xml:space="preserve"> colombianas con mínimo un (1) año de existencia. </w:t>
      </w:r>
    </w:p>
    <w:p w14:paraId="32F17388" w14:textId="77777777" w:rsidR="00DB158E" w:rsidRPr="004113A9" w:rsidRDefault="00DB158E" w:rsidP="00DB158E">
      <w:pPr>
        <w:widowControl w:val="0"/>
        <w:autoSpaceDE w:val="0"/>
        <w:autoSpaceDN w:val="0"/>
        <w:spacing w:after="120" w:line="276" w:lineRule="auto"/>
        <w:ind w:firstLine="708"/>
        <w:jc w:val="both"/>
        <w:rPr>
          <w:rFonts w:ascii="Verdana" w:hAnsi="Verdana" w:cs="Arial"/>
        </w:rPr>
      </w:pPr>
      <w:r>
        <w:rPr>
          <w:rFonts w:ascii="Verdana" w:hAnsi="Verdana" w:cs="Arial"/>
        </w:rPr>
        <w:t>E</w:t>
      </w:r>
      <w:r w:rsidRPr="004113A9">
        <w:rPr>
          <w:rFonts w:ascii="Verdana" w:hAnsi="Verdana" w:cs="Arial"/>
        </w:rPr>
        <w:t xml:space="preserve">n relación con problema jurídico debe señalarse que, el artículo 2.2.1.2.4.2.4, parágrafo 3, del Decreto 1082 de 2015 dispone que “En las convocatorias limitadas, las entidades estatales independientemente de su régimen de contratación, los patrimonios autónomos constituidos por Entidades Estatales y los particulares que ejecuten recursos públicos, solo deberán aceptar las ofertas de </w:t>
      </w:r>
      <w:proofErr w:type="spellStart"/>
      <w:r w:rsidRPr="004113A9">
        <w:rPr>
          <w:rFonts w:ascii="Verdana" w:hAnsi="Verdana" w:cs="Arial"/>
        </w:rPr>
        <w:t>Mipyme</w:t>
      </w:r>
      <w:proofErr w:type="spellEnd"/>
      <w:r w:rsidRPr="004113A9">
        <w:rPr>
          <w:rFonts w:ascii="Verdana" w:hAnsi="Verdana" w:cs="Arial"/>
        </w:rPr>
        <w:t xml:space="preserve"> o de </w:t>
      </w:r>
      <w:r w:rsidRPr="00FA3C1F">
        <w:rPr>
          <w:rFonts w:ascii="Verdana" w:hAnsi="Verdana" w:cs="Arial"/>
          <w:i/>
          <w:iCs/>
        </w:rPr>
        <w:t xml:space="preserve">proponentes plurales integrados únicamente por </w:t>
      </w:r>
      <w:proofErr w:type="spellStart"/>
      <w:r w:rsidRPr="00FA3C1F">
        <w:rPr>
          <w:rFonts w:ascii="Verdana" w:hAnsi="Verdana" w:cs="Arial"/>
          <w:i/>
          <w:iCs/>
        </w:rPr>
        <w:t>Mipyme</w:t>
      </w:r>
      <w:proofErr w:type="spellEnd"/>
      <w:r w:rsidRPr="004113A9">
        <w:rPr>
          <w:rFonts w:ascii="Verdana" w:hAnsi="Verdana" w:cs="Arial"/>
        </w:rPr>
        <w:t xml:space="preserve">” [Énfasis fuera del texto original]. </w:t>
      </w:r>
    </w:p>
    <w:p w14:paraId="73E9EFA9" w14:textId="77777777" w:rsidR="00DB158E" w:rsidRDefault="00DB158E" w:rsidP="00DB158E">
      <w:pPr>
        <w:widowControl w:val="0"/>
        <w:autoSpaceDE w:val="0"/>
        <w:autoSpaceDN w:val="0"/>
        <w:spacing w:after="120" w:line="276" w:lineRule="auto"/>
        <w:ind w:firstLine="708"/>
        <w:jc w:val="both"/>
        <w:rPr>
          <w:rFonts w:ascii="Verdana" w:eastAsia="Calibri" w:hAnsi="Verdana" w:cs="Arial"/>
          <w:lang w:val="es-ES"/>
        </w:rPr>
      </w:pPr>
      <w:r w:rsidRPr="004113A9">
        <w:rPr>
          <w:rFonts w:ascii="Verdana" w:hAnsi="Verdana" w:cs="Arial"/>
        </w:rPr>
        <w:t>En los términos del artículo 30 del Código Civil, esta norma debe interpretarse sistemáticamente con el inciso primero del precitado artículo 2.2.1.2.4.2.2 ibidem</w:t>
      </w:r>
      <w:r w:rsidRPr="004113A9">
        <w:rPr>
          <w:rStyle w:val="Refdenotaalpie"/>
          <w:rFonts w:ascii="Verdana" w:hAnsi="Verdana" w:cs="Arial"/>
        </w:rPr>
        <w:footnoteReference w:id="5"/>
      </w:r>
      <w:r w:rsidRPr="004113A9">
        <w:rPr>
          <w:rFonts w:ascii="Verdana" w:hAnsi="Verdana" w:cs="Arial"/>
        </w:rPr>
        <w:t xml:space="preserve">. </w:t>
      </w:r>
      <w:bookmarkStart w:id="3" w:name="_Hlk108519028"/>
      <w:r>
        <w:rPr>
          <w:rFonts w:ascii="Verdana" w:eastAsia="Calibri" w:hAnsi="Verdana" w:cs="Arial"/>
          <w:lang w:eastAsia="es-ES_tradnl"/>
        </w:rPr>
        <w:t xml:space="preserve">Así las cosas, teniendo en cuenta que </w:t>
      </w:r>
      <w:r w:rsidRPr="00B45CE8">
        <w:rPr>
          <w:rFonts w:ascii="Verdana" w:eastAsia="Calibri" w:hAnsi="Verdana" w:cs="Arial"/>
          <w:lang w:eastAsia="es-ES_tradnl"/>
        </w:rPr>
        <w:t xml:space="preserve">los consorcios y uniones temporales no </w:t>
      </w:r>
      <w:r>
        <w:rPr>
          <w:rFonts w:ascii="Verdana" w:eastAsia="Calibri" w:hAnsi="Verdana" w:cs="Arial"/>
          <w:lang w:eastAsia="es-ES_tradnl"/>
        </w:rPr>
        <w:t xml:space="preserve">cuentan con </w:t>
      </w:r>
      <w:r w:rsidRPr="00B45CE8">
        <w:rPr>
          <w:rFonts w:ascii="Verdana" w:eastAsia="Calibri" w:hAnsi="Verdana" w:cs="Arial"/>
          <w:lang w:eastAsia="es-ES_tradnl"/>
        </w:rPr>
        <w:t xml:space="preserve">personería jurídica ni pueden acreditarse como empresa, no resulta necesario que el consorcio esté registrado como </w:t>
      </w:r>
      <w:proofErr w:type="spellStart"/>
      <w:r w:rsidRPr="00B45CE8">
        <w:rPr>
          <w:rFonts w:ascii="Verdana" w:eastAsia="Calibri" w:hAnsi="Verdana" w:cs="Arial"/>
          <w:lang w:eastAsia="es-ES_tradnl"/>
        </w:rPr>
        <w:t>Mipyme</w:t>
      </w:r>
      <w:proofErr w:type="spellEnd"/>
      <w:r>
        <w:rPr>
          <w:rFonts w:ascii="Verdana" w:eastAsia="Calibri" w:hAnsi="Verdana" w:cs="Arial"/>
          <w:lang w:eastAsia="es-ES_tradnl"/>
        </w:rPr>
        <w:t xml:space="preserve"> para poder participar en convocatorias limitadas a este tipo de proponentes</w:t>
      </w:r>
      <w:r w:rsidRPr="00B45CE8">
        <w:rPr>
          <w:rFonts w:ascii="Verdana" w:eastAsia="Calibri" w:hAnsi="Verdana" w:cs="Arial"/>
          <w:lang w:eastAsia="es-ES_tradnl"/>
        </w:rPr>
        <w:t xml:space="preserve">; lo que exige la norma es que cada integrante que lo conforma acredite individualmente su condición de </w:t>
      </w:r>
      <w:proofErr w:type="spellStart"/>
      <w:r w:rsidRPr="00B45CE8">
        <w:rPr>
          <w:rFonts w:ascii="Verdana" w:eastAsia="Calibri" w:hAnsi="Verdana" w:cs="Arial"/>
          <w:lang w:eastAsia="es-ES_tradnl"/>
        </w:rPr>
        <w:t>Mipyme</w:t>
      </w:r>
      <w:proofErr w:type="spellEnd"/>
      <w:r w:rsidRPr="00B45CE8">
        <w:rPr>
          <w:rFonts w:ascii="Verdana" w:eastAsia="Calibri" w:hAnsi="Verdana" w:cs="Arial"/>
          <w:lang w:eastAsia="es-ES_tradnl"/>
        </w:rPr>
        <w:t>, mediante RUP o certificación según corresponda</w:t>
      </w:r>
      <w:r>
        <w:rPr>
          <w:rFonts w:ascii="Verdana" w:eastAsia="Calibri" w:hAnsi="Verdana" w:cs="Arial"/>
          <w:lang w:eastAsia="es-ES_tradnl"/>
        </w:rPr>
        <w:t>.</w:t>
      </w:r>
      <w:r w:rsidRPr="00B45CE8">
        <w:t xml:space="preserve"> </w:t>
      </w:r>
      <w:r w:rsidRPr="00B45CE8">
        <w:rPr>
          <w:rFonts w:ascii="Verdana" w:eastAsia="Calibri" w:hAnsi="Verdana" w:cs="Arial"/>
          <w:lang w:eastAsia="es-ES_tradnl"/>
        </w:rPr>
        <w:t>En todo caso, corresponderá a los equipos jurídicos de la entidad estatal verificar el cumplimiento de estas disposiciones en cada proceso de selección y definir la procedencia de la oferta presentada por el consorcio</w:t>
      </w:r>
      <w:r>
        <w:rPr>
          <w:rFonts w:ascii="Verdana" w:eastAsia="Calibri" w:hAnsi="Verdana" w:cs="Arial"/>
          <w:lang w:eastAsia="es-ES_tradnl"/>
        </w:rPr>
        <w:t>.</w:t>
      </w:r>
      <w:r w:rsidRPr="00830A9E">
        <w:rPr>
          <w:rFonts w:ascii="Verdana" w:eastAsia="Calibri" w:hAnsi="Verdana" w:cs="Arial"/>
          <w:lang w:val="es-ES"/>
        </w:rPr>
        <w:t xml:space="preserve"> </w:t>
      </w:r>
    </w:p>
    <w:p w14:paraId="709C1CA1" w14:textId="77777777" w:rsidR="00DB158E" w:rsidRDefault="00DB158E" w:rsidP="00DB158E">
      <w:pPr>
        <w:widowControl w:val="0"/>
        <w:autoSpaceDE w:val="0"/>
        <w:autoSpaceDN w:val="0"/>
        <w:spacing w:after="120" w:line="276" w:lineRule="auto"/>
        <w:ind w:firstLine="708"/>
        <w:jc w:val="both"/>
        <w:rPr>
          <w:rFonts w:ascii="Verdana" w:eastAsia="Calibri" w:hAnsi="Verdana" w:cs="Arial"/>
          <w:lang w:val="es-ES"/>
        </w:rPr>
      </w:pPr>
      <w:r w:rsidRPr="00FA3C1F">
        <w:rPr>
          <w:rFonts w:ascii="Verdana" w:eastAsia="Calibri" w:hAnsi="Verdana" w:cs="Arial"/>
          <w:lang w:val="es-ES"/>
        </w:rPr>
        <w:t xml:space="preserve">Por consiguiente, si, por ejemplo, un proponente plural se encuentra conformado por 3 integrantes de los cuales 2 son </w:t>
      </w:r>
      <w:proofErr w:type="spellStart"/>
      <w:r w:rsidRPr="00FA3C1F">
        <w:rPr>
          <w:rFonts w:ascii="Verdana" w:eastAsia="Calibri" w:hAnsi="Verdana" w:cs="Arial"/>
          <w:lang w:val="es-ES"/>
        </w:rPr>
        <w:t>Mipyme</w:t>
      </w:r>
      <w:proofErr w:type="spellEnd"/>
      <w:r w:rsidRPr="00FA3C1F">
        <w:rPr>
          <w:rFonts w:ascii="Verdana" w:eastAsia="Calibri" w:hAnsi="Verdana" w:cs="Arial"/>
          <w:lang w:val="es-ES"/>
        </w:rPr>
        <w:t xml:space="preserve"> y el otro no lo es, el proponente plural no podrá participar en el proceso y la entidad contratante no podrá aceptar dicha oferta</w:t>
      </w:r>
      <w:r>
        <w:rPr>
          <w:rFonts w:ascii="Verdana" w:eastAsia="Calibri" w:hAnsi="Verdana" w:cs="Arial"/>
          <w:lang w:val="es-ES"/>
        </w:rPr>
        <w:t xml:space="preserve">, pero si por el contrario los 3 integrantes acreditan su condición de </w:t>
      </w:r>
      <w:proofErr w:type="spellStart"/>
      <w:r>
        <w:rPr>
          <w:rFonts w:ascii="Verdana" w:eastAsia="Calibri" w:hAnsi="Verdana" w:cs="Arial"/>
          <w:lang w:val="es-ES"/>
        </w:rPr>
        <w:t>Mipymes</w:t>
      </w:r>
      <w:proofErr w:type="spellEnd"/>
      <w:r>
        <w:rPr>
          <w:rFonts w:ascii="Verdana" w:eastAsia="Calibri" w:hAnsi="Verdana" w:cs="Arial"/>
          <w:lang w:val="es-ES"/>
        </w:rPr>
        <w:t xml:space="preserve"> podrán participar en la convocatoria.</w:t>
      </w:r>
    </w:p>
    <w:bookmarkEnd w:id="3"/>
    <w:p w14:paraId="30033E9B" w14:textId="77777777" w:rsidR="00DB158E" w:rsidRPr="004F7B86" w:rsidRDefault="00DB158E" w:rsidP="00DB158E">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w:t>
      </w:r>
      <w:r w:rsidRPr="00DB4737">
        <w:rPr>
          <w:rFonts w:ascii="Verdana" w:eastAsia="Calibri" w:hAnsi="Verdana" w:cs="Times New Roman"/>
          <w:lang w:val="es-ES"/>
        </w:rPr>
        <w:lastRenderedPageBreak/>
        <w:t>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07858C5D" w14:textId="77777777" w:rsidR="00DB158E" w:rsidRDefault="00DB158E" w:rsidP="00DB158E">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29668D46" w14:textId="77777777" w:rsidR="00DB158E" w:rsidRPr="00725FCA" w:rsidRDefault="00DB158E" w:rsidP="00DB158E">
      <w:pPr>
        <w:spacing w:after="0" w:line="276" w:lineRule="auto"/>
        <w:ind w:firstLine="708"/>
        <w:jc w:val="both"/>
        <w:rPr>
          <w:rFonts w:ascii="Verdana" w:eastAsia="Calibri" w:hAnsi="Verdana" w:cs="Times New Roman"/>
          <w:lang w:val="es-ES"/>
        </w:rPr>
      </w:pPr>
    </w:p>
    <w:p w14:paraId="5E4686D4" w14:textId="77777777" w:rsidR="00DB158E" w:rsidRPr="00725FCA" w:rsidRDefault="00DB158E" w:rsidP="00DB158E">
      <w:pPr>
        <w:pStyle w:val="Prrafodelista"/>
        <w:numPr>
          <w:ilvl w:val="0"/>
          <w:numId w:val="16"/>
        </w:numPr>
        <w:spacing w:after="0" w:line="276" w:lineRule="auto"/>
        <w:ind w:left="284"/>
        <w:contextualSpacing w:val="0"/>
        <w:jc w:val="both"/>
        <w:rPr>
          <w:rFonts w:ascii="Verdana" w:eastAsia="Century Gothic" w:hAnsi="Verdana" w:cs="Century Gothic"/>
          <w:b/>
          <w:bCs/>
        </w:rPr>
      </w:pPr>
      <w:r w:rsidRPr="00725FCA">
        <w:rPr>
          <w:rFonts w:ascii="Verdana" w:eastAsia="Century Gothic" w:hAnsi="Verdana" w:cs="Century Gothic"/>
          <w:b/>
          <w:bCs/>
        </w:rPr>
        <w:t>Referencias normativas, jurisprudenciales y otras fuentes:</w:t>
      </w:r>
    </w:p>
    <w:p w14:paraId="52AF4908" w14:textId="77777777" w:rsidR="00DB158E" w:rsidRPr="00725FCA" w:rsidRDefault="00DB158E" w:rsidP="00DB158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158E" w:rsidRPr="00725FCA" w14:paraId="47699D4B" w14:textId="77777777" w:rsidTr="00BE3E77">
        <w:trPr>
          <w:trHeight w:val="870"/>
        </w:trPr>
        <w:tc>
          <w:tcPr>
            <w:tcW w:w="8647" w:type="dxa"/>
          </w:tcPr>
          <w:p w14:paraId="2991A5D4" w14:textId="77777777" w:rsidR="00DB158E" w:rsidRPr="00725FCA" w:rsidRDefault="00DB158E" w:rsidP="00DB158E">
            <w:pPr>
              <w:pStyle w:val="Prrafodelista"/>
              <w:widowControl w:val="0"/>
              <w:numPr>
                <w:ilvl w:val="0"/>
                <w:numId w:val="17"/>
              </w:numPr>
              <w:autoSpaceDE w:val="0"/>
              <w:autoSpaceDN w:val="0"/>
              <w:spacing w:line="276" w:lineRule="auto"/>
              <w:contextualSpacing w:val="0"/>
              <w:jc w:val="both"/>
              <w:rPr>
                <w:rFonts w:ascii="Verdana" w:hAnsi="Verdana" w:cs="Arial"/>
              </w:rPr>
            </w:pPr>
            <w:r w:rsidRPr="00725FCA">
              <w:rPr>
                <w:rFonts w:ascii="Verdana" w:hAnsi="Verdana" w:cs="Arial"/>
              </w:rPr>
              <w:t>Código Civil, artículo 30.</w:t>
            </w:r>
          </w:p>
          <w:p w14:paraId="53937B66" w14:textId="77777777" w:rsidR="00DB158E" w:rsidRPr="00725FCA" w:rsidRDefault="00DB158E" w:rsidP="00DB158E">
            <w:pPr>
              <w:pStyle w:val="Prrafodelista"/>
              <w:widowControl w:val="0"/>
              <w:numPr>
                <w:ilvl w:val="0"/>
                <w:numId w:val="17"/>
              </w:numPr>
              <w:autoSpaceDE w:val="0"/>
              <w:autoSpaceDN w:val="0"/>
              <w:spacing w:line="276" w:lineRule="auto"/>
              <w:contextualSpacing w:val="0"/>
              <w:jc w:val="both"/>
              <w:rPr>
                <w:rFonts w:ascii="Verdana" w:hAnsi="Verdana" w:cs="Arial"/>
              </w:rPr>
            </w:pPr>
            <w:r w:rsidRPr="00725FCA">
              <w:rPr>
                <w:rFonts w:ascii="Verdana" w:hAnsi="Verdana" w:cs="Arial"/>
              </w:rPr>
              <w:t>Ley 80 de 1993, artículos 6, 7, 24.</w:t>
            </w:r>
          </w:p>
          <w:p w14:paraId="5BF1D989" w14:textId="77777777" w:rsidR="00DB158E" w:rsidRPr="00725FCA" w:rsidRDefault="00DB158E" w:rsidP="00DB158E">
            <w:pPr>
              <w:pStyle w:val="Prrafodelista"/>
              <w:widowControl w:val="0"/>
              <w:numPr>
                <w:ilvl w:val="0"/>
                <w:numId w:val="17"/>
              </w:numPr>
              <w:autoSpaceDE w:val="0"/>
              <w:autoSpaceDN w:val="0"/>
              <w:spacing w:line="276" w:lineRule="auto"/>
              <w:contextualSpacing w:val="0"/>
              <w:jc w:val="both"/>
              <w:rPr>
                <w:rFonts w:ascii="Verdana" w:hAnsi="Verdana" w:cs="Arial"/>
              </w:rPr>
            </w:pPr>
            <w:r w:rsidRPr="00725FCA">
              <w:rPr>
                <w:rFonts w:ascii="Verdana" w:hAnsi="Verdana" w:cs="Arial"/>
              </w:rPr>
              <w:t>Ley 279 de 1996, artículo 168.</w:t>
            </w:r>
          </w:p>
          <w:p w14:paraId="683342AB" w14:textId="77777777" w:rsidR="00DB158E" w:rsidRPr="00725FCA" w:rsidRDefault="00DB158E" w:rsidP="00DB158E">
            <w:pPr>
              <w:pStyle w:val="Prrafodelista"/>
              <w:widowControl w:val="0"/>
              <w:numPr>
                <w:ilvl w:val="0"/>
                <w:numId w:val="17"/>
              </w:numPr>
              <w:autoSpaceDE w:val="0"/>
              <w:autoSpaceDN w:val="0"/>
              <w:spacing w:line="276" w:lineRule="auto"/>
              <w:contextualSpacing w:val="0"/>
              <w:jc w:val="both"/>
              <w:rPr>
                <w:rFonts w:ascii="Verdana" w:hAnsi="Verdana" w:cs="Arial"/>
              </w:rPr>
            </w:pPr>
            <w:r w:rsidRPr="00725FCA">
              <w:rPr>
                <w:rFonts w:ascii="Verdana" w:hAnsi="Verdana" w:cs="Arial"/>
              </w:rPr>
              <w:t xml:space="preserve">Ley 1150 de 2007, artículo 12. </w:t>
            </w:r>
          </w:p>
          <w:p w14:paraId="11919B87" w14:textId="77777777" w:rsidR="00DB158E" w:rsidRPr="00725FCA" w:rsidRDefault="00DB158E" w:rsidP="00DB158E">
            <w:pPr>
              <w:pStyle w:val="Prrafodelista"/>
              <w:widowControl w:val="0"/>
              <w:numPr>
                <w:ilvl w:val="0"/>
                <w:numId w:val="17"/>
              </w:numPr>
              <w:autoSpaceDE w:val="0"/>
              <w:autoSpaceDN w:val="0"/>
              <w:spacing w:line="276" w:lineRule="auto"/>
              <w:contextualSpacing w:val="0"/>
              <w:jc w:val="both"/>
              <w:rPr>
                <w:rFonts w:ascii="Verdana" w:hAnsi="Verdana" w:cs="Arial"/>
              </w:rPr>
            </w:pPr>
            <w:r w:rsidRPr="00725FCA">
              <w:rPr>
                <w:rFonts w:ascii="Verdana" w:hAnsi="Verdana" w:cs="Arial"/>
              </w:rPr>
              <w:t>Ley 2160 de 2021, artículos 1 y 3.</w:t>
            </w:r>
          </w:p>
          <w:p w14:paraId="1A0831C2" w14:textId="77777777" w:rsidR="00DB158E" w:rsidRPr="00725FCA" w:rsidRDefault="00DB158E" w:rsidP="00DB158E">
            <w:pPr>
              <w:pStyle w:val="Prrafodelista"/>
              <w:widowControl w:val="0"/>
              <w:numPr>
                <w:ilvl w:val="0"/>
                <w:numId w:val="17"/>
              </w:numPr>
              <w:autoSpaceDE w:val="0"/>
              <w:autoSpaceDN w:val="0"/>
              <w:spacing w:line="276" w:lineRule="auto"/>
              <w:contextualSpacing w:val="0"/>
              <w:jc w:val="both"/>
              <w:rPr>
                <w:rFonts w:ascii="Verdana" w:hAnsi="Verdana" w:cs="Arial"/>
              </w:rPr>
            </w:pPr>
            <w:r w:rsidRPr="00725FCA">
              <w:rPr>
                <w:rFonts w:ascii="Verdana" w:hAnsi="Verdana" w:cs="Arial"/>
              </w:rPr>
              <w:t>Decreto 1082 de 2015, artículo 2.2.1.2.4.2.3 y 2.2.1.2.4.2.2.</w:t>
            </w:r>
          </w:p>
        </w:tc>
      </w:tr>
    </w:tbl>
    <w:p w14:paraId="39C41A77" w14:textId="77777777" w:rsidR="00DB158E" w:rsidRPr="00725FCA" w:rsidRDefault="00DB158E" w:rsidP="00DB158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338275D" w14:textId="77777777" w:rsidR="00DB158E" w:rsidRPr="00725FCA" w:rsidRDefault="00DB158E" w:rsidP="00DB158E">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sidRPr="00725FCA">
        <w:rPr>
          <w:rFonts w:ascii="Verdana" w:eastAsia="Century Gothic" w:hAnsi="Verdana" w:cs="Century Gothic"/>
          <w:b/>
          <w:bCs/>
        </w:rPr>
        <w:t>Doctrina de la Agencia Nacional de Contratación Pública:</w:t>
      </w:r>
    </w:p>
    <w:p w14:paraId="0C4AF65A" w14:textId="77777777" w:rsidR="00DB158E" w:rsidRPr="00725FCA" w:rsidRDefault="00DB158E" w:rsidP="00DB158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2D98CD3" w14:textId="77777777" w:rsidR="00DB158E" w:rsidRPr="00725FCA" w:rsidRDefault="00DB158E" w:rsidP="00DB158E">
      <w:pPr>
        <w:widowControl w:val="0"/>
        <w:autoSpaceDE w:val="0"/>
        <w:autoSpaceDN w:val="0"/>
        <w:spacing w:after="0" w:line="276" w:lineRule="auto"/>
        <w:jc w:val="both"/>
        <w:rPr>
          <w:rFonts w:ascii="Verdana" w:eastAsia="Arial" w:hAnsi="Verdana" w:cs="Arial"/>
          <w:lang w:val="es-MX" w:eastAsia="es-ES"/>
        </w:rPr>
      </w:pPr>
      <w:r w:rsidRPr="00725FCA">
        <w:rPr>
          <w:rStyle w:val="normaltextrun"/>
          <w:rFonts w:ascii="Verdana" w:hAnsi="Verdana" w:cs="Arial"/>
          <w:shd w:val="clear" w:color="auto" w:fill="FFFFFF"/>
          <w:lang w:val="es-ES"/>
        </w:rPr>
        <w:t xml:space="preserve">Sobre la limitación de procesos de selección a </w:t>
      </w:r>
      <w:proofErr w:type="spellStart"/>
      <w:r w:rsidRPr="00725FCA">
        <w:rPr>
          <w:rStyle w:val="normaltextrun"/>
          <w:rFonts w:ascii="Verdana" w:hAnsi="Verdana" w:cs="Arial"/>
          <w:shd w:val="clear" w:color="auto" w:fill="FFFFFF"/>
          <w:lang w:val="es-ES"/>
        </w:rPr>
        <w:t>Mipymes</w:t>
      </w:r>
      <w:proofErr w:type="spellEnd"/>
      <w:r w:rsidRPr="00725FCA">
        <w:rPr>
          <w:rStyle w:val="normaltextrun"/>
          <w:rFonts w:ascii="Verdana" w:hAnsi="Verdana" w:cs="Arial"/>
          <w:shd w:val="clear" w:color="auto" w:fill="FFFFFF"/>
          <w:lang w:val="es-ES"/>
        </w:rPr>
        <w:t xml:space="preserve"> se pronunció esta Subdirección en los conceptos 216130003241 el 30 de junio de 2016, 4201714000006924 del 29 de enero de 2018, 2201813000008184 del 7 de septiembre de 2019, C-045 del 17 de marzo de 2020, C-162 del 16 de abril de 2020, C-214 del 21 de abril de 2020, C-258 del 17 de abril de 2020, C-364 del 4 de junio de 2020, C-413 del 30 de junio de 2020, C-492 del 24 de julio de 2020, C-523 del 11 de agosto de 2020, C-610 del 14 de septiembre de 2020, C-700 de 1 de diciembre de 2020, C-705 del 7 de diciembre de 2020, C-005 del 16 de febrero de 2021, C-037 del 26 de febrero de 2021, C-035 del 02 de marzo de 2021, C-126 del 06 de abril de 2021, C-127 del 06 de abril de 2021, C-144 del 07 de abril de 2021, C-141 del 08 de abril de 2021, C-163 y C-164 del 19 de abril de 2021, C-242 del 25 de mayo de 2021, C-438 del 27 de septiembre de 2021, C-496 del 14 de septiembre de 2021, C-573 de 13 de octubre de 2021, </w:t>
      </w:r>
      <w:r w:rsidRPr="00725FCA">
        <w:rPr>
          <w:rStyle w:val="normaltextrun"/>
          <w:rFonts w:ascii="Verdana" w:hAnsi="Verdana" w:cs="Arial"/>
          <w:shd w:val="clear" w:color="auto" w:fill="FFFFFF"/>
          <w:lang w:val="es-ES"/>
        </w:rPr>
        <w:lastRenderedPageBreak/>
        <w:t>C-001 del 17 de febrero de 2022, C-041 del 2 de marzo de 2022, C-293 del 12 de mayo de 2022, C-340 del 26 de mayo de 2022, C-395 del 17 de junio de 2022, C-539 del 29 de agosto de 2022, C-089 del 28 de abril de 2023, C-159 del 22 de junio de 2023, C-206 del 20 de junio de 2023, C-207 del 20 de junio de 2023, C-571 de 2025</w:t>
      </w:r>
      <w:r w:rsidRPr="00725FCA">
        <w:rPr>
          <w:rFonts w:ascii="Verdana" w:hAnsi="Verdana" w:cs="Arial"/>
        </w:rPr>
        <w:t xml:space="preserve"> y C-339 del 29 de abril de 2025 </w:t>
      </w:r>
      <w:r w:rsidRPr="00725FCA">
        <w:rPr>
          <w:rFonts w:ascii="Verdana" w:eastAsia="Century Gothic" w:hAnsi="Verdana" w:cs="Century Gothic"/>
          <w:color w:val="000000" w:themeColor="text1"/>
        </w:rPr>
        <w:t>entre otros</w:t>
      </w:r>
      <w:r w:rsidRPr="00725FCA">
        <w:rPr>
          <w:rFonts w:ascii="Verdana" w:eastAsia="Calibri" w:hAnsi="Verdana" w:cs="Arial"/>
          <w:shd w:val="clear" w:color="auto" w:fill="FFFFFF"/>
        </w:rPr>
        <w:t>.</w:t>
      </w:r>
      <w:r w:rsidRPr="00725FCA">
        <w:rPr>
          <w:rFonts w:ascii="Verdana" w:eastAsia="Calibri" w:hAnsi="Verdana" w:cs="Times New Roman"/>
        </w:rPr>
        <w:t xml:space="preserve"> Estos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EFC41FC" w14:textId="77777777" w:rsidR="00DB158E" w:rsidRPr="00725FCA" w:rsidRDefault="00DB158E" w:rsidP="00DB158E">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725FCA">
          <w:rPr>
            <w:rStyle w:val="Hipervnculo"/>
            <w:rFonts w:ascii="Verdana" w:eastAsia="Calibri" w:hAnsi="Verdana" w:cs="Times New Roman"/>
            <w:lang w:val="es-ES"/>
          </w:rPr>
          <w:t>https://relatoria.colombiacompra.gov.co/busqueda/conceptos</w:t>
        </w:r>
      </w:hyperlink>
      <w:r w:rsidRPr="00725FCA">
        <w:rPr>
          <w:rFonts w:ascii="Verdana" w:eastAsia="Calibri" w:hAnsi="Verdana" w:cs="Times New Roman"/>
        </w:rPr>
        <w:t>.</w:t>
      </w:r>
    </w:p>
    <w:p w14:paraId="0E7C3764" w14:textId="77777777" w:rsidR="00DB158E" w:rsidRPr="00725FCA" w:rsidRDefault="00DB158E" w:rsidP="00DB158E">
      <w:pPr>
        <w:widowControl w:val="0"/>
        <w:autoSpaceDE w:val="0"/>
        <w:autoSpaceDN w:val="0"/>
        <w:spacing w:after="0" w:line="276" w:lineRule="auto"/>
        <w:jc w:val="both"/>
        <w:rPr>
          <w:rFonts w:ascii="Verdana" w:hAnsi="Verdana" w:cs="Arial"/>
          <w:color w:val="000000" w:themeColor="text1"/>
          <w:shd w:val="clear" w:color="auto" w:fill="FFFFFF"/>
        </w:rPr>
      </w:pPr>
    </w:p>
    <w:p w14:paraId="4E65BECF" w14:textId="77777777" w:rsidR="00DB158E" w:rsidRPr="00725FCA" w:rsidRDefault="00DB158E" w:rsidP="00DB158E">
      <w:pPr>
        <w:widowControl w:val="0"/>
        <w:autoSpaceDE w:val="0"/>
        <w:autoSpaceDN w:val="0"/>
        <w:spacing w:after="0" w:line="276" w:lineRule="auto"/>
        <w:jc w:val="both"/>
        <w:rPr>
          <w:rFonts w:ascii="Verdana" w:hAnsi="Verdana"/>
        </w:rPr>
      </w:pPr>
      <w:r w:rsidRPr="00725FCA">
        <w:rPr>
          <w:rFonts w:ascii="Verdana" w:hAnsi="Verdana" w:cs="Arial"/>
          <w:color w:val="000000" w:themeColor="text1"/>
          <w:shd w:val="clear" w:color="auto" w:fill="FFFFFF"/>
        </w:rPr>
        <w:t xml:space="preserve">También, te contamos que ya publicamos la nueva </w:t>
      </w:r>
      <w:r w:rsidRPr="00725FCA">
        <w:rPr>
          <w:rFonts w:ascii="Verdana" w:hAnsi="Verdana" w:cs="Arial"/>
          <w:b/>
          <w:bCs/>
          <w:color w:val="000000" w:themeColor="text1"/>
          <w:shd w:val="clear" w:color="auto" w:fill="FFFFFF"/>
        </w:rPr>
        <w:t>Guía de Contratación Pública Sostenible y Socialmente Responsable</w:t>
      </w:r>
      <w:r w:rsidRPr="00725FCA">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725FCA">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725FCA">
        <w:rPr>
          <w:rFonts w:ascii="Verdana" w:hAnsi="Verdana"/>
        </w:rPr>
        <w:t>.</w:t>
      </w:r>
    </w:p>
    <w:p w14:paraId="3055EFFB" w14:textId="77777777" w:rsidR="00DB158E" w:rsidRPr="00725FCA" w:rsidRDefault="00DB158E" w:rsidP="00DB158E">
      <w:pPr>
        <w:widowControl w:val="0"/>
        <w:autoSpaceDE w:val="0"/>
        <w:autoSpaceDN w:val="0"/>
        <w:spacing w:after="0" w:line="276" w:lineRule="auto"/>
        <w:jc w:val="both"/>
        <w:rPr>
          <w:rFonts w:ascii="Verdana" w:hAnsi="Verdana"/>
        </w:rPr>
      </w:pPr>
    </w:p>
    <w:p w14:paraId="6BE42F6C" w14:textId="77777777" w:rsidR="00DB158E" w:rsidRPr="00725FCA" w:rsidRDefault="00DB158E" w:rsidP="00DB158E">
      <w:pPr>
        <w:widowControl w:val="0"/>
        <w:autoSpaceDE w:val="0"/>
        <w:autoSpaceDN w:val="0"/>
        <w:spacing w:after="0" w:line="276" w:lineRule="auto"/>
        <w:jc w:val="both"/>
        <w:rPr>
          <w:rFonts w:ascii="Verdana" w:hAnsi="Verdana" w:cs="Arial"/>
          <w:lang w:val="es-ES_tradnl"/>
        </w:rPr>
      </w:pPr>
      <w:r w:rsidRPr="00725FCA">
        <w:rPr>
          <w:rFonts w:ascii="Verdana" w:hAnsi="Verdana" w:cs="Arial"/>
        </w:rPr>
        <w:t xml:space="preserve">Este concepto tiene el alcance previsto en el artículo 28 del Código de Procedimiento Administrativo y de lo Contencioso Administrativo </w:t>
      </w:r>
      <w:r w:rsidRPr="00725FCA">
        <w:rPr>
          <w:rFonts w:ascii="Verdana" w:hAnsi="Verdana" w:cs="Arial"/>
          <w:lang w:val="es-ES_tradnl"/>
        </w:rPr>
        <w:t>y las expresiones aquí utilizadas con mayúscula inicial deben ser entendidas con el significado que les otorga el artículo 2.2.1.1.1.3.1. del Decreto 1082 de 2015.</w:t>
      </w:r>
    </w:p>
    <w:p w14:paraId="2BFC27C4" w14:textId="77777777" w:rsidR="00DB158E" w:rsidRPr="00725FCA" w:rsidRDefault="00DB158E" w:rsidP="00DB158E">
      <w:pPr>
        <w:widowControl w:val="0"/>
        <w:autoSpaceDE w:val="0"/>
        <w:autoSpaceDN w:val="0"/>
        <w:spacing w:after="0" w:line="276" w:lineRule="auto"/>
        <w:jc w:val="both"/>
        <w:rPr>
          <w:rFonts w:ascii="Verdana" w:hAnsi="Verdana" w:cs="Arial"/>
        </w:rPr>
      </w:pPr>
    </w:p>
    <w:p w14:paraId="038E427A" w14:textId="77777777" w:rsidR="00DB158E" w:rsidRPr="00725FCA" w:rsidRDefault="00DB158E" w:rsidP="00DB158E">
      <w:pPr>
        <w:spacing w:after="0" w:line="276" w:lineRule="auto"/>
        <w:jc w:val="both"/>
        <w:rPr>
          <w:rFonts w:ascii="Verdana" w:hAnsi="Verdana" w:cs="Arial"/>
          <w:lang w:eastAsia="es-CO"/>
        </w:rPr>
      </w:pPr>
      <w:r w:rsidRPr="00725FCA">
        <w:rPr>
          <w:rFonts w:ascii="Verdana" w:eastAsia="Times New Roman" w:hAnsi="Verdana" w:cs="Arial"/>
          <w:lang w:eastAsia="es-CO"/>
        </w:rPr>
        <w:t>Atentamente,</w:t>
      </w:r>
      <w:r w:rsidRPr="00725FCA">
        <w:rPr>
          <w:rFonts w:ascii="Verdana" w:hAnsi="Verdana" w:cs="Arial"/>
          <w:lang w:eastAsia="es-CO"/>
        </w:rPr>
        <w:t xml:space="preserve"> </w:t>
      </w:r>
    </w:p>
    <w:p w14:paraId="0399059C" w14:textId="70C0C34D" w:rsidR="00DB158E" w:rsidRDefault="00DB158E" w:rsidP="00DB158E">
      <w:pPr>
        <w:spacing w:line="276" w:lineRule="auto"/>
        <w:jc w:val="center"/>
        <w:rPr>
          <w:noProof/>
        </w:rPr>
      </w:pPr>
    </w:p>
    <w:p w14:paraId="67B65BF6" w14:textId="1E423FCC" w:rsidR="00A300FF" w:rsidRDefault="00A300FF" w:rsidP="00DB158E">
      <w:pPr>
        <w:spacing w:line="276" w:lineRule="auto"/>
        <w:jc w:val="center"/>
        <w:rPr>
          <w:noProof/>
        </w:rPr>
      </w:pPr>
      <w:r>
        <w:rPr>
          <w:noProof/>
        </w:rPr>
        <w:drawing>
          <wp:inline distT="0" distB="0" distL="0" distR="0" wp14:anchorId="19D50801" wp14:editId="39BE5899">
            <wp:extent cx="3392805" cy="1456472"/>
            <wp:effectExtent l="0" t="0" r="0" b="0"/>
            <wp:docPr id="20092508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00867" cy="1459933"/>
                    </a:xfrm>
                    <a:prstGeom prst="rect">
                      <a:avLst/>
                    </a:prstGeom>
                    <a:noFill/>
                    <a:ln>
                      <a:noFill/>
                    </a:ln>
                  </pic:spPr>
                </pic:pic>
              </a:graphicData>
            </a:graphic>
          </wp:inline>
        </w:drawing>
      </w:r>
    </w:p>
    <w:p w14:paraId="39518F13" w14:textId="77777777" w:rsidR="00A300FF" w:rsidRDefault="00A300FF" w:rsidP="00DB158E">
      <w:pPr>
        <w:spacing w:line="276" w:lineRule="auto"/>
        <w:jc w:val="center"/>
        <w:rPr>
          <w:noProof/>
        </w:rPr>
      </w:pPr>
    </w:p>
    <w:p w14:paraId="2D3E57B0" w14:textId="77777777" w:rsidR="00A300FF" w:rsidRDefault="00A300FF" w:rsidP="00DB158E">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B158E" w:rsidRPr="00593A5F" w14:paraId="512B911A" w14:textId="77777777" w:rsidTr="00BE3E77">
        <w:trPr>
          <w:trHeight w:val="315"/>
        </w:trPr>
        <w:tc>
          <w:tcPr>
            <w:tcW w:w="893" w:type="dxa"/>
            <w:vAlign w:val="center"/>
            <w:hideMark/>
          </w:tcPr>
          <w:p w14:paraId="2078E97F" w14:textId="77777777" w:rsidR="00DB158E" w:rsidRPr="003751C7" w:rsidRDefault="00DB158E" w:rsidP="00BE3E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9A26CF9" w14:textId="77777777" w:rsidR="00DB158E" w:rsidRPr="007911EE" w:rsidRDefault="00DB158E" w:rsidP="00BE3E77">
            <w:pPr>
              <w:contextualSpacing/>
              <w:rPr>
                <w:rFonts w:ascii="Verdana" w:hAnsi="Verdana"/>
                <w:sz w:val="16"/>
                <w:szCs w:val="16"/>
              </w:rPr>
            </w:pPr>
            <w:r w:rsidRPr="007911EE">
              <w:rPr>
                <w:rFonts w:ascii="Verdana" w:hAnsi="Verdana"/>
                <w:sz w:val="16"/>
                <w:szCs w:val="16"/>
              </w:rPr>
              <w:t xml:space="preserve">Nicolas Andrés Guzmán </w:t>
            </w:r>
          </w:p>
          <w:p w14:paraId="473B835E" w14:textId="77777777" w:rsidR="00DB158E" w:rsidRPr="007911EE" w:rsidRDefault="00DB158E" w:rsidP="00BE3E77">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DB158E" w:rsidRPr="00593A5F" w14:paraId="7D1EE110" w14:textId="77777777" w:rsidTr="00BE3E77">
        <w:trPr>
          <w:trHeight w:val="330"/>
        </w:trPr>
        <w:tc>
          <w:tcPr>
            <w:tcW w:w="893" w:type="dxa"/>
            <w:vAlign w:val="center"/>
            <w:hideMark/>
          </w:tcPr>
          <w:p w14:paraId="0F6A7820" w14:textId="77777777" w:rsidR="00DB158E" w:rsidRPr="003751C7" w:rsidRDefault="00DB158E" w:rsidP="00BE3E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8F29C3" w14:textId="77777777" w:rsidR="00DB158E" w:rsidRDefault="00DB158E" w:rsidP="00BE3E77">
            <w:pPr>
              <w:spacing w:line="276" w:lineRule="auto"/>
              <w:contextualSpacing/>
              <w:jc w:val="both"/>
              <w:rPr>
                <w:rFonts w:ascii="Verdana" w:hAnsi="Verdana"/>
                <w:sz w:val="16"/>
                <w:szCs w:val="16"/>
              </w:rPr>
            </w:pPr>
            <w:r>
              <w:rPr>
                <w:rFonts w:ascii="Verdana" w:hAnsi="Verdana"/>
                <w:sz w:val="16"/>
                <w:szCs w:val="16"/>
              </w:rPr>
              <w:t>Diana Lucia Saavedra Castañeda</w:t>
            </w:r>
          </w:p>
          <w:p w14:paraId="4941D1EA" w14:textId="77777777" w:rsidR="00DB158E" w:rsidRPr="007911EE" w:rsidRDefault="00DB158E" w:rsidP="00BE3E77">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DB158E" w:rsidRPr="00593A5F" w14:paraId="12C67E7F" w14:textId="77777777" w:rsidTr="00BE3E77">
        <w:trPr>
          <w:trHeight w:val="330"/>
        </w:trPr>
        <w:tc>
          <w:tcPr>
            <w:tcW w:w="893" w:type="dxa"/>
            <w:vAlign w:val="center"/>
          </w:tcPr>
          <w:p w14:paraId="24AD189A" w14:textId="77777777" w:rsidR="00DB158E" w:rsidRPr="003751C7" w:rsidRDefault="00DB158E" w:rsidP="00BE3E77">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95941B" w14:textId="77777777" w:rsidR="00DB158E" w:rsidRDefault="00DB158E" w:rsidP="00BE3E77">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485F8036" w14:textId="77777777" w:rsidR="00DB158E" w:rsidRDefault="00DB158E" w:rsidP="00BE3E77">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788DFBB6" w14:textId="77777777" w:rsidR="00DB158E" w:rsidRPr="00733973" w:rsidRDefault="00DB158E" w:rsidP="00DB158E"/>
    <w:p w14:paraId="3900974D" w14:textId="77777777" w:rsidR="003D5B0D" w:rsidRPr="00DB158E" w:rsidRDefault="003D5B0D" w:rsidP="00DB158E"/>
    <w:sectPr w:rsidR="003D5B0D" w:rsidRPr="00DB158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BAD5B" w14:textId="77777777" w:rsidR="001D5DF7" w:rsidRDefault="001D5DF7" w:rsidP="004A1847">
      <w:pPr>
        <w:spacing w:after="0" w:line="240" w:lineRule="auto"/>
      </w:pPr>
      <w:r>
        <w:separator/>
      </w:r>
    </w:p>
  </w:endnote>
  <w:endnote w:type="continuationSeparator" w:id="0">
    <w:p w14:paraId="69860F88" w14:textId="77777777" w:rsidR="001D5DF7" w:rsidRDefault="001D5DF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86BA6" w14:textId="77777777" w:rsidR="001D5DF7" w:rsidRDefault="001D5DF7" w:rsidP="004A1847">
      <w:pPr>
        <w:spacing w:after="0" w:line="240" w:lineRule="auto"/>
      </w:pPr>
      <w:r>
        <w:separator/>
      </w:r>
    </w:p>
  </w:footnote>
  <w:footnote w:type="continuationSeparator" w:id="0">
    <w:p w14:paraId="4304D1DF" w14:textId="77777777" w:rsidR="001D5DF7" w:rsidRDefault="001D5DF7" w:rsidP="004A1847">
      <w:pPr>
        <w:spacing w:after="0" w:line="240" w:lineRule="auto"/>
      </w:pPr>
      <w:r>
        <w:continuationSeparator/>
      </w:r>
    </w:p>
  </w:footnote>
  <w:footnote w:id="1">
    <w:p w14:paraId="6FD67B32" w14:textId="77777777" w:rsidR="00DB158E" w:rsidRPr="00667953" w:rsidRDefault="00DB158E" w:rsidP="00DB158E">
      <w:pPr>
        <w:pStyle w:val="Textonotapie"/>
        <w:ind w:firstLine="709"/>
        <w:jc w:val="both"/>
        <w:rPr>
          <w:rFonts w:ascii="Verdana" w:hAnsi="Verdana"/>
          <w:sz w:val="14"/>
          <w:szCs w:val="14"/>
          <w:lang w:val="es-ES"/>
        </w:rPr>
      </w:pPr>
      <w:r w:rsidRPr="00667953">
        <w:rPr>
          <w:rStyle w:val="Refdenotaalpie"/>
          <w:rFonts w:ascii="Verdana" w:hAnsi="Verdana"/>
          <w:sz w:val="14"/>
          <w:szCs w:val="14"/>
        </w:rPr>
        <w:footnoteRef/>
      </w:r>
      <w:r w:rsidRPr="00667953">
        <w:rPr>
          <w:rFonts w:ascii="Verdana" w:hAnsi="Verdana"/>
          <w:sz w:val="14"/>
          <w:szCs w:val="14"/>
        </w:rPr>
        <w:t xml:space="preserve"> Para la jurisprudencia, “El consorcio es una figura propia del derecho privado, utilizado ordinariamente como un instrumento de cooperación entre empresas, cuando requieren asumir una tarea económica particularmente importante, que les permita distribuirse de algún modo los riesgos que pueda implicar la actividad que se acomete, aunar recursos financieros y tecnológicos, y mejorar la disponibilidad de equipos, según el caso, pero conservando los consorciados su independencia jurídica” (CORTE CONSTITUCIONAL. Sentencia C-414 de 1994. M.P. Antonio Barrera Carbonell).</w:t>
      </w:r>
    </w:p>
  </w:footnote>
  <w:footnote w:id="2">
    <w:p w14:paraId="124129ED" w14:textId="77777777" w:rsidR="00DB158E" w:rsidRPr="00667953" w:rsidRDefault="00DB158E" w:rsidP="00DB158E">
      <w:pPr>
        <w:pStyle w:val="Textoindependiente"/>
        <w:ind w:firstLine="709"/>
        <w:jc w:val="both"/>
        <w:rPr>
          <w:rFonts w:ascii="Verdana" w:hAnsi="Verdana"/>
          <w:sz w:val="14"/>
          <w:szCs w:val="14"/>
        </w:rPr>
      </w:pPr>
    </w:p>
    <w:p w14:paraId="68F21DC5" w14:textId="77777777" w:rsidR="00DB158E" w:rsidRPr="00667953" w:rsidRDefault="00DB158E" w:rsidP="00DB158E">
      <w:pPr>
        <w:pStyle w:val="Textoindependiente"/>
        <w:ind w:firstLine="709"/>
        <w:jc w:val="both"/>
        <w:rPr>
          <w:rFonts w:ascii="Verdana" w:hAnsi="Verdana"/>
          <w:sz w:val="14"/>
          <w:szCs w:val="14"/>
          <w:lang w:val="es-CO"/>
        </w:rPr>
      </w:pPr>
      <w:r w:rsidRPr="00667953">
        <w:rPr>
          <w:rStyle w:val="Refdenotaalpie"/>
          <w:rFonts w:ascii="Verdana" w:hAnsi="Verdana"/>
          <w:sz w:val="14"/>
          <w:szCs w:val="14"/>
        </w:rPr>
        <w:footnoteRef/>
      </w:r>
      <w:r w:rsidRPr="00667953">
        <w:rPr>
          <w:rFonts w:ascii="Verdana" w:hAnsi="Verdana"/>
          <w:sz w:val="14"/>
          <w:szCs w:val="14"/>
        </w:rPr>
        <w:t xml:space="preserve"> </w:t>
      </w:r>
      <w:r w:rsidRPr="00667953">
        <w:rPr>
          <w:rFonts w:ascii="Verdana" w:hAnsi="Verdana"/>
          <w:sz w:val="14"/>
          <w:szCs w:val="14"/>
          <w:shd w:val="clear" w:color="auto" w:fill="FFFFFF"/>
          <w:lang w:val="es-CO"/>
        </w:rPr>
        <w:t>Para estos efectos, “</w:t>
      </w:r>
      <w:r w:rsidRPr="00667953">
        <w:rPr>
          <w:rFonts w:ascii="Verdana" w:hAnsi="Verdana"/>
          <w:sz w:val="14"/>
          <w:szCs w:val="14"/>
          <w:lang w:val="es-CO"/>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w:t>
      </w:r>
      <w:r w:rsidRPr="00667953">
        <w:rPr>
          <w:rFonts w:ascii="Verdana" w:hAnsi="Verdana"/>
          <w:spacing w:val="-2"/>
          <w:sz w:val="14"/>
          <w:szCs w:val="14"/>
          <w:lang w:val="es-CO"/>
        </w:rPr>
        <w:t xml:space="preserve"> </w:t>
      </w:r>
      <w:r w:rsidRPr="00667953">
        <w:rPr>
          <w:rFonts w:ascii="Verdana" w:hAnsi="Verdana"/>
          <w:sz w:val="14"/>
          <w:szCs w:val="14"/>
          <w:lang w:val="es-CO"/>
        </w:rPr>
        <w:t>contractuales.</w:t>
      </w:r>
    </w:p>
    <w:p w14:paraId="2B6D0302" w14:textId="77777777" w:rsidR="00DB158E" w:rsidRPr="00667953" w:rsidRDefault="00DB158E" w:rsidP="00DB158E">
      <w:pPr>
        <w:pStyle w:val="Textoindependiente"/>
        <w:ind w:right="709" w:firstLine="709"/>
        <w:jc w:val="both"/>
        <w:rPr>
          <w:rFonts w:ascii="Verdana" w:hAnsi="Verdana"/>
          <w:sz w:val="14"/>
          <w:szCs w:val="14"/>
          <w:lang w:val="es-CO"/>
        </w:rPr>
      </w:pPr>
      <w:r w:rsidRPr="00667953">
        <w:rPr>
          <w:rFonts w:ascii="Verdana" w:hAnsi="Verdana"/>
          <w:sz w:val="14"/>
          <w:szCs w:val="14"/>
          <w:lang w:val="es-CO"/>
        </w:rPr>
        <w:t>[…]</w:t>
      </w:r>
    </w:p>
    <w:p w14:paraId="1019218C" w14:textId="77777777" w:rsidR="00DB158E" w:rsidRPr="00667953" w:rsidRDefault="00DB158E" w:rsidP="00DB158E">
      <w:pPr>
        <w:pStyle w:val="Textoindependiente"/>
        <w:ind w:firstLine="709"/>
        <w:jc w:val="both"/>
        <w:rPr>
          <w:rFonts w:ascii="Verdana" w:hAnsi="Verdana"/>
          <w:sz w:val="14"/>
          <w:szCs w:val="14"/>
          <w:lang w:val="es-CO"/>
        </w:rPr>
      </w:pPr>
      <w:r w:rsidRPr="00667953">
        <w:rPr>
          <w:rFonts w:ascii="Verdana" w:hAnsi="Verdana"/>
          <w:sz w:val="14"/>
          <w:szCs w:val="14"/>
          <w:lang w:val="es-CO"/>
        </w:rPr>
        <w:t>Cabe apreciar que la única diferencia entre las dos figuras radica en que en la unión temporal la imposición de sanciones por incumplimiento de las obligaciones derivadas de la propuesta o del contrato, se individualiza en cabeza de los integrantes de aquélla, según el grado de participación de cada uno de ellos en la ejecución de tales obligaciones, mientras que en el consorcio no se da dicha individualización y responderán por tanto solidariamente todos los miembros del consorcio frente a las correspondientes sanciones.</w:t>
      </w:r>
    </w:p>
    <w:p w14:paraId="2F28A5B8" w14:textId="77777777" w:rsidR="00DB158E" w:rsidRPr="00667953" w:rsidRDefault="00DB158E" w:rsidP="00DB158E">
      <w:pPr>
        <w:pStyle w:val="Textoindependiente"/>
        <w:ind w:right="709" w:firstLine="709"/>
        <w:jc w:val="both"/>
        <w:rPr>
          <w:rFonts w:ascii="Verdana" w:hAnsi="Verdana"/>
          <w:sz w:val="14"/>
          <w:szCs w:val="14"/>
          <w:lang w:val="es-CO"/>
        </w:rPr>
      </w:pPr>
      <w:r w:rsidRPr="00667953">
        <w:rPr>
          <w:rFonts w:ascii="Verdana" w:hAnsi="Verdana"/>
          <w:sz w:val="14"/>
          <w:szCs w:val="14"/>
          <w:lang w:val="es-CO"/>
        </w:rPr>
        <w:t>[…]</w:t>
      </w:r>
    </w:p>
    <w:p w14:paraId="456A3D9D" w14:textId="77777777" w:rsidR="00DB158E" w:rsidRPr="00667953" w:rsidRDefault="00DB158E" w:rsidP="00DB158E">
      <w:pPr>
        <w:pStyle w:val="Textonotapie"/>
        <w:ind w:firstLine="709"/>
        <w:jc w:val="both"/>
        <w:rPr>
          <w:rFonts w:ascii="Verdana" w:hAnsi="Verdana" w:cs="Arial"/>
          <w:sz w:val="14"/>
          <w:szCs w:val="14"/>
        </w:rPr>
      </w:pPr>
      <w:r w:rsidRPr="00667953">
        <w:rPr>
          <w:rFonts w:ascii="Verdana" w:hAnsi="Verdana" w:cs="Arial"/>
          <w:sz w:val="14"/>
          <w:szCs w:val="14"/>
          <w:lang w:val="es-CO"/>
        </w:rPr>
        <w:t xml:space="preserve">La Ley 80 de 1993, al crear las figuras de los consorcios y uniones temporales y constituirlas como sujetos de la contratación administrativa, reconoce una realidad del mundo negocial que son los denominados </w:t>
      </w:r>
      <w:r w:rsidRPr="00667953">
        <w:rPr>
          <w:rFonts w:ascii="Verdana" w:hAnsi="Verdana" w:cs="Arial"/>
          <w:sz w:val="14"/>
          <w:szCs w:val="14"/>
          <w:shd w:val="clear" w:color="auto" w:fill="FFFFFF"/>
          <w:lang w:val="es-CO"/>
        </w:rPr>
        <w:t>«</w:t>
      </w:r>
      <w:r w:rsidRPr="00667953">
        <w:rPr>
          <w:rFonts w:ascii="Verdana" w:hAnsi="Verdana" w:cs="Arial"/>
          <w:sz w:val="14"/>
          <w:szCs w:val="14"/>
          <w:lang w:val="es-CO"/>
        </w:rPr>
        <w:t>contratos de colaboración económica</w:t>
      </w:r>
      <w:r w:rsidRPr="00667953">
        <w:rPr>
          <w:rFonts w:ascii="Verdana" w:hAnsi="Verdana" w:cs="Arial"/>
          <w:sz w:val="14"/>
          <w:szCs w:val="14"/>
          <w:shd w:val="clear" w:color="auto" w:fill="FFFFFF"/>
          <w:lang w:val="es-CO"/>
        </w:rPr>
        <w:t>»</w:t>
      </w:r>
      <w:r w:rsidRPr="00667953">
        <w:rPr>
          <w:rFonts w:ascii="Verdana" w:hAnsi="Verdana" w:cs="Arial"/>
          <w:sz w:val="14"/>
          <w:szCs w:val="14"/>
          <w:lang w:val="es-CO"/>
        </w:rPr>
        <w:t>, que en la hora actual se celebran para la efectiva realización de proyectos de contratación pública altamente especializados e intensivos en capital y así mismo indispensables para que el Estado Social de Derecho, cumpla los cometidos para los cuales fue instituido [Preámbulo y artículos 1 y 2</w:t>
      </w:r>
      <w:r w:rsidRPr="00667953">
        <w:rPr>
          <w:rFonts w:ascii="Verdana" w:hAnsi="Verdana" w:cs="Arial"/>
          <w:spacing w:val="-7"/>
          <w:sz w:val="14"/>
          <w:szCs w:val="14"/>
          <w:lang w:val="es-CO"/>
        </w:rPr>
        <w:t xml:space="preserve"> </w:t>
      </w:r>
      <w:r w:rsidRPr="00667953">
        <w:rPr>
          <w:rFonts w:ascii="Verdana" w:hAnsi="Verdana" w:cs="Arial"/>
          <w:sz w:val="14"/>
          <w:szCs w:val="14"/>
          <w:lang w:val="es-CO"/>
        </w:rPr>
        <w:t>Superiores]</w:t>
      </w:r>
      <w:r w:rsidRPr="00667953">
        <w:rPr>
          <w:rFonts w:ascii="Verdana" w:hAnsi="Verdana" w:cs="Arial"/>
          <w:sz w:val="14"/>
          <w:szCs w:val="14"/>
          <w:shd w:val="clear" w:color="auto" w:fill="FFFFFF"/>
          <w:lang w:val="es-CO"/>
        </w:rPr>
        <w:t xml:space="preserve">” </w:t>
      </w:r>
      <w:r w:rsidRPr="00667953">
        <w:rPr>
          <w:rFonts w:ascii="Verdana" w:hAnsi="Verdana" w:cs="Arial"/>
          <w:sz w:val="14"/>
          <w:szCs w:val="14"/>
        </w:rPr>
        <w:t>(CORTE CONSTITUCIONAL. Sentencia C-949 de 2001. M.P. Clara Inés Vargas Hernández).</w:t>
      </w:r>
    </w:p>
    <w:p w14:paraId="17CA8B9A" w14:textId="77777777" w:rsidR="00DB158E" w:rsidRPr="00667953" w:rsidRDefault="00DB158E" w:rsidP="00DB158E">
      <w:pPr>
        <w:pStyle w:val="Textonotapie"/>
        <w:ind w:firstLine="709"/>
        <w:jc w:val="both"/>
        <w:rPr>
          <w:rFonts w:ascii="Verdana" w:hAnsi="Verdana"/>
          <w:sz w:val="14"/>
          <w:szCs w:val="14"/>
          <w:lang w:val="es-ES"/>
        </w:rPr>
      </w:pPr>
    </w:p>
  </w:footnote>
  <w:footnote w:id="3">
    <w:p w14:paraId="505A4512" w14:textId="77777777" w:rsidR="00DB158E" w:rsidRPr="00667953" w:rsidRDefault="00DB158E" w:rsidP="00DB158E">
      <w:pPr>
        <w:spacing w:after="0" w:line="240" w:lineRule="auto"/>
        <w:ind w:firstLine="709"/>
        <w:jc w:val="both"/>
        <w:rPr>
          <w:rFonts w:ascii="Verdana" w:hAnsi="Verdana" w:cs="Arial"/>
          <w:sz w:val="14"/>
          <w:szCs w:val="14"/>
        </w:rPr>
      </w:pPr>
      <w:r w:rsidRPr="00667953">
        <w:rPr>
          <w:rStyle w:val="Refdenotaalpie"/>
          <w:rFonts w:ascii="Verdana" w:hAnsi="Verdana"/>
          <w:sz w:val="14"/>
          <w:szCs w:val="14"/>
        </w:rPr>
        <w:footnoteRef/>
      </w:r>
      <w:r w:rsidRPr="00667953">
        <w:rPr>
          <w:rFonts w:ascii="Verdana" w:hAnsi="Verdana" w:cs="Arial"/>
          <w:sz w:val="14"/>
          <w:szCs w:val="14"/>
        </w:rPr>
        <w:t xml:space="preserve"> LAFONT PIANETTA, Pedro. Manual de contratos. Tomo I. Bogotá: Ediciones Librería del Profesional, 2001. p. 508.</w:t>
      </w:r>
    </w:p>
    <w:p w14:paraId="3218B13C" w14:textId="77777777" w:rsidR="00DB158E" w:rsidRPr="00667953" w:rsidRDefault="00DB158E" w:rsidP="00DB158E">
      <w:pPr>
        <w:spacing w:after="0" w:line="240" w:lineRule="auto"/>
        <w:ind w:firstLine="709"/>
        <w:jc w:val="both"/>
        <w:rPr>
          <w:rFonts w:ascii="Verdana" w:hAnsi="Verdana" w:cs="Arial"/>
          <w:sz w:val="14"/>
          <w:szCs w:val="14"/>
        </w:rPr>
      </w:pPr>
    </w:p>
  </w:footnote>
  <w:footnote w:id="4">
    <w:p w14:paraId="785421A3" w14:textId="77777777" w:rsidR="00DB158E" w:rsidRPr="00667953" w:rsidRDefault="00DB158E" w:rsidP="00DB158E">
      <w:pPr>
        <w:spacing w:after="0" w:line="240" w:lineRule="auto"/>
        <w:ind w:firstLine="709"/>
        <w:jc w:val="both"/>
        <w:rPr>
          <w:rFonts w:ascii="Verdana" w:hAnsi="Verdana" w:cs="Arial"/>
          <w:sz w:val="14"/>
          <w:szCs w:val="14"/>
        </w:rPr>
      </w:pPr>
      <w:r w:rsidRPr="00667953">
        <w:rPr>
          <w:rStyle w:val="Refdenotaalpie"/>
          <w:rFonts w:ascii="Verdana" w:hAnsi="Verdana"/>
          <w:sz w:val="14"/>
          <w:szCs w:val="14"/>
        </w:rPr>
        <w:footnoteRef/>
      </w:r>
      <w:r w:rsidRPr="00667953">
        <w:rPr>
          <w:rFonts w:ascii="Verdana" w:hAnsi="Verdana" w:cs="Arial"/>
          <w:sz w:val="14"/>
          <w:szCs w:val="14"/>
        </w:rPr>
        <w:t xml:space="preserve"> Al respecto, la jurisprudencia explica lo siguiente: </w:t>
      </w:r>
      <w:r w:rsidRPr="00667953">
        <w:rPr>
          <w:rFonts w:ascii="Verdana" w:hAnsi="Verdana" w:cs="Arial"/>
          <w:sz w:val="14"/>
          <w:szCs w:val="14"/>
          <w:shd w:val="clear" w:color="auto" w:fill="FFFFFF"/>
        </w:rPr>
        <w:t>“</w:t>
      </w:r>
      <w:r w:rsidRPr="00667953">
        <w:rPr>
          <w:rFonts w:ascii="Verdana" w:hAnsi="Verdana" w:cs="Arial"/>
          <w:sz w:val="14"/>
          <w:szCs w:val="14"/>
        </w:rPr>
        <w:t>A juicio de la Sala, en esta ocasión debe retomarse el asunto para efectos de modificar la tesis jurisprudencial que se ha venido siguiendo y, por tanto, debe puntualizarse que si bien las uniones temporales y los consorcios no constituyen personas jurídicas distintas de quienes integran la respectiva figura plural de oferentes o de contratistas, lo cierto es que además de contar con la aptitud para ser parte en el correspondiente procedimiento administrativo de selección de contratistas –comoquiera que por ley cuentan con capacidad suficiente para ser titulares de los derechos y obligaciones derivadas tanto de los procedimientos administrativos de selección contractual como de los propios contratos estatales</w:t>
      </w:r>
      <w:r w:rsidRPr="00667953">
        <w:rPr>
          <w:rFonts w:ascii="Verdana" w:hAnsi="Verdana" w:cs="Arial"/>
          <w:b/>
          <w:bCs/>
          <w:sz w:val="14"/>
          <w:szCs w:val="14"/>
        </w:rPr>
        <w:t>–</w:t>
      </w:r>
      <w:r w:rsidRPr="00667953">
        <w:rPr>
          <w:rFonts w:ascii="Verdana" w:hAnsi="Verdana" w:cs="Arial"/>
          <w:sz w:val="14"/>
          <w:szCs w:val="14"/>
        </w:rPr>
        <w:t>, también se encuentran facultados para concurrir a los procesos judiciales que pudieren tener origen en controversias surgidas del mencionado procedimiento administrativo de selección de contratistas o de la celebración y ejecución del contrato estatal respectivo –</w:t>
      </w:r>
      <w:proofErr w:type="spellStart"/>
      <w:r w:rsidRPr="00667953">
        <w:rPr>
          <w:rFonts w:ascii="Verdana" w:hAnsi="Verdana" w:cs="Arial"/>
          <w:i/>
          <w:sz w:val="14"/>
          <w:szCs w:val="14"/>
        </w:rPr>
        <w:t>legitimatio</w:t>
      </w:r>
      <w:proofErr w:type="spellEnd"/>
      <w:r w:rsidRPr="00667953">
        <w:rPr>
          <w:rFonts w:ascii="Verdana" w:hAnsi="Verdana" w:cs="Arial"/>
          <w:i/>
          <w:sz w:val="14"/>
          <w:szCs w:val="14"/>
        </w:rPr>
        <w:t xml:space="preserve"> ad </w:t>
      </w:r>
      <w:proofErr w:type="spellStart"/>
      <w:r w:rsidRPr="00667953">
        <w:rPr>
          <w:rFonts w:ascii="Verdana" w:hAnsi="Verdana" w:cs="Arial"/>
          <w:i/>
          <w:sz w:val="14"/>
          <w:szCs w:val="14"/>
        </w:rPr>
        <w:t>processum</w:t>
      </w:r>
      <w:proofErr w:type="spellEnd"/>
      <w:r w:rsidRPr="00667953">
        <w:rPr>
          <w:rFonts w:ascii="Verdana" w:hAnsi="Verdana" w:cs="Arial"/>
          <w:sz w:val="14"/>
          <w:szCs w:val="14"/>
        </w:rPr>
        <w:t>-, por intermedio de su</w:t>
      </w:r>
      <w:r w:rsidRPr="00667953">
        <w:rPr>
          <w:rFonts w:ascii="Verdana" w:hAnsi="Verdana" w:cs="Arial"/>
          <w:spacing w:val="-8"/>
          <w:sz w:val="14"/>
          <w:szCs w:val="14"/>
        </w:rPr>
        <w:t xml:space="preserve"> </w:t>
      </w:r>
      <w:r w:rsidRPr="00667953">
        <w:rPr>
          <w:rFonts w:ascii="Verdana" w:hAnsi="Verdana" w:cs="Arial"/>
          <w:sz w:val="14"/>
          <w:szCs w:val="14"/>
        </w:rPr>
        <w:t xml:space="preserve">representante” (CONSEJO DE ESTADO. Sección Tercera. Sala Plena. Sentencia de Unificación del 25 de septiembre de 2013. Rad. 19.933. C.P. Mauricio Fajardo Gómez). </w:t>
      </w:r>
    </w:p>
    <w:p w14:paraId="4E9B580F" w14:textId="77777777" w:rsidR="00DB158E" w:rsidRPr="00667953" w:rsidRDefault="00DB158E" w:rsidP="00DB158E">
      <w:pPr>
        <w:pStyle w:val="Textonotapie"/>
        <w:ind w:firstLine="709"/>
        <w:jc w:val="both"/>
        <w:rPr>
          <w:rFonts w:ascii="Verdana" w:hAnsi="Verdana"/>
          <w:sz w:val="14"/>
          <w:szCs w:val="14"/>
          <w:lang w:val="es-ES"/>
        </w:rPr>
      </w:pPr>
    </w:p>
  </w:footnote>
  <w:footnote w:id="5">
    <w:p w14:paraId="388E1C61" w14:textId="77777777" w:rsidR="00DB158E" w:rsidRPr="00667953" w:rsidRDefault="00DB158E" w:rsidP="00DB158E">
      <w:pPr>
        <w:pStyle w:val="Textonotapie"/>
        <w:ind w:firstLine="709"/>
        <w:jc w:val="both"/>
        <w:rPr>
          <w:rFonts w:ascii="Verdana" w:hAnsi="Verdana"/>
          <w:sz w:val="14"/>
          <w:szCs w:val="14"/>
          <w:lang w:val="es-CO"/>
        </w:rPr>
      </w:pPr>
      <w:r w:rsidRPr="00667953">
        <w:rPr>
          <w:rStyle w:val="Refdenotaalpie"/>
          <w:rFonts w:ascii="Verdana" w:hAnsi="Verdana"/>
          <w:sz w:val="14"/>
          <w:szCs w:val="14"/>
        </w:rPr>
        <w:footnoteRef/>
      </w:r>
      <w:r w:rsidRPr="00667953">
        <w:rPr>
          <w:rFonts w:ascii="Verdana" w:hAnsi="Verdana"/>
          <w:sz w:val="14"/>
          <w:szCs w:val="14"/>
        </w:rPr>
        <w:t xml:space="preserve"> </w:t>
      </w:r>
      <w:r w:rsidRPr="00667953">
        <w:rPr>
          <w:rFonts w:ascii="Verdana" w:hAnsi="Verdana"/>
          <w:sz w:val="14"/>
          <w:szCs w:val="14"/>
          <w:lang w:val="es-CO"/>
        </w:rPr>
        <w:t>El artículo 30 del Código Civil dispone que “El contexto de la ley servirá para ilustrar el sentido de cada una de sus partes, de manera que haya entre todas ellas la debida correspondencia y armonía. Los pasajes oscuros de una ley pueden ser ilustrados por medio de otras leyes, particularmente si versan sobre el mismo asunto”</w:t>
      </w:r>
    </w:p>
    <w:p w14:paraId="3EE3826A" w14:textId="77777777" w:rsidR="00DB158E" w:rsidRPr="00667953" w:rsidRDefault="00DB158E" w:rsidP="00DB158E">
      <w:pPr>
        <w:pStyle w:val="Textonotapie"/>
        <w:ind w:firstLine="709"/>
        <w:jc w:val="both"/>
        <w:rPr>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527"/>
    <w:rsid w:val="000A683E"/>
    <w:rsid w:val="000B19B9"/>
    <w:rsid w:val="000D0334"/>
    <w:rsid w:val="000F6486"/>
    <w:rsid w:val="00125105"/>
    <w:rsid w:val="00127233"/>
    <w:rsid w:val="001511A0"/>
    <w:rsid w:val="001D0979"/>
    <w:rsid w:val="001D5DF7"/>
    <w:rsid w:val="001E3772"/>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33E72"/>
    <w:rsid w:val="003373E7"/>
    <w:rsid w:val="0034045F"/>
    <w:rsid w:val="003448F4"/>
    <w:rsid w:val="0036150B"/>
    <w:rsid w:val="00374F5E"/>
    <w:rsid w:val="00377E3E"/>
    <w:rsid w:val="003A75EB"/>
    <w:rsid w:val="003A779E"/>
    <w:rsid w:val="003D0F4D"/>
    <w:rsid w:val="003D5B0D"/>
    <w:rsid w:val="003E0499"/>
    <w:rsid w:val="003E391A"/>
    <w:rsid w:val="003F3941"/>
    <w:rsid w:val="00406575"/>
    <w:rsid w:val="00412DD0"/>
    <w:rsid w:val="00414C74"/>
    <w:rsid w:val="0042722E"/>
    <w:rsid w:val="0044528D"/>
    <w:rsid w:val="004816A5"/>
    <w:rsid w:val="004963D1"/>
    <w:rsid w:val="004A1847"/>
    <w:rsid w:val="004A305D"/>
    <w:rsid w:val="004A7060"/>
    <w:rsid w:val="004D399D"/>
    <w:rsid w:val="004F21C4"/>
    <w:rsid w:val="004F685F"/>
    <w:rsid w:val="00544AF2"/>
    <w:rsid w:val="005566E8"/>
    <w:rsid w:val="00574867"/>
    <w:rsid w:val="00581D68"/>
    <w:rsid w:val="00591460"/>
    <w:rsid w:val="005A1AC5"/>
    <w:rsid w:val="005A3845"/>
    <w:rsid w:val="005B3816"/>
    <w:rsid w:val="005C3777"/>
    <w:rsid w:val="005C5CDC"/>
    <w:rsid w:val="005D476C"/>
    <w:rsid w:val="006219F8"/>
    <w:rsid w:val="00654987"/>
    <w:rsid w:val="00665D70"/>
    <w:rsid w:val="00667953"/>
    <w:rsid w:val="006900D9"/>
    <w:rsid w:val="00706C16"/>
    <w:rsid w:val="0071443A"/>
    <w:rsid w:val="00725FCA"/>
    <w:rsid w:val="00733973"/>
    <w:rsid w:val="00756841"/>
    <w:rsid w:val="007649AB"/>
    <w:rsid w:val="00771D0C"/>
    <w:rsid w:val="007833AC"/>
    <w:rsid w:val="00793AFE"/>
    <w:rsid w:val="007A0F2F"/>
    <w:rsid w:val="007B268C"/>
    <w:rsid w:val="007B7171"/>
    <w:rsid w:val="007C0C0F"/>
    <w:rsid w:val="007C3DC2"/>
    <w:rsid w:val="007E5497"/>
    <w:rsid w:val="00806F5F"/>
    <w:rsid w:val="0081470B"/>
    <w:rsid w:val="00820278"/>
    <w:rsid w:val="00830A9E"/>
    <w:rsid w:val="00867F95"/>
    <w:rsid w:val="008843B6"/>
    <w:rsid w:val="00891928"/>
    <w:rsid w:val="008923A1"/>
    <w:rsid w:val="008A446D"/>
    <w:rsid w:val="008D180B"/>
    <w:rsid w:val="008F0EA7"/>
    <w:rsid w:val="00923EEF"/>
    <w:rsid w:val="009419F9"/>
    <w:rsid w:val="0095685E"/>
    <w:rsid w:val="00961B09"/>
    <w:rsid w:val="00965334"/>
    <w:rsid w:val="0097093E"/>
    <w:rsid w:val="00986AC5"/>
    <w:rsid w:val="009A0DFA"/>
    <w:rsid w:val="009B2D26"/>
    <w:rsid w:val="009B5436"/>
    <w:rsid w:val="009C71FA"/>
    <w:rsid w:val="009C72E7"/>
    <w:rsid w:val="009D3058"/>
    <w:rsid w:val="009F3A13"/>
    <w:rsid w:val="00A105D0"/>
    <w:rsid w:val="00A122D3"/>
    <w:rsid w:val="00A17F13"/>
    <w:rsid w:val="00A20739"/>
    <w:rsid w:val="00A300FF"/>
    <w:rsid w:val="00A33C78"/>
    <w:rsid w:val="00A92045"/>
    <w:rsid w:val="00AB0ADB"/>
    <w:rsid w:val="00B01B1A"/>
    <w:rsid w:val="00B54535"/>
    <w:rsid w:val="00B575FB"/>
    <w:rsid w:val="00B604B3"/>
    <w:rsid w:val="00B61207"/>
    <w:rsid w:val="00B66319"/>
    <w:rsid w:val="00B71FF4"/>
    <w:rsid w:val="00B72CD3"/>
    <w:rsid w:val="00B72FFF"/>
    <w:rsid w:val="00BC3D36"/>
    <w:rsid w:val="00BD7F72"/>
    <w:rsid w:val="00C03B31"/>
    <w:rsid w:val="00C04FB3"/>
    <w:rsid w:val="00C159DC"/>
    <w:rsid w:val="00C330EB"/>
    <w:rsid w:val="00C41061"/>
    <w:rsid w:val="00C754BE"/>
    <w:rsid w:val="00C76B1C"/>
    <w:rsid w:val="00C820BD"/>
    <w:rsid w:val="00CA71F5"/>
    <w:rsid w:val="00CB6357"/>
    <w:rsid w:val="00CC1B26"/>
    <w:rsid w:val="00D423A2"/>
    <w:rsid w:val="00D520D8"/>
    <w:rsid w:val="00D63AC2"/>
    <w:rsid w:val="00D7383B"/>
    <w:rsid w:val="00D810CA"/>
    <w:rsid w:val="00D877F3"/>
    <w:rsid w:val="00DA231B"/>
    <w:rsid w:val="00DB158E"/>
    <w:rsid w:val="00DC39FC"/>
    <w:rsid w:val="00DD4D80"/>
    <w:rsid w:val="00DF0EAB"/>
    <w:rsid w:val="00DF1A26"/>
    <w:rsid w:val="00DF5254"/>
    <w:rsid w:val="00E00810"/>
    <w:rsid w:val="00E10F5E"/>
    <w:rsid w:val="00E16408"/>
    <w:rsid w:val="00E20894"/>
    <w:rsid w:val="00E245AB"/>
    <w:rsid w:val="00E2764C"/>
    <w:rsid w:val="00E27F2E"/>
    <w:rsid w:val="00E33ED8"/>
    <w:rsid w:val="00E50AFE"/>
    <w:rsid w:val="00E6669E"/>
    <w:rsid w:val="00E75C92"/>
    <w:rsid w:val="00E771DC"/>
    <w:rsid w:val="00E8772A"/>
    <w:rsid w:val="00E90F6B"/>
    <w:rsid w:val="00E92C27"/>
    <w:rsid w:val="00EA0E3D"/>
    <w:rsid w:val="00EC0EF1"/>
    <w:rsid w:val="00EC38A7"/>
    <w:rsid w:val="00ED7384"/>
    <w:rsid w:val="00EE1AA8"/>
    <w:rsid w:val="00EF26C5"/>
    <w:rsid w:val="00F05521"/>
    <w:rsid w:val="00F21C7C"/>
    <w:rsid w:val="00F24E69"/>
    <w:rsid w:val="00F31EDC"/>
    <w:rsid w:val="00F462B3"/>
    <w:rsid w:val="00F5664F"/>
    <w:rsid w:val="00F666C4"/>
    <w:rsid w:val="00F720AC"/>
    <w:rsid w:val="00F76AFC"/>
    <w:rsid w:val="00FA47C0"/>
    <w:rsid w:val="00FA7FE6"/>
    <w:rsid w:val="00FB5DD1"/>
    <w:rsid w:val="00FC2B5D"/>
    <w:rsid w:val="00FC3163"/>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3973"/>
    <w:rPr>
      <w:rFonts w:ascii="Geomanist Light" w:hAnsi="Geomanist Light"/>
      <w:lang w:val="es-ES"/>
    </w:rPr>
  </w:style>
  <w:style w:type="paragraph" w:customStyle="1" w:styleId="Appelnotedebasde">
    <w:name w:val="Appel note de bas de..."/>
    <w:basedOn w:val="Normal"/>
    <w:link w:val="Refdenotaalpie"/>
    <w:uiPriority w:val="99"/>
    <w:rsid w:val="00733973"/>
    <w:pPr>
      <w:spacing w:line="240" w:lineRule="exact"/>
    </w:pPr>
    <w:rPr>
      <w:vertAlign w:val="superscript"/>
    </w:rPr>
  </w:style>
  <w:style w:type="paragraph" w:styleId="Textoindependiente">
    <w:name w:val="Body Text"/>
    <w:basedOn w:val="Normal"/>
    <w:link w:val="TextoindependienteCar"/>
    <w:uiPriority w:val="1"/>
    <w:qFormat/>
    <w:rsid w:val="00733973"/>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733973"/>
    <w:rPr>
      <w:rFonts w:ascii="Arial" w:eastAsia="Arial" w:hAnsi="Arial" w:cs="Arial"/>
      <w:lang w:val="es-ES"/>
    </w:rPr>
  </w:style>
  <w:style w:type="character" w:styleId="Refdecomentario">
    <w:name w:val="annotation reference"/>
    <w:basedOn w:val="Fuentedeprrafopredeter"/>
    <w:uiPriority w:val="99"/>
    <w:semiHidden/>
    <w:unhideWhenUsed/>
    <w:rsid w:val="00A105D0"/>
    <w:rPr>
      <w:sz w:val="16"/>
      <w:szCs w:val="16"/>
    </w:rPr>
  </w:style>
  <w:style w:type="paragraph" w:styleId="Textocomentario">
    <w:name w:val="annotation text"/>
    <w:basedOn w:val="Normal"/>
    <w:link w:val="TextocomentarioCar"/>
    <w:uiPriority w:val="99"/>
    <w:unhideWhenUsed/>
    <w:rsid w:val="00A105D0"/>
    <w:pPr>
      <w:spacing w:line="240" w:lineRule="auto"/>
    </w:pPr>
    <w:rPr>
      <w:sz w:val="20"/>
      <w:szCs w:val="20"/>
    </w:rPr>
  </w:style>
  <w:style w:type="character" w:customStyle="1" w:styleId="TextocomentarioCar">
    <w:name w:val="Texto comentario Car"/>
    <w:basedOn w:val="Fuentedeprrafopredeter"/>
    <w:link w:val="Textocomentario"/>
    <w:uiPriority w:val="99"/>
    <w:rsid w:val="00A105D0"/>
    <w:rPr>
      <w:sz w:val="20"/>
      <w:szCs w:val="20"/>
    </w:rPr>
  </w:style>
  <w:style w:type="paragraph" w:styleId="Asuntodelcomentario">
    <w:name w:val="annotation subject"/>
    <w:basedOn w:val="Textocomentario"/>
    <w:next w:val="Textocomentario"/>
    <w:link w:val="AsuntodelcomentarioCar"/>
    <w:uiPriority w:val="99"/>
    <w:semiHidden/>
    <w:unhideWhenUsed/>
    <w:rsid w:val="00A105D0"/>
    <w:rPr>
      <w:b/>
      <w:bCs/>
    </w:rPr>
  </w:style>
  <w:style w:type="character" w:customStyle="1" w:styleId="AsuntodelcomentarioCar">
    <w:name w:val="Asunto del comentario Car"/>
    <w:basedOn w:val="TextocomentarioCar"/>
    <w:link w:val="Asuntodelcomentario"/>
    <w:uiPriority w:val="99"/>
    <w:semiHidden/>
    <w:rsid w:val="00A105D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proyectos1.ingebiosoc@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8BBFB3-CE45-4937-BDEF-86A4868405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schemas.microsoft.com/office/2006/documentManagement/types"/>
    <ds:schemaRef ds:uri="a6cb9e4b-f1d1-4245-83ec-6cad768d538a"/>
    <ds:schemaRef ds:uri="http://purl.org/dc/terms/"/>
    <ds:schemaRef ds:uri="http://schemas.openxmlformats.org/package/2006/metadata/core-properties"/>
    <ds:schemaRef ds:uri="http://schemas.microsoft.com/office/infopath/2007/PartnerControls"/>
    <ds:schemaRef ds:uri="http://purl.org/dc/dcmitype/"/>
    <ds:schemaRef ds:uri="9d85dbaf-23eb-4e57-a637-93dcacc8b1a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4548</Words>
  <Characters>25020</Characters>
  <Application>Microsoft Office Word</Application>
  <DocSecurity>0</DocSecurity>
  <Lines>208</Lines>
  <Paragraphs>59</Paragraphs>
  <ScaleCrop>false</ScaleCrop>
  <Company/>
  <LinksUpToDate>false</LinksUpToDate>
  <CharactersWithSpaces>29509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2025-09-25T02:52:00Z</dcterms:created>
  <dcterms:modified xsi:type="dcterms:W3CDTF">2025-09-25T02:52:00Z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