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041D2" w14:textId="77777777" w:rsidR="000F4F89" w:rsidRPr="000F4F89" w:rsidRDefault="000F4F89" w:rsidP="000F4F89">
      <w:pPr>
        <w:spacing w:after="0" w:line="276" w:lineRule="auto"/>
        <w:jc w:val="both"/>
        <w:rPr>
          <w:rFonts w:ascii="Verdana" w:eastAsia="Calibri" w:hAnsi="Verdana" w:cs="Arial"/>
          <w:b/>
          <w:lang w:val="es-ES_tradnl" w:eastAsia="es-ES"/>
        </w:rPr>
      </w:pPr>
      <w:bookmarkStart w:id="0" w:name="_Hlk143780582"/>
      <w:r w:rsidRPr="000F4F89">
        <w:rPr>
          <w:rFonts w:ascii="Verdana" w:eastAsia="Calibri" w:hAnsi="Verdana" w:cs="Arial"/>
          <w:b/>
          <w:lang w:val="es-ES_tradnl" w:eastAsia="es-ES"/>
        </w:rPr>
        <w:t xml:space="preserve">DECRETO 1600 DE 2024 – Situaciones de control – Acreditación </w:t>
      </w:r>
    </w:p>
    <w:p w14:paraId="3D15C8F4" w14:textId="35B23138" w:rsidR="000F4F89" w:rsidRDefault="000F4F89" w:rsidP="000F4F89">
      <w:pPr>
        <w:spacing w:after="0" w:line="276" w:lineRule="auto"/>
        <w:jc w:val="both"/>
        <w:rPr>
          <w:rFonts w:ascii="Verdana" w:eastAsia="Calibri" w:hAnsi="Verdana" w:cs="Arial"/>
          <w:b/>
          <w:lang w:val="es-ES_tradnl" w:eastAsia="es-ES"/>
        </w:rPr>
      </w:pPr>
    </w:p>
    <w:p w14:paraId="235F6120" w14:textId="51D04DAF" w:rsidR="000F4F89" w:rsidRDefault="000F4F89" w:rsidP="000F4F89">
      <w:pPr>
        <w:spacing w:after="0" w:line="240" w:lineRule="auto"/>
        <w:jc w:val="both"/>
        <w:rPr>
          <w:rFonts w:ascii="Verdana" w:eastAsia="Calibri" w:hAnsi="Verdana" w:cs="Arial"/>
          <w:bCs/>
          <w:sz w:val="20"/>
          <w:lang w:eastAsia="es-ES"/>
        </w:rPr>
      </w:pPr>
      <w:r w:rsidRPr="000F4F89">
        <w:rPr>
          <w:rFonts w:ascii="Verdana" w:eastAsia="Calibri" w:hAnsi="Verdana" w:cs="Arial"/>
          <w:bCs/>
          <w:sz w:val="20"/>
          <w:lang w:eastAsia="es-ES"/>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3F4102BF" w14:textId="77777777" w:rsidR="000F4F89" w:rsidRPr="000F4F89" w:rsidRDefault="000F4F89" w:rsidP="000F4F89">
      <w:pPr>
        <w:spacing w:after="0" w:line="240" w:lineRule="auto"/>
        <w:jc w:val="both"/>
        <w:rPr>
          <w:rFonts w:ascii="Verdana" w:eastAsia="Calibri" w:hAnsi="Verdana" w:cs="Arial"/>
          <w:bCs/>
          <w:sz w:val="20"/>
          <w:lang w:eastAsia="es-ES"/>
        </w:rPr>
      </w:pPr>
    </w:p>
    <w:p w14:paraId="1D1DDB6C" w14:textId="77777777" w:rsidR="000F4F89" w:rsidRPr="000F4F89" w:rsidRDefault="000F4F89" w:rsidP="000F4F89">
      <w:pPr>
        <w:spacing w:after="0" w:line="240" w:lineRule="auto"/>
        <w:jc w:val="both"/>
        <w:rPr>
          <w:rFonts w:ascii="Verdana" w:eastAsia="Calibri" w:hAnsi="Verdana" w:cs="Arial"/>
          <w:bCs/>
          <w:iCs/>
          <w:sz w:val="20"/>
          <w:lang w:eastAsia="es-ES"/>
        </w:rPr>
      </w:pPr>
      <w:r w:rsidRPr="000F4F89">
        <w:rPr>
          <w:rFonts w:ascii="Verdana" w:eastAsia="Calibri" w:hAnsi="Verdana" w:cs="Arial"/>
          <w:bCs/>
          <w:sz w:val="20"/>
          <w:lang w:eastAsia="es-ES"/>
        </w:rPr>
        <w:t xml:space="preserve">El Capítulo 3°, Sección 1°, Título 4°, Parte 1°, Libro 2° del Decreto 1081 de 2015, que fue modificado por el Decreto 1600 de 2024, tiene como objeto: “[…] </w:t>
      </w:r>
      <w:r w:rsidRPr="000F4F89">
        <w:rPr>
          <w:rFonts w:ascii="Verdana" w:eastAsia="Calibri" w:hAnsi="Verdana" w:cs="Arial"/>
          <w:bCs/>
          <w:iCs/>
          <w:sz w:val="20"/>
          <w:lang w:eastAsia="es-ES"/>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10170DF5" w14:textId="77777777" w:rsidR="000F4F89" w:rsidRPr="000F4F89" w:rsidRDefault="000F4F89" w:rsidP="000F4F89">
      <w:pPr>
        <w:spacing w:after="0" w:line="276" w:lineRule="auto"/>
        <w:jc w:val="both"/>
        <w:rPr>
          <w:rFonts w:ascii="Verdana" w:eastAsia="Calibri" w:hAnsi="Verdana" w:cs="Arial"/>
          <w:b/>
          <w:lang w:eastAsia="es-ES"/>
        </w:rPr>
      </w:pPr>
    </w:p>
    <w:p w14:paraId="0D1BE256" w14:textId="77777777" w:rsidR="000F4F89" w:rsidRPr="000F4F89" w:rsidRDefault="000F4F89" w:rsidP="000F4F89">
      <w:pPr>
        <w:spacing w:after="0" w:line="276" w:lineRule="auto"/>
        <w:jc w:val="both"/>
        <w:rPr>
          <w:rFonts w:ascii="Verdana" w:eastAsia="Calibri" w:hAnsi="Verdana" w:cs="Arial"/>
          <w:b/>
          <w:lang w:val="es-ES" w:eastAsia="es-ES"/>
        </w:rPr>
      </w:pPr>
      <w:r w:rsidRPr="000F4F89">
        <w:rPr>
          <w:rFonts w:ascii="Verdana" w:eastAsia="Calibri" w:hAnsi="Verdana" w:cs="Arial"/>
          <w:b/>
          <w:lang w:val="es-ES_tradnl" w:eastAsia="es-ES"/>
        </w:rPr>
        <w:t xml:space="preserve">SITUACIONES DE CONTROL – Verificación </w:t>
      </w:r>
    </w:p>
    <w:p w14:paraId="1E5ED0B7" w14:textId="7B1100B2" w:rsidR="000F4F89" w:rsidRDefault="000F4F89" w:rsidP="000F4F89">
      <w:pPr>
        <w:spacing w:after="0" w:line="276" w:lineRule="auto"/>
        <w:jc w:val="both"/>
        <w:rPr>
          <w:rFonts w:ascii="Verdana" w:eastAsia="Calibri" w:hAnsi="Verdana" w:cs="Arial"/>
          <w:b/>
          <w:lang w:val="es-ES" w:eastAsia="es-ES"/>
        </w:rPr>
      </w:pPr>
    </w:p>
    <w:p w14:paraId="7188BDC9" w14:textId="77777777" w:rsidR="000F4F89" w:rsidRPr="000F4F89" w:rsidRDefault="000F4F89" w:rsidP="000F4F89">
      <w:pPr>
        <w:spacing w:after="0" w:line="240" w:lineRule="auto"/>
        <w:jc w:val="both"/>
        <w:rPr>
          <w:rFonts w:ascii="Verdana" w:eastAsia="Calibri" w:hAnsi="Verdana" w:cs="Arial"/>
          <w:sz w:val="20"/>
          <w:lang w:eastAsia="es-ES"/>
        </w:rPr>
      </w:pPr>
      <w:r w:rsidRPr="000F4F89">
        <w:rPr>
          <w:rFonts w:ascii="Verdana" w:eastAsia="Calibri" w:hAnsi="Verdana" w:cs="Arial"/>
          <w:sz w:val="20"/>
          <w:lang w:eastAsia="es-ES"/>
        </w:rPr>
        <w:t>En este sentido, debe señalarse que, de conformidad con el inciso primero del artículo 2.1.4.3.2.1 del Decreto 1081 de 2015, corresponde a las entidades estatales garantizar la verificación de las acciones allí descritas, entre las cuales se incluye la existencia de situaciones de control. Dicho artículo establece que “</w:t>
      </w:r>
      <w:r w:rsidRPr="000F4F89">
        <w:rPr>
          <w:rFonts w:ascii="Verdana" w:eastAsia="Calibri" w:hAnsi="Verdana" w:cs="Arial"/>
          <w:i/>
          <w:iCs/>
          <w:sz w:val="20"/>
          <w:lang w:eastAsia="es-ES"/>
        </w:rPr>
        <w:t xml:space="preserve">las entidades (...) deberán garantizar las siguientes acciones en el desarrollo de su actividad contractual a su cargo (…)”. </w:t>
      </w:r>
      <w:r w:rsidRPr="000F4F89">
        <w:rPr>
          <w:rFonts w:ascii="Verdana" w:eastAsia="Calibri" w:hAnsi="Verdana" w:cs="Arial"/>
          <w:sz w:val="20"/>
          <w:lang w:eastAsia="es-ES"/>
        </w:rPr>
        <w:t>Así, la entidad que adelanta el proceso de contratación tiene el deber de verificar la existencia de situaciones de control, aun cuando el proponente no las haya informado en los términos previstos en el literal a) del mencionado artículo.</w:t>
      </w:r>
    </w:p>
    <w:p w14:paraId="5FCD6263" w14:textId="77777777" w:rsidR="000F4F89" w:rsidRDefault="000F4F89" w:rsidP="000F4F89">
      <w:pPr>
        <w:spacing w:after="0" w:line="240" w:lineRule="auto"/>
        <w:jc w:val="both"/>
        <w:rPr>
          <w:rFonts w:ascii="Verdana" w:eastAsia="Calibri" w:hAnsi="Verdana" w:cs="Arial"/>
          <w:sz w:val="20"/>
          <w:lang w:eastAsia="es-ES"/>
        </w:rPr>
      </w:pPr>
      <w:r>
        <w:rPr>
          <w:rFonts w:ascii="Verdana" w:eastAsia="Calibri" w:hAnsi="Verdana" w:cs="Arial"/>
          <w:sz w:val="20"/>
          <w:lang w:eastAsia="es-ES"/>
        </w:rPr>
        <w:t xml:space="preserve"> </w:t>
      </w:r>
    </w:p>
    <w:p w14:paraId="25E5C48D" w14:textId="46EBD168" w:rsidR="000F4F89" w:rsidRPr="000F4F89" w:rsidRDefault="000F4F89" w:rsidP="000F4F89">
      <w:pPr>
        <w:spacing w:after="0" w:line="240" w:lineRule="auto"/>
        <w:jc w:val="both"/>
        <w:rPr>
          <w:rFonts w:ascii="Verdana" w:eastAsia="Calibri" w:hAnsi="Verdana" w:cs="Arial"/>
          <w:sz w:val="20"/>
          <w:lang w:eastAsia="es-ES"/>
        </w:rPr>
      </w:pPr>
      <w:r w:rsidRPr="000F4F89">
        <w:rPr>
          <w:rFonts w:ascii="Verdana" w:eastAsia="Calibri" w:hAnsi="Verdana" w:cs="Arial"/>
          <w:sz w:val="20"/>
          <w:lang w:eastAsia="es-ES"/>
        </w:rPr>
        <w:t>La omisión del contratista del deber de declarar la existencia o inexistencia de situaciones de control en las que participe no exime a la entidad estatal del cumplimiento de su deber de ejercer la potestad verificadora que le corresponde, especialmente en lo que respecta a la acreditación de la capacidad jurídica, la cual puede verse comprometida por la configuración de dichas situaciones. Así, la información relacionada con situaciones de control constituye un insumo fundamental para verificar la capacidad jurídica de los proponentes dentro del proceso de contratación.</w:t>
      </w:r>
    </w:p>
    <w:p w14:paraId="5654A213" w14:textId="77777777" w:rsidR="000F4F89" w:rsidRPr="000F4F89" w:rsidRDefault="000F4F89" w:rsidP="000F4F89">
      <w:pPr>
        <w:spacing w:after="0" w:line="276" w:lineRule="auto"/>
        <w:jc w:val="both"/>
        <w:rPr>
          <w:rFonts w:ascii="Verdana" w:eastAsia="Calibri" w:hAnsi="Verdana" w:cs="Arial"/>
          <w:b/>
          <w:lang w:eastAsia="es-ES"/>
        </w:rPr>
      </w:pPr>
    </w:p>
    <w:p w14:paraId="7D712C5F" w14:textId="77777777" w:rsidR="000F4F89" w:rsidRPr="000F4F89" w:rsidRDefault="000F4F89" w:rsidP="000F4F89">
      <w:pPr>
        <w:spacing w:after="0" w:line="276" w:lineRule="auto"/>
        <w:jc w:val="both"/>
        <w:rPr>
          <w:rFonts w:ascii="Verdana" w:eastAsia="Calibri" w:hAnsi="Verdana" w:cs="Arial"/>
          <w:b/>
          <w:lang w:val="es-ES" w:eastAsia="es-ES"/>
        </w:rPr>
      </w:pPr>
      <w:r w:rsidRPr="000F4F89">
        <w:rPr>
          <w:rFonts w:ascii="Verdana" w:eastAsia="Calibri" w:hAnsi="Verdana" w:cs="Arial"/>
          <w:b/>
          <w:lang w:val="es-ES" w:eastAsia="es-ES"/>
        </w:rPr>
        <w:t xml:space="preserve">REGISTRO ÚNICO DE PROPONENTES – Definición – Marco jurídico </w:t>
      </w:r>
    </w:p>
    <w:p w14:paraId="0EFD1387" w14:textId="5C32C042" w:rsidR="000F4F89" w:rsidRDefault="000F4F89" w:rsidP="000F4F89">
      <w:pPr>
        <w:spacing w:after="0" w:line="276" w:lineRule="auto"/>
        <w:jc w:val="both"/>
        <w:rPr>
          <w:rFonts w:ascii="Verdana" w:eastAsia="Calibri" w:hAnsi="Verdana" w:cs="Arial"/>
          <w:b/>
          <w:lang w:val="es-ES" w:eastAsia="es-ES"/>
        </w:rPr>
      </w:pPr>
    </w:p>
    <w:p w14:paraId="22067B45" w14:textId="3C9A9CE0" w:rsidR="000F4F89" w:rsidRPr="000F4F89" w:rsidRDefault="000F4F89" w:rsidP="000F4F89">
      <w:pPr>
        <w:spacing w:after="0" w:line="240" w:lineRule="auto"/>
        <w:jc w:val="both"/>
        <w:rPr>
          <w:rFonts w:ascii="Verdana" w:hAnsi="Verdana" w:cs="Arial"/>
          <w:sz w:val="20"/>
        </w:rPr>
      </w:pPr>
      <w:r w:rsidRPr="000F4F89">
        <w:rPr>
          <w:rFonts w:ascii="Verdana" w:hAnsi="Verdana" w:cs="Arial"/>
          <w:sz w:val="20"/>
        </w:rPr>
        <w:t xml:space="preserve">El Registro Único de Proponentes es el documento donde consta la información relacionada con las personas naturales y jurídicas, que tiene por objeto consolidar los </w:t>
      </w:r>
      <w:r w:rsidRPr="000F4F89">
        <w:rPr>
          <w:rFonts w:ascii="Verdana" w:hAnsi="Verdana" w:cs="Arial"/>
          <w:sz w:val="20"/>
        </w:rPr>
        <w:lastRenderedPageBreak/>
        <w:t>datos relacionados con la capacidad jurídica, técnica, financiera y organizacional de los posibles proponentes, con el fin que participen en los procedimientos de selección realizados por las entidades estatales, facilitando la revisión de los datos contenidos en el registro.</w:t>
      </w:r>
    </w:p>
    <w:p w14:paraId="12811173" w14:textId="77777777" w:rsidR="000F4F89" w:rsidRPr="000F4F89" w:rsidRDefault="000F4F89" w:rsidP="000F4F89">
      <w:pPr>
        <w:spacing w:after="0" w:line="276" w:lineRule="auto"/>
        <w:jc w:val="both"/>
        <w:rPr>
          <w:rFonts w:ascii="Verdana" w:eastAsia="Calibri" w:hAnsi="Verdana" w:cs="Arial"/>
          <w:b/>
          <w:lang w:val="es-ES" w:eastAsia="es-ES"/>
        </w:rPr>
      </w:pPr>
    </w:p>
    <w:p w14:paraId="44D78E1D" w14:textId="77777777" w:rsidR="000F4F89" w:rsidRPr="000F4F89" w:rsidRDefault="000F4F89" w:rsidP="000F4F89">
      <w:pPr>
        <w:spacing w:after="0" w:line="276" w:lineRule="auto"/>
        <w:jc w:val="both"/>
        <w:rPr>
          <w:rFonts w:ascii="Verdana" w:eastAsia="Calibri" w:hAnsi="Verdana" w:cs="Arial"/>
          <w:b/>
          <w:lang w:val="es-ES" w:eastAsia="es-ES"/>
        </w:rPr>
      </w:pPr>
      <w:r w:rsidRPr="000F4F89">
        <w:rPr>
          <w:rFonts w:ascii="Verdana" w:eastAsia="Calibri" w:hAnsi="Verdana" w:cs="Arial"/>
          <w:b/>
          <w:lang w:val="es-ES" w:eastAsia="es-ES"/>
        </w:rPr>
        <w:t xml:space="preserve">REQUISITOS HABILITANTES – Registro Único de Proponentes – Plena prueba </w:t>
      </w:r>
    </w:p>
    <w:p w14:paraId="193FB8C7" w14:textId="71725000" w:rsidR="000F4F89" w:rsidRDefault="000F4F89" w:rsidP="000F4F89">
      <w:pPr>
        <w:spacing w:after="0" w:line="276" w:lineRule="auto"/>
        <w:jc w:val="both"/>
        <w:rPr>
          <w:rFonts w:ascii="Verdana" w:eastAsia="Calibri" w:hAnsi="Verdana" w:cs="Arial"/>
          <w:b/>
          <w:lang w:val="es-ES" w:eastAsia="es-ES"/>
        </w:rPr>
      </w:pPr>
    </w:p>
    <w:p w14:paraId="21C83D11" w14:textId="62D07077" w:rsidR="000F4F89" w:rsidRDefault="000F4F89" w:rsidP="000F4F89">
      <w:pPr>
        <w:spacing w:after="0" w:line="240" w:lineRule="auto"/>
        <w:jc w:val="both"/>
        <w:rPr>
          <w:rFonts w:ascii="Verdana" w:eastAsia="Calibri" w:hAnsi="Verdana" w:cs="Arial"/>
          <w:sz w:val="20"/>
          <w:lang w:eastAsia="es-ES"/>
        </w:rPr>
      </w:pPr>
      <w:r w:rsidRPr="000F4F89">
        <w:rPr>
          <w:rFonts w:ascii="Verdana" w:eastAsia="Calibri" w:hAnsi="Verdana" w:cs="Arial"/>
          <w:sz w:val="20"/>
          <w:lang w:eastAsia="es-ES"/>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7177789E" w14:textId="77777777" w:rsidR="000F4F89" w:rsidRPr="000F4F89" w:rsidRDefault="000F4F89" w:rsidP="000F4F89">
      <w:pPr>
        <w:spacing w:after="0" w:line="240" w:lineRule="auto"/>
        <w:jc w:val="both"/>
        <w:rPr>
          <w:rFonts w:ascii="Verdana" w:eastAsia="Calibri" w:hAnsi="Verdana" w:cs="Arial"/>
          <w:sz w:val="20"/>
          <w:lang w:eastAsia="es-ES"/>
        </w:rPr>
      </w:pPr>
    </w:p>
    <w:p w14:paraId="19DB886C" w14:textId="77777777" w:rsidR="000F4F89" w:rsidRPr="000F4F89" w:rsidRDefault="000F4F89" w:rsidP="000F4F89">
      <w:pPr>
        <w:spacing w:after="0" w:line="240" w:lineRule="auto"/>
        <w:jc w:val="both"/>
        <w:rPr>
          <w:rFonts w:ascii="Verdana" w:eastAsia="Calibri" w:hAnsi="Verdana" w:cs="Arial"/>
          <w:sz w:val="20"/>
          <w:lang w:eastAsia="es-ES"/>
        </w:rPr>
      </w:pPr>
      <w:r w:rsidRPr="000F4F89">
        <w:rPr>
          <w:rFonts w:ascii="Verdana" w:eastAsia="Calibri" w:hAnsi="Verdana" w:cs="Arial"/>
          <w:sz w:val="20"/>
          <w:lang w:eastAsia="es-ES"/>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4974002B" w14:textId="77777777" w:rsidR="000F4F89" w:rsidRPr="000F4F89" w:rsidRDefault="000F4F89" w:rsidP="000F4F89">
      <w:pPr>
        <w:spacing w:after="0" w:line="276" w:lineRule="auto"/>
        <w:jc w:val="both"/>
        <w:rPr>
          <w:rFonts w:ascii="Verdana" w:eastAsia="Calibri" w:hAnsi="Verdana" w:cs="Arial"/>
          <w:b/>
          <w:lang w:eastAsia="es-ES"/>
        </w:rPr>
      </w:pPr>
    </w:p>
    <w:p w14:paraId="6BBD8C1E" w14:textId="2D4A5F88" w:rsidR="000F4F89" w:rsidRPr="000F4F89" w:rsidRDefault="000F4F89" w:rsidP="000F4F89">
      <w:pPr>
        <w:spacing w:after="0" w:line="276" w:lineRule="auto"/>
        <w:jc w:val="both"/>
        <w:rPr>
          <w:rFonts w:ascii="Verdana" w:eastAsia="Calibri" w:hAnsi="Verdana" w:cs="Arial"/>
          <w:b/>
          <w:lang w:val="es-ES" w:eastAsia="es-ES"/>
        </w:rPr>
      </w:pPr>
      <w:r w:rsidRPr="000F4F89">
        <w:rPr>
          <w:rFonts w:ascii="Verdana" w:eastAsia="Calibri" w:hAnsi="Verdana" w:cs="Arial"/>
          <w:b/>
          <w:lang w:val="es-ES" w:eastAsia="es-ES"/>
        </w:rPr>
        <w:t xml:space="preserve">SECRETARIA DE TRANSPARENCIA – Rol – Lucha contra la corrupción. </w:t>
      </w:r>
    </w:p>
    <w:p w14:paraId="5377ECF5" w14:textId="77777777" w:rsidR="000F4F89" w:rsidRPr="004C5DEE" w:rsidRDefault="000F4F89" w:rsidP="004C5DEE">
      <w:pPr>
        <w:spacing w:after="0"/>
        <w:jc w:val="both"/>
        <w:rPr>
          <w:rFonts w:ascii="Verdana" w:hAnsi="Verdana"/>
          <w:sz w:val="20"/>
          <w:lang w:val="es-ES"/>
        </w:rPr>
      </w:pPr>
    </w:p>
    <w:p w14:paraId="1EADA73E" w14:textId="77777777" w:rsidR="004C5DEE" w:rsidRPr="004C5DEE" w:rsidRDefault="004C5DEE" w:rsidP="004C5DEE">
      <w:pPr>
        <w:spacing w:after="0" w:line="240" w:lineRule="auto"/>
        <w:jc w:val="both"/>
        <w:rPr>
          <w:rFonts w:ascii="Verdana" w:hAnsi="Verdana"/>
          <w:sz w:val="20"/>
        </w:rPr>
      </w:pPr>
      <w:r w:rsidRPr="004C5DEE">
        <w:rPr>
          <w:rFonts w:ascii="Verdana" w:hAnsi="Verdana"/>
          <w:sz w:val="20"/>
        </w:rPr>
        <w:t xml:space="preserve">En torno al rol de la Secretaría de Transparencia, se precisa que se creó en el Departamento Administrativo de la Presidencia de la República, de conformidad a lo regulado en el Decreto 4637 de 2011. Dicha Secretaría se articula con las instancias creadas por la Ley 1474 de 2011 para fortalecer la lucha contra la corrupción en el Estado. Dichas instancias son: i) la Comisión Nacional de Moralización; </w:t>
      </w:r>
      <w:proofErr w:type="spellStart"/>
      <w:r w:rsidRPr="004C5DEE">
        <w:rPr>
          <w:rFonts w:ascii="Verdana" w:hAnsi="Verdana"/>
          <w:sz w:val="20"/>
        </w:rPr>
        <w:t>ii</w:t>
      </w:r>
      <w:proofErr w:type="spellEnd"/>
      <w:r w:rsidRPr="004C5DEE">
        <w:rPr>
          <w:rFonts w:ascii="Verdana" w:hAnsi="Verdana"/>
          <w:sz w:val="20"/>
        </w:rPr>
        <w:t xml:space="preserve">) Las Comisiones Regionales de Moralización; </w:t>
      </w:r>
      <w:proofErr w:type="spellStart"/>
      <w:r w:rsidRPr="004C5DEE">
        <w:rPr>
          <w:rFonts w:ascii="Verdana" w:hAnsi="Verdana"/>
          <w:sz w:val="20"/>
        </w:rPr>
        <w:t>iii</w:t>
      </w:r>
      <w:proofErr w:type="spellEnd"/>
      <w:r w:rsidRPr="004C5DEE">
        <w:rPr>
          <w:rFonts w:ascii="Verdana" w:hAnsi="Verdana"/>
          <w:sz w:val="20"/>
        </w:rPr>
        <w:t xml:space="preserve">) la Comisión Nacional Ciudadana de Lucha contra la Corrupción. </w:t>
      </w:r>
    </w:p>
    <w:p w14:paraId="23042BD7" w14:textId="77777777" w:rsidR="004C5DEE" w:rsidRDefault="004C5DEE" w:rsidP="004C5DEE">
      <w:pPr>
        <w:spacing w:after="0" w:line="240" w:lineRule="auto"/>
        <w:jc w:val="both"/>
        <w:rPr>
          <w:rFonts w:ascii="Verdana" w:hAnsi="Verdana"/>
          <w:sz w:val="20"/>
        </w:rPr>
      </w:pPr>
    </w:p>
    <w:p w14:paraId="43F3F005" w14:textId="431F4E1B" w:rsidR="000F4F89" w:rsidRPr="004C5DEE" w:rsidRDefault="004C5DEE" w:rsidP="004C5DEE">
      <w:pPr>
        <w:spacing w:after="0" w:line="240" w:lineRule="auto"/>
        <w:jc w:val="both"/>
        <w:rPr>
          <w:rFonts w:ascii="Verdana" w:hAnsi="Verdana"/>
          <w:sz w:val="20"/>
        </w:rPr>
      </w:pPr>
      <w:r w:rsidRPr="004C5DEE">
        <w:rPr>
          <w:rFonts w:ascii="Verdana" w:hAnsi="Verdana"/>
          <w:sz w:val="20"/>
        </w:rPr>
        <w:t>En este aspecto, puede resaltarse que la entidad fue reestructurada en el Decreto 2647 de 2022, en la que estableció en el eje de la coordinación interinstitucional en el fomento y contribución de las diferentes ramas del poder público y órganos de control del nivel nacional y territorial, para la ejecución de la política de transparencia y lucha contra la corrupción.</w:t>
      </w:r>
    </w:p>
    <w:p w14:paraId="4773A0B9" w14:textId="26282E58" w:rsidR="000F4F89" w:rsidRDefault="000F4F89" w:rsidP="00CE27DA">
      <w:pPr>
        <w:spacing w:after="0"/>
        <w:rPr>
          <w:rFonts w:ascii="Verdana" w:hAnsi="Verdana"/>
        </w:rPr>
      </w:pPr>
    </w:p>
    <w:p w14:paraId="6E86B85A" w14:textId="1FF26346" w:rsidR="004C5DEE" w:rsidRDefault="004C5DEE" w:rsidP="00CE27DA">
      <w:pPr>
        <w:spacing w:after="0"/>
        <w:rPr>
          <w:rFonts w:ascii="Verdana" w:hAnsi="Verdana"/>
        </w:rPr>
      </w:pPr>
    </w:p>
    <w:p w14:paraId="30D74847" w14:textId="77777777" w:rsidR="004C5DEE" w:rsidRDefault="004C5DEE" w:rsidP="00CE27DA">
      <w:pPr>
        <w:spacing w:after="0"/>
        <w:rPr>
          <w:rFonts w:ascii="Verdana" w:hAnsi="Verdana"/>
        </w:rPr>
      </w:pPr>
    </w:p>
    <w:p w14:paraId="3BC5CE95" w14:textId="30F61928" w:rsidR="00CE27DA" w:rsidRPr="0044528D" w:rsidRDefault="000F4F89" w:rsidP="00CE27DA">
      <w:pPr>
        <w:spacing w:after="0"/>
        <w:rPr>
          <w:rFonts w:ascii="Verdana" w:hAnsi="Verdana"/>
        </w:rPr>
      </w:pPr>
      <w:r>
        <w:rPr>
          <w:rFonts w:ascii="Verdana" w:hAnsi="Verdana"/>
        </w:rPr>
        <w:lastRenderedPageBreak/>
        <w:t>Bogotá D.C., 16 de septiembre de 2025</w:t>
      </w:r>
      <w:r w:rsidR="00CE27DA" w:rsidRPr="0044528D">
        <w:rPr>
          <w:rFonts w:ascii="Verdana" w:hAnsi="Verdana"/>
        </w:rPr>
        <w:tab/>
      </w:r>
    </w:p>
    <w:bookmarkEnd w:id="0"/>
    <w:p w14:paraId="2E92FD3A" w14:textId="6C2FE460" w:rsidR="00CE27DA" w:rsidRDefault="004C5DEE" w:rsidP="00CE27DA">
      <w:pPr>
        <w:spacing w:after="0" w:line="240" w:lineRule="auto"/>
        <w:rPr>
          <w:rFonts w:ascii="Verdana" w:eastAsia="Calibri" w:hAnsi="Verdana" w:cs="Arial"/>
          <w:color w:val="000000"/>
          <w:lang w:val="es-ES"/>
        </w:rPr>
      </w:pPr>
      <w:r w:rsidRPr="004C5DEE">
        <w:rPr>
          <w:rFonts w:ascii="Verdana" w:hAnsi="Verdana"/>
          <w:noProof/>
          <w:lang w:val="en-US"/>
        </w:rPr>
        <w:drawing>
          <wp:anchor distT="0" distB="0" distL="114300" distR="114300" simplePos="0" relativeHeight="251658240" behindDoc="0" locked="0" layoutInCell="1" allowOverlap="1" wp14:anchorId="420EA2C5" wp14:editId="66F8B5FF">
            <wp:simplePos x="0" y="0"/>
            <wp:positionH relativeFrom="margin">
              <wp:posOffset>2891790</wp:posOffset>
            </wp:positionH>
            <wp:positionV relativeFrom="paragraph">
              <wp:posOffset>6985</wp:posOffset>
            </wp:positionV>
            <wp:extent cx="2495550" cy="6508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95550" cy="650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095E67" w14:textId="77777777" w:rsidR="00CE27DA" w:rsidRPr="00593A5F" w:rsidRDefault="00CE27DA" w:rsidP="00CE27DA">
      <w:pPr>
        <w:spacing w:after="0" w:line="240" w:lineRule="auto"/>
        <w:jc w:val="both"/>
        <w:rPr>
          <w:rFonts w:ascii="Verdana" w:eastAsia="Calibri" w:hAnsi="Verdana" w:cs="Arial"/>
          <w:color w:val="000000"/>
          <w:lang w:val="es-ES"/>
        </w:rPr>
      </w:pPr>
    </w:p>
    <w:p w14:paraId="7A77886E" w14:textId="77777777" w:rsidR="00CE27DA" w:rsidRPr="00B96799" w:rsidRDefault="00CE27DA" w:rsidP="00CE27D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6B9DD32" w14:textId="77777777" w:rsidR="00CE27DA" w:rsidRPr="0085423D" w:rsidRDefault="00CE27DA" w:rsidP="00CE27DA">
      <w:pPr>
        <w:spacing w:after="0" w:line="240" w:lineRule="auto"/>
        <w:rPr>
          <w:rFonts w:ascii="Verdana" w:eastAsia="Calibri" w:hAnsi="Verdana" w:cs="Arial"/>
          <w:b/>
          <w:lang w:val="es-ES_tradnl" w:eastAsia="es-ES_tradnl"/>
        </w:rPr>
      </w:pPr>
      <w:bookmarkStart w:id="1" w:name="OLE_LINK1"/>
      <w:r>
        <w:rPr>
          <w:rFonts w:ascii="Verdana" w:eastAsia="Calibri" w:hAnsi="Verdana" w:cs="Arial"/>
          <w:b/>
          <w:lang w:val="es-ES_tradnl" w:eastAsia="es-ES_tradnl"/>
        </w:rPr>
        <w:t>Marco Tovar Barragán</w:t>
      </w:r>
    </w:p>
    <w:bookmarkEnd w:id="1"/>
    <w:p w14:paraId="33679D1C" w14:textId="77777777" w:rsidR="00CE27DA" w:rsidRDefault="00CE27DA" w:rsidP="00CE27DA">
      <w:pPr>
        <w:spacing w:after="0" w:line="240" w:lineRule="auto"/>
        <w:rPr>
          <w:rFonts w:ascii="Verdana" w:hAnsi="Verdana"/>
        </w:rPr>
      </w:pPr>
      <w:r>
        <w:rPr>
          <w:rFonts w:ascii="Verdana" w:hAnsi="Verdana"/>
        </w:rPr>
        <w:fldChar w:fldCharType="begin"/>
      </w:r>
      <w:r>
        <w:rPr>
          <w:rFonts w:ascii="Verdana" w:hAnsi="Verdana"/>
        </w:rPr>
        <w:instrText xml:space="preserve"> HYPERLINK "mailto:</w:instrText>
      </w:r>
      <w:r w:rsidRPr="00402DA7">
        <w:rPr>
          <w:rFonts w:ascii="Verdana" w:hAnsi="Verdana"/>
        </w:rPr>
        <w:instrText>marco951005@gmail.com</w:instrText>
      </w:r>
      <w:r>
        <w:rPr>
          <w:rFonts w:ascii="Verdana" w:hAnsi="Verdana"/>
        </w:rPr>
        <w:instrText xml:space="preserve">" </w:instrText>
      </w:r>
      <w:r>
        <w:rPr>
          <w:rFonts w:ascii="Verdana" w:hAnsi="Verdana"/>
        </w:rPr>
      </w:r>
      <w:r>
        <w:rPr>
          <w:rFonts w:ascii="Verdana" w:hAnsi="Verdana"/>
        </w:rPr>
        <w:fldChar w:fldCharType="separate"/>
      </w:r>
      <w:r w:rsidRPr="00702D8B">
        <w:rPr>
          <w:rStyle w:val="Hipervnculo"/>
          <w:rFonts w:ascii="Verdana" w:hAnsi="Verdana"/>
        </w:rPr>
        <w:t>marco951005@gmail.com</w:t>
      </w:r>
      <w:r>
        <w:rPr>
          <w:rFonts w:ascii="Verdana" w:hAnsi="Verdana"/>
        </w:rPr>
        <w:fldChar w:fldCharType="end"/>
      </w:r>
      <w:r>
        <w:rPr>
          <w:rFonts w:ascii="Verdana" w:hAnsi="Verdana"/>
        </w:rPr>
        <w:t xml:space="preserve"> </w:t>
      </w:r>
    </w:p>
    <w:p w14:paraId="2902FBC3" w14:textId="77777777" w:rsidR="00CE27DA" w:rsidRDefault="00CE27DA" w:rsidP="00CE27DA">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72813157" w14:textId="77777777" w:rsidR="00CE27DA" w:rsidRPr="00593A5F" w:rsidRDefault="00CE27DA" w:rsidP="00CE27DA">
      <w:pPr>
        <w:spacing w:after="0" w:line="240" w:lineRule="auto"/>
        <w:rPr>
          <w:rFonts w:ascii="Verdana" w:eastAsia="Calibri" w:hAnsi="Verdana" w:cs="Arial"/>
          <w:b/>
          <w:bCs/>
          <w:color w:val="000000"/>
          <w:lang w:val="es-ES_tradnl" w:eastAsia="es-ES_tradnl"/>
        </w:rPr>
      </w:pPr>
    </w:p>
    <w:p w14:paraId="614EDE13" w14:textId="77777777" w:rsidR="00CE27DA" w:rsidRPr="00593A5F" w:rsidRDefault="00CE27DA" w:rsidP="00CE27D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E27DA" w:rsidRPr="00593A5F" w14:paraId="5510894F" w14:textId="77777777" w:rsidTr="00B07DFC">
        <w:trPr>
          <w:trHeight w:val="884"/>
        </w:trPr>
        <w:tc>
          <w:tcPr>
            <w:tcW w:w="2689" w:type="dxa"/>
          </w:tcPr>
          <w:p w14:paraId="29AA6854" w14:textId="77777777" w:rsidR="00CE27DA" w:rsidRPr="00C00976" w:rsidRDefault="00CE27DA" w:rsidP="00B07DFC">
            <w:pPr>
              <w:jc w:val="both"/>
              <w:rPr>
                <w:rFonts w:ascii="Verdana" w:eastAsia="Calibri" w:hAnsi="Verdana" w:cs="Arial"/>
                <w:b/>
                <w:bCs/>
                <w:color w:val="7030A0"/>
                <w:lang w:val="es-ES_tradnl" w:eastAsia="es-ES_tradnl"/>
              </w:rPr>
            </w:pPr>
          </w:p>
        </w:tc>
        <w:tc>
          <w:tcPr>
            <w:tcW w:w="6100" w:type="dxa"/>
          </w:tcPr>
          <w:p w14:paraId="097127CD" w14:textId="77777777" w:rsidR="00CE27DA" w:rsidRPr="00C00976" w:rsidRDefault="00CE27DA" w:rsidP="00B07DFC">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1080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E27DA" w:rsidRPr="00593A5F" w14:paraId="292512CD" w14:textId="77777777" w:rsidTr="00B07DFC">
        <w:trPr>
          <w:trHeight w:val="884"/>
        </w:trPr>
        <w:tc>
          <w:tcPr>
            <w:tcW w:w="2689" w:type="dxa"/>
          </w:tcPr>
          <w:p w14:paraId="7670917C" w14:textId="77777777" w:rsidR="00CE27DA" w:rsidRPr="00593A5F" w:rsidRDefault="00CE27DA" w:rsidP="00B07DF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78A3091" w14:textId="77777777" w:rsidR="00CE27DA" w:rsidRPr="00A11406" w:rsidRDefault="00CE27DA" w:rsidP="00B07DFC">
            <w:pPr>
              <w:spacing w:line="276" w:lineRule="auto"/>
              <w:jc w:val="both"/>
              <w:rPr>
                <w:rFonts w:ascii="Verdana" w:eastAsia="Calibri" w:hAnsi="Verdana" w:cs="Arial"/>
                <w:lang w:val="es-ES" w:eastAsia="es-ES"/>
              </w:rPr>
            </w:pPr>
            <w:r w:rsidRPr="004B3CE9">
              <w:rPr>
                <w:rFonts w:ascii="Verdana" w:eastAsia="Calibri" w:hAnsi="Verdana" w:cs="Arial"/>
                <w:lang w:val="es-ES_tradnl" w:eastAsia="es-ES"/>
              </w:rPr>
              <w:t xml:space="preserve">DECRETO 1600 DE 2024 – Situaciones de control – Acreditación / SITUACIONES DE CONTROL – Verificación </w:t>
            </w:r>
            <w:r>
              <w:rPr>
                <w:rFonts w:ascii="Verdana" w:eastAsia="Calibri" w:hAnsi="Verdana" w:cs="Arial"/>
                <w:lang w:val="es-ES" w:eastAsia="es-ES"/>
              </w:rPr>
              <w:t xml:space="preserve">/ </w:t>
            </w:r>
            <w:r w:rsidRPr="00C75A78">
              <w:rPr>
                <w:rFonts w:ascii="Verdana" w:eastAsia="Calibri" w:hAnsi="Verdana" w:cs="Arial"/>
                <w:lang w:val="es-ES" w:eastAsia="es-ES"/>
              </w:rPr>
              <w:t>REGISTRO ÚNICO DE PROPONENTES – Definición – Marco jurídico</w:t>
            </w:r>
            <w:r>
              <w:rPr>
                <w:rFonts w:ascii="Verdana" w:eastAsia="Calibri" w:hAnsi="Verdana" w:cs="Arial"/>
                <w:lang w:val="es-ES" w:eastAsia="es-ES"/>
              </w:rPr>
              <w:t xml:space="preserve"> / </w:t>
            </w:r>
            <w:r w:rsidRPr="00C75A78">
              <w:rPr>
                <w:rFonts w:ascii="Verdana" w:eastAsia="Calibri" w:hAnsi="Verdana" w:cs="Arial"/>
                <w:lang w:val="es-ES" w:eastAsia="es-ES"/>
              </w:rPr>
              <w:t>REQUISITOS HABILITANTES – Registro Único de Proponentes – Plena prueba</w:t>
            </w:r>
            <w:r>
              <w:rPr>
                <w:rFonts w:ascii="Verdana" w:eastAsia="Calibri" w:hAnsi="Verdana" w:cs="Arial"/>
                <w:lang w:val="es-ES" w:eastAsia="es-ES"/>
              </w:rPr>
              <w:t xml:space="preserve"> / SECRETARIA DE TRANSPARENCIA – Rol – Lucha contra la corrupción. </w:t>
            </w:r>
          </w:p>
          <w:p w14:paraId="6B760184" w14:textId="77777777" w:rsidR="00CE27DA" w:rsidRPr="00593A5F" w:rsidRDefault="00CE27DA" w:rsidP="00B07DFC">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E27DA" w:rsidRPr="008E6AD9" w14:paraId="5D6A477C" w14:textId="77777777" w:rsidTr="00B07DFC">
        <w:tc>
          <w:tcPr>
            <w:tcW w:w="2689" w:type="dxa"/>
          </w:tcPr>
          <w:p w14:paraId="0E4F010B" w14:textId="77777777" w:rsidR="00CE27DA" w:rsidRPr="008E6AD9" w:rsidRDefault="00CE27DA" w:rsidP="00B07DFC">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7E7A9D0" w14:textId="77777777" w:rsidR="00CE27DA" w:rsidRPr="00402DA7" w:rsidRDefault="00CE27DA" w:rsidP="00B07DFC">
            <w:pPr>
              <w:spacing w:line="276" w:lineRule="auto"/>
              <w:jc w:val="both"/>
              <w:rPr>
                <w:rFonts w:ascii="Verdana" w:eastAsia="Calibri" w:hAnsi="Verdana" w:cs="Arial"/>
                <w:lang w:val="es-ES_tradnl" w:eastAsia="es-ES_tradnl"/>
              </w:rPr>
            </w:pPr>
            <w:r w:rsidRPr="00402DA7">
              <w:rPr>
                <w:rFonts w:ascii="Verdana" w:eastAsia="Calibri" w:hAnsi="Verdana" w:cs="Arial"/>
                <w:lang w:val="es-ES_tradnl" w:eastAsia="es-ES_tradnl"/>
              </w:rPr>
              <w:t>Respuesta a la consulta con radicado No.</w:t>
            </w:r>
            <w:r w:rsidRPr="00402DA7">
              <w:rPr>
                <w:rFonts w:ascii="Segoe UI" w:hAnsi="Segoe UI" w:cs="Segoe UI"/>
                <w:color w:val="273257"/>
                <w:sz w:val="27"/>
                <w:szCs w:val="27"/>
                <w:shd w:val="clear" w:color="auto" w:fill="FFFFFF"/>
              </w:rPr>
              <w:t xml:space="preserve"> </w:t>
            </w:r>
            <w:r w:rsidRPr="00402DA7">
              <w:rPr>
                <w:rFonts w:ascii="Verdana" w:eastAsia="Calibri" w:hAnsi="Verdana" w:cs="Arial"/>
                <w:lang w:eastAsia="es-ES_tradnl"/>
              </w:rPr>
              <w:t>1_2025_08_04_008116</w:t>
            </w:r>
            <w:r w:rsidRPr="00402DA7">
              <w:rPr>
                <w:rFonts w:ascii="Verdana" w:eastAsia="Calibri" w:hAnsi="Verdana" w:cs="Arial"/>
                <w:lang w:val="es-ES_tradnl" w:eastAsia="es-ES_tradnl"/>
              </w:rPr>
              <w:t xml:space="preserve">  </w:t>
            </w:r>
          </w:p>
        </w:tc>
      </w:tr>
    </w:tbl>
    <w:p w14:paraId="51453F5B" w14:textId="77777777" w:rsidR="00CE27DA" w:rsidRPr="00593A5F" w:rsidRDefault="00CE27DA" w:rsidP="00CE27DA">
      <w:pPr>
        <w:spacing w:after="0" w:line="240" w:lineRule="auto"/>
        <w:jc w:val="both"/>
        <w:rPr>
          <w:rFonts w:ascii="Verdana" w:eastAsia="Calibri" w:hAnsi="Verdana" w:cs="Arial"/>
          <w:color w:val="000000"/>
          <w:lang w:val="es-ES_tradnl" w:eastAsia="es-ES_tradnl"/>
        </w:rPr>
      </w:pPr>
    </w:p>
    <w:p w14:paraId="689C61B2" w14:textId="77777777" w:rsidR="00CE27DA" w:rsidRPr="00593A5F" w:rsidRDefault="00CE27DA" w:rsidP="00CE27DA">
      <w:pPr>
        <w:spacing w:after="0" w:line="240" w:lineRule="auto"/>
        <w:jc w:val="both"/>
        <w:rPr>
          <w:rFonts w:ascii="Verdana" w:eastAsia="Calibri" w:hAnsi="Verdana" w:cs="Arial"/>
          <w:color w:val="000000"/>
          <w:lang w:val="es-ES_tradnl" w:eastAsia="es-ES_tradnl"/>
        </w:rPr>
      </w:pPr>
    </w:p>
    <w:p w14:paraId="525CC91F" w14:textId="77777777" w:rsidR="00CE27DA" w:rsidRPr="008E6AD9" w:rsidRDefault="00CE27DA" w:rsidP="00CE27D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Señor Tovar</w:t>
      </w:r>
      <w:r w:rsidRPr="008E6AD9">
        <w:rPr>
          <w:rFonts w:ascii="Verdana" w:eastAsia="Calibri" w:hAnsi="Verdana" w:cs="Arial"/>
          <w:lang w:val="es-ES" w:eastAsia="es-ES"/>
        </w:rPr>
        <w:t xml:space="preserve">: </w:t>
      </w:r>
    </w:p>
    <w:p w14:paraId="4C9C93D6" w14:textId="77777777" w:rsidR="00CE27DA" w:rsidRDefault="00CE27DA" w:rsidP="00CE27D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DE04FF6" w14:textId="77777777" w:rsidR="00CE27DA" w:rsidRPr="00402DA7" w:rsidRDefault="00CE27DA" w:rsidP="00CE27DA">
      <w:pPr>
        <w:spacing w:after="0" w:line="276" w:lineRule="auto"/>
        <w:jc w:val="both"/>
        <w:rPr>
          <w:rFonts w:ascii="Verdana" w:hAnsi="Verdana" w:cs="Arial"/>
          <w:bCs/>
          <w:lang w:val="es-ES" w:eastAsia="es-ES" w:bidi="es-ES"/>
        </w:rPr>
      </w:pPr>
      <w:r w:rsidRPr="0094448B">
        <w:rPr>
          <w:rFonts w:ascii="Verdana" w:hAnsi="Verdana" w:cs="Arial"/>
          <w:bCs/>
          <w:lang w:val="es-ES" w:eastAsia="es-ES" w:bidi="es-ES"/>
        </w:rPr>
        <w:t xml:space="preserve">En ejercicio de la competencia otorgada por los artículos 3, numeral 5º, y 11, numeral 8º, del Decreto Ley 4170 de 2011, </w:t>
      </w:r>
      <w:r w:rsidRPr="0094448B">
        <w:rPr>
          <w:rFonts w:ascii="Verdana" w:hAnsi="Verdana" w:cs="Arial"/>
          <w:bCs/>
          <w:lang w:eastAsia="es-ES" w:bidi="es-ES"/>
        </w:rPr>
        <w:t xml:space="preserve">así como lo establecido por la Resolución 469 de 2025 expedida por esta Entidad, </w:t>
      </w:r>
      <w:r w:rsidRPr="0094448B">
        <w:rPr>
          <w:rFonts w:ascii="Verdana" w:hAnsi="Verdana" w:cs="Arial"/>
          <w:bCs/>
          <w:lang w:val="es-ES" w:eastAsia="es-ES" w:bidi="es-ES"/>
        </w:rPr>
        <w:t>la Agencia Nacional de Contratación Pública – Colombia Compra Eficiente– responde su solicitud de consulta del</w:t>
      </w:r>
      <w:r>
        <w:rPr>
          <w:rFonts w:ascii="Verdana" w:hAnsi="Verdana" w:cs="Arial"/>
          <w:bCs/>
          <w:lang w:val="es-ES" w:eastAsia="es-ES" w:bidi="es-ES"/>
        </w:rPr>
        <w:t xml:space="preserve"> 4 de agosto</w:t>
      </w:r>
      <w:r w:rsidRPr="0094448B">
        <w:rPr>
          <w:rFonts w:ascii="Verdana" w:hAnsi="Verdana" w:cs="Arial"/>
          <w:bCs/>
          <w:lang w:val="es-ES" w:eastAsia="es-ES" w:bidi="es-ES"/>
        </w:rPr>
        <w:t xml:space="preserve">, en la cual manifiesta: </w:t>
      </w:r>
    </w:p>
    <w:p w14:paraId="11685455" w14:textId="77777777" w:rsidR="00CE27DA" w:rsidRPr="00272A7B" w:rsidRDefault="00CE27DA" w:rsidP="00CE27DA">
      <w:pPr>
        <w:pStyle w:val="Prrafodelista"/>
        <w:tabs>
          <w:tab w:val="left" w:pos="142"/>
          <w:tab w:val="left" w:pos="284"/>
        </w:tabs>
        <w:spacing w:after="0" w:line="276" w:lineRule="auto"/>
        <w:ind w:left="0"/>
        <w:jc w:val="both"/>
        <w:rPr>
          <w:rFonts w:ascii="Verdana" w:eastAsia="Century Gothic" w:hAnsi="Verdana" w:cs="Century Gothic"/>
          <w:b/>
          <w:bCs/>
        </w:rPr>
      </w:pPr>
    </w:p>
    <w:p w14:paraId="6A77EAB0"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bookmarkStart w:id="2" w:name="_Hlk95313578"/>
      <w:r w:rsidRPr="00402DA7">
        <w:rPr>
          <w:rFonts w:ascii="Verdana" w:eastAsia="Century Gothic" w:hAnsi="Verdana" w:cs="Century Gothic"/>
          <w:sz w:val="20"/>
          <w:szCs w:val="20"/>
          <w:lang w:val="es-ES"/>
        </w:rPr>
        <w:t>“</w:t>
      </w:r>
      <w:bookmarkEnd w:id="2"/>
      <w:r w:rsidRPr="00402DA7">
        <w:rPr>
          <w:rFonts w:ascii="Verdana" w:eastAsia="Century Gothic" w:hAnsi="Verdana" w:cs="Century Gothic"/>
          <w:sz w:val="20"/>
          <w:szCs w:val="20"/>
        </w:rPr>
        <w:t xml:space="preserve">1. ¿Qué consecuencias jurídicas tendría no declarar una situación de control dentro del plazo de tres (3) días hábiles? </w:t>
      </w:r>
    </w:p>
    <w:p w14:paraId="1573496B"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r w:rsidRPr="00402DA7">
        <w:rPr>
          <w:rFonts w:ascii="Verdana" w:eastAsia="Century Gothic" w:hAnsi="Verdana" w:cs="Century Gothic"/>
          <w:sz w:val="20"/>
          <w:szCs w:val="20"/>
        </w:rPr>
        <w:t xml:space="preserve">2. ¿La omisión de información sobre situaciones de control puede constituir causal de inhabilidad o de rechazo de las propuestas presentadas? </w:t>
      </w:r>
    </w:p>
    <w:p w14:paraId="02D43B6E"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r w:rsidRPr="00402DA7">
        <w:rPr>
          <w:rFonts w:ascii="Verdana" w:eastAsia="Century Gothic" w:hAnsi="Verdana" w:cs="Century Gothic"/>
          <w:sz w:val="20"/>
          <w:szCs w:val="20"/>
        </w:rPr>
        <w:t xml:space="preserve">3. ¿Cómo deben actuar las entidades contratantes si detectan que varios proponentes comparten una situación de control? </w:t>
      </w:r>
    </w:p>
    <w:p w14:paraId="22F8AF39"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r w:rsidRPr="00402DA7">
        <w:rPr>
          <w:rFonts w:ascii="Verdana" w:eastAsia="Century Gothic" w:hAnsi="Verdana" w:cs="Century Gothic"/>
          <w:sz w:val="20"/>
          <w:szCs w:val="20"/>
        </w:rPr>
        <w:lastRenderedPageBreak/>
        <w:t xml:space="preserve">4. ¿Qué mecanismos tiene la Secretaría de Transparencia para articularse con las entidades competentes en caso de advertirse posibles riesgos de corrupción? </w:t>
      </w:r>
    </w:p>
    <w:p w14:paraId="3966E365"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r w:rsidRPr="00402DA7">
        <w:rPr>
          <w:rFonts w:ascii="Verdana" w:eastAsia="Century Gothic" w:hAnsi="Verdana" w:cs="Century Gothic"/>
          <w:sz w:val="20"/>
          <w:szCs w:val="20"/>
        </w:rPr>
        <w:t>5. ¿Cuál sería el medio de prueba idóneo para verificar la existencia o no de situaciones de control de los proponentes?</w:t>
      </w:r>
    </w:p>
    <w:p w14:paraId="3B2E6153" w14:textId="77777777" w:rsidR="00CE27DA" w:rsidRPr="00402DA7" w:rsidRDefault="00CE27DA" w:rsidP="00CE27DA">
      <w:pPr>
        <w:spacing w:after="0" w:line="240" w:lineRule="auto"/>
        <w:ind w:left="709" w:right="709"/>
        <w:jc w:val="both"/>
        <w:rPr>
          <w:rFonts w:ascii="Verdana" w:eastAsia="Century Gothic" w:hAnsi="Verdana" w:cs="Century Gothic"/>
          <w:sz w:val="20"/>
          <w:szCs w:val="20"/>
        </w:rPr>
      </w:pPr>
      <w:r w:rsidRPr="00402DA7">
        <w:rPr>
          <w:rFonts w:ascii="Verdana" w:eastAsia="Century Gothic" w:hAnsi="Verdana" w:cs="Century Gothic"/>
          <w:sz w:val="20"/>
          <w:szCs w:val="20"/>
        </w:rPr>
        <w:t>6. ¿Bajo cual mecanismo la entidad puede hacer coercitivo el suministro de la información requerida en el artículo, con posterioridad al cierre del proceso?</w:t>
      </w:r>
      <w:r>
        <w:rPr>
          <w:rFonts w:ascii="Verdana" w:eastAsia="Century Gothic" w:hAnsi="Verdana" w:cs="Century Gothic"/>
          <w:sz w:val="20"/>
          <w:szCs w:val="20"/>
        </w:rPr>
        <w:t>”</w:t>
      </w:r>
    </w:p>
    <w:p w14:paraId="7D587980" w14:textId="77777777" w:rsidR="00CE27DA" w:rsidRPr="008E6AD9" w:rsidRDefault="00CE27DA" w:rsidP="00CE27DA">
      <w:pPr>
        <w:pStyle w:val="Prrafodelista"/>
        <w:tabs>
          <w:tab w:val="left" w:pos="142"/>
          <w:tab w:val="left" w:pos="284"/>
        </w:tabs>
        <w:spacing w:after="0" w:line="276" w:lineRule="auto"/>
        <w:ind w:left="0"/>
        <w:jc w:val="both"/>
        <w:rPr>
          <w:rFonts w:ascii="Verdana" w:eastAsia="Century Gothic" w:hAnsi="Verdana" w:cs="Century Gothic"/>
          <w:b/>
          <w:bCs/>
        </w:rPr>
      </w:pPr>
    </w:p>
    <w:p w14:paraId="463A2739" w14:textId="77777777" w:rsidR="00CE27DA" w:rsidRPr="00A652FF" w:rsidRDefault="00CE27DA" w:rsidP="00CE27D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FFF9C22" w14:textId="77777777" w:rsidR="00CE27DA" w:rsidRDefault="00CE27DA" w:rsidP="00CE27D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los problemas jurídicos 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C15A9CE" w14:textId="77777777" w:rsidR="00CE27DA" w:rsidRPr="00593A5F" w:rsidRDefault="00CE27DA" w:rsidP="00CE27DA">
      <w:pPr>
        <w:spacing w:after="0" w:line="276" w:lineRule="auto"/>
        <w:ind w:firstLine="709"/>
        <w:jc w:val="both"/>
        <w:rPr>
          <w:rFonts w:ascii="Verdana" w:eastAsia="Calibri" w:hAnsi="Verdana" w:cs="Arial"/>
          <w:color w:val="000000"/>
          <w:lang w:val="es-ES" w:eastAsia="es-ES"/>
        </w:rPr>
      </w:pPr>
    </w:p>
    <w:p w14:paraId="76201B6D" w14:textId="77777777" w:rsidR="00CE27DA" w:rsidRPr="00593A5F" w:rsidRDefault="00CE27DA" w:rsidP="00CE27D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8C90B66" w14:textId="77777777" w:rsidR="00CE27DA" w:rsidRPr="004C34F8" w:rsidRDefault="00CE27DA" w:rsidP="00CE27DA">
      <w:pPr>
        <w:tabs>
          <w:tab w:val="left" w:pos="426"/>
        </w:tabs>
        <w:spacing w:after="0" w:line="276" w:lineRule="auto"/>
        <w:jc w:val="both"/>
        <w:rPr>
          <w:rFonts w:ascii="Verdana" w:eastAsia="Century Gothic" w:hAnsi="Verdana" w:cs="Century Gothic"/>
          <w:lang w:val="es-ES"/>
        </w:rPr>
      </w:pPr>
    </w:p>
    <w:p w14:paraId="63C729FC" w14:textId="77777777" w:rsidR="00CE27DA" w:rsidRPr="004C34F8" w:rsidRDefault="00CE27DA" w:rsidP="00CE27DA">
      <w:pPr>
        <w:spacing w:after="0" w:line="276" w:lineRule="auto"/>
        <w:jc w:val="both"/>
        <w:rPr>
          <w:rFonts w:ascii="Verdana" w:eastAsia="Century Gothic" w:hAnsi="Verdana" w:cs="Century Gothic"/>
        </w:rPr>
      </w:pPr>
      <w:r w:rsidRPr="004C34F8">
        <w:rPr>
          <w:rFonts w:ascii="Verdana" w:eastAsia="Century Gothic" w:hAnsi="Verdana" w:cs="Century Gothic"/>
        </w:rPr>
        <w:t>De acuerdo con el contenido de sus solicitudes, esta Agencia resolverá los siguientes problemas jurídicos: ¿</w:t>
      </w:r>
      <w:r>
        <w:rPr>
          <w:rFonts w:ascii="Verdana" w:eastAsia="Century Gothic" w:hAnsi="Verdana" w:cs="Century Gothic"/>
        </w:rPr>
        <w:t>C</w:t>
      </w:r>
      <w:r w:rsidRPr="004C34F8">
        <w:rPr>
          <w:rFonts w:ascii="Verdana" w:eastAsia="Century Gothic" w:hAnsi="Verdana" w:cs="Century Gothic"/>
        </w:rPr>
        <w:t xml:space="preserve">uáles son los efectos jurídicos </w:t>
      </w:r>
      <w:proofErr w:type="gramStart"/>
      <w:r w:rsidRPr="004C34F8">
        <w:rPr>
          <w:rFonts w:ascii="Verdana" w:eastAsia="Century Gothic" w:hAnsi="Verdana" w:cs="Century Gothic"/>
        </w:rPr>
        <w:t>a</w:t>
      </w:r>
      <w:proofErr w:type="gramEnd"/>
      <w:r w:rsidRPr="004C34F8">
        <w:rPr>
          <w:rFonts w:ascii="Verdana" w:eastAsia="Century Gothic" w:hAnsi="Verdana" w:cs="Century Gothic"/>
        </w:rPr>
        <w:t xml:space="preserve"> tener en cuenta de no declarar u omitir una situación de control? ¿Cuáles son las reglas que debe tenerse en cuenta por parte de las entidades para determinar si hay una situación de control? ¿Cuál es el rol de la Secretaría de Transparencia para articularse con las entidades competentes en caso de advertirse posibles riesgos de corrupción?</w:t>
      </w:r>
    </w:p>
    <w:p w14:paraId="6AA291E5" w14:textId="77777777" w:rsidR="00CE27DA" w:rsidRPr="004C34F8" w:rsidRDefault="00CE27DA" w:rsidP="00CE27DA">
      <w:pPr>
        <w:spacing w:after="0" w:line="276" w:lineRule="auto"/>
        <w:jc w:val="both"/>
        <w:rPr>
          <w:rFonts w:ascii="Verdana" w:eastAsia="Calibri" w:hAnsi="Verdana" w:cs="Arial"/>
        </w:rPr>
      </w:pPr>
    </w:p>
    <w:p w14:paraId="79C3E6DD" w14:textId="77777777" w:rsidR="00CE27DA" w:rsidRPr="004C34F8" w:rsidRDefault="00CE27DA" w:rsidP="00CE27DA">
      <w:pPr>
        <w:spacing w:after="0" w:line="276" w:lineRule="auto"/>
        <w:jc w:val="both"/>
        <w:rPr>
          <w:rFonts w:ascii="Verdana" w:eastAsia="Calibri" w:hAnsi="Verdana" w:cs="Arial"/>
        </w:rPr>
      </w:pPr>
    </w:p>
    <w:p w14:paraId="6B7CA2F8" w14:textId="77777777" w:rsidR="00CE27DA" w:rsidRPr="00593A5F" w:rsidRDefault="00CE27DA" w:rsidP="00CE27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2784F982" w14:textId="77777777" w:rsidR="00CE27DA" w:rsidRPr="00593A5F" w:rsidRDefault="00CE27DA" w:rsidP="00CE27D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27DA" w:rsidRPr="00593A5F" w14:paraId="54D93D25" w14:textId="77777777" w:rsidTr="00B07DFC">
        <w:trPr>
          <w:jc w:val="center"/>
        </w:trPr>
        <w:tc>
          <w:tcPr>
            <w:tcW w:w="8828" w:type="dxa"/>
          </w:tcPr>
          <w:p w14:paraId="3364BBFB" w14:textId="77777777" w:rsidR="00CE27DA" w:rsidRDefault="00CE27DA" w:rsidP="00B07DFC">
            <w:pPr>
              <w:spacing w:after="120" w:line="276" w:lineRule="auto"/>
              <w:jc w:val="both"/>
              <w:rPr>
                <w:rFonts w:ascii="Verdana" w:eastAsia="Calibri" w:hAnsi="Verdana" w:cs="Arial"/>
              </w:rPr>
            </w:pPr>
            <w:bookmarkStart w:id="3" w:name="_Hlk171694685"/>
            <w:r>
              <w:rPr>
                <w:rFonts w:ascii="Verdana" w:eastAsia="Calibri" w:hAnsi="Verdana" w:cs="Arial"/>
              </w:rPr>
              <w:t>De acuerdo con los problemas jurídicos, motivo de consulta, se señala lo siguiente:</w:t>
            </w:r>
          </w:p>
          <w:p w14:paraId="3A8C5829" w14:textId="77777777" w:rsidR="00CE27DA" w:rsidRPr="0050123F" w:rsidRDefault="00CE27DA" w:rsidP="00B07DFC">
            <w:pPr>
              <w:spacing w:after="120" w:line="276" w:lineRule="auto"/>
              <w:jc w:val="both"/>
              <w:rPr>
                <w:rFonts w:ascii="Verdana" w:eastAsia="Calibri" w:hAnsi="Verdana" w:cs="Arial"/>
              </w:rPr>
            </w:pPr>
            <w:r>
              <w:rPr>
                <w:rFonts w:ascii="Verdana" w:eastAsia="Calibri" w:hAnsi="Verdana" w:cs="Arial"/>
              </w:rPr>
              <w:t xml:space="preserve">i. </w:t>
            </w:r>
            <w:r w:rsidRPr="0050123F">
              <w:rPr>
                <w:rFonts w:ascii="Verdana" w:eastAsia="Calibri" w:hAnsi="Verdana" w:cs="Arial"/>
              </w:rPr>
              <w:t>En relación con</w:t>
            </w:r>
            <w:r>
              <w:rPr>
                <w:rFonts w:ascii="Verdana" w:eastAsia="Calibri" w:hAnsi="Verdana" w:cs="Arial"/>
              </w:rPr>
              <w:t xml:space="preserve"> este tema</w:t>
            </w:r>
            <w:r w:rsidRPr="0050123F">
              <w:rPr>
                <w:rFonts w:ascii="Verdana" w:eastAsia="Calibri" w:hAnsi="Verdana" w:cs="Arial"/>
              </w:rPr>
              <w:t>, debe indicarse que, lo usual es que todos los documentos de la oferta se entreguen antes del cierre del proceso. Sin embargo, el literal a) del artículo 2.1.4.3.2.1 del Decreto 1081 de 2015,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de grupo empresarial en la que existan relaciones de subordinación conforme a los artículos 260 y 261 del Código de Comercio.</w:t>
            </w:r>
          </w:p>
          <w:p w14:paraId="351EFDC7" w14:textId="77777777" w:rsidR="00CE27DA" w:rsidRDefault="00CE27DA" w:rsidP="00B07DFC">
            <w:pPr>
              <w:spacing w:after="120" w:line="276" w:lineRule="auto"/>
              <w:ind w:right="51"/>
              <w:jc w:val="both"/>
              <w:rPr>
                <w:rFonts w:ascii="Verdana" w:eastAsia="Calibri" w:hAnsi="Verdana" w:cs="Arial"/>
              </w:rPr>
            </w:pPr>
            <w:r w:rsidRPr="0050123F">
              <w:rPr>
                <w:rFonts w:ascii="Verdana" w:eastAsia="Calibri" w:hAnsi="Verdana" w:cs="Arial"/>
              </w:rPr>
              <w:t xml:space="preserve"> </w:t>
            </w:r>
            <w:r w:rsidRPr="0050123F">
              <w:rPr>
                <w:rFonts w:ascii="Verdana" w:eastAsia="Calibri" w:hAnsi="Verdana" w:cs="Arial"/>
              </w:rPr>
              <w:tab/>
              <w:t>La omisión del contratista del deber de declarar la existencia o inexistencia de situaciones de control en las que participe no exime a la entidad estatal del cumplimiento de su deber de ejercer la potestad verificadora que le corresponde, especialmente en lo que respecta a la acreditación de la capacidad jurídica, la cual puede verse comprometida por la configuración de dichas situaciones. Así, la información relacionada con situaciones de control constituye un insumo fundamental para verificar la capacidad jurídica de los proponentes den</w:t>
            </w:r>
            <w:r>
              <w:rPr>
                <w:rFonts w:ascii="Verdana" w:eastAsia="Calibri" w:hAnsi="Verdana" w:cs="Arial"/>
              </w:rPr>
              <w:t>tro del proceso de contratación</w:t>
            </w:r>
            <w:r w:rsidRPr="0050123F">
              <w:rPr>
                <w:rFonts w:ascii="Verdana" w:eastAsia="Calibri" w:hAnsi="Verdana" w:cs="Arial"/>
              </w:rPr>
              <w:t>.</w:t>
            </w:r>
            <w:r>
              <w:rPr>
                <w:rFonts w:ascii="Verdana" w:eastAsia="Calibri" w:hAnsi="Verdana" w:cs="Arial"/>
              </w:rPr>
              <w:t xml:space="preserve"> </w:t>
            </w:r>
            <w:r w:rsidRPr="0050123F">
              <w:rPr>
                <w:rFonts w:ascii="Verdana" w:eastAsia="Calibri" w:hAnsi="Verdana" w:cs="Arial"/>
              </w:rPr>
              <w:t>En ese sentido, si en el marco de la evaluación de las ofertas, y antes de la publicación del respectivo informe, la entidad estatal advierte circunstancias que indiquen la posible configuración de una situación de control, estará facultada para solicitar a los proponentes las explicaciones, aclaraciones o información adicional que resulten necesarias para esclarecer dicha circunstancia. Esto, en ejercicio de su deber de verificación y con el fin de garantizar la correcta evaluación de la capacidad jurídica de los oferentes.</w:t>
            </w:r>
            <w:r>
              <w:rPr>
                <w:rFonts w:ascii="Verdana" w:eastAsia="Calibri" w:hAnsi="Verdana" w:cs="Arial"/>
              </w:rPr>
              <w:t xml:space="preserve"> Por tanto, la no entrega de la información del proponente sobre la existencia o no de situaciones de control no constituye una inhabilidad o incompatibilidad, de acuerdo con las causales reguladas en el Sistema de Compra Pública. </w:t>
            </w:r>
          </w:p>
          <w:p w14:paraId="00FA8FD1" w14:textId="77777777" w:rsidR="00CE27DA" w:rsidRDefault="00CE27DA" w:rsidP="00B07DFC">
            <w:pPr>
              <w:spacing w:after="120" w:line="276" w:lineRule="auto"/>
              <w:ind w:right="51" w:firstLine="709"/>
              <w:jc w:val="both"/>
              <w:rPr>
                <w:rFonts w:ascii="Verdana" w:eastAsia="Calibri" w:hAnsi="Verdana" w:cs="Arial"/>
              </w:rPr>
            </w:pPr>
            <w:r w:rsidRPr="0050123F">
              <w:rPr>
                <w:rFonts w:ascii="Verdana" w:eastAsia="Calibri" w:hAnsi="Verdana" w:cs="Arial"/>
              </w:rPr>
              <w:t xml:space="preserve">Ahora bien, de acuerdo con el último inciso del literal a) del artículo 2.1.4.3.2.1 del Decreto 1081 de 2015, si en desarrollo del análisis que debe realizar la entidad se evidencian circunstancias que pudieran implicar </w:t>
            </w:r>
            <w:r w:rsidRPr="0050123F">
              <w:rPr>
                <w:rFonts w:ascii="Verdana" w:eastAsia="Calibri" w:hAnsi="Verdana" w:cs="Arial"/>
              </w:rPr>
              <w:lastRenderedPageBreak/>
              <w:t xml:space="preserve">afectaciones a la libertad de concurrencia o competencia, o a la pluralidad real de oferentes dentro del proceso de selección correspondiente, la entidad que adelanta el proceso de selección, deberá, </w:t>
            </w:r>
            <w:r w:rsidRPr="0050123F">
              <w:rPr>
                <w:rFonts w:ascii="Verdana" w:eastAsia="Calibri" w:hAnsi="Verdana" w:cs="Arial"/>
                <w:i/>
                <w:iCs/>
              </w:rPr>
              <w:t>por una parte</w:t>
            </w:r>
            <w:r w:rsidRPr="0050123F">
              <w:rPr>
                <w:rFonts w:ascii="Verdana" w:eastAsia="Calibri" w:hAnsi="Verdana" w:cs="Arial"/>
              </w:rPr>
              <w:t xml:space="preserve">, evaluar la necesidad de poner tales situaciones en conocimiento de los entes de control competentes y, </w:t>
            </w:r>
            <w:r w:rsidRPr="0050123F">
              <w:rPr>
                <w:rFonts w:ascii="Verdana" w:eastAsia="Calibri" w:hAnsi="Verdana" w:cs="Arial"/>
                <w:i/>
                <w:iCs/>
              </w:rPr>
              <w:t>por otra parte</w:t>
            </w:r>
            <w:r w:rsidRPr="0050123F">
              <w:rPr>
                <w:rFonts w:ascii="Verdana" w:eastAsia="Calibri" w:hAnsi="Verdana" w:cs="Arial"/>
              </w:rPr>
              <w:t>, de ser necesario, solicitar el acompañamiento preventivo de estas entidades.</w:t>
            </w:r>
          </w:p>
          <w:p w14:paraId="276BF435" w14:textId="77777777" w:rsidR="00CE27DA" w:rsidRDefault="00CE27DA" w:rsidP="00B07DFC">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Por regla general, además de lo manifestado por los interesados, las entidades podrán verificar situaciones de control a través del RUP. En este aspecto, se precisa que e</w:t>
            </w:r>
            <w:r w:rsidRPr="002F035D">
              <w:rPr>
                <w:rFonts w:ascii="Verdana" w:hAnsi="Verdana" w:cs="Arial"/>
              </w:rPr>
              <w:t>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El artículo 6.1 de la Ley 1150 de 2007, al determinar las características aplicables al RUP, cualifica la información plasmada en él, al establecer que constituye plena prueba de lo que contiene.</w:t>
            </w:r>
            <w:r>
              <w:rPr>
                <w:rFonts w:ascii="Verdana" w:hAnsi="Verdana" w:cs="Arial"/>
              </w:rPr>
              <w:t xml:space="preserve"> </w:t>
            </w:r>
            <w:r>
              <w:rPr>
                <w:rFonts w:ascii="Verdana" w:eastAsia="Calibri" w:hAnsi="Verdana" w:cs="Arial"/>
              </w:rPr>
              <w:t>En caso de que el RUP no sea obligatorio, el pliego de condiciones debe establecer el mecanismo de validación correspondiente para determinar una situación de control.</w:t>
            </w:r>
          </w:p>
          <w:p w14:paraId="73846055" w14:textId="77777777" w:rsidR="00CE27DA" w:rsidRPr="00112429" w:rsidRDefault="00CE27DA" w:rsidP="00B07DFC">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La Secretaría de Transparencia </w:t>
            </w:r>
            <w:r w:rsidRPr="00112429">
              <w:rPr>
                <w:rFonts w:ascii="Verdana" w:eastAsia="Calibri" w:hAnsi="Verdana" w:cs="Arial"/>
              </w:rPr>
              <w:t>se articula</w:t>
            </w:r>
            <w:r>
              <w:rPr>
                <w:rFonts w:ascii="Verdana" w:eastAsia="Calibri" w:hAnsi="Verdana" w:cs="Arial"/>
              </w:rPr>
              <w:t xml:space="preserve"> con</w:t>
            </w:r>
            <w:r w:rsidRPr="00112429">
              <w:rPr>
                <w:rFonts w:ascii="Verdana" w:eastAsia="Calibri" w:hAnsi="Verdana" w:cs="Arial"/>
              </w:rPr>
              <w:t xml:space="preserve"> las instancias creadas por la Ley 1474 de 2011 para fortalecer la lucha contra la corrupción en el Estado. Dichas instancias son: i) la Comisión Nacional de Moralización; </w:t>
            </w:r>
            <w:proofErr w:type="spellStart"/>
            <w:r w:rsidRPr="00112429">
              <w:rPr>
                <w:rFonts w:ascii="Verdana" w:eastAsia="Calibri" w:hAnsi="Verdana" w:cs="Arial"/>
              </w:rPr>
              <w:t>ii</w:t>
            </w:r>
            <w:proofErr w:type="spellEnd"/>
            <w:r w:rsidRPr="00112429">
              <w:rPr>
                <w:rFonts w:ascii="Verdana" w:eastAsia="Calibri" w:hAnsi="Verdana" w:cs="Arial"/>
              </w:rPr>
              <w:t xml:space="preserve">) Las Comisiones Regionales de Moralización; </w:t>
            </w:r>
            <w:proofErr w:type="spellStart"/>
            <w:r w:rsidRPr="00112429">
              <w:rPr>
                <w:rFonts w:ascii="Verdana" w:eastAsia="Calibri" w:hAnsi="Verdana" w:cs="Arial"/>
              </w:rPr>
              <w:t>iii</w:t>
            </w:r>
            <w:proofErr w:type="spellEnd"/>
            <w:r w:rsidRPr="00112429">
              <w:rPr>
                <w:rFonts w:ascii="Verdana" w:eastAsia="Calibri" w:hAnsi="Verdana" w:cs="Arial"/>
              </w:rPr>
              <w:t xml:space="preserve">) la Comisión Nacional Ciudadana de Lucha contra la Corrupción. </w:t>
            </w:r>
          </w:p>
          <w:p w14:paraId="3870825F" w14:textId="77777777" w:rsidR="00CE27DA" w:rsidRDefault="00CE27DA" w:rsidP="00B07DFC">
            <w:pPr>
              <w:spacing w:after="120" w:line="276" w:lineRule="auto"/>
              <w:jc w:val="both"/>
              <w:rPr>
                <w:rFonts w:ascii="Verdana" w:eastAsia="Times New Roman" w:hAnsi="Verdana" w:cs="Arial"/>
              </w:rPr>
            </w:pPr>
            <w:r w:rsidRPr="00112429">
              <w:rPr>
                <w:rFonts w:ascii="Verdana" w:eastAsia="Calibri" w:hAnsi="Verdana" w:cs="Arial"/>
              </w:rPr>
              <w:tab/>
              <w:t>En este a</w:t>
            </w:r>
            <w:r>
              <w:rPr>
                <w:rFonts w:ascii="Verdana" w:eastAsia="Calibri" w:hAnsi="Verdana" w:cs="Arial"/>
              </w:rPr>
              <w:t xml:space="preserve">specto, puede resaltarse que la </w:t>
            </w:r>
            <w:r>
              <w:rPr>
                <w:rFonts w:ascii="Verdana" w:eastAsia="Times New Roman" w:hAnsi="Verdana" w:cs="Arial"/>
              </w:rPr>
              <w:t xml:space="preserve">entidad fue reestructurada en el Decreto 2647 de 2022, en la que estableció en el eje de la coordinación interinstitucional en el fomento y contribución </w:t>
            </w:r>
            <w:r w:rsidRPr="00EE4B48">
              <w:rPr>
                <w:rFonts w:ascii="Verdana" w:eastAsia="Times New Roman" w:hAnsi="Verdana" w:cs="Arial"/>
              </w:rPr>
              <w:t>de las diferentes ramas del poder público y órganos de control del nivel nacional y territorial, para la ejecución de la política de transparencia y lucha contra la corrupción.</w:t>
            </w:r>
            <w:r>
              <w:rPr>
                <w:rFonts w:ascii="Verdana" w:eastAsia="Times New Roman" w:hAnsi="Verdana" w:cs="Arial"/>
              </w:rPr>
              <w:t xml:space="preserve"> Para ello, ejerce </w:t>
            </w:r>
            <w:r w:rsidRPr="00EE4B48">
              <w:rPr>
                <w:rFonts w:ascii="Verdana" w:eastAsia="Times New Roman" w:hAnsi="Verdana" w:cs="Arial"/>
              </w:rPr>
              <w:t>la Secretaría Técnica de la Comisión Nacional para la Moralización en el m</w:t>
            </w:r>
            <w:r>
              <w:rPr>
                <w:rFonts w:ascii="Verdana" w:eastAsia="Times New Roman" w:hAnsi="Verdana" w:cs="Arial"/>
              </w:rPr>
              <w:t xml:space="preserve">arco de la normatividad vigente, así como la función de requerir </w:t>
            </w:r>
            <w:r w:rsidRPr="00EE4B48">
              <w:rPr>
                <w:rFonts w:ascii="Verdana" w:eastAsia="Times New Roman" w:hAnsi="Verdana" w:cs="Arial"/>
              </w:rPr>
              <w:t>a las Comisiones Regionales de Moralización, adelantar la investigación por presuntos delitos contra la administración pública, contra el orden económico y social, contra el patrimonio económico, faltas disciplinares o fiscales de los que haya tenido conocimiento y formular recomendaciones para prevenir o atacar ri</w:t>
            </w:r>
            <w:r>
              <w:rPr>
                <w:rFonts w:ascii="Verdana" w:eastAsia="Times New Roman" w:hAnsi="Verdana" w:cs="Arial"/>
              </w:rPr>
              <w:t xml:space="preserve">esgos sistémicos de corrupción. De igual modo, cumple la </w:t>
            </w:r>
            <w:r>
              <w:rPr>
                <w:rFonts w:ascii="Verdana" w:eastAsia="Times New Roman" w:hAnsi="Verdana" w:cs="Arial"/>
              </w:rPr>
              <w:lastRenderedPageBreak/>
              <w:t xml:space="preserve">función de coordinar las </w:t>
            </w:r>
            <w:r w:rsidRPr="00C83833">
              <w:rPr>
                <w:rFonts w:ascii="Verdana" w:eastAsia="Times New Roman" w:hAnsi="Verdana" w:cs="Arial"/>
              </w:rPr>
              <w:t>actividades con la Secretar</w:t>
            </w:r>
            <w:r>
              <w:rPr>
                <w:rFonts w:ascii="Verdana" w:eastAsia="Times New Roman" w:hAnsi="Verdana" w:cs="Arial"/>
              </w:rPr>
              <w:t>í</w:t>
            </w:r>
            <w:r w:rsidRPr="00C83833">
              <w:rPr>
                <w:rFonts w:ascii="Verdana" w:eastAsia="Times New Roman" w:hAnsi="Verdana" w:cs="Arial"/>
              </w:rPr>
              <w:t>a</w:t>
            </w:r>
            <w:r>
              <w:rPr>
                <w:rFonts w:ascii="Verdana" w:eastAsia="Times New Roman" w:hAnsi="Verdana" w:cs="Arial"/>
              </w:rPr>
              <w:t xml:space="preserve"> </w:t>
            </w:r>
            <w:r w:rsidRPr="00C83833">
              <w:rPr>
                <w:rFonts w:ascii="Verdana" w:eastAsia="Times New Roman" w:hAnsi="Verdana" w:cs="Arial"/>
              </w:rPr>
              <w:t>Técnica de la Comisión Nacional Ciudadana para la Lucha Contra la Corrupción y promover la aplicación de los lineamientos tanto de esta Comisión como de la Comisión Nacional para la Moralización en las Comisiones Regionales de Moralización.</w:t>
            </w:r>
          </w:p>
          <w:p w14:paraId="4F463E84" w14:textId="77777777" w:rsidR="00CE27DA" w:rsidRPr="007B1EDA" w:rsidRDefault="00CE27DA" w:rsidP="00B07DFC">
            <w:pPr>
              <w:spacing w:after="120" w:line="276" w:lineRule="auto"/>
              <w:ind w:firstLine="709"/>
              <w:jc w:val="both"/>
              <w:rPr>
                <w:rFonts w:ascii="Verdana" w:eastAsia="Times New Roman" w:hAnsi="Verdana" w:cs="Arial"/>
              </w:rPr>
            </w:pPr>
            <w:r>
              <w:rPr>
                <w:rFonts w:ascii="Verdana" w:eastAsia="Times New Roman" w:hAnsi="Verdana" w:cs="Arial"/>
              </w:rPr>
              <w:t xml:space="preserve">Para entender ese rol articulador, se recomienda acudir a la página web </w:t>
            </w:r>
            <w:hyperlink r:id="rId11" w:history="1">
              <w:r w:rsidRPr="00D85224">
                <w:rPr>
                  <w:rStyle w:val="Hipervnculo"/>
                  <w:rFonts w:ascii="Verdana" w:eastAsia="Times New Roman" w:hAnsi="Verdana" w:cs="Arial"/>
                </w:rPr>
                <w:t>https://www.secretariatransparencia.gov.co/</w:t>
              </w:r>
            </w:hyperlink>
            <w:r>
              <w:rPr>
                <w:rFonts w:ascii="Verdana" w:eastAsia="Times New Roman" w:hAnsi="Verdana" w:cs="Arial"/>
              </w:rPr>
              <w:t xml:space="preserve"> de dicha entidad, donde encontrará capacitaciones y una serie de herramientas que permitirán coordinarse en la lucha contra la corrupción.</w:t>
            </w:r>
          </w:p>
        </w:tc>
      </w:tr>
    </w:tbl>
    <w:p w14:paraId="2D0BA390" w14:textId="77777777" w:rsidR="00CE27DA" w:rsidRPr="00593A5F" w:rsidRDefault="00CE27DA" w:rsidP="00CE27DA">
      <w:pPr>
        <w:tabs>
          <w:tab w:val="left" w:pos="142"/>
          <w:tab w:val="left" w:pos="284"/>
        </w:tabs>
        <w:spacing w:after="0" w:line="276" w:lineRule="auto"/>
        <w:jc w:val="both"/>
        <w:rPr>
          <w:rFonts w:ascii="Verdana" w:eastAsia="Century Gothic" w:hAnsi="Verdana" w:cs="Century Gothic"/>
          <w:b/>
          <w:bCs/>
          <w:lang w:val="es-ES"/>
        </w:rPr>
      </w:pPr>
    </w:p>
    <w:bookmarkEnd w:id="3"/>
    <w:p w14:paraId="328E8D1A" w14:textId="77777777" w:rsidR="00CE27DA" w:rsidRPr="00593A5F" w:rsidRDefault="00CE27DA" w:rsidP="00CE27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C7E45B" w14:textId="77777777" w:rsidR="00CE27DA" w:rsidRPr="00593A5F" w:rsidRDefault="00CE27DA" w:rsidP="00CE27DA">
      <w:pPr>
        <w:spacing w:after="0" w:line="276" w:lineRule="auto"/>
        <w:jc w:val="both"/>
        <w:rPr>
          <w:rFonts w:ascii="Verdana" w:eastAsia="Calibri" w:hAnsi="Verdana" w:cs="Arial"/>
          <w:color w:val="7030A0"/>
          <w:lang w:val="es-ES"/>
        </w:rPr>
      </w:pPr>
    </w:p>
    <w:p w14:paraId="0C903C98" w14:textId="77777777" w:rsidR="00CE27DA" w:rsidRDefault="00CE27DA" w:rsidP="00CE27D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4715C47" w14:textId="77777777" w:rsidR="00CE27DA" w:rsidRPr="00415608" w:rsidRDefault="00CE27DA" w:rsidP="00CE27DA">
      <w:pPr>
        <w:spacing w:after="0" w:line="276" w:lineRule="auto"/>
        <w:jc w:val="both"/>
        <w:rPr>
          <w:rFonts w:ascii="Verdana" w:eastAsia="Calibri" w:hAnsi="Verdana" w:cs="Arial"/>
          <w:lang w:val="es-ES"/>
        </w:rPr>
      </w:pPr>
    </w:p>
    <w:p w14:paraId="5BEDC717" w14:textId="77777777" w:rsidR="00CE27DA" w:rsidRPr="0050123F" w:rsidRDefault="00CE27DA" w:rsidP="00CE27DA">
      <w:pPr>
        <w:spacing w:after="120" w:line="276" w:lineRule="auto"/>
        <w:jc w:val="both"/>
        <w:rPr>
          <w:rFonts w:ascii="Verdana" w:eastAsia="Calibri" w:hAnsi="Verdana" w:cs="Arial"/>
          <w:lang w:eastAsia="es-ES_tradnl"/>
        </w:rPr>
      </w:pPr>
      <w:r>
        <w:rPr>
          <w:rFonts w:ascii="Verdana" w:eastAsia="Calibri" w:hAnsi="Verdana" w:cs="Arial"/>
        </w:rPr>
        <w:t xml:space="preserve">i. </w:t>
      </w:r>
      <w:r w:rsidRPr="0050123F">
        <w:rPr>
          <w:rFonts w:ascii="Verdana" w:eastAsia="Calibri" w:hAnsi="Verdana" w:cs="Arial"/>
          <w:bCs/>
          <w:color w:val="000000"/>
          <w:kern w:val="2"/>
          <w14:ligatures w14:val="standardContextual"/>
        </w:rPr>
        <w:t>E</w:t>
      </w:r>
      <w:r w:rsidRPr="0050123F">
        <w:rPr>
          <w:rFonts w:ascii="Verdana" w:eastAsia="Calibri" w:hAnsi="Verdana" w:cs="Arial"/>
          <w:lang w:eastAsia="es-ES_tradnl"/>
        </w:rPr>
        <w:t>l artículo 200 de la Ley 2294 de 2023</w:t>
      </w:r>
      <w:r w:rsidRPr="0050123F">
        <w:rPr>
          <w:rFonts w:ascii="Verdana" w:eastAsia="Calibri" w:hAnsi="Verdana" w:cs="Arial"/>
          <w:vertAlign w:val="superscript"/>
          <w:lang w:eastAsia="es-ES_tradnl"/>
        </w:rPr>
        <w:footnoteReference w:id="2"/>
      </w:r>
      <w:r w:rsidRPr="0050123F">
        <w:rPr>
          <w:rFonts w:ascii="Verdana" w:eastAsia="Calibri" w:hAnsi="Verdana" w:cs="Arial"/>
          <w:lang w:eastAsia="es-ES_tradnl"/>
        </w:rPr>
        <w:t>, “Por</w:t>
      </w:r>
      <w:r w:rsidRPr="0050123F">
        <w:rPr>
          <w:rFonts w:ascii="Verdana" w:eastAsia="Calibri" w:hAnsi="Verdana" w:cs="Arial"/>
          <w:i/>
          <w:iCs/>
          <w:lang w:eastAsia="es-ES_tradnl"/>
        </w:rPr>
        <w:t xml:space="preserve"> la cual se expidió el Plan Nacional de Desarrollo “Colombia Potencia Mundial de la Vida”</w:t>
      </w:r>
      <w:r w:rsidRPr="0050123F">
        <w:rPr>
          <w:rFonts w:ascii="Verdana" w:eastAsia="Calibri" w:hAnsi="Verdana" w:cs="Arial"/>
          <w:lang w:eastAsia="es-ES_tradnl"/>
        </w:rPr>
        <w:t xml:space="preserve">, estableció el deber de </w:t>
      </w:r>
      <w:r w:rsidRPr="0050123F">
        <w:rPr>
          <w:rFonts w:ascii="Verdana" w:eastAsia="Calibri" w:hAnsi="Verdana" w:cs="Arial"/>
          <w:lang w:eastAsia="es-ES_tradnl"/>
        </w:rPr>
        <w:lastRenderedPageBreak/>
        <w:t>formular una Estrategia Nacional de Lucha contra la Corrupción</w:t>
      </w:r>
      <w:r w:rsidRPr="0050123F">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50123F">
        <w:rPr>
          <w:rFonts w:ascii="Verdana" w:eastAsia="Calibri" w:hAnsi="Verdana" w:cs="Arial"/>
          <w:lang w:eastAsia="es-ES_tradnl"/>
        </w:rPr>
        <w:t xml:space="preserve">. </w:t>
      </w:r>
    </w:p>
    <w:p w14:paraId="4BFB9924" w14:textId="77777777" w:rsidR="00CE27DA" w:rsidRPr="0050123F" w:rsidRDefault="00CE27DA" w:rsidP="00CE27DA">
      <w:pPr>
        <w:spacing w:after="120" w:line="276" w:lineRule="auto"/>
        <w:ind w:firstLine="709"/>
        <w:jc w:val="both"/>
        <w:rPr>
          <w:rFonts w:ascii="Verdana" w:eastAsia="Calibri" w:hAnsi="Verdana" w:cs="Arial"/>
          <w:lang w:eastAsia="es-ES_tradnl"/>
        </w:rPr>
      </w:pPr>
      <w:r w:rsidRPr="0050123F">
        <w:rPr>
          <w:rFonts w:ascii="Verdana" w:eastAsia="Calibri" w:hAnsi="Verdana" w:cs="Arial"/>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50123F">
        <w:rPr>
          <w:rFonts w:ascii="Verdana" w:eastAsia="Calibri" w:hAnsi="Verdana" w:cs="Arial"/>
          <w:i/>
          <w:iCs/>
          <w:lang w:eastAsia="es-ES_tradnl"/>
        </w:rPr>
        <w:t>la transparencia en la contratación y gestión pública,</w:t>
      </w:r>
      <w:r w:rsidRPr="0050123F">
        <w:rPr>
          <w:rFonts w:ascii="Verdana" w:eastAsia="Calibri" w:hAnsi="Verdana" w:cs="Arial"/>
          <w:lang w:eastAsia="es-ES_tradnl"/>
        </w:rPr>
        <w:t xml:space="preserve"> la innovación pública y la prevención, detección, gestión y sanción de riesgos y hechos de corrupción.</w:t>
      </w:r>
    </w:p>
    <w:p w14:paraId="0E2EE77A" w14:textId="77777777" w:rsidR="00CE27DA" w:rsidRPr="0050123F" w:rsidRDefault="00CE27DA" w:rsidP="00CE27DA">
      <w:pPr>
        <w:spacing w:after="120" w:line="276" w:lineRule="auto"/>
        <w:ind w:firstLine="709"/>
        <w:jc w:val="both"/>
        <w:rPr>
          <w:rFonts w:ascii="Verdana" w:eastAsia="Calibri" w:hAnsi="Verdana" w:cs="Arial"/>
          <w:bCs/>
          <w:lang w:eastAsia="es-ES_tradnl"/>
        </w:rPr>
      </w:pPr>
      <w:r w:rsidRPr="0050123F">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3872EE4A" w14:textId="77777777" w:rsidR="00CE27DA" w:rsidRPr="0050123F" w:rsidRDefault="00CE27DA" w:rsidP="00CE27DA">
      <w:pPr>
        <w:spacing w:after="120" w:line="276" w:lineRule="auto"/>
        <w:ind w:firstLine="709"/>
        <w:jc w:val="both"/>
        <w:rPr>
          <w:rFonts w:ascii="Verdana" w:eastAsia="Calibri" w:hAnsi="Verdana" w:cs="Arial"/>
          <w:bCs/>
          <w:iCs/>
          <w:lang w:eastAsia="es-ES_tradnl"/>
        </w:rPr>
      </w:pPr>
      <w:r w:rsidRPr="0050123F">
        <w:rPr>
          <w:rFonts w:ascii="Verdana" w:eastAsia="Calibri" w:hAnsi="Verdana" w:cs="Arial"/>
          <w:bCs/>
          <w:lang w:eastAsia="es-ES_tradnl"/>
        </w:rPr>
        <w:t xml:space="preserve">El Capítulo 3°, Sección 1°, Título 4°, Parte 1°, Libro 2° del Decreto 1081 de 2015, que fue modificado por el Decreto 1600 de 2024, tiene como objeto: “[…] </w:t>
      </w:r>
      <w:r w:rsidRPr="0050123F">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2C2C64DA" w14:textId="77777777" w:rsidR="00CE27DA" w:rsidRPr="0050123F" w:rsidRDefault="00CE27DA" w:rsidP="00CE27DA">
      <w:pPr>
        <w:spacing w:after="0" w:line="276" w:lineRule="auto"/>
        <w:ind w:firstLine="708"/>
        <w:jc w:val="both"/>
        <w:rPr>
          <w:rFonts w:ascii="Verdana" w:eastAsia="Calibri" w:hAnsi="Verdana" w:cs="Arial"/>
          <w:bCs/>
          <w:iCs/>
          <w:lang w:eastAsia="es-ES_tradnl"/>
        </w:rPr>
      </w:pPr>
      <w:r w:rsidRPr="0050123F">
        <w:rPr>
          <w:rFonts w:ascii="Verdana" w:eastAsia="Calibri" w:hAnsi="Verdana" w:cs="Arial"/>
          <w:bCs/>
          <w:iCs/>
          <w:lang w:eastAsia="es-ES_tradnl"/>
        </w:rPr>
        <w:lastRenderedPageBreak/>
        <w:t xml:space="preserve">Ahora bien, el </w:t>
      </w:r>
      <w:r>
        <w:rPr>
          <w:rFonts w:ascii="Verdana" w:eastAsia="Calibri" w:hAnsi="Verdana" w:cs="Arial"/>
          <w:bCs/>
          <w:iCs/>
          <w:lang w:eastAsia="es-ES_tradnl"/>
        </w:rPr>
        <w:t xml:space="preserve">artículo 2.1.4.3.2.1, el que es motivo de </w:t>
      </w:r>
      <w:r w:rsidRPr="0050123F">
        <w:rPr>
          <w:rFonts w:ascii="Verdana" w:eastAsia="Calibri" w:hAnsi="Verdana" w:cs="Arial"/>
          <w:bCs/>
          <w:iCs/>
          <w:lang w:eastAsia="es-ES_tradnl"/>
        </w:rPr>
        <w:t xml:space="preserve">su consulta, indica que las entidades definidas </w:t>
      </w:r>
      <w:r>
        <w:rPr>
          <w:rFonts w:ascii="Verdana" w:eastAsia="Calibri" w:hAnsi="Verdana" w:cs="Arial"/>
          <w:bCs/>
          <w:iCs/>
          <w:lang w:eastAsia="es-ES_tradnl"/>
        </w:rPr>
        <w:t>en el artículo 2.1.4.3.1.2 del D</w:t>
      </w:r>
      <w:r w:rsidRPr="0050123F">
        <w:rPr>
          <w:rFonts w:ascii="Verdana" w:eastAsia="Calibri" w:hAnsi="Verdana" w:cs="Arial"/>
          <w:bCs/>
          <w:iCs/>
          <w:lang w:eastAsia="es-ES_tradnl"/>
        </w:rPr>
        <w:t>ecreto deberán garantizar acciones en desarrollo de la gestión contractual a su cargo, sin perjuicio de las demás obligaciones legales y reglamentarias a saber:</w:t>
      </w:r>
    </w:p>
    <w:p w14:paraId="3E25BC1D" w14:textId="77777777" w:rsidR="00CE27DA" w:rsidRPr="006C1C94" w:rsidRDefault="00CE27DA" w:rsidP="00CE27DA">
      <w:pPr>
        <w:spacing w:after="0" w:line="240" w:lineRule="auto"/>
        <w:ind w:firstLine="708"/>
        <w:jc w:val="both"/>
        <w:rPr>
          <w:rFonts w:ascii="Verdana" w:eastAsia="Calibri" w:hAnsi="Verdana" w:cs="Arial"/>
          <w:bCs/>
          <w:iCs/>
          <w:sz w:val="21"/>
          <w:szCs w:val="21"/>
          <w:lang w:eastAsia="es-ES_tradnl"/>
        </w:rPr>
      </w:pPr>
      <w:r w:rsidRPr="0050123F">
        <w:rPr>
          <w:rFonts w:ascii="Verdana" w:eastAsia="Calibri" w:hAnsi="Verdana" w:cs="Arial"/>
          <w:bCs/>
          <w:iCs/>
          <w:lang w:eastAsia="es-ES_tradnl"/>
        </w:rPr>
        <w:t> </w:t>
      </w:r>
    </w:p>
    <w:p w14:paraId="48AE71DC" w14:textId="77777777" w:rsidR="00CE27DA" w:rsidRPr="006C1C94" w:rsidRDefault="00CE27DA" w:rsidP="00CE27DA">
      <w:pPr>
        <w:numPr>
          <w:ilvl w:val="0"/>
          <w:numId w:val="20"/>
        </w:numPr>
        <w:spacing w:after="0" w:line="240" w:lineRule="auto"/>
        <w:ind w:left="709" w:right="709"/>
        <w:jc w:val="both"/>
        <w:rPr>
          <w:rFonts w:ascii="Verdana" w:eastAsia="Calibri" w:hAnsi="Verdana" w:cs="Arial"/>
          <w:bCs/>
          <w:iCs/>
          <w:sz w:val="21"/>
          <w:szCs w:val="21"/>
          <w:lang w:eastAsia="es-ES_tradnl"/>
        </w:rPr>
      </w:pPr>
      <w:r w:rsidRPr="006C1C94">
        <w:rPr>
          <w:rFonts w:ascii="Verdana" w:eastAsia="Calibri" w:hAnsi="Verdana" w:cs="Arial"/>
          <w:b/>
          <w:bCs/>
          <w:iCs/>
          <w:sz w:val="21"/>
          <w:szCs w:val="21"/>
          <w:lang w:eastAsia="es-ES_tradnl"/>
        </w:rPr>
        <w:t>Verificar la existencia de situaciones de control</w:t>
      </w:r>
      <w:r w:rsidRPr="006C1C94">
        <w:rPr>
          <w:rFonts w:ascii="Verdana" w:eastAsia="Calibri" w:hAnsi="Verdana" w:cs="Arial"/>
          <w:bCs/>
          <w:iCs/>
          <w:sz w:val="21"/>
          <w:szCs w:val="21"/>
          <w:lang w:eastAsia="es-ES_tradnl"/>
        </w:rPr>
        <w:t>. En los términos de los artículos</w:t>
      </w:r>
      <w:r>
        <w:rPr>
          <w:rFonts w:ascii="Verdana" w:eastAsia="Calibri" w:hAnsi="Verdana" w:cs="Arial"/>
          <w:bCs/>
          <w:iCs/>
          <w:sz w:val="21"/>
          <w:szCs w:val="21"/>
          <w:lang w:eastAsia="es-ES_tradnl"/>
        </w:rPr>
        <w:t xml:space="preserve"> </w:t>
      </w:r>
      <w:hyperlink r:id="rId12" w:anchor="260" w:tooltip="vinculo" w:history="1">
        <w:r w:rsidRPr="00983AF5">
          <w:rPr>
            <w:rFonts w:ascii="Verdana" w:eastAsia="Calibri" w:hAnsi="Verdana" w:cs="Arial"/>
            <w:bCs/>
            <w:iCs/>
            <w:sz w:val="21"/>
            <w:szCs w:val="21"/>
            <w:u w:val="single"/>
            <w:lang w:eastAsia="es-ES_tradnl"/>
          </w:rPr>
          <w:t>260</w:t>
        </w:r>
      </w:hyperlink>
      <w:r>
        <w:rPr>
          <w:rFonts w:ascii="Verdana" w:eastAsia="Calibri" w:hAnsi="Verdana" w:cs="Arial"/>
          <w:bCs/>
          <w:iCs/>
          <w:sz w:val="21"/>
          <w:szCs w:val="21"/>
          <w:lang w:eastAsia="es-ES_tradnl"/>
        </w:rPr>
        <w:t xml:space="preserve"> </w:t>
      </w:r>
      <w:r w:rsidRPr="00983AF5">
        <w:rPr>
          <w:rFonts w:ascii="Verdana" w:eastAsia="Calibri" w:hAnsi="Verdana" w:cs="Arial"/>
          <w:bCs/>
          <w:iCs/>
          <w:sz w:val="21"/>
          <w:szCs w:val="21"/>
          <w:lang w:eastAsia="es-ES_tradnl"/>
        </w:rPr>
        <w:t>y</w:t>
      </w:r>
      <w:r>
        <w:rPr>
          <w:rFonts w:ascii="Verdana" w:eastAsia="Calibri" w:hAnsi="Verdana" w:cs="Arial"/>
          <w:bCs/>
          <w:iCs/>
          <w:sz w:val="21"/>
          <w:szCs w:val="21"/>
          <w:lang w:eastAsia="es-ES_tradnl"/>
        </w:rPr>
        <w:t xml:space="preserve"> </w:t>
      </w:r>
      <w:hyperlink r:id="rId13" w:anchor="261" w:tooltip="vinculo" w:history="1">
        <w:r w:rsidRPr="00983AF5">
          <w:rPr>
            <w:rFonts w:ascii="Verdana" w:eastAsia="Calibri" w:hAnsi="Verdana" w:cs="Arial"/>
            <w:bCs/>
            <w:iCs/>
            <w:sz w:val="21"/>
            <w:szCs w:val="21"/>
            <w:u w:val="single"/>
            <w:lang w:eastAsia="es-ES_tradnl"/>
          </w:rPr>
          <w:t>261</w:t>
        </w:r>
      </w:hyperlink>
      <w:r>
        <w:rPr>
          <w:rFonts w:ascii="Verdana" w:eastAsia="Calibri" w:hAnsi="Verdana" w:cs="Arial"/>
          <w:bCs/>
          <w:iCs/>
          <w:sz w:val="21"/>
          <w:szCs w:val="21"/>
          <w:lang w:eastAsia="es-ES_tradnl"/>
        </w:rPr>
        <w:t xml:space="preserve"> </w:t>
      </w:r>
      <w:r w:rsidRPr="006C1C94">
        <w:rPr>
          <w:rFonts w:ascii="Verdana" w:eastAsia="Calibri" w:hAnsi="Verdana" w:cs="Arial"/>
          <w:bCs/>
          <w:iCs/>
          <w:sz w:val="21"/>
          <w:szCs w:val="21"/>
          <w:lang w:eastAsia="es-ES_tradnl"/>
        </w:rPr>
        <w:t>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controlantes,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w:t>
      </w:r>
    </w:p>
    <w:p w14:paraId="6752F024" w14:textId="77777777" w:rsidR="00CE27DA" w:rsidRPr="00AA4C2E" w:rsidRDefault="00CE27DA" w:rsidP="00CE27DA">
      <w:pPr>
        <w:spacing w:after="0" w:line="240" w:lineRule="auto"/>
        <w:ind w:left="709" w:right="709"/>
        <w:jc w:val="both"/>
        <w:rPr>
          <w:rFonts w:ascii="Verdana" w:eastAsia="Calibri" w:hAnsi="Verdana" w:cs="Arial"/>
          <w:bCs/>
          <w:iCs/>
          <w:sz w:val="21"/>
          <w:szCs w:val="21"/>
          <w:lang w:eastAsia="es-ES_tradnl"/>
        </w:rPr>
      </w:pPr>
      <w:r w:rsidRPr="006C1C94">
        <w:rPr>
          <w:rFonts w:ascii="Verdana" w:eastAsia="Calibri" w:hAnsi="Verdana" w:cs="Arial"/>
          <w:bCs/>
          <w:iCs/>
          <w:sz w:val="21"/>
          <w:szCs w:val="21"/>
          <w:lang w:eastAsia="es-ES_tradnl"/>
        </w:rPr>
        <w:t xml:space="preserve">Las entidades contratantes examinarán la existencia de las circunstancias antes descritas, con base en la información </w:t>
      </w:r>
      <w:r w:rsidRPr="00AA4C2E">
        <w:rPr>
          <w:rFonts w:ascii="Verdana" w:eastAsia="Calibri" w:hAnsi="Verdana" w:cs="Arial"/>
          <w:bCs/>
          <w:iCs/>
          <w:sz w:val="21"/>
          <w:szCs w:val="21"/>
          <w:lang w:eastAsia="es-ES_tradnl"/>
        </w:rPr>
        <w:t>proporcionada por los oferentes y en la que reposa en los expedientes públicos registrados ante las Cámaras de Comercio, con el fin de prever la configuración de las causales de inhabilidad e incompatibilidad previstas en el artículo 8 de la Ley 80 de 1993.</w:t>
      </w:r>
    </w:p>
    <w:p w14:paraId="73D39281" w14:textId="77777777" w:rsidR="00CE27DA" w:rsidRPr="006C1C94" w:rsidRDefault="00CE27DA" w:rsidP="00CE27DA">
      <w:pPr>
        <w:spacing w:after="0" w:line="240" w:lineRule="auto"/>
        <w:ind w:left="709" w:right="709"/>
        <w:jc w:val="both"/>
        <w:rPr>
          <w:rFonts w:ascii="Verdana" w:eastAsia="Calibri" w:hAnsi="Verdana" w:cs="Arial"/>
          <w:bCs/>
          <w:iCs/>
          <w:sz w:val="21"/>
          <w:szCs w:val="21"/>
          <w:lang w:eastAsia="es-ES_tradnl"/>
        </w:rPr>
      </w:pPr>
      <w:r w:rsidRPr="00AA4C2E">
        <w:rPr>
          <w:rFonts w:ascii="Verdana" w:eastAsia="Calibri" w:hAnsi="Verdana" w:cs="Arial"/>
          <w:bCs/>
          <w:iCs/>
          <w:sz w:val="21"/>
          <w:szCs w:val="21"/>
          <w:lang w:eastAsia="es-ES_tradnl"/>
        </w:rPr>
        <w:t xml:space="preserve">Cuando, en desarrollo del análisis mencionado se adviertan circunstancias que pudieran implicar afectaciones a la libertad de concurrencia o competencia, o a la pluralidad </w:t>
      </w:r>
      <w:r w:rsidRPr="006C1C94">
        <w:rPr>
          <w:rFonts w:ascii="Verdana" w:eastAsia="Calibri" w:hAnsi="Verdana" w:cs="Arial"/>
          <w:bCs/>
          <w:iCs/>
          <w:sz w:val="21"/>
          <w:szCs w:val="21"/>
          <w:lang w:eastAsia="es-ES_tradnl"/>
        </w:rPr>
        <w:t>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w:t>
      </w:r>
    </w:p>
    <w:p w14:paraId="16A8619E" w14:textId="77777777" w:rsidR="00CE27DA" w:rsidRPr="006C1C94" w:rsidRDefault="00CE27DA" w:rsidP="00CE27DA">
      <w:pPr>
        <w:numPr>
          <w:ilvl w:val="0"/>
          <w:numId w:val="20"/>
        </w:numPr>
        <w:spacing w:after="0" w:line="240" w:lineRule="auto"/>
        <w:ind w:left="709" w:right="709" w:hanging="391"/>
        <w:jc w:val="both"/>
        <w:rPr>
          <w:rFonts w:ascii="Verdana" w:eastAsia="Calibri" w:hAnsi="Verdana" w:cs="Arial"/>
          <w:bCs/>
          <w:iCs/>
          <w:sz w:val="21"/>
          <w:szCs w:val="21"/>
          <w:lang w:eastAsia="es-ES_tradnl"/>
        </w:rPr>
      </w:pPr>
      <w:r w:rsidRPr="006C1C94">
        <w:rPr>
          <w:rFonts w:ascii="Verdana" w:eastAsia="Calibri" w:hAnsi="Verdana" w:cs="Arial"/>
          <w:b/>
          <w:bCs/>
          <w:iCs/>
          <w:sz w:val="21"/>
          <w:szCs w:val="21"/>
          <w:lang w:eastAsia="es-ES_tradnl"/>
        </w:rPr>
        <w:t>Aplicar buenas prácticas para la contratación transparente.</w:t>
      </w:r>
      <w:r w:rsidRPr="006C1C94">
        <w:rPr>
          <w:rFonts w:ascii="Verdana" w:eastAsia="Calibri" w:hAnsi="Verdana" w:cs="Arial"/>
          <w:bCs/>
          <w:iCs/>
          <w:sz w:val="21"/>
          <w:szCs w:val="21"/>
          <w:lang w:eastAsia="es-ES_tradnl"/>
        </w:rPr>
        <w:t xml:space="preserve"> Las entidades deberán garantizar que las guías y manuales definidos por la Agencia Nacional de Contratación Pública — Colombia Compra Eficiente, para la definición de criterios que permitan garantizar la pluralidad de oferentes, se apliquen en la organización, En consecuencia, en los documentos del proceso deberá dejarse </w:t>
      </w:r>
      <w:r w:rsidRPr="006C1C94">
        <w:rPr>
          <w:rFonts w:ascii="Verdana" w:eastAsia="Calibri" w:hAnsi="Verdana" w:cs="Arial"/>
          <w:bCs/>
          <w:iCs/>
          <w:sz w:val="21"/>
          <w:szCs w:val="21"/>
          <w:lang w:eastAsia="es-ES_tradnl"/>
        </w:rPr>
        <w:lastRenderedPageBreak/>
        <w:t>constancia que en la estructuración se tuvieron en cuenta las prácticas recomendadas por Colombia Compra Eficiente.</w:t>
      </w:r>
    </w:p>
    <w:p w14:paraId="54B59C86" w14:textId="77777777" w:rsidR="00CE27DA" w:rsidRPr="006C1C94" w:rsidRDefault="00CE27DA" w:rsidP="00CE27DA">
      <w:pPr>
        <w:numPr>
          <w:ilvl w:val="0"/>
          <w:numId w:val="20"/>
        </w:numPr>
        <w:spacing w:after="0" w:line="240" w:lineRule="auto"/>
        <w:ind w:left="709" w:right="709" w:hanging="391"/>
        <w:jc w:val="both"/>
        <w:rPr>
          <w:rFonts w:ascii="Verdana" w:eastAsia="Calibri" w:hAnsi="Verdana" w:cs="Arial"/>
          <w:bCs/>
          <w:iCs/>
          <w:sz w:val="21"/>
          <w:szCs w:val="21"/>
          <w:lang w:eastAsia="es-ES_tradnl"/>
        </w:rPr>
      </w:pPr>
      <w:r w:rsidRPr="006C1C94">
        <w:rPr>
          <w:rFonts w:ascii="Verdana" w:eastAsia="Calibri" w:hAnsi="Verdana" w:cs="Arial"/>
          <w:b/>
          <w:bCs/>
          <w:iCs/>
          <w:sz w:val="21"/>
          <w:szCs w:val="21"/>
          <w:lang w:eastAsia="es-ES_tradnl"/>
        </w:rPr>
        <w:t>Fortalecer los análisis de mercado para la fijación objetiva de precios. </w:t>
      </w:r>
      <w:r w:rsidRPr="006C1C94">
        <w:rPr>
          <w:rFonts w:ascii="Verdana" w:eastAsia="Calibri" w:hAnsi="Verdana" w:cs="Arial"/>
          <w:bCs/>
          <w:iCs/>
          <w:sz w:val="21"/>
          <w:szCs w:val="21"/>
          <w:lang w:eastAsia="es-ES_tradnl"/>
        </w:rPr>
        <w:t>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p>
    <w:p w14:paraId="5642AE60" w14:textId="77777777" w:rsidR="00CE27DA" w:rsidRPr="006C1C94" w:rsidRDefault="00CE27DA" w:rsidP="00CE27DA">
      <w:pPr>
        <w:spacing w:after="0" w:line="240" w:lineRule="auto"/>
        <w:ind w:left="709" w:right="709"/>
        <w:jc w:val="both"/>
        <w:rPr>
          <w:rFonts w:ascii="Verdana" w:eastAsia="Calibri" w:hAnsi="Verdana" w:cs="Arial"/>
          <w:bCs/>
          <w:iCs/>
          <w:sz w:val="21"/>
          <w:szCs w:val="21"/>
          <w:lang w:eastAsia="es-ES_tradnl"/>
        </w:rPr>
      </w:pPr>
    </w:p>
    <w:p w14:paraId="57286FB7" w14:textId="77777777" w:rsidR="00CE27DA" w:rsidRPr="0050123F" w:rsidRDefault="00CE27DA" w:rsidP="00CE27DA">
      <w:pPr>
        <w:spacing w:after="120" w:line="278" w:lineRule="auto"/>
        <w:ind w:firstLine="709"/>
        <w:jc w:val="both"/>
        <w:rPr>
          <w:rFonts w:ascii="Verdana" w:eastAsia="Aptos" w:hAnsi="Verdana" w:cs="Times New Roman"/>
          <w:kern w:val="2"/>
          <w:lang w:val="es-MX"/>
          <w14:ligatures w14:val="standardContextual"/>
        </w:rPr>
      </w:pPr>
      <w:r w:rsidRPr="0050123F">
        <w:rPr>
          <w:rFonts w:ascii="Verdana" w:eastAsia="Calibri" w:hAnsi="Verdana" w:cs="Arial"/>
          <w:bCs/>
          <w:color w:val="000000"/>
          <w:kern w:val="2"/>
          <w14:ligatures w14:val="standardContextual"/>
        </w:rPr>
        <w:t>Es preciso señalar que</w:t>
      </w:r>
      <w:r>
        <w:rPr>
          <w:rFonts w:ascii="Verdana" w:eastAsia="Calibri" w:hAnsi="Verdana" w:cs="Arial"/>
          <w:bCs/>
          <w:color w:val="000000"/>
          <w:kern w:val="2"/>
          <w14:ligatures w14:val="standardContextual"/>
        </w:rPr>
        <w:t xml:space="preserve"> los procesos de contratación no son</w:t>
      </w:r>
      <w:r w:rsidRPr="0050123F">
        <w:rPr>
          <w:rFonts w:ascii="Verdana" w:eastAsia="Calibri" w:hAnsi="Verdana" w:cs="Arial"/>
          <w:bCs/>
          <w:color w:val="000000"/>
          <w:kern w:val="2"/>
          <w14:ligatures w14:val="standardContextual"/>
        </w:rPr>
        <w:t xml:space="preserve"> ajenos a las circunstancias descritas en el artículo </w:t>
      </w:r>
      <w:r w:rsidRPr="0050123F">
        <w:rPr>
          <w:rFonts w:ascii="Verdana" w:eastAsia="Calibri" w:hAnsi="Verdana" w:cs="Arial"/>
        </w:rPr>
        <w:t>2.1.4.3.2.1 del Decreto 1081 de 2015</w:t>
      </w:r>
      <w:r w:rsidRPr="0050123F">
        <w:rPr>
          <w:rFonts w:ascii="Verdana" w:eastAsia="Calibri" w:hAnsi="Verdana" w:cs="Arial"/>
          <w:bCs/>
          <w:color w:val="000000"/>
          <w:kern w:val="2"/>
          <w14:ligatures w14:val="standardContextual"/>
        </w:rPr>
        <w:t>, establecieron la obligación para las entidades estatales de aplicar la normativa y la jurisprudencia vigente aplicable al proceso de contratación.</w:t>
      </w:r>
      <w:r>
        <w:rPr>
          <w:rFonts w:ascii="Verdana" w:eastAsia="Calibri" w:hAnsi="Verdana" w:cs="Arial"/>
          <w:bCs/>
          <w:color w:val="000000"/>
          <w:kern w:val="2"/>
          <w14:ligatures w14:val="standardContextual"/>
        </w:rPr>
        <w:t xml:space="preserve"> A modo de ejemplo</w:t>
      </w:r>
      <w:r w:rsidRPr="0050123F">
        <w:rPr>
          <w:rFonts w:ascii="Verdana" w:eastAsia="Calibri" w:hAnsi="Verdana" w:cs="Arial"/>
          <w:bCs/>
          <w:color w:val="000000"/>
          <w:kern w:val="2"/>
          <w14:ligatures w14:val="standardContextual"/>
        </w:rPr>
        <w:t>, el documento base del documento tipo de licitación de obra pública de infraestructura de transporte – versión 4, en su “introducción” establece que: “</w:t>
      </w:r>
      <w:r w:rsidRPr="0050123F">
        <w:rPr>
          <w:rFonts w:ascii="Verdana" w:eastAsia="Aptos" w:hAnsi="Verdana" w:cs="Times New Roman"/>
          <w:kern w:val="2"/>
          <w:lang w:val="es-MX"/>
          <w14:ligatures w14:val="standardContextual"/>
        </w:rPr>
        <w:t xml:space="preserve">El uso de los Documentos Tipo no exime a la Entidad Estatal de la obligación que le asiste de aplicar la normativa y la jurisprudencia aplicable al proceso de contratación, así como, de dar cumplimiento a lo ordenado por sentencia judicial”. </w:t>
      </w:r>
    </w:p>
    <w:p w14:paraId="4552AD53" w14:textId="77777777" w:rsidR="00CE27DA" w:rsidRPr="0050123F" w:rsidRDefault="00CE27DA" w:rsidP="00CE27DA">
      <w:pPr>
        <w:spacing w:after="120" w:line="278" w:lineRule="auto"/>
        <w:ind w:firstLine="709"/>
        <w:jc w:val="both"/>
        <w:rPr>
          <w:rFonts w:ascii="Verdana" w:eastAsia="Calibri" w:hAnsi="Verdana" w:cs="Arial"/>
          <w:bCs/>
          <w:color w:val="000000"/>
          <w:kern w:val="2"/>
          <w14:ligatures w14:val="standardContextual"/>
        </w:rPr>
      </w:pPr>
      <w:r w:rsidRPr="0050123F">
        <w:rPr>
          <w:rFonts w:ascii="Verdana" w:eastAsia="Calibri" w:hAnsi="Verdana" w:cs="Arial"/>
          <w:bCs/>
          <w:color w:val="000000"/>
          <w:kern w:val="2"/>
          <w14:ligatures w14:val="standardContextual"/>
        </w:rPr>
        <w:t xml:space="preserve">En ese entendido, las entidades estatales </w:t>
      </w:r>
      <w:r>
        <w:rPr>
          <w:rFonts w:ascii="Verdana" w:eastAsia="Calibri" w:hAnsi="Verdana" w:cs="Arial"/>
          <w:bCs/>
          <w:color w:val="000000"/>
          <w:kern w:val="2"/>
          <w14:ligatures w14:val="standardContextual"/>
        </w:rPr>
        <w:t xml:space="preserve">en sus procesos de contratación </w:t>
      </w:r>
      <w:r w:rsidRPr="0050123F">
        <w:rPr>
          <w:rFonts w:ascii="Verdana" w:eastAsia="Calibri" w:hAnsi="Verdana" w:cs="Arial"/>
          <w:bCs/>
          <w:color w:val="000000"/>
          <w:kern w:val="2"/>
          <w14:ligatures w14:val="standardContextual"/>
        </w:rPr>
        <w:t xml:space="preserve">deben adoptar el contenido del </w:t>
      </w:r>
      <w:r w:rsidRPr="0050123F">
        <w:rPr>
          <w:rFonts w:ascii="Verdana" w:eastAsia="Calibri" w:hAnsi="Verdana" w:cs="Arial"/>
        </w:rPr>
        <w:t xml:space="preserve">artículo 2.1.4.3.2.1 del Decreto 1081 de 2015, adicionado por el artículo 1 del Decreto 1600 de 2024 </w:t>
      </w:r>
      <w:r w:rsidRPr="0050123F">
        <w:rPr>
          <w:rFonts w:ascii="Verdana" w:eastAsia="Calibri" w:hAnsi="Verdana" w:cs="Arial"/>
          <w:bCs/>
          <w:color w:val="000000"/>
          <w:kern w:val="2"/>
          <w14:ligatures w14:val="standardContextual"/>
        </w:rPr>
        <w:t xml:space="preserve">relacionado con la prevención de corrupción en la contratación pública, concretamente deberán atender la verificación de situaciones de control, aplicación de buenas prácticas para la contratación transparente y el fortalecimiento de los análisis de mercado para la fijación objetiva de precios. </w:t>
      </w:r>
    </w:p>
    <w:p w14:paraId="0FD02DEF" w14:textId="77777777" w:rsidR="00CE27DA" w:rsidRPr="0050123F" w:rsidRDefault="00CE27DA" w:rsidP="00CE27DA">
      <w:pPr>
        <w:spacing w:after="0" w:line="276" w:lineRule="auto"/>
        <w:ind w:firstLine="709"/>
        <w:jc w:val="both"/>
        <w:rPr>
          <w:rFonts w:ascii="Verdana" w:eastAsia="Calibri" w:hAnsi="Verdana" w:cs="Arial"/>
        </w:rPr>
      </w:pPr>
      <w:r w:rsidRPr="0050123F">
        <w:rPr>
          <w:rFonts w:ascii="Verdana" w:eastAsia="Calibri" w:hAnsi="Verdana" w:cs="Arial"/>
          <w:bCs/>
          <w:lang w:eastAsia="es-ES_tradnl"/>
        </w:rPr>
        <w:t xml:space="preserve">En relación con </w:t>
      </w:r>
      <w:r w:rsidRPr="0050123F">
        <w:rPr>
          <w:rFonts w:ascii="Verdana" w:eastAsia="Calibri" w:hAnsi="Verdana" w:cs="Arial"/>
        </w:rPr>
        <w:t xml:space="preserve">el literal a) del artículo 2.1.4.3.2.1 del Decreto 1081 de 2015, adicionado por el artículo 1 del Decreto 1600 de 2024 -por el que indaga en su solicitud- debe indicarse que, este dispone que los organismos, entidades y empresas del Estado del orden nacional y pertenecientes a la Rama Ejecutiva del Poder Público deben verificar la existencia de situaciones de control que, conforme artículos 260 y 261 del Código de Comercio, afecten tanto a las </w:t>
      </w:r>
      <w:r w:rsidRPr="0050123F">
        <w:rPr>
          <w:rFonts w:ascii="Verdana" w:eastAsia="Calibri" w:hAnsi="Verdana" w:cs="Arial"/>
        </w:rPr>
        <w:lastRenderedPageBreak/>
        <w:t>personas jurídicas oferentes como a los proponentes plurales. En este contexto, la norma precisa que quienes se presenten como proponentes en procesos de selección:</w:t>
      </w:r>
    </w:p>
    <w:p w14:paraId="407EE910" w14:textId="77777777" w:rsidR="00CE27DA" w:rsidRPr="0050123F" w:rsidRDefault="00CE27DA" w:rsidP="00CE27DA">
      <w:pPr>
        <w:spacing w:after="0" w:line="276" w:lineRule="auto"/>
        <w:jc w:val="both"/>
        <w:rPr>
          <w:rFonts w:ascii="Verdana" w:eastAsia="Calibri" w:hAnsi="Verdana" w:cs="Arial"/>
        </w:rPr>
      </w:pPr>
    </w:p>
    <w:p w14:paraId="5FBFF057" w14:textId="77777777" w:rsidR="00CE27DA" w:rsidRPr="0050123F" w:rsidRDefault="00CE27DA" w:rsidP="00CE27DA">
      <w:pPr>
        <w:spacing w:after="0" w:line="240" w:lineRule="auto"/>
        <w:ind w:left="709" w:right="709"/>
        <w:jc w:val="both"/>
        <w:rPr>
          <w:rFonts w:ascii="Verdana" w:eastAsia="Calibri" w:hAnsi="Verdana" w:cs="Arial"/>
          <w:i/>
          <w:iCs/>
          <w:sz w:val="21"/>
          <w:szCs w:val="21"/>
        </w:rPr>
      </w:pPr>
      <w:r w:rsidRPr="0050123F">
        <w:rPr>
          <w:rFonts w:ascii="Verdana" w:eastAsia="Calibri" w:hAnsi="Verdana" w:cs="Arial"/>
          <w:sz w:val="21"/>
          <w:szCs w:val="21"/>
        </w:rPr>
        <w:t xml:space="preserve">“[…] en el término máximo de tres (3) días después del momento en que se cierre definitivamente la presentación de ofertas, </w:t>
      </w:r>
      <w:r w:rsidRPr="0050123F">
        <w:rPr>
          <w:rFonts w:ascii="Verdana" w:eastAsia="Calibri" w:hAnsi="Verdana" w:cs="Arial"/>
          <w:b/>
          <w:bCs/>
          <w:i/>
          <w:iCs/>
          <w:sz w:val="21"/>
          <w:szCs w:val="21"/>
          <w:u w:val="single"/>
        </w:rPr>
        <w:t>deberán</w:t>
      </w:r>
      <w:r w:rsidRPr="0050123F">
        <w:rPr>
          <w:rFonts w:ascii="Verdana" w:eastAsia="Calibri" w:hAnsi="Verdana" w:cs="Arial"/>
          <w:sz w:val="21"/>
          <w:szCs w:val="21"/>
        </w:rPr>
        <w:t xml:space="preserve">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r w:rsidRPr="0050123F">
        <w:rPr>
          <w:rFonts w:ascii="Verdana" w:eastAsia="Calibri" w:hAnsi="Verdana" w:cs="Arial"/>
          <w:i/>
          <w:iCs/>
          <w:sz w:val="21"/>
          <w:szCs w:val="21"/>
        </w:rPr>
        <w:t>(Énfasis fuera del texto original)</w:t>
      </w:r>
    </w:p>
    <w:p w14:paraId="6174182A" w14:textId="77777777" w:rsidR="00CE27DA" w:rsidRPr="0050123F" w:rsidRDefault="00CE27DA" w:rsidP="00CE27DA">
      <w:pPr>
        <w:spacing w:after="0" w:line="276" w:lineRule="auto"/>
        <w:jc w:val="both"/>
        <w:rPr>
          <w:rFonts w:ascii="Verdana" w:eastAsia="Calibri" w:hAnsi="Verdana" w:cs="Arial"/>
        </w:rPr>
      </w:pPr>
    </w:p>
    <w:p w14:paraId="3DCFE5F0" w14:textId="77777777" w:rsidR="00CE27DA" w:rsidRPr="0050123F" w:rsidRDefault="00CE27DA" w:rsidP="00CE27DA">
      <w:pPr>
        <w:spacing w:after="120" w:line="276" w:lineRule="auto"/>
        <w:jc w:val="both"/>
        <w:rPr>
          <w:rFonts w:ascii="Verdana" w:eastAsia="Calibri" w:hAnsi="Verdana" w:cs="Arial"/>
        </w:rPr>
      </w:pPr>
      <w:r w:rsidRPr="0050123F">
        <w:rPr>
          <w:rFonts w:ascii="Verdana" w:eastAsia="Calibri" w:hAnsi="Verdana" w:cs="Arial"/>
        </w:rPr>
        <w:tab/>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Por regla general, además de lo manifestado por los interesados, las entidades podrán verificar situaciones de control a través del RUP. En caso de que el registro no sea obligatorio, el pliego de condiciones debe establecer el mecanismo de validación correspondiente.</w:t>
      </w:r>
    </w:p>
    <w:p w14:paraId="6BB50A7E" w14:textId="77777777" w:rsidR="00CE27DA" w:rsidRPr="0050123F" w:rsidRDefault="00CE27DA" w:rsidP="00CE27DA">
      <w:pPr>
        <w:spacing w:after="120" w:line="276" w:lineRule="auto"/>
        <w:ind w:firstLine="708"/>
        <w:jc w:val="both"/>
        <w:rPr>
          <w:rFonts w:ascii="Verdana" w:eastAsia="Calibri" w:hAnsi="Verdana" w:cs="Arial"/>
        </w:rPr>
      </w:pPr>
      <w:r w:rsidRPr="0050123F">
        <w:rPr>
          <w:rFonts w:ascii="Verdana" w:eastAsia="Calibri" w:hAnsi="Verdana" w:cs="Arial"/>
        </w:rPr>
        <w:t>En relación con</w:t>
      </w:r>
      <w:r>
        <w:rPr>
          <w:rFonts w:ascii="Verdana" w:eastAsia="Calibri" w:hAnsi="Verdana" w:cs="Arial"/>
        </w:rPr>
        <w:t xml:space="preserve"> este tema</w:t>
      </w:r>
      <w:r w:rsidRPr="0050123F">
        <w:rPr>
          <w:rFonts w:ascii="Verdana" w:eastAsia="Calibri" w:hAnsi="Verdana" w:cs="Arial"/>
        </w:rPr>
        <w:t>, debe indicarse que, lo usual es que todos los documentos de la oferta se entreguen antes del cierre del proceso. Sin embargo, el literal a) del artículo 2.1.4.3.2.1 del Decreto 1081 de 2015,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de grupo empresarial en la que existan relaciones de subordinación conforme a los artículos 260 y 261 del Código de Comercio.</w:t>
      </w:r>
    </w:p>
    <w:p w14:paraId="1B60699B" w14:textId="44D41F4F" w:rsidR="00CE27DA" w:rsidRPr="0050123F" w:rsidRDefault="00CE27DA" w:rsidP="00CE27DA">
      <w:pPr>
        <w:spacing w:after="120" w:line="276" w:lineRule="auto"/>
        <w:ind w:right="51"/>
        <w:jc w:val="both"/>
        <w:rPr>
          <w:rFonts w:ascii="Verdana" w:eastAsia="Calibri" w:hAnsi="Verdana" w:cs="Arial"/>
        </w:rPr>
      </w:pPr>
      <w:r w:rsidRPr="0050123F">
        <w:rPr>
          <w:rFonts w:ascii="Verdana" w:eastAsia="Calibri" w:hAnsi="Verdana" w:cs="Arial"/>
        </w:rPr>
        <w:tab/>
        <w:t>En este sentido, debe señalarse que, de conformidad con el inciso primero del artíc</w:t>
      </w:r>
      <w:r w:rsidR="000F4F89">
        <w:rPr>
          <w:rFonts w:ascii="Verdana" w:eastAsia="Calibri" w:hAnsi="Verdana" w:cs="Arial"/>
        </w:rPr>
        <w:t>ulo 2.1.4.3.2.1 del Decreto 1081</w:t>
      </w:r>
      <w:r w:rsidRPr="0050123F">
        <w:rPr>
          <w:rFonts w:ascii="Verdana" w:eastAsia="Calibri" w:hAnsi="Verdana" w:cs="Arial"/>
        </w:rPr>
        <w:t xml:space="preserve"> de 2015, corresponde a las entidades estatales garantizar la verificación de las acciones allí descritas, entre las cuales se incluye la existencia de situaciones de control. Dicho artículo establece que </w:t>
      </w:r>
      <w:r w:rsidRPr="0050123F">
        <w:rPr>
          <w:rFonts w:ascii="Verdana" w:eastAsia="Calibri" w:hAnsi="Verdana" w:cs="Arial"/>
        </w:rPr>
        <w:lastRenderedPageBreak/>
        <w:t>“</w:t>
      </w:r>
      <w:r w:rsidRPr="0050123F">
        <w:rPr>
          <w:rFonts w:ascii="Verdana" w:eastAsia="Calibri" w:hAnsi="Verdana" w:cs="Arial"/>
          <w:i/>
          <w:iCs/>
        </w:rPr>
        <w:t xml:space="preserve">las entidades (...) deberán garantizar las siguientes acciones en el desarrollo de su actividad contractual a su cargo (…)”. </w:t>
      </w:r>
      <w:r w:rsidRPr="0050123F">
        <w:rPr>
          <w:rFonts w:ascii="Verdana" w:eastAsia="Calibri" w:hAnsi="Verdana" w:cs="Arial"/>
        </w:rPr>
        <w:t>Así, la entidad que adelanta el proceso de contratación tiene el deber de verificar la existencia de situaciones de control, aun cuando el proponente no las haya informado en los términos previstos en el literal a) del mencionado artículo.</w:t>
      </w:r>
    </w:p>
    <w:p w14:paraId="5CC00D17" w14:textId="77777777" w:rsidR="00CE27DA" w:rsidRPr="0050123F" w:rsidRDefault="00CE27DA" w:rsidP="00CE27DA">
      <w:pPr>
        <w:spacing w:after="120" w:line="276" w:lineRule="auto"/>
        <w:ind w:right="51"/>
        <w:jc w:val="both"/>
        <w:rPr>
          <w:rFonts w:ascii="Verdana" w:eastAsia="Calibri" w:hAnsi="Verdana" w:cs="Arial"/>
        </w:rPr>
      </w:pPr>
      <w:r w:rsidRPr="0050123F">
        <w:rPr>
          <w:rFonts w:ascii="Verdana" w:eastAsia="Calibri" w:hAnsi="Verdana" w:cs="Arial"/>
        </w:rPr>
        <w:t xml:space="preserve"> </w:t>
      </w:r>
      <w:r w:rsidRPr="0050123F">
        <w:rPr>
          <w:rFonts w:ascii="Verdana" w:eastAsia="Calibri" w:hAnsi="Verdana" w:cs="Arial"/>
        </w:rPr>
        <w:tab/>
        <w:t>La omisión del contratista del deber de declarar la existencia o inexistencia de situaciones de control en las que participe no exime a la entidad estatal del cumplimiento de su deber de ejercer la potestad verificadora que le corresponde, especialmente en lo que respecta a la acreditación de la capacidad jurídica, la cual puede verse comprometida por la configuración de dichas situaciones. Así, la información relacionada con situaciones de control constituye un insumo fundamental para verificar la capacidad jurídica de los proponentes den</w:t>
      </w:r>
      <w:r>
        <w:rPr>
          <w:rFonts w:ascii="Verdana" w:eastAsia="Calibri" w:hAnsi="Verdana" w:cs="Arial"/>
        </w:rPr>
        <w:t>tro del proceso de contratación</w:t>
      </w:r>
      <w:r w:rsidRPr="0050123F">
        <w:rPr>
          <w:rFonts w:ascii="Verdana" w:eastAsia="Calibri" w:hAnsi="Verdana" w:cs="Arial"/>
        </w:rPr>
        <w:t>.</w:t>
      </w:r>
    </w:p>
    <w:p w14:paraId="4EC30485" w14:textId="77777777" w:rsidR="00CE27DA" w:rsidRPr="00253FEC" w:rsidRDefault="00CE27DA" w:rsidP="00CE27DA">
      <w:pPr>
        <w:spacing w:after="120" w:line="276" w:lineRule="auto"/>
        <w:ind w:right="51"/>
        <w:jc w:val="both"/>
        <w:rPr>
          <w:rFonts w:ascii="Verdana" w:eastAsia="Calibri" w:hAnsi="Verdana" w:cs="Arial"/>
        </w:rPr>
      </w:pPr>
      <w:r w:rsidRPr="0050123F">
        <w:rPr>
          <w:rFonts w:ascii="Verdana" w:eastAsia="Calibri" w:hAnsi="Verdana" w:cs="Arial"/>
        </w:rPr>
        <w:t xml:space="preserve"> </w:t>
      </w:r>
      <w:r w:rsidRPr="0050123F">
        <w:rPr>
          <w:rFonts w:ascii="Verdana" w:eastAsia="Calibri" w:hAnsi="Verdana" w:cs="Arial"/>
        </w:rPr>
        <w:tab/>
        <w:t>En ese sentido, si en el marco de la evaluación de las ofertas, y antes de la publicación del respectivo informe, la entidad estatal advierte circunstancias que indiquen la posible configuración de una situación de control, estará facultada para solicitar a los proponentes las explicaciones, aclaraciones o información adicional que resulten necesarias para esclarecer dicha circunstancia. Esto, en ejercicio de su deber de verificación y con el fin de garantizar la correcta evaluación de la capacidad jurídica de los oferentes.</w:t>
      </w:r>
      <w:r w:rsidRPr="00253FEC">
        <w:rPr>
          <w:rFonts w:ascii="Verdana" w:eastAsia="Calibri" w:hAnsi="Verdana" w:cs="Arial"/>
        </w:rPr>
        <w:t xml:space="preserve"> </w:t>
      </w:r>
      <w:r>
        <w:rPr>
          <w:rFonts w:ascii="Verdana" w:eastAsia="Calibri" w:hAnsi="Verdana" w:cs="Arial"/>
        </w:rPr>
        <w:t xml:space="preserve">Al respecto, </w:t>
      </w:r>
      <w:r w:rsidRPr="00253FEC">
        <w:rPr>
          <w:rFonts w:ascii="Verdana" w:eastAsia="Calibri" w:hAnsi="Verdana" w:cs="Arial"/>
        </w:rPr>
        <w:t>las entidades podrán verificar situaciones de control a través del RUP. En caso de que el registro no sea obligatorio, el pliego de condiciones debe establecer el mecanismo de validación correspondiente.</w:t>
      </w:r>
    </w:p>
    <w:p w14:paraId="2A914200" w14:textId="77777777" w:rsidR="00CE27DA" w:rsidRPr="0050123F" w:rsidRDefault="00CE27DA" w:rsidP="00CE27DA">
      <w:pPr>
        <w:spacing w:after="120" w:line="276" w:lineRule="auto"/>
        <w:jc w:val="both"/>
        <w:rPr>
          <w:rFonts w:ascii="Verdana" w:eastAsia="Calibri" w:hAnsi="Verdana" w:cs="Arial"/>
        </w:rPr>
      </w:pPr>
      <w:r w:rsidRPr="0050123F">
        <w:rPr>
          <w:rFonts w:ascii="Verdana" w:eastAsia="Calibri" w:hAnsi="Verdana" w:cs="Arial"/>
        </w:rPr>
        <w:tab/>
        <w:t xml:space="preserve">Ahora bien, de acuerdo con el último inciso del literal a) del artículo 2.1.4.3.2.1 del Decreto 1081 de 2015, si en desarrollo del análisis que debe realizar la entidad se evidencian circunstancias que pudieran implicar afectaciones a la libertad de concurrencia o competencia, o a la pluralidad real de oferentes dentro del proceso de selección correspondiente, la entidad que adelanta el proceso de selección, deberá, </w:t>
      </w:r>
      <w:r w:rsidRPr="0050123F">
        <w:rPr>
          <w:rFonts w:ascii="Verdana" w:eastAsia="Calibri" w:hAnsi="Verdana" w:cs="Arial"/>
          <w:i/>
          <w:iCs/>
        </w:rPr>
        <w:t>por una parte</w:t>
      </w:r>
      <w:r w:rsidRPr="0050123F">
        <w:rPr>
          <w:rFonts w:ascii="Verdana" w:eastAsia="Calibri" w:hAnsi="Verdana" w:cs="Arial"/>
        </w:rPr>
        <w:t xml:space="preserve">, evaluar la necesidad de poner tales situaciones en conocimiento de los entes de control competentes y, </w:t>
      </w:r>
      <w:r w:rsidRPr="0050123F">
        <w:rPr>
          <w:rFonts w:ascii="Verdana" w:eastAsia="Calibri" w:hAnsi="Verdana" w:cs="Arial"/>
          <w:i/>
          <w:iCs/>
        </w:rPr>
        <w:t>por otra parte</w:t>
      </w:r>
      <w:r w:rsidRPr="0050123F">
        <w:rPr>
          <w:rFonts w:ascii="Verdana" w:eastAsia="Calibri" w:hAnsi="Verdana" w:cs="Arial"/>
        </w:rPr>
        <w:t>, de ser necesario, solicitar el acompañamiento preventivo de estas entidades.</w:t>
      </w:r>
    </w:p>
    <w:p w14:paraId="219DD21E" w14:textId="77777777" w:rsidR="00CE27DA" w:rsidRDefault="00CE27DA" w:rsidP="00CE27DA">
      <w:pPr>
        <w:spacing w:after="0" w:line="276" w:lineRule="auto"/>
        <w:jc w:val="both"/>
        <w:rPr>
          <w:rFonts w:ascii="Verdana" w:hAnsi="Verdana" w:cs="Arial"/>
        </w:rPr>
      </w:pPr>
    </w:p>
    <w:p w14:paraId="3E9293C1" w14:textId="77777777" w:rsidR="00CE27DA" w:rsidRDefault="00CE27DA" w:rsidP="00CE27DA">
      <w:pPr>
        <w:spacing w:after="0" w:line="276" w:lineRule="auto"/>
        <w:jc w:val="both"/>
        <w:rPr>
          <w:rFonts w:ascii="Verdana" w:hAnsi="Verdana" w:cs="Arial"/>
        </w:rPr>
      </w:pPr>
      <w:proofErr w:type="spellStart"/>
      <w:r>
        <w:rPr>
          <w:rFonts w:ascii="Verdana" w:hAnsi="Verdana" w:cs="Arial"/>
        </w:rPr>
        <w:t>ii</w:t>
      </w:r>
      <w:proofErr w:type="spellEnd"/>
      <w:r>
        <w:rPr>
          <w:rFonts w:ascii="Verdana" w:hAnsi="Verdana" w:cs="Arial"/>
        </w:rPr>
        <w:t xml:space="preserve">. Las cámaras de comercio verifican las situaciones de control al momento de las inscripción, renovación y actualización del registro único de proponentes. Al respecto, tratándose de personas jurídicas, el numeral 2.2 del artículo </w:t>
      </w:r>
      <w:r w:rsidRPr="00B858C2">
        <w:rPr>
          <w:rFonts w:ascii="Verdana" w:hAnsi="Verdana" w:cs="Arial"/>
        </w:rPr>
        <w:lastRenderedPageBreak/>
        <w:t>2.2.1.1.1.5.2</w:t>
      </w:r>
      <w:r>
        <w:rPr>
          <w:rFonts w:ascii="Verdana" w:hAnsi="Verdana" w:cs="Arial"/>
        </w:rPr>
        <w:t xml:space="preserve"> ordena la entrega del “</w:t>
      </w:r>
      <w:r w:rsidRPr="00B858C2">
        <w:rPr>
          <w:rFonts w:ascii="Verdana" w:hAnsi="Verdana" w:cs="Arial"/>
        </w:rPr>
        <w:t xml:space="preserve">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w:t>
      </w:r>
      <w:r w:rsidRPr="00B858C2">
        <w:rPr>
          <w:rFonts w:ascii="Verdana" w:hAnsi="Verdana" w:cs="Arial"/>
          <w:i/>
          <w:iCs/>
        </w:rPr>
        <w:t>Si el grupo empresarial o la circunstancia de control existe, en el certificado debe constar la identificación de los miembros del grupo empresarial, la situación de control y los controlantes y controlados</w:t>
      </w:r>
      <w:r>
        <w:rPr>
          <w:rFonts w:ascii="Verdana" w:hAnsi="Verdana" w:cs="Arial"/>
        </w:rPr>
        <w:t>” (Énfasis fuera de texto)</w:t>
      </w:r>
      <w:r w:rsidRPr="00B858C2">
        <w:rPr>
          <w:rFonts w:ascii="Verdana" w:hAnsi="Verdana" w:cs="Arial"/>
        </w:rPr>
        <w:t>.</w:t>
      </w:r>
      <w:r>
        <w:rPr>
          <w:rFonts w:ascii="Verdana" w:hAnsi="Verdana" w:cs="Arial"/>
        </w:rPr>
        <w:t xml:space="preserve"> </w:t>
      </w:r>
    </w:p>
    <w:p w14:paraId="183B1833" w14:textId="77777777" w:rsidR="00CE27DA" w:rsidRDefault="00CE27DA" w:rsidP="00CE27DA">
      <w:pPr>
        <w:spacing w:after="0" w:line="276" w:lineRule="auto"/>
        <w:jc w:val="both"/>
        <w:rPr>
          <w:rFonts w:ascii="Verdana" w:hAnsi="Verdana" w:cs="Arial"/>
        </w:rPr>
      </w:pPr>
    </w:p>
    <w:p w14:paraId="2E1C2223" w14:textId="77777777" w:rsidR="00CE27DA" w:rsidRPr="002F035D" w:rsidRDefault="00CE27DA" w:rsidP="00CE27DA">
      <w:pPr>
        <w:spacing w:after="120" w:line="276" w:lineRule="auto"/>
        <w:jc w:val="both"/>
        <w:rPr>
          <w:rFonts w:ascii="Verdana" w:hAnsi="Verdana" w:cs="Arial"/>
        </w:rPr>
      </w:pPr>
      <w:proofErr w:type="spellStart"/>
      <w:r>
        <w:rPr>
          <w:rFonts w:ascii="Verdana" w:hAnsi="Verdana" w:cs="Arial"/>
        </w:rPr>
        <w:t>iii</w:t>
      </w:r>
      <w:proofErr w:type="spellEnd"/>
      <w:r>
        <w:rPr>
          <w:rFonts w:ascii="Verdana" w:hAnsi="Verdana" w:cs="Arial"/>
        </w:rPr>
        <w:t xml:space="preserve">. </w:t>
      </w:r>
      <w:r w:rsidRPr="002F035D">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085668BE" w14:textId="77777777" w:rsidR="00CE27DA" w:rsidRDefault="00CE27DA" w:rsidP="00CE27DA">
      <w:pPr>
        <w:spacing w:after="120" w:line="276" w:lineRule="auto"/>
        <w:ind w:firstLine="708"/>
        <w:jc w:val="both"/>
        <w:rPr>
          <w:rFonts w:ascii="Verdana" w:hAnsi="Verdana" w:cs="Arial"/>
        </w:rPr>
      </w:pPr>
      <w:r w:rsidRPr="002F035D">
        <w:rPr>
          <w:rFonts w:ascii="Verdana"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p w14:paraId="75FCF432" w14:textId="77777777" w:rsidR="00CE27DA" w:rsidRPr="00BA0350" w:rsidRDefault="00CE27DA" w:rsidP="00CE27DA">
      <w:pPr>
        <w:spacing w:after="120" w:line="276" w:lineRule="auto"/>
        <w:ind w:firstLine="708"/>
        <w:jc w:val="both"/>
        <w:rPr>
          <w:rFonts w:ascii="Verdana" w:hAnsi="Verdana" w:cs="Arial"/>
        </w:rPr>
      </w:pPr>
      <w:r w:rsidRPr="002F035D">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2F035D">
        <w:rPr>
          <w:rFonts w:ascii="Verdana" w:hAnsi="Verdana" w:cs="Arial"/>
          <w:shd w:val="clear" w:color="auto" w:fill="FFFFFF"/>
        </w:rPr>
        <w:t>En tal sentido la Corte explicó la función registral de las Cámaras de Comercio y la confiabilidad de la información en él contenida de la siguiente manera:</w:t>
      </w:r>
    </w:p>
    <w:p w14:paraId="043124B1" w14:textId="77777777" w:rsidR="00CE27DA" w:rsidRPr="002F035D" w:rsidRDefault="00CE27DA" w:rsidP="00CE27DA">
      <w:pPr>
        <w:spacing w:after="0" w:line="276" w:lineRule="auto"/>
        <w:jc w:val="both"/>
        <w:rPr>
          <w:rFonts w:ascii="Verdana" w:hAnsi="Verdana" w:cs="Arial"/>
          <w:shd w:val="clear" w:color="auto" w:fill="FFFFFF"/>
        </w:rPr>
      </w:pPr>
    </w:p>
    <w:p w14:paraId="6C595DF5" w14:textId="77777777" w:rsidR="00CE27DA" w:rsidRPr="002F035D" w:rsidRDefault="00CE27DA" w:rsidP="00CE27DA">
      <w:pPr>
        <w:spacing w:after="0" w:line="240" w:lineRule="auto"/>
        <w:ind w:left="709" w:right="709"/>
        <w:jc w:val="both"/>
        <w:rPr>
          <w:rFonts w:ascii="Verdana" w:hAnsi="Verdana" w:cs="Arial"/>
          <w:sz w:val="21"/>
          <w:szCs w:val="21"/>
          <w:shd w:val="clear" w:color="auto" w:fill="FFFFFF"/>
        </w:rPr>
      </w:pPr>
      <w:r>
        <w:rPr>
          <w:rFonts w:ascii="Verdana" w:hAnsi="Verdana" w:cs="Arial"/>
          <w:sz w:val="21"/>
          <w:szCs w:val="21"/>
          <w:shd w:val="clear" w:color="auto" w:fill="FFFFFF"/>
        </w:rPr>
        <w:t>“</w:t>
      </w:r>
      <w:r w:rsidRPr="002F035D">
        <w:rPr>
          <w:rFonts w:ascii="Verdana" w:hAnsi="Verdana" w:cs="Arial"/>
          <w:sz w:val="21"/>
          <w:szCs w:val="21"/>
          <w:shd w:val="clear" w:color="auto" w:fill="FFFFFF"/>
        </w:rPr>
        <w:t xml:space="preserve">La función registral de las Cámaras de Comercio ha sido unificada a través del Registro Único Empresarial y Social -RUES-, conformado, </w:t>
      </w:r>
      <w:r w:rsidRPr="002F035D">
        <w:rPr>
          <w:rFonts w:ascii="Verdana" w:hAnsi="Verdana" w:cs="Arial"/>
          <w:sz w:val="21"/>
          <w:szCs w:val="21"/>
          <w:shd w:val="clear" w:color="auto" w:fill="FFFFFF"/>
        </w:rPr>
        <w:lastRenderedPageBreak/>
        <w:t xml:space="preserve">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w:t>
      </w:r>
      <w:proofErr w:type="gramStart"/>
      <w:r w:rsidRPr="002F035D">
        <w:rPr>
          <w:rFonts w:ascii="Verdana" w:hAnsi="Verdana" w:cs="Arial"/>
          <w:sz w:val="21"/>
          <w:szCs w:val="21"/>
          <w:shd w:val="clear" w:color="auto" w:fill="FFFFFF"/>
        </w:rPr>
        <w:t>los mismos</w:t>
      </w:r>
      <w:proofErr w:type="gramEnd"/>
      <w:r w:rsidRPr="002F035D">
        <w:rPr>
          <w:rFonts w:ascii="Verdana" w:hAnsi="Verdana" w:cs="Arial"/>
          <w:sz w:val="21"/>
          <w:szCs w:val="21"/>
          <w:shd w:val="clear" w:color="auto" w:fill="FFFFFF"/>
        </w:rPr>
        <w:t>,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w:t>
      </w:r>
      <w:proofErr w:type="spellStart"/>
      <w:r w:rsidRPr="002F035D">
        <w:rPr>
          <w:rFonts w:ascii="Verdana" w:hAnsi="Verdana" w:cs="Arial"/>
          <w:sz w:val="21"/>
          <w:szCs w:val="21"/>
          <w:shd w:val="clear" w:color="auto" w:fill="FFFFFF"/>
        </w:rPr>
        <w:t>ii</w:t>
      </w:r>
      <w:proofErr w:type="spellEnd"/>
      <w:r w:rsidRPr="002F035D">
        <w:rPr>
          <w:rFonts w:ascii="Verdana" w:hAnsi="Verdana" w:cs="Arial"/>
          <w:sz w:val="21"/>
          <w:szCs w:val="21"/>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2F035D">
        <w:rPr>
          <w:rFonts w:ascii="Verdana" w:hAnsi="Verdana" w:cs="Arial"/>
          <w:sz w:val="21"/>
          <w:szCs w:val="21"/>
          <w:shd w:val="clear" w:color="auto" w:fill="FFFFFF"/>
        </w:rPr>
        <w:t>iii</w:t>
      </w:r>
      <w:proofErr w:type="spellEnd"/>
      <w:r w:rsidRPr="002F035D">
        <w:rPr>
          <w:rFonts w:ascii="Verdana" w:hAnsi="Verdana" w:cs="Arial"/>
          <w:sz w:val="21"/>
          <w:szCs w:val="21"/>
          <w:shd w:val="clear" w:color="auto" w:fill="FFFFFF"/>
        </w:rPr>
        <w:t xml:space="preserve">)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w:t>
      </w:r>
      <w:r w:rsidRPr="002F035D">
        <w:rPr>
          <w:rFonts w:ascii="Verdana" w:hAnsi="Verdana" w:cs="Arial"/>
          <w:sz w:val="21"/>
          <w:szCs w:val="21"/>
          <w:shd w:val="clear" w:color="auto" w:fill="FFFFFF"/>
        </w:rPr>
        <w:lastRenderedPageBreak/>
        <w:t>del repertorio de medidas que las Cámaras de Comercio pueden adoptar en relación con el proponente registrado en el RUP que con sus actos dolosos defraude la confianza considerada como elemento fundamental de las relaciones contractuales con el Estado</w:t>
      </w:r>
      <w:r>
        <w:rPr>
          <w:rFonts w:ascii="Verdana" w:hAnsi="Verdana" w:cs="Arial"/>
          <w:sz w:val="21"/>
          <w:szCs w:val="21"/>
          <w:shd w:val="clear" w:color="auto" w:fill="FFFFFF"/>
        </w:rPr>
        <w:t>”</w:t>
      </w:r>
      <w:r w:rsidRPr="002F035D">
        <w:rPr>
          <w:rStyle w:val="Refdenotaalpie"/>
          <w:rFonts w:ascii="Verdana" w:eastAsia="Calibri" w:hAnsi="Verdana" w:cs="Arial"/>
          <w:sz w:val="21"/>
          <w:szCs w:val="21"/>
        </w:rPr>
        <w:footnoteReference w:id="3"/>
      </w:r>
      <w:r w:rsidRPr="002F035D">
        <w:rPr>
          <w:rFonts w:ascii="Verdana" w:hAnsi="Verdana" w:cs="Arial"/>
          <w:sz w:val="21"/>
          <w:szCs w:val="21"/>
          <w:shd w:val="clear" w:color="auto" w:fill="FFFFFF"/>
        </w:rPr>
        <w:t xml:space="preserve">. </w:t>
      </w:r>
    </w:p>
    <w:p w14:paraId="3B768108" w14:textId="77777777" w:rsidR="00CE27DA" w:rsidRDefault="00CE27DA" w:rsidP="00CE27DA">
      <w:pPr>
        <w:spacing w:after="0" w:line="276" w:lineRule="auto"/>
        <w:jc w:val="both"/>
        <w:rPr>
          <w:rFonts w:ascii="Verdana" w:eastAsia="Calibri" w:hAnsi="Verdana" w:cs="Arial"/>
        </w:rPr>
      </w:pPr>
    </w:p>
    <w:p w14:paraId="4C40E1A7" w14:textId="77777777" w:rsidR="00CE27DA" w:rsidRPr="002F035D" w:rsidRDefault="00CE27DA" w:rsidP="00CE27DA">
      <w:pPr>
        <w:spacing w:after="120" w:line="276" w:lineRule="auto"/>
        <w:ind w:firstLine="709"/>
        <w:jc w:val="both"/>
        <w:rPr>
          <w:rFonts w:ascii="Verdana" w:eastAsia="Calibri" w:hAnsi="Verdana" w:cs="Arial"/>
        </w:rPr>
      </w:pPr>
      <w:r w:rsidRPr="002F035D">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701DA406" w14:textId="77777777" w:rsidR="00CE27DA" w:rsidRDefault="00CE27DA" w:rsidP="00CE27DA">
      <w:pPr>
        <w:spacing w:after="120" w:line="276" w:lineRule="auto"/>
        <w:ind w:firstLine="709"/>
        <w:jc w:val="both"/>
        <w:rPr>
          <w:rFonts w:ascii="Verdana" w:eastAsia="Calibri" w:hAnsi="Verdana" w:cs="Arial"/>
        </w:rPr>
      </w:pPr>
      <w:r w:rsidRPr="002F035D">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3C2A6AA6" w14:textId="77777777" w:rsidR="00CE27DA" w:rsidRPr="00112429" w:rsidRDefault="00CE27DA" w:rsidP="00CE27DA">
      <w:pPr>
        <w:spacing w:after="0" w:line="276" w:lineRule="auto"/>
        <w:jc w:val="both"/>
        <w:rPr>
          <w:rFonts w:ascii="Verdana" w:eastAsia="Calibri" w:hAnsi="Verdana" w:cs="Arial"/>
        </w:rPr>
      </w:pPr>
    </w:p>
    <w:p w14:paraId="424A2E82" w14:textId="77777777" w:rsidR="00CE27DA" w:rsidRPr="00112429" w:rsidRDefault="00CE27DA" w:rsidP="00CE27DA">
      <w:pPr>
        <w:spacing w:after="120" w:line="276" w:lineRule="auto"/>
        <w:jc w:val="both"/>
        <w:rPr>
          <w:rFonts w:ascii="Verdana" w:eastAsia="Calibri" w:hAnsi="Verdana" w:cs="Arial"/>
        </w:rPr>
      </w:pPr>
      <w:proofErr w:type="spellStart"/>
      <w:r w:rsidRPr="00112429">
        <w:rPr>
          <w:rFonts w:ascii="Verdana" w:eastAsia="Calibri" w:hAnsi="Verdana" w:cs="Arial"/>
        </w:rPr>
        <w:t>iv</w:t>
      </w:r>
      <w:proofErr w:type="spellEnd"/>
      <w:r w:rsidRPr="00112429">
        <w:rPr>
          <w:rFonts w:ascii="Verdana" w:eastAsia="Calibri" w:hAnsi="Verdana" w:cs="Arial"/>
        </w:rPr>
        <w:t>. En torno al rol de la Secretar</w:t>
      </w:r>
      <w:r>
        <w:rPr>
          <w:rFonts w:ascii="Verdana" w:eastAsia="Calibri" w:hAnsi="Verdana" w:cs="Arial"/>
        </w:rPr>
        <w:t>í</w:t>
      </w:r>
      <w:r w:rsidRPr="00112429">
        <w:rPr>
          <w:rFonts w:ascii="Verdana" w:eastAsia="Calibri" w:hAnsi="Verdana" w:cs="Arial"/>
        </w:rPr>
        <w:t>a de Transparencia, se precisa que se creó en el Departamento Administrativo de la Presidencia de la República, de conformidad a lo regulado en el Decreto 4637 de 2011. Dicha Secretar</w:t>
      </w:r>
      <w:r>
        <w:rPr>
          <w:rFonts w:ascii="Verdana" w:eastAsia="Calibri" w:hAnsi="Verdana" w:cs="Arial"/>
        </w:rPr>
        <w:t>í</w:t>
      </w:r>
      <w:r w:rsidRPr="00112429">
        <w:rPr>
          <w:rFonts w:ascii="Verdana" w:eastAsia="Calibri" w:hAnsi="Verdana" w:cs="Arial"/>
        </w:rPr>
        <w:t xml:space="preserve">a se articula </w:t>
      </w:r>
      <w:r>
        <w:rPr>
          <w:rFonts w:ascii="Verdana" w:eastAsia="Calibri" w:hAnsi="Verdana" w:cs="Arial"/>
        </w:rPr>
        <w:t xml:space="preserve">con </w:t>
      </w:r>
      <w:r w:rsidRPr="00112429">
        <w:rPr>
          <w:rFonts w:ascii="Verdana" w:eastAsia="Calibri" w:hAnsi="Verdana" w:cs="Arial"/>
        </w:rPr>
        <w:t xml:space="preserve">las instancias creadas por la Ley 1474 de 2011 para fortalecer la lucha contra la corrupción en el Estado. Dichas instancias son: i) la Comisión Nacional de Moralización; </w:t>
      </w:r>
      <w:proofErr w:type="spellStart"/>
      <w:r w:rsidRPr="00112429">
        <w:rPr>
          <w:rFonts w:ascii="Verdana" w:eastAsia="Calibri" w:hAnsi="Verdana" w:cs="Arial"/>
        </w:rPr>
        <w:t>ii</w:t>
      </w:r>
      <w:proofErr w:type="spellEnd"/>
      <w:r w:rsidRPr="00112429">
        <w:rPr>
          <w:rFonts w:ascii="Verdana" w:eastAsia="Calibri" w:hAnsi="Verdana" w:cs="Arial"/>
        </w:rPr>
        <w:t xml:space="preserve">) Las Comisiones Regionales de Moralización; </w:t>
      </w:r>
      <w:proofErr w:type="spellStart"/>
      <w:r w:rsidRPr="00112429">
        <w:rPr>
          <w:rFonts w:ascii="Verdana" w:eastAsia="Calibri" w:hAnsi="Verdana" w:cs="Arial"/>
        </w:rPr>
        <w:t>iii</w:t>
      </w:r>
      <w:proofErr w:type="spellEnd"/>
      <w:r w:rsidRPr="00112429">
        <w:rPr>
          <w:rFonts w:ascii="Verdana" w:eastAsia="Calibri" w:hAnsi="Verdana" w:cs="Arial"/>
        </w:rPr>
        <w:t xml:space="preserve">) la Comisión Nacional Ciudadana de Lucha contra la Corrupción. </w:t>
      </w:r>
    </w:p>
    <w:p w14:paraId="32E700A7" w14:textId="77777777" w:rsidR="00CE27DA" w:rsidRDefault="00CE27DA" w:rsidP="00CE27DA">
      <w:pPr>
        <w:spacing w:after="120" w:line="276" w:lineRule="auto"/>
        <w:jc w:val="both"/>
        <w:rPr>
          <w:rFonts w:ascii="Verdana" w:eastAsia="Times New Roman" w:hAnsi="Verdana" w:cs="Arial"/>
        </w:rPr>
      </w:pPr>
      <w:r w:rsidRPr="00112429">
        <w:rPr>
          <w:rFonts w:ascii="Verdana" w:eastAsia="Calibri" w:hAnsi="Verdana" w:cs="Arial"/>
        </w:rPr>
        <w:tab/>
        <w:t>En este a</w:t>
      </w:r>
      <w:r>
        <w:rPr>
          <w:rFonts w:ascii="Verdana" w:eastAsia="Calibri" w:hAnsi="Verdana" w:cs="Arial"/>
        </w:rPr>
        <w:t xml:space="preserve">specto, puede resaltarse que la </w:t>
      </w:r>
      <w:r>
        <w:rPr>
          <w:rFonts w:ascii="Verdana" w:eastAsia="Times New Roman" w:hAnsi="Verdana" w:cs="Arial"/>
        </w:rPr>
        <w:t xml:space="preserve">entidad fue reestructurada en el Decreto 2647 de 2022, en la que estableció en el eje de la coordinación interinstitucional en el fomento y contribución </w:t>
      </w:r>
      <w:r w:rsidRPr="00EE4B48">
        <w:rPr>
          <w:rFonts w:ascii="Verdana" w:eastAsia="Times New Roman" w:hAnsi="Verdana" w:cs="Arial"/>
        </w:rPr>
        <w:t xml:space="preserve">de las diferentes ramas del poder público y órganos de control del nivel nacional y territorial, para la ejecución de </w:t>
      </w:r>
      <w:r w:rsidRPr="00EE4B48">
        <w:rPr>
          <w:rFonts w:ascii="Verdana" w:eastAsia="Times New Roman" w:hAnsi="Verdana" w:cs="Arial"/>
        </w:rPr>
        <w:lastRenderedPageBreak/>
        <w:t>la política de transparencia y lucha contra la corrupción.</w:t>
      </w:r>
      <w:r>
        <w:rPr>
          <w:rFonts w:ascii="Verdana" w:eastAsia="Times New Roman" w:hAnsi="Verdana" w:cs="Arial"/>
        </w:rPr>
        <w:t xml:space="preserve"> Para ello, ejerce </w:t>
      </w:r>
      <w:r w:rsidRPr="00EE4B48">
        <w:rPr>
          <w:rFonts w:ascii="Verdana" w:eastAsia="Times New Roman" w:hAnsi="Verdana" w:cs="Arial"/>
        </w:rPr>
        <w:t>la Secretaría Técnica de la Comisión Nacional para la Moralización en el m</w:t>
      </w:r>
      <w:r>
        <w:rPr>
          <w:rFonts w:ascii="Verdana" w:eastAsia="Times New Roman" w:hAnsi="Verdana" w:cs="Arial"/>
        </w:rPr>
        <w:t xml:space="preserve">arco de la normatividad vigente, así como la función de requerir </w:t>
      </w:r>
      <w:r w:rsidRPr="00EE4B48">
        <w:rPr>
          <w:rFonts w:ascii="Verdana" w:eastAsia="Times New Roman" w:hAnsi="Verdana" w:cs="Arial"/>
        </w:rPr>
        <w:t>a las Comisiones Regionales de Moralización, adelantar la investigación por presuntos delitos contra la administración pública, contra el orden económico y social, contra el patrimonio económico, faltas disciplinares o fiscales de los que haya tenido conocimiento y formular recomendaciones para prevenir o atacar ri</w:t>
      </w:r>
      <w:r>
        <w:rPr>
          <w:rFonts w:ascii="Verdana" w:eastAsia="Times New Roman" w:hAnsi="Verdana" w:cs="Arial"/>
        </w:rPr>
        <w:t xml:space="preserve">esgos sistémicos de corrupción. De igual modo, cumple la función de coordinar las </w:t>
      </w:r>
      <w:r w:rsidRPr="00C83833">
        <w:rPr>
          <w:rFonts w:ascii="Verdana" w:eastAsia="Times New Roman" w:hAnsi="Verdana" w:cs="Arial"/>
        </w:rPr>
        <w:t xml:space="preserve">actividades con la </w:t>
      </w:r>
      <w:proofErr w:type="gramStart"/>
      <w:r w:rsidRPr="00C83833">
        <w:rPr>
          <w:rFonts w:ascii="Verdana" w:eastAsia="Times New Roman" w:hAnsi="Verdana" w:cs="Arial"/>
        </w:rPr>
        <w:t>Secretaria Técnica</w:t>
      </w:r>
      <w:proofErr w:type="gramEnd"/>
      <w:r w:rsidRPr="00C83833">
        <w:rPr>
          <w:rFonts w:ascii="Verdana" w:eastAsia="Times New Roman" w:hAnsi="Verdana" w:cs="Arial"/>
        </w:rPr>
        <w:t xml:space="preserve"> de la Comisión Nacional Ciudadana para la Lucha Contra la Corrupción y promover la aplicación de los lineamientos tanto de esta Comisión como de la Comisión Nacional para la Moralización en las Comisiones Regionales de Moralización.</w:t>
      </w:r>
    </w:p>
    <w:p w14:paraId="6310CED2" w14:textId="77777777" w:rsidR="00CE27DA" w:rsidRPr="005F0A24" w:rsidRDefault="00CE27DA" w:rsidP="00CE27DA">
      <w:pPr>
        <w:spacing w:after="120" w:line="276" w:lineRule="auto"/>
        <w:jc w:val="both"/>
        <w:rPr>
          <w:rFonts w:ascii="Verdana" w:eastAsia="Times New Roman" w:hAnsi="Verdana" w:cs="Arial"/>
        </w:rPr>
      </w:pPr>
      <w:r>
        <w:rPr>
          <w:rFonts w:ascii="Verdana" w:eastAsia="Times New Roman" w:hAnsi="Verdana" w:cs="Arial"/>
        </w:rPr>
        <w:tab/>
        <w:t xml:space="preserve">Para entender ese rol articulador, se recomienda acudir a la página web </w:t>
      </w:r>
      <w:hyperlink r:id="rId14" w:history="1">
        <w:r w:rsidRPr="00D85224">
          <w:rPr>
            <w:rStyle w:val="Hipervnculo"/>
            <w:rFonts w:ascii="Verdana" w:eastAsia="Times New Roman" w:hAnsi="Verdana" w:cs="Arial"/>
          </w:rPr>
          <w:t>https://www.secretariatransparencia.gov.co/</w:t>
        </w:r>
      </w:hyperlink>
      <w:r>
        <w:rPr>
          <w:rFonts w:ascii="Verdana" w:eastAsia="Times New Roman" w:hAnsi="Verdana" w:cs="Arial"/>
        </w:rPr>
        <w:t xml:space="preserve"> de dicha entidad, donde encontrará capacitaciones y una serie de herramientas que permitirán coordinarse en la lucha contra la corrupción. </w:t>
      </w:r>
    </w:p>
    <w:p w14:paraId="16DB4B6C" w14:textId="77777777" w:rsidR="00CE27DA" w:rsidRDefault="00CE27DA" w:rsidP="00CE27DA">
      <w:pPr>
        <w:spacing w:after="120" w:line="276" w:lineRule="auto"/>
        <w:jc w:val="both"/>
        <w:rPr>
          <w:rFonts w:ascii="Arial" w:eastAsia="Times New Roman" w:hAnsi="Arial" w:cs="Arial"/>
          <w:color w:val="333333"/>
          <w:sz w:val="25"/>
          <w:szCs w:val="25"/>
        </w:rPr>
      </w:pPr>
    </w:p>
    <w:p w14:paraId="75E92EBF" w14:textId="77777777" w:rsidR="00CE27DA" w:rsidRPr="00E24FB2" w:rsidRDefault="00CE27DA" w:rsidP="00CE27DA">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DB33E4A" w14:textId="77777777" w:rsidR="00CE27DA" w:rsidRPr="00185EE9" w:rsidRDefault="00CE27DA" w:rsidP="00CE27DA">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0695BC0" w14:textId="77777777" w:rsidR="00CE27DA" w:rsidRPr="00182C89" w:rsidRDefault="00CE27DA" w:rsidP="00CE27DA">
      <w:pPr>
        <w:tabs>
          <w:tab w:val="left" w:pos="709"/>
        </w:tabs>
        <w:spacing w:after="0" w:line="276" w:lineRule="auto"/>
        <w:jc w:val="both"/>
        <w:rPr>
          <w:rFonts w:ascii="Verdana" w:eastAsia="Calibri" w:hAnsi="Verdana" w:cs="Arial"/>
          <w:color w:val="000000" w:themeColor="text1"/>
        </w:rPr>
      </w:pPr>
    </w:p>
    <w:p w14:paraId="54F1976F" w14:textId="77777777" w:rsidR="00CE27DA" w:rsidRPr="00593A5F" w:rsidRDefault="00CE27DA" w:rsidP="00CE27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534B707D" w14:textId="77777777" w:rsidR="00CE27DA" w:rsidRPr="00593A5F" w:rsidRDefault="00CE27DA" w:rsidP="00CE27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27DA" w:rsidRPr="002407CE" w14:paraId="5B68B01E" w14:textId="77777777" w:rsidTr="00B07DFC">
        <w:trPr>
          <w:trHeight w:val="870"/>
          <w:jc w:val="center"/>
        </w:trPr>
        <w:tc>
          <w:tcPr>
            <w:tcW w:w="8647" w:type="dxa"/>
          </w:tcPr>
          <w:p w14:paraId="10274C39" w14:textId="77777777" w:rsidR="00CE27DA"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Constitución Política de 1991, artículo 209.</w:t>
            </w:r>
          </w:p>
          <w:p w14:paraId="4EA3CDE5" w14:textId="77777777" w:rsidR="00CE27DA"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489 de 1998, artículo 3.</w:t>
            </w:r>
          </w:p>
          <w:p w14:paraId="7D1EA3F4" w14:textId="77777777" w:rsidR="00CE27DA"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artículos 5 y 6.</w:t>
            </w:r>
          </w:p>
          <w:p w14:paraId="1B84B8B6" w14:textId="77777777" w:rsidR="00CE27DA"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1447 de 2011, artículo 13.</w:t>
            </w:r>
          </w:p>
          <w:p w14:paraId="4DAED557" w14:textId="77777777" w:rsidR="00CE27DA" w:rsidRPr="007E24E6"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Ley 2294 de 2023, artículo 200. </w:t>
            </w:r>
          </w:p>
          <w:p w14:paraId="473B3F6D" w14:textId="77777777" w:rsidR="00CE27DA" w:rsidRPr="007E24E6"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1081 de 2015, </w:t>
            </w:r>
            <w:r w:rsidRPr="007E24E6">
              <w:rPr>
                <w:rFonts w:ascii="Verdana" w:hAnsi="Verdana" w:cs="Arial"/>
              </w:rPr>
              <w:t>artículo 2.1.4.3.2.1</w:t>
            </w:r>
            <w:r>
              <w:rPr>
                <w:rFonts w:ascii="Verdana" w:hAnsi="Verdana" w:cs="Arial"/>
              </w:rPr>
              <w:t>.</w:t>
            </w:r>
          </w:p>
          <w:p w14:paraId="46FD03C0" w14:textId="77777777" w:rsidR="00CE27DA" w:rsidRPr="00C83833"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1082 de 2015, artículo </w:t>
            </w:r>
            <w:r w:rsidRPr="007E24E6">
              <w:rPr>
                <w:rFonts w:ascii="Verdana" w:hAnsi="Verdana" w:cs="Arial"/>
              </w:rPr>
              <w:t>2.2.1.1.1.5.2</w:t>
            </w:r>
            <w:r>
              <w:rPr>
                <w:rFonts w:ascii="Verdana" w:hAnsi="Verdana" w:cs="Arial"/>
              </w:rPr>
              <w:t>.</w:t>
            </w:r>
          </w:p>
          <w:p w14:paraId="7385BDB4" w14:textId="77777777" w:rsidR="00CE27DA" w:rsidRPr="008823C6" w:rsidRDefault="00CE27DA" w:rsidP="00B07D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7E24E6">
              <w:rPr>
                <w:rFonts w:ascii="Verdana" w:hAnsi="Verdana" w:cs="Arial"/>
                <w:color w:val="000000" w:themeColor="text1"/>
                <w:lang w:val="es-ES_tradnl"/>
              </w:rPr>
              <w:t>Decreto 1600 de 2024</w:t>
            </w:r>
            <w:r>
              <w:rPr>
                <w:rFonts w:ascii="Verdana" w:hAnsi="Verdana" w:cs="Arial"/>
                <w:color w:val="000000" w:themeColor="text1"/>
                <w:lang w:val="es-ES_tradnl"/>
              </w:rPr>
              <w:t>, artículo 1.</w:t>
            </w:r>
          </w:p>
          <w:p w14:paraId="6CCBA43D" w14:textId="77777777" w:rsidR="00CE27DA" w:rsidRPr="00FF09AA" w:rsidRDefault="00CE27DA" w:rsidP="00B07DFC">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de Comercio, artículos 260 y 261.</w:t>
            </w:r>
          </w:p>
        </w:tc>
      </w:tr>
    </w:tbl>
    <w:p w14:paraId="5A3967C2" w14:textId="77777777" w:rsidR="00CE27DA" w:rsidRPr="002407CE" w:rsidRDefault="00CE27DA" w:rsidP="00CE27DA">
      <w:pPr>
        <w:widowControl w:val="0"/>
        <w:autoSpaceDE w:val="0"/>
        <w:autoSpaceDN w:val="0"/>
        <w:spacing w:after="0" w:line="276" w:lineRule="auto"/>
        <w:jc w:val="both"/>
        <w:rPr>
          <w:rFonts w:ascii="Verdana" w:hAnsi="Verdana" w:cs="Arial"/>
        </w:rPr>
      </w:pPr>
    </w:p>
    <w:p w14:paraId="674E56CA" w14:textId="77777777" w:rsidR="00CE27DA" w:rsidRPr="00593A5F" w:rsidRDefault="00CE27DA" w:rsidP="00CE27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3647101" w14:textId="77777777" w:rsidR="00CE27DA" w:rsidRPr="00593A5F" w:rsidRDefault="00CE27DA" w:rsidP="00CE27DA">
      <w:pPr>
        <w:widowControl w:val="0"/>
        <w:autoSpaceDE w:val="0"/>
        <w:autoSpaceDN w:val="0"/>
        <w:spacing w:after="0" w:line="276" w:lineRule="auto"/>
        <w:jc w:val="both"/>
        <w:rPr>
          <w:rFonts w:ascii="Verdana" w:hAnsi="Verdana" w:cs="Arial"/>
        </w:rPr>
      </w:pPr>
    </w:p>
    <w:p w14:paraId="7F50033C" w14:textId="77777777" w:rsidR="00CE27DA" w:rsidRPr="00003886" w:rsidRDefault="00CE27DA" w:rsidP="00CE27DA">
      <w:pPr>
        <w:widowControl w:val="0"/>
        <w:autoSpaceDE w:val="0"/>
        <w:autoSpaceDN w:val="0"/>
        <w:spacing w:after="0" w:line="276" w:lineRule="auto"/>
        <w:jc w:val="both"/>
        <w:rPr>
          <w:rStyle w:val="normaltextrun"/>
          <w:rFonts w:ascii="Verdana" w:hAnsi="Verdana" w:cs="Arial"/>
          <w:shd w:val="clear" w:color="auto" w:fill="FFFFFF"/>
        </w:rPr>
      </w:pPr>
      <w:r w:rsidRPr="00003886">
        <w:rPr>
          <w:rFonts w:ascii="Verdana" w:hAnsi="Verdana" w:cs="Arial"/>
          <w:shd w:val="clear" w:color="auto" w:fill="FFFFFF"/>
        </w:rPr>
        <w:t xml:space="preserve">Esta Subdirección se ha pronunciado sobre </w:t>
      </w:r>
      <w:r>
        <w:rPr>
          <w:rFonts w:ascii="Verdana" w:hAnsi="Verdana" w:cs="Arial"/>
          <w:shd w:val="clear" w:color="auto" w:fill="FFFFFF"/>
        </w:rPr>
        <w:t>el Decreto 1600 de 2024 en los Conceptos C-292 del 21 de abril de 2025, C-586 del 25 de junio de 2025, C-818 del 15 de julio de 2025 y C-867 del 15 de julio de 2025, C-1026 del 30 de julio de 2025, C-1040 del 4 de septiembre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5"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B9906C3" w14:textId="77777777" w:rsidR="00CE27DA" w:rsidRPr="00096788" w:rsidRDefault="00CE27DA" w:rsidP="00CE27DA">
      <w:pPr>
        <w:widowControl w:val="0"/>
        <w:autoSpaceDE w:val="0"/>
        <w:autoSpaceDN w:val="0"/>
        <w:spacing w:after="0" w:line="276" w:lineRule="auto"/>
        <w:jc w:val="both"/>
        <w:rPr>
          <w:rFonts w:ascii="Verdana" w:hAnsi="Verdana" w:cs="Arial"/>
          <w:color w:val="000000" w:themeColor="text1"/>
          <w:shd w:val="clear" w:color="auto" w:fill="FFFFFF"/>
        </w:rPr>
      </w:pPr>
    </w:p>
    <w:p w14:paraId="78A54B51" w14:textId="77777777" w:rsidR="00CE27DA" w:rsidRPr="001205D1" w:rsidRDefault="00CE27DA" w:rsidP="00CE27DA">
      <w:pPr>
        <w:shd w:val="clear" w:color="auto" w:fill="FFFFFF" w:themeFill="background1"/>
        <w:spacing w:after="0" w:line="276" w:lineRule="auto"/>
        <w:jc w:val="both"/>
        <w:rPr>
          <w:rFonts w:ascii="Verdana" w:hAnsi="Verdana"/>
          <w:color w:val="467886"/>
          <w:u w:val="single"/>
        </w:rPr>
      </w:pPr>
      <w:r w:rsidRPr="22915521">
        <w:rPr>
          <w:rFonts w:ascii="Verdana" w:hAnsi="Verdana"/>
          <w:color w:val="000000" w:themeColor="text1"/>
        </w:rPr>
        <w:t>Te informamos que ya se encuentra disponible la </w:t>
      </w:r>
      <w:r w:rsidRPr="22915521">
        <w:rPr>
          <w:rFonts w:ascii="Verdana" w:hAnsi="Verdana"/>
          <w:b/>
          <w:color w:val="000000" w:themeColor="text1"/>
        </w:rPr>
        <w:t>Guía de lineamientos de transparencia y selección objetiva para el departamento de La Guajira – Objetivo sexto constitucional de la Sentencia T-302 del 2017. </w:t>
      </w:r>
      <w:r w:rsidRPr="22915521">
        <w:rPr>
          <w:rFonts w:ascii="Verdana" w:hAnsi="Verdana"/>
          <w:color w:val="000000" w:themeColor="text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22915521">
        <w:rPr>
          <w:rFonts w:ascii="Verdana" w:hAnsi="Verdana"/>
          <w:color w:val="000000" w:themeColor="text1"/>
        </w:rPr>
        <w:t>Wayúu</w:t>
      </w:r>
      <w:proofErr w:type="spellEnd"/>
      <w:r w:rsidRPr="22915521">
        <w:rPr>
          <w:rFonts w:ascii="Verdana" w:hAnsi="Verdana"/>
          <w:color w:val="000000" w:themeColor="text1"/>
        </w:rPr>
        <w:t>. Puede consultar la guía en el siguiente enlace: </w:t>
      </w:r>
      <w:hyperlink r:id="rId16">
        <w:r w:rsidRPr="22915521">
          <w:rPr>
            <w:rStyle w:val="Hipervnculo"/>
            <w:rFonts w:ascii="Verdana" w:hAnsi="Verdana"/>
          </w:rPr>
          <w:t>Guía de lineamientos de transparencia y selección objetiva para el departamento de La Guajira – Objetivo sexto constitucional de la Sentencia T-302 del 2017</w:t>
        </w:r>
      </w:hyperlink>
      <w:r w:rsidRPr="22915521">
        <w:rPr>
          <w:rFonts w:ascii="Verdana" w:hAnsi="Verdana"/>
          <w:color w:val="000000" w:themeColor="text1"/>
          <w:u w:val="single"/>
        </w:rPr>
        <w:t>.</w:t>
      </w:r>
    </w:p>
    <w:p w14:paraId="78475284" w14:textId="77777777" w:rsidR="00CE27DA" w:rsidRPr="009C4035" w:rsidRDefault="00CE27DA" w:rsidP="00CE27DA">
      <w:pPr>
        <w:widowControl w:val="0"/>
        <w:autoSpaceDE w:val="0"/>
        <w:autoSpaceDN w:val="0"/>
        <w:spacing w:after="0" w:line="276" w:lineRule="auto"/>
        <w:jc w:val="both"/>
        <w:rPr>
          <w:rFonts w:ascii="Verdana" w:hAnsi="Verdana" w:cs="Arial"/>
          <w:color w:val="FF0000"/>
          <w:shd w:val="clear" w:color="auto" w:fill="FFFFFF"/>
          <w:lang w:val="es-ES_tradnl"/>
        </w:rPr>
      </w:pPr>
    </w:p>
    <w:p w14:paraId="633587F7" w14:textId="77777777" w:rsidR="00CE27DA" w:rsidRPr="00593A5F" w:rsidRDefault="00CE27DA" w:rsidP="00CE27D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7ADEBDE" w14:textId="77777777" w:rsidR="00CE27DA" w:rsidRPr="00593A5F" w:rsidRDefault="00CE27DA" w:rsidP="00CE27DA">
      <w:pPr>
        <w:widowControl w:val="0"/>
        <w:autoSpaceDE w:val="0"/>
        <w:autoSpaceDN w:val="0"/>
        <w:spacing w:after="0" w:line="276" w:lineRule="auto"/>
        <w:jc w:val="both"/>
        <w:rPr>
          <w:rFonts w:ascii="Verdana" w:hAnsi="Verdana" w:cs="Arial"/>
        </w:rPr>
      </w:pPr>
    </w:p>
    <w:p w14:paraId="063E7506" w14:textId="77777777" w:rsidR="00CE27DA" w:rsidRPr="00593A5F" w:rsidRDefault="00CE27DA" w:rsidP="00CE27D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3B89F60" w14:textId="1BFBDE5F" w:rsidR="00CE27DA" w:rsidRDefault="00CE27DA" w:rsidP="004C5DEE">
      <w:pPr>
        <w:spacing w:after="0" w:line="240" w:lineRule="auto"/>
        <w:rPr>
          <w:rFonts w:ascii="Verdana" w:eastAsia="Times New Roman" w:hAnsi="Verdana" w:cs="Arial"/>
          <w:noProof/>
          <w:sz w:val="24"/>
          <w:szCs w:val="24"/>
          <w:lang w:val="en-US"/>
        </w:rPr>
      </w:pPr>
    </w:p>
    <w:p w14:paraId="27F9FD3F" w14:textId="0FEDB122" w:rsidR="004C5DEE" w:rsidRPr="004C5DEE" w:rsidRDefault="004C5DEE" w:rsidP="004C5DEE">
      <w:pPr>
        <w:spacing w:after="0" w:line="240" w:lineRule="auto"/>
        <w:jc w:val="center"/>
        <w:rPr>
          <w:rFonts w:ascii="Verdana" w:eastAsia="Times New Roman" w:hAnsi="Verdana" w:cs="Arial"/>
          <w:noProof/>
          <w:sz w:val="24"/>
          <w:szCs w:val="24"/>
          <w:lang w:val="en-US"/>
        </w:rPr>
      </w:pPr>
      <w:r w:rsidRPr="002C3AD6">
        <w:rPr>
          <w:rFonts w:ascii="Century Gothic" w:hAnsi="Century Gothic"/>
          <w:noProof/>
          <w:lang w:val="en-US"/>
        </w:rPr>
        <w:drawing>
          <wp:inline distT="0" distB="0" distL="0" distR="0" wp14:anchorId="64625E62" wp14:editId="2CCBD26F">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312722" cy="1229722"/>
                    </a:xfrm>
                    <a:prstGeom prst="rect">
                      <a:avLst/>
                    </a:prstGeom>
                  </pic:spPr>
                </pic:pic>
              </a:graphicData>
            </a:graphic>
          </wp:inline>
        </w:drawing>
      </w:r>
    </w:p>
    <w:p w14:paraId="1CC6F022" w14:textId="77777777" w:rsidR="00CE27DA" w:rsidRDefault="00CE27DA" w:rsidP="00CE27DA">
      <w:pPr>
        <w:spacing w:after="0" w:line="240" w:lineRule="auto"/>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27DA" w:rsidRPr="00593A5F" w14:paraId="475EB759" w14:textId="77777777" w:rsidTr="00B07DFC">
        <w:trPr>
          <w:trHeight w:val="315"/>
        </w:trPr>
        <w:tc>
          <w:tcPr>
            <w:tcW w:w="893" w:type="dxa"/>
            <w:vAlign w:val="center"/>
            <w:hideMark/>
          </w:tcPr>
          <w:p w14:paraId="16F6FC0E" w14:textId="77777777" w:rsidR="00CE27DA" w:rsidRPr="003751C7" w:rsidRDefault="00CE27DA" w:rsidP="00B07DF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30654D" w14:textId="77777777" w:rsidR="00CE27DA" w:rsidRPr="00254A7A" w:rsidRDefault="00CE27DA" w:rsidP="00B07DFC">
            <w:pPr>
              <w:contextualSpacing/>
              <w:rPr>
                <w:rStyle w:val="normaltextrun"/>
                <w:rFonts w:ascii="Verdana" w:hAnsi="Verdana"/>
                <w:sz w:val="16"/>
                <w:szCs w:val="16"/>
              </w:rPr>
            </w:pPr>
            <w:r>
              <w:rPr>
                <w:rStyle w:val="normaltextrun"/>
                <w:rFonts w:ascii="Verdana" w:hAnsi="Verdana"/>
                <w:sz w:val="16"/>
                <w:szCs w:val="16"/>
              </w:rPr>
              <w:t>José Luis Sánchez Cardona</w:t>
            </w:r>
          </w:p>
          <w:p w14:paraId="07AB0801" w14:textId="77777777" w:rsidR="00CE27DA" w:rsidRPr="00254A7A" w:rsidRDefault="00CE27DA" w:rsidP="00B07DFC">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E27DA" w:rsidRPr="00593A5F" w14:paraId="33184891" w14:textId="77777777" w:rsidTr="00B07DFC">
        <w:trPr>
          <w:trHeight w:val="330"/>
        </w:trPr>
        <w:tc>
          <w:tcPr>
            <w:tcW w:w="893" w:type="dxa"/>
            <w:vAlign w:val="center"/>
            <w:hideMark/>
          </w:tcPr>
          <w:p w14:paraId="17ACB8E3" w14:textId="77777777" w:rsidR="00CE27DA" w:rsidRPr="003751C7" w:rsidRDefault="00CE27DA" w:rsidP="00B07DFC">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3D90FD" w14:textId="77777777" w:rsidR="00CE27DA" w:rsidRPr="001B6B73" w:rsidRDefault="00CE27DA" w:rsidP="00B07DFC">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CF02069" w14:textId="77777777" w:rsidR="00CE27DA" w:rsidRPr="00254A7A" w:rsidRDefault="00CE27DA" w:rsidP="00B07DFC">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CE27DA" w:rsidRPr="00593A5F" w14:paraId="5E2168F1" w14:textId="77777777" w:rsidTr="00B07DFC">
        <w:trPr>
          <w:trHeight w:val="300"/>
        </w:trPr>
        <w:tc>
          <w:tcPr>
            <w:tcW w:w="893" w:type="dxa"/>
            <w:vAlign w:val="center"/>
          </w:tcPr>
          <w:p w14:paraId="45A4B625" w14:textId="77777777" w:rsidR="00CE27DA" w:rsidRPr="003751C7" w:rsidRDefault="00CE27DA" w:rsidP="00B07DF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EC909E" w14:textId="77777777" w:rsidR="00CE27DA" w:rsidRPr="000D30B9" w:rsidRDefault="00CE27DA" w:rsidP="00B07DFC">
            <w:pPr>
              <w:contextualSpacing/>
              <w:rPr>
                <w:rFonts w:ascii="Verdana" w:eastAsia="Calibri" w:hAnsi="Verdana" w:cs="Arial"/>
                <w:sz w:val="16"/>
                <w:szCs w:val="16"/>
                <w:lang w:val="es-ES" w:eastAsia="es-ES"/>
              </w:rPr>
            </w:pPr>
            <w:r w:rsidRPr="6D7BD6C0">
              <w:rPr>
                <w:rFonts w:ascii="Verdana" w:eastAsia="Calibri" w:hAnsi="Verdana" w:cs="Arial"/>
                <w:sz w:val="16"/>
                <w:szCs w:val="16"/>
                <w:lang w:val="es-ES" w:eastAsia="es-ES"/>
              </w:rPr>
              <w:t xml:space="preserve">Carolina Quintero </w:t>
            </w:r>
            <w:proofErr w:type="spellStart"/>
            <w:r w:rsidRPr="6D7BD6C0">
              <w:rPr>
                <w:rFonts w:ascii="Verdana" w:eastAsia="Calibri" w:hAnsi="Verdana" w:cs="Arial"/>
                <w:sz w:val="16"/>
                <w:szCs w:val="16"/>
                <w:lang w:val="es-ES" w:eastAsia="es-ES"/>
              </w:rPr>
              <w:t>Gacharná</w:t>
            </w:r>
            <w:proofErr w:type="spellEnd"/>
          </w:p>
          <w:p w14:paraId="4074DBCF" w14:textId="77777777" w:rsidR="00CE27DA" w:rsidRPr="003751C7" w:rsidRDefault="00CE27DA" w:rsidP="00B07DFC">
            <w:pPr>
              <w:contextualSpacing/>
              <w:rPr>
                <w:rFonts w:ascii="Verdana" w:eastAsia="Calibri" w:hAnsi="Verdana" w:cs="Arial"/>
                <w:sz w:val="16"/>
                <w:szCs w:val="16"/>
                <w:lang w:val="pt-BR" w:eastAsia="es-ES"/>
              </w:rPr>
            </w:pPr>
            <w:r w:rsidRPr="000D30B9">
              <w:rPr>
                <w:rFonts w:ascii="Verdana" w:eastAsia="Calibri" w:hAnsi="Verdana" w:cs="Arial"/>
                <w:sz w:val="16"/>
                <w:szCs w:val="16"/>
                <w:lang w:val="es-ES_tradnl" w:eastAsia="es-ES"/>
              </w:rPr>
              <w:t>Subdire</w:t>
            </w:r>
            <w:r>
              <w:rPr>
                <w:rFonts w:ascii="Verdana" w:eastAsia="Calibri" w:hAnsi="Verdana" w:cs="Arial"/>
                <w:sz w:val="16"/>
                <w:szCs w:val="16"/>
                <w:lang w:val="es-ES_tradnl" w:eastAsia="es-ES"/>
              </w:rPr>
              <w:t xml:space="preserve">ctora de Gestión Contractual </w:t>
            </w:r>
          </w:p>
        </w:tc>
      </w:tr>
    </w:tbl>
    <w:p w14:paraId="42C3D019" w14:textId="77777777" w:rsidR="00CE27DA" w:rsidRPr="004F46A2" w:rsidRDefault="00CE27DA" w:rsidP="00CE27DA"/>
    <w:p w14:paraId="6D133428" w14:textId="77777777" w:rsidR="00CE27DA" w:rsidRPr="0044528D" w:rsidRDefault="00CE27DA" w:rsidP="00CE27DA">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14C4E403" w14:textId="77777777" w:rsidR="00CE27DA" w:rsidRPr="0044528D" w:rsidRDefault="00CE27DA" w:rsidP="00CE27DA">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606BF5C5" w14:textId="77777777" w:rsidR="00CE27DA" w:rsidRPr="00046945" w:rsidRDefault="00CE27DA" w:rsidP="00CE27DA">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3900974D" w14:textId="77777777" w:rsidR="003D5B0D" w:rsidRPr="00CE27DA" w:rsidRDefault="003D5B0D" w:rsidP="00CE27DA"/>
    <w:sectPr w:rsidR="003D5B0D" w:rsidRPr="00CE27D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3EE8F" w14:textId="77777777" w:rsidR="00E524FA" w:rsidRDefault="00E524FA" w:rsidP="004A1847">
      <w:pPr>
        <w:spacing w:after="0" w:line="240" w:lineRule="auto"/>
      </w:pPr>
      <w:r>
        <w:separator/>
      </w:r>
    </w:p>
  </w:endnote>
  <w:endnote w:type="continuationSeparator" w:id="0">
    <w:p w14:paraId="608D8B2D" w14:textId="77777777" w:rsidR="00E524FA" w:rsidRDefault="00E524FA" w:rsidP="004A1847">
      <w:pPr>
        <w:spacing w:after="0" w:line="240" w:lineRule="auto"/>
      </w:pPr>
      <w:r>
        <w:continuationSeparator/>
      </w:r>
    </w:p>
  </w:endnote>
  <w:endnote w:type="continuationNotice" w:id="1">
    <w:p w14:paraId="5ED0CF1B" w14:textId="77777777" w:rsidR="00E524FA" w:rsidRDefault="00E524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1AA77BB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C5DEE" w:rsidRPr="004C5DEE">
      <w:rPr>
        <w:rFonts w:ascii="Verdana" w:eastAsiaTheme="minorEastAsia" w:hAnsi="Verdana"/>
        <w:b/>
        <w:bCs/>
        <w:noProof/>
        <w:sz w:val="16"/>
        <w:szCs w:val="16"/>
      </w:rPr>
      <w:t>18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C2D64" w14:textId="77777777" w:rsidR="00E524FA" w:rsidRDefault="00E524FA" w:rsidP="004A1847">
      <w:pPr>
        <w:spacing w:after="0" w:line="240" w:lineRule="auto"/>
      </w:pPr>
      <w:r>
        <w:separator/>
      </w:r>
    </w:p>
  </w:footnote>
  <w:footnote w:type="continuationSeparator" w:id="0">
    <w:p w14:paraId="51C13E62" w14:textId="77777777" w:rsidR="00E524FA" w:rsidRDefault="00E524FA" w:rsidP="004A1847">
      <w:pPr>
        <w:spacing w:after="0" w:line="240" w:lineRule="auto"/>
      </w:pPr>
      <w:r>
        <w:continuationSeparator/>
      </w:r>
    </w:p>
  </w:footnote>
  <w:footnote w:type="continuationNotice" w:id="1">
    <w:p w14:paraId="299DA096" w14:textId="77777777" w:rsidR="00E524FA" w:rsidRDefault="00E524FA">
      <w:pPr>
        <w:spacing w:after="0" w:line="240" w:lineRule="auto"/>
      </w:pPr>
    </w:p>
  </w:footnote>
  <w:footnote w:id="2">
    <w:p w14:paraId="12795B75"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Style w:val="Refdenotaalpie"/>
          <w:rFonts w:ascii="Verdana" w:hAnsi="Verdana"/>
          <w:sz w:val="18"/>
          <w:szCs w:val="18"/>
        </w:rPr>
        <w:footnoteRef/>
      </w:r>
      <w:r w:rsidRPr="00983AF5">
        <w:rPr>
          <w:rFonts w:ascii="Verdana" w:hAnsi="Verdana"/>
          <w:sz w:val="18"/>
          <w:szCs w:val="18"/>
        </w:rPr>
        <w:t xml:space="preserve"> </w:t>
      </w:r>
      <w:r w:rsidRPr="00983AF5">
        <w:rPr>
          <w:rStyle w:val="Textoennegrita"/>
          <w:rFonts w:ascii="Verdana" w:hAnsi="Verdana" w:cs="Arial"/>
          <w:color w:val="000000"/>
          <w:sz w:val="18"/>
          <w:szCs w:val="18"/>
        </w:rPr>
        <w:t xml:space="preserve">Artículo 200. </w:t>
      </w:r>
      <w:r w:rsidRPr="00983AF5">
        <w:rPr>
          <w:rStyle w:val="nfasis"/>
          <w:rFonts w:ascii="Verdana" w:hAnsi="Verdana" w:cs="Arial"/>
          <w:color w:val="000000"/>
          <w:sz w:val="18"/>
          <w:szCs w:val="18"/>
        </w:rPr>
        <w:t>Estrategia nacional de lucha contra la corrupción</w:t>
      </w:r>
      <w:r w:rsidRPr="00983AF5">
        <w:rPr>
          <w:rFonts w:ascii="Verdana" w:hAnsi="Verdana" w:cs="Arial"/>
          <w:color w:val="000000"/>
          <w:sz w:val="18"/>
          <w:szCs w:val="18"/>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54B65E76"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Fonts w:ascii="Verdana" w:hAnsi="Verdana" w:cs="Arial"/>
          <w:color w:val="000000"/>
          <w:sz w:val="18"/>
          <w:szCs w:val="18"/>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7352AF3A"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Fonts w:ascii="Verdana" w:hAnsi="Verdana" w:cs="Arial"/>
          <w:color w:val="000000"/>
          <w:sz w:val="18"/>
          <w:szCs w:val="18"/>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46194685"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Fonts w:ascii="Verdana" w:hAnsi="Verdana" w:cs="Arial"/>
          <w:color w:val="000000"/>
          <w:sz w:val="18"/>
          <w:szCs w:val="18"/>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52B33F4C"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Style w:val="Textoennegrita"/>
          <w:rFonts w:ascii="Verdana" w:hAnsi="Verdana" w:cs="Arial"/>
          <w:color w:val="000000"/>
          <w:sz w:val="18"/>
          <w:szCs w:val="18"/>
        </w:rPr>
        <w:t>Parágrafo 1°.</w:t>
      </w:r>
      <w:r w:rsidRPr="00983AF5">
        <w:rPr>
          <w:rFonts w:ascii="Verdana" w:hAnsi="Verdana" w:cs="Arial"/>
          <w:color w:val="000000"/>
          <w:sz w:val="18"/>
          <w:szCs w:val="18"/>
        </w:rPr>
        <w:t> En la estrategia se contemplarán los mecanismos para el seguimiento y control de los recursos públicos administrados mediante fondos o patrimonios autónomos. </w:t>
      </w:r>
    </w:p>
    <w:p w14:paraId="41901E6D"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Style w:val="Textoennegrita"/>
          <w:rFonts w:ascii="Verdana" w:hAnsi="Verdana" w:cs="Arial"/>
          <w:color w:val="000000"/>
          <w:sz w:val="18"/>
          <w:szCs w:val="18"/>
        </w:rPr>
        <w:t>Parágrafo 2°.</w:t>
      </w:r>
      <w:r w:rsidRPr="00983AF5">
        <w:rPr>
          <w:rFonts w:ascii="Verdana" w:hAnsi="Verdana" w:cs="Arial"/>
          <w:color w:val="000000"/>
          <w:sz w:val="18"/>
          <w:szCs w:val="18"/>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50EC10F1" w14:textId="77777777" w:rsidR="00CE27DA" w:rsidRPr="00983AF5" w:rsidRDefault="00CE27DA" w:rsidP="00CE27DA">
      <w:pPr>
        <w:pStyle w:val="NormalWeb"/>
        <w:spacing w:before="0" w:beforeAutospacing="0" w:after="0" w:afterAutospacing="0"/>
        <w:ind w:firstLine="709"/>
        <w:jc w:val="both"/>
        <w:rPr>
          <w:rFonts w:ascii="Verdana" w:hAnsi="Verdana" w:cs="Arial"/>
          <w:color w:val="000000"/>
          <w:sz w:val="18"/>
          <w:szCs w:val="18"/>
        </w:rPr>
      </w:pPr>
      <w:r w:rsidRPr="00983AF5">
        <w:rPr>
          <w:rStyle w:val="Textoennegrita"/>
          <w:rFonts w:ascii="Verdana" w:hAnsi="Verdana" w:cs="Arial"/>
          <w:color w:val="000000"/>
          <w:sz w:val="18"/>
          <w:szCs w:val="18"/>
        </w:rPr>
        <w:t>Parágrafo 3°.</w:t>
      </w:r>
      <w:r w:rsidRPr="00983AF5">
        <w:rPr>
          <w:rFonts w:ascii="Verdana" w:hAnsi="Verdana" w:cs="Arial"/>
          <w:color w:val="000000"/>
          <w:sz w:val="18"/>
          <w:szCs w:val="18"/>
        </w:rPr>
        <w:t> Dentro del año siguiente a la entrada en vigor de la presente ley, el Gobierno nacional formulará y adoptará la Estrategia Nacional de Lucha Contra la Corrupción.</w:t>
      </w:r>
    </w:p>
    <w:p w14:paraId="0B52C31F" w14:textId="77777777" w:rsidR="00CE27DA" w:rsidRPr="00E83F80" w:rsidRDefault="00CE27DA" w:rsidP="00CE27DA">
      <w:pPr>
        <w:pStyle w:val="Textonotapie"/>
        <w:spacing w:after="120"/>
        <w:rPr>
          <w:sz w:val="18"/>
          <w:szCs w:val="18"/>
          <w:lang w:val="es-CO"/>
        </w:rPr>
      </w:pPr>
    </w:p>
    <w:p w14:paraId="01144060" w14:textId="77777777" w:rsidR="00CE27DA" w:rsidRPr="00E83F80" w:rsidRDefault="00CE27DA" w:rsidP="00CE27DA">
      <w:pPr>
        <w:pStyle w:val="Textonotapie"/>
        <w:spacing w:after="120"/>
        <w:ind w:firstLine="708"/>
        <w:rPr>
          <w:sz w:val="18"/>
          <w:szCs w:val="18"/>
          <w:lang w:val="es-CO"/>
        </w:rPr>
      </w:pPr>
    </w:p>
  </w:footnote>
  <w:footnote w:id="3">
    <w:p w14:paraId="00F65AA0" w14:textId="77777777" w:rsidR="00CE27DA" w:rsidRPr="004C34F8" w:rsidRDefault="00CE27DA" w:rsidP="00CE27DA">
      <w:pPr>
        <w:pStyle w:val="Textonotapie"/>
        <w:ind w:firstLine="708"/>
        <w:jc w:val="both"/>
        <w:rPr>
          <w:rFonts w:ascii="Verdana" w:hAnsi="Verdana" w:cs="Arial"/>
          <w:sz w:val="16"/>
          <w:szCs w:val="16"/>
          <w:lang w:val="pt-BR"/>
        </w:rPr>
      </w:pPr>
      <w:r w:rsidRPr="005F0A24">
        <w:rPr>
          <w:rStyle w:val="Refdenotaalpie"/>
          <w:rFonts w:ascii="Verdana" w:hAnsi="Verdana" w:cs="Arial"/>
          <w:sz w:val="16"/>
          <w:szCs w:val="16"/>
        </w:rPr>
        <w:footnoteRef/>
      </w:r>
      <w:r w:rsidRPr="004C34F8">
        <w:rPr>
          <w:rFonts w:ascii="Verdana" w:hAnsi="Verdana" w:cs="Arial"/>
          <w:sz w:val="16"/>
          <w:szCs w:val="16"/>
          <w:lang w:val="pt-BR"/>
        </w:rPr>
        <w:t xml:space="preserve"> </w:t>
      </w:r>
      <w:r w:rsidRPr="004C34F8">
        <w:rPr>
          <w:rFonts w:ascii="Verdana" w:hAnsi="Verdana" w:cs="Arial"/>
          <w:color w:val="2D2D2D"/>
          <w:sz w:val="16"/>
          <w:szCs w:val="16"/>
          <w:shd w:val="clear" w:color="auto" w:fill="FFFFFF"/>
          <w:lang w:val="pt-BR"/>
        </w:rPr>
        <w:t xml:space="preserve">CORTE CONSTITUCIONAL. Sentencia C-160 de 2012.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16602B"/>
    <w:multiLevelType w:val="multilevel"/>
    <w:tmpl w:val="2B5E25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FFF578"/>
    <w:multiLevelType w:val="hybridMultilevel"/>
    <w:tmpl w:val="B90EB33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A6681"/>
    <w:multiLevelType w:val="hybridMultilevel"/>
    <w:tmpl w:val="D67E18FC"/>
    <w:lvl w:ilvl="0" w:tplc="774C31E8">
      <w:start w:val="1"/>
      <w:numFmt w:val="lowerLetter"/>
      <w:lvlText w:val="%1)"/>
      <w:lvlJc w:val="left"/>
      <w:pPr>
        <w:ind w:left="750" w:hanging="39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965E0A"/>
    <w:multiLevelType w:val="multilevel"/>
    <w:tmpl w:val="F7D65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E264B4"/>
    <w:multiLevelType w:val="multilevel"/>
    <w:tmpl w:val="3AA09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59CB15A1"/>
    <w:multiLevelType w:val="multilevel"/>
    <w:tmpl w:val="F54E7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E555B1F"/>
    <w:multiLevelType w:val="multilevel"/>
    <w:tmpl w:val="FCACD7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0168248">
    <w:abstractNumId w:val="10"/>
  </w:num>
  <w:num w:numId="2" w16cid:durableId="730079423">
    <w:abstractNumId w:val="2"/>
  </w:num>
  <w:num w:numId="3" w16cid:durableId="685866895">
    <w:abstractNumId w:val="6"/>
  </w:num>
  <w:num w:numId="4" w16cid:durableId="13346000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1775473">
    <w:abstractNumId w:val="2"/>
  </w:num>
  <w:num w:numId="6" w16cid:durableId="1723213985">
    <w:abstractNumId w:val="19"/>
  </w:num>
  <w:num w:numId="7" w16cid:durableId="1592204980">
    <w:abstractNumId w:val="8"/>
  </w:num>
  <w:num w:numId="8" w16cid:durableId="1608540619">
    <w:abstractNumId w:val="18"/>
  </w:num>
  <w:num w:numId="9" w16cid:durableId="1766804484">
    <w:abstractNumId w:val="12"/>
  </w:num>
  <w:num w:numId="10" w16cid:durableId="1269661434">
    <w:abstractNumId w:val="17"/>
  </w:num>
  <w:num w:numId="11" w16cid:durableId="1844935035">
    <w:abstractNumId w:val="13"/>
  </w:num>
  <w:num w:numId="12" w16cid:durableId="1880430652">
    <w:abstractNumId w:val="1"/>
  </w:num>
  <w:num w:numId="13" w16cid:durableId="213086986">
    <w:abstractNumId w:val="5"/>
  </w:num>
  <w:num w:numId="14" w16cid:durableId="1113941206">
    <w:abstractNumId w:val="20"/>
  </w:num>
  <w:num w:numId="15" w16cid:durableId="98109100">
    <w:abstractNumId w:val="16"/>
  </w:num>
  <w:num w:numId="16" w16cid:durableId="894194698">
    <w:abstractNumId w:val="0"/>
  </w:num>
  <w:num w:numId="17" w16cid:durableId="1056195952">
    <w:abstractNumId w:val="14"/>
  </w:num>
  <w:num w:numId="18" w16cid:durableId="956328728">
    <w:abstractNumId w:val="21"/>
  </w:num>
  <w:num w:numId="19" w16cid:durableId="996962111">
    <w:abstractNumId w:val="4"/>
  </w:num>
  <w:num w:numId="20" w16cid:durableId="1147169209">
    <w:abstractNumId w:val="7"/>
  </w:num>
  <w:num w:numId="21" w16cid:durableId="2130082425">
    <w:abstractNumId w:val="11"/>
  </w:num>
  <w:num w:numId="22" w16cid:durableId="1005287537">
    <w:abstractNumId w:val="3"/>
  </w:num>
  <w:num w:numId="23" w16cid:durableId="2017807388">
    <w:abstractNumId w:val="22"/>
  </w:num>
  <w:num w:numId="24" w16cid:durableId="569778311">
    <w:abstractNumId w:val="9"/>
  </w:num>
  <w:num w:numId="25" w16cid:durableId="13789745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73850"/>
    <w:rsid w:val="00082362"/>
    <w:rsid w:val="000A683E"/>
    <w:rsid w:val="000B19B9"/>
    <w:rsid w:val="000B6F98"/>
    <w:rsid w:val="000C6BC4"/>
    <w:rsid w:val="000D0334"/>
    <w:rsid w:val="000F2207"/>
    <w:rsid w:val="000F4F89"/>
    <w:rsid w:val="000F6486"/>
    <w:rsid w:val="00112429"/>
    <w:rsid w:val="00125105"/>
    <w:rsid w:val="00127233"/>
    <w:rsid w:val="0014127B"/>
    <w:rsid w:val="001511A0"/>
    <w:rsid w:val="00183445"/>
    <w:rsid w:val="001C2644"/>
    <w:rsid w:val="001E4177"/>
    <w:rsid w:val="001E6BC5"/>
    <w:rsid w:val="001F7DC6"/>
    <w:rsid w:val="00211BB3"/>
    <w:rsid w:val="002421BB"/>
    <w:rsid w:val="00253FEC"/>
    <w:rsid w:val="0025796E"/>
    <w:rsid w:val="002707A2"/>
    <w:rsid w:val="00280292"/>
    <w:rsid w:val="002951A0"/>
    <w:rsid w:val="002962BC"/>
    <w:rsid w:val="002A093D"/>
    <w:rsid w:val="002A0DD0"/>
    <w:rsid w:val="002A49AC"/>
    <w:rsid w:val="002A64FD"/>
    <w:rsid w:val="002C7A84"/>
    <w:rsid w:val="002E4FD9"/>
    <w:rsid w:val="00322A85"/>
    <w:rsid w:val="00324168"/>
    <w:rsid w:val="003414FE"/>
    <w:rsid w:val="003448F4"/>
    <w:rsid w:val="003705A8"/>
    <w:rsid w:val="00374F5E"/>
    <w:rsid w:val="00377E3E"/>
    <w:rsid w:val="003A779E"/>
    <w:rsid w:val="003D0F4D"/>
    <w:rsid w:val="003D5B0D"/>
    <w:rsid w:val="003E0499"/>
    <w:rsid w:val="003F3941"/>
    <w:rsid w:val="00402DA7"/>
    <w:rsid w:val="00406575"/>
    <w:rsid w:val="00414C74"/>
    <w:rsid w:val="0042722E"/>
    <w:rsid w:val="0044528D"/>
    <w:rsid w:val="00481A43"/>
    <w:rsid w:val="004A1847"/>
    <w:rsid w:val="004A305D"/>
    <w:rsid w:val="004B3CE9"/>
    <w:rsid w:val="004C5DEE"/>
    <w:rsid w:val="004F21C4"/>
    <w:rsid w:val="004F46A2"/>
    <w:rsid w:val="004F685F"/>
    <w:rsid w:val="005566E8"/>
    <w:rsid w:val="00574867"/>
    <w:rsid w:val="00591460"/>
    <w:rsid w:val="005B3816"/>
    <w:rsid w:val="005C0DB8"/>
    <w:rsid w:val="005C3777"/>
    <w:rsid w:val="005C5CDC"/>
    <w:rsid w:val="005D25CE"/>
    <w:rsid w:val="005D476C"/>
    <w:rsid w:val="005F0A24"/>
    <w:rsid w:val="006219F8"/>
    <w:rsid w:val="00665D70"/>
    <w:rsid w:val="006900D9"/>
    <w:rsid w:val="006A62B3"/>
    <w:rsid w:val="006B5D21"/>
    <w:rsid w:val="006C1C94"/>
    <w:rsid w:val="006E12D2"/>
    <w:rsid w:val="006E3DF7"/>
    <w:rsid w:val="00706C16"/>
    <w:rsid w:val="00735AA1"/>
    <w:rsid w:val="00756841"/>
    <w:rsid w:val="007649AB"/>
    <w:rsid w:val="00771D0C"/>
    <w:rsid w:val="007833AC"/>
    <w:rsid w:val="007B1EDA"/>
    <w:rsid w:val="007B268C"/>
    <w:rsid w:val="007B7171"/>
    <w:rsid w:val="007C0C0F"/>
    <w:rsid w:val="007C3DC2"/>
    <w:rsid w:val="007E332D"/>
    <w:rsid w:val="007E5497"/>
    <w:rsid w:val="00806F5F"/>
    <w:rsid w:val="00820278"/>
    <w:rsid w:val="00832D79"/>
    <w:rsid w:val="00852A07"/>
    <w:rsid w:val="008604BB"/>
    <w:rsid w:val="00867F95"/>
    <w:rsid w:val="008843B6"/>
    <w:rsid w:val="00891928"/>
    <w:rsid w:val="008A446D"/>
    <w:rsid w:val="008B2EE4"/>
    <w:rsid w:val="008D180B"/>
    <w:rsid w:val="008D601F"/>
    <w:rsid w:val="008E2B26"/>
    <w:rsid w:val="008F0EA7"/>
    <w:rsid w:val="00923EEF"/>
    <w:rsid w:val="009419F9"/>
    <w:rsid w:val="0095685E"/>
    <w:rsid w:val="00961B09"/>
    <w:rsid w:val="00965334"/>
    <w:rsid w:val="0097093E"/>
    <w:rsid w:val="00983AF5"/>
    <w:rsid w:val="00986AC5"/>
    <w:rsid w:val="009A0DFA"/>
    <w:rsid w:val="009B2D26"/>
    <w:rsid w:val="009C71FA"/>
    <w:rsid w:val="009C72E7"/>
    <w:rsid w:val="009D3058"/>
    <w:rsid w:val="009F3A13"/>
    <w:rsid w:val="009F5CA8"/>
    <w:rsid w:val="00A122D3"/>
    <w:rsid w:val="00A17F13"/>
    <w:rsid w:val="00A20739"/>
    <w:rsid w:val="00A33C78"/>
    <w:rsid w:val="00A87629"/>
    <w:rsid w:val="00A93E9D"/>
    <w:rsid w:val="00AB0ADB"/>
    <w:rsid w:val="00AD78D1"/>
    <w:rsid w:val="00B01B1A"/>
    <w:rsid w:val="00B1342B"/>
    <w:rsid w:val="00B179B6"/>
    <w:rsid w:val="00B3543E"/>
    <w:rsid w:val="00B66319"/>
    <w:rsid w:val="00B72CD3"/>
    <w:rsid w:val="00B72FFF"/>
    <w:rsid w:val="00BA0350"/>
    <w:rsid w:val="00BA4491"/>
    <w:rsid w:val="00BB441A"/>
    <w:rsid w:val="00BC3D36"/>
    <w:rsid w:val="00BD7F72"/>
    <w:rsid w:val="00BF43B4"/>
    <w:rsid w:val="00C04FB3"/>
    <w:rsid w:val="00C330EB"/>
    <w:rsid w:val="00C41061"/>
    <w:rsid w:val="00C418F0"/>
    <w:rsid w:val="00C53329"/>
    <w:rsid w:val="00C754BE"/>
    <w:rsid w:val="00C76B1C"/>
    <w:rsid w:val="00C83833"/>
    <w:rsid w:val="00CB6357"/>
    <w:rsid w:val="00CC1B26"/>
    <w:rsid w:val="00CE27DA"/>
    <w:rsid w:val="00D02CAB"/>
    <w:rsid w:val="00D21586"/>
    <w:rsid w:val="00D423A2"/>
    <w:rsid w:val="00D520D8"/>
    <w:rsid w:val="00D63AC2"/>
    <w:rsid w:val="00D7383B"/>
    <w:rsid w:val="00D873B7"/>
    <w:rsid w:val="00DA231B"/>
    <w:rsid w:val="00DB4131"/>
    <w:rsid w:val="00DC39FC"/>
    <w:rsid w:val="00DF5254"/>
    <w:rsid w:val="00E0495E"/>
    <w:rsid w:val="00E16408"/>
    <w:rsid w:val="00E20894"/>
    <w:rsid w:val="00E2302F"/>
    <w:rsid w:val="00E245AB"/>
    <w:rsid w:val="00E24FB2"/>
    <w:rsid w:val="00E2764C"/>
    <w:rsid w:val="00E27F2E"/>
    <w:rsid w:val="00E50AFE"/>
    <w:rsid w:val="00E524FA"/>
    <w:rsid w:val="00E75C92"/>
    <w:rsid w:val="00E771DC"/>
    <w:rsid w:val="00E8772A"/>
    <w:rsid w:val="00E90F6B"/>
    <w:rsid w:val="00E92C27"/>
    <w:rsid w:val="00EA0E3D"/>
    <w:rsid w:val="00EC2870"/>
    <w:rsid w:val="00EC38A7"/>
    <w:rsid w:val="00EC720D"/>
    <w:rsid w:val="00ED7384"/>
    <w:rsid w:val="00EE1AA8"/>
    <w:rsid w:val="00EE4B48"/>
    <w:rsid w:val="00F145C9"/>
    <w:rsid w:val="00F31EDC"/>
    <w:rsid w:val="00F462B3"/>
    <w:rsid w:val="00F5664F"/>
    <w:rsid w:val="00F666C4"/>
    <w:rsid w:val="00F76AFC"/>
    <w:rsid w:val="00FA0F7F"/>
    <w:rsid w:val="00FA47C0"/>
    <w:rsid w:val="00FB2ABF"/>
    <w:rsid w:val="00FB5DD1"/>
    <w:rsid w:val="00FC2B5D"/>
    <w:rsid w:val="00FC4719"/>
    <w:rsid w:val="00FD4302"/>
    <w:rsid w:val="00FF1449"/>
    <w:rsid w:val="00FF3D44"/>
    <w:rsid w:val="165E9519"/>
    <w:rsid w:val="22915521"/>
    <w:rsid w:val="27D099CB"/>
    <w:rsid w:val="382536D9"/>
    <w:rsid w:val="5F0D23E1"/>
    <w:rsid w:val="6AC275C5"/>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F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A0F7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A0F7F"/>
    <w:rPr>
      <w:rFonts w:ascii="Geomanist Light" w:hAnsi="Geomanist Light"/>
      <w:lang w:val="es-ES"/>
    </w:rPr>
  </w:style>
  <w:style w:type="character" w:customStyle="1" w:styleId="s15">
    <w:name w:val="s15"/>
    <w:basedOn w:val="Fuentedeprrafopredeter"/>
    <w:rsid w:val="00FA0F7F"/>
  </w:style>
  <w:style w:type="character" w:customStyle="1" w:styleId="apple-converted-space">
    <w:name w:val="apple-converted-space"/>
    <w:basedOn w:val="Fuentedeprrafopredeter"/>
    <w:rsid w:val="00FA0F7F"/>
  </w:style>
  <w:style w:type="paragraph" w:customStyle="1" w:styleId="s16">
    <w:name w:val="s16"/>
    <w:basedOn w:val="Normal"/>
    <w:rsid w:val="00FA0F7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FA0F7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FA0F7F"/>
  </w:style>
  <w:style w:type="character" w:styleId="Textoennegrita">
    <w:name w:val="Strong"/>
    <w:basedOn w:val="Fuentedeprrafopredeter"/>
    <w:uiPriority w:val="22"/>
    <w:qFormat/>
    <w:rsid w:val="006C1C94"/>
    <w:rPr>
      <w:b/>
      <w:bCs/>
    </w:rPr>
  </w:style>
  <w:style w:type="character" w:styleId="nfasis">
    <w:name w:val="Emphasis"/>
    <w:basedOn w:val="Fuentedeprrafopredeter"/>
    <w:uiPriority w:val="20"/>
    <w:qFormat/>
    <w:rsid w:val="006C1C94"/>
    <w:rPr>
      <w:i/>
      <w:iCs/>
    </w:rPr>
  </w:style>
  <w:style w:type="character" w:customStyle="1" w:styleId="textrun">
    <w:name w:val="textrun"/>
    <w:basedOn w:val="Fuentedeprrafopredeter"/>
    <w:rsid w:val="000F22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389942">
      <w:bodyDiv w:val="1"/>
      <w:marLeft w:val="0"/>
      <w:marRight w:val="0"/>
      <w:marTop w:val="0"/>
      <w:marBottom w:val="0"/>
      <w:divBdr>
        <w:top w:val="none" w:sz="0" w:space="0" w:color="auto"/>
        <w:left w:val="none" w:sz="0" w:space="0" w:color="auto"/>
        <w:bottom w:val="none" w:sz="0" w:space="0" w:color="auto"/>
        <w:right w:val="none" w:sz="0" w:space="0" w:color="auto"/>
      </w:divBdr>
    </w:div>
    <w:div w:id="23143030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27021498">
      <w:bodyDiv w:val="1"/>
      <w:marLeft w:val="0"/>
      <w:marRight w:val="0"/>
      <w:marTop w:val="0"/>
      <w:marBottom w:val="0"/>
      <w:divBdr>
        <w:top w:val="none" w:sz="0" w:space="0" w:color="auto"/>
        <w:left w:val="none" w:sz="0" w:space="0" w:color="auto"/>
        <w:bottom w:val="none" w:sz="0" w:space="0" w:color="auto"/>
        <w:right w:val="none" w:sz="0" w:space="0" w:color="auto"/>
      </w:divBdr>
    </w:div>
    <w:div w:id="20362744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 w:id="213825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41102"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funcionpublica.gov.co/eva/gestornormativo/norma.php?i=41102"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ecretariatransparencia.gov.co/"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ecretariatransparenci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D4974CC-BA49-4B07-8FD2-524FA7EAEE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purl.org/dc/terms/"/>
    <ds:schemaRef ds:uri="a6cb9e4b-f1d1-4245-83ec-6cad768d538a"/>
    <ds:schemaRef ds:uri="http://www.w3.org/XML/1998/namespace"/>
    <ds:schemaRef ds:uri="http://schemas.microsoft.com/office/2006/documentManagement/types"/>
    <ds:schemaRef ds:uri="9d85dbaf-23eb-4e57-a637-93dcacc8b1a1"/>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6411</Words>
  <Characters>35262</Characters>
  <Application>Microsoft Office Word</Application>
  <DocSecurity>0</DocSecurity>
  <Lines>293</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2025-09-16T21:01:00Z</dcterms:created>
  <dcterms:modified xsi:type="dcterms:W3CDTF">2025-09-16T21:01:00Z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